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宋体" w:hAnsi="宋体" w:eastAsia="宋体"/>
          <w:b/>
          <w:color w:val="auto"/>
          <w:sz w:val="48"/>
          <w:szCs w:val="48"/>
          <w:highlight w:val="none"/>
          <w:lang w:val="en-US" w:eastAsia="zh-CN"/>
        </w:rPr>
      </w:pPr>
      <w:r>
        <w:rPr>
          <w:rFonts w:hint="eastAsia" w:ascii="宋体" w:hAnsi="宋体"/>
          <w:b/>
          <w:color w:val="auto"/>
          <w:sz w:val="48"/>
          <w:szCs w:val="48"/>
          <w:highlight w:val="none"/>
          <w:lang w:val="en-US" w:eastAsia="zh-CN"/>
        </w:rPr>
        <w:t xml:space="preserve">    </w:t>
      </w:r>
    </w:p>
    <w:p>
      <w:pPr>
        <w:pStyle w:val="330"/>
        <w:jc w:val="center"/>
        <w:rPr>
          <w:rFonts w:hint="eastAsia" w:ascii="宋体" w:eastAsia="仿宋_GB2312"/>
          <w:b/>
          <w:bCs/>
          <w:color w:val="auto"/>
          <w:sz w:val="44"/>
          <w:highlight w:val="none"/>
          <w:lang w:eastAsia="zh-CN"/>
        </w:rPr>
      </w:pPr>
      <w:r>
        <w:rPr>
          <w:rFonts w:hint="eastAsia" w:ascii="宋体"/>
          <w:b/>
          <w:bCs/>
          <w:color w:val="auto"/>
          <w:sz w:val="44"/>
          <w:highlight w:val="none"/>
          <w:lang w:eastAsia="zh-CN"/>
        </w:rPr>
        <w:t>乌鲁木齐市松材线虫病等重大林业有害生物防治能力提升工程建设项目-防治设备及其他实验室设备</w:t>
      </w:r>
    </w:p>
    <w:p>
      <w:pPr>
        <w:pStyle w:val="330"/>
        <w:rPr>
          <w:rFonts w:ascii="宋体"/>
          <w:color w:val="auto"/>
          <w:sz w:val="44"/>
          <w:highlight w:val="none"/>
        </w:rPr>
      </w:pPr>
    </w:p>
    <w:p>
      <w:pPr>
        <w:pStyle w:val="2"/>
        <w:rPr>
          <w:color w:val="auto"/>
          <w:highlight w:val="none"/>
        </w:rPr>
      </w:pPr>
    </w:p>
    <w:p>
      <w:pPr>
        <w:jc w:val="center"/>
        <w:outlineLvl w:val="0"/>
        <w:rPr>
          <w:rFonts w:ascii="宋体"/>
          <w:b/>
          <w:color w:val="auto"/>
          <w:spacing w:val="80"/>
          <w:sz w:val="84"/>
          <w:szCs w:val="84"/>
          <w:highlight w:val="none"/>
        </w:rPr>
      </w:pPr>
      <w:r>
        <w:rPr>
          <w:rFonts w:hint="eastAsia" w:ascii="宋体"/>
          <w:b/>
          <w:color w:val="auto"/>
          <w:spacing w:val="80"/>
          <w:sz w:val="84"/>
          <w:szCs w:val="84"/>
          <w:highlight w:val="none"/>
        </w:rPr>
        <w:t>招标文件</w:t>
      </w:r>
    </w:p>
    <w:p>
      <w:pPr>
        <w:spacing w:line="360" w:lineRule="auto"/>
        <w:jc w:val="center"/>
        <w:rPr>
          <w:rFonts w:ascii="宋体"/>
          <w:b/>
          <w:color w:val="auto"/>
          <w:sz w:val="24"/>
          <w:highlight w:val="none"/>
        </w:rPr>
      </w:pPr>
    </w:p>
    <w:p>
      <w:pPr>
        <w:spacing w:line="360" w:lineRule="auto"/>
        <w:rPr>
          <w:rFonts w:ascii="宋体"/>
          <w:color w:val="auto"/>
          <w:sz w:val="24"/>
          <w:highlight w:val="none"/>
        </w:rPr>
      </w:pPr>
    </w:p>
    <w:p>
      <w:pPr>
        <w:pStyle w:val="37"/>
        <w:ind w:left="0" w:leftChars="0" w:firstLine="0" w:firstLineChars="0"/>
        <w:rPr>
          <w:rFonts w:ascii="宋体" w:hAnsi="宋体" w:cs="宋体"/>
          <w:b/>
          <w:bCs/>
          <w:color w:val="auto"/>
          <w:szCs w:val="32"/>
          <w:highlight w:val="none"/>
        </w:rPr>
      </w:pPr>
    </w:p>
    <w:p>
      <w:pPr>
        <w:pStyle w:val="38"/>
        <w:rPr>
          <w:rFonts w:hAnsi="宋体" w:cs="宋体"/>
          <w:b/>
          <w:bCs/>
          <w:color w:val="auto"/>
          <w:sz w:val="32"/>
          <w:szCs w:val="32"/>
          <w:highlight w:val="none"/>
        </w:rPr>
      </w:pPr>
    </w:p>
    <w:p>
      <w:pPr>
        <w:pStyle w:val="38"/>
        <w:rPr>
          <w:rFonts w:hAnsi="宋体" w:cs="宋体"/>
          <w:b/>
          <w:bCs/>
          <w:color w:val="auto"/>
          <w:sz w:val="32"/>
          <w:szCs w:val="32"/>
          <w:highlight w:val="none"/>
        </w:rPr>
      </w:pPr>
    </w:p>
    <w:p>
      <w:pPr>
        <w:pStyle w:val="38"/>
        <w:rPr>
          <w:rFonts w:hAnsi="宋体" w:cs="宋体"/>
          <w:b/>
          <w:bCs/>
          <w:color w:val="auto"/>
          <w:sz w:val="32"/>
          <w:szCs w:val="32"/>
          <w:highlight w:val="none"/>
        </w:rPr>
      </w:pPr>
    </w:p>
    <w:p>
      <w:pPr>
        <w:pStyle w:val="38"/>
        <w:rPr>
          <w:rFonts w:hAnsi="宋体" w:cs="宋体"/>
          <w:b/>
          <w:bCs/>
          <w:color w:val="auto"/>
          <w:sz w:val="32"/>
          <w:szCs w:val="32"/>
          <w:highlight w:val="none"/>
        </w:rPr>
      </w:pPr>
    </w:p>
    <w:p>
      <w:pPr>
        <w:spacing w:line="360" w:lineRule="auto"/>
        <w:outlineLvl w:val="1"/>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乌鲁木齐市松材线虫病等重大林业有害生物防治能力提升工程建设项目-防治设备及其他实验室设备</w:t>
      </w:r>
    </w:p>
    <w:p>
      <w:pPr>
        <w:spacing w:line="360" w:lineRule="auto"/>
        <w:outlineLvl w:val="1"/>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XYTDZB-GK-2023063</w:t>
      </w:r>
    </w:p>
    <w:p>
      <w:pPr>
        <w:spacing w:line="360" w:lineRule="auto"/>
        <w:outlineLvl w:val="1"/>
        <w:rPr>
          <w:rFonts w:hint="eastAsia" w:ascii="宋体" w:hAnsi="宋体" w:eastAsia="宋体"/>
          <w:b/>
          <w:color w:val="auto"/>
          <w:sz w:val="28"/>
          <w:szCs w:val="28"/>
          <w:highlight w:val="none"/>
          <w:lang w:eastAsia="zh-CN"/>
        </w:rPr>
      </w:pPr>
      <w:r>
        <w:rPr>
          <w:rFonts w:hint="eastAsia" w:ascii="宋体" w:hAnsi="宋体"/>
          <w:b/>
          <w:color w:val="auto"/>
          <w:spacing w:val="71"/>
          <w:kern w:val="0"/>
          <w:sz w:val="28"/>
          <w:szCs w:val="28"/>
          <w:highlight w:val="none"/>
          <w:fitText w:val="1124" w:id="1080449242"/>
        </w:rPr>
        <w:t>采购</w:t>
      </w:r>
      <w:r>
        <w:rPr>
          <w:rFonts w:hint="eastAsia" w:ascii="宋体" w:hAnsi="宋体"/>
          <w:b/>
          <w:color w:val="auto"/>
          <w:spacing w:val="0"/>
          <w:kern w:val="0"/>
          <w:sz w:val="28"/>
          <w:szCs w:val="28"/>
          <w:highlight w:val="none"/>
          <w:fitText w:val="1124" w:id="1080449242"/>
        </w:rPr>
        <w:t>人</w:t>
      </w:r>
      <w:r>
        <w:rPr>
          <w:rFonts w:hint="eastAsia" w:ascii="宋体" w:hAnsi="宋体"/>
          <w:b/>
          <w:color w:val="auto"/>
          <w:sz w:val="28"/>
          <w:szCs w:val="28"/>
          <w:highlight w:val="none"/>
        </w:rPr>
        <w:t>：</w:t>
      </w:r>
      <w:r>
        <w:rPr>
          <w:rFonts w:hint="eastAsia" w:ascii="宋体" w:hAnsi="宋体"/>
          <w:b/>
          <w:color w:val="auto"/>
          <w:sz w:val="28"/>
          <w:szCs w:val="28"/>
          <w:highlight w:val="none"/>
          <w:lang w:eastAsia="zh-CN"/>
        </w:rPr>
        <w:t>乌鲁木齐市林业有害生物防治检疫站（乌鲁木齐市草原监理站）</w:t>
      </w:r>
    </w:p>
    <w:p>
      <w:pPr>
        <w:spacing w:line="360" w:lineRule="auto"/>
        <w:outlineLvl w:val="1"/>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联系地址：</w:t>
      </w:r>
      <w:r>
        <w:rPr>
          <w:rFonts w:hint="eastAsia" w:ascii="宋体" w:hAnsi="宋体"/>
          <w:b/>
          <w:color w:val="auto"/>
          <w:sz w:val="28"/>
          <w:szCs w:val="28"/>
          <w:highlight w:val="none"/>
          <w:lang w:eastAsia="zh-CN"/>
        </w:rPr>
        <w:t>南站货场东路54号</w:t>
      </w:r>
    </w:p>
    <w:p>
      <w:pPr>
        <w:spacing w:line="360" w:lineRule="auto"/>
        <w:outlineLvl w:val="1"/>
        <w:rPr>
          <w:rFonts w:ascii="宋体" w:hAnsi="宋体"/>
          <w:b/>
          <w:color w:val="auto"/>
          <w:sz w:val="28"/>
          <w:szCs w:val="28"/>
          <w:highlight w:val="none"/>
        </w:rPr>
      </w:pPr>
      <w:r>
        <w:rPr>
          <w:rFonts w:hint="eastAsia" w:ascii="宋体" w:hAnsi="宋体"/>
          <w:b/>
          <w:color w:val="auto"/>
          <w:sz w:val="28"/>
          <w:szCs w:val="28"/>
          <w:highlight w:val="none"/>
        </w:rPr>
        <w:t>联系电话：0991-6296610</w:t>
      </w:r>
    </w:p>
    <w:p>
      <w:pPr>
        <w:pStyle w:val="38"/>
        <w:rPr>
          <w:rFonts w:hAnsi="宋体" w:cs="宋体"/>
          <w:b/>
          <w:bCs/>
          <w:color w:val="auto"/>
          <w:sz w:val="32"/>
          <w:szCs w:val="32"/>
          <w:highlight w:val="none"/>
        </w:rPr>
      </w:pPr>
      <w:r>
        <w:rPr>
          <w:color w:val="auto"/>
          <w:sz w:val="32"/>
          <w:highlight w:val="none"/>
        </w:rPr>
        <mc:AlternateContent>
          <mc:Choice Requires="wps">
            <w:drawing>
              <wp:anchor distT="0" distB="0" distL="0" distR="0" simplePos="0" relativeHeight="251659264" behindDoc="0" locked="0" layoutInCell="1" allowOverlap="1">
                <wp:simplePos x="0" y="0"/>
                <wp:positionH relativeFrom="column">
                  <wp:posOffset>22225</wp:posOffset>
                </wp:positionH>
                <wp:positionV relativeFrom="paragraph">
                  <wp:posOffset>59055</wp:posOffset>
                </wp:positionV>
                <wp:extent cx="5659755" cy="635"/>
                <wp:effectExtent l="0" t="0" r="0" b="0"/>
                <wp:wrapNone/>
                <wp:docPr id="1027" name="直线 5"/>
                <wp:cNvGraphicFramePr/>
                <a:graphic xmlns:a="http://schemas.openxmlformats.org/drawingml/2006/main">
                  <a:graphicData uri="http://schemas.microsoft.com/office/word/2010/wordprocessingShape">
                    <wps:wsp>
                      <wps:cNvCnPr/>
                      <wps:spPr>
                        <a:xfrm>
                          <a:off x="0" y="0"/>
                          <a:ext cx="5659755"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5" o:spid="_x0000_s1026" o:spt="20" style="position:absolute;left:0pt;margin-left:1.75pt;margin-top:4.65pt;height:0.05pt;width:445.65pt;z-index:251659264;mso-width-relative:page;mso-height-relative:page;" filled="f" stroked="t" coordsize="21600,21600" o:gfxdata="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KxD4tQA&#10;AAAFAQAADwAAAAAAAAABACAAAAAiAAAAZHJzL2Rvd25yZXYueG1sUEsBAhQAFAAAAAgAh07iQDRz&#10;mOPqAQAA3gMAAA4AAAAAAAAAAQAgAAAAIwEAAGRycy9lMm9Eb2MueG1sUEsFBgAAAAAGAAYAWQEA&#10;AH8FAAAAAA==&#10;">
                <v:fill on="f" focussize="0,0"/>
                <v:stroke color="#000000" joinstyle="round"/>
                <v:imagedata o:title=""/>
                <o:lock v:ext="edit" aspectratio="f"/>
              </v:line>
            </w:pict>
          </mc:Fallback>
        </mc:AlternateContent>
      </w:r>
    </w:p>
    <w:p>
      <w:pPr>
        <w:spacing w:line="360" w:lineRule="auto"/>
        <w:outlineLvl w:val="1"/>
        <w:rPr>
          <w:rFonts w:ascii="宋体" w:hAnsi="宋体"/>
          <w:b/>
          <w:color w:val="auto"/>
          <w:sz w:val="28"/>
          <w:szCs w:val="28"/>
          <w:highlight w:val="none"/>
        </w:rPr>
      </w:pPr>
      <w:r>
        <w:rPr>
          <w:rFonts w:hint="eastAsia" w:ascii="宋体" w:hAnsi="宋体"/>
          <w:b/>
          <w:color w:val="auto"/>
          <w:sz w:val="28"/>
          <w:szCs w:val="28"/>
          <w:highlight w:val="none"/>
        </w:rPr>
        <w:t>采购代理机构：新疆星耀天都项目管理有限责任公司</w:t>
      </w:r>
    </w:p>
    <w:p>
      <w:pPr>
        <w:spacing w:line="360" w:lineRule="auto"/>
        <w:outlineLvl w:val="1"/>
        <w:rPr>
          <w:rFonts w:hint="eastAsia" w:ascii="宋体" w:hAnsi="宋体" w:eastAsia="宋体"/>
          <w:b/>
          <w:color w:val="auto"/>
          <w:sz w:val="28"/>
          <w:szCs w:val="28"/>
          <w:highlight w:val="none"/>
          <w:lang w:eastAsia="zh-CN"/>
        </w:rPr>
      </w:pPr>
      <w:r>
        <w:rPr>
          <w:rFonts w:hint="eastAsia" w:ascii="宋体" w:hAnsi="宋体"/>
          <w:b/>
          <w:color w:val="auto"/>
          <w:spacing w:val="71"/>
          <w:kern w:val="0"/>
          <w:sz w:val="28"/>
          <w:szCs w:val="28"/>
          <w:highlight w:val="none"/>
          <w:fitText w:val="1124" w:id="1"/>
        </w:rPr>
        <w:t>联系</w:t>
      </w:r>
      <w:r>
        <w:rPr>
          <w:rFonts w:hint="eastAsia" w:ascii="宋体" w:hAnsi="宋体"/>
          <w:b/>
          <w:color w:val="auto"/>
          <w:spacing w:val="0"/>
          <w:kern w:val="0"/>
          <w:sz w:val="28"/>
          <w:szCs w:val="28"/>
          <w:highlight w:val="none"/>
          <w:fitText w:val="1124" w:id="1"/>
        </w:rPr>
        <w:t>人</w:t>
      </w:r>
      <w:r>
        <w:rPr>
          <w:rFonts w:hint="eastAsia" w:ascii="宋体" w:hAnsi="宋体"/>
          <w:b/>
          <w:color w:val="auto"/>
          <w:sz w:val="28"/>
          <w:szCs w:val="28"/>
          <w:highlight w:val="none"/>
        </w:rPr>
        <w:t>：</w:t>
      </w:r>
      <w:r>
        <w:rPr>
          <w:rFonts w:hint="eastAsia" w:ascii="宋体" w:hAnsi="宋体"/>
          <w:b/>
          <w:color w:val="auto"/>
          <w:sz w:val="28"/>
          <w:szCs w:val="28"/>
          <w:highlight w:val="none"/>
          <w:lang w:eastAsia="zh-CN"/>
        </w:rPr>
        <w:t>徐乃东</w:t>
      </w:r>
    </w:p>
    <w:p>
      <w:pPr>
        <w:spacing w:line="360" w:lineRule="auto"/>
        <w:outlineLvl w:val="1"/>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联系电话：</w:t>
      </w:r>
      <w:r>
        <w:rPr>
          <w:rFonts w:hint="eastAsia" w:ascii="宋体" w:hAnsi="宋体"/>
          <w:b/>
          <w:color w:val="auto"/>
          <w:sz w:val="28"/>
          <w:szCs w:val="28"/>
          <w:highlight w:val="none"/>
          <w:lang w:eastAsia="zh-CN"/>
        </w:rPr>
        <w:t>15699217207</w:t>
      </w:r>
    </w:p>
    <w:p>
      <w:pPr>
        <w:spacing w:line="360" w:lineRule="auto"/>
        <w:outlineLvl w:val="1"/>
        <w:rPr>
          <w:rFonts w:ascii="宋体" w:hAnsi="宋体"/>
          <w:b/>
          <w:color w:val="auto"/>
          <w:sz w:val="28"/>
          <w:szCs w:val="28"/>
          <w:highlight w:val="none"/>
        </w:rPr>
      </w:pPr>
      <w:r>
        <w:rPr>
          <w:rFonts w:hint="eastAsia" w:ascii="宋体" w:hAnsi="宋体"/>
          <w:b/>
          <w:color w:val="auto"/>
          <w:sz w:val="28"/>
          <w:szCs w:val="28"/>
          <w:highlight w:val="none"/>
        </w:rPr>
        <w:t>联系地址：乌鲁木齐市天山区光明路59号时代广场A座24F</w:t>
      </w:r>
    </w:p>
    <w:p>
      <w:pPr>
        <w:pStyle w:val="38"/>
        <w:rPr>
          <w:rFonts w:hAnsi="宋体" w:cs="宋体"/>
          <w:b/>
          <w:bCs/>
          <w:color w:val="auto"/>
          <w:sz w:val="32"/>
          <w:szCs w:val="32"/>
          <w:highlight w:val="none"/>
        </w:rPr>
      </w:pPr>
    </w:p>
    <w:p>
      <w:pPr>
        <w:pStyle w:val="330"/>
        <w:ind w:firstLine="0"/>
        <w:rPr>
          <w:rFonts w:ascii="宋体"/>
          <w:b/>
          <w:color w:val="auto"/>
          <w:sz w:val="32"/>
          <w:szCs w:val="32"/>
          <w:highlight w:val="none"/>
        </w:rPr>
      </w:pPr>
    </w:p>
    <w:p>
      <w:pPr>
        <w:numPr>
          <w:ilvl w:val="0"/>
          <w:numId w:val="27"/>
        </w:numPr>
        <w:jc w:val="center"/>
        <w:outlineLvl w:val="0"/>
        <w:rPr>
          <w:rFonts w:ascii="宋体"/>
          <w:b/>
          <w:color w:val="auto"/>
          <w:sz w:val="32"/>
          <w:szCs w:val="32"/>
          <w:highlight w:val="none"/>
        </w:rPr>
      </w:pPr>
      <w:r>
        <w:rPr>
          <w:rFonts w:hint="eastAsia" w:ascii="宋体"/>
          <w:b/>
          <w:color w:val="auto"/>
          <w:sz w:val="32"/>
          <w:szCs w:val="32"/>
          <w:highlight w:val="none"/>
        </w:rPr>
        <w:t xml:space="preserve"> 招标公告</w:t>
      </w:r>
    </w:p>
    <w:p>
      <w:pPr>
        <w:pStyle w:val="2"/>
        <w:rPr>
          <w:color w:val="auto"/>
          <w:highlight w:val="none"/>
        </w:rPr>
      </w:pPr>
    </w:p>
    <w:p>
      <w:pPr>
        <w:rPr>
          <w:color w:val="auto"/>
          <w:highlight w:val="none"/>
        </w:rPr>
      </w:pPr>
      <w:r>
        <w:rPr>
          <w:color w:val="auto"/>
          <w:highlight w:val="none"/>
        </w:rPr>
        <mc:AlternateContent>
          <mc:Choice Requires="wps">
            <w:drawing>
              <wp:anchor distT="0" distB="0" distL="0" distR="0" simplePos="0" relativeHeight="251660288" behindDoc="0" locked="0" layoutInCell="1" allowOverlap="1">
                <wp:simplePos x="0" y="0"/>
                <wp:positionH relativeFrom="column">
                  <wp:posOffset>27305</wp:posOffset>
                </wp:positionH>
                <wp:positionV relativeFrom="paragraph">
                  <wp:posOffset>74295</wp:posOffset>
                </wp:positionV>
                <wp:extent cx="6000750" cy="1439545"/>
                <wp:effectExtent l="9525" t="9525" r="9525" b="17780"/>
                <wp:wrapNone/>
                <wp:docPr id="1028" name="文本框 4"/>
                <wp:cNvGraphicFramePr/>
                <a:graphic xmlns:a="http://schemas.openxmlformats.org/drawingml/2006/main">
                  <a:graphicData uri="http://schemas.microsoft.com/office/word/2010/wordprocessingShape">
                    <wps:wsp>
                      <wps:cNvSpPr/>
                      <wps:spPr>
                        <a:xfrm>
                          <a:off x="0" y="0"/>
                          <a:ext cx="6000750" cy="1439545"/>
                        </a:xfrm>
                        <a:prstGeom prst="rect">
                          <a:avLst/>
                        </a:prstGeom>
                        <a:solidFill>
                          <a:srgbClr val="FFFFFF"/>
                        </a:solidFill>
                        <a:ln w="19050" cap="flat" cmpd="sng">
                          <a:solidFill>
                            <a:srgbClr val="00B0F0"/>
                          </a:solidFill>
                          <a:prstDash val="solid"/>
                          <a:miter/>
                          <a:headEnd type="none" w="med" len="med"/>
                          <a:tailEnd type="none" w="med" len="med"/>
                        </a:ln>
                      </wps:spPr>
                      <wps:txbx>
                        <w:txbxContent>
                          <w:p>
                            <w:pPr>
                              <w:pStyle w:val="81"/>
                              <w:spacing w:before="75" w:after="75" w:line="360" w:lineRule="auto"/>
                              <w:rPr>
                                <w:rFonts w:hAnsi="宋体"/>
                                <w:color w:val="000000"/>
                              </w:rPr>
                            </w:pPr>
                            <w:r>
                              <w:rPr>
                                <w:rFonts w:hint="eastAsia" w:hAnsi="宋体"/>
                                <w:color w:val="000000"/>
                              </w:rPr>
                              <w:t>项目概况</w:t>
                            </w:r>
                          </w:p>
                          <w:p>
                            <w:pPr>
                              <w:pStyle w:val="81"/>
                              <w:spacing w:before="75" w:after="75" w:line="360" w:lineRule="auto"/>
                              <w:rPr>
                                <w:rFonts w:hAnsi="宋体"/>
                                <w:color w:val="000000"/>
                              </w:rPr>
                            </w:pPr>
                            <w:r>
                              <w:rPr>
                                <w:rFonts w:hint="eastAsia" w:hAnsi="宋体"/>
                                <w:color w:val="000000"/>
                              </w:rPr>
                              <w:t>新疆维吾尔自治区维吾尔医医院蜂蜜采购项目的潜在投标人应在乌鲁木齐市天山区光明路59号时代广场A座24F</w:t>
                            </w:r>
                            <w:r>
                              <w:rPr>
                                <w:rFonts w:hint="eastAsia" w:hAnsi="宋体"/>
                                <w:color w:val="000000"/>
                                <w:highlight w:val="none"/>
                              </w:rPr>
                              <w:t>获取招标文件，并于</w:t>
                            </w:r>
                            <w:r>
                              <w:rPr>
                                <w:rFonts w:hint="eastAsia" w:hAnsi="宋体"/>
                                <w:color w:val="FF0000"/>
                                <w:highlight w:val="none"/>
                              </w:rPr>
                              <w:t>202</w:t>
                            </w:r>
                            <w:r>
                              <w:rPr>
                                <w:rFonts w:hint="eastAsia" w:hAnsi="宋体"/>
                                <w:color w:val="FF0000"/>
                                <w:highlight w:val="none"/>
                                <w:lang w:val="en-US" w:eastAsia="zh-CN"/>
                              </w:rPr>
                              <w:t>3</w:t>
                            </w:r>
                            <w:r>
                              <w:rPr>
                                <w:rFonts w:hint="eastAsia" w:hAnsi="宋体"/>
                                <w:color w:val="FF0000"/>
                                <w:highlight w:val="none"/>
                              </w:rPr>
                              <w:t>年</w:t>
                            </w:r>
                            <w:r>
                              <w:rPr>
                                <w:rFonts w:hint="eastAsia" w:hAnsi="宋体"/>
                                <w:color w:val="FF0000"/>
                                <w:highlight w:val="none"/>
                                <w:lang w:val="en-US" w:eastAsia="zh-CN"/>
                              </w:rPr>
                              <w:t>03</w:t>
                            </w:r>
                            <w:r>
                              <w:rPr>
                                <w:rFonts w:hint="eastAsia" w:hAnsi="宋体"/>
                                <w:color w:val="FF0000"/>
                                <w:highlight w:val="none"/>
                              </w:rPr>
                              <w:t>月</w:t>
                            </w:r>
                            <w:r>
                              <w:rPr>
                                <w:rFonts w:hint="eastAsia" w:hAnsi="宋体"/>
                                <w:color w:val="FF0000"/>
                                <w:highlight w:val="none"/>
                                <w:lang w:val="en-US" w:eastAsia="zh-CN"/>
                              </w:rPr>
                              <w:t>17</w:t>
                            </w:r>
                            <w:r>
                              <w:rPr>
                                <w:rFonts w:hint="eastAsia" w:hAnsi="宋体"/>
                                <w:color w:val="FF0000"/>
                                <w:highlight w:val="none"/>
                              </w:rPr>
                              <w:t xml:space="preserve"> 日 11:00</w:t>
                            </w:r>
                            <w:r>
                              <w:rPr>
                                <w:rFonts w:hint="eastAsia" w:hAnsi="宋体"/>
                                <w:color w:val="000000"/>
                                <w:highlight w:val="none"/>
                              </w:rPr>
                              <w:t>（北京时间）</w:t>
                            </w:r>
                            <w:r>
                              <w:rPr>
                                <w:rFonts w:hint="eastAsia" w:hAnsi="宋体"/>
                                <w:color w:val="000000"/>
                              </w:rPr>
                              <w:t>前递交投标文件。</w:t>
                            </w:r>
                          </w:p>
                          <w:p>
                            <w:pPr>
                              <w:pStyle w:val="81"/>
                              <w:spacing w:before="75" w:after="75" w:line="360" w:lineRule="auto"/>
                              <w:rPr>
                                <w:rFonts w:hAnsi="宋体"/>
                                <w:color w:val="000000"/>
                              </w:rPr>
                            </w:pPr>
                          </w:p>
                          <w:p/>
                        </w:txbxContent>
                      </wps:txbx>
                      <wps:bodyPr wrap="square" upright="1"/>
                    </wps:wsp>
                  </a:graphicData>
                </a:graphic>
              </wp:anchor>
            </w:drawing>
          </mc:Choice>
          <mc:Fallback>
            <w:pict>
              <v:rect id="文本框 4" o:spid="_x0000_s1026" o:spt="1" style="position:absolute;left:0pt;margin-left:2.15pt;margin-top:5.85pt;height:113.35pt;width:472.5pt;z-index:251660288;mso-width-relative:page;mso-height-relative:page;" fillcolor="#FFFFFF" filled="t" stroked="t" coordsize="21600,21600" o:gfxdata="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fFSLNQAAAAIAQAADwAAAAAA&#10;AAABACAAAAAiAAAAZHJzL2Rvd25yZXYueG1sUEsBAhQAFAAAAAgAh07iQPcwGUsXAgAAPwQAAA4A&#10;AAAAAAAAAQAgAAAAIwEAAGRycy9lMm9Eb2MueG1sUEsFBgAAAAAGAAYAWQEAAKwFAAAAAA==&#10;">
                <v:fill on="t" focussize="0,0"/>
                <v:stroke weight="1.5pt" color="#00B0F0" joinstyle="miter"/>
                <v:imagedata o:title=""/>
                <o:lock v:ext="edit" aspectratio="f"/>
                <v:textbox>
                  <w:txbxContent>
                    <w:p>
                      <w:pPr>
                        <w:pStyle w:val="81"/>
                        <w:spacing w:before="75" w:after="75" w:line="360" w:lineRule="auto"/>
                        <w:rPr>
                          <w:rFonts w:hAnsi="宋体"/>
                          <w:color w:val="000000"/>
                        </w:rPr>
                      </w:pPr>
                      <w:r>
                        <w:rPr>
                          <w:rFonts w:hint="eastAsia" w:hAnsi="宋体"/>
                          <w:color w:val="000000"/>
                        </w:rPr>
                        <w:t>项目概况</w:t>
                      </w:r>
                    </w:p>
                    <w:p>
                      <w:pPr>
                        <w:pStyle w:val="81"/>
                        <w:spacing w:before="75" w:after="75" w:line="360" w:lineRule="auto"/>
                        <w:rPr>
                          <w:rFonts w:hAnsi="宋体"/>
                          <w:color w:val="000000"/>
                        </w:rPr>
                      </w:pPr>
                      <w:r>
                        <w:rPr>
                          <w:rFonts w:hint="eastAsia" w:hAnsi="宋体"/>
                          <w:color w:val="000000"/>
                        </w:rPr>
                        <w:t>新疆维吾尔自治区维吾尔医医院蜂蜜采购项目的潜在投标人应在乌鲁木齐市天山区光明路59号时代广场A座24F</w:t>
                      </w:r>
                      <w:r>
                        <w:rPr>
                          <w:rFonts w:hint="eastAsia" w:hAnsi="宋体"/>
                          <w:color w:val="000000"/>
                          <w:highlight w:val="none"/>
                        </w:rPr>
                        <w:t>获取招标文件，并于</w:t>
                      </w:r>
                      <w:r>
                        <w:rPr>
                          <w:rFonts w:hint="eastAsia" w:hAnsi="宋体"/>
                          <w:color w:val="FF0000"/>
                          <w:highlight w:val="none"/>
                        </w:rPr>
                        <w:t>202</w:t>
                      </w:r>
                      <w:r>
                        <w:rPr>
                          <w:rFonts w:hint="eastAsia" w:hAnsi="宋体"/>
                          <w:color w:val="FF0000"/>
                          <w:highlight w:val="none"/>
                          <w:lang w:val="en-US" w:eastAsia="zh-CN"/>
                        </w:rPr>
                        <w:t>3</w:t>
                      </w:r>
                      <w:r>
                        <w:rPr>
                          <w:rFonts w:hint="eastAsia" w:hAnsi="宋体"/>
                          <w:color w:val="FF0000"/>
                          <w:highlight w:val="none"/>
                        </w:rPr>
                        <w:t>年</w:t>
                      </w:r>
                      <w:r>
                        <w:rPr>
                          <w:rFonts w:hint="eastAsia" w:hAnsi="宋体"/>
                          <w:color w:val="FF0000"/>
                          <w:highlight w:val="none"/>
                          <w:lang w:val="en-US" w:eastAsia="zh-CN"/>
                        </w:rPr>
                        <w:t>03</w:t>
                      </w:r>
                      <w:r>
                        <w:rPr>
                          <w:rFonts w:hint="eastAsia" w:hAnsi="宋体"/>
                          <w:color w:val="FF0000"/>
                          <w:highlight w:val="none"/>
                        </w:rPr>
                        <w:t>月</w:t>
                      </w:r>
                      <w:r>
                        <w:rPr>
                          <w:rFonts w:hint="eastAsia" w:hAnsi="宋体"/>
                          <w:color w:val="FF0000"/>
                          <w:highlight w:val="none"/>
                          <w:lang w:val="en-US" w:eastAsia="zh-CN"/>
                        </w:rPr>
                        <w:t>17</w:t>
                      </w:r>
                      <w:r>
                        <w:rPr>
                          <w:rFonts w:hint="eastAsia" w:hAnsi="宋体"/>
                          <w:color w:val="FF0000"/>
                          <w:highlight w:val="none"/>
                        </w:rPr>
                        <w:t xml:space="preserve"> 日 11:00</w:t>
                      </w:r>
                      <w:r>
                        <w:rPr>
                          <w:rFonts w:hint="eastAsia" w:hAnsi="宋体"/>
                          <w:color w:val="000000"/>
                          <w:highlight w:val="none"/>
                        </w:rPr>
                        <w:t>（北京时间）</w:t>
                      </w:r>
                      <w:r>
                        <w:rPr>
                          <w:rFonts w:hint="eastAsia" w:hAnsi="宋体"/>
                          <w:color w:val="000000"/>
                        </w:rPr>
                        <w:t>前递交投标文件。</w:t>
                      </w:r>
                    </w:p>
                    <w:p>
                      <w:pPr>
                        <w:pStyle w:val="81"/>
                        <w:spacing w:before="75" w:after="75" w:line="360" w:lineRule="auto"/>
                        <w:rPr>
                          <w:rFonts w:hAnsi="宋体"/>
                          <w:color w:val="000000"/>
                        </w:rPr>
                      </w:pPr>
                    </w:p>
                    <w:p/>
                  </w:txbxContent>
                </v:textbox>
              </v:rect>
            </w:pict>
          </mc:Fallback>
        </mc:AlternateConten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pStyle w:val="81"/>
        <w:spacing w:before="255" w:after="255"/>
        <w:jc w:val="both"/>
        <w:outlineLvl w:val="1"/>
        <w:rPr>
          <w:rFonts w:hAnsi="宋体"/>
          <w:color w:val="auto"/>
          <w:sz w:val="27"/>
          <w:szCs w:val="27"/>
          <w:highlight w:val="none"/>
        </w:rPr>
      </w:pPr>
      <w:r>
        <w:rPr>
          <w:rStyle w:val="91"/>
          <w:rFonts w:hint="eastAsia" w:ascii="宋体" w:hAnsi="宋体" w:cs="宋体"/>
          <w:color w:val="auto"/>
          <w:sz w:val="27"/>
          <w:szCs w:val="27"/>
          <w:highlight w:val="none"/>
        </w:rPr>
        <w:t>一、项目基本情况</w:t>
      </w:r>
    </w:p>
    <w:p>
      <w:pPr>
        <w:pStyle w:val="81"/>
        <w:spacing w:before="75" w:after="75" w:line="360" w:lineRule="auto"/>
        <w:ind w:firstLine="420"/>
        <w:rPr>
          <w:rFonts w:hint="eastAsia" w:hAnsi="宋体" w:eastAsia="宋体"/>
          <w:color w:val="auto"/>
          <w:highlight w:val="none"/>
          <w:lang w:eastAsia="zh-CN"/>
        </w:rPr>
      </w:pPr>
      <w:r>
        <w:rPr>
          <w:rFonts w:hint="eastAsia" w:hAnsi="宋体"/>
          <w:color w:val="auto"/>
          <w:highlight w:val="none"/>
        </w:rPr>
        <w:t>项目编号：</w:t>
      </w:r>
      <w:r>
        <w:rPr>
          <w:rFonts w:hint="eastAsia" w:hAnsi="宋体"/>
          <w:color w:val="auto"/>
          <w:highlight w:val="none"/>
          <w:lang w:eastAsia="zh-CN"/>
        </w:rPr>
        <w:t>XYTDZB-GK-2023063</w:t>
      </w:r>
    </w:p>
    <w:p>
      <w:pPr>
        <w:pStyle w:val="81"/>
        <w:spacing w:before="75" w:after="75" w:line="360" w:lineRule="auto"/>
        <w:ind w:firstLine="420"/>
        <w:rPr>
          <w:rFonts w:hint="eastAsia" w:hAnsi="宋体" w:eastAsia="宋体"/>
          <w:color w:val="auto"/>
          <w:highlight w:val="none"/>
          <w:lang w:eastAsia="zh-CN"/>
        </w:rPr>
      </w:pPr>
      <w:r>
        <w:rPr>
          <w:rFonts w:hint="eastAsia" w:hAnsi="宋体"/>
          <w:color w:val="auto"/>
          <w:highlight w:val="none"/>
        </w:rPr>
        <w:t>项目名称：</w:t>
      </w:r>
      <w:r>
        <w:rPr>
          <w:rFonts w:hint="eastAsia" w:hAnsi="宋体"/>
          <w:color w:val="auto"/>
          <w:highlight w:val="none"/>
          <w:lang w:eastAsia="zh-CN"/>
        </w:rPr>
        <w:t>乌鲁木齐市松材线虫病等重大林业有害生物防治能力提升工程建设项目-防治设备及其他实验室设备</w:t>
      </w:r>
    </w:p>
    <w:p>
      <w:pPr>
        <w:pStyle w:val="81"/>
        <w:spacing w:before="75" w:after="75" w:line="360" w:lineRule="auto"/>
        <w:ind w:firstLine="420"/>
        <w:rPr>
          <w:rFonts w:hAnsi="宋体"/>
          <w:color w:val="auto"/>
          <w:highlight w:val="none"/>
        </w:rPr>
      </w:pPr>
      <w:r>
        <w:rPr>
          <w:rFonts w:hint="eastAsia" w:hAnsi="宋体"/>
          <w:color w:val="auto"/>
          <w:highlight w:val="none"/>
        </w:rPr>
        <w:t>采购方式：公开招标</w:t>
      </w:r>
    </w:p>
    <w:p>
      <w:pPr>
        <w:pStyle w:val="81"/>
        <w:spacing w:before="75" w:after="75" w:line="360" w:lineRule="auto"/>
        <w:ind w:firstLine="420"/>
        <w:rPr>
          <w:rFonts w:hAnsi="宋体"/>
          <w:color w:val="auto"/>
          <w:highlight w:val="none"/>
        </w:rPr>
      </w:pPr>
      <w:r>
        <w:rPr>
          <w:rFonts w:hint="eastAsia" w:hAnsi="宋体"/>
          <w:color w:val="auto"/>
          <w:highlight w:val="none"/>
        </w:rPr>
        <w:t>预算金额：</w:t>
      </w:r>
      <w:r>
        <w:rPr>
          <w:rFonts w:hint="eastAsia" w:hAnsi="宋体"/>
          <w:color w:val="auto"/>
          <w:highlight w:val="none"/>
          <w:lang w:eastAsia="zh-CN"/>
        </w:rPr>
        <w:t>172.55</w:t>
      </w:r>
      <w:r>
        <w:rPr>
          <w:rFonts w:hint="eastAsia" w:hAnsi="宋体"/>
          <w:color w:val="auto"/>
          <w:highlight w:val="none"/>
        </w:rPr>
        <w:t xml:space="preserve">万元 </w:t>
      </w:r>
    </w:p>
    <w:p>
      <w:pPr>
        <w:pStyle w:val="81"/>
        <w:spacing w:before="75" w:after="75" w:line="360" w:lineRule="auto"/>
        <w:ind w:firstLine="420"/>
        <w:rPr>
          <w:rFonts w:hint="eastAsia" w:hAnsi="宋体"/>
          <w:color w:val="auto"/>
          <w:highlight w:val="none"/>
          <w:lang w:val="en-US" w:eastAsia="zh-CN"/>
        </w:rPr>
      </w:pPr>
      <w:r>
        <w:rPr>
          <w:rFonts w:hint="eastAsia" w:hAnsi="宋体"/>
          <w:color w:val="auto"/>
          <w:highlight w:val="none"/>
        </w:rPr>
        <w:t>采购需求：</w:t>
      </w:r>
      <w:r>
        <w:rPr>
          <w:rFonts w:hint="eastAsia" w:hAnsi="宋体"/>
          <w:color w:val="auto"/>
          <w:highlight w:val="none"/>
          <w:lang w:val="en-US" w:eastAsia="zh-CN"/>
        </w:rPr>
        <w:t>乌鲁木齐市松材线虫病等重大林业有害生物防治能力提升工程建设项目-防治设备及其他实验室设备（具体采购需求详见招标文件）</w:t>
      </w:r>
    </w:p>
    <w:p>
      <w:pPr>
        <w:pStyle w:val="81"/>
        <w:spacing w:before="75" w:after="75" w:line="360" w:lineRule="auto"/>
        <w:ind w:firstLine="420"/>
        <w:rPr>
          <w:rFonts w:hAnsi="宋体"/>
          <w:color w:val="auto"/>
          <w:highlight w:val="none"/>
        </w:rPr>
      </w:pPr>
      <w:r>
        <w:rPr>
          <w:rFonts w:hint="eastAsia" w:hAnsi="宋体"/>
          <w:color w:val="auto"/>
          <w:highlight w:val="none"/>
        </w:rPr>
        <w:t>合同履约期限：详阅招标文件</w:t>
      </w:r>
    </w:p>
    <w:p>
      <w:pPr>
        <w:pStyle w:val="81"/>
        <w:spacing w:before="75" w:after="75" w:line="360" w:lineRule="auto"/>
        <w:ind w:firstLine="420"/>
        <w:rPr>
          <w:rFonts w:hAnsi="宋体"/>
          <w:color w:val="auto"/>
          <w:highlight w:val="none"/>
        </w:rPr>
      </w:pPr>
      <w:r>
        <w:rPr>
          <w:rFonts w:hint="eastAsia" w:hAnsi="宋体"/>
          <w:color w:val="auto"/>
          <w:highlight w:val="none"/>
        </w:rPr>
        <w:t>本项目（否）接受联合体投标</w:t>
      </w:r>
    </w:p>
    <w:p>
      <w:pPr>
        <w:pStyle w:val="81"/>
        <w:spacing w:before="255" w:after="255" w:line="360" w:lineRule="auto"/>
        <w:jc w:val="both"/>
        <w:outlineLvl w:val="1"/>
        <w:rPr>
          <w:rStyle w:val="91"/>
          <w:rFonts w:hint="eastAsia" w:ascii="宋体" w:hAnsi="宋体" w:cs="宋体"/>
          <w:color w:val="auto"/>
          <w:sz w:val="27"/>
          <w:szCs w:val="27"/>
          <w:highlight w:val="none"/>
        </w:rPr>
      </w:pPr>
      <w:r>
        <w:rPr>
          <w:rStyle w:val="91"/>
          <w:rFonts w:hint="eastAsia" w:ascii="宋体" w:hAnsi="宋体" w:cs="宋体"/>
          <w:color w:val="auto"/>
          <w:sz w:val="27"/>
          <w:szCs w:val="27"/>
          <w:highlight w:val="none"/>
        </w:rPr>
        <w:t>二、申请人的资格要求：</w:t>
      </w:r>
    </w:p>
    <w:p>
      <w:pPr>
        <w:pStyle w:val="81"/>
        <w:spacing w:before="75" w:after="75" w:line="360" w:lineRule="auto"/>
        <w:ind w:left="0" w:leftChars="0" w:firstLine="720" w:firstLineChars="0"/>
        <w:rPr>
          <w:rFonts w:hint="eastAsia" w:hAnsi="宋体"/>
          <w:color w:val="auto"/>
          <w:highlight w:val="none"/>
        </w:rPr>
      </w:pPr>
      <w:r>
        <w:rPr>
          <w:rFonts w:hint="eastAsia" w:hAnsi="宋体"/>
          <w:color w:val="auto"/>
          <w:highlight w:val="none"/>
        </w:rPr>
        <w:t>1.满足《中华人民共和国政府采购法》第二十二条规定；</w:t>
      </w:r>
    </w:p>
    <w:p>
      <w:pPr>
        <w:pStyle w:val="81"/>
        <w:spacing w:before="75" w:after="75" w:line="360" w:lineRule="auto"/>
        <w:ind w:left="0" w:leftChars="0" w:firstLine="720" w:firstLineChars="0"/>
        <w:rPr>
          <w:rFonts w:hint="eastAsia" w:hAnsi="宋体"/>
          <w:color w:val="auto"/>
          <w:highlight w:val="none"/>
        </w:rPr>
      </w:pPr>
      <w:r>
        <w:rPr>
          <w:rFonts w:hint="eastAsia" w:hAnsi="宋体"/>
          <w:color w:val="auto"/>
          <w:highlight w:val="none"/>
        </w:rPr>
        <w:t>（1）具有独立承担民事责任的能力的投标人；</w:t>
      </w:r>
    </w:p>
    <w:p>
      <w:pPr>
        <w:pStyle w:val="81"/>
        <w:spacing w:before="75" w:after="75" w:line="360" w:lineRule="auto"/>
        <w:ind w:left="0" w:leftChars="0" w:firstLine="720" w:firstLineChars="0"/>
        <w:rPr>
          <w:rFonts w:hint="eastAsia" w:hAnsi="宋体"/>
          <w:color w:val="auto"/>
          <w:highlight w:val="none"/>
        </w:rPr>
      </w:pPr>
      <w:r>
        <w:rPr>
          <w:rFonts w:hint="eastAsia" w:hAnsi="宋体"/>
          <w:color w:val="auto"/>
          <w:highlight w:val="none"/>
        </w:rPr>
        <w:t>（2）具有良好的商业信誉和健全的财务会计制度；</w:t>
      </w:r>
    </w:p>
    <w:p>
      <w:pPr>
        <w:pStyle w:val="81"/>
        <w:spacing w:before="75" w:after="75" w:line="360" w:lineRule="auto"/>
        <w:ind w:left="0" w:leftChars="0" w:firstLine="720" w:firstLineChars="0"/>
        <w:rPr>
          <w:rFonts w:hint="eastAsia" w:hAnsi="宋体"/>
          <w:color w:val="auto"/>
          <w:highlight w:val="none"/>
        </w:rPr>
      </w:pPr>
      <w:r>
        <w:rPr>
          <w:rFonts w:hint="eastAsia" w:hAnsi="宋体"/>
          <w:color w:val="auto"/>
          <w:highlight w:val="none"/>
        </w:rPr>
        <w:t>（3）具有履行合同所必需的设备和专业技术能力；</w:t>
      </w:r>
    </w:p>
    <w:p>
      <w:pPr>
        <w:pStyle w:val="81"/>
        <w:spacing w:before="75" w:after="75" w:line="360" w:lineRule="auto"/>
        <w:ind w:left="0" w:leftChars="0" w:firstLine="720" w:firstLineChars="0"/>
        <w:rPr>
          <w:rFonts w:hint="eastAsia" w:hAnsi="宋体"/>
          <w:color w:val="auto"/>
          <w:highlight w:val="none"/>
        </w:rPr>
      </w:pPr>
      <w:r>
        <w:rPr>
          <w:rFonts w:hint="eastAsia" w:hAnsi="宋体"/>
          <w:color w:val="auto"/>
          <w:highlight w:val="none"/>
        </w:rPr>
        <w:t>（4）有依法缴纳税收和社会保障资金的良好记录；</w:t>
      </w:r>
    </w:p>
    <w:p>
      <w:pPr>
        <w:pStyle w:val="81"/>
        <w:spacing w:before="75" w:after="75" w:line="360" w:lineRule="auto"/>
        <w:ind w:left="0" w:leftChars="0" w:firstLine="720" w:firstLineChars="0"/>
        <w:rPr>
          <w:rFonts w:hint="eastAsia" w:hAnsi="宋体"/>
          <w:color w:val="auto"/>
          <w:highlight w:val="none"/>
        </w:rPr>
      </w:pPr>
      <w:r>
        <w:rPr>
          <w:rFonts w:hint="eastAsia" w:hAnsi="宋体"/>
          <w:color w:val="auto"/>
          <w:highlight w:val="none"/>
        </w:rPr>
        <w:t>（5）参加本次采购活动前三年内，在经营活动中没有重大违法记录；</w:t>
      </w:r>
    </w:p>
    <w:p>
      <w:pPr>
        <w:pStyle w:val="81"/>
        <w:spacing w:before="75" w:after="75" w:line="360" w:lineRule="auto"/>
        <w:ind w:left="0" w:leftChars="0" w:firstLine="720" w:firstLineChars="0"/>
        <w:rPr>
          <w:rFonts w:hint="eastAsia" w:hAnsi="宋体"/>
          <w:color w:val="auto"/>
          <w:highlight w:val="none"/>
        </w:rPr>
      </w:pPr>
      <w:r>
        <w:rPr>
          <w:rFonts w:hint="eastAsia" w:hAnsi="宋体"/>
          <w:color w:val="auto"/>
          <w:highlight w:val="none"/>
        </w:rPr>
        <w:t>（6）法律、行政法规规定的其他条件。</w:t>
      </w:r>
    </w:p>
    <w:p>
      <w:pPr>
        <w:pStyle w:val="81"/>
        <w:spacing w:before="75" w:after="75" w:line="360" w:lineRule="auto"/>
        <w:ind w:left="0" w:leftChars="0" w:firstLine="720" w:firstLineChars="0"/>
        <w:rPr>
          <w:rFonts w:hint="eastAsia" w:hAnsi="宋体"/>
          <w:color w:val="auto"/>
          <w:highlight w:val="none"/>
        </w:rPr>
      </w:pPr>
      <w:r>
        <w:rPr>
          <w:rFonts w:hint="eastAsia" w:hAnsi="宋体"/>
          <w:color w:val="auto"/>
          <w:highlight w:val="none"/>
          <w:lang w:val="en-US" w:eastAsia="zh-CN"/>
        </w:rPr>
        <w:t>2.</w:t>
      </w:r>
      <w:r>
        <w:rPr>
          <w:rFonts w:hint="eastAsia" w:hAnsi="宋体"/>
          <w:color w:val="auto"/>
          <w:highlight w:val="none"/>
        </w:rPr>
        <w:t>未被列入“信用中国”网站中的“失信被执行名单”、“重大税收违法失信主体”其中之一，未被列入“中国政府采购网”中的“政府采购严重违法失信行为记录名单”；</w:t>
      </w:r>
    </w:p>
    <w:p>
      <w:pPr>
        <w:pStyle w:val="81"/>
        <w:spacing w:before="75" w:after="75" w:line="360" w:lineRule="auto"/>
        <w:ind w:left="0" w:leftChars="0" w:firstLine="720" w:firstLineChars="0"/>
        <w:rPr>
          <w:rFonts w:hint="default" w:hAnsi="宋体" w:eastAsia="宋体"/>
          <w:color w:val="auto"/>
          <w:highlight w:val="none"/>
          <w:lang w:val="en-US" w:eastAsia="zh-CN"/>
        </w:rPr>
      </w:pPr>
      <w:r>
        <w:rPr>
          <w:rFonts w:hint="eastAsia" w:hAnsi="宋体"/>
          <w:color w:val="auto"/>
          <w:highlight w:val="none"/>
          <w:lang w:val="en-US" w:eastAsia="zh-CN"/>
        </w:rPr>
        <w:t>3.</w:t>
      </w:r>
      <w:r>
        <w:rPr>
          <w:rFonts w:hint="eastAsia" w:hAnsi="宋体"/>
          <w:color w:val="auto"/>
          <w:highlight w:val="none"/>
        </w:rPr>
        <w:t>单位负责人为同一人或者存在直接控股、管理关系的不同投标人，不得参加同一合同项下的政府采购活动。 </w:t>
      </w:r>
    </w:p>
    <w:p>
      <w:pPr>
        <w:pStyle w:val="81"/>
        <w:spacing w:before="75" w:after="75" w:line="360" w:lineRule="auto"/>
        <w:ind w:left="0" w:leftChars="0" w:firstLine="0" w:firstLineChars="0"/>
        <w:rPr>
          <w:rFonts w:hint="eastAsia" w:hAnsi="宋体"/>
          <w:color w:val="auto"/>
          <w:highlight w:val="none"/>
        </w:rPr>
      </w:pPr>
      <w:r>
        <w:rPr>
          <w:rFonts w:hint="eastAsia" w:hAnsi="宋体"/>
          <w:color w:val="auto"/>
          <w:highlight w:val="none"/>
        </w:rPr>
        <w:t xml:space="preserve">    </w:t>
      </w:r>
      <w:r>
        <w:rPr>
          <w:rFonts w:hint="eastAsia" w:hAnsi="宋体"/>
          <w:color w:val="auto"/>
          <w:highlight w:val="none"/>
          <w:lang w:val="en-US" w:eastAsia="zh-CN"/>
        </w:rPr>
        <w:t>4</w:t>
      </w:r>
      <w:r>
        <w:rPr>
          <w:rFonts w:hint="eastAsia" w:hAnsi="宋体"/>
          <w:color w:val="auto"/>
          <w:highlight w:val="none"/>
        </w:rPr>
        <w:t>.落实政府采购政策需满足的资格要求：标项1：供应商为中小企业,本项目为专门面向中小企业（含中型、小型、微型企业） </w:t>
      </w:r>
    </w:p>
    <w:p>
      <w:pPr>
        <w:pStyle w:val="81"/>
        <w:spacing w:before="75" w:after="75" w:line="360" w:lineRule="auto"/>
        <w:ind w:left="0" w:leftChars="0" w:firstLine="720" w:firstLineChars="0"/>
        <w:rPr>
          <w:rFonts w:hint="eastAsia" w:hAnsi="宋体"/>
          <w:color w:val="auto"/>
          <w:highlight w:val="none"/>
        </w:rPr>
      </w:pPr>
      <w:r>
        <w:rPr>
          <w:rFonts w:hint="eastAsia" w:hAnsi="宋体"/>
          <w:color w:val="auto"/>
          <w:highlight w:val="none"/>
          <w:lang w:val="en-US" w:eastAsia="zh-CN"/>
        </w:rPr>
        <w:t>5</w:t>
      </w:r>
      <w:r>
        <w:rPr>
          <w:rFonts w:hint="eastAsia" w:hAnsi="宋体"/>
          <w:color w:val="auto"/>
          <w:highlight w:val="none"/>
        </w:rPr>
        <w:t>.本项目的特定资格要求：</w:t>
      </w:r>
      <w:r>
        <w:rPr>
          <w:rFonts w:hint="eastAsia" w:hAnsi="宋体"/>
          <w:color w:val="auto"/>
          <w:highlight w:val="none"/>
          <w:lang w:eastAsia="zh-CN"/>
        </w:rPr>
        <w:t>无</w:t>
      </w:r>
      <w:r>
        <w:rPr>
          <w:rFonts w:hint="eastAsia" w:hAnsi="宋体"/>
          <w:color w:val="auto"/>
          <w:highlight w:val="none"/>
          <w:lang w:val="en-US" w:eastAsia="zh-CN"/>
        </w:rPr>
        <w:t xml:space="preserve">  </w:t>
      </w:r>
      <w:r>
        <w:rPr>
          <w:rFonts w:hint="eastAsia" w:hAnsi="宋体"/>
          <w:color w:val="auto"/>
          <w:highlight w:val="none"/>
        </w:rPr>
        <w:t>【标项1】</w:t>
      </w:r>
      <w:r>
        <w:rPr>
          <w:rFonts w:hint="eastAsia" w:hAnsi="宋体"/>
          <w:color w:val="auto"/>
          <w:highlight w:val="none"/>
        </w:rPr>
        <w:br w:type="textWrapping"/>
      </w:r>
      <w:r>
        <w:rPr>
          <w:rFonts w:hint="eastAsia" w:hAnsi="宋体"/>
          <w:color w:val="auto"/>
          <w:highlight w:val="none"/>
          <w:lang w:val="en-US" w:eastAsia="zh-CN"/>
        </w:rPr>
        <w:t xml:space="preserve">    </w:t>
      </w:r>
      <w:r>
        <w:rPr>
          <w:rFonts w:hint="eastAsia" w:hAnsi="宋体"/>
          <w:color w:val="auto"/>
          <w:highlight w:val="none"/>
        </w:rPr>
        <w:t> </w:t>
      </w:r>
    </w:p>
    <w:p>
      <w:pPr>
        <w:pStyle w:val="81"/>
        <w:spacing w:before="75" w:after="75" w:line="360" w:lineRule="auto"/>
        <w:ind w:left="0" w:leftChars="0" w:firstLine="0" w:firstLineChars="0"/>
        <w:rPr>
          <w:rFonts w:hint="eastAsia" w:hAnsi="宋体"/>
          <w:b/>
          <w:bCs/>
          <w:color w:val="auto"/>
          <w:highlight w:val="none"/>
        </w:rPr>
      </w:pPr>
      <w:r>
        <w:rPr>
          <w:rFonts w:hint="eastAsia" w:hAnsi="宋体"/>
          <w:b/>
          <w:bCs/>
          <w:color w:val="auto"/>
          <w:highlight w:val="none"/>
        </w:rPr>
        <w:t>三、获取采购文件</w:t>
      </w:r>
    </w:p>
    <w:p>
      <w:pPr>
        <w:pStyle w:val="81"/>
        <w:spacing w:before="75" w:after="75" w:line="360" w:lineRule="auto"/>
        <w:ind w:left="0" w:leftChars="0" w:firstLine="0" w:firstLineChars="0"/>
        <w:rPr>
          <w:rFonts w:hint="eastAsia" w:hAnsi="宋体"/>
          <w:color w:val="auto"/>
          <w:highlight w:val="none"/>
        </w:rPr>
      </w:pPr>
      <w:r>
        <w:rPr>
          <w:rFonts w:hint="eastAsia" w:hAnsi="宋体"/>
          <w:color w:val="auto"/>
          <w:highlight w:val="none"/>
        </w:rPr>
        <w:t>    时间：2023年02月2</w:t>
      </w:r>
      <w:r>
        <w:rPr>
          <w:rFonts w:hint="eastAsia" w:hAnsi="宋体"/>
          <w:color w:val="auto"/>
          <w:highlight w:val="none"/>
          <w:lang w:val="en-US" w:eastAsia="zh-CN"/>
        </w:rPr>
        <w:t>4</w:t>
      </w:r>
      <w:r>
        <w:rPr>
          <w:rFonts w:hint="eastAsia" w:hAnsi="宋体"/>
          <w:color w:val="auto"/>
          <w:highlight w:val="none"/>
        </w:rPr>
        <w:t>日至2023年0</w:t>
      </w:r>
      <w:r>
        <w:rPr>
          <w:rFonts w:hint="eastAsia" w:hAnsi="宋体"/>
          <w:color w:val="auto"/>
          <w:highlight w:val="none"/>
          <w:lang w:val="en-US" w:eastAsia="zh-CN"/>
        </w:rPr>
        <w:t>3</w:t>
      </w:r>
      <w:r>
        <w:rPr>
          <w:rFonts w:hint="eastAsia" w:hAnsi="宋体"/>
          <w:color w:val="auto"/>
          <w:highlight w:val="none"/>
        </w:rPr>
        <w:t>月</w:t>
      </w:r>
      <w:r>
        <w:rPr>
          <w:rFonts w:hint="eastAsia" w:hAnsi="宋体"/>
          <w:color w:val="auto"/>
          <w:highlight w:val="none"/>
          <w:lang w:val="en-US" w:eastAsia="zh-CN"/>
        </w:rPr>
        <w:t>03</w:t>
      </w:r>
      <w:r>
        <w:rPr>
          <w:rFonts w:hint="eastAsia" w:hAnsi="宋体"/>
          <w:color w:val="auto"/>
          <w:highlight w:val="none"/>
        </w:rPr>
        <w:t>日，每天上午</w:t>
      </w:r>
      <w:r>
        <w:rPr>
          <w:rFonts w:hint="eastAsia" w:hAnsi="宋体"/>
          <w:color w:val="auto"/>
          <w:highlight w:val="none"/>
          <w:lang w:val="en-US" w:eastAsia="zh-CN"/>
        </w:rPr>
        <w:t>0</w:t>
      </w:r>
      <w:r>
        <w:rPr>
          <w:rFonts w:hint="eastAsia" w:hAnsi="宋体"/>
          <w:color w:val="auto"/>
          <w:highlight w:val="none"/>
        </w:rPr>
        <w:t>0:00至13:30，下午1</w:t>
      </w:r>
      <w:r>
        <w:rPr>
          <w:rFonts w:hint="eastAsia" w:hAnsi="宋体"/>
          <w:color w:val="auto"/>
          <w:highlight w:val="none"/>
          <w:lang w:val="en-US" w:eastAsia="zh-CN"/>
        </w:rPr>
        <w:t>3</w:t>
      </w:r>
      <w:r>
        <w:rPr>
          <w:rFonts w:hint="eastAsia" w:hAnsi="宋体"/>
          <w:color w:val="auto"/>
          <w:highlight w:val="none"/>
        </w:rPr>
        <w:t>:30至</w:t>
      </w:r>
      <w:r>
        <w:rPr>
          <w:rFonts w:hint="eastAsia" w:hAnsi="宋体"/>
          <w:color w:val="auto"/>
          <w:highlight w:val="none"/>
          <w:lang w:val="en-US" w:eastAsia="zh-CN"/>
        </w:rPr>
        <w:t>23</w:t>
      </w:r>
      <w:r>
        <w:rPr>
          <w:rFonts w:hint="eastAsia" w:hAnsi="宋体"/>
          <w:color w:val="auto"/>
          <w:highlight w:val="none"/>
        </w:rPr>
        <w:t>:</w:t>
      </w:r>
      <w:r>
        <w:rPr>
          <w:rFonts w:hint="eastAsia" w:hAnsi="宋体"/>
          <w:color w:val="auto"/>
          <w:highlight w:val="none"/>
          <w:lang w:val="en-US" w:eastAsia="zh-CN"/>
        </w:rPr>
        <w:t>59</w:t>
      </w:r>
      <w:r>
        <w:rPr>
          <w:rFonts w:hint="eastAsia" w:hAnsi="宋体"/>
          <w:color w:val="auto"/>
          <w:highlight w:val="none"/>
        </w:rPr>
        <w:t>（北京时间，法定节假日除外）</w:t>
      </w:r>
    </w:p>
    <w:p>
      <w:pPr>
        <w:pStyle w:val="81"/>
        <w:spacing w:before="75" w:after="75" w:line="360" w:lineRule="auto"/>
        <w:ind w:left="0" w:leftChars="0" w:firstLine="0" w:firstLineChars="0"/>
        <w:rPr>
          <w:rFonts w:hint="eastAsia" w:hAnsi="宋体"/>
          <w:color w:val="auto"/>
          <w:highlight w:val="none"/>
        </w:rPr>
      </w:pPr>
      <w:r>
        <w:rPr>
          <w:rFonts w:hint="eastAsia" w:hAnsi="宋体"/>
          <w:color w:val="auto"/>
          <w:highlight w:val="none"/>
        </w:rPr>
        <w:t>    地点：政采云平台https://www.zcygov.cn/  </w:t>
      </w:r>
    </w:p>
    <w:p>
      <w:pPr>
        <w:pStyle w:val="81"/>
        <w:spacing w:before="75" w:after="75" w:line="360" w:lineRule="auto"/>
        <w:ind w:left="0" w:leftChars="0" w:firstLine="0" w:firstLineChars="0"/>
        <w:rPr>
          <w:rFonts w:hint="eastAsia" w:hAnsi="宋体"/>
          <w:color w:val="auto"/>
          <w:highlight w:val="none"/>
        </w:rPr>
      </w:pPr>
      <w:r>
        <w:rPr>
          <w:rFonts w:hint="eastAsia" w:hAnsi="宋体"/>
          <w:color w:val="auto"/>
          <w:highlight w:val="none"/>
        </w:rPr>
        <w:t>    方式：线上获取。供应商登录政采云平台https://www.zcygov.cn/在线申请获取招标文件（进入“项目采购”应用，在获取招标文件菜单中选择项目，申请获取招标文件）  </w:t>
      </w:r>
    </w:p>
    <w:p>
      <w:pPr>
        <w:pStyle w:val="81"/>
        <w:spacing w:before="75" w:after="75" w:line="360" w:lineRule="auto"/>
        <w:ind w:left="0" w:leftChars="0" w:firstLine="0" w:firstLineChars="0"/>
        <w:rPr>
          <w:rFonts w:hint="eastAsia" w:hAnsi="宋体"/>
          <w:color w:val="auto"/>
          <w:highlight w:val="none"/>
        </w:rPr>
      </w:pPr>
      <w:r>
        <w:rPr>
          <w:rFonts w:hint="eastAsia" w:hAnsi="宋体"/>
          <w:color w:val="auto"/>
          <w:highlight w:val="none"/>
        </w:rPr>
        <w:t>    售价（元）：0 </w:t>
      </w:r>
    </w:p>
    <w:p>
      <w:pPr>
        <w:pStyle w:val="81"/>
        <w:spacing w:before="255" w:after="255" w:line="360" w:lineRule="auto"/>
        <w:jc w:val="both"/>
        <w:outlineLvl w:val="1"/>
        <w:rPr>
          <w:rFonts w:hAnsi="宋体"/>
          <w:color w:val="auto"/>
          <w:sz w:val="27"/>
          <w:szCs w:val="27"/>
          <w:highlight w:val="none"/>
        </w:rPr>
      </w:pPr>
      <w:r>
        <w:rPr>
          <w:rStyle w:val="91"/>
          <w:rFonts w:hint="eastAsia" w:ascii="宋体" w:hAnsi="宋体" w:cs="宋体"/>
          <w:color w:val="auto"/>
          <w:sz w:val="27"/>
          <w:szCs w:val="27"/>
          <w:highlight w:val="none"/>
        </w:rPr>
        <w:t>四、提交投标文件截止时间、开标时间和地点</w:t>
      </w:r>
    </w:p>
    <w:p>
      <w:pPr>
        <w:pStyle w:val="81"/>
        <w:spacing w:before="75" w:after="75" w:line="360" w:lineRule="auto"/>
        <w:ind w:firstLine="420"/>
        <w:rPr>
          <w:rFonts w:hAnsi="宋体"/>
          <w:color w:val="auto"/>
          <w:highlight w:val="none"/>
        </w:rPr>
      </w:pPr>
      <w:r>
        <w:rPr>
          <w:rFonts w:hint="eastAsia" w:hAnsi="宋体"/>
          <w:color w:val="auto"/>
          <w:highlight w:val="none"/>
        </w:rPr>
        <w:t>提交投标文件截止时间：</w:t>
      </w:r>
      <w:r>
        <w:rPr>
          <w:rFonts w:hint="eastAsia" w:hAnsi="宋体"/>
          <w:color w:val="auto"/>
          <w:highlight w:val="none"/>
          <w:lang w:eastAsia="zh-CN"/>
        </w:rPr>
        <w:t xml:space="preserve"> 2023年</w:t>
      </w:r>
      <w:r>
        <w:rPr>
          <w:rFonts w:hint="eastAsia" w:hAnsi="宋体"/>
          <w:color w:val="auto"/>
          <w:highlight w:val="none"/>
          <w:lang w:val="en-US" w:eastAsia="zh-CN"/>
        </w:rPr>
        <w:t>03</w:t>
      </w:r>
      <w:r>
        <w:rPr>
          <w:rFonts w:hint="eastAsia" w:hAnsi="宋体"/>
          <w:color w:val="auto"/>
          <w:highlight w:val="none"/>
        </w:rPr>
        <w:t>月</w:t>
      </w:r>
      <w:r>
        <w:rPr>
          <w:rFonts w:hint="eastAsia" w:hAnsi="宋体"/>
          <w:color w:val="auto"/>
          <w:highlight w:val="none"/>
          <w:lang w:val="en-US" w:eastAsia="zh-CN"/>
        </w:rPr>
        <w:t>17日</w:t>
      </w:r>
      <w:r>
        <w:rPr>
          <w:rFonts w:hint="eastAsia" w:hAnsi="宋体"/>
          <w:color w:val="auto"/>
          <w:highlight w:val="none"/>
        </w:rPr>
        <w:t xml:space="preserve">  </w:t>
      </w:r>
      <w:r>
        <w:rPr>
          <w:rFonts w:hAnsi="宋体"/>
          <w:color w:val="auto"/>
          <w:highlight w:val="none"/>
        </w:rPr>
        <w:t>11</w:t>
      </w:r>
      <w:r>
        <w:rPr>
          <w:rFonts w:hint="eastAsia" w:hAnsi="宋体"/>
          <w:color w:val="auto"/>
          <w:highlight w:val="none"/>
        </w:rPr>
        <w:t xml:space="preserve"> :00（北京时间）</w:t>
      </w:r>
    </w:p>
    <w:p>
      <w:pPr>
        <w:pStyle w:val="81"/>
        <w:spacing w:before="75" w:after="75" w:line="360" w:lineRule="auto"/>
        <w:ind w:firstLine="420"/>
        <w:rPr>
          <w:rFonts w:hAnsi="宋体"/>
          <w:color w:val="auto"/>
          <w:highlight w:val="none"/>
        </w:rPr>
      </w:pPr>
      <w:r>
        <w:rPr>
          <w:rFonts w:hint="eastAsia" w:hAnsi="宋体"/>
          <w:color w:val="auto"/>
          <w:highlight w:val="none"/>
        </w:rPr>
        <w:t>投标地点：乌鲁木齐市天山区光明路59号时代广场A座24F</w:t>
      </w:r>
    </w:p>
    <w:p>
      <w:pPr>
        <w:pStyle w:val="81"/>
        <w:spacing w:before="75" w:after="75" w:line="360" w:lineRule="auto"/>
        <w:ind w:firstLine="420"/>
        <w:rPr>
          <w:rFonts w:hAnsi="宋体"/>
          <w:color w:val="auto"/>
          <w:highlight w:val="none"/>
        </w:rPr>
      </w:pPr>
      <w:r>
        <w:rPr>
          <w:rFonts w:hint="eastAsia" w:hAnsi="宋体"/>
          <w:color w:val="auto"/>
          <w:highlight w:val="none"/>
        </w:rPr>
        <w:t>开标时间：</w:t>
      </w:r>
      <w:r>
        <w:rPr>
          <w:rFonts w:hint="eastAsia" w:hAnsi="宋体"/>
          <w:color w:val="auto"/>
          <w:highlight w:val="none"/>
          <w:lang w:eastAsia="zh-CN"/>
        </w:rPr>
        <w:t xml:space="preserve"> 2023年</w:t>
      </w:r>
      <w:r>
        <w:rPr>
          <w:rFonts w:hint="eastAsia" w:hAnsi="宋体"/>
          <w:color w:val="auto"/>
          <w:highlight w:val="none"/>
          <w:lang w:val="en-US" w:eastAsia="zh-CN"/>
        </w:rPr>
        <w:t>03</w:t>
      </w:r>
      <w:r>
        <w:rPr>
          <w:rFonts w:hint="eastAsia" w:hAnsi="宋体"/>
          <w:color w:val="auto"/>
          <w:highlight w:val="none"/>
        </w:rPr>
        <w:t xml:space="preserve"> 月 </w:t>
      </w:r>
      <w:r>
        <w:rPr>
          <w:rFonts w:hint="eastAsia" w:hAnsi="宋体"/>
          <w:color w:val="auto"/>
          <w:highlight w:val="none"/>
          <w:lang w:val="en-US" w:eastAsia="zh-CN"/>
        </w:rPr>
        <w:t>17日</w:t>
      </w:r>
      <w:r>
        <w:rPr>
          <w:rFonts w:hint="eastAsia" w:hAnsi="宋体"/>
          <w:color w:val="auto"/>
          <w:highlight w:val="none"/>
        </w:rPr>
        <w:t xml:space="preserve">  </w:t>
      </w:r>
      <w:r>
        <w:rPr>
          <w:rFonts w:hAnsi="宋体"/>
          <w:color w:val="auto"/>
          <w:highlight w:val="none"/>
        </w:rPr>
        <w:t>11</w:t>
      </w:r>
      <w:r>
        <w:rPr>
          <w:rFonts w:hint="eastAsia" w:hAnsi="宋体"/>
          <w:color w:val="auto"/>
          <w:highlight w:val="none"/>
        </w:rPr>
        <w:t xml:space="preserve"> :00（北京时间）</w:t>
      </w:r>
    </w:p>
    <w:p>
      <w:pPr>
        <w:pStyle w:val="81"/>
        <w:spacing w:before="75" w:after="75" w:line="360" w:lineRule="auto"/>
        <w:ind w:firstLine="420"/>
        <w:rPr>
          <w:rFonts w:hAnsi="宋体"/>
          <w:color w:val="auto"/>
          <w:highlight w:val="none"/>
        </w:rPr>
      </w:pPr>
      <w:r>
        <w:rPr>
          <w:rFonts w:hint="eastAsia" w:hAnsi="宋体"/>
          <w:color w:val="auto"/>
          <w:highlight w:val="none"/>
        </w:rPr>
        <w:t>开标地点：乌鲁木齐市天山区光明路59号时代广场A座24F</w:t>
      </w:r>
    </w:p>
    <w:p>
      <w:pPr>
        <w:pStyle w:val="81"/>
        <w:spacing w:before="255" w:after="255" w:line="360" w:lineRule="auto"/>
        <w:jc w:val="both"/>
        <w:outlineLvl w:val="1"/>
        <w:rPr>
          <w:rFonts w:hAnsi="宋体"/>
          <w:color w:val="auto"/>
          <w:sz w:val="31"/>
          <w:szCs w:val="31"/>
          <w:highlight w:val="none"/>
        </w:rPr>
      </w:pPr>
      <w:r>
        <w:rPr>
          <w:rStyle w:val="91"/>
          <w:rFonts w:hint="eastAsia" w:ascii="宋体" w:hAnsi="宋体" w:cs="宋体"/>
          <w:color w:val="auto"/>
          <w:sz w:val="27"/>
          <w:szCs w:val="27"/>
          <w:highlight w:val="none"/>
        </w:rPr>
        <w:t>五、公告期限</w:t>
      </w:r>
    </w:p>
    <w:p>
      <w:pPr>
        <w:pStyle w:val="81"/>
        <w:spacing w:before="75" w:after="75" w:line="360" w:lineRule="auto"/>
        <w:ind w:firstLine="420"/>
        <w:rPr>
          <w:rFonts w:hAnsi="宋体"/>
          <w:color w:val="auto"/>
          <w:highlight w:val="none"/>
        </w:rPr>
      </w:pPr>
      <w:r>
        <w:rPr>
          <w:rFonts w:hint="eastAsia" w:hAnsi="宋体"/>
          <w:color w:val="auto"/>
          <w:highlight w:val="none"/>
        </w:rPr>
        <w:t>自本公告发布之日起5个工作日。</w:t>
      </w:r>
    </w:p>
    <w:p>
      <w:pPr>
        <w:pStyle w:val="81"/>
        <w:spacing w:before="255" w:after="255" w:line="360" w:lineRule="auto"/>
        <w:jc w:val="both"/>
        <w:outlineLvl w:val="1"/>
        <w:rPr>
          <w:rFonts w:hAnsi="宋体"/>
          <w:color w:val="auto"/>
          <w:sz w:val="27"/>
          <w:szCs w:val="27"/>
          <w:highlight w:val="none"/>
        </w:rPr>
      </w:pPr>
      <w:r>
        <w:rPr>
          <w:rStyle w:val="91"/>
          <w:rFonts w:hint="eastAsia" w:ascii="宋体" w:hAnsi="宋体" w:cs="宋体"/>
          <w:color w:val="auto"/>
          <w:sz w:val="27"/>
          <w:szCs w:val="27"/>
          <w:highlight w:val="none"/>
        </w:rPr>
        <w:t>六、其他补充事宜</w:t>
      </w:r>
    </w:p>
    <w:p>
      <w:pPr>
        <w:pStyle w:val="81"/>
        <w:spacing w:before="255" w:after="255" w:line="360" w:lineRule="auto"/>
        <w:ind w:firstLine="480" w:firstLineChars="200"/>
        <w:jc w:val="both"/>
        <w:rPr>
          <w:rFonts w:hint="default" w:hAnsi="宋体" w:eastAsia="宋体"/>
          <w:color w:val="auto"/>
          <w:highlight w:val="none"/>
          <w:lang w:val="en-US" w:eastAsia="zh-CN"/>
        </w:rPr>
      </w:pPr>
      <w:r>
        <w:rPr>
          <w:rFonts w:hint="eastAsia" w:hAnsi="宋体"/>
          <w:color w:val="auto"/>
          <w:highlight w:val="none"/>
          <w:lang w:val="en-US" w:eastAsia="zh-CN"/>
        </w:rPr>
        <w:t>/</w:t>
      </w:r>
    </w:p>
    <w:p>
      <w:pPr>
        <w:pStyle w:val="81"/>
        <w:spacing w:before="255" w:after="255" w:line="360" w:lineRule="auto"/>
        <w:jc w:val="both"/>
        <w:outlineLvl w:val="1"/>
        <w:rPr>
          <w:rFonts w:hAnsi="宋体"/>
          <w:color w:val="auto"/>
          <w:sz w:val="31"/>
          <w:szCs w:val="31"/>
          <w:highlight w:val="none"/>
        </w:rPr>
      </w:pPr>
      <w:r>
        <w:rPr>
          <w:rStyle w:val="91"/>
          <w:rFonts w:hint="eastAsia" w:ascii="宋体" w:hAnsi="宋体" w:cs="宋体"/>
          <w:color w:val="auto"/>
          <w:sz w:val="27"/>
          <w:szCs w:val="27"/>
          <w:highlight w:val="none"/>
        </w:rPr>
        <w:t>七、对本次采购提出询问，请按以下方式联系</w:t>
      </w:r>
    </w:p>
    <w:p>
      <w:pPr>
        <w:pStyle w:val="81"/>
        <w:spacing w:before="75" w:after="75" w:line="360" w:lineRule="auto"/>
        <w:ind w:firstLine="420"/>
        <w:outlineLvl w:val="2"/>
        <w:rPr>
          <w:rFonts w:hAnsi="宋体"/>
          <w:color w:val="auto"/>
          <w:highlight w:val="none"/>
        </w:rPr>
      </w:pPr>
      <w:r>
        <w:rPr>
          <w:rFonts w:hint="eastAsia" w:hAnsi="宋体"/>
          <w:color w:val="auto"/>
          <w:highlight w:val="none"/>
        </w:rPr>
        <w:t>1.采购人信息</w:t>
      </w:r>
    </w:p>
    <w:p>
      <w:pPr>
        <w:pStyle w:val="81"/>
        <w:spacing w:before="75" w:after="75" w:line="360" w:lineRule="auto"/>
        <w:ind w:firstLine="420"/>
        <w:rPr>
          <w:rStyle w:val="98"/>
          <w:rFonts w:hint="eastAsia" w:hAnsi="宋体" w:eastAsia="宋体" w:cs="宋体"/>
          <w:color w:val="auto"/>
          <w:highlight w:val="none"/>
          <w:lang w:eastAsia="zh-CN"/>
        </w:rPr>
      </w:pPr>
      <w:r>
        <w:rPr>
          <w:rFonts w:hint="eastAsia" w:hAnsi="宋体"/>
          <w:color w:val="auto"/>
          <w:highlight w:val="none"/>
        </w:rPr>
        <w:t>名 称：</w:t>
      </w:r>
      <w:r>
        <w:rPr>
          <w:rFonts w:hint="eastAsia" w:hAnsi="宋体"/>
          <w:color w:val="auto"/>
          <w:highlight w:val="none"/>
          <w:lang w:eastAsia="zh-CN"/>
        </w:rPr>
        <w:t>乌鲁木齐市林业有害生物防治检疫站（乌鲁木齐市草原监理站）</w:t>
      </w:r>
    </w:p>
    <w:p>
      <w:pPr>
        <w:pStyle w:val="81"/>
        <w:spacing w:before="75" w:after="75" w:line="360" w:lineRule="auto"/>
        <w:ind w:firstLine="420"/>
        <w:rPr>
          <w:rFonts w:hint="eastAsia" w:hAnsi="宋体" w:eastAsia="宋体"/>
          <w:color w:val="auto"/>
          <w:highlight w:val="none"/>
          <w:lang w:eastAsia="zh-CN"/>
        </w:rPr>
      </w:pPr>
      <w:r>
        <w:rPr>
          <w:rFonts w:hint="eastAsia" w:hAnsi="宋体"/>
          <w:color w:val="auto"/>
          <w:highlight w:val="none"/>
        </w:rPr>
        <w:t>地 址：</w:t>
      </w:r>
      <w:r>
        <w:rPr>
          <w:rFonts w:hint="eastAsia" w:hAnsi="宋体"/>
          <w:color w:val="auto"/>
          <w:highlight w:val="none"/>
          <w:lang w:eastAsia="zh-CN"/>
        </w:rPr>
        <w:t>南站货场东路54号</w:t>
      </w:r>
    </w:p>
    <w:p>
      <w:pPr>
        <w:pStyle w:val="81"/>
        <w:spacing w:before="75" w:after="75" w:line="360" w:lineRule="auto"/>
        <w:ind w:firstLine="420"/>
        <w:rPr>
          <w:rFonts w:hint="default" w:hAnsi="宋体" w:eastAsia="宋体"/>
          <w:color w:val="auto"/>
          <w:highlight w:val="none"/>
          <w:lang w:val="en-US" w:eastAsia="zh-CN"/>
        </w:rPr>
      </w:pPr>
      <w:r>
        <w:rPr>
          <w:rFonts w:hint="eastAsia" w:hAnsi="宋体"/>
          <w:color w:val="auto"/>
          <w:highlight w:val="none"/>
        </w:rPr>
        <w:t>联系方式：</w:t>
      </w:r>
      <w:r>
        <w:rPr>
          <w:rFonts w:hint="eastAsia" w:hAnsi="宋体"/>
          <w:color w:val="auto"/>
          <w:highlight w:val="none"/>
          <w:lang w:val="en-US" w:eastAsia="zh-CN"/>
        </w:rPr>
        <w:t>18599001122</w:t>
      </w:r>
    </w:p>
    <w:p>
      <w:pPr>
        <w:pStyle w:val="81"/>
        <w:spacing w:before="75" w:after="75" w:line="360" w:lineRule="auto"/>
        <w:ind w:firstLine="420"/>
        <w:outlineLvl w:val="2"/>
        <w:rPr>
          <w:rFonts w:hAnsi="宋体"/>
          <w:color w:val="auto"/>
          <w:highlight w:val="none"/>
        </w:rPr>
      </w:pPr>
      <w:r>
        <w:rPr>
          <w:rFonts w:hint="eastAsia" w:hAnsi="宋体"/>
          <w:color w:val="auto"/>
          <w:highlight w:val="none"/>
        </w:rPr>
        <w:t>2.采购代理机构信息</w:t>
      </w:r>
    </w:p>
    <w:p>
      <w:pPr>
        <w:pStyle w:val="81"/>
        <w:spacing w:before="75" w:after="75" w:line="360" w:lineRule="auto"/>
        <w:ind w:firstLine="420"/>
        <w:rPr>
          <w:rFonts w:hAnsi="宋体"/>
          <w:color w:val="auto"/>
          <w:highlight w:val="none"/>
        </w:rPr>
      </w:pPr>
      <w:r>
        <w:rPr>
          <w:rFonts w:hint="eastAsia" w:hAnsi="宋体"/>
          <w:color w:val="auto"/>
          <w:highlight w:val="none"/>
        </w:rPr>
        <w:t>名 称：新疆星耀天都项目管理有限责任公司</w:t>
      </w:r>
    </w:p>
    <w:p>
      <w:pPr>
        <w:pStyle w:val="81"/>
        <w:spacing w:before="75" w:after="75" w:line="360" w:lineRule="auto"/>
        <w:ind w:firstLine="420"/>
        <w:rPr>
          <w:rFonts w:hAnsi="宋体"/>
          <w:color w:val="auto"/>
          <w:highlight w:val="none"/>
        </w:rPr>
      </w:pPr>
      <w:r>
        <w:rPr>
          <w:rFonts w:hint="eastAsia" w:hAnsi="宋体"/>
          <w:color w:val="auto"/>
          <w:highlight w:val="none"/>
        </w:rPr>
        <w:t>地 址：乌鲁木齐市天山区光明路59号时代广场A座24F</w:t>
      </w:r>
    </w:p>
    <w:p>
      <w:pPr>
        <w:pStyle w:val="81"/>
        <w:spacing w:before="75" w:after="75" w:line="360" w:lineRule="auto"/>
        <w:ind w:firstLine="420"/>
        <w:rPr>
          <w:rFonts w:hAnsi="宋体"/>
          <w:color w:val="auto"/>
          <w:highlight w:val="none"/>
        </w:rPr>
      </w:pPr>
      <w:r>
        <w:rPr>
          <w:rFonts w:hint="eastAsia" w:hAnsi="宋体"/>
          <w:color w:val="auto"/>
          <w:highlight w:val="none"/>
        </w:rPr>
        <w:t>联系方式：0991-3265858</w:t>
      </w:r>
    </w:p>
    <w:p>
      <w:pPr>
        <w:pStyle w:val="81"/>
        <w:spacing w:before="75" w:after="75" w:line="360" w:lineRule="auto"/>
        <w:ind w:firstLine="420"/>
        <w:outlineLvl w:val="2"/>
        <w:rPr>
          <w:rFonts w:hAnsi="宋体"/>
          <w:color w:val="auto"/>
          <w:highlight w:val="none"/>
        </w:rPr>
      </w:pPr>
      <w:r>
        <w:rPr>
          <w:rFonts w:hint="eastAsia" w:hAnsi="宋体"/>
          <w:color w:val="auto"/>
          <w:highlight w:val="none"/>
        </w:rPr>
        <w:t>3.项目联系方式</w:t>
      </w:r>
    </w:p>
    <w:p>
      <w:pPr>
        <w:pStyle w:val="81"/>
        <w:spacing w:before="75" w:after="75" w:line="360" w:lineRule="auto"/>
        <w:ind w:firstLine="420"/>
        <w:rPr>
          <w:rFonts w:hint="eastAsia" w:hAnsi="宋体" w:eastAsia="宋体"/>
          <w:color w:val="auto"/>
          <w:highlight w:val="none"/>
          <w:lang w:eastAsia="zh-CN"/>
        </w:rPr>
      </w:pPr>
      <w:r>
        <w:rPr>
          <w:rFonts w:hint="eastAsia" w:hAnsi="宋体"/>
          <w:color w:val="auto"/>
          <w:highlight w:val="none"/>
        </w:rPr>
        <w:t>项目联系人：</w:t>
      </w:r>
      <w:r>
        <w:rPr>
          <w:rFonts w:hint="eastAsia" w:hAnsi="宋体"/>
          <w:color w:val="auto"/>
          <w:highlight w:val="none"/>
          <w:lang w:eastAsia="zh-CN"/>
        </w:rPr>
        <w:t>徐乃东</w:t>
      </w:r>
    </w:p>
    <w:p>
      <w:pPr>
        <w:pStyle w:val="81"/>
        <w:spacing w:before="75" w:after="75" w:line="360" w:lineRule="auto"/>
        <w:ind w:firstLine="420"/>
        <w:rPr>
          <w:rFonts w:hint="eastAsia" w:hAnsi="宋体" w:eastAsia="宋体"/>
          <w:color w:val="auto"/>
          <w:highlight w:val="none"/>
          <w:lang w:eastAsia="zh-CN"/>
        </w:rPr>
      </w:pPr>
      <w:r>
        <w:rPr>
          <w:rFonts w:hint="eastAsia" w:hAnsi="宋体"/>
          <w:color w:val="auto"/>
          <w:highlight w:val="none"/>
        </w:rPr>
        <w:t>电 话：</w:t>
      </w:r>
      <w:r>
        <w:rPr>
          <w:rFonts w:hint="eastAsia" w:hAnsi="宋体"/>
          <w:color w:val="auto"/>
          <w:highlight w:val="none"/>
          <w:lang w:eastAsia="zh-CN"/>
        </w:rPr>
        <w:t>15699217207</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jc w:val="center"/>
        <w:outlineLvl w:val="0"/>
        <w:rPr>
          <w:rFonts w:ascii="宋体"/>
          <w:b/>
          <w:color w:val="auto"/>
          <w:sz w:val="28"/>
          <w:szCs w:val="28"/>
          <w:highlight w:val="none"/>
        </w:rPr>
      </w:pPr>
      <w:bookmarkStart w:id="0" w:name="_Toc501639723"/>
      <w:r>
        <w:rPr>
          <w:rFonts w:hint="eastAsia" w:ascii="宋体"/>
          <w:b/>
          <w:color w:val="auto"/>
          <w:sz w:val="32"/>
          <w:szCs w:val="32"/>
          <w:highlight w:val="none"/>
        </w:rPr>
        <w:br w:type="page"/>
      </w:r>
      <w:r>
        <w:rPr>
          <w:rFonts w:hint="eastAsia" w:ascii="宋体"/>
          <w:b/>
          <w:color w:val="auto"/>
          <w:sz w:val="32"/>
          <w:szCs w:val="32"/>
          <w:highlight w:val="none"/>
        </w:rPr>
        <w:t xml:space="preserve">第二章  </w:t>
      </w:r>
      <w:r>
        <w:rPr>
          <w:rFonts w:hint="eastAsia" w:ascii="宋体"/>
          <w:b/>
          <w:color w:val="auto"/>
          <w:sz w:val="28"/>
          <w:szCs w:val="28"/>
          <w:highlight w:val="none"/>
        </w:rPr>
        <w:t>投标人须知前附表</w:t>
      </w:r>
    </w:p>
    <w:p>
      <w:pPr>
        <w:spacing w:line="360" w:lineRule="auto"/>
        <w:rPr>
          <w:rFonts w:ascii="宋体"/>
          <w:color w:val="auto"/>
          <w:sz w:val="24"/>
          <w:highlight w:val="none"/>
        </w:rPr>
      </w:pPr>
      <w:r>
        <w:rPr>
          <w:rFonts w:hint="eastAsia" w:ascii="宋体"/>
          <w:color w:val="auto"/>
          <w:sz w:val="24"/>
          <w:highlight w:val="none"/>
        </w:rPr>
        <w:t xml:space="preserve">    本表是关于要采购货物的具体资料，是对第三章投标人须知的具体补充和修改，如有矛盾，应以本前附表为准。</w:t>
      </w:r>
    </w:p>
    <w:bookmarkEnd w:id="0"/>
    <w:tbl>
      <w:tblPr>
        <w:tblStyle w:val="88"/>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905"/>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blHeader/>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项号</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项 目</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fldChar w:fldCharType="begin"/>
            </w:r>
            <w:r>
              <w:rPr>
                <w:rFonts w:hint="eastAsia" w:ascii="宋体"/>
                <w:color w:val="auto"/>
                <w:sz w:val="24"/>
                <w:highlight w:val="none"/>
              </w:rPr>
              <w:instrText xml:space="preserve"> SEQ 前附表 \* MERGEFORMAT </w:instrText>
            </w:r>
            <w:r>
              <w:rPr>
                <w:rFonts w:hint="eastAsia" w:ascii="宋体"/>
                <w:color w:val="auto"/>
                <w:sz w:val="24"/>
                <w:highlight w:val="none"/>
              </w:rPr>
              <w:fldChar w:fldCharType="separate"/>
            </w:r>
            <w:r>
              <w:rPr>
                <w:rFonts w:ascii="宋体"/>
                <w:color w:val="auto"/>
                <w:sz w:val="24"/>
                <w:highlight w:val="none"/>
              </w:rPr>
              <w:t>1</w:t>
            </w:r>
            <w:r>
              <w:rPr>
                <w:rFonts w:hint="eastAsia" w:ascii="宋体"/>
                <w:color w:val="auto"/>
                <w:sz w:val="24"/>
                <w:highlight w:val="none"/>
              </w:rPr>
              <w:fldChar w:fldCharType="end"/>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项目名称及编号</w:t>
            </w:r>
          </w:p>
        </w:tc>
        <w:tc>
          <w:tcPr>
            <w:tcW w:w="7275" w:type="dxa"/>
            <w:tcBorders>
              <w:top w:val="single" w:color="auto" w:sz="4" w:space="0"/>
              <w:left w:val="single" w:color="auto" w:sz="4" w:space="0"/>
              <w:bottom w:val="single" w:color="auto" w:sz="4" w:space="0"/>
              <w:right w:val="single" w:color="auto" w:sz="4" w:space="0"/>
            </w:tcBorders>
            <w:vAlign w:val="center"/>
          </w:tcPr>
          <w:p>
            <w:pPr>
              <w:pStyle w:val="81"/>
              <w:spacing w:before="75" w:after="75" w:line="360" w:lineRule="auto"/>
              <w:rPr>
                <w:rFonts w:hint="eastAsia" w:hAnsi="宋体" w:eastAsia="宋体"/>
                <w:color w:val="auto"/>
                <w:highlight w:val="none"/>
                <w:lang w:eastAsia="zh-CN"/>
              </w:rPr>
            </w:pPr>
            <w:r>
              <w:rPr>
                <w:rFonts w:hint="eastAsia"/>
                <w:color w:val="auto"/>
                <w:highlight w:val="none"/>
              </w:rPr>
              <w:t>项目名称：</w:t>
            </w:r>
            <w:r>
              <w:rPr>
                <w:rFonts w:hint="eastAsia"/>
                <w:color w:val="auto"/>
                <w:highlight w:val="none"/>
                <w:lang w:eastAsia="zh-CN"/>
              </w:rPr>
              <w:t>乌鲁木齐市松材线虫病等重大林业有害生物防治能力提升工程建设项目-防治设备及其他实验室设备</w:t>
            </w:r>
          </w:p>
          <w:p>
            <w:pPr>
              <w:pStyle w:val="457"/>
              <w:shd w:val="clear" w:color="auto" w:fill="FFFFFF"/>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XYTDZB-GK-2023063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2</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bCs/>
                <w:color w:val="auto"/>
                <w:kern w:val="0"/>
                <w:sz w:val="24"/>
                <w:highlight w:val="none"/>
              </w:rPr>
            </w:pPr>
            <w:r>
              <w:rPr>
                <w:rFonts w:hint="eastAsia" w:ascii="宋体" w:cs="宋体"/>
                <w:bCs/>
                <w:color w:val="auto"/>
                <w:kern w:val="0"/>
                <w:sz w:val="24"/>
                <w:highlight w:val="none"/>
              </w:rPr>
              <w:t>采购人</w:t>
            </w:r>
          </w:p>
        </w:tc>
        <w:tc>
          <w:tcPr>
            <w:tcW w:w="7275" w:type="dxa"/>
            <w:tcBorders>
              <w:top w:val="single" w:color="auto" w:sz="4" w:space="0"/>
              <w:left w:val="single" w:color="auto" w:sz="4" w:space="0"/>
              <w:bottom w:val="single" w:color="auto" w:sz="4" w:space="0"/>
              <w:right w:val="single" w:color="auto" w:sz="4" w:space="0"/>
            </w:tcBorders>
            <w:vAlign w:val="center"/>
          </w:tcPr>
          <w:p>
            <w:pPr>
              <w:pStyle w:val="81"/>
              <w:spacing w:before="75" w:after="75" w:line="360" w:lineRule="auto"/>
              <w:rPr>
                <w:rFonts w:hint="eastAsia" w:eastAsia="宋体"/>
                <w:color w:val="auto"/>
                <w:highlight w:val="none"/>
                <w:lang w:eastAsia="zh-CN"/>
              </w:rPr>
            </w:pPr>
            <w:r>
              <w:rPr>
                <w:rFonts w:hint="eastAsia"/>
                <w:color w:val="auto"/>
                <w:highlight w:val="none"/>
                <w:lang w:eastAsia="zh-CN"/>
              </w:rPr>
              <w:t>乌鲁木齐市林业有害生物防治检疫站（乌鲁木齐市草原监理站）</w:t>
            </w:r>
          </w:p>
          <w:p>
            <w:pPr>
              <w:pStyle w:val="81"/>
              <w:spacing w:before="75" w:after="75" w:line="360" w:lineRule="auto"/>
              <w:rPr>
                <w:rFonts w:hint="eastAsia" w:eastAsia="宋体"/>
                <w:color w:val="auto"/>
                <w:highlight w:val="none"/>
                <w:lang w:val="en-US" w:eastAsia="zh-CN"/>
              </w:rPr>
            </w:pPr>
            <w:r>
              <w:rPr>
                <w:rFonts w:hint="eastAsia"/>
                <w:color w:val="auto"/>
                <w:highlight w:val="none"/>
              </w:rPr>
              <w:t>联系人：</w:t>
            </w:r>
            <w:r>
              <w:rPr>
                <w:rFonts w:hint="eastAsia"/>
                <w:color w:val="auto"/>
                <w:highlight w:val="none"/>
                <w:lang w:val="en-US" w:eastAsia="zh-CN"/>
              </w:rPr>
              <w:t>丁杰</w:t>
            </w:r>
          </w:p>
          <w:p>
            <w:pPr>
              <w:pStyle w:val="81"/>
              <w:spacing w:before="75" w:after="75" w:line="360" w:lineRule="auto"/>
              <w:rPr>
                <w:rFonts w:hint="default" w:eastAsia="宋体"/>
                <w:color w:val="auto"/>
                <w:highlight w:val="none"/>
                <w:lang w:val="en-US" w:eastAsia="zh-CN"/>
              </w:rPr>
            </w:pPr>
            <w:r>
              <w:rPr>
                <w:rFonts w:hint="eastAsia"/>
                <w:color w:val="auto"/>
                <w:highlight w:val="none"/>
              </w:rPr>
              <w:t>联系电话：</w:t>
            </w:r>
            <w:r>
              <w:rPr>
                <w:rFonts w:hint="eastAsia"/>
                <w:color w:val="auto"/>
                <w:highlight w:val="none"/>
                <w:lang w:val="en-US" w:eastAsia="zh-CN"/>
              </w:rPr>
              <w:t>18599001122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3</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资金来源</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color w:val="auto"/>
                <w:sz w:val="24"/>
                <w:highlight w:val="none"/>
              </w:rPr>
            </w:pPr>
            <w:r>
              <w:rPr>
                <w:rFonts w:hint="eastAsia" w:ascii="宋体" w:cs="宋体"/>
                <w:color w:val="auto"/>
                <w:sz w:val="24"/>
                <w:highlight w:val="none"/>
                <w:lang w:val="en-US" w:eastAsia="zh-CN"/>
              </w:rPr>
              <w:t>专项</w:t>
            </w:r>
            <w:r>
              <w:rPr>
                <w:rFonts w:hint="eastAsia" w:ascii="宋体" w:cs="宋体"/>
                <w:color w:val="auto"/>
                <w:sz w:val="24"/>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4</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预算金额</w:t>
            </w:r>
          </w:p>
        </w:tc>
        <w:tc>
          <w:tcPr>
            <w:tcW w:w="7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auto"/>
                <w:sz w:val="24"/>
                <w:highlight w:val="none"/>
              </w:rPr>
            </w:pPr>
            <w:r>
              <w:rPr>
                <w:rFonts w:hint="eastAsia" w:ascii="宋体" w:hAnsi="宋体"/>
                <w:color w:val="auto"/>
                <w:sz w:val="24"/>
                <w:highlight w:val="none"/>
                <w:lang w:eastAsia="zh-CN"/>
              </w:rPr>
              <w:t>172.55</w:t>
            </w:r>
            <w:r>
              <w:rPr>
                <w:rFonts w:hint="eastAsia" w:ascii="宋体" w:hAnsi="宋体"/>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5</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采购需求</w:t>
            </w:r>
          </w:p>
        </w:tc>
        <w:tc>
          <w:tcPr>
            <w:tcW w:w="7275" w:type="dxa"/>
            <w:tcBorders>
              <w:top w:val="single" w:color="auto" w:sz="4" w:space="0"/>
              <w:left w:val="single" w:color="auto" w:sz="4" w:space="0"/>
              <w:bottom w:val="single" w:color="auto" w:sz="4" w:space="0"/>
              <w:right w:val="single" w:color="auto" w:sz="4" w:space="0"/>
            </w:tcBorders>
            <w:vAlign w:val="center"/>
          </w:tcPr>
          <w:p>
            <w:pPr>
              <w:pStyle w:val="81"/>
              <w:spacing w:before="75" w:after="75" w:line="360" w:lineRule="auto"/>
              <w:rPr>
                <w:rFonts w:hAnsi="宋体" w:cs="Times New Roman"/>
                <w:color w:val="auto"/>
                <w:kern w:val="2"/>
                <w:highlight w:val="none"/>
              </w:rPr>
            </w:pPr>
            <w:r>
              <w:rPr>
                <w:rFonts w:hint="eastAsia" w:hAnsi="宋体" w:cs="Times New Roman"/>
                <w:color w:val="auto"/>
                <w:kern w:val="2"/>
                <w:highlight w:val="none"/>
                <w:lang w:val="en-US" w:eastAsia="zh-CN"/>
              </w:rPr>
              <w:t>乌鲁木齐市松材线虫病等重大林业有害生物防治能力提升工程建设项目-防治设备及其他实验室设备（具体采购需求详见招标文件）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6</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采购方式</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7</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FF"/>
                <w:sz w:val="24"/>
                <w:highlight w:val="none"/>
              </w:rPr>
            </w:pPr>
            <w:r>
              <w:rPr>
                <w:rFonts w:hint="eastAsia" w:ascii="宋体"/>
                <w:color w:val="0000FF"/>
                <w:sz w:val="24"/>
                <w:highlight w:val="none"/>
                <w:lang w:val="en-US" w:eastAsia="zh-CN"/>
              </w:rPr>
              <w:t>交货期</w:t>
            </w:r>
          </w:p>
        </w:tc>
        <w:tc>
          <w:tcPr>
            <w:tcW w:w="7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FF"/>
                <w:sz w:val="24"/>
                <w:highlight w:val="none"/>
              </w:rPr>
            </w:pPr>
            <w:r>
              <w:rPr>
                <w:rFonts w:hint="eastAsia" w:ascii="宋体" w:hAnsi="宋体"/>
                <w:color w:val="0000FF"/>
                <w:sz w:val="24"/>
                <w:highlight w:val="none"/>
                <w:u w:val="single"/>
                <w:lang w:val="en-US" w:eastAsia="zh-CN"/>
              </w:rPr>
              <w:t>签订合同后20个日历日</w:t>
            </w:r>
            <w:r>
              <w:rPr>
                <w:rFonts w:hint="eastAsia" w:ascii="宋体" w:hAnsi="宋体"/>
                <w:color w:val="0000FF"/>
                <w:sz w:val="24"/>
                <w:highlight w:val="none"/>
                <w:u w:val="single"/>
              </w:rPr>
              <w:t>内进行供货。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8</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FF"/>
                <w:sz w:val="24"/>
                <w:highlight w:val="none"/>
              </w:rPr>
            </w:pPr>
            <w:r>
              <w:rPr>
                <w:rFonts w:hint="eastAsia" w:ascii="宋体"/>
                <w:color w:val="0000FF"/>
                <w:sz w:val="24"/>
                <w:highlight w:val="none"/>
              </w:rPr>
              <w:t>付款方式</w:t>
            </w:r>
          </w:p>
        </w:tc>
        <w:tc>
          <w:tcPr>
            <w:tcW w:w="7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FF"/>
                <w:sz w:val="24"/>
                <w:highlight w:val="none"/>
              </w:rPr>
            </w:pPr>
            <w:r>
              <w:rPr>
                <w:rFonts w:hint="eastAsia" w:ascii="宋体" w:hAnsi="宋体"/>
                <w:color w:val="0000FF"/>
                <w:sz w:val="24"/>
                <w:highlight w:val="none"/>
              </w:rPr>
              <w:t>货物送到采购人指定地点并且经过验收合格后，采购人</w:t>
            </w:r>
            <w:r>
              <w:rPr>
                <w:rFonts w:hint="eastAsia" w:ascii="宋体" w:hAnsi="宋体"/>
                <w:color w:val="0000FF"/>
                <w:sz w:val="24"/>
                <w:highlight w:val="none"/>
                <w:lang w:val="en-US" w:eastAsia="zh-CN"/>
              </w:rPr>
              <w:t>9</w:t>
            </w:r>
            <w:r>
              <w:rPr>
                <w:rFonts w:ascii="宋体" w:hAnsi="宋体"/>
                <w:color w:val="0000FF"/>
                <w:sz w:val="24"/>
                <w:highlight w:val="none"/>
              </w:rPr>
              <w:t>0</w:t>
            </w:r>
            <w:r>
              <w:rPr>
                <w:rFonts w:hint="eastAsia" w:ascii="宋体" w:hAnsi="宋体"/>
                <w:color w:val="0000FF"/>
                <w:sz w:val="24"/>
                <w:highlight w:val="none"/>
              </w:rPr>
              <w:t>天付清货款。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9</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FF"/>
                <w:sz w:val="24"/>
                <w:highlight w:val="none"/>
              </w:rPr>
            </w:pPr>
            <w:r>
              <w:rPr>
                <w:rFonts w:hint="eastAsia" w:ascii="宋体"/>
                <w:color w:val="0000FF"/>
                <w:sz w:val="24"/>
                <w:highlight w:val="none"/>
              </w:rPr>
              <w:t>质量保证期</w:t>
            </w:r>
          </w:p>
        </w:tc>
        <w:tc>
          <w:tcPr>
            <w:tcW w:w="7275" w:type="dxa"/>
            <w:tcBorders>
              <w:top w:val="single" w:color="auto" w:sz="4" w:space="0"/>
              <w:left w:val="single" w:color="auto" w:sz="4" w:space="0"/>
              <w:bottom w:val="single" w:color="auto" w:sz="4" w:space="0"/>
              <w:right w:val="single" w:color="auto" w:sz="4" w:space="0"/>
            </w:tcBorders>
            <w:vAlign w:val="top"/>
          </w:tcPr>
          <w:p>
            <w:pPr>
              <w:pStyle w:val="457"/>
              <w:shd w:val="clear" w:color="auto" w:fill="FFFFFF"/>
              <w:spacing w:line="360" w:lineRule="auto"/>
              <w:ind w:left="480" w:leftChars="0" w:hanging="480" w:hangingChars="200"/>
              <w:rPr>
                <w:rFonts w:ascii="仿宋" w:hAnsi="仿宋" w:eastAsia="仿宋" w:cs="仿宋"/>
                <w:color w:val="0000FF"/>
                <w:sz w:val="24"/>
                <w:szCs w:val="24"/>
                <w:highlight w:val="none"/>
              </w:rPr>
            </w:pPr>
            <w:r>
              <w:rPr>
                <w:rFonts w:hint="eastAsia" w:ascii="宋体" w:hAnsi="宋体" w:cs="Times New Roman"/>
                <w:color w:val="0000FF"/>
                <w:kern w:val="2"/>
                <w:sz w:val="24"/>
                <w:szCs w:val="24"/>
                <w:highlight w:val="none"/>
                <w:lang w:val="en-US" w:eastAsia="zh-CN"/>
              </w:rPr>
              <w:t>2年（部分货物厂家质保超过20年按厂家质保执行）</w:t>
            </w:r>
            <w:r>
              <w:rPr>
                <w:rFonts w:hint="eastAsia" w:ascii="宋体" w:hAnsi="宋体" w:cs="Times New Roman"/>
                <w:color w:val="0000FF"/>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10</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FF"/>
                <w:sz w:val="24"/>
                <w:highlight w:val="none"/>
              </w:rPr>
            </w:pPr>
            <w:r>
              <w:rPr>
                <w:rFonts w:hint="eastAsia" w:ascii="宋体"/>
                <w:color w:val="0000FF"/>
                <w:sz w:val="24"/>
                <w:highlight w:val="none"/>
              </w:rPr>
              <w:t>交货地点</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FF"/>
                <w:sz w:val="24"/>
                <w:highlight w:val="none"/>
              </w:rPr>
            </w:pPr>
            <w:r>
              <w:rPr>
                <w:rFonts w:hint="eastAsia" w:ascii="宋体"/>
                <w:color w:val="0000FF"/>
                <w:sz w:val="24"/>
                <w:highlight w:val="none"/>
                <w:lang w:eastAsia="zh-CN"/>
              </w:rPr>
              <w:t>乌鲁木齐市林业有害生物防治检疫站（乌鲁木齐市草原监理站）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投标人资格证明</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文件</w:t>
            </w:r>
          </w:p>
        </w:tc>
        <w:tc>
          <w:tcPr>
            <w:tcW w:w="7275" w:type="dxa"/>
            <w:tcBorders>
              <w:top w:val="single" w:color="auto" w:sz="4" w:space="0"/>
              <w:left w:val="single" w:color="auto" w:sz="4" w:space="0"/>
              <w:bottom w:val="single" w:color="auto" w:sz="4" w:space="0"/>
              <w:right w:val="single" w:color="auto" w:sz="4" w:space="0"/>
            </w:tcBorders>
            <w:vAlign w:val="center"/>
          </w:tcPr>
          <w:p>
            <w:pPr>
              <w:pStyle w:val="81"/>
              <w:spacing w:before="75" w:after="75" w:line="360" w:lineRule="auto"/>
              <w:rPr>
                <w:rFonts w:hint="eastAsia" w:hAnsi="宋体"/>
                <w:color w:val="auto"/>
                <w:highlight w:val="none"/>
              </w:rPr>
            </w:pPr>
            <w:r>
              <w:rPr>
                <w:rFonts w:hint="eastAsia" w:hAnsi="宋体"/>
                <w:color w:val="auto"/>
                <w:highlight w:val="none"/>
              </w:rPr>
              <w:t>1.满足《中华人民共和国政府采购法》第二十二条规定；</w:t>
            </w:r>
          </w:p>
          <w:p>
            <w:pPr>
              <w:pStyle w:val="81"/>
              <w:spacing w:before="75" w:after="75" w:line="360" w:lineRule="auto"/>
              <w:rPr>
                <w:rFonts w:hint="eastAsia" w:hAnsi="宋体"/>
                <w:color w:val="auto"/>
                <w:highlight w:val="none"/>
              </w:rPr>
            </w:pPr>
            <w:r>
              <w:rPr>
                <w:rFonts w:hint="eastAsia" w:hAnsi="宋体"/>
                <w:color w:val="auto"/>
                <w:highlight w:val="none"/>
              </w:rPr>
              <w:t>（1）具有独立承担民事责任的能力的投标人；</w:t>
            </w:r>
          </w:p>
          <w:p>
            <w:pPr>
              <w:pStyle w:val="81"/>
              <w:spacing w:before="75" w:after="75" w:line="360" w:lineRule="auto"/>
              <w:rPr>
                <w:rFonts w:hint="eastAsia" w:hAnsi="宋体"/>
                <w:color w:val="auto"/>
                <w:highlight w:val="none"/>
              </w:rPr>
            </w:pPr>
            <w:r>
              <w:rPr>
                <w:rFonts w:hint="eastAsia" w:hAnsi="宋体"/>
                <w:color w:val="auto"/>
                <w:highlight w:val="none"/>
              </w:rPr>
              <w:t>（2）具有良好的商业信誉和健全的财务会计制度；</w:t>
            </w:r>
          </w:p>
          <w:p>
            <w:pPr>
              <w:pStyle w:val="81"/>
              <w:spacing w:before="75" w:after="75" w:line="360" w:lineRule="auto"/>
              <w:rPr>
                <w:rFonts w:hint="eastAsia" w:hAnsi="宋体"/>
                <w:color w:val="auto"/>
                <w:highlight w:val="none"/>
              </w:rPr>
            </w:pPr>
            <w:r>
              <w:rPr>
                <w:rFonts w:hint="eastAsia" w:hAnsi="宋体"/>
                <w:color w:val="auto"/>
                <w:highlight w:val="none"/>
              </w:rPr>
              <w:t>（3）具有履行合同所必需的设备和专业技术能力；</w:t>
            </w:r>
          </w:p>
          <w:p>
            <w:pPr>
              <w:pStyle w:val="81"/>
              <w:spacing w:before="75" w:after="75" w:line="360" w:lineRule="auto"/>
              <w:rPr>
                <w:rFonts w:hint="eastAsia" w:hAnsi="宋体"/>
                <w:color w:val="auto"/>
                <w:highlight w:val="none"/>
              </w:rPr>
            </w:pPr>
            <w:r>
              <w:rPr>
                <w:rFonts w:hint="eastAsia" w:hAnsi="宋体"/>
                <w:color w:val="auto"/>
                <w:highlight w:val="none"/>
              </w:rPr>
              <w:t>（4）有依法缴纳税收和社会保障资金的良好记录；</w:t>
            </w:r>
          </w:p>
          <w:p>
            <w:pPr>
              <w:pStyle w:val="81"/>
              <w:spacing w:before="75" w:after="75" w:line="360" w:lineRule="auto"/>
              <w:rPr>
                <w:rFonts w:hint="eastAsia" w:hAnsi="宋体"/>
                <w:color w:val="auto"/>
                <w:highlight w:val="none"/>
              </w:rPr>
            </w:pPr>
            <w:r>
              <w:rPr>
                <w:rFonts w:hint="eastAsia" w:hAnsi="宋体"/>
                <w:color w:val="auto"/>
                <w:highlight w:val="none"/>
              </w:rPr>
              <w:t>（5）参加本次采购活动前三年内，在经营活动中没有重大违法记录；</w:t>
            </w:r>
          </w:p>
          <w:p>
            <w:pPr>
              <w:pStyle w:val="81"/>
              <w:spacing w:before="75" w:after="75" w:line="360" w:lineRule="auto"/>
              <w:rPr>
                <w:rFonts w:hint="eastAsia" w:hAnsi="宋体"/>
                <w:color w:val="auto"/>
                <w:highlight w:val="none"/>
              </w:rPr>
            </w:pPr>
            <w:r>
              <w:rPr>
                <w:rFonts w:hint="eastAsia" w:hAnsi="宋体"/>
                <w:color w:val="auto"/>
                <w:highlight w:val="none"/>
              </w:rPr>
              <w:t>（6）法律、行政法规规定的其他条件。</w:t>
            </w:r>
          </w:p>
          <w:p>
            <w:pPr>
              <w:pStyle w:val="81"/>
              <w:spacing w:before="75" w:after="75" w:line="360" w:lineRule="auto"/>
              <w:rPr>
                <w:rFonts w:hint="eastAsia" w:hAnsi="宋体"/>
                <w:color w:val="auto"/>
                <w:highlight w:val="none"/>
              </w:rPr>
            </w:pPr>
            <w:r>
              <w:rPr>
                <w:rFonts w:hint="eastAsia" w:hAnsi="宋体"/>
                <w:color w:val="auto"/>
                <w:highlight w:val="none"/>
                <w:lang w:val="en-US" w:eastAsia="zh-CN"/>
              </w:rPr>
              <w:t>2.</w:t>
            </w:r>
            <w:r>
              <w:rPr>
                <w:rFonts w:hint="eastAsia" w:hAnsi="宋体"/>
                <w:color w:val="auto"/>
                <w:highlight w:val="none"/>
              </w:rPr>
              <w:t>未被列入“信用中国”网站中的“失信被执行名单”、“重大税收违法失信主体”其中之一，未被列入“中国政府采购网”中的“政府采购严重违法失信行为记录名单”；</w:t>
            </w:r>
          </w:p>
          <w:p>
            <w:pPr>
              <w:pStyle w:val="81"/>
              <w:spacing w:before="75" w:after="75" w:line="360" w:lineRule="auto"/>
              <w:rPr>
                <w:rFonts w:hint="default" w:hAnsi="宋体" w:eastAsia="宋体"/>
                <w:color w:val="auto"/>
                <w:highlight w:val="none"/>
                <w:lang w:val="en-US" w:eastAsia="zh-CN"/>
              </w:rPr>
            </w:pPr>
            <w:r>
              <w:rPr>
                <w:rFonts w:hint="eastAsia" w:hAnsi="宋体"/>
                <w:color w:val="auto"/>
                <w:highlight w:val="none"/>
                <w:lang w:val="en-US" w:eastAsia="zh-CN"/>
              </w:rPr>
              <w:t>3.</w:t>
            </w:r>
            <w:r>
              <w:rPr>
                <w:rFonts w:hint="eastAsia" w:hAnsi="宋体"/>
                <w:color w:val="auto"/>
                <w:highlight w:val="none"/>
              </w:rPr>
              <w:t>单位负责人为同一人或者存在直接控股、管理关系的不同投标人，不得参加同一合同项下的政府采购活动。 </w:t>
            </w:r>
          </w:p>
          <w:p>
            <w:pPr>
              <w:pStyle w:val="81"/>
              <w:spacing w:before="75" w:after="75" w:line="360" w:lineRule="auto"/>
              <w:ind w:left="0" w:leftChars="0" w:firstLine="0" w:firstLineChars="0"/>
              <w:rPr>
                <w:rFonts w:hint="eastAsia" w:hAnsi="宋体"/>
                <w:color w:val="auto"/>
                <w:highlight w:val="none"/>
              </w:rPr>
            </w:pPr>
            <w:r>
              <w:rPr>
                <w:rFonts w:hint="eastAsia" w:hAnsi="宋体"/>
                <w:color w:val="auto"/>
                <w:highlight w:val="none"/>
                <w:lang w:val="en-US" w:eastAsia="zh-CN"/>
              </w:rPr>
              <w:t>4</w:t>
            </w:r>
            <w:r>
              <w:rPr>
                <w:rFonts w:hint="eastAsia" w:hAnsi="宋体"/>
                <w:color w:val="auto"/>
                <w:highlight w:val="none"/>
              </w:rPr>
              <w:t>.落实政府采购政策需满足的资格要求：标项1：供应商为中小企业,本项目为专门面向中小企业（含中型、小型、微型企业） </w:t>
            </w:r>
          </w:p>
          <w:p>
            <w:pPr>
              <w:pStyle w:val="81"/>
              <w:spacing w:before="75" w:after="75" w:line="360" w:lineRule="auto"/>
              <w:rPr>
                <w:rFonts w:hint="eastAsia" w:ascii="宋体" w:hAnsi="宋体" w:eastAsia="宋体" w:cs="宋体"/>
                <w:color w:val="auto"/>
                <w:highlight w:val="none"/>
              </w:rPr>
            </w:pPr>
            <w:r>
              <w:rPr>
                <w:rFonts w:hint="eastAsia" w:hAnsi="宋体"/>
                <w:color w:val="auto"/>
                <w:highlight w:val="none"/>
                <w:lang w:val="en-US" w:eastAsia="zh-CN"/>
              </w:rPr>
              <w:t>5</w:t>
            </w:r>
            <w:r>
              <w:rPr>
                <w:rFonts w:hint="eastAsia" w:hAnsi="宋体"/>
                <w:color w:val="auto"/>
                <w:highlight w:val="none"/>
              </w:rPr>
              <w:t>.本项目的特定资格要求：</w:t>
            </w:r>
            <w:r>
              <w:rPr>
                <w:rFonts w:hint="eastAsia" w:hAnsi="宋体"/>
                <w:color w:val="auto"/>
                <w:highlight w:val="none"/>
                <w:lang w:eastAsia="zh-CN"/>
              </w:rPr>
              <w:t>无</w:t>
            </w:r>
            <w:r>
              <w:rPr>
                <w:rFonts w:hint="eastAsia" w:hAnsi="宋体"/>
                <w:color w:val="auto"/>
                <w:highlight w:val="none"/>
                <w:lang w:val="en-US" w:eastAsia="zh-CN"/>
              </w:rPr>
              <w:t xml:space="preserve">  </w:t>
            </w:r>
            <w:r>
              <w:rPr>
                <w:rFonts w:hint="eastAsia" w:hAnsi="宋体"/>
                <w:color w:val="auto"/>
                <w:highlight w:val="none"/>
              </w:rPr>
              <w:t>【标项1】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12</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投标有效期</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自投标截止之日起90个日历日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13</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评标方法</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新宋体-18030"/>
                <w:bCs/>
                <w:color w:val="auto"/>
                <w:sz w:val="24"/>
                <w:highlight w:val="none"/>
              </w:rPr>
            </w:pPr>
            <w:r>
              <w:rPr>
                <w:rFonts w:hint="eastAsia" w:ascii="宋体"/>
                <w:color w:val="auto"/>
                <w:sz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14</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资格审查</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15</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评标委员会</w:t>
            </w:r>
          </w:p>
        </w:tc>
        <w:tc>
          <w:tcPr>
            <w:tcW w:w="7275" w:type="dxa"/>
            <w:tcBorders>
              <w:top w:val="single" w:color="auto" w:sz="4" w:space="0"/>
              <w:left w:val="single" w:color="auto" w:sz="4" w:space="0"/>
              <w:bottom w:val="single" w:color="auto" w:sz="4" w:space="0"/>
              <w:right w:val="single" w:color="auto" w:sz="4" w:space="0"/>
            </w:tcBorders>
            <w:vAlign w:val="center"/>
          </w:tcPr>
          <w:p>
            <w:pPr>
              <w:pStyle w:val="81"/>
              <w:spacing w:before="75" w:after="75" w:line="360" w:lineRule="auto"/>
              <w:rPr>
                <w:rFonts w:hAnsi="宋体" w:cs="Times New Roman"/>
                <w:color w:val="auto"/>
                <w:kern w:val="2"/>
                <w:highlight w:val="none"/>
              </w:rPr>
            </w:pPr>
            <w:r>
              <w:rPr>
                <w:rFonts w:hint="eastAsia" w:hAnsi="宋体" w:cs="Times New Roman"/>
                <w:color w:val="auto"/>
                <w:kern w:val="2"/>
                <w:highlight w:val="none"/>
              </w:rPr>
              <w:t>评标委员会构成：5人及以上单数，由技术、经济等方面的专家共同组成；</w:t>
            </w:r>
          </w:p>
          <w:p>
            <w:pPr>
              <w:pStyle w:val="81"/>
              <w:spacing w:before="75" w:after="75" w:line="360" w:lineRule="auto"/>
              <w:rPr>
                <w:rFonts w:hAnsi="宋体"/>
                <w:color w:val="auto"/>
                <w:highlight w:val="none"/>
              </w:rPr>
            </w:pPr>
            <w:r>
              <w:rPr>
                <w:rFonts w:hint="eastAsia" w:hAnsi="宋体" w:cs="Times New Roman"/>
                <w:color w:val="auto"/>
                <w:kern w:val="2"/>
                <w:highlight w:val="none"/>
              </w:rPr>
              <w:t>评标专家确定方式：开标前48小时从新疆政采云平台专家库中随机抽取。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16</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开标时间及投标文件递交截止时间</w:t>
            </w:r>
          </w:p>
        </w:tc>
        <w:tc>
          <w:tcPr>
            <w:tcW w:w="72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color w:val="auto"/>
                <w:sz w:val="24"/>
                <w:highlight w:val="none"/>
              </w:rPr>
            </w:pPr>
            <w:r>
              <w:rPr>
                <w:rFonts w:hint="eastAsia" w:ascii="宋体" w:hAnsi="宋体" w:cs="宋体"/>
                <w:b/>
                <w:color w:val="auto"/>
                <w:sz w:val="24"/>
                <w:highlight w:val="none"/>
                <w:lang w:eastAsia="zh-CN"/>
              </w:rPr>
              <w:t xml:space="preserve"> 2023年</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03</w:t>
            </w:r>
            <w:r>
              <w:rPr>
                <w:rFonts w:hint="eastAsia" w:ascii="宋体" w:hAnsi="宋体" w:cs="宋体"/>
                <w:b/>
                <w:color w:val="auto"/>
                <w:sz w:val="24"/>
                <w:highlight w:val="none"/>
              </w:rPr>
              <w:t xml:space="preserve">月 </w:t>
            </w:r>
            <w:r>
              <w:rPr>
                <w:rFonts w:hint="eastAsia" w:ascii="宋体" w:hAnsi="宋体" w:cs="宋体"/>
                <w:b/>
                <w:color w:val="auto"/>
                <w:sz w:val="24"/>
                <w:highlight w:val="none"/>
                <w:lang w:val="en-US" w:eastAsia="zh-CN"/>
              </w:rPr>
              <w:t>17</w:t>
            </w:r>
            <w:bookmarkStart w:id="11" w:name="_GoBack"/>
            <w:bookmarkEnd w:id="11"/>
            <w:r>
              <w:rPr>
                <w:rFonts w:hint="eastAsia" w:ascii="宋体" w:hAnsi="宋体" w:cs="宋体"/>
                <w:b/>
                <w:color w:val="auto"/>
                <w:sz w:val="24"/>
                <w:highlight w:val="none"/>
                <w:lang w:val="en-US" w:eastAsia="zh-CN"/>
              </w:rPr>
              <w:t>日</w:t>
            </w:r>
            <w:r>
              <w:rPr>
                <w:rFonts w:hint="eastAsia" w:ascii="宋体" w:hAnsi="宋体" w:cs="宋体"/>
                <w:b/>
                <w:color w:val="auto"/>
                <w:sz w:val="24"/>
                <w:highlight w:val="none"/>
                <w:u w:val="single"/>
              </w:rPr>
              <w:t>11:00</w:t>
            </w:r>
            <w:r>
              <w:rPr>
                <w:rFonts w:hint="eastAsia" w:ascii="宋体" w:hAnsi="宋体" w:cs="宋体"/>
                <w:b/>
                <w:color w:val="auto"/>
                <w:sz w:val="24"/>
                <w:highlight w:val="none"/>
              </w:rPr>
              <w:t>时</w:t>
            </w:r>
            <w:r>
              <w:rPr>
                <w:rFonts w:hint="eastAsia" w:ascii="宋体" w:hAnsi="宋体" w:cs="宋体"/>
                <w:bCs/>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17</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投标文件递交</w:t>
            </w:r>
          </w:p>
          <w:p>
            <w:pPr>
              <w:spacing w:line="360" w:lineRule="auto"/>
              <w:rPr>
                <w:rFonts w:ascii="宋体"/>
                <w:color w:val="auto"/>
                <w:sz w:val="24"/>
                <w:highlight w:val="none"/>
              </w:rPr>
            </w:pPr>
            <w:r>
              <w:rPr>
                <w:rFonts w:hint="eastAsia" w:ascii="宋体"/>
                <w:color w:val="auto"/>
                <w:sz w:val="24"/>
                <w:highlight w:val="none"/>
              </w:rPr>
              <w:t>及开标地点</w:t>
            </w:r>
          </w:p>
        </w:tc>
        <w:tc>
          <w:tcPr>
            <w:tcW w:w="7275" w:type="dxa"/>
            <w:tcBorders>
              <w:top w:val="single" w:color="auto" w:sz="4" w:space="0"/>
              <w:left w:val="single" w:color="auto" w:sz="4" w:space="0"/>
              <w:bottom w:val="single" w:color="auto" w:sz="4" w:space="0"/>
              <w:right w:val="single" w:color="auto" w:sz="4" w:space="0"/>
            </w:tcBorders>
            <w:vAlign w:val="center"/>
          </w:tcPr>
          <w:p>
            <w:pPr>
              <w:pStyle w:val="457"/>
              <w:shd w:val="clear" w:color="auto" w:fill="FFFFFF"/>
              <w:spacing w:line="360" w:lineRule="auto"/>
              <w:rPr>
                <w:rFonts w:ascii="宋体"/>
                <w:color w:val="auto"/>
                <w:sz w:val="24"/>
                <w:highlight w:val="none"/>
              </w:rPr>
            </w:pPr>
            <w:r>
              <w:rPr>
                <w:rFonts w:hint="eastAsia" w:ascii="宋体"/>
                <w:color w:val="auto"/>
                <w:sz w:val="24"/>
                <w:highlight w:val="none"/>
              </w:rPr>
              <w:t>乌鲁木齐市天山区光明路59号时代广场A座24F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18</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投标保证金</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保证金：</w:t>
            </w:r>
            <w:r>
              <w:rPr>
                <w:rFonts w:hint="eastAsia" w:ascii="宋体"/>
                <w:color w:val="auto"/>
                <w:sz w:val="24"/>
                <w:highlight w:val="none"/>
                <w:lang w:val="en-US" w:eastAsia="zh-CN"/>
              </w:rPr>
              <w:t>17255</w:t>
            </w:r>
            <w:r>
              <w:rPr>
                <w:rFonts w:hint="eastAsia" w:ascii="宋体"/>
                <w:color w:val="auto"/>
                <w:sz w:val="24"/>
                <w:highlight w:val="none"/>
              </w:rPr>
              <w:t>元</w:t>
            </w:r>
          </w:p>
          <w:p>
            <w:pPr>
              <w:overflowPunct w:val="0"/>
              <w:spacing w:line="360" w:lineRule="auto"/>
              <w:rPr>
                <w:rFonts w:ascii="宋体" w:hAnsi="宋体"/>
                <w:color w:val="auto"/>
                <w:sz w:val="24"/>
                <w:highlight w:val="none"/>
              </w:rPr>
            </w:pPr>
            <w:r>
              <w:rPr>
                <w:rFonts w:hint="eastAsia" w:ascii="宋体" w:hAnsi="宋体"/>
                <w:color w:val="auto"/>
                <w:sz w:val="24"/>
                <w:highlight w:val="none"/>
              </w:rPr>
              <w:t>账户名：新疆星耀天都项目管理有限责任公司</w:t>
            </w:r>
          </w:p>
          <w:p>
            <w:pPr>
              <w:overflowPunct w:val="0"/>
              <w:spacing w:line="360" w:lineRule="auto"/>
              <w:rPr>
                <w:rFonts w:ascii="宋体" w:hAnsi="宋体"/>
                <w:color w:val="auto"/>
                <w:sz w:val="24"/>
                <w:highlight w:val="none"/>
              </w:rPr>
            </w:pPr>
            <w:r>
              <w:rPr>
                <w:rFonts w:ascii="宋体" w:hAnsi="宋体"/>
                <w:color w:val="auto"/>
                <w:sz w:val="24"/>
                <w:highlight w:val="none"/>
              </w:rPr>
              <w:t>开户行：</w:t>
            </w:r>
            <w:r>
              <w:rPr>
                <w:rFonts w:hint="eastAsia" w:ascii="宋体" w:hAnsi="宋体"/>
                <w:color w:val="auto"/>
                <w:sz w:val="24"/>
                <w:highlight w:val="none"/>
              </w:rPr>
              <w:t>招商</w:t>
            </w:r>
            <w:r>
              <w:rPr>
                <w:rFonts w:ascii="宋体" w:hAnsi="宋体"/>
                <w:color w:val="auto"/>
                <w:sz w:val="24"/>
                <w:highlight w:val="none"/>
              </w:rPr>
              <w:t>银行乌鲁木齐</w:t>
            </w:r>
            <w:r>
              <w:rPr>
                <w:rFonts w:hint="eastAsia" w:ascii="宋体" w:hAnsi="宋体"/>
                <w:color w:val="auto"/>
                <w:sz w:val="24"/>
                <w:highlight w:val="none"/>
              </w:rPr>
              <w:t>新华北路</w:t>
            </w:r>
            <w:r>
              <w:rPr>
                <w:rFonts w:ascii="宋体" w:hAnsi="宋体"/>
                <w:color w:val="auto"/>
                <w:sz w:val="24"/>
                <w:highlight w:val="none"/>
              </w:rPr>
              <w:t>支行</w:t>
            </w:r>
          </w:p>
          <w:p>
            <w:pPr>
              <w:spacing w:line="360" w:lineRule="auto"/>
              <w:rPr>
                <w:rFonts w:ascii="宋体" w:hAnsi="宋体"/>
                <w:color w:val="auto"/>
                <w:sz w:val="24"/>
                <w:highlight w:val="none"/>
              </w:rPr>
            </w:pPr>
            <w:r>
              <w:rPr>
                <w:rFonts w:ascii="宋体" w:hAnsi="宋体"/>
                <w:color w:val="auto"/>
                <w:sz w:val="24"/>
                <w:highlight w:val="none"/>
              </w:rPr>
              <w:t>帐  号：</w:t>
            </w:r>
            <w:r>
              <w:rPr>
                <w:rFonts w:hint="eastAsia" w:ascii="宋体" w:hAnsi="宋体"/>
                <w:color w:val="auto"/>
                <w:sz w:val="24"/>
                <w:highlight w:val="none"/>
              </w:rPr>
              <w:t>991904723110215</w:t>
            </w:r>
          </w:p>
          <w:p>
            <w:pPr>
              <w:spacing w:line="360" w:lineRule="auto"/>
              <w:rPr>
                <w:rFonts w:ascii="宋体" w:hAnsi="宋体"/>
                <w:color w:val="auto"/>
                <w:sz w:val="24"/>
                <w:highlight w:val="none"/>
              </w:rPr>
            </w:pPr>
            <w:r>
              <w:rPr>
                <w:rFonts w:ascii="宋体" w:hAnsi="宋体"/>
                <w:color w:val="auto"/>
                <w:sz w:val="24"/>
                <w:highlight w:val="none"/>
              </w:rPr>
              <w:t>行  号：</w:t>
            </w:r>
            <w:r>
              <w:rPr>
                <w:rFonts w:hint="eastAsia" w:ascii="宋体" w:hAnsi="宋体"/>
                <w:color w:val="auto"/>
                <w:sz w:val="24"/>
                <w:highlight w:val="none"/>
              </w:rPr>
              <w:t>308881029026</w:t>
            </w:r>
          </w:p>
          <w:p>
            <w:pPr>
              <w:spacing w:line="360" w:lineRule="auto"/>
              <w:rPr>
                <w:rFonts w:ascii="宋体" w:hAnsi="宋体"/>
                <w:color w:val="auto"/>
                <w:sz w:val="24"/>
                <w:highlight w:val="none"/>
              </w:rPr>
            </w:pPr>
            <w:r>
              <w:rPr>
                <w:rFonts w:hint="eastAsia" w:ascii="宋体" w:hAnsi="宋体"/>
                <w:color w:val="auto"/>
                <w:sz w:val="24"/>
                <w:highlight w:val="none"/>
              </w:rPr>
              <w:t>投保保证金缴纳形式：转账或电汇等非现金形式</w:t>
            </w:r>
          </w:p>
          <w:p>
            <w:pPr>
              <w:spacing w:line="360" w:lineRule="auto"/>
              <w:rPr>
                <w:rFonts w:ascii="宋体" w:hAnsi="宋体"/>
                <w:color w:val="auto"/>
                <w:sz w:val="24"/>
                <w:highlight w:val="none"/>
              </w:rPr>
            </w:pPr>
            <w:r>
              <w:rPr>
                <w:rFonts w:hint="eastAsia" w:ascii="宋体" w:hAnsi="宋体"/>
                <w:color w:val="auto"/>
                <w:sz w:val="24"/>
                <w:highlight w:val="none"/>
              </w:rPr>
              <w:t>投标保证金咨询电话：0991-3265858</w:t>
            </w:r>
          </w:p>
          <w:p>
            <w:pPr>
              <w:spacing w:line="360" w:lineRule="auto"/>
              <w:rPr>
                <w:rFonts w:ascii="宋体"/>
                <w:color w:val="auto"/>
                <w:sz w:val="24"/>
                <w:highlight w:val="none"/>
              </w:rPr>
            </w:pPr>
            <w:r>
              <w:rPr>
                <w:rFonts w:hint="eastAsia" w:ascii="宋体" w:hAnsi="宋体"/>
                <w:b/>
                <w:color w:val="auto"/>
                <w:sz w:val="24"/>
                <w:highlight w:val="none"/>
              </w:rPr>
              <w:t>注：</w:t>
            </w:r>
            <w:r>
              <w:rPr>
                <w:rFonts w:hint="eastAsia" w:ascii="宋体" w:hAnsi="宋体"/>
                <w:b/>
                <w:bCs/>
                <w:color w:val="auto"/>
                <w:sz w:val="24"/>
                <w:highlight w:val="none"/>
              </w:rPr>
              <w:t>汇款单上需备注项目名称（可简写）、标段号（若有）。投标保证金于截止日之前确认到账，若投标人</w:t>
            </w:r>
            <w:r>
              <w:rPr>
                <w:rFonts w:hint="eastAsia" w:ascii="宋体" w:hAnsi="宋体"/>
                <w:b/>
                <w:bCs/>
                <w:color w:val="auto"/>
                <w:sz w:val="24"/>
                <w:highlight w:val="none"/>
                <w:lang w:val="zh-CN"/>
              </w:rPr>
              <w:t>未按照上述规定缴纳投标保证金</w:t>
            </w:r>
            <w:r>
              <w:rPr>
                <w:rFonts w:ascii="宋体" w:hAnsi="宋体"/>
                <w:b/>
                <w:bCs/>
                <w:color w:val="auto"/>
                <w:sz w:val="24"/>
                <w:highlight w:val="none"/>
                <w:lang w:val="zh-CN"/>
              </w:rPr>
              <w:t>,</w:t>
            </w:r>
            <w:r>
              <w:rPr>
                <w:rFonts w:hint="eastAsia" w:ascii="宋体" w:hAnsi="宋体"/>
                <w:b/>
                <w:bCs/>
                <w:color w:val="auto"/>
                <w:sz w:val="24"/>
                <w:highlight w:val="none"/>
                <w:lang w:val="zh-CN"/>
              </w:rPr>
              <w:t>投标文件将被拒绝评审。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19</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pacing w:val="-14"/>
                <w:sz w:val="24"/>
                <w:highlight w:val="none"/>
              </w:rPr>
              <w:t>投标文件</w:t>
            </w:r>
            <w:r>
              <w:rPr>
                <w:rFonts w:hint="eastAsia" w:ascii="宋体" w:hAnsi="宋体" w:cs="宋体"/>
                <w:color w:val="auto"/>
                <w:sz w:val="24"/>
                <w:highlight w:val="none"/>
              </w:rPr>
              <w:t>份数</w:t>
            </w:r>
          </w:p>
          <w:p>
            <w:pPr>
              <w:spacing w:line="360" w:lineRule="auto"/>
              <w:rPr>
                <w:rFonts w:ascii="宋体"/>
                <w:color w:val="auto"/>
                <w:sz w:val="24"/>
                <w:highlight w:val="none"/>
              </w:rPr>
            </w:pPr>
            <w:r>
              <w:rPr>
                <w:rFonts w:hint="eastAsia" w:ascii="宋体" w:hAnsi="宋体" w:cs="宋体"/>
                <w:color w:val="auto"/>
                <w:sz w:val="24"/>
                <w:highlight w:val="none"/>
              </w:rPr>
              <w:t>及密封情况</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highlight w:val="none"/>
              </w:rPr>
            </w:pPr>
            <w:r>
              <w:rPr>
                <w:rFonts w:hint="eastAsia" w:ascii="宋体" w:hAnsi="宋体" w:cs="宋体"/>
                <w:bCs/>
                <w:color w:val="auto"/>
                <w:sz w:val="24"/>
                <w:highlight w:val="none"/>
              </w:rPr>
              <w:t>投标文件包括：</w:t>
            </w:r>
          </w:p>
          <w:p>
            <w:pPr>
              <w:numPr>
                <w:ilvl w:val="0"/>
                <w:numId w:val="28"/>
              </w:numPr>
              <w:spacing w:line="360" w:lineRule="auto"/>
              <w:rPr>
                <w:rFonts w:ascii="宋体" w:hAnsi="宋体" w:cs="宋体"/>
                <w:bCs/>
                <w:color w:val="auto"/>
                <w:sz w:val="24"/>
                <w:highlight w:val="none"/>
              </w:rPr>
            </w:pPr>
            <w:r>
              <w:rPr>
                <w:rFonts w:hint="eastAsia" w:ascii="宋体" w:hAnsi="宋体" w:cs="宋体"/>
                <w:bCs/>
                <w:color w:val="auto"/>
                <w:sz w:val="24"/>
                <w:highlight w:val="none"/>
              </w:rPr>
              <w:t>开标一览表1份，单独密封；且内容、格式须与投标文件中正本一致。</w:t>
            </w:r>
          </w:p>
          <w:p>
            <w:pPr>
              <w:spacing w:line="360" w:lineRule="auto"/>
              <w:rPr>
                <w:rFonts w:ascii="宋体" w:hAnsi="宋体" w:cs="宋体"/>
                <w:color w:val="auto"/>
                <w:sz w:val="24"/>
                <w:highlight w:val="none"/>
              </w:rPr>
            </w:pPr>
            <w:r>
              <w:rPr>
                <w:rFonts w:hint="eastAsia" w:ascii="宋体" w:hAnsi="宋体" w:cs="宋体"/>
                <w:b/>
                <w:color w:val="auto"/>
                <w:sz w:val="24"/>
                <w:highlight w:val="none"/>
              </w:rPr>
              <w:t>未提交单独密封的开标一览表，其投标将被拒绝或作无效投标处理。</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（2）投标文件正本1份、副本4份；密封在一起。</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（3）投标文件电子文档1份。投标文件电子文档应为PDF格式文件，并应是投标文件正本（加盖公章）所有内容的清晰扫描件。电子文档内容和投标文件正本应保持完全一致，不能有缺漏。</w:t>
            </w:r>
          </w:p>
          <w:p>
            <w:pPr>
              <w:spacing w:line="360" w:lineRule="auto"/>
              <w:rPr>
                <w:rFonts w:ascii="宋体"/>
                <w:color w:val="auto"/>
                <w:sz w:val="24"/>
                <w:highlight w:val="none"/>
              </w:rPr>
            </w:pPr>
            <w:r>
              <w:rPr>
                <w:rFonts w:hint="eastAsia" w:ascii="宋体" w:hAnsi="宋体" w:cs="宋体"/>
                <w:b/>
                <w:color w:val="auto"/>
                <w:sz w:val="24"/>
                <w:highlight w:val="none"/>
              </w:rPr>
              <w:t>正、副本不得采用活页装订，否则视为无效处理，投标文件一律不退。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20</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hAnsi="宋体" w:cs="宋体"/>
                <w:color w:val="auto"/>
                <w:sz w:val="24"/>
                <w:highlight w:val="none"/>
              </w:rPr>
              <w:t>投标文件签章</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 w:val="24"/>
                <w:highlight w:val="none"/>
              </w:rPr>
            </w:pPr>
            <w:r>
              <w:rPr>
                <w:rFonts w:hint="eastAsia" w:ascii="宋体" w:hAnsi="宋体" w:cs="宋体"/>
                <w:color w:val="auto"/>
                <w:sz w:val="24"/>
                <w:highlight w:val="none"/>
              </w:rPr>
              <w:t>投标文件应由法定代表人或授权代表人在规定的签章处签章的，应逐一签章，在规定加盖单位公章处应加盖单位公章。</w:t>
            </w:r>
            <w:r>
              <w:rPr>
                <w:rFonts w:hint="eastAsia" w:ascii="宋体" w:hAnsi="宋体" w:cs="宋体"/>
                <w:b/>
                <w:bCs/>
                <w:color w:val="auto"/>
                <w:sz w:val="24"/>
                <w:highlight w:val="none"/>
              </w:rPr>
              <w:t>未按招标文件要求签字盖章的，投标无效。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21</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采购代理机构</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单位名称：</w:t>
            </w:r>
            <w:r>
              <w:rPr>
                <w:rFonts w:hint="eastAsia" w:ascii="宋体" w:hAnsi="宋体"/>
                <w:color w:val="auto"/>
                <w:sz w:val="24"/>
                <w:highlight w:val="none"/>
              </w:rPr>
              <w:t>新疆星耀天都项目管理有限责任公司</w:t>
            </w:r>
          </w:p>
          <w:p>
            <w:pPr>
              <w:spacing w:line="360" w:lineRule="auto"/>
              <w:rPr>
                <w:rFonts w:ascii="宋体"/>
                <w:color w:val="auto"/>
                <w:sz w:val="24"/>
                <w:highlight w:val="none"/>
              </w:rPr>
            </w:pPr>
            <w:r>
              <w:rPr>
                <w:rFonts w:hint="eastAsia" w:ascii="宋体"/>
                <w:color w:val="auto"/>
                <w:sz w:val="24"/>
                <w:highlight w:val="none"/>
              </w:rPr>
              <w:t>单位地址：乌鲁木齐市天山区光明路59号时代广场A座24F</w:t>
            </w:r>
          </w:p>
          <w:p>
            <w:pPr>
              <w:spacing w:line="360" w:lineRule="auto"/>
              <w:rPr>
                <w:rFonts w:hint="eastAsia" w:ascii="宋体" w:hAnsi="宋体" w:eastAsia="宋体"/>
                <w:color w:val="auto"/>
                <w:sz w:val="24"/>
                <w:highlight w:val="none"/>
                <w:lang w:eastAsia="zh-CN"/>
              </w:rPr>
            </w:pPr>
            <w:r>
              <w:rPr>
                <w:rFonts w:hint="eastAsia" w:ascii="宋体"/>
                <w:color w:val="auto"/>
                <w:sz w:val="24"/>
                <w:highlight w:val="none"/>
              </w:rPr>
              <w:t>联 系 人：</w:t>
            </w:r>
            <w:r>
              <w:rPr>
                <w:rFonts w:hint="eastAsia" w:ascii="宋体"/>
                <w:color w:val="auto"/>
                <w:sz w:val="24"/>
                <w:highlight w:val="none"/>
                <w:lang w:eastAsia="zh-CN"/>
              </w:rPr>
              <w:t>徐乃东</w:t>
            </w:r>
          </w:p>
          <w:p>
            <w:pPr>
              <w:spacing w:line="360" w:lineRule="auto"/>
              <w:rPr>
                <w:rFonts w:hint="eastAsia" w:ascii="宋体" w:eastAsia="宋体"/>
                <w:color w:val="auto"/>
                <w:sz w:val="24"/>
                <w:highlight w:val="none"/>
                <w:lang w:eastAsia="zh-CN"/>
              </w:rPr>
            </w:pPr>
            <w:r>
              <w:rPr>
                <w:rFonts w:hint="eastAsia" w:ascii="宋体"/>
                <w:color w:val="auto"/>
                <w:sz w:val="24"/>
                <w:highlight w:val="none"/>
              </w:rPr>
              <w:t>电  话：</w:t>
            </w:r>
            <w:r>
              <w:rPr>
                <w:rFonts w:hint="eastAsia" w:ascii="宋体" w:hAnsi="宋体"/>
                <w:color w:val="auto"/>
                <w:sz w:val="24"/>
                <w:highlight w:val="none"/>
                <w:lang w:eastAsia="zh-CN"/>
              </w:rPr>
              <w:t>15699217207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22</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资质审查</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b/>
                <w:bCs/>
                <w:color w:val="auto"/>
                <w:sz w:val="24"/>
                <w:highlight w:val="none"/>
              </w:rPr>
            </w:pPr>
            <w:r>
              <w:rPr>
                <w:rFonts w:hint="eastAsia" w:ascii="宋体"/>
                <w:b/>
                <w:bCs/>
                <w:color w:val="auto"/>
                <w:sz w:val="24"/>
                <w:highlight w:val="none"/>
              </w:rPr>
              <w:t>开标时现场须单独携带以下资质审查文件：</w:t>
            </w:r>
          </w:p>
          <w:p>
            <w:pPr>
              <w:spacing w:line="360" w:lineRule="auto"/>
              <w:rPr>
                <w:rFonts w:ascii="宋体"/>
                <w:color w:val="auto"/>
                <w:sz w:val="24"/>
                <w:highlight w:val="none"/>
              </w:rPr>
            </w:pPr>
            <w:r>
              <w:rPr>
                <w:rFonts w:hint="eastAsia" w:ascii="宋体"/>
                <w:color w:val="auto"/>
                <w:sz w:val="24"/>
                <w:highlight w:val="none"/>
              </w:rPr>
              <w:t xml:space="preserve">1.有效的营业执照原件或复印件； </w:t>
            </w:r>
          </w:p>
          <w:p>
            <w:pPr>
              <w:spacing w:line="360" w:lineRule="auto"/>
              <w:rPr>
                <w:rFonts w:ascii="宋体"/>
                <w:color w:val="auto"/>
                <w:sz w:val="24"/>
                <w:highlight w:val="none"/>
              </w:rPr>
            </w:pPr>
            <w:r>
              <w:rPr>
                <w:rFonts w:hint="eastAsia" w:ascii="宋体"/>
                <w:color w:val="auto"/>
                <w:sz w:val="24"/>
                <w:highlight w:val="none"/>
              </w:rPr>
              <w:t>2.授权委托书原件，按招标文件规定的格式填写、签署和盖章；</w:t>
            </w:r>
          </w:p>
          <w:p>
            <w:pPr>
              <w:spacing w:line="360" w:lineRule="auto"/>
              <w:rPr>
                <w:rFonts w:ascii="宋体"/>
                <w:color w:val="auto"/>
                <w:sz w:val="24"/>
                <w:highlight w:val="none"/>
              </w:rPr>
            </w:pPr>
            <w:r>
              <w:rPr>
                <w:rFonts w:hint="eastAsia" w:ascii="宋体"/>
                <w:color w:val="auto"/>
                <w:sz w:val="24"/>
                <w:highlight w:val="none"/>
              </w:rPr>
              <w:t>3.委托代理人身份证原件；</w:t>
            </w:r>
          </w:p>
          <w:p>
            <w:pPr>
              <w:spacing w:line="360" w:lineRule="auto"/>
              <w:rPr>
                <w:rFonts w:ascii="宋体"/>
                <w:color w:val="auto"/>
                <w:sz w:val="24"/>
                <w:highlight w:val="none"/>
              </w:rPr>
            </w:pPr>
            <w:r>
              <w:rPr>
                <w:rFonts w:hint="eastAsia" w:ascii="宋体"/>
                <w:color w:val="auto"/>
                <w:sz w:val="24"/>
                <w:highlight w:val="none"/>
              </w:rPr>
              <w:t>4.提供会计师事务所出具的</w:t>
            </w:r>
            <w:r>
              <w:rPr>
                <w:rFonts w:hint="eastAsia" w:ascii="宋体"/>
                <w:color w:val="auto"/>
                <w:sz w:val="24"/>
                <w:highlight w:val="none"/>
                <w:lang w:val="en-US" w:eastAsia="zh-CN"/>
              </w:rPr>
              <w:t>上一年度</w:t>
            </w:r>
            <w:r>
              <w:rPr>
                <w:rFonts w:hint="eastAsia" w:ascii="宋体"/>
                <w:color w:val="auto"/>
                <w:sz w:val="24"/>
                <w:highlight w:val="none"/>
              </w:rPr>
              <w:t>财务审计报告或银行开具的资信证明；</w:t>
            </w:r>
          </w:p>
          <w:p>
            <w:pPr>
              <w:spacing w:line="360" w:lineRule="auto"/>
              <w:rPr>
                <w:rFonts w:ascii="宋体"/>
                <w:color w:val="auto"/>
                <w:sz w:val="24"/>
                <w:highlight w:val="none"/>
              </w:rPr>
            </w:pPr>
            <w:r>
              <w:rPr>
                <w:rFonts w:hint="eastAsia" w:ascii="宋体"/>
                <w:color w:val="auto"/>
                <w:sz w:val="24"/>
                <w:highlight w:val="none"/>
                <w:lang w:val="en-US" w:eastAsia="zh-CN"/>
              </w:rPr>
              <w:t>5</w:t>
            </w:r>
            <w:r>
              <w:rPr>
                <w:rFonts w:hint="eastAsia" w:ascii="宋体"/>
                <w:color w:val="auto"/>
                <w:sz w:val="24"/>
                <w:highlight w:val="none"/>
              </w:rPr>
              <w:t>.提供了可充分满足履行合同所需设备和专业技术能力的承诺书；</w:t>
            </w:r>
          </w:p>
          <w:p>
            <w:pPr>
              <w:spacing w:line="360" w:lineRule="auto"/>
              <w:rPr>
                <w:rFonts w:ascii="宋体"/>
                <w:color w:val="auto"/>
                <w:sz w:val="24"/>
                <w:highlight w:val="none"/>
              </w:rPr>
            </w:pPr>
            <w:r>
              <w:rPr>
                <w:rFonts w:hint="eastAsia" w:ascii="宋体"/>
                <w:color w:val="auto"/>
                <w:sz w:val="24"/>
                <w:highlight w:val="none"/>
                <w:lang w:val="en-US" w:eastAsia="zh-CN"/>
              </w:rPr>
              <w:t>6</w:t>
            </w:r>
            <w:r>
              <w:rPr>
                <w:rFonts w:ascii="宋体"/>
                <w:color w:val="auto"/>
                <w:sz w:val="24"/>
                <w:highlight w:val="none"/>
              </w:rPr>
              <w:t>.</w:t>
            </w:r>
            <w:r>
              <w:rPr>
                <w:rFonts w:hint="eastAsia" w:ascii="宋体"/>
                <w:color w:val="auto"/>
                <w:sz w:val="24"/>
                <w:highlight w:val="none"/>
              </w:rPr>
              <w:t>投标人需提供</w:t>
            </w:r>
            <w:r>
              <w:rPr>
                <w:rFonts w:hint="eastAsia" w:ascii="宋体" w:hAnsi="Arial"/>
                <w:color w:val="auto"/>
                <w:kern w:val="0"/>
                <w:sz w:val="24"/>
                <w:szCs w:val="28"/>
                <w:highlight w:val="none"/>
              </w:rPr>
              <w:t>依法缴纳税收和社会保障资金的良好记录的证明文件；</w:t>
            </w:r>
          </w:p>
          <w:p>
            <w:pPr>
              <w:pStyle w:val="80"/>
              <w:spacing w:line="360" w:lineRule="auto"/>
              <w:rPr>
                <w:rFonts w:ascii="宋体"/>
                <w:color w:val="auto"/>
                <w:sz w:val="24"/>
                <w:highlight w:val="none"/>
              </w:rPr>
            </w:pPr>
            <w:r>
              <w:rPr>
                <w:rFonts w:hint="eastAsia" w:ascii="宋体"/>
                <w:color w:val="auto"/>
                <w:sz w:val="24"/>
                <w:highlight w:val="none"/>
                <w:lang w:val="en-US" w:eastAsia="zh-CN"/>
              </w:rPr>
              <w:t>7</w:t>
            </w:r>
            <w:r>
              <w:rPr>
                <w:rFonts w:hint="eastAsia" w:ascii="宋体"/>
                <w:color w:val="auto"/>
                <w:sz w:val="24"/>
                <w:highlight w:val="none"/>
              </w:rPr>
              <w:t>.提供了参加政府采购活动前三年内，在经营活动中没有重大违法记录的书面声明函；</w:t>
            </w:r>
          </w:p>
          <w:p>
            <w:pPr>
              <w:spacing w:line="360" w:lineRule="auto"/>
              <w:rPr>
                <w:rFonts w:ascii="宋体"/>
                <w:color w:val="auto"/>
                <w:sz w:val="24"/>
                <w:highlight w:val="none"/>
              </w:rPr>
            </w:pPr>
            <w:r>
              <w:rPr>
                <w:rFonts w:hint="eastAsia" w:ascii="宋体"/>
                <w:color w:val="auto"/>
                <w:sz w:val="24"/>
                <w:highlight w:val="none"/>
                <w:lang w:val="en-US" w:eastAsia="zh-CN"/>
              </w:rPr>
              <w:t>8</w:t>
            </w:r>
            <w:r>
              <w:rPr>
                <w:rFonts w:hint="eastAsia" w:ascii="宋体"/>
                <w:color w:val="auto"/>
                <w:sz w:val="24"/>
                <w:highlight w:val="none"/>
              </w:rPr>
              <w:t>.在中华人民共和国境内注册，未在“信用中国”网站（www.creditchina.gov.cn</w:t>
            </w:r>
            <w:r>
              <w:rPr>
                <w:rFonts w:hint="eastAsia" w:ascii="宋体"/>
                <w:color w:val="auto"/>
                <w:sz w:val="24"/>
                <w:highlight w:val="none"/>
                <w:lang w:eastAsia="zh-CN"/>
              </w:rPr>
              <w:t>）</w:t>
            </w:r>
            <w:r>
              <w:rPr>
                <w:rFonts w:hint="eastAsia" w:ascii="宋体"/>
                <w:color w:val="auto"/>
                <w:sz w:val="24"/>
                <w:highlight w:val="none"/>
              </w:rPr>
              <w:t>、“中国政府采购网”（www.ccgp.gov.cn）等渠道列入失信被执行人、重大税收违法</w:t>
            </w:r>
            <w:r>
              <w:rPr>
                <w:rFonts w:hint="eastAsia" w:ascii="宋体"/>
                <w:color w:val="auto"/>
                <w:sz w:val="24"/>
                <w:highlight w:val="none"/>
                <w:lang w:eastAsia="zh-CN"/>
              </w:rPr>
              <w:t>黑</w:t>
            </w:r>
            <w:r>
              <w:rPr>
                <w:rFonts w:hint="eastAsia" w:ascii="宋体"/>
                <w:color w:val="auto"/>
                <w:sz w:val="24"/>
                <w:highlight w:val="none"/>
              </w:rPr>
              <w:t>名单、政府采购严重违法失信行为记录名单（</w:t>
            </w:r>
            <w:r>
              <w:rPr>
                <w:rFonts w:hint="eastAsia" w:ascii="宋体"/>
                <w:color w:val="auto"/>
                <w:sz w:val="24"/>
                <w:highlight w:val="none"/>
                <w:lang w:eastAsia="zh-CN"/>
              </w:rPr>
              <w:t>截止时点</w:t>
            </w:r>
            <w:r>
              <w:rPr>
                <w:rFonts w:hint="eastAsia" w:ascii="宋体"/>
                <w:color w:val="auto"/>
                <w:sz w:val="24"/>
                <w:highlight w:val="none"/>
              </w:rPr>
              <w:t>:投标截止</w:t>
            </w:r>
            <w:r>
              <w:rPr>
                <w:rFonts w:hint="eastAsia" w:ascii="宋体"/>
                <w:color w:val="auto"/>
                <w:sz w:val="24"/>
                <w:highlight w:val="none"/>
                <w:lang w:eastAsia="zh-CN"/>
              </w:rPr>
              <w:t>时间以后，资格审查阶段采购人或采购代理机构的实际查询，查询结果网页打印页作为查询记录和证据，与其他采购文件一并保存，无须</w:t>
            </w:r>
            <w:r>
              <w:rPr>
                <w:rFonts w:hint="eastAsia" w:ascii="宋体"/>
                <w:color w:val="auto"/>
                <w:sz w:val="24"/>
                <w:highlight w:val="none"/>
                <w:lang w:val="en-US" w:eastAsia="zh-CN"/>
              </w:rPr>
              <w:t>投标单位提供</w:t>
            </w:r>
            <w:r>
              <w:rPr>
                <w:rFonts w:hint="eastAsia" w:ascii="宋体"/>
                <w:color w:val="auto"/>
                <w:sz w:val="24"/>
                <w:highlight w:val="none"/>
              </w:rPr>
              <w:t>）</w:t>
            </w:r>
            <w:r>
              <w:rPr>
                <w:rFonts w:hint="eastAsia" w:ascii="宋体"/>
                <w:color w:val="auto"/>
                <w:sz w:val="24"/>
                <w:highlight w:val="none"/>
                <w:lang w:eastAsia="zh-CN"/>
              </w:rPr>
              <w:t>。</w:t>
            </w:r>
          </w:p>
          <w:p>
            <w:pPr>
              <w:spacing w:line="360" w:lineRule="auto"/>
              <w:rPr>
                <w:color w:val="auto"/>
                <w:highlight w:val="none"/>
              </w:rPr>
            </w:pPr>
            <w:r>
              <w:rPr>
                <w:rFonts w:hint="eastAsia" w:ascii="宋体"/>
                <w:b/>
                <w:bCs/>
                <w:color w:val="auto"/>
                <w:sz w:val="24"/>
                <w:highlight w:val="none"/>
              </w:rPr>
              <w:t>备注：</w:t>
            </w:r>
            <w:r>
              <w:rPr>
                <w:rFonts w:hint="eastAsia" w:ascii="宋体"/>
                <w:color w:val="auto"/>
                <w:sz w:val="24"/>
                <w:highlight w:val="none"/>
              </w:rPr>
              <w:t xml:space="preserve"> 以上资料复印件须加盖单位公章。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23</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最高限价</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b/>
                <w:bCs/>
                <w:color w:val="auto"/>
                <w:sz w:val="24"/>
                <w:highlight w:val="none"/>
              </w:rPr>
            </w:pPr>
            <w:r>
              <w:rPr>
                <w:rFonts w:hint="eastAsia" w:ascii="宋体" w:hAnsi="宋体"/>
                <w:b/>
                <w:color w:val="auto"/>
                <w:sz w:val="24"/>
                <w:highlight w:val="none"/>
              </w:rPr>
              <w:t>本次采购设置最高限价，最高限价为</w:t>
            </w:r>
            <w:r>
              <w:rPr>
                <w:rFonts w:hint="eastAsia" w:ascii="宋体" w:hAnsi="宋体"/>
                <w:b/>
                <w:color w:val="auto"/>
                <w:sz w:val="24"/>
                <w:highlight w:val="none"/>
                <w:lang w:eastAsia="zh-CN"/>
              </w:rPr>
              <w:t>172.55</w:t>
            </w:r>
            <w:r>
              <w:rPr>
                <w:rFonts w:hint="eastAsia" w:ascii="宋体" w:hAnsi="宋体"/>
                <w:b/>
                <w:color w:val="auto"/>
                <w:sz w:val="24"/>
                <w:highlight w:val="none"/>
              </w:rPr>
              <w:t>万元。各投标人的投标报价超出此范围将作废标处理。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left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24</w:t>
            </w:r>
          </w:p>
        </w:tc>
        <w:tc>
          <w:tcPr>
            <w:tcW w:w="1905" w:type="dxa"/>
            <w:tcBorders>
              <w:left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政府采购政策功能</w:t>
            </w:r>
          </w:p>
        </w:tc>
        <w:tc>
          <w:tcPr>
            <w:tcW w:w="7275" w:type="dxa"/>
            <w:tcBorders>
              <w:top w:val="single" w:color="auto" w:sz="4" w:space="0"/>
              <w:left w:val="single" w:color="auto" w:sz="4" w:space="0"/>
              <w:bottom w:val="single" w:color="auto" w:sz="4" w:space="0"/>
              <w:right w:val="single" w:color="auto" w:sz="4" w:space="0"/>
            </w:tcBorders>
            <w:vAlign w:val="center"/>
          </w:tcPr>
          <w:p>
            <w:pPr>
              <w:numPr>
                <w:ilvl w:val="0"/>
                <w:numId w:val="29"/>
              </w:numPr>
              <w:spacing w:line="360" w:lineRule="auto"/>
              <w:rPr>
                <w:rFonts w:ascii="宋体" w:hAnsi="宋体"/>
                <w:color w:val="auto"/>
                <w:sz w:val="24"/>
                <w:highlight w:val="none"/>
              </w:rPr>
            </w:pPr>
            <w:r>
              <w:rPr>
                <w:rFonts w:hint="eastAsia" w:ascii="宋体" w:hAnsi="宋体"/>
                <w:color w:val="auto"/>
                <w:sz w:val="24"/>
                <w:highlight w:val="none"/>
              </w:rPr>
              <w:t>促进中小企业发展政策：根据《政府采购促进中小企业发展管理办法》规定，本项目报价产品为小型或微型企业生产的，将对该报价产品的评审报价给予</w:t>
            </w:r>
            <w:r>
              <w:rPr>
                <w:rFonts w:hint="eastAsia" w:ascii="宋体" w:hAnsi="宋体"/>
                <w:color w:val="auto"/>
                <w:sz w:val="24"/>
                <w:highlight w:val="none"/>
                <w:lang w:val="en-US" w:eastAsia="zh-CN"/>
              </w:rPr>
              <w:t>10</w:t>
            </w:r>
            <w:r>
              <w:rPr>
                <w:rFonts w:hint="eastAsia" w:ascii="宋体" w:hAnsi="宋体"/>
                <w:color w:val="auto"/>
                <w:sz w:val="24"/>
                <w:highlight w:val="none"/>
              </w:rPr>
              <w:t>%的扣除。供应商应出具招标文件中要求的《中小企业声明函》，否则评审时不予认可。供应商应对提交的中小企业声明函的真实性负责，提交的中小企业声明函不真实的，应承担相应的法律责任。</w:t>
            </w:r>
          </w:p>
          <w:p>
            <w:pPr>
              <w:numPr>
                <w:ilvl w:val="0"/>
                <w:numId w:val="29"/>
              </w:numPr>
              <w:spacing w:line="360" w:lineRule="auto"/>
              <w:rPr>
                <w:rFonts w:ascii="宋体" w:hAnsi="宋体"/>
                <w:color w:val="auto"/>
                <w:sz w:val="24"/>
                <w:highlight w:val="none"/>
              </w:rPr>
            </w:pPr>
            <w:r>
              <w:rPr>
                <w:rFonts w:hint="eastAsia" w:ascii="宋体" w:hAnsi="宋体"/>
                <w:color w:val="auto"/>
                <w:sz w:val="24"/>
                <w:highlight w:val="none"/>
              </w:rPr>
              <w:t>监狱企业扶持政策：供应商如为监狱企业将视同小型或微型企业，且报价产品为小型或微型企业生产的，将对该产品的评审报价给予</w:t>
            </w:r>
            <w:r>
              <w:rPr>
                <w:rFonts w:hint="eastAsia" w:ascii="宋体" w:hAnsi="宋体"/>
                <w:color w:val="auto"/>
                <w:sz w:val="24"/>
                <w:highlight w:val="none"/>
                <w:lang w:val="en-US" w:eastAsia="zh-CN"/>
              </w:rPr>
              <w:t>10</w:t>
            </w:r>
            <w:r>
              <w:rPr>
                <w:rFonts w:hint="eastAsia" w:ascii="宋体" w:hAnsi="宋体"/>
                <w:color w:val="auto"/>
                <w:sz w:val="24"/>
                <w:highlight w:val="none"/>
              </w:rPr>
              <w:t>%的扣除。供应商为监狱企业的，应提供由省级以上监狱管理局、戒毒管理局（含新疆生产建设兵团）出具的属于监狱企业的证明文件或声明函。供应商应对提交属于监狱企业的证明文件的真实性负责，提交的监狱企业的证明文件不真实的，应承担相应的法律责任。</w:t>
            </w:r>
          </w:p>
          <w:p>
            <w:pPr>
              <w:spacing w:line="360" w:lineRule="auto"/>
              <w:rPr>
                <w:rFonts w:ascii="宋体" w:hAnsi="宋体"/>
                <w:color w:val="auto"/>
                <w:sz w:val="24"/>
                <w:highlight w:val="none"/>
              </w:rPr>
            </w:pPr>
            <w:r>
              <w:rPr>
                <w:rFonts w:hint="eastAsia" w:ascii="宋体" w:hAnsi="宋体"/>
                <w:color w:val="auto"/>
                <w:sz w:val="24"/>
                <w:highlight w:val="none"/>
              </w:rPr>
              <w:t>（3）残疾人福利性单位视同小型、微型企业。不重复享受政策。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left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25</w:t>
            </w:r>
          </w:p>
        </w:tc>
        <w:tc>
          <w:tcPr>
            <w:tcW w:w="1905" w:type="dxa"/>
            <w:tcBorders>
              <w:left w:val="single" w:color="auto" w:sz="4" w:space="0"/>
              <w:right w:val="single" w:color="auto" w:sz="4" w:space="0"/>
            </w:tcBorders>
            <w:vAlign w:val="center"/>
          </w:tcPr>
          <w:p>
            <w:pPr>
              <w:spacing w:line="360" w:lineRule="auto"/>
              <w:rPr>
                <w:rFonts w:ascii="宋体"/>
                <w:color w:val="auto"/>
                <w:spacing w:val="-14"/>
                <w:sz w:val="24"/>
                <w:highlight w:val="none"/>
              </w:rPr>
            </w:pPr>
            <w:r>
              <w:rPr>
                <w:rFonts w:hint="eastAsia" w:ascii="宋体" w:hAnsi="宋体"/>
                <w:color w:val="auto"/>
                <w:sz w:val="24"/>
                <w:highlight w:val="none"/>
              </w:rPr>
              <w:t>采购代理服务费</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hAnsi="宋体"/>
                <w:color w:val="auto"/>
                <w:sz w:val="24"/>
                <w:highlight w:val="none"/>
              </w:rPr>
              <w:t>参照原国家发展计划委员会文件（计价格[2002]1980号文）和（发改办价格[2003]857号文件），所规定标准计算由</w:t>
            </w:r>
            <w:r>
              <w:rPr>
                <w:rFonts w:hint="eastAsia" w:ascii="宋体" w:hAnsi="宋体"/>
                <w:color w:val="auto"/>
                <w:sz w:val="24"/>
                <w:highlight w:val="none"/>
                <w:lang w:val="en-US" w:eastAsia="zh-CN"/>
              </w:rPr>
              <w:t>采购人</w:t>
            </w:r>
            <w:r>
              <w:rPr>
                <w:rFonts w:hint="eastAsia" w:ascii="宋体" w:hAnsi="宋体"/>
                <w:color w:val="auto"/>
                <w:sz w:val="24"/>
                <w:highlight w:val="none"/>
              </w:rPr>
              <w:t>向招标代理机构支付,</w:t>
            </w:r>
            <w:r>
              <w:rPr>
                <w:rFonts w:hint="eastAsia" w:ascii="宋体" w:hAnsi="宋体"/>
                <w:b/>
                <w:bCs/>
                <w:color w:val="auto"/>
                <w:sz w:val="24"/>
                <w:highlight w:val="none"/>
              </w:rPr>
              <w:t>投标人的投标报价应包含招标代理服务费.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78" w:type="dxa"/>
            <w:vMerge w:val="restart"/>
            <w:tcBorders>
              <w:left w:val="single" w:color="auto" w:sz="4" w:space="0"/>
              <w:right w:val="single" w:color="auto" w:sz="4" w:space="0"/>
            </w:tcBorders>
            <w:vAlign w:val="center"/>
          </w:tcPr>
          <w:p>
            <w:pPr>
              <w:spacing w:line="360" w:lineRule="auto"/>
              <w:jc w:val="center"/>
              <w:rPr>
                <w:rFonts w:hint="default" w:ascii="宋体" w:eastAsia="宋体"/>
                <w:color w:val="auto"/>
                <w:sz w:val="24"/>
                <w:highlight w:val="none"/>
                <w:lang w:val="en-US" w:eastAsia="zh-CN"/>
              </w:rPr>
            </w:pPr>
            <w:r>
              <w:rPr>
                <w:rFonts w:hint="eastAsia" w:ascii="宋体"/>
                <w:color w:val="auto"/>
                <w:sz w:val="24"/>
                <w:highlight w:val="none"/>
                <w:lang w:val="en-US" w:eastAsia="zh-CN"/>
              </w:rPr>
              <w:t>26</w:t>
            </w:r>
          </w:p>
        </w:tc>
        <w:tc>
          <w:tcPr>
            <w:tcW w:w="1905" w:type="dxa"/>
            <w:vMerge w:val="restart"/>
            <w:tcBorders>
              <w:left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color w:val="auto"/>
                <w:sz w:val="24"/>
                <w:highlight w:val="none"/>
              </w:rPr>
              <w:t>备注</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hAnsi="宋体" w:cs="宋体"/>
                <w:b/>
                <w:color w:val="auto"/>
                <w:sz w:val="24"/>
                <w:highlight w:val="none"/>
              </w:rPr>
              <w:t>投标人所投产品</w:t>
            </w:r>
            <w:r>
              <w:rPr>
                <w:rFonts w:hAnsi="宋体" w:cs="宋体"/>
                <w:b/>
                <w:color w:val="auto"/>
                <w:sz w:val="24"/>
                <w:highlight w:val="none"/>
              </w:rPr>
              <w:t>必须</w:t>
            </w:r>
            <w:r>
              <w:rPr>
                <w:rFonts w:hint="eastAsia" w:hAnsi="宋体" w:cs="宋体"/>
                <w:b/>
                <w:color w:val="auto"/>
                <w:sz w:val="24"/>
                <w:highlight w:val="none"/>
              </w:rPr>
              <w:t>是合格的</w:t>
            </w:r>
            <w:r>
              <w:rPr>
                <w:rFonts w:hAnsi="宋体" w:cs="宋体"/>
                <w:b/>
                <w:color w:val="auto"/>
                <w:sz w:val="24"/>
                <w:highlight w:val="none"/>
              </w:rPr>
              <w:t>产品</w:t>
            </w:r>
            <w:r>
              <w:rPr>
                <w:rFonts w:hint="eastAsia"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vMerge w:val="continue"/>
            <w:tcBorders>
              <w:left w:val="single" w:color="auto" w:sz="4" w:space="0"/>
              <w:right w:val="single" w:color="auto" w:sz="4" w:space="0"/>
            </w:tcBorders>
            <w:vAlign w:val="center"/>
          </w:tcPr>
          <w:p>
            <w:pPr>
              <w:spacing w:line="360" w:lineRule="auto"/>
              <w:jc w:val="center"/>
              <w:rPr>
                <w:rFonts w:ascii="宋体"/>
                <w:color w:val="auto"/>
                <w:sz w:val="24"/>
                <w:highlight w:val="none"/>
              </w:rPr>
            </w:pPr>
          </w:p>
        </w:tc>
        <w:tc>
          <w:tcPr>
            <w:tcW w:w="1905" w:type="dxa"/>
            <w:vMerge w:val="continue"/>
            <w:tcBorders>
              <w:left w:val="single" w:color="auto" w:sz="4" w:space="0"/>
              <w:right w:val="single" w:color="auto" w:sz="4" w:space="0"/>
            </w:tcBorders>
            <w:vAlign w:val="center"/>
          </w:tcPr>
          <w:p>
            <w:pPr>
              <w:spacing w:line="360" w:lineRule="auto"/>
              <w:rPr>
                <w:rFonts w:ascii="宋体"/>
                <w:color w:val="auto"/>
                <w:sz w:val="24"/>
                <w:highlight w:val="none"/>
              </w:rPr>
            </w:pP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b/>
                <w:color w:val="auto"/>
                <w:sz w:val="24"/>
                <w:highlight w:val="none"/>
              </w:rPr>
            </w:pPr>
            <w:r>
              <w:rPr>
                <w:rFonts w:hint="eastAsia" w:ascii="宋体" w:hAnsi="宋体" w:cs="宋体"/>
                <w:b/>
                <w:color w:val="auto"/>
                <w:sz w:val="24"/>
                <w:highlight w:val="none"/>
              </w:rPr>
              <w:t>招标文件中部分加“</w:t>
            </w:r>
            <w:r>
              <w:rPr>
                <w:rFonts w:hint="eastAsia" w:ascii="仿宋" w:hAnsi="仿宋" w:eastAsia="仿宋" w:cs="仿宋"/>
                <w:b/>
                <w:color w:val="auto"/>
                <w:sz w:val="24"/>
                <w:highlight w:val="none"/>
              </w:rPr>
              <w:t>★、</w:t>
            </w:r>
            <w:r>
              <w:rPr>
                <w:rFonts w:hint="eastAsia" w:ascii="宋体" w:hAnsi="宋体" w:cs="宋体"/>
                <w:b/>
                <w:color w:val="auto"/>
                <w:sz w:val="24"/>
                <w:highlight w:val="none"/>
              </w:rPr>
              <w:t>加粗</w:t>
            </w:r>
            <w:r>
              <w:rPr>
                <w:rFonts w:hint="eastAsia" w:ascii="仿宋" w:hAnsi="仿宋" w:eastAsia="仿宋" w:cs="仿宋"/>
                <w:b/>
                <w:color w:val="auto"/>
                <w:sz w:val="24"/>
                <w:highlight w:val="none"/>
              </w:rPr>
              <w:t>、</w:t>
            </w:r>
            <w:r>
              <w:rPr>
                <w:rFonts w:hint="eastAsia" w:ascii="宋体" w:hAnsi="宋体" w:cs="宋体"/>
                <w:b/>
                <w:color w:val="auto"/>
                <w:sz w:val="24"/>
                <w:highlight w:val="none"/>
              </w:rPr>
              <w:t>加下划线等”特殊符号的内容，为投标的实质性要求和条件，着重提醒各投标人注意，并认真查看招标文件中的每一个条款及要求，因误读招标文件而造成的后果，招标人概不负责。为了节能减排、保护环境，倡议投标文件双面打印！</w:t>
            </w:r>
          </w:p>
        </w:tc>
      </w:tr>
    </w:tbl>
    <w:p>
      <w:pPr>
        <w:pStyle w:val="38"/>
        <w:rPr>
          <w:b/>
          <w:color w:val="auto"/>
          <w:sz w:val="32"/>
          <w:szCs w:val="32"/>
          <w:highlight w:val="none"/>
        </w:rPr>
      </w:pPr>
      <w:bookmarkStart w:id="1" w:name="_Toc501639724"/>
    </w:p>
    <w:p>
      <w:pPr>
        <w:rPr>
          <w:rFonts w:hint="eastAsia" w:ascii="宋体"/>
          <w:b/>
          <w:color w:val="auto"/>
          <w:sz w:val="32"/>
          <w:szCs w:val="32"/>
          <w:highlight w:val="none"/>
        </w:rPr>
      </w:pPr>
      <w:r>
        <w:rPr>
          <w:rFonts w:hint="eastAsia" w:ascii="宋体"/>
          <w:b/>
          <w:color w:val="auto"/>
          <w:sz w:val="32"/>
          <w:szCs w:val="32"/>
          <w:highlight w:val="none"/>
        </w:rPr>
        <w:br w:type="page"/>
      </w:r>
    </w:p>
    <w:p>
      <w:pPr>
        <w:jc w:val="center"/>
        <w:outlineLvl w:val="0"/>
        <w:rPr>
          <w:rFonts w:ascii="宋体"/>
          <w:b/>
          <w:color w:val="auto"/>
          <w:sz w:val="32"/>
          <w:szCs w:val="32"/>
          <w:highlight w:val="none"/>
        </w:rPr>
      </w:pPr>
      <w:r>
        <w:rPr>
          <w:rFonts w:hint="eastAsia" w:ascii="宋体"/>
          <w:b/>
          <w:color w:val="auto"/>
          <w:sz w:val="32"/>
          <w:szCs w:val="32"/>
          <w:highlight w:val="none"/>
        </w:rPr>
        <w:t>第三章  投标人须知</w:t>
      </w:r>
      <w:bookmarkEnd w:id="1"/>
    </w:p>
    <w:p>
      <w:pPr>
        <w:jc w:val="center"/>
        <w:rPr>
          <w:rFonts w:ascii="宋体"/>
          <w:b/>
          <w:color w:val="auto"/>
          <w:sz w:val="32"/>
          <w:szCs w:val="32"/>
          <w:highlight w:val="none"/>
        </w:rPr>
      </w:pPr>
    </w:p>
    <w:p>
      <w:pPr>
        <w:jc w:val="center"/>
        <w:outlineLvl w:val="1"/>
        <w:rPr>
          <w:rFonts w:ascii="宋体"/>
          <w:b/>
          <w:color w:val="auto"/>
          <w:sz w:val="32"/>
          <w:szCs w:val="32"/>
          <w:highlight w:val="none"/>
        </w:rPr>
      </w:pPr>
      <w:r>
        <w:rPr>
          <w:rFonts w:hint="eastAsia" w:ascii="宋体"/>
          <w:b/>
          <w:color w:val="auto"/>
          <w:sz w:val="32"/>
          <w:szCs w:val="32"/>
          <w:highlight w:val="none"/>
        </w:rPr>
        <w:t>一  说  明</w:t>
      </w:r>
    </w:p>
    <w:p>
      <w:pPr>
        <w:jc w:val="center"/>
        <w:rPr>
          <w:rFonts w:ascii="宋体"/>
          <w:b/>
          <w:color w:val="auto"/>
          <w:sz w:val="32"/>
          <w:szCs w:val="32"/>
          <w:highlight w:val="none"/>
        </w:rPr>
      </w:pPr>
    </w:p>
    <w:p>
      <w:pPr>
        <w:pStyle w:val="445"/>
        <w:spacing w:line="360" w:lineRule="auto"/>
        <w:outlineLvl w:val="2"/>
        <w:rPr>
          <w:rFonts w:ascii="宋体" w:hAnsi="宋体"/>
          <w:b/>
          <w:color w:val="auto"/>
          <w:sz w:val="24"/>
          <w:highlight w:val="none"/>
        </w:rPr>
      </w:pPr>
      <w:r>
        <w:rPr>
          <w:rFonts w:hint="eastAsia" w:ascii="宋体" w:hAnsi="宋体"/>
          <w:b/>
          <w:color w:val="auto"/>
          <w:sz w:val="24"/>
          <w:highlight w:val="none"/>
        </w:rPr>
        <w:t>1.采购人、采购代理机构及投标人</w:t>
      </w:r>
    </w:p>
    <w:p>
      <w:pPr>
        <w:pStyle w:val="445"/>
        <w:spacing w:line="360" w:lineRule="auto"/>
        <w:rPr>
          <w:rFonts w:ascii="宋体" w:hAnsi="宋体"/>
          <w:color w:val="auto"/>
          <w:sz w:val="24"/>
          <w:highlight w:val="none"/>
        </w:rPr>
      </w:pPr>
      <w:r>
        <w:rPr>
          <w:rFonts w:hint="eastAsia" w:ascii="宋体" w:hAnsi="宋体"/>
          <w:color w:val="auto"/>
          <w:sz w:val="24"/>
          <w:highlight w:val="none"/>
        </w:rPr>
        <w:t>1.1采购人：是指依法进行政府采购的国家机关、事业单位、团体组织。本项目采购人为</w:t>
      </w:r>
      <w:r>
        <w:rPr>
          <w:rFonts w:hint="eastAsia" w:ascii="宋体" w:hAnsi="宋体"/>
          <w:color w:val="auto"/>
          <w:sz w:val="24"/>
          <w:highlight w:val="none"/>
          <w:u w:val="single"/>
          <w:lang w:eastAsia="zh-CN"/>
        </w:rPr>
        <w:t>乌鲁木齐市林业有害生物防治检疫站（乌鲁木齐市草原监理站）</w:t>
      </w:r>
      <w:r>
        <w:rPr>
          <w:rFonts w:hint="eastAsia" w:ascii="宋体" w:hAnsi="宋体"/>
          <w:color w:val="auto"/>
          <w:sz w:val="24"/>
          <w:highlight w:val="none"/>
        </w:rPr>
        <w:t>。</w:t>
      </w:r>
    </w:p>
    <w:p>
      <w:pPr>
        <w:pStyle w:val="445"/>
        <w:spacing w:line="360" w:lineRule="auto"/>
        <w:rPr>
          <w:rFonts w:ascii="宋体" w:hAnsi="宋体"/>
          <w:color w:val="auto"/>
          <w:sz w:val="24"/>
          <w:highlight w:val="none"/>
          <w:u w:val="single"/>
        </w:rPr>
      </w:pPr>
      <w:r>
        <w:rPr>
          <w:rFonts w:hint="eastAsia" w:ascii="宋体" w:hAnsi="宋体"/>
          <w:color w:val="auto"/>
          <w:sz w:val="24"/>
          <w:highlight w:val="none"/>
        </w:rPr>
        <w:t>1.2采购代理机构：是指在中国政府采购网或其省级分网站网上登记的代理机构。本次招标的采购代理机构为</w:t>
      </w:r>
      <w:r>
        <w:rPr>
          <w:rFonts w:hint="eastAsia" w:ascii="宋体" w:hAnsi="宋体"/>
          <w:color w:val="auto"/>
          <w:sz w:val="24"/>
          <w:highlight w:val="none"/>
          <w:u w:val="single"/>
        </w:rPr>
        <w:t>新疆星耀天都项目管理有限责任公司</w:t>
      </w:r>
      <w:r>
        <w:rPr>
          <w:rFonts w:hint="eastAsia" w:ascii="宋体" w:hAnsi="宋体"/>
          <w:color w:val="auto"/>
          <w:sz w:val="24"/>
          <w:highlight w:val="none"/>
        </w:rPr>
        <w:t>。</w:t>
      </w:r>
    </w:p>
    <w:p>
      <w:pPr>
        <w:pStyle w:val="445"/>
        <w:spacing w:line="360" w:lineRule="auto"/>
        <w:rPr>
          <w:rFonts w:ascii="宋体" w:hAnsi="宋体"/>
          <w:color w:val="auto"/>
          <w:sz w:val="24"/>
          <w:highlight w:val="none"/>
        </w:rPr>
      </w:pPr>
      <w:r>
        <w:rPr>
          <w:rFonts w:hint="eastAsia" w:ascii="宋体" w:hAnsi="宋体"/>
          <w:color w:val="auto"/>
          <w:sz w:val="24"/>
          <w:highlight w:val="none"/>
        </w:rPr>
        <w:t>1.3投标人：是指响应招标、参加投标竞争的法人、其他组织或者自然人，满足以下条件的投标人是合格的投标人，可以参加本次投标。</w:t>
      </w:r>
    </w:p>
    <w:p>
      <w:pPr>
        <w:pStyle w:val="445"/>
        <w:spacing w:line="360" w:lineRule="auto"/>
        <w:rPr>
          <w:rFonts w:ascii="宋体" w:hAnsi="宋体"/>
          <w:color w:val="auto"/>
          <w:sz w:val="24"/>
          <w:highlight w:val="none"/>
        </w:rPr>
      </w:pPr>
      <w:r>
        <w:rPr>
          <w:rFonts w:hint="eastAsia" w:ascii="宋体" w:hAnsi="宋体"/>
          <w:color w:val="auto"/>
          <w:sz w:val="24"/>
          <w:highlight w:val="none"/>
        </w:rPr>
        <w:t>1.3.1在中华人民共和国境内注册，能够独立承担民事责任，有生产或供应能力的本国供应商，法律法规另有规定的除外；</w:t>
      </w:r>
    </w:p>
    <w:p>
      <w:pPr>
        <w:pStyle w:val="445"/>
        <w:spacing w:line="360" w:lineRule="auto"/>
        <w:rPr>
          <w:rFonts w:ascii="宋体" w:hAnsi="宋体"/>
          <w:color w:val="auto"/>
          <w:sz w:val="24"/>
          <w:highlight w:val="none"/>
        </w:rPr>
      </w:pPr>
      <w:r>
        <w:rPr>
          <w:rFonts w:hint="eastAsia" w:ascii="宋体" w:hAnsi="宋体"/>
          <w:color w:val="auto"/>
          <w:sz w:val="24"/>
          <w:highlight w:val="none"/>
        </w:rPr>
        <w:t>1.3.2</w:t>
      </w:r>
      <w:r>
        <w:rPr>
          <w:rFonts w:ascii="宋体" w:hAnsi="宋体"/>
          <w:color w:val="auto"/>
          <w:sz w:val="24"/>
          <w:highlight w:val="none"/>
        </w:rPr>
        <w:t>符合第一章投标邀请中“投标人资格</w:t>
      </w:r>
      <w:r>
        <w:rPr>
          <w:rFonts w:hint="eastAsia" w:ascii="宋体" w:hAnsi="宋体"/>
          <w:color w:val="auto"/>
          <w:sz w:val="24"/>
          <w:highlight w:val="none"/>
        </w:rPr>
        <w:t>要求</w:t>
      </w:r>
      <w:r>
        <w:rPr>
          <w:rFonts w:ascii="宋体" w:hAnsi="宋体"/>
          <w:color w:val="auto"/>
          <w:sz w:val="24"/>
          <w:highlight w:val="none"/>
        </w:rPr>
        <w:t>”规定的</w:t>
      </w:r>
      <w:r>
        <w:rPr>
          <w:rFonts w:hint="eastAsia" w:ascii="宋体" w:hAnsi="宋体"/>
          <w:color w:val="auto"/>
          <w:sz w:val="24"/>
          <w:highlight w:val="none"/>
        </w:rPr>
        <w:t>内容</w:t>
      </w:r>
      <w:r>
        <w:rPr>
          <w:rFonts w:ascii="宋体" w:hAnsi="宋体"/>
          <w:color w:val="auto"/>
          <w:sz w:val="24"/>
          <w:highlight w:val="none"/>
        </w:rPr>
        <w:t>；</w:t>
      </w:r>
    </w:p>
    <w:p>
      <w:pPr>
        <w:pStyle w:val="445"/>
        <w:spacing w:line="360" w:lineRule="auto"/>
        <w:rPr>
          <w:rFonts w:ascii="宋体" w:hAnsi="宋体"/>
          <w:color w:val="auto"/>
          <w:sz w:val="24"/>
          <w:highlight w:val="none"/>
        </w:rPr>
      </w:pPr>
      <w:r>
        <w:rPr>
          <w:rFonts w:hint="eastAsia" w:ascii="宋体" w:hAnsi="宋体"/>
          <w:color w:val="auto"/>
          <w:sz w:val="24"/>
          <w:highlight w:val="none"/>
        </w:rPr>
        <w:t>1.3.3</w:t>
      </w:r>
      <w:r>
        <w:rPr>
          <w:rFonts w:ascii="宋体" w:hAnsi="宋体"/>
          <w:color w:val="auto"/>
          <w:sz w:val="24"/>
          <w:highlight w:val="none"/>
        </w:rPr>
        <w:t>投标人必须向采购代理机构购买招标文件并登记备案，未向</w:t>
      </w:r>
      <w:r>
        <w:rPr>
          <w:rFonts w:hint="eastAsia" w:ascii="宋体" w:hAnsi="宋体"/>
          <w:color w:val="auto"/>
          <w:sz w:val="24"/>
          <w:highlight w:val="none"/>
        </w:rPr>
        <w:t>采购代理机构</w:t>
      </w:r>
      <w:r>
        <w:rPr>
          <w:rFonts w:ascii="宋体" w:hAnsi="宋体"/>
          <w:color w:val="auto"/>
          <w:sz w:val="24"/>
          <w:highlight w:val="none"/>
        </w:rPr>
        <w:t>购买招标文件并登记备案的无资格参加本次投标</w:t>
      </w:r>
      <w:r>
        <w:rPr>
          <w:rFonts w:hint="eastAsia" w:ascii="宋体" w:hAnsi="宋体"/>
          <w:color w:val="auto"/>
          <w:sz w:val="24"/>
          <w:highlight w:val="none"/>
        </w:rPr>
        <w:t>；</w:t>
      </w:r>
    </w:p>
    <w:p>
      <w:pPr>
        <w:pStyle w:val="445"/>
        <w:spacing w:line="360" w:lineRule="auto"/>
        <w:rPr>
          <w:rFonts w:ascii="宋体" w:hAnsi="宋体"/>
          <w:color w:val="auto"/>
          <w:sz w:val="24"/>
          <w:highlight w:val="none"/>
        </w:rPr>
      </w:pPr>
      <w:r>
        <w:rPr>
          <w:rFonts w:hint="eastAsia" w:ascii="宋体" w:hAnsi="宋体"/>
          <w:color w:val="auto"/>
          <w:sz w:val="24"/>
          <w:highlight w:val="none"/>
        </w:rPr>
        <w:t>1.3.4如投标人须知前附表中允许联合体投标，对联合体规定如下：</w:t>
      </w:r>
    </w:p>
    <w:p>
      <w:pPr>
        <w:pStyle w:val="445"/>
        <w:spacing w:line="360" w:lineRule="auto"/>
        <w:rPr>
          <w:rFonts w:ascii="宋体" w:hAnsi="宋体"/>
          <w:color w:val="auto"/>
          <w:sz w:val="24"/>
          <w:highlight w:val="none"/>
        </w:rPr>
      </w:pPr>
      <w:r>
        <w:rPr>
          <w:rFonts w:hint="eastAsia" w:ascii="宋体" w:hAnsi="宋体"/>
          <w:color w:val="auto"/>
          <w:sz w:val="24"/>
          <w:highlight w:val="none"/>
        </w:rPr>
        <w:t>1.3.4</w:t>
      </w:r>
      <w:r>
        <w:rPr>
          <w:rFonts w:ascii="宋体" w:hAnsi="宋体"/>
          <w:color w:val="auto"/>
          <w:sz w:val="24"/>
          <w:highlight w:val="none"/>
        </w:rPr>
        <w:t>.</w:t>
      </w:r>
      <w:r>
        <w:rPr>
          <w:rFonts w:hint="eastAsia" w:ascii="宋体" w:hAnsi="宋体"/>
          <w:color w:val="auto"/>
          <w:sz w:val="24"/>
          <w:highlight w:val="none"/>
        </w:rPr>
        <w:t>1两个以上的自然人、法人或者其他组织可以组成一个联合体，以一个投标人的身份共同参加政府采购。</w:t>
      </w:r>
    </w:p>
    <w:p>
      <w:pPr>
        <w:pStyle w:val="445"/>
        <w:spacing w:line="360" w:lineRule="auto"/>
        <w:rPr>
          <w:rFonts w:ascii="宋体" w:hAnsi="宋体"/>
          <w:color w:val="auto"/>
          <w:sz w:val="24"/>
          <w:highlight w:val="none"/>
        </w:rPr>
      </w:pPr>
      <w:r>
        <w:rPr>
          <w:rFonts w:hint="eastAsia" w:ascii="宋体" w:hAnsi="宋体"/>
          <w:color w:val="auto"/>
          <w:sz w:val="24"/>
          <w:highlight w:val="none"/>
        </w:rPr>
        <w:t>1.3.4</w:t>
      </w:r>
      <w:r>
        <w:rPr>
          <w:rFonts w:ascii="宋体" w:hAnsi="宋体"/>
          <w:color w:val="auto"/>
          <w:sz w:val="24"/>
          <w:highlight w:val="none"/>
        </w:rPr>
        <w:t>.</w:t>
      </w:r>
      <w:r>
        <w:rPr>
          <w:rFonts w:hint="eastAsia" w:ascii="宋体" w:hAnsi="宋体"/>
          <w:color w:val="auto"/>
          <w:sz w:val="24"/>
          <w:highlight w:val="none"/>
        </w:rPr>
        <w:t>2以联合体形式进行政府采购的，参加联合体的投标人均应当具备《中华人民共和国政府采购法》第二十二条规定的条件。</w:t>
      </w:r>
    </w:p>
    <w:p>
      <w:pPr>
        <w:pStyle w:val="445"/>
        <w:spacing w:line="360" w:lineRule="auto"/>
        <w:rPr>
          <w:rFonts w:ascii="宋体" w:hAnsi="宋体"/>
          <w:color w:val="auto"/>
          <w:sz w:val="24"/>
          <w:highlight w:val="none"/>
        </w:rPr>
      </w:pPr>
      <w:r>
        <w:rPr>
          <w:rFonts w:hint="eastAsia" w:ascii="宋体" w:hAnsi="宋体"/>
          <w:color w:val="auto"/>
          <w:sz w:val="24"/>
          <w:highlight w:val="none"/>
        </w:rPr>
        <w:t>1.3.4</w:t>
      </w:r>
      <w:r>
        <w:rPr>
          <w:rFonts w:ascii="宋体" w:hAnsi="宋体"/>
          <w:color w:val="auto"/>
          <w:sz w:val="24"/>
          <w:highlight w:val="none"/>
        </w:rPr>
        <w:t>.</w:t>
      </w:r>
      <w:r>
        <w:rPr>
          <w:rFonts w:hint="eastAsia" w:ascii="宋体" w:hAnsi="宋体"/>
          <w:color w:val="auto"/>
          <w:sz w:val="24"/>
          <w:highlight w:val="none"/>
        </w:rPr>
        <w:t>3联合体各方应签订联合体协议，载明联合体各方承担的工作和义务，联合体各方应当共同与采购人签订采购合同，就采购合同约定的事项对采购人承担连带责任。</w:t>
      </w:r>
    </w:p>
    <w:p>
      <w:pPr>
        <w:pStyle w:val="445"/>
        <w:spacing w:line="360" w:lineRule="auto"/>
        <w:rPr>
          <w:rFonts w:hint="eastAsia" w:ascii="宋体" w:hAnsi="宋体"/>
          <w:color w:val="auto"/>
          <w:sz w:val="24"/>
          <w:highlight w:val="none"/>
        </w:rPr>
      </w:pPr>
      <w:r>
        <w:rPr>
          <w:rFonts w:hint="eastAsia" w:ascii="宋体" w:hAnsi="宋体"/>
          <w:color w:val="auto"/>
          <w:sz w:val="24"/>
          <w:highlight w:val="none"/>
        </w:rPr>
        <w:t>1.3.4</w:t>
      </w:r>
      <w:r>
        <w:rPr>
          <w:rFonts w:ascii="宋体" w:hAnsi="宋体"/>
          <w:color w:val="auto"/>
          <w:sz w:val="24"/>
          <w:highlight w:val="none"/>
        </w:rPr>
        <w:t>.</w:t>
      </w:r>
      <w:r>
        <w:rPr>
          <w:rFonts w:hint="eastAsia" w:ascii="宋体" w:hAnsi="宋体"/>
          <w:color w:val="auto"/>
          <w:sz w:val="24"/>
          <w:highlight w:val="none"/>
        </w:rPr>
        <w:t>4联合体各方签订联合体协议后，不得再以自己名义单独在同一项目中投标，也不得组成新的联合体参加同一项目投标。</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本项目不接受联合体投标。</w:t>
      </w:r>
    </w:p>
    <w:p>
      <w:pPr>
        <w:pStyle w:val="445"/>
        <w:spacing w:line="360"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.3.</w:t>
      </w:r>
      <w:r>
        <w:rPr>
          <w:rFonts w:hint="eastAsia" w:ascii="宋体" w:hAnsi="宋体"/>
          <w:color w:val="auto"/>
          <w:sz w:val="24"/>
          <w:highlight w:val="none"/>
        </w:rPr>
        <w:t>5</w:t>
      </w:r>
      <w:r>
        <w:rPr>
          <w:rFonts w:ascii="宋体" w:hAnsi="宋体"/>
          <w:color w:val="auto"/>
          <w:sz w:val="24"/>
          <w:highlight w:val="none"/>
        </w:rPr>
        <w:t>信用信息</w:t>
      </w:r>
      <w:r>
        <w:rPr>
          <w:rFonts w:hint="eastAsia" w:ascii="宋体" w:hAnsi="宋体"/>
          <w:color w:val="auto"/>
          <w:sz w:val="24"/>
          <w:highlight w:val="none"/>
        </w:rPr>
        <w:t>查询渠道：“信用</w:t>
      </w:r>
      <w:r>
        <w:rPr>
          <w:rFonts w:ascii="宋体" w:hAnsi="宋体"/>
          <w:color w:val="auto"/>
          <w:sz w:val="24"/>
          <w:highlight w:val="none"/>
        </w:rPr>
        <w:t>中国”</w:t>
      </w:r>
      <w:r>
        <w:rPr>
          <w:rFonts w:hint="eastAsia" w:ascii="宋体" w:hAnsi="宋体"/>
          <w:color w:val="auto"/>
          <w:sz w:val="24"/>
          <w:highlight w:val="none"/>
        </w:rPr>
        <w:t>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olor w:val="auto"/>
          <w:sz w:val="24"/>
          <w:highlight w:val="none"/>
        </w:rPr>
        <w:t>www.ccgp.gov.cn</w:t>
      </w:r>
      <w:r>
        <w:rPr>
          <w:rFonts w:hint="eastAsia" w:ascii="宋体" w:hAnsi="宋体"/>
          <w:color w:val="auto"/>
          <w:sz w:val="24"/>
          <w:highlight w:val="none"/>
        </w:rPr>
        <w:fldChar w:fldCharType="end"/>
      </w:r>
      <w:r>
        <w:rPr>
          <w:rFonts w:hint="eastAsia" w:ascii="宋体" w:hAnsi="宋体"/>
          <w:color w:val="auto"/>
          <w:sz w:val="24"/>
          <w:highlight w:val="none"/>
        </w:rPr>
        <w:t>）；</w:t>
      </w:r>
    </w:p>
    <w:p>
      <w:pPr>
        <w:pStyle w:val="445"/>
        <w:spacing w:line="360" w:lineRule="auto"/>
        <w:rPr>
          <w:rFonts w:ascii="宋体" w:hAnsi="宋体"/>
          <w:b/>
          <w:bCs/>
          <w:color w:val="auto"/>
          <w:sz w:val="24"/>
          <w:highlight w:val="none"/>
        </w:rPr>
      </w:pPr>
      <w:r>
        <w:rPr>
          <w:rFonts w:hint="eastAsia" w:ascii="宋体" w:hAnsi="宋体"/>
          <w:color w:val="auto"/>
          <w:sz w:val="24"/>
          <w:highlight w:val="none"/>
        </w:rPr>
        <w:t>1.3.5.1</w:t>
      </w:r>
      <w:r>
        <w:rPr>
          <w:rFonts w:ascii="宋体" w:hAnsi="宋体"/>
          <w:color w:val="auto"/>
          <w:sz w:val="24"/>
          <w:highlight w:val="none"/>
        </w:rPr>
        <w:t>信用信息</w:t>
      </w:r>
      <w:r>
        <w:rPr>
          <w:rFonts w:hint="eastAsia" w:ascii="宋体" w:hAnsi="宋体"/>
          <w:color w:val="auto"/>
          <w:sz w:val="24"/>
          <w:highlight w:val="none"/>
        </w:rPr>
        <w:t>查询截止时点：</w:t>
      </w:r>
      <w:r>
        <w:rPr>
          <w:rFonts w:hint="eastAsia" w:ascii="宋体" w:hAnsi="宋体"/>
          <w:b/>
          <w:bCs/>
          <w:color w:val="auto"/>
          <w:sz w:val="24"/>
          <w:highlight w:val="none"/>
        </w:rPr>
        <w:t>从发布招标公告至投标截止时间当天；</w:t>
      </w:r>
    </w:p>
    <w:p>
      <w:pPr>
        <w:pStyle w:val="445"/>
        <w:spacing w:line="360" w:lineRule="auto"/>
        <w:rPr>
          <w:rFonts w:ascii="宋体" w:hAnsi="宋体"/>
          <w:color w:val="auto"/>
          <w:sz w:val="24"/>
          <w:highlight w:val="none"/>
        </w:rPr>
      </w:pPr>
      <w:r>
        <w:rPr>
          <w:rFonts w:hint="eastAsia" w:ascii="宋体" w:hAnsi="宋体"/>
          <w:color w:val="auto"/>
          <w:sz w:val="24"/>
          <w:highlight w:val="none"/>
        </w:rPr>
        <w:t>1.3.6 本项目是否接受进口服务：否。</w:t>
      </w:r>
    </w:p>
    <w:p>
      <w:pPr>
        <w:spacing w:line="360" w:lineRule="auto"/>
        <w:jc w:val="left"/>
        <w:outlineLvl w:val="2"/>
        <w:rPr>
          <w:rFonts w:ascii="宋体"/>
          <w:b/>
          <w:color w:val="auto"/>
          <w:sz w:val="24"/>
          <w:highlight w:val="none"/>
        </w:rPr>
      </w:pPr>
      <w:r>
        <w:rPr>
          <w:rFonts w:hint="eastAsia" w:ascii="宋体"/>
          <w:b/>
          <w:color w:val="auto"/>
          <w:sz w:val="24"/>
          <w:highlight w:val="none"/>
        </w:rPr>
        <w:t>2.资金来源</w:t>
      </w:r>
    </w:p>
    <w:p>
      <w:pPr>
        <w:spacing w:line="360" w:lineRule="auto"/>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招标文件中所述的采购人必须获得足以支付本次招标后所签订的合同项下的款项。</w:t>
      </w:r>
    </w:p>
    <w:p>
      <w:pPr>
        <w:spacing w:line="360" w:lineRule="auto"/>
        <w:jc w:val="left"/>
        <w:rPr>
          <w:rFonts w:ascii="宋体" w:hAnsi="宋体"/>
          <w:color w:val="auto"/>
          <w:sz w:val="24"/>
          <w:highlight w:val="none"/>
        </w:rPr>
      </w:pPr>
      <w:r>
        <w:rPr>
          <w:rFonts w:ascii="宋体" w:hAnsi="宋体"/>
          <w:color w:val="auto"/>
          <w:sz w:val="24"/>
          <w:highlight w:val="none"/>
        </w:rPr>
        <w:t xml:space="preserve">2.3 </w:t>
      </w:r>
      <w:r>
        <w:rPr>
          <w:rFonts w:hint="eastAsia" w:ascii="宋体" w:hAnsi="宋体"/>
          <w:color w:val="auto"/>
          <w:sz w:val="24"/>
          <w:highlight w:val="none"/>
        </w:rPr>
        <w:t>投标人报价超过招标文件规定的预算金额或者分项、分包最高限价的，其投标将作为无效投标被否决。</w:t>
      </w:r>
      <w:bookmarkStart w:id="2" w:name="_Toc324255541"/>
      <w:bookmarkStart w:id="3" w:name="_Toc34951612"/>
      <w:bookmarkStart w:id="4" w:name="_Toc5895170"/>
    </w:p>
    <w:p>
      <w:pPr>
        <w:spacing w:line="360" w:lineRule="auto"/>
        <w:jc w:val="left"/>
        <w:outlineLvl w:val="2"/>
        <w:rPr>
          <w:rFonts w:ascii="宋体"/>
          <w:b/>
          <w:color w:val="auto"/>
          <w:sz w:val="24"/>
          <w:highlight w:val="none"/>
        </w:rPr>
      </w:pPr>
      <w:r>
        <w:rPr>
          <w:rFonts w:ascii="宋体"/>
          <w:b/>
          <w:color w:val="auto"/>
          <w:sz w:val="24"/>
          <w:highlight w:val="none"/>
        </w:rPr>
        <w:t>3.投标费用</w:t>
      </w:r>
      <w:bookmarkEnd w:id="2"/>
      <w:bookmarkEnd w:id="3"/>
      <w:bookmarkEnd w:id="4"/>
    </w:p>
    <w:p>
      <w:pPr>
        <w:pStyle w:val="445"/>
        <w:spacing w:line="360" w:lineRule="auto"/>
        <w:rPr>
          <w:rFonts w:ascii="宋体" w:hAnsi="宋体"/>
          <w:color w:val="auto"/>
          <w:sz w:val="24"/>
          <w:highlight w:val="none"/>
        </w:rPr>
      </w:pPr>
      <w:r>
        <w:rPr>
          <w:rFonts w:hint="eastAsia" w:ascii="宋体" w:hAnsi="宋体"/>
          <w:color w:val="auto"/>
          <w:sz w:val="24"/>
          <w:highlight w:val="none"/>
        </w:rPr>
        <w:t>3.1 投标人应承担所有与准备和参加投标有关的费用。不论投标的结果如何，采购人和采购代理机构均无义务和责任承担这些费用。</w:t>
      </w:r>
    </w:p>
    <w:p>
      <w:pPr>
        <w:pStyle w:val="445"/>
        <w:spacing w:line="360" w:lineRule="auto"/>
        <w:jc w:val="center"/>
        <w:outlineLvl w:val="1"/>
        <w:rPr>
          <w:rFonts w:ascii="宋体" w:hAnsi="宋体"/>
          <w:b/>
          <w:color w:val="auto"/>
          <w:sz w:val="32"/>
          <w:szCs w:val="32"/>
          <w:highlight w:val="none"/>
        </w:rPr>
      </w:pPr>
      <w:r>
        <w:rPr>
          <w:rFonts w:hint="eastAsia" w:ascii="宋体" w:hAnsi="宋体"/>
          <w:b/>
          <w:color w:val="auto"/>
          <w:sz w:val="32"/>
          <w:szCs w:val="32"/>
          <w:highlight w:val="none"/>
        </w:rPr>
        <w:t>二  招标文件</w:t>
      </w:r>
    </w:p>
    <w:p>
      <w:pPr>
        <w:pStyle w:val="445"/>
        <w:spacing w:line="360" w:lineRule="auto"/>
        <w:jc w:val="left"/>
        <w:rPr>
          <w:rFonts w:ascii="宋体" w:hAnsi="宋体"/>
          <w:b/>
          <w:color w:val="auto"/>
          <w:sz w:val="24"/>
          <w:highlight w:val="none"/>
        </w:rPr>
      </w:pPr>
      <w:r>
        <w:rPr>
          <w:rFonts w:hint="eastAsia" w:ascii="宋体" w:hAnsi="宋体"/>
          <w:b/>
          <w:color w:val="auto"/>
          <w:sz w:val="24"/>
          <w:highlight w:val="none"/>
        </w:rPr>
        <w:t>4.招标文件构成</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4.1要求提供的货物的内容及详细技术需求、投标须知和合同条件等在招标文件中均有说明。招标文件共七章，内容如下：</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第一章 投标邀请</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第二章 投标人须知前附表</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第三章 投标人须知</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第四章 采购需求</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第五章 评标方法和标准</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第六章 合同条款</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第七章 投标文件格式</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4.2投标人应认真阅读招标文件中所有的事项、格式、条款和技术规范等，</w:t>
      </w:r>
      <w:r>
        <w:rPr>
          <w:rFonts w:ascii="宋体" w:hAnsi="宋体"/>
          <w:color w:val="auto"/>
          <w:sz w:val="24"/>
          <w:highlight w:val="none"/>
        </w:rPr>
        <w:t xml:space="preserve"> </w:t>
      </w:r>
      <w:r>
        <w:rPr>
          <w:rFonts w:hint="eastAsia" w:ascii="宋体" w:hAnsi="宋体"/>
          <w:color w:val="auto"/>
          <w:sz w:val="24"/>
          <w:highlight w:val="none"/>
        </w:rPr>
        <w:t>投标人应当按照招标文件的要求编制投标文件，投标文件应当对招标文件提出的要求和条件作出明确响应。如投标人没有按照招标文件要求提交全部资料，或者投标文件没有对招标文件在各方面都作出实质性响应是投标人的风险，并可能导致其投标被拒绝。</w:t>
      </w:r>
    </w:p>
    <w:p>
      <w:pPr>
        <w:pStyle w:val="445"/>
        <w:spacing w:line="360" w:lineRule="auto"/>
        <w:jc w:val="left"/>
        <w:rPr>
          <w:rFonts w:ascii="宋体" w:hAnsi="宋体"/>
          <w:b/>
          <w:color w:val="auto"/>
          <w:sz w:val="24"/>
          <w:highlight w:val="none"/>
        </w:rPr>
      </w:pPr>
      <w:r>
        <w:rPr>
          <w:rFonts w:hint="eastAsia" w:ascii="宋体" w:hAnsi="宋体"/>
          <w:b/>
          <w:color w:val="auto"/>
          <w:sz w:val="24"/>
          <w:highlight w:val="none"/>
        </w:rPr>
        <w:t>5. 招标文件的澄清或者修改</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5.1在投标截止时间前，采购人可主动地或者在解答潜在投标人提出的问题时，对招标文件进行必要的澄清或修改。澄清或者修改的内容为招标文件的组成部分。</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5.2澄清或者修改的内容可能影响投标文件编制的，将在投标截止时间至少</w:t>
      </w:r>
      <w:r>
        <w:rPr>
          <w:rFonts w:ascii="宋体" w:hAnsi="宋体"/>
          <w:color w:val="auto"/>
          <w:sz w:val="24"/>
          <w:highlight w:val="none"/>
        </w:rPr>
        <w:t>15</w:t>
      </w:r>
      <w:r>
        <w:rPr>
          <w:rFonts w:hint="eastAsia" w:ascii="宋体" w:hAnsi="宋体"/>
          <w:color w:val="auto"/>
          <w:sz w:val="24"/>
          <w:highlight w:val="none"/>
        </w:rPr>
        <w:t>日前通知所有获取招标文件的潜在投标人；不足</w:t>
      </w: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 xml:space="preserve"> </w:t>
      </w:r>
      <w:r>
        <w:rPr>
          <w:rFonts w:hint="eastAsia" w:ascii="宋体" w:hAnsi="宋体"/>
          <w:color w:val="auto"/>
          <w:sz w:val="24"/>
          <w:highlight w:val="none"/>
        </w:rPr>
        <w:t>日的将顺延提交投标文件的截止时间。</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5.3对招标文件必要的澄清或者修改将以书面形式通知所有获取招标文件的潜在投标人，并对其具有约束力。投标人在收到上述通知后，应及时向采购代理机构回函确认。</w:t>
      </w: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pStyle w:val="445"/>
        <w:spacing w:line="360" w:lineRule="auto"/>
        <w:jc w:val="center"/>
        <w:outlineLvl w:val="1"/>
        <w:rPr>
          <w:rFonts w:ascii="宋体" w:hAnsi="宋体"/>
          <w:b/>
          <w:color w:val="auto"/>
          <w:sz w:val="32"/>
          <w:szCs w:val="32"/>
          <w:highlight w:val="none"/>
        </w:rPr>
      </w:pPr>
      <w:r>
        <w:rPr>
          <w:rFonts w:hint="eastAsia" w:ascii="宋体" w:hAnsi="宋体"/>
          <w:b/>
          <w:color w:val="auto"/>
          <w:sz w:val="32"/>
          <w:szCs w:val="32"/>
          <w:highlight w:val="none"/>
        </w:rPr>
        <w:t>三  投标文件的编制</w:t>
      </w:r>
    </w:p>
    <w:p>
      <w:pPr>
        <w:pStyle w:val="445"/>
        <w:spacing w:line="360" w:lineRule="auto"/>
        <w:jc w:val="left"/>
        <w:rPr>
          <w:rFonts w:ascii="宋体" w:hAnsi="宋体"/>
          <w:b/>
          <w:color w:val="auto"/>
          <w:sz w:val="24"/>
          <w:highlight w:val="none"/>
        </w:rPr>
      </w:pPr>
      <w:r>
        <w:rPr>
          <w:rFonts w:hint="eastAsia" w:ascii="宋体" w:hAnsi="宋体"/>
          <w:b/>
          <w:color w:val="auto"/>
          <w:sz w:val="24"/>
          <w:highlight w:val="none"/>
        </w:rPr>
        <w:t>6. 投标范围及投标文件中语言和计量单位的使用</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6.1投标人可对招标文件其中一包或几包货物进行投标，除非在</w:t>
      </w:r>
      <w:r>
        <w:rPr>
          <w:rFonts w:hint="eastAsia" w:ascii="宋体" w:hAnsi="宋体"/>
          <w:color w:val="auto"/>
          <w:sz w:val="24"/>
          <w:highlight w:val="none"/>
          <w:u w:val="single"/>
        </w:rPr>
        <w:t>投标人须知前附表</w:t>
      </w:r>
      <w:r>
        <w:rPr>
          <w:rFonts w:hint="eastAsia" w:ascii="宋体" w:hAnsi="宋体"/>
          <w:color w:val="auto"/>
          <w:sz w:val="24"/>
          <w:highlight w:val="none"/>
        </w:rPr>
        <w:t>中另有规定。投标人对所投分包招标文件中</w:t>
      </w:r>
      <w:r>
        <w:rPr>
          <w:rFonts w:ascii="宋体" w:hAnsi="宋体"/>
          <w:color w:val="auto"/>
          <w:sz w:val="24"/>
          <w:highlight w:val="none"/>
        </w:rPr>
        <w:t>“</w:t>
      </w:r>
      <w:r>
        <w:rPr>
          <w:rFonts w:hint="eastAsia" w:ascii="宋体" w:hAnsi="宋体"/>
          <w:color w:val="auto"/>
          <w:sz w:val="24"/>
          <w:highlight w:val="none"/>
        </w:rPr>
        <w:t>采购需求</w:t>
      </w:r>
      <w:r>
        <w:rPr>
          <w:rFonts w:ascii="宋体" w:hAnsi="宋体"/>
          <w:color w:val="auto"/>
          <w:sz w:val="24"/>
          <w:highlight w:val="none"/>
        </w:rPr>
        <w:t>”</w:t>
      </w:r>
      <w:r>
        <w:rPr>
          <w:rFonts w:hint="eastAsia" w:ascii="宋体" w:hAnsi="宋体"/>
          <w:color w:val="auto"/>
          <w:sz w:val="24"/>
          <w:highlight w:val="none"/>
        </w:rPr>
        <w:t>所列的所有货物进行投标，如仅响应一包中的部分货物，其投标将作为</w:t>
      </w:r>
      <w:r>
        <w:rPr>
          <w:rFonts w:hint="eastAsia" w:ascii="宋体" w:hAnsi="宋体"/>
          <w:b/>
          <w:bCs/>
          <w:color w:val="auto"/>
          <w:sz w:val="24"/>
          <w:highlight w:val="none"/>
        </w:rPr>
        <w:t>无效投标</w:t>
      </w:r>
      <w:r>
        <w:rPr>
          <w:rFonts w:hint="eastAsia" w:ascii="宋体" w:hAnsi="宋体"/>
          <w:color w:val="auto"/>
          <w:sz w:val="24"/>
          <w:highlight w:val="none"/>
        </w:rPr>
        <w:t>被否决。</w:t>
      </w:r>
    </w:p>
    <w:p>
      <w:pPr>
        <w:pStyle w:val="80"/>
        <w:spacing w:line="360" w:lineRule="auto"/>
        <w:rPr>
          <w:rFonts w:ascii="宋体"/>
          <w:b/>
          <w:color w:val="auto"/>
          <w:sz w:val="24"/>
          <w:highlight w:val="none"/>
        </w:rPr>
      </w:pPr>
      <w:r>
        <w:rPr>
          <w:rFonts w:hint="eastAsia" w:ascii="宋体" w:hAnsi="宋体"/>
          <w:color w:val="auto"/>
          <w:sz w:val="24"/>
          <w:highlight w:val="none"/>
        </w:rPr>
        <w:t>6.2</w:t>
      </w:r>
      <w:r>
        <w:rPr>
          <w:rFonts w:hint="eastAsia" w:ascii="宋体"/>
          <w:color w:val="auto"/>
          <w:sz w:val="24"/>
          <w:highlight w:val="none"/>
        </w:rPr>
        <w:t>开标、评标、授标均以包为单位，投标人根据公司的自身实力可对多个包进行投标，若投标人参与多个包时，应分别编写投标文件、分别密封包装，并在所有的包装袋上清楚标明所投包的名称，</w:t>
      </w:r>
      <w:r>
        <w:rPr>
          <w:rFonts w:hint="eastAsia" w:ascii="宋体"/>
          <w:b/>
          <w:color w:val="auto"/>
          <w:sz w:val="24"/>
          <w:highlight w:val="none"/>
        </w:rPr>
        <w:t>每包分开装订，否则其投标会被拒绝。本项目不分包。</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6.3投标人提交的投标文件以及投标人与采购人、采购代理机构有关投标的所有来往文件、函电均应以简体中文书写。投标人可以提交其它语言的资料，</w:t>
      </w:r>
      <w:r>
        <w:rPr>
          <w:rFonts w:ascii="宋体" w:hAnsi="宋体"/>
          <w:color w:val="auto"/>
          <w:sz w:val="24"/>
          <w:highlight w:val="none"/>
        </w:rPr>
        <w:t xml:space="preserve"> </w:t>
      </w:r>
      <w:r>
        <w:rPr>
          <w:rFonts w:hint="eastAsia" w:ascii="宋体" w:hAnsi="宋体"/>
          <w:color w:val="auto"/>
          <w:sz w:val="24"/>
          <w:highlight w:val="none"/>
        </w:rPr>
        <w:t>但有关段落必须翻译成简体中文，在有差异时以简体中文为准。</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6.4投标文件中所使用的计量单位，除招标文件中有特殊要求外，应采用中华人民共和国法定计量单位。</w:t>
      </w:r>
    </w:p>
    <w:p>
      <w:pPr>
        <w:pStyle w:val="445"/>
        <w:spacing w:line="360" w:lineRule="auto"/>
        <w:jc w:val="left"/>
        <w:rPr>
          <w:rFonts w:ascii="宋体" w:hAnsi="宋体"/>
          <w:b/>
          <w:color w:val="auto"/>
          <w:sz w:val="24"/>
          <w:highlight w:val="none"/>
        </w:rPr>
      </w:pPr>
      <w:r>
        <w:rPr>
          <w:rFonts w:hint="eastAsia" w:ascii="宋体" w:hAnsi="宋体"/>
          <w:b/>
          <w:color w:val="auto"/>
          <w:sz w:val="24"/>
          <w:highlight w:val="none"/>
        </w:rPr>
        <w:t>7. 投标文件构成</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7.1投标人应完整地按招标文件提供的投标文件格式编写投标文件，投标文件应包括以下内容：</w:t>
      </w:r>
    </w:p>
    <w:p>
      <w:pPr>
        <w:pStyle w:val="445"/>
        <w:spacing w:line="360" w:lineRule="auto"/>
        <w:jc w:val="left"/>
        <w:rPr>
          <w:rFonts w:ascii="宋体" w:hAnsi="宋体"/>
          <w:b/>
          <w:color w:val="auto"/>
          <w:sz w:val="24"/>
          <w:highlight w:val="none"/>
        </w:rPr>
      </w:pPr>
      <w:r>
        <w:rPr>
          <w:rFonts w:hint="eastAsia" w:ascii="宋体" w:hAnsi="宋体"/>
          <w:b/>
          <w:bCs/>
          <w:color w:val="auto"/>
          <w:sz w:val="24"/>
          <w:highlight w:val="none"/>
        </w:rPr>
        <w:t>第一部分  资格证明文件</w:t>
      </w:r>
      <w:r>
        <w:rPr>
          <w:rFonts w:hint="eastAsia" w:ascii="宋体" w:hAnsi="宋体"/>
          <w:bCs/>
          <w:color w:val="auto"/>
          <w:sz w:val="24"/>
          <w:highlight w:val="none"/>
        </w:rPr>
        <w:t>（详见投标人须知前附表第11项及“第五章 审查内容”投标文件资格审查，格式详见附表八投标人资格证明文件）</w:t>
      </w:r>
    </w:p>
    <w:p>
      <w:pPr>
        <w:numPr>
          <w:ilvl w:val="0"/>
          <w:numId w:val="30"/>
        </w:numPr>
        <w:spacing w:line="360" w:lineRule="auto"/>
        <w:jc w:val="left"/>
        <w:rPr>
          <w:rFonts w:ascii="宋体" w:hAnsi="宋体" w:cs="仿宋"/>
          <w:color w:val="auto"/>
          <w:sz w:val="24"/>
          <w:highlight w:val="none"/>
        </w:rPr>
      </w:pPr>
      <w:r>
        <w:rPr>
          <w:rFonts w:hint="eastAsia" w:ascii="宋体" w:hAnsi="宋体" w:cs="仿宋"/>
          <w:color w:val="auto"/>
          <w:sz w:val="24"/>
          <w:highlight w:val="none"/>
        </w:rPr>
        <w:t>法人或者非法人组织的营业执照等证明文件</w:t>
      </w:r>
    </w:p>
    <w:p>
      <w:pPr>
        <w:pStyle w:val="37"/>
        <w:spacing w:line="360" w:lineRule="auto"/>
        <w:ind w:left="0" w:leftChars="0" w:firstLine="0" w:firstLineChars="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2、法定代表人授权书</w:t>
      </w:r>
    </w:p>
    <w:p>
      <w:pPr>
        <w:spacing w:line="360" w:lineRule="auto"/>
        <w:jc w:val="left"/>
        <w:rPr>
          <w:rFonts w:ascii="宋体" w:hAnsi="宋体" w:cs="仿宋"/>
          <w:color w:val="auto"/>
          <w:sz w:val="24"/>
          <w:highlight w:val="none"/>
        </w:rPr>
      </w:pPr>
      <w:r>
        <w:rPr>
          <w:rFonts w:hint="eastAsia" w:ascii="宋体" w:hAnsi="宋体" w:cs="仿宋"/>
          <w:color w:val="auto"/>
          <w:sz w:val="24"/>
          <w:highlight w:val="none"/>
        </w:rPr>
        <w:t>3、投标人具有良好的商业信誉和健全的财务会计制度</w:t>
      </w:r>
    </w:p>
    <w:p>
      <w:pPr>
        <w:spacing w:line="360" w:lineRule="auto"/>
        <w:jc w:val="left"/>
        <w:rPr>
          <w:rFonts w:ascii="宋体" w:hAnsi="宋体" w:cs="仿宋"/>
          <w:color w:val="auto"/>
          <w:sz w:val="24"/>
          <w:highlight w:val="none"/>
        </w:rPr>
      </w:pPr>
      <w:r>
        <w:rPr>
          <w:rFonts w:hint="eastAsia" w:ascii="宋体" w:hAnsi="宋体" w:cs="仿宋"/>
          <w:color w:val="auto"/>
          <w:sz w:val="24"/>
          <w:highlight w:val="none"/>
        </w:rPr>
        <w:t>4、投标人具有履行合同所必需的设备和专业技术能力书面承诺</w:t>
      </w:r>
    </w:p>
    <w:p>
      <w:pPr>
        <w:spacing w:line="360" w:lineRule="auto"/>
        <w:jc w:val="left"/>
        <w:rPr>
          <w:rFonts w:ascii="宋体" w:hAnsi="宋体" w:cs="仿宋"/>
          <w:color w:val="auto"/>
          <w:sz w:val="24"/>
          <w:highlight w:val="none"/>
        </w:rPr>
      </w:pPr>
      <w:r>
        <w:rPr>
          <w:rFonts w:hint="eastAsia" w:ascii="宋体" w:hAnsi="宋体" w:cs="仿宋"/>
          <w:color w:val="auto"/>
          <w:sz w:val="24"/>
          <w:highlight w:val="none"/>
        </w:rPr>
        <w:t>5、依法缴纳税收和社会保障资金的良好记录</w:t>
      </w:r>
    </w:p>
    <w:p>
      <w:pPr>
        <w:spacing w:line="360" w:lineRule="auto"/>
        <w:jc w:val="left"/>
        <w:rPr>
          <w:rFonts w:ascii="宋体" w:hAnsi="宋体" w:cs="仿宋"/>
          <w:color w:val="auto"/>
          <w:sz w:val="24"/>
          <w:highlight w:val="none"/>
        </w:rPr>
      </w:pPr>
      <w:r>
        <w:rPr>
          <w:rFonts w:hint="eastAsia" w:ascii="宋体" w:hAnsi="宋体" w:cs="仿宋"/>
          <w:color w:val="auto"/>
          <w:sz w:val="24"/>
          <w:highlight w:val="none"/>
        </w:rPr>
        <w:t>7、参加本次采购活动前三年内，在经营活动中没有重大违法记录的书面声明</w:t>
      </w:r>
    </w:p>
    <w:p>
      <w:pPr>
        <w:pStyle w:val="445"/>
        <w:spacing w:line="360" w:lineRule="auto"/>
        <w:jc w:val="left"/>
        <w:rPr>
          <w:rFonts w:ascii="宋体" w:hAnsi="宋体" w:cs="仿宋"/>
          <w:color w:val="auto"/>
          <w:sz w:val="24"/>
          <w:highlight w:val="none"/>
        </w:rPr>
      </w:pPr>
      <w:r>
        <w:rPr>
          <w:rFonts w:hint="eastAsia" w:ascii="宋体" w:hAnsi="宋体" w:cs="仿宋"/>
          <w:color w:val="auto"/>
          <w:sz w:val="24"/>
          <w:highlight w:val="none"/>
        </w:rPr>
        <w:t>8、投标人须知前附表要求的其他资格证明文件</w:t>
      </w:r>
    </w:p>
    <w:p>
      <w:pPr>
        <w:pStyle w:val="445"/>
        <w:spacing w:line="360" w:lineRule="auto"/>
        <w:jc w:val="left"/>
        <w:rPr>
          <w:rFonts w:ascii="宋体" w:hAnsi="宋体" w:cs="仿宋"/>
          <w:b/>
          <w:bCs/>
          <w:color w:val="auto"/>
          <w:sz w:val="24"/>
          <w:highlight w:val="none"/>
        </w:rPr>
      </w:pPr>
      <w:r>
        <w:rPr>
          <w:rFonts w:hint="eastAsia" w:ascii="宋体" w:hAnsi="宋体" w:cs="仿宋"/>
          <w:b/>
          <w:bCs/>
          <w:color w:val="auto"/>
          <w:sz w:val="24"/>
          <w:highlight w:val="none"/>
        </w:rPr>
        <w:t>第二部分  商务及技术文件</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1、投标函</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2、开标一览表</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3、法定代表人身份证明书</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4、投标保证金</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5、投标分项报价表</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6、商务条款偏离表</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7、投标人基本情况表</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8、投标人供货业绩一览表</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9、小微企业、监狱企业、残疾人福利单位的声明函</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10、人员配备表</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11、技术（服务）偏离表</w:t>
      </w:r>
    </w:p>
    <w:p>
      <w:pPr>
        <w:pStyle w:val="445"/>
        <w:spacing w:line="360" w:lineRule="auto"/>
        <w:jc w:val="left"/>
        <w:rPr>
          <w:rFonts w:ascii="宋体" w:hAnsi="宋体" w:cs="黑体"/>
          <w:color w:val="auto"/>
          <w:kern w:val="0"/>
          <w:sz w:val="24"/>
          <w:highlight w:val="none"/>
        </w:rPr>
      </w:pPr>
      <w:r>
        <w:rPr>
          <w:rFonts w:hint="eastAsia" w:ascii="宋体" w:hAnsi="宋体"/>
          <w:color w:val="auto"/>
          <w:sz w:val="24"/>
          <w:highlight w:val="none"/>
        </w:rPr>
        <w:t>12、</w:t>
      </w:r>
      <w:r>
        <w:rPr>
          <w:rFonts w:hint="eastAsia" w:ascii="宋体" w:hAnsi="宋体" w:cs="黑体"/>
          <w:color w:val="auto"/>
          <w:kern w:val="0"/>
          <w:sz w:val="24"/>
          <w:highlight w:val="none"/>
        </w:rPr>
        <w:t>投标人服务承诺及方案</w:t>
      </w:r>
    </w:p>
    <w:p>
      <w:pPr>
        <w:pStyle w:val="445"/>
        <w:spacing w:line="360" w:lineRule="auto"/>
        <w:jc w:val="left"/>
        <w:rPr>
          <w:rFonts w:ascii="宋体" w:hAnsi="宋体" w:cs="黑体"/>
          <w:color w:val="auto"/>
          <w:kern w:val="0"/>
          <w:sz w:val="24"/>
          <w:highlight w:val="none"/>
        </w:rPr>
      </w:pPr>
      <w:r>
        <w:rPr>
          <w:rFonts w:hint="eastAsia" w:ascii="宋体" w:hAnsi="宋体" w:cs="黑体"/>
          <w:color w:val="auto"/>
          <w:kern w:val="0"/>
          <w:sz w:val="24"/>
          <w:highlight w:val="none"/>
        </w:rPr>
        <w:t>13、投标人认为需要提供的其他资料</w:t>
      </w:r>
    </w:p>
    <w:p>
      <w:pPr>
        <w:pStyle w:val="445"/>
        <w:spacing w:line="360" w:lineRule="auto"/>
        <w:rPr>
          <w:rFonts w:ascii="宋体" w:hAnsi="宋体"/>
          <w:color w:val="auto"/>
          <w:sz w:val="24"/>
          <w:highlight w:val="none"/>
        </w:rPr>
      </w:pPr>
      <w:r>
        <w:rPr>
          <w:rFonts w:hint="eastAsia" w:ascii="宋体" w:hAnsi="宋体"/>
          <w:color w:val="auto"/>
          <w:sz w:val="24"/>
          <w:highlight w:val="none"/>
        </w:rPr>
        <w:t>7.2所有投标人和投标货物的资格证明文件均应为合法、有效文件，否则将被视为该文件未被递交。</w:t>
      </w:r>
    </w:p>
    <w:p>
      <w:pPr>
        <w:pStyle w:val="445"/>
        <w:spacing w:line="360" w:lineRule="auto"/>
        <w:rPr>
          <w:rFonts w:hAnsi="宋体"/>
          <w:color w:val="auto"/>
          <w:sz w:val="24"/>
          <w:highlight w:val="none"/>
        </w:rPr>
      </w:pPr>
      <w:r>
        <w:rPr>
          <w:rFonts w:hint="eastAsia" w:ascii="宋体" w:hAnsi="宋体"/>
          <w:color w:val="auto"/>
          <w:sz w:val="24"/>
          <w:highlight w:val="none"/>
        </w:rPr>
        <w:t>7.3</w:t>
      </w:r>
      <w:r>
        <w:rPr>
          <w:rFonts w:hint="eastAsia" w:hAnsi="宋体"/>
          <w:color w:val="auto"/>
          <w:sz w:val="24"/>
          <w:highlight w:val="none"/>
        </w:rPr>
        <w:t>上述文件应按照招标文件规定的格式填写、签署和盖章。</w:t>
      </w:r>
    </w:p>
    <w:p>
      <w:pPr>
        <w:pStyle w:val="445"/>
        <w:spacing w:line="360" w:lineRule="auto"/>
        <w:jc w:val="left"/>
        <w:rPr>
          <w:rFonts w:ascii="宋体" w:hAnsi="宋体"/>
          <w:b/>
          <w:color w:val="auto"/>
          <w:sz w:val="24"/>
          <w:highlight w:val="none"/>
        </w:rPr>
      </w:pPr>
      <w:r>
        <w:rPr>
          <w:rFonts w:hint="eastAsia" w:ascii="宋体" w:hAnsi="宋体"/>
          <w:b/>
          <w:color w:val="auto"/>
          <w:sz w:val="24"/>
          <w:highlight w:val="none"/>
        </w:rPr>
        <w:t>8. 证明货物服务的合格性和符合招标文件规定的文件</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8.1投标人应提交证明文件，证明其拟供的合同项下的货物和服务的合格性符合招标文件规定。该证明文件是投标文件的一部分。</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8.2上款所述的证明文件，可以是文字资料、图纸和数据，它包括：</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8.2.1货物和服务主要技术指标、品质、性能和服务内容及承诺的详细说明。</w:t>
      </w:r>
    </w:p>
    <w:p>
      <w:pPr>
        <w:pStyle w:val="445"/>
        <w:spacing w:line="360" w:lineRule="auto"/>
        <w:rPr>
          <w:rFonts w:ascii="宋体" w:hAnsi="宋体"/>
          <w:color w:val="auto"/>
          <w:sz w:val="24"/>
          <w:highlight w:val="none"/>
        </w:rPr>
      </w:pPr>
      <w:r>
        <w:rPr>
          <w:rFonts w:hint="eastAsia" w:ascii="宋体" w:hAnsi="宋体"/>
          <w:color w:val="auto"/>
          <w:sz w:val="24"/>
          <w:highlight w:val="none"/>
        </w:rPr>
        <w:t>8.2.2货物从买方开始使用至招标文件规定的保质期内正常、连续地使用所必须的备件和专用工具清单，包括备件和专用工具的货源及现行价格。</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8.2.3对照招标文件技术规格和服务要求，逐条说明所提供货物和服务已对招标文件的技术规格做出了响应，或申明与技术规格条文的偏差和例外。</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8.3投标人应注意采购人在技术规格中指出的工艺、材料和设备的参照牌号或分类号仅起说明作用，并没有任何限制性。投标人在投标中可以选用替代牌号或分类号，但这些替代要实质上相当于技术规格的要求。采购人、采购代理机构承诺不以上述参考牌号或分类号作为评标时判定其投标是否有效的标准。</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8.4本条所指证明文件不得为对招标文件相关部分的文字、图标的复制。</w:t>
      </w:r>
    </w:p>
    <w:p>
      <w:pPr>
        <w:pStyle w:val="445"/>
        <w:spacing w:line="360" w:lineRule="auto"/>
        <w:jc w:val="left"/>
        <w:rPr>
          <w:rFonts w:ascii="宋体" w:hAnsi="宋体"/>
          <w:b/>
          <w:color w:val="auto"/>
          <w:sz w:val="24"/>
          <w:highlight w:val="none"/>
        </w:rPr>
      </w:pPr>
      <w:r>
        <w:rPr>
          <w:rFonts w:hint="eastAsia" w:ascii="宋体" w:hAnsi="宋体"/>
          <w:b/>
          <w:color w:val="auto"/>
          <w:sz w:val="24"/>
          <w:highlight w:val="none"/>
        </w:rPr>
        <w:t>9.投标报价</w:t>
      </w:r>
    </w:p>
    <w:p>
      <w:pPr>
        <w:pStyle w:val="445"/>
        <w:spacing w:line="360" w:lineRule="auto"/>
        <w:jc w:val="left"/>
        <w:rPr>
          <w:rFonts w:ascii="宋体" w:hAnsi="宋体"/>
          <w:color w:val="auto"/>
          <w:sz w:val="24"/>
          <w:highlight w:val="none"/>
        </w:rPr>
      </w:pPr>
      <w:r>
        <w:rPr>
          <w:rFonts w:hint="eastAsia" w:ascii="宋体" w:hAnsi="宋体"/>
          <w:color w:val="auto"/>
          <w:sz w:val="24"/>
          <w:highlight w:val="none"/>
        </w:rPr>
        <w:t>9.1投标报价须包含所有人工、运输、包装、保险、税费等及其他发生的与本项目相关需计入投标成本的费用。</w:t>
      </w:r>
    </w:p>
    <w:p>
      <w:pPr>
        <w:pStyle w:val="445"/>
        <w:spacing w:line="360" w:lineRule="auto"/>
        <w:jc w:val="left"/>
        <w:rPr>
          <w:rFonts w:ascii="宋体" w:hAnsi="宋体"/>
          <w:b/>
          <w:bCs/>
          <w:color w:val="auto"/>
          <w:sz w:val="24"/>
          <w:highlight w:val="none"/>
        </w:rPr>
      </w:pPr>
      <w:r>
        <w:rPr>
          <w:rFonts w:hint="eastAsia" w:ascii="宋体" w:hAnsi="宋体"/>
          <w:color w:val="auto"/>
          <w:sz w:val="24"/>
          <w:highlight w:val="none"/>
        </w:rPr>
        <w:t>9.2为保证公平竞争，根据相关法律法规规定，投标人应合理报价。</w:t>
      </w:r>
      <w:r>
        <w:rPr>
          <w:rFonts w:hint="eastAsia" w:ascii="宋体" w:hAnsi="宋体"/>
          <w:b/>
          <w:b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将被作为无效投标处理。</w:t>
      </w:r>
    </w:p>
    <w:p>
      <w:pPr>
        <w:pStyle w:val="445"/>
        <w:spacing w:line="360" w:lineRule="auto"/>
        <w:jc w:val="left"/>
        <w:rPr>
          <w:rFonts w:ascii="宋体" w:hAnsi="宋体"/>
          <w:b/>
          <w:bCs/>
          <w:color w:val="auto"/>
          <w:sz w:val="24"/>
          <w:highlight w:val="none"/>
        </w:rPr>
      </w:pPr>
      <w:r>
        <w:rPr>
          <w:rFonts w:hint="eastAsia" w:ascii="宋体" w:hAnsi="宋体"/>
          <w:b/>
          <w:bCs/>
          <w:color w:val="auto"/>
          <w:sz w:val="24"/>
          <w:highlight w:val="none"/>
        </w:rPr>
        <w:t>10.投标保证金和招标服务费</w:t>
      </w:r>
    </w:p>
    <w:p>
      <w:pPr>
        <w:pStyle w:val="445"/>
        <w:spacing w:line="360" w:lineRule="auto"/>
        <w:jc w:val="left"/>
        <w:rPr>
          <w:rFonts w:ascii="宋体" w:hAnsi="宋体"/>
          <w:bCs/>
          <w:color w:val="auto"/>
          <w:sz w:val="24"/>
          <w:highlight w:val="none"/>
        </w:rPr>
      </w:pPr>
      <w:r>
        <w:rPr>
          <w:rFonts w:hint="eastAsia" w:ascii="宋体" w:hAnsi="宋体"/>
          <w:bCs/>
          <w:color w:val="auto"/>
          <w:sz w:val="24"/>
          <w:highlight w:val="none"/>
        </w:rPr>
        <w:t>10.1投标人应按照</w:t>
      </w:r>
      <w:r>
        <w:rPr>
          <w:rFonts w:ascii="宋体" w:hAnsi="宋体"/>
          <w:bCs/>
          <w:color w:val="auto"/>
          <w:sz w:val="24"/>
          <w:highlight w:val="none"/>
        </w:rPr>
        <w:t>“</w:t>
      </w:r>
      <w:r>
        <w:rPr>
          <w:rFonts w:hint="eastAsia" w:ascii="宋体" w:hAnsi="宋体"/>
          <w:bCs/>
          <w:color w:val="auto"/>
          <w:sz w:val="24"/>
          <w:highlight w:val="none"/>
        </w:rPr>
        <w:t>投标人须知前附表</w:t>
      </w:r>
      <w:r>
        <w:rPr>
          <w:rFonts w:ascii="宋体" w:hAnsi="宋体"/>
          <w:bCs/>
          <w:color w:val="auto"/>
          <w:sz w:val="24"/>
          <w:highlight w:val="none"/>
        </w:rPr>
        <w:t>”</w:t>
      </w:r>
      <w:r>
        <w:rPr>
          <w:rFonts w:hint="eastAsia" w:ascii="宋体" w:hAnsi="宋体"/>
          <w:bCs/>
          <w:color w:val="auto"/>
          <w:sz w:val="24"/>
          <w:highlight w:val="none"/>
        </w:rPr>
        <w:t>规定的金额、时间、形式缴纳投标保证金，并作为其投标的一部分。</w:t>
      </w:r>
    </w:p>
    <w:p>
      <w:pPr>
        <w:pStyle w:val="445"/>
        <w:spacing w:line="360" w:lineRule="auto"/>
        <w:jc w:val="left"/>
        <w:rPr>
          <w:rFonts w:ascii="宋体" w:hAnsi="宋体"/>
          <w:bCs/>
          <w:color w:val="auto"/>
          <w:sz w:val="24"/>
          <w:highlight w:val="none"/>
        </w:rPr>
      </w:pPr>
      <w:r>
        <w:rPr>
          <w:rFonts w:hint="eastAsia" w:ascii="宋体" w:hAnsi="宋体"/>
          <w:bCs/>
          <w:color w:val="auto"/>
          <w:sz w:val="24"/>
          <w:highlight w:val="none"/>
        </w:rPr>
        <w:t>10.2下列任何情况发生，投标保证金将不予退还：</w:t>
      </w:r>
    </w:p>
    <w:p>
      <w:pPr>
        <w:pStyle w:val="445"/>
        <w:spacing w:line="360" w:lineRule="auto"/>
        <w:jc w:val="left"/>
        <w:rPr>
          <w:rFonts w:ascii="宋体" w:hAnsi="宋体"/>
          <w:bCs/>
          <w:color w:val="auto"/>
          <w:sz w:val="24"/>
          <w:highlight w:val="none"/>
        </w:rPr>
      </w:pPr>
      <w:r>
        <w:rPr>
          <w:rFonts w:hint="eastAsia" w:ascii="宋体" w:hAnsi="宋体"/>
          <w:bCs/>
          <w:color w:val="auto"/>
          <w:sz w:val="24"/>
          <w:highlight w:val="none"/>
        </w:rPr>
        <w:t>（1）投标有效期内投标人撤销投标文件的；</w:t>
      </w:r>
    </w:p>
    <w:p>
      <w:pPr>
        <w:pStyle w:val="445"/>
        <w:spacing w:line="360" w:lineRule="auto"/>
        <w:jc w:val="left"/>
        <w:rPr>
          <w:rFonts w:ascii="宋体" w:hAnsi="宋体"/>
          <w:bCs/>
          <w:color w:val="auto"/>
          <w:sz w:val="24"/>
          <w:highlight w:val="none"/>
        </w:rPr>
      </w:pPr>
      <w:r>
        <w:rPr>
          <w:rFonts w:hint="eastAsia" w:ascii="宋体" w:hAnsi="宋体"/>
          <w:bCs/>
          <w:color w:val="auto"/>
          <w:sz w:val="24"/>
          <w:highlight w:val="none"/>
        </w:rPr>
        <w:t>（2）中标人不按有关规定与采购人签订合同的；</w:t>
      </w:r>
    </w:p>
    <w:p>
      <w:pPr>
        <w:pStyle w:val="445"/>
        <w:spacing w:line="360" w:lineRule="auto"/>
        <w:jc w:val="left"/>
        <w:rPr>
          <w:rFonts w:ascii="宋体" w:hAnsi="宋体"/>
          <w:bCs/>
          <w:color w:val="auto"/>
          <w:sz w:val="24"/>
          <w:highlight w:val="none"/>
        </w:rPr>
      </w:pPr>
      <w:r>
        <w:rPr>
          <w:rFonts w:hint="eastAsia" w:ascii="宋体" w:hAnsi="宋体"/>
          <w:bCs/>
          <w:color w:val="auto"/>
          <w:sz w:val="24"/>
          <w:highlight w:val="none"/>
        </w:rPr>
        <w:t>（3）中标人不按有关规定提交履约保证金的；</w:t>
      </w:r>
    </w:p>
    <w:p>
      <w:pPr>
        <w:pStyle w:val="445"/>
        <w:spacing w:line="360" w:lineRule="auto"/>
        <w:jc w:val="left"/>
        <w:rPr>
          <w:rFonts w:ascii="宋体" w:hAnsi="宋体"/>
          <w:bCs/>
          <w:color w:val="auto"/>
          <w:sz w:val="24"/>
          <w:highlight w:val="none"/>
        </w:rPr>
      </w:pPr>
      <w:r>
        <w:rPr>
          <w:rFonts w:hint="eastAsia" w:ascii="宋体" w:hAnsi="宋体"/>
          <w:bCs/>
          <w:color w:val="auto"/>
          <w:sz w:val="24"/>
          <w:highlight w:val="none"/>
        </w:rPr>
        <w:t>（4）中标人擅自放弃中标的。</w:t>
      </w:r>
    </w:p>
    <w:p>
      <w:pPr>
        <w:pStyle w:val="445"/>
        <w:spacing w:line="360" w:lineRule="auto"/>
        <w:jc w:val="left"/>
        <w:rPr>
          <w:rFonts w:ascii="宋体" w:hAnsi="宋体"/>
          <w:bCs/>
          <w:color w:val="auto"/>
          <w:sz w:val="24"/>
          <w:highlight w:val="none"/>
        </w:rPr>
      </w:pPr>
      <w:r>
        <w:rPr>
          <w:rFonts w:hint="eastAsia" w:ascii="宋体" w:hAnsi="宋体"/>
          <w:bCs/>
          <w:color w:val="auto"/>
          <w:sz w:val="24"/>
          <w:highlight w:val="none"/>
        </w:rPr>
        <w:t>10.3中标人的投标保证金，在与采购人签订书面合同后</w:t>
      </w:r>
      <w:r>
        <w:rPr>
          <w:rFonts w:ascii="宋体" w:hAnsi="宋体"/>
          <w:bCs/>
          <w:color w:val="auto"/>
          <w:sz w:val="24"/>
          <w:highlight w:val="none"/>
        </w:rPr>
        <w:t>5</w:t>
      </w:r>
      <w:r>
        <w:rPr>
          <w:rFonts w:hint="eastAsia" w:ascii="宋体" w:hAnsi="宋体"/>
          <w:bCs/>
          <w:color w:val="auto"/>
          <w:sz w:val="24"/>
          <w:highlight w:val="none"/>
        </w:rPr>
        <w:t>个工作日内无息退还中标人。未中标的投标人的投标保证金，将于中标通知书发出之日起</w:t>
      </w:r>
      <w:r>
        <w:rPr>
          <w:rFonts w:ascii="宋体" w:hAnsi="宋体"/>
          <w:bCs/>
          <w:color w:val="auto"/>
          <w:sz w:val="24"/>
          <w:highlight w:val="none"/>
        </w:rPr>
        <w:t>5</w:t>
      </w:r>
      <w:r>
        <w:rPr>
          <w:rFonts w:hint="eastAsia" w:ascii="宋体" w:hAnsi="宋体"/>
          <w:bCs/>
          <w:color w:val="auto"/>
          <w:sz w:val="24"/>
          <w:highlight w:val="none"/>
        </w:rPr>
        <w:t>个工作日内无息退还投标人。</w:t>
      </w:r>
    </w:p>
    <w:p>
      <w:pPr>
        <w:pStyle w:val="445"/>
        <w:spacing w:line="360" w:lineRule="auto"/>
        <w:jc w:val="left"/>
        <w:rPr>
          <w:rFonts w:ascii="宋体" w:hAnsi="宋体"/>
          <w:bCs/>
          <w:color w:val="auto"/>
          <w:sz w:val="24"/>
          <w:highlight w:val="none"/>
        </w:rPr>
      </w:pPr>
      <w:r>
        <w:rPr>
          <w:rFonts w:hint="eastAsia" w:ascii="宋体" w:hAnsi="宋体"/>
          <w:bCs/>
          <w:color w:val="auto"/>
          <w:sz w:val="24"/>
          <w:highlight w:val="none"/>
        </w:rPr>
        <w:t>10.4中标人应按照</w:t>
      </w:r>
      <w:r>
        <w:rPr>
          <w:rFonts w:ascii="宋体" w:hAnsi="宋体"/>
          <w:bCs/>
          <w:color w:val="auto"/>
          <w:sz w:val="24"/>
          <w:highlight w:val="none"/>
        </w:rPr>
        <w:t>“</w:t>
      </w:r>
      <w:r>
        <w:rPr>
          <w:rFonts w:hint="eastAsia" w:ascii="宋体" w:hAnsi="宋体"/>
          <w:bCs/>
          <w:color w:val="auto"/>
          <w:sz w:val="24"/>
          <w:highlight w:val="none"/>
        </w:rPr>
        <w:t>投标人须知前附表</w:t>
      </w:r>
      <w:r>
        <w:rPr>
          <w:rFonts w:ascii="宋体" w:hAnsi="宋体"/>
          <w:bCs/>
          <w:color w:val="auto"/>
          <w:sz w:val="24"/>
          <w:highlight w:val="none"/>
        </w:rPr>
        <w:t>”</w:t>
      </w:r>
      <w:r>
        <w:rPr>
          <w:rFonts w:hint="eastAsia" w:ascii="宋体" w:hAnsi="宋体"/>
          <w:bCs/>
          <w:color w:val="auto"/>
          <w:sz w:val="24"/>
          <w:highlight w:val="none"/>
        </w:rPr>
        <w:t>中的规定在领取中标通知书时交付招标服务费。</w:t>
      </w:r>
    </w:p>
    <w:p>
      <w:pPr>
        <w:pStyle w:val="445"/>
        <w:spacing w:line="360" w:lineRule="auto"/>
        <w:jc w:val="left"/>
        <w:rPr>
          <w:rFonts w:ascii="宋体" w:hAnsi="宋体"/>
          <w:b/>
          <w:bCs/>
          <w:color w:val="auto"/>
          <w:sz w:val="24"/>
          <w:highlight w:val="none"/>
        </w:rPr>
      </w:pPr>
      <w:r>
        <w:rPr>
          <w:rFonts w:hint="eastAsia" w:ascii="宋体" w:hAnsi="宋体"/>
          <w:b/>
          <w:bCs/>
          <w:color w:val="auto"/>
          <w:sz w:val="24"/>
          <w:highlight w:val="none"/>
        </w:rPr>
        <w:t>10.5中标人在办理退还投标保证金的时，必须提供采购合同的复印件。</w:t>
      </w:r>
    </w:p>
    <w:p>
      <w:pPr>
        <w:pStyle w:val="445"/>
        <w:spacing w:line="360" w:lineRule="auto"/>
        <w:jc w:val="left"/>
        <w:rPr>
          <w:rFonts w:ascii="宋体" w:hAnsi="宋体"/>
          <w:b/>
          <w:bCs/>
          <w:color w:val="auto"/>
          <w:sz w:val="24"/>
          <w:highlight w:val="none"/>
        </w:rPr>
      </w:pPr>
      <w:r>
        <w:rPr>
          <w:rFonts w:hint="eastAsia" w:ascii="宋体" w:hAnsi="宋体"/>
          <w:b/>
          <w:bCs/>
          <w:color w:val="auto"/>
          <w:sz w:val="24"/>
          <w:highlight w:val="none"/>
        </w:rPr>
        <w:t>10.6我公司每周二、周四（上午10:30-13:30，下午16:00-18:30北京时间）退还投标保证金，退还时，请于我公司财务部联系，联系电话：0991-3265858，我公司不退还现金。</w:t>
      </w:r>
    </w:p>
    <w:p>
      <w:pPr>
        <w:pStyle w:val="445"/>
        <w:spacing w:line="360" w:lineRule="auto"/>
        <w:jc w:val="left"/>
        <w:rPr>
          <w:rFonts w:ascii="宋体" w:hAnsi="宋体"/>
          <w:b/>
          <w:bCs/>
          <w:color w:val="auto"/>
          <w:sz w:val="24"/>
          <w:highlight w:val="none"/>
        </w:rPr>
      </w:pPr>
      <w:r>
        <w:rPr>
          <w:rFonts w:hint="eastAsia" w:ascii="宋体" w:hAnsi="宋体"/>
          <w:b/>
          <w:bCs/>
          <w:color w:val="auto"/>
          <w:sz w:val="24"/>
          <w:highlight w:val="none"/>
        </w:rPr>
        <w:t>11.投标有效期</w:t>
      </w:r>
    </w:p>
    <w:p>
      <w:pPr>
        <w:pStyle w:val="445"/>
        <w:spacing w:line="360" w:lineRule="auto"/>
        <w:jc w:val="left"/>
        <w:rPr>
          <w:rFonts w:hAnsi="宋体"/>
          <w:b/>
          <w:bCs/>
          <w:color w:val="auto"/>
          <w:sz w:val="24"/>
          <w:highlight w:val="none"/>
        </w:rPr>
      </w:pPr>
      <w:r>
        <w:rPr>
          <w:rFonts w:hint="eastAsia" w:ascii="宋体" w:hAnsi="宋体"/>
          <w:bCs/>
          <w:color w:val="auto"/>
          <w:sz w:val="24"/>
          <w:highlight w:val="none"/>
        </w:rPr>
        <w:t>11.1</w:t>
      </w:r>
      <w:r>
        <w:rPr>
          <w:rFonts w:hint="eastAsia" w:hAnsi="宋体"/>
          <w:bCs/>
          <w:color w:val="auto"/>
          <w:sz w:val="24"/>
          <w:highlight w:val="none"/>
        </w:rPr>
        <w:t>投标有效期从提交投标文件的截止之日起算，投标文件中承诺的投标有效期应当不少于招标文件</w:t>
      </w:r>
      <w:r>
        <w:rPr>
          <w:rFonts w:hAnsi="宋体"/>
          <w:bCs/>
          <w:color w:val="auto"/>
          <w:sz w:val="24"/>
          <w:highlight w:val="none"/>
        </w:rPr>
        <w:t>“</w:t>
      </w:r>
      <w:r>
        <w:rPr>
          <w:rFonts w:hint="eastAsia" w:hAnsi="宋体"/>
          <w:bCs/>
          <w:color w:val="auto"/>
          <w:sz w:val="24"/>
          <w:highlight w:val="none"/>
        </w:rPr>
        <w:t>投标人须知前附表</w:t>
      </w:r>
      <w:r>
        <w:rPr>
          <w:rFonts w:hAnsi="宋体"/>
          <w:bCs/>
          <w:color w:val="auto"/>
          <w:sz w:val="24"/>
          <w:highlight w:val="none"/>
        </w:rPr>
        <w:t>”</w:t>
      </w:r>
      <w:r>
        <w:rPr>
          <w:rFonts w:hint="eastAsia" w:hAnsi="宋体"/>
          <w:bCs/>
          <w:color w:val="auto"/>
          <w:sz w:val="24"/>
          <w:highlight w:val="none"/>
        </w:rPr>
        <w:t>中载明的投标有效期，</w:t>
      </w:r>
      <w:r>
        <w:rPr>
          <w:rFonts w:hint="eastAsia" w:hAnsi="宋体"/>
          <w:b/>
          <w:bCs/>
          <w:color w:val="auto"/>
          <w:sz w:val="24"/>
          <w:highlight w:val="none"/>
        </w:rPr>
        <w:t>投标有效期不满足要求的投标将被作为无效投标处理。</w:t>
      </w:r>
    </w:p>
    <w:p>
      <w:pPr>
        <w:pStyle w:val="445"/>
        <w:spacing w:line="360" w:lineRule="auto"/>
        <w:rPr>
          <w:rFonts w:hAnsi="宋体"/>
          <w:bCs/>
          <w:color w:val="auto"/>
          <w:sz w:val="24"/>
          <w:highlight w:val="none"/>
        </w:rPr>
      </w:pPr>
      <w:r>
        <w:rPr>
          <w:rFonts w:hint="eastAsia" w:ascii="宋体" w:hAnsi="宋体"/>
          <w:bCs/>
          <w:color w:val="auto"/>
          <w:sz w:val="24"/>
          <w:highlight w:val="none"/>
        </w:rPr>
        <w:t>11.2</w:t>
      </w:r>
      <w:r>
        <w:rPr>
          <w:rFonts w:hint="eastAsia" w:hAnsi="宋体"/>
          <w:bCs/>
          <w:color w:val="auto"/>
          <w:sz w:val="24"/>
          <w:highlight w:val="none"/>
        </w:rPr>
        <w:t>采购人可根据实际情况，在原投标有效期截止之前，要求投标人同意延长投标的有效期。接受该要求的投标人将不会被要求和允许修正其投标，且本须知中有关投标保证金的要求将在延长了的有效期内继续有效。投标人也可以拒绝采购人的这种要求，其投标保证金将不会被没收。上述要求和答复都应以书面形式提交。</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12. 投标文件的份数及签署、盖章规定</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12.1投标人应按照</w:t>
      </w:r>
      <w:r>
        <w:rPr>
          <w:rFonts w:ascii="宋体" w:hAnsi="宋体"/>
          <w:bCs/>
          <w:color w:val="auto"/>
          <w:sz w:val="24"/>
          <w:highlight w:val="none"/>
        </w:rPr>
        <w:t>“</w:t>
      </w:r>
      <w:r>
        <w:rPr>
          <w:rFonts w:hint="eastAsia" w:ascii="宋体" w:hAnsi="宋体"/>
          <w:bCs/>
          <w:color w:val="auto"/>
          <w:sz w:val="24"/>
          <w:highlight w:val="none"/>
        </w:rPr>
        <w:t>第二章</w:t>
      </w:r>
      <w:r>
        <w:rPr>
          <w:rFonts w:ascii="宋体" w:hAnsi="宋体"/>
          <w:bCs/>
          <w:color w:val="auto"/>
          <w:sz w:val="24"/>
          <w:highlight w:val="none"/>
        </w:rPr>
        <w:t xml:space="preserve"> </w:t>
      </w:r>
      <w:r>
        <w:rPr>
          <w:rFonts w:hint="eastAsia" w:ascii="宋体" w:hAnsi="宋体"/>
          <w:bCs/>
          <w:color w:val="auto"/>
          <w:sz w:val="24"/>
          <w:highlight w:val="none"/>
        </w:rPr>
        <w:t>投标人须知前附表</w:t>
      </w:r>
      <w:r>
        <w:rPr>
          <w:rFonts w:ascii="宋体" w:hAnsi="宋体"/>
          <w:bCs/>
          <w:color w:val="auto"/>
          <w:sz w:val="24"/>
          <w:highlight w:val="none"/>
        </w:rPr>
        <w:t>”</w:t>
      </w:r>
      <w:r>
        <w:rPr>
          <w:rFonts w:hint="eastAsia" w:ascii="宋体" w:hAnsi="宋体"/>
          <w:bCs/>
          <w:color w:val="auto"/>
          <w:sz w:val="24"/>
          <w:highlight w:val="none"/>
        </w:rPr>
        <w:t>规定的份数提交开标一览表，投标文件正本、副本，电子版文档，每份投标文件须清楚地标明</w:t>
      </w:r>
      <w:r>
        <w:rPr>
          <w:rFonts w:ascii="宋体" w:hAnsi="宋体"/>
          <w:bCs/>
          <w:color w:val="auto"/>
          <w:sz w:val="24"/>
          <w:highlight w:val="none"/>
        </w:rPr>
        <w:t>“</w:t>
      </w:r>
      <w:r>
        <w:rPr>
          <w:rFonts w:hint="eastAsia" w:ascii="宋体" w:hAnsi="宋体"/>
          <w:bCs/>
          <w:color w:val="auto"/>
          <w:sz w:val="24"/>
          <w:highlight w:val="none"/>
        </w:rPr>
        <w:t>正本</w:t>
      </w:r>
      <w:r>
        <w:rPr>
          <w:rFonts w:ascii="宋体" w:hAnsi="宋体"/>
          <w:bCs/>
          <w:color w:val="auto"/>
          <w:sz w:val="24"/>
          <w:highlight w:val="none"/>
        </w:rPr>
        <w:t>”</w:t>
      </w:r>
      <w:r>
        <w:rPr>
          <w:rFonts w:hint="eastAsia" w:ascii="宋体" w:hAnsi="宋体"/>
          <w:bCs/>
          <w:color w:val="auto"/>
          <w:sz w:val="24"/>
          <w:highlight w:val="none"/>
        </w:rPr>
        <w:t>或</w:t>
      </w:r>
      <w:r>
        <w:rPr>
          <w:rFonts w:ascii="宋体" w:hAnsi="宋体"/>
          <w:bCs/>
          <w:color w:val="auto"/>
          <w:sz w:val="24"/>
          <w:highlight w:val="none"/>
        </w:rPr>
        <w:t>“</w:t>
      </w:r>
      <w:r>
        <w:rPr>
          <w:rFonts w:hint="eastAsia" w:ascii="宋体" w:hAnsi="宋体"/>
          <w:bCs/>
          <w:color w:val="auto"/>
          <w:sz w:val="24"/>
          <w:highlight w:val="none"/>
        </w:rPr>
        <w:t>副本</w:t>
      </w:r>
      <w:r>
        <w:rPr>
          <w:rFonts w:ascii="宋体" w:hAnsi="宋体"/>
          <w:bCs/>
          <w:color w:val="auto"/>
          <w:sz w:val="24"/>
          <w:highlight w:val="none"/>
        </w:rPr>
        <w:t>”</w:t>
      </w:r>
      <w:r>
        <w:rPr>
          <w:rFonts w:hint="eastAsia" w:ascii="宋体" w:hAnsi="宋体"/>
          <w:bCs/>
          <w:color w:val="auto"/>
          <w:sz w:val="24"/>
          <w:highlight w:val="none"/>
        </w:rPr>
        <w:t>或</w:t>
      </w:r>
      <w:r>
        <w:rPr>
          <w:rFonts w:ascii="宋体" w:hAnsi="宋体"/>
          <w:bCs/>
          <w:color w:val="auto"/>
          <w:sz w:val="24"/>
          <w:highlight w:val="none"/>
        </w:rPr>
        <w:t>“</w:t>
      </w:r>
      <w:r>
        <w:rPr>
          <w:rFonts w:hint="eastAsia" w:ascii="宋体" w:hAnsi="宋体"/>
          <w:bCs/>
          <w:color w:val="auto"/>
          <w:sz w:val="24"/>
          <w:highlight w:val="none"/>
        </w:rPr>
        <w:t>电子版</w:t>
      </w:r>
      <w:r>
        <w:rPr>
          <w:rFonts w:ascii="宋体" w:hAnsi="宋体"/>
          <w:bCs/>
          <w:color w:val="auto"/>
          <w:sz w:val="24"/>
          <w:highlight w:val="none"/>
        </w:rPr>
        <w:t>”</w:t>
      </w:r>
      <w:r>
        <w:rPr>
          <w:rFonts w:hint="eastAsia" w:ascii="宋体" w:hAnsi="宋体"/>
          <w:bCs/>
          <w:color w:val="auto"/>
          <w:sz w:val="24"/>
          <w:highlight w:val="none"/>
        </w:rPr>
        <w:t>。若正本与副本或电子版不符，以正本为准。</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12.2投标文件的正本需打印或用不退色墨水书写，并按要求由投标人的法定代表人或经其正式授权的代表在投标文件上签字并加盖投标人公章。授权代表须持有书面的</w:t>
      </w:r>
      <w:r>
        <w:rPr>
          <w:rFonts w:ascii="宋体" w:hAnsi="宋体"/>
          <w:bCs/>
          <w:color w:val="auto"/>
          <w:sz w:val="24"/>
          <w:highlight w:val="none"/>
        </w:rPr>
        <w:t>“</w:t>
      </w:r>
      <w:r>
        <w:rPr>
          <w:rFonts w:hint="eastAsia" w:ascii="宋体" w:hAnsi="宋体"/>
          <w:bCs/>
          <w:color w:val="auto"/>
          <w:sz w:val="24"/>
          <w:highlight w:val="none"/>
        </w:rPr>
        <w:t>法定代表人授权书</w:t>
      </w:r>
      <w:r>
        <w:rPr>
          <w:rFonts w:ascii="宋体" w:hAnsi="宋体"/>
          <w:bCs/>
          <w:color w:val="auto"/>
          <w:sz w:val="24"/>
          <w:highlight w:val="none"/>
        </w:rPr>
        <w:t>”</w:t>
      </w:r>
      <w:r>
        <w:rPr>
          <w:rFonts w:hint="eastAsia" w:ascii="宋体" w:hAnsi="宋体"/>
          <w:bCs/>
          <w:color w:val="auto"/>
          <w:sz w:val="24"/>
          <w:highlight w:val="none"/>
        </w:rPr>
        <w:t>（标准格式附后），并将其附在投标文件中。如对投标文件进行了修改，则应由投标人的法定代表人或经其正式授权的代表在修改的内容上签字。投标文件应当装订成册，编制页码。投标文件的副本可采用正本的复印件。</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12.3任何行间插字、涂改和增删，必须由投标人法定代表人或经其正式授权的代表签字后才有效。</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12.4投标文件因字迹潦草或表达不清所引起的后果由投标人负责。</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12.5本招标文件中所要求加盖的投标人公章是指与投标人名称全称相一致的</w:t>
      </w:r>
      <w:r>
        <w:rPr>
          <w:rFonts w:ascii="宋体" w:hAnsi="宋体"/>
          <w:bCs/>
          <w:color w:val="auto"/>
          <w:sz w:val="24"/>
          <w:highlight w:val="none"/>
        </w:rPr>
        <w:t xml:space="preserve"> “</w:t>
      </w:r>
      <w:r>
        <w:rPr>
          <w:rFonts w:hint="eastAsia" w:ascii="宋体" w:hAnsi="宋体"/>
          <w:bCs/>
          <w:color w:val="auto"/>
          <w:sz w:val="24"/>
          <w:highlight w:val="none"/>
        </w:rPr>
        <w:t>行政公章</w:t>
      </w:r>
      <w:r>
        <w:rPr>
          <w:rFonts w:ascii="宋体" w:hAnsi="宋体"/>
          <w:bCs/>
          <w:color w:val="auto"/>
          <w:sz w:val="24"/>
          <w:highlight w:val="none"/>
        </w:rPr>
        <w:t>”</w:t>
      </w:r>
      <w:r>
        <w:rPr>
          <w:rFonts w:hint="eastAsia" w:ascii="宋体" w:hAnsi="宋体"/>
          <w:bCs/>
          <w:color w:val="auto"/>
          <w:sz w:val="24"/>
          <w:highlight w:val="none"/>
        </w:rPr>
        <w:t>，不得加盖其它</w:t>
      </w:r>
      <w:r>
        <w:rPr>
          <w:rFonts w:ascii="宋体" w:hAnsi="宋体"/>
          <w:bCs/>
          <w:color w:val="auto"/>
          <w:sz w:val="24"/>
          <w:highlight w:val="none"/>
        </w:rPr>
        <w:t>“</w:t>
      </w:r>
      <w:r>
        <w:rPr>
          <w:rFonts w:hint="eastAsia" w:ascii="宋体" w:hAnsi="宋体"/>
          <w:bCs/>
          <w:color w:val="auto"/>
          <w:sz w:val="24"/>
          <w:highlight w:val="none"/>
        </w:rPr>
        <w:t>合同专用章、投标专用章、财务专用章</w:t>
      </w:r>
      <w:r>
        <w:rPr>
          <w:rFonts w:ascii="宋体" w:hAnsi="宋体"/>
          <w:bCs/>
          <w:color w:val="auto"/>
          <w:sz w:val="24"/>
          <w:highlight w:val="none"/>
        </w:rPr>
        <w:t>”</w:t>
      </w:r>
      <w:r>
        <w:rPr>
          <w:rFonts w:hint="eastAsia" w:ascii="宋体" w:hAnsi="宋体"/>
          <w:bCs/>
          <w:color w:val="auto"/>
          <w:sz w:val="24"/>
          <w:highlight w:val="none"/>
        </w:rPr>
        <w:t>等非行政公章；</w:t>
      </w:r>
      <w:r>
        <w:rPr>
          <w:rFonts w:ascii="宋体" w:hAnsi="宋体"/>
          <w:bCs/>
          <w:color w:val="auto"/>
          <w:sz w:val="24"/>
          <w:highlight w:val="none"/>
        </w:rPr>
        <w:t>“</w:t>
      </w:r>
      <w:r>
        <w:rPr>
          <w:rFonts w:hint="eastAsia" w:ascii="宋体" w:hAnsi="宋体"/>
          <w:bCs/>
          <w:color w:val="auto"/>
          <w:sz w:val="24"/>
          <w:highlight w:val="none"/>
        </w:rPr>
        <w:t>签字</w:t>
      </w:r>
      <w:r>
        <w:rPr>
          <w:rFonts w:ascii="宋体" w:hAnsi="宋体"/>
          <w:bCs/>
          <w:color w:val="auto"/>
          <w:sz w:val="24"/>
          <w:highlight w:val="none"/>
        </w:rPr>
        <w:t>”</w:t>
      </w:r>
      <w:r>
        <w:rPr>
          <w:rFonts w:hint="eastAsia" w:ascii="宋体" w:hAnsi="宋体"/>
          <w:bCs/>
          <w:color w:val="auto"/>
          <w:sz w:val="24"/>
          <w:highlight w:val="none"/>
        </w:rPr>
        <w:t>是指投标人法定代表人或授权代表在招标文件规定处亲笔写上本人姓名；</w:t>
      </w:r>
      <w:r>
        <w:rPr>
          <w:rFonts w:ascii="宋体" w:hAnsi="宋体"/>
          <w:bCs/>
          <w:color w:val="auto"/>
          <w:sz w:val="24"/>
          <w:highlight w:val="none"/>
        </w:rPr>
        <w:t>“</w:t>
      </w:r>
      <w:r>
        <w:rPr>
          <w:rFonts w:hint="eastAsia" w:ascii="宋体" w:hAnsi="宋体"/>
          <w:bCs/>
          <w:color w:val="auto"/>
          <w:sz w:val="24"/>
          <w:highlight w:val="none"/>
        </w:rPr>
        <w:t>法定代表人或授权代表盖章</w:t>
      </w:r>
      <w:r>
        <w:rPr>
          <w:rFonts w:ascii="宋体" w:hAnsi="宋体"/>
          <w:bCs/>
          <w:color w:val="auto"/>
          <w:sz w:val="24"/>
          <w:highlight w:val="none"/>
        </w:rPr>
        <w:t>”</w:t>
      </w:r>
      <w:r>
        <w:rPr>
          <w:rFonts w:hint="eastAsia" w:ascii="宋体" w:hAnsi="宋体"/>
          <w:bCs/>
          <w:color w:val="auto"/>
          <w:sz w:val="24"/>
          <w:highlight w:val="none"/>
        </w:rPr>
        <w:t>是指投标人法定代表人或授权代表在招标文件规定处加盖个人名章、手签章、印鉴等。</w:t>
      </w:r>
    </w:p>
    <w:p>
      <w:pPr>
        <w:pStyle w:val="445"/>
        <w:spacing w:line="360" w:lineRule="auto"/>
        <w:jc w:val="center"/>
        <w:outlineLvl w:val="1"/>
        <w:rPr>
          <w:rFonts w:ascii="宋体" w:hAnsi="宋体"/>
          <w:b/>
          <w:color w:val="auto"/>
          <w:sz w:val="32"/>
          <w:szCs w:val="32"/>
          <w:highlight w:val="none"/>
        </w:rPr>
      </w:pPr>
      <w:r>
        <w:rPr>
          <w:rFonts w:hint="eastAsia" w:ascii="宋体" w:hAnsi="宋体"/>
          <w:b/>
          <w:color w:val="auto"/>
          <w:sz w:val="32"/>
          <w:szCs w:val="32"/>
          <w:highlight w:val="none"/>
        </w:rPr>
        <w:t>四  投标文件的递交</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13.投标文件的密封和标记</w:t>
      </w:r>
    </w:p>
    <w:p>
      <w:pPr>
        <w:pStyle w:val="445"/>
        <w:spacing w:line="360" w:lineRule="auto"/>
        <w:rPr>
          <w:rFonts w:ascii="宋体" w:hAnsi="宋体" w:cs="宋体"/>
          <w:color w:val="auto"/>
          <w:sz w:val="24"/>
          <w:highlight w:val="none"/>
        </w:rPr>
      </w:pPr>
      <w:r>
        <w:rPr>
          <w:rFonts w:hint="eastAsia" w:ascii="宋体" w:hAnsi="宋体"/>
          <w:bCs/>
          <w:color w:val="auto"/>
          <w:sz w:val="24"/>
          <w:highlight w:val="none"/>
        </w:rPr>
        <w:t>13.1</w:t>
      </w:r>
      <w:r>
        <w:rPr>
          <w:rFonts w:hint="eastAsia" w:ascii="宋体" w:hAnsi="宋体" w:cs="宋体"/>
          <w:color w:val="auto"/>
          <w:sz w:val="24"/>
          <w:highlight w:val="none"/>
        </w:rPr>
        <w:t>投标文件以密封方式在规定的地点和截止时间前递交，递交资料包括：</w:t>
      </w:r>
    </w:p>
    <w:p>
      <w:pPr>
        <w:spacing w:line="360" w:lineRule="auto"/>
        <w:ind w:left="370" w:leftChars="176"/>
        <w:rPr>
          <w:color w:val="auto"/>
          <w:highlight w:val="none"/>
        </w:rPr>
      </w:pPr>
      <w:r>
        <w:rPr>
          <w:rFonts w:hint="eastAsia" w:ascii="宋体" w:hAnsi="宋体" w:cs="宋体"/>
          <w:b/>
          <w:color w:val="auto"/>
          <w:sz w:val="24"/>
          <w:highlight w:val="none"/>
        </w:rPr>
        <w:t>1）密封袋 1</w:t>
      </w:r>
      <w:r>
        <w:rPr>
          <w:rFonts w:hint="eastAsia" w:ascii="宋体" w:hAnsi="宋体" w:cs="宋体"/>
          <w:color w:val="auto"/>
          <w:sz w:val="24"/>
          <w:highlight w:val="none"/>
        </w:rPr>
        <w:t xml:space="preserve">  内装纸质“开标一览表”1份，在密封袋上标明“开标一览表”字样；</w:t>
      </w:r>
    </w:p>
    <w:p>
      <w:pPr>
        <w:spacing w:line="360" w:lineRule="auto"/>
        <w:ind w:left="370" w:leftChars="176"/>
        <w:rPr>
          <w:rFonts w:ascii="宋体" w:hAnsi="宋体"/>
          <w:bCs/>
          <w:color w:val="auto"/>
          <w:sz w:val="24"/>
          <w:highlight w:val="none"/>
        </w:rPr>
      </w:pPr>
      <w:r>
        <w:rPr>
          <w:rFonts w:hint="eastAsia" w:ascii="宋体" w:hAnsi="宋体" w:cs="宋体"/>
          <w:b/>
          <w:color w:val="auto"/>
          <w:sz w:val="24"/>
          <w:highlight w:val="none"/>
        </w:rPr>
        <w:t xml:space="preserve">2）密封袋 2  </w:t>
      </w:r>
      <w:r>
        <w:rPr>
          <w:rFonts w:hint="eastAsia" w:ascii="宋体" w:hAnsi="宋体" w:cs="宋体"/>
          <w:color w:val="auto"/>
          <w:sz w:val="24"/>
          <w:highlight w:val="none"/>
        </w:rPr>
        <w:t>内装投标文件正本1份、副本4份，在密封袋上标明“投标文件”字样；</w:t>
      </w:r>
    </w:p>
    <w:p>
      <w:pPr>
        <w:spacing w:line="360" w:lineRule="auto"/>
        <w:ind w:left="370" w:leftChars="176"/>
        <w:jc w:val="left"/>
        <w:rPr>
          <w:rFonts w:ascii="宋体" w:hAnsi="宋体"/>
          <w:bCs/>
          <w:color w:val="auto"/>
          <w:sz w:val="24"/>
          <w:highlight w:val="none"/>
        </w:rPr>
      </w:pPr>
      <w:r>
        <w:rPr>
          <w:rFonts w:hint="eastAsia" w:ascii="宋体" w:hAnsi="宋体" w:cs="宋体"/>
          <w:b/>
          <w:color w:val="auto"/>
          <w:sz w:val="24"/>
          <w:highlight w:val="none"/>
        </w:rPr>
        <w:t xml:space="preserve">3）密封袋 3  </w:t>
      </w:r>
      <w:r>
        <w:rPr>
          <w:rFonts w:hint="eastAsia" w:ascii="宋体" w:hAnsi="宋体" w:cs="宋体"/>
          <w:color w:val="auto"/>
          <w:sz w:val="24"/>
          <w:highlight w:val="none"/>
        </w:rPr>
        <w:t>电子版投标文件1份；在密封袋上标明“电子版投标文件”字样；</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13.2投标文件封皮正面标明</w:t>
      </w:r>
      <w:r>
        <w:rPr>
          <w:rFonts w:ascii="宋体" w:hAnsi="宋体"/>
          <w:bCs/>
          <w:color w:val="auto"/>
          <w:sz w:val="24"/>
          <w:highlight w:val="none"/>
        </w:rPr>
        <w:t>“</w:t>
      </w:r>
      <w:r>
        <w:rPr>
          <w:rFonts w:hint="eastAsia" w:ascii="宋体" w:hAnsi="宋体"/>
          <w:bCs/>
          <w:color w:val="auto"/>
          <w:sz w:val="24"/>
          <w:highlight w:val="none"/>
        </w:rPr>
        <w:t>正本</w:t>
      </w:r>
      <w:r>
        <w:rPr>
          <w:rFonts w:ascii="宋体" w:hAnsi="宋体"/>
          <w:bCs/>
          <w:color w:val="auto"/>
          <w:sz w:val="24"/>
          <w:highlight w:val="none"/>
        </w:rPr>
        <w:t>”</w:t>
      </w:r>
      <w:r>
        <w:rPr>
          <w:rFonts w:hint="eastAsia" w:ascii="宋体" w:hAnsi="宋体"/>
          <w:bCs/>
          <w:color w:val="auto"/>
          <w:sz w:val="24"/>
          <w:highlight w:val="none"/>
        </w:rPr>
        <w:t>或</w:t>
      </w:r>
      <w:r>
        <w:rPr>
          <w:rFonts w:ascii="宋体" w:hAnsi="宋体"/>
          <w:bCs/>
          <w:color w:val="auto"/>
          <w:sz w:val="24"/>
          <w:highlight w:val="none"/>
        </w:rPr>
        <w:t>“</w:t>
      </w:r>
      <w:r>
        <w:rPr>
          <w:rFonts w:hint="eastAsia" w:ascii="宋体" w:hAnsi="宋体"/>
          <w:bCs/>
          <w:color w:val="auto"/>
          <w:sz w:val="24"/>
          <w:highlight w:val="none"/>
        </w:rPr>
        <w:t>副本</w:t>
      </w:r>
      <w:r>
        <w:rPr>
          <w:rFonts w:ascii="宋体" w:hAnsi="宋体"/>
          <w:bCs/>
          <w:color w:val="auto"/>
          <w:sz w:val="24"/>
          <w:highlight w:val="none"/>
        </w:rPr>
        <w:t>”</w:t>
      </w:r>
      <w:r>
        <w:rPr>
          <w:rFonts w:hint="eastAsia" w:ascii="宋体" w:hAnsi="宋体"/>
          <w:bCs/>
          <w:color w:val="auto"/>
          <w:sz w:val="24"/>
          <w:highlight w:val="none"/>
        </w:rPr>
        <w:t>字样。</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13.3所有封装封面上均应：</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（1）注明招标文件中指明的项目名称、项目编号、投标人名称、投标人联系方式和</w:t>
      </w:r>
      <w:r>
        <w:rPr>
          <w:rFonts w:ascii="宋体" w:hAnsi="宋体"/>
          <w:bCs/>
          <w:color w:val="auto"/>
          <w:sz w:val="24"/>
          <w:highlight w:val="none"/>
        </w:rPr>
        <w:t>“</w:t>
      </w:r>
      <w:r>
        <w:rPr>
          <w:rFonts w:hint="eastAsia" w:ascii="宋体" w:hAnsi="宋体"/>
          <w:bCs/>
          <w:color w:val="auto"/>
          <w:sz w:val="24"/>
          <w:highlight w:val="none"/>
        </w:rPr>
        <w:t>在</w:t>
      </w:r>
      <w:r>
        <w:rPr>
          <w:rFonts w:hint="eastAsia" w:ascii="宋体" w:hAnsi="宋体"/>
          <w:bCs/>
          <w:color w:val="auto"/>
          <w:sz w:val="24"/>
          <w:highlight w:val="none"/>
          <w:u w:val="single"/>
        </w:rPr>
        <w:t>（投标人须知前附表中规定投标截止时间）</w:t>
      </w:r>
      <w:r>
        <w:rPr>
          <w:rFonts w:hint="eastAsia" w:ascii="宋体" w:hAnsi="宋体"/>
          <w:bCs/>
          <w:color w:val="auto"/>
          <w:sz w:val="24"/>
          <w:highlight w:val="none"/>
        </w:rPr>
        <w:t>之前不得启封</w:t>
      </w:r>
      <w:r>
        <w:rPr>
          <w:rFonts w:ascii="宋体" w:hAnsi="宋体"/>
          <w:bCs/>
          <w:color w:val="auto"/>
          <w:sz w:val="24"/>
          <w:highlight w:val="none"/>
        </w:rPr>
        <w:t>”</w:t>
      </w:r>
      <w:r>
        <w:rPr>
          <w:rFonts w:hint="eastAsia" w:ascii="宋体" w:hAnsi="宋体"/>
          <w:bCs/>
          <w:color w:val="auto"/>
          <w:sz w:val="24"/>
          <w:highlight w:val="none"/>
        </w:rPr>
        <w:t>的字样。</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（2）在密封封口处加盖投标人公章，也可由法定代表人或其授权代表签字。</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13.4如果投标文件未密封完好，采购人、采购代理机构应当拒收。</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14.投标截止时间</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14.1投标人应在招标公告或投标邀请中规定的截止日期和时间前，将投标文件递交至采购代理机构，递交地点应是招标公告或投标邀请中规定的地址。</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14.2采购人有权按本须知的规定，通过修改招标文件延长投标截止时间。在此情况下，采购人、采购代理机构和投标人受投标截止时间制约的所有权利和义务均应延长至新的截止时间。</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14.3逾期送达的投标文件，采购人、采购代理机构应当拒收。</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15.投标文件的修改和撒回</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15.1投标人在投标截止时间前，可以对所递交的投标文件进行补充、修改或者撤回，并书面通知采购人或者采购代理机构。</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15.2投标人补充、修改的内容应当按照招标文件要求签署、盖章、密封后，</w:t>
      </w:r>
      <w:r>
        <w:rPr>
          <w:rFonts w:ascii="宋体" w:hAnsi="宋体"/>
          <w:bCs/>
          <w:color w:val="auto"/>
          <w:sz w:val="24"/>
          <w:highlight w:val="none"/>
        </w:rPr>
        <w:t xml:space="preserve"> </w:t>
      </w:r>
      <w:r>
        <w:rPr>
          <w:rFonts w:hint="eastAsia" w:ascii="宋体" w:hAnsi="宋体"/>
          <w:bCs/>
          <w:color w:val="auto"/>
          <w:sz w:val="24"/>
          <w:highlight w:val="none"/>
        </w:rPr>
        <w:t>作为投标文件的组成部分。</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15.3在投标截止时间之后，投标人不得对其投标文件做任何补充或修改。</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15.4从投标截止时间至投标人在投标文件中确定的投标有效期之间，投标人不得撤销其投标，否则其投标保证金将按照本须知的规定不予退还。</w:t>
      </w:r>
    </w:p>
    <w:p>
      <w:pPr>
        <w:pStyle w:val="445"/>
        <w:spacing w:line="360" w:lineRule="auto"/>
        <w:jc w:val="center"/>
        <w:outlineLvl w:val="1"/>
        <w:rPr>
          <w:rFonts w:ascii="宋体" w:hAnsi="宋体"/>
          <w:b/>
          <w:color w:val="auto"/>
          <w:sz w:val="32"/>
          <w:szCs w:val="32"/>
          <w:highlight w:val="none"/>
        </w:rPr>
      </w:pPr>
      <w:r>
        <w:rPr>
          <w:rFonts w:hint="eastAsia" w:ascii="宋体" w:hAnsi="宋体"/>
          <w:b/>
          <w:color w:val="auto"/>
          <w:sz w:val="32"/>
          <w:szCs w:val="32"/>
          <w:highlight w:val="none"/>
        </w:rPr>
        <w:t>五  开标与评标</w:t>
      </w:r>
    </w:p>
    <w:p>
      <w:pPr>
        <w:pStyle w:val="445"/>
        <w:spacing w:line="360" w:lineRule="auto"/>
        <w:jc w:val="left"/>
        <w:rPr>
          <w:rFonts w:ascii="宋体" w:hAnsi="宋体"/>
          <w:b/>
          <w:bCs/>
          <w:color w:val="auto"/>
          <w:sz w:val="24"/>
          <w:highlight w:val="none"/>
        </w:rPr>
      </w:pPr>
      <w:r>
        <w:rPr>
          <w:rFonts w:hint="eastAsia" w:ascii="宋体" w:hAnsi="宋体"/>
          <w:b/>
          <w:bCs/>
          <w:color w:val="auto"/>
          <w:sz w:val="24"/>
          <w:highlight w:val="none"/>
        </w:rPr>
        <w:t>16.开标</w:t>
      </w:r>
    </w:p>
    <w:p>
      <w:pPr>
        <w:pStyle w:val="445"/>
        <w:spacing w:line="360" w:lineRule="auto"/>
        <w:rPr>
          <w:rFonts w:hAnsi="宋体"/>
          <w:bCs/>
          <w:color w:val="auto"/>
          <w:sz w:val="24"/>
          <w:highlight w:val="none"/>
        </w:rPr>
      </w:pPr>
      <w:r>
        <w:rPr>
          <w:rFonts w:hint="eastAsia" w:ascii="宋体" w:hAnsi="宋体"/>
          <w:bCs/>
          <w:color w:val="auto"/>
          <w:sz w:val="24"/>
          <w:highlight w:val="none"/>
        </w:rPr>
        <w:t>16.1</w:t>
      </w:r>
      <w:r>
        <w:rPr>
          <w:rFonts w:hint="eastAsia" w:hAnsi="宋体"/>
          <w:bCs/>
          <w:color w:val="auto"/>
          <w:sz w:val="24"/>
          <w:highlight w:val="none"/>
        </w:rPr>
        <w:t>采购代理机构将按招标公告的规定，在投标截止时间的同一时间和招标公告或预先确定的地点组织公开开标。开标由采购代理机构主持，邀请所有投标人、采购人和有关方面代表参加。参加开标的代表应签名报到以证明其出席。</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16.2开标时，由投标人或其推选的代表检查投标文件的密封情况，经确认无误后，由采购代理机构工作人员当众拆封，宣布投标人名称、投标价格和招标文件规定的需要宣布的其他内容。</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16.3公开招标采购项目开标结束后，采购人或者采购代理机构应当依法对投标人的资格进行审查。</w:t>
      </w:r>
    </w:p>
    <w:p>
      <w:pPr>
        <w:pStyle w:val="445"/>
        <w:spacing w:line="360" w:lineRule="auto"/>
        <w:rPr>
          <w:rFonts w:ascii="宋体" w:hAnsi="宋体"/>
          <w:bCs/>
          <w:color w:val="auto"/>
          <w:highlight w:val="none"/>
        </w:rPr>
      </w:pPr>
      <w:r>
        <w:rPr>
          <w:rFonts w:hint="eastAsia" w:ascii="宋体" w:hAnsi="宋体"/>
          <w:bCs/>
          <w:color w:val="auto"/>
          <w:sz w:val="24"/>
          <w:highlight w:val="none"/>
        </w:rPr>
        <w:t>16.4采购代理机构将对开标过程进行记录，由参加开标的各投标人代表和相关工作人员签字确认，并存档备查。投标人未参加开标的，视同认可开标结果。</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17.评标委员会</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17.1按照《中华人民共和国政府采购法》、《中华人民共和国政府采购实施条例》及本项目采购人本级和上级财政部门的有关规定依法组建的评标委员会负责评标工作。</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17.2评标委员会负责具体评标事务，成员人数为</w:t>
      </w:r>
      <w:r>
        <w:rPr>
          <w:rFonts w:ascii="宋体" w:hAnsi="宋体"/>
          <w:bCs/>
          <w:color w:val="auto"/>
          <w:sz w:val="24"/>
          <w:highlight w:val="none"/>
        </w:rPr>
        <w:t xml:space="preserve"> 5 </w:t>
      </w:r>
      <w:r>
        <w:rPr>
          <w:rFonts w:hint="eastAsia" w:ascii="宋体" w:hAnsi="宋体"/>
          <w:bCs/>
          <w:color w:val="auto"/>
          <w:sz w:val="24"/>
          <w:highlight w:val="none"/>
        </w:rPr>
        <w:t>人以上单数，评审专家不得少于成员总数的三分之二。</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17.3评标委员会成员应依照政府采购法及其他各项有关政府采购评审管理办法的规定，履行评审专家的各项职责。</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17.4评标委员会成员因缺席、回避、擅离职守或者因健康等原因不能继续履行评审专家职责的，采购人或者采购代理机构有权向相关监督管理部门通报。</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18. 投标人资格审查和投标文件符合性审查</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18.1投标人资格审查指依据法律、法规和招标文件的规定，对投标文件中的资格、资信证明等进行审查，以确定投标人是否具备投标资格；投标文件符合性审查指依据招标文件的规定，从投标文件的有效性、完整性和对招标文件的响应程度进行审查，以确定是否对招标文件的实质性要求作出响应。</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18.2投标人未通过资格审查的不得进入投标文件符合性审查；投标人未通过符合性审查的，不得进入投标文件的综合比较与评价。</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18.3 如本项目使用最低评标价法，提供相同品牌相同规格类型产品的不同投标人以其中通过资格审查、符合性审查且报价最低的参加评标；报价相同的，由采购人或者采购人委托评标委员会按照招标文件中评标办法规定的方式确定</w:t>
      </w:r>
      <w:r>
        <w:rPr>
          <w:rFonts w:ascii="宋体" w:hAnsi="宋体"/>
          <w:bCs/>
          <w:color w:val="auto"/>
          <w:sz w:val="24"/>
          <w:highlight w:val="none"/>
        </w:rPr>
        <w:t xml:space="preserve"> </w:t>
      </w:r>
      <w:r>
        <w:rPr>
          <w:rFonts w:hint="eastAsia" w:ascii="宋体" w:hAnsi="宋体"/>
          <w:bCs/>
          <w:color w:val="auto"/>
          <w:sz w:val="24"/>
          <w:highlight w:val="none"/>
        </w:rPr>
        <w:t>一个参加评标的投标人；未规定的采取随机抽取方式确定，</w:t>
      </w:r>
      <w:r>
        <w:rPr>
          <w:rFonts w:hint="eastAsia" w:ascii="宋体" w:hAnsi="宋体"/>
          <w:b/>
          <w:bCs/>
          <w:color w:val="auto"/>
          <w:sz w:val="24"/>
          <w:highlight w:val="none"/>
        </w:rPr>
        <w:t>其他投标无效</w:t>
      </w:r>
      <w:r>
        <w:rPr>
          <w:rFonts w:hint="eastAsia" w:ascii="宋体" w:hAnsi="宋体"/>
          <w:bCs/>
          <w:color w:val="auto"/>
          <w:sz w:val="24"/>
          <w:highlight w:val="none"/>
        </w:rPr>
        <w:t>。</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18.4 如本项目使用综合评分法，提供相同品牌相同规格类型产品且通过资格审查、符合性审查的不同投标人，按一家投标人计算，评审后得分最高的同品牌同规格类型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18.5如一个分包内包含多种产品的，采购人或采购代理机构将在</w:t>
      </w:r>
      <w:r>
        <w:rPr>
          <w:rFonts w:hint="eastAsia" w:ascii="宋体" w:hAnsi="宋体"/>
          <w:bCs/>
          <w:color w:val="auto"/>
          <w:sz w:val="24"/>
          <w:highlight w:val="none"/>
          <w:u w:val="single"/>
        </w:rPr>
        <w:t>投标人须知前附表</w:t>
      </w:r>
      <w:r>
        <w:rPr>
          <w:rFonts w:hint="eastAsia" w:ascii="宋体" w:hAnsi="宋体"/>
          <w:bCs/>
          <w:color w:val="auto"/>
          <w:sz w:val="24"/>
          <w:highlight w:val="none"/>
        </w:rPr>
        <w:t>中载明核心产品，多家投标人提供的所有核心产品品牌均相同的，</w:t>
      </w:r>
      <w:r>
        <w:rPr>
          <w:rFonts w:ascii="宋体" w:hAnsi="宋体"/>
          <w:bCs/>
          <w:color w:val="auto"/>
          <w:sz w:val="24"/>
          <w:highlight w:val="none"/>
        </w:rPr>
        <w:t xml:space="preserve"> </w:t>
      </w:r>
      <w:r>
        <w:rPr>
          <w:rFonts w:hint="eastAsia" w:ascii="宋体" w:hAnsi="宋体"/>
          <w:bCs/>
          <w:color w:val="auto"/>
          <w:sz w:val="24"/>
          <w:highlight w:val="none"/>
        </w:rPr>
        <w:t>按第18.4条规定处理。</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18.6投标人所投产品如被列入财政部与国家主管部门颁发的节能产品目录或环境标志产品目录，应提供相关证明，在评标时予以优先采购，具体优先采购办法见第五章评标方法和标准。如采购人所采购产品为政府强制采购的节能产品，投标人所投产品的品牌及型号必须为清单中有效期内产品并提供证明文件，否则其投标将作为</w:t>
      </w:r>
      <w:r>
        <w:rPr>
          <w:rFonts w:hint="eastAsia" w:ascii="宋体" w:hAnsi="宋体"/>
          <w:b/>
          <w:bCs/>
          <w:color w:val="auto"/>
          <w:sz w:val="24"/>
          <w:highlight w:val="none"/>
        </w:rPr>
        <w:t>无效投标</w:t>
      </w:r>
      <w:r>
        <w:rPr>
          <w:rFonts w:hint="eastAsia" w:ascii="宋体" w:hAnsi="宋体"/>
          <w:bCs/>
          <w:color w:val="auto"/>
          <w:sz w:val="24"/>
          <w:highlight w:val="none"/>
        </w:rPr>
        <w:t>被拒绝。</w:t>
      </w:r>
    </w:p>
    <w:p>
      <w:pPr>
        <w:pStyle w:val="445"/>
        <w:spacing w:line="360" w:lineRule="auto"/>
        <w:rPr>
          <w:rFonts w:ascii="宋体" w:hAnsi="宋体"/>
          <w:b/>
          <w:color w:val="auto"/>
          <w:sz w:val="24"/>
          <w:highlight w:val="none"/>
        </w:rPr>
      </w:pPr>
      <w:r>
        <w:rPr>
          <w:rFonts w:hint="eastAsia" w:ascii="宋体" w:hAnsi="宋体"/>
          <w:bCs/>
          <w:color w:val="auto"/>
          <w:sz w:val="24"/>
          <w:highlight w:val="none"/>
        </w:rPr>
        <w:t>18.7</w:t>
      </w:r>
      <w:r>
        <w:rPr>
          <w:rFonts w:hint="eastAsia" w:ascii="宋体" w:hAnsi="宋体"/>
          <w:b/>
          <w:bCs w:val="0"/>
          <w:color w:val="auto"/>
          <w:sz w:val="24"/>
          <w:highlight w:val="none"/>
        </w:rPr>
        <w:t>资格审查详见投标人须知前附表载明的投标人资格证明文件、符合性审查标准详见第五章评标内容。</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19.</w:t>
      </w:r>
      <w:r>
        <w:rPr>
          <w:rFonts w:hint="eastAsia" w:ascii="仿宋" w:eastAsia="仿宋" w:cs="仿宋"/>
          <w:b/>
          <w:bCs/>
          <w:color w:val="auto"/>
          <w:kern w:val="0"/>
          <w:sz w:val="24"/>
          <w:highlight w:val="none"/>
        </w:rPr>
        <w:t xml:space="preserve"> </w:t>
      </w:r>
      <w:r>
        <w:rPr>
          <w:rFonts w:hint="eastAsia" w:ascii="宋体" w:hAnsi="宋体"/>
          <w:b/>
          <w:bCs/>
          <w:color w:val="auto"/>
          <w:sz w:val="24"/>
          <w:highlight w:val="none"/>
        </w:rPr>
        <w:t>投标文件的澄清和修正</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19.1对于投标文件中含义不明确、同类问题表述不一致或者有明显文字和计算错误的内容，评标委员会应当以书面形式要求投标人作出必要的澄清、说明或者补正。</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19.2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19.3投标文件报价出现前后不一致的，将按照下列规定修正：</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（一）投标文件中开标一览表（报价表）内容与投标文件中相应内容不一致的，以开标一览表（报价表）为准；</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（二）大写金额和小写金额不一致的，以大写金额为准；</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（三）单价金额小数点或者百分比有明显错位的，以开标一览表的总价为准，并修改单价；</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（四）总价金额与按单价汇总金额不一致的，以单价金额计算结果为准。</w:t>
      </w:r>
    </w:p>
    <w:p>
      <w:pPr>
        <w:pStyle w:val="445"/>
        <w:spacing w:line="360" w:lineRule="auto"/>
        <w:rPr>
          <w:rFonts w:ascii="宋体" w:hAnsi="宋体"/>
          <w:bCs/>
          <w:color w:val="auto"/>
          <w:sz w:val="24"/>
          <w:highlight w:val="none"/>
        </w:rPr>
      </w:pPr>
      <w:r>
        <w:rPr>
          <w:rFonts w:ascii="宋体" w:hAnsi="宋体"/>
          <w:bCs/>
          <w:color w:val="auto"/>
          <w:sz w:val="24"/>
          <w:highlight w:val="none"/>
        </w:rPr>
        <w:tab/>
      </w:r>
      <w:r>
        <w:rPr>
          <w:rFonts w:hint="eastAsia" w:ascii="宋体" w:hAnsi="宋体"/>
          <w:bCs/>
          <w:color w:val="auto"/>
          <w:sz w:val="24"/>
          <w:highlight w:val="none"/>
        </w:rPr>
        <w:t>同时出现两种以上不一致的，按照前款规定的顺序修正。修正后的报价按照第</w:t>
      </w:r>
      <w:r>
        <w:rPr>
          <w:rFonts w:ascii="宋体" w:hAnsi="宋体"/>
          <w:bCs/>
          <w:color w:val="auto"/>
          <w:sz w:val="24"/>
          <w:highlight w:val="none"/>
        </w:rPr>
        <w:t xml:space="preserve"> </w:t>
      </w:r>
      <w:r>
        <w:rPr>
          <w:rFonts w:hint="eastAsia" w:ascii="宋体" w:hAnsi="宋体"/>
          <w:bCs/>
          <w:color w:val="auto"/>
          <w:sz w:val="24"/>
          <w:highlight w:val="none"/>
        </w:rPr>
        <w:t>19</w:t>
      </w:r>
      <w:r>
        <w:rPr>
          <w:rFonts w:ascii="宋体" w:hAnsi="宋体"/>
          <w:bCs/>
          <w:color w:val="auto"/>
          <w:sz w:val="24"/>
          <w:highlight w:val="none"/>
        </w:rPr>
        <w:t xml:space="preserve">.2 </w:t>
      </w:r>
      <w:r>
        <w:rPr>
          <w:rFonts w:hint="eastAsia" w:ascii="宋体" w:hAnsi="宋体"/>
          <w:bCs/>
          <w:color w:val="auto"/>
          <w:sz w:val="24"/>
          <w:highlight w:val="none"/>
        </w:rPr>
        <w:t>条的规定经投标人确认后产生约束力，投标人不确认的，将被视为</w:t>
      </w:r>
      <w:r>
        <w:rPr>
          <w:rFonts w:hint="eastAsia" w:ascii="宋体" w:hAnsi="宋体"/>
          <w:b/>
          <w:bCs/>
          <w:color w:val="auto"/>
          <w:sz w:val="24"/>
          <w:highlight w:val="none"/>
        </w:rPr>
        <w:t>无效投标</w:t>
      </w:r>
      <w:r>
        <w:rPr>
          <w:rFonts w:hint="eastAsia" w:ascii="宋体" w:hAnsi="宋体"/>
          <w:bCs/>
          <w:color w:val="auto"/>
          <w:sz w:val="24"/>
          <w:highlight w:val="none"/>
        </w:rPr>
        <w:t>被拒绝。</w:t>
      </w:r>
      <w:r>
        <w:rPr>
          <w:rFonts w:ascii="宋体" w:hAnsi="宋体"/>
          <w:bCs/>
          <w:color w:val="auto"/>
          <w:sz w:val="24"/>
          <w:highlight w:val="none"/>
        </w:rPr>
        <w:t xml:space="preserve"> </w:t>
      </w:r>
      <w:r>
        <w:rPr>
          <w:rFonts w:hint="eastAsia" w:ascii="宋体" w:hAnsi="宋体"/>
          <w:bCs/>
          <w:color w:val="auto"/>
          <w:sz w:val="24"/>
          <w:highlight w:val="none"/>
        </w:rPr>
        <w:t>对不同文字文本投标文件的解释发生异议的，以中文文本为准。</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20. 投标偏离与非实质性响应</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20.1对于投标文件中不构成实质性偏差的不正规、不一致或不规则，评标委员会可以接受，但这种接受不能损坏或影响任何投标人的相对排序。</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20.2在详细评标之前，根据本须知的规定，评标委员会要审查每份投标文件是否实质上响应了招标文件的要求。实质上响应的投标应该是与招标文件要求的全部实质性条款、条件和规格相符，没有重大偏离的投标。</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20.3实质上没有响应招标文件要求的投标将被拒绝。投标人不得通过修正或撤销不符合要求的偏离或保留从而使其投标成为实质上响应的投标。</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21.投标无效</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21.1投标人存在下列情况之一的，投标无效：</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（1）未按照招标文件的规定提交投标保证金的；</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（2）投标文件未按招标文件要求签署、盖章的；</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（3）不具备招标文件中规定的资格要求的；</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（4）报价出现超过招标文件中最高限价规定的；</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（5）投标文件含有采购人不能接受的附加条件的；</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（6）法律、法规和招标文件规定的其他无效情形。</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21.2有下列情形之一的，视为投标人串通投标，其投标无效：</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（1）不同投标人的投标文件由同一单位或者个人编制；</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（2）不同投标人委托同一单位或者个人办理投标事宜；</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（3）不同投标人的投标文件载明的项目管理成员或者联系人员为同一人；</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（4）不同投标人的投标文件异常一致或者投标报价呈规律性差异；</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 xml:space="preserve"> (5) 不同投标人的投标文件相互混装；</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 xml:space="preserve"> (6) 不同投标人的投标保证金从同一单位或者个人的账户转出。</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21.3其他投标无效情形：</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）不符合招标文件关于进口产品规定的；</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（2）任何选择性报价（或多个方案）的投标；</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（3）任何包含价格调整要求的投标；</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（4）投标有效期不满足要求的投标；</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（5）评标委员会认为投标人的报价明显低于其他通过符合性审查投标人的报价，有可能影响产品质量或者不能诚信履约的，投标人不能证明其报价合理性的；</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（6）投标文件报价出现前后不一致，投标人不确认修正后的报价的；</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（7）未按照招标文件要求提交</w:t>
      </w:r>
      <w:r>
        <w:rPr>
          <w:rFonts w:ascii="宋体" w:hAnsi="宋体"/>
          <w:bCs/>
          <w:color w:val="auto"/>
          <w:sz w:val="24"/>
          <w:highlight w:val="none"/>
        </w:rPr>
        <w:t>“</w:t>
      </w:r>
      <w:r>
        <w:rPr>
          <w:rFonts w:hint="eastAsia" w:ascii="宋体" w:hAnsi="宋体"/>
          <w:bCs/>
          <w:color w:val="auto"/>
          <w:sz w:val="24"/>
          <w:highlight w:val="none"/>
        </w:rPr>
        <w:t>投标人声明函</w:t>
      </w:r>
      <w:r>
        <w:rPr>
          <w:rFonts w:ascii="宋体" w:hAnsi="宋体"/>
          <w:bCs/>
          <w:color w:val="auto"/>
          <w:sz w:val="24"/>
          <w:highlight w:val="none"/>
        </w:rPr>
        <w:t>”</w:t>
      </w:r>
      <w:r>
        <w:rPr>
          <w:rFonts w:hint="eastAsia" w:ascii="宋体" w:hAnsi="宋体"/>
          <w:bCs/>
          <w:color w:val="auto"/>
          <w:sz w:val="24"/>
          <w:highlight w:val="none"/>
        </w:rPr>
        <w:t>的；</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（8）服务期限（或交货期）不满足招标文件要求的；</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（9）未按照招标文件要求单独递交开标一览表的。</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22. 投标文件的综合比较与评价</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22.1根据项目实际情况本项目的评标方法为综合评分法，评审标准详见第五章。</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22.2评标委员会将按照招标文件中规定的评标方法和评审标准，对符合性审查合格的投标文件进行商务和技术评估，综合比较与评价。评标时，评标委员会各成员应当独立对每个投标人的投标文件进行评价，并汇总每个投标人的得分。</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22.3根据《政府采购促进中小企业发展管理办法》（财库</w:t>
      </w:r>
      <w:r>
        <w:rPr>
          <w:rFonts w:ascii="宋体" w:hAnsi="宋体"/>
          <w:bCs/>
          <w:color w:val="auto"/>
          <w:sz w:val="24"/>
          <w:highlight w:val="none"/>
        </w:rPr>
        <w:t>[20</w:t>
      </w:r>
      <w:r>
        <w:rPr>
          <w:rFonts w:hint="eastAsia" w:ascii="宋体" w:hAnsi="宋体"/>
          <w:bCs/>
          <w:color w:val="auto"/>
          <w:sz w:val="24"/>
          <w:highlight w:val="none"/>
        </w:rPr>
        <w:t>20</w:t>
      </w:r>
      <w:r>
        <w:rPr>
          <w:rFonts w:ascii="宋体" w:hAnsi="宋体"/>
          <w:bCs/>
          <w:color w:val="auto"/>
          <w:sz w:val="24"/>
          <w:highlight w:val="none"/>
        </w:rPr>
        <w:t>]</w:t>
      </w:r>
      <w:r>
        <w:rPr>
          <w:rFonts w:hint="eastAsia" w:ascii="宋体" w:hAnsi="宋体"/>
          <w:bCs/>
          <w:color w:val="auto"/>
          <w:sz w:val="24"/>
          <w:highlight w:val="none"/>
        </w:rPr>
        <w:t>46</w:t>
      </w:r>
      <w:r>
        <w:rPr>
          <w:rFonts w:ascii="宋体" w:hAnsi="宋体"/>
          <w:bCs/>
          <w:color w:val="auto"/>
          <w:sz w:val="24"/>
          <w:highlight w:val="none"/>
        </w:rPr>
        <w:t xml:space="preserve"> </w:t>
      </w:r>
      <w:r>
        <w:rPr>
          <w:rFonts w:hint="eastAsia" w:ascii="宋体" w:hAnsi="宋体"/>
          <w:bCs/>
          <w:color w:val="auto"/>
          <w:sz w:val="24"/>
          <w:highlight w:val="none"/>
        </w:rPr>
        <w:t>号）、《财政部司法部关于政府采购支持监狱企业发展有关问题的通知》（财库〔</w:t>
      </w:r>
      <w:r>
        <w:rPr>
          <w:rFonts w:ascii="宋体" w:hAnsi="宋体"/>
          <w:bCs/>
          <w:color w:val="auto"/>
          <w:sz w:val="24"/>
          <w:highlight w:val="none"/>
        </w:rPr>
        <w:t>2014</w:t>
      </w:r>
      <w:r>
        <w:rPr>
          <w:rFonts w:hint="eastAsia" w:ascii="宋体" w:hAnsi="宋体"/>
          <w:bCs/>
          <w:color w:val="auto"/>
          <w:sz w:val="24"/>
          <w:highlight w:val="none"/>
        </w:rPr>
        <w:t>〕</w:t>
      </w:r>
      <w:r>
        <w:rPr>
          <w:rFonts w:ascii="宋体" w:hAnsi="宋体"/>
          <w:bCs/>
          <w:color w:val="auto"/>
          <w:sz w:val="24"/>
          <w:highlight w:val="none"/>
        </w:rPr>
        <w:t xml:space="preserve">68 </w:t>
      </w:r>
      <w:r>
        <w:rPr>
          <w:rFonts w:hint="eastAsia" w:ascii="宋体" w:hAnsi="宋体"/>
          <w:bCs/>
          <w:color w:val="auto"/>
          <w:sz w:val="24"/>
          <w:highlight w:val="none"/>
        </w:rPr>
        <w:t>号）和《三部门联合发布关于促进残疾人就业政府采购政</w:t>
      </w:r>
      <w:r>
        <w:rPr>
          <w:rFonts w:ascii="宋体" w:hAnsi="宋体"/>
          <w:bCs/>
          <w:color w:val="auto"/>
          <w:sz w:val="24"/>
          <w:highlight w:val="none"/>
        </w:rPr>
        <w:t xml:space="preserve"> </w:t>
      </w:r>
      <w:r>
        <w:rPr>
          <w:rFonts w:hint="eastAsia" w:ascii="宋体" w:hAnsi="宋体"/>
          <w:bCs/>
          <w:color w:val="auto"/>
          <w:sz w:val="24"/>
          <w:highlight w:val="none"/>
        </w:rPr>
        <w:t>策的通知》（财库〔</w:t>
      </w:r>
      <w:r>
        <w:rPr>
          <w:rFonts w:ascii="宋体" w:hAnsi="宋体"/>
          <w:bCs/>
          <w:color w:val="auto"/>
          <w:sz w:val="24"/>
          <w:highlight w:val="none"/>
        </w:rPr>
        <w:t>2017</w:t>
      </w:r>
      <w:r>
        <w:rPr>
          <w:rFonts w:hint="eastAsia" w:ascii="宋体" w:hAnsi="宋体"/>
          <w:bCs/>
          <w:color w:val="auto"/>
          <w:sz w:val="24"/>
          <w:highlight w:val="none"/>
        </w:rPr>
        <w:t>〕</w:t>
      </w:r>
      <w:r>
        <w:rPr>
          <w:rFonts w:ascii="宋体" w:hAnsi="宋体"/>
          <w:bCs/>
          <w:color w:val="auto"/>
          <w:sz w:val="24"/>
          <w:highlight w:val="none"/>
        </w:rPr>
        <w:t xml:space="preserve">141  </w:t>
      </w:r>
      <w:r>
        <w:rPr>
          <w:rFonts w:hint="eastAsia" w:ascii="宋体" w:hAnsi="宋体"/>
          <w:bCs/>
          <w:color w:val="auto"/>
          <w:sz w:val="24"/>
          <w:highlight w:val="none"/>
        </w:rPr>
        <w:t>号）的规定，对满足价格扣除条件且在投标文件中提交了《中小企业声明函》《残疾人福利性单位声明</w:t>
      </w:r>
      <w:r>
        <w:rPr>
          <w:rFonts w:ascii="宋体" w:hAnsi="宋体"/>
          <w:bCs/>
          <w:color w:val="auto"/>
          <w:sz w:val="24"/>
          <w:highlight w:val="none"/>
        </w:rPr>
        <w:t xml:space="preserve"> </w:t>
      </w:r>
      <w:r>
        <w:rPr>
          <w:rFonts w:hint="eastAsia" w:ascii="宋体" w:hAnsi="宋体"/>
          <w:bCs/>
          <w:color w:val="auto"/>
          <w:sz w:val="24"/>
          <w:highlight w:val="none"/>
        </w:rPr>
        <w:t>函》或省级以上监狱管理局、戒毒管理局（含新疆生产建设兵团）出具的属于监狱企业的证明文件的投标人，其投标报价扣除</w:t>
      </w:r>
      <w:r>
        <w:rPr>
          <w:rFonts w:hint="eastAsia" w:ascii="宋体" w:hAnsi="宋体"/>
          <w:bCs/>
          <w:color w:val="auto"/>
          <w:sz w:val="24"/>
          <w:highlight w:val="none"/>
          <w:lang w:val="en-US" w:eastAsia="zh-CN"/>
        </w:rPr>
        <w:t>10</w:t>
      </w:r>
      <w:r>
        <w:rPr>
          <w:rFonts w:hint="eastAsia" w:ascii="宋体" w:hAnsi="宋体"/>
          <w:bCs/>
          <w:color w:val="auto"/>
          <w:sz w:val="24"/>
          <w:highlight w:val="none"/>
        </w:rPr>
        <w:t>%后参与评审。具体办法详见招标文件第五章评标方法和标准。</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23. 废标情况</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23.1在招标采购中，出现下列情形之一的，应予废标：</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）符合专业条件的投标人或者对招标文件作实质响应的投标人不足三家。</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）出现影响采购公正的违法、违规行为的。</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）投标人的报价均超过了采购预算，采购人不能支付的。</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w:t>
      </w:r>
      <w:r>
        <w:rPr>
          <w:rFonts w:hint="eastAsia" w:ascii="宋体" w:hAnsi="宋体"/>
          <w:bCs/>
          <w:color w:val="auto"/>
          <w:sz w:val="24"/>
          <w:highlight w:val="none"/>
        </w:rPr>
        <w:t>）因重大变故，采购任务取消的。</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24. 评标过程及保密原则</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24.1评标将在严格保密的情况下进行。</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24.2有关人员对评标情况以及在评标过程中获悉的国家秘密、商业秘密负有保密责任。</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24.3在评标期间，投标人试图影响采购人、采购代理机构和评标委员会的任何活动，将导致其</w:t>
      </w:r>
      <w:r>
        <w:rPr>
          <w:rFonts w:hint="eastAsia" w:ascii="宋体" w:hAnsi="宋体"/>
          <w:b/>
          <w:bCs/>
          <w:color w:val="auto"/>
          <w:sz w:val="24"/>
          <w:highlight w:val="none"/>
        </w:rPr>
        <w:t>投标被拒绝</w:t>
      </w:r>
      <w:r>
        <w:rPr>
          <w:rFonts w:hint="eastAsia" w:ascii="宋体" w:hAnsi="宋体"/>
          <w:bCs/>
          <w:color w:val="auto"/>
          <w:sz w:val="24"/>
          <w:highlight w:val="none"/>
        </w:rPr>
        <w:t>，并承担相应的法律责任。</w:t>
      </w:r>
    </w:p>
    <w:p>
      <w:pPr>
        <w:pStyle w:val="445"/>
        <w:spacing w:line="360" w:lineRule="auto"/>
        <w:jc w:val="center"/>
        <w:outlineLvl w:val="1"/>
        <w:rPr>
          <w:rFonts w:ascii="宋体" w:hAnsi="宋体"/>
          <w:b/>
          <w:color w:val="auto"/>
          <w:sz w:val="32"/>
          <w:szCs w:val="32"/>
          <w:highlight w:val="none"/>
        </w:rPr>
      </w:pPr>
      <w:r>
        <w:rPr>
          <w:rFonts w:hint="eastAsia" w:ascii="宋体" w:hAnsi="宋体"/>
          <w:b/>
          <w:color w:val="auto"/>
          <w:sz w:val="32"/>
          <w:szCs w:val="32"/>
          <w:highlight w:val="none"/>
        </w:rPr>
        <w:t>六  确定中标</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25. 中标候选人的确定原则及标准</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25.1评标委员会将根据招标文件的评标方法和评审标准，推荐中标候选人及评标排序，确定满足招标文件全部实质性要求，且按照评审因素的量化指标评审得分最高的投标人为排名第一的中标候选人。评审得分相同的，</w:t>
      </w:r>
      <w:r>
        <w:rPr>
          <w:rFonts w:ascii="宋体" w:hAnsi="宋体"/>
          <w:bCs/>
          <w:color w:val="auto"/>
          <w:sz w:val="24"/>
          <w:highlight w:val="none"/>
        </w:rPr>
        <w:t xml:space="preserve"> </w:t>
      </w:r>
      <w:r>
        <w:rPr>
          <w:rFonts w:hint="eastAsia" w:ascii="宋体" w:hAnsi="宋体"/>
          <w:bCs/>
          <w:color w:val="auto"/>
          <w:sz w:val="24"/>
          <w:highlight w:val="none"/>
        </w:rPr>
        <w:t>按投标报价由低到高顺序排列。</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25.2单一产品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得作为中标候选人。</w:t>
      </w:r>
      <w:r>
        <w:rPr>
          <w:rFonts w:ascii="宋体" w:hAnsi="宋体"/>
          <w:bCs/>
          <w:color w:val="auto"/>
          <w:sz w:val="24"/>
          <w:highlight w:val="none"/>
        </w:rPr>
        <w:t xml:space="preserve"> </w:t>
      </w:r>
      <w:r>
        <w:rPr>
          <w:rFonts w:hint="eastAsia" w:ascii="宋体" w:hAnsi="宋体"/>
          <w:bCs/>
          <w:color w:val="auto"/>
          <w:sz w:val="24"/>
          <w:highlight w:val="none"/>
        </w:rPr>
        <w:t>非单一产品采购项目，采购需求中应载明核心产品，多家投标人提供的产品中有一种核心产品品牌相同，即视为提供相同品牌产品，按照第一</w:t>
      </w:r>
      <w:r>
        <w:rPr>
          <w:rFonts w:ascii="宋体" w:hAnsi="宋体"/>
          <w:bCs/>
          <w:color w:val="auto"/>
          <w:sz w:val="24"/>
          <w:highlight w:val="none"/>
        </w:rPr>
        <w:t xml:space="preserve"> </w:t>
      </w:r>
      <w:r>
        <w:rPr>
          <w:rFonts w:hint="eastAsia" w:ascii="宋体" w:hAnsi="宋体"/>
          <w:bCs/>
          <w:color w:val="auto"/>
          <w:sz w:val="24"/>
          <w:highlight w:val="none"/>
        </w:rPr>
        <w:t>款规定执行。</w:t>
      </w:r>
      <w:r>
        <w:rPr>
          <w:rFonts w:ascii="宋体" w:hAnsi="宋体"/>
          <w:bCs/>
          <w:color w:val="auto"/>
          <w:sz w:val="24"/>
          <w:highlight w:val="none"/>
        </w:rPr>
        <w:t xml:space="preserve"> </w:t>
      </w:r>
      <w:r>
        <w:rPr>
          <w:rFonts w:hint="eastAsia" w:ascii="宋体" w:hAnsi="宋体"/>
          <w:bCs/>
          <w:color w:val="auto"/>
          <w:sz w:val="24"/>
          <w:highlight w:val="none"/>
        </w:rPr>
        <w:t>如按前两款规定计算投标人数量后不足三家的，属于对招标文件作实质响应的供应商不足三家。</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26. 确定中标人</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26.1采购人将在评标报告确定的中标候选人名单中按顺序确定中标人。</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26.2最低投标价不是中标唯一条件。</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27.保留权利</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27.1因不可抗力或中标人自身原因不能履约等情形，采购人保留与其他中标候选人签订合同的权利。</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28. 中标通知书</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28.1在投标有效期内，中标人确定后，采购代理机构将在财政部门指定的政府采购信息发布媒体上公告中标结果，同时采购代理机构以书面形式向中标人发出中标通知书。</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28.2投标人可通过相关发布媒体查询中标结果。</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28.3中标通知书是合同的组成部分。</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29. 签订合同</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29.1中标人应当自中标通知书发出之日起</w:t>
      </w:r>
      <w:r>
        <w:rPr>
          <w:rFonts w:ascii="宋体" w:hAnsi="宋体"/>
          <w:bCs/>
          <w:color w:val="auto"/>
          <w:sz w:val="24"/>
          <w:highlight w:val="none"/>
        </w:rPr>
        <w:t>30</w:t>
      </w:r>
      <w:r>
        <w:rPr>
          <w:rFonts w:hint="eastAsia" w:ascii="宋体" w:hAnsi="宋体"/>
          <w:bCs/>
          <w:color w:val="auto"/>
          <w:sz w:val="24"/>
          <w:highlight w:val="none"/>
        </w:rPr>
        <w:t>日内，按照招标文件和投标文件的规定，与采购人签订书面合同。所签订的合同不得对招标文件确定的事项和投标文件作实质性修改。</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29.2招标文件及其补充文件、中标人的投标文件及其澄清文件等，均为签订合同的依据。</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29.3中标人拒绝与采购人签订合同的，采购人可以按照评标报告推荐的中标候选人名单排序，确定下一候选人为中标人，也可以重新开展政府采购活动。</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29.4政府采购合同履行中，采购人可以与中标人签订补充合同，但补充合同必须符合政府采购法相关法律法规有关规定。</w:t>
      </w:r>
    </w:p>
    <w:p>
      <w:pPr>
        <w:pStyle w:val="445"/>
        <w:spacing w:line="360" w:lineRule="auto"/>
        <w:rPr>
          <w:rFonts w:ascii="宋体" w:hAnsi="宋体"/>
          <w:b/>
          <w:bCs/>
          <w:color w:val="auto"/>
          <w:sz w:val="24"/>
          <w:highlight w:val="none"/>
        </w:rPr>
      </w:pPr>
      <w:r>
        <w:rPr>
          <w:rFonts w:hint="eastAsia" w:ascii="宋体" w:hAnsi="宋体"/>
          <w:b/>
          <w:bCs/>
          <w:color w:val="auto"/>
          <w:sz w:val="24"/>
          <w:highlight w:val="none"/>
        </w:rPr>
        <w:t>30投标人质疑</w:t>
      </w:r>
    </w:p>
    <w:p>
      <w:pPr>
        <w:pStyle w:val="445"/>
        <w:spacing w:line="360" w:lineRule="auto"/>
        <w:rPr>
          <w:rFonts w:ascii="宋体" w:hAnsi="宋体"/>
          <w:bCs/>
          <w:color w:val="auto"/>
          <w:sz w:val="24"/>
          <w:highlight w:val="none"/>
        </w:rPr>
      </w:pPr>
      <w:r>
        <w:rPr>
          <w:rFonts w:hint="eastAsia" w:ascii="宋体" w:hAnsi="宋体"/>
          <w:bCs/>
          <w:color w:val="auto"/>
          <w:sz w:val="24"/>
          <w:highlight w:val="none"/>
        </w:rPr>
        <w:t>30.1投标人应当在法定质疑期内一次性提出针对同一采购程序环节的质疑。</w:t>
      </w:r>
    </w:p>
    <w:p>
      <w:pPr>
        <w:pStyle w:val="445"/>
        <w:spacing w:line="360" w:lineRule="auto"/>
        <w:rPr>
          <w:rFonts w:ascii="宋体" w:hAnsi="宋体"/>
          <w:bCs/>
          <w:color w:val="auto"/>
          <w:sz w:val="24"/>
          <w:highlight w:val="none"/>
        </w:rPr>
        <w:sectPr>
          <w:headerReference r:id="rId3" w:type="default"/>
          <w:footerReference r:id="rId4" w:type="default"/>
          <w:pgSz w:w="11910" w:h="16840"/>
          <w:pgMar w:top="1134" w:right="1134" w:bottom="1140" w:left="1457" w:header="907" w:footer="964" w:gutter="0"/>
          <w:cols w:space="720" w:num="1"/>
          <w:docGrid w:linePitch="286" w:charSpace="0"/>
        </w:sectPr>
      </w:pPr>
    </w:p>
    <w:p>
      <w:pPr>
        <w:numPr>
          <w:ilvl w:val="0"/>
          <w:numId w:val="31"/>
        </w:numPr>
        <w:jc w:val="center"/>
        <w:outlineLvl w:val="0"/>
        <w:rPr>
          <w:rFonts w:ascii="宋体"/>
          <w:b/>
          <w:color w:val="auto"/>
          <w:sz w:val="32"/>
          <w:szCs w:val="32"/>
          <w:highlight w:val="none"/>
        </w:rPr>
      </w:pPr>
      <w:r>
        <w:rPr>
          <w:rFonts w:hint="eastAsia" w:ascii="宋体"/>
          <w:b/>
          <w:color w:val="auto"/>
          <w:sz w:val="32"/>
          <w:szCs w:val="32"/>
          <w:highlight w:val="none"/>
        </w:rPr>
        <w:t xml:space="preserve"> 采购需求</w:t>
      </w:r>
    </w:p>
    <w:p>
      <w:pPr>
        <w:pStyle w:val="67"/>
        <w:rPr>
          <w:color w:val="auto"/>
          <w:highlight w:val="none"/>
        </w:rPr>
      </w:pPr>
    </w:p>
    <w:p>
      <w:pPr>
        <w:pStyle w:val="67"/>
        <w:rPr>
          <w:color w:val="auto"/>
          <w:highlight w:val="none"/>
        </w:rPr>
      </w:pPr>
    </w:p>
    <w:tbl>
      <w:tblPr>
        <w:tblStyle w:val="8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8"/>
        <w:gridCol w:w="2112"/>
        <w:gridCol w:w="5530"/>
        <w:gridCol w:w="523"/>
        <w:gridCol w:w="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序号</w:t>
            </w:r>
          </w:p>
        </w:tc>
        <w:tc>
          <w:tcPr>
            <w:tcW w:w="1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项目名称</w:t>
            </w:r>
          </w:p>
        </w:tc>
        <w:tc>
          <w:tcPr>
            <w:tcW w:w="29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参数</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单位</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p>
        </w:tc>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p>
        </w:tc>
        <w:tc>
          <w:tcPr>
            <w:tcW w:w="29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背负式喷雾喷粉机</w:t>
            </w:r>
          </w:p>
        </w:tc>
        <w:tc>
          <w:tcPr>
            <w:tcW w:w="29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1、背负式，药箱容积不低于12L，反冲启动。</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2、喷雾垂直射程不低于18米，</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3、净重：≤14kg；</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4、配套动力：1E54F汽油机；</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5、排气量：92cc；</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6、标定功率：3.0-3.3KW/6500rpm；</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7、点火方式：无触点；</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8、启动方式：反冲启动；</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9、采用结构风机，风机效率高，损耗小；</w:t>
            </w:r>
          </w:p>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投标文件中须提供20型背负式喷雾喷粉机国家强制性产品认证证书和国家植保机械质量监督检验中心出具的检测报告复印件（加盖生产企业公章）。</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2"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推车式喷雾机</w:t>
            </w:r>
          </w:p>
        </w:tc>
        <w:tc>
          <w:tcPr>
            <w:tcW w:w="29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1.配套动力:汽油机≥3.8KW/3600rpm,需采用物理三缸柱塞泵；</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2.射程:水平射程≥16米,垂直射程≥13米；</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3.转速:520-900r/min；</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4.流量:19.5-34L/min；</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5.压力:1-3MPa</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6.皮带罩壳需为全封闭式，皮带轮和皮带不得外露，不得使用网状罩壳。</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7.药箱容积160L，药箱、采用进口塑料整体成型，强度高，耐腐蚀性好，四方型药箱耐碰撞；</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8.推车轮采用宽体充气轮胎，直径≥34cm，宽度≥10cm，直径大适合沙地等松软地面使用；</w:t>
            </w:r>
          </w:p>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投标文件中须提供45型手推喷雾机国家强制性产品认证证书和国家植保机械质量监督检验中心出具的检测报告复印件（加盖生产企业公章）。</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件</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电动高空修枝剪</w:t>
            </w:r>
          </w:p>
        </w:tc>
        <w:tc>
          <w:tcPr>
            <w:tcW w:w="29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额定电压：72V</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额定功率：1.5KW</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导板长度：254mm</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切割直径：≤50mm</w:t>
            </w:r>
          </w:p>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最大切割距离：4.2m</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件</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油锯</w:t>
            </w:r>
          </w:p>
        </w:tc>
        <w:tc>
          <w:tcPr>
            <w:tcW w:w="29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发动机形式：单缸、风冷、二冲程发动机1Ｅ46ＦＤn</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功率：2.8kW/9000r/min</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最大功率：3kW</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汽油油箱容积：≥520ml</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机油油箱容积：≥260ml</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导板尺寸：≥18in/20in</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锯链尺寸：≥0.325in</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锯切效率：72cm2/s</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锯切燃油消耗率：63g/m2</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燃油消耗率：535g/kW·h</w:t>
            </w:r>
          </w:p>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*进口链条</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件</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2"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电动修枝剪</w:t>
            </w:r>
          </w:p>
        </w:tc>
        <w:tc>
          <w:tcPr>
            <w:tcW w:w="29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 最大剪切直径: 40mm。开口大小4cm和3cm 可切换</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 功率 : 1080w</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 电机转速：20000r/min </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 剪刀重量: 0.9kg</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 使用时间: 8-10小时（不间断工作），电池充电时间：3-4小时</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 充电电压：110~240v</w:t>
            </w:r>
          </w:p>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7.工作环境温度：-10—50°C</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件</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锂电高枝锯</w:t>
            </w:r>
          </w:p>
        </w:tc>
        <w:tc>
          <w:tcPr>
            <w:tcW w:w="29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额定电压：58V Max.锂电</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充电时间：约60分钟</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导板尺寸： 10寸</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操作杆可选长度：1.72m至3M</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链轮速度：0-6500RPM</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链条速度：7M/S Min</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配置：4AH电池包一只+2AH充电器一只+高枝锯头+延长杆                       </w:t>
            </w:r>
          </w:p>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整机重量：6.5Kg</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件</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高压水泵（自带动力）</w:t>
            </w:r>
          </w:p>
        </w:tc>
        <w:tc>
          <w:tcPr>
            <w:tcW w:w="2993"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1、进出口直径：120mm</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2、标定流量：60m³/h</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3、标定扬程：15m</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4、吸程：6m</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5、自吸时间：≤180s</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6、转速：3600r/min</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7、外形尺寸：750*540*795mm</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8、配套发动机型号：192FAM</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9、排量：498ml</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10、标定功率：8.7kw</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11、机油容量：1.8L</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12、燃油箱容量：15L</w:t>
            </w:r>
          </w:p>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13、净重：138kg</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打孔注药机（背负式）</w:t>
            </w:r>
          </w:p>
        </w:tc>
        <w:tc>
          <w:tcPr>
            <w:tcW w:w="29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量轻，动力强劲，与传统汽油机型ＤＫ430相当；控制器智能调节输出转速扭矩，极限扭矩可达2Nm；不仅运转效率高，系统效率大于83%，而且免维护。 </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2、产品电能供应采用背负式结构，电池与机具分离，减轻手持重量</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3、配套36V/6.6Ah锂离子电池,内置30颗大容量高放电倍率电芯，续航持久；使用防水背包</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4、钻头固定方式：三抓固定，可实现市场钻头通用。</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5、防水插头具有快速插拔自锁功能，能有效抗振动、冲击，且能防止因拉动电源线导致的断连情况发生；快速卡扣连接让连接方式变的更加方便快捷。</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6、注射器总成，5L药桶，10mL精准定量注射器</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技术参数：</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1、电池类型 锂离子</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2、电池电压 36V</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3、电池容量 6.6Ah</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4、电机类型 直流无刷电机</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5、电机额定功率 0.75kW</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6、空载标定转速 高速 （7850±150）r/min</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低速 （6000±150）r/min</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7、钻头直径 φ8mm</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8、噪音 ≤96dB</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9、手把震动 ≤7.5 m/s2</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10、充电器 输入电压 AC 220V</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输出电压/电流 DC 41.5V/3A</w:t>
            </w:r>
          </w:p>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充电时间    2.5h</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4"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监测摩托车</w:t>
            </w:r>
          </w:p>
        </w:tc>
        <w:tc>
          <w:tcPr>
            <w:tcW w:w="299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实际排量(cc) 149，</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轴距(mm) 1275，整备质量（kg） 122</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最高车速（km/h） 95，轮数（个） 2</w:t>
            </w:r>
          </w:p>
          <w:p>
            <w:pPr>
              <w:pStyle w:val="67"/>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轮胎规格（前） 2.75-18，轮胎规格（后） 3.00-18，制动系统 前 后</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辆</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48</w:t>
            </w:r>
          </w:p>
        </w:tc>
      </w:tr>
    </w:tbl>
    <w:p>
      <w:pPr>
        <w:rPr>
          <w:color w:val="auto"/>
          <w:highlight w:val="none"/>
        </w:rPr>
      </w:pPr>
      <w:r>
        <w:rPr>
          <w:color w:val="auto"/>
          <w:highlight w:val="none"/>
        </w:rPr>
        <w:br w:type="page"/>
      </w:r>
    </w:p>
    <w:p>
      <w:pPr>
        <w:pStyle w:val="67"/>
        <w:rPr>
          <w:color w:val="auto"/>
          <w:highlight w:val="none"/>
        </w:rPr>
      </w:pPr>
    </w:p>
    <w:p>
      <w:pPr>
        <w:pStyle w:val="67"/>
        <w:rPr>
          <w:color w:val="auto"/>
          <w:highlight w:val="none"/>
        </w:rPr>
      </w:pPr>
    </w:p>
    <w:p>
      <w:pPr>
        <w:pStyle w:val="67"/>
        <w:rPr>
          <w:color w:val="auto"/>
          <w:highlight w:val="none"/>
        </w:rPr>
      </w:pPr>
    </w:p>
    <w:tbl>
      <w:tblPr>
        <w:tblStyle w:val="8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0"/>
        <w:gridCol w:w="2847"/>
        <w:gridCol w:w="3207"/>
        <w:gridCol w:w="1061"/>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序号</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项目名称</w:t>
            </w:r>
          </w:p>
        </w:tc>
        <w:tc>
          <w:tcPr>
            <w:tcW w:w="1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参数</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单位</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highlight w:val="none"/>
              </w:rPr>
            </w:pPr>
            <w:r>
              <w:rPr>
                <w:rFonts w:hint="eastAsia"/>
                <w:color w:val="auto"/>
                <w:highlight w:val="none"/>
                <w:lang w:val="en-US" w:eastAsia="zh-CN"/>
              </w:rPr>
              <w:t>望远镜</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color w:val="auto"/>
                <w:highlight w:val="none"/>
              </w:rPr>
            </w:pPr>
            <w:r>
              <w:rPr>
                <w:rFonts w:hint="eastAsia"/>
                <w:color w:val="auto"/>
                <w:highlight w:val="none"/>
                <w:lang w:val="en-US" w:eastAsia="zh-CN"/>
              </w:rPr>
              <w:t>10倍倍率下，小型轻量，IS防抖性能提升，变角棱镜式IS影像稳定器，光学性能高的保罗棱镜，周边部都能清晰成像的平场镜，实现高透光率和高对比度的超级光谱镀膜，支持IS光学防抖工作约9小时。</w:t>
            </w:r>
            <w:r>
              <w:rPr>
                <w:rFonts w:hint="eastAsia"/>
                <w:color w:val="auto"/>
                <w:highlight w:val="none"/>
                <w:lang w:val="en-US" w:eastAsia="zh-CN"/>
              </w:rPr>
              <w:br w:type="textWrapping"/>
            </w:r>
            <w:r>
              <w:rPr>
                <w:rFonts w:hint="eastAsia"/>
                <w:color w:val="auto"/>
                <w:highlight w:val="none"/>
                <w:lang w:val="en-US" w:eastAsia="zh-CN"/>
              </w:rPr>
              <w:t>倍率 10倍</w:t>
            </w:r>
            <w:r>
              <w:rPr>
                <w:rFonts w:hint="eastAsia"/>
                <w:color w:val="auto"/>
                <w:highlight w:val="none"/>
                <w:lang w:val="en-US" w:eastAsia="zh-CN"/>
              </w:rPr>
              <w:br w:type="textWrapping"/>
            </w:r>
            <w:r>
              <w:rPr>
                <w:rFonts w:hint="eastAsia"/>
                <w:color w:val="auto"/>
                <w:highlight w:val="none"/>
                <w:lang w:val="en-US" w:eastAsia="zh-CN"/>
              </w:rPr>
              <w:t>物镜有效直径 约30毫米</w:t>
            </w:r>
            <w:r>
              <w:rPr>
                <w:rFonts w:hint="eastAsia"/>
                <w:color w:val="auto"/>
                <w:highlight w:val="none"/>
                <w:lang w:val="en-US" w:eastAsia="zh-CN"/>
              </w:rPr>
              <w:br w:type="textWrapping"/>
            </w:r>
            <w:r>
              <w:rPr>
                <w:rFonts w:hint="eastAsia"/>
                <w:color w:val="auto"/>
                <w:highlight w:val="none"/>
                <w:lang w:val="en-US" w:eastAsia="zh-CN"/>
              </w:rPr>
              <w:t>出瞳直径 约3毫米</w:t>
            </w:r>
            <w:r>
              <w:rPr>
                <w:rFonts w:hint="eastAsia"/>
                <w:color w:val="auto"/>
                <w:highlight w:val="none"/>
                <w:lang w:val="en-US" w:eastAsia="zh-CN"/>
              </w:rPr>
              <w:br w:type="textWrapping"/>
            </w:r>
            <w:r>
              <w:rPr>
                <w:rFonts w:hint="eastAsia"/>
                <w:color w:val="auto"/>
                <w:highlight w:val="none"/>
                <w:lang w:val="en-US" w:eastAsia="zh-CN"/>
              </w:rPr>
              <w:t>实视场 约6°</w:t>
            </w:r>
            <w:r>
              <w:rPr>
                <w:rFonts w:hint="eastAsia"/>
                <w:color w:val="auto"/>
                <w:highlight w:val="none"/>
                <w:lang w:val="en-US" w:eastAsia="zh-CN"/>
              </w:rPr>
              <w:br w:type="textWrapping"/>
            </w:r>
            <w:r>
              <w:rPr>
                <w:rFonts w:hint="eastAsia"/>
                <w:color w:val="auto"/>
                <w:highlight w:val="none"/>
                <w:lang w:val="en-US" w:eastAsia="zh-CN"/>
              </w:rPr>
              <w:t>表观视场 约55.3°</w:t>
            </w:r>
            <w:r>
              <w:rPr>
                <w:rFonts w:hint="eastAsia"/>
                <w:color w:val="auto"/>
                <w:highlight w:val="none"/>
                <w:lang w:val="en-US" w:eastAsia="zh-CN"/>
              </w:rPr>
              <w:br w:type="textWrapping"/>
            </w:r>
            <w:r>
              <w:rPr>
                <w:rFonts w:hint="eastAsia"/>
                <w:color w:val="auto"/>
                <w:highlight w:val="none"/>
                <w:lang w:val="en-US" w:eastAsia="zh-CN"/>
              </w:rPr>
              <w:t>1000米视场 约105米</w:t>
            </w:r>
            <w:r>
              <w:rPr>
                <w:rFonts w:hint="eastAsia"/>
                <w:color w:val="auto"/>
                <w:highlight w:val="none"/>
                <w:lang w:val="en-US" w:eastAsia="zh-CN"/>
              </w:rPr>
              <w:br w:type="textWrapping"/>
            </w:r>
            <w:r>
              <w:rPr>
                <w:rFonts w:hint="eastAsia"/>
                <w:color w:val="auto"/>
                <w:highlight w:val="none"/>
                <w:lang w:val="en-US" w:eastAsia="zh-CN"/>
              </w:rPr>
              <w:t>瞳距调节范围 约55-75毫米</w:t>
            </w:r>
            <w:r>
              <w:rPr>
                <w:rFonts w:hint="eastAsia"/>
                <w:color w:val="auto"/>
                <w:highlight w:val="none"/>
                <w:lang w:val="en-US" w:eastAsia="zh-CN"/>
              </w:rPr>
              <w:br w:type="textWrapping"/>
            </w:r>
            <w:r>
              <w:rPr>
                <w:rFonts w:hint="eastAsia"/>
                <w:color w:val="auto"/>
                <w:highlight w:val="none"/>
                <w:lang w:val="en-US" w:eastAsia="zh-CN"/>
              </w:rPr>
              <w:t>眼距 约14.5毫米</w:t>
            </w:r>
            <w:r>
              <w:rPr>
                <w:rFonts w:hint="eastAsia"/>
                <w:color w:val="auto"/>
                <w:highlight w:val="none"/>
                <w:lang w:val="en-US" w:eastAsia="zh-CN"/>
              </w:rPr>
              <w:br w:type="textWrapping"/>
            </w:r>
            <w:r>
              <w:rPr>
                <w:rFonts w:hint="eastAsia"/>
                <w:color w:val="auto"/>
                <w:highlight w:val="none"/>
                <w:lang w:val="en-US" w:eastAsia="zh-CN"/>
              </w:rPr>
              <w:t>最近对焦距离 约4.2米</w:t>
            </w:r>
            <w:r>
              <w:rPr>
                <w:rFonts w:hint="eastAsia"/>
                <w:color w:val="auto"/>
                <w:highlight w:val="none"/>
                <w:lang w:val="en-US" w:eastAsia="zh-CN"/>
              </w:rPr>
              <w:br w:type="textWrapping"/>
            </w:r>
            <w:r>
              <w:rPr>
                <w:rFonts w:hint="eastAsia"/>
                <w:color w:val="auto"/>
                <w:highlight w:val="none"/>
                <w:lang w:val="en-US" w:eastAsia="zh-CN"/>
              </w:rPr>
              <w:t>影像稳定方式 变角棱镜式</w:t>
            </w:r>
            <w:r>
              <w:rPr>
                <w:rFonts w:hint="eastAsia"/>
                <w:color w:val="auto"/>
                <w:highlight w:val="none"/>
                <w:lang w:val="en-US" w:eastAsia="zh-CN"/>
              </w:rPr>
              <w:br w:type="textWrapping"/>
            </w:r>
            <w:r>
              <w:rPr>
                <w:rFonts w:hint="eastAsia"/>
                <w:color w:val="auto"/>
                <w:highlight w:val="none"/>
                <w:lang w:val="en-US" w:eastAsia="zh-CN"/>
              </w:rPr>
              <w:t>电源 两节5号碱性电池</w:t>
            </w:r>
            <w:r>
              <w:rPr>
                <w:rFonts w:hint="eastAsia"/>
                <w:color w:val="auto"/>
                <w:highlight w:val="none"/>
                <w:lang w:val="en-US" w:eastAsia="zh-CN"/>
              </w:rPr>
              <w:br w:type="textWrapping"/>
            </w:r>
            <w:r>
              <w:rPr>
                <w:rFonts w:hint="eastAsia"/>
                <w:color w:val="auto"/>
                <w:highlight w:val="none"/>
                <w:lang w:val="en-US" w:eastAsia="zh-CN"/>
              </w:rPr>
              <w:t>尺寸（宽×高×厚） 约127×150×70毫米</w:t>
            </w:r>
            <w:r>
              <w:rPr>
                <w:rFonts w:hint="eastAsia"/>
                <w:color w:val="auto"/>
                <w:highlight w:val="none"/>
                <w:lang w:val="en-US" w:eastAsia="zh-CN"/>
              </w:rPr>
              <w:br w:type="textWrapping"/>
            </w:r>
            <w:r>
              <w:rPr>
                <w:rFonts w:hint="eastAsia"/>
                <w:color w:val="auto"/>
                <w:highlight w:val="none"/>
                <w:lang w:val="en-US" w:eastAsia="zh-CN"/>
              </w:rPr>
              <w:t>重量（不含电池） 约600克</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eastAsia"/>
                <w:color w:val="auto"/>
                <w:highlight w:val="none"/>
                <w:lang w:val="en-US" w:eastAsia="zh-CN"/>
              </w:rPr>
              <w:t>架</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default"/>
                <w:color w:val="auto"/>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2</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highlight w:val="none"/>
              </w:rPr>
            </w:pPr>
            <w:r>
              <w:rPr>
                <w:rFonts w:hint="eastAsia"/>
                <w:color w:val="auto"/>
                <w:highlight w:val="none"/>
                <w:lang w:val="en-US" w:eastAsia="zh-CN"/>
              </w:rPr>
              <w:t>标本展示柜</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highlight w:val="none"/>
              </w:rPr>
            </w:pPr>
            <w:r>
              <w:rPr>
                <w:rFonts w:hint="eastAsia"/>
                <w:color w:val="auto"/>
                <w:highlight w:val="none"/>
                <w:lang w:val="en-US" w:eastAsia="zh-CN"/>
              </w:rPr>
              <w:t>H1800×W900×D400mm,柜身采用实木，玻璃双开门，5块隔板，隔板为斜面，木板厚度不低于1.6cm。</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eastAsia"/>
                <w:color w:val="auto"/>
                <w:highlight w:val="none"/>
                <w:lang w:val="en-US" w:eastAsia="zh-CN"/>
              </w:rPr>
              <w:t>件</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default"/>
                <w:color w:val="auto"/>
                <w:highlight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highlight w:val="none"/>
              </w:rPr>
            </w:pPr>
            <w:r>
              <w:rPr>
                <w:rFonts w:hint="eastAsia"/>
                <w:color w:val="auto"/>
                <w:highlight w:val="none"/>
                <w:lang w:val="en-US" w:eastAsia="zh-CN"/>
              </w:rPr>
              <w:t>紫外消毒灯</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highlight w:val="none"/>
              </w:rPr>
            </w:pPr>
            <w:r>
              <w:rPr>
                <w:rFonts w:hint="eastAsia"/>
                <w:color w:val="auto"/>
                <w:highlight w:val="none"/>
                <w:lang w:val="en-US" w:eastAsia="zh-CN"/>
              </w:rPr>
              <w:t>功率： 40W， 波长： 185-254， 使用寿命 ：13000h， 外观尺寸： 1250*60*100mm，升降高度≤1米，上升下降速度：1米/分钟，工作环境温度：-15-40℃，输入功率：10W，电流：0.5A, 电压：220V， 防护等级： IP55 ，遥控定时自动开启，自动升降，自动点亮。</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auto"/>
                <w:highlight w:val="none"/>
              </w:rPr>
            </w:pPr>
            <w:r>
              <w:rPr>
                <w:rFonts w:hint="eastAsia"/>
                <w:color w:val="auto"/>
                <w:highlight w:val="none"/>
                <w:lang w:val="en-US" w:eastAsia="zh-CN"/>
              </w:rPr>
              <w:t>个</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default"/>
                <w:color w:val="auto"/>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4</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highlight w:val="none"/>
              </w:rPr>
            </w:pPr>
            <w:r>
              <w:rPr>
                <w:rFonts w:hint="eastAsia"/>
                <w:color w:val="auto"/>
                <w:highlight w:val="none"/>
                <w:lang w:val="en-US" w:eastAsia="zh-CN"/>
              </w:rPr>
              <w:t>实验室专用冰箱</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color w:val="auto"/>
                <w:highlight w:val="none"/>
              </w:rPr>
            </w:pPr>
            <w:r>
              <w:rPr>
                <w:rFonts w:hint="eastAsia"/>
                <w:color w:val="auto"/>
                <w:highlight w:val="none"/>
                <w:lang w:val="en-US" w:eastAsia="zh-CN"/>
              </w:rPr>
              <w:t>低温冷柜零下-40度冰箱 308升 -45度(-15到-45度可调)</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auto"/>
                <w:highlight w:val="none"/>
              </w:rPr>
            </w:pPr>
            <w:r>
              <w:rPr>
                <w:rFonts w:hint="eastAsia"/>
                <w:color w:val="auto"/>
                <w:highlight w:val="none"/>
                <w:lang w:val="en-US" w:eastAsia="zh-CN"/>
              </w:rPr>
              <w:t>台</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default"/>
                <w:color w:val="auto"/>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highlight w:val="none"/>
              </w:rPr>
            </w:pPr>
            <w:r>
              <w:rPr>
                <w:rFonts w:hint="eastAsia"/>
                <w:color w:val="auto"/>
                <w:highlight w:val="none"/>
                <w:lang w:val="en-US" w:eastAsia="zh-CN"/>
              </w:rPr>
              <w:t>冰柜</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color w:val="auto"/>
                <w:highlight w:val="none"/>
              </w:rPr>
            </w:pPr>
            <w:r>
              <w:rPr>
                <w:rFonts w:hint="eastAsia"/>
                <w:color w:val="auto"/>
                <w:highlight w:val="none"/>
                <w:lang w:val="en-US" w:eastAsia="zh-CN"/>
              </w:rPr>
              <w:t>零下-40度超低温冷冻卧式大冷柜速冻</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台</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default"/>
                <w:color w:val="auto"/>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5</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eastAsia"/>
                <w:color w:val="auto"/>
                <w:highlight w:val="none"/>
                <w:lang w:val="en-US" w:eastAsia="zh-CN"/>
              </w:rPr>
              <w:t>林用</w:t>
            </w:r>
            <w:r>
              <w:rPr>
                <w:color w:val="auto"/>
                <w:highlight w:val="none"/>
                <w:lang w:val="en-US" w:eastAsia="zh-CN"/>
              </w:rPr>
              <w:t>x</w:t>
            </w:r>
            <w:r>
              <w:rPr>
                <w:rFonts w:hint="eastAsia"/>
                <w:color w:val="auto"/>
                <w:highlight w:val="none"/>
                <w:lang w:val="en-US" w:eastAsia="zh-CN"/>
              </w:rPr>
              <w:t>射线透视仪</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color w:val="auto"/>
                <w:highlight w:val="none"/>
              </w:rPr>
            </w:pPr>
            <w:r>
              <w:rPr>
                <w:rFonts w:hint="eastAsia"/>
                <w:color w:val="auto"/>
                <w:highlight w:val="none"/>
                <w:lang w:val="en-US" w:eastAsia="zh-CN"/>
              </w:rPr>
              <w:t>功能特点：</w:t>
            </w:r>
            <w:r>
              <w:rPr>
                <w:rFonts w:hint="eastAsia"/>
                <w:color w:val="auto"/>
                <w:highlight w:val="none"/>
                <w:lang w:val="en-US" w:eastAsia="zh-CN"/>
              </w:rPr>
              <w:br w:type="textWrapping"/>
            </w:r>
            <w:r>
              <w:rPr>
                <w:rFonts w:hint="eastAsia"/>
                <w:color w:val="auto"/>
                <w:highlight w:val="none"/>
                <w:lang w:val="en-US" w:eastAsia="zh-CN"/>
              </w:rPr>
              <w:t>不需要暗室，显示器直接显示，当图像在最佳效果时可储存所拍图片。</w:t>
            </w:r>
            <w:r>
              <w:rPr>
                <w:rFonts w:hint="eastAsia"/>
                <w:color w:val="auto"/>
                <w:highlight w:val="none"/>
                <w:lang w:val="en-US" w:eastAsia="zh-CN"/>
              </w:rPr>
              <w:br w:type="textWrapping"/>
            </w:r>
            <w:r>
              <w:rPr>
                <w:rFonts w:hint="eastAsia"/>
                <w:color w:val="auto"/>
                <w:highlight w:val="none"/>
                <w:lang w:val="en-US" w:eastAsia="zh-CN"/>
              </w:rPr>
              <w:t>2.可以用USB连接电脑高清晰数字图像输出，可直接对X光图像进行打印。3.分析，存储，随时可调用，连接打印机输出，节省洗片等费用。</w:t>
            </w:r>
            <w:r>
              <w:rPr>
                <w:rFonts w:hint="eastAsia"/>
                <w:color w:val="auto"/>
                <w:highlight w:val="none"/>
                <w:lang w:val="en-US" w:eastAsia="zh-CN"/>
              </w:rPr>
              <w:br w:type="textWrapping"/>
            </w:r>
            <w:r>
              <w:rPr>
                <w:rFonts w:hint="eastAsia"/>
                <w:color w:val="auto"/>
                <w:highlight w:val="none"/>
                <w:lang w:val="en-US" w:eastAsia="zh-CN"/>
              </w:rPr>
              <w:t>4.实时采集图片，实时成像，百万像素摄像系统，含软件。</w:t>
            </w:r>
            <w:r>
              <w:rPr>
                <w:rFonts w:hint="eastAsia"/>
                <w:color w:val="auto"/>
                <w:highlight w:val="none"/>
                <w:lang w:val="en-US" w:eastAsia="zh-CN"/>
              </w:rPr>
              <w:br w:type="textWrapping"/>
            </w:r>
            <w:r>
              <w:rPr>
                <w:rFonts w:hint="eastAsia"/>
                <w:color w:val="auto"/>
                <w:highlight w:val="none"/>
                <w:lang w:val="en-US" w:eastAsia="zh-CN"/>
              </w:rPr>
              <w:t>5.可在电脑上调节图像质量和图像效果。</w:t>
            </w:r>
            <w:r>
              <w:rPr>
                <w:rFonts w:hint="eastAsia"/>
                <w:color w:val="auto"/>
                <w:highlight w:val="none"/>
                <w:lang w:val="en-US" w:eastAsia="zh-CN"/>
              </w:rPr>
              <w:br w:type="textWrapping"/>
            </w:r>
            <w:r>
              <w:rPr>
                <w:rFonts w:hint="eastAsia"/>
                <w:color w:val="auto"/>
                <w:highlight w:val="none"/>
                <w:lang w:val="en-US" w:eastAsia="zh-CN"/>
              </w:rPr>
              <w:t>可智能调节对比度。</w:t>
            </w:r>
            <w:r>
              <w:rPr>
                <w:rFonts w:hint="eastAsia"/>
                <w:color w:val="auto"/>
                <w:highlight w:val="none"/>
                <w:lang w:val="en-US" w:eastAsia="zh-CN"/>
              </w:rPr>
              <w:br w:type="textWrapping"/>
            </w:r>
            <w:r>
              <w:rPr>
                <w:rFonts w:hint="eastAsia"/>
                <w:color w:val="auto"/>
                <w:highlight w:val="none"/>
                <w:lang w:val="en-US" w:eastAsia="zh-CN"/>
              </w:rPr>
              <w:t>独创的图像增强系统以达到拍片效果更清晰。</w:t>
            </w:r>
            <w:r>
              <w:rPr>
                <w:rFonts w:hint="eastAsia"/>
                <w:color w:val="auto"/>
                <w:highlight w:val="none"/>
                <w:lang w:val="en-US" w:eastAsia="zh-CN"/>
              </w:rPr>
              <w:br w:type="textWrapping"/>
            </w:r>
            <w:r>
              <w:rPr>
                <w:rFonts w:hint="eastAsia"/>
                <w:color w:val="auto"/>
                <w:highlight w:val="none"/>
                <w:lang w:val="en-US" w:eastAsia="zh-CN"/>
              </w:rPr>
              <w:t>技术参数：</w:t>
            </w:r>
            <w:r>
              <w:rPr>
                <w:rFonts w:hint="eastAsia"/>
                <w:color w:val="auto"/>
                <w:highlight w:val="none"/>
                <w:lang w:val="en-US" w:eastAsia="zh-CN"/>
              </w:rPr>
              <w:br w:type="textWrapping"/>
            </w:r>
            <w:r>
              <w:rPr>
                <w:rFonts w:hint="eastAsia"/>
                <w:color w:val="auto"/>
                <w:highlight w:val="none"/>
                <w:lang w:val="en-US" w:eastAsia="zh-CN"/>
              </w:rPr>
              <w:t>1.摄像相素：＞150万</w:t>
            </w:r>
            <w:r>
              <w:rPr>
                <w:rFonts w:hint="eastAsia"/>
                <w:color w:val="auto"/>
                <w:highlight w:val="none"/>
                <w:lang w:val="en-US" w:eastAsia="zh-CN"/>
              </w:rPr>
              <w:br w:type="textWrapping"/>
            </w:r>
            <w:r>
              <w:rPr>
                <w:rFonts w:hint="eastAsia"/>
                <w:color w:val="auto"/>
                <w:highlight w:val="none"/>
                <w:lang w:val="en-US" w:eastAsia="zh-CN"/>
              </w:rPr>
              <w:t>2.拍照范围：Φ80mm</w:t>
            </w:r>
            <w:r>
              <w:rPr>
                <w:rFonts w:hint="eastAsia"/>
                <w:color w:val="auto"/>
                <w:highlight w:val="none"/>
                <w:lang w:val="en-US" w:eastAsia="zh-CN"/>
              </w:rPr>
              <w:br w:type="textWrapping"/>
            </w:r>
            <w:r>
              <w:rPr>
                <w:rFonts w:hint="eastAsia"/>
                <w:color w:val="auto"/>
                <w:highlight w:val="none"/>
                <w:lang w:val="en-US" w:eastAsia="zh-CN"/>
              </w:rPr>
              <w:t>3.分辨率56Ip/cm</w:t>
            </w:r>
            <w:r>
              <w:rPr>
                <w:rFonts w:hint="eastAsia"/>
                <w:color w:val="auto"/>
                <w:highlight w:val="none"/>
                <w:lang w:val="en-US" w:eastAsia="zh-CN"/>
              </w:rPr>
              <w:br w:type="textWrapping"/>
            </w:r>
            <w:r>
              <w:rPr>
                <w:rFonts w:hint="eastAsia"/>
                <w:color w:val="auto"/>
                <w:highlight w:val="none"/>
                <w:lang w:val="en-US" w:eastAsia="zh-CN"/>
              </w:rPr>
              <w:t>4.输出屏亮度：&gt;7cd/cm2</w:t>
            </w:r>
            <w:r>
              <w:rPr>
                <w:rFonts w:hint="eastAsia"/>
                <w:color w:val="auto"/>
                <w:highlight w:val="none"/>
                <w:lang w:val="en-US" w:eastAsia="zh-CN"/>
              </w:rPr>
              <w:br w:type="textWrapping"/>
            </w:r>
            <w:r>
              <w:rPr>
                <w:rFonts w:hint="eastAsia"/>
                <w:color w:val="auto"/>
                <w:highlight w:val="none"/>
                <w:lang w:val="en-US" w:eastAsia="zh-CN"/>
              </w:rPr>
              <w:t>5.最大间距：300mm</w:t>
            </w:r>
            <w:r>
              <w:rPr>
                <w:rFonts w:hint="eastAsia"/>
                <w:color w:val="auto"/>
                <w:highlight w:val="none"/>
                <w:lang w:val="en-US" w:eastAsia="zh-CN"/>
              </w:rPr>
              <w:br w:type="textWrapping"/>
            </w:r>
            <w:r>
              <w:rPr>
                <w:rFonts w:hint="eastAsia"/>
                <w:color w:val="auto"/>
                <w:highlight w:val="none"/>
                <w:lang w:val="en-US" w:eastAsia="zh-CN"/>
              </w:rPr>
              <w:t>6.管电压：60-85Kv</w:t>
            </w:r>
            <w:r>
              <w:rPr>
                <w:rFonts w:hint="eastAsia"/>
                <w:color w:val="auto"/>
                <w:highlight w:val="none"/>
                <w:lang w:val="en-US" w:eastAsia="zh-CN"/>
              </w:rPr>
              <w:br w:type="textWrapping"/>
            </w:r>
            <w:r>
              <w:rPr>
                <w:rFonts w:hint="eastAsia"/>
                <w:color w:val="auto"/>
                <w:highlight w:val="none"/>
                <w:lang w:val="en-US" w:eastAsia="zh-CN"/>
              </w:rPr>
              <w:t>7.管靶硫：0.2-0.4mA</w:t>
            </w:r>
            <w:r>
              <w:rPr>
                <w:rFonts w:hint="eastAsia"/>
                <w:color w:val="auto"/>
                <w:highlight w:val="none"/>
                <w:lang w:val="en-US" w:eastAsia="zh-CN"/>
              </w:rPr>
              <w:br w:type="textWrapping"/>
            </w:r>
            <w:r>
              <w:rPr>
                <w:rFonts w:hint="eastAsia"/>
                <w:color w:val="auto"/>
                <w:highlight w:val="none"/>
                <w:lang w:val="en-US" w:eastAsia="zh-CN"/>
              </w:rPr>
              <w:t>8.对比度：7%</w:t>
            </w:r>
            <w:r>
              <w:rPr>
                <w:rFonts w:hint="eastAsia"/>
                <w:color w:val="auto"/>
                <w:highlight w:val="none"/>
                <w:lang w:val="en-US" w:eastAsia="zh-CN"/>
              </w:rPr>
              <w:br w:type="textWrapping"/>
            </w:r>
            <w:r>
              <w:rPr>
                <w:rFonts w:hint="eastAsia"/>
                <w:color w:val="auto"/>
                <w:highlight w:val="none"/>
                <w:lang w:val="en-US" w:eastAsia="zh-CN"/>
              </w:rPr>
              <w:t>9.灰度：7级</w:t>
            </w:r>
            <w:r>
              <w:rPr>
                <w:rFonts w:hint="eastAsia"/>
                <w:color w:val="auto"/>
                <w:highlight w:val="none"/>
                <w:lang w:val="en-US" w:eastAsia="zh-CN"/>
              </w:rPr>
              <w:br w:type="textWrapping"/>
            </w:r>
            <w:r>
              <w:rPr>
                <w:rFonts w:hint="eastAsia"/>
                <w:color w:val="auto"/>
                <w:highlight w:val="none"/>
                <w:lang w:val="en-US" w:eastAsia="zh-CN"/>
              </w:rPr>
              <w:t>10.漏射线：&lt;5mR/h</w:t>
            </w:r>
            <w:r>
              <w:rPr>
                <w:rFonts w:hint="eastAsia"/>
                <w:color w:val="auto"/>
                <w:highlight w:val="none"/>
                <w:lang w:val="en-US" w:eastAsia="zh-CN"/>
              </w:rPr>
              <w:br w:type="textWrapping"/>
            </w:r>
            <w:r>
              <w:rPr>
                <w:rFonts w:hint="eastAsia"/>
                <w:color w:val="auto"/>
                <w:highlight w:val="none"/>
                <w:lang w:val="en-US" w:eastAsia="zh-CN"/>
              </w:rPr>
              <w:t>11.主机重量：6.5Kg</w:t>
            </w:r>
            <w:r>
              <w:rPr>
                <w:rFonts w:hint="eastAsia"/>
                <w:color w:val="auto"/>
                <w:highlight w:val="none"/>
                <w:lang w:val="en-US" w:eastAsia="zh-CN"/>
              </w:rPr>
              <w:br w:type="textWrapping"/>
            </w:r>
            <w:r>
              <w:rPr>
                <w:rFonts w:hint="eastAsia"/>
                <w:color w:val="auto"/>
                <w:highlight w:val="none"/>
                <w:lang w:val="en-US" w:eastAsia="zh-CN"/>
              </w:rPr>
              <w:t>12.标准配置：主机一台，图像增强系统一套，手提箱一只，数据线一条，图像采集盒一只</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auto"/>
                <w:highlight w:val="none"/>
              </w:rPr>
            </w:pPr>
            <w:r>
              <w:rPr>
                <w:rFonts w:hint="eastAsia"/>
                <w:color w:val="auto"/>
                <w:highlight w:val="none"/>
                <w:lang w:val="en-US" w:eastAsia="zh-CN"/>
              </w:rPr>
              <w:t>台</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default"/>
                <w:color w:val="auto"/>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6</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eastAsia"/>
                <w:color w:val="auto"/>
                <w:highlight w:val="none"/>
                <w:lang w:val="en-US" w:eastAsia="zh-CN"/>
              </w:rPr>
              <w:t>体视镜</w:t>
            </w:r>
            <w:r>
              <w:rPr>
                <w:rFonts w:hint="eastAsia"/>
                <w:color w:val="auto"/>
                <w:highlight w:val="none"/>
                <w:lang w:val="en-US" w:eastAsia="zh-CN"/>
              </w:rPr>
              <w:br w:type="textWrapping"/>
            </w:r>
            <w:r>
              <w:rPr>
                <w:rFonts w:hint="eastAsia"/>
                <w:color w:val="auto"/>
                <w:highlight w:val="none"/>
                <w:lang w:val="en-US" w:eastAsia="zh-CN"/>
              </w:rPr>
              <w:t>（数码解剖成像工作站）</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color w:val="auto"/>
                <w:highlight w:val="none"/>
              </w:rPr>
            </w:pPr>
            <w:r>
              <w:rPr>
                <w:rFonts w:hint="eastAsia"/>
                <w:color w:val="auto"/>
                <w:highlight w:val="none"/>
                <w:lang w:val="en-US" w:eastAsia="zh-CN"/>
              </w:rPr>
              <w:t>用途：动物、植物、卵细胞、胚胎标本的观察。</w:t>
            </w:r>
            <w:r>
              <w:rPr>
                <w:rFonts w:hint="eastAsia"/>
                <w:color w:val="auto"/>
                <w:highlight w:val="none"/>
                <w:lang w:val="en-US" w:eastAsia="zh-CN"/>
              </w:rPr>
              <w:br w:type="textWrapping"/>
            </w:r>
            <w:r>
              <w:rPr>
                <w:rFonts w:hint="eastAsia"/>
                <w:color w:val="auto"/>
                <w:highlight w:val="none"/>
                <w:lang w:val="en-US" w:eastAsia="zh-CN"/>
              </w:rPr>
              <w:t>1．工作条件</w:t>
            </w:r>
            <w:r>
              <w:rPr>
                <w:rFonts w:hint="eastAsia"/>
                <w:color w:val="auto"/>
                <w:highlight w:val="none"/>
                <w:lang w:val="en-US" w:eastAsia="zh-CN"/>
              </w:rPr>
              <w:br w:type="textWrapping"/>
            </w:r>
            <w:r>
              <w:rPr>
                <w:rFonts w:hint="eastAsia"/>
                <w:color w:val="auto"/>
                <w:highlight w:val="none"/>
                <w:lang w:val="en-US" w:eastAsia="zh-CN"/>
              </w:rPr>
              <w:t>1.1  适于在气温为摄氏-40℃～＋50℃的环境条件下运输和贮存，在电源220V（10%）/50Hz、气温摄氏-5℃～40℃和相对湿度85%的环境条件下运行。</w:t>
            </w:r>
            <w:r>
              <w:rPr>
                <w:rFonts w:hint="eastAsia"/>
                <w:color w:val="auto"/>
                <w:highlight w:val="none"/>
                <w:lang w:val="en-US" w:eastAsia="zh-CN"/>
              </w:rPr>
              <w:br w:type="textWrapping"/>
            </w:r>
            <w:r>
              <w:rPr>
                <w:rFonts w:hint="eastAsia"/>
                <w:color w:val="auto"/>
                <w:highlight w:val="none"/>
                <w:lang w:val="en-US" w:eastAsia="zh-CN"/>
              </w:rPr>
              <w:t>1.2  配置符合中国有关标准要求的插头，或提供适当的转换插座。</w:t>
            </w:r>
            <w:r>
              <w:rPr>
                <w:rFonts w:hint="eastAsia"/>
                <w:color w:val="auto"/>
                <w:highlight w:val="none"/>
                <w:lang w:val="en-US" w:eastAsia="zh-CN"/>
              </w:rPr>
              <w:br w:type="textWrapping"/>
            </w:r>
            <w:r>
              <w:rPr>
                <w:rFonts w:hint="eastAsia"/>
                <w:color w:val="auto"/>
                <w:highlight w:val="none"/>
                <w:lang w:val="en-US" w:eastAsia="zh-CN"/>
              </w:rPr>
              <w:t>2．主要技术指标</w:t>
            </w:r>
            <w:r>
              <w:rPr>
                <w:rFonts w:hint="eastAsia"/>
                <w:color w:val="auto"/>
                <w:highlight w:val="none"/>
                <w:lang w:val="en-US" w:eastAsia="zh-CN"/>
              </w:rPr>
              <w:br w:type="textWrapping"/>
            </w:r>
            <w:r>
              <w:rPr>
                <w:rFonts w:hint="eastAsia"/>
                <w:color w:val="auto"/>
                <w:highlight w:val="none"/>
                <w:lang w:val="en-US" w:eastAsia="zh-CN"/>
              </w:rPr>
              <w:t>2.1  研究级体式显微镜</w:t>
            </w:r>
            <w:r>
              <w:rPr>
                <w:rFonts w:hint="eastAsia"/>
                <w:color w:val="auto"/>
                <w:highlight w:val="none"/>
                <w:lang w:val="en-US" w:eastAsia="zh-CN"/>
              </w:rPr>
              <w:br w:type="textWrapping"/>
            </w:r>
            <w:r>
              <w:rPr>
                <w:rFonts w:hint="eastAsia"/>
                <w:color w:val="auto"/>
                <w:highlight w:val="none"/>
                <w:lang w:val="en-US" w:eastAsia="zh-CN"/>
              </w:rPr>
              <w:t xml:space="preserve"> 2.1.1  连续变焦显微镜镜体：左右光轴平行式变焦系统，变焦驱动机构采用水平手柄</w:t>
            </w:r>
            <w:r>
              <w:rPr>
                <w:rFonts w:hint="eastAsia"/>
                <w:color w:val="auto"/>
                <w:highlight w:val="none"/>
                <w:lang w:val="en-US" w:eastAsia="zh-CN"/>
              </w:rPr>
              <w:br w:type="textWrapping"/>
            </w:r>
            <w:r>
              <w:rPr>
                <w:rFonts w:hint="eastAsia"/>
                <w:color w:val="auto"/>
                <w:highlight w:val="none"/>
                <w:lang w:val="en-US" w:eastAsia="zh-CN"/>
              </w:rPr>
              <w:t>★2.1.2  可变焦比：≥10: 1（6.3×－63×）</w:t>
            </w:r>
            <w:r>
              <w:rPr>
                <w:rFonts w:hint="eastAsia"/>
                <w:color w:val="auto"/>
                <w:highlight w:val="none"/>
                <w:lang w:val="en-US" w:eastAsia="zh-CN"/>
              </w:rPr>
              <w:br w:type="textWrapping"/>
            </w:r>
            <w:r>
              <w:rPr>
                <w:rFonts w:hint="eastAsia"/>
                <w:color w:val="auto"/>
                <w:highlight w:val="none"/>
                <w:lang w:val="en-US" w:eastAsia="zh-CN"/>
              </w:rPr>
              <w:t xml:space="preserve"> 2.1.3  聚焦机构：粗微调聚焦装置：备有内装式配重和聚焦机构轴粗、微调旋钮</w:t>
            </w:r>
            <w:r>
              <w:rPr>
                <w:rFonts w:hint="eastAsia"/>
                <w:color w:val="auto"/>
                <w:highlight w:val="none"/>
                <w:lang w:val="en-US" w:eastAsia="zh-CN"/>
              </w:rPr>
              <w:br w:type="textWrapping"/>
            </w:r>
            <w:r>
              <w:rPr>
                <w:rFonts w:hint="eastAsia"/>
                <w:color w:val="auto"/>
                <w:highlight w:val="none"/>
                <w:lang w:val="en-US" w:eastAsia="zh-CN"/>
              </w:rPr>
              <w:t>★2.1.4  三目镜筒：视场数≥22</w:t>
            </w:r>
            <w:r>
              <w:rPr>
                <w:rFonts w:hint="eastAsia"/>
                <w:color w:val="auto"/>
                <w:highlight w:val="none"/>
                <w:lang w:val="en-US" w:eastAsia="zh-CN"/>
              </w:rPr>
              <w:br w:type="textWrapping"/>
            </w:r>
            <w:r>
              <w:rPr>
                <w:rFonts w:hint="eastAsia"/>
                <w:color w:val="auto"/>
                <w:highlight w:val="none"/>
                <w:lang w:val="en-US" w:eastAsia="zh-CN"/>
              </w:rPr>
              <w:t>★2.1.5  物镜：1X复消色差物镜，工作距离≥81 mm</w:t>
            </w:r>
            <w:r>
              <w:rPr>
                <w:rFonts w:hint="eastAsia"/>
                <w:color w:val="auto"/>
                <w:highlight w:val="none"/>
                <w:lang w:val="en-US" w:eastAsia="zh-CN"/>
              </w:rPr>
              <w:br w:type="textWrapping"/>
            </w:r>
            <w:r>
              <w:rPr>
                <w:rFonts w:hint="eastAsia"/>
                <w:color w:val="auto"/>
                <w:highlight w:val="none"/>
                <w:lang w:val="en-US" w:eastAsia="zh-CN"/>
              </w:rPr>
              <w:t>2.1.6  目镜：10×，视场数≥22</w:t>
            </w:r>
            <w:r>
              <w:rPr>
                <w:rFonts w:hint="eastAsia"/>
                <w:color w:val="auto"/>
                <w:highlight w:val="none"/>
                <w:lang w:val="en-US" w:eastAsia="zh-CN"/>
              </w:rPr>
              <w:br w:type="textWrapping"/>
            </w:r>
            <w:r>
              <w:rPr>
                <w:rFonts w:hint="eastAsia"/>
                <w:color w:val="auto"/>
                <w:highlight w:val="none"/>
                <w:lang w:val="en-US" w:eastAsia="zh-CN"/>
              </w:rPr>
              <w:t>2.1.7  四位LED透射光镜座。</w:t>
            </w:r>
            <w:r>
              <w:rPr>
                <w:rFonts w:hint="eastAsia"/>
                <w:color w:val="auto"/>
                <w:highlight w:val="none"/>
                <w:lang w:val="en-US" w:eastAsia="zh-CN"/>
              </w:rPr>
              <w:br w:type="textWrapping"/>
            </w:r>
            <w:r>
              <w:rPr>
                <w:rFonts w:hint="eastAsia"/>
                <w:color w:val="auto"/>
                <w:highlight w:val="none"/>
                <w:lang w:val="en-US" w:eastAsia="zh-CN"/>
              </w:rPr>
              <w:t>★2.1.7.1  光源：LED光源（寿命约6万小时）</w:t>
            </w:r>
            <w:r>
              <w:rPr>
                <w:rFonts w:hint="eastAsia"/>
                <w:color w:val="auto"/>
                <w:highlight w:val="none"/>
                <w:lang w:val="en-US" w:eastAsia="zh-CN"/>
              </w:rPr>
              <w:br w:type="textWrapping"/>
            </w:r>
            <w:r>
              <w:rPr>
                <w:rFonts w:hint="eastAsia"/>
                <w:color w:val="auto"/>
                <w:highlight w:val="none"/>
                <w:lang w:val="en-US" w:eastAsia="zh-CN"/>
              </w:rPr>
              <w:t>2.1.7.2  有效照明面积：直径35mm。</w:t>
            </w:r>
            <w:r>
              <w:rPr>
                <w:rFonts w:hint="eastAsia"/>
                <w:color w:val="auto"/>
                <w:highlight w:val="none"/>
                <w:lang w:val="en-US" w:eastAsia="zh-CN"/>
              </w:rPr>
              <w:br w:type="textWrapping"/>
            </w:r>
            <w:r>
              <w:rPr>
                <w:rFonts w:hint="eastAsia"/>
                <w:color w:val="auto"/>
                <w:highlight w:val="none"/>
                <w:lang w:val="en-US" w:eastAsia="zh-CN"/>
              </w:rPr>
              <w:t>2.1.7.3  照明方式：明场、斜射光和暗场照明。</w:t>
            </w:r>
            <w:r>
              <w:rPr>
                <w:rFonts w:hint="eastAsia"/>
                <w:color w:val="auto"/>
                <w:highlight w:val="none"/>
                <w:lang w:val="en-US" w:eastAsia="zh-CN"/>
              </w:rPr>
              <w:br w:type="textWrapping"/>
            </w:r>
            <w:r>
              <w:rPr>
                <w:rFonts w:hint="eastAsia"/>
                <w:color w:val="auto"/>
                <w:highlight w:val="none"/>
                <w:lang w:val="en-US" w:eastAsia="zh-CN"/>
              </w:rPr>
              <w:t>2.1.7.4  反射光照明装置：</w:t>
            </w:r>
            <w:r>
              <w:rPr>
                <w:rFonts w:hint="eastAsia"/>
                <w:color w:val="auto"/>
                <w:highlight w:val="none"/>
                <w:lang w:val="en-US" w:eastAsia="zh-CN"/>
              </w:rPr>
              <w:br w:type="textWrapping"/>
            </w:r>
            <w:r>
              <w:rPr>
                <w:rFonts w:hint="eastAsia"/>
                <w:color w:val="auto"/>
                <w:highlight w:val="none"/>
                <w:lang w:val="en-US" w:eastAsia="zh-CN"/>
              </w:rPr>
              <w:t>★2.1.7.5  光源：LED照明</w:t>
            </w:r>
            <w:r>
              <w:rPr>
                <w:rFonts w:hint="eastAsia"/>
                <w:color w:val="auto"/>
                <w:highlight w:val="none"/>
                <w:lang w:val="en-US" w:eastAsia="zh-CN"/>
              </w:rPr>
              <w:br w:type="textWrapping"/>
            </w:r>
            <w:r>
              <w:rPr>
                <w:rFonts w:hint="eastAsia"/>
                <w:color w:val="auto"/>
                <w:highlight w:val="none"/>
                <w:lang w:val="en-US" w:eastAsia="zh-CN"/>
              </w:rPr>
              <w:t>2.1.7.6  照明方式：环形纤导光管</w:t>
            </w:r>
            <w:r>
              <w:rPr>
                <w:rFonts w:hint="eastAsia"/>
                <w:color w:val="auto"/>
                <w:highlight w:val="none"/>
                <w:lang w:val="en-US" w:eastAsia="zh-CN"/>
              </w:rPr>
              <w:br w:type="textWrapping"/>
            </w:r>
            <w:r>
              <w:rPr>
                <w:rFonts w:hint="eastAsia"/>
                <w:color w:val="auto"/>
                <w:highlight w:val="none"/>
                <w:lang w:val="en-US" w:eastAsia="zh-CN"/>
              </w:rPr>
              <w:t>3.  显微数码相机</w:t>
            </w:r>
            <w:r>
              <w:rPr>
                <w:rFonts w:hint="eastAsia"/>
                <w:color w:val="auto"/>
                <w:highlight w:val="none"/>
                <w:lang w:val="en-US" w:eastAsia="zh-CN"/>
              </w:rPr>
              <w:br w:type="textWrapping"/>
            </w:r>
            <w:r>
              <w:rPr>
                <w:rFonts w:hint="eastAsia"/>
                <w:color w:val="auto"/>
                <w:highlight w:val="none"/>
                <w:lang w:val="en-US" w:eastAsia="zh-CN"/>
              </w:rPr>
              <w:t>数码摄像机 2000万像素,图像分辨率 5440×3648, 索尼芯片1英寸,6帧/秒, USB3.0 数字传输接口 数据传输率达480mps   通过USB3.0接口供电</w:t>
            </w:r>
            <w:r>
              <w:rPr>
                <w:rFonts w:hint="eastAsia"/>
                <w:color w:val="auto"/>
                <w:highlight w:val="none"/>
                <w:lang w:val="en-US" w:eastAsia="zh-CN"/>
              </w:rPr>
              <w:br w:type="textWrapping"/>
            </w:r>
            <w:r>
              <w:rPr>
                <w:rFonts w:hint="eastAsia"/>
                <w:color w:val="auto"/>
                <w:highlight w:val="none"/>
                <w:lang w:val="en-US" w:eastAsia="zh-CN"/>
              </w:rPr>
              <w:t>4.  显微图像控制及分析软件</w:t>
            </w:r>
            <w:r>
              <w:rPr>
                <w:rFonts w:hint="eastAsia"/>
                <w:color w:val="auto"/>
                <w:highlight w:val="none"/>
                <w:lang w:val="en-US" w:eastAsia="zh-CN"/>
              </w:rPr>
              <w:br w:type="textWrapping"/>
            </w:r>
            <w:r>
              <w:rPr>
                <w:rFonts w:hint="eastAsia"/>
                <w:color w:val="auto"/>
                <w:highlight w:val="none"/>
                <w:lang w:val="en-US" w:eastAsia="zh-CN"/>
              </w:rPr>
              <w:t xml:space="preserve">软件：中/英文可选，在最新WindowsWindows7/10操作系统下编写和测试，支持多窗口、多任务的操作模式；完全用户图形界面，直观、快捷、方便。 </w:t>
            </w:r>
            <w:r>
              <w:rPr>
                <w:rFonts w:hint="eastAsia"/>
                <w:color w:val="auto"/>
                <w:highlight w:val="none"/>
                <w:lang w:val="en-US" w:eastAsia="zh-CN"/>
              </w:rPr>
              <w:br w:type="textWrapping"/>
            </w:r>
            <w:r>
              <w:rPr>
                <w:rFonts w:hint="eastAsia"/>
                <w:color w:val="auto"/>
                <w:highlight w:val="none"/>
                <w:lang w:val="en-US" w:eastAsia="zh-CN"/>
              </w:rPr>
              <w:t>显微图像分析软件</w:t>
            </w:r>
            <w:r>
              <w:rPr>
                <w:rFonts w:hint="eastAsia"/>
                <w:color w:val="auto"/>
                <w:highlight w:val="none"/>
                <w:lang w:val="en-US" w:eastAsia="zh-CN"/>
              </w:rPr>
              <w:br w:type="textWrapping"/>
            </w:r>
            <w:r>
              <w:rPr>
                <w:rFonts w:hint="eastAsia"/>
                <w:color w:val="auto"/>
                <w:highlight w:val="none"/>
                <w:lang w:val="en-US" w:eastAsia="zh-CN"/>
              </w:rPr>
              <w:t>应用软件主要包括三大体系功能：</w:t>
            </w:r>
            <w:r>
              <w:rPr>
                <w:rFonts w:hint="eastAsia"/>
                <w:color w:val="auto"/>
                <w:highlight w:val="none"/>
                <w:lang w:val="en-US" w:eastAsia="zh-CN"/>
              </w:rPr>
              <w:br w:type="textWrapping"/>
            </w:r>
            <w:r>
              <w:rPr>
                <w:rFonts w:hint="eastAsia"/>
                <w:color w:val="auto"/>
                <w:highlight w:val="none"/>
                <w:lang w:val="en-US" w:eastAsia="zh-CN"/>
              </w:rPr>
              <w:t>视频处理功能: 视频的实时播放，暂停，停止功能; 自动白平衡，自动曝光功能;视频采集功能，包括静态捕获、动态录像、定时自动捕获、原始图像采集;视频参数设置功能（RGB设置，gamma校正，曝光设置，偏移量设置等等）;视频缩放显示及视频大小控制功能;视频上下、左右反转功能;实时动态清晰视频算法.</w:t>
            </w:r>
            <w:r>
              <w:rPr>
                <w:rFonts w:hint="eastAsia"/>
                <w:color w:val="auto"/>
                <w:highlight w:val="none"/>
                <w:lang w:val="en-US" w:eastAsia="zh-CN"/>
              </w:rPr>
              <w:br w:type="textWrapping"/>
            </w:r>
            <w:r>
              <w:rPr>
                <w:rFonts w:hint="eastAsia"/>
                <w:color w:val="auto"/>
                <w:highlight w:val="none"/>
                <w:lang w:val="en-US" w:eastAsia="zh-CN"/>
              </w:rPr>
              <w:t>图像处理功能: 图像钝化及锐化。钝化用于去除噪声，平滑图像。锐化可用来突出边缘，增强图像的视觉效果。图像均衡化。用于扩展图像的亮度范围。亮度/对比度调节。RGB增益调节。色调/饱和度调节。多幅图片组合功能。包括图片间的逻辑与，逻辑或，叠加等十种不同的功能。镜像，旋转功能。二值化，灰度化功能。提取边缘功能。浮雕效果。</w:t>
            </w:r>
            <w:r>
              <w:rPr>
                <w:rFonts w:hint="eastAsia"/>
                <w:color w:val="auto"/>
                <w:highlight w:val="none"/>
                <w:lang w:val="en-US" w:eastAsia="zh-CN"/>
              </w:rPr>
              <w:br w:type="textWrapping"/>
            </w:r>
            <w:r>
              <w:rPr>
                <w:rFonts w:hint="eastAsia"/>
                <w:color w:val="auto"/>
                <w:highlight w:val="none"/>
                <w:lang w:val="en-US" w:eastAsia="zh-CN"/>
              </w:rPr>
              <w:t>图像测量功能: 直线，曲线的长度测量。矩形的边长，面积，周长测量。圆的半经，周长，面积的测量。任意多边形的周长面积测量。角度测量。平行线间距测量。文本输入功能。自动、手动记数器功能。测量微调功能。删除图元功能。标记选择功能。</w:t>
            </w:r>
            <w:r>
              <w:rPr>
                <w:rFonts w:hint="eastAsia"/>
                <w:color w:val="auto"/>
                <w:highlight w:val="none"/>
                <w:lang w:val="en-US" w:eastAsia="zh-CN"/>
              </w:rPr>
              <w:br w:type="textWrapping"/>
            </w:r>
            <w:r>
              <w:rPr>
                <w:rFonts w:hint="eastAsia"/>
                <w:color w:val="auto"/>
                <w:highlight w:val="none"/>
                <w:lang w:val="en-US" w:eastAsia="zh-CN"/>
              </w:rPr>
              <w:t>硬件：联想商用计算机，第12代英特尔® 酷睿™ i9-12900H 处理器 2.5 GHz ，硬盘至少1TB PCIe，板载 8GB*2 LPDDR5内存， 4GB GDDR6 显存，BIOS管理员密码及用户密码保护，指纹识别，Windows 11，13.4英寸镜面显示屏。</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eastAsia"/>
                <w:color w:val="auto"/>
                <w:highlight w:val="none"/>
                <w:lang w:val="en-US" w:eastAsia="zh-CN"/>
              </w:rPr>
              <w:t>套</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default"/>
                <w:color w:val="auto"/>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7</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eastAsia"/>
                <w:color w:val="auto"/>
                <w:highlight w:val="none"/>
                <w:lang w:val="en-US" w:eastAsia="zh-CN"/>
              </w:rPr>
              <w:t>生物显微镜</w:t>
            </w:r>
            <w:r>
              <w:rPr>
                <w:rFonts w:hint="eastAsia"/>
                <w:color w:val="auto"/>
                <w:highlight w:val="none"/>
                <w:lang w:val="en-US" w:eastAsia="zh-CN"/>
              </w:rPr>
              <w:br w:type="textWrapping"/>
            </w:r>
            <w:r>
              <w:rPr>
                <w:rFonts w:hint="eastAsia"/>
                <w:color w:val="auto"/>
                <w:highlight w:val="none"/>
                <w:lang w:val="en-US" w:eastAsia="zh-CN"/>
              </w:rPr>
              <w:t>（数码显微成像工作站）</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color w:val="auto"/>
                <w:highlight w:val="none"/>
              </w:rPr>
            </w:pPr>
            <w:r>
              <w:rPr>
                <w:rFonts w:hint="eastAsia"/>
                <w:color w:val="auto"/>
                <w:highlight w:val="none"/>
                <w:lang w:val="en-US" w:eastAsia="zh-CN"/>
              </w:rPr>
              <w:t>用途：可作普通染色的切片的明场观察，用于研究工作。</w:t>
            </w:r>
            <w:r>
              <w:rPr>
                <w:rFonts w:hint="eastAsia"/>
                <w:color w:val="auto"/>
                <w:highlight w:val="none"/>
                <w:lang w:val="en-US" w:eastAsia="zh-CN"/>
              </w:rPr>
              <w:br w:type="textWrapping"/>
            </w:r>
            <w:r>
              <w:rPr>
                <w:rFonts w:hint="eastAsia"/>
                <w:color w:val="auto"/>
                <w:highlight w:val="none"/>
                <w:lang w:val="en-US" w:eastAsia="zh-CN"/>
              </w:rPr>
              <w:t>1．工作条件</w:t>
            </w:r>
            <w:r>
              <w:rPr>
                <w:rFonts w:hint="eastAsia"/>
                <w:color w:val="auto"/>
                <w:highlight w:val="none"/>
                <w:lang w:val="en-US" w:eastAsia="zh-CN"/>
              </w:rPr>
              <w:br w:type="textWrapping"/>
            </w:r>
            <w:r>
              <w:rPr>
                <w:rFonts w:hint="eastAsia"/>
                <w:color w:val="auto"/>
                <w:highlight w:val="none"/>
                <w:lang w:val="en-US" w:eastAsia="zh-CN"/>
              </w:rPr>
              <w:t>1.1  适于在气温为摄氏-40℃～＋50℃的环境条件下运输和贮存，在电源220V（10%）/50Hz、气温摄氏-5℃～40℃和相对湿度85%的环境条件下运行。</w:t>
            </w:r>
            <w:r>
              <w:rPr>
                <w:rFonts w:hint="eastAsia"/>
                <w:color w:val="auto"/>
                <w:highlight w:val="none"/>
                <w:lang w:val="en-US" w:eastAsia="zh-CN"/>
              </w:rPr>
              <w:br w:type="textWrapping"/>
            </w:r>
            <w:r>
              <w:rPr>
                <w:rFonts w:hint="eastAsia"/>
                <w:color w:val="auto"/>
                <w:highlight w:val="none"/>
                <w:lang w:val="en-US" w:eastAsia="zh-CN"/>
              </w:rPr>
              <w:t>1.2  配置符合中国有关标准要求的插头，或提供适当的转换插座。</w:t>
            </w:r>
            <w:r>
              <w:rPr>
                <w:rFonts w:hint="eastAsia"/>
                <w:color w:val="auto"/>
                <w:highlight w:val="none"/>
                <w:lang w:val="en-US" w:eastAsia="zh-CN"/>
              </w:rPr>
              <w:br w:type="textWrapping"/>
            </w:r>
            <w:r>
              <w:rPr>
                <w:rFonts w:hint="eastAsia"/>
                <w:color w:val="auto"/>
                <w:highlight w:val="none"/>
                <w:lang w:val="en-US" w:eastAsia="zh-CN"/>
              </w:rPr>
              <w:t>2．主要技术指标</w:t>
            </w:r>
            <w:r>
              <w:rPr>
                <w:rFonts w:hint="eastAsia"/>
                <w:color w:val="auto"/>
                <w:highlight w:val="none"/>
                <w:lang w:val="en-US" w:eastAsia="zh-CN"/>
              </w:rPr>
              <w:br w:type="textWrapping"/>
            </w:r>
            <w:r>
              <w:rPr>
                <w:rFonts w:hint="eastAsia"/>
                <w:color w:val="auto"/>
                <w:highlight w:val="none"/>
                <w:lang w:val="en-US" w:eastAsia="zh-CN"/>
              </w:rPr>
              <w:t>2.1  研究级正置显微镜</w:t>
            </w:r>
            <w:r>
              <w:rPr>
                <w:rFonts w:hint="eastAsia"/>
                <w:color w:val="auto"/>
                <w:highlight w:val="none"/>
                <w:lang w:val="en-US" w:eastAsia="zh-CN"/>
              </w:rPr>
              <w:br w:type="textWrapping"/>
            </w:r>
            <w:r>
              <w:rPr>
                <w:rFonts w:hint="eastAsia"/>
                <w:color w:val="auto"/>
                <w:highlight w:val="none"/>
                <w:lang w:val="en-US" w:eastAsia="zh-CN"/>
              </w:rPr>
              <w:t xml:space="preserve"> 2.1.1  研究级正置显微镜，可作明场的观察</w:t>
            </w:r>
            <w:r>
              <w:rPr>
                <w:rFonts w:hint="eastAsia"/>
                <w:color w:val="auto"/>
                <w:highlight w:val="none"/>
                <w:lang w:val="en-US" w:eastAsia="zh-CN"/>
              </w:rPr>
              <w:br w:type="textWrapping"/>
            </w:r>
            <w:r>
              <w:rPr>
                <w:rFonts w:hint="eastAsia"/>
                <w:color w:val="auto"/>
                <w:highlight w:val="none"/>
                <w:lang w:val="en-US" w:eastAsia="zh-CN"/>
              </w:rPr>
              <w:t>★2.1.2  光学系统：无限远校正光学系统，齐焦距离必须为国际标准45mm</w:t>
            </w:r>
            <w:r>
              <w:rPr>
                <w:rFonts w:hint="eastAsia"/>
                <w:color w:val="auto"/>
                <w:highlight w:val="none"/>
                <w:lang w:val="en-US" w:eastAsia="zh-CN"/>
              </w:rPr>
              <w:br w:type="textWrapping"/>
            </w:r>
            <w:r>
              <w:rPr>
                <w:rFonts w:hint="eastAsia"/>
                <w:color w:val="auto"/>
                <w:highlight w:val="none"/>
                <w:lang w:val="en-US" w:eastAsia="zh-CN"/>
              </w:rPr>
              <w:t>2.1.3  调焦：载物台垂直运动方式距离不小于25mm，带聚焦粗调限位器，粗调旋钮扭矩可调，最小微调刻度单位≤1微米</w:t>
            </w:r>
            <w:r>
              <w:rPr>
                <w:rFonts w:hint="eastAsia"/>
                <w:color w:val="auto"/>
                <w:highlight w:val="none"/>
                <w:lang w:val="en-US" w:eastAsia="zh-CN"/>
              </w:rPr>
              <w:br w:type="textWrapping"/>
            </w:r>
            <w:r>
              <w:rPr>
                <w:rFonts w:hint="eastAsia"/>
                <w:color w:val="auto"/>
                <w:highlight w:val="none"/>
                <w:lang w:val="en-US" w:eastAsia="zh-CN"/>
              </w:rPr>
              <w:t>★2.1.4  观察镜筒：超宽场三目观察筒，倾角为30°,视场数26.5mm</w:t>
            </w:r>
            <w:r>
              <w:rPr>
                <w:rFonts w:hint="eastAsia"/>
                <w:color w:val="auto"/>
                <w:highlight w:val="none"/>
                <w:lang w:val="en-US" w:eastAsia="zh-CN"/>
              </w:rPr>
              <w:br w:type="textWrapping"/>
            </w:r>
            <w:r>
              <w:rPr>
                <w:rFonts w:hint="eastAsia"/>
                <w:color w:val="auto"/>
                <w:highlight w:val="none"/>
                <w:lang w:val="en-US" w:eastAsia="zh-CN"/>
              </w:rPr>
              <w:t>★2.1.5  照明装置：内置透射光柯勒照明器，功率14W。具有光强管理（LIM）功能，能够在转换不同物镜时，根据预设光强进行自动光亮度调节。可以扩展8孔荧光</w:t>
            </w:r>
            <w:r>
              <w:rPr>
                <w:rFonts w:hint="eastAsia"/>
                <w:color w:val="auto"/>
                <w:highlight w:val="none"/>
                <w:lang w:val="en-US" w:eastAsia="zh-CN"/>
              </w:rPr>
              <w:br w:type="textWrapping"/>
            </w:r>
            <w:r>
              <w:rPr>
                <w:rFonts w:hint="eastAsia"/>
                <w:color w:val="auto"/>
                <w:highlight w:val="none"/>
                <w:lang w:val="en-US" w:eastAsia="zh-CN"/>
              </w:rPr>
              <w:t>2.1.6  物镜：平场消色差物镜</w:t>
            </w:r>
            <w:r>
              <w:rPr>
                <w:rFonts w:hint="eastAsia"/>
                <w:color w:val="auto"/>
                <w:highlight w:val="none"/>
                <w:lang w:val="en-US" w:eastAsia="zh-CN"/>
              </w:rPr>
              <w:br w:type="textWrapping"/>
            </w:r>
            <w:r>
              <w:rPr>
                <w:rFonts w:hint="eastAsia"/>
                <w:color w:val="auto"/>
                <w:highlight w:val="none"/>
                <w:lang w:val="en-US" w:eastAsia="zh-CN"/>
              </w:rPr>
              <w:t>4X（N.A. 0.1，W.D. 18.5）</w:t>
            </w:r>
            <w:r>
              <w:rPr>
                <w:rFonts w:hint="eastAsia"/>
                <w:color w:val="auto"/>
                <w:highlight w:val="none"/>
                <w:lang w:val="en-US" w:eastAsia="zh-CN"/>
              </w:rPr>
              <w:br w:type="textWrapping"/>
            </w:r>
            <w:r>
              <w:rPr>
                <w:rFonts w:hint="eastAsia"/>
                <w:color w:val="auto"/>
                <w:highlight w:val="none"/>
                <w:lang w:val="en-US" w:eastAsia="zh-CN"/>
              </w:rPr>
              <w:t>10X（N.A. 0.25，W.D. 10.6）</w:t>
            </w:r>
            <w:r>
              <w:rPr>
                <w:rFonts w:hint="eastAsia"/>
                <w:color w:val="auto"/>
                <w:highlight w:val="none"/>
                <w:lang w:val="en-US" w:eastAsia="zh-CN"/>
              </w:rPr>
              <w:br w:type="textWrapping"/>
            </w:r>
            <w:r>
              <w:rPr>
                <w:rFonts w:hint="eastAsia"/>
                <w:color w:val="auto"/>
                <w:highlight w:val="none"/>
                <w:lang w:val="en-US" w:eastAsia="zh-CN"/>
              </w:rPr>
              <w:t>20X（N.A. 0.4，W.D. 1.2 spring）</w:t>
            </w:r>
            <w:r>
              <w:rPr>
                <w:rFonts w:hint="eastAsia"/>
                <w:color w:val="auto"/>
                <w:highlight w:val="none"/>
                <w:lang w:val="en-US" w:eastAsia="zh-CN"/>
              </w:rPr>
              <w:br w:type="textWrapping"/>
            </w:r>
            <w:r>
              <w:rPr>
                <w:rFonts w:hint="eastAsia"/>
                <w:color w:val="auto"/>
                <w:highlight w:val="none"/>
                <w:lang w:val="en-US" w:eastAsia="zh-CN"/>
              </w:rPr>
              <w:t>40X（N.A. 0.65，W.D. 0.6 spring）</w:t>
            </w:r>
            <w:r>
              <w:rPr>
                <w:rFonts w:hint="eastAsia"/>
                <w:color w:val="auto"/>
                <w:highlight w:val="none"/>
                <w:lang w:val="en-US" w:eastAsia="zh-CN"/>
              </w:rPr>
              <w:br w:type="textWrapping"/>
            </w:r>
            <w:r>
              <w:rPr>
                <w:rFonts w:hint="eastAsia"/>
                <w:color w:val="auto"/>
                <w:highlight w:val="none"/>
                <w:lang w:val="en-US" w:eastAsia="zh-CN"/>
              </w:rPr>
              <w:t>100X（N.A. 0.1.25，W.D. 0.13spring，油镜）</w:t>
            </w:r>
            <w:r>
              <w:rPr>
                <w:rFonts w:hint="eastAsia"/>
                <w:color w:val="auto"/>
                <w:highlight w:val="none"/>
                <w:lang w:val="en-US" w:eastAsia="zh-CN"/>
              </w:rPr>
              <w:br w:type="textWrapping"/>
            </w:r>
            <w:r>
              <w:rPr>
                <w:rFonts w:hint="eastAsia"/>
                <w:color w:val="auto"/>
                <w:highlight w:val="none"/>
                <w:lang w:val="en-US" w:eastAsia="zh-CN"/>
              </w:rPr>
              <w:t>2.1.7  载物台：右手低位置同轴驱动选钮的高抗磨损性陶瓷覆盖层载物台。</w:t>
            </w:r>
            <w:r>
              <w:rPr>
                <w:rFonts w:hint="eastAsia"/>
                <w:color w:val="auto"/>
                <w:highlight w:val="none"/>
                <w:lang w:val="en-US" w:eastAsia="zh-CN"/>
              </w:rPr>
              <w:br w:type="textWrapping"/>
            </w:r>
            <w:r>
              <w:rPr>
                <w:rFonts w:hint="eastAsia"/>
                <w:color w:val="auto"/>
                <w:highlight w:val="none"/>
                <w:lang w:val="en-US" w:eastAsia="zh-CN"/>
              </w:rPr>
              <w:t>★2.1.8  目镜：10X超宽视野目镜，带屈光度校准,视场数26.5mm</w:t>
            </w:r>
            <w:r>
              <w:rPr>
                <w:rFonts w:hint="eastAsia"/>
                <w:color w:val="auto"/>
                <w:highlight w:val="none"/>
                <w:lang w:val="en-US" w:eastAsia="zh-CN"/>
              </w:rPr>
              <w:br w:type="textWrapping"/>
            </w:r>
            <w:r>
              <w:rPr>
                <w:rFonts w:hint="eastAsia"/>
                <w:color w:val="auto"/>
                <w:highlight w:val="none"/>
                <w:lang w:val="en-US" w:eastAsia="zh-CN"/>
              </w:rPr>
              <w:t>2.1.9  物镜转换器：六孔编码物镜转换器</w:t>
            </w:r>
            <w:r>
              <w:rPr>
                <w:rFonts w:hint="eastAsia"/>
                <w:color w:val="auto"/>
                <w:highlight w:val="none"/>
                <w:lang w:val="en-US" w:eastAsia="zh-CN"/>
              </w:rPr>
              <w:br w:type="textWrapping"/>
            </w:r>
            <w:r>
              <w:rPr>
                <w:rFonts w:hint="eastAsia"/>
                <w:color w:val="auto"/>
                <w:highlight w:val="none"/>
                <w:lang w:val="en-US" w:eastAsia="zh-CN"/>
              </w:rPr>
              <w:t>2.1.10  聚光镜：程聚光镜，N.A.≥1.1；</w:t>
            </w:r>
            <w:r>
              <w:rPr>
                <w:rFonts w:hint="eastAsia"/>
                <w:color w:val="auto"/>
                <w:highlight w:val="none"/>
                <w:lang w:val="en-US" w:eastAsia="zh-CN"/>
              </w:rPr>
              <w:br w:type="textWrapping"/>
            </w:r>
            <w:r>
              <w:rPr>
                <w:rFonts w:hint="eastAsia"/>
                <w:color w:val="auto"/>
                <w:highlight w:val="none"/>
                <w:lang w:val="en-US" w:eastAsia="zh-CN"/>
              </w:rPr>
              <w:t>3   显微数码相机</w:t>
            </w:r>
            <w:r>
              <w:rPr>
                <w:rFonts w:hint="eastAsia"/>
                <w:color w:val="auto"/>
                <w:highlight w:val="none"/>
                <w:lang w:val="en-US" w:eastAsia="zh-CN"/>
              </w:rPr>
              <w:br w:type="textWrapping"/>
            </w:r>
            <w:r>
              <w:rPr>
                <w:rFonts w:hint="eastAsia"/>
                <w:color w:val="auto"/>
                <w:highlight w:val="none"/>
                <w:lang w:val="en-US" w:eastAsia="zh-CN"/>
              </w:rPr>
              <w:t>数码摄像机 2000万像素,图像分辨率 5440×3648, 索尼芯片1英寸,6帧/秒, USB3.0 数字传输接口 数据传输率达480mps   通过USB3.0接口供电</w:t>
            </w:r>
            <w:r>
              <w:rPr>
                <w:rFonts w:hint="eastAsia"/>
                <w:color w:val="auto"/>
                <w:highlight w:val="none"/>
                <w:lang w:val="en-US" w:eastAsia="zh-CN"/>
              </w:rPr>
              <w:br w:type="textWrapping"/>
            </w:r>
            <w:r>
              <w:rPr>
                <w:rFonts w:hint="eastAsia"/>
                <w:color w:val="auto"/>
                <w:highlight w:val="none"/>
                <w:lang w:val="en-US" w:eastAsia="zh-CN"/>
              </w:rPr>
              <w:t>4.  显微图像控制及分析软件</w:t>
            </w:r>
            <w:r>
              <w:rPr>
                <w:rFonts w:hint="eastAsia"/>
                <w:color w:val="auto"/>
                <w:highlight w:val="none"/>
                <w:lang w:val="en-US" w:eastAsia="zh-CN"/>
              </w:rPr>
              <w:br w:type="textWrapping"/>
            </w:r>
            <w:r>
              <w:rPr>
                <w:rFonts w:hint="eastAsia"/>
                <w:color w:val="auto"/>
                <w:highlight w:val="none"/>
                <w:lang w:val="en-US" w:eastAsia="zh-CN"/>
              </w:rPr>
              <w:t xml:space="preserve">软件：中/英文可选，在最新Windows7/10操作系统下编写和测试，支持多窗口、多任务的操作模式；完全用户图形界面，直观、快捷、方便。 </w:t>
            </w:r>
            <w:r>
              <w:rPr>
                <w:rFonts w:hint="eastAsia"/>
                <w:color w:val="auto"/>
                <w:highlight w:val="none"/>
                <w:lang w:val="en-US" w:eastAsia="zh-CN"/>
              </w:rPr>
              <w:br w:type="textWrapping"/>
            </w:r>
            <w:r>
              <w:rPr>
                <w:rFonts w:hint="eastAsia"/>
                <w:color w:val="auto"/>
                <w:highlight w:val="none"/>
                <w:lang w:val="en-US" w:eastAsia="zh-CN"/>
              </w:rPr>
              <w:t>显微图像分析软件</w:t>
            </w:r>
            <w:r>
              <w:rPr>
                <w:rFonts w:hint="eastAsia"/>
                <w:color w:val="auto"/>
                <w:highlight w:val="none"/>
                <w:lang w:val="en-US" w:eastAsia="zh-CN"/>
              </w:rPr>
              <w:br w:type="textWrapping"/>
            </w:r>
            <w:r>
              <w:rPr>
                <w:rFonts w:hint="eastAsia"/>
                <w:color w:val="auto"/>
                <w:highlight w:val="none"/>
                <w:lang w:val="en-US" w:eastAsia="zh-CN"/>
              </w:rPr>
              <w:t>应用软件主要包括三大体系功能：</w:t>
            </w:r>
            <w:r>
              <w:rPr>
                <w:rFonts w:hint="eastAsia"/>
                <w:color w:val="auto"/>
                <w:highlight w:val="none"/>
                <w:lang w:val="en-US" w:eastAsia="zh-CN"/>
              </w:rPr>
              <w:br w:type="textWrapping"/>
            </w:r>
            <w:r>
              <w:rPr>
                <w:rFonts w:hint="eastAsia"/>
                <w:color w:val="auto"/>
                <w:highlight w:val="none"/>
                <w:lang w:val="en-US" w:eastAsia="zh-CN"/>
              </w:rPr>
              <w:t>视频处理功能: 视频的实时播放，暂停，停止功能; 自动白平衡，自动曝光功能;视频采集功能，包括静态捕获、动态录像、定时自动捕获、原始图像采集;视频参数设置功能（RGB设置，gamma校正，曝光设置，偏移量设置等等）;视频缩放显示及视频大小控制功能;视频上下、左右反转功能;实时动态清晰视频算法.</w:t>
            </w:r>
            <w:r>
              <w:rPr>
                <w:rFonts w:hint="eastAsia"/>
                <w:color w:val="auto"/>
                <w:highlight w:val="none"/>
                <w:lang w:val="en-US" w:eastAsia="zh-CN"/>
              </w:rPr>
              <w:br w:type="textWrapping"/>
            </w:r>
            <w:r>
              <w:rPr>
                <w:rFonts w:hint="eastAsia"/>
                <w:color w:val="auto"/>
                <w:highlight w:val="none"/>
                <w:lang w:val="en-US" w:eastAsia="zh-CN"/>
              </w:rPr>
              <w:t>图像处理功能: 图像钝化及锐化。钝化用于去除噪声，平滑图像。锐化可用来突出边缘，增强图像的视觉效果。图像均衡化。用于扩展图像的亮度范围。亮度/对比度调节。RGB增益调节。色调/饱和度调节。多幅图片组合功能。包括图片间的逻辑与，逻辑或，叠加等十种不同的功能。镜像，旋转功能。二值化，灰度化功能。提取边缘功能。浮雕效果。</w:t>
            </w:r>
            <w:r>
              <w:rPr>
                <w:rFonts w:hint="eastAsia"/>
                <w:color w:val="auto"/>
                <w:highlight w:val="none"/>
                <w:lang w:val="en-US" w:eastAsia="zh-CN"/>
              </w:rPr>
              <w:br w:type="textWrapping"/>
            </w:r>
            <w:r>
              <w:rPr>
                <w:rFonts w:hint="eastAsia"/>
                <w:color w:val="auto"/>
                <w:highlight w:val="none"/>
                <w:lang w:val="en-US" w:eastAsia="zh-CN"/>
              </w:rPr>
              <w:t>图像测量功能: 直线，曲线的长度测量。矩形的边长，面积，周长测量。圆的半经，周长，面积的测量。任意多边形的周长面积测量。角度测量。平行线间距测量。文本输入功能。自动、手动记数器功能。测量微调功能。删除图元功能。标记选择功能。</w:t>
            </w:r>
            <w:r>
              <w:rPr>
                <w:rFonts w:hint="eastAsia"/>
                <w:color w:val="auto"/>
                <w:highlight w:val="none"/>
                <w:lang w:val="en-US" w:eastAsia="zh-CN"/>
              </w:rPr>
              <w:br w:type="textWrapping"/>
            </w:r>
            <w:r>
              <w:rPr>
                <w:rFonts w:hint="eastAsia"/>
                <w:color w:val="auto"/>
                <w:highlight w:val="none"/>
                <w:lang w:val="en-US" w:eastAsia="zh-CN"/>
              </w:rPr>
              <w:t>硬件：联想商用计算机，第12代英特尔® 酷睿™ i9-12900H 处理器 2.5 GHz ，硬盘至少1TB PCIe，板载 8GB*2 LPDDR5内存， 4GB GDDR6 显存，BIOS管理员密码及用户密码保护，指纹识别，Windows 11，13.4英寸镜面显示屏。</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auto"/>
                <w:highlight w:val="none"/>
              </w:rPr>
            </w:pPr>
            <w:r>
              <w:rPr>
                <w:rFonts w:hint="eastAsia"/>
                <w:color w:val="auto"/>
                <w:highlight w:val="none"/>
                <w:lang w:val="en-US" w:eastAsia="zh-CN"/>
              </w:rPr>
              <w:t>套</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default"/>
                <w:color w:val="auto"/>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2</w:t>
            </w:r>
          </w:p>
        </w:tc>
        <w:tc>
          <w:tcPr>
            <w:tcW w:w="1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标本采集工具</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highlight w:val="none"/>
              </w:rPr>
            </w:pPr>
            <w:r>
              <w:rPr>
                <w:rFonts w:hint="eastAsia"/>
                <w:color w:val="auto"/>
                <w:highlight w:val="none"/>
                <w:lang w:val="en-US" w:eastAsia="zh-CN"/>
              </w:rPr>
              <w:t>1、工具箱1只  2、便携水桶1个  3、指南针1个  4、签字笔1支  5、手术级弯镊子16mm1把  6、一次性手套1双  7、1000ml大容量保温杯1个  8、多功能不锈钢采集刀1把  9、油性记号笔1支  10、解剖刀1把  11、多用记录本1本  12、手电筒 1个  13、带光源30x放大镜1个  14、注射器1个  15、金属柄不锈钢解剖针1个  16、常用标签1包  17、折叠小凳子1把  18、手持桃木放大镜1个  19、手术级直镊子18mm1把  20、昆虫针7瓶  21、医用手术级剪刀18mm 1把  22、密网眼直径35cm深度80cm以上网兜,白色的,伸缩定位3节不锈钢杆拉开尺寸1米，收缩后47cm捕虫网1套  23、50ml采集管  24、昆虫盒  25、捉虫夹  26、爱丽斯剪枝剪1把   27、太阳大沿帽（含袖套1双）1个  28、手术级16mm昆虫钳1把  29、50ml指形管5个   30、田岛折叠锯1把  31、测树围尺1个   32、不锈钢小铲1套   33、采集铲   34、采集锹   35、采集耙   36、全金属手动计数器 1个</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eastAsia"/>
                <w:color w:val="auto"/>
                <w:highlight w:val="none"/>
                <w:lang w:val="en-US" w:eastAsia="zh-CN"/>
              </w:rPr>
              <w:t>套</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auto"/>
                <w:highlight w:val="none"/>
              </w:rPr>
            </w:pPr>
            <w:r>
              <w:rPr>
                <w:rFonts w:hint="default"/>
                <w:color w:val="auto"/>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3</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highlight w:val="none"/>
              </w:rPr>
            </w:pPr>
            <w:r>
              <w:rPr>
                <w:rFonts w:hint="eastAsia"/>
                <w:color w:val="auto"/>
                <w:highlight w:val="none"/>
                <w:lang w:val="en-US" w:eastAsia="zh-CN"/>
              </w:rPr>
              <w:t>标本制作工具</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highlight w:val="none"/>
              </w:rPr>
            </w:pPr>
            <w:r>
              <w:rPr>
                <w:rFonts w:hint="eastAsia"/>
                <w:color w:val="auto"/>
                <w:highlight w:val="none"/>
                <w:lang w:val="en-US" w:eastAsia="zh-CN"/>
              </w:rPr>
              <w:t xml:space="preserve">1、TPE手套1盒 2、防护口罩10只  3、防护眼罩2个  4、展翅板1块  5、展足板1块  6、三级台1块  7、昆虫针1#、3#各1罐  8、微针1罐  9、樟脑块1包 10、昆虫标本定名签1扎 11、昆虫标本盒360*270*55mm 漆布 1只 12、实木昆虫标本盒500*360*3.6mm 1只 13、手持桃木放大镜 1把  14、（木板式）植物标本夹配捆带及透气板和吸水纸各8张1套  15、专用吸水纸10张 16、植物标本台纸10张 17、台纸封套袋10只 18、实木植物标本框A3规格1个 19、实木植物标本框A4规格1个 20、标本固定线20米 21、标本粘胶1瓶 22、 植物标本定名签1扎 23、标本制作器械14件装 1套  24、标本制作工具箱1只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eastAsia"/>
                <w:color w:val="auto"/>
                <w:highlight w:val="none"/>
                <w:lang w:val="en-US" w:eastAsia="zh-CN"/>
              </w:rPr>
              <w:t>套</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auto"/>
                <w:highlight w:val="none"/>
              </w:rPr>
            </w:pPr>
            <w:r>
              <w:rPr>
                <w:rFonts w:hint="default"/>
                <w:color w:val="auto"/>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8</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highlight w:val="none"/>
              </w:rPr>
            </w:pPr>
            <w:r>
              <w:rPr>
                <w:rFonts w:hint="eastAsia"/>
                <w:color w:val="auto"/>
                <w:highlight w:val="none"/>
                <w:lang w:val="en-US" w:eastAsia="zh-CN"/>
              </w:rPr>
              <w:t>货架</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color w:val="auto"/>
                <w:highlight w:val="none"/>
              </w:rPr>
            </w:pPr>
            <w:r>
              <w:rPr>
                <w:rFonts w:hint="eastAsia"/>
                <w:color w:val="auto"/>
                <w:highlight w:val="none"/>
                <w:lang w:val="en-US" w:eastAsia="zh-CN"/>
              </w:rPr>
              <w:t>尺寸：高2000mm*宽2000mm*深600mm  层数：4层,全钢结构采用冷轧钢板，采用厚度不小于1.5mm钢板，表面均经酸洗、磷化、环氧树脂粉末静电喷涂。</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eastAsia"/>
                <w:color w:val="auto"/>
                <w:highlight w:val="none"/>
                <w:lang w:val="en-US" w:eastAsia="zh-CN"/>
              </w:rPr>
              <w:t>副</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default"/>
                <w:color w:val="auto"/>
                <w:highlight w:val="none"/>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9</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highlight w:val="none"/>
              </w:rPr>
            </w:pPr>
            <w:r>
              <w:rPr>
                <w:rFonts w:hint="eastAsia"/>
                <w:color w:val="auto"/>
                <w:highlight w:val="none"/>
                <w:lang w:val="en-US" w:eastAsia="zh-CN"/>
              </w:rPr>
              <w:t>七氟丙烷气体灭火器</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color w:val="auto"/>
                <w:highlight w:val="none"/>
              </w:rPr>
            </w:pPr>
            <w:r>
              <w:rPr>
                <w:rFonts w:hint="eastAsia"/>
                <w:color w:val="auto"/>
                <w:highlight w:val="none"/>
                <w:lang w:val="en-US" w:eastAsia="zh-CN"/>
              </w:rPr>
              <w:t>七氟丙烷最大充装密度≤1000kg/m3</w:t>
            </w:r>
            <w:r>
              <w:rPr>
                <w:rFonts w:hint="eastAsia"/>
                <w:color w:val="auto"/>
                <w:highlight w:val="none"/>
                <w:lang w:val="en-US" w:eastAsia="zh-CN"/>
              </w:rPr>
              <w:br w:type="textWrapping"/>
            </w:r>
            <w:r>
              <w:rPr>
                <w:rFonts w:hint="eastAsia"/>
                <w:color w:val="auto"/>
                <w:highlight w:val="none"/>
                <w:lang w:val="en-US" w:eastAsia="zh-CN"/>
              </w:rPr>
              <w:t>环境温度：0-50°</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eastAsia"/>
                <w:color w:val="auto"/>
                <w:highlight w:val="none"/>
                <w:lang w:val="en-US" w:eastAsia="zh-CN"/>
              </w:rPr>
              <w:t>瓶</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default"/>
                <w:color w:val="auto"/>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10</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default"/>
                <w:color w:val="auto"/>
                <w:highlight w:val="none"/>
                <w:lang w:val="en-US" w:eastAsia="zh-CN"/>
              </w:rPr>
              <w:t>智能会议硬件服务包</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highlight w:val="none"/>
              </w:rPr>
            </w:pPr>
            <w:r>
              <w:rPr>
                <w:rFonts w:hint="eastAsia"/>
                <w:color w:val="auto"/>
                <w:highlight w:val="none"/>
                <w:lang w:val="en-US" w:eastAsia="zh-CN"/>
              </w:rPr>
              <w:t>DX20会议设备一台，DXM30全向麦克风一台，激光电视一台（含100寸幕布）</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eastAsia"/>
                <w:color w:val="auto"/>
                <w:highlight w:val="none"/>
                <w:lang w:val="en-US" w:eastAsia="zh-CN"/>
              </w:rPr>
              <w:t>台</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default"/>
                <w:color w:val="auto"/>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highlight w:val="none"/>
              </w:rPr>
            </w:pPr>
            <w:r>
              <w:rPr>
                <w:rFonts w:hint="eastAsia"/>
                <w:color w:val="auto"/>
                <w:highlight w:val="none"/>
                <w:lang w:val="en-US" w:eastAsia="zh-CN"/>
              </w:rPr>
              <w:t>11</w:t>
            </w:r>
          </w:p>
        </w:tc>
        <w:tc>
          <w:tcPr>
            <w:tcW w:w="15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default"/>
                <w:color w:val="auto"/>
                <w:highlight w:val="none"/>
                <w:lang w:val="en-US" w:eastAsia="zh-CN"/>
              </w:rPr>
              <w:t>智能会议硬件服务包</w:t>
            </w:r>
          </w:p>
        </w:tc>
        <w:tc>
          <w:tcPr>
            <w:tcW w:w="173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ighlight w:val="none"/>
                <w:lang w:val="en-US" w:eastAsia="zh-CN"/>
              </w:rPr>
            </w:pPr>
            <w:r>
              <w:rPr>
                <w:rFonts w:hint="eastAsia"/>
                <w:highlight w:val="none"/>
                <w:lang w:val="en-US" w:eastAsia="zh-CN"/>
              </w:rPr>
              <w:t>DX20会议设备一台，DXM30全向麦克风一台，75寸含挂墙安装</w:t>
            </w:r>
          </w:p>
          <w:p>
            <w:pPr>
              <w:pStyle w:val="2"/>
              <w:rPr>
                <w:rFonts w:hint="default"/>
                <w:highlight w:val="none"/>
                <w:lang w:val="en-US"/>
              </w:rPr>
            </w:pPr>
            <w:r>
              <w:rPr>
                <w:rFonts w:hint="eastAsia" w:ascii="Calibri" w:hAnsi="Calibri" w:eastAsia="宋体" w:cs="Times New Roman"/>
                <w:kern w:val="2"/>
                <w:sz w:val="21"/>
                <w:szCs w:val="24"/>
                <w:highlight w:val="none"/>
                <w:lang w:val="en-US" w:eastAsia="zh-CN" w:bidi="ar-SA"/>
              </w:rPr>
              <w:t>需与业主沟通</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eastAsia"/>
                <w:color w:val="auto"/>
                <w:highlight w:val="none"/>
                <w:lang w:val="en-US" w:eastAsia="zh-CN"/>
              </w:rPr>
              <w:t>台</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highlight w:val="none"/>
              </w:rPr>
            </w:pPr>
            <w:r>
              <w:rPr>
                <w:rFonts w:hint="default"/>
                <w:color w:val="auto"/>
                <w:highlight w:val="none"/>
                <w:lang w:val="en-US" w:eastAsia="zh-CN"/>
              </w:rPr>
              <w:t>2</w:t>
            </w:r>
          </w:p>
        </w:tc>
      </w:tr>
    </w:tbl>
    <w:p>
      <w:pPr>
        <w:rPr>
          <w:color w:val="auto"/>
          <w:highlight w:val="none"/>
        </w:rPr>
      </w:pPr>
      <w:r>
        <w:rPr>
          <w:color w:val="auto"/>
          <w:highlight w:val="none"/>
        </w:rPr>
        <w:br w:type="page"/>
      </w:r>
    </w:p>
    <w:p>
      <w:pPr>
        <w:pStyle w:val="67"/>
        <w:rPr>
          <w:color w:val="auto"/>
          <w:highlight w:val="none"/>
        </w:rPr>
      </w:pPr>
    </w:p>
    <w:p>
      <w:pPr>
        <w:numPr>
          <w:ilvl w:val="0"/>
          <w:numId w:val="31"/>
        </w:numPr>
        <w:spacing w:line="480" w:lineRule="auto"/>
        <w:jc w:val="center"/>
        <w:outlineLvl w:val="0"/>
        <w:rPr>
          <w:rFonts w:ascii="宋体"/>
          <w:b/>
          <w:color w:val="auto"/>
          <w:sz w:val="32"/>
          <w:szCs w:val="32"/>
          <w:highlight w:val="none"/>
        </w:rPr>
      </w:pPr>
      <w:r>
        <w:rPr>
          <w:rFonts w:hint="eastAsia" w:ascii="宋体"/>
          <w:b/>
          <w:color w:val="auto"/>
          <w:sz w:val="32"/>
          <w:szCs w:val="32"/>
          <w:highlight w:val="none"/>
        </w:rPr>
        <w:t xml:space="preserve"> 评标办法</w:t>
      </w:r>
    </w:p>
    <w:p>
      <w:pPr>
        <w:adjustRightInd w:val="0"/>
        <w:snapToGrid w:val="0"/>
        <w:spacing w:line="360" w:lineRule="auto"/>
        <w:ind w:firstLine="480" w:firstLineChars="200"/>
        <w:rPr>
          <w:color w:val="auto"/>
          <w:sz w:val="24"/>
          <w:highlight w:val="none"/>
        </w:rPr>
      </w:pPr>
      <w:r>
        <w:rPr>
          <w:color w:val="auto"/>
          <w:sz w:val="24"/>
          <w:highlight w:val="none"/>
        </w:rPr>
        <w:t>根据《中华人民共和国政府采购法》、《中华人民共和国政府采购法实施条例》、《政府采购货物和服务招标投标管理办法》等有关规定，结合本项目的实际情况，制定本评标办法。</w:t>
      </w:r>
    </w:p>
    <w:p>
      <w:pPr>
        <w:adjustRightInd w:val="0"/>
        <w:snapToGrid w:val="0"/>
        <w:spacing w:line="360" w:lineRule="auto"/>
        <w:ind w:firstLine="480" w:firstLineChars="200"/>
        <w:rPr>
          <w:b/>
          <w:bCs/>
          <w:color w:val="auto"/>
          <w:sz w:val="24"/>
          <w:highlight w:val="none"/>
        </w:rPr>
      </w:pPr>
      <w:r>
        <w:rPr>
          <w:b/>
          <w:bCs/>
          <w:color w:val="auto"/>
          <w:sz w:val="24"/>
          <w:highlight w:val="none"/>
        </w:rPr>
        <w:t>一、总则</w:t>
      </w:r>
    </w:p>
    <w:p>
      <w:pPr>
        <w:snapToGrid w:val="0"/>
        <w:spacing w:line="360" w:lineRule="auto"/>
        <w:ind w:firstLine="480" w:firstLineChars="200"/>
        <w:rPr>
          <w:color w:val="auto"/>
          <w:sz w:val="24"/>
          <w:highlight w:val="none"/>
        </w:rPr>
      </w:pPr>
      <w:r>
        <w:rPr>
          <w:color w:val="auto"/>
          <w:sz w:val="24"/>
          <w:highlight w:val="none"/>
        </w:rPr>
        <w:t>评标工作遵循公正、公平、科学、择优的原则，评标委员会将本着认真、公正、诚实、廉洁的精神，进行评标工作，择优推荐中标候选人。在评标期间，评标委员</w:t>
      </w:r>
      <w:r>
        <w:rPr>
          <w:rFonts w:hint="eastAsia"/>
          <w:color w:val="auto"/>
          <w:sz w:val="24"/>
          <w:highlight w:val="none"/>
        </w:rPr>
        <w:t>会</w:t>
      </w:r>
      <w:r>
        <w:rPr>
          <w:color w:val="auto"/>
          <w:sz w:val="24"/>
          <w:highlight w:val="none"/>
        </w:rPr>
        <w:t>及相关工作人员必须严格遵守保密规定，不得泄露评标的有关情况。</w:t>
      </w:r>
    </w:p>
    <w:p>
      <w:pPr>
        <w:snapToGrid w:val="0"/>
        <w:spacing w:line="360" w:lineRule="auto"/>
        <w:ind w:firstLine="480" w:firstLineChars="200"/>
        <w:rPr>
          <w:color w:val="auto"/>
          <w:sz w:val="24"/>
          <w:highlight w:val="none"/>
        </w:rPr>
      </w:pPr>
      <w:r>
        <w:rPr>
          <w:color w:val="auto"/>
          <w:sz w:val="24"/>
          <w:highlight w:val="none"/>
        </w:rPr>
        <w:t>对未中标人，评标委员会不作任何落标解释。</w:t>
      </w:r>
    </w:p>
    <w:p>
      <w:pPr>
        <w:snapToGrid w:val="0"/>
        <w:spacing w:line="360" w:lineRule="auto"/>
        <w:ind w:firstLine="480" w:firstLineChars="200"/>
        <w:rPr>
          <w:color w:val="auto"/>
          <w:sz w:val="24"/>
          <w:highlight w:val="none"/>
        </w:rPr>
      </w:pPr>
      <w:r>
        <w:rPr>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32"/>
        </w:numPr>
        <w:adjustRightInd w:val="0"/>
        <w:snapToGrid w:val="0"/>
        <w:spacing w:line="360" w:lineRule="auto"/>
        <w:ind w:firstLine="480" w:firstLineChars="200"/>
        <w:rPr>
          <w:b/>
          <w:bCs/>
          <w:color w:val="auto"/>
          <w:sz w:val="24"/>
          <w:highlight w:val="none"/>
        </w:rPr>
      </w:pPr>
      <w:r>
        <w:rPr>
          <w:rFonts w:hint="eastAsia"/>
          <w:b/>
          <w:bCs/>
          <w:color w:val="auto"/>
          <w:sz w:val="24"/>
          <w:highlight w:val="none"/>
        </w:rPr>
        <w:t>评标纪律</w:t>
      </w:r>
    </w:p>
    <w:p>
      <w:pPr>
        <w:numPr>
          <w:ilvl w:val="0"/>
          <w:numId w:val="33"/>
        </w:numPr>
        <w:snapToGrid w:val="0"/>
        <w:spacing w:line="360" w:lineRule="auto"/>
        <w:ind w:firstLine="480" w:firstLineChars="200"/>
        <w:rPr>
          <w:color w:val="auto"/>
          <w:sz w:val="24"/>
          <w:highlight w:val="none"/>
        </w:rPr>
      </w:pPr>
      <w:r>
        <w:rPr>
          <w:rFonts w:hint="eastAsia"/>
          <w:color w:val="auto"/>
          <w:sz w:val="24"/>
          <w:highlight w:val="none"/>
        </w:rPr>
        <w:t>评标委员应认真、公正、诚实、廉洁地履行职责，严格按照招标文件、评标细则和国家有关规定进行评审，不得随意修改评标办法。</w:t>
      </w:r>
    </w:p>
    <w:p>
      <w:pPr>
        <w:numPr>
          <w:ilvl w:val="0"/>
          <w:numId w:val="33"/>
        </w:numPr>
        <w:snapToGrid w:val="0"/>
        <w:spacing w:line="360" w:lineRule="auto"/>
        <w:ind w:firstLine="480" w:firstLineChars="200"/>
        <w:rPr>
          <w:color w:val="auto"/>
          <w:sz w:val="24"/>
          <w:highlight w:val="none"/>
        </w:rPr>
      </w:pPr>
      <w:r>
        <w:rPr>
          <w:rFonts w:hint="eastAsia"/>
          <w:color w:val="auto"/>
          <w:sz w:val="24"/>
          <w:highlight w:val="none"/>
        </w:rPr>
        <w:t>评标委员会成员对其提出的评审意见承担个人责任。</w:t>
      </w:r>
    </w:p>
    <w:p>
      <w:pPr>
        <w:numPr>
          <w:ilvl w:val="0"/>
          <w:numId w:val="33"/>
        </w:numPr>
        <w:snapToGrid w:val="0"/>
        <w:spacing w:line="360" w:lineRule="auto"/>
        <w:ind w:firstLine="480" w:firstLineChars="200"/>
        <w:rPr>
          <w:color w:val="auto"/>
          <w:sz w:val="24"/>
          <w:highlight w:val="none"/>
        </w:rPr>
      </w:pPr>
      <w:r>
        <w:rPr>
          <w:rFonts w:hint="eastAsia"/>
          <w:color w:val="auto"/>
          <w:sz w:val="24"/>
          <w:highlight w:val="none"/>
        </w:rPr>
        <w:t>评标委员会及其成员不得有下列行为：</w:t>
      </w:r>
    </w:p>
    <w:p>
      <w:pPr>
        <w:numPr>
          <w:ilvl w:val="0"/>
          <w:numId w:val="34"/>
        </w:numPr>
        <w:snapToGrid w:val="0"/>
        <w:spacing w:line="360" w:lineRule="auto"/>
        <w:rPr>
          <w:color w:val="auto"/>
          <w:sz w:val="24"/>
          <w:highlight w:val="none"/>
        </w:rPr>
      </w:pPr>
      <w:r>
        <w:rPr>
          <w:rFonts w:hint="eastAsia"/>
          <w:color w:val="auto"/>
          <w:sz w:val="24"/>
          <w:highlight w:val="none"/>
        </w:rPr>
        <w:t xml:space="preserve">确定参与评标至评标结束前私自接触投标人；  </w:t>
      </w:r>
    </w:p>
    <w:p>
      <w:pPr>
        <w:numPr>
          <w:ilvl w:val="0"/>
          <w:numId w:val="34"/>
        </w:numPr>
        <w:snapToGrid w:val="0"/>
        <w:spacing w:line="360" w:lineRule="auto"/>
        <w:rPr>
          <w:color w:val="auto"/>
          <w:sz w:val="24"/>
          <w:highlight w:val="none"/>
        </w:rPr>
      </w:pPr>
      <w:r>
        <w:rPr>
          <w:rFonts w:hint="eastAsia"/>
          <w:color w:val="auto"/>
          <w:sz w:val="24"/>
          <w:highlight w:val="none"/>
        </w:rPr>
        <w:t>接受投标人提出的与投标文件不一致的澄清或者说明；</w:t>
      </w:r>
    </w:p>
    <w:p>
      <w:pPr>
        <w:numPr>
          <w:ilvl w:val="0"/>
          <w:numId w:val="34"/>
        </w:numPr>
        <w:snapToGrid w:val="0"/>
        <w:spacing w:line="360" w:lineRule="auto"/>
        <w:rPr>
          <w:color w:val="auto"/>
          <w:sz w:val="24"/>
          <w:highlight w:val="none"/>
        </w:rPr>
      </w:pPr>
      <w:r>
        <w:rPr>
          <w:rFonts w:hint="eastAsia"/>
          <w:color w:val="auto"/>
          <w:sz w:val="24"/>
          <w:highlight w:val="none"/>
        </w:rPr>
        <w:t xml:space="preserve">违反评标纪律发表倾向性意见或者征询采购人的倾向性意见；  </w:t>
      </w:r>
    </w:p>
    <w:p>
      <w:pPr>
        <w:numPr>
          <w:ilvl w:val="0"/>
          <w:numId w:val="34"/>
        </w:numPr>
        <w:snapToGrid w:val="0"/>
        <w:spacing w:line="360" w:lineRule="auto"/>
        <w:rPr>
          <w:color w:val="auto"/>
          <w:sz w:val="24"/>
          <w:highlight w:val="none"/>
        </w:rPr>
      </w:pPr>
      <w:r>
        <w:rPr>
          <w:rFonts w:hint="eastAsia"/>
          <w:color w:val="auto"/>
          <w:sz w:val="24"/>
          <w:highlight w:val="none"/>
        </w:rPr>
        <w:t xml:space="preserve">对需要专业判断的主观评审因素协商评分；  </w:t>
      </w:r>
    </w:p>
    <w:p>
      <w:pPr>
        <w:numPr>
          <w:ilvl w:val="0"/>
          <w:numId w:val="34"/>
        </w:numPr>
        <w:snapToGrid w:val="0"/>
        <w:spacing w:line="360" w:lineRule="auto"/>
        <w:rPr>
          <w:color w:val="auto"/>
          <w:sz w:val="24"/>
          <w:highlight w:val="none"/>
        </w:rPr>
      </w:pPr>
      <w:r>
        <w:rPr>
          <w:rFonts w:hint="eastAsia"/>
          <w:color w:val="auto"/>
          <w:sz w:val="24"/>
          <w:highlight w:val="none"/>
        </w:rPr>
        <w:t xml:space="preserve">在评标过程中擅离职守，影响评标程序正常进行的；  </w:t>
      </w:r>
    </w:p>
    <w:p>
      <w:pPr>
        <w:numPr>
          <w:ilvl w:val="0"/>
          <w:numId w:val="34"/>
        </w:numPr>
        <w:snapToGrid w:val="0"/>
        <w:spacing w:line="360" w:lineRule="auto"/>
        <w:rPr>
          <w:color w:val="auto"/>
          <w:sz w:val="24"/>
          <w:highlight w:val="none"/>
        </w:rPr>
      </w:pPr>
      <w:r>
        <w:rPr>
          <w:rFonts w:hint="eastAsia"/>
          <w:color w:val="auto"/>
          <w:sz w:val="24"/>
          <w:highlight w:val="none"/>
        </w:rPr>
        <w:t xml:space="preserve">记录、复制或者带走任何评标资料；  </w:t>
      </w:r>
    </w:p>
    <w:p>
      <w:pPr>
        <w:snapToGrid w:val="0"/>
        <w:spacing w:line="360" w:lineRule="auto"/>
        <w:ind w:left="630"/>
        <w:rPr>
          <w:color w:val="auto"/>
          <w:sz w:val="24"/>
          <w:highlight w:val="none"/>
        </w:rPr>
      </w:pPr>
      <w:r>
        <w:rPr>
          <w:rFonts w:hint="eastAsia" w:ascii="宋体" w:hAnsi="宋体" w:cs="宋体"/>
          <w:color w:val="auto"/>
          <w:sz w:val="24"/>
          <w:highlight w:val="none"/>
        </w:rPr>
        <w:t>（7）</w:t>
      </w:r>
      <w:r>
        <w:rPr>
          <w:rFonts w:hint="eastAsia"/>
          <w:color w:val="auto"/>
          <w:sz w:val="24"/>
          <w:highlight w:val="none"/>
        </w:rPr>
        <w:t xml:space="preserve">其他不遵守评标纪律的行为。 </w:t>
      </w:r>
    </w:p>
    <w:p>
      <w:pPr>
        <w:numPr>
          <w:ilvl w:val="0"/>
          <w:numId w:val="33"/>
        </w:numPr>
        <w:snapToGrid w:val="0"/>
        <w:spacing w:line="360" w:lineRule="auto"/>
        <w:ind w:firstLine="480" w:firstLineChars="200"/>
        <w:rPr>
          <w:color w:val="auto"/>
          <w:sz w:val="24"/>
          <w:highlight w:val="none"/>
        </w:rPr>
      </w:pPr>
      <w:r>
        <w:rPr>
          <w:color w:val="auto"/>
          <w:sz w:val="24"/>
          <w:highlight w:val="none"/>
        </w:rPr>
        <w:t>评标在严格保密的情况下进行，评审专家应当遵守评审工作纪律，不得泄露评审文件、评审情况，对在评标过程中获悉的国家秘密、商业秘密负有保密责任。</w:t>
      </w:r>
    </w:p>
    <w:p>
      <w:pPr>
        <w:numPr>
          <w:ilvl w:val="0"/>
          <w:numId w:val="33"/>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评标期间实行封闭式管理，在评标期间采取通讯管理措施，所有评标委员会成员及工作人员不得私自离开指定场所。</w:t>
      </w:r>
    </w:p>
    <w:p>
      <w:pPr>
        <w:numPr>
          <w:ilvl w:val="0"/>
          <w:numId w:val="32"/>
        </w:numPr>
        <w:adjustRightInd w:val="0"/>
        <w:snapToGrid w:val="0"/>
        <w:spacing w:line="360" w:lineRule="auto"/>
        <w:ind w:firstLine="480" w:firstLineChars="200"/>
        <w:rPr>
          <w:b/>
          <w:bCs/>
          <w:color w:val="auto"/>
          <w:sz w:val="24"/>
          <w:highlight w:val="none"/>
        </w:rPr>
      </w:pPr>
      <w:r>
        <w:rPr>
          <w:rFonts w:hint="eastAsia"/>
          <w:b/>
          <w:bCs/>
          <w:color w:val="auto"/>
          <w:sz w:val="24"/>
          <w:highlight w:val="none"/>
        </w:rPr>
        <w:t xml:space="preserve">评标细则 </w:t>
      </w:r>
    </w:p>
    <w:p>
      <w:pPr>
        <w:snapToGrid w:val="0"/>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本项目采用综合评分法，评标委员会根据本评审办法进行评审，对各</w:t>
      </w:r>
      <w:r>
        <w:rPr>
          <w:rFonts w:hint="eastAsia"/>
          <w:color w:val="auto"/>
          <w:sz w:val="24"/>
          <w:highlight w:val="none"/>
        </w:rPr>
        <w:t>投标人</w:t>
      </w:r>
      <w:r>
        <w:rPr>
          <w:color w:val="auto"/>
          <w:sz w:val="24"/>
          <w:highlight w:val="none"/>
        </w:rPr>
        <w:t>的价格、商务、技术等评分因素在分值范围内进行各自打分。每个</w:t>
      </w:r>
      <w:r>
        <w:rPr>
          <w:rFonts w:hint="eastAsia"/>
          <w:color w:val="auto"/>
          <w:sz w:val="24"/>
          <w:highlight w:val="none"/>
        </w:rPr>
        <w:t>投标人</w:t>
      </w:r>
      <w:r>
        <w:rPr>
          <w:color w:val="auto"/>
          <w:sz w:val="24"/>
          <w:highlight w:val="none"/>
        </w:rPr>
        <w:t>最终得分=价格分+商务</w:t>
      </w:r>
      <w:r>
        <w:rPr>
          <w:rFonts w:hint="eastAsia"/>
          <w:color w:val="auto"/>
          <w:sz w:val="24"/>
          <w:highlight w:val="none"/>
        </w:rPr>
        <w:t>、</w:t>
      </w:r>
      <w:r>
        <w:rPr>
          <w:color w:val="auto"/>
          <w:sz w:val="24"/>
          <w:highlight w:val="none"/>
        </w:rPr>
        <w:t>技术分。</w:t>
      </w:r>
    </w:p>
    <w:p>
      <w:pPr>
        <w:snapToGrid w:val="0"/>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评审时，评标委员会各成员应当独立对每个有效响应的文件进行评价、打分，然后汇总每个</w:t>
      </w:r>
      <w:r>
        <w:rPr>
          <w:rFonts w:hint="eastAsia"/>
          <w:color w:val="auto"/>
          <w:sz w:val="24"/>
          <w:highlight w:val="none"/>
        </w:rPr>
        <w:t>投标人</w:t>
      </w:r>
      <w:r>
        <w:rPr>
          <w:color w:val="auto"/>
          <w:sz w:val="24"/>
          <w:highlight w:val="none"/>
        </w:rPr>
        <w:t>每项评分因素的得分。</w:t>
      </w:r>
    </w:p>
    <w:p>
      <w:pPr>
        <w:snapToGrid w:val="0"/>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对</w:t>
      </w:r>
      <w:r>
        <w:rPr>
          <w:rFonts w:hint="eastAsia"/>
          <w:color w:val="auto"/>
          <w:sz w:val="24"/>
          <w:highlight w:val="none"/>
        </w:rPr>
        <w:t>投标人</w:t>
      </w:r>
      <w:r>
        <w:rPr>
          <w:color w:val="auto"/>
          <w:sz w:val="24"/>
          <w:highlight w:val="none"/>
        </w:rPr>
        <w:t>的价格分等客观评分项的评分应当一致，对其他需要借助专业知识评判的主观评分项，应当严格按照评分细则公正评分。</w:t>
      </w:r>
    </w:p>
    <w:p>
      <w:pPr>
        <w:snapToGrid w:val="0"/>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采用综合评分法的，评标结果按评审后得分由高到低顺序排列。得分相同的，按投标报价由低到高顺序排列</w:t>
      </w:r>
      <w:r>
        <w:rPr>
          <w:rFonts w:hint="eastAsia"/>
          <w:color w:val="auto"/>
          <w:sz w:val="24"/>
          <w:highlight w:val="none"/>
        </w:rPr>
        <w:t>；</w:t>
      </w:r>
      <w:r>
        <w:rPr>
          <w:color w:val="auto"/>
          <w:sz w:val="24"/>
          <w:highlight w:val="none"/>
        </w:rPr>
        <w:t>得分且投标报价相同的</w:t>
      </w:r>
      <w:r>
        <w:rPr>
          <w:rFonts w:hint="eastAsia"/>
          <w:color w:val="auto"/>
          <w:sz w:val="24"/>
          <w:highlight w:val="none"/>
        </w:rPr>
        <w:t>，由评标委员会现场采取随机抽取方式确定</w:t>
      </w:r>
      <w:r>
        <w:rPr>
          <w:color w:val="auto"/>
          <w:sz w:val="24"/>
          <w:highlight w:val="none"/>
        </w:rPr>
        <w:t>。投标文件满足</w:t>
      </w:r>
      <w:r>
        <w:rPr>
          <w:rFonts w:hint="eastAsia"/>
          <w:color w:val="auto"/>
          <w:sz w:val="24"/>
          <w:highlight w:val="none"/>
        </w:rPr>
        <w:t>采购文件</w:t>
      </w:r>
      <w:r>
        <w:rPr>
          <w:color w:val="auto"/>
          <w:sz w:val="24"/>
          <w:highlight w:val="none"/>
        </w:rPr>
        <w:t>全部实质性要求，且按照评审因素的量化指标评审得分最高的</w:t>
      </w:r>
      <w:r>
        <w:rPr>
          <w:rFonts w:hint="eastAsia"/>
          <w:color w:val="auto"/>
          <w:sz w:val="24"/>
          <w:highlight w:val="none"/>
        </w:rPr>
        <w:t>投标人</w:t>
      </w:r>
      <w:r>
        <w:rPr>
          <w:color w:val="auto"/>
          <w:sz w:val="24"/>
          <w:highlight w:val="none"/>
        </w:rPr>
        <w:t>为排名第一的中标候选人。</w:t>
      </w:r>
    </w:p>
    <w:p>
      <w:pPr>
        <w:pStyle w:val="445"/>
        <w:spacing w:line="360" w:lineRule="auto"/>
        <w:ind w:firstLine="480" w:firstLineChars="200"/>
        <w:rPr>
          <w:bCs/>
          <w:color w:val="auto"/>
          <w:highlight w:val="none"/>
        </w:rPr>
      </w:pPr>
      <w:r>
        <w:rPr>
          <w:rFonts w:hint="eastAsia"/>
          <w:bCs/>
          <w:color w:val="auto"/>
          <w:sz w:val="24"/>
          <w:highlight w:val="none"/>
        </w:rPr>
        <w:t>5、</w:t>
      </w:r>
      <w:r>
        <w:rPr>
          <w:rFonts w:hint="eastAsia" w:ascii="宋体" w:hAnsi="宋体"/>
          <w:bCs/>
          <w:color w:val="auto"/>
          <w:sz w:val="24"/>
          <w:highlight w:val="none"/>
        </w:rPr>
        <w:t>同品牌处理办法：提供相同品牌产品且通过资格审查、符合性审查的不同投标人，按一家投标人计算，评审后得分最高的同品牌投标人获得中标人推荐资格；评审得分相同的则投标报价最低优先，如报价相同则技术部分得分最高优先。投标报价相同且技术部分得分也相同的，由评标委员会现场采取随机抽取方式确定。其他同品牌投标人不作为中标候选人。</w:t>
      </w:r>
    </w:p>
    <w:p>
      <w:pPr>
        <w:numPr>
          <w:ilvl w:val="0"/>
          <w:numId w:val="32"/>
        </w:numPr>
        <w:adjustRightInd w:val="0"/>
        <w:snapToGrid w:val="0"/>
        <w:spacing w:line="360" w:lineRule="auto"/>
        <w:ind w:firstLine="480" w:firstLineChars="200"/>
        <w:rPr>
          <w:b/>
          <w:bCs/>
          <w:color w:val="auto"/>
          <w:sz w:val="24"/>
          <w:highlight w:val="none"/>
        </w:rPr>
      </w:pPr>
      <w:r>
        <w:rPr>
          <w:rFonts w:hint="eastAsia"/>
          <w:b/>
          <w:bCs/>
          <w:color w:val="auto"/>
          <w:sz w:val="24"/>
          <w:highlight w:val="none"/>
        </w:rPr>
        <w:t>扶持政策说明</w:t>
      </w:r>
    </w:p>
    <w:p>
      <w:pPr>
        <w:pStyle w:val="445"/>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根据《政府采购促进中小企业发展管理办法》（财库</w:t>
      </w:r>
      <w:r>
        <w:rPr>
          <w:rFonts w:ascii="宋体" w:hAnsi="宋体"/>
          <w:bCs/>
          <w:color w:val="auto"/>
          <w:sz w:val="24"/>
          <w:highlight w:val="none"/>
        </w:rPr>
        <w:t>[20</w:t>
      </w:r>
      <w:r>
        <w:rPr>
          <w:rFonts w:hint="eastAsia" w:ascii="宋体" w:hAnsi="宋体"/>
          <w:bCs/>
          <w:color w:val="auto"/>
          <w:sz w:val="24"/>
          <w:highlight w:val="none"/>
        </w:rPr>
        <w:t>20</w:t>
      </w:r>
      <w:r>
        <w:rPr>
          <w:rFonts w:ascii="宋体" w:hAnsi="宋体"/>
          <w:bCs/>
          <w:color w:val="auto"/>
          <w:sz w:val="24"/>
          <w:highlight w:val="none"/>
        </w:rPr>
        <w:t>]</w:t>
      </w:r>
      <w:r>
        <w:rPr>
          <w:rFonts w:hint="eastAsia" w:ascii="宋体" w:hAnsi="宋体"/>
          <w:bCs/>
          <w:color w:val="auto"/>
          <w:sz w:val="24"/>
          <w:highlight w:val="none"/>
        </w:rPr>
        <w:t>46</w:t>
      </w:r>
      <w:r>
        <w:rPr>
          <w:rFonts w:ascii="宋体" w:hAnsi="宋体"/>
          <w:bCs/>
          <w:color w:val="auto"/>
          <w:sz w:val="24"/>
          <w:highlight w:val="none"/>
        </w:rPr>
        <w:t xml:space="preserve"> </w:t>
      </w:r>
      <w:r>
        <w:rPr>
          <w:rFonts w:hint="eastAsia" w:ascii="宋体" w:hAnsi="宋体"/>
          <w:bCs/>
          <w:color w:val="auto"/>
          <w:sz w:val="24"/>
          <w:highlight w:val="none"/>
        </w:rPr>
        <w:t>号）、《财政部司法部关于政府采购支持监狱企业发展有关问题的通知》（财库〔</w:t>
      </w:r>
      <w:r>
        <w:rPr>
          <w:rFonts w:ascii="宋体" w:hAnsi="宋体"/>
          <w:bCs/>
          <w:color w:val="auto"/>
          <w:sz w:val="24"/>
          <w:highlight w:val="none"/>
        </w:rPr>
        <w:t>2014</w:t>
      </w:r>
      <w:r>
        <w:rPr>
          <w:rFonts w:hint="eastAsia" w:ascii="宋体" w:hAnsi="宋体"/>
          <w:bCs/>
          <w:color w:val="auto"/>
          <w:sz w:val="24"/>
          <w:highlight w:val="none"/>
        </w:rPr>
        <w:t>〕</w:t>
      </w:r>
      <w:r>
        <w:rPr>
          <w:rFonts w:ascii="宋体" w:hAnsi="宋体"/>
          <w:bCs/>
          <w:color w:val="auto"/>
          <w:sz w:val="24"/>
          <w:highlight w:val="none"/>
        </w:rPr>
        <w:t xml:space="preserve">68 </w:t>
      </w:r>
      <w:r>
        <w:rPr>
          <w:rFonts w:hint="eastAsia" w:ascii="宋体" w:hAnsi="宋体"/>
          <w:bCs/>
          <w:color w:val="auto"/>
          <w:sz w:val="24"/>
          <w:highlight w:val="none"/>
        </w:rPr>
        <w:t>号）和《三部门联合发布关于促进残疾人就业政府采购政策的通知》（财库〔</w:t>
      </w:r>
      <w:r>
        <w:rPr>
          <w:rFonts w:ascii="宋体" w:hAnsi="宋体"/>
          <w:bCs/>
          <w:color w:val="auto"/>
          <w:sz w:val="24"/>
          <w:highlight w:val="none"/>
        </w:rPr>
        <w:t>2017</w:t>
      </w:r>
      <w:r>
        <w:rPr>
          <w:rFonts w:hint="eastAsia" w:ascii="宋体" w:hAnsi="宋体"/>
          <w:bCs/>
          <w:color w:val="auto"/>
          <w:sz w:val="24"/>
          <w:highlight w:val="none"/>
        </w:rPr>
        <w:t>〕</w:t>
      </w:r>
      <w:r>
        <w:rPr>
          <w:rFonts w:ascii="宋体" w:hAnsi="宋体"/>
          <w:bCs/>
          <w:color w:val="auto"/>
          <w:sz w:val="24"/>
          <w:highlight w:val="none"/>
        </w:rPr>
        <w:t xml:space="preserve">141 </w:t>
      </w:r>
      <w:r>
        <w:rPr>
          <w:rFonts w:hint="eastAsia" w:ascii="宋体" w:hAnsi="宋体"/>
          <w:bCs/>
          <w:color w:val="auto"/>
          <w:sz w:val="24"/>
          <w:highlight w:val="none"/>
        </w:rPr>
        <w:t>号）的规定，对满足价格扣除条件且在投标文件中提交了《中小企业声明函》、《残疾人福利性单位声明函》或省级以上监狱管理局、戒毒管理局（含新疆生产建设兵团）出具的属于监狱企业的证明文件的投标人，其投标报价扣除</w:t>
      </w:r>
      <w:r>
        <w:rPr>
          <w:rFonts w:hint="eastAsia" w:ascii="宋体" w:hAnsi="宋体"/>
          <w:bCs/>
          <w:color w:val="auto"/>
          <w:sz w:val="24"/>
          <w:highlight w:val="none"/>
          <w:u w:val="single"/>
          <w:lang w:val="en-US" w:eastAsia="zh-CN"/>
        </w:rPr>
        <w:t>10</w:t>
      </w:r>
      <w:r>
        <w:rPr>
          <w:rFonts w:hint="eastAsia" w:ascii="宋体" w:hAnsi="宋体"/>
          <w:bCs/>
          <w:color w:val="auto"/>
          <w:sz w:val="24"/>
          <w:highlight w:val="none"/>
          <w:u w:val="single"/>
        </w:rPr>
        <w:t>%</w:t>
      </w:r>
      <w:r>
        <w:rPr>
          <w:rFonts w:hint="eastAsia" w:ascii="宋体" w:hAnsi="宋体"/>
          <w:bCs/>
          <w:color w:val="auto"/>
          <w:sz w:val="24"/>
          <w:highlight w:val="none"/>
        </w:rPr>
        <w:t>后参与评审。对于同时属于小微企业、监狱企业或残疾人</w:t>
      </w:r>
      <w:r>
        <w:rPr>
          <w:rFonts w:ascii="宋体" w:hAnsi="宋体"/>
          <w:bCs/>
          <w:color w:val="auto"/>
          <w:sz w:val="24"/>
          <w:highlight w:val="none"/>
        </w:rPr>
        <w:t xml:space="preserve"> </w:t>
      </w:r>
      <w:r>
        <w:rPr>
          <w:rFonts w:hint="eastAsia" w:ascii="宋体" w:hAnsi="宋体"/>
          <w:bCs/>
          <w:color w:val="auto"/>
          <w:sz w:val="24"/>
          <w:highlight w:val="none"/>
        </w:rPr>
        <w:t>福利性单位的，不重复进行投标报价扣除。</w:t>
      </w:r>
    </w:p>
    <w:p>
      <w:pPr>
        <w:widowControl/>
        <w:adjustRightInd w:val="0"/>
        <w:snapToGrid w:val="0"/>
        <w:spacing w:line="360" w:lineRule="auto"/>
        <w:ind w:firstLine="480" w:firstLineChars="200"/>
        <w:rPr>
          <w:rFonts w:ascii="宋体"/>
          <w:b/>
          <w:color w:val="auto"/>
          <w:sz w:val="32"/>
          <w:szCs w:val="32"/>
          <w:highlight w:val="none"/>
        </w:rPr>
      </w:pPr>
      <w:r>
        <w:rPr>
          <w:rFonts w:hint="eastAsia" w:ascii="宋体" w:hAnsi="宋体" w:cs="宋体"/>
          <w:color w:val="auto"/>
          <w:sz w:val="24"/>
          <w:highlight w:val="none"/>
        </w:rPr>
        <w:t>此项由评标委员会集体核实后统一打分。</w:t>
      </w:r>
    </w:p>
    <w:p>
      <w:pPr>
        <w:numPr>
          <w:ilvl w:val="0"/>
          <w:numId w:val="32"/>
        </w:numPr>
        <w:adjustRightInd w:val="0"/>
        <w:snapToGrid w:val="0"/>
        <w:spacing w:line="360" w:lineRule="auto"/>
        <w:ind w:firstLine="480" w:firstLineChars="200"/>
        <w:rPr>
          <w:color w:val="auto"/>
          <w:sz w:val="24"/>
          <w:highlight w:val="none"/>
        </w:rPr>
      </w:pPr>
      <w:r>
        <w:rPr>
          <w:rFonts w:hint="eastAsia"/>
          <w:b/>
          <w:bCs/>
          <w:color w:val="auto"/>
          <w:sz w:val="24"/>
          <w:highlight w:val="none"/>
        </w:rPr>
        <w:t>评分因素及分值范围</w:t>
      </w:r>
    </w:p>
    <w:p>
      <w:pPr>
        <w:pStyle w:val="2"/>
        <w:outlineLvl w:val="1"/>
        <w:rPr>
          <w:rFonts w:ascii="宋体" w:hAnsi="宋体" w:eastAsia="宋体" w:cs="宋体"/>
          <w:b/>
          <w:bCs/>
          <w:color w:val="auto"/>
          <w:highlight w:val="none"/>
        </w:rPr>
      </w:pPr>
      <w:r>
        <w:rPr>
          <w:rFonts w:hint="eastAsia" w:ascii="宋体" w:hAnsi="宋体" w:eastAsia="宋体" w:cs="宋体"/>
          <w:b/>
          <w:bCs/>
          <w:color w:val="auto"/>
          <w:highlight w:val="none"/>
        </w:rPr>
        <w:t>附表1：资格性审查记录表</w:t>
      </w:r>
    </w:p>
    <w:p>
      <w:pPr>
        <w:rPr>
          <w:color w:val="auto"/>
          <w:highlight w:val="none"/>
        </w:rPr>
      </w:pPr>
    </w:p>
    <w:tbl>
      <w:tblPr>
        <w:tblStyle w:val="88"/>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311"/>
        <w:gridCol w:w="4588"/>
        <w:gridCol w:w="759"/>
        <w:gridCol w:w="759"/>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vAlign w:val="center"/>
          </w:tcPr>
          <w:p>
            <w:pPr>
              <w:spacing w:line="360" w:lineRule="auto"/>
              <w:jc w:val="center"/>
              <w:rPr>
                <w:rFonts w:ascii="宋体" w:hAnsi="宋体" w:cs="宋体"/>
                <w:b/>
                <w:color w:val="auto"/>
                <w:spacing w:val="-2"/>
                <w:sz w:val="24"/>
                <w:highlight w:val="none"/>
              </w:rPr>
            </w:pPr>
            <w:r>
              <w:rPr>
                <w:rFonts w:hint="eastAsia" w:ascii="宋体" w:hAnsi="宋体" w:cs="宋体"/>
                <w:b/>
                <w:color w:val="auto"/>
                <w:spacing w:val="-2"/>
                <w:sz w:val="24"/>
                <w:highlight w:val="none"/>
              </w:rPr>
              <w:t>序号</w:t>
            </w:r>
          </w:p>
        </w:tc>
        <w:tc>
          <w:tcPr>
            <w:tcW w:w="2311" w:type="dxa"/>
            <w:vMerge w:val="restart"/>
            <w:vAlign w:val="center"/>
          </w:tcPr>
          <w:p>
            <w:pPr>
              <w:spacing w:line="360" w:lineRule="auto"/>
              <w:jc w:val="center"/>
              <w:rPr>
                <w:rFonts w:ascii="宋体" w:hAnsi="宋体" w:cs="宋体"/>
                <w:b/>
                <w:color w:val="auto"/>
                <w:spacing w:val="-2"/>
                <w:sz w:val="24"/>
                <w:highlight w:val="none"/>
              </w:rPr>
            </w:pPr>
            <w:r>
              <w:rPr>
                <w:rFonts w:hint="eastAsia" w:ascii="宋体" w:hAnsi="宋体" w:cs="宋体"/>
                <w:b/>
                <w:color w:val="auto"/>
                <w:spacing w:val="-2"/>
                <w:sz w:val="24"/>
                <w:highlight w:val="none"/>
              </w:rPr>
              <w:t>审查内容</w:t>
            </w:r>
          </w:p>
        </w:tc>
        <w:tc>
          <w:tcPr>
            <w:tcW w:w="4588" w:type="dxa"/>
            <w:vMerge w:val="restart"/>
            <w:vAlign w:val="center"/>
          </w:tcPr>
          <w:p>
            <w:pPr>
              <w:spacing w:line="360" w:lineRule="auto"/>
              <w:jc w:val="center"/>
              <w:rPr>
                <w:rFonts w:ascii="宋体" w:hAnsi="宋体" w:cs="宋体"/>
                <w:b/>
                <w:color w:val="auto"/>
                <w:spacing w:val="-2"/>
                <w:sz w:val="24"/>
                <w:highlight w:val="none"/>
              </w:rPr>
            </w:pPr>
            <w:r>
              <w:rPr>
                <w:rFonts w:hint="eastAsia" w:ascii="宋体" w:hAnsi="宋体" w:cs="宋体"/>
                <w:b/>
                <w:color w:val="auto"/>
                <w:spacing w:val="-2"/>
                <w:sz w:val="24"/>
                <w:highlight w:val="none"/>
              </w:rPr>
              <w:t>审查合格标准</w:t>
            </w:r>
          </w:p>
        </w:tc>
        <w:tc>
          <w:tcPr>
            <w:tcW w:w="2287" w:type="dxa"/>
            <w:gridSpan w:val="3"/>
            <w:vAlign w:val="bottom"/>
          </w:tcPr>
          <w:p>
            <w:pPr>
              <w:spacing w:line="360" w:lineRule="auto"/>
              <w:jc w:val="center"/>
              <w:rPr>
                <w:rFonts w:ascii="宋体" w:hAnsi="宋体" w:cs="宋体"/>
                <w:b/>
                <w:color w:val="auto"/>
                <w:spacing w:val="-2"/>
                <w:sz w:val="24"/>
                <w:highlight w:val="none"/>
              </w:rPr>
            </w:pPr>
            <w:r>
              <w:rPr>
                <w:rFonts w:hint="eastAsia" w:ascii="宋体" w:hAnsi="宋体" w:cs="宋体"/>
                <w:b/>
                <w:color w:val="auto"/>
                <w:spacing w:val="-2"/>
                <w:sz w:val="24"/>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bottom"/>
          </w:tcPr>
          <w:p>
            <w:pPr>
              <w:spacing w:line="360" w:lineRule="auto"/>
              <w:jc w:val="center"/>
              <w:rPr>
                <w:rFonts w:ascii="宋体" w:hAnsi="宋体" w:cs="宋体"/>
                <w:b/>
                <w:color w:val="auto"/>
                <w:spacing w:val="-2"/>
                <w:sz w:val="24"/>
                <w:highlight w:val="none"/>
              </w:rPr>
            </w:pPr>
          </w:p>
        </w:tc>
        <w:tc>
          <w:tcPr>
            <w:tcW w:w="2311" w:type="dxa"/>
            <w:vMerge w:val="continue"/>
            <w:vAlign w:val="bottom"/>
          </w:tcPr>
          <w:p>
            <w:pPr>
              <w:spacing w:line="360" w:lineRule="auto"/>
              <w:jc w:val="center"/>
              <w:rPr>
                <w:rFonts w:ascii="宋体" w:hAnsi="宋体" w:cs="宋体"/>
                <w:b/>
                <w:color w:val="auto"/>
                <w:spacing w:val="-2"/>
                <w:sz w:val="24"/>
                <w:highlight w:val="none"/>
              </w:rPr>
            </w:pPr>
          </w:p>
        </w:tc>
        <w:tc>
          <w:tcPr>
            <w:tcW w:w="4588" w:type="dxa"/>
            <w:vMerge w:val="continue"/>
            <w:vAlign w:val="bottom"/>
          </w:tcPr>
          <w:p>
            <w:pPr>
              <w:spacing w:line="360" w:lineRule="auto"/>
              <w:jc w:val="center"/>
              <w:rPr>
                <w:rFonts w:ascii="宋体" w:hAnsi="宋体" w:cs="宋体"/>
                <w:b/>
                <w:color w:val="auto"/>
                <w:spacing w:val="-2"/>
                <w:sz w:val="24"/>
                <w:highlight w:val="none"/>
              </w:rPr>
            </w:pPr>
          </w:p>
        </w:tc>
        <w:tc>
          <w:tcPr>
            <w:tcW w:w="759" w:type="dxa"/>
            <w:vAlign w:val="bottom"/>
          </w:tcPr>
          <w:p>
            <w:pPr>
              <w:spacing w:line="360" w:lineRule="auto"/>
              <w:jc w:val="center"/>
              <w:rPr>
                <w:rFonts w:ascii="宋体" w:hAnsi="宋体" w:cs="宋体"/>
                <w:b/>
                <w:color w:val="auto"/>
                <w:spacing w:val="-2"/>
                <w:sz w:val="24"/>
                <w:highlight w:val="none"/>
              </w:rPr>
            </w:pPr>
          </w:p>
        </w:tc>
        <w:tc>
          <w:tcPr>
            <w:tcW w:w="759" w:type="dxa"/>
          </w:tcPr>
          <w:p>
            <w:pPr>
              <w:spacing w:line="360" w:lineRule="auto"/>
              <w:jc w:val="center"/>
              <w:rPr>
                <w:rFonts w:ascii="宋体" w:hAnsi="宋体" w:cs="宋体"/>
                <w:b/>
                <w:color w:val="auto"/>
                <w:spacing w:val="-2"/>
                <w:sz w:val="24"/>
                <w:highlight w:val="none"/>
              </w:rPr>
            </w:pPr>
          </w:p>
        </w:tc>
        <w:tc>
          <w:tcPr>
            <w:tcW w:w="769" w:type="dxa"/>
          </w:tcPr>
          <w:p>
            <w:pPr>
              <w:spacing w:line="360" w:lineRule="auto"/>
              <w:jc w:val="center"/>
              <w:rPr>
                <w:rFonts w:ascii="宋体" w:hAnsi="宋体" w:cs="宋体"/>
                <w:b/>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93" w:type="dxa"/>
            <w:vAlign w:val="center"/>
          </w:tcPr>
          <w:p>
            <w:pPr>
              <w:spacing w:line="360" w:lineRule="auto"/>
              <w:jc w:val="center"/>
              <w:rPr>
                <w:rFonts w:ascii="宋体" w:hAnsi="宋体" w:cs="宋体"/>
                <w:color w:val="auto"/>
                <w:spacing w:val="-2"/>
                <w:sz w:val="24"/>
                <w:highlight w:val="none"/>
              </w:rPr>
            </w:pPr>
            <w:r>
              <w:rPr>
                <w:rFonts w:hint="eastAsia" w:ascii="宋体" w:hAnsi="宋体" w:cs="宋体"/>
                <w:color w:val="auto"/>
                <w:spacing w:val="-2"/>
                <w:sz w:val="24"/>
                <w:highlight w:val="none"/>
              </w:rPr>
              <w:t>1</w:t>
            </w:r>
          </w:p>
        </w:tc>
        <w:tc>
          <w:tcPr>
            <w:tcW w:w="2311" w:type="dxa"/>
            <w:vAlign w:val="center"/>
          </w:tcPr>
          <w:p>
            <w:pPr>
              <w:spacing w:line="360" w:lineRule="auto"/>
              <w:jc w:val="center"/>
              <w:rPr>
                <w:rFonts w:ascii="宋体" w:hAnsi="宋体" w:cs="宋体"/>
                <w:color w:val="auto"/>
                <w:spacing w:val="-2"/>
                <w:sz w:val="24"/>
                <w:highlight w:val="none"/>
              </w:rPr>
            </w:pPr>
            <w:r>
              <w:rPr>
                <w:rFonts w:hint="eastAsia" w:ascii="宋体" w:hAnsi="宋体" w:cs="宋体"/>
                <w:color w:val="auto"/>
                <w:sz w:val="24"/>
                <w:highlight w:val="none"/>
              </w:rPr>
              <w:t>营业执照等证明</w:t>
            </w:r>
          </w:p>
        </w:tc>
        <w:tc>
          <w:tcPr>
            <w:tcW w:w="4588" w:type="dxa"/>
          </w:tcPr>
          <w:p>
            <w:pPr>
              <w:spacing w:line="360" w:lineRule="auto"/>
              <w:jc w:val="left"/>
              <w:rPr>
                <w:rFonts w:ascii="宋体" w:hAnsi="宋体" w:cs="宋体"/>
                <w:color w:val="auto"/>
                <w:spacing w:val="-2"/>
                <w:sz w:val="24"/>
                <w:highlight w:val="none"/>
              </w:rPr>
            </w:pPr>
            <w:r>
              <w:rPr>
                <w:rFonts w:hint="eastAsia" w:ascii="宋体" w:hAnsi="宋体" w:cs="宋体"/>
                <w:color w:val="auto"/>
                <w:spacing w:val="-2"/>
                <w:sz w:val="24"/>
                <w:highlight w:val="none"/>
              </w:rPr>
              <w:t>有效的营业执照复印件加盖投标人公章。</w:t>
            </w:r>
          </w:p>
        </w:tc>
        <w:tc>
          <w:tcPr>
            <w:tcW w:w="759" w:type="dxa"/>
          </w:tcPr>
          <w:p>
            <w:pPr>
              <w:spacing w:line="360" w:lineRule="auto"/>
              <w:jc w:val="left"/>
              <w:rPr>
                <w:rFonts w:ascii="宋体" w:hAnsi="宋体" w:cs="宋体"/>
                <w:color w:val="auto"/>
                <w:spacing w:val="-2"/>
                <w:sz w:val="24"/>
                <w:highlight w:val="none"/>
              </w:rPr>
            </w:pPr>
          </w:p>
        </w:tc>
        <w:tc>
          <w:tcPr>
            <w:tcW w:w="759" w:type="dxa"/>
          </w:tcPr>
          <w:p>
            <w:pPr>
              <w:spacing w:line="360" w:lineRule="auto"/>
              <w:jc w:val="left"/>
              <w:rPr>
                <w:rFonts w:ascii="宋体" w:hAnsi="宋体" w:cs="宋体"/>
                <w:color w:val="auto"/>
                <w:spacing w:val="-2"/>
                <w:sz w:val="24"/>
                <w:highlight w:val="none"/>
              </w:rPr>
            </w:pPr>
          </w:p>
        </w:tc>
        <w:tc>
          <w:tcPr>
            <w:tcW w:w="769" w:type="dxa"/>
          </w:tcPr>
          <w:p>
            <w:pPr>
              <w:spacing w:line="360" w:lineRule="auto"/>
              <w:jc w:val="left"/>
              <w:rPr>
                <w:rFonts w:ascii="宋体" w:hAnsi="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spacing w:line="360" w:lineRule="auto"/>
              <w:jc w:val="center"/>
              <w:rPr>
                <w:rFonts w:ascii="宋体" w:hAnsi="宋体" w:cs="宋体"/>
                <w:color w:val="auto"/>
                <w:spacing w:val="-2"/>
                <w:sz w:val="24"/>
                <w:highlight w:val="none"/>
              </w:rPr>
            </w:pPr>
            <w:r>
              <w:rPr>
                <w:rFonts w:hint="eastAsia" w:ascii="宋体" w:hAnsi="宋体" w:cs="宋体"/>
                <w:color w:val="auto"/>
                <w:spacing w:val="-2"/>
                <w:sz w:val="24"/>
                <w:highlight w:val="none"/>
              </w:rPr>
              <w:t>2</w:t>
            </w:r>
          </w:p>
        </w:tc>
        <w:tc>
          <w:tcPr>
            <w:tcW w:w="231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法定代表人授权书</w:t>
            </w:r>
          </w:p>
        </w:tc>
        <w:tc>
          <w:tcPr>
            <w:tcW w:w="4588" w:type="dxa"/>
          </w:tcPr>
          <w:p>
            <w:pPr>
              <w:spacing w:line="360" w:lineRule="auto"/>
              <w:jc w:val="left"/>
              <w:rPr>
                <w:rFonts w:ascii="宋体" w:hAnsi="宋体" w:cs="宋体"/>
                <w:color w:val="auto"/>
                <w:spacing w:val="-2"/>
                <w:sz w:val="24"/>
                <w:highlight w:val="none"/>
              </w:rPr>
            </w:pPr>
            <w:r>
              <w:rPr>
                <w:rFonts w:hint="eastAsia" w:ascii="宋体" w:hAnsi="宋体" w:cs="宋体"/>
                <w:color w:val="auto"/>
                <w:spacing w:val="-2"/>
                <w:sz w:val="24"/>
                <w:highlight w:val="none"/>
              </w:rPr>
              <w:t>授权委托书，按招标文件规定的格式填写、签署和盖章。</w:t>
            </w:r>
          </w:p>
        </w:tc>
        <w:tc>
          <w:tcPr>
            <w:tcW w:w="759" w:type="dxa"/>
          </w:tcPr>
          <w:p>
            <w:pPr>
              <w:spacing w:line="360" w:lineRule="auto"/>
              <w:jc w:val="left"/>
              <w:rPr>
                <w:rFonts w:ascii="宋体" w:hAnsi="宋体" w:cs="宋体"/>
                <w:color w:val="auto"/>
                <w:spacing w:val="-2"/>
                <w:sz w:val="24"/>
                <w:highlight w:val="none"/>
              </w:rPr>
            </w:pPr>
          </w:p>
        </w:tc>
        <w:tc>
          <w:tcPr>
            <w:tcW w:w="759" w:type="dxa"/>
          </w:tcPr>
          <w:p>
            <w:pPr>
              <w:spacing w:line="360" w:lineRule="auto"/>
              <w:jc w:val="left"/>
              <w:rPr>
                <w:rFonts w:ascii="宋体" w:hAnsi="宋体" w:cs="宋体"/>
                <w:color w:val="auto"/>
                <w:spacing w:val="-2"/>
                <w:sz w:val="24"/>
                <w:highlight w:val="none"/>
              </w:rPr>
            </w:pPr>
          </w:p>
        </w:tc>
        <w:tc>
          <w:tcPr>
            <w:tcW w:w="769" w:type="dxa"/>
          </w:tcPr>
          <w:p>
            <w:pPr>
              <w:spacing w:line="360" w:lineRule="auto"/>
              <w:jc w:val="left"/>
              <w:rPr>
                <w:rFonts w:ascii="宋体" w:hAnsi="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spacing w:line="360" w:lineRule="auto"/>
              <w:jc w:val="center"/>
              <w:rPr>
                <w:rFonts w:ascii="宋体" w:hAnsi="宋体" w:cs="宋体"/>
                <w:color w:val="auto"/>
                <w:spacing w:val="-2"/>
                <w:sz w:val="24"/>
                <w:highlight w:val="none"/>
              </w:rPr>
            </w:pPr>
            <w:r>
              <w:rPr>
                <w:rFonts w:hint="eastAsia" w:ascii="宋体" w:hAnsi="宋体" w:cs="宋体"/>
                <w:color w:val="auto"/>
                <w:spacing w:val="-2"/>
                <w:sz w:val="24"/>
                <w:highlight w:val="none"/>
              </w:rPr>
              <w:t>3</w:t>
            </w:r>
          </w:p>
        </w:tc>
        <w:tc>
          <w:tcPr>
            <w:tcW w:w="231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具有良好的商业信誉和健全的财务会计制度</w:t>
            </w:r>
          </w:p>
        </w:tc>
        <w:tc>
          <w:tcPr>
            <w:tcW w:w="4588" w:type="dxa"/>
            <w:vAlign w:val="top"/>
          </w:tcPr>
          <w:p>
            <w:pPr>
              <w:spacing w:line="360" w:lineRule="auto"/>
              <w:jc w:val="left"/>
              <w:rPr>
                <w:rFonts w:ascii="宋体" w:hAnsi="宋体" w:cs="宋体"/>
                <w:color w:val="auto"/>
                <w:spacing w:val="-2"/>
                <w:sz w:val="24"/>
                <w:highlight w:val="none"/>
              </w:rPr>
            </w:pPr>
            <w:r>
              <w:rPr>
                <w:rFonts w:hint="eastAsia" w:ascii="宋体" w:hAnsi="宋体" w:cs="宋体"/>
                <w:color w:val="auto"/>
                <w:spacing w:val="-2"/>
                <w:sz w:val="24"/>
                <w:highlight w:val="none"/>
              </w:rPr>
              <w:t>提供会计师事务所出具的</w:t>
            </w:r>
            <w:r>
              <w:rPr>
                <w:rFonts w:hint="eastAsia" w:ascii="宋体" w:hAnsi="宋体" w:cs="宋体"/>
                <w:color w:val="auto"/>
                <w:spacing w:val="-2"/>
                <w:sz w:val="24"/>
                <w:highlight w:val="none"/>
                <w:lang w:val="en-US" w:eastAsia="zh-CN"/>
              </w:rPr>
              <w:t>上一</w:t>
            </w:r>
            <w:r>
              <w:rPr>
                <w:rFonts w:hint="eastAsia" w:ascii="宋体" w:hAnsi="宋体" w:cs="宋体"/>
                <w:color w:val="auto"/>
                <w:spacing w:val="-2"/>
                <w:sz w:val="24"/>
                <w:highlight w:val="none"/>
              </w:rPr>
              <w:t xml:space="preserve">年度财务审计报告复印件或银行开具的资信证明（复印件加盖投标人公章）。 </w:t>
            </w:r>
          </w:p>
        </w:tc>
        <w:tc>
          <w:tcPr>
            <w:tcW w:w="759" w:type="dxa"/>
          </w:tcPr>
          <w:p>
            <w:pPr>
              <w:spacing w:line="360" w:lineRule="auto"/>
              <w:jc w:val="left"/>
              <w:rPr>
                <w:rFonts w:ascii="宋体" w:hAnsi="宋体" w:cs="宋体"/>
                <w:color w:val="auto"/>
                <w:spacing w:val="-2"/>
                <w:sz w:val="24"/>
                <w:highlight w:val="none"/>
              </w:rPr>
            </w:pPr>
          </w:p>
        </w:tc>
        <w:tc>
          <w:tcPr>
            <w:tcW w:w="759" w:type="dxa"/>
          </w:tcPr>
          <w:p>
            <w:pPr>
              <w:spacing w:line="360" w:lineRule="auto"/>
              <w:jc w:val="left"/>
              <w:rPr>
                <w:rFonts w:ascii="宋体" w:hAnsi="宋体" w:cs="宋体"/>
                <w:color w:val="auto"/>
                <w:spacing w:val="-2"/>
                <w:sz w:val="24"/>
                <w:highlight w:val="none"/>
              </w:rPr>
            </w:pPr>
          </w:p>
        </w:tc>
        <w:tc>
          <w:tcPr>
            <w:tcW w:w="769" w:type="dxa"/>
          </w:tcPr>
          <w:p>
            <w:pPr>
              <w:spacing w:line="360" w:lineRule="auto"/>
              <w:jc w:val="left"/>
              <w:rPr>
                <w:rFonts w:ascii="宋体" w:hAnsi="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spacing w:line="360" w:lineRule="auto"/>
              <w:jc w:val="center"/>
              <w:rPr>
                <w:rFonts w:ascii="宋体" w:hAnsi="宋体" w:cs="宋体"/>
                <w:color w:val="auto"/>
                <w:spacing w:val="-2"/>
                <w:sz w:val="24"/>
                <w:highlight w:val="none"/>
              </w:rPr>
            </w:pPr>
            <w:r>
              <w:rPr>
                <w:rFonts w:hint="eastAsia" w:ascii="宋体" w:hAnsi="宋体" w:cs="宋体"/>
                <w:color w:val="auto"/>
                <w:spacing w:val="-2"/>
                <w:sz w:val="24"/>
                <w:highlight w:val="none"/>
              </w:rPr>
              <w:t>4</w:t>
            </w:r>
          </w:p>
        </w:tc>
        <w:tc>
          <w:tcPr>
            <w:tcW w:w="231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具有履行合同所必需的设备和专业技术能力</w:t>
            </w:r>
          </w:p>
        </w:tc>
        <w:tc>
          <w:tcPr>
            <w:tcW w:w="4588" w:type="dxa"/>
            <w:vAlign w:val="center"/>
          </w:tcPr>
          <w:p>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提供了可充分满足履行合同所需设备</w:t>
            </w:r>
          </w:p>
          <w:p>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和专业技术能力的承诺书（格式自拟）。</w:t>
            </w:r>
          </w:p>
        </w:tc>
        <w:tc>
          <w:tcPr>
            <w:tcW w:w="759" w:type="dxa"/>
          </w:tcPr>
          <w:p>
            <w:pPr>
              <w:spacing w:line="360" w:lineRule="auto"/>
              <w:jc w:val="left"/>
              <w:rPr>
                <w:rFonts w:ascii="宋体" w:hAnsi="宋体" w:cs="宋体"/>
                <w:color w:val="auto"/>
                <w:spacing w:val="-2"/>
                <w:sz w:val="24"/>
                <w:highlight w:val="none"/>
              </w:rPr>
            </w:pPr>
          </w:p>
        </w:tc>
        <w:tc>
          <w:tcPr>
            <w:tcW w:w="759" w:type="dxa"/>
          </w:tcPr>
          <w:p>
            <w:pPr>
              <w:spacing w:line="360" w:lineRule="auto"/>
              <w:jc w:val="left"/>
              <w:rPr>
                <w:rFonts w:ascii="宋体" w:hAnsi="宋体" w:cs="宋体"/>
                <w:color w:val="auto"/>
                <w:spacing w:val="-2"/>
                <w:sz w:val="24"/>
                <w:highlight w:val="none"/>
              </w:rPr>
            </w:pPr>
          </w:p>
        </w:tc>
        <w:tc>
          <w:tcPr>
            <w:tcW w:w="769" w:type="dxa"/>
          </w:tcPr>
          <w:p>
            <w:pPr>
              <w:spacing w:line="360" w:lineRule="auto"/>
              <w:jc w:val="left"/>
              <w:rPr>
                <w:rFonts w:ascii="宋体" w:hAnsi="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spacing w:line="360" w:lineRule="auto"/>
              <w:jc w:val="center"/>
              <w:rPr>
                <w:rFonts w:ascii="宋体" w:hAnsi="宋体" w:cs="宋体"/>
                <w:color w:val="auto"/>
                <w:spacing w:val="-2"/>
                <w:sz w:val="24"/>
                <w:highlight w:val="none"/>
              </w:rPr>
            </w:pPr>
            <w:r>
              <w:rPr>
                <w:rFonts w:hint="eastAsia" w:ascii="宋体" w:hAnsi="宋体" w:cs="宋体"/>
                <w:color w:val="auto"/>
                <w:spacing w:val="-2"/>
                <w:sz w:val="24"/>
                <w:highlight w:val="none"/>
              </w:rPr>
              <w:t>5</w:t>
            </w:r>
          </w:p>
        </w:tc>
        <w:tc>
          <w:tcPr>
            <w:tcW w:w="231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有依法缴纳税收和社会保障资金的良好记录</w:t>
            </w:r>
          </w:p>
        </w:tc>
        <w:tc>
          <w:tcPr>
            <w:tcW w:w="4588" w:type="dxa"/>
            <w:vAlign w:val="center"/>
          </w:tcPr>
          <w:p>
            <w:pPr>
              <w:spacing w:line="360" w:lineRule="auto"/>
              <w:rPr>
                <w:rFonts w:ascii="宋体" w:hAnsi="宋体" w:cs="宋体"/>
                <w:color w:val="auto"/>
                <w:spacing w:val="-2"/>
                <w:sz w:val="24"/>
                <w:highlight w:val="none"/>
              </w:rPr>
            </w:pPr>
            <w:r>
              <w:rPr>
                <w:rFonts w:hint="eastAsia" w:ascii="宋体" w:hAnsi="Arial"/>
                <w:color w:val="auto"/>
                <w:kern w:val="0"/>
                <w:sz w:val="24"/>
                <w:szCs w:val="28"/>
                <w:highlight w:val="none"/>
              </w:rPr>
              <w:t>投标人需提供依法缴纳税收和社会保障资金的良好记录证明文件</w:t>
            </w:r>
            <w:r>
              <w:rPr>
                <w:rFonts w:hint="eastAsia" w:ascii="宋体" w:hAnsi="宋体" w:cs="宋体"/>
                <w:color w:val="auto"/>
                <w:spacing w:val="-2"/>
                <w:sz w:val="24"/>
                <w:highlight w:val="none"/>
              </w:rPr>
              <w:t>。</w:t>
            </w:r>
          </w:p>
        </w:tc>
        <w:tc>
          <w:tcPr>
            <w:tcW w:w="759" w:type="dxa"/>
          </w:tcPr>
          <w:p>
            <w:pPr>
              <w:spacing w:line="360" w:lineRule="auto"/>
              <w:jc w:val="left"/>
              <w:rPr>
                <w:rFonts w:ascii="宋体" w:hAnsi="宋体" w:cs="宋体"/>
                <w:color w:val="auto"/>
                <w:spacing w:val="-2"/>
                <w:sz w:val="24"/>
                <w:highlight w:val="none"/>
              </w:rPr>
            </w:pPr>
          </w:p>
        </w:tc>
        <w:tc>
          <w:tcPr>
            <w:tcW w:w="759" w:type="dxa"/>
          </w:tcPr>
          <w:p>
            <w:pPr>
              <w:spacing w:line="360" w:lineRule="auto"/>
              <w:jc w:val="left"/>
              <w:rPr>
                <w:rFonts w:ascii="宋体" w:hAnsi="宋体" w:cs="宋体"/>
                <w:color w:val="auto"/>
                <w:spacing w:val="-2"/>
                <w:sz w:val="24"/>
                <w:highlight w:val="none"/>
              </w:rPr>
            </w:pPr>
          </w:p>
        </w:tc>
        <w:tc>
          <w:tcPr>
            <w:tcW w:w="769" w:type="dxa"/>
          </w:tcPr>
          <w:p>
            <w:pPr>
              <w:spacing w:line="360" w:lineRule="auto"/>
              <w:jc w:val="left"/>
              <w:rPr>
                <w:rFonts w:ascii="宋体" w:hAnsi="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spacing w:line="360" w:lineRule="auto"/>
              <w:jc w:val="center"/>
              <w:rPr>
                <w:rFonts w:ascii="宋体" w:hAnsi="宋体" w:cs="宋体"/>
                <w:color w:val="auto"/>
                <w:spacing w:val="-2"/>
                <w:sz w:val="24"/>
                <w:highlight w:val="none"/>
              </w:rPr>
            </w:pPr>
            <w:r>
              <w:rPr>
                <w:rFonts w:hint="eastAsia" w:ascii="宋体" w:hAnsi="宋体" w:cs="宋体"/>
                <w:color w:val="auto"/>
                <w:spacing w:val="-2"/>
                <w:sz w:val="24"/>
                <w:highlight w:val="none"/>
              </w:rPr>
              <w:t>6</w:t>
            </w:r>
          </w:p>
        </w:tc>
        <w:tc>
          <w:tcPr>
            <w:tcW w:w="231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投标人声明函</w:t>
            </w:r>
          </w:p>
        </w:tc>
        <w:tc>
          <w:tcPr>
            <w:tcW w:w="4588" w:type="dxa"/>
            <w:vAlign w:val="top"/>
          </w:tcPr>
          <w:p>
            <w:pPr>
              <w:spacing w:line="360" w:lineRule="auto"/>
              <w:rPr>
                <w:color w:val="auto"/>
                <w:highlight w:val="none"/>
              </w:rPr>
            </w:pPr>
            <w:r>
              <w:rPr>
                <w:rFonts w:hint="eastAsia" w:ascii="宋体" w:hAnsi="宋体" w:cs="宋体"/>
                <w:color w:val="auto"/>
                <w:sz w:val="24"/>
                <w:highlight w:val="none"/>
              </w:rPr>
              <w:t>提供了参加政府采购活动前三年内，在经营活动中没有重大违法记录的书面声明函（格式后附）。</w:t>
            </w:r>
          </w:p>
        </w:tc>
        <w:tc>
          <w:tcPr>
            <w:tcW w:w="759" w:type="dxa"/>
          </w:tcPr>
          <w:p>
            <w:pPr>
              <w:spacing w:line="360" w:lineRule="auto"/>
              <w:jc w:val="left"/>
              <w:rPr>
                <w:rFonts w:ascii="宋体" w:hAnsi="宋体" w:cs="宋体"/>
                <w:color w:val="auto"/>
                <w:spacing w:val="-2"/>
                <w:sz w:val="24"/>
                <w:highlight w:val="none"/>
              </w:rPr>
            </w:pPr>
          </w:p>
        </w:tc>
        <w:tc>
          <w:tcPr>
            <w:tcW w:w="759" w:type="dxa"/>
          </w:tcPr>
          <w:p>
            <w:pPr>
              <w:spacing w:line="360" w:lineRule="auto"/>
              <w:jc w:val="left"/>
              <w:rPr>
                <w:rFonts w:ascii="宋体" w:hAnsi="宋体" w:cs="宋体"/>
                <w:color w:val="auto"/>
                <w:spacing w:val="-2"/>
                <w:sz w:val="24"/>
                <w:highlight w:val="none"/>
              </w:rPr>
            </w:pPr>
          </w:p>
        </w:tc>
        <w:tc>
          <w:tcPr>
            <w:tcW w:w="769" w:type="dxa"/>
          </w:tcPr>
          <w:p>
            <w:pPr>
              <w:spacing w:line="360" w:lineRule="auto"/>
              <w:jc w:val="left"/>
              <w:rPr>
                <w:rFonts w:ascii="宋体" w:hAnsi="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vAlign w:val="center"/>
          </w:tcPr>
          <w:p>
            <w:pPr>
              <w:spacing w:line="360" w:lineRule="auto"/>
              <w:jc w:val="center"/>
              <w:rPr>
                <w:rFonts w:ascii="宋体" w:hAnsi="宋体" w:cs="宋体"/>
                <w:color w:val="auto"/>
                <w:spacing w:val="-2"/>
                <w:sz w:val="24"/>
                <w:highlight w:val="none"/>
              </w:rPr>
            </w:pPr>
            <w:r>
              <w:rPr>
                <w:rFonts w:hint="eastAsia" w:ascii="宋体" w:hAnsi="宋体" w:cs="宋体"/>
                <w:color w:val="auto"/>
                <w:spacing w:val="-2"/>
                <w:sz w:val="24"/>
                <w:highlight w:val="none"/>
              </w:rPr>
              <w:t>7</w:t>
            </w:r>
          </w:p>
        </w:tc>
        <w:tc>
          <w:tcPr>
            <w:tcW w:w="231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信用信息查询</w:t>
            </w:r>
          </w:p>
        </w:tc>
        <w:tc>
          <w:tcPr>
            <w:tcW w:w="4588" w:type="dxa"/>
            <w:vAlign w:val="top"/>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查询时间：发布招标公告至投标截止日止）。</w:t>
            </w:r>
          </w:p>
          <w:p>
            <w:pPr>
              <w:pStyle w:val="80"/>
              <w:rPr>
                <w:rFonts w:ascii="宋体" w:hAnsi="宋体" w:cs="宋体"/>
                <w:color w:val="auto"/>
                <w:sz w:val="24"/>
                <w:highlight w:val="none"/>
              </w:rPr>
            </w:pPr>
            <w:r>
              <w:rPr>
                <w:rFonts w:hint="eastAsia" w:ascii="宋体" w:hAnsi="宋体" w:cs="宋体"/>
                <w:color w:val="auto"/>
                <w:sz w:val="24"/>
                <w:szCs w:val="24"/>
                <w:highlight w:val="none"/>
              </w:rPr>
              <w:t>注：以上查询记录由采购人或者采购代理机构查询并打印留存。</w:t>
            </w:r>
          </w:p>
        </w:tc>
        <w:tc>
          <w:tcPr>
            <w:tcW w:w="759" w:type="dxa"/>
          </w:tcPr>
          <w:p>
            <w:pPr>
              <w:spacing w:line="360" w:lineRule="auto"/>
              <w:jc w:val="left"/>
              <w:rPr>
                <w:rFonts w:ascii="宋体" w:hAnsi="宋体" w:cs="宋体"/>
                <w:color w:val="auto"/>
                <w:spacing w:val="-2"/>
                <w:sz w:val="24"/>
                <w:highlight w:val="none"/>
              </w:rPr>
            </w:pPr>
          </w:p>
        </w:tc>
        <w:tc>
          <w:tcPr>
            <w:tcW w:w="759" w:type="dxa"/>
          </w:tcPr>
          <w:p>
            <w:pPr>
              <w:spacing w:line="360" w:lineRule="auto"/>
              <w:jc w:val="left"/>
              <w:rPr>
                <w:rFonts w:ascii="宋体" w:hAnsi="宋体" w:cs="宋体"/>
                <w:color w:val="auto"/>
                <w:spacing w:val="-2"/>
                <w:sz w:val="24"/>
                <w:highlight w:val="none"/>
              </w:rPr>
            </w:pPr>
          </w:p>
        </w:tc>
        <w:tc>
          <w:tcPr>
            <w:tcW w:w="769" w:type="dxa"/>
          </w:tcPr>
          <w:p>
            <w:pPr>
              <w:spacing w:line="360" w:lineRule="auto"/>
              <w:jc w:val="left"/>
              <w:rPr>
                <w:rFonts w:ascii="宋体" w:hAnsi="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spacing w:line="360" w:lineRule="auto"/>
              <w:jc w:val="center"/>
              <w:rPr>
                <w:rFonts w:ascii="宋体" w:hAnsi="宋体" w:cs="宋体"/>
                <w:color w:val="auto"/>
                <w:spacing w:val="-2"/>
                <w:sz w:val="24"/>
                <w:highlight w:val="none"/>
              </w:rPr>
            </w:pPr>
            <w:r>
              <w:rPr>
                <w:rFonts w:hint="eastAsia" w:ascii="宋体" w:hAnsi="宋体" w:cs="宋体"/>
                <w:color w:val="auto"/>
                <w:spacing w:val="-2"/>
                <w:sz w:val="24"/>
                <w:highlight w:val="none"/>
              </w:rPr>
              <w:t>8</w:t>
            </w:r>
          </w:p>
        </w:tc>
        <w:tc>
          <w:tcPr>
            <w:tcW w:w="2311" w:type="dxa"/>
            <w:vAlign w:val="center"/>
          </w:tcPr>
          <w:p>
            <w:pPr>
              <w:spacing w:line="36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中小企业声明函</w:t>
            </w:r>
          </w:p>
        </w:tc>
        <w:tc>
          <w:tcPr>
            <w:tcW w:w="4588" w:type="dxa"/>
          </w:tcPr>
          <w:p>
            <w:pPr>
              <w:spacing w:line="36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供应商提供所投产品生厂商为中小企业的声明函（格式后附）</w:t>
            </w:r>
          </w:p>
        </w:tc>
        <w:tc>
          <w:tcPr>
            <w:tcW w:w="759" w:type="dxa"/>
          </w:tcPr>
          <w:p>
            <w:pPr>
              <w:spacing w:line="360" w:lineRule="auto"/>
              <w:jc w:val="left"/>
              <w:rPr>
                <w:rFonts w:ascii="宋体" w:hAnsi="宋体" w:cs="宋体"/>
                <w:color w:val="auto"/>
                <w:spacing w:val="-2"/>
                <w:sz w:val="24"/>
                <w:highlight w:val="none"/>
              </w:rPr>
            </w:pPr>
          </w:p>
        </w:tc>
        <w:tc>
          <w:tcPr>
            <w:tcW w:w="759" w:type="dxa"/>
          </w:tcPr>
          <w:p>
            <w:pPr>
              <w:spacing w:line="360" w:lineRule="auto"/>
              <w:jc w:val="left"/>
              <w:rPr>
                <w:rFonts w:ascii="宋体" w:hAnsi="宋体" w:cs="宋体"/>
                <w:color w:val="auto"/>
                <w:spacing w:val="-2"/>
                <w:sz w:val="24"/>
                <w:highlight w:val="none"/>
              </w:rPr>
            </w:pPr>
          </w:p>
        </w:tc>
        <w:tc>
          <w:tcPr>
            <w:tcW w:w="769" w:type="dxa"/>
          </w:tcPr>
          <w:p>
            <w:pPr>
              <w:spacing w:line="360" w:lineRule="auto"/>
              <w:jc w:val="left"/>
              <w:rPr>
                <w:rFonts w:ascii="宋体" w:hAnsi="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904" w:type="dxa"/>
            <w:gridSpan w:val="2"/>
            <w:vAlign w:val="center"/>
          </w:tcPr>
          <w:p>
            <w:pPr>
              <w:spacing w:line="360" w:lineRule="auto"/>
              <w:jc w:val="center"/>
              <w:rPr>
                <w:rFonts w:ascii="宋体" w:hAnsi="宋体" w:cs="宋体"/>
                <w:b/>
                <w:color w:val="auto"/>
                <w:spacing w:val="-2"/>
                <w:sz w:val="24"/>
                <w:highlight w:val="none"/>
              </w:rPr>
            </w:pPr>
            <w:r>
              <w:rPr>
                <w:rFonts w:hint="eastAsia" w:ascii="宋体" w:hAnsi="宋体" w:cs="宋体"/>
                <w:b/>
                <w:color w:val="auto"/>
                <w:spacing w:val="-2"/>
                <w:sz w:val="24"/>
                <w:highlight w:val="none"/>
              </w:rPr>
              <w:t>结论</w:t>
            </w:r>
          </w:p>
        </w:tc>
        <w:tc>
          <w:tcPr>
            <w:tcW w:w="4588" w:type="dxa"/>
          </w:tcPr>
          <w:p>
            <w:pPr>
              <w:spacing w:line="360" w:lineRule="auto"/>
              <w:jc w:val="left"/>
              <w:rPr>
                <w:rFonts w:ascii="宋体" w:hAnsi="宋体" w:cs="宋体"/>
                <w:color w:val="auto"/>
                <w:spacing w:val="-2"/>
                <w:sz w:val="24"/>
                <w:highlight w:val="none"/>
              </w:rPr>
            </w:pPr>
          </w:p>
        </w:tc>
        <w:tc>
          <w:tcPr>
            <w:tcW w:w="759" w:type="dxa"/>
          </w:tcPr>
          <w:p>
            <w:pPr>
              <w:spacing w:line="360" w:lineRule="auto"/>
              <w:jc w:val="left"/>
              <w:rPr>
                <w:rFonts w:ascii="宋体" w:hAnsi="宋体" w:cs="宋体"/>
                <w:color w:val="auto"/>
                <w:spacing w:val="-2"/>
                <w:sz w:val="24"/>
                <w:highlight w:val="none"/>
              </w:rPr>
            </w:pPr>
          </w:p>
        </w:tc>
        <w:tc>
          <w:tcPr>
            <w:tcW w:w="759" w:type="dxa"/>
          </w:tcPr>
          <w:p>
            <w:pPr>
              <w:spacing w:line="360" w:lineRule="auto"/>
              <w:jc w:val="left"/>
              <w:rPr>
                <w:rFonts w:ascii="宋体" w:hAnsi="宋体" w:cs="宋体"/>
                <w:color w:val="auto"/>
                <w:spacing w:val="-2"/>
                <w:sz w:val="24"/>
                <w:highlight w:val="none"/>
              </w:rPr>
            </w:pPr>
          </w:p>
        </w:tc>
        <w:tc>
          <w:tcPr>
            <w:tcW w:w="769" w:type="dxa"/>
          </w:tcPr>
          <w:p>
            <w:pPr>
              <w:spacing w:line="360" w:lineRule="auto"/>
              <w:jc w:val="left"/>
              <w:rPr>
                <w:rFonts w:ascii="宋体" w:hAnsi="宋体" w:cs="宋体"/>
                <w:color w:val="auto"/>
                <w:spacing w:val="-2"/>
                <w:sz w:val="24"/>
                <w:highlight w:val="none"/>
              </w:rPr>
            </w:pPr>
          </w:p>
        </w:tc>
      </w:tr>
    </w:tbl>
    <w:p>
      <w:pPr>
        <w:pStyle w:val="34"/>
        <w:tabs>
          <w:tab w:val="left" w:pos="957"/>
        </w:tabs>
        <w:kinsoku w:val="0"/>
        <w:overflowPunct w:val="0"/>
        <w:spacing w:before="46"/>
        <w:ind w:right="109"/>
        <w:rPr>
          <w:rFonts w:hAnsi="宋体"/>
          <w:color w:val="auto"/>
          <w:highlight w:val="none"/>
        </w:rPr>
      </w:pPr>
    </w:p>
    <w:p>
      <w:pPr>
        <w:rPr>
          <w:rFonts w:hint="eastAsia" w:ascii="宋体" w:hAnsi="宋体"/>
          <w:b/>
          <w:bCs/>
          <w:color w:val="auto"/>
          <w:sz w:val="24"/>
          <w:highlight w:val="none"/>
        </w:rPr>
      </w:pPr>
      <w:r>
        <w:rPr>
          <w:rFonts w:hint="eastAsia" w:ascii="宋体" w:hAnsi="宋体"/>
          <w:b/>
          <w:bCs/>
          <w:color w:val="auto"/>
          <w:sz w:val="24"/>
          <w:highlight w:val="none"/>
        </w:rPr>
        <w:br w:type="page"/>
      </w:r>
    </w:p>
    <w:p>
      <w:pPr>
        <w:ind w:firstLine="240" w:firstLineChars="100"/>
        <w:jc w:val="left"/>
        <w:outlineLvl w:val="1"/>
        <w:rPr>
          <w:rFonts w:ascii="宋体" w:hAnsi="宋体"/>
          <w:b/>
          <w:bCs/>
          <w:color w:val="auto"/>
          <w:sz w:val="24"/>
          <w:highlight w:val="none"/>
        </w:rPr>
      </w:pPr>
      <w:r>
        <w:rPr>
          <w:rFonts w:hint="eastAsia" w:ascii="宋体" w:hAnsi="宋体"/>
          <w:b/>
          <w:bCs/>
          <w:color w:val="auto"/>
          <w:sz w:val="24"/>
          <w:highlight w:val="none"/>
        </w:rPr>
        <w:t>附表2：符合性审查记录表</w:t>
      </w:r>
    </w:p>
    <w:p>
      <w:pPr>
        <w:pStyle w:val="34"/>
        <w:kinsoku w:val="0"/>
        <w:overflowPunct w:val="0"/>
        <w:spacing w:before="10"/>
        <w:rPr>
          <w:rFonts w:hAnsi="宋体"/>
          <w:b/>
          <w:bCs/>
          <w:color w:val="auto"/>
          <w:highlight w:val="none"/>
        </w:rPr>
      </w:pPr>
    </w:p>
    <w:tbl>
      <w:tblPr>
        <w:tblStyle w:val="88"/>
        <w:tblW w:w="9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6577"/>
        <w:gridCol w:w="769"/>
        <w:gridCol w:w="769"/>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restart"/>
            <w:vAlign w:val="bottom"/>
          </w:tcPr>
          <w:p>
            <w:pPr>
              <w:spacing w:line="360" w:lineRule="auto"/>
              <w:jc w:val="center"/>
              <w:rPr>
                <w:rFonts w:ascii="宋体" w:hAnsi="宋体" w:cs="仿宋"/>
                <w:b/>
                <w:color w:val="auto"/>
                <w:spacing w:val="-2"/>
                <w:sz w:val="24"/>
                <w:highlight w:val="none"/>
              </w:rPr>
            </w:pPr>
            <w:r>
              <w:rPr>
                <w:rFonts w:hint="eastAsia" w:ascii="宋体" w:hAnsi="宋体" w:cs="仿宋"/>
                <w:b/>
                <w:color w:val="auto"/>
                <w:spacing w:val="-2"/>
                <w:sz w:val="24"/>
                <w:highlight w:val="none"/>
              </w:rPr>
              <w:t>序号</w:t>
            </w:r>
          </w:p>
        </w:tc>
        <w:tc>
          <w:tcPr>
            <w:tcW w:w="6577" w:type="dxa"/>
            <w:vMerge w:val="restart"/>
            <w:vAlign w:val="bottom"/>
          </w:tcPr>
          <w:p>
            <w:pPr>
              <w:spacing w:line="360" w:lineRule="auto"/>
              <w:jc w:val="center"/>
              <w:rPr>
                <w:rFonts w:ascii="宋体" w:hAnsi="宋体" w:cs="仿宋"/>
                <w:b/>
                <w:color w:val="auto"/>
                <w:spacing w:val="-2"/>
                <w:sz w:val="24"/>
                <w:highlight w:val="none"/>
              </w:rPr>
            </w:pPr>
            <w:r>
              <w:rPr>
                <w:rFonts w:hint="eastAsia" w:ascii="宋体" w:hAnsi="宋体" w:cs="仿宋"/>
                <w:b/>
                <w:color w:val="auto"/>
                <w:spacing w:val="-2"/>
                <w:sz w:val="24"/>
                <w:highlight w:val="none"/>
              </w:rPr>
              <w:t>审查内容</w:t>
            </w:r>
          </w:p>
        </w:tc>
        <w:tc>
          <w:tcPr>
            <w:tcW w:w="2307" w:type="dxa"/>
            <w:gridSpan w:val="3"/>
            <w:vAlign w:val="bottom"/>
          </w:tcPr>
          <w:p>
            <w:pPr>
              <w:spacing w:line="360" w:lineRule="auto"/>
              <w:jc w:val="center"/>
              <w:rPr>
                <w:rFonts w:ascii="宋体" w:hAnsi="宋体" w:cs="仿宋"/>
                <w:b/>
                <w:color w:val="auto"/>
                <w:spacing w:val="-2"/>
                <w:sz w:val="24"/>
                <w:highlight w:val="none"/>
              </w:rPr>
            </w:pPr>
            <w:r>
              <w:rPr>
                <w:rFonts w:hint="eastAsia" w:ascii="宋体" w:hAnsi="宋体" w:cs="仿宋"/>
                <w:b/>
                <w:color w:val="auto"/>
                <w:spacing w:val="-2"/>
                <w:sz w:val="24"/>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bottom"/>
          </w:tcPr>
          <w:p>
            <w:pPr>
              <w:spacing w:line="360" w:lineRule="auto"/>
              <w:jc w:val="center"/>
              <w:rPr>
                <w:rFonts w:ascii="宋体" w:hAnsi="宋体" w:cs="仿宋"/>
                <w:b/>
                <w:color w:val="auto"/>
                <w:spacing w:val="-2"/>
                <w:sz w:val="24"/>
                <w:highlight w:val="none"/>
              </w:rPr>
            </w:pPr>
          </w:p>
        </w:tc>
        <w:tc>
          <w:tcPr>
            <w:tcW w:w="6577" w:type="dxa"/>
            <w:vMerge w:val="continue"/>
            <w:vAlign w:val="bottom"/>
          </w:tcPr>
          <w:p>
            <w:pPr>
              <w:spacing w:line="360" w:lineRule="auto"/>
              <w:jc w:val="center"/>
              <w:rPr>
                <w:rFonts w:ascii="宋体" w:hAnsi="宋体" w:cs="仿宋"/>
                <w:b/>
                <w:color w:val="auto"/>
                <w:spacing w:val="-2"/>
                <w:sz w:val="24"/>
                <w:highlight w:val="none"/>
              </w:rPr>
            </w:pPr>
          </w:p>
        </w:tc>
        <w:tc>
          <w:tcPr>
            <w:tcW w:w="769" w:type="dxa"/>
            <w:vAlign w:val="bottom"/>
          </w:tcPr>
          <w:p>
            <w:pPr>
              <w:spacing w:line="360" w:lineRule="auto"/>
              <w:jc w:val="center"/>
              <w:rPr>
                <w:rFonts w:ascii="宋体" w:hAnsi="宋体" w:cs="仿宋"/>
                <w:b/>
                <w:color w:val="auto"/>
                <w:spacing w:val="-2"/>
                <w:sz w:val="24"/>
                <w:highlight w:val="none"/>
              </w:rPr>
            </w:pPr>
          </w:p>
        </w:tc>
        <w:tc>
          <w:tcPr>
            <w:tcW w:w="769" w:type="dxa"/>
          </w:tcPr>
          <w:p>
            <w:pPr>
              <w:spacing w:line="360" w:lineRule="auto"/>
              <w:jc w:val="center"/>
              <w:rPr>
                <w:rFonts w:ascii="宋体" w:hAnsi="宋体" w:cs="仿宋"/>
                <w:b/>
                <w:color w:val="auto"/>
                <w:spacing w:val="-2"/>
                <w:sz w:val="24"/>
                <w:highlight w:val="none"/>
              </w:rPr>
            </w:pPr>
          </w:p>
        </w:tc>
        <w:tc>
          <w:tcPr>
            <w:tcW w:w="769" w:type="dxa"/>
          </w:tcPr>
          <w:p>
            <w:pPr>
              <w:spacing w:line="360" w:lineRule="auto"/>
              <w:jc w:val="center"/>
              <w:rPr>
                <w:rFonts w:ascii="宋体" w:hAnsi="宋体" w:cs="仿宋"/>
                <w:b/>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
              <w:jc w:val="center"/>
              <w:rPr>
                <w:rFonts w:ascii="宋体" w:hAnsi="宋体" w:eastAsia="宋体"/>
                <w:color w:val="auto"/>
                <w:szCs w:val="24"/>
                <w:highlight w:val="none"/>
              </w:rPr>
            </w:pPr>
            <w:r>
              <w:rPr>
                <w:rFonts w:hint="eastAsia" w:ascii="宋体" w:hAnsi="宋体" w:eastAsia="宋体"/>
                <w:color w:val="auto"/>
                <w:szCs w:val="24"/>
                <w:highlight w:val="none"/>
              </w:rPr>
              <w:t>1</w:t>
            </w:r>
          </w:p>
        </w:tc>
        <w:tc>
          <w:tcPr>
            <w:tcW w:w="6577" w:type="dxa"/>
            <w:vAlign w:val="center"/>
          </w:tcPr>
          <w:p>
            <w:pPr>
              <w:jc w:val="left"/>
              <w:rPr>
                <w:rFonts w:ascii="宋体" w:hAnsi="宋体" w:cs="仿宋"/>
                <w:color w:val="auto"/>
                <w:sz w:val="24"/>
                <w:highlight w:val="none"/>
              </w:rPr>
            </w:pPr>
            <w:r>
              <w:rPr>
                <w:rFonts w:hint="eastAsia" w:ascii="宋体" w:hAnsi="宋体" w:cs="仿宋"/>
                <w:color w:val="auto"/>
                <w:sz w:val="24"/>
                <w:highlight w:val="none"/>
              </w:rPr>
              <w:t>按招标文件的规定提交投标保证金的；</w:t>
            </w: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
              <w:jc w:val="center"/>
              <w:rPr>
                <w:rFonts w:ascii="宋体" w:hAnsi="宋体" w:eastAsia="宋体"/>
                <w:color w:val="auto"/>
                <w:szCs w:val="24"/>
                <w:highlight w:val="none"/>
              </w:rPr>
            </w:pPr>
            <w:r>
              <w:rPr>
                <w:rFonts w:hint="eastAsia" w:ascii="宋体" w:hAnsi="宋体" w:eastAsia="宋体"/>
                <w:color w:val="auto"/>
                <w:szCs w:val="24"/>
                <w:highlight w:val="none"/>
              </w:rPr>
              <w:t>2</w:t>
            </w:r>
          </w:p>
        </w:tc>
        <w:tc>
          <w:tcPr>
            <w:tcW w:w="6577" w:type="dxa"/>
            <w:vAlign w:val="bottom"/>
          </w:tcPr>
          <w:p>
            <w:pPr>
              <w:pStyle w:val="2"/>
              <w:rPr>
                <w:rFonts w:ascii="宋体" w:hAnsi="宋体" w:eastAsia="宋体"/>
                <w:color w:val="auto"/>
                <w:szCs w:val="24"/>
                <w:highlight w:val="none"/>
              </w:rPr>
            </w:pPr>
            <w:r>
              <w:rPr>
                <w:rFonts w:hint="eastAsia" w:ascii="宋体" w:hAnsi="宋体" w:eastAsia="宋体"/>
                <w:color w:val="auto"/>
                <w:szCs w:val="24"/>
                <w:highlight w:val="none"/>
              </w:rPr>
              <w:t>法定代表人身份证明书原件；</w:t>
            </w: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
              <w:jc w:val="center"/>
              <w:rPr>
                <w:rFonts w:ascii="宋体" w:hAnsi="宋体" w:eastAsia="宋体"/>
                <w:color w:val="auto"/>
                <w:szCs w:val="24"/>
                <w:highlight w:val="none"/>
              </w:rPr>
            </w:pPr>
            <w:r>
              <w:rPr>
                <w:rFonts w:hint="eastAsia" w:ascii="宋体" w:hAnsi="宋体" w:eastAsia="宋体"/>
                <w:color w:val="auto"/>
                <w:szCs w:val="24"/>
                <w:highlight w:val="none"/>
              </w:rPr>
              <w:t>3</w:t>
            </w:r>
          </w:p>
        </w:tc>
        <w:tc>
          <w:tcPr>
            <w:tcW w:w="6577" w:type="dxa"/>
            <w:vAlign w:val="bottom"/>
          </w:tcPr>
          <w:p>
            <w:pPr>
              <w:pStyle w:val="2"/>
              <w:rPr>
                <w:rFonts w:ascii="宋体" w:hAnsi="宋体" w:eastAsia="宋体"/>
                <w:color w:val="auto"/>
                <w:szCs w:val="24"/>
                <w:highlight w:val="none"/>
              </w:rPr>
            </w:pPr>
            <w:r>
              <w:rPr>
                <w:rFonts w:hint="eastAsia" w:ascii="宋体" w:hAnsi="宋体" w:eastAsia="宋体"/>
                <w:color w:val="auto"/>
                <w:szCs w:val="24"/>
                <w:highlight w:val="none"/>
              </w:rPr>
              <w:t>投标文件</w:t>
            </w:r>
            <w:r>
              <w:rPr>
                <w:rFonts w:hint="eastAsia" w:ascii="宋体" w:hAnsi="宋体" w:eastAsia="宋体" w:cs="仿宋"/>
                <w:color w:val="auto"/>
                <w:szCs w:val="24"/>
                <w:highlight w:val="none"/>
              </w:rPr>
              <w:t>按照招标文件规定要求签署、盖章的；</w:t>
            </w: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
              <w:jc w:val="center"/>
              <w:rPr>
                <w:rFonts w:ascii="宋体" w:hAnsi="宋体" w:eastAsia="宋体"/>
                <w:color w:val="auto"/>
                <w:szCs w:val="24"/>
                <w:highlight w:val="none"/>
              </w:rPr>
            </w:pPr>
            <w:r>
              <w:rPr>
                <w:rFonts w:hint="eastAsia" w:ascii="宋体" w:hAnsi="宋体" w:eastAsia="宋体"/>
                <w:color w:val="auto"/>
                <w:szCs w:val="24"/>
                <w:highlight w:val="none"/>
              </w:rPr>
              <w:t>4</w:t>
            </w:r>
          </w:p>
        </w:tc>
        <w:tc>
          <w:tcPr>
            <w:tcW w:w="6577" w:type="dxa"/>
            <w:vAlign w:val="bottom"/>
          </w:tcPr>
          <w:p>
            <w:pPr>
              <w:rPr>
                <w:rFonts w:ascii="宋体" w:hAnsi="宋体"/>
                <w:color w:val="auto"/>
                <w:sz w:val="24"/>
                <w:highlight w:val="none"/>
              </w:rPr>
            </w:pPr>
            <w:r>
              <w:rPr>
                <w:rFonts w:hint="eastAsia" w:ascii="宋体" w:hAnsi="宋体"/>
                <w:color w:val="auto"/>
                <w:sz w:val="24"/>
                <w:highlight w:val="none"/>
              </w:rPr>
              <w:t>按规定的格式填写，没有内容不全或关键字迹模糊、无法辨认的；</w:t>
            </w: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
              <w:jc w:val="center"/>
              <w:rPr>
                <w:rFonts w:ascii="宋体" w:hAnsi="宋体" w:eastAsia="宋体"/>
                <w:color w:val="auto"/>
                <w:szCs w:val="24"/>
                <w:highlight w:val="none"/>
              </w:rPr>
            </w:pPr>
            <w:r>
              <w:rPr>
                <w:rFonts w:hint="eastAsia" w:ascii="宋体" w:hAnsi="宋体" w:eastAsia="宋体"/>
                <w:color w:val="auto"/>
                <w:szCs w:val="24"/>
                <w:highlight w:val="none"/>
              </w:rPr>
              <w:t>5</w:t>
            </w:r>
          </w:p>
        </w:tc>
        <w:tc>
          <w:tcPr>
            <w:tcW w:w="6577" w:type="dxa"/>
            <w:vAlign w:val="bottom"/>
          </w:tcPr>
          <w:p>
            <w:pPr>
              <w:rPr>
                <w:rFonts w:ascii="宋体" w:hAnsi="宋体" w:cs="仿宋"/>
                <w:color w:val="auto"/>
                <w:sz w:val="24"/>
                <w:highlight w:val="none"/>
              </w:rPr>
            </w:pPr>
            <w:r>
              <w:rPr>
                <w:rFonts w:hint="eastAsia" w:ascii="宋体" w:hAnsi="宋体"/>
                <w:color w:val="auto"/>
                <w:sz w:val="24"/>
                <w:highlight w:val="none"/>
              </w:rPr>
              <w:t>交货期限满足招标文件规定；</w:t>
            </w: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
              <w:jc w:val="center"/>
              <w:rPr>
                <w:rFonts w:ascii="宋体" w:hAnsi="宋体" w:eastAsia="宋体"/>
                <w:color w:val="auto"/>
                <w:szCs w:val="24"/>
                <w:highlight w:val="none"/>
              </w:rPr>
            </w:pPr>
            <w:r>
              <w:rPr>
                <w:rFonts w:hint="eastAsia" w:ascii="宋体" w:hAnsi="宋体" w:eastAsia="宋体"/>
                <w:color w:val="auto"/>
                <w:szCs w:val="24"/>
                <w:highlight w:val="none"/>
              </w:rPr>
              <w:t>6</w:t>
            </w:r>
          </w:p>
        </w:tc>
        <w:tc>
          <w:tcPr>
            <w:tcW w:w="6577" w:type="dxa"/>
            <w:vAlign w:val="bottom"/>
          </w:tcPr>
          <w:p>
            <w:pPr>
              <w:rPr>
                <w:rFonts w:ascii="宋体" w:hAnsi="宋体" w:cs="仿宋"/>
                <w:color w:val="auto"/>
                <w:sz w:val="24"/>
                <w:highlight w:val="none"/>
              </w:rPr>
            </w:pPr>
            <w:r>
              <w:rPr>
                <w:rFonts w:hint="eastAsia" w:ascii="宋体" w:hAnsi="宋体" w:cs="仿宋"/>
                <w:color w:val="auto"/>
                <w:sz w:val="24"/>
                <w:highlight w:val="none"/>
              </w:rPr>
              <w:t>投标报价（包括投标总报价及分项投标报价）均未超过预算金额，且只有一个有效报价，不接受有选择性的报价；</w:t>
            </w: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
              <w:jc w:val="center"/>
              <w:rPr>
                <w:rFonts w:ascii="宋体" w:hAnsi="宋体" w:eastAsia="宋体"/>
                <w:color w:val="auto"/>
                <w:szCs w:val="24"/>
                <w:highlight w:val="none"/>
              </w:rPr>
            </w:pPr>
            <w:r>
              <w:rPr>
                <w:rFonts w:hint="eastAsia" w:ascii="宋体" w:hAnsi="宋体" w:eastAsia="宋体"/>
                <w:color w:val="auto"/>
                <w:szCs w:val="24"/>
                <w:highlight w:val="none"/>
              </w:rPr>
              <w:t>7</w:t>
            </w:r>
          </w:p>
        </w:tc>
        <w:tc>
          <w:tcPr>
            <w:tcW w:w="6577" w:type="dxa"/>
            <w:vAlign w:val="bottom"/>
          </w:tcPr>
          <w:p>
            <w:pPr>
              <w:pStyle w:val="2"/>
              <w:rPr>
                <w:rFonts w:ascii="宋体" w:hAnsi="宋体" w:eastAsia="宋体" w:cs="仿宋"/>
                <w:color w:val="auto"/>
                <w:szCs w:val="24"/>
                <w:highlight w:val="none"/>
              </w:rPr>
            </w:pPr>
            <w:r>
              <w:rPr>
                <w:rFonts w:hint="eastAsia" w:ascii="宋体" w:hAnsi="宋体" w:eastAsia="宋体" w:cs="仿宋"/>
                <w:color w:val="auto"/>
                <w:szCs w:val="24"/>
                <w:highlight w:val="none"/>
              </w:rPr>
              <w:t>投标</w:t>
            </w:r>
            <w:r>
              <w:rPr>
                <w:rFonts w:ascii="宋体" w:hAnsi="宋体" w:eastAsia="宋体" w:cs="仿宋"/>
                <w:color w:val="auto"/>
                <w:szCs w:val="24"/>
                <w:highlight w:val="none"/>
              </w:rPr>
              <w:t>有效期满足</w:t>
            </w:r>
            <w:r>
              <w:rPr>
                <w:rFonts w:hint="eastAsia" w:ascii="宋体" w:hAnsi="宋体" w:eastAsia="宋体" w:cs="仿宋"/>
                <w:color w:val="auto"/>
                <w:szCs w:val="24"/>
                <w:highlight w:val="none"/>
              </w:rPr>
              <w:t>招标文件</w:t>
            </w:r>
            <w:r>
              <w:rPr>
                <w:rFonts w:ascii="宋体" w:hAnsi="宋体" w:eastAsia="宋体" w:cs="仿宋"/>
                <w:color w:val="auto"/>
                <w:szCs w:val="24"/>
                <w:highlight w:val="none"/>
              </w:rPr>
              <w:t>要求</w:t>
            </w:r>
            <w:r>
              <w:rPr>
                <w:rFonts w:hint="eastAsia" w:ascii="宋体" w:hAnsi="宋体" w:eastAsia="宋体" w:cs="仿宋"/>
                <w:color w:val="auto"/>
                <w:szCs w:val="24"/>
                <w:highlight w:val="none"/>
              </w:rPr>
              <w:t>；</w:t>
            </w: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
              <w:jc w:val="center"/>
              <w:rPr>
                <w:rFonts w:ascii="宋体" w:hAnsi="宋体" w:eastAsia="宋体"/>
                <w:color w:val="auto"/>
                <w:szCs w:val="24"/>
                <w:highlight w:val="none"/>
              </w:rPr>
            </w:pPr>
            <w:r>
              <w:rPr>
                <w:rFonts w:hint="eastAsia" w:ascii="宋体" w:hAnsi="宋体" w:eastAsia="宋体"/>
                <w:color w:val="auto"/>
                <w:szCs w:val="24"/>
                <w:highlight w:val="none"/>
              </w:rPr>
              <w:t>8</w:t>
            </w:r>
          </w:p>
        </w:tc>
        <w:tc>
          <w:tcPr>
            <w:tcW w:w="6577" w:type="dxa"/>
            <w:vAlign w:val="bottom"/>
          </w:tcPr>
          <w:p>
            <w:pPr>
              <w:pStyle w:val="2"/>
              <w:rPr>
                <w:rFonts w:ascii="宋体" w:hAnsi="宋体" w:eastAsia="宋体"/>
                <w:color w:val="auto"/>
                <w:szCs w:val="24"/>
                <w:highlight w:val="none"/>
              </w:rPr>
            </w:pPr>
            <w:r>
              <w:rPr>
                <w:rFonts w:hint="eastAsia" w:ascii="宋体" w:hAnsi="宋体" w:eastAsia="宋体" w:cs="仿宋"/>
                <w:color w:val="auto"/>
                <w:szCs w:val="24"/>
                <w:highlight w:val="none"/>
              </w:rPr>
              <w:t>符合招标文件中规定的实质性要求的；</w:t>
            </w: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 w:type="dxa"/>
            <w:vAlign w:val="center"/>
          </w:tcPr>
          <w:p>
            <w:pPr>
              <w:pStyle w:val="2"/>
              <w:jc w:val="center"/>
              <w:rPr>
                <w:rFonts w:ascii="宋体" w:hAnsi="宋体" w:eastAsia="宋体"/>
                <w:color w:val="auto"/>
                <w:szCs w:val="24"/>
                <w:highlight w:val="none"/>
              </w:rPr>
            </w:pPr>
            <w:r>
              <w:rPr>
                <w:rFonts w:hint="eastAsia" w:ascii="宋体" w:hAnsi="宋体" w:eastAsia="宋体"/>
                <w:color w:val="auto"/>
                <w:szCs w:val="24"/>
                <w:highlight w:val="none"/>
              </w:rPr>
              <w:t>9</w:t>
            </w:r>
          </w:p>
        </w:tc>
        <w:tc>
          <w:tcPr>
            <w:tcW w:w="6577" w:type="dxa"/>
            <w:vAlign w:val="bottom"/>
          </w:tcPr>
          <w:p>
            <w:pPr>
              <w:pStyle w:val="2"/>
              <w:rPr>
                <w:rFonts w:ascii="宋体" w:hAnsi="宋体" w:eastAsia="宋体"/>
                <w:color w:val="auto"/>
                <w:szCs w:val="24"/>
                <w:highlight w:val="none"/>
              </w:rPr>
            </w:pPr>
            <w:r>
              <w:rPr>
                <w:rFonts w:hint="eastAsia" w:ascii="宋体" w:hAnsi="宋体" w:eastAsia="宋体" w:cs="仿宋"/>
                <w:color w:val="auto"/>
                <w:szCs w:val="24"/>
                <w:highlight w:val="none"/>
              </w:rPr>
              <w:t>投标文件中未附有招标人不能接受的附加条件的；</w:t>
            </w: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
              <w:jc w:val="center"/>
              <w:rPr>
                <w:rFonts w:ascii="宋体" w:hAnsi="宋体" w:eastAsia="宋体"/>
                <w:color w:val="auto"/>
                <w:szCs w:val="24"/>
                <w:highlight w:val="none"/>
              </w:rPr>
            </w:pPr>
            <w:r>
              <w:rPr>
                <w:rFonts w:hint="eastAsia" w:ascii="宋体" w:hAnsi="宋体" w:eastAsia="宋体"/>
                <w:color w:val="auto"/>
                <w:szCs w:val="24"/>
                <w:highlight w:val="none"/>
              </w:rPr>
              <w:t>10</w:t>
            </w:r>
          </w:p>
        </w:tc>
        <w:tc>
          <w:tcPr>
            <w:tcW w:w="6577" w:type="dxa"/>
            <w:vAlign w:val="bottom"/>
          </w:tcPr>
          <w:p>
            <w:pPr>
              <w:rPr>
                <w:rFonts w:ascii="宋体" w:hAnsi="宋体" w:cs="仿宋"/>
                <w:color w:val="auto"/>
                <w:sz w:val="24"/>
                <w:highlight w:val="none"/>
              </w:rPr>
            </w:pPr>
            <w:r>
              <w:rPr>
                <w:rFonts w:hint="eastAsia" w:ascii="宋体" w:hAnsi="宋体" w:cs="仿宋"/>
                <w:color w:val="auto"/>
                <w:sz w:val="24"/>
                <w:highlight w:val="none"/>
              </w:rPr>
              <w:t>投标人名称或组织结构与购买招标文件时是否一致且未一致时提供有效证明的；</w:t>
            </w: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
              <w:jc w:val="center"/>
              <w:rPr>
                <w:rFonts w:ascii="宋体" w:hAnsi="宋体" w:eastAsia="宋体"/>
                <w:color w:val="auto"/>
                <w:szCs w:val="24"/>
                <w:highlight w:val="none"/>
              </w:rPr>
            </w:pPr>
            <w:r>
              <w:rPr>
                <w:rFonts w:hint="eastAsia" w:ascii="宋体" w:hAnsi="宋体" w:eastAsia="宋体"/>
                <w:color w:val="auto"/>
                <w:szCs w:val="24"/>
                <w:highlight w:val="none"/>
              </w:rPr>
              <w:t>11</w:t>
            </w:r>
          </w:p>
        </w:tc>
        <w:tc>
          <w:tcPr>
            <w:tcW w:w="6577" w:type="dxa"/>
            <w:vAlign w:val="bottom"/>
          </w:tcPr>
          <w:p>
            <w:pPr>
              <w:rPr>
                <w:rFonts w:ascii="宋体" w:hAnsi="宋体" w:cs="仿宋"/>
                <w:color w:val="auto"/>
                <w:sz w:val="24"/>
                <w:highlight w:val="none"/>
              </w:rPr>
            </w:pPr>
            <w:r>
              <w:rPr>
                <w:rFonts w:hint="eastAsia" w:ascii="宋体" w:hAnsi="宋体" w:cs="仿宋"/>
                <w:color w:val="auto"/>
                <w:sz w:val="24"/>
                <w:highlight w:val="none"/>
              </w:rPr>
              <w:t>投标内容的技术服务等满足招标文件中的相关要求。</w:t>
            </w: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
              <w:jc w:val="center"/>
              <w:rPr>
                <w:rFonts w:ascii="宋体" w:hAnsi="宋体" w:eastAsia="宋体"/>
                <w:color w:val="auto"/>
                <w:szCs w:val="24"/>
                <w:highlight w:val="none"/>
              </w:rPr>
            </w:pPr>
          </w:p>
        </w:tc>
        <w:tc>
          <w:tcPr>
            <w:tcW w:w="6577" w:type="dxa"/>
          </w:tcPr>
          <w:p>
            <w:pPr>
              <w:pStyle w:val="2"/>
              <w:rPr>
                <w:rFonts w:ascii="宋体" w:hAnsi="宋体" w:eastAsia="宋体"/>
                <w:color w:val="auto"/>
                <w:szCs w:val="24"/>
                <w:highlight w:val="none"/>
              </w:rPr>
            </w:pPr>
            <w:r>
              <w:rPr>
                <w:rFonts w:hint="eastAsia" w:ascii="宋体" w:hAnsi="宋体" w:eastAsia="宋体"/>
                <w:color w:val="auto"/>
                <w:szCs w:val="24"/>
                <w:highlight w:val="none"/>
              </w:rPr>
              <w:t>结论</w:t>
            </w: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c>
          <w:tcPr>
            <w:tcW w:w="769" w:type="dxa"/>
          </w:tcPr>
          <w:p>
            <w:pPr>
              <w:pStyle w:val="2"/>
              <w:rPr>
                <w:rFonts w:ascii="宋体" w:hAnsi="宋体" w:eastAsia="宋体"/>
                <w:color w:val="auto"/>
                <w:szCs w:val="24"/>
                <w:highlight w:val="none"/>
              </w:rPr>
            </w:pPr>
          </w:p>
        </w:tc>
      </w:tr>
    </w:tbl>
    <w:p>
      <w:pPr>
        <w:spacing w:line="360" w:lineRule="auto"/>
        <w:ind w:firstLine="472"/>
        <w:jc w:val="left"/>
        <w:rPr>
          <w:rFonts w:ascii="宋体" w:hAnsi="宋体" w:cs="仿宋"/>
          <w:color w:val="auto"/>
          <w:spacing w:val="-2"/>
          <w:sz w:val="24"/>
          <w:highlight w:val="none"/>
        </w:rPr>
      </w:pPr>
      <w:r>
        <w:rPr>
          <w:rFonts w:hint="eastAsia" w:ascii="宋体" w:hAnsi="宋体" w:cs="仿宋"/>
          <w:color w:val="auto"/>
          <w:spacing w:val="-2"/>
          <w:sz w:val="24"/>
          <w:highlight w:val="none"/>
        </w:rPr>
        <w:t>注：符合要求用“√”表示，不符合用“×”表示，结论为“合格”或“不合格”，有任一项不符合要求，结论为不合格。</w:t>
      </w:r>
    </w:p>
    <w:p>
      <w:pPr>
        <w:pStyle w:val="445"/>
        <w:spacing w:line="360" w:lineRule="auto"/>
        <w:rPr>
          <w:rFonts w:ascii="宋体" w:hAnsi="宋体"/>
          <w:bCs/>
          <w:color w:val="auto"/>
          <w:sz w:val="24"/>
          <w:highlight w:val="none"/>
        </w:rPr>
      </w:pPr>
    </w:p>
    <w:p>
      <w:pPr>
        <w:pStyle w:val="445"/>
        <w:spacing w:line="360" w:lineRule="auto"/>
        <w:rPr>
          <w:rFonts w:ascii="宋体" w:hAnsi="宋体"/>
          <w:bCs/>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pStyle w:val="445"/>
        <w:spacing w:line="360" w:lineRule="auto"/>
        <w:rPr>
          <w:rFonts w:ascii="宋体" w:hAnsi="宋体" w:cs="宋体"/>
          <w:b/>
          <w:color w:val="auto"/>
          <w:sz w:val="24"/>
          <w:highlight w:val="none"/>
        </w:rPr>
      </w:pPr>
      <w:r>
        <w:rPr>
          <w:rFonts w:hint="eastAsia" w:ascii="宋体" w:hAnsi="宋体" w:cs="宋体"/>
          <w:b/>
          <w:color w:val="auto"/>
          <w:sz w:val="24"/>
          <w:highlight w:val="none"/>
        </w:rPr>
        <w:t>附表3： 详细评审评分表</w:t>
      </w:r>
    </w:p>
    <w:p>
      <w:pPr>
        <w:outlineLvl w:val="2"/>
        <w:rPr>
          <w:rFonts w:ascii="宋体" w:hAnsi="宋体" w:cs="宋体"/>
          <w:b/>
          <w:bCs/>
          <w:color w:val="auto"/>
          <w:sz w:val="24"/>
          <w:highlight w:val="none"/>
        </w:rPr>
      </w:pPr>
      <w:r>
        <w:rPr>
          <w:rFonts w:hint="eastAsia" w:ascii="宋体" w:hAnsi="宋体" w:cs="宋体"/>
          <w:b/>
          <w:bCs/>
          <w:color w:val="auto"/>
          <w:sz w:val="24"/>
          <w:highlight w:val="none"/>
        </w:rPr>
        <w:t>表1：报价部分</w:t>
      </w:r>
    </w:p>
    <w:tbl>
      <w:tblPr>
        <w:tblStyle w:val="88"/>
        <w:tblW w:w="9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150"/>
        <w:gridCol w:w="864"/>
        <w:gridCol w:w="7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pPr>
              <w:rPr>
                <w:rFonts w:ascii="宋体" w:hAnsi="宋体" w:cs="宋体"/>
                <w:color w:val="auto"/>
                <w:sz w:val="24"/>
                <w:highlight w:val="none"/>
              </w:rPr>
            </w:pPr>
            <w:r>
              <w:rPr>
                <w:rFonts w:hint="eastAsia" w:ascii="宋体" w:hAnsi="宋体" w:cs="宋体"/>
                <w:color w:val="auto"/>
                <w:sz w:val="24"/>
                <w:highlight w:val="none"/>
              </w:rPr>
              <w:t>序</w:t>
            </w:r>
          </w:p>
          <w:p>
            <w:pPr>
              <w:rPr>
                <w:rFonts w:ascii="宋体" w:hAnsi="宋体" w:cs="宋体"/>
                <w:color w:val="auto"/>
                <w:sz w:val="24"/>
                <w:highlight w:val="none"/>
              </w:rPr>
            </w:pPr>
            <w:r>
              <w:rPr>
                <w:rFonts w:hint="eastAsia" w:ascii="宋体" w:hAnsi="宋体" w:cs="宋体"/>
                <w:color w:val="auto"/>
                <w:sz w:val="24"/>
                <w:highlight w:val="none"/>
              </w:rPr>
              <w:t>号</w:t>
            </w:r>
          </w:p>
        </w:tc>
        <w:tc>
          <w:tcPr>
            <w:tcW w:w="1150" w:type="dxa"/>
            <w:vAlign w:val="center"/>
          </w:tcPr>
          <w:p>
            <w:pPr>
              <w:rPr>
                <w:rFonts w:ascii="宋体" w:hAnsi="宋体" w:cs="宋体"/>
                <w:color w:val="auto"/>
                <w:sz w:val="24"/>
                <w:highlight w:val="none"/>
              </w:rPr>
            </w:pPr>
            <w:r>
              <w:rPr>
                <w:rFonts w:hint="eastAsia" w:ascii="宋体" w:hAnsi="宋体" w:cs="宋体"/>
                <w:color w:val="auto"/>
                <w:sz w:val="24"/>
                <w:highlight w:val="none"/>
              </w:rPr>
              <w:t>评审项目</w:t>
            </w:r>
          </w:p>
        </w:tc>
        <w:tc>
          <w:tcPr>
            <w:tcW w:w="864" w:type="dxa"/>
            <w:vAlign w:val="center"/>
          </w:tcPr>
          <w:p>
            <w:pPr>
              <w:rPr>
                <w:rFonts w:ascii="宋体" w:hAnsi="宋体" w:cs="宋体"/>
                <w:color w:val="auto"/>
                <w:sz w:val="24"/>
                <w:highlight w:val="none"/>
              </w:rPr>
            </w:pPr>
            <w:r>
              <w:rPr>
                <w:rFonts w:hint="eastAsia" w:ascii="宋体" w:hAnsi="宋体" w:cs="宋体"/>
                <w:color w:val="auto"/>
                <w:sz w:val="24"/>
                <w:highlight w:val="none"/>
              </w:rPr>
              <w:t>分值</w:t>
            </w:r>
          </w:p>
        </w:tc>
        <w:tc>
          <w:tcPr>
            <w:tcW w:w="706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18"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1150" w:type="dxa"/>
            <w:vAlign w:val="center"/>
          </w:tcPr>
          <w:p>
            <w:pPr>
              <w:rPr>
                <w:rFonts w:ascii="宋体" w:hAnsi="宋体" w:cs="宋体"/>
                <w:color w:val="auto"/>
                <w:sz w:val="24"/>
                <w:highlight w:val="none"/>
              </w:rPr>
            </w:pPr>
            <w:r>
              <w:rPr>
                <w:rFonts w:hint="eastAsia" w:ascii="宋体" w:hAnsi="宋体" w:cs="宋体"/>
                <w:color w:val="auto"/>
                <w:sz w:val="24"/>
                <w:highlight w:val="none"/>
              </w:rPr>
              <w:t>经济分</w:t>
            </w:r>
          </w:p>
        </w:tc>
        <w:tc>
          <w:tcPr>
            <w:tcW w:w="864" w:type="dxa"/>
            <w:vAlign w:val="center"/>
          </w:tcPr>
          <w:p>
            <w:pPr>
              <w:rPr>
                <w:rFonts w:ascii="宋体" w:hAnsi="宋体" w:cs="宋体"/>
                <w:color w:val="auto"/>
                <w:sz w:val="24"/>
                <w:highlight w:val="none"/>
              </w:rPr>
            </w:pPr>
            <w:r>
              <w:rPr>
                <w:rFonts w:hint="eastAsia" w:ascii="宋体" w:hAnsi="宋体" w:cs="宋体"/>
                <w:color w:val="auto"/>
                <w:sz w:val="24"/>
                <w:highlight w:val="none"/>
              </w:rPr>
              <w:t>30分</w:t>
            </w:r>
          </w:p>
        </w:tc>
        <w:tc>
          <w:tcPr>
            <w:tcW w:w="706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基准价为合理低价，即满足招标文件要求且投标价格最低的投标报价为评标基准价，其价格分为满分。其他投标人的价格分统一按照下列公式计算：</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投标报价得分=(评标基准价／投标报价)×价格分值×100% </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中间价格按比例计算，保留小数点后两位。</w:t>
            </w:r>
          </w:p>
          <w:p>
            <w:pPr>
              <w:spacing w:line="360" w:lineRule="auto"/>
              <w:rPr>
                <w:rFonts w:ascii="宋体" w:hAnsi="宋体" w:cs="宋体"/>
                <w:color w:val="auto"/>
                <w:sz w:val="24"/>
                <w:highlight w:val="none"/>
              </w:rPr>
            </w:pPr>
            <w:r>
              <w:rPr>
                <w:rFonts w:hint="eastAsia" w:ascii="宋体" w:hAnsi="宋体" w:cs="宋体"/>
                <w:color w:val="auto"/>
                <w:sz w:val="24"/>
                <w:highlight w:val="none"/>
              </w:rPr>
              <w:t>注： 1、对小型和微型企业产品的价格给予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%的扣除，用扣除后的价格参与评审。</w:t>
            </w:r>
          </w:p>
          <w:p>
            <w:pPr>
              <w:spacing w:line="360" w:lineRule="auto"/>
              <w:rPr>
                <w:rFonts w:ascii="宋体" w:hAnsi="宋体" w:cs="宋体"/>
                <w:color w:val="auto"/>
                <w:sz w:val="24"/>
                <w:highlight w:val="none"/>
              </w:rPr>
            </w:pPr>
            <w:r>
              <w:rPr>
                <w:rFonts w:hint="eastAsia" w:ascii="宋体" w:hAnsi="宋体" w:cs="宋体"/>
                <w:color w:val="auto"/>
                <w:sz w:val="24"/>
                <w:highlight w:val="none"/>
              </w:rPr>
              <w:t>2、评标过程中，不得去掉报价中最高报价和最低报价。</w:t>
            </w:r>
          </w:p>
        </w:tc>
      </w:tr>
    </w:tbl>
    <w:p>
      <w:pPr>
        <w:rPr>
          <w:rFonts w:ascii="宋体" w:hAnsi="宋体" w:cs="宋体"/>
          <w:color w:val="auto"/>
          <w:sz w:val="24"/>
          <w:highlight w:val="none"/>
        </w:rPr>
      </w:pPr>
    </w:p>
    <w:p>
      <w:pPr>
        <w:outlineLvl w:val="2"/>
        <w:rPr>
          <w:rFonts w:ascii="宋体" w:hAnsi="宋体" w:cs="宋体"/>
          <w:b/>
          <w:bCs/>
          <w:color w:val="auto"/>
          <w:sz w:val="24"/>
          <w:highlight w:val="none"/>
        </w:rPr>
      </w:pPr>
    </w:p>
    <w:p>
      <w:pPr>
        <w:outlineLvl w:val="2"/>
        <w:rPr>
          <w:rFonts w:ascii="宋体" w:hAnsi="宋体" w:cs="宋体"/>
          <w:b/>
          <w:bCs/>
          <w:color w:val="auto"/>
          <w:sz w:val="24"/>
          <w:highlight w:val="none"/>
        </w:rPr>
      </w:pPr>
      <w:r>
        <w:rPr>
          <w:rFonts w:hint="eastAsia" w:ascii="宋体" w:hAnsi="宋体" w:cs="宋体"/>
          <w:b/>
          <w:bCs/>
          <w:color w:val="auto"/>
          <w:sz w:val="24"/>
          <w:highlight w:val="none"/>
        </w:rPr>
        <w:t>表2：商务部分</w:t>
      </w:r>
    </w:p>
    <w:tbl>
      <w:tblPr>
        <w:tblStyle w:val="88"/>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72"/>
        <w:gridCol w:w="1216"/>
        <w:gridCol w:w="6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29" w:type="dxa"/>
            <w:vAlign w:val="center"/>
          </w:tcPr>
          <w:p>
            <w:pPr>
              <w:rPr>
                <w:rFonts w:ascii="宋体" w:hAnsi="宋体" w:cs="宋体"/>
                <w:color w:val="auto"/>
                <w:sz w:val="24"/>
                <w:highlight w:val="none"/>
              </w:rPr>
            </w:pPr>
            <w:r>
              <w:rPr>
                <w:rFonts w:hint="eastAsia" w:ascii="宋体" w:hAnsi="宋体" w:cs="宋体"/>
                <w:color w:val="auto"/>
                <w:sz w:val="24"/>
                <w:highlight w:val="none"/>
              </w:rPr>
              <w:t>序 号</w:t>
            </w:r>
          </w:p>
        </w:tc>
        <w:tc>
          <w:tcPr>
            <w:tcW w:w="1472" w:type="dxa"/>
            <w:vAlign w:val="center"/>
          </w:tcPr>
          <w:p>
            <w:pPr>
              <w:rPr>
                <w:rFonts w:ascii="宋体" w:hAnsi="宋体" w:cs="宋体"/>
                <w:color w:val="auto"/>
                <w:sz w:val="24"/>
                <w:highlight w:val="none"/>
              </w:rPr>
            </w:pPr>
            <w:r>
              <w:rPr>
                <w:rFonts w:hint="eastAsia" w:ascii="宋体" w:hAnsi="宋体" w:cs="宋体"/>
                <w:color w:val="auto"/>
                <w:sz w:val="24"/>
                <w:highlight w:val="none"/>
              </w:rPr>
              <w:t>评审项目</w:t>
            </w:r>
          </w:p>
        </w:tc>
        <w:tc>
          <w:tcPr>
            <w:tcW w:w="1216" w:type="dxa"/>
            <w:vAlign w:val="center"/>
          </w:tcPr>
          <w:p>
            <w:pPr>
              <w:rPr>
                <w:rFonts w:ascii="宋体" w:hAnsi="宋体" w:cs="宋体"/>
                <w:color w:val="auto"/>
                <w:sz w:val="24"/>
                <w:highlight w:val="none"/>
              </w:rPr>
            </w:pPr>
            <w:r>
              <w:rPr>
                <w:rFonts w:hint="eastAsia" w:ascii="宋体" w:hAnsi="宋体" w:cs="宋体"/>
                <w:color w:val="auto"/>
                <w:sz w:val="24"/>
                <w:highlight w:val="none"/>
              </w:rPr>
              <w:t>分  值</w:t>
            </w:r>
          </w:p>
        </w:tc>
        <w:tc>
          <w:tcPr>
            <w:tcW w:w="6255" w:type="dxa"/>
            <w:vAlign w:val="center"/>
          </w:tcPr>
          <w:p>
            <w:pPr>
              <w:rPr>
                <w:rFonts w:ascii="宋体" w:hAnsi="宋体" w:cs="宋体"/>
                <w:color w:val="auto"/>
                <w:sz w:val="24"/>
                <w:highlight w:val="none"/>
              </w:rPr>
            </w:pPr>
            <w:r>
              <w:rPr>
                <w:rFonts w:hint="eastAsia" w:ascii="宋体" w:hAnsi="宋体" w:cs="宋体"/>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2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472" w:type="dxa"/>
            <w:vAlign w:val="center"/>
          </w:tcPr>
          <w:p>
            <w:pPr>
              <w:rPr>
                <w:rFonts w:ascii="宋体" w:hAnsi="宋体" w:cs="宋体"/>
                <w:color w:val="auto"/>
                <w:sz w:val="24"/>
                <w:highlight w:val="none"/>
              </w:rPr>
            </w:pPr>
            <w:r>
              <w:rPr>
                <w:rFonts w:hint="eastAsia" w:ascii="宋体" w:hAnsi="宋体" w:cs="宋体"/>
                <w:color w:val="auto"/>
                <w:sz w:val="24"/>
                <w:highlight w:val="none"/>
              </w:rPr>
              <w:t>企业业绩</w:t>
            </w:r>
          </w:p>
        </w:tc>
        <w:tc>
          <w:tcPr>
            <w:tcW w:w="1216" w:type="dxa"/>
            <w:vAlign w:val="center"/>
          </w:tcPr>
          <w:p>
            <w:pPr>
              <w:spacing w:line="360" w:lineRule="auto"/>
              <w:jc w:val="center"/>
              <w:rPr>
                <w:rFonts w:ascii="宋体" w:hAnsi="宋体" w:cs="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分</w:t>
            </w:r>
          </w:p>
        </w:tc>
        <w:tc>
          <w:tcPr>
            <w:tcW w:w="6255" w:type="dxa"/>
            <w:vAlign w:val="center"/>
          </w:tcPr>
          <w:p>
            <w:pPr>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en-US" w:eastAsia="zh-CN"/>
              </w:rPr>
              <w:t>或制造商</w:t>
            </w:r>
            <w:r>
              <w:rPr>
                <w:rFonts w:hint="eastAsia" w:ascii="宋体" w:hAnsi="宋体" w:cs="宋体"/>
                <w:color w:val="auto"/>
                <w:kern w:val="0"/>
                <w:sz w:val="24"/>
                <w:highlight w:val="none"/>
                <w:lang w:eastAsia="zh-CN"/>
              </w:rPr>
              <w:t>提供</w:t>
            </w:r>
            <w:r>
              <w:rPr>
                <w:rFonts w:hint="eastAsia" w:ascii="宋体" w:hAnsi="宋体" w:cs="宋体"/>
                <w:color w:val="auto"/>
                <w:kern w:val="0"/>
                <w:sz w:val="24"/>
                <w:highlight w:val="none"/>
                <w:lang w:val="en-US" w:eastAsia="zh-CN"/>
              </w:rPr>
              <w:t>同类产品</w:t>
            </w:r>
            <w:r>
              <w:rPr>
                <w:rFonts w:hint="eastAsia" w:ascii="宋体" w:hAnsi="宋体" w:cs="宋体"/>
                <w:color w:val="auto"/>
                <w:kern w:val="0"/>
                <w:sz w:val="24"/>
                <w:highlight w:val="none"/>
              </w:rPr>
              <w:t>业绩</w:t>
            </w:r>
            <w:r>
              <w:rPr>
                <w:rFonts w:hint="eastAsia" w:ascii="宋体" w:hAnsi="宋体" w:cs="宋体"/>
                <w:color w:val="auto"/>
                <w:kern w:val="0"/>
                <w:sz w:val="24"/>
                <w:highlight w:val="none"/>
                <w:lang w:eastAsia="zh-CN"/>
              </w:rPr>
              <w:t>，</w:t>
            </w:r>
            <w:r>
              <w:rPr>
                <w:rFonts w:hint="eastAsia" w:ascii="宋体" w:hAnsi="宋体" w:cs="宋体"/>
                <w:color w:val="auto"/>
                <w:sz w:val="24"/>
                <w:highlight w:val="none"/>
              </w:rPr>
              <w:t>每提供一个有效业绩得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须提供中标通知书和合同复印件加盖本单位公章</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517" w:type="dxa"/>
            <w:gridSpan w:val="3"/>
            <w:vAlign w:val="center"/>
          </w:tcPr>
          <w:p>
            <w:pPr>
              <w:rPr>
                <w:rFonts w:ascii="宋体" w:hAnsi="宋体" w:cs="宋体"/>
                <w:color w:val="auto"/>
                <w:sz w:val="24"/>
                <w:highlight w:val="none"/>
              </w:rPr>
            </w:pPr>
            <w:r>
              <w:rPr>
                <w:rFonts w:hint="eastAsia" w:ascii="宋体" w:hAnsi="宋体" w:cs="宋体"/>
                <w:color w:val="auto"/>
                <w:sz w:val="24"/>
                <w:highlight w:val="none"/>
              </w:rPr>
              <w:t>小计</w:t>
            </w:r>
          </w:p>
        </w:tc>
        <w:tc>
          <w:tcPr>
            <w:tcW w:w="62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p>
        </w:tc>
      </w:tr>
    </w:tbl>
    <w:p>
      <w:pPr>
        <w:pStyle w:val="445"/>
        <w:spacing w:line="360" w:lineRule="auto"/>
        <w:rPr>
          <w:rFonts w:ascii="宋体" w:hAnsi="宋体"/>
          <w:b/>
          <w:color w:val="auto"/>
          <w:sz w:val="24"/>
          <w:highlight w:val="none"/>
        </w:rPr>
      </w:pPr>
    </w:p>
    <w:p>
      <w:pPr>
        <w:rPr>
          <w:rFonts w:hint="eastAsia" w:ascii="宋体" w:hAnsi="宋体"/>
          <w:b/>
          <w:color w:val="auto"/>
          <w:sz w:val="24"/>
          <w:highlight w:val="none"/>
        </w:rPr>
      </w:pPr>
      <w:r>
        <w:rPr>
          <w:rFonts w:hint="eastAsia" w:ascii="宋体" w:hAnsi="宋体"/>
          <w:b/>
          <w:color w:val="auto"/>
          <w:sz w:val="24"/>
          <w:highlight w:val="none"/>
        </w:rPr>
        <w:br w:type="page"/>
      </w:r>
    </w:p>
    <w:p>
      <w:pPr>
        <w:pStyle w:val="445"/>
        <w:spacing w:line="360" w:lineRule="auto"/>
        <w:rPr>
          <w:rFonts w:ascii="宋体" w:hAnsi="宋体"/>
          <w:b/>
          <w:color w:val="auto"/>
          <w:sz w:val="24"/>
          <w:highlight w:val="none"/>
        </w:rPr>
      </w:pPr>
      <w:r>
        <w:rPr>
          <w:rFonts w:hint="eastAsia" w:ascii="宋体" w:hAnsi="宋体"/>
          <w:b/>
          <w:color w:val="auto"/>
          <w:sz w:val="24"/>
          <w:highlight w:val="none"/>
        </w:rPr>
        <w:t>表3 技术部分</w:t>
      </w:r>
    </w:p>
    <w:tbl>
      <w:tblPr>
        <w:tblStyle w:val="8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850"/>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trPr>
        <w:tc>
          <w:tcPr>
            <w:tcW w:w="1012" w:type="pct"/>
            <w:noWrap w:val="0"/>
            <w:vAlign w:val="center"/>
          </w:tcPr>
          <w:p>
            <w:pPr>
              <w:jc w:val="center"/>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评审项目</w:t>
            </w:r>
          </w:p>
        </w:tc>
        <w:tc>
          <w:tcPr>
            <w:tcW w:w="460" w:type="pct"/>
            <w:noWrap w:val="0"/>
            <w:vAlign w:val="center"/>
          </w:tcPr>
          <w:p>
            <w:pPr>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分值</w:t>
            </w:r>
          </w:p>
        </w:tc>
        <w:tc>
          <w:tcPr>
            <w:tcW w:w="3527" w:type="pct"/>
            <w:noWrap w:val="0"/>
            <w:vAlign w:val="center"/>
          </w:tcPr>
          <w:p>
            <w:pPr>
              <w:jc w:val="center"/>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012" w:type="pct"/>
            <w:noWrap w:val="0"/>
            <w:vAlign w:val="center"/>
          </w:tcPr>
          <w:p>
            <w:pPr>
              <w:jc w:val="center"/>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技术参数响应</w:t>
            </w:r>
          </w:p>
        </w:tc>
        <w:tc>
          <w:tcPr>
            <w:tcW w:w="460" w:type="pct"/>
            <w:noWrap w:val="0"/>
            <w:vAlign w:val="center"/>
          </w:tcPr>
          <w:p>
            <w:pPr>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38分</w:t>
            </w:r>
          </w:p>
        </w:tc>
        <w:tc>
          <w:tcPr>
            <w:tcW w:w="3527" w:type="pct"/>
            <w:noWrap w:val="0"/>
            <w:vAlign w:val="center"/>
          </w:tcPr>
          <w:p>
            <w:pPr>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技术参数满足招标文件要求得38分；技术条款每偏离一条扣除3分，最低得0分，最高得38分。(须提供产品佐证材料)。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12" w:type="pct"/>
            <w:noWrap w:val="0"/>
            <w:vAlign w:val="center"/>
          </w:tcPr>
          <w:p>
            <w:pPr>
              <w:jc w:val="center"/>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技术支持资料</w:t>
            </w:r>
          </w:p>
        </w:tc>
        <w:tc>
          <w:tcPr>
            <w:tcW w:w="460" w:type="pct"/>
            <w:noWrap w:val="0"/>
            <w:vAlign w:val="center"/>
          </w:tcPr>
          <w:p>
            <w:pPr>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6分</w:t>
            </w:r>
          </w:p>
        </w:tc>
        <w:tc>
          <w:tcPr>
            <w:tcW w:w="3527" w:type="pct"/>
            <w:noWrap w:val="0"/>
            <w:vAlign w:val="center"/>
          </w:tcPr>
          <w:p>
            <w:pPr>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有厂家授权文件及完整技术支持资料的得6分；无厂家授权文件扣3分，技术支持资料不完善扣3分，最低得0分，最高得6分。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trPr>
        <w:tc>
          <w:tcPr>
            <w:tcW w:w="1012" w:type="pct"/>
            <w:noWrap w:val="0"/>
            <w:vAlign w:val="center"/>
          </w:tcPr>
          <w:p>
            <w:pPr>
              <w:jc w:val="center"/>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投标产品性能</w:t>
            </w:r>
          </w:p>
        </w:tc>
        <w:tc>
          <w:tcPr>
            <w:tcW w:w="460" w:type="pct"/>
            <w:noWrap w:val="0"/>
            <w:vAlign w:val="center"/>
          </w:tcPr>
          <w:p>
            <w:pPr>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6分</w:t>
            </w:r>
          </w:p>
        </w:tc>
        <w:tc>
          <w:tcPr>
            <w:tcW w:w="3527" w:type="pct"/>
            <w:noWrap w:val="0"/>
            <w:vAlign w:val="center"/>
          </w:tcPr>
          <w:p>
            <w:pPr>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供应商在应标过程中应充分考虑用户需求，在产品选型过程中，提供的投标产品应是功能、质量、产品配置、性能优良，并满足用户对产品功能、质量、使用、操作等方面的需求</w:t>
            </w:r>
          </w:p>
          <w:p>
            <w:pPr>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可靠性、稳定性最匹配技术参数的投标产品得2分，一般的得1分。</w:t>
            </w:r>
          </w:p>
          <w:p>
            <w:pPr>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可操作性、可维护性最匹配招标文件要求的得2分，一般的得1分。</w:t>
            </w:r>
          </w:p>
          <w:p>
            <w:pPr>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产品性能优秀，施工工艺先进，综合评价优秀的得2分，综合评价一般得1分。</w:t>
            </w:r>
          </w:p>
          <w:p>
            <w:pPr>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最低得0分，最高得6分。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12" w:type="pct"/>
            <w:noWrap w:val="0"/>
            <w:vAlign w:val="center"/>
          </w:tcPr>
          <w:p>
            <w:pPr>
              <w:jc w:val="center"/>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实施方案</w:t>
            </w:r>
          </w:p>
        </w:tc>
        <w:tc>
          <w:tcPr>
            <w:tcW w:w="460" w:type="pct"/>
            <w:noWrap w:val="0"/>
            <w:vAlign w:val="center"/>
          </w:tcPr>
          <w:p>
            <w:pPr>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4分</w:t>
            </w:r>
          </w:p>
        </w:tc>
        <w:tc>
          <w:tcPr>
            <w:tcW w:w="3527" w:type="pct"/>
            <w:noWrap w:val="0"/>
            <w:vAlign w:val="center"/>
          </w:tcPr>
          <w:p>
            <w:pPr>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结合本项目基本情况，充分为采购人及用户考虑，包含但不限于实施进度、供货方案、质量保证、应急处置等。实施方案叙述详尽、安排合理、可行性高、针对性强，得4分，一般得3分：仅有实施方案，但叙述不完善，涉及内容少、可行性低、针对性弱，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12" w:type="pct"/>
            <w:noWrap w:val="0"/>
            <w:vAlign w:val="center"/>
          </w:tcPr>
          <w:p>
            <w:pPr>
              <w:jc w:val="center"/>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质量保证措施</w:t>
            </w:r>
          </w:p>
        </w:tc>
        <w:tc>
          <w:tcPr>
            <w:tcW w:w="460" w:type="pct"/>
            <w:noWrap w:val="0"/>
            <w:vAlign w:val="center"/>
          </w:tcPr>
          <w:p>
            <w:pPr>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4分</w:t>
            </w:r>
          </w:p>
        </w:tc>
        <w:tc>
          <w:tcPr>
            <w:tcW w:w="3527" w:type="pct"/>
            <w:noWrap w:val="0"/>
            <w:vAlign w:val="center"/>
          </w:tcPr>
          <w:p>
            <w:pPr>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有应急保障能力，质量保障措施详尽、完备、可行，得4分；质量保障措施较完备，可行性一般，得3分； 仅有质量保障措施，可行性差，安排不合理，得1分；未提供不得分。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012" w:type="pct"/>
            <w:noWrap w:val="0"/>
            <w:vAlign w:val="center"/>
          </w:tcPr>
          <w:p>
            <w:pPr>
              <w:jc w:val="center"/>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售后服务</w:t>
            </w:r>
          </w:p>
        </w:tc>
        <w:tc>
          <w:tcPr>
            <w:tcW w:w="460" w:type="pct"/>
            <w:noWrap w:val="0"/>
            <w:vAlign w:val="center"/>
          </w:tcPr>
          <w:p>
            <w:pPr>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4分</w:t>
            </w:r>
          </w:p>
        </w:tc>
        <w:tc>
          <w:tcPr>
            <w:tcW w:w="3527" w:type="pct"/>
            <w:noWrap w:val="0"/>
            <w:vAlign w:val="center"/>
          </w:tcPr>
          <w:p>
            <w:pPr>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售后服务及承诺：根据售后服务的可行性与完备性、服务保障体系的完善性、服务能力及承诺对招标要求的满足程度进行评分。</w:t>
            </w:r>
          </w:p>
          <w:p>
            <w:pPr>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售后服务标准严格、承诺详尽且完善、保障措施合理；可操作性强且优势明显得4分；</w:t>
            </w:r>
          </w:p>
          <w:p>
            <w:pPr>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售后服务描述全面、承诺详尽且完善、保障措施合理；可操作性较强且具有一定优势得3分；</w:t>
            </w:r>
          </w:p>
          <w:p>
            <w:pPr>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售后服务描述全面、承诺较详尽、保障措施较详尽，标准满足得2分；</w:t>
            </w:r>
          </w:p>
          <w:p>
            <w:pPr>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售后服务描述简单、保障措施描述简单、承诺内容不全面得1分；</w:t>
            </w:r>
          </w:p>
          <w:p>
            <w:pPr>
              <w:jc w:val="left"/>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无售后服务方案及承诺，无保障措施得0分。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72" w:type="pct"/>
            <w:gridSpan w:val="2"/>
            <w:noWrap w:val="0"/>
            <w:vAlign w:val="center"/>
          </w:tcPr>
          <w:p>
            <w:pPr>
              <w:jc w:val="center"/>
              <w:rPr>
                <w:rFonts w:hint="eastAsia" w:ascii="宋体" w:hAnsi="宋体"/>
                <w:b w:val="0"/>
                <w:bCs/>
                <w:color w:val="auto"/>
                <w:sz w:val="24"/>
                <w:highlight w:val="none"/>
                <w:lang w:val="en-US" w:eastAsia="zh-CN"/>
              </w:rPr>
            </w:pPr>
            <w:r>
              <w:rPr>
                <w:rFonts w:hint="eastAsia" w:ascii="宋体" w:hAnsi="宋体"/>
                <w:b w:val="0"/>
                <w:bCs/>
                <w:color w:val="auto"/>
                <w:sz w:val="24"/>
                <w:highlight w:val="none"/>
              </w:rPr>
              <w:t>小计</w:t>
            </w:r>
          </w:p>
        </w:tc>
        <w:tc>
          <w:tcPr>
            <w:tcW w:w="3527" w:type="pct"/>
            <w:noWrap w:val="0"/>
            <w:vAlign w:val="center"/>
          </w:tcPr>
          <w:p>
            <w:pPr>
              <w:jc w:val="center"/>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62</w:t>
            </w:r>
            <w:r>
              <w:rPr>
                <w:rFonts w:hint="eastAsia" w:ascii="宋体" w:hAnsi="宋体"/>
                <w:b w:val="0"/>
                <w:bCs/>
                <w:color w:val="auto"/>
                <w:sz w:val="24"/>
                <w:highlight w:val="none"/>
              </w:rPr>
              <w:t>分</w:t>
            </w:r>
          </w:p>
        </w:tc>
      </w:tr>
    </w:tbl>
    <w:p>
      <w:pPr>
        <w:rPr>
          <w:rFonts w:hint="eastAsia" w:ascii="宋体" w:hAnsi="宋体"/>
          <w:b/>
          <w:color w:val="auto"/>
          <w:sz w:val="24"/>
          <w:highlight w:val="none"/>
        </w:rPr>
      </w:pPr>
      <w:r>
        <w:rPr>
          <w:rFonts w:hint="eastAsia" w:ascii="宋体" w:hAnsi="宋体"/>
          <w:b/>
          <w:color w:val="auto"/>
          <w:sz w:val="24"/>
          <w:highlight w:val="none"/>
        </w:rPr>
        <w:br w:type="page"/>
      </w:r>
    </w:p>
    <w:p>
      <w:pPr>
        <w:spacing w:line="360" w:lineRule="auto"/>
        <w:rPr>
          <w:rFonts w:ascii="宋体" w:hAnsi="宋体"/>
          <w:bCs/>
          <w:color w:val="auto"/>
          <w:sz w:val="24"/>
          <w:highlight w:val="none"/>
        </w:rPr>
      </w:pPr>
      <w:r>
        <w:rPr>
          <w:rFonts w:hint="eastAsia" w:ascii="宋体" w:hAnsi="宋体"/>
          <w:b/>
          <w:color w:val="auto"/>
          <w:sz w:val="24"/>
          <w:highlight w:val="none"/>
        </w:rPr>
        <w:t>备注：</w:t>
      </w:r>
      <w:r>
        <w:rPr>
          <w:rFonts w:hint="eastAsia" w:ascii="宋体" w:hAnsi="宋体"/>
          <w:bCs/>
          <w:color w:val="auto"/>
          <w:sz w:val="24"/>
          <w:highlight w:val="none"/>
        </w:rPr>
        <w:t>1、供应商提供的所有数据及材料，必须真实有效，如实地考察发现弄虚作假，取消中标资格，并列入</w:t>
      </w:r>
      <w:r>
        <w:rPr>
          <w:rFonts w:hint="eastAsia" w:ascii="宋体" w:hAnsi="宋体"/>
          <w:bCs/>
          <w:color w:val="auto"/>
          <w:sz w:val="24"/>
          <w:highlight w:val="none"/>
          <w:lang w:eastAsia="zh-CN"/>
        </w:rPr>
        <w:t>乌鲁木齐市林业有害生物防治检疫站（乌鲁木齐市草原监理站）</w:t>
      </w:r>
      <w:r>
        <w:rPr>
          <w:rFonts w:hint="eastAsia" w:ascii="宋体" w:hAnsi="宋体"/>
          <w:bCs/>
          <w:color w:val="auto"/>
          <w:sz w:val="24"/>
          <w:highlight w:val="none"/>
        </w:rPr>
        <w:t>招投标黑名单。</w:t>
      </w:r>
    </w:p>
    <w:p>
      <w:pPr>
        <w:pStyle w:val="80"/>
        <w:jc w:val="center"/>
        <w:rPr>
          <w:rFonts w:ascii="宋体" w:hAnsi="宋体"/>
          <w:b/>
          <w:color w:val="auto"/>
          <w:sz w:val="24"/>
          <w:highlight w:val="none"/>
        </w:rPr>
      </w:pPr>
    </w:p>
    <w:p>
      <w:pPr>
        <w:pStyle w:val="80"/>
        <w:jc w:val="both"/>
        <w:rPr>
          <w:rFonts w:ascii="宋体" w:hAnsi="宋体"/>
          <w:bCs/>
          <w:color w:val="auto"/>
          <w:sz w:val="24"/>
          <w:highlight w:val="none"/>
        </w:rPr>
      </w:pPr>
      <w:r>
        <w:rPr>
          <w:rFonts w:hint="eastAsia" w:ascii="宋体" w:hAnsi="宋体"/>
          <w:b/>
          <w:color w:val="auto"/>
          <w:sz w:val="24"/>
          <w:highlight w:val="none"/>
        </w:rPr>
        <w:t xml:space="preserve"> </w:t>
      </w:r>
      <w:r>
        <w:rPr>
          <w:rFonts w:hint="eastAsia" w:ascii="宋体"/>
          <w:b/>
          <w:color w:val="auto"/>
          <w:sz w:val="24"/>
          <w:highlight w:val="none"/>
        </w:rPr>
        <w:t xml:space="preserve"> </w:t>
      </w:r>
    </w:p>
    <w:p>
      <w:pPr>
        <w:rPr>
          <w:rFonts w:hint="eastAsia" w:ascii="宋体"/>
          <w:color w:val="auto"/>
          <w:sz w:val="32"/>
          <w:szCs w:val="32"/>
          <w:highlight w:val="none"/>
        </w:rPr>
      </w:pPr>
      <w:bookmarkStart w:id="5" w:name="_Toc501639726"/>
      <w:r>
        <w:rPr>
          <w:rFonts w:hint="eastAsia" w:ascii="宋体"/>
          <w:color w:val="auto"/>
          <w:sz w:val="32"/>
          <w:szCs w:val="32"/>
          <w:highlight w:val="none"/>
        </w:rPr>
        <w:br w:type="page"/>
      </w:r>
    </w:p>
    <w:p>
      <w:pPr>
        <w:pStyle w:val="4"/>
        <w:spacing w:before="0" w:after="0" w:line="240" w:lineRule="auto"/>
        <w:ind w:firstLine="3200" w:firstLineChars="1000"/>
        <w:rPr>
          <w:rFonts w:ascii="宋体"/>
          <w:color w:val="auto"/>
          <w:sz w:val="32"/>
          <w:szCs w:val="32"/>
          <w:highlight w:val="none"/>
        </w:rPr>
      </w:pPr>
      <w:r>
        <w:rPr>
          <w:rFonts w:hint="eastAsia" w:ascii="宋体"/>
          <w:color w:val="auto"/>
          <w:sz w:val="32"/>
          <w:szCs w:val="32"/>
          <w:highlight w:val="none"/>
        </w:rPr>
        <w:t>第六章 合同条款</w:t>
      </w:r>
      <w:bookmarkEnd w:id="5"/>
      <w:bookmarkStart w:id="6" w:name="_Toc497666658"/>
      <w:bookmarkStart w:id="7" w:name="_Toc380404622"/>
      <w:r>
        <w:rPr>
          <w:rFonts w:hint="eastAsia" w:ascii="宋体"/>
          <w:color w:val="auto"/>
          <w:sz w:val="32"/>
          <w:szCs w:val="32"/>
          <w:highlight w:val="none"/>
        </w:rPr>
        <w:t>草案</w:t>
      </w:r>
    </w:p>
    <w:bookmarkEnd w:id="6"/>
    <w:bookmarkEnd w:id="7"/>
    <w:p>
      <w:pPr>
        <w:spacing w:line="360" w:lineRule="auto"/>
        <w:ind w:firstLine="480" w:firstLineChars="200"/>
        <w:jc w:val="lef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采购人（需</w:t>
      </w:r>
      <w:r>
        <w:rPr>
          <w:rFonts w:hint="eastAsia" w:ascii="宋体" w:hAnsi="宋体"/>
          <w:color w:val="auto"/>
          <w:sz w:val="24"/>
          <w:highlight w:val="none"/>
        </w:rPr>
        <w:t>求</w:t>
      </w:r>
      <w:r>
        <w:rPr>
          <w:rFonts w:ascii="宋体" w:hAnsi="宋体"/>
          <w:color w:val="auto"/>
          <w:sz w:val="24"/>
          <w:highlight w:val="none"/>
        </w:rPr>
        <w:t>方）：</w:t>
      </w:r>
    </w:p>
    <w:p>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中标人（供货</w:t>
      </w:r>
      <w:r>
        <w:rPr>
          <w:rFonts w:hint="eastAsia" w:ascii="宋体" w:hAnsi="宋体"/>
          <w:color w:val="auto"/>
          <w:sz w:val="24"/>
          <w:highlight w:val="none"/>
        </w:rPr>
        <w:t>方</w:t>
      </w:r>
      <w:r>
        <w:rPr>
          <w:rFonts w:ascii="宋体" w:hAnsi="宋体"/>
          <w:color w:val="auto"/>
          <w:sz w:val="24"/>
          <w:highlight w:val="none"/>
        </w:rPr>
        <w:t>）：</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地址：</w:t>
      </w:r>
    </w:p>
    <w:p>
      <w:pPr>
        <w:widowControl w:val="0"/>
        <w:spacing w:line="360" w:lineRule="auto"/>
        <w:ind w:firstLine="350" w:firstLineChars="146"/>
        <w:jc w:val="both"/>
        <w:rPr>
          <w:rFonts w:hint="eastAsia" w:ascii="Calibri" w:hAnsi="Calibri" w:eastAsia="宋体" w:cs="Times New Roman"/>
          <w:kern w:val="2"/>
          <w:sz w:val="24"/>
          <w:szCs w:val="22"/>
          <w:highlight w:val="none"/>
          <w:lang w:val="en-US" w:eastAsia="zh-CN" w:bidi="ar-SA"/>
        </w:rPr>
      </w:pPr>
      <w:r>
        <w:rPr>
          <w:rFonts w:hint="eastAsia" w:ascii="Calibri" w:hAnsi="Calibri" w:eastAsia="宋体" w:cs="Times New Roman"/>
          <w:kern w:val="2"/>
          <w:sz w:val="24"/>
          <w:szCs w:val="22"/>
          <w:highlight w:val="none"/>
          <w:lang w:val="en-US" w:eastAsia="zh-CN" w:bidi="ar-SA"/>
        </w:rPr>
        <w:t>甲方所需服务及相关服务在国内以公开招标方式进行采购，经评标委员会评审，确定乙方为中标人。甲、乙双方根据《中华人民共和国政府采购法》、《中华人民共和国民法典》等相关法律以及本项目采购文件的规定，经平等协商达成合同如下：</w:t>
      </w:r>
    </w:p>
    <w:p>
      <w:pPr>
        <w:widowControl w:val="0"/>
        <w:spacing w:line="360" w:lineRule="auto"/>
        <w:ind w:firstLine="470" w:firstLineChars="196"/>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b/>
          <w:bCs/>
          <w:kern w:val="2"/>
          <w:sz w:val="24"/>
          <w:szCs w:val="22"/>
          <w:highlight w:val="none"/>
          <w:lang w:val="en-US" w:eastAsia="zh-CN" w:bidi="ar-SA"/>
        </w:rPr>
        <w:t>一、合同文件</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本合同所附下列文件是构成本合同不可分割的部分：</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（一）本项目采购文件</w:t>
      </w:r>
    </w:p>
    <w:p>
      <w:pPr>
        <w:widowControl w:val="0"/>
        <w:spacing w:line="360" w:lineRule="auto"/>
        <w:ind w:firstLine="480" w:firstLineChars="200"/>
        <w:jc w:val="both"/>
        <w:rPr>
          <w:rFonts w:hint="eastAsia" w:ascii="Calibri" w:hAnsi="Calibri"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（二）中标人响应文件</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（三）本合同格式及有关合同条款</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（四）中标人在评标过程中做出的有关澄清、说明或者补正文件</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（五）中标通知书</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（六）本合同附件</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b/>
          <w:bCs/>
          <w:kern w:val="2"/>
          <w:sz w:val="24"/>
          <w:szCs w:val="22"/>
          <w:highlight w:val="none"/>
          <w:lang w:val="en-US" w:eastAsia="zh-CN" w:bidi="ar-SA"/>
        </w:rPr>
        <w:t>二、合同的范围和条件</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本合同的范围和条件应与上述合同文件的规定相一致。</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b/>
          <w:bCs/>
          <w:kern w:val="2"/>
          <w:sz w:val="24"/>
          <w:szCs w:val="22"/>
          <w:highlight w:val="none"/>
          <w:lang w:val="en-US" w:eastAsia="zh-CN" w:bidi="ar-SA"/>
        </w:rPr>
        <w:t>三、服务、数量及规格</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本合同乙方所提供的服务、数量及规格详见合同服务清单（附件）。</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b/>
          <w:bCs/>
          <w:kern w:val="2"/>
          <w:sz w:val="24"/>
          <w:szCs w:val="22"/>
          <w:highlight w:val="none"/>
          <w:lang w:val="en-US" w:eastAsia="zh-CN" w:bidi="ar-SA"/>
        </w:rPr>
        <w:t>四、合同金额</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根据上述合同文件要求，合同金额为人民币</w:t>
      </w:r>
      <w:r>
        <w:rPr>
          <w:rFonts w:hint="eastAsia" w:ascii="宋体" w:hAnsi="宋体" w:eastAsia="宋体" w:cs="Times New Roman"/>
          <w:kern w:val="2"/>
          <w:sz w:val="24"/>
          <w:szCs w:val="22"/>
          <w:highlight w:val="none"/>
          <w:u w:val="single"/>
          <w:lang w:val="en-US" w:eastAsia="zh-CN" w:bidi="ar-SA"/>
        </w:rPr>
        <w:t xml:space="preserve">         </w:t>
      </w:r>
      <w:r>
        <w:rPr>
          <w:rFonts w:hint="eastAsia" w:ascii="宋体" w:hAnsi="宋体" w:eastAsia="宋体" w:cs="Times New Roman"/>
          <w:kern w:val="2"/>
          <w:sz w:val="24"/>
          <w:szCs w:val="22"/>
          <w:highlight w:val="none"/>
          <w:lang w:val="en-US" w:eastAsia="zh-CN" w:bidi="ar-SA"/>
        </w:rPr>
        <w:t>元，大写：</w:t>
      </w:r>
      <w:r>
        <w:rPr>
          <w:rFonts w:hint="eastAsia" w:ascii="宋体" w:hAnsi="宋体" w:eastAsia="宋体" w:cs="Times New Roman"/>
          <w:kern w:val="2"/>
          <w:sz w:val="24"/>
          <w:szCs w:val="22"/>
          <w:highlight w:val="none"/>
          <w:u w:val="single"/>
          <w:lang w:val="en-US" w:eastAsia="zh-CN" w:bidi="ar-SA"/>
        </w:rPr>
        <w:t xml:space="preserve">         </w:t>
      </w:r>
      <w:r>
        <w:rPr>
          <w:rFonts w:hint="eastAsia" w:ascii="宋体" w:hAnsi="宋体" w:eastAsia="宋体" w:cs="Times New Roman"/>
          <w:kern w:val="2"/>
          <w:sz w:val="24"/>
          <w:szCs w:val="22"/>
          <w:highlight w:val="none"/>
          <w:lang w:val="en-US" w:eastAsia="zh-CN" w:bidi="ar-SA"/>
        </w:rPr>
        <w:t>。（分项价格详见合同服务清单）。</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乙方开户单位：</w:t>
      </w:r>
    </w:p>
    <w:p>
      <w:pPr>
        <w:widowControl w:val="0"/>
        <w:spacing w:line="360" w:lineRule="auto"/>
        <w:ind w:firstLine="480" w:firstLineChars="200"/>
        <w:jc w:val="both"/>
        <w:rPr>
          <w:rFonts w:ascii="宋体" w:hAnsi="宋体"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开户银行：</w:t>
      </w:r>
    </w:p>
    <w:p>
      <w:pPr>
        <w:widowControl w:val="0"/>
        <w:spacing w:line="360" w:lineRule="auto"/>
        <w:ind w:firstLine="480" w:firstLineChars="200"/>
        <w:jc w:val="both"/>
        <w:rPr>
          <w:rFonts w:hint="eastAsia" w:ascii="Calibri" w:hAnsi="Calibri"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帐号：</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b/>
          <w:bCs/>
          <w:kern w:val="2"/>
          <w:sz w:val="24"/>
          <w:szCs w:val="22"/>
          <w:highlight w:val="none"/>
          <w:lang w:val="en-US" w:eastAsia="zh-CN" w:bidi="ar-SA"/>
        </w:rPr>
        <w:t>五、付款途径</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 国库集中支付      □甲方支付      □ 国库与甲方共同支付</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 财政性资金</w:t>
      </w:r>
      <w:r>
        <w:rPr>
          <w:rFonts w:hint="eastAsia" w:ascii="宋体" w:hAnsi="宋体" w:eastAsia="宋体" w:cs="Times New Roman"/>
          <w:kern w:val="2"/>
          <w:sz w:val="24"/>
          <w:szCs w:val="22"/>
          <w:highlight w:val="none"/>
          <w:u w:val="single"/>
          <w:lang w:val="en-US" w:eastAsia="zh-CN" w:bidi="ar-SA"/>
        </w:rPr>
        <w:t xml:space="preserve">       </w:t>
      </w:r>
      <w:r>
        <w:rPr>
          <w:rFonts w:hint="eastAsia" w:ascii="宋体" w:hAnsi="宋体" w:eastAsia="宋体" w:cs="Times New Roman"/>
          <w:kern w:val="2"/>
          <w:sz w:val="24"/>
          <w:szCs w:val="22"/>
          <w:highlight w:val="none"/>
          <w:lang w:val="en-US" w:eastAsia="zh-CN" w:bidi="ar-SA"/>
        </w:rPr>
        <w:t>元          □ 自筹性资金</w:t>
      </w:r>
      <w:r>
        <w:rPr>
          <w:rFonts w:hint="eastAsia" w:ascii="宋体" w:hAnsi="宋体" w:eastAsia="宋体" w:cs="Times New Roman"/>
          <w:kern w:val="2"/>
          <w:sz w:val="24"/>
          <w:szCs w:val="22"/>
          <w:highlight w:val="none"/>
          <w:u w:val="single"/>
          <w:lang w:val="en-US" w:eastAsia="zh-CN" w:bidi="ar-SA"/>
        </w:rPr>
        <w:t xml:space="preserve">         </w:t>
      </w:r>
      <w:r>
        <w:rPr>
          <w:rFonts w:hint="eastAsia" w:ascii="宋体" w:hAnsi="宋体" w:eastAsia="宋体" w:cs="Times New Roman"/>
          <w:kern w:val="2"/>
          <w:sz w:val="24"/>
          <w:szCs w:val="22"/>
          <w:highlight w:val="none"/>
          <w:lang w:val="en-US" w:eastAsia="zh-CN" w:bidi="ar-SA"/>
        </w:rPr>
        <w:t>元</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属国库集中支付的财政性资金，甲方应按合同约定的付款期限，通过《新疆生产建设兵团政府采购管理系统》及时向财政部门报送资金支付申请，财政部门对支付申请审核无误后，将货款直接支付至乙方账户。</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b/>
          <w:bCs/>
          <w:kern w:val="2"/>
          <w:sz w:val="24"/>
          <w:szCs w:val="22"/>
          <w:highlight w:val="none"/>
          <w:lang w:val="en-US" w:eastAsia="zh-CN" w:bidi="ar-SA"/>
        </w:rPr>
        <w:t>六、付款方式</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bCs/>
          <w:kern w:val="2"/>
          <w:sz w:val="24"/>
          <w:szCs w:val="22"/>
          <w:highlight w:val="none"/>
          <w:lang w:val="en-US" w:eastAsia="zh-CN" w:bidi="ar-SA"/>
        </w:rPr>
        <w:t>付款方式：</w:t>
      </w:r>
      <w:r>
        <w:rPr>
          <w:rFonts w:hint="eastAsia" w:ascii="宋体" w:hAnsi="宋体" w:eastAsia="宋体" w:cs="Times New Roman"/>
          <w:kern w:val="2"/>
          <w:sz w:val="24"/>
          <w:szCs w:val="22"/>
          <w:highlight w:val="none"/>
          <w:u w:val="single"/>
          <w:lang w:val="en-US" w:eastAsia="zh-CN" w:bidi="ar-SA"/>
        </w:rPr>
        <w:t xml:space="preserve">                                                    </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b/>
          <w:bCs/>
          <w:kern w:val="2"/>
          <w:sz w:val="24"/>
          <w:szCs w:val="22"/>
          <w:highlight w:val="none"/>
          <w:lang w:val="en-US" w:eastAsia="zh-CN" w:bidi="ar-SA"/>
        </w:rPr>
        <w:t>七、交付日期、地点和保修期</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1、交付日期：合同生效之日起</w:t>
      </w:r>
      <w:r>
        <w:rPr>
          <w:rFonts w:hint="eastAsia" w:ascii="宋体" w:hAnsi="宋体" w:eastAsia="宋体" w:cs="Times New Roman"/>
          <w:kern w:val="2"/>
          <w:sz w:val="24"/>
          <w:szCs w:val="22"/>
          <w:highlight w:val="none"/>
          <w:u w:val="single"/>
          <w:lang w:val="en-US" w:eastAsia="zh-CN" w:bidi="ar-SA"/>
        </w:rPr>
        <w:t xml:space="preserve">        </w:t>
      </w:r>
      <w:r>
        <w:rPr>
          <w:rFonts w:hint="eastAsia" w:ascii="宋体" w:hAnsi="宋体" w:eastAsia="宋体" w:cs="Times New Roman"/>
          <w:kern w:val="2"/>
          <w:sz w:val="24"/>
          <w:szCs w:val="22"/>
          <w:highlight w:val="none"/>
          <w:lang w:val="en-US" w:eastAsia="zh-CN" w:bidi="ar-SA"/>
        </w:rPr>
        <w:t>日内交付。</w:t>
      </w:r>
    </w:p>
    <w:p>
      <w:pPr>
        <w:widowControl w:val="0"/>
        <w:spacing w:line="360" w:lineRule="auto"/>
        <w:ind w:firstLine="480" w:firstLineChars="200"/>
        <w:jc w:val="both"/>
        <w:rPr>
          <w:rFonts w:ascii="宋体" w:hAnsi="宋体" w:eastAsia="宋体" w:cs="Times New Roman"/>
          <w:kern w:val="2"/>
          <w:sz w:val="24"/>
          <w:szCs w:val="22"/>
          <w:highlight w:val="none"/>
          <w:u w:val="single"/>
          <w:lang w:val="en-US" w:eastAsia="zh-CN" w:bidi="ar-SA"/>
        </w:rPr>
      </w:pPr>
      <w:r>
        <w:rPr>
          <w:rFonts w:hint="eastAsia" w:ascii="宋体" w:hAnsi="宋体" w:eastAsia="宋体" w:cs="Times New Roman"/>
          <w:kern w:val="2"/>
          <w:sz w:val="24"/>
          <w:szCs w:val="22"/>
          <w:highlight w:val="none"/>
          <w:lang w:val="en-US" w:eastAsia="zh-CN" w:bidi="ar-SA"/>
        </w:rPr>
        <w:t>2、交付地点：</w:t>
      </w:r>
      <w:r>
        <w:rPr>
          <w:rFonts w:hint="eastAsia" w:ascii="宋体" w:hAnsi="宋体" w:eastAsia="宋体" w:cs="Times New Roman"/>
          <w:kern w:val="2"/>
          <w:sz w:val="24"/>
          <w:szCs w:val="22"/>
          <w:highlight w:val="none"/>
          <w:u w:val="single"/>
          <w:lang w:val="en-US" w:eastAsia="zh-CN" w:bidi="ar-SA"/>
        </w:rPr>
        <w:t xml:space="preserve">                                                 </w:t>
      </w:r>
    </w:p>
    <w:p>
      <w:pPr>
        <w:widowControl w:val="0"/>
        <w:spacing w:line="360" w:lineRule="auto"/>
        <w:ind w:firstLine="480" w:firstLineChars="200"/>
        <w:jc w:val="both"/>
        <w:rPr>
          <w:rFonts w:hint="eastAsia" w:ascii="Calibri" w:hAnsi="Calibri"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3、保修期：</w:t>
      </w:r>
      <w:r>
        <w:rPr>
          <w:rFonts w:hint="eastAsia" w:ascii="宋体" w:hAnsi="宋体" w:eastAsia="宋体" w:cs="Times New Roman"/>
          <w:kern w:val="2"/>
          <w:sz w:val="24"/>
          <w:szCs w:val="22"/>
          <w:highlight w:val="none"/>
          <w:u w:val="single"/>
          <w:lang w:val="en-US" w:eastAsia="zh-CN" w:bidi="ar-SA"/>
        </w:rPr>
        <w:t xml:space="preserve">                                                   </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b/>
          <w:bCs/>
          <w:kern w:val="2"/>
          <w:sz w:val="24"/>
          <w:szCs w:val="22"/>
          <w:highlight w:val="none"/>
          <w:lang w:val="en-US" w:eastAsia="zh-CN" w:bidi="ar-SA"/>
        </w:rPr>
        <w:t>八、合同生效</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本合同经甲乙双方签字盖章生效。</w:t>
      </w:r>
    </w:p>
    <w:p>
      <w:pPr>
        <w:widowControl w:val="0"/>
        <w:spacing w:line="360" w:lineRule="auto"/>
        <w:ind w:firstLine="480" w:firstLineChars="200"/>
        <w:jc w:val="both"/>
        <w:rPr>
          <w:rFonts w:ascii="Calibri" w:hAnsi="Calibri" w:eastAsia="宋体" w:cs="Times New Roman"/>
          <w:kern w:val="2"/>
          <w:sz w:val="24"/>
          <w:szCs w:val="22"/>
          <w:highlight w:val="none"/>
          <w:lang w:val="en-US" w:eastAsia="zh-CN" w:bidi="ar-SA"/>
        </w:rPr>
      </w:pPr>
      <w:r>
        <w:rPr>
          <w:rFonts w:hint="eastAsia" w:ascii="宋体" w:hAnsi="宋体" w:eastAsia="宋体" w:cs="Times New Roman"/>
          <w:b/>
          <w:bCs/>
          <w:kern w:val="2"/>
          <w:sz w:val="24"/>
          <w:szCs w:val="22"/>
          <w:highlight w:val="none"/>
          <w:lang w:val="en-US" w:eastAsia="zh-CN" w:bidi="ar-SA"/>
        </w:rPr>
        <w:t>九、合同保存</w:t>
      </w:r>
    </w:p>
    <w:p>
      <w:pPr>
        <w:widowControl w:val="0"/>
        <w:spacing w:line="360" w:lineRule="auto"/>
        <w:ind w:firstLine="480" w:firstLineChars="200"/>
        <w:jc w:val="both"/>
        <w:rPr>
          <w:rFonts w:ascii="宋体" w:hAnsi="宋体"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本合同一式四份，甲方一份，乙方一份，采购代理机构一份，甲方同级财政部门一份。</w:t>
      </w:r>
    </w:p>
    <w:p>
      <w:pPr>
        <w:widowControl w:val="0"/>
        <w:spacing w:line="360" w:lineRule="auto"/>
        <w:ind w:firstLine="480" w:firstLineChars="200"/>
        <w:jc w:val="both"/>
        <w:rPr>
          <w:rFonts w:hint="eastAsia" w:ascii="宋体" w:hAnsi="宋体" w:eastAsia="宋体" w:cs="Times New Roman"/>
          <w:b/>
          <w:kern w:val="2"/>
          <w:sz w:val="24"/>
          <w:szCs w:val="22"/>
          <w:highlight w:val="none"/>
          <w:lang w:val="en-US" w:eastAsia="zh-CN" w:bidi="ar-SA"/>
        </w:rPr>
      </w:pPr>
      <w:r>
        <w:rPr>
          <w:rFonts w:hint="eastAsia" w:ascii="宋体" w:hAnsi="宋体" w:eastAsia="宋体" w:cs="Times New Roman"/>
          <w:b/>
          <w:kern w:val="2"/>
          <w:sz w:val="24"/>
          <w:szCs w:val="22"/>
          <w:highlight w:val="none"/>
          <w:lang w:val="en-US" w:eastAsia="zh-CN" w:bidi="ar-SA"/>
        </w:rPr>
        <w:t>十、其他事项</w:t>
      </w:r>
    </w:p>
    <w:p>
      <w:pPr>
        <w:widowControl w:val="0"/>
        <w:spacing w:line="360" w:lineRule="auto"/>
        <w:ind w:firstLine="480" w:firstLineChars="200"/>
        <w:jc w:val="both"/>
        <w:rPr>
          <w:rFonts w:hint="eastAsia" w:ascii="宋体" w:hAnsi="宋体"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其他未明事项，由双方本着平等自愿、互利共赢、合法规范原则协商确定。具体内容另附附件。</w:t>
      </w:r>
    </w:p>
    <w:p>
      <w:pPr>
        <w:widowControl w:val="0"/>
        <w:spacing w:line="360" w:lineRule="auto"/>
        <w:ind w:firstLine="480" w:firstLineChars="200"/>
        <w:jc w:val="left"/>
        <w:rPr>
          <w:rFonts w:hint="eastAsia" w:ascii="宋体" w:hAnsi="宋体" w:eastAsia="宋体" w:cs="Times New Roman"/>
          <w:kern w:val="2"/>
          <w:sz w:val="24"/>
          <w:szCs w:val="22"/>
          <w:highlight w:val="none"/>
          <w:lang w:val="en-US" w:eastAsia="zh-CN" w:bidi="ar-SA"/>
        </w:rPr>
      </w:pPr>
    </w:p>
    <w:p>
      <w:pPr>
        <w:widowControl w:val="0"/>
        <w:spacing w:line="360" w:lineRule="auto"/>
        <w:ind w:firstLine="480" w:firstLineChars="200"/>
        <w:jc w:val="left"/>
        <w:rPr>
          <w:rFonts w:hint="eastAsia" w:ascii="宋体" w:hAnsi="宋体" w:eastAsia="宋体" w:cs="Times New Roman"/>
          <w:kern w:val="2"/>
          <w:sz w:val="24"/>
          <w:szCs w:val="22"/>
          <w:highlight w:val="none"/>
          <w:lang w:val="en-US" w:eastAsia="zh-CN" w:bidi="ar-SA"/>
        </w:rPr>
      </w:pPr>
    </w:p>
    <w:p>
      <w:pPr>
        <w:spacing w:line="360" w:lineRule="auto"/>
        <w:ind w:firstLine="480" w:firstLineChars="200"/>
        <w:jc w:val="left"/>
        <w:rPr>
          <w:rFonts w:ascii="宋体" w:hAnsi="宋体" w:eastAsia="宋体" w:cs="宋体"/>
          <w:sz w:val="24"/>
          <w:szCs w:val="22"/>
          <w:highlight w:val="none"/>
        </w:rPr>
      </w:pPr>
    </w:p>
    <w:p>
      <w:pPr>
        <w:spacing w:line="360" w:lineRule="auto"/>
        <w:jc w:val="left"/>
        <w:rPr>
          <w:rFonts w:ascii="宋体" w:hAnsi="宋体" w:eastAsia="宋体" w:cs="宋体"/>
          <w:b/>
          <w:sz w:val="24"/>
          <w:szCs w:val="22"/>
          <w:highlight w:val="none"/>
        </w:rPr>
      </w:pPr>
      <w:r>
        <w:rPr>
          <w:rFonts w:hint="eastAsia" w:ascii="宋体" w:hAnsi="宋体" w:eastAsia="宋体" w:cs="宋体"/>
          <w:b/>
          <w:sz w:val="24"/>
          <w:szCs w:val="22"/>
          <w:highlight w:val="none"/>
        </w:rPr>
        <w:t>甲    方：                            乙    方：</w:t>
      </w:r>
    </w:p>
    <w:p>
      <w:pPr>
        <w:spacing w:line="360" w:lineRule="auto"/>
        <w:jc w:val="left"/>
        <w:rPr>
          <w:rFonts w:ascii="宋体" w:hAnsi="宋体" w:eastAsia="宋体" w:cs="宋体"/>
          <w:sz w:val="24"/>
          <w:szCs w:val="22"/>
          <w:highlight w:val="none"/>
        </w:rPr>
      </w:pPr>
      <w:r>
        <w:rPr>
          <w:rFonts w:hint="eastAsia" w:ascii="宋体" w:hAnsi="宋体" w:eastAsia="宋体" w:cs="宋体"/>
          <w:sz w:val="24"/>
          <w:szCs w:val="22"/>
          <w:highlight w:val="none"/>
        </w:rPr>
        <w:t>单位名称(公章)：                      单位名称(公章)：</w:t>
      </w:r>
    </w:p>
    <w:p>
      <w:pPr>
        <w:spacing w:line="360" w:lineRule="auto"/>
        <w:jc w:val="left"/>
        <w:rPr>
          <w:rFonts w:ascii="宋体" w:hAnsi="宋体" w:eastAsia="宋体" w:cs="宋体"/>
          <w:sz w:val="24"/>
          <w:szCs w:val="22"/>
          <w:highlight w:val="none"/>
        </w:rPr>
      </w:pPr>
    </w:p>
    <w:p>
      <w:pPr>
        <w:spacing w:line="360" w:lineRule="auto"/>
        <w:jc w:val="left"/>
        <w:rPr>
          <w:rFonts w:ascii="宋体" w:hAnsi="宋体" w:eastAsia="宋体" w:cs="宋体"/>
          <w:sz w:val="24"/>
          <w:szCs w:val="22"/>
          <w:highlight w:val="none"/>
        </w:rPr>
      </w:pPr>
      <w:r>
        <w:rPr>
          <w:rFonts w:hint="eastAsia" w:ascii="宋体" w:hAnsi="宋体" w:eastAsia="宋体" w:cs="宋体"/>
          <w:sz w:val="24"/>
          <w:szCs w:val="22"/>
          <w:highlight w:val="none"/>
        </w:rPr>
        <w:t>法定代表人或授权代理人：（签字）       法定代表人或授权代理人：（签字）</w:t>
      </w:r>
    </w:p>
    <w:p>
      <w:pPr>
        <w:spacing w:line="360" w:lineRule="auto"/>
        <w:jc w:val="left"/>
        <w:rPr>
          <w:rFonts w:ascii="宋体" w:hAnsi="宋体" w:eastAsia="宋体" w:cs="宋体"/>
          <w:sz w:val="24"/>
          <w:szCs w:val="22"/>
          <w:highlight w:val="none"/>
        </w:rPr>
      </w:pPr>
    </w:p>
    <w:p>
      <w:pPr>
        <w:spacing w:line="360" w:lineRule="auto"/>
        <w:jc w:val="left"/>
        <w:rPr>
          <w:rFonts w:ascii="宋体" w:hAnsi="宋体" w:eastAsia="宋体" w:cs="宋体"/>
          <w:sz w:val="24"/>
          <w:szCs w:val="22"/>
          <w:highlight w:val="none"/>
        </w:rPr>
      </w:pPr>
      <w:r>
        <w:rPr>
          <w:rFonts w:hint="eastAsia" w:ascii="宋体" w:hAnsi="宋体" w:eastAsia="宋体" w:cs="宋体"/>
          <w:sz w:val="24"/>
          <w:szCs w:val="22"/>
          <w:highlight w:val="none"/>
        </w:rPr>
        <w:t>电    话：                            电    话：</w:t>
      </w:r>
    </w:p>
    <w:p>
      <w:pPr>
        <w:spacing w:line="360" w:lineRule="auto"/>
        <w:jc w:val="left"/>
        <w:rPr>
          <w:rFonts w:ascii="宋体" w:hAnsi="宋体" w:eastAsia="宋体" w:cs="宋体"/>
          <w:sz w:val="24"/>
          <w:szCs w:val="22"/>
          <w:highlight w:val="none"/>
        </w:rPr>
      </w:pPr>
      <w:r>
        <w:rPr>
          <w:rFonts w:hint="eastAsia" w:ascii="宋体" w:hAnsi="宋体" w:eastAsia="宋体" w:cs="宋体"/>
          <w:sz w:val="24"/>
          <w:szCs w:val="22"/>
          <w:highlight w:val="none"/>
        </w:rPr>
        <w:t>签订日期：                            签订日期：</w:t>
      </w:r>
    </w:p>
    <w:p>
      <w:pPr>
        <w:rPr>
          <w:rFonts w:ascii="宋体"/>
          <w:b/>
          <w:color w:val="auto"/>
          <w:sz w:val="24"/>
          <w:highlight w:val="none"/>
        </w:rPr>
      </w:pPr>
    </w:p>
    <w:p>
      <w:pPr>
        <w:pStyle w:val="4"/>
        <w:rPr>
          <w:color w:val="auto"/>
          <w:highlight w:val="none"/>
        </w:rPr>
      </w:pPr>
    </w:p>
    <w:p>
      <w:pPr>
        <w:rPr>
          <w:rFonts w:ascii="宋体"/>
          <w:color w:val="auto"/>
          <w:sz w:val="32"/>
          <w:szCs w:val="32"/>
          <w:highlight w:val="none"/>
        </w:rPr>
      </w:pPr>
      <w:r>
        <w:rPr>
          <w:rFonts w:hint="eastAsia" w:ascii="宋体"/>
          <w:color w:val="auto"/>
          <w:sz w:val="32"/>
          <w:szCs w:val="32"/>
          <w:highlight w:val="none"/>
        </w:rPr>
        <w:br w:type="page"/>
      </w:r>
    </w:p>
    <w:p>
      <w:pPr>
        <w:pStyle w:val="4"/>
        <w:tabs>
          <w:tab w:val="center" w:pos="6350"/>
        </w:tabs>
        <w:spacing w:before="0" w:after="0" w:line="240" w:lineRule="auto"/>
        <w:ind w:firstLine="2880" w:firstLineChars="900"/>
        <w:rPr>
          <w:rFonts w:ascii="宋体"/>
          <w:color w:val="auto"/>
          <w:sz w:val="30"/>
          <w:szCs w:val="30"/>
          <w:highlight w:val="none"/>
        </w:rPr>
      </w:pPr>
      <w:r>
        <w:rPr>
          <w:rFonts w:hint="eastAsia" w:ascii="宋体"/>
          <w:color w:val="auto"/>
          <w:sz w:val="32"/>
          <w:szCs w:val="32"/>
          <w:highlight w:val="none"/>
        </w:rPr>
        <w:t>第七章  投标文件格式</w:t>
      </w:r>
    </w:p>
    <w:p>
      <w:pPr>
        <w:jc w:val="right"/>
        <w:rPr>
          <w:rFonts w:ascii="宋体"/>
          <w:b/>
          <w:color w:val="auto"/>
          <w:sz w:val="30"/>
          <w:szCs w:val="30"/>
          <w:highlight w:val="none"/>
        </w:rPr>
      </w:pPr>
      <w:r>
        <w:rPr>
          <w:rFonts w:hint="eastAsia" w:ascii="宋体"/>
          <w:b/>
          <w:color w:val="auto"/>
          <w:sz w:val="30"/>
          <w:szCs w:val="30"/>
          <w:highlight w:val="none"/>
        </w:rPr>
        <mc:AlternateContent>
          <mc:Choice Requires="wps">
            <w:drawing>
              <wp:anchor distT="0" distB="0" distL="0" distR="0" simplePos="0" relativeHeight="251661312" behindDoc="0" locked="0" layoutInCell="1" allowOverlap="1">
                <wp:simplePos x="0" y="0"/>
                <wp:positionH relativeFrom="column">
                  <wp:posOffset>4742180</wp:posOffset>
                </wp:positionH>
                <wp:positionV relativeFrom="paragraph">
                  <wp:posOffset>226695</wp:posOffset>
                </wp:positionV>
                <wp:extent cx="1085850" cy="428625"/>
                <wp:effectExtent l="7620" t="7620" r="11430" b="20955"/>
                <wp:wrapNone/>
                <wp:docPr id="1029" name="文本框 3"/>
                <wp:cNvGraphicFramePr/>
                <a:graphic xmlns:a="http://schemas.openxmlformats.org/drawingml/2006/main">
                  <a:graphicData uri="http://schemas.microsoft.com/office/word/2010/wordprocessingShape">
                    <wps:wsp>
                      <wps:cNvSpPr/>
                      <wps:spPr>
                        <a:xfrm>
                          <a:off x="0" y="0"/>
                          <a:ext cx="1085850" cy="428625"/>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pPr>
                              <w:jc w:val="center"/>
                              <w:rPr>
                                <w:b/>
                                <w:sz w:val="28"/>
                                <w:szCs w:val="28"/>
                              </w:rPr>
                            </w:pPr>
                            <w:r>
                              <w:rPr>
                                <w:rFonts w:hint="eastAsia"/>
                                <w:b/>
                                <w:sz w:val="28"/>
                                <w:szCs w:val="28"/>
                              </w:rPr>
                              <w:t>正本/副本</w:t>
                            </w:r>
                          </w:p>
                        </w:txbxContent>
                      </wps:txbx>
                      <wps:bodyPr wrap="square" upright="1"/>
                    </wps:wsp>
                  </a:graphicData>
                </a:graphic>
              </wp:anchor>
            </w:drawing>
          </mc:Choice>
          <mc:Fallback>
            <w:pict>
              <v:rect id="文本框 3" o:spid="_x0000_s1026" o:spt="1" style="position:absolute;left:0pt;margin-left:373.4pt;margin-top:17.85pt;height:33.75pt;width:85.5pt;z-index:251661312;mso-width-relative:page;mso-height-relative:page;" fillcolor="#FFFFFF" filled="t" stroked="t" coordsize="21600,21600" o:gfxdata="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f6+YXXAAAA&#10;CgEAAA8AAAAAAAAAAQAgAAAAIgAAAGRycy9kb3ducmV2LnhtbFBLAQIUABQAAAAIAIdO4kD2Lmwh&#10;VwIAAM8EAAAOAAAAAAAAAAEAIAAAACYBAABkcnMvZTJvRG9jLnhtbFBLBQYAAAAABgAGAFkBAADv&#10;BQAAAAA=&#10;">
                <v:fill type="gradient" on="t" color2="#FFFFFF" angle="90" focus="100%" focussize="0,0">
                  <o:fill type="gradientUnscaled" v:ext="backwardCompatible"/>
                </v:fill>
                <v:stroke weight="1.25pt" color="#739CC3" joinstyle="miter"/>
                <v:imagedata o:title=""/>
                <o:lock v:ext="edit" aspectratio="f"/>
                <v:textbox>
                  <w:txbxContent>
                    <w:p>
                      <w:pPr>
                        <w:jc w:val="center"/>
                        <w:rPr>
                          <w:b/>
                          <w:sz w:val="28"/>
                          <w:szCs w:val="28"/>
                        </w:rPr>
                      </w:pPr>
                      <w:r>
                        <w:rPr>
                          <w:rFonts w:hint="eastAsia"/>
                          <w:b/>
                          <w:sz w:val="28"/>
                          <w:szCs w:val="28"/>
                        </w:rPr>
                        <w:t>正本/副本</w:t>
                      </w:r>
                    </w:p>
                  </w:txbxContent>
                </v:textbox>
              </v:rect>
            </w:pict>
          </mc:Fallback>
        </mc:AlternateContent>
      </w:r>
    </w:p>
    <w:p>
      <w:pPr>
        <w:rPr>
          <w:rFonts w:ascii="宋体"/>
          <w:b/>
          <w:color w:val="auto"/>
          <w:sz w:val="30"/>
          <w:szCs w:val="30"/>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 xml:space="preserve"> </w:t>
      </w:r>
    </w:p>
    <w:p>
      <w:pPr>
        <w:spacing w:line="360" w:lineRule="auto"/>
        <w:jc w:val="center"/>
        <w:rPr>
          <w:rFonts w:ascii="宋体" w:hAnsi="宋体"/>
          <w:b/>
          <w:color w:val="auto"/>
          <w:sz w:val="44"/>
          <w:szCs w:val="44"/>
          <w:highlight w:val="none"/>
        </w:rPr>
      </w:pPr>
    </w:p>
    <w:p>
      <w:pPr>
        <w:spacing w:line="360" w:lineRule="auto"/>
        <w:jc w:val="center"/>
        <w:rPr>
          <w:rFonts w:ascii="宋体" w:hAnsi="宋体"/>
          <w:b/>
          <w:color w:val="auto"/>
          <w:sz w:val="44"/>
          <w:szCs w:val="44"/>
          <w:highlight w:val="none"/>
        </w:rPr>
      </w:pPr>
    </w:p>
    <w:p>
      <w:pPr>
        <w:spacing w:line="360" w:lineRule="auto"/>
        <w:jc w:val="center"/>
        <w:outlineLvl w:val="0"/>
        <w:rPr>
          <w:rFonts w:hint="eastAsia" w:ascii="宋体" w:eastAsia="宋体"/>
          <w:b/>
          <w:color w:val="auto"/>
          <w:sz w:val="44"/>
          <w:highlight w:val="none"/>
          <w:lang w:eastAsia="zh-CN"/>
        </w:rPr>
      </w:pPr>
      <w:r>
        <w:rPr>
          <w:rFonts w:hint="eastAsia" w:ascii="宋体" w:hAnsi="宋体"/>
          <w:b/>
          <w:color w:val="auto"/>
          <w:sz w:val="44"/>
          <w:szCs w:val="44"/>
          <w:highlight w:val="none"/>
          <w:lang w:eastAsia="zh-CN"/>
        </w:rPr>
        <w:t>乌鲁木齐市松材线虫病等重大林业有害生物防治能力提升工程建设项目-防治设备及其他实验室设备</w:t>
      </w:r>
    </w:p>
    <w:p>
      <w:pPr>
        <w:spacing w:line="360" w:lineRule="auto"/>
        <w:jc w:val="center"/>
        <w:rPr>
          <w:rFonts w:ascii="宋体"/>
          <w:b/>
          <w:color w:val="auto"/>
          <w:sz w:val="44"/>
          <w:highlight w:val="none"/>
        </w:rPr>
      </w:pPr>
    </w:p>
    <w:p>
      <w:pPr>
        <w:spacing w:line="360" w:lineRule="auto"/>
        <w:jc w:val="center"/>
        <w:rPr>
          <w:rFonts w:ascii="宋体"/>
          <w:b/>
          <w:color w:val="auto"/>
          <w:sz w:val="44"/>
          <w:highlight w:val="none"/>
        </w:rPr>
      </w:pPr>
    </w:p>
    <w:p>
      <w:pPr>
        <w:spacing w:line="360" w:lineRule="auto"/>
        <w:jc w:val="center"/>
        <w:outlineLvl w:val="0"/>
        <w:rPr>
          <w:rFonts w:ascii="宋体"/>
          <w:b/>
          <w:color w:val="auto"/>
          <w:sz w:val="84"/>
          <w:szCs w:val="84"/>
          <w:highlight w:val="none"/>
        </w:rPr>
      </w:pPr>
      <w:r>
        <w:rPr>
          <w:rFonts w:hint="eastAsia" w:ascii="宋体"/>
          <w:b/>
          <w:color w:val="auto"/>
          <w:sz w:val="84"/>
          <w:szCs w:val="84"/>
          <w:highlight w:val="none"/>
        </w:rPr>
        <w:t>投 标 文 件</w:t>
      </w:r>
    </w:p>
    <w:p>
      <w:pPr>
        <w:jc w:val="center"/>
        <w:rPr>
          <w:rFonts w:ascii="宋体"/>
          <w:b/>
          <w:color w:val="auto"/>
          <w:sz w:val="30"/>
          <w:szCs w:val="30"/>
          <w:highlight w:val="none"/>
        </w:rPr>
      </w:pPr>
    </w:p>
    <w:p>
      <w:pPr>
        <w:jc w:val="center"/>
        <w:outlineLvl w:val="0"/>
        <w:rPr>
          <w:rFonts w:ascii="宋体"/>
          <w:b/>
          <w:color w:val="auto"/>
          <w:sz w:val="30"/>
          <w:szCs w:val="30"/>
          <w:highlight w:val="none"/>
        </w:rPr>
      </w:pPr>
      <w:r>
        <w:rPr>
          <w:rFonts w:hint="eastAsia" w:ascii="宋体"/>
          <w:b/>
          <w:color w:val="auto"/>
          <w:sz w:val="30"/>
          <w:szCs w:val="30"/>
          <w:highlight w:val="none"/>
        </w:rPr>
        <w:t>（项目编号：</w:t>
      </w:r>
      <w:r>
        <w:rPr>
          <w:rFonts w:hint="eastAsia" w:ascii="宋体" w:hAnsi="宋体"/>
          <w:b/>
          <w:color w:val="auto"/>
          <w:sz w:val="28"/>
          <w:szCs w:val="28"/>
          <w:highlight w:val="none"/>
          <w:lang w:eastAsia="zh-CN"/>
        </w:rPr>
        <w:t>XYTDZB-GK-2023063</w:t>
      </w:r>
      <w:r>
        <w:rPr>
          <w:rFonts w:hint="eastAsia" w:ascii="宋体" w:hAnsi="宋体"/>
          <w:b/>
          <w:color w:val="auto"/>
          <w:sz w:val="30"/>
          <w:szCs w:val="30"/>
          <w:highlight w:val="none"/>
        </w:rPr>
        <w:t>）</w:t>
      </w:r>
    </w:p>
    <w:p>
      <w:pPr>
        <w:rPr>
          <w:rFonts w:ascii="宋体"/>
          <w:b/>
          <w:color w:val="auto"/>
          <w:sz w:val="30"/>
          <w:szCs w:val="30"/>
          <w:highlight w:val="none"/>
        </w:rPr>
      </w:pPr>
    </w:p>
    <w:p>
      <w:pPr>
        <w:rPr>
          <w:rFonts w:ascii="宋体"/>
          <w:b/>
          <w:color w:val="auto"/>
          <w:sz w:val="30"/>
          <w:szCs w:val="30"/>
          <w:highlight w:val="none"/>
        </w:rPr>
      </w:pPr>
    </w:p>
    <w:p>
      <w:pPr>
        <w:rPr>
          <w:rFonts w:ascii="宋体"/>
          <w:b/>
          <w:color w:val="auto"/>
          <w:sz w:val="30"/>
          <w:szCs w:val="30"/>
          <w:highlight w:val="none"/>
        </w:rPr>
      </w:pPr>
    </w:p>
    <w:p>
      <w:pPr>
        <w:spacing w:line="600" w:lineRule="auto"/>
        <w:rPr>
          <w:rFonts w:ascii="宋体"/>
          <w:b/>
          <w:color w:val="auto"/>
          <w:sz w:val="30"/>
          <w:szCs w:val="30"/>
          <w:highlight w:val="none"/>
        </w:rPr>
      </w:pPr>
      <w:r>
        <w:rPr>
          <w:rFonts w:hint="eastAsia" w:ascii="宋体"/>
          <w:b/>
          <w:color w:val="auto"/>
          <w:sz w:val="30"/>
          <w:szCs w:val="30"/>
          <w:highlight w:val="none"/>
        </w:rPr>
        <w:t>投标单位名称：</w:t>
      </w:r>
      <w:r>
        <w:rPr>
          <w:rFonts w:hint="eastAsia" w:ascii="宋体"/>
          <w:b/>
          <w:color w:val="auto"/>
          <w:sz w:val="30"/>
          <w:szCs w:val="30"/>
          <w:highlight w:val="none"/>
          <w:u w:val="single"/>
        </w:rPr>
        <w:t xml:space="preserve">                                  </w:t>
      </w:r>
      <w:r>
        <w:rPr>
          <w:rFonts w:hint="eastAsia" w:ascii="宋体"/>
          <w:b/>
          <w:color w:val="auto"/>
          <w:sz w:val="30"/>
          <w:szCs w:val="30"/>
          <w:highlight w:val="none"/>
        </w:rPr>
        <w:t>（盖公章）</w:t>
      </w:r>
    </w:p>
    <w:p>
      <w:pPr>
        <w:spacing w:line="600" w:lineRule="auto"/>
        <w:rPr>
          <w:rFonts w:ascii="宋体"/>
          <w:b/>
          <w:color w:val="auto"/>
          <w:sz w:val="30"/>
          <w:szCs w:val="30"/>
          <w:highlight w:val="none"/>
        </w:rPr>
      </w:pPr>
      <w:r>
        <w:rPr>
          <w:rFonts w:hint="eastAsia" w:ascii="宋体"/>
          <w:b/>
          <w:color w:val="auto"/>
          <w:sz w:val="30"/>
          <w:szCs w:val="30"/>
          <w:highlight w:val="none"/>
        </w:rPr>
        <w:t>法定代表人或委托代理人：</w:t>
      </w:r>
      <w:r>
        <w:rPr>
          <w:rFonts w:hint="eastAsia" w:ascii="宋体"/>
          <w:b/>
          <w:color w:val="auto"/>
          <w:sz w:val="30"/>
          <w:szCs w:val="30"/>
          <w:highlight w:val="none"/>
          <w:u w:val="single"/>
        </w:rPr>
        <w:t xml:space="preserve">                       </w:t>
      </w:r>
      <w:r>
        <w:rPr>
          <w:rFonts w:hint="eastAsia" w:ascii="宋体"/>
          <w:b/>
          <w:color w:val="auto"/>
          <w:sz w:val="30"/>
          <w:szCs w:val="30"/>
          <w:highlight w:val="none"/>
        </w:rPr>
        <w:t>（签字或盖章）</w:t>
      </w:r>
    </w:p>
    <w:p>
      <w:pPr>
        <w:rPr>
          <w:rFonts w:ascii="宋体"/>
          <w:b/>
          <w:color w:val="auto"/>
          <w:sz w:val="30"/>
          <w:szCs w:val="30"/>
          <w:highlight w:val="none"/>
        </w:rPr>
      </w:pPr>
    </w:p>
    <w:p>
      <w:pPr>
        <w:jc w:val="center"/>
        <w:outlineLvl w:val="0"/>
        <w:rPr>
          <w:rFonts w:ascii="宋体"/>
          <w:b/>
          <w:color w:val="auto"/>
          <w:sz w:val="30"/>
          <w:szCs w:val="30"/>
          <w:highlight w:val="none"/>
        </w:rPr>
      </w:pPr>
      <w:r>
        <w:rPr>
          <w:rFonts w:hint="eastAsia" w:ascii="宋体"/>
          <w:b/>
          <w:color w:val="auto"/>
          <w:sz w:val="30"/>
          <w:szCs w:val="30"/>
          <w:highlight w:val="none"/>
        </w:rPr>
        <w:t>二O二</w:t>
      </w:r>
      <w:r>
        <w:rPr>
          <w:rFonts w:hint="eastAsia" w:ascii="宋体"/>
          <w:b/>
          <w:color w:val="auto"/>
          <w:sz w:val="30"/>
          <w:szCs w:val="30"/>
          <w:highlight w:val="none"/>
          <w:lang w:eastAsia="zh-CN"/>
        </w:rPr>
        <w:t>三</w:t>
      </w:r>
      <w:r>
        <w:rPr>
          <w:rFonts w:hint="eastAsia" w:ascii="宋体"/>
          <w:b/>
          <w:color w:val="auto"/>
          <w:sz w:val="30"/>
          <w:szCs w:val="30"/>
          <w:highlight w:val="none"/>
        </w:rPr>
        <w:t>年   月   日</w:t>
      </w:r>
    </w:p>
    <w:p>
      <w:pPr>
        <w:outlineLvl w:val="0"/>
        <w:rPr>
          <w:rFonts w:ascii="宋体"/>
          <w:b/>
          <w:color w:val="auto"/>
          <w:sz w:val="30"/>
          <w:szCs w:val="30"/>
          <w:highlight w:val="none"/>
        </w:rPr>
      </w:pPr>
      <w:r>
        <w:rPr>
          <w:rFonts w:hint="eastAsia" w:ascii="宋体"/>
          <w:b/>
          <w:color w:val="auto"/>
          <w:sz w:val="30"/>
          <w:szCs w:val="30"/>
          <w:highlight w:val="none"/>
        </w:rPr>
        <w:br w:type="page"/>
      </w:r>
      <w:r>
        <w:rPr>
          <w:rFonts w:hint="eastAsia" w:ascii="宋体"/>
          <w:b/>
          <w:color w:val="auto"/>
          <w:sz w:val="30"/>
          <w:szCs w:val="30"/>
          <w:highlight w:val="none"/>
        </w:rPr>
        <w:t xml:space="preserve"> 附表一：                          </w:t>
      </w:r>
    </w:p>
    <w:p>
      <w:pPr>
        <w:spacing w:line="360" w:lineRule="auto"/>
        <w:jc w:val="center"/>
        <w:rPr>
          <w:rFonts w:ascii="宋体"/>
          <w:b/>
          <w:color w:val="auto"/>
          <w:sz w:val="30"/>
          <w:szCs w:val="30"/>
          <w:highlight w:val="none"/>
        </w:rPr>
      </w:pPr>
      <w:r>
        <w:rPr>
          <w:rFonts w:hint="eastAsia" w:ascii="宋体"/>
          <w:b/>
          <w:color w:val="auto"/>
          <w:sz w:val="30"/>
          <w:szCs w:val="30"/>
          <w:highlight w:val="none"/>
        </w:rPr>
        <w:t>投  标  函</w:t>
      </w:r>
    </w:p>
    <w:p>
      <w:pPr>
        <w:spacing w:line="360" w:lineRule="auto"/>
        <w:rPr>
          <w:rFonts w:ascii="宋体"/>
          <w:color w:val="auto"/>
          <w:sz w:val="24"/>
          <w:highlight w:val="none"/>
          <w:u w:val="single"/>
        </w:rPr>
      </w:pPr>
      <w:r>
        <w:rPr>
          <w:rFonts w:hint="eastAsia" w:ascii="宋体" w:hAnsi="宋体"/>
          <w:color w:val="auto"/>
          <w:sz w:val="24"/>
          <w:highlight w:val="none"/>
          <w:u w:val="single"/>
          <w:lang w:eastAsia="zh-CN"/>
        </w:rPr>
        <w:t>乌鲁木齐市林业有害生物防治检疫站（乌鲁木齐市草原监理站）</w:t>
      </w:r>
      <w:r>
        <w:rPr>
          <w:rFonts w:hint="eastAsia" w:ascii="宋体"/>
          <w:color w:val="auto"/>
          <w:sz w:val="24"/>
          <w:highlight w:val="none"/>
          <w:u w:val="singl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我方收到贵方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（项目名称、项目编号）的招标文件，经仔细阅读和研究，我方决定参加投标。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l、我方愿意按照招标文件的一切要求，提供以上货物，同时负责运输、包装、运杂保险、装卸、安装、售后服务等，总价格及明细见《报价表》。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2、如果我方的投标文件被接受，我方将严格履行招标文件中规定的每一项要求，按期、按质、按量履行供货义务，并提供</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年的</w:t>
      </w:r>
      <w:r>
        <w:rPr>
          <w:rFonts w:hint="eastAsia" w:ascii="宋体" w:hAnsi="宋体"/>
          <w:color w:val="auto"/>
          <w:sz w:val="24"/>
          <w:highlight w:val="none"/>
          <w:lang w:eastAsia="zh-CN"/>
        </w:rPr>
        <w:t>质保服务</w:t>
      </w:r>
      <w:r>
        <w:rPr>
          <w:rFonts w:hint="eastAsia" w:ascii="宋体" w:hAnsi="宋体"/>
          <w:color w:val="auto"/>
          <w:sz w:val="24"/>
          <w:highlight w:val="none"/>
        </w:rPr>
        <w:t>。</w:t>
      </w:r>
    </w:p>
    <w:p>
      <w:pPr>
        <w:spacing w:line="360" w:lineRule="auto"/>
        <w:ind w:firstLine="480" w:firstLineChars="200"/>
        <w:rPr>
          <w:rFonts w:hAnsi="宋体"/>
          <w:color w:val="auto"/>
          <w:sz w:val="24"/>
          <w:highlight w:val="none"/>
        </w:rPr>
      </w:pPr>
      <w:r>
        <w:rPr>
          <w:rFonts w:hint="eastAsia" w:ascii="宋体" w:hAnsi="宋体"/>
          <w:color w:val="auto"/>
          <w:sz w:val="24"/>
          <w:highlight w:val="none"/>
        </w:rPr>
        <w:t>3、</w:t>
      </w:r>
      <w:r>
        <w:rPr>
          <w:rFonts w:hint="eastAsia" w:hAnsi="宋体"/>
          <w:color w:val="auto"/>
          <w:sz w:val="24"/>
          <w:highlight w:val="none"/>
        </w:rPr>
        <w:t>投标人已详细审查全部招标文件，包括所有补充通知（如果有的话）。我们完全理解并同意放弃对这方面有不明、误解和质疑的权力。</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4、我方同意按招标文件中的规定，本投标文件的有效期为自投标截止之日</w:t>
      </w:r>
    </w:p>
    <w:p>
      <w:pPr>
        <w:spacing w:line="360" w:lineRule="auto"/>
        <w:jc w:val="left"/>
        <w:rPr>
          <w:rFonts w:ascii="宋体" w:hAnsi="宋体"/>
          <w:color w:val="auto"/>
          <w:sz w:val="24"/>
          <w:highlight w:val="none"/>
        </w:rPr>
      </w:pPr>
      <w:r>
        <w:rPr>
          <w:rFonts w:hint="eastAsia" w:ascii="宋体" w:hAnsi="宋体"/>
          <w:color w:val="auto"/>
          <w:sz w:val="24"/>
          <w:highlight w:val="none"/>
        </w:rPr>
        <w:t>起</w:t>
      </w:r>
      <w:r>
        <w:rPr>
          <w:rFonts w:hint="eastAsia" w:ascii="宋体" w:hAnsi="宋体"/>
          <w:color w:val="auto"/>
          <w:sz w:val="24"/>
          <w:highlight w:val="none"/>
          <w:u w:val="single"/>
        </w:rPr>
        <w:t xml:space="preserve">    </w:t>
      </w:r>
      <w:r>
        <w:rPr>
          <w:rFonts w:hint="eastAsia" w:ascii="宋体" w:hAnsi="宋体"/>
          <w:color w:val="auto"/>
          <w:sz w:val="24"/>
          <w:highlight w:val="none"/>
        </w:rPr>
        <w:t>个日历日，遵守本投标文件中的承诺且在此期满之前均具有约束力。</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5、我方将按招标文件的规定履行合同责任和义务。</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6、在规定的开标时间后，如果在投标有效期内撤回投标，同意投标保证金将被贵方没收。</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7、投标人同意提供按照贵方可能要求的与其投标有关的一切数据或资料，完全理解贵方不一定接受最低报价的投标或收到的任何投标的约定。</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8、我方在投标文件和投标中所作的承诺在开标后保持有效，不作任何更改和变动。</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9、我方愿意按招标文件的规定交纳</w:t>
      </w:r>
      <w:r>
        <w:rPr>
          <w:rFonts w:hint="eastAsia" w:ascii="宋体" w:hAnsi="宋体"/>
          <w:color w:val="auto"/>
          <w:sz w:val="24"/>
          <w:highlight w:val="none"/>
          <w:u w:val="single"/>
        </w:rPr>
        <w:t xml:space="preserve">         </w:t>
      </w:r>
      <w:r>
        <w:rPr>
          <w:rFonts w:hint="eastAsia" w:ascii="宋体" w:hAnsi="宋体"/>
          <w:color w:val="auto"/>
          <w:sz w:val="24"/>
          <w:highlight w:val="none"/>
        </w:rPr>
        <w:t>元的投标保证金。</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10、我方承诺投标文件中的证明材料真实、合法、有效。</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11、我方承诺接受招标文件及澄清修改部分（如有）的全部条款（包括投标文件递交截止时间、保证金、资格评审条件、中标标准以及采购需求等其他所有条款）且无任何异议，现向贵公司提出承诺报价。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jc w:val="center"/>
        <w:rPr>
          <w:rFonts w:ascii="宋体" w:hAnsi="宋体"/>
          <w:color w:val="auto"/>
          <w:sz w:val="24"/>
          <w:highlight w:val="none"/>
          <w:u w:val="single"/>
        </w:rPr>
      </w:pPr>
      <w:r>
        <w:rPr>
          <w:rFonts w:hint="eastAsia" w:ascii="宋体" w:hAnsi="宋体"/>
          <w:color w:val="auto"/>
          <w:sz w:val="24"/>
          <w:highlight w:val="none"/>
        </w:rPr>
        <w:t xml:space="preserve">                投标人名称（盖章）： </w:t>
      </w:r>
      <w:r>
        <w:rPr>
          <w:rFonts w:hint="eastAsia" w:ascii="宋体" w:hAnsi="宋体"/>
          <w:color w:val="auto"/>
          <w:kern w:val="0"/>
          <w:sz w:val="24"/>
          <w:highlight w:val="none"/>
          <w:u w:val="single"/>
        </w:rPr>
        <w:t xml:space="preserve">                   </w:t>
      </w:r>
    </w:p>
    <w:p>
      <w:pPr>
        <w:spacing w:line="360" w:lineRule="auto"/>
        <w:jc w:val="center"/>
        <w:rPr>
          <w:rFonts w:ascii="宋体" w:hAnsi="宋体"/>
          <w:color w:val="auto"/>
          <w:sz w:val="24"/>
          <w:highlight w:val="none"/>
        </w:rPr>
      </w:pPr>
      <w:r>
        <w:rPr>
          <w:rFonts w:hint="eastAsia" w:ascii="宋体" w:hAnsi="宋体"/>
          <w:color w:val="auto"/>
          <w:kern w:val="0"/>
          <w:sz w:val="24"/>
          <w:highlight w:val="none"/>
        </w:rPr>
        <w:t xml:space="preserve">                委托代理人（签字）：</w:t>
      </w:r>
      <w:r>
        <w:rPr>
          <w:rFonts w:hint="eastAsia" w:ascii="宋体" w:hAnsi="宋体"/>
          <w:color w:val="auto"/>
          <w:kern w:val="0"/>
          <w:sz w:val="24"/>
          <w:highlight w:val="none"/>
          <w:u w:val="single"/>
        </w:rPr>
        <w:t xml:space="preserve">               </w:t>
      </w:r>
      <w:r>
        <w:rPr>
          <w:rFonts w:hint="eastAsia" w:ascii="宋体" w:hAnsi="宋体"/>
          <w:color w:val="auto"/>
          <w:sz w:val="24"/>
          <w:highlight w:val="none"/>
        </w:rPr>
        <w:t xml:space="preserve">                 </w:t>
      </w:r>
    </w:p>
    <w:p>
      <w:pPr>
        <w:spacing w:line="360" w:lineRule="auto"/>
        <w:jc w:val="center"/>
        <w:rPr>
          <w:rFonts w:hAnsi="Arial"/>
          <w:color w:val="auto"/>
          <w:highlight w:val="none"/>
        </w:rPr>
      </w:pPr>
      <w:r>
        <w:rPr>
          <w:rFonts w:hint="eastAsia" w:ascii="宋体" w:hAnsi="宋体"/>
          <w:color w:val="auto"/>
          <w:sz w:val="24"/>
          <w:highlight w:val="none"/>
        </w:rPr>
        <w:t xml:space="preserve">                日    期 ： 年 月 日 </w:t>
      </w:r>
      <w:r>
        <w:rPr>
          <w:rFonts w:hint="eastAsia" w:hAnsi="Arial"/>
          <w:color w:val="auto"/>
          <w:highlight w:val="none"/>
          <w:u w:val="single"/>
        </w:rPr>
        <w:t xml:space="preserve">                                </w:t>
      </w:r>
      <w:r>
        <w:rPr>
          <w:rFonts w:hint="eastAsia" w:hAnsi="Arial"/>
          <w:color w:val="auto"/>
          <w:highlight w:val="none"/>
        </w:rPr>
        <w:t xml:space="preserve"> </w:t>
      </w:r>
    </w:p>
    <w:p>
      <w:pPr>
        <w:pStyle w:val="67"/>
        <w:rPr>
          <w:color w:val="auto"/>
          <w:highlight w:val="none"/>
        </w:rPr>
      </w:pPr>
    </w:p>
    <w:p>
      <w:pPr>
        <w:spacing w:line="360" w:lineRule="auto"/>
        <w:ind w:firstLine="300" w:firstLineChars="100"/>
        <w:outlineLvl w:val="0"/>
        <w:rPr>
          <w:color w:val="auto"/>
          <w:highlight w:val="none"/>
        </w:rPr>
      </w:pPr>
      <w:r>
        <w:rPr>
          <w:rFonts w:hint="eastAsia" w:ascii="宋体"/>
          <w:b/>
          <w:color w:val="auto"/>
          <w:sz w:val="30"/>
          <w:szCs w:val="30"/>
          <w:highlight w:val="none"/>
        </w:rPr>
        <w:t>附表二：</w:t>
      </w:r>
    </w:p>
    <w:p>
      <w:pPr>
        <w:spacing w:line="360" w:lineRule="auto"/>
        <w:jc w:val="center"/>
        <w:rPr>
          <w:rFonts w:ascii="宋体"/>
          <w:color w:val="auto"/>
          <w:sz w:val="24"/>
          <w:highlight w:val="none"/>
        </w:rPr>
      </w:pPr>
      <w:r>
        <w:rPr>
          <w:rFonts w:hint="eastAsia" w:ascii="宋体"/>
          <w:b/>
          <w:color w:val="auto"/>
          <w:sz w:val="30"/>
          <w:szCs w:val="30"/>
          <w:highlight w:val="none"/>
        </w:rPr>
        <w:t>开标一览表</w:t>
      </w:r>
      <w:r>
        <w:rPr>
          <w:rFonts w:hint="eastAsia" w:ascii="宋体"/>
          <w:color w:val="auto"/>
          <w:sz w:val="24"/>
          <w:highlight w:val="none"/>
        </w:rPr>
        <w:t xml:space="preserve">              </w:t>
      </w:r>
    </w:p>
    <w:p>
      <w:pPr>
        <w:spacing w:line="360" w:lineRule="auto"/>
        <w:ind w:firstLine="480" w:firstLineChars="200"/>
        <w:rPr>
          <w:rFonts w:ascii="宋体"/>
          <w:color w:val="auto"/>
          <w:sz w:val="24"/>
          <w:highlight w:val="none"/>
        </w:rPr>
      </w:pPr>
      <w:r>
        <w:rPr>
          <w:rFonts w:hint="eastAsia" w:ascii="宋体"/>
          <w:color w:val="auto"/>
          <w:sz w:val="24"/>
          <w:highlight w:val="none"/>
        </w:rPr>
        <w:t xml:space="preserve">项目名称：                                        项目编号： </w:t>
      </w:r>
    </w:p>
    <w:tbl>
      <w:tblPr>
        <w:tblStyle w:val="88"/>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411"/>
        <w:gridCol w:w="3118"/>
        <w:gridCol w:w="1851"/>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18" w:type="dxa"/>
            <w:vAlign w:val="center"/>
          </w:tcPr>
          <w:p>
            <w:pPr>
              <w:spacing w:line="360" w:lineRule="auto"/>
              <w:rPr>
                <w:rFonts w:ascii="宋体"/>
                <w:color w:val="auto"/>
                <w:sz w:val="24"/>
                <w:highlight w:val="none"/>
              </w:rPr>
            </w:pPr>
            <w:r>
              <w:rPr>
                <w:rFonts w:hint="eastAsia" w:ascii="宋体"/>
                <w:color w:val="auto"/>
                <w:sz w:val="24"/>
                <w:highlight w:val="none"/>
              </w:rPr>
              <w:t>序号</w:t>
            </w:r>
          </w:p>
        </w:tc>
        <w:tc>
          <w:tcPr>
            <w:tcW w:w="2411" w:type="dxa"/>
            <w:vAlign w:val="center"/>
          </w:tcPr>
          <w:p>
            <w:pPr>
              <w:spacing w:line="360" w:lineRule="auto"/>
              <w:jc w:val="center"/>
              <w:rPr>
                <w:rFonts w:ascii="宋体"/>
                <w:color w:val="auto"/>
                <w:sz w:val="24"/>
                <w:highlight w:val="none"/>
              </w:rPr>
            </w:pPr>
            <w:r>
              <w:rPr>
                <w:rFonts w:hint="eastAsia" w:ascii="宋体"/>
                <w:color w:val="auto"/>
                <w:sz w:val="24"/>
                <w:highlight w:val="none"/>
              </w:rPr>
              <w:t>名   称</w:t>
            </w:r>
          </w:p>
        </w:tc>
        <w:tc>
          <w:tcPr>
            <w:tcW w:w="3118" w:type="dxa"/>
            <w:vAlign w:val="center"/>
          </w:tcPr>
          <w:p>
            <w:pPr>
              <w:spacing w:line="360" w:lineRule="auto"/>
              <w:jc w:val="center"/>
              <w:rPr>
                <w:rFonts w:ascii="宋体"/>
                <w:color w:val="auto"/>
                <w:sz w:val="24"/>
                <w:highlight w:val="none"/>
              </w:rPr>
            </w:pPr>
            <w:r>
              <w:rPr>
                <w:rFonts w:hint="eastAsia" w:ascii="宋体"/>
                <w:color w:val="auto"/>
                <w:sz w:val="24"/>
                <w:highlight w:val="none"/>
              </w:rPr>
              <w:t>投标报价（元）</w:t>
            </w:r>
          </w:p>
        </w:tc>
        <w:tc>
          <w:tcPr>
            <w:tcW w:w="1851" w:type="dxa"/>
            <w:tcBorders>
              <w:bottom w:val="single" w:color="auto" w:sz="4" w:space="0"/>
            </w:tcBorders>
            <w:vAlign w:val="center"/>
          </w:tcPr>
          <w:p>
            <w:pPr>
              <w:spacing w:line="360" w:lineRule="auto"/>
              <w:jc w:val="center"/>
              <w:rPr>
                <w:rFonts w:hint="eastAsia" w:ascii="宋体" w:eastAsia="宋体"/>
                <w:color w:val="auto"/>
                <w:sz w:val="24"/>
                <w:highlight w:val="none"/>
                <w:lang w:eastAsia="zh-CN"/>
              </w:rPr>
            </w:pPr>
            <w:r>
              <w:rPr>
                <w:rFonts w:hint="eastAsia" w:ascii="宋体"/>
                <w:color w:val="auto"/>
                <w:sz w:val="24"/>
                <w:highlight w:val="none"/>
              </w:rPr>
              <w:t>交货</w:t>
            </w:r>
            <w:r>
              <w:rPr>
                <w:rFonts w:hint="eastAsia" w:ascii="宋体"/>
                <w:color w:val="auto"/>
                <w:sz w:val="24"/>
                <w:highlight w:val="none"/>
                <w:lang w:eastAsia="zh-CN"/>
              </w:rPr>
              <w:t>期限</w:t>
            </w:r>
          </w:p>
        </w:tc>
        <w:tc>
          <w:tcPr>
            <w:tcW w:w="885" w:type="dxa"/>
            <w:vAlign w:val="center"/>
          </w:tcPr>
          <w:p>
            <w:pPr>
              <w:spacing w:line="360" w:lineRule="auto"/>
              <w:jc w:val="center"/>
              <w:rPr>
                <w:rFonts w:ascii="宋体"/>
                <w:color w:val="auto"/>
                <w:sz w:val="24"/>
                <w:highlight w:val="none"/>
              </w:rPr>
            </w:pPr>
            <w:r>
              <w:rPr>
                <w:rFonts w:hint="eastAsia" w:ascii="宋体"/>
                <w:color w:val="auto"/>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618" w:type="dxa"/>
            <w:vAlign w:val="center"/>
          </w:tcPr>
          <w:p>
            <w:pPr>
              <w:spacing w:line="360" w:lineRule="auto"/>
              <w:rPr>
                <w:rFonts w:ascii="宋体"/>
                <w:color w:val="auto"/>
                <w:sz w:val="24"/>
                <w:highlight w:val="none"/>
              </w:rPr>
            </w:pPr>
            <w:r>
              <w:rPr>
                <w:rFonts w:hint="eastAsia" w:ascii="宋体"/>
                <w:color w:val="auto"/>
                <w:sz w:val="24"/>
                <w:highlight w:val="none"/>
              </w:rPr>
              <w:t>1</w:t>
            </w:r>
          </w:p>
        </w:tc>
        <w:tc>
          <w:tcPr>
            <w:tcW w:w="2411" w:type="dxa"/>
            <w:vAlign w:val="center"/>
          </w:tcPr>
          <w:p>
            <w:pPr>
              <w:spacing w:line="360" w:lineRule="auto"/>
              <w:rPr>
                <w:rFonts w:ascii="宋体"/>
                <w:color w:val="auto"/>
                <w:sz w:val="24"/>
                <w:highlight w:val="none"/>
              </w:rPr>
            </w:pPr>
          </w:p>
        </w:tc>
        <w:tc>
          <w:tcPr>
            <w:tcW w:w="3118" w:type="dxa"/>
            <w:vAlign w:val="center"/>
          </w:tcPr>
          <w:p>
            <w:pPr>
              <w:spacing w:line="360" w:lineRule="auto"/>
              <w:rPr>
                <w:rFonts w:ascii="宋体"/>
                <w:color w:val="auto"/>
                <w:sz w:val="24"/>
                <w:highlight w:val="none"/>
              </w:rPr>
            </w:pPr>
          </w:p>
        </w:tc>
        <w:tc>
          <w:tcPr>
            <w:tcW w:w="1851" w:type="dxa"/>
            <w:vAlign w:val="center"/>
          </w:tcPr>
          <w:p>
            <w:pPr>
              <w:spacing w:line="360" w:lineRule="auto"/>
              <w:rPr>
                <w:rFonts w:ascii="宋体"/>
                <w:color w:val="auto"/>
                <w:sz w:val="24"/>
                <w:highlight w:val="none"/>
              </w:rPr>
            </w:pPr>
          </w:p>
        </w:tc>
        <w:tc>
          <w:tcPr>
            <w:tcW w:w="88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029" w:type="dxa"/>
            <w:gridSpan w:val="2"/>
            <w:vAlign w:val="center"/>
          </w:tcPr>
          <w:p>
            <w:pPr>
              <w:spacing w:line="360" w:lineRule="auto"/>
              <w:jc w:val="center"/>
              <w:rPr>
                <w:rFonts w:hint="eastAsia" w:ascii="宋体" w:eastAsia="宋体"/>
                <w:color w:val="auto"/>
                <w:sz w:val="24"/>
                <w:highlight w:val="none"/>
                <w:lang w:eastAsia="zh-CN"/>
              </w:rPr>
            </w:pPr>
            <w:r>
              <w:rPr>
                <w:rFonts w:hint="eastAsia" w:ascii="宋体"/>
                <w:color w:val="auto"/>
                <w:sz w:val="24"/>
                <w:highlight w:val="none"/>
                <w:lang w:eastAsia="zh-CN"/>
              </w:rPr>
              <w:t>质保期</w:t>
            </w:r>
          </w:p>
        </w:tc>
        <w:tc>
          <w:tcPr>
            <w:tcW w:w="5854" w:type="dxa"/>
            <w:gridSpan w:val="3"/>
            <w:vAlign w:val="center"/>
          </w:tcPr>
          <w:p>
            <w:pPr>
              <w:spacing w:line="360" w:lineRule="auto"/>
              <w:jc w:val="center"/>
              <w:rPr>
                <w:rFonts w:ascii="宋体"/>
                <w:color w:val="auto"/>
                <w:sz w:val="24"/>
                <w:highlight w:val="none"/>
              </w:rPr>
            </w:pPr>
          </w:p>
        </w:tc>
      </w:tr>
    </w:tbl>
    <w:p>
      <w:pPr>
        <w:spacing w:line="360" w:lineRule="auto"/>
        <w:rPr>
          <w:rFonts w:ascii="宋体"/>
          <w:color w:val="auto"/>
          <w:sz w:val="24"/>
          <w:highlight w:val="none"/>
        </w:rPr>
      </w:pPr>
    </w:p>
    <w:p>
      <w:pPr>
        <w:spacing w:line="480" w:lineRule="auto"/>
        <w:ind w:firstLine="480" w:firstLineChars="200"/>
        <w:rPr>
          <w:rFonts w:ascii="宋体"/>
          <w:color w:val="auto"/>
          <w:sz w:val="24"/>
          <w:highlight w:val="none"/>
        </w:rPr>
      </w:pPr>
      <w:r>
        <w:rPr>
          <w:rFonts w:hint="eastAsia" w:ascii="宋体"/>
          <w:color w:val="auto"/>
          <w:sz w:val="24"/>
          <w:highlight w:val="none"/>
        </w:rPr>
        <w:t>投标人名称（盖章）：</w:t>
      </w:r>
    </w:p>
    <w:p>
      <w:pPr>
        <w:spacing w:line="480" w:lineRule="auto"/>
        <w:ind w:firstLine="480" w:firstLineChars="200"/>
        <w:rPr>
          <w:rFonts w:ascii="宋体"/>
          <w:color w:val="auto"/>
          <w:sz w:val="24"/>
          <w:highlight w:val="none"/>
        </w:rPr>
      </w:pPr>
      <w:r>
        <w:rPr>
          <w:rFonts w:hint="eastAsia" w:ascii="宋体"/>
          <w:color w:val="auto"/>
          <w:sz w:val="24"/>
          <w:highlight w:val="none"/>
        </w:rPr>
        <w:t>法定代表人或委托代理人（签字）：</w:t>
      </w:r>
    </w:p>
    <w:p>
      <w:pPr>
        <w:pStyle w:val="80"/>
        <w:rPr>
          <w:color w:val="auto"/>
          <w:highlight w:val="none"/>
        </w:rPr>
      </w:pPr>
    </w:p>
    <w:p>
      <w:pPr>
        <w:spacing w:line="360" w:lineRule="auto"/>
        <w:ind w:firstLine="570"/>
        <w:jc w:val="center"/>
        <w:rPr>
          <w:rFonts w:ascii="宋体" w:hAnsi="宋体"/>
          <w:color w:val="auto"/>
          <w:sz w:val="24"/>
          <w:highlight w:val="none"/>
        </w:rPr>
      </w:pPr>
      <w:r>
        <w:rPr>
          <w:rFonts w:hint="eastAsia" w:ascii="宋体"/>
          <w:color w:val="auto"/>
          <w:sz w:val="24"/>
          <w:highlight w:val="none"/>
        </w:rPr>
        <w:t xml:space="preserve">                                     </w:t>
      </w:r>
      <w:r>
        <w:rPr>
          <w:rFonts w:hint="eastAsia" w:ascii="宋体" w:hAnsi="宋体"/>
          <w:color w:val="auto"/>
          <w:sz w:val="24"/>
          <w:highlight w:val="none"/>
        </w:rPr>
        <w:t>20</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80"/>
        <w:rPr>
          <w:color w:val="auto"/>
          <w:highlight w:val="none"/>
        </w:rPr>
      </w:pPr>
    </w:p>
    <w:p>
      <w:pPr>
        <w:spacing w:line="360" w:lineRule="auto"/>
        <w:rPr>
          <w:rFonts w:ascii="宋体"/>
          <w:b/>
          <w:color w:val="auto"/>
          <w:sz w:val="24"/>
          <w:highlight w:val="none"/>
        </w:rPr>
      </w:pPr>
      <w:r>
        <w:rPr>
          <w:rFonts w:hint="eastAsia" w:ascii="宋体"/>
          <w:b/>
          <w:color w:val="auto"/>
          <w:sz w:val="24"/>
          <w:highlight w:val="none"/>
        </w:rPr>
        <w:t>注：此表除在投标文件中提供外，还应按“投标人须知”的规定密封标记单独提交一份。</w:t>
      </w:r>
    </w:p>
    <w:p>
      <w:pPr>
        <w:spacing w:line="360" w:lineRule="auto"/>
        <w:rPr>
          <w:rFonts w:ascii="宋体" w:hAnsi="宋体"/>
          <w:b/>
          <w:color w:val="auto"/>
          <w:sz w:val="30"/>
          <w:szCs w:val="30"/>
          <w:highlight w:val="none"/>
        </w:rPr>
      </w:pPr>
    </w:p>
    <w:p>
      <w:pPr>
        <w:spacing w:line="360" w:lineRule="auto"/>
        <w:jc w:val="center"/>
        <w:rPr>
          <w:rFonts w:ascii="宋体" w:hAnsi="宋体"/>
          <w:b/>
          <w:color w:val="auto"/>
          <w:sz w:val="30"/>
          <w:szCs w:val="30"/>
          <w:highlight w:val="none"/>
        </w:rPr>
      </w:pPr>
    </w:p>
    <w:p>
      <w:pPr>
        <w:spacing w:line="360" w:lineRule="auto"/>
        <w:jc w:val="center"/>
        <w:rPr>
          <w:rFonts w:ascii="宋体" w:hAnsi="宋体"/>
          <w:b/>
          <w:color w:val="auto"/>
          <w:sz w:val="30"/>
          <w:szCs w:val="30"/>
          <w:highlight w:val="none"/>
        </w:rPr>
      </w:pPr>
    </w:p>
    <w:p>
      <w:pPr>
        <w:spacing w:line="360" w:lineRule="auto"/>
        <w:jc w:val="center"/>
        <w:rPr>
          <w:rFonts w:ascii="宋体" w:hAnsi="宋体"/>
          <w:b/>
          <w:color w:val="auto"/>
          <w:sz w:val="30"/>
          <w:szCs w:val="30"/>
          <w:highlight w:val="none"/>
        </w:rPr>
      </w:pPr>
    </w:p>
    <w:p>
      <w:pPr>
        <w:spacing w:line="360" w:lineRule="auto"/>
        <w:jc w:val="center"/>
        <w:rPr>
          <w:rFonts w:ascii="宋体" w:hAnsi="宋体"/>
          <w:b/>
          <w:color w:val="auto"/>
          <w:sz w:val="30"/>
          <w:szCs w:val="30"/>
          <w:highlight w:val="none"/>
        </w:rPr>
      </w:pPr>
    </w:p>
    <w:p>
      <w:pPr>
        <w:spacing w:line="360" w:lineRule="auto"/>
        <w:jc w:val="center"/>
        <w:rPr>
          <w:rFonts w:ascii="宋体" w:hAnsi="宋体"/>
          <w:b/>
          <w:color w:val="auto"/>
          <w:sz w:val="30"/>
          <w:szCs w:val="30"/>
          <w:highlight w:val="none"/>
        </w:rPr>
      </w:pPr>
    </w:p>
    <w:p>
      <w:pPr>
        <w:spacing w:line="360" w:lineRule="auto"/>
        <w:outlineLvl w:val="0"/>
        <w:rPr>
          <w:rFonts w:ascii="宋体"/>
          <w:b/>
          <w:color w:val="auto"/>
          <w:sz w:val="30"/>
          <w:szCs w:val="30"/>
          <w:highlight w:val="none"/>
        </w:rPr>
      </w:pPr>
      <w:r>
        <w:rPr>
          <w:rFonts w:hint="eastAsia" w:ascii="宋体"/>
          <w:b/>
          <w:color w:val="auto"/>
          <w:sz w:val="30"/>
          <w:szCs w:val="30"/>
          <w:highlight w:val="none"/>
        </w:rPr>
        <w:br w:type="page"/>
      </w:r>
      <w:r>
        <w:rPr>
          <w:rFonts w:hint="eastAsia" w:ascii="宋体"/>
          <w:b/>
          <w:color w:val="auto"/>
          <w:sz w:val="30"/>
          <w:szCs w:val="30"/>
          <w:highlight w:val="none"/>
        </w:rPr>
        <w:t xml:space="preserve"> 附表三：</w:t>
      </w:r>
    </w:p>
    <w:p>
      <w:pPr>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法定代表人身份证明书</w:t>
      </w:r>
    </w:p>
    <w:p>
      <w:pPr>
        <w:spacing w:line="360" w:lineRule="auto"/>
        <w:jc w:val="center"/>
        <w:rPr>
          <w:rFonts w:ascii="宋体" w:hAnsi="宋体"/>
          <w:color w:val="auto"/>
          <w:sz w:val="24"/>
          <w:highlight w:val="none"/>
        </w:rPr>
      </w:pPr>
    </w:p>
    <w:p>
      <w:pPr>
        <w:spacing w:line="360" w:lineRule="auto"/>
        <w:rPr>
          <w:rFonts w:ascii="宋体" w:hAnsi="宋体"/>
          <w:color w:val="auto"/>
          <w:sz w:val="24"/>
          <w:highlight w:val="none"/>
          <w:u w:val="single"/>
        </w:rPr>
      </w:pPr>
      <w:r>
        <w:rPr>
          <w:rFonts w:hint="eastAsia" w:ascii="宋体" w:hAnsi="宋体"/>
          <w:color w:val="auto"/>
          <w:sz w:val="24"/>
          <w:highlight w:val="none"/>
        </w:rPr>
        <w:t>单位名称：</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企业类型：</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营业期限：</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p>
    <w:p>
      <w:pPr>
        <w:spacing w:line="360" w:lineRule="auto"/>
        <w:rPr>
          <w:rFonts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特此证明。                              </w:t>
      </w:r>
    </w:p>
    <w:p>
      <w:pPr>
        <w:pStyle w:val="80"/>
        <w:rPr>
          <w:color w:val="auto"/>
          <w:highlight w:val="none"/>
        </w:rPr>
      </w:pPr>
    </w:p>
    <w:p>
      <w:pPr>
        <w:wordWrap w:val="0"/>
        <w:spacing w:line="360" w:lineRule="auto"/>
        <w:jc w:val="left"/>
        <w:rPr>
          <w:rFonts w:ascii="宋体" w:hAnsi="宋体"/>
          <w:color w:val="auto"/>
          <w:sz w:val="24"/>
          <w:highlight w:val="none"/>
        </w:rPr>
      </w:pPr>
      <w:r>
        <w:rPr>
          <w:color w:val="auto"/>
          <w:sz w:val="24"/>
          <w:highlight w:val="none"/>
        </w:rPr>
        <mc:AlternateContent>
          <mc:Choice Requires="wps">
            <w:drawing>
              <wp:anchor distT="0" distB="0" distL="0" distR="0" simplePos="0" relativeHeight="251662336" behindDoc="0" locked="0" layoutInCell="1" allowOverlap="1">
                <wp:simplePos x="0" y="0"/>
                <wp:positionH relativeFrom="column">
                  <wp:posOffset>294640</wp:posOffset>
                </wp:positionH>
                <wp:positionV relativeFrom="paragraph">
                  <wp:posOffset>12700</wp:posOffset>
                </wp:positionV>
                <wp:extent cx="2553970" cy="1445260"/>
                <wp:effectExtent l="4445" t="4445" r="13334" b="17145"/>
                <wp:wrapNone/>
                <wp:docPr id="1030" name="自选图形 11"/>
                <wp:cNvGraphicFramePr/>
                <a:graphic xmlns:a="http://schemas.openxmlformats.org/drawingml/2006/main">
                  <a:graphicData uri="http://schemas.microsoft.com/office/word/2010/wordprocessingShape">
                    <wps:wsp>
                      <wps:cNvSpPr/>
                      <wps:spPr>
                        <a:xfrm>
                          <a:off x="0" y="0"/>
                          <a:ext cx="2553970" cy="14452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
                          <w:p/>
                          <w:p>
                            <w:pPr>
                              <w:ind w:firstLine="420" w:firstLineChars="200"/>
                            </w:pPr>
                            <w:r>
                              <w:rPr>
                                <w:rFonts w:hint="eastAsia"/>
                              </w:rPr>
                              <w:t>法定代表人身份证复印件正面</w:t>
                            </w:r>
                          </w:p>
                        </w:txbxContent>
                      </wps:txbx>
                      <wps:bodyPr vert="horz" wrap="square" anchor="t" upright="1"/>
                    </wps:wsp>
                  </a:graphicData>
                </a:graphic>
              </wp:anchor>
            </w:drawing>
          </mc:Choice>
          <mc:Fallback>
            <w:pict>
              <v:shape id="自选图形 11" o:spid="_x0000_s1026" o:spt="176" type="#_x0000_t176" style="position:absolute;left:0pt;margin-left:23.2pt;margin-top:1pt;height:113.8pt;width:201.1pt;z-index:251662336;mso-width-relative:page;mso-height-relative:page;" fillcolor="#FFFFFF" filled="t" stroked="t" coordsize="21600,21600" o:gfxdata="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vcHxjVAAAACAEAAA8AAAAAAAAAAQAgAAAAIgAAAGRycy9kb3ducmV2&#10;LnhtbFBLAQIUABQAAAAIAIdO4kD3RxHlOAIAAG4EAAAOAAAAAAAAAAEAIAAAACQBAABkcnMvZTJv&#10;RG9jLnhtbFBLBQYAAAAABgAGAFkBAADOBQAAAAA=&#10;">
                <v:fill on="t" focussize="0,0"/>
                <v:stroke color="#000000" joinstyle="miter"/>
                <v:imagedata o:title=""/>
                <o:lock v:ext="edit" aspectratio="f"/>
                <v:textbox>
                  <w:txbxContent>
                    <w:p/>
                    <w:p/>
                    <w:p/>
                    <w:p>
                      <w:pPr>
                        <w:ind w:firstLine="420" w:firstLineChars="200"/>
                      </w:pPr>
                      <w:r>
                        <w:rPr>
                          <w:rFonts w:hint="eastAsia"/>
                        </w:rPr>
                        <w:t>法定代表人身份证复印件正面</w:t>
                      </w:r>
                    </w:p>
                  </w:txbxContent>
                </v:textbox>
              </v:shape>
            </w:pict>
          </mc:Fallback>
        </mc:AlternateContent>
      </w:r>
      <w:r>
        <w:rPr>
          <w:color w:val="auto"/>
          <w:sz w:val="24"/>
          <w:highlight w:val="none"/>
        </w:rPr>
        <mc:AlternateContent>
          <mc:Choice Requires="wps">
            <w:drawing>
              <wp:anchor distT="0" distB="0" distL="0" distR="0" simplePos="0" relativeHeight="251662336" behindDoc="0" locked="0" layoutInCell="1" allowOverlap="1">
                <wp:simplePos x="0" y="0"/>
                <wp:positionH relativeFrom="column">
                  <wp:posOffset>3433445</wp:posOffset>
                </wp:positionH>
                <wp:positionV relativeFrom="paragraph">
                  <wp:posOffset>4445</wp:posOffset>
                </wp:positionV>
                <wp:extent cx="2513965" cy="1440815"/>
                <wp:effectExtent l="4445" t="4445" r="15240" b="21590"/>
                <wp:wrapNone/>
                <wp:docPr id="1031" name="自选图形 10"/>
                <wp:cNvGraphicFramePr/>
                <a:graphic xmlns:a="http://schemas.openxmlformats.org/drawingml/2006/main">
                  <a:graphicData uri="http://schemas.microsoft.com/office/word/2010/wordprocessingShape">
                    <wps:wsp>
                      <wps:cNvSpPr/>
                      <wps:spPr>
                        <a:xfrm>
                          <a:off x="0" y="0"/>
                          <a:ext cx="2513964" cy="14408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
                          <w:p/>
                          <w:p>
                            <w:pPr>
                              <w:ind w:firstLine="420" w:firstLineChars="200"/>
                            </w:pPr>
                            <w:r>
                              <w:rPr>
                                <w:rFonts w:hint="eastAsia"/>
                              </w:rPr>
                              <w:t>法定代表人身份证复印件反面</w:t>
                            </w:r>
                          </w:p>
                        </w:txbxContent>
                      </wps:txbx>
                      <wps:bodyPr vert="horz" wrap="square" anchor="t" upright="1"/>
                    </wps:wsp>
                  </a:graphicData>
                </a:graphic>
              </wp:anchor>
            </w:drawing>
          </mc:Choice>
          <mc:Fallback>
            <w:pict>
              <v:shape id="自选图形 10" o:spid="_x0000_s1026" o:spt="176" type="#_x0000_t176" style="position:absolute;left:0pt;margin-left:270.35pt;margin-top:0.35pt;height:113.45pt;width:197.95pt;z-index:251662336;mso-width-relative:page;mso-height-relative:page;" fillcolor="#FFFFFF" filled="t" stroked="t" coordsize="21600,21600" o:gfxdata="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YKv5NgAAAAIAQAADwAAAAAAAAABACAAAAAiAAAAZHJzL2Rvd25y&#10;ZXYueG1sUEsBAhQAFAAAAAgAh07iQLxK1FQ3AgAAbgQAAA4AAAAAAAAAAQAgAAAAJwEAAGRycy9l&#10;Mm9Eb2MueG1sUEsFBgAAAAAGAAYAWQEAANAFAAAAAA==&#10;">
                <v:fill on="t" focussize="0,0"/>
                <v:stroke color="#000000" joinstyle="miter"/>
                <v:imagedata o:title=""/>
                <o:lock v:ext="edit" aspectratio="f"/>
                <v:textbox>
                  <w:txbxContent>
                    <w:p/>
                    <w:p/>
                    <w:p/>
                    <w:p>
                      <w:pPr>
                        <w:ind w:firstLine="420" w:firstLineChars="200"/>
                      </w:pPr>
                      <w:r>
                        <w:rPr>
                          <w:rFonts w:hint="eastAsia"/>
                        </w:rPr>
                        <w:t>法定代表人身份证复印件反面</w:t>
                      </w:r>
                    </w:p>
                  </w:txbxContent>
                </v:textbox>
              </v:shape>
            </w:pict>
          </mc:Fallback>
        </mc:AlternateContent>
      </w:r>
      <w:r>
        <w:rPr>
          <w:rFonts w:hint="eastAsia" w:ascii="宋体" w:hAnsi="宋体"/>
          <w:color w:val="auto"/>
          <w:sz w:val="24"/>
          <w:highlight w:val="none"/>
        </w:rPr>
        <w:t xml:space="preserve">                                     </w:t>
      </w:r>
    </w:p>
    <w:p>
      <w:pPr>
        <w:wordWrap w:val="0"/>
        <w:spacing w:line="360" w:lineRule="auto"/>
        <w:jc w:val="left"/>
        <w:rPr>
          <w:rFonts w:ascii="宋体" w:hAnsi="宋体"/>
          <w:color w:val="auto"/>
          <w:sz w:val="24"/>
          <w:highlight w:val="none"/>
        </w:rPr>
      </w:pPr>
      <w:r>
        <w:rPr>
          <w:rFonts w:hint="eastAsia" w:ascii="宋体" w:hAnsi="宋体"/>
          <w:color w:val="auto"/>
          <w:sz w:val="24"/>
          <w:highlight w:val="none"/>
        </w:rPr>
        <w:t xml:space="preserve">                </w:t>
      </w:r>
    </w:p>
    <w:p>
      <w:pPr>
        <w:wordWrap w:val="0"/>
        <w:spacing w:line="360" w:lineRule="auto"/>
        <w:jc w:val="left"/>
        <w:rPr>
          <w:rFonts w:ascii="宋体" w:hAnsi="宋体"/>
          <w:color w:val="auto"/>
          <w:sz w:val="24"/>
          <w:highlight w:val="none"/>
        </w:rPr>
      </w:pPr>
    </w:p>
    <w:p>
      <w:pPr>
        <w:wordWrap w:val="0"/>
        <w:spacing w:line="360" w:lineRule="auto"/>
        <w:jc w:val="left"/>
        <w:rPr>
          <w:rFonts w:ascii="宋体" w:hAnsi="宋体"/>
          <w:color w:val="auto"/>
          <w:sz w:val="24"/>
          <w:highlight w:val="none"/>
        </w:rPr>
      </w:pPr>
    </w:p>
    <w:p>
      <w:pPr>
        <w:wordWrap w:val="0"/>
        <w:spacing w:line="360" w:lineRule="auto"/>
        <w:jc w:val="left"/>
        <w:rPr>
          <w:rFonts w:ascii="宋体" w:hAnsi="宋体"/>
          <w:color w:val="auto"/>
          <w:sz w:val="24"/>
          <w:highlight w:val="none"/>
        </w:rPr>
      </w:pPr>
    </w:p>
    <w:p>
      <w:pPr>
        <w:wordWrap w:val="0"/>
        <w:spacing w:line="360" w:lineRule="auto"/>
        <w:jc w:val="left"/>
        <w:rPr>
          <w:rFonts w:ascii="宋体" w:hAnsi="宋体"/>
          <w:color w:val="auto"/>
          <w:sz w:val="24"/>
          <w:highlight w:val="none"/>
        </w:rPr>
      </w:pPr>
    </w:p>
    <w:p>
      <w:pPr>
        <w:wordWrap w:val="0"/>
        <w:spacing w:line="360" w:lineRule="auto"/>
        <w:jc w:val="left"/>
        <w:rPr>
          <w:rFonts w:ascii="宋体" w:hAnsi="宋体"/>
          <w:color w:val="auto"/>
          <w:sz w:val="24"/>
          <w:highlight w:val="none"/>
        </w:rPr>
      </w:pPr>
    </w:p>
    <w:p>
      <w:pPr>
        <w:wordWrap w:val="0"/>
        <w:spacing w:line="360" w:lineRule="auto"/>
        <w:jc w:val="left"/>
        <w:rPr>
          <w:rFonts w:ascii="宋体" w:hAnsi="宋体"/>
          <w:color w:val="auto"/>
          <w:sz w:val="24"/>
          <w:highlight w:val="none"/>
        </w:rPr>
      </w:pPr>
    </w:p>
    <w:p>
      <w:pPr>
        <w:wordWrap w:val="0"/>
        <w:spacing w:line="360" w:lineRule="auto"/>
        <w:jc w:val="left"/>
        <w:rPr>
          <w:rFonts w:ascii="宋体" w:hAnsi="宋体"/>
          <w:color w:val="auto"/>
          <w:sz w:val="24"/>
          <w:highlight w:val="none"/>
        </w:rPr>
      </w:pPr>
    </w:p>
    <w:p>
      <w:pPr>
        <w:wordWrap w:val="0"/>
        <w:spacing w:line="480" w:lineRule="auto"/>
        <w:jc w:val="left"/>
        <w:rPr>
          <w:rFonts w:ascii="宋体" w:hAnsi="宋体"/>
          <w:color w:val="auto"/>
          <w:sz w:val="24"/>
          <w:highlight w:val="none"/>
          <w:u w:val="single"/>
        </w:rPr>
      </w:pPr>
      <w:r>
        <w:rPr>
          <w:rFonts w:hint="eastAsia" w:ascii="宋体" w:hAnsi="宋体"/>
          <w:color w:val="auto"/>
          <w:sz w:val="24"/>
          <w:highlight w:val="none"/>
        </w:rPr>
        <w:t xml:space="preserve">                                           投标人名称（盖章）：</w:t>
      </w:r>
    </w:p>
    <w:p>
      <w:pPr>
        <w:spacing w:line="480" w:lineRule="auto"/>
        <w:ind w:firstLine="570"/>
        <w:jc w:val="left"/>
        <w:rPr>
          <w:rFonts w:ascii="宋体" w:hAnsi="宋体"/>
          <w:color w:val="auto"/>
          <w:sz w:val="24"/>
          <w:highlight w:val="none"/>
        </w:rPr>
      </w:pPr>
      <w:r>
        <w:rPr>
          <w:rFonts w:hint="eastAsia" w:ascii="宋体" w:hAnsi="宋体"/>
          <w:color w:val="auto"/>
          <w:sz w:val="24"/>
          <w:highlight w:val="none"/>
        </w:rPr>
        <w:t xml:space="preserve">                                      日  期： 年 月 日</w:t>
      </w: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spacing w:line="360" w:lineRule="auto"/>
        <w:ind w:firstLine="300" w:firstLineChars="100"/>
        <w:jc w:val="left"/>
        <w:outlineLvl w:val="0"/>
        <w:rPr>
          <w:rFonts w:ascii="宋体" w:hAnsi="宋体"/>
          <w:b/>
          <w:color w:val="auto"/>
          <w:sz w:val="30"/>
          <w:szCs w:val="30"/>
          <w:highlight w:val="none"/>
        </w:rPr>
      </w:pPr>
      <w:r>
        <w:rPr>
          <w:rFonts w:hint="eastAsia" w:ascii="宋体" w:hAnsi="宋体"/>
          <w:b/>
          <w:color w:val="auto"/>
          <w:sz w:val="30"/>
          <w:szCs w:val="30"/>
          <w:highlight w:val="none"/>
        </w:rPr>
        <w:t xml:space="preserve">附表四：                </w:t>
      </w:r>
    </w:p>
    <w:p>
      <w:pPr>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投标保证金证明</w:t>
      </w:r>
    </w:p>
    <w:p>
      <w:pPr>
        <w:spacing w:line="360" w:lineRule="auto"/>
        <w:jc w:val="left"/>
        <w:rPr>
          <w:rFonts w:ascii="宋体" w:hAnsi="宋体"/>
          <w:b/>
          <w:color w:val="auto"/>
          <w:sz w:val="30"/>
          <w:szCs w:val="30"/>
          <w:highlight w:val="none"/>
        </w:rPr>
      </w:pPr>
    </w:p>
    <w:p>
      <w:pPr>
        <w:spacing w:line="360" w:lineRule="auto"/>
        <w:jc w:val="left"/>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pStyle w:val="67"/>
        <w:rPr>
          <w:rFonts w:ascii="宋体" w:hAnsi="宋体"/>
          <w:b/>
          <w:color w:val="auto"/>
          <w:sz w:val="30"/>
          <w:szCs w:val="30"/>
          <w:highlight w:val="none"/>
        </w:rPr>
      </w:pPr>
    </w:p>
    <w:p>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pPr>
        <w:spacing w:line="480" w:lineRule="auto"/>
        <w:ind w:firstLine="300" w:firstLineChars="100"/>
        <w:jc w:val="left"/>
        <w:outlineLvl w:val="0"/>
        <w:rPr>
          <w:rFonts w:ascii="宋体" w:hAnsi="宋体"/>
          <w:b/>
          <w:color w:val="auto"/>
          <w:sz w:val="30"/>
          <w:szCs w:val="30"/>
          <w:highlight w:val="none"/>
        </w:rPr>
      </w:pPr>
      <w:r>
        <w:rPr>
          <w:rFonts w:hint="eastAsia" w:ascii="宋体" w:hAnsi="宋体"/>
          <w:b/>
          <w:color w:val="auto"/>
          <w:sz w:val="30"/>
          <w:szCs w:val="30"/>
          <w:highlight w:val="none"/>
        </w:rPr>
        <w:t xml:space="preserve">附表五：                </w:t>
      </w:r>
    </w:p>
    <w:p>
      <w:pPr>
        <w:spacing w:line="480" w:lineRule="auto"/>
        <w:jc w:val="center"/>
        <w:rPr>
          <w:rFonts w:ascii="宋体" w:hAnsi="宋体"/>
          <w:b/>
          <w:color w:val="auto"/>
          <w:sz w:val="30"/>
          <w:szCs w:val="30"/>
          <w:highlight w:val="none"/>
        </w:rPr>
      </w:pPr>
      <w:r>
        <w:rPr>
          <w:rFonts w:hint="eastAsia" w:ascii="宋体" w:hAnsi="宋体"/>
          <w:b/>
          <w:color w:val="auto"/>
          <w:sz w:val="30"/>
          <w:szCs w:val="30"/>
          <w:highlight w:val="none"/>
        </w:rPr>
        <w:t>投标分项报价表</w:t>
      </w:r>
    </w:p>
    <w:p>
      <w:pPr>
        <w:spacing w:line="360" w:lineRule="auto"/>
        <w:ind w:firstLine="240" w:firstLineChars="100"/>
        <w:rPr>
          <w:rFonts w:ascii="宋体"/>
          <w:color w:val="auto"/>
          <w:sz w:val="24"/>
          <w:highlight w:val="none"/>
        </w:rPr>
      </w:pPr>
      <w:r>
        <w:rPr>
          <w:rFonts w:hint="eastAsia" w:ascii="宋体"/>
          <w:color w:val="auto"/>
          <w:sz w:val="24"/>
          <w:highlight w:val="none"/>
        </w:rPr>
        <w:t>项目名称：                                       项目编号：</w:t>
      </w:r>
    </w:p>
    <w:p>
      <w:pPr>
        <w:spacing w:line="360" w:lineRule="auto"/>
        <w:rPr>
          <w:rFonts w:ascii="宋体"/>
          <w:color w:val="auto"/>
          <w:sz w:val="24"/>
          <w:highlight w:val="none"/>
        </w:rPr>
      </w:pPr>
      <w:r>
        <w:rPr>
          <w:rFonts w:hint="eastAsia" w:ascii="宋体"/>
          <w:color w:val="auto"/>
          <w:sz w:val="24"/>
          <w:highlight w:val="none"/>
        </w:rPr>
        <w:t xml:space="preserve">                                                                 单位：元</w:t>
      </w:r>
    </w:p>
    <w:tbl>
      <w:tblPr>
        <w:tblStyle w:val="88"/>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993"/>
        <w:gridCol w:w="1849"/>
        <w:gridCol w:w="1119"/>
        <w:gridCol w:w="1362"/>
        <w:gridCol w:w="154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序号</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名称</w:t>
            </w:r>
          </w:p>
        </w:tc>
        <w:tc>
          <w:tcPr>
            <w:tcW w:w="1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产地</w:t>
            </w:r>
            <w:r>
              <w:rPr>
                <w:rFonts w:hint="eastAsia" w:ascii="宋体"/>
                <w:color w:val="auto"/>
                <w:sz w:val="24"/>
                <w:highlight w:val="none"/>
                <w:lang w:val="en-US" w:eastAsia="zh-CN"/>
              </w:rPr>
              <w:t>或</w:t>
            </w:r>
            <w:r>
              <w:rPr>
                <w:rFonts w:hint="eastAsia" w:ascii="宋体"/>
                <w:color w:val="auto"/>
                <w:sz w:val="24"/>
                <w:highlight w:val="none"/>
              </w:rPr>
              <w:t>厂家</w:t>
            </w:r>
          </w:p>
        </w:tc>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数 量</w:t>
            </w:r>
          </w:p>
        </w:tc>
        <w:tc>
          <w:tcPr>
            <w:tcW w:w="1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单 价</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合价</w:t>
            </w:r>
          </w:p>
        </w:tc>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1</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2</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3</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4</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税费</w:t>
            </w:r>
          </w:p>
        </w:tc>
        <w:tc>
          <w:tcPr>
            <w:tcW w:w="695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5</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其他费用</w:t>
            </w:r>
          </w:p>
        </w:tc>
        <w:tc>
          <w:tcPr>
            <w:tcW w:w="695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总计</w:t>
            </w:r>
          </w:p>
        </w:tc>
        <w:tc>
          <w:tcPr>
            <w:tcW w:w="8950"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highlight w:val="none"/>
              </w:rPr>
            </w:pPr>
            <w:r>
              <w:rPr>
                <w:rFonts w:hint="eastAsia" w:ascii="宋体"/>
                <w:color w:val="auto"/>
                <w:sz w:val="24"/>
                <w:highlight w:val="none"/>
              </w:rPr>
              <w:t>小写:</w:t>
            </w:r>
          </w:p>
          <w:p>
            <w:pPr>
              <w:spacing w:line="360" w:lineRule="auto"/>
              <w:rPr>
                <w:rFonts w:ascii="宋体"/>
                <w:color w:val="auto"/>
                <w:sz w:val="24"/>
                <w:highlight w:val="none"/>
              </w:rPr>
            </w:pPr>
            <w:r>
              <w:rPr>
                <w:rFonts w:hint="eastAsia" w:ascii="宋体"/>
                <w:color w:val="auto"/>
                <w:sz w:val="24"/>
                <w:highlight w:val="none"/>
              </w:rPr>
              <w:t>大写：</w:t>
            </w:r>
          </w:p>
        </w:tc>
      </w:tr>
    </w:tbl>
    <w:p>
      <w:pPr>
        <w:spacing w:line="360" w:lineRule="auto"/>
        <w:rPr>
          <w:rFonts w:ascii="宋体"/>
          <w:color w:val="auto"/>
          <w:sz w:val="24"/>
          <w:highlight w:val="none"/>
        </w:rPr>
      </w:pPr>
    </w:p>
    <w:p>
      <w:pPr>
        <w:spacing w:line="480" w:lineRule="auto"/>
        <w:rPr>
          <w:rFonts w:ascii="宋体"/>
          <w:color w:val="auto"/>
          <w:sz w:val="24"/>
          <w:highlight w:val="none"/>
        </w:rPr>
      </w:pPr>
      <w:r>
        <w:rPr>
          <w:rFonts w:hint="eastAsia" w:ascii="宋体"/>
          <w:color w:val="auto"/>
          <w:sz w:val="24"/>
          <w:highlight w:val="none"/>
        </w:rPr>
        <w:t xml:space="preserve">投标人名称（盖章）：  </w:t>
      </w:r>
    </w:p>
    <w:p>
      <w:pPr>
        <w:spacing w:line="480" w:lineRule="auto"/>
        <w:rPr>
          <w:rFonts w:ascii="宋体"/>
          <w:color w:val="auto"/>
          <w:sz w:val="24"/>
          <w:highlight w:val="none"/>
        </w:rPr>
      </w:pPr>
      <w:r>
        <w:rPr>
          <w:rFonts w:hint="eastAsia" w:ascii="宋体"/>
          <w:color w:val="auto"/>
          <w:sz w:val="24"/>
          <w:highlight w:val="none"/>
        </w:rPr>
        <w:t>法定代表人或委托代理人（签字）：</w:t>
      </w:r>
    </w:p>
    <w:p>
      <w:pPr>
        <w:spacing w:line="360" w:lineRule="auto"/>
        <w:ind w:firstLine="570"/>
        <w:rPr>
          <w:rFonts w:ascii="宋体"/>
          <w:color w:val="auto"/>
          <w:sz w:val="24"/>
          <w:highlight w:val="none"/>
        </w:rPr>
      </w:pPr>
      <w:r>
        <w:rPr>
          <w:rFonts w:hint="eastAsia" w:ascii="宋体"/>
          <w:color w:val="auto"/>
          <w:sz w:val="24"/>
          <w:highlight w:val="none"/>
        </w:rPr>
        <w:t xml:space="preserve">                                   </w:t>
      </w:r>
    </w:p>
    <w:p>
      <w:pPr>
        <w:spacing w:line="360" w:lineRule="auto"/>
        <w:ind w:firstLine="570"/>
        <w:jc w:val="center"/>
        <w:rPr>
          <w:rFonts w:ascii="宋体" w:hAnsi="宋体"/>
          <w:color w:val="auto"/>
          <w:sz w:val="24"/>
          <w:highlight w:val="none"/>
        </w:rPr>
      </w:pPr>
      <w:r>
        <w:rPr>
          <w:rFonts w:hint="eastAsia" w:ascii="宋体"/>
          <w:color w:val="auto"/>
          <w:sz w:val="24"/>
          <w:highlight w:val="none"/>
        </w:rPr>
        <w:t xml:space="preserve">                                      </w:t>
      </w:r>
      <w:r>
        <w:rPr>
          <w:rFonts w:hint="eastAsia" w:ascii="宋体" w:hAnsi="宋体"/>
          <w:color w:val="auto"/>
          <w:sz w:val="24"/>
          <w:highlight w:val="none"/>
        </w:rPr>
        <w:t>20</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ascii="宋体"/>
          <w:b/>
          <w:color w:val="auto"/>
          <w:sz w:val="24"/>
          <w:highlight w:val="none"/>
        </w:rPr>
      </w:pPr>
      <w:r>
        <w:rPr>
          <w:rFonts w:hint="eastAsia" w:ascii="宋体"/>
          <w:b/>
          <w:color w:val="auto"/>
          <w:sz w:val="24"/>
          <w:highlight w:val="none"/>
        </w:rPr>
        <w:t>注：上述报价包含投标人一切承担的费用。</w:t>
      </w:r>
    </w:p>
    <w:p>
      <w:pPr>
        <w:spacing w:line="360" w:lineRule="auto"/>
        <w:jc w:val="left"/>
        <w:rPr>
          <w:rFonts w:ascii="宋体" w:hAnsi="宋体"/>
          <w:b/>
          <w:color w:val="auto"/>
          <w:sz w:val="30"/>
          <w:szCs w:val="30"/>
          <w:highlight w:val="none"/>
        </w:rPr>
      </w:pPr>
    </w:p>
    <w:p>
      <w:pPr>
        <w:spacing w:line="360" w:lineRule="auto"/>
        <w:jc w:val="left"/>
        <w:rPr>
          <w:rFonts w:ascii="宋体" w:hAnsi="宋体"/>
          <w:b/>
          <w:color w:val="auto"/>
          <w:sz w:val="30"/>
          <w:szCs w:val="30"/>
          <w:highlight w:val="none"/>
        </w:rPr>
      </w:pPr>
    </w:p>
    <w:p>
      <w:pPr>
        <w:spacing w:line="360" w:lineRule="auto"/>
        <w:jc w:val="left"/>
        <w:rPr>
          <w:rFonts w:ascii="宋体" w:hAnsi="宋体"/>
          <w:b/>
          <w:color w:val="auto"/>
          <w:sz w:val="30"/>
          <w:szCs w:val="30"/>
          <w:highlight w:val="none"/>
        </w:rPr>
      </w:pPr>
    </w:p>
    <w:p>
      <w:pPr>
        <w:spacing w:line="360" w:lineRule="auto"/>
        <w:jc w:val="left"/>
        <w:rPr>
          <w:rFonts w:ascii="宋体" w:hAnsi="宋体"/>
          <w:b/>
          <w:color w:val="auto"/>
          <w:sz w:val="30"/>
          <w:szCs w:val="30"/>
          <w:highlight w:val="none"/>
        </w:rPr>
      </w:pPr>
    </w:p>
    <w:p>
      <w:pPr>
        <w:pStyle w:val="67"/>
        <w:rPr>
          <w:rFonts w:ascii="宋体" w:hAnsi="宋体"/>
          <w:b/>
          <w:color w:val="auto"/>
          <w:sz w:val="30"/>
          <w:szCs w:val="30"/>
          <w:highlight w:val="none"/>
        </w:rPr>
      </w:pPr>
    </w:p>
    <w:p>
      <w:pPr>
        <w:spacing w:line="360" w:lineRule="auto"/>
        <w:jc w:val="left"/>
        <w:rPr>
          <w:rFonts w:ascii="宋体" w:hAnsi="宋体"/>
          <w:b/>
          <w:color w:val="auto"/>
          <w:sz w:val="30"/>
          <w:szCs w:val="30"/>
          <w:highlight w:val="none"/>
        </w:rPr>
      </w:pPr>
    </w:p>
    <w:p>
      <w:pPr>
        <w:spacing w:line="480" w:lineRule="auto"/>
        <w:outlineLvl w:val="0"/>
        <w:rPr>
          <w:rFonts w:ascii="宋体" w:hAnsi="宋体"/>
          <w:b/>
          <w:color w:val="auto"/>
          <w:sz w:val="30"/>
          <w:szCs w:val="30"/>
          <w:highlight w:val="none"/>
        </w:rPr>
      </w:pPr>
      <w:r>
        <w:rPr>
          <w:rFonts w:hint="eastAsia" w:ascii="宋体" w:hAnsi="宋体"/>
          <w:b/>
          <w:color w:val="auto"/>
          <w:sz w:val="30"/>
          <w:szCs w:val="30"/>
          <w:highlight w:val="none"/>
        </w:rPr>
        <w:br w:type="page"/>
      </w:r>
      <w:r>
        <w:rPr>
          <w:rFonts w:hint="eastAsia" w:ascii="宋体" w:hAnsi="宋体"/>
          <w:b/>
          <w:color w:val="auto"/>
          <w:sz w:val="30"/>
          <w:szCs w:val="30"/>
          <w:highlight w:val="none"/>
        </w:rPr>
        <w:t xml:space="preserve"> 附表六：      </w:t>
      </w:r>
    </w:p>
    <w:p>
      <w:pPr>
        <w:spacing w:line="480" w:lineRule="auto"/>
        <w:jc w:val="center"/>
        <w:rPr>
          <w:rFonts w:ascii="宋体" w:hAnsi="宋体"/>
          <w:b/>
          <w:color w:val="auto"/>
          <w:sz w:val="30"/>
          <w:szCs w:val="30"/>
          <w:highlight w:val="none"/>
        </w:rPr>
      </w:pPr>
      <w:r>
        <w:rPr>
          <w:rFonts w:hint="eastAsia" w:ascii="宋体" w:hAnsi="宋体"/>
          <w:b/>
          <w:color w:val="auto"/>
          <w:sz w:val="30"/>
          <w:szCs w:val="30"/>
          <w:highlight w:val="none"/>
        </w:rPr>
        <w:t>商务条款偏离表</w:t>
      </w:r>
    </w:p>
    <w:p>
      <w:pPr>
        <w:spacing w:line="360" w:lineRule="auto"/>
        <w:jc w:val="left"/>
        <w:rPr>
          <w:rFonts w:ascii="宋体" w:hAnsi="宋体"/>
          <w:color w:val="auto"/>
          <w:sz w:val="24"/>
          <w:highlight w:val="none"/>
          <w:u w:val="single"/>
        </w:rPr>
      </w:pPr>
      <w:r>
        <w:rPr>
          <w:rFonts w:hint="eastAsia" w:ascii="宋体" w:hAnsi="宋体"/>
          <w:color w:val="auto"/>
          <w:sz w:val="24"/>
          <w:highlight w:val="none"/>
        </w:rPr>
        <w:t>项目名称：                                             项目编号：</w:t>
      </w:r>
      <w:r>
        <w:rPr>
          <w:rFonts w:hint="eastAsia" w:ascii="宋体" w:hAnsi="宋体"/>
          <w:color w:val="auto"/>
          <w:sz w:val="24"/>
          <w:highlight w:val="none"/>
          <w:u w:val="single"/>
        </w:rPr>
        <w:t xml:space="preserve">                     </w:t>
      </w:r>
    </w:p>
    <w:tbl>
      <w:tblPr>
        <w:tblStyle w:val="8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3091"/>
        <w:gridCol w:w="2926"/>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00" w:type="pct"/>
            <w:vAlign w:val="bottom"/>
          </w:tcPr>
          <w:p>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672" w:type="pct"/>
            <w:vAlign w:val="bottom"/>
          </w:tcPr>
          <w:p>
            <w:pPr>
              <w:spacing w:line="360" w:lineRule="auto"/>
              <w:jc w:val="center"/>
              <w:rPr>
                <w:rFonts w:ascii="宋体" w:hAnsi="宋体"/>
                <w:color w:val="auto"/>
                <w:sz w:val="24"/>
                <w:highlight w:val="none"/>
              </w:rPr>
            </w:pPr>
            <w:r>
              <w:rPr>
                <w:rFonts w:hint="eastAsia" w:ascii="宋体" w:hAnsi="宋体"/>
                <w:color w:val="auto"/>
                <w:sz w:val="24"/>
                <w:highlight w:val="none"/>
              </w:rPr>
              <w:t>招标文件的商务条款</w:t>
            </w:r>
          </w:p>
        </w:tc>
        <w:tc>
          <w:tcPr>
            <w:tcW w:w="1583" w:type="pct"/>
            <w:vAlign w:val="bottom"/>
          </w:tcPr>
          <w:p>
            <w:pPr>
              <w:spacing w:line="360" w:lineRule="auto"/>
              <w:jc w:val="center"/>
              <w:rPr>
                <w:rFonts w:ascii="宋体" w:hAnsi="宋体"/>
                <w:color w:val="auto"/>
                <w:sz w:val="24"/>
                <w:highlight w:val="none"/>
              </w:rPr>
            </w:pPr>
            <w:r>
              <w:rPr>
                <w:rFonts w:hint="eastAsia" w:ascii="宋体" w:hAnsi="宋体"/>
                <w:color w:val="auto"/>
                <w:sz w:val="24"/>
                <w:highlight w:val="none"/>
              </w:rPr>
              <w:t>投标文件的商务条款</w:t>
            </w:r>
          </w:p>
        </w:tc>
        <w:tc>
          <w:tcPr>
            <w:tcW w:w="1143" w:type="pct"/>
            <w:vAlign w:val="bottom"/>
          </w:tcPr>
          <w:p>
            <w:pPr>
              <w:spacing w:line="360" w:lineRule="auto"/>
              <w:jc w:val="center"/>
              <w:rPr>
                <w:rFonts w:ascii="宋体" w:hAnsi="宋体"/>
                <w:color w:val="auto"/>
                <w:sz w:val="24"/>
                <w:highlight w:val="none"/>
              </w:rPr>
            </w:pPr>
            <w:r>
              <w:rPr>
                <w:rFonts w:hint="eastAsia" w:ascii="宋体" w:hAnsi="宋体"/>
                <w:color w:val="auto"/>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Pr>
          <w:p>
            <w:pPr>
              <w:spacing w:line="360" w:lineRule="auto"/>
              <w:jc w:val="left"/>
              <w:rPr>
                <w:rFonts w:ascii="宋体" w:hAnsi="宋体"/>
                <w:b/>
                <w:color w:val="auto"/>
                <w:sz w:val="30"/>
                <w:szCs w:val="30"/>
                <w:highlight w:val="none"/>
              </w:rPr>
            </w:pPr>
          </w:p>
        </w:tc>
        <w:tc>
          <w:tcPr>
            <w:tcW w:w="1672" w:type="pct"/>
          </w:tcPr>
          <w:p>
            <w:pPr>
              <w:spacing w:line="360" w:lineRule="auto"/>
              <w:jc w:val="left"/>
              <w:rPr>
                <w:rFonts w:ascii="宋体" w:hAnsi="宋体"/>
                <w:b/>
                <w:color w:val="auto"/>
                <w:sz w:val="30"/>
                <w:szCs w:val="30"/>
                <w:highlight w:val="none"/>
              </w:rPr>
            </w:pPr>
          </w:p>
        </w:tc>
        <w:tc>
          <w:tcPr>
            <w:tcW w:w="1583" w:type="pct"/>
          </w:tcPr>
          <w:p>
            <w:pPr>
              <w:spacing w:line="360" w:lineRule="auto"/>
              <w:jc w:val="left"/>
              <w:rPr>
                <w:rFonts w:ascii="宋体" w:hAnsi="宋体"/>
                <w:b/>
                <w:color w:val="auto"/>
                <w:sz w:val="30"/>
                <w:szCs w:val="30"/>
                <w:highlight w:val="none"/>
              </w:rPr>
            </w:pPr>
          </w:p>
        </w:tc>
        <w:tc>
          <w:tcPr>
            <w:tcW w:w="1143" w:type="pct"/>
          </w:tcPr>
          <w:p>
            <w:pPr>
              <w:spacing w:line="360" w:lineRule="auto"/>
              <w:jc w:val="left"/>
              <w:rPr>
                <w:rFonts w:ascii="宋体" w:hAnsi="宋体"/>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Pr>
          <w:p>
            <w:pPr>
              <w:spacing w:line="360" w:lineRule="auto"/>
              <w:jc w:val="left"/>
              <w:rPr>
                <w:rFonts w:ascii="宋体" w:hAnsi="宋体"/>
                <w:b/>
                <w:color w:val="auto"/>
                <w:sz w:val="30"/>
                <w:szCs w:val="30"/>
                <w:highlight w:val="none"/>
              </w:rPr>
            </w:pPr>
          </w:p>
        </w:tc>
        <w:tc>
          <w:tcPr>
            <w:tcW w:w="1672" w:type="pct"/>
          </w:tcPr>
          <w:p>
            <w:pPr>
              <w:spacing w:line="360" w:lineRule="auto"/>
              <w:jc w:val="left"/>
              <w:rPr>
                <w:rFonts w:ascii="宋体" w:hAnsi="宋体"/>
                <w:b/>
                <w:color w:val="auto"/>
                <w:sz w:val="30"/>
                <w:szCs w:val="30"/>
                <w:highlight w:val="none"/>
              </w:rPr>
            </w:pPr>
          </w:p>
        </w:tc>
        <w:tc>
          <w:tcPr>
            <w:tcW w:w="1583" w:type="pct"/>
          </w:tcPr>
          <w:p>
            <w:pPr>
              <w:spacing w:line="360" w:lineRule="auto"/>
              <w:jc w:val="left"/>
              <w:rPr>
                <w:rFonts w:ascii="宋体" w:hAnsi="宋体"/>
                <w:b/>
                <w:color w:val="auto"/>
                <w:sz w:val="30"/>
                <w:szCs w:val="30"/>
                <w:highlight w:val="none"/>
              </w:rPr>
            </w:pPr>
          </w:p>
        </w:tc>
        <w:tc>
          <w:tcPr>
            <w:tcW w:w="1143" w:type="pct"/>
          </w:tcPr>
          <w:p>
            <w:pPr>
              <w:spacing w:line="360" w:lineRule="auto"/>
              <w:jc w:val="left"/>
              <w:rPr>
                <w:rFonts w:ascii="宋体" w:hAnsi="宋体"/>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Pr>
          <w:p>
            <w:pPr>
              <w:spacing w:line="360" w:lineRule="auto"/>
              <w:jc w:val="left"/>
              <w:rPr>
                <w:rFonts w:ascii="宋体" w:hAnsi="宋体"/>
                <w:b/>
                <w:color w:val="auto"/>
                <w:sz w:val="30"/>
                <w:szCs w:val="30"/>
                <w:highlight w:val="none"/>
              </w:rPr>
            </w:pPr>
          </w:p>
        </w:tc>
        <w:tc>
          <w:tcPr>
            <w:tcW w:w="1672" w:type="pct"/>
          </w:tcPr>
          <w:p>
            <w:pPr>
              <w:spacing w:line="360" w:lineRule="auto"/>
              <w:jc w:val="left"/>
              <w:rPr>
                <w:rFonts w:ascii="宋体" w:hAnsi="宋体"/>
                <w:b/>
                <w:color w:val="auto"/>
                <w:sz w:val="30"/>
                <w:szCs w:val="30"/>
                <w:highlight w:val="none"/>
              </w:rPr>
            </w:pPr>
          </w:p>
        </w:tc>
        <w:tc>
          <w:tcPr>
            <w:tcW w:w="1583" w:type="pct"/>
          </w:tcPr>
          <w:p>
            <w:pPr>
              <w:spacing w:line="360" w:lineRule="auto"/>
              <w:jc w:val="left"/>
              <w:rPr>
                <w:rFonts w:ascii="宋体" w:hAnsi="宋体"/>
                <w:b/>
                <w:color w:val="auto"/>
                <w:sz w:val="30"/>
                <w:szCs w:val="30"/>
                <w:highlight w:val="none"/>
              </w:rPr>
            </w:pPr>
          </w:p>
        </w:tc>
        <w:tc>
          <w:tcPr>
            <w:tcW w:w="1143" w:type="pct"/>
          </w:tcPr>
          <w:p>
            <w:pPr>
              <w:spacing w:line="360" w:lineRule="auto"/>
              <w:jc w:val="left"/>
              <w:rPr>
                <w:rFonts w:ascii="宋体" w:hAnsi="宋体"/>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Pr>
          <w:p>
            <w:pPr>
              <w:spacing w:line="360" w:lineRule="auto"/>
              <w:jc w:val="left"/>
              <w:rPr>
                <w:rFonts w:ascii="宋体" w:hAnsi="宋体"/>
                <w:b/>
                <w:color w:val="auto"/>
                <w:sz w:val="30"/>
                <w:szCs w:val="30"/>
                <w:highlight w:val="none"/>
              </w:rPr>
            </w:pPr>
          </w:p>
        </w:tc>
        <w:tc>
          <w:tcPr>
            <w:tcW w:w="1672" w:type="pct"/>
          </w:tcPr>
          <w:p>
            <w:pPr>
              <w:spacing w:line="360" w:lineRule="auto"/>
              <w:jc w:val="left"/>
              <w:rPr>
                <w:rFonts w:ascii="宋体" w:hAnsi="宋体"/>
                <w:b/>
                <w:color w:val="auto"/>
                <w:sz w:val="30"/>
                <w:szCs w:val="30"/>
                <w:highlight w:val="none"/>
              </w:rPr>
            </w:pPr>
          </w:p>
        </w:tc>
        <w:tc>
          <w:tcPr>
            <w:tcW w:w="1583" w:type="pct"/>
          </w:tcPr>
          <w:p>
            <w:pPr>
              <w:spacing w:line="360" w:lineRule="auto"/>
              <w:jc w:val="left"/>
              <w:rPr>
                <w:rFonts w:ascii="宋体" w:hAnsi="宋体"/>
                <w:b/>
                <w:color w:val="auto"/>
                <w:sz w:val="30"/>
                <w:szCs w:val="30"/>
                <w:highlight w:val="none"/>
              </w:rPr>
            </w:pPr>
          </w:p>
        </w:tc>
        <w:tc>
          <w:tcPr>
            <w:tcW w:w="1143" w:type="pct"/>
          </w:tcPr>
          <w:p>
            <w:pPr>
              <w:spacing w:line="360" w:lineRule="auto"/>
              <w:jc w:val="left"/>
              <w:rPr>
                <w:rFonts w:ascii="宋体" w:hAnsi="宋体"/>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Pr>
          <w:p>
            <w:pPr>
              <w:spacing w:line="360" w:lineRule="auto"/>
              <w:jc w:val="left"/>
              <w:rPr>
                <w:rFonts w:ascii="宋体" w:hAnsi="宋体"/>
                <w:b/>
                <w:color w:val="auto"/>
                <w:sz w:val="30"/>
                <w:szCs w:val="30"/>
                <w:highlight w:val="none"/>
              </w:rPr>
            </w:pPr>
          </w:p>
        </w:tc>
        <w:tc>
          <w:tcPr>
            <w:tcW w:w="1672" w:type="pct"/>
          </w:tcPr>
          <w:p>
            <w:pPr>
              <w:spacing w:line="360" w:lineRule="auto"/>
              <w:jc w:val="left"/>
              <w:rPr>
                <w:rFonts w:ascii="宋体" w:hAnsi="宋体"/>
                <w:b/>
                <w:color w:val="auto"/>
                <w:sz w:val="30"/>
                <w:szCs w:val="30"/>
                <w:highlight w:val="none"/>
              </w:rPr>
            </w:pPr>
          </w:p>
        </w:tc>
        <w:tc>
          <w:tcPr>
            <w:tcW w:w="1583" w:type="pct"/>
          </w:tcPr>
          <w:p>
            <w:pPr>
              <w:spacing w:line="360" w:lineRule="auto"/>
              <w:jc w:val="left"/>
              <w:rPr>
                <w:rFonts w:ascii="宋体" w:hAnsi="宋体"/>
                <w:b/>
                <w:color w:val="auto"/>
                <w:sz w:val="30"/>
                <w:szCs w:val="30"/>
                <w:highlight w:val="none"/>
              </w:rPr>
            </w:pPr>
          </w:p>
        </w:tc>
        <w:tc>
          <w:tcPr>
            <w:tcW w:w="1143" w:type="pct"/>
          </w:tcPr>
          <w:p>
            <w:pPr>
              <w:spacing w:line="360" w:lineRule="auto"/>
              <w:jc w:val="left"/>
              <w:rPr>
                <w:rFonts w:ascii="宋体" w:hAnsi="宋体"/>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Pr>
          <w:p>
            <w:pPr>
              <w:spacing w:line="360" w:lineRule="auto"/>
              <w:jc w:val="left"/>
              <w:rPr>
                <w:rFonts w:ascii="宋体" w:hAnsi="宋体"/>
                <w:b/>
                <w:color w:val="auto"/>
                <w:sz w:val="30"/>
                <w:szCs w:val="30"/>
                <w:highlight w:val="none"/>
              </w:rPr>
            </w:pPr>
          </w:p>
        </w:tc>
        <w:tc>
          <w:tcPr>
            <w:tcW w:w="1672" w:type="pct"/>
          </w:tcPr>
          <w:p>
            <w:pPr>
              <w:spacing w:line="360" w:lineRule="auto"/>
              <w:jc w:val="left"/>
              <w:rPr>
                <w:rFonts w:ascii="宋体" w:hAnsi="宋体"/>
                <w:b/>
                <w:color w:val="auto"/>
                <w:sz w:val="30"/>
                <w:szCs w:val="30"/>
                <w:highlight w:val="none"/>
              </w:rPr>
            </w:pPr>
          </w:p>
        </w:tc>
        <w:tc>
          <w:tcPr>
            <w:tcW w:w="1583" w:type="pct"/>
          </w:tcPr>
          <w:p>
            <w:pPr>
              <w:spacing w:line="360" w:lineRule="auto"/>
              <w:jc w:val="left"/>
              <w:rPr>
                <w:rFonts w:ascii="宋体" w:hAnsi="宋体"/>
                <w:b/>
                <w:color w:val="auto"/>
                <w:sz w:val="30"/>
                <w:szCs w:val="30"/>
                <w:highlight w:val="none"/>
              </w:rPr>
            </w:pPr>
          </w:p>
        </w:tc>
        <w:tc>
          <w:tcPr>
            <w:tcW w:w="1143" w:type="pct"/>
          </w:tcPr>
          <w:p>
            <w:pPr>
              <w:spacing w:line="360" w:lineRule="auto"/>
              <w:jc w:val="left"/>
              <w:rPr>
                <w:rFonts w:ascii="宋体" w:hAnsi="宋体"/>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Pr>
          <w:p>
            <w:pPr>
              <w:spacing w:line="360" w:lineRule="auto"/>
              <w:jc w:val="left"/>
              <w:rPr>
                <w:rFonts w:ascii="宋体" w:hAnsi="宋体"/>
                <w:b/>
                <w:color w:val="auto"/>
                <w:sz w:val="30"/>
                <w:szCs w:val="30"/>
                <w:highlight w:val="none"/>
              </w:rPr>
            </w:pPr>
          </w:p>
        </w:tc>
        <w:tc>
          <w:tcPr>
            <w:tcW w:w="1672" w:type="pct"/>
          </w:tcPr>
          <w:p>
            <w:pPr>
              <w:spacing w:line="360" w:lineRule="auto"/>
              <w:jc w:val="left"/>
              <w:rPr>
                <w:rFonts w:ascii="宋体" w:hAnsi="宋体"/>
                <w:b/>
                <w:color w:val="auto"/>
                <w:sz w:val="30"/>
                <w:szCs w:val="30"/>
                <w:highlight w:val="none"/>
              </w:rPr>
            </w:pPr>
          </w:p>
        </w:tc>
        <w:tc>
          <w:tcPr>
            <w:tcW w:w="1583" w:type="pct"/>
          </w:tcPr>
          <w:p>
            <w:pPr>
              <w:spacing w:line="360" w:lineRule="auto"/>
              <w:jc w:val="left"/>
              <w:rPr>
                <w:rFonts w:ascii="宋体" w:hAnsi="宋体"/>
                <w:b/>
                <w:color w:val="auto"/>
                <w:sz w:val="30"/>
                <w:szCs w:val="30"/>
                <w:highlight w:val="none"/>
              </w:rPr>
            </w:pPr>
          </w:p>
        </w:tc>
        <w:tc>
          <w:tcPr>
            <w:tcW w:w="1143" w:type="pct"/>
          </w:tcPr>
          <w:p>
            <w:pPr>
              <w:spacing w:line="360" w:lineRule="auto"/>
              <w:jc w:val="left"/>
              <w:rPr>
                <w:rFonts w:ascii="宋体" w:hAnsi="宋体"/>
                <w:b/>
                <w:color w:val="auto"/>
                <w:sz w:val="30"/>
                <w:szCs w:val="30"/>
                <w:highlight w:val="none"/>
              </w:rPr>
            </w:pPr>
          </w:p>
        </w:tc>
      </w:tr>
    </w:tbl>
    <w:p>
      <w:pPr>
        <w:spacing w:line="360" w:lineRule="auto"/>
        <w:jc w:val="left"/>
        <w:rPr>
          <w:rFonts w:ascii="宋体" w:hAnsi="宋体"/>
          <w:color w:val="auto"/>
          <w:sz w:val="24"/>
          <w:highlight w:val="none"/>
        </w:rPr>
      </w:pPr>
    </w:p>
    <w:p>
      <w:pPr>
        <w:pStyle w:val="80"/>
        <w:spacing w:line="480" w:lineRule="auto"/>
        <w:rPr>
          <w:color w:val="auto"/>
          <w:highlight w:val="none"/>
        </w:rPr>
      </w:pPr>
      <w:r>
        <w:rPr>
          <w:rFonts w:hint="eastAsia" w:ascii="宋体" w:hAnsi="宋体" w:cs="宋体"/>
          <w:color w:val="auto"/>
          <w:sz w:val="24"/>
          <w:szCs w:val="24"/>
          <w:highlight w:val="none"/>
        </w:rPr>
        <w:t>注：</w:t>
      </w:r>
      <w:r>
        <w:rPr>
          <w:rFonts w:ascii="宋体" w:hAnsi="宋体" w:cs="宋体"/>
          <w:color w:val="auto"/>
          <w:sz w:val="24"/>
          <w:szCs w:val="24"/>
          <w:highlight w:val="none"/>
        </w:rPr>
        <w:t>投标人如果对包括交货期、付款方式/条件、质保期及合同条款在内的商务条款的响应有任何偏离，请在本表中详细填写；如对商务条款没有偏离，请注明 “无偏离</w:t>
      </w:r>
    </w:p>
    <w:p>
      <w:pPr>
        <w:spacing w:line="360" w:lineRule="auto"/>
        <w:jc w:val="left"/>
        <w:rPr>
          <w:rFonts w:ascii="宋体" w:hAnsi="宋体"/>
          <w:color w:val="auto"/>
          <w:sz w:val="24"/>
          <w:highlight w:val="none"/>
        </w:rPr>
      </w:pPr>
    </w:p>
    <w:p>
      <w:pPr>
        <w:pStyle w:val="38"/>
        <w:tabs>
          <w:tab w:val="left" w:pos="5580"/>
        </w:tabs>
        <w:spacing w:before="120" w:line="480" w:lineRule="auto"/>
        <w:jc w:val="center"/>
        <w:rPr>
          <w:rFonts w:hAnsi="宋体"/>
          <w:color w:val="auto"/>
          <w:sz w:val="24"/>
          <w:highlight w:val="none"/>
          <w:u w:val="single"/>
        </w:rPr>
      </w:pPr>
      <w:r>
        <w:rPr>
          <w:rFonts w:hint="eastAsia" w:hAnsi="宋体"/>
          <w:color w:val="auto"/>
          <w:sz w:val="24"/>
          <w:highlight w:val="none"/>
        </w:rPr>
        <w:t xml:space="preserve">                         </w:t>
      </w:r>
      <w:r>
        <w:rPr>
          <w:rFonts w:hAnsi="宋体"/>
          <w:color w:val="auto"/>
          <w:sz w:val="24"/>
          <w:highlight w:val="none"/>
        </w:rPr>
        <w:t>投标人</w:t>
      </w:r>
      <w:r>
        <w:rPr>
          <w:rFonts w:hint="eastAsia" w:hAnsi="宋体"/>
          <w:color w:val="auto"/>
          <w:sz w:val="24"/>
          <w:highlight w:val="none"/>
        </w:rPr>
        <w:t xml:space="preserve">名称 </w:t>
      </w:r>
      <w:r>
        <w:rPr>
          <w:rFonts w:hAnsi="宋体"/>
          <w:color w:val="auto"/>
          <w:sz w:val="24"/>
          <w:highlight w:val="none"/>
        </w:rPr>
        <w:t>(盖章)：</w:t>
      </w:r>
    </w:p>
    <w:p>
      <w:pPr>
        <w:pStyle w:val="38"/>
        <w:spacing w:line="480" w:lineRule="auto"/>
        <w:jc w:val="center"/>
        <w:rPr>
          <w:rFonts w:hAnsi="宋体"/>
          <w:color w:val="auto"/>
          <w:sz w:val="24"/>
          <w:highlight w:val="none"/>
        </w:rPr>
      </w:pPr>
      <w:r>
        <w:rPr>
          <w:rFonts w:hint="eastAsia" w:hAnsi="宋体"/>
          <w:color w:val="auto"/>
          <w:sz w:val="24"/>
          <w:highlight w:val="none"/>
        </w:rPr>
        <w:t xml:space="preserve">                           委托</w:t>
      </w:r>
      <w:r>
        <w:rPr>
          <w:rFonts w:hAnsi="宋体"/>
          <w:color w:val="auto"/>
          <w:sz w:val="24"/>
          <w:highlight w:val="none"/>
        </w:rPr>
        <w:t>代</w:t>
      </w:r>
      <w:r>
        <w:rPr>
          <w:rFonts w:hint="eastAsia" w:hAnsi="宋体"/>
          <w:color w:val="auto"/>
          <w:sz w:val="24"/>
          <w:highlight w:val="none"/>
        </w:rPr>
        <w:t>理人</w:t>
      </w:r>
      <w:r>
        <w:rPr>
          <w:rFonts w:hAnsi="宋体"/>
          <w:color w:val="auto"/>
          <w:sz w:val="24"/>
          <w:highlight w:val="none"/>
        </w:rPr>
        <w:t>（签字）：</w:t>
      </w:r>
    </w:p>
    <w:p>
      <w:pPr>
        <w:widowControl/>
        <w:spacing w:line="480" w:lineRule="auto"/>
        <w:jc w:val="center"/>
        <w:rPr>
          <w:rFonts w:ascii="宋体" w:hAnsi="宋体"/>
          <w:color w:val="auto"/>
          <w:highlight w:val="none"/>
        </w:rPr>
      </w:pPr>
      <w:r>
        <w:rPr>
          <w:rFonts w:hint="eastAsia" w:hAnsi="宋体"/>
          <w:color w:val="auto"/>
          <w:sz w:val="24"/>
          <w:highlight w:val="none"/>
        </w:rPr>
        <w:t xml:space="preserve">                              </w:t>
      </w:r>
      <w:r>
        <w:rPr>
          <w:rFonts w:hAnsi="宋体"/>
          <w:color w:val="auto"/>
          <w:sz w:val="24"/>
          <w:highlight w:val="none"/>
        </w:rPr>
        <w:t>日</w:t>
      </w:r>
      <w:r>
        <w:rPr>
          <w:rFonts w:hint="eastAsia" w:hAnsi="宋体"/>
          <w:color w:val="auto"/>
          <w:sz w:val="24"/>
          <w:highlight w:val="none"/>
        </w:rPr>
        <w:t xml:space="preserve">   </w:t>
      </w:r>
      <w:r>
        <w:rPr>
          <w:rFonts w:hAnsi="宋体"/>
          <w:color w:val="auto"/>
          <w:sz w:val="24"/>
          <w:highlight w:val="none"/>
        </w:rPr>
        <w:t>期：</w:t>
      </w:r>
      <w:r>
        <w:rPr>
          <w:rFonts w:hint="eastAsia" w:hAnsi="宋体"/>
          <w:color w:val="auto"/>
          <w:sz w:val="24"/>
          <w:highlight w:val="none"/>
        </w:rPr>
        <w:t xml:space="preserve">  </w:t>
      </w:r>
      <w:r>
        <w:rPr>
          <w:rFonts w:hAnsi="宋体"/>
          <w:color w:val="auto"/>
          <w:sz w:val="24"/>
          <w:highlight w:val="none"/>
        </w:rPr>
        <w:t>年</w:t>
      </w:r>
      <w:r>
        <w:rPr>
          <w:rFonts w:hint="eastAsia" w:hAnsi="宋体"/>
          <w:color w:val="auto"/>
          <w:sz w:val="24"/>
          <w:highlight w:val="none"/>
        </w:rPr>
        <w:t xml:space="preserve">   </w:t>
      </w:r>
      <w:r>
        <w:rPr>
          <w:rFonts w:hAnsi="宋体"/>
          <w:color w:val="auto"/>
          <w:sz w:val="24"/>
          <w:highlight w:val="none"/>
        </w:rPr>
        <w:t>月</w:t>
      </w:r>
      <w:r>
        <w:rPr>
          <w:rFonts w:hint="eastAsia" w:hAnsi="宋体"/>
          <w:color w:val="auto"/>
          <w:sz w:val="24"/>
          <w:highlight w:val="none"/>
        </w:rPr>
        <w:t xml:space="preserve">   </w:t>
      </w:r>
      <w:r>
        <w:rPr>
          <w:rFonts w:hAnsi="宋体"/>
          <w:color w:val="auto"/>
          <w:sz w:val="24"/>
          <w:highlight w:val="none"/>
        </w:rPr>
        <w:t>日</w:t>
      </w:r>
    </w:p>
    <w:p>
      <w:pPr>
        <w:rPr>
          <w:rFonts w:ascii="宋体" w:hAnsi="宋体"/>
          <w:color w:val="auto"/>
          <w:sz w:val="24"/>
          <w:highlight w:val="none"/>
        </w:rPr>
      </w:pPr>
    </w:p>
    <w:p>
      <w:pPr>
        <w:pStyle w:val="2"/>
        <w:rPr>
          <w:rFonts w:ascii="宋体" w:hAnsi="宋体"/>
          <w:color w:val="auto"/>
          <w:highlight w:val="none"/>
        </w:rPr>
      </w:pPr>
    </w:p>
    <w:p>
      <w:pPr>
        <w:rPr>
          <w:rFonts w:ascii="宋体" w:hAnsi="宋体"/>
          <w:color w:val="auto"/>
          <w:sz w:val="24"/>
          <w:highlight w:val="none"/>
        </w:rPr>
      </w:pPr>
    </w:p>
    <w:p>
      <w:pPr>
        <w:pStyle w:val="2"/>
        <w:rPr>
          <w:rFonts w:ascii="宋体" w:hAnsi="宋体"/>
          <w:color w:val="auto"/>
          <w:highlight w:val="none"/>
        </w:rPr>
      </w:pPr>
    </w:p>
    <w:p>
      <w:pPr>
        <w:rPr>
          <w:rFonts w:ascii="宋体" w:hAnsi="宋体"/>
          <w:color w:val="auto"/>
          <w:sz w:val="24"/>
          <w:highlight w:val="none"/>
        </w:rPr>
      </w:pPr>
    </w:p>
    <w:p>
      <w:pPr>
        <w:pStyle w:val="2"/>
        <w:rPr>
          <w:rFonts w:ascii="宋体" w:hAnsi="宋体"/>
          <w:color w:val="auto"/>
          <w:highlight w:val="none"/>
        </w:rPr>
      </w:pPr>
    </w:p>
    <w:p>
      <w:pPr>
        <w:rPr>
          <w:rFonts w:ascii="宋体" w:hAnsi="宋体"/>
          <w:color w:val="auto"/>
          <w:sz w:val="24"/>
          <w:highlight w:val="none"/>
        </w:rPr>
      </w:pPr>
    </w:p>
    <w:p>
      <w:pPr>
        <w:spacing w:line="360" w:lineRule="auto"/>
        <w:jc w:val="left"/>
        <w:outlineLvl w:val="0"/>
        <w:rPr>
          <w:rFonts w:ascii="宋体" w:hAnsi="宋体"/>
          <w:b/>
          <w:color w:val="auto"/>
          <w:sz w:val="30"/>
          <w:szCs w:val="30"/>
          <w:highlight w:val="none"/>
        </w:rPr>
      </w:pPr>
      <w:r>
        <w:rPr>
          <w:rFonts w:hint="eastAsia" w:ascii="宋体" w:hAnsi="宋体"/>
          <w:b/>
          <w:color w:val="auto"/>
          <w:sz w:val="30"/>
          <w:szCs w:val="30"/>
          <w:highlight w:val="none"/>
        </w:rPr>
        <w:br w:type="page"/>
      </w:r>
      <w:r>
        <w:rPr>
          <w:rFonts w:hint="eastAsia" w:ascii="宋体" w:hAnsi="宋体"/>
          <w:b/>
          <w:color w:val="auto"/>
          <w:sz w:val="30"/>
          <w:szCs w:val="30"/>
          <w:highlight w:val="none"/>
        </w:rPr>
        <w:t xml:space="preserve"> 附表七：</w:t>
      </w:r>
    </w:p>
    <w:p>
      <w:pPr>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投标人基本情况表</w:t>
      </w:r>
    </w:p>
    <w:tbl>
      <w:tblPr>
        <w:tblStyle w:val="8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060"/>
        <w:gridCol w:w="222"/>
        <w:gridCol w:w="1140"/>
        <w:gridCol w:w="509"/>
        <w:gridCol w:w="831"/>
        <w:gridCol w:w="770"/>
        <w:gridCol w:w="973"/>
        <w:gridCol w:w="798"/>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677" w:type="dxa"/>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投标人名称</w:t>
            </w:r>
          </w:p>
        </w:tc>
        <w:tc>
          <w:tcPr>
            <w:tcW w:w="7724" w:type="dxa"/>
            <w:gridSpan w:val="9"/>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677" w:type="dxa"/>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注册地址</w:t>
            </w:r>
          </w:p>
        </w:tc>
        <w:tc>
          <w:tcPr>
            <w:tcW w:w="3762" w:type="dxa"/>
            <w:gridSpan w:val="5"/>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c>
          <w:tcPr>
            <w:tcW w:w="1743" w:type="dxa"/>
            <w:gridSpan w:val="2"/>
            <w:vAlign w:val="center"/>
          </w:tcPr>
          <w:p>
            <w:pPr>
              <w:autoSpaceDE w:val="0"/>
              <w:autoSpaceDN w:val="0"/>
              <w:adjustRightInd w:val="0"/>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社会统一代码</w:t>
            </w:r>
          </w:p>
        </w:tc>
        <w:tc>
          <w:tcPr>
            <w:tcW w:w="2219" w:type="dxa"/>
            <w:gridSpan w:val="2"/>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677" w:type="dxa"/>
            <w:vMerge w:val="restart"/>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联系方式</w:t>
            </w:r>
          </w:p>
        </w:tc>
        <w:tc>
          <w:tcPr>
            <w:tcW w:w="1060" w:type="dxa"/>
            <w:vAlign w:val="center"/>
          </w:tcPr>
          <w:p>
            <w:pPr>
              <w:autoSpaceDE w:val="0"/>
              <w:autoSpaceDN w:val="0"/>
              <w:adjustRightInd w:val="0"/>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联系人</w:t>
            </w:r>
          </w:p>
        </w:tc>
        <w:tc>
          <w:tcPr>
            <w:tcW w:w="2702" w:type="dxa"/>
            <w:gridSpan w:val="4"/>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c>
          <w:tcPr>
            <w:tcW w:w="1743" w:type="dxa"/>
            <w:gridSpan w:val="2"/>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电话</w:t>
            </w:r>
          </w:p>
        </w:tc>
        <w:tc>
          <w:tcPr>
            <w:tcW w:w="2219" w:type="dxa"/>
            <w:gridSpan w:val="2"/>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677" w:type="dxa"/>
            <w:vMerge w:val="continue"/>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c>
          <w:tcPr>
            <w:tcW w:w="1060" w:type="dxa"/>
            <w:vAlign w:val="center"/>
          </w:tcPr>
          <w:p>
            <w:pPr>
              <w:autoSpaceDE w:val="0"/>
              <w:autoSpaceDN w:val="0"/>
              <w:adjustRightInd w:val="0"/>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传真</w:t>
            </w:r>
          </w:p>
        </w:tc>
        <w:tc>
          <w:tcPr>
            <w:tcW w:w="2702" w:type="dxa"/>
            <w:gridSpan w:val="4"/>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c>
          <w:tcPr>
            <w:tcW w:w="1743" w:type="dxa"/>
            <w:gridSpan w:val="2"/>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网址</w:t>
            </w:r>
          </w:p>
        </w:tc>
        <w:tc>
          <w:tcPr>
            <w:tcW w:w="2219" w:type="dxa"/>
            <w:gridSpan w:val="2"/>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77" w:type="dxa"/>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本公司所属</w:t>
            </w:r>
          </w:p>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行业</w:t>
            </w:r>
          </w:p>
        </w:tc>
        <w:tc>
          <w:tcPr>
            <w:tcW w:w="7724" w:type="dxa"/>
            <w:gridSpan w:val="9"/>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677" w:type="dxa"/>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法定代表人</w:t>
            </w:r>
          </w:p>
        </w:tc>
        <w:tc>
          <w:tcPr>
            <w:tcW w:w="1060" w:type="dxa"/>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姓名</w:t>
            </w:r>
          </w:p>
        </w:tc>
        <w:tc>
          <w:tcPr>
            <w:tcW w:w="1362" w:type="dxa"/>
            <w:gridSpan w:val="2"/>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c>
          <w:tcPr>
            <w:tcW w:w="1340" w:type="dxa"/>
            <w:gridSpan w:val="2"/>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职称/职务</w:t>
            </w:r>
          </w:p>
        </w:tc>
        <w:tc>
          <w:tcPr>
            <w:tcW w:w="1743" w:type="dxa"/>
            <w:gridSpan w:val="2"/>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c>
          <w:tcPr>
            <w:tcW w:w="798" w:type="dxa"/>
            <w:vAlign w:val="center"/>
          </w:tcPr>
          <w:p>
            <w:pPr>
              <w:autoSpaceDE w:val="0"/>
              <w:autoSpaceDN w:val="0"/>
              <w:adjustRightInd w:val="0"/>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电话</w:t>
            </w:r>
          </w:p>
        </w:tc>
        <w:tc>
          <w:tcPr>
            <w:tcW w:w="1421" w:type="dxa"/>
            <w:vAlign w:val="center"/>
          </w:tcPr>
          <w:p>
            <w:pPr>
              <w:autoSpaceDE w:val="0"/>
              <w:autoSpaceDN w:val="0"/>
              <w:adjustRightInd w:val="0"/>
              <w:spacing w:line="400" w:lineRule="exact"/>
              <w:ind w:firstLine="482"/>
              <w:jc w:val="center"/>
              <w:rPr>
                <w:rFonts w:ascii="宋体" w:hAnsi="宋体" w:cs="仿宋"/>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7" w:type="dxa"/>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项目负责人</w:t>
            </w:r>
          </w:p>
        </w:tc>
        <w:tc>
          <w:tcPr>
            <w:tcW w:w="1060" w:type="dxa"/>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姓名</w:t>
            </w:r>
          </w:p>
        </w:tc>
        <w:tc>
          <w:tcPr>
            <w:tcW w:w="1362" w:type="dxa"/>
            <w:gridSpan w:val="2"/>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c>
          <w:tcPr>
            <w:tcW w:w="1340" w:type="dxa"/>
            <w:gridSpan w:val="2"/>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职称/职务</w:t>
            </w:r>
          </w:p>
        </w:tc>
        <w:tc>
          <w:tcPr>
            <w:tcW w:w="1743" w:type="dxa"/>
            <w:gridSpan w:val="2"/>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c>
          <w:tcPr>
            <w:tcW w:w="798" w:type="dxa"/>
            <w:vAlign w:val="center"/>
          </w:tcPr>
          <w:p>
            <w:pPr>
              <w:autoSpaceDE w:val="0"/>
              <w:autoSpaceDN w:val="0"/>
              <w:adjustRightInd w:val="0"/>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电话</w:t>
            </w:r>
          </w:p>
        </w:tc>
        <w:tc>
          <w:tcPr>
            <w:tcW w:w="1421" w:type="dxa"/>
            <w:vAlign w:val="center"/>
          </w:tcPr>
          <w:p>
            <w:pPr>
              <w:autoSpaceDE w:val="0"/>
              <w:autoSpaceDN w:val="0"/>
              <w:adjustRightInd w:val="0"/>
              <w:spacing w:line="400" w:lineRule="exact"/>
              <w:ind w:firstLine="482"/>
              <w:jc w:val="center"/>
              <w:rPr>
                <w:rFonts w:ascii="宋体" w:hAnsi="宋体" w:cs="仿宋"/>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677" w:type="dxa"/>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成立时间</w:t>
            </w:r>
          </w:p>
        </w:tc>
        <w:tc>
          <w:tcPr>
            <w:tcW w:w="2931" w:type="dxa"/>
            <w:gridSpan w:val="4"/>
            <w:vAlign w:val="center"/>
          </w:tcPr>
          <w:p>
            <w:pPr>
              <w:autoSpaceDE w:val="0"/>
              <w:autoSpaceDN w:val="0"/>
              <w:adjustRightInd w:val="0"/>
              <w:spacing w:line="400" w:lineRule="exact"/>
              <w:jc w:val="center"/>
              <w:rPr>
                <w:rFonts w:ascii="宋体" w:hAnsi="宋体" w:cs="仿宋"/>
                <w:color w:val="auto"/>
                <w:kern w:val="0"/>
                <w:sz w:val="24"/>
                <w:highlight w:val="none"/>
              </w:rPr>
            </w:pPr>
          </w:p>
        </w:tc>
        <w:tc>
          <w:tcPr>
            <w:tcW w:w="1601" w:type="dxa"/>
            <w:gridSpan w:val="2"/>
            <w:vAlign w:val="center"/>
          </w:tcPr>
          <w:p>
            <w:pPr>
              <w:autoSpaceDE w:val="0"/>
              <w:autoSpaceDN w:val="0"/>
              <w:adjustRightInd w:val="0"/>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员工总人数</w:t>
            </w:r>
          </w:p>
        </w:tc>
        <w:tc>
          <w:tcPr>
            <w:tcW w:w="3192" w:type="dxa"/>
            <w:gridSpan w:val="3"/>
            <w:vAlign w:val="center"/>
          </w:tcPr>
          <w:p>
            <w:pPr>
              <w:autoSpaceDE w:val="0"/>
              <w:autoSpaceDN w:val="0"/>
              <w:adjustRightInd w:val="0"/>
              <w:spacing w:line="400" w:lineRule="exact"/>
              <w:ind w:firstLine="482"/>
              <w:jc w:val="center"/>
              <w:rPr>
                <w:rFonts w:ascii="宋体" w:hAnsi="宋体" w:cs="仿宋"/>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77" w:type="dxa"/>
            <w:vMerge w:val="restart"/>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财务状况</w:t>
            </w:r>
          </w:p>
        </w:tc>
        <w:tc>
          <w:tcPr>
            <w:tcW w:w="1282" w:type="dxa"/>
            <w:gridSpan w:val="2"/>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年份</w:t>
            </w:r>
          </w:p>
        </w:tc>
        <w:tc>
          <w:tcPr>
            <w:tcW w:w="1649" w:type="dxa"/>
            <w:gridSpan w:val="2"/>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资产总额</w:t>
            </w:r>
          </w:p>
        </w:tc>
        <w:tc>
          <w:tcPr>
            <w:tcW w:w="1601" w:type="dxa"/>
            <w:gridSpan w:val="2"/>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收入总额</w:t>
            </w:r>
          </w:p>
        </w:tc>
        <w:tc>
          <w:tcPr>
            <w:tcW w:w="1771" w:type="dxa"/>
            <w:gridSpan w:val="2"/>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利润总额</w:t>
            </w:r>
          </w:p>
        </w:tc>
        <w:tc>
          <w:tcPr>
            <w:tcW w:w="1421" w:type="dxa"/>
            <w:vAlign w:val="center"/>
          </w:tcPr>
          <w:p>
            <w:pPr>
              <w:autoSpaceDE w:val="0"/>
              <w:autoSpaceDN w:val="0"/>
              <w:adjustRightInd w:val="0"/>
              <w:spacing w:line="400" w:lineRule="exact"/>
              <w:ind w:firstLine="240" w:firstLineChars="100"/>
              <w:rPr>
                <w:rFonts w:ascii="宋体" w:hAnsi="宋体" w:cs="仿宋"/>
                <w:b/>
                <w:bCs/>
                <w:color w:val="auto"/>
                <w:kern w:val="0"/>
                <w:sz w:val="24"/>
                <w:highlight w:val="none"/>
              </w:rPr>
            </w:pPr>
            <w:r>
              <w:rPr>
                <w:rFonts w:hint="eastAsia" w:ascii="宋体" w:hAnsi="宋体" w:cs="仿宋"/>
                <w:color w:val="auto"/>
                <w:kern w:val="0"/>
                <w:sz w:val="24"/>
                <w:highlight w:val="none"/>
              </w:rPr>
              <w:t>净利润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77" w:type="dxa"/>
            <w:vMerge w:val="continue"/>
            <w:vAlign w:val="center"/>
          </w:tcPr>
          <w:p>
            <w:pPr>
              <w:autoSpaceDE w:val="0"/>
              <w:autoSpaceDN w:val="0"/>
              <w:adjustRightInd w:val="0"/>
              <w:spacing w:line="400" w:lineRule="exact"/>
              <w:jc w:val="center"/>
              <w:rPr>
                <w:rFonts w:ascii="宋体" w:hAnsi="宋体" w:cs="仿宋"/>
                <w:color w:val="auto"/>
                <w:kern w:val="0"/>
                <w:sz w:val="24"/>
                <w:highlight w:val="none"/>
              </w:rPr>
            </w:pPr>
          </w:p>
        </w:tc>
        <w:tc>
          <w:tcPr>
            <w:tcW w:w="1282" w:type="dxa"/>
            <w:gridSpan w:val="2"/>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2020年</w:t>
            </w:r>
          </w:p>
        </w:tc>
        <w:tc>
          <w:tcPr>
            <w:tcW w:w="1649" w:type="dxa"/>
            <w:gridSpan w:val="2"/>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c>
          <w:tcPr>
            <w:tcW w:w="1601" w:type="dxa"/>
            <w:gridSpan w:val="2"/>
            <w:vAlign w:val="center"/>
          </w:tcPr>
          <w:p>
            <w:pPr>
              <w:autoSpaceDE w:val="0"/>
              <w:autoSpaceDN w:val="0"/>
              <w:adjustRightInd w:val="0"/>
              <w:spacing w:line="400" w:lineRule="exact"/>
              <w:jc w:val="center"/>
              <w:rPr>
                <w:rFonts w:ascii="宋体" w:hAnsi="宋体" w:cs="仿宋"/>
                <w:color w:val="auto"/>
                <w:kern w:val="0"/>
                <w:sz w:val="24"/>
                <w:highlight w:val="none"/>
              </w:rPr>
            </w:pPr>
          </w:p>
        </w:tc>
        <w:tc>
          <w:tcPr>
            <w:tcW w:w="1771" w:type="dxa"/>
            <w:gridSpan w:val="2"/>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c>
          <w:tcPr>
            <w:tcW w:w="1421" w:type="dxa"/>
            <w:vAlign w:val="center"/>
          </w:tcPr>
          <w:p>
            <w:pPr>
              <w:autoSpaceDE w:val="0"/>
              <w:autoSpaceDN w:val="0"/>
              <w:adjustRightInd w:val="0"/>
              <w:spacing w:line="400" w:lineRule="exact"/>
              <w:ind w:firstLine="482"/>
              <w:jc w:val="center"/>
              <w:rPr>
                <w:rFonts w:ascii="宋体" w:hAnsi="宋体" w:cs="仿宋"/>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77" w:type="dxa"/>
            <w:vMerge w:val="continue"/>
            <w:vAlign w:val="center"/>
          </w:tcPr>
          <w:p>
            <w:pPr>
              <w:autoSpaceDE w:val="0"/>
              <w:autoSpaceDN w:val="0"/>
              <w:adjustRightInd w:val="0"/>
              <w:spacing w:line="400" w:lineRule="exact"/>
              <w:jc w:val="center"/>
              <w:rPr>
                <w:rFonts w:ascii="宋体" w:hAnsi="宋体" w:cs="仿宋"/>
                <w:color w:val="auto"/>
                <w:kern w:val="0"/>
                <w:sz w:val="24"/>
                <w:highlight w:val="none"/>
              </w:rPr>
            </w:pPr>
          </w:p>
        </w:tc>
        <w:tc>
          <w:tcPr>
            <w:tcW w:w="1282" w:type="dxa"/>
            <w:gridSpan w:val="2"/>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2021年</w:t>
            </w:r>
          </w:p>
        </w:tc>
        <w:tc>
          <w:tcPr>
            <w:tcW w:w="1649" w:type="dxa"/>
            <w:gridSpan w:val="2"/>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c>
          <w:tcPr>
            <w:tcW w:w="1601" w:type="dxa"/>
            <w:gridSpan w:val="2"/>
            <w:vAlign w:val="center"/>
          </w:tcPr>
          <w:p>
            <w:pPr>
              <w:autoSpaceDE w:val="0"/>
              <w:autoSpaceDN w:val="0"/>
              <w:adjustRightInd w:val="0"/>
              <w:spacing w:line="400" w:lineRule="exact"/>
              <w:jc w:val="center"/>
              <w:rPr>
                <w:rFonts w:ascii="宋体" w:hAnsi="宋体" w:cs="仿宋"/>
                <w:color w:val="auto"/>
                <w:kern w:val="0"/>
                <w:sz w:val="24"/>
                <w:highlight w:val="none"/>
              </w:rPr>
            </w:pPr>
          </w:p>
        </w:tc>
        <w:tc>
          <w:tcPr>
            <w:tcW w:w="1771" w:type="dxa"/>
            <w:gridSpan w:val="2"/>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c>
          <w:tcPr>
            <w:tcW w:w="1421" w:type="dxa"/>
            <w:vAlign w:val="center"/>
          </w:tcPr>
          <w:p>
            <w:pPr>
              <w:autoSpaceDE w:val="0"/>
              <w:autoSpaceDN w:val="0"/>
              <w:adjustRightInd w:val="0"/>
              <w:spacing w:line="400" w:lineRule="exact"/>
              <w:ind w:firstLine="482"/>
              <w:jc w:val="center"/>
              <w:rPr>
                <w:rFonts w:ascii="宋体" w:hAnsi="宋体" w:cs="仿宋"/>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77" w:type="dxa"/>
            <w:vMerge w:val="continue"/>
            <w:vAlign w:val="center"/>
          </w:tcPr>
          <w:p>
            <w:pPr>
              <w:autoSpaceDE w:val="0"/>
              <w:autoSpaceDN w:val="0"/>
              <w:adjustRightInd w:val="0"/>
              <w:spacing w:line="400" w:lineRule="exact"/>
              <w:jc w:val="center"/>
              <w:rPr>
                <w:rFonts w:ascii="宋体" w:hAnsi="宋体" w:cs="仿宋"/>
                <w:color w:val="auto"/>
                <w:kern w:val="0"/>
                <w:sz w:val="24"/>
                <w:highlight w:val="none"/>
              </w:rPr>
            </w:pPr>
          </w:p>
        </w:tc>
        <w:tc>
          <w:tcPr>
            <w:tcW w:w="1282" w:type="dxa"/>
            <w:gridSpan w:val="2"/>
            <w:vAlign w:val="center"/>
          </w:tcPr>
          <w:p>
            <w:pPr>
              <w:autoSpaceDE w:val="0"/>
              <w:autoSpaceDN w:val="0"/>
              <w:adjustRightInd w:val="0"/>
              <w:spacing w:line="400" w:lineRule="exact"/>
              <w:jc w:val="center"/>
              <w:rPr>
                <w:rFonts w:hint="default" w:ascii="宋体" w:hAnsi="宋体" w:eastAsia="宋体" w:cs="仿宋"/>
                <w:color w:val="auto"/>
                <w:kern w:val="0"/>
                <w:sz w:val="24"/>
                <w:highlight w:val="none"/>
                <w:lang w:val="en-US" w:eastAsia="zh-CN"/>
              </w:rPr>
            </w:pPr>
            <w:r>
              <w:rPr>
                <w:rFonts w:hint="eastAsia" w:ascii="宋体" w:hAnsi="宋体" w:cs="仿宋"/>
                <w:color w:val="auto"/>
                <w:kern w:val="0"/>
                <w:sz w:val="24"/>
                <w:highlight w:val="none"/>
                <w:lang w:val="en-US" w:eastAsia="zh-CN"/>
              </w:rPr>
              <w:t>2022年</w:t>
            </w:r>
          </w:p>
        </w:tc>
        <w:tc>
          <w:tcPr>
            <w:tcW w:w="1649" w:type="dxa"/>
            <w:gridSpan w:val="2"/>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c>
          <w:tcPr>
            <w:tcW w:w="1601" w:type="dxa"/>
            <w:gridSpan w:val="2"/>
            <w:vAlign w:val="center"/>
          </w:tcPr>
          <w:p>
            <w:pPr>
              <w:autoSpaceDE w:val="0"/>
              <w:autoSpaceDN w:val="0"/>
              <w:adjustRightInd w:val="0"/>
              <w:spacing w:line="400" w:lineRule="exact"/>
              <w:jc w:val="center"/>
              <w:rPr>
                <w:rFonts w:ascii="宋体" w:hAnsi="宋体" w:cs="仿宋"/>
                <w:color w:val="auto"/>
                <w:kern w:val="0"/>
                <w:sz w:val="24"/>
                <w:highlight w:val="none"/>
              </w:rPr>
            </w:pPr>
          </w:p>
        </w:tc>
        <w:tc>
          <w:tcPr>
            <w:tcW w:w="1771" w:type="dxa"/>
            <w:gridSpan w:val="2"/>
            <w:vAlign w:val="center"/>
          </w:tcPr>
          <w:p>
            <w:pPr>
              <w:autoSpaceDE w:val="0"/>
              <w:autoSpaceDN w:val="0"/>
              <w:adjustRightInd w:val="0"/>
              <w:spacing w:line="400" w:lineRule="exact"/>
              <w:ind w:firstLine="480"/>
              <w:jc w:val="center"/>
              <w:rPr>
                <w:rFonts w:ascii="宋体" w:hAnsi="宋体" w:cs="仿宋"/>
                <w:color w:val="auto"/>
                <w:kern w:val="0"/>
                <w:sz w:val="24"/>
                <w:highlight w:val="none"/>
              </w:rPr>
            </w:pPr>
          </w:p>
        </w:tc>
        <w:tc>
          <w:tcPr>
            <w:tcW w:w="1421" w:type="dxa"/>
            <w:vAlign w:val="center"/>
          </w:tcPr>
          <w:p>
            <w:pPr>
              <w:autoSpaceDE w:val="0"/>
              <w:autoSpaceDN w:val="0"/>
              <w:adjustRightInd w:val="0"/>
              <w:spacing w:line="400" w:lineRule="exact"/>
              <w:ind w:firstLine="482"/>
              <w:jc w:val="center"/>
              <w:rPr>
                <w:rFonts w:ascii="宋体" w:hAnsi="宋体" w:cs="仿宋"/>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677" w:type="dxa"/>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经营范围</w:t>
            </w:r>
          </w:p>
        </w:tc>
        <w:tc>
          <w:tcPr>
            <w:tcW w:w="7724" w:type="dxa"/>
            <w:gridSpan w:val="9"/>
            <w:vAlign w:val="center"/>
          </w:tcPr>
          <w:p>
            <w:pPr>
              <w:autoSpaceDE w:val="0"/>
              <w:autoSpaceDN w:val="0"/>
              <w:adjustRightInd w:val="0"/>
              <w:spacing w:line="400" w:lineRule="exact"/>
              <w:ind w:firstLine="482"/>
              <w:jc w:val="center"/>
              <w:rPr>
                <w:rFonts w:ascii="宋体" w:hAnsi="宋体" w:cs="仿宋"/>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677" w:type="dxa"/>
            <w:vAlign w:val="center"/>
          </w:tcPr>
          <w:p>
            <w:pPr>
              <w:autoSpaceDE w:val="0"/>
              <w:autoSpaceDN w:val="0"/>
              <w:adjustRightInd w:val="0"/>
              <w:spacing w:line="40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备注</w:t>
            </w:r>
          </w:p>
        </w:tc>
        <w:tc>
          <w:tcPr>
            <w:tcW w:w="7724" w:type="dxa"/>
            <w:gridSpan w:val="9"/>
            <w:vAlign w:val="center"/>
          </w:tcPr>
          <w:p>
            <w:pPr>
              <w:autoSpaceDE w:val="0"/>
              <w:autoSpaceDN w:val="0"/>
              <w:adjustRightInd w:val="0"/>
              <w:spacing w:line="400" w:lineRule="exact"/>
              <w:ind w:firstLine="482"/>
              <w:jc w:val="center"/>
              <w:rPr>
                <w:rFonts w:ascii="宋体" w:hAnsi="宋体" w:cs="仿宋"/>
                <w:b/>
                <w:bCs/>
                <w:color w:val="auto"/>
                <w:kern w:val="0"/>
                <w:sz w:val="24"/>
                <w:highlight w:val="none"/>
              </w:rPr>
            </w:pPr>
          </w:p>
        </w:tc>
      </w:tr>
    </w:tbl>
    <w:p>
      <w:pPr>
        <w:autoSpaceDE w:val="0"/>
        <w:autoSpaceDN w:val="0"/>
        <w:adjustRightInd w:val="0"/>
        <w:spacing w:line="400" w:lineRule="exact"/>
        <w:jc w:val="left"/>
        <w:rPr>
          <w:rFonts w:ascii="宋体" w:hAnsi="宋体" w:cs="宋体"/>
          <w:color w:val="auto"/>
          <w:sz w:val="24"/>
          <w:highlight w:val="none"/>
        </w:rPr>
      </w:pPr>
    </w:p>
    <w:p>
      <w:pPr>
        <w:autoSpaceDE w:val="0"/>
        <w:autoSpaceDN w:val="0"/>
        <w:adjustRightInd w:val="0"/>
        <w:spacing w:line="480" w:lineRule="auto"/>
        <w:jc w:val="center"/>
        <w:rPr>
          <w:rFonts w:ascii="宋体" w:hAnsi="宋体" w:cs="宋体"/>
          <w:color w:val="auto"/>
          <w:sz w:val="24"/>
          <w:highlight w:val="none"/>
        </w:rPr>
      </w:pPr>
      <w:r>
        <w:rPr>
          <w:rFonts w:hint="eastAsia" w:ascii="宋体" w:hAnsi="宋体" w:cs="宋体"/>
          <w:color w:val="auto"/>
          <w:sz w:val="24"/>
          <w:highlight w:val="none"/>
        </w:rPr>
        <w:t xml:space="preserve">                                 投标人名称（盖章）：</w:t>
      </w:r>
    </w:p>
    <w:p>
      <w:pPr>
        <w:autoSpaceDE w:val="0"/>
        <w:autoSpaceDN w:val="0"/>
        <w:adjustRightInd w:val="0"/>
        <w:spacing w:line="480" w:lineRule="auto"/>
        <w:jc w:val="center"/>
        <w:rPr>
          <w:rFonts w:ascii="宋体" w:hAnsi="宋体" w:cs="宋体"/>
          <w:color w:val="auto"/>
          <w:sz w:val="24"/>
          <w:highlight w:val="none"/>
        </w:rPr>
      </w:pPr>
      <w:r>
        <w:rPr>
          <w:rFonts w:hint="eastAsia" w:ascii="宋体" w:hAnsi="宋体" w:cs="宋体"/>
          <w:color w:val="auto"/>
          <w:sz w:val="24"/>
          <w:highlight w:val="none"/>
        </w:rPr>
        <w:t xml:space="preserve">                             日  期：年 月 日</w:t>
      </w:r>
    </w:p>
    <w:p>
      <w:pPr>
        <w:spacing w:line="480" w:lineRule="auto"/>
        <w:jc w:val="left"/>
        <w:outlineLvl w:val="0"/>
        <w:rPr>
          <w:rFonts w:ascii="宋体" w:hAnsi="宋体"/>
          <w:b/>
          <w:color w:val="auto"/>
          <w:sz w:val="30"/>
          <w:szCs w:val="30"/>
          <w:highlight w:val="none"/>
        </w:rPr>
      </w:pPr>
      <w:r>
        <w:rPr>
          <w:rFonts w:hint="eastAsia" w:ascii="宋体" w:hAnsi="宋体"/>
          <w:b/>
          <w:color w:val="auto"/>
          <w:sz w:val="30"/>
          <w:szCs w:val="30"/>
          <w:highlight w:val="none"/>
        </w:rPr>
        <w:br w:type="page"/>
      </w:r>
      <w:r>
        <w:rPr>
          <w:rFonts w:hint="eastAsia" w:ascii="宋体" w:hAnsi="宋体"/>
          <w:b/>
          <w:color w:val="auto"/>
          <w:sz w:val="30"/>
          <w:szCs w:val="30"/>
          <w:highlight w:val="none"/>
        </w:rPr>
        <w:t xml:space="preserve"> 附表八：</w:t>
      </w:r>
    </w:p>
    <w:p>
      <w:pPr>
        <w:spacing w:line="480" w:lineRule="auto"/>
        <w:jc w:val="center"/>
        <w:rPr>
          <w:rFonts w:ascii="宋体" w:hAnsi="宋体"/>
          <w:b/>
          <w:color w:val="auto"/>
          <w:sz w:val="30"/>
          <w:szCs w:val="30"/>
          <w:highlight w:val="none"/>
        </w:rPr>
      </w:pPr>
      <w:r>
        <w:rPr>
          <w:rFonts w:hint="eastAsia" w:ascii="宋体" w:hAnsi="宋体"/>
          <w:b/>
          <w:color w:val="auto"/>
          <w:sz w:val="30"/>
          <w:szCs w:val="30"/>
          <w:highlight w:val="none"/>
        </w:rPr>
        <w:t>投标人资格证明文件</w:t>
      </w:r>
    </w:p>
    <w:p>
      <w:pPr>
        <w:tabs>
          <w:tab w:val="left" w:pos="8640"/>
        </w:tabs>
        <w:spacing w:line="480" w:lineRule="auto"/>
        <w:ind w:right="281" w:rightChars="134" w:firstLine="240" w:firstLineChars="100"/>
        <w:rPr>
          <w:rFonts w:ascii="宋体" w:hAnsi="宋体" w:cs="仿宋"/>
          <w:b/>
          <w:bCs/>
          <w:color w:val="auto"/>
          <w:sz w:val="24"/>
          <w:highlight w:val="none"/>
        </w:rPr>
      </w:pPr>
      <w:r>
        <w:rPr>
          <w:rFonts w:hint="eastAsia" w:ascii="宋体" w:hAnsi="宋体" w:cs="仿宋_GB2312"/>
          <w:b/>
          <w:bCs/>
          <w:color w:val="auto"/>
          <w:sz w:val="24"/>
          <w:highlight w:val="none"/>
        </w:rPr>
        <w:t>附件</w:t>
      </w:r>
      <w:r>
        <w:rPr>
          <w:rFonts w:hint="eastAsia" w:ascii="宋体" w:hAnsi="宋体" w:cs="仿宋"/>
          <w:b/>
          <w:bCs/>
          <w:color w:val="auto"/>
          <w:sz w:val="24"/>
          <w:highlight w:val="none"/>
        </w:rPr>
        <w:t>8-1有效的营业执照复印件（复印件须加盖投标人公章）；</w:t>
      </w:r>
    </w:p>
    <w:p>
      <w:pPr>
        <w:spacing w:line="360" w:lineRule="auto"/>
        <w:jc w:val="center"/>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pStyle w:val="80"/>
        <w:rPr>
          <w:rFonts w:ascii="宋体" w:hAnsi="宋体"/>
          <w:b/>
          <w:color w:val="auto"/>
          <w:sz w:val="30"/>
          <w:szCs w:val="30"/>
          <w:highlight w:val="none"/>
        </w:rPr>
      </w:pPr>
    </w:p>
    <w:p>
      <w:pPr>
        <w:spacing w:line="360" w:lineRule="auto"/>
        <w:ind w:firstLine="240" w:firstLineChars="100"/>
        <w:jc w:val="left"/>
        <w:outlineLvl w:val="0"/>
        <w:rPr>
          <w:rFonts w:ascii="宋体"/>
          <w:b/>
          <w:color w:val="auto"/>
          <w:sz w:val="24"/>
          <w:highlight w:val="none"/>
        </w:rPr>
      </w:pPr>
      <w:r>
        <w:rPr>
          <w:rFonts w:hint="eastAsia" w:ascii="宋体"/>
          <w:b/>
          <w:color w:val="auto"/>
          <w:sz w:val="24"/>
          <w:highlight w:val="none"/>
        </w:rPr>
        <w:t>附件8-2 法人代表授权书格式（单独提交一份）</w:t>
      </w:r>
    </w:p>
    <w:p>
      <w:pPr>
        <w:spacing w:line="360" w:lineRule="auto"/>
        <w:jc w:val="center"/>
        <w:rPr>
          <w:rFonts w:ascii="宋体"/>
          <w:b/>
          <w:color w:val="auto"/>
          <w:sz w:val="24"/>
          <w:highlight w:val="none"/>
        </w:rPr>
      </w:pPr>
    </w:p>
    <w:p>
      <w:pPr>
        <w:spacing w:line="480" w:lineRule="auto"/>
        <w:ind w:firstLine="435"/>
        <w:rPr>
          <w:rFonts w:ascii="宋体"/>
          <w:color w:val="auto"/>
          <w:sz w:val="24"/>
          <w:highlight w:val="none"/>
        </w:rPr>
      </w:pPr>
      <w:r>
        <w:rPr>
          <w:rFonts w:hint="eastAsia" w:ascii="宋体"/>
          <w:color w:val="auto"/>
          <w:sz w:val="24"/>
          <w:highlight w:val="none"/>
        </w:rPr>
        <w:t xml:space="preserve"> 本授权书声明：注册于</w:t>
      </w:r>
      <w:r>
        <w:rPr>
          <w:rFonts w:hint="eastAsia" w:ascii="宋体"/>
          <w:color w:val="auto"/>
          <w:sz w:val="24"/>
          <w:highlight w:val="none"/>
          <w:u w:val="single"/>
        </w:rPr>
        <w:t>（地区的名称）</w:t>
      </w:r>
      <w:r>
        <w:rPr>
          <w:rFonts w:hint="eastAsia" w:ascii="宋体"/>
          <w:color w:val="auto"/>
          <w:sz w:val="24"/>
          <w:highlight w:val="none"/>
        </w:rPr>
        <w:t>的（</w:t>
      </w:r>
      <w:r>
        <w:rPr>
          <w:rFonts w:hint="eastAsia" w:ascii="宋体"/>
          <w:color w:val="auto"/>
          <w:sz w:val="24"/>
          <w:highlight w:val="none"/>
          <w:u w:val="single"/>
        </w:rPr>
        <w:t>公司名称），</w:t>
      </w:r>
      <w:r>
        <w:rPr>
          <w:rFonts w:hint="eastAsia" w:ascii="宋体"/>
          <w:color w:val="auto"/>
          <w:sz w:val="24"/>
          <w:highlight w:val="none"/>
        </w:rPr>
        <w:t>在下面签字的法定代表人</w:t>
      </w:r>
      <w:r>
        <w:rPr>
          <w:rFonts w:hint="eastAsia" w:ascii="宋体"/>
          <w:color w:val="auto"/>
          <w:sz w:val="24"/>
          <w:highlight w:val="none"/>
          <w:u w:val="single"/>
        </w:rPr>
        <w:t>（姓名、职务、身份证号码），</w:t>
      </w:r>
      <w:r>
        <w:rPr>
          <w:rFonts w:hint="eastAsia" w:ascii="宋体"/>
          <w:color w:val="auto"/>
          <w:sz w:val="24"/>
          <w:highlight w:val="none"/>
        </w:rPr>
        <w:t>代表本公司授权在下面签字的</w:t>
      </w:r>
      <w:r>
        <w:rPr>
          <w:rFonts w:hint="eastAsia" w:ascii="宋体"/>
          <w:color w:val="auto"/>
          <w:sz w:val="24"/>
          <w:highlight w:val="none"/>
          <w:u w:val="single"/>
        </w:rPr>
        <w:t>（委托代理人的姓名、职务、身份证号码）</w:t>
      </w:r>
      <w:r>
        <w:rPr>
          <w:rFonts w:hint="eastAsia" w:ascii="宋体"/>
          <w:color w:val="auto"/>
          <w:sz w:val="24"/>
          <w:highlight w:val="none"/>
        </w:rPr>
        <w:t>为本公司的合法代理人，就</w:t>
      </w:r>
      <w:r>
        <w:rPr>
          <w:rFonts w:hint="eastAsia" w:ascii="宋体"/>
          <w:color w:val="auto"/>
          <w:sz w:val="24"/>
          <w:highlight w:val="none"/>
          <w:u w:val="single"/>
        </w:rPr>
        <w:t>（项目名称/编号）</w:t>
      </w:r>
      <w:r>
        <w:rPr>
          <w:rFonts w:hint="eastAsia" w:ascii="宋体"/>
          <w:color w:val="auto"/>
          <w:sz w:val="24"/>
          <w:highlight w:val="none"/>
        </w:rPr>
        <w:t>的投标，以本公司的名义处理一切与之有关的事务。</w:t>
      </w:r>
    </w:p>
    <w:p>
      <w:pPr>
        <w:spacing w:line="480" w:lineRule="auto"/>
        <w:ind w:firstLine="435"/>
        <w:rPr>
          <w:rFonts w:ascii="宋体"/>
          <w:color w:val="auto"/>
          <w:sz w:val="24"/>
          <w:highlight w:val="none"/>
        </w:rPr>
      </w:pPr>
      <w:r>
        <w:rPr>
          <w:rFonts w:hint="eastAsia" w:ascii="宋体"/>
          <w:color w:val="auto"/>
          <w:sz w:val="24"/>
          <w:highlight w:val="none"/>
        </w:rPr>
        <w:t>本授权书于20</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日签字生效，特此声明。</w:t>
      </w:r>
    </w:p>
    <w:p>
      <w:pPr>
        <w:spacing w:line="360" w:lineRule="auto"/>
        <w:ind w:firstLine="435"/>
        <w:rPr>
          <w:rFonts w:ascii="宋体"/>
          <w:color w:val="auto"/>
          <w:sz w:val="24"/>
          <w:highlight w:val="none"/>
        </w:rPr>
      </w:pPr>
    </w:p>
    <w:p>
      <w:pPr>
        <w:pStyle w:val="80"/>
        <w:rPr>
          <w:rFonts w:ascii="宋体"/>
          <w:color w:val="auto"/>
          <w:sz w:val="24"/>
          <w:highlight w:val="none"/>
        </w:rPr>
      </w:pPr>
      <w:r>
        <w:rPr>
          <w:rFonts w:hint="eastAsia" w:ascii="宋体"/>
          <w:color w:val="auto"/>
          <w:sz w:val="24"/>
          <w:highlight w:val="none"/>
        </w:rPr>
        <w:t xml:space="preserve">  </w:t>
      </w:r>
    </w:p>
    <w:p>
      <w:pPr>
        <w:pStyle w:val="80"/>
        <w:rPr>
          <w:rFonts w:ascii="宋体"/>
          <w:color w:val="auto"/>
          <w:sz w:val="24"/>
          <w:highlight w:val="none"/>
        </w:rPr>
      </w:pPr>
      <w:r>
        <w:rPr>
          <w:color w:val="auto"/>
          <w:sz w:val="24"/>
          <w:highlight w:val="none"/>
        </w:rPr>
        <mc:AlternateContent>
          <mc:Choice Requires="wps">
            <w:drawing>
              <wp:anchor distT="0" distB="0" distL="0" distR="0" simplePos="0" relativeHeight="251663360" behindDoc="0" locked="0" layoutInCell="1" allowOverlap="1">
                <wp:simplePos x="0" y="0"/>
                <wp:positionH relativeFrom="column">
                  <wp:posOffset>3568700</wp:posOffset>
                </wp:positionH>
                <wp:positionV relativeFrom="paragraph">
                  <wp:posOffset>23495</wp:posOffset>
                </wp:positionV>
                <wp:extent cx="2499360" cy="1421765"/>
                <wp:effectExtent l="4445" t="4445" r="10795" b="21590"/>
                <wp:wrapNone/>
                <wp:docPr id="1032" name="自选图形 13"/>
                <wp:cNvGraphicFramePr/>
                <a:graphic xmlns:a="http://schemas.openxmlformats.org/drawingml/2006/main">
                  <a:graphicData uri="http://schemas.microsoft.com/office/word/2010/wordprocessingShape">
                    <wps:wsp>
                      <wps:cNvSpPr/>
                      <wps:spPr>
                        <a:xfrm>
                          <a:off x="0" y="0"/>
                          <a:ext cx="2499359" cy="14217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
                          <w:p/>
                          <w:p>
                            <w:pPr>
                              <w:ind w:firstLine="420" w:firstLineChars="200"/>
                            </w:pPr>
                            <w:r>
                              <w:rPr>
                                <w:rFonts w:hint="eastAsia"/>
                              </w:rPr>
                              <w:t>委托代理人身份证复印件反面</w:t>
                            </w:r>
                          </w:p>
                          <w:p/>
                        </w:txbxContent>
                      </wps:txbx>
                      <wps:bodyPr vert="horz" wrap="square" anchor="t" upright="1"/>
                    </wps:wsp>
                  </a:graphicData>
                </a:graphic>
              </wp:anchor>
            </w:drawing>
          </mc:Choice>
          <mc:Fallback>
            <w:pict>
              <v:shape id="自选图形 13" o:spid="_x0000_s1026" o:spt="176" type="#_x0000_t176" style="position:absolute;left:0pt;margin-left:281pt;margin-top:1.85pt;height:111.95pt;width:196.8pt;z-index:251663360;mso-width-relative:page;mso-height-relative:page;" fillcolor="#FFFFFF" filled="t" stroked="t" coordsize="21600,21600" o:gfxdata="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4/1SLYAAAACQEAAA8AAAAAAAAAAQAgAAAAIgAAAGRycy9kb3du&#10;cmV2LnhtbFBLAQIUABQAAAAIAIdO4kAd9PmWOAIAAG4EAAAOAAAAAAAAAAEAIAAAACcBAABkcnMv&#10;ZTJvRG9jLnhtbFBLBQYAAAAABgAGAFkBAADRBQAAAAA=&#10;">
                <v:fill on="t" focussize="0,0"/>
                <v:stroke color="#000000" joinstyle="miter"/>
                <v:imagedata o:title=""/>
                <o:lock v:ext="edit" aspectratio="f"/>
                <v:textbox>
                  <w:txbxContent>
                    <w:p/>
                    <w:p/>
                    <w:p/>
                    <w:p>
                      <w:pPr>
                        <w:ind w:firstLine="420" w:firstLineChars="200"/>
                      </w:pPr>
                      <w:r>
                        <w:rPr>
                          <w:rFonts w:hint="eastAsia"/>
                        </w:rPr>
                        <w:t>委托代理人身份证复印件反面</w:t>
                      </w:r>
                    </w:p>
                    <w:p/>
                  </w:txbxContent>
                </v:textbox>
              </v:shape>
            </w:pict>
          </mc:Fallback>
        </mc:AlternateContent>
      </w:r>
      <w:r>
        <w:rPr>
          <w:color w:val="auto"/>
          <w:sz w:val="24"/>
          <w:highlight w:val="none"/>
        </w:rPr>
        <mc:AlternateContent>
          <mc:Choice Requires="wps">
            <w:drawing>
              <wp:anchor distT="0" distB="0" distL="0" distR="0" simplePos="0" relativeHeight="251664384" behindDoc="0" locked="0" layoutInCell="1" allowOverlap="1">
                <wp:simplePos x="0" y="0"/>
                <wp:positionH relativeFrom="column">
                  <wp:posOffset>393065</wp:posOffset>
                </wp:positionH>
                <wp:positionV relativeFrom="paragraph">
                  <wp:posOffset>15875</wp:posOffset>
                </wp:positionV>
                <wp:extent cx="2630805" cy="1437640"/>
                <wp:effectExtent l="4445" t="4445" r="12700" b="5715"/>
                <wp:wrapNone/>
                <wp:docPr id="1033" name="自选图形 14"/>
                <wp:cNvGraphicFramePr/>
                <a:graphic xmlns:a="http://schemas.openxmlformats.org/drawingml/2006/main">
                  <a:graphicData uri="http://schemas.microsoft.com/office/word/2010/wordprocessingShape">
                    <wps:wsp>
                      <wps:cNvSpPr/>
                      <wps:spPr>
                        <a:xfrm>
                          <a:off x="0" y="0"/>
                          <a:ext cx="2630805" cy="14376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
                          <w:p/>
                          <w:p>
                            <w:pPr>
                              <w:ind w:firstLine="420" w:firstLineChars="200"/>
                            </w:pPr>
                            <w:r>
                              <w:rPr>
                                <w:rFonts w:hint="eastAsia"/>
                              </w:rPr>
                              <w:t>委托代理人身份证复印件正面</w:t>
                            </w:r>
                          </w:p>
                        </w:txbxContent>
                      </wps:txbx>
                      <wps:bodyPr vert="horz" wrap="square" anchor="t" upright="1"/>
                    </wps:wsp>
                  </a:graphicData>
                </a:graphic>
              </wp:anchor>
            </w:drawing>
          </mc:Choice>
          <mc:Fallback>
            <w:pict>
              <v:shape id="自选图形 14" o:spid="_x0000_s1026" o:spt="176" type="#_x0000_t176" style="position:absolute;left:0pt;margin-left:30.95pt;margin-top:1.25pt;height:113.2pt;width:207.15pt;z-index:251664384;mso-width-relative:page;mso-height-relative:page;" fillcolor="#FFFFFF" filled="t" stroked="t" coordsize="21600,21600" o:gfxdata="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vCqSG1QAAAAgBAAAPAAAAAAAAAAEAIAAAACIAAABkcnMvZG93bnJl&#10;di54bWxQSwECFAAUAAAACACHTuJAr6QKojkCAABuBAAADgAAAAAAAAABACAAAAAkAQAAZHJzL2Uy&#10;b0RvYy54bWxQSwUGAAAAAAYABgBZAQAAzwUAAAAA&#10;">
                <v:fill on="t" focussize="0,0"/>
                <v:stroke color="#000000" joinstyle="miter"/>
                <v:imagedata o:title=""/>
                <o:lock v:ext="edit" aspectratio="f"/>
                <v:textbox>
                  <w:txbxContent>
                    <w:p/>
                    <w:p/>
                    <w:p/>
                    <w:p>
                      <w:pPr>
                        <w:ind w:firstLine="420" w:firstLineChars="200"/>
                      </w:pPr>
                      <w:r>
                        <w:rPr>
                          <w:rFonts w:hint="eastAsia"/>
                        </w:rPr>
                        <w:t>委托代理人身份证复印件正面</w:t>
                      </w:r>
                    </w:p>
                  </w:txbxContent>
                </v:textbox>
              </v:shape>
            </w:pict>
          </mc:Fallback>
        </mc:AlternateContent>
      </w:r>
    </w:p>
    <w:p>
      <w:pPr>
        <w:pStyle w:val="80"/>
        <w:rPr>
          <w:rFonts w:ascii="宋体"/>
          <w:color w:val="auto"/>
          <w:sz w:val="24"/>
          <w:highlight w:val="none"/>
        </w:rPr>
      </w:pPr>
    </w:p>
    <w:p>
      <w:pPr>
        <w:pStyle w:val="80"/>
        <w:rPr>
          <w:rFonts w:ascii="宋体"/>
          <w:color w:val="auto"/>
          <w:sz w:val="24"/>
          <w:highlight w:val="none"/>
        </w:rPr>
      </w:pPr>
    </w:p>
    <w:p>
      <w:pPr>
        <w:pStyle w:val="80"/>
        <w:rPr>
          <w:rFonts w:ascii="宋体"/>
          <w:color w:val="auto"/>
          <w:sz w:val="24"/>
          <w:highlight w:val="none"/>
        </w:rPr>
      </w:pPr>
    </w:p>
    <w:p>
      <w:pPr>
        <w:pStyle w:val="80"/>
        <w:rPr>
          <w:rFonts w:ascii="宋体"/>
          <w:color w:val="auto"/>
          <w:sz w:val="24"/>
          <w:highlight w:val="none"/>
        </w:rPr>
      </w:pPr>
    </w:p>
    <w:p>
      <w:pPr>
        <w:pStyle w:val="80"/>
        <w:rPr>
          <w:rFonts w:ascii="宋体"/>
          <w:color w:val="auto"/>
          <w:sz w:val="24"/>
          <w:highlight w:val="none"/>
        </w:rPr>
      </w:pPr>
    </w:p>
    <w:p>
      <w:pPr>
        <w:pStyle w:val="80"/>
        <w:rPr>
          <w:rFonts w:ascii="宋体"/>
          <w:color w:val="auto"/>
          <w:sz w:val="24"/>
          <w:highlight w:val="none"/>
        </w:rPr>
      </w:pPr>
    </w:p>
    <w:p>
      <w:pPr>
        <w:pStyle w:val="80"/>
        <w:rPr>
          <w:rFonts w:ascii="宋体"/>
          <w:color w:val="auto"/>
          <w:sz w:val="24"/>
          <w:highlight w:val="none"/>
        </w:rPr>
      </w:pPr>
    </w:p>
    <w:p>
      <w:pPr>
        <w:pStyle w:val="80"/>
        <w:rPr>
          <w:rFonts w:ascii="宋体"/>
          <w:color w:val="auto"/>
          <w:sz w:val="24"/>
          <w:highlight w:val="none"/>
        </w:rPr>
      </w:pPr>
    </w:p>
    <w:p>
      <w:pPr>
        <w:pStyle w:val="80"/>
        <w:rPr>
          <w:rFonts w:ascii="宋体"/>
          <w:color w:val="auto"/>
          <w:sz w:val="24"/>
          <w:highlight w:val="none"/>
        </w:rPr>
      </w:pPr>
    </w:p>
    <w:p>
      <w:pPr>
        <w:pStyle w:val="80"/>
        <w:tabs>
          <w:tab w:val="clear" w:pos="916"/>
          <w:tab w:val="clear" w:pos="2748"/>
          <w:tab w:val="clear" w:pos="4580"/>
          <w:tab w:val="clear" w:pos="6412"/>
          <w:tab w:val="clear" w:pos="8244"/>
          <w:tab w:val="clear" w:pos="10076"/>
          <w:tab w:val="clear" w:pos="11908"/>
          <w:tab w:val="clear" w:pos="13740"/>
        </w:tabs>
        <w:rPr>
          <w:rFonts w:ascii="宋体"/>
          <w:color w:val="auto"/>
          <w:sz w:val="24"/>
          <w:highlight w:val="none"/>
        </w:rPr>
      </w:pPr>
      <w:r>
        <w:rPr>
          <w:rFonts w:hint="eastAsia" w:ascii="宋体"/>
          <w:color w:val="auto"/>
          <w:sz w:val="24"/>
          <w:highlight w:val="none"/>
        </w:rPr>
        <w:tab/>
      </w:r>
    </w:p>
    <w:p>
      <w:pPr>
        <w:spacing w:line="480" w:lineRule="auto"/>
        <w:ind w:firstLine="5289" w:firstLineChars="2204"/>
        <w:rPr>
          <w:rFonts w:ascii="宋体"/>
          <w:color w:val="auto"/>
          <w:sz w:val="24"/>
          <w:highlight w:val="none"/>
        </w:rPr>
      </w:pPr>
      <w:r>
        <w:rPr>
          <w:rFonts w:hint="eastAsia" w:ascii="宋体"/>
          <w:color w:val="auto"/>
          <w:sz w:val="24"/>
          <w:highlight w:val="none"/>
        </w:rPr>
        <w:t>法定代表人（签章）：</w:t>
      </w:r>
    </w:p>
    <w:p>
      <w:pPr>
        <w:spacing w:line="480" w:lineRule="auto"/>
        <w:ind w:firstLine="5289" w:firstLineChars="2204"/>
        <w:rPr>
          <w:rFonts w:ascii="宋体"/>
          <w:color w:val="auto"/>
          <w:sz w:val="24"/>
          <w:highlight w:val="none"/>
          <w:u w:val="single"/>
        </w:rPr>
      </w:pPr>
      <w:r>
        <w:rPr>
          <w:rFonts w:hint="eastAsia" w:ascii="宋体"/>
          <w:color w:val="auto"/>
          <w:sz w:val="24"/>
          <w:highlight w:val="none"/>
        </w:rPr>
        <w:t>委托代理人（签字）：</w:t>
      </w:r>
    </w:p>
    <w:p>
      <w:pPr>
        <w:spacing w:line="480" w:lineRule="auto"/>
        <w:ind w:firstLine="5289" w:firstLineChars="2204"/>
        <w:rPr>
          <w:rFonts w:ascii="宋体"/>
          <w:color w:val="auto"/>
          <w:sz w:val="24"/>
          <w:highlight w:val="none"/>
          <w:u w:val="single"/>
        </w:rPr>
      </w:pPr>
      <w:r>
        <w:rPr>
          <w:rFonts w:hint="eastAsia" w:ascii="宋体"/>
          <w:color w:val="auto"/>
          <w:sz w:val="24"/>
          <w:highlight w:val="none"/>
        </w:rPr>
        <w:t>投标人名称（盖章）：</w:t>
      </w:r>
    </w:p>
    <w:p>
      <w:pPr>
        <w:spacing w:line="480" w:lineRule="auto"/>
        <w:ind w:firstLine="435"/>
        <w:jc w:val="center"/>
        <w:rPr>
          <w:rFonts w:ascii="宋体"/>
          <w:color w:val="auto"/>
          <w:sz w:val="24"/>
          <w:highlight w:val="none"/>
          <w:u w:val="single"/>
        </w:rPr>
      </w:pPr>
      <w:r>
        <w:rPr>
          <w:rFonts w:hint="eastAsia" w:ascii="宋体"/>
          <w:color w:val="auto"/>
          <w:sz w:val="24"/>
          <w:highlight w:val="none"/>
        </w:rPr>
        <w:t xml:space="preserve">                        授权日期：20</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pPr>
        <w:spacing w:line="360" w:lineRule="auto"/>
        <w:rPr>
          <w:rFonts w:ascii="宋体"/>
          <w:b/>
          <w:color w:val="auto"/>
          <w:sz w:val="24"/>
          <w:highlight w:val="none"/>
        </w:rPr>
      </w:pPr>
    </w:p>
    <w:p>
      <w:pPr>
        <w:pStyle w:val="80"/>
        <w:rPr>
          <w:rFonts w:ascii="宋体"/>
          <w:b/>
          <w:color w:val="auto"/>
          <w:sz w:val="24"/>
          <w:highlight w:val="none"/>
        </w:rPr>
      </w:pPr>
    </w:p>
    <w:p>
      <w:pPr>
        <w:pStyle w:val="80"/>
        <w:rPr>
          <w:rFonts w:ascii="宋体"/>
          <w:b/>
          <w:color w:val="auto"/>
          <w:sz w:val="24"/>
          <w:highlight w:val="none"/>
        </w:rPr>
      </w:pPr>
    </w:p>
    <w:p>
      <w:pPr>
        <w:spacing w:line="360" w:lineRule="auto"/>
        <w:rPr>
          <w:rFonts w:ascii="宋体"/>
          <w:b/>
          <w:color w:val="auto"/>
          <w:sz w:val="24"/>
          <w:highlight w:val="none"/>
        </w:rPr>
      </w:pPr>
    </w:p>
    <w:p>
      <w:pPr>
        <w:spacing w:line="480" w:lineRule="auto"/>
        <w:ind w:firstLine="240" w:firstLineChars="100"/>
        <w:rPr>
          <w:rFonts w:ascii="宋体"/>
          <w:b/>
          <w:color w:val="auto"/>
          <w:sz w:val="24"/>
          <w:highlight w:val="none"/>
        </w:rPr>
      </w:pPr>
      <w:r>
        <w:rPr>
          <w:rFonts w:hint="eastAsia" w:ascii="宋体"/>
          <w:b/>
          <w:color w:val="auto"/>
          <w:sz w:val="24"/>
          <w:highlight w:val="none"/>
        </w:rPr>
        <w:t>附件8-3 供应商须提供</w:t>
      </w:r>
      <w:r>
        <w:rPr>
          <w:rFonts w:hint="eastAsia" w:ascii="宋体"/>
          <w:b/>
          <w:color w:val="auto"/>
          <w:sz w:val="24"/>
          <w:highlight w:val="none"/>
          <w:lang w:eastAsia="zh-CN"/>
        </w:rPr>
        <w:t>上一年度</w:t>
      </w:r>
      <w:r>
        <w:rPr>
          <w:rFonts w:hint="eastAsia" w:ascii="宋体"/>
          <w:b/>
          <w:color w:val="auto"/>
          <w:sz w:val="24"/>
          <w:highlight w:val="none"/>
        </w:rPr>
        <w:t>完整的财务审计报告复印件，并加盖供应商公章。如供应商无法提供</w:t>
      </w:r>
      <w:r>
        <w:rPr>
          <w:rFonts w:hint="eastAsia" w:ascii="宋体"/>
          <w:b/>
          <w:color w:val="auto"/>
          <w:sz w:val="24"/>
          <w:highlight w:val="none"/>
          <w:lang w:eastAsia="zh-CN"/>
        </w:rPr>
        <w:t>上一年度</w:t>
      </w:r>
      <w:r>
        <w:rPr>
          <w:rFonts w:hint="eastAsia" w:ascii="宋体"/>
          <w:b/>
          <w:color w:val="auto"/>
          <w:sz w:val="24"/>
          <w:highlight w:val="none"/>
        </w:rPr>
        <w:t>财务审计报告，则须提供银行出具的资信证明。</w:t>
      </w:r>
    </w:p>
    <w:p>
      <w:pPr>
        <w:spacing w:line="480" w:lineRule="auto"/>
        <w:rPr>
          <w:rFonts w:ascii="宋体"/>
          <w:color w:val="auto"/>
          <w:sz w:val="24"/>
          <w:highlight w:val="none"/>
        </w:rPr>
      </w:pPr>
      <w:r>
        <w:rPr>
          <w:rFonts w:hint="eastAsia" w:ascii="宋体"/>
          <w:color w:val="auto"/>
          <w:sz w:val="24"/>
          <w:highlight w:val="none"/>
        </w:rPr>
        <w:t>说明：1）财务审计报告必须是经会计师事务所出具的完整的财务审计报告。</w:t>
      </w:r>
    </w:p>
    <w:p>
      <w:pPr>
        <w:spacing w:line="480" w:lineRule="auto"/>
        <w:rPr>
          <w:rFonts w:ascii="宋体"/>
          <w:color w:val="auto"/>
          <w:sz w:val="24"/>
          <w:highlight w:val="none"/>
        </w:rPr>
      </w:pPr>
      <w:r>
        <w:rPr>
          <w:rFonts w:hint="eastAsia" w:ascii="宋体"/>
          <w:color w:val="auto"/>
          <w:sz w:val="24"/>
          <w:highlight w:val="none"/>
        </w:rPr>
        <w:t xml:space="preserve">      2）银行资信证明应能说明该投标人与银行之间业务往来正常，企业信誉良好等。银行出具的存款证明不能替代银行资信证明，存款证明无效。</w:t>
      </w:r>
    </w:p>
    <w:p>
      <w:pPr>
        <w:spacing w:line="480" w:lineRule="auto"/>
        <w:rPr>
          <w:rFonts w:ascii="宋体"/>
          <w:color w:val="auto"/>
          <w:sz w:val="24"/>
          <w:highlight w:val="none"/>
        </w:rPr>
      </w:pPr>
      <w:r>
        <w:rPr>
          <w:rFonts w:hint="eastAsia" w:ascii="宋体"/>
          <w:color w:val="auto"/>
          <w:sz w:val="24"/>
          <w:highlight w:val="none"/>
        </w:rPr>
        <w:t xml:space="preserve">      3）银行资信证明可提供原件（附在投标文件正本中），也可提供银行在开标日前90天内开具资信证明的复印件。若提供的是复印件，采购人保留审核原件的权利。</w:t>
      </w:r>
    </w:p>
    <w:p>
      <w:pPr>
        <w:spacing w:line="480" w:lineRule="auto"/>
        <w:ind w:firstLine="480"/>
        <w:rPr>
          <w:rFonts w:ascii="宋体" w:hAnsi="宋体" w:cs="仿宋_GB2312"/>
          <w:b/>
          <w:color w:val="auto"/>
          <w:sz w:val="24"/>
          <w:highlight w:val="none"/>
        </w:rPr>
      </w:pPr>
    </w:p>
    <w:p>
      <w:pPr>
        <w:pStyle w:val="38"/>
        <w:rPr>
          <w:rFonts w:hAnsi="宋体" w:cs="仿宋_GB2312"/>
          <w:b/>
          <w:color w:val="auto"/>
          <w:sz w:val="24"/>
          <w:highlight w:val="none"/>
        </w:rPr>
      </w:pPr>
    </w:p>
    <w:p>
      <w:pPr>
        <w:pStyle w:val="38"/>
        <w:rPr>
          <w:rFonts w:hAnsi="宋体" w:cs="仿宋_GB2312"/>
          <w:b/>
          <w:color w:val="auto"/>
          <w:sz w:val="24"/>
          <w:highlight w:val="none"/>
        </w:rPr>
      </w:pPr>
    </w:p>
    <w:p>
      <w:pPr>
        <w:spacing w:line="360" w:lineRule="auto"/>
        <w:ind w:firstLine="240" w:firstLineChars="100"/>
        <w:outlineLvl w:val="0"/>
        <w:rPr>
          <w:rFonts w:ascii="宋体"/>
          <w:b/>
          <w:color w:val="auto"/>
          <w:sz w:val="24"/>
          <w:highlight w:val="none"/>
        </w:rPr>
      </w:pPr>
      <w:r>
        <w:rPr>
          <w:rFonts w:hint="eastAsia" w:ascii="宋体"/>
          <w:b/>
          <w:color w:val="auto"/>
          <w:sz w:val="24"/>
          <w:highlight w:val="none"/>
        </w:rPr>
        <w:t>附件8-4 具备履行合同所必需的设备和专业技术能力的承诺（格式自拟须加盖</w:t>
      </w:r>
    </w:p>
    <w:p>
      <w:pPr>
        <w:spacing w:line="360" w:lineRule="auto"/>
        <w:ind w:firstLine="240" w:firstLineChars="100"/>
        <w:outlineLvl w:val="0"/>
        <w:rPr>
          <w:rFonts w:ascii="宋体"/>
          <w:b/>
          <w:color w:val="auto"/>
          <w:sz w:val="24"/>
          <w:highlight w:val="none"/>
        </w:rPr>
      </w:pPr>
      <w:r>
        <w:rPr>
          <w:rFonts w:hint="eastAsia" w:ascii="宋体"/>
          <w:b/>
          <w:color w:val="auto"/>
          <w:sz w:val="24"/>
          <w:highlight w:val="none"/>
        </w:rPr>
        <w:t>投标人公章）</w:t>
      </w:r>
    </w:p>
    <w:p>
      <w:pPr>
        <w:spacing w:line="360" w:lineRule="auto"/>
        <w:ind w:firstLine="240" w:firstLineChars="100"/>
        <w:outlineLvl w:val="0"/>
        <w:rPr>
          <w:rFonts w:ascii="宋体"/>
          <w:b/>
          <w:color w:val="auto"/>
          <w:sz w:val="24"/>
          <w:highlight w:val="none"/>
        </w:rPr>
      </w:pPr>
    </w:p>
    <w:p>
      <w:pPr>
        <w:pStyle w:val="80"/>
        <w:rPr>
          <w:rFonts w:ascii="宋体"/>
          <w:b/>
          <w:color w:val="auto"/>
          <w:sz w:val="30"/>
          <w:szCs w:val="30"/>
          <w:highlight w:val="none"/>
        </w:rPr>
      </w:pPr>
    </w:p>
    <w:p>
      <w:pPr>
        <w:pStyle w:val="80"/>
        <w:rPr>
          <w:rFonts w:ascii="宋体"/>
          <w:b/>
          <w:color w:val="auto"/>
          <w:sz w:val="30"/>
          <w:szCs w:val="30"/>
          <w:highlight w:val="none"/>
        </w:rPr>
      </w:pPr>
    </w:p>
    <w:p>
      <w:pPr>
        <w:spacing w:line="480" w:lineRule="auto"/>
        <w:ind w:firstLine="240" w:firstLineChars="100"/>
        <w:outlineLvl w:val="0"/>
        <w:rPr>
          <w:rFonts w:ascii="宋体" w:hAnsi="宋体" w:cs="仿宋"/>
          <w:b/>
          <w:color w:val="auto"/>
          <w:sz w:val="24"/>
          <w:highlight w:val="none"/>
        </w:rPr>
      </w:pPr>
      <w:r>
        <w:rPr>
          <w:rFonts w:hint="eastAsia" w:ascii="宋体" w:hAnsi="宋体" w:cs="仿宋_GB2312"/>
          <w:b/>
          <w:color w:val="auto"/>
          <w:sz w:val="24"/>
          <w:highlight w:val="none"/>
        </w:rPr>
        <w:t xml:space="preserve">附件 </w:t>
      </w:r>
      <w:r>
        <w:rPr>
          <w:rFonts w:hint="eastAsia" w:ascii="宋体" w:hAnsi="宋体" w:cs="仿宋"/>
          <w:b/>
          <w:color w:val="auto"/>
          <w:sz w:val="24"/>
          <w:highlight w:val="none"/>
        </w:rPr>
        <w:t>8-5有依法缴纳税收和社会保障资金的良好记录的证明文件</w:t>
      </w:r>
    </w:p>
    <w:p>
      <w:pPr>
        <w:spacing w:line="480" w:lineRule="auto"/>
        <w:ind w:firstLine="787" w:firstLineChars="328"/>
        <w:rPr>
          <w:rFonts w:ascii="宋体" w:hAnsi="宋体" w:cs="仿宋"/>
          <w:color w:val="auto"/>
          <w:sz w:val="24"/>
          <w:highlight w:val="none"/>
        </w:rPr>
      </w:pPr>
      <w:r>
        <w:rPr>
          <w:rFonts w:hint="eastAsia" w:ascii="宋体" w:hAnsi="宋体" w:cs="仿宋"/>
          <w:color w:val="auto"/>
          <w:sz w:val="24"/>
          <w:highlight w:val="none"/>
        </w:rPr>
        <w:t>依法不需要缴纳社会保障资金的投标人，须提供相应文件证明其依法不需要缴纳社会保障资金（须加盖投标人公章）。</w:t>
      </w:r>
    </w:p>
    <w:p>
      <w:pPr>
        <w:spacing w:line="480" w:lineRule="auto"/>
        <w:ind w:firstLine="787" w:firstLineChars="328"/>
        <w:rPr>
          <w:rFonts w:ascii="宋体" w:hAnsi="宋体" w:cs="仿宋"/>
          <w:color w:val="auto"/>
          <w:sz w:val="24"/>
          <w:highlight w:val="none"/>
        </w:rPr>
      </w:pPr>
      <w:r>
        <w:rPr>
          <w:rFonts w:hint="eastAsia" w:ascii="宋体" w:hAnsi="宋体" w:cs="仿宋"/>
          <w:color w:val="auto"/>
          <w:sz w:val="24"/>
          <w:highlight w:val="none"/>
        </w:rPr>
        <w:t>依法免税或零报税的投标人，须提供相应文件证明其依法免税证明文件或纳税申报表复印件（须加盖投标人公章）。</w:t>
      </w:r>
    </w:p>
    <w:p>
      <w:pPr>
        <w:spacing w:line="480" w:lineRule="auto"/>
        <w:ind w:firstLine="480"/>
        <w:rPr>
          <w:rFonts w:ascii="宋体" w:hAnsi="宋体" w:cs="仿宋"/>
          <w:color w:val="auto"/>
          <w:sz w:val="24"/>
          <w:highlight w:val="none"/>
        </w:rPr>
      </w:pPr>
      <w:r>
        <w:rPr>
          <w:rFonts w:hint="eastAsia" w:ascii="宋体" w:hAnsi="宋体" w:cs="仿宋"/>
          <w:color w:val="auto"/>
          <w:sz w:val="24"/>
          <w:highlight w:val="none"/>
        </w:rPr>
        <w:t>不足一年的新公司从成立年份算起。</w:t>
      </w:r>
    </w:p>
    <w:p>
      <w:pPr>
        <w:pStyle w:val="80"/>
        <w:spacing w:line="480" w:lineRule="auto"/>
        <w:rPr>
          <w:color w:val="auto"/>
          <w:highlight w:val="none"/>
        </w:rPr>
      </w:pPr>
      <w:r>
        <w:rPr>
          <w:rFonts w:hint="eastAsia" w:ascii="宋体" w:hAnsi="宋体" w:cs="仿宋"/>
          <w:color w:val="auto"/>
          <w:sz w:val="24"/>
          <w:highlight w:val="none"/>
        </w:rPr>
        <w:t xml:space="preserve">  </w:t>
      </w:r>
    </w:p>
    <w:p>
      <w:pPr>
        <w:spacing w:line="360" w:lineRule="auto"/>
        <w:ind w:firstLine="480"/>
        <w:rPr>
          <w:rFonts w:ascii="仿宋" w:hAnsi="仿宋" w:eastAsia="仿宋" w:cs="仿宋"/>
          <w:color w:val="auto"/>
          <w:sz w:val="24"/>
          <w:highlight w:val="none"/>
        </w:rPr>
      </w:pPr>
    </w:p>
    <w:p>
      <w:pPr>
        <w:rPr>
          <w:color w:val="auto"/>
          <w:highlight w:val="none"/>
        </w:rPr>
      </w:pPr>
    </w:p>
    <w:p>
      <w:pPr>
        <w:pStyle w:val="378"/>
        <w:ind w:firstLine="480"/>
        <w:rPr>
          <w:rFonts w:ascii="仿宋" w:hAnsi="仿宋" w:eastAsia="仿宋" w:cs="仿宋_GB2312"/>
          <w:b/>
          <w:color w:val="auto"/>
          <w:sz w:val="24"/>
          <w:highlight w:val="none"/>
        </w:rPr>
      </w:pPr>
    </w:p>
    <w:p>
      <w:pPr>
        <w:pStyle w:val="378"/>
        <w:ind w:firstLine="240" w:firstLineChars="100"/>
        <w:outlineLvl w:val="0"/>
        <w:rPr>
          <w:rFonts w:hint="eastAsia" w:ascii="宋体" w:hAnsi="宋体" w:cs="仿宋_GB2312"/>
          <w:b/>
          <w:color w:val="auto"/>
          <w:sz w:val="24"/>
          <w:highlight w:val="none"/>
        </w:rPr>
      </w:pPr>
    </w:p>
    <w:p>
      <w:pPr>
        <w:pStyle w:val="378"/>
        <w:ind w:firstLine="240" w:firstLineChars="100"/>
        <w:outlineLvl w:val="0"/>
        <w:rPr>
          <w:rFonts w:ascii="宋体" w:hAnsi="宋体" w:cs="仿宋"/>
          <w:b/>
          <w:color w:val="auto"/>
          <w:sz w:val="24"/>
          <w:highlight w:val="none"/>
        </w:rPr>
      </w:pPr>
      <w:r>
        <w:rPr>
          <w:rFonts w:hint="eastAsia" w:ascii="宋体" w:hAnsi="宋体" w:cs="仿宋_GB2312"/>
          <w:b/>
          <w:color w:val="auto"/>
          <w:sz w:val="24"/>
          <w:highlight w:val="none"/>
        </w:rPr>
        <w:t xml:space="preserve">附件 </w:t>
      </w:r>
      <w:r>
        <w:rPr>
          <w:rFonts w:hint="eastAsia" w:ascii="宋体" w:hAnsi="宋体" w:cs="仿宋"/>
          <w:b/>
          <w:color w:val="auto"/>
          <w:sz w:val="24"/>
          <w:highlight w:val="none"/>
        </w:rPr>
        <w:t>8-6 投标人声明函</w:t>
      </w:r>
    </w:p>
    <w:p>
      <w:pPr>
        <w:pStyle w:val="378"/>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378"/>
        <w:spacing w:line="480" w:lineRule="auto"/>
        <w:ind w:firstLine="482"/>
        <w:rPr>
          <w:rFonts w:ascii="宋体" w:hAnsi="宋体" w:cs="仿宋"/>
          <w:b/>
          <w:bCs/>
          <w:color w:val="auto"/>
          <w:sz w:val="24"/>
          <w:highlight w:val="none"/>
        </w:rPr>
      </w:pPr>
      <w:r>
        <w:rPr>
          <w:rFonts w:hint="eastAsia" w:ascii="宋体" w:hAnsi="宋体" w:cs="仿宋"/>
          <w:b/>
          <w:bCs/>
          <w:color w:val="auto"/>
          <w:sz w:val="24"/>
          <w:highlight w:val="none"/>
          <w:u w:val="single"/>
        </w:rPr>
        <w:t xml:space="preserve">（采购人名称） </w:t>
      </w:r>
      <w:r>
        <w:rPr>
          <w:rFonts w:hint="eastAsia" w:ascii="宋体" w:hAnsi="宋体" w:cs="仿宋"/>
          <w:b/>
          <w:bCs/>
          <w:color w:val="auto"/>
          <w:sz w:val="24"/>
          <w:highlight w:val="none"/>
        </w:rPr>
        <w:t xml:space="preserve"> ：</w:t>
      </w:r>
    </w:p>
    <w:p>
      <w:pPr>
        <w:pStyle w:val="378"/>
        <w:spacing w:line="480" w:lineRule="auto"/>
        <w:ind w:firstLine="482"/>
        <w:rPr>
          <w:rFonts w:ascii="宋体" w:hAnsi="宋体" w:cs="仿宋"/>
          <w:bCs/>
          <w:color w:val="auto"/>
          <w:sz w:val="24"/>
          <w:highlight w:val="none"/>
        </w:rPr>
      </w:pPr>
      <w:r>
        <w:rPr>
          <w:rFonts w:hint="eastAsia" w:ascii="宋体" w:hAnsi="宋体" w:cs="仿宋"/>
          <w:bCs/>
          <w:color w:val="auto"/>
          <w:sz w:val="24"/>
          <w:highlight w:val="none"/>
        </w:rPr>
        <w:t>在参加本次项目投标中，我单位承诺：</w:t>
      </w:r>
    </w:p>
    <w:p>
      <w:pPr>
        <w:spacing w:line="480" w:lineRule="auto"/>
        <w:ind w:firstLine="960" w:firstLineChars="400"/>
        <w:rPr>
          <w:rFonts w:ascii="宋体" w:hAnsi="宋体" w:cs="仿宋_GB2312"/>
          <w:color w:val="auto"/>
          <w:sz w:val="30"/>
          <w:szCs w:val="30"/>
          <w:highlight w:val="none"/>
        </w:rPr>
      </w:pPr>
      <w:r>
        <w:rPr>
          <w:rFonts w:hint="eastAsia" w:ascii="宋体" w:hAnsi="宋体" w:cs="仿宋"/>
          <w:color w:val="auto"/>
          <w:sz w:val="24"/>
          <w:highlight w:val="none"/>
        </w:rPr>
        <w:t>我单位参与采购活动前三年内在经营活动中没有因违法经营受到刑事处罚或者责令停产停业、吊销许可证或者执照、较大数额罚款等行政处罚。</w:t>
      </w:r>
    </w:p>
    <w:p>
      <w:pPr>
        <w:spacing w:line="48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 xml:space="preserve"> 若采购人或采购代理机构在本项目采购过程中发现我单位存在违反上述承诺的事项，我单位将自动失去本项目的中标资格，并承担因此引起的一切后果及虚假投标责任。</w:t>
      </w:r>
    </w:p>
    <w:p>
      <w:pPr>
        <w:pStyle w:val="2"/>
        <w:spacing w:line="480" w:lineRule="auto"/>
        <w:rPr>
          <w:rFonts w:ascii="宋体" w:hAnsi="宋体" w:eastAsia="宋体"/>
          <w:color w:val="auto"/>
          <w:highlight w:val="none"/>
        </w:rPr>
      </w:pPr>
    </w:p>
    <w:p>
      <w:pPr>
        <w:spacing w:line="480" w:lineRule="auto"/>
        <w:rPr>
          <w:rFonts w:ascii="宋体" w:hAnsi="宋体"/>
          <w:color w:val="auto"/>
          <w:highlight w:val="none"/>
        </w:rPr>
      </w:pPr>
    </w:p>
    <w:p>
      <w:pPr>
        <w:spacing w:line="480" w:lineRule="auto"/>
        <w:ind w:firstLine="5040" w:firstLineChars="2100"/>
        <w:rPr>
          <w:rFonts w:ascii="宋体" w:hAnsi="宋体" w:cs="仿宋"/>
          <w:color w:val="auto"/>
          <w:sz w:val="24"/>
          <w:highlight w:val="none"/>
        </w:rPr>
      </w:pPr>
      <w:r>
        <w:rPr>
          <w:rFonts w:hint="eastAsia" w:ascii="宋体" w:hAnsi="宋体" w:cs="仿宋"/>
          <w:color w:val="auto"/>
          <w:sz w:val="24"/>
          <w:highlight w:val="none"/>
        </w:rPr>
        <w:t xml:space="preserve">投标人名称（盖章）：   </w:t>
      </w:r>
    </w:p>
    <w:p>
      <w:pPr>
        <w:spacing w:line="480" w:lineRule="auto"/>
        <w:ind w:firstLine="5040" w:firstLineChars="2100"/>
        <w:rPr>
          <w:rFonts w:ascii="宋体" w:hAnsi="宋体" w:cs="仿宋"/>
          <w:color w:val="auto"/>
          <w:sz w:val="24"/>
          <w:highlight w:val="none"/>
        </w:rPr>
      </w:pPr>
      <w:r>
        <w:rPr>
          <w:rFonts w:hint="eastAsia" w:ascii="宋体" w:hAnsi="宋体" w:cs="仿宋"/>
          <w:color w:val="auto"/>
          <w:sz w:val="24"/>
          <w:highlight w:val="none"/>
        </w:rPr>
        <w:t xml:space="preserve">委托代理人 (签字)：          </w:t>
      </w:r>
    </w:p>
    <w:p>
      <w:pPr>
        <w:spacing w:line="480" w:lineRule="auto"/>
        <w:ind w:firstLine="5040" w:firstLineChars="2100"/>
        <w:rPr>
          <w:rFonts w:ascii="宋体" w:hAnsi="宋体" w:cs="仿宋"/>
          <w:color w:val="auto"/>
          <w:sz w:val="24"/>
          <w:highlight w:val="none"/>
        </w:rPr>
      </w:pPr>
      <w:r>
        <w:rPr>
          <w:rFonts w:hint="eastAsia" w:ascii="宋体" w:hAnsi="宋体" w:cs="仿宋"/>
          <w:color w:val="auto"/>
          <w:sz w:val="24"/>
          <w:highlight w:val="none"/>
        </w:rPr>
        <w:t xml:space="preserve">日    期：   年 月 日  </w:t>
      </w:r>
    </w:p>
    <w:p>
      <w:pPr>
        <w:pStyle w:val="2"/>
        <w:rPr>
          <w:rFonts w:ascii="宋体" w:hAnsi="宋体" w:cs="仿宋"/>
          <w:color w:val="auto"/>
          <w:highlight w:val="none"/>
        </w:rPr>
      </w:pPr>
    </w:p>
    <w:p>
      <w:pPr>
        <w:rPr>
          <w:rFonts w:ascii="宋体" w:hAnsi="宋体" w:cs="仿宋"/>
          <w:color w:val="auto"/>
          <w:highlight w:val="none"/>
        </w:rPr>
      </w:pPr>
    </w:p>
    <w:p>
      <w:pPr>
        <w:pStyle w:val="80"/>
        <w:rPr>
          <w:rFonts w:ascii="宋体" w:hAnsi="宋体" w:cs="仿宋"/>
          <w:color w:val="auto"/>
          <w:highlight w:val="none"/>
        </w:rPr>
      </w:pPr>
    </w:p>
    <w:p>
      <w:pPr>
        <w:pStyle w:val="80"/>
        <w:rPr>
          <w:rFonts w:ascii="宋体" w:hAnsi="宋体" w:cs="仿宋"/>
          <w:color w:val="auto"/>
          <w:highlight w:val="none"/>
        </w:rPr>
      </w:pPr>
    </w:p>
    <w:p>
      <w:pPr>
        <w:pStyle w:val="80"/>
        <w:rPr>
          <w:rFonts w:ascii="宋体" w:hAnsi="宋体" w:cs="仿宋"/>
          <w:color w:val="auto"/>
          <w:highlight w:val="none"/>
        </w:rPr>
      </w:pPr>
    </w:p>
    <w:p>
      <w:pPr>
        <w:pStyle w:val="378"/>
        <w:outlineLvl w:val="0"/>
        <w:rPr>
          <w:rFonts w:ascii="宋体" w:hAnsi="宋体" w:cs="仿宋"/>
          <w:b/>
          <w:color w:val="auto"/>
          <w:sz w:val="24"/>
          <w:highlight w:val="none"/>
        </w:rPr>
      </w:pPr>
      <w:r>
        <w:rPr>
          <w:rFonts w:hint="eastAsia" w:ascii="宋体" w:hAnsi="宋体" w:cs="仿宋_GB2312"/>
          <w:b/>
          <w:color w:val="auto"/>
          <w:sz w:val="24"/>
          <w:highlight w:val="none"/>
        </w:rPr>
        <w:t>附件</w:t>
      </w:r>
      <w:r>
        <w:rPr>
          <w:rFonts w:hint="eastAsia" w:ascii="宋体" w:hAnsi="宋体" w:cs="仿宋"/>
          <w:b/>
          <w:color w:val="auto"/>
          <w:sz w:val="24"/>
          <w:highlight w:val="none"/>
        </w:rPr>
        <w:t>8-7 信用信息查询</w:t>
      </w:r>
    </w:p>
    <w:p>
      <w:pPr>
        <w:pStyle w:val="378"/>
        <w:ind w:firstLine="480"/>
        <w:rPr>
          <w:rFonts w:ascii="宋体" w:hAnsi="宋体" w:cs="仿宋"/>
          <w:b/>
          <w:color w:val="auto"/>
          <w:sz w:val="24"/>
          <w:highlight w:val="none"/>
        </w:rPr>
      </w:pPr>
    </w:p>
    <w:p>
      <w:pPr>
        <w:pStyle w:val="378"/>
        <w:ind w:firstLine="480"/>
        <w:rPr>
          <w:rFonts w:ascii="宋体" w:hAnsi="宋体" w:cs="仿宋"/>
          <w:b/>
          <w:color w:val="auto"/>
          <w:sz w:val="24"/>
          <w:highlight w:val="none"/>
        </w:rPr>
      </w:pPr>
    </w:p>
    <w:p>
      <w:pPr>
        <w:pStyle w:val="378"/>
        <w:ind w:firstLine="480"/>
        <w:rPr>
          <w:rFonts w:ascii="宋体" w:hAnsi="宋体" w:cs="仿宋"/>
          <w:b/>
          <w:color w:val="auto"/>
          <w:sz w:val="24"/>
          <w:highlight w:val="none"/>
        </w:rPr>
      </w:pPr>
    </w:p>
    <w:p>
      <w:pPr>
        <w:pStyle w:val="378"/>
        <w:ind w:firstLine="480"/>
        <w:rPr>
          <w:rFonts w:ascii="宋体" w:hAnsi="宋体" w:cs="仿宋"/>
          <w:b/>
          <w:color w:val="auto"/>
          <w:sz w:val="24"/>
          <w:highlight w:val="none"/>
        </w:rPr>
      </w:pPr>
    </w:p>
    <w:p>
      <w:pPr>
        <w:pStyle w:val="378"/>
        <w:ind w:firstLine="480"/>
        <w:rPr>
          <w:rFonts w:ascii="宋体" w:hAnsi="宋体" w:cs="仿宋"/>
          <w:b/>
          <w:color w:val="auto"/>
          <w:sz w:val="24"/>
          <w:highlight w:val="none"/>
        </w:rPr>
      </w:pPr>
    </w:p>
    <w:p>
      <w:pPr>
        <w:spacing w:line="360" w:lineRule="auto"/>
        <w:rPr>
          <w:rFonts w:ascii="宋体"/>
          <w:b/>
          <w:color w:val="auto"/>
          <w:sz w:val="30"/>
          <w:szCs w:val="30"/>
          <w:highlight w:val="none"/>
        </w:rPr>
      </w:pPr>
    </w:p>
    <w:p>
      <w:pPr>
        <w:rPr>
          <w:color w:val="auto"/>
          <w:highlight w:val="none"/>
        </w:rPr>
      </w:pPr>
    </w:p>
    <w:p>
      <w:pPr>
        <w:spacing w:line="360" w:lineRule="auto"/>
        <w:outlineLvl w:val="0"/>
        <w:rPr>
          <w:rFonts w:ascii="宋体"/>
          <w:b/>
          <w:color w:val="auto"/>
          <w:sz w:val="30"/>
          <w:szCs w:val="30"/>
          <w:highlight w:val="none"/>
        </w:rPr>
      </w:pPr>
      <w:r>
        <w:rPr>
          <w:rFonts w:hint="eastAsia" w:ascii="宋体"/>
          <w:b/>
          <w:color w:val="auto"/>
          <w:sz w:val="30"/>
          <w:szCs w:val="30"/>
          <w:highlight w:val="none"/>
        </w:rPr>
        <w:br w:type="page"/>
      </w:r>
    </w:p>
    <w:p>
      <w:pPr>
        <w:spacing w:line="360" w:lineRule="auto"/>
        <w:ind w:firstLine="300" w:firstLineChars="100"/>
        <w:outlineLvl w:val="0"/>
        <w:rPr>
          <w:rFonts w:ascii="宋体" w:hAnsi="宋体"/>
          <w:color w:val="auto"/>
          <w:highlight w:val="none"/>
        </w:rPr>
      </w:pPr>
      <w:r>
        <w:rPr>
          <w:rFonts w:hint="eastAsia" w:ascii="宋体"/>
          <w:b/>
          <w:color w:val="auto"/>
          <w:sz w:val="30"/>
          <w:szCs w:val="30"/>
          <w:highlight w:val="none"/>
        </w:rPr>
        <w:t>附表九：</w:t>
      </w:r>
      <w:r>
        <w:rPr>
          <w:rFonts w:hint="eastAsia" w:ascii="宋体" w:hAnsi="宋体"/>
          <w:b/>
          <w:color w:val="auto"/>
          <w:highlight w:val="none"/>
        </w:rPr>
        <w:tab/>
      </w:r>
      <w:r>
        <w:rPr>
          <w:rFonts w:hint="eastAsia" w:ascii="宋体" w:hAnsi="宋体"/>
          <w:b/>
          <w:color w:val="auto"/>
          <w:highlight w:val="none"/>
        </w:rPr>
        <w:t xml:space="preserve">                     </w:t>
      </w:r>
    </w:p>
    <w:p>
      <w:pPr>
        <w:pStyle w:val="378"/>
        <w:spacing w:line="360" w:lineRule="auto"/>
        <w:jc w:val="center"/>
        <w:rPr>
          <w:rFonts w:ascii="宋体"/>
          <w:color w:val="auto"/>
          <w:sz w:val="24"/>
          <w:highlight w:val="none"/>
        </w:rPr>
      </w:pPr>
      <w:r>
        <w:rPr>
          <w:rFonts w:hint="eastAsia" w:ascii="宋体" w:hAnsi="宋体"/>
          <w:b/>
          <w:color w:val="auto"/>
          <w:sz w:val="30"/>
          <w:szCs w:val="30"/>
          <w:highlight w:val="none"/>
        </w:rPr>
        <w:t>投标人供货业绩一览表</w:t>
      </w:r>
      <w:r>
        <w:rPr>
          <w:rFonts w:hint="eastAsia" w:ascii="宋体"/>
          <w:color w:val="auto"/>
          <w:sz w:val="24"/>
          <w:highlight w:val="none"/>
          <w:u w:val="single"/>
        </w:rPr>
        <w:t xml:space="preserve">              </w:t>
      </w:r>
      <w:r>
        <w:rPr>
          <w:rFonts w:hint="eastAsia" w:ascii="宋体"/>
          <w:color w:val="auto"/>
          <w:sz w:val="24"/>
          <w:highlight w:val="none"/>
        </w:rPr>
        <w:t xml:space="preserve">             </w:t>
      </w:r>
    </w:p>
    <w:tbl>
      <w:tblPr>
        <w:tblStyle w:val="88"/>
        <w:tblpPr w:leftFromText="180" w:rightFromText="180" w:vertAnchor="text" w:horzAnchor="page" w:tblpX="1117" w:tblpY="272"/>
        <w:tblOverlap w:val="never"/>
        <w:tblW w:w="9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257"/>
        <w:gridCol w:w="1432"/>
        <w:gridCol w:w="1842"/>
        <w:gridCol w:w="1668"/>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78" w:type="dxa"/>
            <w:vAlign w:val="center"/>
          </w:tcPr>
          <w:p>
            <w:pPr>
              <w:pStyle w:val="383"/>
              <w:spacing w:line="360" w:lineRule="auto"/>
              <w:jc w:val="center"/>
              <w:rPr>
                <w:rFonts w:ascii="宋体"/>
                <w:color w:val="auto"/>
                <w:highlight w:val="none"/>
              </w:rPr>
            </w:pPr>
            <w:r>
              <w:rPr>
                <w:rFonts w:hint="eastAsia" w:ascii="宋体"/>
                <w:color w:val="auto"/>
                <w:highlight w:val="none"/>
              </w:rPr>
              <w:t>序号</w:t>
            </w:r>
          </w:p>
        </w:tc>
        <w:tc>
          <w:tcPr>
            <w:tcW w:w="2257" w:type="dxa"/>
            <w:vAlign w:val="center"/>
          </w:tcPr>
          <w:p>
            <w:pPr>
              <w:pStyle w:val="383"/>
              <w:spacing w:line="360" w:lineRule="auto"/>
              <w:jc w:val="center"/>
              <w:rPr>
                <w:rFonts w:ascii="宋体"/>
                <w:color w:val="auto"/>
                <w:highlight w:val="none"/>
              </w:rPr>
            </w:pPr>
            <w:r>
              <w:rPr>
                <w:rFonts w:hint="eastAsia" w:ascii="宋体"/>
                <w:color w:val="auto"/>
                <w:highlight w:val="none"/>
              </w:rPr>
              <w:t>项目名称</w:t>
            </w:r>
          </w:p>
        </w:tc>
        <w:tc>
          <w:tcPr>
            <w:tcW w:w="1432" w:type="dxa"/>
            <w:vAlign w:val="center"/>
          </w:tcPr>
          <w:p>
            <w:pPr>
              <w:pStyle w:val="383"/>
              <w:spacing w:line="360" w:lineRule="auto"/>
              <w:ind w:left="94" w:leftChars="-329" w:hanging="784" w:hangingChars="327"/>
              <w:jc w:val="center"/>
              <w:rPr>
                <w:rFonts w:ascii="宋体"/>
                <w:color w:val="auto"/>
                <w:highlight w:val="none"/>
              </w:rPr>
            </w:pPr>
            <w:r>
              <w:rPr>
                <w:rFonts w:hint="eastAsia" w:ascii="宋体"/>
                <w:color w:val="auto"/>
                <w:highlight w:val="none"/>
              </w:rPr>
              <w:t xml:space="preserve">     合同金额</w:t>
            </w:r>
          </w:p>
        </w:tc>
        <w:tc>
          <w:tcPr>
            <w:tcW w:w="1842" w:type="dxa"/>
            <w:vAlign w:val="center"/>
          </w:tcPr>
          <w:p>
            <w:pPr>
              <w:pStyle w:val="383"/>
              <w:spacing w:line="360" w:lineRule="auto"/>
              <w:jc w:val="center"/>
              <w:rPr>
                <w:rFonts w:ascii="宋体"/>
                <w:color w:val="auto"/>
                <w:highlight w:val="none"/>
              </w:rPr>
            </w:pPr>
            <w:r>
              <w:rPr>
                <w:rFonts w:hint="eastAsia" w:ascii="宋体"/>
                <w:color w:val="auto"/>
                <w:highlight w:val="none"/>
              </w:rPr>
              <w:t>供货内容</w:t>
            </w:r>
          </w:p>
        </w:tc>
        <w:tc>
          <w:tcPr>
            <w:tcW w:w="1668" w:type="dxa"/>
            <w:vAlign w:val="center"/>
          </w:tcPr>
          <w:p>
            <w:pPr>
              <w:pStyle w:val="383"/>
              <w:spacing w:line="360" w:lineRule="auto"/>
              <w:jc w:val="center"/>
              <w:rPr>
                <w:rFonts w:ascii="宋体"/>
                <w:color w:val="auto"/>
                <w:highlight w:val="none"/>
              </w:rPr>
            </w:pPr>
            <w:r>
              <w:rPr>
                <w:rFonts w:hint="eastAsia" w:ascii="宋体"/>
                <w:color w:val="auto"/>
                <w:highlight w:val="none"/>
              </w:rPr>
              <w:t>签约日期</w:t>
            </w:r>
          </w:p>
        </w:tc>
        <w:tc>
          <w:tcPr>
            <w:tcW w:w="1913" w:type="dxa"/>
            <w:vAlign w:val="center"/>
          </w:tcPr>
          <w:p>
            <w:pPr>
              <w:pStyle w:val="383"/>
              <w:spacing w:line="360" w:lineRule="auto"/>
              <w:jc w:val="center"/>
              <w:rPr>
                <w:rFonts w:ascii="宋体"/>
                <w:color w:val="auto"/>
                <w:highlight w:val="none"/>
              </w:rPr>
            </w:pPr>
            <w:r>
              <w:rPr>
                <w:rFonts w:hint="eastAsia" w:asci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3"/>
              <w:spacing w:line="360" w:lineRule="auto"/>
              <w:jc w:val="center"/>
              <w:rPr>
                <w:rFonts w:ascii="宋体"/>
                <w:color w:val="auto"/>
                <w:highlight w:val="none"/>
              </w:rPr>
            </w:pPr>
          </w:p>
        </w:tc>
        <w:tc>
          <w:tcPr>
            <w:tcW w:w="2257" w:type="dxa"/>
            <w:vAlign w:val="center"/>
          </w:tcPr>
          <w:p>
            <w:pPr>
              <w:pStyle w:val="383"/>
              <w:spacing w:line="360" w:lineRule="auto"/>
              <w:jc w:val="center"/>
              <w:rPr>
                <w:rFonts w:ascii="宋体"/>
                <w:color w:val="auto"/>
                <w:highlight w:val="none"/>
              </w:rPr>
            </w:pPr>
          </w:p>
        </w:tc>
        <w:tc>
          <w:tcPr>
            <w:tcW w:w="1432" w:type="dxa"/>
            <w:vAlign w:val="center"/>
          </w:tcPr>
          <w:p>
            <w:pPr>
              <w:pStyle w:val="383"/>
              <w:spacing w:line="360" w:lineRule="auto"/>
              <w:jc w:val="center"/>
              <w:rPr>
                <w:rFonts w:ascii="宋体"/>
                <w:color w:val="auto"/>
                <w:highlight w:val="none"/>
              </w:rPr>
            </w:pPr>
          </w:p>
        </w:tc>
        <w:tc>
          <w:tcPr>
            <w:tcW w:w="1842" w:type="dxa"/>
          </w:tcPr>
          <w:p>
            <w:pPr>
              <w:pStyle w:val="383"/>
              <w:spacing w:line="360" w:lineRule="auto"/>
              <w:jc w:val="center"/>
              <w:rPr>
                <w:rFonts w:ascii="宋体"/>
                <w:color w:val="auto"/>
                <w:highlight w:val="none"/>
              </w:rPr>
            </w:pPr>
          </w:p>
        </w:tc>
        <w:tc>
          <w:tcPr>
            <w:tcW w:w="1668" w:type="dxa"/>
            <w:vAlign w:val="center"/>
          </w:tcPr>
          <w:p>
            <w:pPr>
              <w:pStyle w:val="383"/>
              <w:spacing w:line="360" w:lineRule="auto"/>
              <w:jc w:val="center"/>
              <w:rPr>
                <w:rFonts w:ascii="宋体"/>
                <w:color w:val="auto"/>
                <w:highlight w:val="none"/>
              </w:rPr>
            </w:pPr>
          </w:p>
        </w:tc>
        <w:tc>
          <w:tcPr>
            <w:tcW w:w="1913" w:type="dxa"/>
            <w:vAlign w:val="center"/>
          </w:tcPr>
          <w:p>
            <w:pPr>
              <w:pStyle w:val="383"/>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3"/>
              <w:spacing w:line="360" w:lineRule="auto"/>
              <w:jc w:val="center"/>
              <w:rPr>
                <w:rFonts w:ascii="宋体"/>
                <w:color w:val="auto"/>
                <w:highlight w:val="none"/>
              </w:rPr>
            </w:pPr>
          </w:p>
        </w:tc>
        <w:tc>
          <w:tcPr>
            <w:tcW w:w="2257" w:type="dxa"/>
            <w:vAlign w:val="center"/>
          </w:tcPr>
          <w:p>
            <w:pPr>
              <w:pStyle w:val="383"/>
              <w:spacing w:line="360" w:lineRule="auto"/>
              <w:jc w:val="center"/>
              <w:rPr>
                <w:rFonts w:ascii="宋体"/>
                <w:color w:val="auto"/>
                <w:highlight w:val="none"/>
              </w:rPr>
            </w:pPr>
          </w:p>
        </w:tc>
        <w:tc>
          <w:tcPr>
            <w:tcW w:w="1432" w:type="dxa"/>
            <w:vAlign w:val="center"/>
          </w:tcPr>
          <w:p>
            <w:pPr>
              <w:pStyle w:val="383"/>
              <w:spacing w:line="360" w:lineRule="auto"/>
              <w:jc w:val="center"/>
              <w:rPr>
                <w:rFonts w:ascii="宋体"/>
                <w:color w:val="auto"/>
                <w:highlight w:val="none"/>
              </w:rPr>
            </w:pPr>
          </w:p>
        </w:tc>
        <w:tc>
          <w:tcPr>
            <w:tcW w:w="1842" w:type="dxa"/>
          </w:tcPr>
          <w:p>
            <w:pPr>
              <w:pStyle w:val="383"/>
              <w:spacing w:line="360" w:lineRule="auto"/>
              <w:jc w:val="center"/>
              <w:rPr>
                <w:rFonts w:ascii="宋体"/>
                <w:color w:val="auto"/>
                <w:highlight w:val="none"/>
              </w:rPr>
            </w:pPr>
          </w:p>
        </w:tc>
        <w:tc>
          <w:tcPr>
            <w:tcW w:w="1668" w:type="dxa"/>
            <w:vAlign w:val="center"/>
          </w:tcPr>
          <w:p>
            <w:pPr>
              <w:pStyle w:val="383"/>
              <w:spacing w:line="360" w:lineRule="auto"/>
              <w:jc w:val="center"/>
              <w:rPr>
                <w:rFonts w:ascii="宋体"/>
                <w:color w:val="auto"/>
                <w:highlight w:val="none"/>
              </w:rPr>
            </w:pPr>
          </w:p>
        </w:tc>
        <w:tc>
          <w:tcPr>
            <w:tcW w:w="1913" w:type="dxa"/>
            <w:vAlign w:val="center"/>
          </w:tcPr>
          <w:p>
            <w:pPr>
              <w:pStyle w:val="383"/>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3"/>
              <w:spacing w:line="360" w:lineRule="auto"/>
              <w:jc w:val="center"/>
              <w:rPr>
                <w:rFonts w:ascii="宋体"/>
                <w:color w:val="auto"/>
                <w:highlight w:val="none"/>
              </w:rPr>
            </w:pPr>
          </w:p>
        </w:tc>
        <w:tc>
          <w:tcPr>
            <w:tcW w:w="2257" w:type="dxa"/>
            <w:vAlign w:val="center"/>
          </w:tcPr>
          <w:p>
            <w:pPr>
              <w:pStyle w:val="383"/>
              <w:spacing w:line="360" w:lineRule="auto"/>
              <w:jc w:val="center"/>
              <w:rPr>
                <w:rFonts w:ascii="宋体"/>
                <w:color w:val="auto"/>
                <w:highlight w:val="none"/>
              </w:rPr>
            </w:pPr>
          </w:p>
        </w:tc>
        <w:tc>
          <w:tcPr>
            <w:tcW w:w="1432" w:type="dxa"/>
            <w:vAlign w:val="center"/>
          </w:tcPr>
          <w:p>
            <w:pPr>
              <w:pStyle w:val="383"/>
              <w:spacing w:line="360" w:lineRule="auto"/>
              <w:jc w:val="center"/>
              <w:rPr>
                <w:rFonts w:ascii="宋体"/>
                <w:color w:val="auto"/>
                <w:highlight w:val="none"/>
              </w:rPr>
            </w:pPr>
          </w:p>
        </w:tc>
        <w:tc>
          <w:tcPr>
            <w:tcW w:w="1842" w:type="dxa"/>
          </w:tcPr>
          <w:p>
            <w:pPr>
              <w:pStyle w:val="383"/>
              <w:spacing w:line="360" w:lineRule="auto"/>
              <w:jc w:val="center"/>
              <w:rPr>
                <w:rFonts w:ascii="宋体"/>
                <w:color w:val="auto"/>
                <w:highlight w:val="none"/>
              </w:rPr>
            </w:pPr>
          </w:p>
        </w:tc>
        <w:tc>
          <w:tcPr>
            <w:tcW w:w="1668" w:type="dxa"/>
            <w:vAlign w:val="center"/>
          </w:tcPr>
          <w:p>
            <w:pPr>
              <w:pStyle w:val="383"/>
              <w:spacing w:line="360" w:lineRule="auto"/>
              <w:jc w:val="center"/>
              <w:rPr>
                <w:rFonts w:ascii="宋体"/>
                <w:color w:val="auto"/>
                <w:highlight w:val="none"/>
              </w:rPr>
            </w:pPr>
          </w:p>
        </w:tc>
        <w:tc>
          <w:tcPr>
            <w:tcW w:w="1913" w:type="dxa"/>
            <w:vAlign w:val="center"/>
          </w:tcPr>
          <w:p>
            <w:pPr>
              <w:pStyle w:val="383"/>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3"/>
              <w:spacing w:line="360" w:lineRule="auto"/>
              <w:jc w:val="center"/>
              <w:rPr>
                <w:rFonts w:ascii="宋体"/>
                <w:color w:val="auto"/>
                <w:highlight w:val="none"/>
              </w:rPr>
            </w:pPr>
          </w:p>
        </w:tc>
        <w:tc>
          <w:tcPr>
            <w:tcW w:w="2257" w:type="dxa"/>
            <w:vAlign w:val="center"/>
          </w:tcPr>
          <w:p>
            <w:pPr>
              <w:pStyle w:val="383"/>
              <w:spacing w:line="360" w:lineRule="auto"/>
              <w:jc w:val="center"/>
              <w:rPr>
                <w:rFonts w:ascii="宋体"/>
                <w:color w:val="auto"/>
                <w:highlight w:val="none"/>
              </w:rPr>
            </w:pPr>
          </w:p>
        </w:tc>
        <w:tc>
          <w:tcPr>
            <w:tcW w:w="1432" w:type="dxa"/>
            <w:vAlign w:val="center"/>
          </w:tcPr>
          <w:p>
            <w:pPr>
              <w:pStyle w:val="383"/>
              <w:spacing w:line="360" w:lineRule="auto"/>
              <w:jc w:val="center"/>
              <w:rPr>
                <w:rFonts w:ascii="宋体"/>
                <w:color w:val="auto"/>
                <w:highlight w:val="none"/>
              </w:rPr>
            </w:pPr>
          </w:p>
        </w:tc>
        <w:tc>
          <w:tcPr>
            <w:tcW w:w="1842" w:type="dxa"/>
          </w:tcPr>
          <w:p>
            <w:pPr>
              <w:pStyle w:val="383"/>
              <w:spacing w:line="360" w:lineRule="auto"/>
              <w:jc w:val="center"/>
              <w:rPr>
                <w:rFonts w:ascii="宋体"/>
                <w:color w:val="auto"/>
                <w:highlight w:val="none"/>
              </w:rPr>
            </w:pPr>
          </w:p>
        </w:tc>
        <w:tc>
          <w:tcPr>
            <w:tcW w:w="1668" w:type="dxa"/>
            <w:vAlign w:val="center"/>
          </w:tcPr>
          <w:p>
            <w:pPr>
              <w:pStyle w:val="383"/>
              <w:spacing w:line="360" w:lineRule="auto"/>
              <w:jc w:val="center"/>
              <w:rPr>
                <w:rFonts w:ascii="宋体"/>
                <w:color w:val="auto"/>
                <w:highlight w:val="none"/>
              </w:rPr>
            </w:pPr>
          </w:p>
        </w:tc>
        <w:tc>
          <w:tcPr>
            <w:tcW w:w="1913" w:type="dxa"/>
            <w:vAlign w:val="center"/>
          </w:tcPr>
          <w:p>
            <w:pPr>
              <w:pStyle w:val="383"/>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3"/>
              <w:spacing w:line="360" w:lineRule="auto"/>
              <w:jc w:val="center"/>
              <w:rPr>
                <w:rFonts w:ascii="宋体"/>
                <w:color w:val="auto"/>
                <w:highlight w:val="none"/>
              </w:rPr>
            </w:pPr>
          </w:p>
        </w:tc>
        <w:tc>
          <w:tcPr>
            <w:tcW w:w="2257" w:type="dxa"/>
            <w:vAlign w:val="center"/>
          </w:tcPr>
          <w:p>
            <w:pPr>
              <w:pStyle w:val="383"/>
              <w:spacing w:line="360" w:lineRule="auto"/>
              <w:jc w:val="center"/>
              <w:rPr>
                <w:rFonts w:ascii="宋体"/>
                <w:color w:val="auto"/>
                <w:highlight w:val="none"/>
              </w:rPr>
            </w:pPr>
          </w:p>
        </w:tc>
        <w:tc>
          <w:tcPr>
            <w:tcW w:w="1432" w:type="dxa"/>
            <w:vAlign w:val="center"/>
          </w:tcPr>
          <w:p>
            <w:pPr>
              <w:pStyle w:val="383"/>
              <w:spacing w:line="360" w:lineRule="auto"/>
              <w:jc w:val="center"/>
              <w:rPr>
                <w:rFonts w:ascii="宋体"/>
                <w:color w:val="auto"/>
                <w:highlight w:val="none"/>
              </w:rPr>
            </w:pPr>
          </w:p>
        </w:tc>
        <w:tc>
          <w:tcPr>
            <w:tcW w:w="1842" w:type="dxa"/>
          </w:tcPr>
          <w:p>
            <w:pPr>
              <w:pStyle w:val="383"/>
              <w:spacing w:line="360" w:lineRule="auto"/>
              <w:jc w:val="center"/>
              <w:rPr>
                <w:rFonts w:ascii="宋体"/>
                <w:color w:val="auto"/>
                <w:highlight w:val="none"/>
              </w:rPr>
            </w:pPr>
          </w:p>
        </w:tc>
        <w:tc>
          <w:tcPr>
            <w:tcW w:w="1668" w:type="dxa"/>
            <w:vAlign w:val="center"/>
          </w:tcPr>
          <w:p>
            <w:pPr>
              <w:pStyle w:val="383"/>
              <w:spacing w:line="360" w:lineRule="auto"/>
              <w:jc w:val="center"/>
              <w:rPr>
                <w:rFonts w:ascii="宋体"/>
                <w:color w:val="auto"/>
                <w:highlight w:val="none"/>
              </w:rPr>
            </w:pPr>
          </w:p>
        </w:tc>
        <w:tc>
          <w:tcPr>
            <w:tcW w:w="1913" w:type="dxa"/>
            <w:vAlign w:val="center"/>
          </w:tcPr>
          <w:p>
            <w:pPr>
              <w:pStyle w:val="383"/>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3"/>
              <w:spacing w:line="360" w:lineRule="auto"/>
              <w:jc w:val="center"/>
              <w:rPr>
                <w:rFonts w:ascii="宋体"/>
                <w:color w:val="auto"/>
                <w:highlight w:val="none"/>
              </w:rPr>
            </w:pPr>
          </w:p>
        </w:tc>
        <w:tc>
          <w:tcPr>
            <w:tcW w:w="2257" w:type="dxa"/>
            <w:vAlign w:val="center"/>
          </w:tcPr>
          <w:p>
            <w:pPr>
              <w:pStyle w:val="383"/>
              <w:spacing w:line="360" w:lineRule="auto"/>
              <w:jc w:val="center"/>
              <w:rPr>
                <w:rFonts w:ascii="宋体"/>
                <w:color w:val="auto"/>
                <w:highlight w:val="none"/>
              </w:rPr>
            </w:pPr>
          </w:p>
        </w:tc>
        <w:tc>
          <w:tcPr>
            <w:tcW w:w="1432" w:type="dxa"/>
            <w:vAlign w:val="center"/>
          </w:tcPr>
          <w:p>
            <w:pPr>
              <w:pStyle w:val="383"/>
              <w:spacing w:line="360" w:lineRule="auto"/>
              <w:jc w:val="center"/>
              <w:rPr>
                <w:rFonts w:ascii="宋体"/>
                <w:color w:val="auto"/>
                <w:highlight w:val="none"/>
              </w:rPr>
            </w:pPr>
          </w:p>
        </w:tc>
        <w:tc>
          <w:tcPr>
            <w:tcW w:w="1842" w:type="dxa"/>
          </w:tcPr>
          <w:p>
            <w:pPr>
              <w:pStyle w:val="383"/>
              <w:spacing w:line="360" w:lineRule="auto"/>
              <w:jc w:val="center"/>
              <w:rPr>
                <w:rFonts w:ascii="宋体"/>
                <w:color w:val="auto"/>
                <w:highlight w:val="none"/>
              </w:rPr>
            </w:pPr>
          </w:p>
        </w:tc>
        <w:tc>
          <w:tcPr>
            <w:tcW w:w="1668" w:type="dxa"/>
            <w:vAlign w:val="center"/>
          </w:tcPr>
          <w:p>
            <w:pPr>
              <w:pStyle w:val="383"/>
              <w:spacing w:line="360" w:lineRule="auto"/>
              <w:jc w:val="center"/>
              <w:rPr>
                <w:rFonts w:ascii="宋体"/>
                <w:color w:val="auto"/>
                <w:highlight w:val="none"/>
              </w:rPr>
            </w:pPr>
          </w:p>
        </w:tc>
        <w:tc>
          <w:tcPr>
            <w:tcW w:w="1913" w:type="dxa"/>
            <w:vAlign w:val="center"/>
          </w:tcPr>
          <w:p>
            <w:pPr>
              <w:pStyle w:val="383"/>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3"/>
              <w:spacing w:line="360" w:lineRule="auto"/>
              <w:jc w:val="center"/>
              <w:rPr>
                <w:rFonts w:ascii="宋体"/>
                <w:color w:val="auto"/>
                <w:highlight w:val="none"/>
              </w:rPr>
            </w:pPr>
          </w:p>
        </w:tc>
        <w:tc>
          <w:tcPr>
            <w:tcW w:w="2257" w:type="dxa"/>
            <w:vAlign w:val="center"/>
          </w:tcPr>
          <w:p>
            <w:pPr>
              <w:pStyle w:val="383"/>
              <w:spacing w:line="360" w:lineRule="auto"/>
              <w:jc w:val="center"/>
              <w:rPr>
                <w:rFonts w:ascii="宋体"/>
                <w:color w:val="auto"/>
                <w:highlight w:val="none"/>
              </w:rPr>
            </w:pPr>
          </w:p>
        </w:tc>
        <w:tc>
          <w:tcPr>
            <w:tcW w:w="1432" w:type="dxa"/>
            <w:vAlign w:val="center"/>
          </w:tcPr>
          <w:p>
            <w:pPr>
              <w:pStyle w:val="383"/>
              <w:spacing w:line="360" w:lineRule="auto"/>
              <w:jc w:val="center"/>
              <w:rPr>
                <w:rFonts w:ascii="宋体"/>
                <w:color w:val="auto"/>
                <w:highlight w:val="none"/>
              </w:rPr>
            </w:pPr>
          </w:p>
        </w:tc>
        <w:tc>
          <w:tcPr>
            <w:tcW w:w="1842" w:type="dxa"/>
          </w:tcPr>
          <w:p>
            <w:pPr>
              <w:pStyle w:val="383"/>
              <w:spacing w:line="360" w:lineRule="auto"/>
              <w:jc w:val="center"/>
              <w:rPr>
                <w:rFonts w:ascii="宋体"/>
                <w:color w:val="auto"/>
                <w:highlight w:val="none"/>
              </w:rPr>
            </w:pPr>
          </w:p>
        </w:tc>
        <w:tc>
          <w:tcPr>
            <w:tcW w:w="1668" w:type="dxa"/>
            <w:vAlign w:val="center"/>
          </w:tcPr>
          <w:p>
            <w:pPr>
              <w:pStyle w:val="383"/>
              <w:spacing w:line="360" w:lineRule="auto"/>
              <w:jc w:val="center"/>
              <w:rPr>
                <w:rFonts w:ascii="宋体"/>
                <w:color w:val="auto"/>
                <w:highlight w:val="none"/>
              </w:rPr>
            </w:pPr>
          </w:p>
        </w:tc>
        <w:tc>
          <w:tcPr>
            <w:tcW w:w="1913" w:type="dxa"/>
            <w:vAlign w:val="center"/>
          </w:tcPr>
          <w:p>
            <w:pPr>
              <w:pStyle w:val="383"/>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3"/>
              <w:spacing w:line="360" w:lineRule="auto"/>
              <w:jc w:val="center"/>
              <w:rPr>
                <w:rFonts w:ascii="宋体"/>
                <w:color w:val="auto"/>
                <w:highlight w:val="none"/>
              </w:rPr>
            </w:pPr>
          </w:p>
        </w:tc>
        <w:tc>
          <w:tcPr>
            <w:tcW w:w="2257" w:type="dxa"/>
            <w:vAlign w:val="center"/>
          </w:tcPr>
          <w:p>
            <w:pPr>
              <w:pStyle w:val="383"/>
              <w:spacing w:line="360" w:lineRule="auto"/>
              <w:jc w:val="center"/>
              <w:rPr>
                <w:rFonts w:ascii="宋体"/>
                <w:color w:val="auto"/>
                <w:highlight w:val="none"/>
              </w:rPr>
            </w:pPr>
          </w:p>
        </w:tc>
        <w:tc>
          <w:tcPr>
            <w:tcW w:w="1432" w:type="dxa"/>
            <w:vAlign w:val="center"/>
          </w:tcPr>
          <w:p>
            <w:pPr>
              <w:pStyle w:val="383"/>
              <w:spacing w:line="360" w:lineRule="auto"/>
              <w:jc w:val="center"/>
              <w:rPr>
                <w:rFonts w:ascii="宋体"/>
                <w:color w:val="auto"/>
                <w:highlight w:val="none"/>
              </w:rPr>
            </w:pPr>
          </w:p>
        </w:tc>
        <w:tc>
          <w:tcPr>
            <w:tcW w:w="1842" w:type="dxa"/>
          </w:tcPr>
          <w:p>
            <w:pPr>
              <w:pStyle w:val="383"/>
              <w:spacing w:line="360" w:lineRule="auto"/>
              <w:jc w:val="center"/>
              <w:rPr>
                <w:rFonts w:ascii="宋体"/>
                <w:color w:val="auto"/>
                <w:highlight w:val="none"/>
              </w:rPr>
            </w:pPr>
          </w:p>
        </w:tc>
        <w:tc>
          <w:tcPr>
            <w:tcW w:w="1668" w:type="dxa"/>
            <w:vAlign w:val="center"/>
          </w:tcPr>
          <w:p>
            <w:pPr>
              <w:pStyle w:val="383"/>
              <w:spacing w:line="360" w:lineRule="auto"/>
              <w:jc w:val="center"/>
              <w:rPr>
                <w:rFonts w:ascii="宋体"/>
                <w:color w:val="auto"/>
                <w:highlight w:val="none"/>
              </w:rPr>
            </w:pPr>
          </w:p>
        </w:tc>
        <w:tc>
          <w:tcPr>
            <w:tcW w:w="1913" w:type="dxa"/>
            <w:vAlign w:val="center"/>
          </w:tcPr>
          <w:p>
            <w:pPr>
              <w:pStyle w:val="383"/>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3"/>
              <w:spacing w:line="360" w:lineRule="auto"/>
              <w:jc w:val="center"/>
              <w:rPr>
                <w:rFonts w:ascii="宋体"/>
                <w:color w:val="auto"/>
                <w:highlight w:val="none"/>
              </w:rPr>
            </w:pPr>
          </w:p>
        </w:tc>
        <w:tc>
          <w:tcPr>
            <w:tcW w:w="2257" w:type="dxa"/>
            <w:vAlign w:val="center"/>
          </w:tcPr>
          <w:p>
            <w:pPr>
              <w:pStyle w:val="383"/>
              <w:spacing w:line="360" w:lineRule="auto"/>
              <w:jc w:val="center"/>
              <w:rPr>
                <w:rFonts w:ascii="宋体"/>
                <w:color w:val="auto"/>
                <w:highlight w:val="none"/>
              </w:rPr>
            </w:pPr>
          </w:p>
        </w:tc>
        <w:tc>
          <w:tcPr>
            <w:tcW w:w="1432" w:type="dxa"/>
            <w:vAlign w:val="center"/>
          </w:tcPr>
          <w:p>
            <w:pPr>
              <w:pStyle w:val="383"/>
              <w:spacing w:line="360" w:lineRule="auto"/>
              <w:jc w:val="center"/>
              <w:rPr>
                <w:rFonts w:ascii="宋体"/>
                <w:color w:val="auto"/>
                <w:highlight w:val="none"/>
              </w:rPr>
            </w:pPr>
          </w:p>
        </w:tc>
        <w:tc>
          <w:tcPr>
            <w:tcW w:w="1842" w:type="dxa"/>
          </w:tcPr>
          <w:p>
            <w:pPr>
              <w:pStyle w:val="383"/>
              <w:spacing w:line="360" w:lineRule="auto"/>
              <w:jc w:val="center"/>
              <w:rPr>
                <w:rFonts w:ascii="宋体"/>
                <w:color w:val="auto"/>
                <w:highlight w:val="none"/>
              </w:rPr>
            </w:pPr>
          </w:p>
        </w:tc>
        <w:tc>
          <w:tcPr>
            <w:tcW w:w="1668" w:type="dxa"/>
            <w:vAlign w:val="center"/>
          </w:tcPr>
          <w:p>
            <w:pPr>
              <w:pStyle w:val="383"/>
              <w:spacing w:line="360" w:lineRule="auto"/>
              <w:jc w:val="center"/>
              <w:rPr>
                <w:rFonts w:ascii="宋体"/>
                <w:color w:val="auto"/>
                <w:highlight w:val="none"/>
              </w:rPr>
            </w:pPr>
          </w:p>
        </w:tc>
        <w:tc>
          <w:tcPr>
            <w:tcW w:w="1913" w:type="dxa"/>
            <w:vAlign w:val="center"/>
          </w:tcPr>
          <w:p>
            <w:pPr>
              <w:pStyle w:val="383"/>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3"/>
              <w:spacing w:line="360" w:lineRule="auto"/>
              <w:jc w:val="center"/>
              <w:rPr>
                <w:rFonts w:ascii="宋体"/>
                <w:color w:val="auto"/>
                <w:highlight w:val="none"/>
              </w:rPr>
            </w:pPr>
          </w:p>
        </w:tc>
        <w:tc>
          <w:tcPr>
            <w:tcW w:w="2257" w:type="dxa"/>
            <w:vAlign w:val="center"/>
          </w:tcPr>
          <w:p>
            <w:pPr>
              <w:pStyle w:val="383"/>
              <w:spacing w:line="360" w:lineRule="auto"/>
              <w:jc w:val="center"/>
              <w:rPr>
                <w:rFonts w:ascii="宋体"/>
                <w:color w:val="auto"/>
                <w:highlight w:val="none"/>
              </w:rPr>
            </w:pPr>
          </w:p>
        </w:tc>
        <w:tc>
          <w:tcPr>
            <w:tcW w:w="1432" w:type="dxa"/>
            <w:vAlign w:val="center"/>
          </w:tcPr>
          <w:p>
            <w:pPr>
              <w:pStyle w:val="383"/>
              <w:spacing w:line="360" w:lineRule="auto"/>
              <w:jc w:val="center"/>
              <w:rPr>
                <w:rFonts w:ascii="宋体"/>
                <w:color w:val="auto"/>
                <w:highlight w:val="none"/>
              </w:rPr>
            </w:pPr>
          </w:p>
        </w:tc>
        <w:tc>
          <w:tcPr>
            <w:tcW w:w="1842" w:type="dxa"/>
          </w:tcPr>
          <w:p>
            <w:pPr>
              <w:pStyle w:val="383"/>
              <w:spacing w:line="360" w:lineRule="auto"/>
              <w:jc w:val="center"/>
              <w:rPr>
                <w:rFonts w:ascii="宋体"/>
                <w:color w:val="auto"/>
                <w:highlight w:val="none"/>
              </w:rPr>
            </w:pPr>
          </w:p>
        </w:tc>
        <w:tc>
          <w:tcPr>
            <w:tcW w:w="1668" w:type="dxa"/>
            <w:vAlign w:val="center"/>
          </w:tcPr>
          <w:p>
            <w:pPr>
              <w:pStyle w:val="383"/>
              <w:spacing w:line="360" w:lineRule="auto"/>
              <w:jc w:val="center"/>
              <w:rPr>
                <w:rFonts w:ascii="宋体"/>
                <w:color w:val="auto"/>
                <w:highlight w:val="none"/>
              </w:rPr>
            </w:pPr>
          </w:p>
        </w:tc>
        <w:tc>
          <w:tcPr>
            <w:tcW w:w="1913" w:type="dxa"/>
            <w:vAlign w:val="center"/>
          </w:tcPr>
          <w:p>
            <w:pPr>
              <w:pStyle w:val="383"/>
              <w:spacing w:line="360" w:lineRule="auto"/>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3"/>
              <w:spacing w:line="360" w:lineRule="auto"/>
              <w:jc w:val="center"/>
              <w:rPr>
                <w:rFonts w:ascii="宋体"/>
                <w:color w:val="auto"/>
                <w:highlight w:val="none"/>
              </w:rPr>
            </w:pPr>
          </w:p>
        </w:tc>
        <w:tc>
          <w:tcPr>
            <w:tcW w:w="2257" w:type="dxa"/>
            <w:vAlign w:val="center"/>
          </w:tcPr>
          <w:p>
            <w:pPr>
              <w:pStyle w:val="383"/>
              <w:spacing w:line="360" w:lineRule="auto"/>
              <w:jc w:val="center"/>
              <w:rPr>
                <w:rFonts w:ascii="宋体"/>
                <w:color w:val="auto"/>
                <w:highlight w:val="none"/>
              </w:rPr>
            </w:pPr>
          </w:p>
        </w:tc>
        <w:tc>
          <w:tcPr>
            <w:tcW w:w="1432" w:type="dxa"/>
            <w:vAlign w:val="center"/>
          </w:tcPr>
          <w:p>
            <w:pPr>
              <w:pStyle w:val="383"/>
              <w:spacing w:line="360" w:lineRule="auto"/>
              <w:jc w:val="center"/>
              <w:rPr>
                <w:rFonts w:ascii="宋体"/>
                <w:color w:val="auto"/>
                <w:highlight w:val="none"/>
              </w:rPr>
            </w:pPr>
          </w:p>
        </w:tc>
        <w:tc>
          <w:tcPr>
            <w:tcW w:w="1842" w:type="dxa"/>
          </w:tcPr>
          <w:p>
            <w:pPr>
              <w:pStyle w:val="383"/>
              <w:spacing w:line="360" w:lineRule="auto"/>
              <w:jc w:val="center"/>
              <w:rPr>
                <w:rFonts w:ascii="宋体"/>
                <w:color w:val="auto"/>
                <w:highlight w:val="none"/>
              </w:rPr>
            </w:pPr>
          </w:p>
        </w:tc>
        <w:tc>
          <w:tcPr>
            <w:tcW w:w="1668" w:type="dxa"/>
            <w:vAlign w:val="center"/>
          </w:tcPr>
          <w:p>
            <w:pPr>
              <w:pStyle w:val="383"/>
              <w:spacing w:line="360" w:lineRule="auto"/>
              <w:jc w:val="center"/>
              <w:rPr>
                <w:rFonts w:ascii="宋体"/>
                <w:color w:val="auto"/>
                <w:highlight w:val="none"/>
              </w:rPr>
            </w:pPr>
          </w:p>
        </w:tc>
        <w:tc>
          <w:tcPr>
            <w:tcW w:w="1913" w:type="dxa"/>
            <w:vAlign w:val="center"/>
          </w:tcPr>
          <w:p>
            <w:pPr>
              <w:pStyle w:val="383"/>
              <w:spacing w:line="360" w:lineRule="auto"/>
              <w:jc w:val="center"/>
              <w:rPr>
                <w:rFonts w:ascii="宋体"/>
                <w:color w:val="auto"/>
                <w:highlight w:val="none"/>
              </w:rPr>
            </w:pPr>
          </w:p>
        </w:tc>
      </w:tr>
    </w:tbl>
    <w:p>
      <w:pPr>
        <w:snapToGrid w:val="0"/>
        <w:spacing w:line="480" w:lineRule="auto"/>
        <w:ind w:left="498" w:leftChars="114" w:right="357" w:hanging="259" w:hangingChars="108"/>
        <w:rPr>
          <w:rFonts w:ascii="宋体" w:hAnsi="宋体" w:cs="宋体"/>
          <w:color w:val="auto"/>
          <w:sz w:val="24"/>
          <w:highlight w:val="none"/>
        </w:rPr>
      </w:pPr>
      <w:r>
        <w:rPr>
          <w:rFonts w:hint="eastAsia" w:ascii="宋体" w:hAnsi="宋体" w:cs="宋体"/>
          <w:color w:val="auto"/>
          <w:sz w:val="24"/>
          <w:highlight w:val="none"/>
        </w:rPr>
        <w:t>注 1. 投标人应如实列出以上情况，如有隐瞒，一经查实将导致其投标被拒绝。</w:t>
      </w:r>
    </w:p>
    <w:p>
      <w:pPr>
        <w:pStyle w:val="80"/>
        <w:spacing w:line="480" w:lineRule="auto"/>
        <w:ind w:firstLine="720" w:firstLineChars="300"/>
        <w:rPr>
          <w:color w:val="auto"/>
          <w:highlight w:val="none"/>
        </w:rPr>
      </w:pPr>
      <w:r>
        <w:rPr>
          <w:rFonts w:hint="eastAsia" w:ascii="宋体" w:hAnsi="宋体" w:cs="宋体"/>
          <w:color w:val="auto"/>
          <w:sz w:val="24"/>
          <w:highlight w:val="none"/>
        </w:rPr>
        <w:t>2.</w:t>
      </w:r>
      <w:r>
        <w:rPr>
          <w:rFonts w:ascii="宋体" w:hAnsi="宋体" w:cs="宋体"/>
          <w:color w:val="auto"/>
          <w:sz w:val="24"/>
          <w:szCs w:val="24"/>
          <w:highlight w:val="none"/>
        </w:rPr>
        <w:t>评委保留对上述资料原件审核的权利。</w:t>
      </w:r>
    </w:p>
    <w:p>
      <w:pPr>
        <w:pStyle w:val="80"/>
        <w:rPr>
          <w:color w:val="auto"/>
          <w:highlight w:val="none"/>
        </w:rPr>
      </w:pPr>
    </w:p>
    <w:p>
      <w:pPr>
        <w:spacing w:line="480" w:lineRule="auto"/>
        <w:ind w:firstLine="5520" w:firstLineChars="2300"/>
        <w:rPr>
          <w:rFonts w:ascii="宋体"/>
          <w:color w:val="auto"/>
          <w:sz w:val="24"/>
          <w:highlight w:val="none"/>
        </w:rPr>
      </w:pPr>
      <w:r>
        <w:rPr>
          <w:rFonts w:hint="eastAsia" w:ascii="宋体"/>
          <w:color w:val="auto"/>
          <w:sz w:val="24"/>
          <w:highlight w:val="none"/>
        </w:rPr>
        <w:t xml:space="preserve">投标人（盖章）：                                   </w:t>
      </w:r>
    </w:p>
    <w:p>
      <w:pPr>
        <w:spacing w:line="480" w:lineRule="auto"/>
        <w:ind w:firstLine="240" w:firstLineChars="100"/>
        <w:jc w:val="center"/>
        <w:rPr>
          <w:rFonts w:ascii="宋体"/>
          <w:color w:val="auto"/>
          <w:sz w:val="24"/>
          <w:highlight w:val="none"/>
          <w:u w:val="single"/>
        </w:rPr>
      </w:pPr>
      <w:r>
        <w:rPr>
          <w:rFonts w:hint="eastAsia" w:ascii="宋体"/>
          <w:color w:val="auto"/>
          <w:sz w:val="24"/>
          <w:highlight w:val="none"/>
        </w:rPr>
        <w:t xml:space="preserve">                              委托代理人（签字）：</w:t>
      </w:r>
    </w:p>
    <w:p>
      <w:pPr>
        <w:spacing w:line="480" w:lineRule="auto"/>
        <w:ind w:firstLine="240" w:firstLineChars="100"/>
        <w:jc w:val="center"/>
        <w:rPr>
          <w:rFonts w:ascii="宋体" w:hAnsi="宋体"/>
          <w:color w:val="auto"/>
          <w:sz w:val="24"/>
          <w:highlight w:val="none"/>
        </w:rPr>
      </w:pPr>
      <w:r>
        <w:rPr>
          <w:rFonts w:hint="eastAsia" w:ascii="宋体" w:hAnsi="宋体"/>
          <w:color w:val="auto"/>
          <w:sz w:val="24"/>
          <w:highlight w:val="none"/>
        </w:rPr>
        <w:t xml:space="preserve">                              日   期：  年  月  日   </w:t>
      </w:r>
    </w:p>
    <w:p>
      <w:pPr>
        <w:spacing w:line="360" w:lineRule="auto"/>
        <w:jc w:val="left"/>
        <w:rPr>
          <w:rFonts w:ascii="宋体" w:hAnsi="宋体"/>
          <w:color w:val="auto"/>
          <w:sz w:val="24"/>
          <w:highlight w:val="none"/>
        </w:rPr>
      </w:pPr>
    </w:p>
    <w:p>
      <w:pPr>
        <w:spacing w:line="360" w:lineRule="auto"/>
        <w:ind w:firstLine="240" w:firstLineChars="100"/>
        <w:jc w:val="left"/>
        <w:rPr>
          <w:rFonts w:ascii="宋体" w:hAnsi="宋体"/>
          <w:color w:val="auto"/>
          <w:sz w:val="24"/>
          <w:highlight w:val="none"/>
        </w:rPr>
      </w:pPr>
    </w:p>
    <w:p>
      <w:pPr>
        <w:spacing w:line="360" w:lineRule="auto"/>
        <w:ind w:firstLine="240" w:firstLineChars="100"/>
        <w:jc w:val="left"/>
        <w:rPr>
          <w:rFonts w:ascii="宋体" w:hAnsi="宋体"/>
          <w:color w:val="auto"/>
          <w:sz w:val="24"/>
          <w:highlight w:val="none"/>
        </w:rPr>
      </w:pPr>
    </w:p>
    <w:p>
      <w:pPr>
        <w:spacing w:line="360" w:lineRule="auto"/>
        <w:ind w:firstLine="240" w:firstLineChars="100"/>
        <w:jc w:val="left"/>
        <w:rPr>
          <w:rFonts w:ascii="宋体" w:hAnsi="宋体"/>
          <w:color w:val="auto"/>
          <w:sz w:val="24"/>
          <w:highlight w:val="none"/>
        </w:rPr>
      </w:pPr>
    </w:p>
    <w:p>
      <w:pPr>
        <w:spacing w:line="360" w:lineRule="auto"/>
        <w:ind w:firstLine="240" w:firstLineChars="100"/>
        <w:jc w:val="left"/>
        <w:rPr>
          <w:rFonts w:ascii="宋体"/>
          <w:b/>
          <w:color w:val="auto"/>
          <w:sz w:val="30"/>
          <w:szCs w:val="30"/>
          <w:highlight w:val="none"/>
        </w:rPr>
      </w:pPr>
      <w:r>
        <w:rPr>
          <w:rFonts w:hint="eastAsia" w:ascii="宋体" w:hAnsi="宋体"/>
          <w:color w:val="auto"/>
          <w:sz w:val="24"/>
          <w:highlight w:val="none"/>
        </w:rPr>
        <w:t xml:space="preserve">                             </w:t>
      </w:r>
    </w:p>
    <w:p>
      <w:pPr>
        <w:spacing w:line="360" w:lineRule="auto"/>
        <w:ind w:firstLine="300" w:firstLineChars="100"/>
        <w:outlineLvl w:val="0"/>
        <w:rPr>
          <w:rFonts w:ascii="宋体"/>
          <w:b/>
          <w:color w:val="auto"/>
          <w:sz w:val="30"/>
          <w:szCs w:val="30"/>
          <w:highlight w:val="none"/>
        </w:rPr>
      </w:pPr>
    </w:p>
    <w:p>
      <w:pPr>
        <w:spacing w:line="360" w:lineRule="auto"/>
        <w:ind w:firstLine="300" w:firstLineChars="100"/>
        <w:outlineLvl w:val="0"/>
        <w:rPr>
          <w:rFonts w:ascii="宋体"/>
          <w:b/>
          <w:color w:val="auto"/>
          <w:sz w:val="30"/>
          <w:szCs w:val="30"/>
          <w:highlight w:val="none"/>
        </w:rPr>
      </w:pPr>
      <w:r>
        <w:rPr>
          <w:rFonts w:hint="eastAsia" w:ascii="宋体"/>
          <w:b/>
          <w:color w:val="auto"/>
          <w:sz w:val="30"/>
          <w:szCs w:val="30"/>
          <w:highlight w:val="none"/>
        </w:rPr>
        <w:t>附表十：</w:t>
      </w:r>
    </w:p>
    <w:p>
      <w:pPr>
        <w:widowControl w:val="0"/>
        <w:spacing w:line="360" w:lineRule="auto"/>
        <w:ind w:right="-97"/>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附件1：中小企业声明函（货物类）</w:t>
      </w:r>
    </w:p>
    <w:p>
      <w:pPr>
        <w:spacing w:line="560" w:lineRule="exact"/>
        <w:ind w:firstLine="472" w:firstLineChars="20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560" w:lineRule="exact"/>
        <w:ind w:firstLine="472" w:firstLineChars="20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1.</w:t>
      </w:r>
      <w:r>
        <w:rPr>
          <w:rFonts w:hint="eastAsia" w:ascii="宋体" w:hAnsi="宋体" w:eastAsia="宋体" w:cs="宋体"/>
          <w:spacing w:val="-2"/>
          <w:sz w:val="24"/>
          <w:szCs w:val="24"/>
          <w:highlight w:val="none"/>
          <w:u w:val="single"/>
        </w:rPr>
        <w:t>（</w:t>
      </w:r>
      <w:r>
        <w:rPr>
          <w:rFonts w:hint="eastAsia" w:ascii="宋体" w:hAnsi="宋体" w:eastAsia="宋体" w:cs="宋体"/>
          <w:iCs/>
          <w:spacing w:val="-2"/>
          <w:sz w:val="24"/>
          <w:szCs w:val="24"/>
          <w:highlight w:val="none"/>
          <w:u w:val="single"/>
        </w:rPr>
        <w:t>标的名称</w:t>
      </w:r>
      <w:r>
        <w:rPr>
          <w:rFonts w:hint="eastAsia" w:ascii="宋体" w:hAnsi="宋体" w:eastAsia="宋体" w:cs="宋体"/>
          <w:spacing w:val="-2"/>
          <w:sz w:val="24"/>
          <w:szCs w:val="24"/>
          <w:highlight w:val="none"/>
          <w:u w:val="single"/>
        </w:rPr>
        <w:t>）</w:t>
      </w:r>
      <w:r>
        <w:rPr>
          <w:rFonts w:hint="eastAsia" w:ascii="宋体" w:hAnsi="宋体" w:eastAsia="宋体" w:cs="宋体"/>
          <w:spacing w:val="-2"/>
          <w:sz w:val="24"/>
          <w:szCs w:val="24"/>
          <w:highlight w:val="none"/>
        </w:rPr>
        <w:t>，属于</w:t>
      </w:r>
      <w:r>
        <w:rPr>
          <w:rFonts w:hint="eastAsia" w:ascii="宋体" w:hAnsi="宋体" w:eastAsia="宋体" w:cs="宋体"/>
          <w:spacing w:val="-2"/>
          <w:sz w:val="24"/>
          <w:szCs w:val="24"/>
          <w:highlight w:val="none"/>
          <w:u w:val="single"/>
        </w:rPr>
        <w:t>（</w:t>
      </w:r>
      <w:r>
        <w:rPr>
          <w:rFonts w:hint="eastAsia" w:ascii="宋体" w:hAnsi="宋体" w:eastAsia="宋体" w:cs="宋体"/>
          <w:iCs/>
          <w:spacing w:val="-2"/>
          <w:sz w:val="24"/>
          <w:szCs w:val="24"/>
          <w:highlight w:val="none"/>
          <w:u w:val="single"/>
        </w:rPr>
        <w:t>采购文件中明确的所属行业</w:t>
      </w:r>
      <w:r>
        <w:rPr>
          <w:rFonts w:hint="eastAsia" w:ascii="宋体" w:hAnsi="宋体" w:eastAsia="宋体" w:cs="宋体"/>
          <w:spacing w:val="-2"/>
          <w:sz w:val="24"/>
          <w:szCs w:val="24"/>
          <w:highlight w:val="none"/>
          <w:u w:val="single"/>
        </w:rPr>
        <w:t>）</w:t>
      </w:r>
      <w:r>
        <w:rPr>
          <w:rFonts w:hint="eastAsia" w:ascii="宋体" w:hAnsi="宋体" w:eastAsia="宋体" w:cs="宋体"/>
          <w:spacing w:val="-2"/>
          <w:sz w:val="24"/>
          <w:szCs w:val="24"/>
          <w:highlight w:val="none"/>
        </w:rPr>
        <w:t>；制造商为</w:t>
      </w:r>
      <w:r>
        <w:rPr>
          <w:rFonts w:hint="eastAsia" w:ascii="宋体" w:hAnsi="宋体" w:eastAsia="宋体" w:cs="宋体"/>
          <w:spacing w:val="-2"/>
          <w:sz w:val="24"/>
          <w:szCs w:val="24"/>
          <w:highlight w:val="none"/>
          <w:u w:val="single"/>
        </w:rPr>
        <w:t>（</w:t>
      </w:r>
      <w:r>
        <w:rPr>
          <w:rFonts w:hint="eastAsia" w:ascii="宋体" w:hAnsi="宋体" w:eastAsia="宋体" w:cs="宋体"/>
          <w:iCs/>
          <w:spacing w:val="-2"/>
          <w:sz w:val="24"/>
          <w:szCs w:val="24"/>
          <w:highlight w:val="none"/>
          <w:u w:val="single"/>
        </w:rPr>
        <w:t>企业名称</w:t>
      </w:r>
      <w:r>
        <w:rPr>
          <w:rFonts w:hint="eastAsia" w:ascii="宋体" w:hAnsi="宋体" w:eastAsia="宋体" w:cs="宋体"/>
          <w:spacing w:val="-2"/>
          <w:sz w:val="24"/>
          <w:szCs w:val="24"/>
          <w:highlight w:val="none"/>
          <w:u w:val="single"/>
        </w:rPr>
        <w:t>）</w:t>
      </w:r>
      <w:r>
        <w:rPr>
          <w:rFonts w:hint="eastAsia" w:ascii="宋体" w:hAnsi="宋体" w:eastAsia="宋体" w:cs="宋体"/>
          <w:spacing w:val="-2"/>
          <w:sz w:val="24"/>
          <w:szCs w:val="24"/>
          <w:highlight w:val="none"/>
        </w:rPr>
        <w:t>，从业人员人，营业收入为万元，资产总额为万元，属于</w:t>
      </w:r>
      <w:r>
        <w:rPr>
          <w:rFonts w:hint="eastAsia" w:ascii="宋体" w:hAnsi="宋体" w:eastAsia="宋体" w:cs="宋体"/>
          <w:spacing w:val="-2"/>
          <w:sz w:val="24"/>
          <w:szCs w:val="24"/>
          <w:highlight w:val="none"/>
          <w:u w:val="single"/>
        </w:rPr>
        <w:t>（</w:t>
      </w:r>
      <w:r>
        <w:rPr>
          <w:rFonts w:hint="eastAsia" w:ascii="宋体" w:hAnsi="宋体" w:eastAsia="宋体" w:cs="宋体"/>
          <w:iCs/>
          <w:spacing w:val="-2"/>
          <w:sz w:val="24"/>
          <w:szCs w:val="24"/>
          <w:highlight w:val="none"/>
          <w:u w:val="single"/>
        </w:rPr>
        <w:t>中型企业、小型企业、微型企业</w:t>
      </w:r>
      <w:r>
        <w:rPr>
          <w:rFonts w:hint="eastAsia" w:ascii="宋体" w:hAnsi="宋体" w:eastAsia="宋体" w:cs="宋体"/>
          <w:spacing w:val="-2"/>
          <w:sz w:val="24"/>
          <w:szCs w:val="24"/>
          <w:highlight w:val="none"/>
          <w:u w:val="single"/>
        </w:rPr>
        <w:t>）</w:t>
      </w:r>
      <w:r>
        <w:rPr>
          <w:rFonts w:hint="eastAsia" w:ascii="宋体" w:hAnsi="宋体" w:eastAsia="宋体" w:cs="宋体"/>
          <w:spacing w:val="-2"/>
          <w:sz w:val="24"/>
          <w:szCs w:val="24"/>
          <w:highlight w:val="none"/>
        </w:rPr>
        <w:t>；</w:t>
      </w:r>
    </w:p>
    <w:p>
      <w:pPr>
        <w:spacing w:line="560" w:lineRule="exact"/>
        <w:ind w:firstLine="472" w:firstLineChars="200"/>
        <w:rPr>
          <w:rFonts w:hint="eastAsia" w:ascii="宋体" w:hAnsi="宋体" w:eastAsia="宋体" w:cs="宋体"/>
          <w:spacing w:val="-2"/>
          <w:sz w:val="24"/>
          <w:szCs w:val="24"/>
          <w:highlight w:val="none"/>
          <w:u w:val="single"/>
        </w:rPr>
      </w:pPr>
      <w:r>
        <w:rPr>
          <w:rFonts w:hint="eastAsia" w:ascii="宋体" w:hAnsi="宋体" w:eastAsia="宋体" w:cs="宋体"/>
          <w:spacing w:val="-2"/>
          <w:sz w:val="24"/>
          <w:szCs w:val="24"/>
          <w:highlight w:val="none"/>
        </w:rPr>
        <w:t>2.</w:t>
      </w:r>
      <w:r>
        <w:rPr>
          <w:rFonts w:hint="eastAsia" w:ascii="宋体" w:hAnsi="宋体" w:eastAsia="宋体" w:cs="宋体"/>
          <w:spacing w:val="-2"/>
          <w:sz w:val="24"/>
          <w:szCs w:val="24"/>
          <w:highlight w:val="none"/>
          <w:u w:val="single"/>
        </w:rPr>
        <w:t>（</w:t>
      </w:r>
      <w:r>
        <w:rPr>
          <w:rFonts w:hint="eastAsia" w:ascii="宋体" w:hAnsi="宋体" w:eastAsia="宋体" w:cs="宋体"/>
          <w:iCs/>
          <w:spacing w:val="-2"/>
          <w:sz w:val="24"/>
          <w:szCs w:val="24"/>
          <w:highlight w:val="none"/>
          <w:u w:val="single"/>
        </w:rPr>
        <w:t>标的名称</w:t>
      </w:r>
      <w:r>
        <w:rPr>
          <w:rFonts w:hint="eastAsia" w:ascii="宋体" w:hAnsi="宋体" w:eastAsia="宋体" w:cs="宋体"/>
          <w:spacing w:val="-2"/>
          <w:sz w:val="24"/>
          <w:szCs w:val="24"/>
          <w:highlight w:val="none"/>
          <w:u w:val="single"/>
        </w:rPr>
        <w:t>）</w:t>
      </w:r>
      <w:r>
        <w:rPr>
          <w:rFonts w:hint="eastAsia" w:ascii="宋体" w:hAnsi="宋体" w:eastAsia="宋体" w:cs="宋体"/>
          <w:spacing w:val="-2"/>
          <w:sz w:val="24"/>
          <w:szCs w:val="24"/>
          <w:highlight w:val="none"/>
        </w:rPr>
        <w:t>，属于</w:t>
      </w:r>
      <w:r>
        <w:rPr>
          <w:rFonts w:hint="eastAsia" w:ascii="宋体" w:hAnsi="宋体" w:eastAsia="宋体" w:cs="宋体"/>
          <w:spacing w:val="-2"/>
          <w:sz w:val="24"/>
          <w:szCs w:val="24"/>
          <w:highlight w:val="none"/>
          <w:u w:val="single"/>
        </w:rPr>
        <w:t>（</w:t>
      </w:r>
      <w:r>
        <w:rPr>
          <w:rFonts w:hint="eastAsia" w:ascii="宋体" w:hAnsi="宋体" w:eastAsia="宋体" w:cs="宋体"/>
          <w:iCs/>
          <w:spacing w:val="-2"/>
          <w:sz w:val="24"/>
          <w:szCs w:val="24"/>
          <w:highlight w:val="none"/>
          <w:u w:val="single"/>
        </w:rPr>
        <w:t>采购文件中明确的所属行业</w:t>
      </w:r>
      <w:r>
        <w:rPr>
          <w:rFonts w:hint="eastAsia" w:ascii="宋体" w:hAnsi="宋体" w:eastAsia="宋体" w:cs="宋体"/>
          <w:spacing w:val="-2"/>
          <w:sz w:val="24"/>
          <w:szCs w:val="24"/>
          <w:highlight w:val="none"/>
          <w:u w:val="single"/>
        </w:rPr>
        <w:t>）</w:t>
      </w:r>
      <w:r>
        <w:rPr>
          <w:rFonts w:hint="eastAsia" w:ascii="宋体" w:hAnsi="宋体" w:eastAsia="宋体" w:cs="宋体"/>
          <w:spacing w:val="-2"/>
          <w:sz w:val="24"/>
          <w:szCs w:val="24"/>
          <w:highlight w:val="none"/>
        </w:rPr>
        <w:t>；制造商为</w:t>
      </w:r>
      <w:r>
        <w:rPr>
          <w:rFonts w:hint="eastAsia" w:ascii="宋体" w:hAnsi="宋体" w:eastAsia="宋体" w:cs="宋体"/>
          <w:spacing w:val="-2"/>
          <w:sz w:val="24"/>
          <w:szCs w:val="24"/>
          <w:highlight w:val="none"/>
          <w:u w:val="single"/>
        </w:rPr>
        <w:t>（</w:t>
      </w:r>
      <w:r>
        <w:rPr>
          <w:rFonts w:hint="eastAsia" w:ascii="宋体" w:hAnsi="宋体" w:eastAsia="宋体" w:cs="宋体"/>
          <w:iCs/>
          <w:spacing w:val="-2"/>
          <w:sz w:val="24"/>
          <w:szCs w:val="24"/>
          <w:highlight w:val="none"/>
          <w:u w:val="single"/>
        </w:rPr>
        <w:t>企业名称</w:t>
      </w:r>
      <w:r>
        <w:rPr>
          <w:rFonts w:hint="eastAsia" w:ascii="宋体" w:hAnsi="宋体" w:eastAsia="宋体" w:cs="宋体"/>
          <w:spacing w:val="-2"/>
          <w:sz w:val="24"/>
          <w:szCs w:val="24"/>
          <w:highlight w:val="none"/>
          <w:u w:val="single"/>
        </w:rPr>
        <w:t>）</w:t>
      </w:r>
      <w:r>
        <w:rPr>
          <w:rFonts w:hint="eastAsia" w:ascii="宋体" w:hAnsi="宋体" w:eastAsia="宋体" w:cs="宋体"/>
          <w:spacing w:val="-2"/>
          <w:sz w:val="24"/>
          <w:szCs w:val="24"/>
          <w:highlight w:val="none"/>
        </w:rPr>
        <w:t>，从业人员人，营业收入为万元，资产总额为万元，属于</w:t>
      </w:r>
      <w:r>
        <w:rPr>
          <w:rFonts w:hint="eastAsia" w:ascii="宋体" w:hAnsi="宋体" w:eastAsia="宋体" w:cs="宋体"/>
          <w:spacing w:val="-2"/>
          <w:sz w:val="24"/>
          <w:szCs w:val="24"/>
          <w:highlight w:val="none"/>
          <w:u w:val="single"/>
        </w:rPr>
        <w:t>（</w:t>
      </w:r>
      <w:r>
        <w:rPr>
          <w:rFonts w:hint="eastAsia" w:ascii="宋体" w:hAnsi="宋体" w:eastAsia="宋体" w:cs="宋体"/>
          <w:iCs/>
          <w:spacing w:val="-2"/>
          <w:sz w:val="24"/>
          <w:szCs w:val="24"/>
          <w:highlight w:val="none"/>
          <w:u w:val="single"/>
        </w:rPr>
        <w:t>中型企业、小型企业、微型企业</w:t>
      </w:r>
      <w:r>
        <w:rPr>
          <w:rFonts w:hint="eastAsia" w:ascii="宋体" w:hAnsi="宋体" w:eastAsia="宋体" w:cs="宋体"/>
          <w:spacing w:val="-2"/>
          <w:sz w:val="24"/>
          <w:szCs w:val="24"/>
          <w:highlight w:val="none"/>
          <w:u w:val="single"/>
        </w:rPr>
        <w:t>）</w:t>
      </w:r>
      <w:r>
        <w:rPr>
          <w:rFonts w:hint="eastAsia" w:ascii="宋体" w:hAnsi="宋体" w:eastAsia="宋体" w:cs="宋体"/>
          <w:spacing w:val="-2"/>
          <w:sz w:val="24"/>
          <w:szCs w:val="24"/>
          <w:highlight w:val="none"/>
        </w:rPr>
        <w:t>；</w:t>
      </w:r>
    </w:p>
    <w:p>
      <w:pPr>
        <w:widowControl w:val="0"/>
        <w:spacing w:before="100" w:beforeAutospacing="1" w:after="100" w:afterAutospacing="1" w:line="560" w:lineRule="exact"/>
        <w:ind w:left="220" w:firstLine="240" w:firstLineChars="1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w:t>
      </w:r>
    </w:p>
    <w:p>
      <w:pPr>
        <w:spacing w:line="560" w:lineRule="exact"/>
        <w:ind w:firstLine="472" w:firstLineChars="20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以上企业，不属于大企业的分支机构，不存在控股股东为大企业的情形，也不存在与大企业的负责人为同一人的情形。</w:t>
      </w:r>
    </w:p>
    <w:p>
      <w:pPr>
        <w:spacing w:line="560" w:lineRule="exact"/>
        <w:ind w:firstLine="472" w:firstLineChars="20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本企业对上述声明内容的真实性负责。如有虚假，将依法承担相应责任。</w:t>
      </w:r>
    </w:p>
    <w:p>
      <w:pPr>
        <w:spacing w:line="560" w:lineRule="exact"/>
        <w:ind w:firstLine="472" w:firstLineChars="200"/>
        <w:rPr>
          <w:rFonts w:hint="eastAsia" w:ascii="宋体" w:hAnsi="宋体" w:eastAsia="宋体" w:cs="宋体"/>
          <w:spacing w:val="-2"/>
          <w:sz w:val="24"/>
          <w:szCs w:val="24"/>
          <w:highlight w:val="none"/>
        </w:rPr>
      </w:pPr>
    </w:p>
    <w:p>
      <w:pPr>
        <w:widowControl w:val="0"/>
        <w:spacing w:before="35" w:beforeAutospacing="0" w:after="100" w:afterAutospacing="1" w:line="314" w:lineRule="auto"/>
        <w:ind w:left="220" w:right="2166" w:firstLine="472" w:firstLineChars="200"/>
        <w:jc w:val="both"/>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企业名称（盖章）：</w:t>
      </w:r>
    </w:p>
    <w:p>
      <w:pPr>
        <w:ind w:firstLine="708" w:firstLineChars="3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日期：</w:t>
      </w:r>
    </w:p>
    <w:p>
      <w:pPr>
        <w:rPr>
          <w:rFonts w:hint="eastAsia" w:ascii="宋体" w:hAnsi="宋体" w:eastAsia="宋体" w:cs="宋体"/>
          <w:sz w:val="24"/>
          <w:szCs w:val="28"/>
          <w:highlight w:val="none"/>
        </w:rPr>
      </w:pPr>
    </w:p>
    <w:p>
      <w:pPr>
        <w:pageBreakBefore/>
        <w:widowControl w:val="0"/>
        <w:spacing w:line="360" w:lineRule="auto"/>
        <w:ind w:right="-96"/>
        <w:jc w:val="center"/>
        <w:rPr>
          <w:rFonts w:hint="eastAsia" w:ascii="宋体" w:hAnsi="宋体" w:eastAsia="宋体" w:cs="宋体"/>
          <w:b/>
          <w:kern w:val="2"/>
          <w:sz w:val="24"/>
          <w:szCs w:val="24"/>
          <w:highlight w:val="none"/>
          <w:lang w:val="en-US" w:eastAsia="zh-CN" w:bidi="ar-SA"/>
        </w:rPr>
      </w:pPr>
      <w:bookmarkStart w:id="8" w:name="_Toc27045"/>
      <w:bookmarkStart w:id="9" w:name="_Toc17370"/>
      <w:bookmarkStart w:id="10" w:name="_Toc17583"/>
      <w:r>
        <w:rPr>
          <w:rFonts w:hint="eastAsia" w:ascii="宋体" w:hAnsi="宋体" w:eastAsia="宋体" w:cs="宋体"/>
          <w:b/>
          <w:kern w:val="2"/>
          <w:sz w:val="24"/>
          <w:szCs w:val="24"/>
          <w:highlight w:val="none"/>
          <w:lang w:val="en-US" w:eastAsia="zh-CN" w:bidi="ar-SA"/>
        </w:rPr>
        <w:t>附件2：中小企业声明函（服务类、工程类）</w:t>
      </w:r>
      <w:bookmarkEnd w:id="8"/>
      <w:bookmarkEnd w:id="9"/>
      <w:bookmarkEnd w:id="10"/>
    </w:p>
    <w:p>
      <w:pPr>
        <w:spacing w:line="360" w:lineRule="auto"/>
        <w:ind w:firstLine="472" w:firstLineChars="20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本公司（联合体）郑重声明，根据《政府采购促进中小企业发展管理办法》（财库﹝2020﹞46号）的规定，本公司（联合体）参加（单位名称）的</w:t>
      </w:r>
      <w:r>
        <w:rPr>
          <w:rFonts w:hint="eastAsia" w:ascii="宋体" w:hAnsi="宋体" w:eastAsia="宋体" w:cs="宋体"/>
          <w:spacing w:val="-2"/>
          <w:sz w:val="24"/>
          <w:szCs w:val="24"/>
          <w:highlight w:val="none"/>
          <w:u w:val="single"/>
        </w:rPr>
        <w:t>（项目名称）</w:t>
      </w:r>
      <w:r>
        <w:rPr>
          <w:rFonts w:hint="eastAsia" w:ascii="宋体" w:hAnsi="宋体" w:eastAsia="宋体" w:cs="宋体"/>
          <w:spacing w:val="-2"/>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72" w:firstLineChars="20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1、</w:t>
      </w:r>
      <w:r>
        <w:rPr>
          <w:rFonts w:hint="eastAsia" w:ascii="宋体" w:hAnsi="宋体" w:eastAsia="宋体" w:cs="宋体"/>
          <w:spacing w:val="-2"/>
          <w:sz w:val="24"/>
          <w:szCs w:val="24"/>
          <w:highlight w:val="none"/>
          <w:u w:val="single"/>
        </w:rPr>
        <w:t>（标的名称）</w:t>
      </w:r>
      <w:r>
        <w:rPr>
          <w:rFonts w:hint="eastAsia" w:ascii="宋体" w:hAnsi="宋体" w:eastAsia="宋体" w:cs="宋体"/>
          <w:spacing w:val="-2"/>
          <w:sz w:val="24"/>
          <w:szCs w:val="24"/>
          <w:highlight w:val="none"/>
        </w:rPr>
        <w:t>，属于</w:t>
      </w:r>
      <w:r>
        <w:rPr>
          <w:rFonts w:hint="eastAsia" w:ascii="宋体" w:hAnsi="宋体" w:eastAsia="宋体" w:cs="宋体"/>
          <w:spacing w:val="-2"/>
          <w:sz w:val="24"/>
          <w:szCs w:val="24"/>
          <w:highlight w:val="none"/>
          <w:u w:val="single"/>
        </w:rPr>
        <w:t>（采购文件中明确的所属行业）</w:t>
      </w:r>
      <w:r>
        <w:rPr>
          <w:rFonts w:hint="eastAsia" w:ascii="宋体" w:hAnsi="宋体" w:eastAsia="宋体" w:cs="宋体"/>
          <w:spacing w:val="-2"/>
          <w:sz w:val="24"/>
          <w:szCs w:val="24"/>
          <w:highlight w:val="none"/>
        </w:rPr>
        <w:t>；承建（承接）企业为</w:t>
      </w:r>
      <w:r>
        <w:rPr>
          <w:rFonts w:hint="eastAsia" w:ascii="宋体" w:hAnsi="宋体" w:eastAsia="宋体" w:cs="宋体"/>
          <w:spacing w:val="-2"/>
          <w:sz w:val="24"/>
          <w:szCs w:val="24"/>
          <w:highlight w:val="none"/>
          <w:u w:val="single"/>
        </w:rPr>
        <w:t>（企业名称</w:t>
      </w:r>
      <w:r>
        <w:rPr>
          <w:rFonts w:hint="eastAsia" w:ascii="宋体" w:hAnsi="宋体" w:eastAsia="宋体" w:cs="宋体"/>
          <w:spacing w:val="-2"/>
          <w:sz w:val="24"/>
          <w:szCs w:val="24"/>
          <w:highlight w:val="none"/>
        </w:rPr>
        <w:t>），从业人员人，营业收入为万元，资产总额为万【从业人员、营业收入、资产总额填报上一年度数据，无上一年度数据的新成立企业可不填报。】，属于</w:t>
      </w:r>
      <w:r>
        <w:rPr>
          <w:rFonts w:hint="eastAsia" w:ascii="宋体" w:hAnsi="宋体" w:eastAsia="宋体" w:cs="宋体"/>
          <w:spacing w:val="-2"/>
          <w:sz w:val="24"/>
          <w:szCs w:val="24"/>
          <w:highlight w:val="none"/>
          <w:u w:val="single"/>
        </w:rPr>
        <w:t>（中型企业、小型企业、微型企业）</w:t>
      </w:r>
      <w:r>
        <w:rPr>
          <w:rFonts w:hint="eastAsia" w:ascii="宋体" w:hAnsi="宋体" w:eastAsia="宋体" w:cs="宋体"/>
          <w:spacing w:val="-2"/>
          <w:sz w:val="24"/>
          <w:szCs w:val="24"/>
          <w:highlight w:val="none"/>
        </w:rPr>
        <w:t>；</w:t>
      </w:r>
    </w:p>
    <w:p>
      <w:pPr>
        <w:spacing w:line="360" w:lineRule="auto"/>
        <w:ind w:firstLine="472" w:firstLineChars="20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w:t>
      </w:r>
    </w:p>
    <w:p>
      <w:pPr>
        <w:spacing w:line="360" w:lineRule="auto"/>
        <w:ind w:firstLine="472" w:firstLineChars="20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以上企业，不属于大企业的分支机构，不存在控股股东为大企业的情形，也不存在与大企业的负责人为同一人的情形。</w:t>
      </w:r>
    </w:p>
    <w:p>
      <w:pPr>
        <w:spacing w:line="360" w:lineRule="auto"/>
        <w:ind w:firstLine="472" w:firstLineChars="20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本企业对上述声明内容的真实性负责。如有虚假，将依法承担相应责任。</w:t>
      </w:r>
    </w:p>
    <w:p>
      <w:pPr>
        <w:spacing w:line="360" w:lineRule="auto"/>
        <w:ind w:firstLine="480" w:firstLineChars="200"/>
        <w:rPr>
          <w:rFonts w:hint="eastAsia" w:ascii="宋体" w:hAnsi="宋体" w:eastAsia="宋体" w:cs="宋体"/>
          <w:sz w:val="24"/>
          <w:szCs w:val="24"/>
          <w:highlight w:val="none"/>
        </w:rPr>
      </w:pPr>
    </w:p>
    <w:p>
      <w:pPr>
        <w:spacing w:line="360" w:lineRule="auto"/>
        <w:ind w:firstLine="3776" w:firstLineChars="160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企业名称（盖章）：</w:t>
      </w:r>
    </w:p>
    <w:p>
      <w:pPr>
        <w:spacing w:line="360" w:lineRule="auto"/>
        <w:ind w:firstLine="3776" w:firstLineChars="160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日期：年月日</w:t>
      </w:r>
    </w:p>
    <w:p>
      <w:pPr>
        <w:spacing w:line="56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p>
    <w:p>
      <w:pPr>
        <w:widowControl w:val="0"/>
        <w:numPr>
          <w:ilvl w:val="0"/>
          <w:numId w:val="35"/>
        </w:numPr>
        <w:spacing w:line="360" w:lineRule="auto"/>
        <w:ind w:firstLine="440" w:firstLineChars="200"/>
        <w:jc w:val="both"/>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如可以享受中小企业政策的供应商，按照如上声明函的内容如实填写，若不满足中小企业政策的供应商，请不要填写。如存在虚假声明或未按实际内容填写，供应商需承担由此产生的一切后果及相应的法律责任。</w:t>
      </w:r>
    </w:p>
    <w:p>
      <w:pPr>
        <w:widowControl w:val="0"/>
        <w:numPr>
          <w:ilvl w:val="0"/>
          <w:numId w:val="35"/>
        </w:numPr>
        <w:spacing w:line="360" w:lineRule="auto"/>
        <w:ind w:firstLine="440" w:firstLineChars="200"/>
        <w:jc w:val="both"/>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本声明函中“标的名称”是指采购需求中计划采购的商品，供应商必须按采购需求中列明的商品名称填写；“采购文件中明确的所属行业”是指投标人须知前附表中小微型企业有关政策中明确的行业，本项目明确所属行业为</w:t>
      </w:r>
      <w:r>
        <w:rPr>
          <w:rFonts w:hint="eastAsia" w:ascii="宋体" w:hAnsi="宋体" w:eastAsia="宋体" w:cs="宋体"/>
          <w:b/>
          <w:bCs/>
          <w:kern w:val="2"/>
          <w:sz w:val="22"/>
          <w:szCs w:val="22"/>
          <w:highlight w:val="none"/>
          <w:u w:val="single"/>
          <w:lang w:val="en-US" w:eastAsia="zh-CN" w:bidi="ar-SA"/>
        </w:rPr>
        <w:t>农、林、牧、渔业</w:t>
      </w:r>
      <w:r>
        <w:rPr>
          <w:rFonts w:hint="eastAsia" w:ascii="宋体" w:hAnsi="宋体" w:eastAsia="宋体" w:cs="宋体"/>
          <w:b/>
          <w:bCs/>
          <w:kern w:val="2"/>
          <w:sz w:val="22"/>
          <w:szCs w:val="22"/>
          <w:highlight w:val="none"/>
          <w:lang w:val="en-US" w:eastAsia="zh-CN" w:bidi="ar-SA"/>
        </w:rPr>
        <w:t>或</w:t>
      </w:r>
      <w:r>
        <w:rPr>
          <w:rFonts w:hint="eastAsia" w:ascii="宋体" w:hAnsi="宋体" w:eastAsia="宋体" w:cs="宋体"/>
          <w:b/>
          <w:bCs/>
          <w:kern w:val="2"/>
          <w:sz w:val="22"/>
          <w:szCs w:val="22"/>
          <w:highlight w:val="none"/>
          <w:u w:val="single"/>
          <w:lang w:val="en-US" w:eastAsia="zh-CN" w:bidi="ar-SA"/>
        </w:rPr>
        <w:t>工业</w:t>
      </w:r>
      <w:r>
        <w:rPr>
          <w:rFonts w:hint="eastAsia" w:ascii="宋体" w:hAnsi="宋体" w:eastAsia="宋体" w:cs="宋体"/>
          <w:b/>
          <w:bCs/>
          <w:kern w:val="2"/>
          <w:sz w:val="22"/>
          <w:szCs w:val="22"/>
          <w:highlight w:val="none"/>
          <w:lang w:val="en-US" w:eastAsia="zh-CN" w:bidi="ar-SA"/>
        </w:rPr>
        <w:t>，供应商必须明确填写行业。</w:t>
      </w:r>
    </w:p>
    <w:p>
      <w:pPr>
        <w:widowControl w:val="0"/>
        <w:numPr>
          <w:ilvl w:val="0"/>
          <w:numId w:val="35"/>
        </w:numPr>
        <w:spacing w:line="360" w:lineRule="auto"/>
        <w:ind w:firstLine="440" w:firstLineChars="200"/>
        <w:jc w:val="both"/>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如供应商未填写或未按要求填写此表，评审时将不予认可。</w:t>
      </w:r>
    </w:p>
    <w:p>
      <w:pPr>
        <w:widowControl w:val="0"/>
        <w:numPr>
          <w:ilvl w:val="0"/>
          <w:numId w:val="35"/>
        </w:numPr>
        <w:spacing w:line="360" w:lineRule="auto"/>
        <w:ind w:firstLine="440" w:firstLineChars="200"/>
        <w:jc w:val="both"/>
        <w:rPr>
          <w:rFonts w:hint="eastAsia" w:ascii="宋体" w:hAnsi="宋体" w:eastAsia="宋体" w:cs="宋体"/>
          <w:spacing w:val="-2"/>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t>后附大中小微型企业划分标准。详细内容请在中国政府采购网上查询获取。</w:t>
      </w:r>
    </w:p>
    <w:p>
      <w:pPr>
        <w:pageBreakBefore/>
        <w:widowControl/>
        <w:spacing w:line="600" w:lineRule="exact"/>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rPr>
        <w:t>附表</w:t>
      </w:r>
    </w:p>
    <w:p>
      <w:pPr>
        <w:widowControl/>
        <w:spacing w:line="330" w:lineRule="atLeast"/>
        <w:jc w:val="center"/>
        <w:rPr>
          <w:rFonts w:hint="eastAsia" w:ascii="宋体" w:hAnsi="宋体" w:eastAsia="宋体" w:cs="宋体"/>
          <w:kern w:val="0"/>
          <w:sz w:val="36"/>
          <w:szCs w:val="32"/>
          <w:highlight w:val="none"/>
        </w:rPr>
      </w:pPr>
      <w:r>
        <w:rPr>
          <w:rFonts w:hint="eastAsia" w:ascii="宋体" w:hAnsi="宋体" w:eastAsia="宋体" w:cs="宋体"/>
          <w:kern w:val="0"/>
          <w:sz w:val="36"/>
          <w:szCs w:val="32"/>
          <w:highlight w:val="none"/>
        </w:rPr>
        <w:t>大中小微型企业划分标准</w:t>
      </w:r>
    </w:p>
    <w:tbl>
      <w:tblPr>
        <w:tblStyle w:val="88"/>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782" w:type="dxa"/>
            <w:noWrap/>
            <w:vAlign w:val="center"/>
          </w:tcPr>
          <w:p>
            <w:pPr>
              <w:widowControl/>
              <w:spacing w:line="240" w:lineRule="exact"/>
              <w:jc w:val="center"/>
              <w:rPr>
                <w:rFonts w:hint="eastAsia" w:ascii="宋体" w:hAnsi="宋体" w:eastAsia="宋体" w:cs="宋体"/>
                <w:b/>
                <w:bCs/>
                <w:kern w:val="0"/>
                <w:sz w:val="18"/>
                <w:szCs w:val="21"/>
                <w:highlight w:val="none"/>
              </w:rPr>
            </w:pPr>
            <w:r>
              <w:rPr>
                <w:rFonts w:hint="eastAsia" w:ascii="宋体" w:hAnsi="宋体" w:eastAsia="宋体" w:cs="宋体"/>
                <w:b/>
                <w:bCs/>
                <w:kern w:val="0"/>
                <w:sz w:val="18"/>
                <w:szCs w:val="21"/>
                <w:highlight w:val="none"/>
              </w:rPr>
              <w:t>行业名称</w:t>
            </w:r>
          </w:p>
        </w:tc>
        <w:tc>
          <w:tcPr>
            <w:tcW w:w="1369" w:type="dxa"/>
            <w:noWrap/>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指标名称</w:t>
            </w:r>
          </w:p>
        </w:tc>
        <w:tc>
          <w:tcPr>
            <w:tcW w:w="709" w:type="dxa"/>
            <w:noWrap/>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计量</w:t>
            </w:r>
            <w:r>
              <w:rPr>
                <w:rFonts w:hint="eastAsia" w:ascii="宋体" w:hAnsi="宋体" w:eastAsia="宋体" w:cs="宋体"/>
                <w:b/>
                <w:bCs/>
                <w:kern w:val="0"/>
                <w:sz w:val="18"/>
                <w:szCs w:val="18"/>
                <w:highlight w:val="none"/>
              </w:rPr>
              <w:br w:type="textWrapping"/>
            </w:r>
            <w:r>
              <w:rPr>
                <w:rFonts w:hint="eastAsia" w:ascii="宋体" w:hAnsi="宋体" w:eastAsia="宋体" w:cs="宋体"/>
                <w:b/>
                <w:bCs/>
                <w:kern w:val="0"/>
                <w:sz w:val="18"/>
                <w:szCs w:val="18"/>
                <w:highlight w:val="none"/>
              </w:rPr>
              <w:t>单位</w:t>
            </w:r>
          </w:p>
        </w:tc>
        <w:tc>
          <w:tcPr>
            <w:tcW w:w="1125" w:type="dxa"/>
            <w:noWrap/>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大型</w:t>
            </w:r>
          </w:p>
        </w:tc>
        <w:tc>
          <w:tcPr>
            <w:tcW w:w="1701" w:type="dxa"/>
            <w:noWrap/>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中型</w:t>
            </w:r>
          </w:p>
        </w:tc>
        <w:tc>
          <w:tcPr>
            <w:tcW w:w="1426" w:type="dxa"/>
            <w:noWrap/>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小型</w:t>
            </w:r>
          </w:p>
        </w:tc>
        <w:tc>
          <w:tcPr>
            <w:tcW w:w="992" w:type="dxa"/>
            <w:noWrap/>
            <w:vAlign w:val="center"/>
          </w:tcPr>
          <w:p>
            <w:pPr>
              <w:widowControl/>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农、林、牧、渔业</w:t>
            </w:r>
          </w:p>
        </w:tc>
        <w:tc>
          <w:tcPr>
            <w:tcW w:w="136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500≤Y＜20000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50≤Y＜500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工业 *</w:t>
            </w:r>
          </w:p>
        </w:tc>
        <w:tc>
          <w:tcPr>
            <w:tcW w:w="136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20≤X＜300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pPr>
              <w:widowControl/>
              <w:jc w:val="center"/>
              <w:rPr>
                <w:rFonts w:hint="eastAsia" w:ascii="宋体" w:hAnsi="宋体" w:eastAsia="宋体" w:cs="宋体"/>
                <w:kern w:val="0"/>
                <w:sz w:val="18"/>
                <w:szCs w:val="18"/>
                <w:highlight w:val="none"/>
              </w:rPr>
            </w:pPr>
          </w:p>
        </w:tc>
        <w:tc>
          <w:tcPr>
            <w:tcW w:w="1369" w:type="dxa"/>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Y≥40000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2000≤Y＜40000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300≤Y＜2000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建筑业</w:t>
            </w:r>
          </w:p>
        </w:tc>
        <w:tc>
          <w:tcPr>
            <w:tcW w:w="136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Y≥80000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6000≤Y＜80000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300≤Y＜6000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pPr>
              <w:widowControl/>
              <w:jc w:val="center"/>
              <w:rPr>
                <w:rFonts w:hint="eastAsia" w:ascii="宋体" w:hAnsi="宋体" w:eastAsia="宋体" w:cs="宋体"/>
                <w:kern w:val="0"/>
                <w:sz w:val="18"/>
                <w:szCs w:val="18"/>
                <w:highlight w:val="none"/>
              </w:rPr>
            </w:pPr>
          </w:p>
        </w:tc>
        <w:tc>
          <w:tcPr>
            <w:tcW w:w="1369" w:type="dxa"/>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Z≥80000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5000≤Z＜80000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300≤Z＜5000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批发业</w:t>
            </w:r>
          </w:p>
        </w:tc>
        <w:tc>
          <w:tcPr>
            <w:tcW w:w="136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20≤X＜200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5≤X＜20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pPr>
              <w:widowControl/>
              <w:jc w:val="center"/>
              <w:rPr>
                <w:rFonts w:hint="eastAsia" w:ascii="宋体" w:hAnsi="宋体" w:eastAsia="宋体" w:cs="宋体"/>
                <w:kern w:val="0"/>
                <w:sz w:val="18"/>
                <w:szCs w:val="18"/>
                <w:highlight w:val="none"/>
              </w:rPr>
            </w:pPr>
          </w:p>
        </w:tc>
        <w:tc>
          <w:tcPr>
            <w:tcW w:w="1369" w:type="dxa"/>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Y≥40000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5000≤Y＜40000</w:t>
            </w:r>
          </w:p>
        </w:tc>
        <w:tc>
          <w:tcPr>
            <w:tcW w:w="1426" w:type="dxa"/>
            <w:noWrap/>
            <w:vAlign w:val="center"/>
          </w:tcPr>
          <w:p>
            <w:pPr>
              <w:widowControl/>
              <w:ind w:left="-1" w:leftChars="-1" w:hanging="1"/>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1000≤Y＜5000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零售业</w:t>
            </w:r>
          </w:p>
        </w:tc>
        <w:tc>
          <w:tcPr>
            <w:tcW w:w="136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50≤X＜300</w:t>
            </w:r>
          </w:p>
        </w:tc>
        <w:tc>
          <w:tcPr>
            <w:tcW w:w="1426" w:type="dxa"/>
            <w:noWrap/>
            <w:vAlign w:val="center"/>
          </w:tcPr>
          <w:p>
            <w:pPr>
              <w:widowControl/>
              <w:ind w:left="-1" w:leftChars="-1" w:hanging="1"/>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10≤X＜50 </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pPr>
              <w:widowControl/>
              <w:jc w:val="center"/>
              <w:rPr>
                <w:rFonts w:hint="eastAsia" w:ascii="宋体" w:hAnsi="宋体" w:eastAsia="宋体" w:cs="宋体"/>
                <w:kern w:val="0"/>
                <w:sz w:val="18"/>
                <w:szCs w:val="18"/>
                <w:highlight w:val="none"/>
              </w:rPr>
            </w:pPr>
          </w:p>
        </w:tc>
        <w:tc>
          <w:tcPr>
            <w:tcW w:w="1369" w:type="dxa"/>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500≤Y＜20000</w:t>
            </w:r>
          </w:p>
        </w:tc>
        <w:tc>
          <w:tcPr>
            <w:tcW w:w="1426" w:type="dxa"/>
            <w:noWrap/>
            <w:vAlign w:val="center"/>
          </w:tcPr>
          <w:p>
            <w:pPr>
              <w:widowControl/>
              <w:ind w:left="-1" w:leftChars="-1" w:hanging="1"/>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100≤Y＜500 </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交通运输业</w:t>
            </w:r>
          </w:p>
        </w:tc>
        <w:tc>
          <w:tcPr>
            <w:tcW w:w="136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20≤X＜300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pPr>
              <w:widowControl/>
              <w:jc w:val="center"/>
              <w:rPr>
                <w:rFonts w:hint="eastAsia" w:ascii="宋体" w:hAnsi="宋体" w:eastAsia="宋体" w:cs="宋体"/>
                <w:kern w:val="0"/>
                <w:sz w:val="18"/>
                <w:szCs w:val="18"/>
                <w:highlight w:val="none"/>
              </w:rPr>
            </w:pPr>
          </w:p>
        </w:tc>
        <w:tc>
          <w:tcPr>
            <w:tcW w:w="1369" w:type="dxa"/>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3000≤Y＜30000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200≤Y＜3000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仓储业</w:t>
            </w:r>
          </w:p>
        </w:tc>
        <w:tc>
          <w:tcPr>
            <w:tcW w:w="136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X≥200</w:t>
            </w:r>
          </w:p>
        </w:tc>
        <w:tc>
          <w:tcPr>
            <w:tcW w:w="1701" w:type="dxa"/>
            <w:noWrap/>
            <w:vAlign w:val="center"/>
          </w:tcPr>
          <w:p>
            <w:pPr>
              <w:widowControl/>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100≤X＜200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20≤X＜100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pPr>
              <w:widowControl/>
              <w:jc w:val="center"/>
              <w:rPr>
                <w:rFonts w:hint="eastAsia" w:ascii="宋体" w:hAnsi="宋体" w:eastAsia="宋体" w:cs="宋体"/>
                <w:kern w:val="0"/>
                <w:sz w:val="18"/>
                <w:szCs w:val="18"/>
                <w:highlight w:val="none"/>
              </w:rPr>
            </w:pPr>
          </w:p>
        </w:tc>
        <w:tc>
          <w:tcPr>
            <w:tcW w:w="1369" w:type="dxa"/>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1000≤Y＜30000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100≤Y＜1000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邮政业</w:t>
            </w:r>
          </w:p>
        </w:tc>
        <w:tc>
          <w:tcPr>
            <w:tcW w:w="136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20≤X＜300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pPr>
              <w:widowControl/>
              <w:jc w:val="center"/>
              <w:rPr>
                <w:rFonts w:hint="eastAsia" w:ascii="宋体" w:hAnsi="宋体" w:eastAsia="宋体" w:cs="宋体"/>
                <w:kern w:val="0"/>
                <w:sz w:val="18"/>
                <w:szCs w:val="18"/>
                <w:highlight w:val="none"/>
              </w:rPr>
            </w:pPr>
          </w:p>
        </w:tc>
        <w:tc>
          <w:tcPr>
            <w:tcW w:w="1369" w:type="dxa"/>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2000≤Y＜30000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100≤Y＜2000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住宿业</w:t>
            </w:r>
          </w:p>
        </w:tc>
        <w:tc>
          <w:tcPr>
            <w:tcW w:w="136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noWrap/>
            <w:vAlign w:val="center"/>
          </w:tcPr>
          <w:p>
            <w:pPr>
              <w:widowControl/>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10≤X＜100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pPr>
              <w:widowControl/>
              <w:jc w:val="center"/>
              <w:rPr>
                <w:rFonts w:hint="eastAsia" w:ascii="宋体" w:hAnsi="宋体" w:eastAsia="宋体" w:cs="宋体"/>
                <w:kern w:val="0"/>
                <w:sz w:val="18"/>
                <w:szCs w:val="18"/>
                <w:highlight w:val="none"/>
              </w:rPr>
            </w:pPr>
          </w:p>
        </w:tc>
        <w:tc>
          <w:tcPr>
            <w:tcW w:w="1369" w:type="dxa"/>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2000≤Y＜10000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100≤Y＜2000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餐饮业</w:t>
            </w:r>
          </w:p>
        </w:tc>
        <w:tc>
          <w:tcPr>
            <w:tcW w:w="136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noWrap/>
            <w:vAlign w:val="center"/>
          </w:tcPr>
          <w:p>
            <w:pPr>
              <w:widowControl/>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10≤X＜100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pPr>
              <w:widowControl/>
              <w:jc w:val="center"/>
              <w:rPr>
                <w:rFonts w:hint="eastAsia" w:ascii="宋体" w:hAnsi="宋体" w:eastAsia="宋体" w:cs="宋体"/>
                <w:kern w:val="0"/>
                <w:sz w:val="18"/>
                <w:szCs w:val="18"/>
                <w:highlight w:val="none"/>
              </w:rPr>
            </w:pPr>
          </w:p>
        </w:tc>
        <w:tc>
          <w:tcPr>
            <w:tcW w:w="1369" w:type="dxa"/>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2000≤Y＜10000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100≤Y＜2000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信息传输业</w:t>
            </w:r>
          </w:p>
        </w:tc>
        <w:tc>
          <w:tcPr>
            <w:tcW w:w="136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100≤X＜2000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10≤X＜100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pPr>
              <w:widowControl/>
              <w:jc w:val="center"/>
              <w:rPr>
                <w:rFonts w:hint="eastAsia" w:ascii="宋体" w:hAnsi="宋体" w:eastAsia="宋体" w:cs="宋体"/>
                <w:kern w:val="0"/>
                <w:sz w:val="18"/>
                <w:szCs w:val="18"/>
                <w:highlight w:val="none"/>
              </w:rPr>
            </w:pPr>
          </w:p>
        </w:tc>
        <w:tc>
          <w:tcPr>
            <w:tcW w:w="1369" w:type="dxa"/>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1000≤Y＜100000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100≤Y＜1000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pPr>
              <w:widowControl/>
              <w:spacing w:line="240" w:lineRule="exact"/>
              <w:jc w:val="center"/>
              <w:rPr>
                <w:rFonts w:hint="eastAsia" w:ascii="宋体" w:hAnsi="宋体" w:eastAsia="宋体" w:cs="宋体"/>
                <w:spacing w:val="-12"/>
                <w:kern w:val="0"/>
                <w:sz w:val="18"/>
                <w:szCs w:val="18"/>
                <w:highlight w:val="none"/>
              </w:rPr>
            </w:pPr>
            <w:r>
              <w:rPr>
                <w:rFonts w:hint="eastAsia" w:ascii="宋体" w:hAnsi="宋体" w:eastAsia="宋体" w:cs="宋体"/>
                <w:spacing w:val="-12"/>
                <w:kern w:val="0"/>
                <w:sz w:val="18"/>
                <w:szCs w:val="18"/>
                <w:highlight w:val="none"/>
              </w:rPr>
              <w:t>软件和信息技术服</w:t>
            </w:r>
            <w:r>
              <w:rPr>
                <w:rFonts w:hint="eastAsia" w:ascii="宋体" w:hAnsi="宋体" w:eastAsia="宋体" w:cs="宋体"/>
                <w:kern w:val="0"/>
                <w:sz w:val="18"/>
                <w:szCs w:val="18"/>
                <w:highlight w:val="none"/>
              </w:rPr>
              <w:t>务业</w:t>
            </w:r>
          </w:p>
        </w:tc>
        <w:tc>
          <w:tcPr>
            <w:tcW w:w="136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noWrap/>
            <w:vAlign w:val="center"/>
          </w:tcPr>
          <w:p>
            <w:pPr>
              <w:widowControl/>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10≤X＜100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pPr>
              <w:widowControl/>
              <w:jc w:val="center"/>
              <w:rPr>
                <w:rFonts w:hint="eastAsia" w:ascii="宋体" w:hAnsi="宋体" w:eastAsia="宋体" w:cs="宋体"/>
                <w:spacing w:val="-12"/>
                <w:kern w:val="0"/>
                <w:sz w:val="18"/>
                <w:szCs w:val="18"/>
                <w:highlight w:val="none"/>
              </w:rPr>
            </w:pPr>
          </w:p>
        </w:tc>
        <w:tc>
          <w:tcPr>
            <w:tcW w:w="136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1000≤Y＜10000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50≤Y＜1000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房地产开发经营</w:t>
            </w:r>
          </w:p>
        </w:tc>
        <w:tc>
          <w:tcPr>
            <w:tcW w:w="136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1000≤Y＜200000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100≤Y＜1000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pPr>
              <w:widowControl/>
              <w:jc w:val="center"/>
              <w:rPr>
                <w:rFonts w:hint="eastAsia" w:ascii="宋体" w:hAnsi="宋体" w:eastAsia="宋体" w:cs="宋体"/>
                <w:kern w:val="0"/>
                <w:sz w:val="18"/>
                <w:szCs w:val="18"/>
                <w:highlight w:val="none"/>
              </w:rPr>
            </w:pPr>
          </w:p>
        </w:tc>
        <w:tc>
          <w:tcPr>
            <w:tcW w:w="1369" w:type="dxa"/>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Z≥10000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5000≤Z＜10000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2000≤Z＜5000   </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物业管理</w:t>
            </w:r>
          </w:p>
        </w:tc>
        <w:tc>
          <w:tcPr>
            <w:tcW w:w="136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pPr>
              <w:widowControl/>
              <w:jc w:val="center"/>
              <w:rPr>
                <w:rFonts w:hint="eastAsia" w:ascii="宋体" w:hAnsi="宋体" w:eastAsia="宋体" w:cs="宋体"/>
                <w:kern w:val="0"/>
                <w:sz w:val="18"/>
                <w:szCs w:val="18"/>
                <w:highlight w:val="none"/>
              </w:rPr>
            </w:pPr>
          </w:p>
        </w:tc>
        <w:tc>
          <w:tcPr>
            <w:tcW w:w="1369" w:type="dxa"/>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Y≥5000</w:t>
            </w:r>
          </w:p>
        </w:tc>
        <w:tc>
          <w:tcPr>
            <w:tcW w:w="1701" w:type="dxa"/>
            <w:noWrap/>
            <w:vAlign w:val="center"/>
          </w:tcPr>
          <w:p>
            <w:pPr>
              <w:widowControl/>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1000≤Y＜5000 </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500≤Y＜1000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租赁和商务服务业</w:t>
            </w:r>
          </w:p>
        </w:tc>
        <w:tc>
          <w:tcPr>
            <w:tcW w:w="136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noWrap/>
            <w:vAlign w:val="center"/>
          </w:tcPr>
          <w:p>
            <w:pPr>
              <w:widowControl/>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10≤X＜100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pPr>
              <w:widowControl/>
              <w:jc w:val="center"/>
              <w:rPr>
                <w:rFonts w:hint="eastAsia" w:ascii="宋体" w:hAnsi="宋体" w:eastAsia="宋体" w:cs="宋体"/>
                <w:kern w:val="0"/>
                <w:sz w:val="18"/>
                <w:szCs w:val="18"/>
                <w:highlight w:val="none"/>
              </w:rPr>
            </w:pPr>
          </w:p>
        </w:tc>
        <w:tc>
          <w:tcPr>
            <w:tcW w:w="1369" w:type="dxa"/>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Z≥120000</w:t>
            </w:r>
          </w:p>
        </w:tc>
        <w:tc>
          <w:tcPr>
            <w:tcW w:w="1701"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8000≤Z＜120000</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100≤Z＜8000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noWrap/>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其他未列明行业</w:t>
            </w:r>
          </w:p>
        </w:tc>
        <w:tc>
          <w:tcPr>
            <w:tcW w:w="136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noWrap/>
            <w:vAlign w:val="center"/>
          </w:tcPr>
          <w:p>
            <w:pPr>
              <w:widowControl/>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1426"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10≤X＜100</w:t>
            </w:r>
          </w:p>
        </w:tc>
        <w:tc>
          <w:tcPr>
            <w:tcW w:w="992" w:type="dxa"/>
            <w:noWrap/>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bl>
    <w:p>
      <w:pPr>
        <w:spacing w:line="480" w:lineRule="auto"/>
        <w:ind w:firstLine="480" w:firstLineChars="200"/>
        <w:rPr>
          <w:rFonts w:ascii="宋体" w:hAnsi="宋体" w:cs="宋体"/>
          <w:b/>
          <w:bCs/>
          <w:color w:val="auto"/>
          <w:sz w:val="24"/>
          <w:highlight w:val="none"/>
        </w:rPr>
      </w:pPr>
    </w:p>
    <w:p>
      <w:pPr>
        <w:spacing w:line="480" w:lineRule="auto"/>
        <w:jc w:val="center"/>
        <w:rPr>
          <w:rFonts w:ascii="宋体"/>
          <w:b/>
          <w:color w:val="auto"/>
          <w:sz w:val="30"/>
          <w:szCs w:val="30"/>
          <w:highlight w:val="none"/>
        </w:rPr>
      </w:pPr>
    </w:p>
    <w:p>
      <w:pPr>
        <w:spacing w:line="500" w:lineRule="exact"/>
        <w:outlineLvl w:val="0"/>
        <w:rPr>
          <w:rFonts w:ascii="宋体"/>
          <w:b/>
          <w:color w:val="auto"/>
          <w:sz w:val="30"/>
          <w:szCs w:val="30"/>
          <w:highlight w:val="none"/>
        </w:rPr>
      </w:pPr>
      <w:r>
        <w:rPr>
          <w:rFonts w:hint="eastAsia" w:ascii="宋体"/>
          <w:b/>
          <w:color w:val="auto"/>
          <w:sz w:val="30"/>
          <w:szCs w:val="30"/>
          <w:highlight w:val="none"/>
        </w:rPr>
        <w:t xml:space="preserve"> 附表十一：                  </w:t>
      </w:r>
    </w:p>
    <w:p>
      <w:pPr>
        <w:pStyle w:val="80"/>
        <w:rPr>
          <w:color w:val="auto"/>
          <w:highlight w:val="none"/>
        </w:rPr>
      </w:pPr>
    </w:p>
    <w:p>
      <w:pPr>
        <w:spacing w:line="480" w:lineRule="auto"/>
        <w:jc w:val="center"/>
        <w:rPr>
          <w:rFonts w:ascii="宋体" w:hAnsi="宋体"/>
          <w:b/>
          <w:color w:val="auto"/>
          <w:sz w:val="30"/>
          <w:szCs w:val="30"/>
          <w:highlight w:val="none"/>
        </w:rPr>
      </w:pPr>
      <w:r>
        <w:rPr>
          <w:rFonts w:hint="eastAsia" w:ascii="宋体" w:hAnsi="宋体"/>
          <w:b/>
          <w:color w:val="auto"/>
          <w:sz w:val="30"/>
          <w:szCs w:val="30"/>
          <w:highlight w:val="none"/>
        </w:rPr>
        <w:t>人员配备表</w:t>
      </w:r>
    </w:p>
    <w:p>
      <w:pPr>
        <w:pStyle w:val="67"/>
        <w:spacing w:line="480" w:lineRule="auto"/>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项目名称：                                           项目编号：</w:t>
      </w:r>
      <w:r>
        <w:rPr>
          <w:rFonts w:hint="eastAsia" w:ascii="宋体" w:hAnsi="宋体" w:eastAsia="宋体" w:cs="宋体"/>
          <w:bCs/>
          <w:color w:val="auto"/>
          <w:sz w:val="24"/>
          <w:szCs w:val="24"/>
          <w:highlight w:val="none"/>
          <w:u w:val="single"/>
        </w:rPr>
        <w:t xml:space="preserve">                          </w:t>
      </w:r>
    </w:p>
    <w:tbl>
      <w:tblPr>
        <w:tblStyle w:val="88"/>
        <w:tblW w:w="8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516"/>
        <w:gridCol w:w="1107"/>
        <w:gridCol w:w="1244"/>
        <w:gridCol w:w="2051"/>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top"/>
          </w:tcPr>
          <w:p>
            <w:pPr>
              <w:spacing w:line="500" w:lineRule="exact"/>
              <w:jc w:val="center"/>
              <w:rPr>
                <w:rFonts w:ascii="宋体" w:hAnsi="宋体"/>
                <w:color w:val="auto"/>
                <w:sz w:val="24"/>
                <w:highlight w:val="none"/>
              </w:rPr>
            </w:pPr>
            <w:r>
              <w:rPr>
                <w:rFonts w:hint="eastAsia" w:ascii="宋体" w:hAnsi="宋体"/>
                <w:color w:val="auto"/>
                <w:sz w:val="24"/>
                <w:highlight w:val="none"/>
              </w:rPr>
              <w:t>序号</w:t>
            </w:r>
          </w:p>
        </w:tc>
        <w:tc>
          <w:tcPr>
            <w:tcW w:w="1516" w:type="dxa"/>
            <w:vAlign w:val="top"/>
          </w:tcPr>
          <w:p>
            <w:pPr>
              <w:spacing w:line="500" w:lineRule="exact"/>
              <w:jc w:val="center"/>
              <w:rPr>
                <w:rFonts w:ascii="宋体" w:hAnsi="宋体"/>
                <w:color w:val="auto"/>
                <w:sz w:val="24"/>
                <w:highlight w:val="none"/>
              </w:rPr>
            </w:pPr>
            <w:r>
              <w:rPr>
                <w:rFonts w:hint="eastAsia" w:ascii="宋体" w:hAnsi="宋体"/>
                <w:color w:val="auto"/>
                <w:sz w:val="24"/>
                <w:highlight w:val="none"/>
              </w:rPr>
              <w:t>姓名</w:t>
            </w:r>
          </w:p>
        </w:tc>
        <w:tc>
          <w:tcPr>
            <w:tcW w:w="1107" w:type="dxa"/>
            <w:vAlign w:val="top"/>
          </w:tcPr>
          <w:p>
            <w:pPr>
              <w:spacing w:line="500" w:lineRule="exact"/>
              <w:jc w:val="center"/>
              <w:rPr>
                <w:rFonts w:ascii="宋体" w:hAnsi="宋体"/>
                <w:color w:val="auto"/>
                <w:sz w:val="24"/>
                <w:highlight w:val="none"/>
              </w:rPr>
            </w:pPr>
            <w:r>
              <w:rPr>
                <w:rFonts w:hint="eastAsia" w:ascii="宋体" w:hAnsi="宋体"/>
                <w:color w:val="auto"/>
                <w:sz w:val="24"/>
                <w:highlight w:val="none"/>
              </w:rPr>
              <w:t>性别</w:t>
            </w:r>
          </w:p>
        </w:tc>
        <w:tc>
          <w:tcPr>
            <w:tcW w:w="1244" w:type="dxa"/>
            <w:vAlign w:val="top"/>
          </w:tcPr>
          <w:p>
            <w:pPr>
              <w:spacing w:line="500" w:lineRule="exact"/>
              <w:jc w:val="center"/>
              <w:rPr>
                <w:rFonts w:ascii="宋体" w:hAnsi="宋体"/>
                <w:color w:val="auto"/>
                <w:sz w:val="24"/>
                <w:highlight w:val="none"/>
              </w:rPr>
            </w:pPr>
            <w:r>
              <w:rPr>
                <w:rFonts w:hint="eastAsia" w:ascii="宋体" w:hAnsi="宋体"/>
                <w:color w:val="auto"/>
                <w:sz w:val="24"/>
                <w:highlight w:val="none"/>
              </w:rPr>
              <w:t>年龄</w:t>
            </w:r>
          </w:p>
        </w:tc>
        <w:tc>
          <w:tcPr>
            <w:tcW w:w="2051" w:type="dxa"/>
            <w:vAlign w:val="top"/>
          </w:tcPr>
          <w:p>
            <w:pPr>
              <w:spacing w:line="50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是否有健康证</w:t>
            </w:r>
          </w:p>
        </w:tc>
        <w:tc>
          <w:tcPr>
            <w:tcW w:w="2051" w:type="dxa"/>
            <w:vAlign w:val="top"/>
          </w:tcPr>
          <w:p>
            <w:pPr>
              <w:spacing w:line="500" w:lineRule="exact"/>
              <w:jc w:val="center"/>
              <w:rPr>
                <w:rFonts w:ascii="宋体" w:hAnsi="宋体"/>
                <w:color w:val="auto"/>
                <w:sz w:val="24"/>
                <w:highlight w:val="none"/>
              </w:rPr>
            </w:pPr>
            <w:r>
              <w:rPr>
                <w:rFonts w:hint="eastAsia" w:ascii="宋体" w:hAnsi="宋体"/>
                <w:color w:val="auto"/>
                <w:sz w:val="24"/>
                <w:highlight w:val="none"/>
              </w:rPr>
              <w:t>拟在本项目中</w:t>
            </w:r>
          </w:p>
          <w:p>
            <w:pPr>
              <w:spacing w:line="500" w:lineRule="exact"/>
              <w:jc w:val="center"/>
              <w:rPr>
                <w:rFonts w:ascii="宋体" w:hAnsi="宋体"/>
                <w:color w:val="auto"/>
                <w:sz w:val="24"/>
                <w:highlight w:val="none"/>
              </w:rPr>
            </w:pPr>
            <w:r>
              <w:rPr>
                <w:rFonts w:hint="eastAsia" w:ascii="宋体" w:hAnsi="宋体"/>
                <w:color w:val="auto"/>
                <w:sz w:val="24"/>
                <w:highlight w:val="none"/>
              </w:rPr>
              <w:t>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top"/>
          </w:tcPr>
          <w:p>
            <w:pPr>
              <w:spacing w:line="500" w:lineRule="exact"/>
              <w:jc w:val="center"/>
              <w:rPr>
                <w:rFonts w:ascii="宋体" w:hAnsi="宋体"/>
                <w:color w:val="auto"/>
                <w:sz w:val="24"/>
                <w:highlight w:val="none"/>
              </w:rPr>
            </w:pPr>
          </w:p>
        </w:tc>
        <w:tc>
          <w:tcPr>
            <w:tcW w:w="1516" w:type="dxa"/>
            <w:vAlign w:val="top"/>
          </w:tcPr>
          <w:p>
            <w:pPr>
              <w:spacing w:line="500" w:lineRule="exact"/>
              <w:jc w:val="center"/>
              <w:rPr>
                <w:rFonts w:ascii="宋体" w:hAnsi="宋体"/>
                <w:color w:val="auto"/>
                <w:sz w:val="24"/>
                <w:highlight w:val="none"/>
              </w:rPr>
            </w:pPr>
          </w:p>
        </w:tc>
        <w:tc>
          <w:tcPr>
            <w:tcW w:w="1107" w:type="dxa"/>
            <w:vAlign w:val="top"/>
          </w:tcPr>
          <w:p>
            <w:pPr>
              <w:spacing w:line="500" w:lineRule="exact"/>
              <w:jc w:val="center"/>
              <w:rPr>
                <w:rFonts w:ascii="宋体" w:hAnsi="宋体"/>
                <w:color w:val="auto"/>
                <w:sz w:val="24"/>
                <w:highlight w:val="none"/>
              </w:rPr>
            </w:pPr>
          </w:p>
        </w:tc>
        <w:tc>
          <w:tcPr>
            <w:tcW w:w="1244" w:type="dxa"/>
            <w:vAlign w:val="top"/>
          </w:tcPr>
          <w:p>
            <w:pPr>
              <w:spacing w:line="500" w:lineRule="exact"/>
              <w:jc w:val="center"/>
              <w:rPr>
                <w:rFonts w:ascii="宋体" w:hAnsi="宋体"/>
                <w:color w:val="auto"/>
                <w:sz w:val="24"/>
                <w:highlight w:val="none"/>
              </w:rPr>
            </w:pPr>
          </w:p>
        </w:tc>
        <w:tc>
          <w:tcPr>
            <w:tcW w:w="2051" w:type="dxa"/>
            <w:vAlign w:val="top"/>
          </w:tcPr>
          <w:p>
            <w:pPr>
              <w:spacing w:line="500" w:lineRule="exact"/>
              <w:jc w:val="center"/>
              <w:rPr>
                <w:rFonts w:ascii="宋体" w:hAnsi="宋体"/>
                <w:color w:val="auto"/>
                <w:sz w:val="24"/>
                <w:highlight w:val="none"/>
              </w:rPr>
            </w:pPr>
          </w:p>
        </w:tc>
        <w:tc>
          <w:tcPr>
            <w:tcW w:w="2051" w:type="dxa"/>
            <w:vAlign w:val="top"/>
          </w:tcPr>
          <w:p>
            <w:pPr>
              <w:spacing w:line="5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top"/>
          </w:tcPr>
          <w:p>
            <w:pPr>
              <w:spacing w:line="500" w:lineRule="exact"/>
              <w:jc w:val="center"/>
              <w:rPr>
                <w:rFonts w:ascii="宋体" w:hAnsi="宋体"/>
                <w:color w:val="auto"/>
                <w:sz w:val="24"/>
                <w:highlight w:val="none"/>
              </w:rPr>
            </w:pPr>
          </w:p>
        </w:tc>
        <w:tc>
          <w:tcPr>
            <w:tcW w:w="1516" w:type="dxa"/>
            <w:vAlign w:val="top"/>
          </w:tcPr>
          <w:p>
            <w:pPr>
              <w:spacing w:line="500" w:lineRule="exact"/>
              <w:jc w:val="center"/>
              <w:rPr>
                <w:rFonts w:ascii="宋体" w:hAnsi="宋体"/>
                <w:color w:val="auto"/>
                <w:sz w:val="24"/>
                <w:highlight w:val="none"/>
              </w:rPr>
            </w:pPr>
          </w:p>
        </w:tc>
        <w:tc>
          <w:tcPr>
            <w:tcW w:w="1107" w:type="dxa"/>
            <w:vAlign w:val="top"/>
          </w:tcPr>
          <w:p>
            <w:pPr>
              <w:spacing w:line="500" w:lineRule="exact"/>
              <w:jc w:val="center"/>
              <w:rPr>
                <w:rFonts w:ascii="宋体" w:hAnsi="宋体"/>
                <w:color w:val="auto"/>
                <w:sz w:val="24"/>
                <w:highlight w:val="none"/>
              </w:rPr>
            </w:pPr>
          </w:p>
        </w:tc>
        <w:tc>
          <w:tcPr>
            <w:tcW w:w="1244" w:type="dxa"/>
            <w:vAlign w:val="top"/>
          </w:tcPr>
          <w:p>
            <w:pPr>
              <w:spacing w:line="500" w:lineRule="exact"/>
              <w:jc w:val="center"/>
              <w:rPr>
                <w:rFonts w:ascii="宋体" w:hAnsi="宋体"/>
                <w:color w:val="auto"/>
                <w:sz w:val="24"/>
                <w:highlight w:val="none"/>
              </w:rPr>
            </w:pPr>
          </w:p>
        </w:tc>
        <w:tc>
          <w:tcPr>
            <w:tcW w:w="2051" w:type="dxa"/>
            <w:vAlign w:val="top"/>
          </w:tcPr>
          <w:p>
            <w:pPr>
              <w:spacing w:line="500" w:lineRule="exact"/>
              <w:jc w:val="center"/>
              <w:rPr>
                <w:rFonts w:ascii="宋体" w:hAnsi="宋体"/>
                <w:color w:val="auto"/>
                <w:sz w:val="24"/>
                <w:highlight w:val="none"/>
              </w:rPr>
            </w:pPr>
          </w:p>
        </w:tc>
        <w:tc>
          <w:tcPr>
            <w:tcW w:w="2051" w:type="dxa"/>
            <w:vAlign w:val="top"/>
          </w:tcPr>
          <w:p>
            <w:pPr>
              <w:spacing w:line="5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top"/>
          </w:tcPr>
          <w:p>
            <w:pPr>
              <w:spacing w:line="500" w:lineRule="exact"/>
              <w:jc w:val="center"/>
              <w:rPr>
                <w:rFonts w:ascii="宋体" w:hAnsi="宋体"/>
                <w:color w:val="auto"/>
                <w:sz w:val="24"/>
                <w:highlight w:val="none"/>
              </w:rPr>
            </w:pPr>
          </w:p>
        </w:tc>
        <w:tc>
          <w:tcPr>
            <w:tcW w:w="1516" w:type="dxa"/>
            <w:vAlign w:val="top"/>
          </w:tcPr>
          <w:p>
            <w:pPr>
              <w:spacing w:line="500" w:lineRule="exact"/>
              <w:jc w:val="center"/>
              <w:rPr>
                <w:rFonts w:ascii="宋体" w:hAnsi="宋体"/>
                <w:color w:val="auto"/>
                <w:sz w:val="24"/>
                <w:highlight w:val="none"/>
              </w:rPr>
            </w:pPr>
          </w:p>
        </w:tc>
        <w:tc>
          <w:tcPr>
            <w:tcW w:w="1107" w:type="dxa"/>
            <w:vAlign w:val="top"/>
          </w:tcPr>
          <w:p>
            <w:pPr>
              <w:spacing w:line="500" w:lineRule="exact"/>
              <w:jc w:val="center"/>
              <w:rPr>
                <w:rFonts w:ascii="宋体" w:hAnsi="宋体"/>
                <w:color w:val="auto"/>
                <w:sz w:val="24"/>
                <w:highlight w:val="none"/>
              </w:rPr>
            </w:pPr>
          </w:p>
        </w:tc>
        <w:tc>
          <w:tcPr>
            <w:tcW w:w="1244" w:type="dxa"/>
            <w:vAlign w:val="top"/>
          </w:tcPr>
          <w:p>
            <w:pPr>
              <w:spacing w:line="500" w:lineRule="exact"/>
              <w:jc w:val="center"/>
              <w:rPr>
                <w:rFonts w:ascii="宋体" w:hAnsi="宋体"/>
                <w:color w:val="auto"/>
                <w:sz w:val="24"/>
                <w:highlight w:val="none"/>
              </w:rPr>
            </w:pPr>
          </w:p>
        </w:tc>
        <w:tc>
          <w:tcPr>
            <w:tcW w:w="2051" w:type="dxa"/>
            <w:vAlign w:val="top"/>
          </w:tcPr>
          <w:p>
            <w:pPr>
              <w:spacing w:line="500" w:lineRule="exact"/>
              <w:jc w:val="center"/>
              <w:rPr>
                <w:rFonts w:ascii="宋体" w:hAnsi="宋体"/>
                <w:color w:val="auto"/>
                <w:sz w:val="24"/>
                <w:highlight w:val="none"/>
              </w:rPr>
            </w:pPr>
          </w:p>
        </w:tc>
        <w:tc>
          <w:tcPr>
            <w:tcW w:w="2051" w:type="dxa"/>
            <w:vAlign w:val="top"/>
          </w:tcPr>
          <w:p>
            <w:pPr>
              <w:spacing w:line="5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top"/>
          </w:tcPr>
          <w:p>
            <w:pPr>
              <w:spacing w:line="500" w:lineRule="exact"/>
              <w:jc w:val="center"/>
              <w:rPr>
                <w:rFonts w:ascii="宋体" w:hAnsi="宋体"/>
                <w:color w:val="auto"/>
                <w:sz w:val="24"/>
                <w:highlight w:val="none"/>
              </w:rPr>
            </w:pPr>
          </w:p>
        </w:tc>
        <w:tc>
          <w:tcPr>
            <w:tcW w:w="1516" w:type="dxa"/>
            <w:vAlign w:val="top"/>
          </w:tcPr>
          <w:p>
            <w:pPr>
              <w:spacing w:line="500" w:lineRule="exact"/>
              <w:jc w:val="center"/>
              <w:rPr>
                <w:rFonts w:ascii="宋体" w:hAnsi="宋体"/>
                <w:color w:val="auto"/>
                <w:sz w:val="24"/>
                <w:highlight w:val="none"/>
              </w:rPr>
            </w:pPr>
          </w:p>
        </w:tc>
        <w:tc>
          <w:tcPr>
            <w:tcW w:w="1107" w:type="dxa"/>
            <w:vAlign w:val="top"/>
          </w:tcPr>
          <w:p>
            <w:pPr>
              <w:spacing w:line="500" w:lineRule="exact"/>
              <w:jc w:val="center"/>
              <w:rPr>
                <w:rFonts w:ascii="宋体" w:hAnsi="宋体"/>
                <w:color w:val="auto"/>
                <w:sz w:val="24"/>
                <w:highlight w:val="none"/>
              </w:rPr>
            </w:pPr>
          </w:p>
        </w:tc>
        <w:tc>
          <w:tcPr>
            <w:tcW w:w="1244" w:type="dxa"/>
            <w:vAlign w:val="top"/>
          </w:tcPr>
          <w:p>
            <w:pPr>
              <w:spacing w:line="500" w:lineRule="exact"/>
              <w:jc w:val="center"/>
              <w:rPr>
                <w:rFonts w:ascii="宋体" w:hAnsi="宋体"/>
                <w:color w:val="auto"/>
                <w:sz w:val="24"/>
                <w:highlight w:val="none"/>
              </w:rPr>
            </w:pPr>
          </w:p>
        </w:tc>
        <w:tc>
          <w:tcPr>
            <w:tcW w:w="2051" w:type="dxa"/>
            <w:vAlign w:val="top"/>
          </w:tcPr>
          <w:p>
            <w:pPr>
              <w:spacing w:line="500" w:lineRule="exact"/>
              <w:jc w:val="center"/>
              <w:rPr>
                <w:rFonts w:ascii="宋体" w:hAnsi="宋体"/>
                <w:color w:val="auto"/>
                <w:sz w:val="24"/>
                <w:highlight w:val="none"/>
              </w:rPr>
            </w:pPr>
          </w:p>
        </w:tc>
        <w:tc>
          <w:tcPr>
            <w:tcW w:w="2051" w:type="dxa"/>
            <w:vAlign w:val="top"/>
          </w:tcPr>
          <w:p>
            <w:pPr>
              <w:spacing w:line="5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top"/>
          </w:tcPr>
          <w:p>
            <w:pPr>
              <w:spacing w:line="500" w:lineRule="exact"/>
              <w:jc w:val="center"/>
              <w:rPr>
                <w:rFonts w:ascii="宋体" w:hAnsi="宋体"/>
                <w:color w:val="auto"/>
                <w:sz w:val="24"/>
                <w:highlight w:val="none"/>
              </w:rPr>
            </w:pPr>
          </w:p>
        </w:tc>
        <w:tc>
          <w:tcPr>
            <w:tcW w:w="1516" w:type="dxa"/>
            <w:vAlign w:val="top"/>
          </w:tcPr>
          <w:p>
            <w:pPr>
              <w:spacing w:line="500" w:lineRule="exact"/>
              <w:jc w:val="center"/>
              <w:rPr>
                <w:rFonts w:ascii="宋体" w:hAnsi="宋体"/>
                <w:color w:val="auto"/>
                <w:sz w:val="24"/>
                <w:highlight w:val="none"/>
              </w:rPr>
            </w:pPr>
          </w:p>
        </w:tc>
        <w:tc>
          <w:tcPr>
            <w:tcW w:w="1107" w:type="dxa"/>
            <w:vAlign w:val="top"/>
          </w:tcPr>
          <w:p>
            <w:pPr>
              <w:spacing w:line="500" w:lineRule="exact"/>
              <w:jc w:val="center"/>
              <w:rPr>
                <w:rFonts w:ascii="宋体" w:hAnsi="宋体"/>
                <w:color w:val="auto"/>
                <w:sz w:val="24"/>
                <w:highlight w:val="none"/>
              </w:rPr>
            </w:pPr>
          </w:p>
        </w:tc>
        <w:tc>
          <w:tcPr>
            <w:tcW w:w="1244" w:type="dxa"/>
            <w:vAlign w:val="top"/>
          </w:tcPr>
          <w:p>
            <w:pPr>
              <w:spacing w:line="500" w:lineRule="exact"/>
              <w:jc w:val="center"/>
              <w:rPr>
                <w:rFonts w:ascii="宋体" w:hAnsi="宋体"/>
                <w:color w:val="auto"/>
                <w:sz w:val="24"/>
                <w:highlight w:val="none"/>
              </w:rPr>
            </w:pPr>
          </w:p>
        </w:tc>
        <w:tc>
          <w:tcPr>
            <w:tcW w:w="2051" w:type="dxa"/>
            <w:vAlign w:val="top"/>
          </w:tcPr>
          <w:p>
            <w:pPr>
              <w:spacing w:line="500" w:lineRule="exact"/>
              <w:jc w:val="center"/>
              <w:rPr>
                <w:rFonts w:ascii="宋体" w:hAnsi="宋体"/>
                <w:color w:val="auto"/>
                <w:sz w:val="24"/>
                <w:highlight w:val="none"/>
              </w:rPr>
            </w:pPr>
          </w:p>
        </w:tc>
        <w:tc>
          <w:tcPr>
            <w:tcW w:w="2051" w:type="dxa"/>
            <w:vAlign w:val="top"/>
          </w:tcPr>
          <w:p>
            <w:pPr>
              <w:spacing w:line="5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top"/>
          </w:tcPr>
          <w:p>
            <w:pPr>
              <w:spacing w:line="500" w:lineRule="exact"/>
              <w:jc w:val="center"/>
              <w:rPr>
                <w:rFonts w:ascii="宋体" w:hAnsi="宋体"/>
                <w:color w:val="auto"/>
                <w:sz w:val="24"/>
                <w:highlight w:val="none"/>
              </w:rPr>
            </w:pPr>
          </w:p>
        </w:tc>
        <w:tc>
          <w:tcPr>
            <w:tcW w:w="1516" w:type="dxa"/>
            <w:vAlign w:val="top"/>
          </w:tcPr>
          <w:p>
            <w:pPr>
              <w:spacing w:line="500" w:lineRule="exact"/>
              <w:jc w:val="center"/>
              <w:rPr>
                <w:rFonts w:ascii="宋体" w:hAnsi="宋体"/>
                <w:color w:val="auto"/>
                <w:sz w:val="24"/>
                <w:highlight w:val="none"/>
              </w:rPr>
            </w:pPr>
          </w:p>
        </w:tc>
        <w:tc>
          <w:tcPr>
            <w:tcW w:w="1107" w:type="dxa"/>
            <w:vAlign w:val="top"/>
          </w:tcPr>
          <w:p>
            <w:pPr>
              <w:spacing w:line="500" w:lineRule="exact"/>
              <w:jc w:val="center"/>
              <w:rPr>
                <w:rFonts w:ascii="宋体" w:hAnsi="宋体"/>
                <w:color w:val="auto"/>
                <w:sz w:val="24"/>
                <w:highlight w:val="none"/>
              </w:rPr>
            </w:pPr>
          </w:p>
        </w:tc>
        <w:tc>
          <w:tcPr>
            <w:tcW w:w="1244" w:type="dxa"/>
            <w:vAlign w:val="top"/>
          </w:tcPr>
          <w:p>
            <w:pPr>
              <w:spacing w:line="500" w:lineRule="exact"/>
              <w:jc w:val="center"/>
              <w:rPr>
                <w:rFonts w:ascii="宋体" w:hAnsi="宋体"/>
                <w:color w:val="auto"/>
                <w:sz w:val="24"/>
                <w:highlight w:val="none"/>
              </w:rPr>
            </w:pPr>
          </w:p>
        </w:tc>
        <w:tc>
          <w:tcPr>
            <w:tcW w:w="2051" w:type="dxa"/>
            <w:vAlign w:val="top"/>
          </w:tcPr>
          <w:p>
            <w:pPr>
              <w:spacing w:line="500" w:lineRule="exact"/>
              <w:jc w:val="center"/>
              <w:rPr>
                <w:rFonts w:ascii="宋体" w:hAnsi="宋体"/>
                <w:color w:val="auto"/>
                <w:sz w:val="24"/>
                <w:highlight w:val="none"/>
              </w:rPr>
            </w:pPr>
          </w:p>
        </w:tc>
        <w:tc>
          <w:tcPr>
            <w:tcW w:w="2051" w:type="dxa"/>
            <w:vAlign w:val="top"/>
          </w:tcPr>
          <w:p>
            <w:pPr>
              <w:spacing w:line="5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top"/>
          </w:tcPr>
          <w:p>
            <w:pPr>
              <w:spacing w:line="500" w:lineRule="exact"/>
              <w:jc w:val="center"/>
              <w:rPr>
                <w:rFonts w:ascii="宋体" w:hAnsi="宋体"/>
                <w:color w:val="auto"/>
                <w:sz w:val="24"/>
                <w:highlight w:val="none"/>
              </w:rPr>
            </w:pPr>
          </w:p>
        </w:tc>
        <w:tc>
          <w:tcPr>
            <w:tcW w:w="1516" w:type="dxa"/>
            <w:vAlign w:val="top"/>
          </w:tcPr>
          <w:p>
            <w:pPr>
              <w:spacing w:line="500" w:lineRule="exact"/>
              <w:jc w:val="center"/>
              <w:rPr>
                <w:rFonts w:ascii="宋体" w:hAnsi="宋体"/>
                <w:color w:val="auto"/>
                <w:sz w:val="24"/>
                <w:highlight w:val="none"/>
              </w:rPr>
            </w:pPr>
          </w:p>
        </w:tc>
        <w:tc>
          <w:tcPr>
            <w:tcW w:w="1107" w:type="dxa"/>
            <w:vAlign w:val="top"/>
          </w:tcPr>
          <w:p>
            <w:pPr>
              <w:spacing w:line="500" w:lineRule="exact"/>
              <w:jc w:val="center"/>
              <w:rPr>
                <w:rFonts w:ascii="宋体" w:hAnsi="宋体"/>
                <w:color w:val="auto"/>
                <w:sz w:val="24"/>
                <w:highlight w:val="none"/>
              </w:rPr>
            </w:pPr>
          </w:p>
        </w:tc>
        <w:tc>
          <w:tcPr>
            <w:tcW w:w="1244" w:type="dxa"/>
            <w:vAlign w:val="top"/>
          </w:tcPr>
          <w:p>
            <w:pPr>
              <w:spacing w:line="500" w:lineRule="exact"/>
              <w:jc w:val="center"/>
              <w:rPr>
                <w:rFonts w:ascii="宋体" w:hAnsi="宋体"/>
                <w:color w:val="auto"/>
                <w:sz w:val="24"/>
                <w:highlight w:val="none"/>
              </w:rPr>
            </w:pPr>
          </w:p>
        </w:tc>
        <w:tc>
          <w:tcPr>
            <w:tcW w:w="2051" w:type="dxa"/>
            <w:vAlign w:val="top"/>
          </w:tcPr>
          <w:p>
            <w:pPr>
              <w:spacing w:line="500" w:lineRule="exact"/>
              <w:jc w:val="center"/>
              <w:rPr>
                <w:rFonts w:ascii="宋体" w:hAnsi="宋体"/>
                <w:color w:val="auto"/>
                <w:sz w:val="24"/>
                <w:highlight w:val="none"/>
              </w:rPr>
            </w:pPr>
          </w:p>
        </w:tc>
        <w:tc>
          <w:tcPr>
            <w:tcW w:w="2051" w:type="dxa"/>
            <w:vAlign w:val="top"/>
          </w:tcPr>
          <w:p>
            <w:pPr>
              <w:spacing w:line="5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top"/>
          </w:tcPr>
          <w:p>
            <w:pPr>
              <w:spacing w:line="500" w:lineRule="exact"/>
              <w:jc w:val="center"/>
              <w:rPr>
                <w:rFonts w:ascii="宋体" w:hAnsi="宋体"/>
                <w:color w:val="auto"/>
                <w:sz w:val="24"/>
                <w:highlight w:val="none"/>
              </w:rPr>
            </w:pPr>
          </w:p>
        </w:tc>
        <w:tc>
          <w:tcPr>
            <w:tcW w:w="1516" w:type="dxa"/>
            <w:vAlign w:val="top"/>
          </w:tcPr>
          <w:p>
            <w:pPr>
              <w:spacing w:line="500" w:lineRule="exact"/>
              <w:jc w:val="center"/>
              <w:rPr>
                <w:rFonts w:ascii="宋体" w:hAnsi="宋体"/>
                <w:color w:val="auto"/>
                <w:sz w:val="24"/>
                <w:highlight w:val="none"/>
              </w:rPr>
            </w:pPr>
          </w:p>
        </w:tc>
        <w:tc>
          <w:tcPr>
            <w:tcW w:w="1107" w:type="dxa"/>
            <w:vAlign w:val="top"/>
          </w:tcPr>
          <w:p>
            <w:pPr>
              <w:spacing w:line="500" w:lineRule="exact"/>
              <w:jc w:val="center"/>
              <w:rPr>
                <w:rFonts w:ascii="宋体" w:hAnsi="宋体"/>
                <w:color w:val="auto"/>
                <w:sz w:val="24"/>
                <w:highlight w:val="none"/>
              </w:rPr>
            </w:pPr>
          </w:p>
        </w:tc>
        <w:tc>
          <w:tcPr>
            <w:tcW w:w="1244" w:type="dxa"/>
            <w:vAlign w:val="top"/>
          </w:tcPr>
          <w:p>
            <w:pPr>
              <w:spacing w:line="500" w:lineRule="exact"/>
              <w:jc w:val="center"/>
              <w:rPr>
                <w:rFonts w:ascii="宋体" w:hAnsi="宋体"/>
                <w:color w:val="auto"/>
                <w:sz w:val="24"/>
                <w:highlight w:val="none"/>
              </w:rPr>
            </w:pPr>
          </w:p>
        </w:tc>
        <w:tc>
          <w:tcPr>
            <w:tcW w:w="2051" w:type="dxa"/>
            <w:vAlign w:val="top"/>
          </w:tcPr>
          <w:p>
            <w:pPr>
              <w:spacing w:line="500" w:lineRule="exact"/>
              <w:jc w:val="center"/>
              <w:rPr>
                <w:rFonts w:ascii="宋体" w:hAnsi="宋体"/>
                <w:color w:val="auto"/>
                <w:sz w:val="24"/>
                <w:highlight w:val="none"/>
              </w:rPr>
            </w:pPr>
          </w:p>
        </w:tc>
        <w:tc>
          <w:tcPr>
            <w:tcW w:w="2051" w:type="dxa"/>
            <w:vAlign w:val="top"/>
          </w:tcPr>
          <w:p>
            <w:pPr>
              <w:spacing w:line="5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top"/>
          </w:tcPr>
          <w:p>
            <w:pPr>
              <w:spacing w:line="500" w:lineRule="exact"/>
              <w:jc w:val="center"/>
              <w:rPr>
                <w:rFonts w:ascii="宋体" w:hAnsi="宋体"/>
                <w:color w:val="auto"/>
                <w:sz w:val="24"/>
                <w:highlight w:val="none"/>
              </w:rPr>
            </w:pPr>
          </w:p>
        </w:tc>
        <w:tc>
          <w:tcPr>
            <w:tcW w:w="1516" w:type="dxa"/>
            <w:vAlign w:val="top"/>
          </w:tcPr>
          <w:p>
            <w:pPr>
              <w:spacing w:line="500" w:lineRule="exact"/>
              <w:jc w:val="center"/>
              <w:rPr>
                <w:rFonts w:ascii="宋体" w:hAnsi="宋体"/>
                <w:color w:val="auto"/>
                <w:sz w:val="24"/>
                <w:highlight w:val="none"/>
              </w:rPr>
            </w:pPr>
          </w:p>
        </w:tc>
        <w:tc>
          <w:tcPr>
            <w:tcW w:w="1107" w:type="dxa"/>
            <w:vAlign w:val="top"/>
          </w:tcPr>
          <w:p>
            <w:pPr>
              <w:spacing w:line="500" w:lineRule="exact"/>
              <w:jc w:val="center"/>
              <w:rPr>
                <w:rFonts w:ascii="宋体" w:hAnsi="宋体"/>
                <w:color w:val="auto"/>
                <w:sz w:val="24"/>
                <w:highlight w:val="none"/>
              </w:rPr>
            </w:pPr>
          </w:p>
        </w:tc>
        <w:tc>
          <w:tcPr>
            <w:tcW w:w="1244" w:type="dxa"/>
            <w:vAlign w:val="top"/>
          </w:tcPr>
          <w:p>
            <w:pPr>
              <w:spacing w:line="500" w:lineRule="exact"/>
              <w:jc w:val="center"/>
              <w:rPr>
                <w:rFonts w:ascii="宋体" w:hAnsi="宋体"/>
                <w:color w:val="auto"/>
                <w:sz w:val="24"/>
                <w:highlight w:val="none"/>
              </w:rPr>
            </w:pPr>
          </w:p>
        </w:tc>
        <w:tc>
          <w:tcPr>
            <w:tcW w:w="2051" w:type="dxa"/>
            <w:vAlign w:val="top"/>
          </w:tcPr>
          <w:p>
            <w:pPr>
              <w:spacing w:line="500" w:lineRule="exact"/>
              <w:jc w:val="center"/>
              <w:rPr>
                <w:rFonts w:ascii="宋体" w:hAnsi="宋体"/>
                <w:color w:val="auto"/>
                <w:sz w:val="24"/>
                <w:highlight w:val="none"/>
              </w:rPr>
            </w:pPr>
          </w:p>
        </w:tc>
        <w:tc>
          <w:tcPr>
            <w:tcW w:w="2051" w:type="dxa"/>
            <w:vAlign w:val="top"/>
          </w:tcPr>
          <w:p>
            <w:pPr>
              <w:spacing w:line="500" w:lineRule="exact"/>
              <w:jc w:val="center"/>
              <w:rPr>
                <w:rFonts w:ascii="宋体" w:hAnsi="宋体"/>
                <w:color w:val="auto"/>
                <w:sz w:val="24"/>
                <w:highlight w:val="none"/>
              </w:rPr>
            </w:pPr>
          </w:p>
        </w:tc>
      </w:tr>
    </w:tbl>
    <w:p>
      <w:pPr>
        <w:spacing w:line="480" w:lineRule="auto"/>
        <w:rPr>
          <w:rFonts w:ascii="宋体"/>
          <w:color w:val="auto"/>
          <w:sz w:val="24"/>
          <w:highlight w:val="none"/>
        </w:rPr>
      </w:pPr>
      <w:r>
        <w:rPr>
          <w:rFonts w:hint="eastAsia" w:ascii="宋体"/>
          <w:color w:val="auto"/>
          <w:sz w:val="24"/>
          <w:highlight w:val="none"/>
        </w:rPr>
        <w:t>注：后附证明材料（包括但不限于职称、学历、社保</w:t>
      </w:r>
      <w:r>
        <w:rPr>
          <w:rFonts w:hint="eastAsia" w:ascii="宋体"/>
          <w:color w:val="auto"/>
          <w:sz w:val="24"/>
          <w:highlight w:val="none"/>
          <w:lang w:eastAsia="zh-CN"/>
        </w:rPr>
        <w:t>、</w:t>
      </w:r>
      <w:r>
        <w:rPr>
          <w:rFonts w:hint="eastAsia" w:ascii="宋体"/>
          <w:color w:val="auto"/>
          <w:sz w:val="24"/>
          <w:highlight w:val="none"/>
          <w:lang w:val="en-US" w:eastAsia="zh-CN"/>
        </w:rPr>
        <w:t>健康证</w:t>
      </w:r>
      <w:r>
        <w:rPr>
          <w:rFonts w:hint="eastAsia" w:ascii="宋体"/>
          <w:color w:val="auto"/>
          <w:sz w:val="24"/>
          <w:highlight w:val="none"/>
        </w:rPr>
        <w:t>等）。</w:t>
      </w:r>
    </w:p>
    <w:p>
      <w:pPr>
        <w:pStyle w:val="80"/>
        <w:rPr>
          <w:color w:val="auto"/>
          <w:highlight w:val="none"/>
        </w:rPr>
      </w:pPr>
    </w:p>
    <w:p>
      <w:pPr>
        <w:pStyle w:val="67"/>
        <w:rPr>
          <w:color w:val="auto"/>
          <w:highlight w:val="none"/>
        </w:rPr>
      </w:pPr>
    </w:p>
    <w:p>
      <w:pPr>
        <w:pStyle w:val="38"/>
        <w:spacing w:line="480" w:lineRule="auto"/>
        <w:ind w:firstLine="5280" w:firstLineChars="2200"/>
        <w:rPr>
          <w:rFonts w:hAnsi="宋体"/>
          <w:color w:val="auto"/>
          <w:sz w:val="24"/>
          <w:szCs w:val="24"/>
          <w:highlight w:val="none"/>
        </w:rPr>
      </w:pPr>
      <w:r>
        <w:rPr>
          <w:rFonts w:hAnsi="宋体"/>
          <w:color w:val="auto"/>
          <w:sz w:val="24"/>
          <w:szCs w:val="24"/>
          <w:highlight w:val="none"/>
        </w:rPr>
        <w:t>投标人</w:t>
      </w:r>
      <w:r>
        <w:rPr>
          <w:rFonts w:hint="eastAsia" w:hAnsi="宋体"/>
          <w:color w:val="auto"/>
          <w:sz w:val="24"/>
          <w:szCs w:val="24"/>
          <w:highlight w:val="none"/>
        </w:rPr>
        <w:t>名称（盖章）</w:t>
      </w:r>
      <w:r>
        <w:rPr>
          <w:rFonts w:hAnsi="宋体"/>
          <w:color w:val="auto"/>
          <w:sz w:val="24"/>
          <w:szCs w:val="24"/>
          <w:highlight w:val="none"/>
        </w:rPr>
        <w:t>：</w:t>
      </w:r>
    </w:p>
    <w:p>
      <w:pPr>
        <w:pStyle w:val="38"/>
        <w:spacing w:line="480" w:lineRule="auto"/>
        <w:ind w:firstLine="5280" w:firstLineChars="2200"/>
        <w:rPr>
          <w:rFonts w:hAnsi="宋体"/>
          <w:color w:val="auto"/>
          <w:sz w:val="24"/>
          <w:szCs w:val="24"/>
          <w:highlight w:val="none"/>
          <w:u w:val="single"/>
        </w:rPr>
      </w:pPr>
      <w:r>
        <w:rPr>
          <w:rFonts w:hint="eastAsia" w:hAnsi="宋体"/>
          <w:color w:val="auto"/>
          <w:sz w:val="24"/>
          <w:szCs w:val="24"/>
          <w:highlight w:val="none"/>
        </w:rPr>
        <w:t>委托代理人</w:t>
      </w:r>
      <w:r>
        <w:rPr>
          <w:rFonts w:hAnsi="宋体"/>
          <w:color w:val="auto"/>
          <w:sz w:val="24"/>
          <w:szCs w:val="24"/>
          <w:highlight w:val="none"/>
        </w:rPr>
        <w:t>（签字）：</w:t>
      </w:r>
    </w:p>
    <w:p>
      <w:pPr>
        <w:widowControl/>
        <w:spacing w:line="480" w:lineRule="auto"/>
        <w:ind w:firstLine="5280" w:firstLineChars="2200"/>
        <w:jc w:val="left"/>
        <w:rPr>
          <w:rFonts w:ascii="宋体" w:cs="宋体"/>
          <w:color w:val="auto"/>
          <w:spacing w:val="-2"/>
          <w:kern w:val="0"/>
          <w:sz w:val="24"/>
          <w:highlight w:val="none"/>
        </w:rPr>
      </w:pPr>
      <w:r>
        <w:rPr>
          <w:rFonts w:hAnsi="宋体"/>
          <w:color w:val="auto"/>
          <w:sz w:val="24"/>
          <w:highlight w:val="none"/>
        </w:rPr>
        <w:t>日</w:t>
      </w:r>
      <w:r>
        <w:rPr>
          <w:rFonts w:hint="eastAsia" w:hAnsi="宋体"/>
          <w:color w:val="auto"/>
          <w:sz w:val="24"/>
          <w:highlight w:val="none"/>
        </w:rPr>
        <w:t xml:space="preserve">  </w:t>
      </w:r>
      <w:r>
        <w:rPr>
          <w:rFonts w:hAnsi="宋体"/>
          <w:color w:val="auto"/>
          <w:sz w:val="24"/>
          <w:highlight w:val="none"/>
        </w:rPr>
        <w:t>期：</w:t>
      </w:r>
      <w:r>
        <w:rPr>
          <w:rFonts w:hint="eastAsia" w:hAnsi="宋体"/>
          <w:color w:val="auto"/>
          <w:sz w:val="24"/>
          <w:highlight w:val="none"/>
        </w:rPr>
        <w:t xml:space="preserve">   </w:t>
      </w:r>
      <w:r>
        <w:rPr>
          <w:rFonts w:hAnsi="宋体"/>
          <w:color w:val="auto"/>
          <w:sz w:val="24"/>
          <w:highlight w:val="none"/>
        </w:rPr>
        <w:t>年</w:t>
      </w:r>
      <w:r>
        <w:rPr>
          <w:rFonts w:hint="eastAsia" w:hAnsi="宋体"/>
          <w:color w:val="auto"/>
          <w:sz w:val="24"/>
          <w:highlight w:val="none"/>
        </w:rPr>
        <w:t xml:space="preserve">  </w:t>
      </w:r>
      <w:r>
        <w:rPr>
          <w:rFonts w:hAnsi="宋体"/>
          <w:color w:val="auto"/>
          <w:sz w:val="24"/>
          <w:highlight w:val="none"/>
        </w:rPr>
        <w:t>月</w:t>
      </w:r>
      <w:r>
        <w:rPr>
          <w:rFonts w:hint="eastAsia" w:hAnsi="宋体"/>
          <w:color w:val="auto"/>
          <w:sz w:val="24"/>
          <w:highlight w:val="none"/>
        </w:rPr>
        <w:t xml:space="preserve">  </w:t>
      </w:r>
      <w:r>
        <w:rPr>
          <w:rFonts w:hAnsi="宋体"/>
          <w:color w:val="auto"/>
          <w:sz w:val="24"/>
          <w:highlight w:val="none"/>
        </w:rPr>
        <w:t>日</w:t>
      </w:r>
    </w:p>
    <w:p>
      <w:pPr>
        <w:spacing w:line="480" w:lineRule="auto"/>
        <w:rPr>
          <w:rFonts w:ascii="宋体"/>
          <w:b/>
          <w:color w:val="auto"/>
          <w:sz w:val="24"/>
          <w:highlight w:val="none"/>
        </w:rPr>
      </w:pPr>
    </w:p>
    <w:p>
      <w:pPr>
        <w:spacing w:line="360" w:lineRule="auto"/>
        <w:jc w:val="center"/>
        <w:rPr>
          <w:rFonts w:ascii="宋体"/>
          <w:b/>
          <w:color w:val="auto"/>
          <w:sz w:val="30"/>
          <w:szCs w:val="30"/>
          <w:highlight w:val="none"/>
        </w:rPr>
      </w:pPr>
    </w:p>
    <w:p>
      <w:pPr>
        <w:spacing w:line="360" w:lineRule="auto"/>
        <w:jc w:val="center"/>
        <w:rPr>
          <w:rFonts w:ascii="宋体"/>
          <w:b/>
          <w:color w:val="auto"/>
          <w:sz w:val="30"/>
          <w:szCs w:val="30"/>
          <w:highlight w:val="none"/>
        </w:rPr>
      </w:pPr>
    </w:p>
    <w:p>
      <w:pPr>
        <w:pStyle w:val="37"/>
        <w:ind w:left="1022" w:hanging="602"/>
        <w:rPr>
          <w:rFonts w:ascii="宋体"/>
          <w:b/>
          <w:color w:val="auto"/>
          <w:sz w:val="30"/>
          <w:szCs w:val="30"/>
          <w:highlight w:val="none"/>
        </w:rPr>
      </w:pPr>
    </w:p>
    <w:p>
      <w:pPr>
        <w:pStyle w:val="38"/>
        <w:rPr>
          <w:b/>
          <w:color w:val="auto"/>
          <w:sz w:val="30"/>
          <w:szCs w:val="30"/>
          <w:highlight w:val="none"/>
        </w:rPr>
      </w:pPr>
    </w:p>
    <w:p>
      <w:pPr>
        <w:spacing w:line="360" w:lineRule="auto"/>
        <w:ind w:firstLine="300" w:firstLineChars="100"/>
        <w:outlineLvl w:val="0"/>
        <w:rPr>
          <w:rFonts w:ascii="宋体"/>
          <w:b/>
          <w:color w:val="auto"/>
          <w:sz w:val="30"/>
          <w:szCs w:val="30"/>
          <w:highlight w:val="none"/>
        </w:rPr>
      </w:pPr>
      <w:r>
        <w:rPr>
          <w:rFonts w:hint="eastAsia" w:ascii="宋体"/>
          <w:b/>
          <w:color w:val="auto"/>
          <w:sz w:val="30"/>
          <w:szCs w:val="30"/>
          <w:highlight w:val="none"/>
        </w:rPr>
        <w:t>附表十二：</w:t>
      </w:r>
    </w:p>
    <w:p>
      <w:pPr>
        <w:spacing w:line="360" w:lineRule="auto"/>
        <w:jc w:val="center"/>
        <w:rPr>
          <w:rFonts w:ascii="宋体"/>
          <w:b/>
          <w:color w:val="auto"/>
          <w:sz w:val="30"/>
          <w:szCs w:val="30"/>
          <w:highlight w:val="none"/>
        </w:rPr>
      </w:pPr>
      <w:r>
        <w:rPr>
          <w:rFonts w:hint="eastAsia" w:ascii="宋体"/>
          <w:b/>
          <w:color w:val="auto"/>
          <w:sz w:val="30"/>
          <w:szCs w:val="30"/>
          <w:highlight w:val="none"/>
        </w:rPr>
        <w:t>技术（服务）偏离表</w:t>
      </w:r>
    </w:p>
    <w:p>
      <w:pPr>
        <w:spacing w:line="360" w:lineRule="auto"/>
        <w:rPr>
          <w:rFonts w:ascii="宋体"/>
          <w:color w:val="auto"/>
          <w:sz w:val="24"/>
          <w:highlight w:val="none"/>
        </w:rPr>
      </w:pPr>
    </w:p>
    <w:p>
      <w:pPr>
        <w:spacing w:line="360" w:lineRule="auto"/>
        <w:ind w:firstLine="240" w:firstLineChars="100"/>
        <w:rPr>
          <w:rFonts w:ascii="宋体"/>
          <w:color w:val="auto"/>
          <w:sz w:val="24"/>
          <w:highlight w:val="none"/>
          <w:u w:val="single"/>
        </w:rPr>
      </w:pPr>
      <w:r>
        <w:rPr>
          <w:rFonts w:hint="eastAsia" w:ascii="宋体"/>
          <w:color w:val="auto"/>
          <w:sz w:val="24"/>
          <w:highlight w:val="none"/>
        </w:rPr>
        <w:t>项目名称：                                             项目编号：</w:t>
      </w:r>
      <w:r>
        <w:rPr>
          <w:rFonts w:hint="eastAsia" w:ascii="宋体"/>
          <w:color w:val="auto"/>
          <w:sz w:val="24"/>
          <w:highlight w:val="none"/>
          <w:u w:val="single"/>
        </w:rPr>
        <w:t xml:space="preserve">                        </w:t>
      </w:r>
    </w:p>
    <w:tbl>
      <w:tblPr>
        <w:tblStyle w:val="88"/>
        <w:tblW w:w="4998" w:type="pct"/>
        <w:tblInd w:w="0" w:type="dxa"/>
        <w:tblLayout w:type="autofit"/>
        <w:tblCellMar>
          <w:top w:w="0" w:type="dxa"/>
          <w:left w:w="108" w:type="dxa"/>
          <w:bottom w:w="0" w:type="dxa"/>
          <w:right w:w="108" w:type="dxa"/>
        </w:tblCellMar>
      </w:tblPr>
      <w:tblGrid>
        <w:gridCol w:w="695"/>
        <w:gridCol w:w="2309"/>
        <w:gridCol w:w="2042"/>
        <w:gridCol w:w="2096"/>
        <w:gridCol w:w="2096"/>
      </w:tblGrid>
      <w:tr>
        <w:tblPrEx>
          <w:tblCellMar>
            <w:top w:w="0" w:type="dxa"/>
            <w:left w:w="108" w:type="dxa"/>
            <w:bottom w:w="0" w:type="dxa"/>
            <w:right w:w="108" w:type="dxa"/>
          </w:tblCellMar>
        </w:tblPrEx>
        <w:trPr>
          <w:trHeight w:val="747" w:hRule="atLeast"/>
        </w:trPr>
        <w:tc>
          <w:tcPr>
            <w:tcW w:w="3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序号</w:t>
            </w: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招标要求</w:t>
            </w:r>
          </w:p>
        </w:tc>
        <w:tc>
          <w:tcPr>
            <w:tcW w:w="11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投标响应</w:t>
            </w:r>
          </w:p>
        </w:tc>
        <w:tc>
          <w:tcPr>
            <w:tcW w:w="11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响应/偏离</w:t>
            </w:r>
          </w:p>
        </w:tc>
        <w:tc>
          <w:tcPr>
            <w:tcW w:w="11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color w:val="auto"/>
                <w:sz w:val="24"/>
                <w:highlight w:val="none"/>
              </w:rPr>
              <w:t>说明</w:t>
            </w:r>
          </w:p>
        </w:tc>
      </w:tr>
      <w:tr>
        <w:tblPrEx>
          <w:tblCellMar>
            <w:top w:w="0" w:type="dxa"/>
            <w:left w:w="108" w:type="dxa"/>
            <w:bottom w:w="0" w:type="dxa"/>
            <w:right w:w="108" w:type="dxa"/>
          </w:tblCellMar>
        </w:tblPrEx>
        <w:trPr>
          <w:trHeight w:val="373" w:hRule="atLeast"/>
        </w:trPr>
        <w:tc>
          <w:tcPr>
            <w:tcW w:w="376"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4"/>
                <w:highlight w:val="none"/>
              </w:rPr>
            </w:pPr>
            <w:r>
              <w:rPr>
                <w:rFonts w:hint="eastAsia" w:ascii="宋体"/>
                <w:color w:val="auto"/>
                <w:sz w:val="24"/>
                <w:highlight w:val="none"/>
              </w:rPr>
              <w:t>1</w:t>
            </w:r>
          </w:p>
        </w:tc>
        <w:tc>
          <w:tcPr>
            <w:tcW w:w="1249" w:type="pct"/>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highlight w:val="none"/>
              </w:rPr>
            </w:pPr>
          </w:p>
        </w:tc>
        <w:tc>
          <w:tcPr>
            <w:tcW w:w="1105" w:type="pct"/>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highlight w:val="none"/>
              </w:rPr>
            </w:pPr>
          </w:p>
        </w:tc>
        <w:tc>
          <w:tcPr>
            <w:tcW w:w="1134" w:type="pct"/>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highlight w:val="none"/>
              </w:rPr>
            </w:pPr>
          </w:p>
        </w:tc>
        <w:tc>
          <w:tcPr>
            <w:tcW w:w="1134" w:type="pct"/>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highlight w:val="none"/>
              </w:rPr>
            </w:pPr>
          </w:p>
        </w:tc>
      </w:tr>
      <w:tr>
        <w:tblPrEx>
          <w:tblCellMar>
            <w:top w:w="0" w:type="dxa"/>
            <w:left w:w="108" w:type="dxa"/>
            <w:bottom w:w="0" w:type="dxa"/>
            <w:right w:w="108" w:type="dxa"/>
          </w:tblCellMar>
        </w:tblPrEx>
        <w:trPr>
          <w:trHeight w:val="353" w:hRule="atLeast"/>
        </w:trPr>
        <w:tc>
          <w:tcPr>
            <w:tcW w:w="376"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4"/>
                <w:highlight w:val="none"/>
              </w:rPr>
            </w:pPr>
            <w:r>
              <w:rPr>
                <w:rFonts w:hint="eastAsia" w:ascii="宋体"/>
                <w:color w:val="auto"/>
                <w:sz w:val="24"/>
                <w:highlight w:val="none"/>
              </w:rPr>
              <w:t>2</w:t>
            </w:r>
          </w:p>
        </w:tc>
        <w:tc>
          <w:tcPr>
            <w:tcW w:w="1249" w:type="pct"/>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highlight w:val="none"/>
              </w:rPr>
            </w:pPr>
          </w:p>
        </w:tc>
        <w:tc>
          <w:tcPr>
            <w:tcW w:w="1105" w:type="pct"/>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highlight w:val="none"/>
              </w:rPr>
            </w:pPr>
          </w:p>
        </w:tc>
        <w:tc>
          <w:tcPr>
            <w:tcW w:w="1134" w:type="pct"/>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highlight w:val="none"/>
              </w:rPr>
            </w:pPr>
          </w:p>
        </w:tc>
        <w:tc>
          <w:tcPr>
            <w:tcW w:w="1134" w:type="pct"/>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highlight w:val="none"/>
              </w:rPr>
            </w:pPr>
          </w:p>
        </w:tc>
      </w:tr>
      <w:tr>
        <w:tblPrEx>
          <w:tblCellMar>
            <w:top w:w="0" w:type="dxa"/>
            <w:left w:w="108" w:type="dxa"/>
            <w:bottom w:w="0" w:type="dxa"/>
            <w:right w:w="108" w:type="dxa"/>
          </w:tblCellMar>
        </w:tblPrEx>
        <w:trPr>
          <w:trHeight w:val="373" w:hRule="atLeast"/>
        </w:trPr>
        <w:tc>
          <w:tcPr>
            <w:tcW w:w="376"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4"/>
                <w:highlight w:val="none"/>
              </w:rPr>
            </w:pPr>
            <w:r>
              <w:rPr>
                <w:rFonts w:hint="eastAsia" w:ascii="宋体"/>
                <w:color w:val="auto"/>
                <w:sz w:val="24"/>
                <w:highlight w:val="none"/>
              </w:rPr>
              <w:t>3</w:t>
            </w:r>
          </w:p>
        </w:tc>
        <w:tc>
          <w:tcPr>
            <w:tcW w:w="1249" w:type="pct"/>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highlight w:val="none"/>
              </w:rPr>
            </w:pPr>
          </w:p>
        </w:tc>
        <w:tc>
          <w:tcPr>
            <w:tcW w:w="1105" w:type="pct"/>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highlight w:val="none"/>
              </w:rPr>
            </w:pPr>
          </w:p>
        </w:tc>
        <w:tc>
          <w:tcPr>
            <w:tcW w:w="1134" w:type="pct"/>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highlight w:val="none"/>
              </w:rPr>
            </w:pPr>
          </w:p>
        </w:tc>
        <w:tc>
          <w:tcPr>
            <w:tcW w:w="1134" w:type="pct"/>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highlight w:val="none"/>
              </w:rPr>
            </w:pPr>
          </w:p>
        </w:tc>
      </w:tr>
      <w:tr>
        <w:tblPrEx>
          <w:tblCellMar>
            <w:top w:w="0" w:type="dxa"/>
            <w:left w:w="108" w:type="dxa"/>
            <w:bottom w:w="0" w:type="dxa"/>
            <w:right w:w="108" w:type="dxa"/>
          </w:tblCellMar>
        </w:tblPrEx>
        <w:trPr>
          <w:trHeight w:val="373" w:hRule="atLeast"/>
        </w:trPr>
        <w:tc>
          <w:tcPr>
            <w:tcW w:w="376"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4"/>
                <w:highlight w:val="none"/>
              </w:rPr>
            </w:pPr>
            <w:r>
              <w:rPr>
                <w:rFonts w:hint="eastAsia" w:ascii="宋体"/>
                <w:color w:val="auto"/>
                <w:sz w:val="24"/>
                <w:highlight w:val="none"/>
              </w:rPr>
              <w:t>…</w:t>
            </w:r>
          </w:p>
        </w:tc>
        <w:tc>
          <w:tcPr>
            <w:tcW w:w="1249" w:type="pct"/>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highlight w:val="none"/>
              </w:rPr>
            </w:pPr>
          </w:p>
        </w:tc>
        <w:tc>
          <w:tcPr>
            <w:tcW w:w="1105" w:type="pct"/>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highlight w:val="none"/>
              </w:rPr>
            </w:pPr>
          </w:p>
        </w:tc>
        <w:tc>
          <w:tcPr>
            <w:tcW w:w="1134" w:type="pct"/>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highlight w:val="none"/>
              </w:rPr>
            </w:pPr>
          </w:p>
        </w:tc>
        <w:tc>
          <w:tcPr>
            <w:tcW w:w="1134" w:type="pct"/>
            <w:tcBorders>
              <w:top w:val="single" w:color="auto" w:sz="4" w:space="0"/>
              <w:left w:val="single" w:color="auto" w:sz="4" w:space="0"/>
              <w:bottom w:val="single" w:color="auto" w:sz="4" w:space="0"/>
              <w:right w:val="single" w:color="auto" w:sz="4" w:space="0"/>
            </w:tcBorders>
          </w:tcPr>
          <w:p>
            <w:pPr>
              <w:spacing w:line="360" w:lineRule="auto"/>
              <w:rPr>
                <w:rFonts w:ascii="宋体"/>
                <w:color w:val="auto"/>
                <w:sz w:val="24"/>
                <w:highlight w:val="none"/>
              </w:rPr>
            </w:pPr>
          </w:p>
        </w:tc>
      </w:tr>
    </w:tbl>
    <w:p>
      <w:pPr>
        <w:pStyle w:val="38"/>
        <w:spacing w:line="360" w:lineRule="auto"/>
        <w:rPr>
          <w:color w:val="auto"/>
          <w:sz w:val="24"/>
          <w:highlight w:val="none"/>
        </w:rPr>
      </w:pPr>
      <w:r>
        <w:rPr>
          <w:rFonts w:hint="eastAsia"/>
          <w:color w:val="auto"/>
          <w:sz w:val="24"/>
          <w:highlight w:val="none"/>
        </w:rPr>
        <w:t>注：投标人须如实填写其投标产品的参数和偏离程度，如发现提供不实情况，造成的一切后果由投标人承担。</w:t>
      </w:r>
    </w:p>
    <w:p>
      <w:pPr>
        <w:pStyle w:val="38"/>
        <w:spacing w:line="360" w:lineRule="auto"/>
        <w:rPr>
          <w:color w:val="auto"/>
          <w:sz w:val="24"/>
          <w:highlight w:val="none"/>
        </w:rPr>
      </w:pPr>
    </w:p>
    <w:p>
      <w:pPr>
        <w:pStyle w:val="38"/>
        <w:spacing w:line="360" w:lineRule="auto"/>
        <w:rPr>
          <w:color w:val="auto"/>
          <w:sz w:val="24"/>
          <w:highlight w:val="none"/>
        </w:rPr>
      </w:pPr>
    </w:p>
    <w:p>
      <w:pPr>
        <w:pStyle w:val="38"/>
        <w:spacing w:line="360" w:lineRule="auto"/>
        <w:rPr>
          <w:color w:val="auto"/>
          <w:sz w:val="24"/>
          <w:highlight w:val="none"/>
        </w:rPr>
      </w:pPr>
    </w:p>
    <w:p>
      <w:pPr>
        <w:pStyle w:val="38"/>
        <w:spacing w:line="360" w:lineRule="auto"/>
        <w:rPr>
          <w:color w:val="auto"/>
          <w:sz w:val="24"/>
          <w:highlight w:val="none"/>
        </w:rPr>
      </w:pPr>
    </w:p>
    <w:p>
      <w:pPr>
        <w:tabs>
          <w:tab w:val="left" w:pos="6375"/>
        </w:tabs>
        <w:spacing w:line="480" w:lineRule="auto"/>
        <w:jc w:val="left"/>
        <w:rPr>
          <w:rFonts w:ascii="宋体"/>
          <w:color w:val="auto"/>
          <w:sz w:val="24"/>
          <w:highlight w:val="none"/>
        </w:rPr>
      </w:pPr>
      <w:r>
        <w:rPr>
          <w:rFonts w:hint="eastAsia" w:ascii="宋体"/>
          <w:color w:val="auto"/>
          <w:sz w:val="24"/>
          <w:highlight w:val="none"/>
        </w:rPr>
        <w:t xml:space="preserve">                                        投标人名称（盖章）：</w:t>
      </w:r>
    </w:p>
    <w:p>
      <w:pPr>
        <w:pStyle w:val="80"/>
        <w:spacing w:line="480" w:lineRule="auto"/>
        <w:rPr>
          <w:color w:val="auto"/>
          <w:highlight w:val="none"/>
        </w:rPr>
      </w:pPr>
      <w:r>
        <w:rPr>
          <w:rFonts w:hint="eastAsia" w:ascii="宋体"/>
          <w:color w:val="auto"/>
          <w:sz w:val="24"/>
          <w:highlight w:val="none"/>
        </w:rPr>
        <w:t xml:space="preserve">                                        委托代理人（签字）：</w:t>
      </w:r>
    </w:p>
    <w:p>
      <w:pPr>
        <w:tabs>
          <w:tab w:val="left" w:pos="6375"/>
        </w:tabs>
        <w:spacing w:line="480" w:lineRule="auto"/>
        <w:jc w:val="center"/>
        <w:rPr>
          <w:rFonts w:ascii="宋体" w:hAnsi="宋体"/>
          <w:color w:val="auto"/>
          <w:sz w:val="24"/>
          <w:highlight w:val="none"/>
        </w:rPr>
      </w:pPr>
      <w:r>
        <w:rPr>
          <w:rFonts w:hint="eastAsia" w:ascii="宋体" w:hAnsi="宋体"/>
          <w:color w:val="auto"/>
          <w:sz w:val="24"/>
          <w:highlight w:val="none"/>
        </w:rPr>
        <w:t xml:space="preserve">                        日      期：  年  月  日</w:t>
      </w:r>
    </w:p>
    <w:p>
      <w:pPr>
        <w:pStyle w:val="445"/>
        <w:spacing w:line="360" w:lineRule="auto"/>
        <w:rPr>
          <w:rFonts w:ascii="宋体" w:hAnsi="宋体"/>
          <w:b/>
          <w:color w:val="auto"/>
          <w:sz w:val="30"/>
          <w:szCs w:val="30"/>
          <w:highlight w:val="none"/>
        </w:rPr>
      </w:pPr>
    </w:p>
    <w:p>
      <w:pPr>
        <w:pStyle w:val="445"/>
        <w:spacing w:line="360" w:lineRule="auto"/>
        <w:rPr>
          <w:rFonts w:ascii="宋体" w:hAnsi="宋体"/>
          <w:b/>
          <w:color w:val="auto"/>
          <w:sz w:val="30"/>
          <w:szCs w:val="30"/>
          <w:highlight w:val="none"/>
        </w:rPr>
      </w:pPr>
    </w:p>
    <w:p>
      <w:pPr>
        <w:pStyle w:val="445"/>
        <w:spacing w:line="360" w:lineRule="auto"/>
        <w:rPr>
          <w:rFonts w:ascii="宋体" w:hAnsi="宋体"/>
          <w:b/>
          <w:color w:val="auto"/>
          <w:sz w:val="30"/>
          <w:szCs w:val="30"/>
          <w:highlight w:val="none"/>
        </w:rPr>
      </w:pPr>
    </w:p>
    <w:p>
      <w:pPr>
        <w:pStyle w:val="445"/>
        <w:spacing w:line="360" w:lineRule="auto"/>
        <w:rPr>
          <w:rFonts w:ascii="宋体" w:hAnsi="宋体"/>
          <w:b/>
          <w:color w:val="auto"/>
          <w:sz w:val="30"/>
          <w:szCs w:val="30"/>
          <w:highlight w:val="none"/>
        </w:rPr>
      </w:pPr>
    </w:p>
    <w:p>
      <w:pPr>
        <w:pStyle w:val="445"/>
        <w:spacing w:line="360" w:lineRule="auto"/>
        <w:rPr>
          <w:rFonts w:ascii="宋体" w:hAnsi="宋体"/>
          <w:b/>
          <w:color w:val="auto"/>
          <w:sz w:val="30"/>
          <w:szCs w:val="30"/>
          <w:highlight w:val="none"/>
        </w:rPr>
      </w:pPr>
    </w:p>
    <w:p>
      <w:pPr>
        <w:pStyle w:val="445"/>
        <w:spacing w:line="360" w:lineRule="auto"/>
        <w:rPr>
          <w:rFonts w:ascii="宋体" w:hAnsi="宋体"/>
          <w:b/>
          <w:color w:val="auto"/>
          <w:sz w:val="30"/>
          <w:szCs w:val="30"/>
          <w:highlight w:val="none"/>
        </w:rPr>
      </w:pPr>
    </w:p>
    <w:p>
      <w:pPr>
        <w:pStyle w:val="445"/>
        <w:spacing w:line="360" w:lineRule="auto"/>
        <w:rPr>
          <w:rFonts w:ascii="宋体" w:hAnsi="宋体"/>
          <w:b/>
          <w:color w:val="auto"/>
          <w:sz w:val="30"/>
          <w:szCs w:val="30"/>
          <w:highlight w:val="none"/>
        </w:rPr>
      </w:pPr>
    </w:p>
    <w:p>
      <w:pPr>
        <w:spacing w:line="360" w:lineRule="auto"/>
        <w:outlineLvl w:val="0"/>
        <w:rPr>
          <w:rFonts w:ascii="宋体"/>
          <w:b/>
          <w:color w:val="auto"/>
          <w:sz w:val="30"/>
          <w:szCs w:val="30"/>
          <w:highlight w:val="none"/>
        </w:rPr>
      </w:pPr>
    </w:p>
    <w:p>
      <w:pPr>
        <w:spacing w:line="360" w:lineRule="auto"/>
        <w:ind w:firstLine="300" w:firstLineChars="100"/>
        <w:outlineLvl w:val="0"/>
        <w:rPr>
          <w:rFonts w:ascii="宋体"/>
          <w:b/>
          <w:color w:val="auto"/>
          <w:sz w:val="30"/>
          <w:szCs w:val="30"/>
          <w:highlight w:val="none"/>
        </w:rPr>
      </w:pPr>
      <w:r>
        <w:rPr>
          <w:rFonts w:hint="eastAsia" w:ascii="宋体"/>
          <w:b/>
          <w:color w:val="auto"/>
          <w:sz w:val="30"/>
          <w:szCs w:val="30"/>
          <w:highlight w:val="none"/>
        </w:rPr>
        <w:t>附表十三：</w:t>
      </w:r>
    </w:p>
    <w:p>
      <w:pPr>
        <w:pStyle w:val="445"/>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投标人服务承诺及方案</w:t>
      </w:r>
    </w:p>
    <w:p>
      <w:pPr>
        <w:spacing w:line="360" w:lineRule="auto"/>
        <w:outlineLvl w:val="0"/>
        <w:rPr>
          <w:rFonts w:ascii="宋体"/>
          <w:b/>
          <w:color w:val="auto"/>
          <w:sz w:val="30"/>
          <w:szCs w:val="30"/>
          <w:highlight w:val="none"/>
        </w:rPr>
      </w:pPr>
    </w:p>
    <w:p>
      <w:pPr>
        <w:spacing w:line="360" w:lineRule="auto"/>
        <w:ind w:firstLine="300" w:firstLineChars="100"/>
        <w:outlineLvl w:val="0"/>
        <w:rPr>
          <w:rFonts w:ascii="宋体"/>
          <w:b/>
          <w:color w:val="auto"/>
          <w:sz w:val="30"/>
          <w:szCs w:val="30"/>
          <w:highlight w:val="none"/>
        </w:rPr>
      </w:pPr>
    </w:p>
    <w:p>
      <w:pPr>
        <w:spacing w:line="360" w:lineRule="auto"/>
        <w:ind w:firstLine="300" w:firstLineChars="100"/>
        <w:outlineLvl w:val="0"/>
        <w:rPr>
          <w:rFonts w:ascii="宋体"/>
          <w:b/>
          <w:color w:val="auto"/>
          <w:sz w:val="30"/>
          <w:szCs w:val="30"/>
          <w:highlight w:val="none"/>
        </w:rPr>
      </w:pPr>
    </w:p>
    <w:p>
      <w:pPr>
        <w:spacing w:line="360" w:lineRule="auto"/>
        <w:outlineLvl w:val="0"/>
        <w:rPr>
          <w:rFonts w:ascii="宋体"/>
          <w:b/>
          <w:color w:val="auto"/>
          <w:sz w:val="30"/>
          <w:szCs w:val="30"/>
          <w:highlight w:val="none"/>
        </w:rPr>
      </w:pPr>
    </w:p>
    <w:p>
      <w:pPr>
        <w:spacing w:line="360" w:lineRule="auto"/>
        <w:ind w:firstLine="300" w:firstLineChars="100"/>
        <w:outlineLvl w:val="0"/>
        <w:rPr>
          <w:rFonts w:ascii="宋体"/>
          <w:b/>
          <w:color w:val="auto"/>
          <w:sz w:val="30"/>
          <w:szCs w:val="30"/>
          <w:highlight w:val="none"/>
        </w:rPr>
      </w:pPr>
    </w:p>
    <w:p>
      <w:pPr>
        <w:rPr>
          <w:rFonts w:hint="eastAsia" w:ascii="宋体"/>
          <w:b/>
          <w:color w:val="auto"/>
          <w:sz w:val="30"/>
          <w:szCs w:val="30"/>
          <w:highlight w:val="none"/>
        </w:rPr>
      </w:pPr>
      <w:r>
        <w:rPr>
          <w:rFonts w:hint="eastAsia" w:ascii="宋体"/>
          <w:b/>
          <w:color w:val="auto"/>
          <w:sz w:val="30"/>
          <w:szCs w:val="30"/>
          <w:highlight w:val="none"/>
        </w:rPr>
        <w:br w:type="page"/>
      </w:r>
    </w:p>
    <w:p>
      <w:pPr>
        <w:spacing w:line="360" w:lineRule="auto"/>
        <w:ind w:firstLine="300" w:firstLineChars="100"/>
        <w:outlineLvl w:val="0"/>
        <w:rPr>
          <w:rFonts w:ascii="宋体"/>
          <w:b/>
          <w:color w:val="auto"/>
          <w:sz w:val="30"/>
          <w:szCs w:val="30"/>
          <w:highlight w:val="none"/>
        </w:rPr>
      </w:pPr>
      <w:r>
        <w:rPr>
          <w:rFonts w:hint="eastAsia" w:ascii="宋体"/>
          <w:b/>
          <w:color w:val="auto"/>
          <w:sz w:val="30"/>
          <w:szCs w:val="30"/>
          <w:highlight w:val="none"/>
        </w:rPr>
        <w:t>附表十四：</w:t>
      </w:r>
    </w:p>
    <w:p>
      <w:pPr>
        <w:pStyle w:val="445"/>
        <w:spacing w:line="360" w:lineRule="auto"/>
        <w:jc w:val="center"/>
        <w:outlineLvl w:val="0"/>
        <w:rPr>
          <w:rFonts w:ascii="宋体" w:hAnsi="宋体"/>
          <w:b/>
          <w:color w:val="auto"/>
          <w:sz w:val="30"/>
          <w:szCs w:val="30"/>
          <w:highlight w:val="none"/>
        </w:rPr>
      </w:pPr>
      <w:r>
        <w:rPr>
          <w:rFonts w:hint="eastAsia" w:ascii="宋体" w:hAnsi="宋体"/>
          <w:b/>
          <w:color w:val="auto"/>
          <w:sz w:val="30"/>
          <w:szCs w:val="30"/>
          <w:highlight w:val="none"/>
        </w:rPr>
        <w:t>投标人认为需要提供的其它资料</w:t>
      </w:r>
    </w:p>
    <w:p>
      <w:pPr>
        <w:pStyle w:val="445"/>
        <w:spacing w:line="360" w:lineRule="auto"/>
        <w:jc w:val="center"/>
        <w:rPr>
          <w:rFonts w:ascii="宋体" w:hAnsi="宋体"/>
          <w:b/>
          <w:color w:val="auto"/>
          <w:sz w:val="30"/>
          <w:szCs w:val="30"/>
          <w:highlight w:val="none"/>
        </w:rPr>
      </w:pPr>
    </w:p>
    <w:p>
      <w:pPr>
        <w:pStyle w:val="445"/>
        <w:spacing w:line="360" w:lineRule="auto"/>
        <w:rPr>
          <w:rFonts w:ascii="宋体" w:hAnsi="宋体"/>
          <w:b/>
          <w:color w:val="auto"/>
          <w:sz w:val="30"/>
          <w:szCs w:val="30"/>
          <w:highlight w:val="none"/>
        </w:rPr>
      </w:pPr>
    </w:p>
    <w:sectPr>
      <w:headerReference r:id="rId6" w:type="first"/>
      <w:headerReference r:id="rId5" w:type="default"/>
      <w:footerReference r:id="rId7" w:type="default"/>
      <w:footerReference r:id="rId8" w:type="even"/>
      <w:pgSz w:w="11906" w:h="16838"/>
      <w:pgMar w:top="1080" w:right="1440" w:bottom="1080" w:left="1440" w:header="907" w:footer="96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Geneva">
    <w:altName w:val="Arial"/>
    <w:panose1 w:val="00000000000000000000"/>
    <w:charset w:val="00"/>
    <w:family w:val="swiss"/>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新宋体-18030">
    <w:altName w:val="宋体"/>
    <w:panose1 w:val="00000000000000000000"/>
    <w:charset w:val="7A"/>
    <w:family w:val="auto"/>
    <w:pitch w:val="default"/>
    <w:sig w:usb0="00000000" w:usb1="00000000" w:usb2="0000001E"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8</w:t>
    </w:r>
    <w:r>
      <w:fldChar w:fldCharType="end"/>
    </w: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notBeside" w:vAnchor="text" w:hAnchor="margin" w:xAlign="center" w:y="1"/>
      <w:rPr>
        <w:rStyle w:val="93"/>
      </w:rPr>
    </w:pPr>
    <w:r>
      <w:fldChar w:fldCharType="begin"/>
    </w:r>
    <w:r>
      <w:rPr>
        <w:rStyle w:val="93"/>
      </w:rPr>
      <w:instrText xml:space="preserve">PAGE  </w:instrText>
    </w:r>
    <w:r>
      <w:fldChar w:fldCharType="separate"/>
    </w:r>
    <w:r>
      <w:rPr>
        <w:rStyle w:val="93"/>
      </w:rPr>
      <w:t>60</w:t>
    </w:r>
    <w:r>
      <w:fldChar w:fldCharType="end"/>
    </w:r>
  </w:p>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notBeside" w:vAnchor="text" w:hAnchor="margin" w:xAlign="center" w:y="1"/>
      <w:rPr>
        <w:rStyle w:val="93"/>
      </w:rPr>
    </w:pPr>
    <w:r>
      <w:fldChar w:fldCharType="begin"/>
    </w:r>
    <w:r>
      <w:rPr>
        <w:rStyle w:val="93"/>
      </w:rPr>
      <w:instrText xml:space="preserve">PAGE  </w:instrText>
    </w:r>
    <w:r>
      <w:fldChar w:fldCharType="separate"/>
    </w:r>
    <w:r>
      <w:rPr>
        <w:rStyle w:val="93"/>
      </w:rPr>
      <w:t xml:space="preserve"> </w:t>
    </w:r>
    <w:r>
      <w:fldChar w:fldCharType="end"/>
    </w:r>
  </w:p>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180" w:firstLineChars="100"/>
      <w:jc w:val="both"/>
      <w:rPr>
        <w:i/>
      </w:rPr>
    </w:pPr>
    <w:r>
      <w:rPr>
        <w:rFonts w:hint="eastAsia"/>
        <w:i/>
      </w:rPr>
      <w:t>新疆星耀天都项目管理有限责任公司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tabs>
        <w:tab w:val="left" w:pos="8250"/>
      </w:tabs>
      <w:ind w:firstLine="180" w:firstLineChars="100"/>
      <w:jc w:val="both"/>
      <w:rPr>
        <w:rFonts w:ascii="宋体"/>
      </w:rPr>
    </w:pPr>
    <w:r>
      <w:rPr>
        <w:rFonts w:hint="eastAsia" w:ascii="宋体" w:hAnsi="宋体"/>
        <w:iCs/>
      </w:rPr>
      <w:t>新疆星耀天都项目管理有限责任公司                                                        投标文件</w:t>
    </w:r>
    <w:r>
      <w:rPr>
        <w:rFonts w:hint="eastAsia" w:ascii="宋体"/>
        <w:iCs/>
      </w:rPr>
      <w:t xml:space="preserve">  </w:t>
    </w:r>
    <w:r>
      <w:rPr>
        <w:rFonts w:hint="eastAsia" w:ascii="宋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both"/>
    </w:pPr>
    <w:r>
      <w:rPr>
        <w:rFonts w:hint="eastAsia" w:ascii="宋体" w:hAnsi="宋体"/>
        <w:i/>
      </w:rPr>
      <w:t>新疆瑞恒中信工程项目管理有限公司                                              RHZC20117-277GK</w:t>
    </w:r>
    <w:r>
      <w:rPr>
        <w:rFonts w:hint="eastAsia" w:ascii="宋体"/>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chineseCounting"/>
      <w:suff w:val="space"/>
      <w:lvlText w:val="第%1章"/>
      <w:lvlJc w:val="left"/>
      <w:rPr>
        <w:rFonts w:hint="eastAsia"/>
      </w:rPr>
    </w:lvl>
  </w:abstractNum>
  <w:abstractNum w:abstractNumId="3">
    <w:nsid w:val="00000004"/>
    <w:multiLevelType w:val="singleLevel"/>
    <w:tmpl w:val="00000004"/>
    <w:lvl w:ilvl="0" w:tentative="0">
      <w:start w:val="1"/>
      <w:numFmt w:val="decimal"/>
      <w:suff w:val="nothing"/>
      <w:lvlText w:val="%1、"/>
      <w:lvlJc w:val="left"/>
      <w:rPr>
        <w:rFonts w:hint="default" w:ascii="宋体" w:hAnsi="宋体" w:eastAsia="宋体" w:cs="宋体"/>
      </w:rPr>
    </w:lvl>
  </w:abstractNum>
  <w:abstractNum w:abstractNumId="4">
    <w:nsid w:val="00000005"/>
    <w:multiLevelType w:val="singleLevel"/>
    <w:tmpl w:val="00000005"/>
    <w:lvl w:ilvl="0" w:tentative="0">
      <w:start w:val="2"/>
      <w:numFmt w:val="chineseCounting"/>
      <w:suff w:val="nothing"/>
      <w:lvlText w:val="%1、"/>
      <w:lvlJc w:val="left"/>
      <w:rPr>
        <w:rFonts w:hint="eastAsia" w:ascii="宋体" w:hAnsi="宋体" w:eastAsia="宋体" w:cs="宋体"/>
        <w:b/>
        <w:bCs/>
        <w:sz w:val="24"/>
        <w:szCs w:val="24"/>
      </w:rPr>
    </w:lvl>
  </w:abstractNum>
  <w:abstractNum w:abstractNumId="5">
    <w:nsid w:val="00000006"/>
    <w:multiLevelType w:val="singleLevel"/>
    <w:tmpl w:val="00000006"/>
    <w:lvl w:ilvl="0" w:tentative="0">
      <w:start w:val="1"/>
      <w:numFmt w:val="decimal"/>
      <w:suff w:val="nothing"/>
      <w:lvlText w:val="（%1）"/>
      <w:lvlJc w:val="left"/>
      <w:pPr>
        <w:ind w:left="630"/>
      </w:pPr>
      <w:rPr>
        <w:rFonts w:hint="default" w:ascii="宋体" w:hAnsi="宋体" w:eastAsia="宋体" w:cs="宋体"/>
        <w:sz w:val="24"/>
        <w:szCs w:val="24"/>
      </w:rPr>
    </w:lvl>
  </w:abstractNum>
  <w:abstractNum w:abstractNumId="6">
    <w:nsid w:val="00000007"/>
    <w:multiLevelType w:val="multilevel"/>
    <w:tmpl w:val="00000007"/>
    <w:lvl w:ilvl="0" w:tentative="0">
      <w:start w:val="1"/>
      <w:numFmt w:val="decimal"/>
      <w:pStyle w:val="65"/>
      <w:lvlText w:val="%1."/>
      <w:lvlJc w:val="left"/>
      <w:pPr>
        <w:tabs>
          <w:tab w:val="left" w:pos="2040"/>
        </w:tabs>
        <w:ind w:left="204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decimal"/>
      <w:pStyle w:val="158"/>
      <w:lvlText w:val="%1."/>
      <w:lvlJc w:val="left"/>
      <w:pPr>
        <w:tabs>
          <w:tab w:val="left" w:pos="1620"/>
        </w:tabs>
        <w:ind w:left="162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singleLevel"/>
    <w:tmpl w:val="00000009"/>
    <w:lvl w:ilvl="0" w:tentative="0">
      <w:start w:val="1"/>
      <w:numFmt w:val="decimal"/>
      <w:pStyle w:val="36"/>
      <w:lvlText w:val="%1."/>
      <w:lvlJc w:val="left"/>
      <w:pPr>
        <w:tabs>
          <w:tab w:val="left" w:pos="1200"/>
        </w:tabs>
        <w:ind w:left="1200" w:hanging="360"/>
      </w:pPr>
    </w:lvl>
  </w:abstractNum>
  <w:abstractNum w:abstractNumId="9">
    <w:nsid w:val="0000000A"/>
    <w:multiLevelType w:val="multilevel"/>
    <w:tmpl w:val="0000000A"/>
    <w:lvl w:ilvl="0" w:tentative="0">
      <w:start w:val="1"/>
      <w:numFmt w:val="decimal"/>
      <w:pStyle w:val="15"/>
      <w:lvlText w:val="%1."/>
      <w:lvlJc w:val="left"/>
      <w:pPr>
        <w:tabs>
          <w:tab w:val="left" w:pos="780"/>
        </w:tabs>
        <w:ind w:left="78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B"/>
    <w:multiLevelType w:val="singleLevel"/>
    <w:tmpl w:val="0000000B"/>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11">
    <w:nsid w:val="0000000C"/>
    <w:multiLevelType w:val="singleLevel"/>
    <w:tmpl w:val="0000000C"/>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12">
    <w:nsid w:val="0000000D"/>
    <w:multiLevelType w:val="singleLevel"/>
    <w:tmpl w:val="0000000D"/>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13">
    <w:nsid w:val="0000000E"/>
    <w:multiLevelType w:val="singleLevel"/>
    <w:tmpl w:val="0000000E"/>
    <w:lvl w:ilvl="0" w:tentative="0">
      <w:start w:val="1"/>
      <w:numFmt w:val="bullet"/>
      <w:pStyle w:val="41"/>
      <w:lvlText w:val=""/>
      <w:lvlJc w:val="left"/>
      <w:pPr>
        <w:tabs>
          <w:tab w:val="left" w:pos="780"/>
        </w:tabs>
        <w:ind w:left="780" w:hanging="360"/>
      </w:pPr>
      <w:rPr>
        <w:rFonts w:hint="default" w:ascii="Wingdings" w:hAnsi="Wingdings"/>
      </w:rPr>
    </w:lvl>
  </w:abstractNum>
  <w:abstractNum w:abstractNumId="14">
    <w:nsid w:val="0000000F"/>
    <w:multiLevelType w:val="singleLevel"/>
    <w:tmpl w:val="0000000F"/>
    <w:lvl w:ilvl="0" w:tentative="0">
      <w:start w:val="1"/>
      <w:numFmt w:val="decimal"/>
      <w:pStyle w:val="21"/>
      <w:lvlText w:val="%1."/>
      <w:lvlJc w:val="left"/>
      <w:pPr>
        <w:tabs>
          <w:tab w:val="left" w:pos="360"/>
        </w:tabs>
        <w:ind w:left="360" w:hanging="360"/>
      </w:pPr>
    </w:lvl>
  </w:abstractNum>
  <w:abstractNum w:abstractNumId="15">
    <w:nsid w:val="00000010"/>
    <w:multiLevelType w:val="singleLevel"/>
    <w:tmpl w:val="00000010"/>
    <w:lvl w:ilvl="0" w:tentative="0">
      <w:start w:val="1"/>
      <w:numFmt w:val="decimal"/>
      <w:suff w:val="nothing"/>
      <w:lvlText w:val="（%1）"/>
      <w:lvlJc w:val="left"/>
    </w:lvl>
  </w:abstractNum>
  <w:abstractNum w:abstractNumId="16">
    <w:nsid w:val="00000011"/>
    <w:multiLevelType w:val="multilevel"/>
    <w:tmpl w:val="00000011"/>
    <w:lvl w:ilvl="0" w:tentative="0">
      <w:start w:val="1"/>
      <w:numFmt w:val="bullet"/>
      <w:pStyle w:val="322"/>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7">
    <w:nsid w:val="00000012"/>
    <w:multiLevelType w:val="multilevel"/>
    <w:tmpl w:val="00000012"/>
    <w:lvl w:ilvl="0" w:tentative="0">
      <w:start w:val="1"/>
      <w:numFmt w:val="decimal"/>
      <w:pStyle w:val="299"/>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3"/>
    <w:multiLevelType w:val="multilevel"/>
    <w:tmpl w:val="00000013"/>
    <w:lvl w:ilvl="0" w:tentative="0">
      <w:start w:val="1"/>
      <w:numFmt w:val="decimal"/>
      <w:lvlText w:val="%1"/>
      <w:lvlJc w:val="left"/>
      <w:pPr>
        <w:tabs>
          <w:tab w:val="left" w:pos="425"/>
        </w:tabs>
        <w:ind w:left="425" w:hanging="425"/>
      </w:pPr>
    </w:lvl>
    <w:lvl w:ilvl="1" w:tentative="0">
      <w:start w:val="1"/>
      <w:numFmt w:val="decimal"/>
      <w:pStyle w:val="76"/>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9">
    <w:nsid w:val="00000014"/>
    <w:multiLevelType w:val="multilevel"/>
    <w:tmpl w:val="00000014"/>
    <w:lvl w:ilvl="0" w:tentative="0">
      <w:start w:val="1"/>
      <w:numFmt w:val="bullet"/>
      <w:pStyle w:val="461"/>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48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00000015"/>
    <w:multiLevelType w:val="multilevel"/>
    <w:tmpl w:val="00000015"/>
    <w:lvl w:ilvl="0" w:tentative="0">
      <w:start w:val="1"/>
      <w:numFmt w:val="decimal"/>
      <w:pStyle w:val="309"/>
      <w:lvlText w:val="%1．"/>
      <w:lvlJc w:val="left"/>
      <w:pPr>
        <w:tabs>
          <w:tab w:val="left" w:pos="680"/>
        </w:tabs>
        <w:ind w:left="1021" w:hanging="60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6"/>
    <w:multiLevelType w:val="multilevel"/>
    <w:tmpl w:val="00000016"/>
    <w:lvl w:ilvl="0" w:tentative="0">
      <w:start w:val="1"/>
      <w:numFmt w:val="bullet"/>
      <w:pStyle w:val="460"/>
      <w:lvlText w:val=""/>
      <w:lvlJc w:val="left"/>
      <w:pPr>
        <w:tabs>
          <w:tab w:val="left" w:pos="924"/>
        </w:tabs>
        <w:ind w:left="924" w:hanging="420"/>
      </w:pPr>
      <w:rPr>
        <w:rFonts w:hint="default" w:ascii="Wingdings" w:hAnsi="Wingdings"/>
      </w:rPr>
    </w:lvl>
    <w:lvl w:ilvl="1" w:tentative="0">
      <w:start w:val="1"/>
      <w:numFmt w:val="bullet"/>
      <w:lvlText w:val=""/>
      <w:lvlJc w:val="left"/>
      <w:pPr>
        <w:tabs>
          <w:tab w:val="left" w:pos="1344"/>
        </w:tabs>
        <w:ind w:left="1344" w:hanging="420"/>
      </w:pPr>
      <w:rPr>
        <w:rFonts w:hint="default" w:ascii="Wingdings" w:hAnsi="Wingdings"/>
      </w:rPr>
    </w:lvl>
    <w:lvl w:ilvl="2" w:tentative="0">
      <w:start w:val="1"/>
      <w:numFmt w:val="bullet"/>
      <w:lvlText w:val=""/>
      <w:lvlJc w:val="left"/>
      <w:pPr>
        <w:tabs>
          <w:tab w:val="left" w:pos="1764"/>
        </w:tabs>
        <w:ind w:left="1764" w:hanging="420"/>
      </w:pPr>
      <w:rPr>
        <w:rFonts w:hint="default" w:ascii="Wingdings" w:hAnsi="Wingdings"/>
      </w:rPr>
    </w:lvl>
    <w:lvl w:ilvl="3" w:tentative="0">
      <w:start w:val="1"/>
      <w:numFmt w:val="bullet"/>
      <w:lvlText w:val=""/>
      <w:lvlJc w:val="left"/>
      <w:pPr>
        <w:tabs>
          <w:tab w:val="left" w:pos="2184"/>
        </w:tabs>
        <w:ind w:left="2184" w:hanging="420"/>
      </w:pPr>
      <w:rPr>
        <w:rFonts w:hint="default" w:ascii="Wingdings" w:hAnsi="Wingdings"/>
      </w:rPr>
    </w:lvl>
    <w:lvl w:ilvl="4" w:tentative="0">
      <w:start w:val="1"/>
      <w:numFmt w:val="bullet"/>
      <w:lvlText w:val=""/>
      <w:lvlJc w:val="left"/>
      <w:pPr>
        <w:tabs>
          <w:tab w:val="left" w:pos="2604"/>
        </w:tabs>
        <w:ind w:left="2604" w:hanging="420"/>
      </w:pPr>
      <w:rPr>
        <w:rFonts w:hint="default" w:ascii="Wingdings" w:hAnsi="Wingdings"/>
      </w:rPr>
    </w:lvl>
    <w:lvl w:ilvl="5" w:tentative="0">
      <w:start w:val="1"/>
      <w:numFmt w:val="bullet"/>
      <w:lvlText w:val=""/>
      <w:lvlJc w:val="left"/>
      <w:pPr>
        <w:tabs>
          <w:tab w:val="left" w:pos="3024"/>
        </w:tabs>
        <w:ind w:left="3024" w:hanging="420"/>
      </w:pPr>
      <w:rPr>
        <w:rFonts w:hint="default" w:ascii="Wingdings" w:hAnsi="Wingdings"/>
      </w:rPr>
    </w:lvl>
    <w:lvl w:ilvl="6" w:tentative="0">
      <w:start w:val="1"/>
      <w:numFmt w:val="bullet"/>
      <w:lvlText w:val=""/>
      <w:lvlJc w:val="left"/>
      <w:pPr>
        <w:tabs>
          <w:tab w:val="left" w:pos="3444"/>
        </w:tabs>
        <w:ind w:left="3444" w:hanging="420"/>
      </w:pPr>
      <w:rPr>
        <w:rFonts w:hint="default" w:ascii="Wingdings" w:hAnsi="Wingdings"/>
      </w:rPr>
    </w:lvl>
    <w:lvl w:ilvl="7" w:tentative="0">
      <w:start w:val="1"/>
      <w:numFmt w:val="bullet"/>
      <w:lvlText w:val=""/>
      <w:lvlJc w:val="left"/>
      <w:pPr>
        <w:tabs>
          <w:tab w:val="left" w:pos="3864"/>
        </w:tabs>
        <w:ind w:left="3864" w:hanging="420"/>
      </w:pPr>
      <w:rPr>
        <w:rFonts w:hint="default" w:ascii="Wingdings" w:hAnsi="Wingdings"/>
      </w:rPr>
    </w:lvl>
    <w:lvl w:ilvl="8" w:tentative="0">
      <w:start w:val="1"/>
      <w:numFmt w:val="bullet"/>
      <w:lvlText w:val=""/>
      <w:lvlJc w:val="left"/>
      <w:pPr>
        <w:tabs>
          <w:tab w:val="left" w:pos="4284"/>
        </w:tabs>
        <w:ind w:left="4284" w:hanging="420"/>
      </w:pPr>
      <w:rPr>
        <w:rFonts w:hint="default" w:ascii="Wingdings" w:hAnsi="Wingdings"/>
      </w:rPr>
    </w:lvl>
  </w:abstractNum>
  <w:abstractNum w:abstractNumId="22">
    <w:nsid w:val="00000017"/>
    <w:multiLevelType w:val="multilevel"/>
    <w:tmpl w:val="00000017"/>
    <w:lvl w:ilvl="0" w:tentative="0">
      <w:start w:val="1"/>
      <w:numFmt w:val="decimal"/>
      <w:pStyle w:val="337"/>
      <w:lvlText w:val="%1、"/>
      <w:lvlJc w:val="left"/>
      <w:pPr>
        <w:tabs>
          <w:tab w:val="left" w:pos="740"/>
        </w:tabs>
        <w:ind w:left="1081" w:hanging="1081"/>
      </w:pPr>
      <w:rPr>
        <w:rFonts w:hint="default"/>
      </w:rPr>
    </w:lvl>
    <w:lvl w:ilvl="1" w:tentative="0">
      <w:start w:val="1"/>
      <w:numFmt w:val="decimal"/>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8"/>
    <w:multiLevelType w:val="multilevel"/>
    <w:tmpl w:val="00000018"/>
    <w:lvl w:ilvl="0" w:tentative="0">
      <w:start w:val="1"/>
      <w:numFmt w:val="decimal"/>
      <w:lvlText w:val="%1）"/>
      <w:lvlJc w:val="left"/>
      <w:pPr>
        <w:tabs>
          <w:tab w:val="left" w:pos="840"/>
        </w:tabs>
        <w:ind w:left="840" w:hanging="420"/>
      </w:pPr>
      <w:rPr>
        <w:rFonts w:hint="eastAsia"/>
      </w:rPr>
    </w:lvl>
    <w:lvl w:ilvl="1" w:tentative="0">
      <w:start w:val="1"/>
      <w:numFmt w:val="decimal"/>
      <w:pStyle w:val="316"/>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19"/>
    <w:multiLevelType w:val="multilevel"/>
    <w:tmpl w:val="00000019"/>
    <w:lvl w:ilvl="0" w:tentative="0">
      <w:start w:val="1"/>
      <w:numFmt w:val="none"/>
      <w:pStyle w:val="449"/>
      <w:suff w:val="nothing"/>
      <w:lvlText w:val=""/>
      <w:lvlJc w:val="left"/>
      <w:pPr>
        <w:tabs>
          <w:tab w:val="left" w:pos="0"/>
        </w:tabs>
        <w:ind w:left="0" w:firstLine="0"/>
      </w:pPr>
      <w:rPr>
        <w:rFonts w:hint="default" w:ascii="Times New Roman" w:hAnsi="Times New Roman" w:cs="Times New Roman"/>
        <w:b/>
        <w:i w:val="0"/>
        <w:sz w:val="21"/>
      </w:rPr>
    </w:lvl>
    <w:lvl w:ilvl="1" w:tentative="0">
      <w:start w:val="1"/>
      <w:numFmt w:val="decimal"/>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396"/>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459"/>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5">
    <w:nsid w:val="0000001A"/>
    <w:multiLevelType w:val="multilevel"/>
    <w:tmpl w:val="0000001A"/>
    <w:lvl w:ilvl="0" w:tentative="0">
      <w:start w:val="1"/>
      <w:numFmt w:val="decimal"/>
      <w:pStyle w:val="417"/>
      <w:lvlText w:val="表 3.%1"/>
      <w:lvlJc w:val="left"/>
      <w:pPr>
        <w:tabs>
          <w:tab w:val="left" w:pos="902"/>
        </w:tabs>
        <w:ind w:left="902" w:hanging="420"/>
      </w:pPr>
      <w:rPr>
        <w:rFonts w:hint="eastAsia"/>
      </w:rPr>
    </w:lvl>
    <w:lvl w:ilvl="1" w:tentative="0">
      <w:start w:val="1"/>
      <w:numFmt w:val="lowerLetter"/>
      <w:pStyle w:val="398"/>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1B"/>
    <w:multiLevelType w:val="multilevel"/>
    <w:tmpl w:val="0000001B"/>
    <w:lvl w:ilvl="0" w:tentative="0">
      <w:start w:val="1"/>
      <w:numFmt w:val="decimal"/>
      <w:pStyle w:val="2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0000001C"/>
    <w:multiLevelType w:val="multilevel"/>
    <w:tmpl w:val="0000001C"/>
    <w:lvl w:ilvl="0" w:tentative="0">
      <w:start w:val="1"/>
      <w:numFmt w:val="decimal"/>
      <w:pStyle w:val="408"/>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28">
    <w:nsid w:val="0000001D"/>
    <w:multiLevelType w:val="multilevel"/>
    <w:tmpl w:val="0000001D"/>
    <w:lvl w:ilvl="0" w:tentative="0">
      <w:start w:val="1"/>
      <w:numFmt w:val="decimal"/>
      <w:lvlText w:val="%1."/>
      <w:lvlJc w:val="left"/>
      <w:pPr>
        <w:tabs>
          <w:tab w:val="left" w:pos="425"/>
        </w:tabs>
        <w:ind w:left="425" w:hanging="425"/>
      </w:pPr>
      <w:rPr>
        <w:rFonts w:hint="eastAsia"/>
      </w:rPr>
    </w:lvl>
    <w:lvl w:ilvl="1" w:tentative="0">
      <w:start w:val="3"/>
      <w:numFmt w:val="decimal"/>
      <w:lvlText w:val="%1.%2."/>
      <w:lvlJc w:val="left"/>
      <w:pPr>
        <w:tabs>
          <w:tab w:val="left" w:pos="567"/>
        </w:tabs>
        <w:ind w:left="567" w:hanging="567"/>
      </w:pPr>
      <w:rPr>
        <w:rFonts w:hint="eastAsia"/>
      </w:rPr>
    </w:lvl>
    <w:lvl w:ilvl="2" w:tentative="0">
      <w:start w:val="1"/>
      <w:numFmt w:val="decimal"/>
      <w:lvlText w:val="表%1.%2-%3."/>
      <w:lvlJc w:val="left"/>
      <w:pPr>
        <w:tabs>
          <w:tab w:val="left" w:pos="709"/>
        </w:tabs>
        <w:ind w:left="709" w:hanging="709"/>
      </w:pPr>
      <w:rPr>
        <w:rFonts w:hint="eastAsia" w:eastAsia="宋体"/>
        <w:sz w:val="18"/>
      </w:rPr>
    </w:lvl>
    <w:lvl w:ilvl="3" w:tentative="0">
      <w:start w:val="1"/>
      <w:numFmt w:val="decimal"/>
      <w:pStyle w:val="338"/>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2%3%6%1...%4.%5..%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000001E"/>
    <w:multiLevelType w:val="multilevel"/>
    <w:tmpl w:val="0000001E"/>
    <w:lvl w:ilvl="0" w:tentative="0">
      <w:start w:val="1"/>
      <w:numFmt w:val="decimal"/>
      <w:lvlText w:val="表1-%1"/>
      <w:lvlJc w:val="left"/>
      <w:pPr>
        <w:tabs>
          <w:tab w:val="left" w:pos="2100"/>
        </w:tabs>
        <w:ind w:left="2100" w:hanging="420"/>
      </w:pPr>
      <w:rPr>
        <w:rFonts w:hint="eastAsia" w:eastAsia="宋体"/>
        <w:b w:val="0"/>
        <w:i w:val="0"/>
        <w:sz w:val="21"/>
      </w:rPr>
    </w:lvl>
    <w:lvl w:ilvl="1" w:tentative="0">
      <w:start w:val="1"/>
      <w:numFmt w:val="decimal"/>
      <w:pStyle w:val="352"/>
      <w:lvlText w:val="表1-%2"/>
      <w:lvlJc w:val="left"/>
      <w:pPr>
        <w:tabs>
          <w:tab w:val="left" w:pos="1669"/>
        </w:tabs>
        <w:ind w:left="1669" w:hanging="420"/>
      </w:pPr>
      <w:rPr>
        <w:rFonts w:hint="eastAsia" w:eastAsia="宋体"/>
        <w:b/>
        <w:i w:val="0"/>
        <w:sz w:val="21"/>
      </w:rPr>
    </w:lvl>
    <w:lvl w:ilvl="2" w:tentative="0">
      <w:start w:val="1"/>
      <w:numFmt w:val="lowerRoman"/>
      <w:lvlText w:val="%3."/>
      <w:lvlJc w:val="right"/>
      <w:pPr>
        <w:tabs>
          <w:tab w:val="left" w:pos="2089"/>
        </w:tabs>
        <w:ind w:left="2089" w:hanging="420"/>
      </w:pPr>
    </w:lvl>
    <w:lvl w:ilvl="3" w:tentative="0">
      <w:start w:val="1"/>
      <w:numFmt w:val="decimal"/>
      <w:lvlText w:val="%4."/>
      <w:lvlJc w:val="left"/>
      <w:pPr>
        <w:tabs>
          <w:tab w:val="left" w:pos="2509"/>
        </w:tabs>
        <w:ind w:left="2509" w:hanging="420"/>
      </w:pPr>
    </w:lvl>
    <w:lvl w:ilvl="4" w:tentative="0">
      <w:start w:val="1"/>
      <w:numFmt w:val="lowerLetter"/>
      <w:lvlText w:val="%5)"/>
      <w:lvlJc w:val="left"/>
      <w:pPr>
        <w:tabs>
          <w:tab w:val="left" w:pos="2929"/>
        </w:tabs>
        <w:ind w:left="2929" w:hanging="420"/>
      </w:pPr>
    </w:lvl>
    <w:lvl w:ilvl="5" w:tentative="0">
      <w:start w:val="1"/>
      <w:numFmt w:val="lowerRoman"/>
      <w:lvlText w:val="%6."/>
      <w:lvlJc w:val="right"/>
      <w:pPr>
        <w:tabs>
          <w:tab w:val="left" w:pos="3349"/>
        </w:tabs>
        <w:ind w:left="3349" w:hanging="420"/>
      </w:pPr>
    </w:lvl>
    <w:lvl w:ilvl="6" w:tentative="0">
      <w:start w:val="1"/>
      <w:numFmt w:val="decimal"/>
      <w:lvlText w:val="%7."/>
      <w:lvlJc w:val="left"/>
      <w:pPr>
        <w:tabs>
          <w:tab w:val="left" w:pos="3769"/>
        </w:tabs>
        <w:ind w:left="3769" w:hanging="420"/>
      </w:pPr>
    </w:lvl>
    <w:lvl w:ilvl="7" w:tentative="0">
      <w:start w:val="1"/>
      <w:numFmt w:val="lowerLetter"/>
      <w:lvlText w:val="%8)"/>
      <w:lvlJc w:val="left"/>
      <w:pPr>
        <w:tabs>
          <w:tab w:val="left" w:pos="4189"/>
        </w:tabs>
        <w:ind w:left="4189" w:hanging="420"/>
      </w:pPr>
    </w:lvl>
    <w:lvl w:ilvl="8" w:tentative="0">
      <w:start w:val="1"/>
      <w:numFmt w:val="lowerRoman"/>
      <w:lvlText w:val="%9."/>
      <w:lvlJc w:val="right"/>
      <w:pPr>
        <w:tabs>
          <w:tab w:val="left" w:pos="4609"/>
        </w:tabs>
        <w:ind w:left="4609" w:hanging="420"/>
      </w:pPr>
    </w:lvl>
  </w:abstractNum>
  <w:abstractNum w:abstractNumId="30">
    <w:nsid w:val="0000001F"/>
    <w:multiLevelType w:val="multilevel"/>
    <w:tmpl w:val="0000001F"/>
    <w:lvl w:ilvl="0" w:tentative="0">
      <w:start w:val="1"/>
      <w:numFmt w:val="bullet"/>
      <w:pStyle w:val="321"/>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00000020"/>
    <w:multiLevelType w:val="singleLevel"/>
    <w:tmpl w:val="00000020"/>
    <w:lvl w:ilvl="0" w:tentative="0">
      <w:start w:val="1"/>
      <w:numFmt w:val="lowerLetter"/>
      <w:pStyle w:val="403"/>
      <w:lvlText w:val="(%1)"/>
      <w:lvlJc w:val="left"/>
      <w:pPr>
        <w:tabs>
          <w:tab w:val="left" w:pos="1695"/>
        </w:tabs>
        <w:ind w:left="1695" w:hanging="450"/>
      </w:pPr>
      <w:rPr>
        <w:rFonts w:hint="default"/>
      </w:rPr>
    </w:lvl>
  </w:abstractNum>
  <w:abstractNum w:abstractNumId="32">
    <w:nsid w:val="00000021"/>
    <w:multiLevelType w:val="multilevel"/>
    <w:tmpl w:val="00000021"/>
    <w:lvl w:ilvl="0" w:tentative="0">
      <w:start w:val="1"/>
      <w:numFmt w:val="koreanDigital2"/>
      <w:lvlText w:val="%1."/>
      <w:lvlJc w:val="left"/>
      <w:pPr>
        <w:tabs>
          <w:tab w:val="left" w:pos="0"/>
        </w:tabs>
        <w:ind w:left="420" w:hanging="420"/>
      </w:pPr>
      <w:rPr>
        <w:rFonts w:hint="default"/>
        <w:lang w:val="en-US"/>
      </w:rPr>
    </w:lvl>
    <w:lvl w:ilvl="1" w:tentative="0">
      <w:start w:val="1"/>
      <w:numFmt w:val="bullet"/>
      <w:pStyle w:val="369"/>
      <w:lvlText w:val=""/>
      <w:lvlJc w:val="left"/>
      <w:pPr>
        <w:tabs>
          <w:tab w:val="left" w:pos="420"/>
        </w:tabs>
        <w:ind w:left="839" w:hanging="419"/>
      </w:pPr>
      <w:rPr>
        <w:rFonts w:hint="default"/>
      </w:rPr>
    </w:lvl>
    <w:lvl w:ilvl="2" w:tentative="0">
      <w:start w:val="1"/>
      <w:numFmt w:val="decimal"/>
      <w:pStyle w:val="411"/>
      <w:lvlText w:val="%3、"/>
      <w:lvlJc w:val="left"/>
      <w:pPr>
        <w:tabs>
          <w:tab w:val="left" w:pos="-60"/>
        </w:tabs>
        <w:ind w:left="779" w:hanging="419"/>
      </w:pPr>
      <w:rPr>
        <w:rFonts w:hint="eastAsia"/>
      </w:rPr>
    </w:lvl>
    <w:lvl w:ilvl="3" w:tentative="0">
      <w:start w:val="1"/>
      <w:numFmt w:val="decimal"/>
      <w:lvlText w:val="%4)"/>
      <w:lvlJc w:val="left"/>
      <w:pPr>
        <w:tabs>
          <w:tab w:val="left" w:pos="1259"/>
        </w:tabs>
        <w:ind w:left="1259" w:hanging="420"/>
      </w:pPr>
      <w:rPr>
        <w:rFonts w:hint="default"/>
        <w:lang w:val="en-US"/>
      </w:rPr>
    </w:lvl>
    <w:lvl w:ilvl="4" w:tentative="0">
      <w:start w:val="1"/>
      <w:numFmt w:val="decimal"/>
      <w:pStyle w:val="297"/>
      <w:lvlText w:val="%5)"/>
      <w:lvlJc w:val="left"/>
      <w:pPr>
        <w:tabs>
          <w:tab w:val="left" w:pos="1259"/>
        </w:tabs>
        <w:ind w:left="1678" w:hanging="419"/>
      </w:pPr>
      <w:rPr>
        <w:rFonts w:hint="eastAsia"/>
      </w:rPr>
    </w:lvl>
    <w:lvl w:ilvl="5" w:tentative="0">
      <w:start w:val="1"/>
      <w:numFmt w:val="bullet"/>
      <w:pStyle w:val="385"/>
      <w:lvlText w:val=""/>
      <w:lvlJc w:val="left"/>
      <w:pPr>
        <w:tabs>
          <w:tab w:val="left" w:pos="1678"/>
        </w:tabs>
        <w:ind w:left="2098" w:hanging="420"/>
      </w:pPr>
      <w:rPr>
        <w:rFonts w:hint="default" w:ascii="Wingdings" w:hAnsi="Wingdings"/>
      </w:rPr>
    </w:lvl>
    <w:lvl w:ilvl="6" w:tentative="0">
      <w:start w:val="1"/>
      <w:numFmt w:val="none"/>
      <w:suff w:val="nothing"/>
      <w:lvlText w:val=""/>
      <w:lvlJc w:val="left"/>
      <w:pPr>
        <w:ind w:left="0" w:firstLine="0"/>
      </w:pPr>
      <w:rPr>
        <w:rFonts w:hint="eastAsia"/>
      </w:rPr>
    </w:lvl>
    <w:lvl w:ilvl="7" w:tentative="0">
      <w:start w:val="1"/>
      <w:numFmt w:val="decimal"/>
      <w:isLgl/>
      <w:suff w:val="space"/>
      <w:lvlText w:val="%8"/>
      <w:lvlJc w:val="left"/>
      <w:pPr>
        <w:ind w:left="0" w:firstLine="0"/>
      </w:pPr>
      <w:rPr>
        <w:rFonts w:hint="eastAsia"/>
      </w:rPr>
    </w:lvl>
    <w:lvl w:ilvl="8" w:tentative="0">
      <w:start w:val="1"/>
      <w:numFmt w:val="decimal"/>
      <w:isLgl/>
      <w:suff w:val="space"/>
      <w:lvlText w:val="%9"/>
      <w:lvlJc w:val="left"/>
      <w:pPr>
        <w:ind w:left="0" w:firstLine="0"/>
      </w:pPr>
      <w:rPr>
        <w:rFonts w:hint="eastAsia"/>
      </w:rPr>
    </w:lvl>
  </w:abstractNum>
  <w:abstractNum w:abstractNumId="33">
    <w:nsid w:val="55E31B8B"/>
    <w:multiLevelType w:val="singleLevel"/>
    <w:tmpl w:val="55E31B8B"/>
    <w:lvl w:ilvl="0" w:tentative="0">
      <w:start w:val="1"/>
      <w:numFmt w:val="decimal"/>
      <w:suff w:val="nothing"/>
      <w:lvlText w:val="（%1）"/>
      <w:lvlJc w:val="left"/>
    </w:lvl>
  </w:abstractNum>
  <w:abstractNum w:abstractNumId="34">
    <w:nsid w:val="7D99202C"/>
    <w:multiLevelType w:val="singleLevel"/>
    <w:tmpl w:val="7D99202C"/>
    <w:lvl w:ilvl="0" w:tentative="0">
      <w:start w:val="1"/>
      <w:numFmt w:val="decimal"/>
      <w:suff w:val="nothing"/>
      <w:lvlText w:val="%1、"/>
      <w:lvlJc w:val="left"/>
    </w:lvl>
  </w:abstractNum>
  <w:num w:numId="1">
    <w:abstractNumId w:val="9"/>
  </w:num>
  <w:num w:numId="2">
    <w:abstractNumId w:val="11"/>
  </w:num>
  <w:num w:numId="3">
    <w:abstractNumId w:val="14"/>
  </w:num>
  <w:num w:numId="4">
    <w:abstractNumId w:val="26"/>
  </w:num>
  <w:num w:numId="5">
    <w:abstractNumId w:val="12"/>
  </w:num>
  <w:num w:numId="6">
    <w:abstractNumId w:val="8"/>
  </w:num>
  <w:num w:numId="7">
    <w:abstractNumId w:val="13"/>
  </w:num>
  <w:num w:numId="8">
    <w:abstractNumId w:val="10"/>
  </w:num>
  <w:num w:numId="9">
    <w:abstractNumId w:val="6"/>
  </w:num>
  <w:num w:numId="10">
    <w:abstractNumId w:val="18"/>
  </w:num>
  <w:num w:numId="11">
    <w:abstractNumId w:val="7"/>
  </w:num>
  <w:num w:numId="12">
    <w:abstractNumId w:val="32"/>
  </w:num>
  <w:num w:numId="13">
    <w:abstractNumId w:val="17"/>
  </w:num>
  <w:num w:numId="14">
    <w:abstractNumId w:val="20"/>
  </w:num>
  <w:num w:numId="15">
    <w:abstractNumId w:val="23"/>
  </w:num>
  <w:num w:numId="16">
    <w:abstractNumId w:val="30"/>
  </w:num>
  <w:num w:numId="17">
    <w:abstractNumId w:val="16"/>
  </w:num>
  <w:num w:numId="18">
    <w:abstractNumId w:val="22"/>
  </w:num>
  <w:num w:numId="19">
    <w:abstractNumId w:val="28"/>
  </w:num>
  <w:num w:numId="20">
    <w:abstractNumId w:val="29"/>
  </w:num>
  <w:num w:numId="21">
    <w:abstractNumId w:val="24"/>
  </w:num>
  <w:num w:numId="22">
    <w:abstractNumId w:val="25"/>
  </w:num>
  <w:num w:numId="23">
    <w:abstractNumId w:val="31"/>
  </w:num>
  <w:num w:numId="24">
    <w:abstractNumId w:val="27"/>
  </w:num>
  <w:num w:numId="25">
    <w:abstractNumId w:val="21"/>
  </w:num>
  <w:num w:numId="26">
    <w:abstractNumId w:val="19"/>
  </w:num>
  <w:num w:numId="27">
    <w:abstractNumId w:val="2"/>
  </w:num>
  <w:num w:numId="28">
    <w:abstractNumId w:val="33"/>
  </w:num>
  <w:num w:numId="29">
    <w:abstractNumId w:val="15"/>
  </w:num>
  <w:num w:numId="30">
    <w:abstractNumId w:val="1"/>
  </w:num>
  <w:num w:numId="31">
    <w:abstractNumId w:val="0"/>
  </w:num>
  <w:num w:numId="32">
    <w:abstractNumId w:val="4"/>
  </w:num>
  <w:num w:numId="33">
    <w:abstractNumId w:val="3"/>
  </w:num>
  <w:num w:numId="34">
    <w:abstractNumId w:val="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MWIwZWZmN2FkZjA2MGMzZGU5YzllMjk0MzMyMDkifQ=="/>
    <w:docVar w:name="KSO_WPS_MARK_KEY" w:val="6fcc0608-9411-4d15-9f01-ed191ad4606a"/>
  </w:docVars>
  <w:rsids>
    <w:rsidRoot w:val="00A305FB"/>
    <w:rsid w:val="00126B15"/>
    <w:rsid w:val="001E2C96"/>
    <w:rsid w:val="00450F94"/>
    <w:rsid w:val="00A305FB"/>
    <w:rsid w:val="00A71C2C"/>
    <w:rsid w:val="00AD3BE9"/>
    <w:rsid w:val="00B109F0"/>
    <w:rsid w:val="00D164B6"/>
    <w:rsid w:val="00ED4159"/>
    <w:rsid w:val="040A18A9"/>
    <w:rsid w:val="06CB146B"/>
    <w:rsid w:val="07EF2B72"/>
    <w:rsid w:val="09C12391"/>
    <w:rsid w:val="0A0424E3"/>
    <w:rsid w:val="0E0E5EB9"/>
    <w:rsid w:val="0F55268B"/>
    <w:rsid w:val="120820DD"/>
    <w:rsid w:val="125451FE"/>
    <w:rsid w:val="12C17696"/>
    <w:rsid w:val="17D642D2"/>
    <w:rsid w:val="1D232297"/>
    <w:rsid w:val="1D9F6E7B"/>
    <w:rsid w:val="25503EF2"/>
    <w:rsid w:val="26B648E9"/>
    <w:rsid w:val="292F2731"/>
    <w:rsid w:val="2DF84A08"/>
    <w:rsid w:val="36D83A8D"/>
    <w:rsid w:val="372E7D6F"/>
    <w:rsid w:val="3E322BE3"/>
    <w:rsid w:val="4B022220"/>
    <w:rsid w:val="51A31430"/>
    <w:rsid w:val="5E233453"/>
    <w:rsid w:val="5F216476"/>
    <w:rsid w:val="6076382F"/>
    <w:rsid w:val="61167E56"/>
    <w:rsid w:val="63162301"/>
    <w:rsid w:val="652F7881"/>
    <w:rsid w:val="68D562F9"/>
    <w:rsid w:val="6A340370"/>
    <w:rsid w:val="6D854418"/>
    <w:rsid w:val="734B7D0E"/>
    <w:rsid w:val="790A0AAF"/>
    <w:rsid w:val="79984D55"/>
    <w:rsid w:val="7F37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9"/>
    <w:qFormat/>
    <w:uiPriority w:val="0"/>
    <w:pPr>
      <w:keepNext/>
      <w:keepLines/>
      <w:spacing w:before="340" w:after="330" w:line="576" w:lineRule="auto"/>
      <w:outlineLvl w:val="0"/>
    </w:pPr>
    <w:rPr>
      <w:b/>
      <w:kern w:val="44"/>
      <w:sz w:val="44"/>
      <w:szCs w:val="20"/>
    </w:rPr>
  </w:style>
  <w:style w:type="paragraph" w:styleId="5">
    <w:name w:val="heading 2"/>
    <w:basedOn w:val="1"/>
    <w:next w:val="1"/>
    <w:link w:val="10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102"/>
    <w:qFormat/>
    <w:uiPriority w:val="0"/>
    <w:pPr>
      <w:keepNext/>
      <w:keepLines/>
      <w:spacing w:before="260" w:after="260" w:line="415" w:lineRule="auto"/>
      <w:outlineLvl w:val="2"/>
    </w:pPr>
    <w:rPr>
      <w:rFonts w:cs="Angsana New"/>
      <w:b/>
      <w:bCs/>
      <w:sz w:val="32"/>
      <w:szCs w:val="32"/>
      <w:lang w:bidi="th-TH"/>
    </w:rPr>
  </w:style>
  <w:style w:type="paragraph" w:styleId="7">
    <w:name w:val="heading 4"/>
    <w:basedOn w:val="1"/>
    <w:next w:val="1"/>
    <w:link w:val="10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4"/>
    <w:qFormat/>
    <w:uiPriority w:val="0"/>
    <w:pPr>
      <w:keepNext/>
      <w:keepLines/>
      <w:spacing w:before="280" w:after="290" w:line="376" w:lineRule="auto"/>
      <w:outlineLvl w:val="4"/>
    </w:pPr>
    <w:rPr>
      <w:b/>
      <w:bCs/>
      <w:sz w:val="28"/>
      <w:szCs w:val="28"/>
    </w:rPr>
  </w:style>
  <w:style w:type="paragraph" w:styleId="9">
    <w:name w:val="heading 6"/>
    <w:basedOn w:val="1"/>
    <w:next w:val="1"/>
    <w:link w:val="105"/>
    <w:qFormat/>
    <w:uiPriority w:val="0"/>
    <w:pPr>
      <w:keepNext/>
      <w:keepLines/>
      <w:tabs>
        <w:tab w:val="left" w:pos="1332"/>
      </w:tabs>
      <w:spacing w:before="240" w:after="64" w:line="320" w:lineRule="auto"/>
      <w:ind w:left="1332" w:hanging="1152"/>
      <w:outlineLvl w:val="5"/>
    </w:pPr>
    <w:rPr>
      <w:rFonts w:ascii="Arial" w:hAnsi="Arial" w:eastAsia="黑体"/>
      <w:b/>
      <w:bCs/>
      <w:sz w:val="24"/>
    </w:rPr>
  </w:style>
  <w:style w:type="paragraph" w:styleId="10">
    <w:name w:val="heading 7"/>
    <w:basedOn w:val="1"/>
    <w:next w:val="1"/>
    <w:link w:val="106"/>
    <w:qFormat/>
    <w:uiPriority w:val="0"/>
    <w:pPr>
      <w:keepNext/>
      <w:keepLines/>
      <w:tabs>
        <w:tab w:val="left" w:pos="1476"/>
      </w:tabs>
      <w:spacing w:before="240" w:after="64" w:line="320" w:lineRule="auto"/>
      <w:ind w:left="1476" w:hanging="1296"/>
      <w:outlineLvl w:val="6"/>
    </w:pPr>
    <w:rPr>
      <w:b/>
      <w:bCs/>
      <w:sz w:val="24"/>
    </w:rPr>
  </w:style>
  <w:style w:type="paragraph" w:styleId="11">
    <w:name w:val="heading 8"/>
    <w:basedOn w:val="1"/>
    <w:next w:val="1"/>
    <w:link w:val="107"/>
    <w:qFormat/>
    <w:uiPriority w:val="0"/>
    <w:pPr>
      <w:keepNext/>
      <w:keepLines/>
      <w:tabs>
        <w:tab w:val="left" w:pos="1620"/>
      </w:tabs>
      <w:spacing w:before="240" w:after="64" w:line="320" w:lineRule="auto"/>
      <w:ind w:left="1620" w:hanging="1440"/>
      <w:outlineLvl w:val="7"/>
    </w:pPr>
    <w:rPr>
      <w:rFonts w:ascii="Arial" w:hAnsi="Arial" w:eastAsia="黑体"/>
      <w:sz w:val="24"/>
    </w:rPr>
  </w:style>
  <w:style w:type="paragraph" w:styleId="12">
    <w:name w:val="heading 9"/>
    <w:basedOn w:val="1"/>
    <w:next w:val="1"/>
    <w:link w:val="108"/>
    <w:qFormat/>
    <w:uiPriority w:val="0"/>
    <w:pPr>
      <w:keepNext/>
      <w:keepLines/>
      <w:tabs>
        <w:tab w:val="left" w:pos="1764"/>
      </w:tabs>
      <w:spacing w:before="240" w:after="64" w:line="320" w:lineRule="auto"/>
      <w:ind w:left="1764" w:hanging="1584"/>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eastAsia="仿宋"/>
      <w:sz w:val="24"/>
      <w:szCs w:val="20"/>
    </w:rPr>
  </w:style>
  <w:style w:type="paragraph" w:styleId="3">
    <w:name w:val="macro"/>
    <w:link w:val="10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宋体" w:cs="Times New Roman"/>
      <w:kern w:val="2"/>
      <w:sz w:val="24"/>
      <w:szCs w:val="24"/>
      <w:lang w:val="en-US" w:eastAsia="zh-CN" w:bidi="ar-SA"/>
    </w:rPr>
  </w:style>
  <w:style w:type="paragraph" w:styleId="13">
    <w:name w:val="List 3"/>
    <w:basedOn w:val="1"/>
    <w:qFormat/>
    <w:uiPriority w:val="0"/>
    <w:pPr>
      <w:adjustRightInd w:val="0"/>
      <w:spacing w:line="312" w:lineRule="atLeast"/>
      <w:ind w:left="100" w:leftChars="400" w:hanging="200" w:hangingChars="200"/>
      <w:textAlignment w:val="baseline"/>
    </w:pPr>
    <w:rPr>
      <w:rFonts w:eastAsia="仿宋"/>
      <w:kern w:val="0"/>
      <w:sz w:val="32"/>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adjustRightInd w:val="0"/>
      <w:spacing w:line="312" w:lineRule="atLeast"/>
      <w:textAlignment w:val="baseline"/>
    </w:pPr>
    <w:rPr>
      <w:rFonts w:eastAsia="仿宋"/>
      <w:kern w:val="0"/>
      <w:sz w:val="32"/>
      <w:szCs w:val="20"/>
    </w:rPr>
  </w:style>
  <w:style w:type="paragraph" w:styleId="16">
    <w:name w:val="table of authorities"/>
    <w:basedOn w:val="1"/>
    <w:next w:val="1"/>
    <w:qFormat/>
    <w:uiPriority w:val="0"/>
    <w:pPr>
      <w:adjustRightInd w:val="0"/>
      <w:spacing w:line="312" w:lineRule="atLeast"/>
      <w:ind w:left="420" w:leftChars="200"/>
      <w:textAlignment w:val="baseline"/>
    </w:pPr>
    <w:rPr>
      <w:rFonts w:eastAsia="仿宋"/>
      <w:kern w:val="0"/>
      <w:sz w:val="32"/>
      <w:szCs w:val="20"/>
    </w:rPr>
  </w:style>
  <w:style w:type="paragraph" w:styleId="17">
    <w:name w:val="Note Heading"/>
    <w:basedOn w:val="1"/>
    <w:next w:val="1"/>
    <w:link w:val="109"/>
    <w:qFormat/>
    <w:uiPriority w:val="0"/>
    <w:pPr>
      <w:adjustRightInd w:val="0"/>
      <w:spacing w:line="312" w:lineRule="atLeast"/>
      <w:jc w:val="center"/>
      <w:textAlignment w:val="baseline"/>
    </w:pPr>
    <w:rPr>
      <w:rFonts w:eastAsia="仿宋"/>
      <w:kern w:val="0"/>
      <w:sz w:val="32"/>
      <w:szCs w:val="20"/>
    </w:rPr>
  </w:style>
  <w:style w:type="paragraph" w:styleId="18">
    <w:name w:val="List Bullet 4"/>
    <w:basedOn w:val="1"/>
    <w:qFormat/>
    <w:uiPriority w:val="0"/>
    <w:pPr>
      <w:numPr>
        <w:ilvl w:val="0"/>
        <w:numId w:val="2"/>
      </w:numPr>
      <w:adjustRightInd w:val="0"/>
      <w:spacing w:line="312" w:lineRule="atLeast"/>
      <w:textAlignment w:val="baseline"/>
    </w:pPr>
    <w:rPr>
      <w:rFonts w:eastAsia="仿宋"/>
      <w:kern w:val="0"/>
      <w:sz w:val="32"/>
      <w:szCs w:val="20"/>
    </w:rPr>
  </w:style>
  <w:style w:type="paragraph" w:styleId="19">
    <w:name w:val="index 8"/>
    <w:basedOn w:val="1"/>
    <w:next w:val="1"/>
    <w:qFormat/>
    <w:uiPriority w:val="0"/>
    <w:pPr>
      <w:adjustRightInd w:val="0"/>
      <w:spacing w:line="312" w:lineRule="atLeast"/>
      <w:ind w:left="1400" w:leftChars="1400"/>
      <w:textAlignment w:val="baseline"/>
    </w:pPr>
    <w:rPr>
      <w:rFonts w:eastAsia="仿宋"/>
      <w:kern w:val="0"/>
      <w:sz w:val="32"/>
      <w:szCs w:val="20"/>
    </w:rPr>
  </w:style>
  <w:style w:type="paragraph" w:styleId="20">
    <w:name w:val="E-mail Signature"/>
    <w:basedOn w:val="1"/>
    <w:link w:val="110"/>
    <w:qFormat/>
    <w:uiPriority w:val="0"/>
    <w:pPr>
      <w:adjustRightInd w:val="0"/>
      <w:spacing w:line="312" w:lineRule="atLeast"/>
      <w:textAlignment w:val="baseline"/>
    </w:pPr>
    <w:rPr>
      <w:rFonts w:eastAsia="仿宋"/>
      <w:kern w:val="0"/>
      <w:sz w:val="32"/>
      <w:szCs w:val="20"/>
    </w:rPr>
  </w:style>
  <w:style w:type="paragraph" w:styleId="21">
    <w:name w:val="List Number"/>
    <w:basedOn w:val="1"/>
    <w:qFormat/>
    <w:uiPriority w:val="0"/>
    <w:pPr>
      <w:numPr>
        <w:ilvl w:val="0"/>
        <w:numId w:val="3"/>
      </w:numPr>
      <w:adjustRightInd w:val="0"/>
      <w:spacing w:line="312" w:lineRule="atLeast"/>
      <w:textAlignment w:val="baseline"/>
    </w:pPr>
    <w:rPr>
      <w:rFonts w:eastAsia="仿宋"/>
      <w:kern w:val="0"/>
      <w:sz w:val="32"/>
      <w:szCs w:val="20"/>
    </w:rPr>
  </w:style>
  <w:style w:type="paragraph" w:styleId="22">
    <w:name w:val="Normal Indent"/>
    <w:basedOn w:val="1"/>
    <w:link w:val="111"/>
    <w:qFormat/>
    <w:uiPriority w:val="0"/>
    <w:pPr>
      <w:spacing w:line="300" w:lineRule="auto"/>
      <w:ind w:firstLine="200" w:firstLineChars="200"/>
    </w:p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qFormat/>
    <w:uiPriority w:val="0"/>
    <w:pPr>
      <w:adjustRightInd w:val="0"/>
      <w:spacing w:line="312" w:lineRule="atLeast"/>
      <w:ind w:left="800" w:leftChars="800"/>
      <w:textAlignment w:val="baseline"/>
    </w:pPr>
    <w:rPr>
      <w:rFonts w:eastAsia="仿宋"/>
      <w:kern w:val="0"/>
      <w:sz w:val="32"/>
      <w:szCs w:val="20"/>
    </w:rPr>
  </w:style>
  <w:style w:type="paragraph" w:styleId="25">
    <w:name w:val="List Bullet"/>
    <w:basedOn w:val="1"/>
    <w:qFormat/>
    <w:uiPriority w:val="0"/>
    <w:pPr>
      <w:numPr>
        <w:ilvl w:val="0"/>
        <w:numId w:val="4"/>
      </w:numPr>
      <w:tabs>
        <w:tab w:val="left" w:pos="360"/>
      </w:tabs>
      <w:ind w:left="360" w:hanging="360" w:hangingChars="200"/>
      <w:contextualSpacing/>
    </w:pPr>
  </w:style>
  <w:style w:type="paragraph" w:styleId="26">
    <w:name w:val="envelope address"/>
    <w:basedOn w:val="1"/>
    <w:qFormat/>
    <w:uiPriority w:val="0"/>
    <w:pPr>
      <w:framePr w:w="7920" w:h="1980" w:hRule="exact" w:hSpace="180" w:wrap="around" w:vAnchor="margin" w:hAnchor="page" w:xAlign="center" w:yAlign="bottom"/>
      <w:adjustRightInd w:val="0"/>
      <w:snapToGrid w:val="0"/>
      <w:spacing w:line="312" w:lineRule="atLeast"/>
      <w:ind w:left="100" w:leftChars="1400"/>
      <w:textAlignment w:val="baseline"/>
    </w:pPr>
    <w:rPr>
      <w:rFonts w:ascii="Arial" w:hAnsi="Arial" w:eastAsia="仿宋" w:cs="Arial"/>
      <w:kern w:val="0"/>
      <w:sz w:val="24"/>
    </w:rPr>
  </w:style>
  <w:style w:type="paragraph" w:styleId="27">
    <w:name w:val="Document Map"/>
    <w:basedOn w:val="1"/>
    <w:link w:val="112"/>
    <w:qFormat/>
    <w:uiPriority w:val="0"/>
    <w:pPr>
      <w:shd w:val="clear" w:color="auto" w:fill="000080"/>
    </w:pPr>
  </w:style>
  <w:style w:type="paragraph" w:styleId="28">
    <w:name w:val="annotation text"/>
    <w:basedOn w:val="1"/>
    <w:link w:val="113"/>
    <w:qFormat/>
    <w:uiPriority w:val="0"/>
    <w:pPr>
      <w:jc w:val="left"/>
    </w:pPr>
  </w:style>
  <w:style w:type="paragraph" w:styleId="29">
    <w:name w:val="index 6"/>
    <w:basedOn w:val="1"/>
    <w:next w:val="1"/>
    <w:qFormat/>
    <w:uiPriority w:val="0"/>
    <w:pPr>
      <w:adjustRightInd w:val="0"/>
      <w:spacing w:line="312" w:lineRule="atLeast"/>
      <w:ind w:left="1000" w:leftChars="1000"/>
      <w:textAlignment w:val="baseline"/>
    </w:pPr>
    <w:rPr>
      <w:rFonts w:eastAsia="仿宋"/>
      <w:kern w:val="0"/>
      <w:sz w:val="32"/>
      <w:szCs w:val="20"/>
    </w:rPr>
  </w:style>
  <w:style w:type="paragraph" w:styleId="30">
    <w:name w:val="Salutation"/>
    <w:basedOn w:val="1"/>
    <w:next w:val="1"/>
    <w:link w:val="114"/>
    <w:qFormat/>
    <w:uiPriority w:val="0"/>
    <w:pPr>
      <w:adjustRightInd w:val="0"/>
      <w:spacing w:line="312" w:lineRule="atLeast"/>
      <w:textAlignment w:val="baseline"/>
    </w:pPr>
    <w:rPr>
      <w:rFonts w:eastAsia="仿宋"/>
      <w:kern w:val="0"/>
      <w:sz w:val="32"/>
      <w:szCs w:val="20"/>
    </w:rPr>
  </w:style>
  <w:style w:type="paragraph" w:styleId="31">
    <w:name w:val="Body Text 3"/>
    <w:basedOn w:val="1"/>
    <w:link w:val="115"/>
    <w:qFormat/>
    <w:uiPriority w:val="0"/>
    <w:pPr>
      <w:adjustRightInd w:val="0"/>
      <w:spacing w:after="120" w:line="312" w:lineRule="atLeast"/>
      <w:textAlignment w:val="baseline"/>
    </w:pPr>
    <w:rPr>
      <w:rFonts w:eastAsia="仿宋"/>
      <w:kern w:val="0"/>
      <w:sz w:val="16"/>
      <w:szCs w:val="16"/>
    </w:rPr>
  </w:style>
  <w:style w:type="paragraph" w:styleId="32">
    <w:name w:val="Closing"/>
    <w:basedOn w:val="1"/>
    <w:link w:val="116"/>
    <w:qFormat/>
    <w:uiPriority w:val="0"/>
    <w:pPr>
      <w:adjustRightInd w:val="0"/>
      <w:spacing w:line="312" w:lineRule="atLeast"/>
      <w:ind w:left="100" w:leftChars="2100"/>
      <w:textAlignment w:val="baseline"/>
    </w:pPr>
    <w:rPr>
      <w:rFonts w:eastAsia="仿宋"/>
      <w:kern w:val="0"/>
      <w:sz w:val="32"/>
      <w:szCs w:val="20"/>
    </w:rPr>
  </w:style>
  <w:style w:type="paragraph" w:styleId="33">
    <w:name w:val="List Bullet 3"/>
    <w:basedOn w:val="1"/>
    <w:qFormat/>
    <w:uiPriority w:val="0"/>
    <w:pPr>
      <w:numPr>
        <w:ilvl w:val="0"/>
        <w:numId w:val="5"/>
      </w:numPr>
      <w:adjustRightInd w:val="0"/>
      <w:spacing w:line="312" w:lineRule="atLeast"/>
      <w:textAlignment w:val="baseline"/>
    </w:pPr>
    <w:rPr>
      <w:rFonts w:eastAsia="仿宋"/>
      <w:kern w:val="0"/>
      <w:sz w:val="32"/>
      <w:szCs w:val="20"/>
    </w:rPr>
  </w:style>
  <w:style w:type="paragraph" w:styleId="34">
    <w:name w:val="Body Text"/>
    <w:basedOn w:val="1"/>
    <w:link w:val="117"/>
    <w:qFormat/>
    <w:uiPriority w:val="0"/>
    <w:pPr>
      <w:jc w:val="left"/>
    </w:pPr>
    <w:rPr>
      <w:rFonts w:ascii="宋体"/>
      <w:sz w:val="24"/>
    </w:rPr>
  </w:style>
  <w:style w:type="paragraph" w:styleId="35">
    <w:name w:val="Body Text Indent"/>
    <w:basedOn w:val="1"/>
    <w:link w:val="118"/>
    <w:qFormat/>
    <w:uiPriority w:val="0"/>
    <w:pPr>
      <w:ind w:firstLine="444"/>
    </w:pPr>
    <w:rPr>
      <w:b/>
      <w:sz w:val="24"/>
    </w:rPr>
  </w:style>
  <w:style w:type="paragraph" w:styleId="36">
    <w:name w:val="List Number 3"/>
    <w:basedOn w:val="1"/>
    <w:qFormat/>
    <w:uiPriority w:val="0"/>
    <w:pPr>
      <w:numPr>
        <w:ilvl w:val="0"/>
        <w:numId w:val="6"/>
      </w:numPr>
      <w:adjustRightInd w:val="0"/>
      <w:spacing w:line="312" w:lineRule="atLeast"/>
      <w:textAlignment w:val="baseline"/>
    </w:pPr>
    <w:rPr>
      <w:rFonts w:eastAsia="仿宋"/>
      <w:kern w:val="0"/>
      <w:sz w:val="32"/>
      <w:szCs w:val="20"/>
    </w:rPr>
  </w:style>
  <w:style w:type="paragraph" w:styleId="37">
    <w:name w:val="List 2"/>
    <w:basedOn w:val="1"/>
    <w:next w:val="38"/>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38">
    <w:name w:val="Plain Text"/>
    <w:basedOn w:val="1"/>
    <w:link w:val="119"/>
    <w:qFormat/>
    <w:uiPriority w:val="0"/>
    <w:rPr>
      <w:rFonts w:ascii="宋体"/>
      <w:szCs w:val="20"/>
    </w:rPr>
  </w:style>
  <w:style w:type="paragraph" w:styleId="39">
    <w:name w:val="List Continue"/>
    <w:basedOn w:val="1"/>
    <w:qFormat/>
    <w:uiPriority w:val="0"/>
    <w:pPr>
      <w:adjustRightInd w:val="0"/>
      <w:spacing w:after="120" w:line="312" w:lineRule="atLeast"/>
      <w:ind w:left="420" w:leftChars="200"/>
      <w:textAlignment w:val="baseline"/>
    </w:pPr>
    <w:rPr>
      <w:rFonts w:eastAsia="仿宋"/>
      <w:kern w:val="0"/>
      <w:sz w:val="32"/>
      <w:szCs w:val="20"/>
    </w:rPr>
  </w:style>
  <w:style w:type="paragraph" w:styleId="40">
    <w:name w:val="Block Text"/>
    <w:basedOn w:val="1"/>
    <w:qFormat/>
    <w:uiPriority w:val="0"/>
    <w:pPr>
      <w:adjustRightInd w:val="0"/>
      <w:spacing w:after="120" w:line="312" w:lineRule="atLeast"/>
      <w:ind w:left="1440" w:leftChars="700" w:right="1440" w:rightChars="700"/>
      <w:textAlignment w:val="baseline"/>
    </w:pPr>
    <w:rPr>
      <w:rFonts w:eastAsia="仿宋"/>
      <w:kern w:val="0"/>
      <w:sz w:val="32"/>
      <w:szCs w:val="20"/>
    </w:rPr>
  </w:style>
  <w:style w:type="paragraph" w:styleId="41">
    <w:name w:val="List Bullet 2"/>
    <w:basedOn w:val="1"/>
    <w:qFormat/>
    <w:uiPriority w:val="0"/>
    <w:pPr>
      <w:numPr>
        <w:ilvl w:val="0"/>
        <w:numId w:val="7"/>
      </w:numPr>
      <w:adjustRightInd w:val="0"/>
      <w:spacing w:line="312" w:lineRule="atLeast"/>
      <w:textAlignment w:val="baseline"/>
    </w:pPr>
    <w:rPr>
      <w:rFonts w:eastAsia="仿宋"/>
      <w:kern w:val="0"/>
      <w:sz w:val="32"/>
      <w:szCs w:val="20"/>
    </w:rPr>
  </w:style>
  <w:style w:type="paragraph" w:styleId="42">
    <w:name w:val="HTML Address"/>
    <w:basedOn w:val="1"/>
    <w:link w:val="120"/>
    <w:qFormat/>
    <w:uiPriority w:val="0"/>
    <w:pPr>
      <w:adjustRightInd w:val="0"/>
      <w:spacing w:line="312" w:lineRule="atLeast"/>
      <w:textAlignment w:val="baseline"/>
    </w:pPr>
    <w:rPr>
      <w:rFonts w:eastAsia="仿宋"/>
      <w:i/>
      <w:iCs/>
      <w:kern w:val="0"/>
      <w:sz w:val="32"/>
      <w:szCs w:val="20"/>
    </w:rPr>
  </w:style>
  <w:style w:type="paragraph" w:styleId="43">
    <w:name w:val="index 4"/>
    <w:basedOn w:val="1"/>
    <w:next w:val="1"/>
    <w:qFormat/>
    <w:uiPriority w:val="0"/>
    <w:pPr>
      <w:adjustRightInd w:val="0"/>
      <w:spacing w:line="312" w:lineRule="atLeast"/>
      <w:ind w:left="600" w:leftChars="600"/>
      <w:textAlignment w:val="baseline"/>
    </w:pPr>
    <w:rPr>
      <w:rFonts w:eastAsia="仿宋"/>
      <w:kern w:val="0"/>
      <w:sz w:val="32"/>
      <w:szCs w:val="20"/>
    </w:rPr>
  </w:style>
  <w:style w:type="paragraph" w:styleId="44">
    <w:name w:val="toc 5"/>
    <w:basedOn w:val="1"/>
    <w:next w:val="1"/>
    <w:qFormat/>
    <w:uiPriority w:val="0"/>
    <w:pPr>
      <w:ind w:left="1680" w:leftChars="800"/>
    </w:pPr>
  </w:style>
  <w:style w:type="paragraph" w:styleId="45">
    <w:name w:val="toc 3"/>
    <w:basedOn w:val="1"/>
    <w:next w:val="1"/>
    <w:qFormat/>
    <w:uiPriority w:val="0"/>
    <w:pPr>
      <w:tabs>
        <w:tab w:val="left" w:pos="900"/>
        <w:tab w:val="right" w:leader="dot" w:pos="8494"/>
      </w:tabs>
      <w:spacing w:line="360" w:lineRule="auto"/>
      <w:ind w:left="539" w:leftChars="86" w:hanging="358" w:hangingChars="149"/>
    </w:pPr>
  </w:style>
  <w:style w:type="paragraph" w:styleId="46">
    <w:name w:val="List Bullet 5"/>
    <w:basedOn w:val="1"/>
    <w:qFormat/>
    <w:uiPriority w:val="0"/>
    <w:pPr>
      <w:numPr>
        <w:ilvl w:val="0"/>
        <w:numId w:val="8"/>
      </w:numPr>
      <w:adjustRightInd w:val="0"/>
      <w:spacing w:line="312" w:lineRule="atLeast"/>
      <w:textAlignment w:val="baseline"/>
    </w:pPr>
    <w:rPr>
      <w:rFonts w:eastAsia="仿宋"/>
      <w:kern w:val="0"/>
      <w:sz w:val="32"/>
      <w:szCs w:val="20"/>
    </w:rPr>
  </w:style>
  <w:style w:type="paragraph" w:styleId="47">
    <w:name w:val="List Number 4"/>
    <w:basedOn w:val="1"/>
    <w:qFormat/>
    <w:uiPriority w:val="0"/>
    <w:pPr>
      <w:tabs>
        <w:tab w:val="left" w:pos="1620"/>
      </w:tabs>
      <w:adjustRightInd w:val="0"/>
      <w:spacing w:line="312" w:lineRule="atLeast"/>
      <w:ind w:left="1620" w:leftChars="600" w:hanging="360" w:hangingChars="200"/>
      <w:textAlignment w:val="baseline"/>
    </w:pPr>
    <w:rPr>
      <w:rFonts w:eastAsia="仿宋"/>
      <w:kern w:val="0"/>
      <w:sz w:val="32"/>
      <w:szCs w:val="20"/>
    </w:rPr>
  </w:style>
  <w:style w:type="paragraph" w:styleId="48">
    <w:name w:val="toc 8"/>
    <w:basedOn w:val="1"/>
    <w:next w:val="1"/>
    <w:qFormat/>
    <w:uiPriority w:val="0"/>
    <w:pPr>
      <w:ind w:left="2940" w:leftChars="1400"/>
    </w:pPr>
  </w:style>
  <w:style w:type="paragraph" w:styleId="49">
    <w:name w:val="index 3"/>
    <w:basedOn w:val="1"/>
    <w:next w:val="1"/>
    <w:qFormat/>
    <w:uiPriority w:val="0"/>
    <w:pPr>
      <w:adjustRightInd w:val="0"/>
      <w:spacing w:line="312" w:lineRule="atLeast"/>
      <w:ind w:left="400" w:leftChars="400"/>
      <w:textAlignment w:val="baseline"/>
    </w:pPr>
    <w:rPr>
      <w:rFonts w:eastAsia="仿宋"/>
      <w:kern w:val="0"/>
      <w:sz w:val="32"/>
      <w:szCs w:val="20"/>
    </w:rPr>
  </w:style>
  <w:style w:type="paragraph" w:styleId="50">
    <w:name w:val="Date"/>
    <w:basedOn w:val="1"/>
    <w:next w:val="1"/>
    <w:link w:val="121"/>
    <w:qFormat/>
    <w:uiPriority w:val="0"/>
    <w:pPr>
      <w:ind w:left="2500" w:leftChars="2500"/>
    </w:pPr>
    <w:rPr>
      <w:rFonts w:ascii="宋体"/>
      <w:sz w:val="24"/>
    </w:rPr>
  </w:style>
  <w:style w:type="paragraph" w:styleId="51">
    <w:name w:val="Body Text Indent 2"/>
    <w:basedOn w:val="1"/>
    <w:link w:val="122"/>
    <w:qFormat/>
    <w:uiPriority w:val="0"/>
    <w:pPr>
      <w:spacing w:after="120" w:line="480" w:lineRule="auto"/>
      <w:ind w:left="200" w:leftChars="200"/>
    </w:pPr>
  </w:style>
  <w:style w:type="paragraph" w:styleId="52">
    <w:name w:val="endnote text"/>
    <w:basedOn w:val="1"/>
    <w:link w:val="123"/>
    <w:qFormat/>
    <w:uiPriority w:val="0"/>
    <w:pPr>
      <w:snapToGrid w:val="0"/>
      <w:jc w:val="left"/>
    </w:pPr>
  </w:style>
  <w:style w:type="paragraph" w:styleId="53">
    <w:name w:val="List Continue 5"/>
    <w:basedOn w:val="1"/>
    <w:qFormat/>
    <w:uiPriority w:val="0"/>
    <w:pPr>
      <w:adjustRightInd w:val="0"/>
      <w:spacing w:after="120" w:line="312" w:lineRule="atLeast"/>
      <w:ind w:left="2100" w:leftChars="1000"/>
      <w:textAlignment w:val="baseline"/>
    </w:pPr>
    <w:rPr>
      <w:rFonts w:eastAsia="仿宋"/>
      <w:kern w:val="0"/>
      <w:sz w:val="32"/>
      <w:szCs w:val="20"/>
    </w:rPr>
  </w:style>
  <w:style w:type="paragraph" w:styleId="54">
    <w:name w:val="Balloon Text"/>
    <w:basedOn w:val="1"/>
    <w:link w:val="124"/>
    <w:qFormat/>
    <w:uiPriority w:val="0"/>
    <w:rPr>
      <w:sz w:val="18"/>
      <w:szCs w:val="18"/>
    </w:rPr>
  </w:style>
  <w:style w:type="paragraph" w:styleId="55">
    <w:name w:val="footer"/>
    <w:basedOn w:val="1"/>
    <w:link w:val="125"/>
    <w:qFormat/>
    <w:uiPriority w:val="0"/>
    <w:pPr>
      <w:tabs>
        <w:tab w:val="center" w:pos="4153"/>
        <w:tab w:val="right" w:pos="8306"/>
      </w:tabs>
      <w:snapToGrid w:val="0"/>
      <w:jc w:val="left"/>
    </w:pPr>
    <w:rPr>
      <w:sz w:val="18"/>
      <w:szCs w:val="18"/>
    </w:rPr>
  </w:style>
  <w:style w:type="paragraph" w:styleId="56">
    <w:name w:val="envelope return"/>
    <w:basedOn w:val="1"/>
    <w:qFormat/>
    <w:uiPriority w:val="0"/>
    <w:pPr>
      <w:adjustRightInd w:val="0"/>
      <w:snapToGrid w:val="0"/>
      <w:spacing w:line="312" w:lineRule="atLeast"/>
      <w:textAlignment w:val="baseline"/>
    </w:pPr>
    <w:rPr>
      <w:rFonts w:ascii="Arial" w:hAnsi="Arial" w:eastAsia="仿宋" w:cs="Arial"/>
      <w:kern w:val="0"/>
      <w:sz w:val="32"/>
      <w:szCs w:val="20"/>
    </w:rPr>
  </w:style>
  <w:style w:type="paragraph" w:styleId="57">
    <w:name w:val="header"/>
    <w:basedOn w:val="1"/>
    <w:link w:val="126"/>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7"/>
    <w:qFormat/>
    <w:uiPriority w:val="0"/>
    <w:pPr>
      <w:adjustRightInd w:val="0"/>
      <w:spacing w:line="312" w:lineRule="atLeast"/>
      <w:ind w:left="100" w:leftChars="2100"/>
      <w:textAlignment w:val="baseline"/>
    </w:pPr>
    <w:rPr>
      <w:rFonts w:eastAsia="仿宋"/>
      <w:kern w:val="0"/>
      <w:sz w:val="32"/>
      <w:szCs w:val="20"/>
    </w:rPr>
  </w:style>
  <w:style w:type="paragraph" w:styleId="59">
    <w:name w:val="toc 1"/>
    <w:basedOn w:val="1"/>
    <w:next w:val="1"/>
    <w:qFormat/>
    <w:uiPriority w:val="0"/>
    <w:pPr>
      <w:tabs>
        <w:tab w:val="left" w:pos="540"/>
        <w:tab w:val="right" w:leader="dot" w:pos="8460"/>
      </w:tabs>
      <w:spacing w:before="156" w:beforeLines="50" w:after="156" w:afterLines="50" w:line="360" w:lineRule="auto"/>
    </w:pPr>
    <w:rPr>
      <w:rFonts w:ascii="宋体" w:hAnsi="宋体" w:cs="Arial"/>
      <w:b/>
      <w:sz w:val="24"/>
    </w:rPr>
  </w:style>
  <w:style w:type="paragraph" w:styleId="60">
    <w:name w:val="List Continue 4"/>
    <w:basedOn w:val="1"/>
    <w:qFormat/>
    <w:uiPriority w:val="0"/>
    <w:pPr>
      <w:adjustRightInd w:val="0"/>
      <w:spacing w:after="120" w:line="312" w:lineRule="atLeast"/>
      <w:ind w:left="1680" w:leftChars="800"/>
      <w:textAlignment w:val="baseline"/>
    </w:pPr>
    <w:rPr>
      <w:rFonts w:eastAsia="仿宋"/>
      <w:kern w:val="0"/>
      <w:sz w:val="32"/>
      <w:szCs w:val="20"/>
    </w:rPr>
  </w:style>
  <w:style w:type="paragraph" w:styleId="61">
    <w:name w:val="toc 4"/>
    <w:basedOn w:val="1"/>
    <w:next w:val="1"/>
    <w:qFormat/>
    <w:uiPriority w:val="0"/>
    <w:pPr>
      <w:tabs>
        <w:tab w:val="left" w:pos="1440"/>
        <w:tab w:val="right" w:leader="dot" w:pos="8494"/>
      </w:tabs>
      <w:spacing w:line="360" w:lineRule="auto"/>
      <w:ind w:left="1440" w:leftChars="257" w:hanging="900" w:hangingChars="375"/>
    </w:pPr>
  </w:style>
  <w:style w:type="paragraph" w:styleId="62">
    <w:name w:val="index heading"/>
    <w:basedOn w:val="1"/>
    <w:next w:val="63"/>
    <w:qFormat/>
    <w:uiPriority w:val="0"/>
    <w:pPr>
      <w:adjustRightInd w:val="0"/>
      <w:spacing w:line="312" w:lineRule="atLeast"/>
      <w:textAlignment w:val="baseline"/>
    </w:pPr>
    <w:rPr>
      <w:rFonts w:ascii="Arial" w:hAnsi="Arial" w:eastAsia="仿宋" w:cs="Arial"/>
      <w:b/>
      <w:bCs/>
      <w:kern w:val="0"/>
      <w:sz w:val="32"/>
      <w:szCs w:val="20"/>
    </w:rPr>
  </w:style>
  <w:style w:type="paragraph" w:styleId="63">
    <w:name w:val="index 1"/>
    <w:basedOn w:val="1"/>
    <w:next w:val="1"/>
    <w:qFormat/>
    <w:uiPriority w:val="0"/>
    <w:rPr>
      <w:rFonts w:eastAsia="仿宋_GB2312"/>
      <w:b/>
      <w:sz w:val="24"/>
      <w:szCs w:val="20"/>
    </w:rPr>
  </w:style>
  <w:style w:type="paragraph" w:styleId="64">
    <w:name w:val="Subtitle"/>
    <w:basedOn w:val="1"/>
    <w:next w:val="1"/>
    <w:link w:val="128"/>
    <w:qFormat/>
    <w:uiPriority w:val="0"/>
    <w:pPr>
      <w:spacing w:before="240" w:after="60" w:line="312" w:lineRule="auto"/>
      <w:jc w:val="center"/>
      <w:outlineLvl w:val="1"/>
    </w:pPr>
    <w:rPr>
      <w:rFonts w:ascii="Cambria" w:hAnsi="Cambria"/>
      <w:b/>
      <w:bCs/>
      <w:kern w:val="28"/>
      <w:sz w:val="32"/>
      <w:szCs w:val="32"/>
    </w:rPr>
  </w:style>
  <w:style w:type="paragraph" w:styleId="65">
    <w:name w:val="List Number 5"/>
    <w:basedOn w:val="1"/>
    <w:qFormat/>
    <w:uiPriority w:val="0"/>
    <w:pPr>
      <w:numPr>
        <w:ilvl w:val="0"/>
        <w:numId w:val="9"/>
      </w:numPr>
      <w:adjustRightInd w:val="0"/>
      <w:spacing w:line="312" w:lineRule="atLeast"/>
      <w:textAlignment w:val="baseline"/>
    </w:pPr>
    <w:rPr>
      <w:rFonts w:eastAsia="仿宋"/>
      <w:kern w:val="0"/>
      <w:sz w:val="32"/>
      <w:szCs w:val="20"/>
    </w:rPr>
  </w:style>
  <w:style w:type="paragraph" w:styleId="66">
    <w:name w:val="List"/>
    <w:basedOn w:val="1"/>
    <w:qFormat/>
    <w:uiPriority w:val="0"/>
    <w:pPr>
      <w:adjustRightInd w:val="0"/>
      <w:spacing w:line="312" w:lineRule="atLeast"/>
      <w:ind w:left="200" w:hanging="200" w:hangingChars="200"/>
      <w:textAlignment w:val="baseline"/>
    </w:pPr>
    <w:rPr>
      <w:rFonts w:eastAsia="仿宋"/>
      <w:kern w:val="0"/>
      <w:sz w:val="32"/>
      <w:szCs w:val="20"/>
    </w:rPr>
  </w:style>
  <w:style w:type="paragraph" w:styleId="67">
    <w:name w:val="footnote text"/>
    <w:basedOn w:val="1"/>
    <w:link w:val="129"/>
    <w:qFormat/>
    <w:uiPriority w:val="0"/>
    <w:pPr>
      <w:adjustRightInd w:val="0"/>
      <w:snapToGrid w:val="0"/>
      <w:spacing w:line="312" w:lineRule="atLeast"/>
      <w:jc w:val="left"/>
      <w:textAlignment w:val="baseline"/>
    </w:pPr>
    <w:rPr>
      <w:rFonts w:eastAsia="仿宋"/>
      <w:kern w:val="0"/>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adjustRightInd w:val="0"/>
      <w:spacing w:line="312" w:lineRule="atLeast"/>
      <w:ind w:left="100" w:leftChars="800" w:hanging="200" w:hangingChars="200"/>
      <w:textAlignment w:val="baseline"/>
    </w:pPr>
    <w:rPr>
      <w:rFonts w:eastAsia="仿宋"/>
      <w:kern w:val="0"/>
      <w:sz w:val="32"/>
      <w:szCs w:val="20"/>
    </w:rPr>
  </w:style>
  <w:style w:type="paragraph" w:styleId="70">
    <w:name w:val="Body Text Indent 3"/>
    <w:basedOn w:val="1"/>
    <w:link w:val="130"/>
    <w:qFormat/>
    <w:uiPriority w:val="0"/>
    <w:pPr>
      <w:spacing w:line="440" w:lineRule="exact"/>
      <w:ind w:firstLine="200" w:firstLineChars="200"/>
    </w:pPr>
    <w:rPr>
      <w:rFonts w:ascii="宋体"/>
    </w:rPr>
  </w:style>
  <w:style w:type="paragraph" w:styleId="71">
    <w:name w:val="index 7"/>
    <w:basedOn w:val="1"/>
    <w:next w:val="1"/>
    <w:qFormat/>
    <w:uiPriority w:val="0"/>
    <w:pPr>
      <w:adjustRightInd w:val="0"/>
      <w:spacing w:line="312" w:lineRule="atLeast"/>
      <w:ind w:left="1200" w:leftChars="1200"/>
      <w:textAlignment w:val="baseline"/>
    </w:pPr>
    <w:rPr>
      <w:rFonts w:eastAsia="仿宋"/>
      <w:kern w:val="0"/>
      <w:sz w:val="32"/>
      <w:szCs w:val="20"/>
    </w:rPr>
  </w:style>
  <w:style w:type="paragraph" w:styleId="72">
    <w:name w:val="index 9"/>
    <w:basedOn w:val="1"/>
    <w:next w:val="1"/>
    <w:qFormat/>
    <w:uiPriority w:val="0"/>
    <w:pPr>
      <w:adjustRightInd w:val="0"/>
      <w:spacing w:line="312" w:lineRule="atLeast"/>
      <w:ind w:left="1600" w:leftChars="1600"/>
      <w:textAlignment w:val="baseline"/>
    </w:pPr>
    <w:rPr>
      <w:rFonts w:eastAsia="仿宋"/>
      <w:kern w:val="0"/>
      <w:sz w:val="32"/>
      <w:szCs w:val="20"/>
    </w:r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tabs>
        <w:tab w:val="left" w:pos="630"/>
        <w:tab w:val="right" w:leader="dot" w:pos="8658"/>
        <w:tab w:val="right" w:leader="middleDot" w:pos="9515"/>
      </w:tabs>
      <w:spacing w:line="360" w:lineRule="auto"/>
      <w:ind w:left="615" w:leftChars="100" w:hanging="405" w:hangingChars="168"/>
    </w:pPr>
    <w:rPr>
      <w:rFonts w:ascii="宋体" w:hAnsi="宋体"/>
      <w:b/>
      <w:smallCaps/>
      <w:sz w:val="24"/>
    </w:rPr>
  </w:style>
  <w:style w:type="paragraph" w:styleId="75">
    <w:name w:val="toc 9"/>
    <w:basedOn w:val="1"/>
    <w:next w:val="1"/>
    <w:qFormat/>
    <w:uiPriority w:val="0"/>
    <w:pPr>
      <w:ind w:left="3360" w:leftChars="1600"/>
    </w:pPr>
  </w:style>
  <w:style w:type="paragraph" w:styleId="76">
    <w:name w:val="Body Text 2"/>
    <w:basedOn w:val="1"/>
    <w:link w:val="131"/>
    <w:qFormat/>
    <w:uiPriority w:val="0"/>
    <w:pPr>
      <w:numPr>
        <w:ilvl w:val="1"/>
        <w:numId w:val="10"/>
      </w:numPr>
      <w:spacing w:after="120" w:line="480" w:lineRule="auto"/>
      <w:ind w:left="0" w:firstLine="0"/>
    </w:pPr>
  </w:style>
  <w:style w:type="paragraph" w:styleId="77">
    <w:name w:val="List 4"/>
    <w:basedOn w:val="1"/>
    <w:qFormat/>
    <w:uiPriority w:val="0"/>
    <w:pPr>
      <w:adjustRightInd w:val="0"/>
      <w:spacing w:line="312" w:lineRule="atLeast"/>
      <w:ind w:left="100" w:leftChars="600" w:hanging="200" w:hangingChars="200"/>
      <w:textAlignment w:val="baseline"/>
    </w:pPr>
    <w:rPr>
      <w:rFonts w:eastAsia="仿宋"/>
      <w:kern w:val="0"/>
      <w:sz w:val="32"/>
      <w:szCs w:val="20"/>
    </w:rPr>
  </w:style>
  <w:style w:type="paragraph" w:styleId="78">
    <w:name w:val="List Continue 2"/>
    <w:basedOn w:val="1"/>
    <w:qFormat/>
    <w:uiPriority w:val="0"/>
    <w:pPr>
      <w:adjustRightInd w:val="0"/>
      <w:spacing w:after="120" w:line="312" w:lineRule="atLeast"/>
      <w:ind w:left="840" w:leftChars="400"/>
      <w:textAlignment w:val="baseline"/>
    </w:pPr>
    <w:rPr>
      <w:rFonts w:eastAsia="仿宋"/>
      <w:kern w:val="0"/>
      <w:sz w:val="32"/>
      <w:szCs w:val="20"/>
    </w:rPr>
  </w:style>
  <w:style w:type="paragraph" w:styleId="79">
    <w:name w:val="Message Header"/>
    <w:basedOn w:val="1"/>
    <w:link w:val="132"/>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12" w:lineRule="atLeast"/>
      <w:ind w:left="1080" w:leftChars="500" w:hanging="1080" w:hangingChars="500"/>
      <w:textAlignment w:val="baseline"/>
    </w:pPr>
    <w:rPr>
      <w:rFonts w:ascii="Arial" w:hAnsi="Arial" w:eastAsia="仿宋"/>
      <w:kern w:val="0"/>
      <w:sz w:val="24"/>
    </w:rPr>
  </w:style>
  <w:style w:type="paragraph" w:styleId="80">
    <w:name w:val="HTML Preformatted"/>
    <w:basedOn w:val="1"/>
    <w:link w:val="1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kern w:val="0"/>
      <w:sz w:val="28"/>
      <w:szCs w:val="28"/>
    </w:rPr>
  </w:style>
  <w:style w:type="paragraph" w:styleId="81">
    <w:name w:val="Normal (Web)"/>
    <w:basedOn w:val="1"/>
    <w:qFormat/>
    <w:uiPriority w:val="0"/>
    <w:pPr>
      <w:widowControl/>
      <w:jc w:val="left"/>
    </w:pPr>
    <w:rPr>
      <w:rFonts w:ascii="宋体" w:cs="宋体"/>
      <w:kern w:val="0"/>
      <w:sz w:val="24"/>
    </w:rPr>
  </w:style>
  <w:style w:type="paragraph" w:styleId="82">
    <w:name w:val="List Continue 3"/>
    <w:basedOn w:val="1"/>
    <w:qFormat/>
    <w:uiPriority w:val="0"/>
    <w:pPr>
      <w:adjustRightInd w:val="0"/>
      <w:spacing w:after="120" w:line="312" w:lineRule="atLeast"/>
      <w:ind w:left="1260" w:leftChars="600"/>
      <w:textAlignment w:val="baseline"/>
    </w:pPr>
    <w:rPr>
      <w:rFonts w:eastAsia="仿宋"/>
      <w:kern w:val="0"/>
      <w:sz w:val="32"/>
      <w:szCs w:val="20"/>
    </w:rPr>
  </w:style>
  <w:style w:type="paragraph" w:styleId="83">
    <w:name w:val="index 2"/>
    <w:basedOn w:val="1"/>
    <w:next w:val="1"/>
    <w:qFormat/>
    <w:uiPriority w:val="0"/>
    <w:pPr>
      <w:adjustRightInd w:val="0"/>
      <w:spacing w:line="312" w:lineRule="atLeast"/>
      <w:ind w:left="200" w:leftChars="200"/>
      <w:textAlignment w:val="baseline"/>
    </w:pPr>
    <w:rPr>
      <w:rFonts w:eastAsia="仿宋"/>
      <w:kern w:val="0"/>
      <w:sz w:val="32"/>
      <w:szCs w:val="20"/>
    </w:rPr>
  </w:style>
  <w:style w:type="paragraph" w:styleId="84">
    <w:name w:val="Title"/>
    <w:basedOn w:val="1"/>
    <w:next w:val="1"/>
    <w:link w:val="134"/>
    <w:qFormat/>
    <w:uiPriority w:val="0"/>
    <w:pPr>
      <w:spacing w:before="240" w:after="60"/>
      <w:jc w:val="center"/>
      <w:outlineLvl w:val="0"/>
    </w:pPr>
    <w:rPr>
      <w:rFonts w:ascii="Cambria" w:hAnsi="Cambria"/>
      <w:b/>
      <w:bCs/>
      <w:sz w:val="32"/>
      <w:szCs w:val="32"/>
    </w:rPr>
  </w:style>
  <w:style w:type="paragraph" w:styleId="85">
    <w:name w:val="annotation subject"/>
    <w:basedOn w:val="28"/>
    <w:next w:val="28"/>
    <w:link w:val="135"/>
    <w:qFormat/>
    <w:uiPriority w:val="0"/>
    <w:rPr>
      <w:b/>
      <w:bCs/>
    </w:rPr>
  </w:style>
  <w:style w:type="paragraph" w:styleId="86">
    <w:name w:val="Body Text First Indent"/>
    <w:basedOn w:val="34"/>
    <w:link w:val="136"/>
    <w:qFormat/>
    <w:uiPriority w:val="0"/>
    <w:pPr>
      <w:spacing w:after="120"/>
      <w:ind w:firstLine="420" w:firstLineChars="100"/>
      <w:jc w:val="both"/>
    </w:pPr>
    <w:rPr>
      <w:rFonts w:ascii="Calibri"/>
      <w:sz w:val="21"/>
    </w:rPr>
  </w:style>
  <w:style w:type="paragraph" w:styleId="87">
    <w:name w:val="Body Text First Indent 2"/>
    <w:basedOn w:val="35"/>
    <w:link w:val="137"/>
    <w:qFormat/>
    <w:uiPriority w:val="0"/>
    <w:pPr>
      <w:spacing w:after="120"/>
      <w:ind w:left="420" w:leftChars="200" w:firstLine="420" w:firstLineChars="200"/>
    </w:pPr>
    <w:rPr>
      <w:sz w:val="21"/>
    </w:rPr>
  </w:style>
  <w:style w:type="table" w:styleId="89">
    <w:name w:val="Table Grid"/>
    <w:basedOn w:val="8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0"/>
    <w:rPr>
      <w:rFonts w:ascii="Calibri" w:hAnsi="Calibri" w:eastAsia="宋体" w:cs="Times New Roman"/>
      <w:b/>
      <w:bCs/>
    </w:rPr>
  </w:style>
  <w:style w:type="character" w:styleId="92">
    <w:name w:val="endnote reference"/>
    <w:qFormat/>
    <w:uiPriority w:val="0"/>
    <w:rPr>
      <w:rFonts w:ascii="Calibri" w:hAnsi="Calibri" w:eastAsia="宋体" w:cs="Times New Roman"/>
      <w:vertAlign w:val="superscript"/>
    </w:rPr>
  </w:style>
  <w:style w:type="character" w:styleId="93">
    <w:name w:val="page number"/>
    <w:qFormat/>
    <w:uiPriority w:val="0"/>
    <w:rPr>
      <w:rFonts w:ascii="Calibri" w:hAnsi="Calibri" w:eastAsia="宋体" w:cs="Times New Roman"/>
      <w:lang w:bidi="ar-SA"/>
    </w:rPr>
  </w:style>
  <w:style w:type="character" w:styleId="94">
    <w:name w:val="FollowedHyperlink"/>
    <w:qFormat/>
    <w:uiPriority w:val="0"/>
    <w:rPr>
      <w:rFonts w:ascii="Calibri" w:hAnsi="Calibri" w:eastAsia="宋体" w:cs="Times New Roman"/>
      <w:color w:val="800080"/>
      <w:u w:val="single"/>
    </w:rPr>
  </w:style>
  <w:style w:type="character" w:styleId="95">
    <w:name w:val="Emphasis"/>
    <w:qFormat/>
    <w:uiPriority w:val="0"/>
    <w:rPr>
      <w:rFonts w:ascii="Calibri" w:hAnsi="Calibri" w:eastAsia="宋体" w:cs="Times New Roman"/>
      <w:i/>
      <w:iCs/>
    </w:rPr>
  </w:style>
  <w:style w:type="character" w:styleId="96">
    <w:name w:val="Hyperlink"/>
    <w:qFormat/>
    <w:uiPriority w:val="0"/>
    <w:rPr>
      <w:rFonts w:ascii="Calibri" w:hAnsi="Calibri" w:eastAsia="宋体" w:cs="Times New Roman"/>
      <w:color w:val="0000FF"/>
      <w:u w:val="single"/>
    </w:rPr>
  </w:style>
  <w:style w:type="character" w:styleId="97">
    <w:name w:val="annotation reference"/>
    <w:qFormat/>
    <w:uiPriority w:val="0"/>
    <w:rPr>
      <w:rFonts w:ascii="Calibri" w:hAnsi="Calibri" w:eastAsia="宋体" w:cs="Times New Roman"/>
      <w:sz w:val="21"/>
      <w:szCs w:val="21"/>
    </w:rPr>
  </w:style>
  <w:style w:type="character" w:styleId="98">
    <w:name w:val="HTML Sample"/>
    <w:qFormat/>
    <w:uiPriority w:val="0"/>
    <w:rPr>
      <w:rFonts w:ascii="Courier New" w:hAnsi="Courier New" w:eastAsia="宋体" w:cs="Times New Roman"/>
    </w:rPr>
  </w:style>
  <w:style w:type="character" w:customStyle="1" w:styleId="99">
    <w:name w:val="标题 1 字符1"/>
    <w:link w:val="4"/>
    <w:qFormat/>
    <w:uiPriority w:val="0"/>
    <w:rPr>
      <w:rFonts w:ascii="Calibri" w:hAnsi="Calibri" w:eastAsia="宋体" w:cs="Times New Roman"/>
      <w:b/>
      <w:kern w:val="44"/>
      <w:sz w:val="44"/>
    </w:rPr>
  </w:style>
  <w:style w:type="character" w:customStyle="1" w:styleId="100">
    <w:name w:val="宏文本 字符"/>
    <w:link w:val="3"/>
    <w:qFormat/>
    <w:uiPriority w:val="0"/>
    <w:rPr>
      <w:rFonts w:ascii="Courier New" w:hAnsi="Courier New" w:eastAsia="宋体" w:cs="Times New Roman"/>
      <w:kern w:val="2"/>
      <w:sz w:val="24"/>
      <w:szCs w:val="24"/>
      <w:lang w:val="en-US" w:eastAsia="zh-CN" w:bidi="ar-SA"/>
    </w:rPr>
  </w:style>
  <w:style w:type="character" w:customStyle="1" w:styleId="101">
    <w:name w:val="标题 2 字符1"/>
    <w:link w:val="5"/>
    <w:qFormat/>
    <w:uiPriority w:val="0"/>
    <w:rPr>
      <w:rFonts w:ascii="Arial" w:hAnsi="Arial" w:eastAsia="黑体" w:cs="Times New Roman"/>
      <w:b/>
      <w:bCs/>
      <w:kern w:val="2"/>
      <w:sz w:val="32"/>
      <w:szCs w:val="32"/>
    </w:rPr>
  </w:style>
  <w:style w:type="character" w:customStyle="1" w:styleId="102">
    <w:name w:val="标题 3 字符1"/>
    <w:link w:val="6"/>
    <w:qFormat/>
    <w:uiPriority w:val="0"/>
    <w:rPr>
      <w:rFonts w:ascii="Calibri" w:hAnsi="Calibri" w:eastAsia="宋体" w:cs="Angsana New"/>
      <w:b/>
      <w:bCs/>
      <w:kern w:val="2"/>
      <w:sz w:val="32"/>
      <w:szCs w:val="32"/>
      <w:lang w:bidi="th-TH"/>
    </w:rPr>
  </w:style>
  <w:style w:type="character" w:customStyle="1" w:styleId="103">
    <w:name w:val="标题 4 字符1"/>
    <w:link w:val="7"/>
    <w:qFormat/>
    <w:uiPriority w:val="0"/>
    <w:rPr>
      <w:rFonts w:ascii="Arial" w:hAnsi="Arial" w:eastAsia="黑体" w:cs="Times New Roman"/>
      <w:b/>
      <w:bCs/>
      <w:kern w:val="2"/>
      <w:sz w:val="28"/>
      <w:szCs w:val="28"/>
    </w:rPr>
  </w:style>
  <w:style w:type="character" w:customStyle="1" w:styleId="104">
    <w:name w:val="标题 5 字符1"/>
    <w:link w:val="8"/>
    <w:qFormat/>
    <w:uiPriority w:val="0"/>
    <w:rPr>
      <w:rFonts w:ascii="Calibri" w:hAnsi="Calibri" w:eastAsia="宋体" w:cs="Times New Roman"/>
      <w:b/>
      <w:bCs/>
      <w:kern w:val="2"/>
      <w:sz w:val="28"/>
      <w:szCs w:val="28"/>
    </w:rPr>
  </w:style>
  <w:style w:type="character" w:customStyle="1" w:styleId="105">
    <w:name w:val="标题 6 字符1"/>
    <w:link w:val="9"/>
    <w:qFormat/>
    <w:uiPriority w:val="0"/>
    <w:rPr>
      <w:rFonts w:ascii="Arial" w:hAnsi="Arial" w:eastAsia="黑体" w:cs="Times New Roman"/>
      <w:b/>
      <w:bCs/>
      <w:kern w:val="2"/>
      <w:sz w:val="24"/>
      <w:szCs w:val="24"/>
    </w:rPr>
  </w:style>
  <w:style w:type="character" w:customStyle="1" w:styleId="106">
    <w:name w:val="标题 7 字符1"/>
    <w:link w:val="10"/>
    <w:qFormat/>
    <w:uiPriority w:val="0"/>
    <w:rPr>
      <w:rFonts w:ascii="Calibri" w:hAnsi="Calibri" w:eastAsia="宋体" w:cs="Times New Roman"/>
      <w:b/>
      <w:bCs/>
      <w:kern w:val="2"/>
      <w:sz w:val="24"/>
      <w:szCs w:val="24"/>
    </w:rPr>
  </w:style>
  <w:style w:type="character" w:customStyle="1" w:styleId="107">
    <w:name w:val="标题 8 字符1"/>
    <w:link w:val="11"/>
    <w:qFormat/>
    <w:uiPriority w:val="0"/>
    <w:rPr>
      <w:rFonts w:ascii="Arial" w:hAnsi="Arial" w:eastAsia="黑体" w:cs="Times New Roman"/>
      <w:kern w:val="2"/>
      <w:sz w:val="24"/>
      <w:szCs w:val="24"/>
    </w:rPr>
  </w:style>
  <w:style w:type="character" w:customStyle="1" w:styleId="108">
    <w:name w:val="标题 9 字符1"/>
    <w:link w:val="12"/>
    <w:qFormat/>
    <w:uiPriority w:val="0"/>
    <w:rPr>
      <w:rFonts w:ascii="Arial" w:hAnsi="Arial" w:eastAsia="黑体" w:cs="Times New Roman"/>
      <w:kern w:val="2"/>
      <w:sz w:val="21"/>
      <w:szCs w:val="21"/>
    </w:rPr>
  </w:style>
  <w:style w:type="character" w:customStyle="1" w:styleId="109">
    <w:name w:val="注释标题 字符"/>
    <w:link w:val="17"/>
    <w:qFormat/>
    <w:uiPriority w:val="0"/>
    <w:rPr>
      <w:rFonts w:ascii="Calibri" w:hAnsi="Calibri" w:eastAsia="仿宋" w:cs="Times New Roman"/>
      <w:sz w:val="32"/>
    </w:rPr>
  </w:style>
  <w:style w:type="character" w:customStyle="1" w:styleId="110">
    <w:name w:val="电子邮件签名 字符"/>
    <w:link w:val="20"/>
    <w:qFormat/>
    <w:uiPriority w:val="0"/>
    <w:rPr>
      <w:rFonts w:ascii="Calibri" w:hAnsi="Calibri" w:eastAsia="仿宋" w:cs="Times New Roman"/>
      <w:sz w:val="32"/>
    </w:rPr>
  </w:style>
  <w:style w:type="character" w:customStyle="1" w:styleId="111">
    <w:name w:val="正文缩进 字符"/>
    <w:link w:val="22"/>
    <w:qFormat/>
    <w:uiPriority w:val="0"/>
    <w:rPr>
      <w:rFonts w:ascii="Calibri" w:hAnsi="Calibri" w:eastAsia="宋体" w:cs="Times New Roman"/>
      <w:kern w:val="2"/>
      <w:sz w:val="21"/>
      <w:szCs w:val="24"/>
      <w:lang w:val="en-US" w:eastAsia="zh-CN" w:bidi="ar-SA"/>
    </w:rPr>
  </w:style>
  <w:style w:type="character" w:customStyle="1" w:styleId="112">
    <w:name w:val="文档结构图 字符1"/>
    <w:link w:val="27"/>
    <w:qFormat/>
    <w:uiPriority w:val="0"/>
    <w:rPr>
      <w:rFonts w:ascii="Calibri" w:hAnsi="Calibri" w:eastAsia="宋体" w:cs="Times New Roman"/>
      <w:kern w:val="2"/>
      <w:sz w:val="21"/>
      <w:szCs w:val="24"/>
      <w:shd w:val="clear" w:color="auto" w:fill="000080"/>
    </w:rPr>
  </w:style>
  <w:style w:type="character" w:customStyle="1" w:styleId="113">
    <w:name w:val="批注文字 字符1"/>
    <w:link w:val="28"/>
    <w:qFormat/>
    <w:uiPriority w:val="0"/>
    <w:rPr>
      <w:rFonts w:ascii="Calibri" w:hAnsi="Calibri" w:eastAsia="宋体" w:cs="Times New Roman"/>
      <w:kern w:val="2"/>
      <w:sz w:val="21"/>
      <w:szCs w:val="24"/>
    </w:rPr>
  </w:style>
  <w:style w:type="character" w:customStyle="1" w:styleId="114">
    <w:name w:val="称呼 字符"/>
    <w:link w:val="30"/>
    <w:qFormat/>
    <w:uiPriority w:val="0"/>
    <w:rPr>
      <w:rFonts w:ascii="Calibri" w:hAnsi="Calibri" w:eastAsia="仿宋" w:cs="Times New Roman"/>
      <w:sz w:val="32"/>
    </w:rPr>
  </w:style>
  <w:style w:type="character" w:customStyle="1" w:styleId="115">
    <w:name w:val="正文文本 3 字符"/>
    <w:link w:val="31"/>
    <w:qFormat/>
    <w:uiPriority w:val="0"/>
    <w:rPr>
      <w:rFonts w:ascii="Calibri" w:hAnsi="Calibri" w:eastAsia="仿宋" w:cs="Times New Roman"/>
      <w:sz w:val="16"/>
      <w:szCs w:val="16"/>
    </w:rPr>
  </w:style>
  <w:style w:type="character" w:customStyle="1" w:styleId="116">
    <w:name w:val="结束语 字符"/>
    <w:link w:val="32"/>
    <w:qFormat/>
    <w:uiPriority w:val="0"/>
    <w:rPr>
      <w:rFonts w:ascii="Calibri" w:hAnsi="Calibri" w:eastAsia="仿宋" w:cs="Times New Roman"/>
      <w:sz w:val="32"/>
    </w:rPr>
  </w:style>
  <w:style w:type="character" w:customStyle="1" w:styleId="117">
    <w:name w:val="正文文本 字符1"/>
    <w:link w:val="34"/>
    <w:qFormat/>
    <w:uiPriority w:val="0"/>
    <w:rPr>
      <w:rFonts w:ascii="宋体" w:hAnsi="Calibri" w:eastAsia="宋体" w:cs="Times New Roman"/>
      <w:kern w:val="2"/>
      <w:sz w:val="24"/>
      <w:szCs w:val="24"/>
    </w:rPr>
  </w:style>
  <w:style w:type="character" w:customStyle="1" w:styleId="118">
    <w:name w:val="正文文本缩进 字符1"/>
    <w:link w:val="35"/>
    <w:qFormat/>
    <w:uiPriority w:val="0"/>
    <w:rPr>
      <w:rFonts w:ascii="Calibri" w:hAnsi="Calibri" w:eastAsia="宋体" w:cs="Times New Roman"/>
      <w:b/>
      <w:kern w:val="2"/>
      <w:sz w:val="24"/>
      <w:szCs w:val="24"/>
    </w:rPr>
  </w:style>
  <w:style w:type="character" w:customStyle="1" w:styleId="119">
    <w:name w:val="纯文本 字符"/>
    <w:link w:val="38"/>
    <w:qFormat/>
    <w:uiPriority w:val="0"/>
    <w:rPr>
      <w:rFonts w:ascii="宋体" w:hAnsi="Calibri" w:eastAsia="宋体" w:cs="Times New Roman"/>
      <w:kern w:val="2"/>
      <w:sz w:val="21"/>
    </w:rPr>
  </w:style>
  <w:style w:type="character" w:customStyle="1" w:styleId="120">
    <w:name w:val="HTML 地址 字符"/>
    <w:link w:val="42"/>
    <w:qFormat/>
    <w:uiPriority w:val="0"/>
    <w:rPr>
      <w:rFonts w:ascii="Calibri" w:hAnsi="Calibri" w:eastAsia="仿宋" w:cs="Times New Roman"/>
      <w:i/>
      <w:iCs/>
      <w:sz w:val="32"/>
    </w:rPr>
  </w:style>
  <w:style w:type="character" w:customStyle="1" w:styleId="121">
    <w:name w:val="日期 字符1"/>
    <w:link w:val="50"/>
    <w:qFormat/>
    <w:uiPriority w:val="0"/>
    <w:rPr>
      <w:rFonts w:ascii="宋体" w:hAnsi="Calibri" w:eastAsia="宋体" w:cs="Times New Roman"/>
      <w:kern w:val="2"/>
      <w:sz w:val="24"/>
      <w:szCs w:val="24"/>
    </w:rPr>
  </w:style>
  <w:style w:type="character" w:customStyle="1" w:styleId="122">
    <w:name w:val="正文文本缩进 2 字符1"/>
    <w:link w:val="51"/>
    <w:qFormat/>
    <w:uiPriority w:val="0"/>
    <w:rPr>
      <w:rFonts w:ascii="Calibri" w:hAnsi="Calibri" w:eastAsia="宋体" w:cs="Times New Roman"/>
      <w:kern w:val="2"/>
      <w:sz w:val="21"/>
      <w:szCs w:val="24"/>
    </w:rPr>
  </w:style>
  <w:style w:type="character" w:customStyle="1" w:styleId="123">
    <w:name w:val="尾注文本 字符1"/>
    <w:link w:val="52"/>
    <w:qFormat/>
    <w:uiPriority w:val="0"/>
    <w:rPr>
      <w:rFonts w:ascii="Calibri" w:hAnsi="Calibri" w:eastAsia="宋体" w:cs="Times New Roman"/>
      <w:kern w:val="2"/>
      <w:sz w:val="21"/>
      <w:szCs w:val="24"/>
    </w:rPr>
  </w:style>
  <w:style w:type="character" w:customStyle="1" w:styleId="124">
    <w:name w:val="批注框文本 字符1"/>
    <w:link w:val="54"/>
    <w:qFormat/>
    <w:uiPriority w:val="0"/>
    <w:rPr>
      <w:rFonts w:ascii="Calibri" w:hAnsi="Calibri" w:eastAsia="宋体" w:cs="Times New Roman"/>
      <w:kern w:val="2"/>
      <w:sz w:val="18"/>
      <w:szCs w:val="18"/>
    </w:rPr>
  </w:style>
  <w:style w:type="character" w:customStyle="1" w:styleId="125">
    <w:name w:val="页脚 字符1"/>
    <w:link w:val="55"/>
    <w:qFormat/>
    <w:uiPriority w:val="0"/>
    <w:rPr>
      <w:rFonts w:ascii="Calibri" w:hAnsi="Calibri" w:eastAsia="宋体" w:cs="Times New Roman"/>
      <w:kern w:val="2"/>
      <w:sz w:val="18"/>
      <w:szCs w:val="18"/>
    </w:rPr>
  </w:style>
  <w:style w:type="character" w:customStyle="1" w:styleId="126">
    <w:name w:val="页眉 字符1"/>
    <w:link w:val="57"/>
    <w:qFormat/>
    <w:uiPriority w:val="0"/>
    <w:rPr>
      <w:rFonts w:ascii="Calibri" w:hAnsi="Calibri" w:eastAsia="宋体" w:cs="Times New Roman"/>
      <w:kern w:val="2"/>
      <w:sz w:val="18"/>
      <w:szCs w:val="18"/>
    </w:rPr>
  </w:style>
  <w:style w:type="character" w:customStyle="1" w:styleId="127">
    <w:name w:val="签名 字符"/>
    <w:link w:val="58"/>
    <w:qFormat/>
    <w:uiPriority w:val="0"/>
    <w:rPr>
      <w:rFonts w:ascii="Calibri" w:hAnsi="Calibri" w:eastAsia="仿宋" w:cs="Times New Roman"/>
      <w:sz w:val="32"/>
    </w:rPr>
  </w:style>
  <w:style w:type="character" w:customStyle="1" w:styleId="128">
    <w:name w:val="副标题 字符1"/>
    <w:link w:val="64"/>
    <w:qFormat/>
    <w:uiPriority w:val="0"/>
    <w:rPr>
      <w:rFonts w:ascii="Cambria" w:hAnsi="Cambria" w:eastAsia="宋体" w:cs="Times New Roman"/>
      <w:b/>
      <w:bCs/>
      <w:kern w:val="28"/>
      <w:sz w:val="32"/>
      <w:szCs w:val="32"/>
    </w:rPr>
  </w:style>
  <w:style w:type="character" w:customStyle="1" w:styleId="129">
    <w:name w:val="脚注文本 字符"/>
    <w:link w:val="67"/>
    <w:qFormat/>
    <w:uiPriority w:val="0"/>
    <w:rPr>
      <w:rFonts w:ascii="Calibri" w:hAnsi="Calibri" w:eastAsia="仿宋" w:cs="Times New Roman"/>
      <w:sz w:val="18"/>
      <w:szCs w:val="18"/>
    </w:rPr>
  </w:style>
  <w:style w:type="character" w:customStyle="1" w:styleId="130">
    <w:name w:val="正文文本缩进 3 字符1"/>
    <w:link w:val="70"/>
    <w:qFormat/>
    <w:uiPriority w:val="0"/>
    <w:rPr>
      <w:rFonts w:ascii="宋体" w:hAnsi="Calibri" w:eastAsia="宋体" w:cs="Times New Roman"/>
      <w:kern w:val="2"/>
      <w:sz w:val="21"/>
      <w:szCs w:val="24"/>
    </w:rPr>
  </w:style>
  <w:style w:type="character" w:customStyle="1" w:styleId="131">
    <w:name w:val="正文文本 2 字符1"/>
    <w:link w:val="76"/>
    <w:qFormat/>
    <w:uiPriority w:val="0"/>
    <w:rPr>
      <w:rFonts w:ascii="Calibri" w:hAnsi="Calibri" w:eastAsia="宋体" w:cs="Times New Roman"/>
      <w:kern w:val="2"/>
      <w:sz w:val="21"/>
      <w:szCs w:val="24"/>
    </w:rPr>
  </w:style>
  <w:style w:type="character" w:customStyle="1" w:styleId="132">
    <w:name w:val="信息标题 字符"/>
    <w:link w:val="79"/>
    <w:qFormat/>
    <w:uiPriority w:val="0"/>
    <w:rPr>
      <w:rFonts w:ascii="Arial" w:hAnsi="Arial" w:eastAsia="仿宋" w:cs="Arial"/>
      <w:sz w:val="24"/>
      <w:szCs w:val="24"/>
      <w:shd w:val="pct20" w:color="auto" w:fill="auto"/>
    </w:rPr>
  </w:style>
  <w:style w:type="character" w:customStyle="1" w:styleId="133">
    <w:name w:val="HTML 预设格式 字符1"/>
    <w:link w:val="80"/>
    <w:qFormat/>
    <w:uiPriority w:val="0"/>
    <w:rPr>
      <w:rFonts w:ascii="Arial" w:hAnsi="Arial" w:eastAsia="宋体" w:cs="Arial"/>
      <w:sz w:val="28"/>
      <w:szCs w:val="28"/>
    </w:rPr>
  </w:style>
  <w:style w:type="character" w:customStyle="1" w:styleId="134">
    <w:name w:val="标题 字符1"/>
    <w:link w:val="84"/>
    <w:qFormat/>
    <w:uiPriority w:val="0"/>
    <w:rPr>
      <w:rFonts w:ascii="Cambria" w:hAnsi="Cambria" w:eastAsia="宋体" w:cs="Times New Roman"/>
      <w:b/>
      <w:bCs/>
      <w:kern w:val="2"/>
      <w:sz w:val="32"/>
      <w:szCs w:val="32"/>
    </w:rPr>
  </w:style>
  <w:style w:type="character" w:customStyle="1" w:styleId="135">
    <w:name w:val="批注主题 字符1"/>
    <w:link w:val="85"/>
    <w:qFormat/>
    <w:uiPriority w:val="0"/>
    <w:rPr>
      <w:rFonts w:ascii="Calibri" w:hAnsi="Calibri" w:eastAsia="宋体" w:cs="Times New Roman"/>
      <w:b/>
      <w:bCs/>
      <w:kern w:val="2"/>
      <w:sz w:val="21"/>
      <w:szCs w:val="24"/>
    </w:rPr>
  </w:style>
  <w:style w:type="character" w:customStyle="1" w:styleId="136">
    <w:name w:val="正文文本首行缩进 字符"/>
    <w:link w:val="86"/>
    <w:qFormat/>
    <w:uiPriority w:val="0"/>
    <w:rPr>
      <w:rFonts w:ascii="宋体" w:hAnsi="Calibri" w:eastAsia="宋体" w:cs="Times New Roman"/>
      <w:kern w:val="2"/>
      <w:sz w:val="21"/>
      <w:szCs w:val="24"/>
    </w:rPr>
  </w:style>
  <w:style w:type="character" w:customStyle="1" w:styleId="137">
    <w:name w:val="正文文本首行缩进 2 字符"/>
    <w:link w:val="87"/>
    <w:qFormat/>
    <w:uiPriority w:val="0"/>
    <w:rPr>
      <w:rFonts w:ascii="Calibri" w:hAnsi="Calibri" w:eastAsia="宋体" w:cs="Times New Roman"/>
      <w:b/>
      <w:kern w:val="2"/>
      <w:sz w:val="21"/>
      <w:szCs w:val="24"/>
    </w:rPr>
  </w:style>
  <w:style w:type="character" w:customStyle="1" w:styleId="138">
    <w:name w:val="正文文本缩进 Char"/>
    <w:qFormat/>
    <w:uiPriority w:val="0"/>
    <w:rPr>
      <w:rFonts w:ascii="Calibri" w:hAnsi="Calibri" w:eastAsia="宋体" w:cs="Times New Roman"/>
      <w:kern w:val="2"/>
      <w:sz w:val="21"/>
      <w:szCs w:val="24"/>
    </w:rPr>
  </w:style>
  <w:style w:type="character" w:customStyle="1" w:styleId="139">
    <w:name w:val="本级2 Char"/>
    <w:link w:val="140"/>
    <w:qFormat/>
    <w:uiPriority w:val="0"/>
    <w:rPr>
      <w:rFonts w:ascii="仿宋_GB2312" w:hAnsi="仿宋" w:eastAsia="仿宋_GB2312" w:cs="Times New Roman"/>
      <w:b/>
      <w:bCs/>
      <w:kern w:val="2"/>
      <w:sz w:val="32"/>
      <w:szCs w:val="24"/>
    </w:rPr>
  </w:style>
  <w:style w:type="paragraph" w:customStyle="1" w:styleId="140">
    <w:name w:val="本级2"/>
    <w:basedOn w:val="5"/>
    <w:link w:val="139"/>
    <w:qFormat/>
    <w:uiPriority w:val="0"/>
    <w:pPr>
      <w:tabs>
        <w:tab w:val="left" w:pos="567"/>
      </w:tabs>
      <w:spacing w:before="0" w:after="0" w:line="360" w:lineRule="auto"/>
      <w:ind w:left="567" w:hanging="567"/>
    </w:pPr>
    <w:rPr>
      <w:rFonts w:ascii="仿宋_GB2312" w:hAnsi="仿宋" w:eastAsia="仿宋_GB2312"/>
      <w:szCs w:val="24"/>
    </w:rPr>
  </w:style>
  <w:style w:type="character" w:customStyle="1" w:styleId="141">
    <w:name w:val="本级1 Char"/>
    <w:link w:val="142"/>
    <w:qFormat/>
    <w:uiPriority w:val="0"/>
    <w:rPr>
      <w:rFonts w:ascii="仿宋_GB2312" w:hAnsi="仿宋" w:eastAsia="仿宋_GB2312" w:cs="Times New Roman"/>
      <w:b/>
      <w:kern w:val="44"/>
      <w:sz w:val="32"/>
      <w:szCs w:val="24"/>
    </w:rPr>
  </w:style>
  <w:style w:type="paragraph" w:customStyle="1" w:styleId="142">
    <w:name w:val="本级1"/>
    <w:basedOn w:val="4"/>
    <w:link w:val="141"/>
    <w:qFormat/>
    <w:uiPriority w:val="0"/>
    <w:pPr>
      <w:tabs>
        <w:tab w:val="left" w:pos="425"/>
      </w:tabs>
      <w:spacing w:before="100" w:beforeAutospacing="1" w:after="100" w:afterAutospacing="1" w:line="360" w:lineRule="auto"/>
      <w:ind w:left="425" w:hanging="425"/>
    </w:pPr>
    <w:rPr>
      <w:rFonts w:ascii="仿宋_GB2312" w:hAnsi="仿宋" w:eastAsia="仿宋_GB2312"/>
      <w:sz w:val="32"/>
      <w:szCs w:val="24"/>
    </w:rPr>
  </w:style>
  <w:style w:type="character" w:customStyle="1" w:styleId="143">
    <w:name w:val="正文缩进(ALT+Z) Char"/>
    <w:link w:val="144"/>
    <w:qFormat/>
    <w:uiPriority w:val="0"/>
    <w:rPr>
      <w:rFonts w:ascii="Calibri" w:hAnsi="Calibri" w:eastAsia="宋体" w:cs="Times New Roman"/>
      <w:kern w:val="2"/>
      <w:sz w:val="24"/>
      <w:szCs w:val="24"/>
    </w:rPr>
  </w:style>
  <w:style w:type="paragraph" w:customStyle="1" w:styleId="144">
    <w:name w:val="正文缩进(ALT+Z)"/>
    <w:basedOn w:val="1"/>
    <w:link w:val="143"/>
    <w:qFormat/>
    <w:uiPriority w:val="0"/>
    <w:pPr>
      <w:spacing w:line="360" w:lineRule="auto"/>
      <w:ind w:firstLine="200" w:firstLineChars="200"/>
    </w:pPr>
    <w:rPr>
      <w:sz w:val="24"/>
    </w:rPr>
  </w:style>
  <w:style w:type="character" w:customStyle="1" w:styleId="145">
    <w:name w:val="文档结构图 字符"/>
    <w:qFormat/>
    <w:uiPriority w:val="0"/>
    <w:rPr>
      <w:rFonts w:ascii="Times New Roman" w:hAnsi="Times New Roman" w:eastAsia="仿宋" w:cs="Times New Roman"/>
      <w:sz w:val="32"/>
      <w:shd w:val="clear" w:color="auto" w:fill="000080"/>
    </w:rPr>
  </w:style>
  <w:style w:type="character" w:customStyle="1" w:styleId="146">
    <w:name w:val="称呼 Char"/>
    <w:qFormat/>
    <w:uiPriority w:val="0"/>
    <w:rPr>
      <w:rFonts w:ascii="Calibri" w:hAnsi="Calibri" w:eastAsia="宋体" w:cs="Times New Roman"/>
      <w:kern w:val="2"/>
      <w:sz w:val="21"/>
      <w:szCs w:val="24"/>
    </w:rPr>
  </w:style>
  <w:style w:type="character" w:customStyle="1" w:styleId="147">
    <w:name w:val="页眉 字符"/>
    <w:qFormat/>
    <w:uiPriority w:val="0"/>
    <w:rPr>
      <w:rFonts w:ascii="Times New Roman" w:hAnsi="Times New Roman" w:eastAsia="仿宋" w:cs="Times New Roman"/>
      <w:sz w:val="18"/>
      <w:szCs w:val="18"/>
    </w:rPr>
  </w:style>
  <w:style w:type="character" w:customStyle="1" w:styleId="148">
    <w:name w:val="批注主题 字符"/>
    <w:qFormat/>
    <w:uiPriority w:val="0"/>
    <w:rPr>
      <w:rFonts w:ascii="Times New Roman" w:hAnsi="Times New Roman" w:eastAsia="仿宋" w:cs="Times New Roman"/>
      <w:b/>
      <w:bCs/>
      <w:sz w:val="32"/>
    </w:rPr>
  </w:style>
  <w:style w:type="character" w:customStyle="1" w:styleId="149">
    <w:name w:val="apple-converted-space"/>
    <w:qFormat/>
    <w:uiPriority w:val="0"/>
    <w:rPr>
      <w:rFonts w:ascii="Calibri" w:hAnsi="Calibri" w:eastAsia="宋体" w:cs="Times New Roman"/>
    </w:rPr>
  </w:style>
  <w:style w:type="character" w:customStyle="1" w:styleId="150">
    <w:name w:val="信息标题 Char1"/>
    <w:qFormat/>
    <w:uiPriority w:val="0"/>
    <w:rPr>
      <w:rFonts w:ascii="Arial" w:hAnsi="Arial" w:eastAsia="仿宋" w:cs="Times New Roman"/>
      <w:sz w:val="24"/>
      <w:szCs w:val="24"/>
      <w:shd w:val="pct20" w:color="auto" w:fill="auto"/>
    </w:rPr>
  </w:style>
  <w:style w:type="character" w:customStyle="1" w:styleId="151">
    <w:name w:val="纯文本 Char1"/>
    <w:qFormat/>
    <w:uiPriority w:val="0"/>
    <w:rPr>
      <w:rFonts w:ascii="宋体" w:hAnsi="宋体" w:eastAsia="宋体" w:cs="Times New Roman"/>
    </w:rPr>
  </w:style>
  <w:style w:type="character" w:customStyle="1" w:styleId="152">
    <w:name w:val="无间隔 Char"/>
    <w:link w:val="153"/>
    <w:qFormat/>
    <w:uiPriority w:val="0"/>
    <w:rPr>
      <w:rFonts w:ascii="Calibri" w:hAnsi="Calibri" w:eastAsia="宋体" w:cs="Times New Roman"/>
      <w:sz w:val="22"/>
      <w:lang w:val="en-US" w:eastAsia="zh-CN" w:bidi="ar-SA"/>
    </w:rPr>
  </w:style>
  <w:style w:type="paragraph" w:customStyle="1" w:styleId="153">
    <w:name w:val="No Spacing1"/>
    <w:link w:val="152"/>
    <w:qFormat/>
    <w:uiPriority w:val="0"/>
    <w:rPr>
      <w:rFonts w:ascii="Calibri" w:hAnsi="Calibri" w:eastAsia="宋体" w:cs="Times New Roman"/>
      <w:sz w:val="22"/>
      <w:lang w:val="en-US" w:eastAsia="zh-CN" w:bidi="ar-SA"/>
    </w:rPr>
  </w:style>
  <w:style w:type="character" w:customStyle="1" w:styleId="154">
    <w:name w:val="style91"/>
    <w:qFormat/>
    <w:uiPriority w:val="0"/>
    <w:rPr>
      <w:rFonts w:ascii="Calibri" w:hAnsi="Calibri" w:eastAsia="宋体" w:cs="Times New Roman"/>
      <w:color w:val="000000"/>
      <w:lang w:bidi="ar-SA"/>
    </w:rPr>
  </w:style>
  <w:style w:type="character" w:customStyle="1" w:styleId="155">
    <w:name w:val="文档正文 Char"/>
    <w:link w:val="156"/>
    <w:qFormat/>
    <w:uiPriority w:val="0"/>
    <w:rPr>
      <w:rFonts w:ascii="Calibri" w:hAnsi="Calibri" w:eastAsia="仿宋_GB2312" w:cs="Times New Roman"/>
      <w:kern w:val="2"/>
      <w:sz w:val="28"/>
    </w:rPr>
  </w:style>
  <w:style w:type="paragraph" w:customStyle="1" w:styleId="156">
    <w:name w:val="文档正文"/>
    <w:basedOn w:val="1"/>
    <w:link w:val="155"/>
    <w:qFormat/>
    <w:uiPriority w:val="0"/>
    <w:pPr>
      <w:adjustRightInd w:val="0"/>
      <w:spacing w:line="560" w:lineRule="exact"/>
      <w:ind w:firstLine="567"/>
      <w:textAlignment w:val="baseline"/>
    </w:pPr>
    <w:rPr>
      <w:rFonts w:eastAsia="仿宋_GB2312"/>
      <w:sz w:val="28"/>
      <w:szCs w:val="20"/>
    </w:rPr>
  </w:style>
  <w:style w:type="character" w:customStyle="1" w:styleId="157">
    <w:name w:val="GW-标题3 Char Char"/>
    <w:link w:val="158"/>
    <w:qFormat/>
    <w:uiPriority w:val="0"/>
    <w:rPr>
      <w:rFonts w:ascii="仿宋_GB2312" w:hAnsi="Calibri" w:eastAsia="仿宋_GB2312" w:cs="Times New Roman"/>
      <w:bCs/>
      <w:kern w:val="44"/>
      <w:sz w:val="32"/>
    </w:rPr>
  </w:style>
  <w:style w:type="paragraph" w:customStyle="1" w:styleId="158">
    <w:name w:val="GW-标题3"/>
    <w:basedOn w:val="1"/>
    <w:link w:val="157"/>
    <w:qFormat/>
    <w:uiPriority w:val="0"/>
    <w:pPr>
      <w:keepNext/>
      <w:keepLines/>
      <w:numPr>
        <w:ilvl w:val="0"/>
        <w:numId w:val="11"/>
      </w:numPr>
      <w:spacing w:before="156" w:beforeLines="50" w:after="156" w:afterLines="50" w:line="360" w:lineRule="auto"/>
      <w:outlineLvl w:val="2"/>
    </w:pPr>
    <w:rPr>
      <w:rFonts w:ascii="仿宋_GB2312" w:eastAsia="仿宋_GB2312"/>
      <w:bCs/>
      <w:kern w:val="44"/>
      <w:sz w:val="32"/>
      <w:szCs w:val="20"/>
    </w:rPr>
  </w:style>
  <w:style w:type="character" w:customStyle="1" w:styleId="159">
    <w:name w:val="正文文本 字符"/>
    <w:qFormat/>
    <w:uiPriority w:val="0"/>
    <w:rPr>
      <w:rFonts w:ascii="Times New Roman" w:hAnsi="Times New Roman" w:eastAsia="仿宋" w:cs="Times New Roman"/>
      <w:sz w:val="32"/>
    </w:rPr>
  </w:style>
  <w:style w:type="character" w:customStyle="1" w:styleId="160">
    <w:name w:val="标题 1 Char1"/>
    <w:qFormat/>
    <w:uiPriority w:val="0"/>
    <w:rPr>
      <w:rFonts w:ascii="Calibri" w:hAnsi="Calibri" w:eastAsia="宋体" w:cs="Times New Roman"/>
      <w:b/>
      <w:bCs/>
      <w:kern w:val="44"/>
      <w:sz w:val="44"/>
      <w:szCs w:val="44"/>
    </w:rPr>
  </w:style>
  <w:style w:type="character" w:customStyle="1" w:styleId="161">
    <w:name w:val="chanpinname"/>
    <w:qFormat/>
    <w:uiPriority w:val="0"/>
    <w:rPr>
      <w:rFonts w:ascii="Calibri" w:hAnsi="Calibri" w:eastAsia="宋体" w:cs="Times New Roman"/>
    </w:rPr>
  </w:style>
  <w:style w:type="character" w:customStyle="1" w:styleId="162">
    <w:name w:val="prod_content_font_011"/>
    <w:qFormat/>
    <w:uiPriority w:val="0"/>
    <w:rPr>
      <w:rFonts w:hint="default" w:ascii="Verdana" w:hAnsi="Verdana" w:eastAsia="宋体" w:cs="Times New Roman"/>
      <w:color w:val="5E5E5E"/>
      <w:sz w:val="17"/>
      <w:szCs w:val="17"/>
    </w:rPr>
  </w:style>
  <w:style w:type="character" w:customStyle="1" w:styleId="163">
    <w:name w:val="font91"/>
    <w:qFormat/>
    <w:uiPriority w:val="0"/>
    <w:rPr>
      <w:rFonts w:hint="eastAsia" w:ascii="宋体" w:hAnsi="宋体" w:eastAsia="宋体" w:cs="宋体"/>
      <w:color w:val="000000"/>
      <w:sz w:val="21"/>
      <w:szCs w:val="21"/>
      <w:u w:val="none"/>
    </w:rPr>
  </w:style>
  <w:style w:type="character" w:customStyle="1" w:styleId="164">
    <w:name w:val="HTML 地址 Char"/>
    <w:qFormat/>
    <w:uiPriority w:val="0"/>
    <w:rPr>
      <w:rFonts w:ascii="Calibri" w:hAnsi="Calibri" w:eastAsia="宋体" w:cs="Times New Roman"/>
      <w:i/>
      <w:iCs/>
      <w:kern w:val="2"/>
      <w:sz w:val="21"/>
      <w:szCs w:val="24"/>
    </w:rPr>
  </w:style>
  <w:style w:type="character" w:customStyle="1" w:styleId="165">
    <w:name w:val="ca-0"/>
    <w:qFormat/>
    <w:uiPriority w:val="0"/>
    <w:rPr>
      <w:rFonts w:ascii="Calibri" w:hAnsi="Calibri" w:eastAsia="宋体" w:cs="Times New Roman"/>
      <w:lang w:bidi="ar-SA"/>
    </w:rPr>
  </w:style>
  <w:style w:type="character" w:customStyle="1" w:styleId="166">
    <w:name w:val="5a"/>
    <w:qFormat/>
    <w:uiPriority w:val="0"/>
    <w:rPr>
      <w:rFonts w:ascii="Calibri" w:hAnsi="Calibri" w:eastAsia="宋体" w:cs="Times New Roman"/>
    </w:rPr>
  </w:style>
  <w:style w:type="character" w:customStyle="1" w:styleId="167">
    <w:name w:val="正文文本缩进 字符"/>
    <w:qFormat/>
    <w:uiPriority w:val="0"/>
    <w:rPr>
      <w:rFonts w:ascii="楷体_GB2312" w:hAnsi="Times New Roman" w:eastAsia="仿宋" w:cs="Times New Roman"/>
      <w:spacing w:val="12"/>
      <w:sz w:val="24"/>
    </w:rPr>
  </w:style>
  <w:style w:type="character" w:customStyle="1" w:styleId="168">
    <w:name w:val="批注文字 字符"/>
    <w:qFormat/>
    <w:uiPriority w:val="0"/>
    <w:rPr>
      <w:rFonts w:ascii="Times New Roman" w:hAnsi="Times New Roman" w:eastAsia="仿宋" w:cs="Times New Roman"/>
      <w:sz w:val="32"/>
    </w:rPr>
  </w:style>
  <w:style w:type="character" w:customStyle="1" w:styleId="169">
    <w:name w:val="列表段落 字符"/>
    <w:link w:val="170"/>
    <w:qFormat/>
    <w:uiPriority w:val="0"/>
    <w:rPr>
      <w:rFonts w:ascii="Calibri" w:hAnsi="Calibri" w:eastAsia="宋体" w:cs="Times New Roman"/>
      <w:kern w:val="2"/>
      <w:sz w:val="21"/>
      <w:szCs w:val="22"/>
    </w:rPr>
  </w:style>
  <w:style w:type="paragraph" w:styleId="170">
    <w:name w:val="List Paragraph"/>
    <w:basedOn w:val="1"/>
    <w:link w:val="169"/>
    <w:qFormat/>
    <w:uiPriority w:val="0"/>
    <w:pPr>
      <w:ind w:firstLine="420" w:firstLineChars="200"/>
    </w:pPr>
    <w:rPr>
      <w:szCs w:val="22"/>
    </w:rPr>
  </w:style>
  <w:style w:type="character" w:customStyle="1" w:styleId="171">
    <w:name w:val="标题 8 字符"/>
    <w:qFormat/>
    <w:uiPriority w:val="0"/>
    <w:rPr>
      <w:rFonts w:ascii="Arial" w:hAnsi="Arial" w:eastAsia="黑体" w:cs="Times New Roman"/>
      <w:sz w:val="24"/>
      <w:szCs w:val="24"/>
    </w:rPr>
  </w:style>
  <w:style w:type="character" w:customStyle="1" w:styleId="172">
    <w:name w:val="标题 8 Char1"/>
    <w:qFormat/>
    <w:uiPriority w:val="0"/>
    <w:rPr>
      <w:rFonts w:ascii="Cambria" w:hAnsi="Cambria" w:eastAsia="宋体" w:cs="Times New Roman"/>
      <w:kern w:val="2"/>
      <w:sz w:val="24"/>
      <w:szCs w:val="24"/>
    </w:rPr>
  </w:style>
  <w:style w:type="character" w:customStyle="1" w:styleId="173">
    <w:name w:val="页眉 Char1"/>
    <w:qFormat/>
    <w:uiPriority w:val="0"/>
    <w:rPr>
      <w:rFonts w:ascii="Times New Roman" w:hAnsi="Times New Roman" w:eastAsia="宋体" w:cs="Times New Roman"/>
      <w:kern w:val="2"/>
      <w:sz w:val="18"/>
      <w:szCs w:val="18"/>
    </w:rPr>
  </w:style>
  <w:style w:type="character" w:customStyle="1" w:styleId="174">
    <w:name w:val="txt"/>
    <w:qFormat/>
    <w:uiPriority w:val="0"/>
    <w:rPr>
      <w:rFonts w:ascii="Calibri" w:hAnsi="Calibri" w:eastAsia="宋体" w:cs="Times New Roman"/>
    </w:rPr>
  </w:style>
  <w:style w:type="character" w:customStyle="1" w:styleId="175">
    <w:name w:val="style81"/>
    <w:qFormat/>
    <w:uiPriority w:val="0"/>
    <w:rPr>
      <w:rFonts w:ascii="Calibri" w:hAnsi="Calibri" w:eastAsia="宋体" w:cs="Times New Roman"/>
      <w:sz w:val="21"/>
      <w:szCs w:val="21"/>
      <w:lang w:bidi="ar-SA"/>
    </w:rPr>
  </w:style>
  <w:style w:type="character" w:customStyle="1" w:styleId="176">
    <w:name w:val="标题 5 Char2"/>
    <w:qFormat/>
    <w:uiPriority w:val="0"/>
    <w:rPr>
      <w:rFonts w:ascii="Calibri" w:hAnsi="Calibri" w:eastAsia="宋体" w:cs="Times New Roman"/>
      <w:b/>
      <w:bCs/>
      <w:kern w:val="2"/>
      <w:sz w:val="28"/>
      <w:szCs w:val="28"/>
    </w:rPr>
  </w:style>
  <w:style w:type="character" w:customStyle="1" w:styleId="177">
    <w:name w:val="表格标题(居中) Char"/>
    <w:link w:val="178"/>
    <w:qFormat/>
    <w:uiPriority w:val="0"/>
    <w:rPr>
      <w:rFonts w:ascii="Calibri" w:hAnsi="Calibri" w:eastAsia="黑体" w:cs="Times New Roman"/>
      <w:kern w:val="2"/>
      <w:sz w:val="24"/>
    </w:rPr>
  </w:style>
  <w:style w:type="paragraph" w:customStyle="1" w:styleId="178">
    <w:name w:val="表格标题(居中)"/>
    <w:basedOn w:val="1"/>
    <w:link w:val="177"/>
    <w:qFormat/>
    <w:uiPriority w:val="0"/>
    <w:pPr>
      <w:snapToGrid w:val="0"/>
      <w:spacing w:line="300" w:lineRule="auto"/>
      <w:jc w:val="center"/>
    </w:pPr>
    <w:rPr>
      <w:rFonts w:eastAsia="黑体"/>
      <w:sz w:val="24"/>
      <w:szCs w:val="20"/>
    </w:rPr>
  </w:style>
  <w:style w:type="character" w:customStyle="1" w:styleId="179">
    <w:name w:val="标题 3 Char1"/>
    <w:qFormat/>
    <w:uiPriority w:val="0"/>
    <w:rPr>
      <w:rFonts w:ascii="Calibri" w:hAnsi="Calibri" w:eastAsia="宋体" w:cs="Times New Roman"/>
      <w:b/>
      <w:bCs/>
      <w:kern w:val="2"/>
      <w:sz w:val="32"/>
      <w:szCs w:val="32"/>
    </w:rPr>
  </w:style>
  <w:style w:type="character" w:customStyle="1" w:styleId="180">
    <w:name w:val="正文文本 3 Char"/>
    <w:qFormat/>
    <w:uiPriority w:val="0"/>
    <w:rPr>
      <w:rFonts w:ascii="Calibri" w:hAnsi="Calibri" w:eastAsia="宋体" w:cs="Times New Roman"/>
      <w:kern w:val="2"/>
      <w:sz w:val="16"/>
      <w:szCs w:val="16"/>
    </w:rPr>
  </w:style>
  <w:style w:type="character" w:customStyle="1" w:styleId="181">
    <w:name w:val="标题3 Char"/>
    <w:link w:val="182"/>
    <w:qFormat/>
    <w:uiPriority w:val="0"/>
    <w:rPr>
      <w:rFonts w:ascii="Calibri" w:hAnsi="Calibri" w:eastAsia="宋体" w:cs="Times New Roman"/>
      <w:kern w:val="2"/>
      <w:sz w:val="21"/>
      <w:szCs w:val="24"/>
    </w:rPr>
  </w:style>
  <w:style w:type="paragraph" w:customStyle="1" w:styleId="182">
    <w:name w:val="标题3"/>
    <w:basedOn w:val="1"/>
    <w:link w:val="181"/>
    <w:qFormat/>
    <w:uiPriority w:val="0"/>
  </w:style>
  <w:style w:type="character" w:customStyle="1" w:styleId="183">
    <w:name w:val="btn"/>
    <w:qFormat/>
    <w:uiPriority w:val="0"/>
    <w:rPr>
      <w:rFonts w:ascii="Calibri" w:hAnsi="Calibri" w:eastAsia="宋体" w:cs="Times New Roman"/>
    </w:rPr>
  </w:style>
  <w:style w:type="character" w:customStyle="1" w:styleId="184">
    <w:name w:val="标题 4 字符"/>
    <w:qFormat/>
    <w:uiPriority w:val="0"/>
    <w:rPr>
      <w:rFonts w:ascii="宋体" w:hAnsi="Arial" w:eastAsia="宋体" w:cs="Times New Roman"/>
      <w:b/>
      <w:bCs/>
      <w:sz w:val="24"/>
      <w:szCs w:val="28"/>
    </w:rPr>
  </w:style>
  <w:style w:type="character" w:customStyle="1" w:styleId="185">
    <w:name w:val="Body Text Char"/>
    <w:qFormat/>
    <w:uiPriority w:val="0"/>
    <w:rPr>
      <w:rFonts w:ascii="宋体" w:hAnsi="Calibri" w:eastAsia="宋体" w:cs="Times New Roman"/>
      <w:kern w:val="2"/>
      <w:sz w:val="24"/>
      <w:lang w:val="en-US" w:eastAsia="zh-CN"/>
    </w:rPr>
  </w:style>
  <w:style w:type="character" w:customStyle="1" w:styleId="186">
    <w:name w:val="电子邮件签名 Char"/>
    <w:qFormat/>
    <w:uiPriority w:val="0"/>
    <w:rPr>
      <w:rFonts w:ascii="Calibri" w:hAnsi="Calibri" w:eastAsia="宋体" w:cs="Times New Roman"/>
      <w:kern w:val="2"/>
      <w:sz w:val="21"/>
      <w:szCs w:val="24"/>
    </w:rPr>
  </w:style>
  <w:style w:type="character" w:customStyle="1" w:styleId="187">
    <w:name w:val="ca-21"/>
    <w:qFormat/>
    <w:uiPriority w:val="0"/>
    <w:rPr>
      <w:rFonts w:ascii="宋体-18030" w:hAnsi="Calibri" w:eastAsia="宋体-18030" w:cs="宋体-18030"/>
      <w:sz w:val="24"/>
      <w:szCs w:val="24"/>
      <w:lang w:bidi="ar-SA"/>
    </w:rPr>
  </w:style>
  <w:style w:type="character" w:customStyle="1" w:styleId="188">
    <w:name w:val="ca-4"/>
    <w:qFormat/>
    <w:uiPriority w:val="0"/>
    <w:rPr>
      <w:rFonts w:ascii="Calibri" w:hAnsi="Calibri" w:eastAsia="宋体" w:cs="Times New Roman"/>
      <w:lang w:bidi="ar-SA"/>
    </w:rPr>
  </w:style>
  <w:style w:type="character" w:customStyle="1" w:styleId="189">
    <w:name w:val="标题 9 字符"/>
    <w:qFormat/>
    <w:uiPriority w:val="0"/>
    <w:rPr>
      <w:rFonts w:ascii="Arial" w:hAnsi="Arial" w:eastAsia="黑体" w:cs="Times New Roman"/>
      <w:sz w:val="32"/>
      <w:szCs w:val="21"/>
    </w:rPr>
  </w:style>
  <w:style w:type="character" w:customStyle="1" w:styleId="190">
    <w:name w:val="结束语 Char"/>
    <w:qFormat/>
    <w:uiPriority w:val="0"/>
    <w:rPr>
      <w:rFonts w:ascii="Calibri" w:hAnsi="Calibri" w:eastAsia="宋体" w:cs="Times New Roman"/>
      <w:kern w:val="2"/>
      <w:sz w:val="21"/>
      <w:szCs w:val="24"/>
    </w:rPr>
  </w:style>
  <w:style w:type="character" w:customStyle="1" w:styleId="191">
    <w:name w:val="注释标题 Char1"/>
    <w:qFormat/>
    <w:uiPriority w:val="0"/>
    <w:rPr>
      <w:rFonts w:ascii="Times New Roman" w:hAnsi="Times New Roman" w:eastAsia="仿宋" w:cs="Times New Roman"/>
      <w:sz w:val="32"/>
    </w:rPr>
  </w:style>
  <w:style w:type="character" w:customStyle="1" w:styleId="192">
    <w:name w:val="正文2级 Char"/>
    <w:link w:val="193"/>
    <w:qFormat/>
    <w:uiPriority w:val="0"/>
    <w:rPr>
      <w:rFonts w:ascii="Calibri" w:hAnsi="Calibri" w:eastAsia="宋体" w:cs="Times New Roman"/>
      <w:bCs/>
      <w:kern w:val="44"/>
      <w:sz w:val="24"/>
      <w:szCs w:val="44"/>
      <w:lang w:val="en-US" w:eastAsia="zh-CN" w:bidi="ar-SA"/>
    </w:rPr>
  </w:style>
  <w:style w:type="paragraph" w:customStyle="1" w:styleId="193">
    <w:name w:val="正文2级"/>
    <w:link w:val="192"/>
    <w:qFormat/>
    <w:uiPriority w:val="0"/>
    <w:pPr>
      <w:widowControl w:val="0"/>
      <w:spacing w:after="60" w:line="400" w:lineRule="exact"/>
      <w:jc w:val="both"/>
    </w:pPr>
    <w:rPr>
      <w:rFonts w:ascii="Calibri" w:hAnsi="Calibri" w:eastAsia="宋体" w:cs="Times New Roman"/>
      <w:bCs/>
      <w:kern w:val="44"/>
      <w:sz w:val="24"/>
      <w:szCs w:val="44"/>
      <w:lang w:val="en-US" w:eastAsia="zh-CN" w:bidi="ar-SA"/>
    </w:rPr>
  </w:style>
  <w:style w:type="character" w:customStyle="1" w:styleId="194">
    <w:name w:val="Table Description Char Char"/>
    <w:link w:val="195"/>
    <w:qFormat/>
    <w:uiPriority w:val="0"/>
    <w:rPr>
      <w:rFonts w:ascii="Arial" w:hAnsi="Arial" w:eastAsia="宋体" w:cs="Arial"/>
      <w:spacing w:val="-4"/>
      <w:kern w:val="2"/>
      <w:sz w:val="21"/>
      <w:szCs w:val="21"/>
    </w:rPr>
  </w:style>
  <w:style w:type="paragraph" w:customStyle="1" w:styleId="195">
    <w:name w:val="Table Description"/>
    <w:basedOn w:val="1"/>
    <w:next w:val="1"/>
    <w:link w:val="194"/>
    <w:qFormat/>
    <w:uiPriority w:val="0"/>
    <w:pPr>
      <w:keepNext/>
      <w:widowControl/>
      <w:topLinePunct/>
      <w:adjustRightInd w:val="0"/>
      <w:snapToGrid w:val="0"/>
      <w:spacing w:before="320" w:after="80" w:line="240" w:lineRule="atLeast"/>
      <w:ind w:left="1680"/>
      <w:jc w:val="left"/>
      <w:outlineLvl w:val="7"/>
    </w:pPr>
    <w:rPr>
      <w:rFonts w:ascii="Arial" w:hAnsi="Arial"/>
      <w:spacing w:val="-4"/>
      <w:szCs w:val="21"/>
    </w:rPr>
  </w:style>
  <w:style w:type="character" w:customStyle="1" w:styleId="196">
    <w:name w:val="正文3号仿宋 Char"/>
    <w:link w:val="197"/>
    <w:qFormat/>
    <w:uiPriority w:val="0"/>
    <w:rPr>
      <w:rFonts w:ascii="宋体" w:hAnsi="宋体" w:eastAsia="宋体" w:cs="Times New Roman"/>
      <w:sz w:val="24"/>
      <w:szCs w:val="24"/>
    </w:rPr>
  </w:style>
  <w:style w:type="paragraph" w:customStyle="1" w:styleId="197">
    <w:name w:val="正文3号仿宋"/>
    <w:basedOn w:val="1"/>
    <w:link w:val="196"/>
    <w:qFormat/>
    <w:uiPriority w:val="0"/>
    <w:pPr>
      <w:adjustRightInd w:val="0"/>
      <w:spacing w:line="360" w:lineRule="auto"/>
      <w:ind w:firstLine="480" w:firstLineChars="200"/>
      <w:textAlignment w:val="baseline"/>
    </w:pPr>
    <w:rPr>
      <w:rFonts w:ascii="宋体" w:hAnsi="宋体"/>
      <w:kern w:val="0"/>
      <w:sz w:val="24"/>
    </w:rPr>
  </w:style>
  <w:style w:type="character" w:customStyle="1" w:styleId="198">
    <w:name w:val="textfont1"/>
    <w:qFormat/>
    <w:uiPriority w:val="0"/>
    <w:rPr>
      <w:rFonts w:ascii="Calibri" w:hAnsi="Calibri" w:eastAsia="宋体" w:cs="Times New Roman"/>
      <w:sz w:val="22"/>
      <w:szCs w:val="22"/>
    </w:rPr>
  </w:style>
  <w:style w:type="character" w:customStyle="1" w:styleId="199">
    <w:name w:val="正文首行缩进 字符"/>
    <w:qFormat/>
    <w:uiPriority w:val="0"/>
    <w:rPr>
      <w:rFonts w:ascii="Times New Roman" w:hAnsi="Times New Roman" w:eastAsia="仿宋" w:cs="Times New Roman"/>
      <w:sz w:val="32"/>
    </w:rPr>
  </w:style>
  <w:style w:type="character" w:customStyle="1" w:styleId="200">
    <w:name w:val="称呼 Char1"/>
    <w:qFormat/>
    <w:uiPriority w:val="0"/>
    <w:rPr>
      <w:rFonts w:ascii="Times New Roman" w:hAnsi="Times New Roman" w:eastAsia="仿宋" w:cs="Times New Roman"/>
      <w:sz w:val="32"/>
    </w:rPr>
  </w:style>
  <w:style w:type="character" w:customStyle="1" w:styleId="201">
    <w:name w:val="标题 2 字符"/>
    <w:qFormat/>
    <w:uiPriority w:val="0"/>
    <w:rPr>
      <w:rFonts w:ascii="宋体" w:hAnsi="宋体" w:eastAsia="宋体" w:cs="Times New Roman"/>
      <w:b/>
      <w:spacing w:val="14"/>
      <w:sz w:val="30"/>
      <w:szCs w:val="24"/>
    </w:rPr>
  </w:style>
  <w:style w:type="character" w:customStyle="1" w:styleId="202">
    <w:name w:val="ca-11"/>
    <w:qFormat/>
    <w:uiPriority w:val="0"/>
    <w:rPr>
      <w:rFonts w:ascii="宋体" w:hAnsi="Calibri" w:eastAsia="宋体" w:cs="Times New Roman"/>
      <w:sz w:val="24"/>
      <w:szCs w:val="24"/>
      <w:lang w:bidi="ar-SA"/>
    </w:rPr>
  </w:style>
  <w:style w:type="character" w:customStyle="1" w:styleId="203">
    <w:name w:val="Figure Text Char"/>
    <w:link w:val="204"/>
    <w:qFormat/>
    <w:uiPriority w:val="0"/>
    <w:rPr>
      <w:rFonts w:ascii="Arial" w:hAnsi="Arial" w:eastAsia="宋体" w:cs="Arial"/>
      <w:sz w:val="18"/>
      <w:szCs w:val="18"/>
      <w:lang w:val="en-US" w:eastAsia="en-US" w:bidi="ar-SA"/>
    </w:rPr>
  </w:style>
  <w:style w:type="paragraph" w:customStyle="1" w:styleId="204">
    <w:name w:val="Figure Text"/>
    <w:link w:val="203"/>
    <w:qFormat/>
    <w:uiPriority w:val="0"/>
    <w:pPr>
      <w:widowControl w:val="0"/>
      <w:adjustRightInd w:val="0"/>
      <w:snapToGrid w:val="0"/>
      <w:spacing w:line="240" w:lineRule="atLeast"/>
    </w:pPr>
    <w:rPr>
      <w:rFonts w:ascii="Arial" w:hAnsi="Arial" w:eastAsia="宋体" w:cs="Arial"/>
      <w:sz w:val="18"/>
      <w:szCs w:val="18"/>
      <w:lang w:val="en-US" w:eastAsia="en-US" w:bidi="ar-SA"/>
    </w:rPr>
  </w:style>
  <w:style w:type="character" w:customStyle="1" w:styleId="205">
    <w:name w:val="宏文本 Char1"/>
    <w:qFormat/>
    <w:uiPriority w:val="0"/>
    <w:rPr>
      <w:rFonts w:ascii="Courier New" w:hAnsi="Courier New" w:eastAsia="宋体" w:cs="Times New Roman"/>
      <w:sz w:val="24"/>
      <w:szCs w:val="24"/>
    </w:rPr>
  </w:style>
  <w:style w:type="character" w:customStyle="1" w:styleId="206">
    <w:name w:val="普通文字1 Char"/>
    <w:qFormat/>
    <w:uiPriority w:val="0"/>
    <w:rPr>
      <w:rFonts w:ascii="宋体" w:hAnsi="Calibri" w:eastAsia="宋体" w:cs="Times New Roman"/>
      <w:kern w:val="2"/>
      <w:sz w:val="21"/>
      <w:lang w:val="en-US" w:eastAsia="zh-CN" w:bidi="ar-SA"/>
    </w:rPr>
  </w:style>
  <w:style w:type="character" w:customStyle="1" w:styleId="207">
    <w:name w:val="正文文本 3 Char1"/>
    <w:qFormat/>
    <w:uiPriority w:val="0"/>
    <w:rPr>
      <w:rFonts w:ascii="Times New Roman" w:hAnsi="Times New Roman" w:eastAsia="仿宋" w:cs="Times New Roman"/>
      <w:sz w:val="16"/>
      <w:szCs w:val="16"/>
    </w:rPr>
  </w:style>
  <w:style w:type="character" w:customStyle="1" w:styleId="208">
    <w:name w:val="info4"/>
    <w:qFormat/>
    <w:uiPriority w:val="0"/>
    <w:rPr>
      <w:rFonts w:ascii="Calibri" w:hAnsi="Calibri" w:eastAsia="宋体" w:cs="Times New Roman"/>
    </w:rPr>
  </w:style>
  <w:style w:type="character" w:customStyle="1" w:styleId="209">
    <w:name w:val="尾注文本 字符"/>
    <w:qFormat/>
    <w:uiPriority w:val="0"/>
    <w:rPr>
      <w:rFonts w:ascii="Times New Roman" w:hAnsi="Times New Roman" w:eastAsia="仿宋" w:cs="Times New Roman"/>
      <w:sz w:val="32"/>
    </w:rPr>
  </w:style>
  <w:style w:type="character" w:customStyle="1" w:styleId="210">
    <w:name w:val="ca-3"/>
    <w:qFormat/>
    <w:uiPriority w:val="0"/>
    <w:rPr>
      <w:rFonts w:ascii="Calibri" w:hAnsi="Calibri" w:eastAsia="宋体" w:cs="Times New Roman"/>
      <w:lang w:bidi="ar-SA"/>
    </w:rPr>
  </w:style>
  <w:style w:type="character" w:customStyle="1" w:styleId="211">
    <w:name w:val="正文文本 2 字符"/>
    <w:qFormat/>
    <w:uiPriority w:val="0"/>
    <w:rPr>
      <w:rFonts w:ascii="Times New Roman" w:hAnsi="Times New Roman" w:eastAsia="仿宋" w:cs="Times New Roman"/>
      <w:sz w:val="32"/>
    </w:rPr>
  </w:style>
  <w:style w:type="character" w:customStyle="1" w:styleId="212">
    <w:name w:val="明显参考1"/>
    <w:qFormat/>
    <w:uiPriority w:val="0"/>
    <w:rPr>
      <w:rFonts w:ascii="Calibri" w:hAnsi="Calibri" w:eastAsia="宋体" w:cs="Times New Roman"/>
      <w:b/>
      <w:bCs/>
      <w:smallCaps/>
      <w:color w:val="DA1F28"/>
      <w:spacing w:val="5"/>
      <w:u w:val="single"/>
    </w:rPr>
  </w:style>
  <w:style w:type="character" w:customStyle="1" w:styleId="213">
    <w:name w:val="标题 5 字符"/>
    <w:qFormat/>
    <w:uiPriority w:val="0"/>
    <w:rPr>
      <w:rFonts w:ascii="Times New Roman" w:hAnsi="Times New Roman" w:eastAsia="仿宋" w:cs="Times New Roman"/>
      <w:b/>
      <w:bCs/>
      <w:sz w:val="28"/>
      <w:szCs w:val="28"/>
    </w:rPr>
  </w:style>
  <w:style w:type="character" w:customStyle="1" w:styleId="214">
    <w:name w:val="HD2 Char"/>
    <w:qFormat/>
    <w:uiPriority w:val="0"/>
    <w:rPr>
      <w:rFonts w:ascii="Arial" w:hAnsi="Arial" w:eastAsia="黑体" w:cs="Times New Roman"/>
      <w:b/>
      <w:bCs/>
      <w:kern w:val="2"/>
      <w:sz w:val="32"/>
      <w:szCs w:val="32"/>
      <w:lang w:val="en-US" w:eastAsia="zh-CN" w:bidi="ar-SA"/>
    </w:rPr>
  </w:style>
  <w:style w:type="character" w:customStyle="1" w:styleId="215">
    <w:name w:val="Table Text Char1"/>
    <w:qFormat/>
    <w:uiPriority w:val="0"/>
    <w:rPr>
      <w:rFonts w:ascii="Arial" w:hAnsi="Arial" w:eastAsia="宋体" w:cs="Arial"/>
      <w:snapToGrid w:val="0"/>
      <w:sz w:val="21"/>
      <w:szCs w:val="21"/>
      <w:lang w:val="en-US" w:eastAsia="zh-CN" w:bidi="ar-SA"/>
    </w:rPr>
  </w:style>
  <w:style w:type="character" w:customStyle="1" w:styleId="216">
    <w:name w:val="标题 6 Char1"/>
    <w:qFormat/>
    <w:uiPriority w:val="0"/>
    <w:rPr>
      <w:rFonts w:ascii="Cambria" w:hAnsi="Cambria" w:eastAsia="宋体" w:cs="Times New Roman"/>
      <w:b/>
      <w:bCs/>
      <w:kern w:val="2"/>
      <w:sz w:val="24"/>
      <w:szCs w:val="24"/>
    </w:rPr>
  </w:style>
  <w:style w:type="character" w:customStyle="1" w:styleId="217">
    <w:name w:val="样式 宋体"/>
    <w:qFormat/>
    <w:uiPriority w:val="0"/>
    <w:rPr>
      <w:rFonts w:ascii="宋体" w:hAnsi="宋体" w:eastAsia="宋体" w:cs="Times New Roman"/>
      <w:sz w:val="24"/>
      <w:szCs w:val="24"/>
    </w:rPr>
  </w:style>
  <w:style w:type="character" w:customStyle="1" w:styleId="218">
    <w:name w:val="注释标题 Char"/>
    <w:qFormat/>
    <w:uiPriority w:val="0"/>
    <w:rPr>
      <w:rFonts w:ascii="Calibri" w:hAnsi="Calibri" w:eastAsia="宋体" w:cs="Times New Roman"/>
      <w:kern w:val="2"/>
      <w:sz w:val="21"/>
      <w:szCs w:val="24"/>
    </w:rPr>
  </w:style>
  <w:style w:type="character" w:customStyle="1" w:styleId="219">
    <w:name w:val="标题 1 字符"/>
    <w:qFormat/>
    <w:uiPriority w:val="0"/>
    <w:rPr>
      <w:rFonts w:ascii="宋体" w:hAnsi="宋体" w:eastAsia="宋体" w:cs="Times New Roman"/>
      <w:b/>
      <w:spacing w:val="14"/>
      <w:kern w:val="44"/>
      <w:sz w:val="44"/>
      <w:szCs w:val="52"/>
    </w:rPr>
  </w:style>
  <w:style w:type="character" w:customStyle="1" w:styleId="220">
    <w:name w:val="页脚 Char1"/>
    <w:qFormat/>
    <w:uiPriority w:val="0"/>
    <w:rPr>
      <w:rFonts w:ascii="Times New Roman" w:hAnsi="Times New Roman" w:eastAsia="宋体" w:cs="Times New Roman"/>
      <w:kern w:val="2"/>
      <w:sz w:val="18"/>
      <w:szCs w:val="18"/>
    </w:rPr>
  </w:style>
  <w:style w:type="character" w:customStyle="1" w:styleId="221">
    <w:name w:val="脚注文本 Char1"/>
    <w:qFormat/>
    <w:uiPriority w:val="0"/>
    <w:rPr>
      <w:rFonts w:ascii="Times New Roman" w:hAnsi="Times New Roman" w:eastAsia="仿宋" w:cs="Times New Roman"/>
      <w:sz w:val="18"/>
      <w:szCs w:val="18"/>
    </w:rPr>
  </w:style>
  <w:style w:type="character" w:customStyle="1" w:styleId="222">
    <w:name w:val="标题 3 字符"/>
    <w:qFormat/>
    <w:uiPriority w:val="0"/>
    <w:rPr>
      <w:rFonts w:ascii="宋体" w:hAnsi="宋体" w:eastAsia="宋体" w:cs="Times New Roman"/>
      <w:b/>
      <w:spacing w:val="14"/>
      <w:sz w:val="28"/>
      <w:szCs w:val="24"/>
    </w:rPr>
  </w:style>
  <w:style w:type="character" w:customStyle="1" w:styleId="223">
    <w:name w:val="HTML 预设格式 字符"/>
    <w:qFormat/>
    <w:uiPriority w:val="0"/>
    <w:rPr>
      <w:rFonts w:ascii="Courier New" w:hAnsi="Courier New" w:eastAsia="仿宋" w:cs="Courier New"/>
    </w:rPr>
  </w:style>
  <w:style w:type="character" w:customStyle="1" w:styleId="224">
    <w:name w:val="shouchang1"/>
    <w:qFormat/>
    <w:uiPriority w:val="0"/>
    <w:rPr>
      <w:rFonts w:ascii="Calibri" w:hAnsi="Calibri" w:eastAsia="宋体" w:cs="Times New Roman"/>
      <w:color w:val="000000"/>
      <w:sz w:val="22"/>
      <w:szCs w:val="22"/>
      <w:u w:val="none"/>
    </w:rPr>
  </w:style>
  <w:style w:type="character" w:customStyle="1" w:styleId="225">
    <w:name w:val="sub_title1"/>
    <w:qFormat/>
    <w:uiPriority w:val="0"/>
    <w:rPr>
      <w:rFonts w:ascii="Calibri" w:hAnsi="Calibri" w:eastAsia="宋体" w:cs="Times New Roman"/>
      <w:lang w:bidi="ar-SA"/>
    </w:rPr>
  </w:style>
  <w:style w:type="character" w:customStyle="1" w:styleId="226">
    <w:name w:val="标题 7 Char1"/>
    <w:qFormat/>
    <w:uiPriority w:val="0"/>
    <w:rPr>
      <w:rFonts w:ascii="Calibri" w:hAnsi="Calibri" w:eastAsia="宋体" w:cs="Times New Roman"/>
      <w:b/>
      <w:bCs/>
      <w:kern w:val="2"/>
      <w:sz w:val="24"/>
      <w:szCs w:val="24"/>
    </w:rPr>
  </w:style>
  <w:style w:type="character" w:customStyle="1" w:styleId="227">
    <w:name w:val="宏文本 Char"/>
    <w:qFormat/>
    <w:uiPriority w:val="0"/>
    <w:rPr>
      <w:rFonts w:ascii="Courier New" w:hAnsi="Courier New" w:eastAsia="宋体" w:cs="Courier New"/>
      <w:kern w:val="2"/>
      <w:sz w:val="24"/>
      <w:szCs w:val="24"/>
    </w:rPr>
  </w:style>
  <w:style w:type="character" w:customStyle="1" w:styleId="228">
    <w:name w:val="Char Char3"/>
    <w:qFormat/>
    <w:uiPriority w:val="0"/>
    <w:rPr>
      <w:rFonts w:ascii="Calibri" w:hAnsi="Calibri" w:eastAsia="宋体" w:cs="Times New Roman"/>
      <w:sz w:val="18"/>
      <w:szCs w:val="18"/>
    </w:rPr>
  </w:style>
  <w:style w:type="character" w:customStyle="1" w:styleId="229">
    <w:name w:val="apple-style-span"/>
    <w:qFormat/>
    <w:uiPriority w:val="0"/>
    <w:rPr>
      <w:rFonts w:ascii="Calibri" w:hAnsi="Calibri" w:eastAsia="宋体" w:cs="Times New Roman"/>
      <w:lang w:bidi="ar-SA"/>
    </w:rPr>
  </w:style>
  <w:style w:type="character" w:customStyle="1" w:styleId="230">
    <w:name w:val="*正文 Char"/>
    <w:link w:val="231"/>
    <w:qFormat/>
    <w:uiPriority w:val="0"/>
    <w:rPr>
      <w:rFonts w:ascii="宋体" w:hAnsi="宋体" w:eastAsia="宋体" w:cs="Times New Roman"/>
      <w:kern w:val="2"/>
      <w:sz w:val="21"/>
      <w:szCs w:val="22"/>
    </w:rPr>
  </w:style>
  <w:style w:type="paragraph" w:customStyle="1" w:styleId="231">
    <w:name w:val="*正文"/>
    <w:basedOn w:val="1"/>
    <w:link w:val="230"/>
    <w:qFormat/>
    <w:uiPriority w:val="0"/>
    <w:pPr>
      <w:ind w:firstLine="480"/>
    </w:pPr>
    <w:rPr>
      <w:rFonts w:ascii="宋体" w:hAnsi="宋体"/>
      <w:szCs w:val="22"/>
    </w:rPr>
  </w:style>
  <w:style w:type="character" w:customStyle="1" w:styleId="232">
    <w:name w:val="正文（缩进） Char"/>
    <w:link w:val="233"/>
    <w:qFormat/>
    <w:uiPriority w:val="0"/>
    <w:rPr>
      <w:rFonts w:ascii="宋体" w:hAnsi="宋体" w:eastAsia="宋体" w:cs="宋体"/>
      <w:sz w:val="24"/>
      <w:szCs w:val="24"/>
    </w:rPr>
  </w:style>
  <w:style w:type="paragraph" w:customStyle="1" w:styleId="233">
    <w:name w:val="正文（缩进）"/>
    <w:basedOn w:val="1"/>
    <w:link w:val="232"/>
    <w:qFormat/>
    <w:uiPriority w:val="0"/>
    <w:pPr>
      <w:widowControl/>
      <w:spacing w:before="156" w:beforeLines="50" w:after="156" w:afterLines="50" w:line="360" w:lineRule="auto"/>
      <w:ind w:firstLine="480" w:firstLineChars="200"/>
      <w:jc w:val="left"/>
    </w:pPr>
    <w:rPr>
      <w:rFonts w:ascii="宋体" w:hAnsi="宋体"/>
      <w:kern w:val="0"/>
      <w:sz w:val="24"/>
    </w:rPr>
  </w:style>
  <w:style w:type="character" w:customStyle="1" w:styleId="234">
    <w:name w:val="日期 字符"/>
    <w:qFormat/>
    <w:uiPriority w:val="0"/>
    <w:rPr>
      <w:rFonts w:ascii="Times New Roman" w:hAnsi="Times New Roman" w:eastAsia="仿宋" w:cs="Times New Roman"/>
      <w:sz w:val="32"/>
    </w:rPr>
  </w:style>
  <w:style w:type="character" w:customStyle="1" w:styleId="235">
    <w:name w:val="标题 字符"/>
    <w:qFormat/>
    <w:uiPriority w:val="0"/>
    <w:rPr>
      <w:rFonts w:ascii="宋体" w:hAnsi="Arial" w:eastAsia="宋体" w:cs="Arial"/>
      <w:b/>
      <w:bCs/>
      <w:sz w:val="44"/>
      <w:szCs w:val="32"/>
    </w:rPr>
  </w:style>
  <w:style w:type="character" w:customStyle="1" w:styleId="236">
    <w:name w:val="标题4 Char"/>
    <w:link w:val="237"/>
    <w:qFormat/>
    <w:uiPriority w:val="0"/>
    <w:rPr>
      <w:rFonts w:ascii="Calibri" w:hAnsi="Calibri" w:eastAsia="仿宋" w:cs="Times New Roman"/>
      <w:b/>
      <w:kern w:val="2"/>
      <w:sz w:val="24"/>
    </w:rPr>
  </w:style>
  <w:style w:type="paragraph" w:customStyle="1" w:styleId="237">
    <w:name w:val="标题4"/>
    <w:basedOn w:val="1"/>
    <w:next w:val="8"/>
    <w:link w:val="236"/>
    <w:qFormat/>
    <w:uiPriority w:val="0"/>
    <w:pPr>
      <w:snapToGrid w:val="0"/>
      <w:spacing w:before="60" w:line="360" w:lineRule="auto"/>
      <w:ind w:firstLine="454"/>
    </w:pPr>
    <w:rPr>
      <w:rFonts w:eastAsia="仿宋"/>
      <w:b/>
      <w:sz w:val="24"/>
      <w:szCs w:val="20"/>
    </w:rPr>
  </w:style>
  <w:style w:type="character" w:customStyle="1" w:styleId="238">
    <w:name w:val="列出段落 Char"/>
    <w:qFormat/>
    <w:uiPriority w:val="0"/>
    <w:rPr>
      <w:rFonts w:ascii="Calibri" w:hAnsi="Calibri" w:eastAsia="宋体" w:cs="Times New Roman"/>
    </w:rPr>
  </w:style>
  <w:style w:type="character" w:customStyle="1" w:styleId="239">
    <w:name w:val="unnamed2"/>
    <w:qFormat/>
    <w:uiPriority w:val="0"/>
    <w:rPr>
      <w:rFonts w:ascii="Calibri" w:hAnsi="Calibri" w:eastAsia="宋体" w:cs="Times New Roman"/>
    </w:rPr>
  </w:style>
  <w:style w:type="character" w:customStyle="1" w:styleId="240">
    <w:name w:val="标题 6 字符"/>
    <w:qFormat/>
    <w:uiPriority w:val="0"/>
    <w:rPr>
      <w:rFonts w:ascii="Arial" w:hAnsi="Arial" w:eastAsia="黑体" w:cs="Times New Roman"/>
      <w:b/>
      <w:bCs/>
      <w:sz w:val="24"/>
      <w:szCs w:val="24"/>
    </w:rPr>
  </w:style>
  <w:style w:type="character" w:customStyle="1" w:styleId="241">
    <w:name w:val="Table Text Char"/>
    <w:link w:val="242"/>
    <w:qFormat/>
    <w:uiPriority w:val="0"/>
    <w:rPr>
      <w:rFonts w:ascii="Arial" w:hAnsi="Arial" w:eastAsia="宋体" w:cs="Times New Roman"/>
      <w:sz w:val="18"/>
      <w:lang w:val="en-US" w:eastAsia="zh-CN" w:bidi="ar-SA"/>
    </w:rPr>
  </w:style>
  <w:style w:type="paragraph" w:customStyle="1" w:styleId="242">
    <w:name w:val="Table Text"/>
    <w:link w:val="241"/>
    <w:qFormat/>
    <w:uiPriority w:val="0"/>
    <w:pPr>
      <w:snapToGrid w:val="0"/>
      <w:spacing w:before="80" w:after="80"/>
    </w:pPr>
    <w:rPr>
      <w:rFonts w:ascii="Arial" w:hAnsi="Arial" w:eastAsia="宋体" w:cs="Times New Roman"/>
      <w:sz w:val="18"/>
      <w:lang w:val="en-US" w:eastAsia="zh-CN" w:bidi="ar-SA"/>
    </w:rPr>
  </w:style>
  <w:style w:type="character" w:customStyle="1" w:styleId="243">
    <w:name w:val="正文文本缩进 2 字符"/>
    <w:qFormat/>
    <w:uiPriority w:val="0"/>
    <w:rPr>
      <w:rFonts w:ascii="Times New Roman" w:hAnsi="Times New Roman" w:eastAsia="仿宋" w:cs="Times New Roman"/>
      <w:sz w:val="32"/>
    </w:rPr>
  </w:style>
  <w:style w:type="character" w:customStyle="1" w:styleId="244">
    <w:name w:val="信息标题 Char"/>
    <w:qFormat/>
    <w:uiPriority w:val="0"/>
    <w:rPr>
      <w:rFonts w:ascii="Cambria" w:hAnsi="Cambria" w:eastAsia="宋体" w:cs="Times New Roman"/>
      <w:kern w:val="2"/>
      <w:sz w:val="24"/>
      <w:szCs w:val="24"/>
      <w:shd w:val="pct20" w:color="auto" w:fill="auto"/>
    </w:rPr>
  </w:style>
  <w:style w:type="character" w:customStyle="1" w:styleId="245">
    <w:name w:val="ca-2"/>
    <w:qFormat/>
    <w:uiPriority w:val="0"/>
    <w:rPr>
      <w:rFonts w:ascii="Calibri" w:hAnsi="Calibri" w:eastAsia="宋体" w:cs="Times New Roman"/>
      <w:lang w:bidi="ar-SA"/>
    </w:rPr>
  </w:style>
  <w:style w:type="character" w:customStyle="1" w:styleId="246">
    <w:name w:val="标题 9 Char1"/>
    <w:qFormat/>
    <w:uiPriority w:val="0"/>
    <w:rPr>
      <w:rFonts w:ascii="Cambria" w:hAnsi="Cambria" w:eastAsia="宋体" w:cs="Times New Roman"/>
      <w:kern w:val="2"/>
      <w:sz w:val="21"/>
      <w:szCs w:val="21"/>
    </w:rPr>
  </w:style>
  <w:style w:type="character" w:customStyle="1" w:styleId="247">
    <w:name w:val="电子邮件签名 Char1"/>
    <w:qFormat/>
    <w:uiPriority w:val="0"/>
    <w:rPr>
      <w:rFonts w:ascii="Times New Roman" w:hAnsi="Times New Roman" w:eastAsia="仿宋" w:cs="Times New Roman"/>
      <w:sz w:val="32"/>
    </w:rPr>
  </w:style>
  <w:style w:type="character" w:customStyle="1" w:styleId="248">
    <w:name w:val="脚注文本 Char"/>
    <w:qFormat/>
    <w:uiPriority w:val="0"/>
    <w:rPr>
      <w:rFonts w:ascii="Calibri" w:hAnsi="Calibri" w:eastAsia="宋体" w:cs="Times New Roman"/>
      <w:kern w:val="2"/>
      <w:sz w:val="18"/>
      <w:szCs w:val="18"/>
    </w:rPr>
  </w:style>
  <w:style w:type="character" w:customStyle="1" w:styleId="249">
    <w:name w:val="font61"/>
    <w:qFormat/>
    <w:uiPriority w:val="0"/>
    <w:rPr>
      <w:rFonts w:hint="eastAsia" w:ascii="宋体" w:hAnsi="宋体" w:eastAsia="宋体" w:cs="宋体"/>
      <w:color w:val="000000"/>
      <w:sz w:val="24"/>
      <w:szCs w:val="24"/>
      <w:u w:val="none"/>
    </w:rPr>
  </w:style>
  <w:style w:type="character" w:customStyle="1" w:styleId="250">
    <w:name w:val="页脚 字符"/>
    <w:qFormat/>
    <w:uiPriority w:val="0"/>
    <w:rPr>
      <w:rFonts w:ascii="Times New Roman" w:hAnsi="Times New Roman" w:eastAsia="仿宋" w:cs="Times New Roman"/>
      <w:sz w:val="18"/>
      <w:szCs w:val="18"/>
    </w:rPr>
  </w:style>
  <w:style w:type="character" w:customStyle="1" w:styleId="251">
    <w:name w:val="签名 Char"/>
    <w:qFormat/>
    <w:uiPriority w:val="0"/>
    <w:rPr>
      <w:rFonts w:ascii="Calibri" w:hAnsi="Calibri" w:eastAsia="宋体" w:cs="Times New Roman"/>
      <w:kern w:val="2"/>
      <w:sz w:val="21"/>
      <w:szCs w:val="24"/>
    </w:rPr>
  </w:style>
  <w:style w:type="character" w:customStyle="1" w:styleId="252">
    <w:name w:val="Table Heading Char"/>
    <w:link w:val="253"/>
    <w:qFormat/>
    <w:uiPriority w:val="0"/>
    <w:rPr>
      <w:rFonts w:ascii="Arial" w:hAnsi="Arial" w:eastAsia="黑体" w:cs="Book Antiqua"/>
      <w:bCs/>
      <w:snapToGrid w:val="0"/>
      <w:sz w:val="21"/>
      <w:szCs w:val="21"/>
    </w:rPr>
  </w:style>
  <w:style w:type="paragraph" w:customStyle="1" w:styleId="253">
    <w:name w:val="Table Heading"/>
    <w:basedOn w:val="1"/>
    <w:link w:val="252"/>
    <w:qFormat/>
    <w:uiPriority w:val="0"/>
    <w:pPr>
      <w:keepNext/>
      <w:topLinePunct/>
      <w:adjustRightInd w:val="0"/>
      <w:snapToGrid w:val="0"/>
      <w:spacing w:before="80" w:after="80" w:line="240" w:lineRule="atLeast"/>
      <w:jc w:val="left"/>
    </w:pPr>
    <w:rPr>
      <w:rFonts w:ascii="Arial" w:hAnsi="Arial" w:eastAsia="黑体"/>
      <w:bCs/>
      <w:snapToGrid w:val="0"/>
      <w:kern w:val="0"/>
      <w:szCs w:val="21"/>
    </w:rPr>
  </w:style>
  <w:style w:type="character" w:customStyle="1" w:styleId="254">
    <w:name w:val="副标题 字符"/>
    <w:qFormat/>
    <w:uiPriority w:val="0"/>
    <w:rPr>
      <w:rFonts w:ascii="Arial" w:hAnsi="Arial" w:eastAsia="仿宋" w:cs="Arial"/>
      <w:b/>
      <w:bCs/>
      <w:kern w:val="28"/>
      <w:sz w:val="32"/>
      <w:szCs w:val="32"/>
    </w:rPr>
  </w:style>
  <w:style w:type="character" w:customStyle="1" w:styleId="255">
    <w:name w:val="font"/>
    <w:qFormat/>
    <w:uiPriority w:val="0"/>
    <w:rPr>
      <w:rFonts w:ascii="Calibri" w:hAnsi="Calibri" w:eastAsia="宋体" w:cs="Times New Roman"/>
    </w:rPr>
  </w:style>
  <w:style w:type="character" w:customStyle="1" w:styleId="256">
    <w:name w:val="dandyren_title1"/>
    <w:qFormat/>
    <w:uiPriority w:val="0"/>
    <w:rPr>
      <w:rFonts w:ascii="Calibri" w:hAnsi="Calibri" w:eastAsia="宋体" w:cs="Times New Roman"/>
      <w:b/>
      <w:bCs/>
      <w:color w:val="FF6633"/>
      <w:sz w:val="18"/>
      <w:szCs w:val="18"/>
    </w:rPr>
  </w:style>
  <w:style w:type="character" w:customStyle="1" w:styleId="257">
    <w:name w:val="段落小标题 Char"/>
    <w:link w:val="258"/>
    <w:qFormat/>
    <w:uiPriority w:val="0"/>
    <w:rPr>
      <w:rFonts w:ascii="仿宋" w:hAnsi="仿宋" w:eastAsia="仿宋" w:cs="Times New Roman"/>
      <w:b/>
      <w:sz w:val="32"/>
      <w:szCs w:val="32"/>
    </w:rPr>
  </w:style>
  <w:style w:type="paragraph" w:customStyle="1" w:styleId="258">
    <w:name w:val="段落小标题"/>
    <w:basedOn w:val="1"/>
    <w:link w:val="257"/>
    <w:qFormat/>
    <w:uiPriority w:val="0"/>
    <w:pPr>
      <w:adjustRightInd w:val="0"/>
      <w:spacing w:line="360" w:lineRule="auto"/>
      <w:ind w:firstLine="510"/>
      <w:jc w:val="left"/>
      <w:textAlignment w:val="baseline"/>
    </w:pPr>
    <w:rPr>
      <w:rFonts w:ascii="仿宋" w:hAnsi="仿宋" w:eastAsia="仿宋"/>
      <w:b/>
      <w:kern w:val="0"/>
      <w:sz w:val="32"/>
      <w:szCs w:val="32"/>
    </w:rPr>
  </w:style>
  <w:style w:type="character" w:customStyle="1" w:styleId="259">
    <w:name w:val="批注框文本 字符"/>
    <w:qFormat/>
    <w:uiPriority w:val="0"/>
    <w:rPr>
      <w:rFonts w:ascii="Times New Roman" w:hAnsi="Times New Roman" w:eastAsia="仿宋" w:cs="Times New Roman"/>
      <w:sz w:val="18"/>
      <w:szCs w:val="18"/>
    </w:rPr>
  </w:style>
  <w:style w:type="character" w:customStyle="1" w:styleId="260">
    <w:name w:val="结束语 Char1"/>
    <w:qFormat/>
    <w:uiPriority w:val="0"/>
    <w:rPr>
      <w:rFonts w:ascii="Times New Roman" w:hAnsi="Times New Roman" w:eastAsia="仿宋" w:cs="Times New Roman"/>
      <w:sz w:val="32"/>
    </w:rPr>
  </w:style>
  <w:style w:type="character" w:customStyle="1" w:styleId="261">
    <w:name w:val="font71"/>
    <w:qFormat/>
    <w:uiPriority w:val="0"/>
    <w:rPr>
      <w:rFonts w:hint="eastAsia" w:ascii="宋体" w:hAnsi="宋体" w:eastAsia="宋体" w:cs="宋体"/>
      <w:color w:val="000000"/>
      <w:sz w:val="21"/>
      <w:szCs w:val="21"/>
      <w:u w:val="none"/>
    </w:rPr>
  </w:style>
  <w:style w:type="character" w:customStyle="1" w:styleId="262">
    <w:name w:val="普通 (Web) Char"/>
    <w:link w:val="263"/>
    <w:qFormat/>
    <w:uiPriority w:val="0"/>
    <w:rPr>
      <w:rFonts w:ascii="宋体" w:hAnsi="宋体" w:eastAsia="宋体" w:cs="Times New Roman"/>
      <w:sz w:val="24"/>
      <w:szCs w:val="24"/>
    </w:rPr>
  </w:style>
  <w:style w:type="paragraph" w:customStyle="1" w:styleId="263">
    <w:name w:val="普通 (Web)"/>
    <w:basedOn w:val="1"/>
    <w:link w:val="262"/>
    <w:qFormat/>
    <w:uiPriority w:val="0"/>
    <w:pPr>
      <w:widowControl/>
      <w:spacing w:before="100" w:beforeAutospacing="1" w:after="100" w:afterAutospacing="1"/>
      <w:jc w:val="left"/>
    </w:pPr>
    <w:rPr>
      <w:rFonts w:ascii="宋体" w:hAnsi="宋体"/>
      <w:kern w:val="0"/>
      <w:sz w:val="24"/>
    </w:rPr>
  </w:style>
  <w:style w:type="character" w:customStyle="1" w:styleId="264">
    <w:name w:val="正文文本缩进 3 Char1"/>
    <w:qFormat/>
    <w:uiPriority w:val="0"/>
    <w:rPr>
      <w:rFonts w:ascii="Times New Roman" w:hAnsi="Times New Roman" w:eastAsia="宋体" w:cs="Times New Roman"/>
      <w:sz w:val="16"/>
      <w:szCs w:val="16"/>
    </w:rPr>
  </w:style>
  <w:style w:type="character" w:customStyle="1" w:styleId="265">
    <w:name w:val="Date Char"/>
    <w:qFormat/>
    <w:uiPriority w:val="0"/>
    <w:rPr>
      <w:rFonts w:ascii="宋体" w:hAnsi="Calibri" w:eastAsia="宋体" w:cs="Times New Roman"/>
      <w:kern w:val="2"/>
      <w:sz w:val="24"/>
      <w:lang w:val="en-US" w:eastAsia="zh-CN"/>
    </w:rPr>
  </w:style>
  <w:style w:type="character" w:customStyle="1" w:styleId="266">
    <w:name w:val="Char Char"/>
    <w:qFormat/>
    <w:uiPriority w:val="0"/>
    <w:rPr>
      <w:rFonts w:ascii="Calibri" w:hAnsi="Calibri" w:eastAsia="宋体" w:cs="Times New Roman"/>
      <w:kern w:val="2"/>
      <w:sz w:val="21"/>
      <w:szCs w:val="24"/>
    </w:rPr>
  </w:style>
  <w:style w:type="character" w:customStyle="1" w:styleId="267">
    <w:name w:val="正文文本缩进 3 字符"/>
    <w:qFormat/>
    <w:uiPriority w:val="0"/>
    <w:rPr>
      <w:rFonts w:ascii="Times New Roman" w:hAnsi="Times New Roman" w:eastAsia="仿宋" w:cs="Times New Roman"/>
      <w:sz w:val="16"/>
      <w:szCs w:val="16"/>
    </w:rPr>
  </w:style>
  <w:style w:type="character" w:customStyle="1" w:styleId="268">
    <w:name w:val="标题 4 Char1"/>
    <w:qFormat/>
    <w:uiPriority w:val="0"/>
    <w:rPr>
      <w:rFonts w:ascii="Cambria" w:hAnsi="Cambria" w:eastAsia="宋体" w:cs="Times New Roman"/>
      <w:b/>
      <w:bCs/>
      <w:kern w:val="2"/>
      <w:sz w:val="28"/>
      <w:szCs w:val="28"/>
    </w:rPr>
  </w:style>
  <w:style w:type="character" w:customStyle="1" w:styleId="269">
    <w:name w:val="10f000000"/>
    <w:qFormat/>
    <w:uiPriority w:val="0"/>
    <w:rPr>
      <w:rFonts w:ascii="Calibri" w:hAnsi="Calibri" w:eastAsia="宋体" w:cs="Times New Roman"/>
    </w:rPr>
  </w:style>
  <w:style w:type="character" w:customStyle="1" w:styleId="270">
    <w:name w:val="Char Char1"/>
    <w:qFormat/>
    <w:uiPriority w:val="0"/>
    <w:rPr>
      <w:rFonts w:ascii="Calibri" w:hAnsi="Calibri" w:eastAsia="宋体" w:cs="Times New Roman"/>
      <w:kern w:val="2"/>
      <w:sz w:val="21"/>
      <w:szCs w:val="24"/>
    </w:rPr>
  </w:style>
  <w:style w:type="character" w:customStyle="1" w:styleId="271">
    <w:name w:val="haikang1"/>
    <w:qFormat/>
    <w:uiPriority w:val="0"/>
    <w:rPr>
      <w:rFonts w:hint="default" w:ascii="Calibri" w:hAnsi="Calibri" w:eastAsia="宋体" w:cs="Times New Roman"/>
      <w:color w:val="000000"/>
      <w:sz w:val="18"/>
      <w:szCs w:val="18"/>
      <w:u w:val="none"/>
    </w:rPr>
  </w:style>
  <w:style w:type="character" w:customStyle="1" w:styleId="272">
    <w:name w:val="Char Char31"/>
    <w:qFormat/>
    <w:uiPriority w:val="0"/>
    <w:rPr>
      <w:rFonts w:ascii="Calibri" w:hAnsi="Calibri" w:eastAsia="宋体" w:cs="Times New Roman"/>
      <w:sz w:val="18"/>
      <w:szCs w:val="18"/>
    </w:rPr>
  </w:style>
  <w:style w:type="character" w:customStyle="1" w:styleId="273">
    <w:name w:val="本级3 Char"/>
    <w:link w:val="274"/>
    <w:qFormat/>
    <w:uiPriority w:val="0"/>
    <w:rPr>
      <w:rFonts w:ascii="Calibri" w:hAnsi="Calibri" w:eastAsia="宋体" w:cs="Times New Roman"/>
      <w:b/>
      <w:bCs/>
      <w:kern w:val="2"/>
      <w:sz w:val="32"/>
      <w:szCs w:val="24"/>
    </w:rPr>
  </w:style>
  <w:style w:type="paragraph" w:customStyle="1" w:styleId="274">
    <w:name w:val="本级3"/>
    <w:basedOn w:val="140"/>
    <w:next w:val="140"/>
    <w:link w:val="273"/>
    <w:qFormat/>
    <w:uiPriority w:val="0"/>
    <w:pPr>
      <w:outlineLvl w:val="2"/>
    </w:pPr>
    <w:rPr>
      <w:rFonts w:ascii="Calibri" w:hAnsi="Calibri" w:eastAsia="宋体"/>
    </w:rPr>
  </w:style>
  <w:style w:type="character" w:customStyle="1" w:styleId="275">
    <w:name w:val="签名 Char1"/>
    <w:qFormat/>
    <w:uiPriority w:val="0"/>
    <w:rPr>
      <w:rFonts w:ascii="Times New Roman" w:hAnsi="Times New Roman" w:eastAsia="仿宋" w:cs="Times New Roman"/>
      <w:sz w:val="32"/>
    </w:rPr>
  </w:style>
  <w:style w:type="character" w:customStyle="1" w:styleId="276">
    <w:name w:val="标题 7 字符"/>
    <w:qFormat/>
    <w:uiPriority w:val="0"/>
    <w:rPr>
      <w:rFonts w:ascii="Times New Roman" w:hAnsi="Times New Roman" w:eastAsia="仿宋" w:cs="Times New Roman"/>
      <w:b/>
      <w:bCs/>
      <w:sz w:val="24"/>
      <w:szCs w:val="24"/>
    </w:rPr>
  </w:style>
  <w:style w:type="character" w:customStyle="1" w:styleId="277">
    <w:name w:val="正文首行缩进 2 字符"/>
    <w:qFormat/>
    <w:uiPriority w:val="0"/>
    <w:rPr>
      <w:rFonts w:ascii="Times New Roman" w:hAnsi="Times New Roman" w:eastAsia="仿宋" w:cs="Times New Roman"/>
      <w:sz w:val="21"/>
    </w:rPr>
  </w:style>
  <w:style w:type="character" w:customStyle="1" w:styleId="278">
    <w:name w:val="HTML 地址 Char1"/>
    <w:qFormat/>
    <w:uiPriority w:val="0"/>
    <w:rPr>
      <w:rFonts w:ascii="Times New Roman" w:hAnsi="Times New Roman" w:eastAsia="仿宋" w:cs="Times New Roman"/>
      <w:i/>
      <w:iCs/>
      <w:sz w:val="32"/>
    </w:rPr>
  </w:style>
  <w:style w:type="character" w:customStyle="1" w:styleId="279">
    <w:name w:val="正文首行缩进2字 Char"/>
    <w:link w:val="280"/>
    <w:qFormat/>
    <w:uiPriority w:val="0"/>
    <w:rPr>
      <w:rFonts w:ascii="Calibri" w:hAnsi="Calibri" w:eastAsia="楷体_GB2312" w:cs="Times New Roman"/>
      <w:sz w:val="28"/>
      <w:szCs w:val="24"/>
    </w:rPr>
  </w:style>
  <w:style w:type="paragraph" w:customStyle="1" w:styleId="280">
    <w:name w:val="正文首行缩进2字"/>
    <w:basedOn w:val="1"/>
    <w:link w:val="279"/>
    <w:qFormat/>
    <w:uiPriority w:val="0"/>
    <w:pPr>
      <w:ind w:firstLine="560" w:firstLineChars="200"/>
    </w:pPr>
    <w:rPr>
      <w:rFonts w:eastAsia="楷体_GB2312"/>
      <w:kern w:val="0"/>
      <w:sz w:val="28"/>
    </w:rPr>
  </w:style>
  <w:style w:type="paragraph" w:customStyle="1" w:styleId="281">
    <w:name w:val="表格内容五号(V1)"/>
    <w:basedOn w:val="1"/>
    <w:qFormat/>
    <w:uiPriority w:val="0"/>
    <w:pPr>
      <w:jc w:val="center"/>
    </w:pPr>
    <w:rPr>
      <w:rFonts w:cs="Arial Unicode MS"/>
      <w:kern w:val="0"/>
      <w:szCs w:val="21"/>
    </w:rPr>
  </w:style>
  <w:style w:type="paragraph" w:customStyle="1" w:styleId="282">
    <w:name w:val="Normal0"/>
    <w:qFormat/>
    <w:uiPriority w:val="0"/>
    <w:rPr>
      <w:rFonts w:ascii="Calibri" w:hAnsi="Calibri" w:eastAsia="宋体" w:cs="Times New Roman"/>
      <w:lang w:val="en-US" w:eastAsia="en-US" w:bidi="ar-SA"/>
    </w:rPr>
  </w:style>
  <w:style w:type="paragraph" w:customStyle="1" w:styleId="283">
    <w:name w:val="xl73"/>
    <w:basedOn w:val="1"/>
    <w:qFormat/>
    <w:uiPriority w:val="0"/>
    <w:pPr>
      <w:widowControl/>
      <w:spacing w:before="100" w:beforeAutospacing="1" w:after="100" w:afterAutospacing="1"/>
      <w:jc w:val="left"/>
    </w:pPr>
    <w:rPr>
      <w:rFonts w:ascii="宋体" w:cs="宋体"/>
      <w:kern w:val="0"/>
      <w:sz w:val="20"/>
      <w:szCs w:val="20"/>
    </w:rPr>
  </w:style>
  <w:style w:type="paragraph" w:customStyle="1" w:styleId="28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85">
    <w:name w:val="说明正文"/>
    <w:basedOn w:val="1"/>
    <w:qFormat/>
    <w:uiPriority w:val="0"/>
    <w:pPr>
      <w:spacing w:line="360" w:lineRule="auto"/>
      <w:ind w:firstLine="480" w:firstLineChars="200"/>
    </w:pPr>
    <w:rPr>
      <w:rFonts w:ascii="宋体" w:hAnsi="宋体"/>
      <w:sz w:val="24"/>
    </w:rPr>
  </w:style>
  <w:style w:type="paragraph" w:customStyle="1" w:styleId="286">
    <w:name w:val="pa-1"/>
    <w:basedOn w:val="1"/>
    <w:qFormat/>
    <w:uiPriority w:val="0"/>
    <w:pPr>
      <w:widowControl/>
      <w:spacing w:before="150" w:after="150"/>
      <w:jc w:val="left"/>
    </w:pPr>
    <w:rPr>
      <w:rFonts w:ascii="宋体" w:cs="宋体"/>
      <w:kern w:val="0"/>
      <w:sz w:val="24"/>
    </w:rPr>
  </w:style>
  <w:style w:type="paragraph" w:customStyle="1" w:styleId="287">
    <w:name w:val="Char Char Char"/>
    <w:basedOn w:val="1"/>
    <w:qFormat/>
    <w:uiPriority w:val="0"/>
    <w:pPr>
      <w:jc w:val="center"/>
    </w:pPr>
    <w:rPr>
      <w:szCs w:val="20"/>
    </w:rPr>
  </w:style>
  <w:style w:type="paragraph" w:customStyle="1" w:styleId="288">
    <w:name w:val="xl74"/>
    <w:basedOn w:val="1"/>
    <w:qFormat/>
    <w:uiPriority w:val="0"/>
    <w:pPr>
      <w:widowControl/>
      <w:spacing w:before="100" w:beforeAutospacing="1" w:after="100" w:afterAutospacing="1"/>
      <w:jc w:val="center"/>
    </w:pPr>
    <w:rPr>
      <w:rFonts w:ascii="宋体" w:cs="宋体"/>
      <w:kern w:val="0"/>
      <w:sz w:val="20"/>
      <w:szCs w:val="20"/>
    </w:rPr>
  </w:style>
  <w:style w:type="paragraph" w:customStyle="1" w:styleId="289">
    <w:name w:val="默认段落字体 Para Char"/>
    <w:basedOn w:val="1"/>
    <w:qFormat/>
    <w:uiPriority w:val="0"/>
    <w:rPr>
      <w:rFonts w:cs="Arial"/>
    </w:rPr>
  </w:style>
  <w:style w:type="paragraph" w:customStyle="1" w:styleId="290">
    <w:name w:val="xl7869"/>
    <w:basedOn w:val="1"/>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291">
    <w:name w:val="xl70"/>
    <w:basedOn w:val="1"/>
    <w:qFormat/>
    <w:uiPriority w:val="0"/>
    <w:pPr>
      <w:widowControl/>
      <w:spacing w:before="100" w:beforeAutospacing="1" w:after="100" w:afterAutospacing="1"/>
    </w:pPr>
    <w:rPr>
      <w:rFonts w:ascii="宋体" w:cs="宋体"/>
      <w:kern w:val="0"/>
      <w:sz w:val="20"/>
      <w:szCs w:val="20"/>
    </w:rPr>
  </w:style>
  <w:style w:type="paragraph" w:customStyle="1" w:styleId="292">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293">
    <w:name w:val="font21"/>
    <w:basedOn w:val="1"/>
    <w:qFormat/>
    <w:uiPriority w:val="0"/>
    <w:pPr>
      <w:widowControl/>
      <w:spacing w:before="100" w:beforeAutospacing="1" w:after="100" w:afterAutospacing="1"/>
      <w:jc w:val="left"/>
    </w:pPr>
    <w:rPr>
      <w:rFonts w:ascii="宋体" w:cs="宋体"/>
      <w:kern w:val="0"/>
      <w:sz w:val="20"/>
      <w:szCs w:val="20"/>
    </w:rPr>
  </w:style>
  <w:style w:type="paragraph" w:customStyle="1" w:styleId="294">
    <w:name w:val="节"/>
    <w:basedOn w:val="5"/>
    <w:qFormat/>
    <w:uiPriority w:val="0"/>
    <w:pPr>
      <w:tabs>
        <w:tab w:val="left" w:pos="780"/>
      </w:tabs>
      <w:spacing w:line="240" w:lineRule="auto"/>
      <w:ind w:left="780" w:hanging="360"/>
    </w:pPr>
    <w:rPr>
      <w:rFonts w:ascii="黑体" w:hAnsi="Calibri" w:eastAsia="宋体"/>
      <w:b w:val="0"/>
      <w:sz w:val="28"/>
      <w:szCs w:val="28"/>
    </w:rPr>
  </w:style>
  <w:style w:type="paragraph" w:customStyle="1" w:styleId="29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6">
    <w:name w:val="题头内容"/>
    <w:basedOn w:val="1"/>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297">
    <w:name w:val="编号3级"/>
    <w:qFormat/>
    <w:uiPriority w:val="0"/>
    <w:pPr>
      <w:numPr>
        <w:ilvl w:val="4"/>
        <w:numId w:val="12"/>
      </w:numPr>
      <w:spacing w:line="400" w:lineRule="exact"/>
    </w:pPr>
    <w:rPr>
      <w:rFonts w:ascii="Calibri" w:hAnsi="Calibri" w:eastAsia="宋体" w:cs="Times New Roman"/>
      <w:kern w:val="2"/>
      <w:sz w:val="24"/>
      <w:szCs w:val="24"/>
      <w:lang w:val="en-US" w:eastAsia="zh-CN" w:bidi="ar-SA"/>
    </w:rPr>
  </w:style>
  <w:style w:type="paragraph" w:customStyle="1" w:styleId="298">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99">
    <w:name w:val="表2"/>
    <w:basedOn w:val="300"/>
    <w:qFormat/>
    <w:uiPriority w:val="0"/>
    <w:pPr>
      <w:numPr>
        <w:ilvl w:val="0"/>
        <w:numId w:val="13"/>
      </w:numPr>
    </w:pPr>
  </w:style>
  <w:style w:type="paragraph" w:customStyle="1" w:styleId="300">
    <w:name w:val="表1"/>
    <w:basedOn w:val="301"/>
    <w:qFormat/>
    <w:uiPriority w:val="0"/>
    <w:rPr>
      <w:rFonts w:ascii="Calibri" w:hAnsi="Calibri" w:cs="Times New Roman"/>
    </w:rPr>
  </w:style>
  <w:style w:type="paragraph" w:customStyle="1" w:styleId="301">
    <w:name w:val="表格样式"/>
    <w:basedOn w:val="1"/>
    <w:qFormat/>
    <w:uiPriority w:val="0"/>
    <w:pPr>
      <w:spacing w:before="156" w:after="156"/>
      <w:jc w:val="center"/>
    </w:pPr>
    <w:rPr>
      <w:rFonts w:ascii="宋体" w:hAnsi="宋体" w:cs="宋体"/>
      <w:b/>
      <w:bCs/>
      <w:kern w:val="0"/>
      <w:szCs w:val="20"/>
    </w:rPr>
  </w:style>
  <w:style w:type="paragraph" w:customStyle="1" w:styleId="302">
    <w:name w:val="标题2"/>
    <w:basedOn w:val="303"/>
    <w:qFormat/>
    <w:uiPriority w:val="0"/>
    <w:rPr>
      <w:rFonts w:ascii="Calibri" w:cs="Times New Roman"/>
    </w:rPr>
  </w:style>
  <w:style w:type="paragraph" w:customStyle="1" w:styleId="303">
    <w:name w:val="样式 标题 2HD2Heading 2 HiddenHeading 2 CCBSheading 2Titre3H2..."/>
    <w:basedOn w:val="5"/>
    <w:qFormat/>
    <w:uiPriority w:val="0"/>
    <w:pPr>
      <w:spacing w:line="360" w:lineRule="auto"/>
    </w:pPr>
    <w:rPr>
      <w:rFonts w:ascii="宋体" w:hAnsi="Calibri" w:eastAsia="宋体" w:cs="宋体"/>
      <w:sz w:val="24"/>
    </w:rPr>
  </w:style>
  <w:style w:type="paragraph" w:customStyle="1" w:styleId="30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05">
    <w:name w:val="图表文字"/>
    <w:qFormat/>
    <w:uiPriority w:val="0"/>
    <w:rPr>
      <w:rFonts w:ascii="Calibri" w:hAnsi="Calibri" w:eastAsia="宋体" w:cs="Times New Roman"/>
      <w:sz w:val="21"/>
      <w:szCs w:val="21"/>
      <w:lang w:val="en-US" w:eastAsia="zh-CN" w:bidi="ar-SA"/>
    </w:rPr>
  </w:style>
  <w:style w:type="paragraph" w:customStyle="1" w:styleId="306">
    <w:name w:val="Char1 Char Char Char"/>
    <w:basedOn w:val="1"/>
    <w:qFormat/>
    <w:uiPriority w:val="0"/>
    <w:pPr>
      <w:spacing w:line="360" w:lineRule="auto"/>
      <w:ind w:firstLine="200" w:firstLineChars="200"/>
    </w:pPr>
    <w:rPr>
      <w:rFonts w:ascii="宋体" w:hAnsi="宋体" w:cs="宋体"/>
      <w:sz w:val="24"/>
    </w:rPr>
  </w:style>
  <w:style w:type="paragraph" w:customStyle="1" w:styleId="307">
    <w:name w:val="表格"/>
    <w:basedOn w:val="1"/>
    <w:qFormat/>
    <w:uiPriority w:val="0"/>
    <w:pPr>
      <w:adjustRightInd w:val="0"/>
      <w:spacing w:line="400" w:lineRule="atLeast"/>
      <w:textAlignment w:val="baseline"/>
    </w:pPr>
    <w:rPr>
      <w:rFonts w:ascii="仿宋_GB2312" w:eastAsia="仿宋_GB2312"/>
      <w:kern w:val="0"/>
      <w:sz w:val="28"/>
      <w:szCs w:val="20"/>
    </w:rPr>
  </w:style>
  <w:style w:type="paragraph" w:customStyle="1" w:styleId="308">
    <w:name w:val="Item Step"/>
    <w:qFormat/>
    <w:uiPriority w:val="0"/>
    <w:pPr>
      <w:tabs>
        <w:tab w:val="left" w:pos="2126"/>
      </w:tabs>
      <w:adjustRightInd w:val="0"/>
      <w:snapToGrid w:val="0"/>
      <w:spacing w:before="80" w:after="80" w:line="240" w:lineRule="atLeast"/>
      <w:ind w:left="2126" w:hanging="425"/>
      <w:jc w:val="both"/>
      <w:outlineLvl w:val="6"/>
    </w:pPr>
    <w:rPr>
      <w:rFonts w:ascii="Arial" w:hAnsi="Arial" w:eastAsia="宋体" w:cs="Arial"/>
      <w:sz w:val="21"/>
      <w:szCs w:val="21"/>
      <w:lang w:val="en-US" w:eastAsia="zh-CN" w:bidi="ar-SA"/>
    </w:rPr>
  </w:style>
  <w:style w:type="paragraph" w:customStyle="1" w:styleId="309">
    <w:name w:val="手动目录"/>
    <w:basedOn w:val="1"/>
    <w:qFormat/>
    <w:uiPriority w:val="0"/>
    <w:pPr>
      <w:numPr>
        <w:ilvl w:val="0"/>
        <w:numId w:val="14"/>
      </w:numPr>
      <w:tabs>
        <w:tab w:val="clear" w:pos="680"/>
      </w:tabs>
      <w:spacing w:line="360" w:lineRule="auto"/>
    </w:pPr>
    <w:rPr>
      <w:sz w:val="24"/>
    </w:rPr>
  </w:style>
  <w:style w:type="paragraph" w:customStyle="1" w:styleId="310">
    <w:name w:val="font19"/>
    <w:basedOn w:val="1"/>
    <w:qFormat/>
    <w:uiPriority w:val="0"/>
    <w:pPr>
      <w:widowControl/>
      <w:spacing w:before="100" w:beforeAutospacing="1" w:after="100" w:afterAutospacing="1"/>
      <w:jc w:val="left"/>
    </w:pPr>
    <w:rPr>
      <w:rFonts w:ascii="宋体" w:cs="宋体"/>
      <w:kern w:val="0"/>
      <w:sz w:val="20"/>
      <w:szCs w:val="20"/>
    </w:rPr>
  </w:style>
  <w:style w:type="paragraph" w:customStyle="1" w:styleId="311">
    <w:name w:val="xl35"/>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312">
    <w:name w:val="表号"/>
    <w:basedOn w:val="1"/>
    <w:next w:val="1"/>
    <w:qFormat/>
    <w:uiPriority w:val="0"/>
    <w:pPr>
      <w:spacing w:beforeLines="100" w:afterLines="50"/>
      <w:jc w:val="center"/>
    </w:pPr>
    <w:rPr>
      <w:rFonts w:eastAsia="黑体"/>
    </w:rPr>
  </w:style>
  <w:style w:type="paragraph" w:customStyle="1" w:styleId="313">
    <w:name w:val="List Paragraph11"/>
    <w:basedOn w:val="1"/>
    <w:qFormat/>
    <w:uiPriority w:val="0"/>
    <w:pPr>
      <w:ind w:firstLine="420" w:firstLineChars="200"/>
    </w:pPr>
    <w:rPr>
      <w:szCs w:val="22"/>
    </w:rPr>
  </w:style>
  <w:style w:type="paragraph" w:customStyle="1" w:styleId="314">
    <w:name w:val="ac"/>
    <w:basedOn w:val="1"/>
    <w:qFormat/>
    <w:uiPriority w:val="0"/>
    <w:pPr>
      <w:widowControl/>
      <w:spacing w:before="100" w:beforeAutospacing="1" w:after="100" w:afterAutospacing="1"/>
      <w:jc w:val="left"/>
    </w:pPr>
    <w:rPr>
      <w:rFonts w:ascii="宋体" w:hAnsi="宋体" w:cs="宋体"/>
      <w:kern w:val="0"/>
      <w:sz w:val="24"/>
    </w:rPr>
  </w:style>
  <w:style w:type="paragraph" w:customStyle="1" w:styleId="315">
    <w:name w:val="正文1"/>
    <w:basedOn w:val="1"/>
    <w:qFormat/>
    <w:uiPriority w:val="0"/>
    <w:pPr>
      <w:spacing w:line="360" w:lineRule="auto"/>
      <w:ind w:left="428" w:leftChars="428" w:firstLine="199" w:firstLineChars="199"/>
    </w:pPr>
    <w:rPr>
      <w:rFonts w:ascii="宋体"/>
      <w:color w:val="000000"/>
      <w:sz w:val="24"/>
    </w:rPr>
  </w:style>
  <w:style w:type="paragraph" w:customStyle="1" w:styleId="316">
    <w:name w:val="样式6"/>
    <w:basedOn w:val="1"/>
    <w:qFormat/>
    <w:uiPriority w:val="0"/>
    <w:pPr>
      <w:widowControl/>
      <w:numPr>
        <w:ilvl w:val="1"/>
        <w:numId w:val="15"/>
      </w:numPr>
      <w:tabs>
        <w:tab w:val="left" w:pos="1800"/>
      </w:tabs>
      <w:spacing w:before="156" w:beforeLines="50" w:after="156" w:afterLines="50"/>
      <w:ind w:left="1800" w:firstLine="899" w:firstLineChars="428"/>
    </w:pPr>
    <w:rPr>
      <w:kern w:val="0"/>
    </w:rPr>
  </w:style>
  <w:style w:type="paragraph" w:customStyle="1" w:styleId="31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18">
    <w:name w:val="表格内容"/>
    <w:basedOn w:val="1"/>
    <w:qFormat/>
    <w:uiPriority w:val="0"/>
    <w:pPr>
      <w:spacing w:line="360" w:lineRule="auto"/>
      <w:jc w:val="center"/>
    </w:pPr>
    <w:rPr>
      <w:rFonts w:cs="宋体"/>
      <w:sz w:val="18"/>
      <w:szCs w:val="20"/>
    </w:rPr>
  </w:style>
  <w:style w:type="paragraph" w:customStyle="1" w:styleId="319">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320">
    <w:name w:val="xl75"/>
    <w:basedOn w:val="1"/>
    <w:qFormat/>
    <w:uiPriority w:val="0"/>
    <w:pPr>
      <w:widowControl/>
      <w:spacing w:before="100" w:beforeAutospacing="1" w:after="100" w:afterAutospacing="1"/>
      <w:jc w:val="left"/>
    </w:pPr>
    <w:rPr>
      <w:rFonts w:ascii="宋体" w:cs="宋体"/>
      <w:kern w:val="0"/>
      <w:sz w:val="20"/>
      <w:szCs w:val="20"/>
    </w:rPr>
  </w:style>
  <w:style w:type="paragraph" w:customStyle="1" w:styleId="321">
    <w:name w:val="Item List in Table"/>
    <w:basedOn w:val="1"/>
    <w:qFormat/>
    <w:uiPriority w:val="0"/>
    <w:pPr>
      <w:numPr>
        <w:ilvl w:val="0"/>
        <w:numId w:val="16"/>
      </w:numPr>
      <w:topLinePunct/>
      <w:adjustRightInd w:val="0"/>
      <w:snapToGrid w:val="0"/>
      <w:spacing w:before="80" w:after="80" w:line="240" w:lineRule="atLeast"/>
      <w:jc w:val="left"/>
    </w:pPr>
    <w:rPr>
      <w:rFonts w:ascii="Arial" w:hAnsi="Arial" w:cs="Arial"/>
      <w:kern w:val="0"/>
      <w:szCs w:val="21"/>
    </w:rPr>
  </w:style>
  <w:style w:type="paragraph" w:customStyle="1" w:styleId="322">
    <w:name w:val="Sub Item List"/>
    <w:basedOn w:val="1"/>
    <w:qFormat/>
    <w:uiPriority w:val="0"/>
    <w:pPr>
      <w:widowControl/>
      <w:numPr>
        <w:ilvl w:val="0"/>
        <w:numId w:val="17"/>
      </w:numPr>
      <w:topLinePunct/>
      <w:adjustRightInd w:val="0"/>
      <w:snapToGrid w:val="0"/>
      <w:spacing w:before="80" w:after="80" w:line="240" w:lineRule="atLeast"/>
      <w:jc w:val="left"/>
    </w:pPr>
    <w:rPr>
      <w:rFonts w:ascii="Arial" w:hAnsi="Arial" w:cs="Arial"/>
      <w:szCs w:val="21"/>
    </w:rPr>
  </w:style>
  <w:style w:type="paragraph" w:customStyle="1" w:styleId="323">
    <w:name w:val="Char Char Char Char Char Char Char Char"/>
    <w:basedOn w:val="1"/>
    <w:qFormat/>
    <w:uiPriority w:val="0"/>
    <w:pPr>
      <w:tabs>
        <w:tab w:val="left" w:pos="360"/>
      </w:tabs>
    </w:pPr>
    <w:rPr>
      <w:sz w:val="24"/>
    </w:rPr>
  </w:style>
  <w:style w:type="paragraph" w:customStyle="1" w:styleId="324">
    <w:name w:val="样式1"/>
    <w:basedOn w:val="7"/>
    <w:qFormat/>
    <w:uiPriority w:val="0"/>
    <w:rPr>
      <w:rFonts w:ascii="宋体" w:hAnsi="宋体" w:eastAsia="宋体"/>
      <w:sz w:val="24"/>
      <w:szCs w:val="24"/>
    </w:rPr>
  </w:style>
  <w:style w:type="paragraph" w:customStyle="1" w:styleId="325">
    <w:name w:val="Char Char Char Char"/>
    <w:basedOn w:val="1"/>
    <w:qFormat/>
    <w:uiPriority w:val="0"/>
    <w:pPr>
      <w:tabs>
        <w:tab w:val="left" w:pos="360"/>
      </w:tabs>
      <w:ind w:firstLine="150" w:firstLineChars="150"/>
    </w:pPr>
    <w:rPr>
      <w:rFonts w:ascii="Arial" w:hAnsi="Arial" w:cs="Arial"/>
      <w:sz w:val="20"/>
      <w:szCs w:val="20"/>
    </w:rPr>
  </w:style>
  <w:style w:type="paragraph" w:customStyle="1" w:styleId="326">
    <w:name w:val="Char Char Char Char11"/>
    <w:basedOn w:val="1"/>
    <w:qFormat/>
    <w:uiPriority w:val="0"/>
    <w:pPr>
      <w:widowControl/>
      <w:spacing w:after="160" w:line="240" w:lineRule="exact"/>
      <w:jc w:val="left"/>
    </w:pPr>
    <w:rPr>
      <w:rFonts w:ascii="Verdana" w:hAnsi="Verdana"/>
      <w:kern w:val="0"/>
      <w:szCs w:val="20"/>
    </w:rPr>
  </w:style>
  <w:style w:type="paragraph" w:customStyle="1" w:styleId="327">
    <w:name w:val="font24"/>
    <w:basedOn w:val="1"/>
    <w:qFormat/>
    <w:uiPriority w:val="0"/>
    <w:pPr>
      <w:widowControl/>
      <w:spacing w:before="100" w:beforeAutospacing="1" w:after="100" w:afterAutospacing="1"/>
      <w:jc w:val="left"/>
    </w:pPr>
    <w:rPr>
      <w:rFonts w:ascii="宋体" w:cs="宋体"/>
      <w:kern w:val="0"/>
      <w:sz w:val="18"/>
      <w:szCs w:val="18"/>
    </w:rPr>
  </w:style>
  <w:style w:type="paragraph" w:customStyle="1" w:styleId="328">
    <w:name w:val="font17"/>
    <w:basedOn w:val="1"/>
    <w:qFormat/>
    <w:uiPriority w:val="0"/>
    <w:pPr>
      <w:widowControl/>
      <w:spacing w:before="100" w:beforeAutospacing="1" w:after="100" w:afterAutospacing="1"/>
      <w:jc w:val="left"/>
    </w:pPr>
    <w:rPr>
      <w:rFonts w:ascii="宋体" w:cs="宋体"/>
      <w:b/>
      <w:bCs/>
      <w:color w:val="000000"/>
      <w:kern w:val="0"/>
      <w:sz w:val="20"/>
      <w:szCs w:val="20"/>
    </w:rPr>
  </w:style>
  <w:style w:type="paragraph" w:customStyle="1" w:styleId="329">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330">
    <w:name w:val="正"/>
    <w:basedOn w:val="1"/>
    <w:qFormat/>
    <w:uiPriority w:val="0"/>
    <w:pPr>
      <w:tabs>
        <w:tab w:val="left" w:pos="-120"/>
      </w:tabs>
      <w:adjustRightInd w:val="0"/>
      <w:spacing w:line="560" w:lineRule="exact"/>
      <w:ind w:firstLine="600"/>
      <w:textAlignment w:val="baseline"/>
    </w:pPr>
    <w:rPr>
      <w:rFonts w:ascii="仿宋_GB2312" w:eastAsia="仿宋_GB2312"/>
      <w:color w:val="000000"/>
      <w:spacing w:val="20"/>
      <w:kern w:val="0"/>
      <w:szCs w:val="28"/>
    </w:rPr>
  </w:style>
  <w:style w:type="paragraph" w:customStyle="1" w:styleId="331">
    <w:name w:val="Figure Description"/>
    <w:next w:val="11"/>
    <w:qFormat/>
    <w:uiPriority w:val="0"/>
    <w:pPr>
      <w:keepNext/>
      <w:adjustRightInd w:val="0"/>
      <w:snapToGrid w:val="0"/>
      <w:spacing w:before="320" w:after="80" w:line="240" w:lineRule="atLeast"/>
      <w:ind w:left="1701"/>
      <w:outlineLvl w:val="7"/>
    </w:pPr>
    <w:rPr>
      <w:rFonts w:ascii="Arial" w:hAnsi="Arial" w:eastAsia="黑体" w:cs="Arial"/>
      <w:spacing w:val="-4"/>
      <w:kern w:val="2"/>
      <w:sz w:val="21"/>
      <w:szCs w:val="21"/>
      <w:lang w:val="en-US" w:eastAsia="zh-CN" w:bidi="ar-SA"/>
    </w:rPr>
  </w:style>
  <w:style w:type="paragraph" w:customStyle="1" w:styleId="332">
    <w:name w:val="报告正文"/>
    <w:basedOn w:val="1"/>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333">
    <w:name w:val="编号1级"/>
    <w:qFormat/>
    <w:uiPriority w:val="0"/>
    <w:pPr>
      <w:spacing w:after="93" w:afterLines="30" w:line="400" w:lineRule="exact"/>
      <w:outlineLvl w:val="8"/>
    </w:pPr>
    <w:rPr>
      <w:rFonts w:ascii="Calibri" w:hAnsi="Calibri" w:eastAsia="宋体" w:cs="Times New Roman"/>
      <w:b/>
      <w:kern w:val="2"/>
      <w:sz w:val="24"/>
      <w:szCs w:val="28"/>
      <w:lang w:val="en-US" w:eastAsia="zh-CN" w:bidi="ar-SA"/>
    </w:rPr>
  </w:style>
  <w:style w:type="paragraph" w:customStyle="1" w:styleId="334">
    <w:name w:val="标题 21"/>
    <w:basedOn w:val="1"/>
    <w:qFormat/>
    <w:uiPriority w:val="0"/>
    <w:pPr>
      <w:autoSpaceDE w:val="0"/>
      <w:autoSpaceDN w:val="0"/>
      <w:adjustRightInd w:val="0"/>
      <w:spacing w:before="3"/>
      <w:ind w:left="120"/>
      <w:jc w:val="left"/>
      <w:outlineLvl w:val="1"/>
    </w:pPr>
    <w:rPr>
      <w:rFonts w:ascii="宋体" w:cs="宋体"/>
      <w:b/>
      <w:bCs/>
      <w:kern w:val="0"/>
      <w:sz w:val="24"/>
    </w:rPr>
  </w:style>
  <w:style w:type="paragraph" w:customStyle="1" w:styleId="335">
    <w:name w:val="sanxiang2"/>
    <w:basedOn w:val="1"/>
    <w:qFormat/>
    <w:uiPriority w:val="0"/>
    <w:pPr>
      <w:keepNext/>
      <w:snapToGrid w:val="0"/>
      <w:spacing w:beforeLines="200" w:afterLines="100"/>
      <w:jc w:val="center"/>
      <w:outlineLvl w:val="1"/>
    </w:pPr>
    <w:rPr>
      <w:rFonts w:ascii="宋体" w:hAnsi="宋体"/>
      <w:b/>
      <w:w w:val="120"/>
      <w:szCs w:val="21"/>
    </w:rPr>
  </w:style>
  <w:style w:type="paragraph" w:customStyle="1" w:styleId="336">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337">
    <w:name w:val="样式 小四 行距: 1.5 倍行距"/>
    <w:basedOn w:val="1"/>
    <w:qFormat/>
    <w:uiPriority w:val="0"/>
    <w:pPr>
      <w:numPr>
        <w:ilvl w:val="0"/>
        <w:numId w:val="18"/>
      </w:numPr>
    </w:pPr>
  </w:style>
  <w:style w:type="paragraph" w:customStyle="1" w:styleId="338">
    <w:name w:val="样式 标题 4Alt+4项h4H41.1.1.1 Heading 4Heading FourHead44bul...1"/>
    <w:basedOn w:val="7"/>
    <w:qFormat/>
    <w:uiPriority w:val="0"/>
    <w:pPr>
      <w:numPr>
        <w:ilvl w:val="3"/>
        <w:numId w:val="19"/>
      </w:numPr>
      <w:tabs>
        <w:tab w:val="clear" w:pos="851"/>
      </w:tabs>
      <w:spacing w:before="120" w:after="0" w:line="360" w:lineRule="auto"/>
      <w:ind w:left="1931"/>
      <w:jc w:val="left"/>
    </w:pPr>
    <w:rPr>
      <w:rFonts w:ascii="Times New Roman" w:hAnsi="Times New Roman" w:eastAsia="宋体" w:cs="宋体"/>
      <w:b w:val="0"/>
      <w:bCs w:val="0"/>
      <w:sz w:val="24"/>
      <w:szCs w:val="20"/>
    </w:rPr>
  </w:style>
  <w:style w:type="paragraph" w:customStyle="1" w:styleId="339">
    <w:name w:val="Char Char Char Char Char Char Char Char1"/>
    <w:basedOn w:val="1"/>
    <w:qFormat/>
    <w:uiPriority w:val="0"/>
    <w:pPr>
      <w:tabs>
        <w:tab w:val="left" w:pos="360"/>
      </w:tabs>
    </w:pPr>
    <w:rPr>
      <w:sz w:val="24"/>
    </w:rPr>
  </w:style>
  <w:style w:type="paragraph" w:customStyle="1" w:styleId="340">
    <w:name w:val="msonormalcxspmiddle"/>
    <w:basedOn w:val="1"/>
    <w:qFormat/>
    <w:uiPriority w:val="0"/>
    <w:pPr>
      <w:widowControl/>
      <w:spacing w:before="100" w:beforeAutospacing="1" w:after="100" w:afterAutospacing="1"/>
      <w:jc w:val="left"/>
    </w:pPr>
    <w:rPr>
      <w:rFonts w:ascii="宋体" w:cs="宋体"/>
      <w:kern w:val="0"/>
      <w:sz w:val="24"/>
    </w:rPr>
  </w:style>
  <w:style w:type="paragraph" w:customStyle="1" w:styleId="341">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342">
    <w:name w:val="yd正文"/>
    <w:basedOn w:val="1"/>
    <w:qFormat/>
    <w:uiPriority w:val="0"/>
    <w:pPr>
      <w:widowControl/>
      <w:spacing w:line="360" w:lineRule="auto"/>
      <w:ind w:firstLine="482"/>
    </w:pPr>
    <w:rPr>
      <w:rFonts w:ascii="宋体" w:hAnsi="Arial Unicode MS"/>
      <w:bCs/>
      <w:kern w:val="0"/>
      <w:sz w:val="24"/>
    </w:rPr>
  </w:style>
  <w:style w:type="paragraph" w:customStyle="1" w:styleId="343">
    <w:name w:val="xl72"/>
    <w:basedOn w:val="1"/>
    <w:qFormat/>
    <w:uiPriority w:val="0"/>
    <w:pPr>
      <w:widowControl/>
      <w:spacing w:before="100" w:beforeAutospacing="1" w:after="100" w:afterAutospacing="1"/>
      <w:jc w:val="left"/>
    </w:pPr>
    <w:rPr>
      <w:rFonts w:ascii="宋体" w:cs="宋体"/>
      <w:kern w:val="0"/>
      <w:sz w:val="20"/>
      <w:szCs w:val="20"/>
    </w:rPr>
  </w:style>
  <w:style w:type="paragraph" w:customStyle="1" w:styleId="344">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45">
    <w:name w:val="font10"/>
    <w:basedOn w:val="1"/>
    <w:qFormat/>
    <w:uiPriority w:val="0"/>
    <w:pPr>
      <w:widowControl/>
      <w:spacing w:before="100" w:beforeAutospacing="1" w:after="100" w:afterAutospacing="1"/>
      <w:jc w:val="left"/>
    </w:pPr>
    <w:rPr>
      <w:rFonts w:ascii="宋体" w:cs="宋体"/>
      <w:kern w:val="0"/>
      <w:sz w:val="18"/>
      <w:szCs w:val="18"/>
    </w:rPr>
  </w:style>
  <w:style w:type="paragraph" w:customStyle="1" w:styleId="346">
    <w:name w:val="正文缩进1"/>
    <w:basedOn w:val="1"/>
    <w:qFormat/>
    <w:uiPriority w:val="0"/>
    <w:pPr>
      <w:spacing w:line="360" w:lineRule="auto"/>
      <w:ind w:firstLine="200" w:firstLineChars="200"/>
      <w:jc w:val="left"/>
    </w:pPr>
    <w:rPr>
      <w:rFonts w:ascii="宋体" w:hAnsi="宋体"/>
      <w:sz w:val="24"/>
      <w:szCs w:val="22"/>
    </w:rPr>
  </w:style>
  <w:style w:type="paragraph" w:customStyle="1" w:styleId="347">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szCs w:val="20"/>
    </w:rPr>
  </w:style>
  <w:style w:type="paragraph" w:customStyle="1" w:styleId="348">
    <w:name w:val="p15"/>
    <w:basedOn w:val="1"/>
    <w:qFormat/>
    <w:uiPriority w:val="0"/>
    <w:pPr>
      <w:widowControl/>
    </w:pPr>
    <w:rPr>
      <w:rFonts w:ascii="宋体" w:cs="宋体"/>
      <w:kern w:val="0"/>
      <w:szCs w:val="21"/>
    </w:rPr>
  </w:style>
  <w:style w:type="paragraph" w:customStyle="1" w:styleId="349">
    <w:name w:val="样式3"/>
    <w:basedOn w:val="285"/>
    <w:qFormat/>
    <w:uiPriority w:val="0"/>
    <w:pPr>
      <w:spacing w:line="240" w:lineRule="auto"/>
      <w:ind w:firstLine="0" w:firstLineChars="0"/>
    </w:pPr>
    <w:rPr>
      <w:rFonts w:ascii="Times New Roman" w:hAnsi="Times New Roman"/>
      <w:sz w:val="21"/>
    </w:rPr>
  </w:style>
  <w:style w:type="paragraph" w:customStyle="1" w:styleId="35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1">
    <w:name w:val="表格文字"/>
    <w:basedOn w:val="1"/>
    <w:qFormat/>
    <w:uiPriority w:val="0"/>
    <w:pPr>
      <w:adjustRightInd w:val="0"/>
      <w:spacing w:line="240" w:lineRule="atLeast"/>
      <w:jc w:val="center"/>
      <w:textAlignment w:val="baseline"/>
    </w:pPr>
    <w:rPr>
      <w:rFonts w:ascii="宋体"/>
      <w:kern w:val="0"/>
      <w:szCs w:val="20"/>
    </w:rPr>
  </w:style>
  <w:style w:type="paragraph" w:customStyle="1" w:styleId="352">
    <w:name w:val="样式5"/>
    <w:basedOn w:val="1"/>
    <w:qFormat/>
    <w:uiPriority w:val="0"/>
    <w:pPr>
      <w:widowControl/>
      <w:numPr>
        <w:ilvl w:val="1"/>
        <w:numId w:val="20"/>
      </w:numPr>
      <w:spacing w:before="156" w:beforeLines="50" w:after="156" w:afterLines="50"/>
    </w:pPr>
    <w:rPr>
      <w:kern w:val="0"/>
    </w:rPr>
  </w:style>
  <w:style w:type="paragraph" w:customStyle="1" w:styleId="353">
    <w:name w:val="xl78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355">
    <w:name w:val="样式 标题 1l1I1heading 1h11st levell1+toc 1Chapter title1He..."/>
    <w:basedOn w:val="4"/>
    <w:qFormat/>
    <w:uiPriority w:val="0"/>
    <w:pPr>
      <w:tabs>
        <w:tab w:val="left" w:pos="525"/>
      </w:tabs>
      <w:spacing w:line="360" w:lineRule="auto"/>
    </w:pPr>
    <w:rPr>
      <w:rFonts w:eastAsia="黑体"/>
      <w:bCs/>
      <w:sz w:val="28"/>
      <w:szCs w:val="32"/>
    </w:rPr>
  </w:style>
  <w:style w:type="paragraph" w:customStyle="1" w:styleId="356">
    <w:name w:val="xl78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57">
    <w:name w:val="Char1"/>
    <w:basedOn w:val="1"/>
    <w:qFormat/>
    <w:uiPriority w:val="0"/>
  </w:style>
  <w:style w:type="paragraph" w:customStyle="1" w:styleId="358">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9">
    <w:name w:val="MyPoints"/>
    <w:basedOn w:val="1"/>
    <w:qFormat/>
    <w:uiPriority w:val="0"/>
    <w:pPr>
      <w:widowControl/>
      <w:ind w:left="936" w:hanging="360"/>
      <w:jc w:val="left"/>
    </w:pPr>
    <w:rPr>
      <w:rFonts w:ascii="Century Gothic" w:hAnsi="Century Gothic"/>
      <w:kern w:val="0"/>
      <w:sz w:val="20"/>
      <w:szCs w:val="20"/>
      <w:lang w:val="en-GB" w:eastAsia="en-US"/>
    </w:rPr>
  </w:style>
  <w:style w:type="paragraph" w:customStyle="1" w:styleId="360">
    <w:name w:val="默认段落字体 Para Char Char Char Char Char Char Char Char Char1 Char Char Char Char Char Char Char"/>
    <w:basedOn w:val="27"/>
    <w:qFormat/>
    <w:uiPriority w:val="0"/>
    <w:rPr>
      <w:rFonts w:ascii="Tahoma" w:hAnsi="Tahoma"/>
      <w:sz w:val="24"/>
    </w:rPr>
  </w:style>
  <w:style w:type="paragraph" w:customStyle="1" w:styleId="361">
    <w:name w:val="默认段落字体 Para Char Char Char Char Char Char Char"/>
    <w:basedOn w:val="1"/>
    <w:qFormat/>
    <w:uiPriority w:val="0"/>
    <w:pPr>
      <w:jc w:val="left"/>
    </w:pPr>
    <w:rPr>
      <w:rFonts w:ascii="Tahoma" w:hAnsi="Tahoma"/>
      <w:sz w:val="24"/>
      <w:szCs w:val="20"/>
    </w:rPr>
  </w:style>
  <w:style w:type="paragraph" w:customStyle="1" w:styleId="362">
    <w:name w:val="xl7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63">
    <w:name w:val="样式 宋体 小四 行距: 1.5 倍行距"/>
    <w:basedOn w:val="1"/>
    <w:qFormat/>
    <w:uiPriority w:val="0"/>
    <w:pPr>
      <w:spacing w:line="360" w:lineRule="auto"/>
      <w:ind w:firstLine="200" w:firstLineChars="200"/>
    </w:pPr>
    <w:rPr>
      <w:rFonts w:ascii="宋体" w:hAnsi="宋体" w:cs="宋体"/>
      <w:sz w:val="24"/>
      <w:szCs w:val="20"/>
    </w:rPr>
  </w:style>
  <w:style w:type="paragraph" w:customStyle="1" w:styleId="364">
    <w:name w:val="font16"/>
    <w:basedOn w:val="1"/>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365">
    <w:name w:val="Char Char2"/>
    <w:basedOn w:val="1"/>
    <w:qFormat/>
    <w:uiPriority w:val="0"/>
    <w:rPr>
      <w:rFonts w:ascii="Tahoma" w:hAnsi="Tahoma"/>
      <w:sz w:val="24"/>
      <w:szCs w:val="20"/>
    </w:rPr>
  </w:style>
  <w:style w:type="paragraph" w:customStyle="1" w:styleId="36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7">
    <w:name w:val="Char"/>
    <w:basedOn w:val="1"/>
    <w:qFormat/>
    <w:uiPriority w:val="0"/>
  </w:style>
  <w:style w:type="paragraph" w:customStyle="1" w:styleId="368">
    <w:name w:val="font20"/>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369">
    <w:name w:val="正文1级"/>
    <w:qFormat/>
    <w:uiPriority w:val="0"/>
    <w:pPr>
      <w:widowControl w:val="0"/>
      <w:numPr>
        <w:ilvl w:val="1"/>
        <w:numId w:val="12"/>
      </w:numPr>
      <w:spacing w:after="60" w:line="400" w:lineRule="exact"/>
      <w:jc w:val="both"/>
    </w:pPr>
    <w:rPr>
      <w:rFonts w:ascii="Calibri" w:hAnsi="Calibri" w:eastAsia="宋体" w:cs="Times New Roman"/>
      <w:bCs/>
      <w:kern w:val="44"/>
      <w:sz w:val="24"/>
      <w:szCs w:val="44"/>
      <w:lang w:val="en-US" w:eastAsia="zh-CN" w:bidi="ar-SA"/>
    </w:rPr>
  </w:style>
  <w:style w:type="paragraph" w:customStyle="1" w:styleId="370">
    <w:name w:val="def正文"/>
    <w:basedOn w:val="34"/>
    <w:qFormat/>
    <w:uiPriority w:val="0"/>
    <w:pPr>
      <w:widowControl/>
      <w:spacing w:line="360" w:lineRule="auto"/>
      <w:ind w:firstLine="482"/>
      <w:jc w:val="both"/>
    </w:pPr>
    <w:rPr>
      <w:rFonts w:ascii="Times New Roman"/>
      <w:b/>
      <w:color w:val="000000"/>
      <w:kern w:val="0"/>
    </w:rPr>
  </w:style>
  <w:style w:type="paragraph" w:customStyle="1" w:styleId="37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72">
    <w:name w:val="正文 New New New New"/>
    <w:qFormat/>
    <w:uiPriority w:val="0"/>
    <w:pPr>
      <w:widowControl w:val="0"/>
      <w:jc w:val="both"/>
    </w:pPr>
    <w:rPr>
      <w:rFonts w:ascii="Calibri" w:hAnsi="Calibri" w:eastAsia="宋体" w:cs="Times New Roman"/>
      <w:szCs w:val="24"/>
      <w:lang w:val="en-US" w:eastAsia="zh-CN" w:bidi="ar-SA"/>
    </w:rPr>
  </w:style>
  <w:style w:type="paragraph" w:customStyle="1" w:styleId="373">
    <w:name w:val="正文-带编号1)"/>
    <w:basedOn w:val="1"/>
    <w:qFormat/>
    <w:uiPriority w:val="0"/>
    <w:pPr>
      <w:tabs>
        <w:tab w:val="left" w:pos="2409"/>
      </w:tabs>
      <w:spacing w:line="400" w:lineRule="exact"/>
      <w:ind w:left="2410"/>
    </w:pPr>
    <w:rPr>
      <w:rFonts w:ascii="Arial" w:hAnsi="Arial"/>
    </w:rPr>
  </w:style>
  <w:style w:type="paragraph" w:customStyle="1" w:styleId="374">
    <w:name w:val="xl71"/>
    <w:basedOn w:val="1"/>
    <w:qFormat/>
    <w:uiPriority w:val="0"/>
    <w:pPr>
      <w:widowControl/>
      <w:spacing w:before="100" w:beforeAutospacing="1" w:after="100" w:afterAutospacing="1"/>
      <w:jc w:val="center"/>
    </w:pPr>
    <w:rPr>
      <w:rFonts w:ascii="宋体" w:cs="宋体"/>
      <w:kern w:val="0"/>
      <w:sz w:val="20"/>
      <w:szCs w:val="20"/>
    </w:rPr>
  </w:style>
  <w:style w:type="paragraph" w:customStyle="1" w:styleId="375">
    <w:name w:val="font11"/>
    <w:basedOn w:val="1"/>
    <w:qFormat/>
    <w:uiPriority w:val="0"/>
    <w:pPr>
      <w:widowControl/>
      <w:spacing w:before="100" w:beforeAutospacing="1" w:after="100" w:afterAutospacing="1"/>
      <w:jc w:val="left"/>
    </w:pPr>
    <w:rPr>
      <w:rFonts w:ascii="宋体" w:cs="宋体"/>
      <w:kern w:val="0"/>
      <w:sz w:val="18"/>
      <w:szCs w:val="18"/>
    </w:rPr>
  </w:style>
  <w:style w:type="paragraph" w:customStyle="1" w:styleId="376">
    <w:name w:val="xl80"/>
    <w:basedOn w:val="1"/>
    <w:qFormat/>
    <w:uiPriority w:val="0"/>
    <w:pPr>
      <w:widowControl/>
      <w:spacing w:before="100" w:beforeAutospacing="1" w:after="100" w:afterAutospacing="1"/>
      <w:jc w:val="right"/>
    </w:pPr>
    <w:rPr>
      <w:rFonts w:ascii="宋体" w:cs="宋体"/>
      <w:b/>
      <w:bCs/>
      <w:kern w:val="0"/>
      <w:sz w:val="20"/>
      <w:szCs w:val="20"/>
    </w:rPr>
  </w:style>
  <w:style w:type="paragraph" w:customStyle="1" w:styleId="377">
    <w:name w:val="Char1 Char Char Char1"/>
    <w:basedOn w:val="1"/>
    <w:qFormat/>
    <w:uiPriority w:val="0"/>
    <w:pPr>
      <w:spacing w:line="360" w:lineRule="auto"/>
      <w:ind w:firstLine="200" w:firstLineChars="200"/>
    </w:pPr>
    <w:rPr>
      <w:rFonts w:ascii="宋体" w:hAnsi="宋体" w:cs="宋体"/>
      <w:sz w:val="24"/>
    </w:rPr>
  </w:style>
  <w:style w:type="paragraph" w:customStyle="1" w:styleId="378">
    <w:name w:val="缺省文本"/>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379">
    <w:name w:val="样式 日期 + 行距: 1.5 倍行距"/>
    <w:basedOn w:val="50"/>
    <w:qFormat/>
    <w:uiPriority w:val="0"/>
    <w:pPr>
      <w:widowControl/>
      <w:spacing w:line="360" w:lineRule="auto"/>
      <w:ind w:left="0" w:leftChars="0" w:firstLine="540"/>
    </w:pPr>
    <w:rPr>
      <w:rFonts w:ascii="Calibri" w:cs="宋体"/>
      <w:kern w:val="0"/>
      <w:szCs w:val="20"/>
    </w:rPr>
  </w:style>
  <w:style w:type="paragraph" w:customStyle="1" w:styleId="380">
    <w:name w:val="xl77"/>
    <w:basedOn w:val="1"/>
    <w:qFormat/>
    <w:uiPriority w:val="0"/>
    <w:pPr>
      <w:widowControl/>
      <w:spacing w:before="100" w:beforeAutospacing="1" w:after="100" w:afterAutospacing="1"/>
      <w:jc w:val="center"/>
    </w:pPr>
    <w:rPr>
      <w:rFonts w:ascii="宋体" w:cs="宋体"/>
      <w:kern w:val="0"/>
      <w:sz w:val="20"/>
      <w:szCs w:val="20"/>
    </w:rPr>
  </w:style>
  <w:style w:type="paragraph" w:customStyle="1" w:styleId="381">
    <w:name w:val="正文(首行缩进）"/>
    <w:basedOn w:val="1"/>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382">
    <w:name w:val="样式 正文文本缩进 2 + Century Gothic 四号 行距: 多倍行距 1.75 字行"/>
    <w:basedOn w:val="1"/>
    <w:qFormat/>
    <w:uiPriority w:val="0"/>
    <w:pPr>
      <w:adjustRightInd w:val="0"/>
      <w:snapToGrid w:val="0"/>
      <w:spacing w:line="396" w:lineRule="auto"/>
      <w:ind w:firstLine="207" w:firstLineChars="207"/>
    </w:pPr>
    <w:rPr>
      <w:rFonts w:ascii="Century Gothic" w:cs="宋体"/>
      <w:sz w:val="28"/>
      <w:szCs w:val="20"/>
    </w:rPr>
  </w:style>
  <w:style w:type="paragraph" w:customStyle="1" w:styleId="383">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84">
    <w:name w:val="Char21"/>
    <w:basedOn w:val="1"/>
    <w:qFormat/>
    <w:uiPriority w:val="0"/>
  </w:style>
  <w:style w:type="paragraph" w:customStyle="1" w:styleId="385">
    <w:name w:val="正文3级"/>
    <w:qFormat/>
    <w:uiPriority w:val="0"/>
    <w:pPr>
      <w:widowControl w:val="0"/>
      <w:numPr>
        <w:ilvl w:val="5"/>
        <w:numId w:val="12"/>
      </w:numPr>
      <w:spacing w:after="60" w:line="400" w:lineRule="exact"/>
      <w:jc w:val="both"/>
    </w:pPr>
    <w:rPr>
      <w:rFonts w:ascii="Calibri" w:hAnsi="Calibri" w:eastAsia="宋体" w:cs="Times New Roman"/>
      <w:bCs/>
      <w:kern w:val="44"/>
      <w:sz w:val="24"/>
      <w:szCs w:val="44"/>
      <w:lang w:val="en-US" w:eastAsia="zh-CN" w:bidi="ar-SA"/>
    </w:rPr>
  </w:style>
  <w:style w:type="paragraph" w:customStyle="1" w:styleId="386">
    <w:name w:val="xl7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387">
    <w:name w:val="Normal Paragraph"/>
    <w:basedOn w:val="1"/>
    <w:qFormat/>
    <w:uiPriority w:val="0"/>
    <w:pPr>
      <w:spacing w:before="100" w:beforeAutospacing="1" w:after="100" w:afterAutospacing="1" w:line="360" w:lineRule="auto"/>
      <w:ind w:firstLine="425"/>
    </w:pPr>
    <w:rPr>
      <w:sz w:val="24"/>
    </w:rPr>
  </w:style>
  <w:style w:type="paragraph" w:customStyle="1" w:styleId="38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89">
    <w:name w:val="表格标题小四"/>
    <w:basedOn w:val="1"/>
    <w:next w:val="1"/>
    <w:qFormat/>
    <w:uiPriority w:val="0"/>
    <w:pPr>
      <w:adjustRightInd w:val="0"/>
      <w:snapToGrid w:val="0"/>
      <w:spacing w:line="288" w:lineRule="auto"/>
      <w:jc w:val="center"/>
    </w:pPr>
    <w:rPr>
      <w:rFonts w:eastAsia="黑体"/>
      <w:bCs/>
      <w:snapToGrid w:val="0"/>
      <w:sz w:val="24"/>
    </w:rPr>
  </w:style>
  <w:style w:type="paragraph" w:customStyle="1" w:styleId="390">
    <w:name w:val="(符号)五标题1.1.1"/>
    <w:basedOn w:val="1"/>
    <w:qFormat/>
    <w:uiPriority w:val="0"/>
    <w:pPr>
      <w:tabs>
        <w:tab w:val="left" w:pos="862"/>
      </w:tabs>
      <w:spacing w:line="500" w:lineRule="exact"/>
      <w:ind w:left="862" w:hanging="720"/>
    </w:pPr>
    <w:rPr>
      <w:rFonts w:ascii="宋体" w:hAnsi="宋体" w:cs="宋体"/>
      <w:color w:val="000000"/>
      <w:sz w:val="24"/>
      <w:szCs w:val="20"/>
    </w:rPr>
  </w:style>
  <w:style w:type="paragraph" w:customStyle="1" w:styleId="391">
    <w:name w:val="表格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92">
    <w:name w:val="xl40"/>
    <w:basedOn w:val="1"/>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393">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394">
    <w:name w:val="xl78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95">
    <w:name w:val="font22"/>
    <w:basedOn w:val="1"/>
    <w:qFormat/>
    <w:uiPriority w:val="0"/>
    <w:pPr>
      <w:widowControl/>
      <w:spacing w:before="100" w:beforeAutospacing="1" w:after="100" w:afterAutospacing="1"/>
      <w:jc w:val="left"/>
    </w:pPr>
    <w:rPr>
      <w:rFonts w:ascii="宋体" w:cs="宋体"/>
      <w:kern w:val="0"/>
      <w:sz w:val="20"/>
      <w:szCs w:val="20"/>
    </w:rPr>
  </w:style>
  <w:style w:type="paragraph" w:customStyle="1" w:styleId="396">
    <w:name w:val="二级条标题"/>
    <w:basedOn w:val="1"/>
    <w:next w:val="1"/>
    <w:qFormat/>
    <w:uiPriority w:val="0"/>
    <w:pPr>
      <w:widowControl/>
      <w:numPr>
        <w:ilvl w:val="3"/>
        <w:numId w:val="21"/>
      </w:numPr>
      <w:jc w:val="left"/>
      <w:outlineLvl w:val="3"/>
    </w:pPr>
    <w:rPr>
      <w:rFonts w:eastAsia="黑体"/>
      <w:kern w:val="0"/>
      <w:szCs w:val="20"/>
    </w:rPr>
  </w:style>
  <w:style w:type="paragraph" w:customStyle="1" w:styleId="397">
    <w:name w:val="xl78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98">
    <w:name w:val="题注5"/>
    <w:basedOn w:val="1"/>
    <w:next w:val="23"/>
    <w:qFormat/>
    <w:uiPriority w:val="0"/>
    <w:pPr>
      <w:numPr>
        <w:ilvl w:val="1"/>
        <w:numId w:val="22"/>
      </w:numPr>
      <w:tabs>
        <w:tab w:val="left" w:pos="0"/>
        <w:tab w:val="left" w:pos="720"/>
      </w:tabs>
      <w:spacing w:line="360" w:lineRule="auto"/>
      <w:ind w:left="720" w:hanging="720"/>
    </w:pPr>
    <w:rPr>
      <w:b/>
      <w:color w:val="000000"/>
      <w:sz w:val="28"/>
      <w:szCs w:val="28"/>
    </w:rPr>
  </w:style>
  <w:style w:type="paragraph" w:customStyle="1" w:styleId="399">
    <w:name w:val="Char Char2 Char"/>
    <w:basedOn w:val="1"/>
    <w:qFormat/>
    <w:uiPriority w:val="0"/>
    <w:pPr>
      <w:widowControl/>
      <w:spacing w:after="160" w:line="240" w:lineRule="exact"/>
      <w:jc w:val="left"/>
    </w:pPr>
    <w:rPr>
      <w:rFonts w:ascii="Arial" w:hAnsi="Arial"/>
      <w:kern w:val="0"/>
      <w:sz w:val="22"/>
      <w:szCs w:val="22"/>
      <w:lang w:eastAsia="en-US"/>
    </w:rPr>
  </w:style>
  <w:style w:type="paragraph" w:customStyle="1" w:styleId="40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01">
    <w:name w:val="font8"/>
    <w:basedOn w:val="1"/>
    <w:qFormat/>
    <w:uiPriority w:val="0"/>
    <w:pPr>
      <w:widowControl/>
      <w:spacing w:before="100" w:beforeAutospacing="1" w:after="100" w:afterAutospacing="1"/>
      <w:jc w:val="left"/>
    </w:pPr>
    <w:rPr>
      <w:rFonts w:ascii="宋体" w:cs="宋体"/>
      <w:kern w:val="0"/>
      <w:sz w:val="18"/>
      <w:szCs w:val="18"/>
    </w:rPr>
  </w:style>
  <w:style w:type="paragraph" w:customStyle="1" w:styleId="402">
    <w:name w:val="编号4级"/>
    <w:qFormat/>
    <w:uiPriority w:val="0"/>
    <w:pPr>
      <w:tabs>
        <w:tab w:val="left" w:pos="1843"/>
      </w:tabs>
      <w:spacing w:line="360" w:lineRule="auto"/>
      <w:ind w:left="1843" w:hanging="284"/>
    </w:pPr>
    <w:rPr>
      <w:rFonts w:ascii="Calibri" w:hAnsi="Calibri" w:eastAsia="宋体" w:cs="Times New Roman"/>
      <w:kern w:val="24"/>
      <w:sz w:val="24"/>
      <w:szCs w:val="18"/>
      <w:lang w:val="en-US" w:eastAsia="zh-CN" w:bidi="ar-SA"/>
    </w:rPr>
  </w:style>
  <w:style w:type="paragraph" w:customStyle="1" w:styleId="403">
    <w:name w:val="(符号)三标题1."/>
    <w:basedOn w:val="1"/>
    <w:qFormat/>
    <w:uiPriority w:val="0"/>
    <w:pPr>
      <w:numPr>
        <w:ilvl w:val="0"/>
        <w:numId w:val="23"/>
      </w:numPr>
      <w:spacing w:before="140" w:after="140" w:line="500" w:lineRule="exact"/>
      <w:outlineLvl w:val="2"/>
    </w:pPr>
    <w:rPr>
      <w:rFonts w:ascii="楷体_GB2312" w:hAnsi="宋体" w:eastAsia="楷体_GB2312" w:cs="宋体"/>
      <w:b/>
      <w:bCs/>
      <w:sz w:val="28"/>
      <w:szCs w:val="20"/>
    </w:rPr>
  </w:style>
  <w:style w:type="paragraph" w:customStyle="1" w:styleId="404">
    <w:name w:val="表格(五号)"/>
    <w:basedOn w:val="1"/>
    <w:qFormat/>
    <w:uiPriority w:val="0"/>
    <w:pPr>
      <w:adjustRightInd w:val="0"/>
      <w:snapToGrid w:val="0"/>
      <w:spacing w:before="60" w:after="60"/>
      <w:ind w:left="11"/>
      <w:jc w:val="center"/>
    </w:pPr>
    <w:rPr>
      <w:kern w:val="0"/>
      <w:szCs w:val="20"/>
    </w:rPr>
  </w:style>
  <w:style w:type="paragraph" w:customStyle="1" w:styleId="405">
    <w:name w:val="Char2"/>
    <w:basedOn w:val="1"/>
    <w:qFormat/>
    <w:uiPriority w:val="0"/>
  </w:style>
  <w:style w:type="paragraph" w:customStyle="1" w:styleId="406">
    <w:name w:val="Char Char Char1 Char"/>
    <w:basedOn w:val="1"/>
    <w:qFormat/>
    <w:uiPriority w:val="0"/>
    <w:pPr>
      <w:adjustRightInd w:val="0"/>
      <w:textAlignment w:val="baseline"/>
    </w:pPr>
    <w:rPr>
      <w:bCs/>
      <w:kern w:val="0"/>
    </w:rPr>
  </w:style>
  <w:style w:type="paragraph" w:customStyle="1" w:styleId="407">
    <w:name w:val="just"/>
    <w:basedOn w:val="1"/>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408">
    <w:name w:val="样式 标题 1 + 段前: 1 行 段后: 1 行1"/>
    <w:basedOn w:val="4"/>
    <w:qFormat/>
    <w:uiPriority w:val="0"/>
    <w:pPr>
      <w:numPr>
        <w:ilvl w:val="0"/>
        <w:numId w:val="24"/>
      </w:numPr>
      <w:snapToGrid w:val="0"/>
      <w:spacing w:before="100" w:beforeLines="100" w:after="100" w:afterLines="100" w:line="360" w:lineRule="auto"/>
    </w:pPr>
    <w:rPr>
      <w:rFonts w:cs="宋体"/>
      <w:bCs/>
      <w:sz w:val="32"/>
    </w:rPr>
  </w:style>
  <w:style w:type="paragraph" w:customStyle="1" w:styleId="409">
    <w:name w:val="Char Char1 Char Char Char Char Char Char Char"/>
    <w:basedOn w:val="1"/>
    <w:qFormat/>
    <w:uiPriority w:val="0"/>
    <w:rPr>
      <w:rFonts w:ascii="Tahoma" w:hAnsi="Tahoma"/>
      <w:sz w:val="24"/>
      <w:szCs w:val="20"/>
    </w:rPr>
  </w:style>
  <w:style w:type="paragraph" w:customStyle="1" w:styleId="410">
    <w:name w:val="pa-0"/>
    <w:basedOn w:val="1"/>
    <w:qFormat/>
    <w:uiPriority w:val="0"/>
    <w:pPr>
      <w:widowControl/>
      <w:spacing w:before="150" w:after="150"/>
      <w:jc w:val="left"/>
    </w:pPr>
    <w:rPr>
      <w:rFonts w:ascii="宋体" w:cs="宋体"/>
      <w:kern w:val="0"/>
      <w:sz w:val="24"/>
    </w:rPr>
  </w:style>
  <w:style w:type="paragraph" w:customStyle="1" w:styleId="411">
    <w:name w:val="样式 标题 3h:33H3Kop 3Vl3Level 3 Headh3sect1.2.3Alt+31.1.1..."/>
    <w:basedOn w:val="6"/>
    <w:qFormat/>
    <w:uiPriority w:val="0"/>
    <w:pPr>
      <w:numPr>
        <w:ilvl w:val="2"/>
        <w:numId w:val="12"/>
      </w:numPr>
      <w:spacing w:before="312" w:after="312"/>
    </w:pPr>
    <w:rPr>
      <w:rFonts w:cs="宋体"/>
      <w:sz w:val="30"/>
      <w:szCs w:val="20"/>
      <w:lang w:bidi="ar-SA"/>
    </w:rPr>
  </w:style>
  <w:style w:type="paragraph" w:customStyle="1" w:styleId="412">
    <w:name w:val="bt1bt1"/>
    <w:basedOn w:val="4"/>
    <w:qFormat/>
    <w:uiPriority w:val="0"/>
    <w:pPr>
      <w:spacing w:line="240" w:lineRule="auto"/>
      <w:jc w:val="center"/>
    </w:pPr>
    <w:rPr>
      <w:rFonts w:ascii="黑体" w:eastAsia="黑体"/>
      <w:b w:val="0"/>
      <w:bCs/>
      <w:sz w:val="36"/>
      <w:szCs w:val="36"/>
    </w:rPr>
  </w:style>
  <w:style w:type="paragraph" w:customStyle="1" w:styleId="413">
    <w:name w:val="样式 标题 1章H11. heading 1标准章Alt+1h1Huvudrubrikh11h12h13h..."/>
    <w:basedOn w:val="1"/>
    <w:qFormat/>
    <w:uiPriority w:val="0"/>
  </w:style>
  <w:style w:type="paragraph" w:customStyle="1" w:styleId="414">
    <w:name w:val="font15"/>
    <w:basedOn w:val="1"/>
    <w:qFormat/>
    <w:uiPriority w:val="0"/>
    <w:pPr>
      <w:widowControl/>
      <w:spacing w:before="100" w:beforeAutospacing="1" w:after="100" w:afterAutospacing="1"/>
      <w:jc w:val="left"/>
    </w:pPr>
    <w:rPr>
      <w:rFonts w:ascii="宋体" w:cs="宋体"/>
      <w:kern w:val="0"/>
      <w:sz w:val="20"/>
      <w:szCs w:val="20"/>
    </w:rPr>
  </w:style>
  <w:style w:type="paragraph" w:customStyle="1" w:styleId="415">
    <w:name w:val="xl786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16">
    <w:name w:val="xl82"/>
    <w:basedOn w:val="1"/>
    <w:qFormat/>
    <w:uiPriority w:val="0"/>
    <w:pPr>
      <w:widowControl/>
      <w:spacing w:before="100" w:beforeAutospacing="1" w:after="100" w:afterAutospacing="1"/>
    </w:pPr>
    <w:rPr>
      <w:rFonts w:ascii="宋体" w:cs="宋体"/>
      <w:b/>
      <w:bCs/>
      <w:kern w:val="0"/>
      <w:sz w:val="20"/>
      <w:szCs w:val="20"/>
    </w:rPr>
  </w:style>
  <w:style w:type="paragraph" w:customStyle="1" w:styleId="417">
    <w:name w:val="表3"/>
    <w:basedOn w:val="299"/>
    <w:qFormat/>
    <w:uiPriority w:val="0"/>
    <w:pPr>
      <w:numPr>
        <w:numId w:val="22"/>
      </w:numPr>
    </w:pPr>
  </w:style>
  <w:style w:type="paragraph" w:customStyle="1" w:styleId="418">
    <w:name w:val="CM19"/>
    <w:basedOn w:val="419"/>
    <w:next w:val="419"/>
    <w:qFormat/>
    <w:uiPriority w:val="0"/>
    <w:pPr>
      <w:spacing w:line="440" w:lineRule="atLeast"/>
    </w:pPr>
    <w:rPr>
      <w:rFonts w:ascii="方正小标宋简体" w:eastAsia="方正小标宋简体" w:cs="Times New Roman"/>
      <w:color w:val="auto"/>
    </w:rPr>
  </w:style>
  <w:style w:type="paragraph" w:customStyle="1" w:styleId="4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0">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421">
    <w:name w:val="xl78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22">
    <w:name w:val="xl81"/>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423">
    <w:name w:val="List Paragraph1"/>
    <w:basedOn w:val="1"/>
    <w:qFormat/>
    <w:uiPriority w:val="34"/>
    <w:pPr>
      <w:ind w:firstLine="420" w:firstLineChars="200"/>
    </w:pPr>
  </w:style>
  <w:style w:type="paragraph" w:customStyle="1" w:styleId="424">
    <w:name w:val="10"/>
    <w:basedOn w:val="1"/>
    <w:qFormat/>
    <w:uiPriority w:val="0"/>
    <w:pPr>
      <w:spacing w:line="360" w:lineRule="auto"/>
      <w:ind w:firstLine="454"/>
    </w:pPr>
    <w:rPr>
      <w:rFonts w:ascii="Tahoma" w:hAnsi="Tahoma"/>
      <w:sz w:val="24"/>
      <w:szCs w:val="20"/>
    </w:rPr>
  </w:style>
  <w:style w:type="paragraph" w:customStyle="1" w:styleId="425">
    <w:name w:val="(符号)四标题1.1"/>
    <w:basedOn w:val="1"/>
    <w:qFormat/>
    <w:uiPriority w:val="0"/>
    <w:pPr>
      <w:tabs>
        <w:tab w:val="left" w:pos="576"/>
      </w:tabs>
      <w:spacing w:line="500" w:lineRule="exact"/>
      <w:ind w:left="576" w:hanging="576"/>
    </w:pPr>
    <w:rPr>
      <w:rFonts w:ascii="宋体" w:hAnsi="宋体" w:cs="宋体"/>
      <w:color w:val="000000"/>
      <w:kern w:val="0"/>
      <w:sz w:val="24"/>
      <w:szCs w:val="20"/>
    </w:rPr>
  </w:style>
  <w:style w:type="paragraph" w:customStyle="1" w:styleId="426">
    <w:name w:val="xl41"/>
    <w:basedOn w:val="1"/>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42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28">
    <w:name w:val="xl69"/>
    <w:basedOn w:val="1"/>
    <w:qFormat/>
    <w:uiPriority w:val="0"/>
    <w:pPr>
      <w:widowControl/>
      <w:spacing w:before="100" w:beforeAutospacing="1" w:after="100" w:afterAutospacing="1"/>
      <w:jc w:val="left"/>
    </w:pPr>
    <w:rPr>
      <w:rFonts w:ascii="宋体" w:cs="宋体"/>
      <w:kern w:val="0"/>
      <w:sz w:val="20"/>
      <w:szCs w:val="20"/>
    </w:rPr>
  </w:style>
  <w:style w:type="paragraph" w:customStyle="1" w:styleId="42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30">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431">
    <w:name w:val="font13"/>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432">
    <w:name w:val="默认段落字体 Para Char Char Char Char Char Char Char Char Char Char Char Char Char Char"/>
    <w:basedOn w:val="27"/>
    <w:qFormat/>
    <w:uiPriority w:val="0"/>
  </w:style>
  <w:style w:type="paragraph" w:customStyle="1" w:styleId="433">
    <w:name w:val="表格样式 5"/>
    <w:qFormat/>
    <w:uiPriority w:val="0"/>
    <w:pPr>
      <w:jc w:val="both"/>
    </w:pPr>
    <w:rPr>
      <w:rFonts w:ascii="微软雅黑" w:hAnsi="微软雅黑" w:eastAsia="微软雅黑" w:cs="Helvetica"/>
      <w:color w:val="FF0000"/>
      <w:sz w:val="21"/>
      <w:szCs w:val="21"/>
      <w:lang w:val="en-US" w:eastAsia="zh-CN" w:bidi="ar-SA"/>
    </w:rPr>
  </w:style>
  <w:style w:type="paragraph" w:customStyle="1" w:styleId="43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5">
    <w:name w:val="xl68"/>
    <w:basedOn w:val="1"/>
    <w:qFormat/>
    <w:uiPriority w:val="0"/>
    <w:pPr>
      <w:widowControl/>
      <w:spacing w:before="100" w:beforeAutospacing="1" w:after="100" w:afterAutospacing="1"/>
      <w:jc w:val="left"/>
    </w:pPr>
    <w:rPr>
      <w:rFonts w:ascii="宋体" w:cs="宋体"/>
      <w:kern w:val="0"/>
      <w:sz w:val="20"/>
      <w:szCs w:val="20"/>
    </w:rPr>
  </w:style>
  <w:style w:type="paragraph" w:customStyle="1" w:styleId="436">
    <w:name w:val="标准小四"/>
    <w:basedOn w:val="1"/>
    <w:qFormat/>
    <w:uiPriority w:val="0"/>
    <w:pPr>
      <w:spacing w:line="360" w:lineRule="auto"/>
      <w:ind w:firstLine="480" w:firstLineChars="200"/>
    </w:pPr>
    <w:rPr>
      <w:rFonts w:ascii="Arial" w:hAnsi="Arial"/>
      <w:sz w:val="24"/>
      <w:szCs w:val="21"/>
    </w:rPr>
  </w:style>
  <w:style w:type="paragraph" w:customStyle="1" w:styleId="43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38">
    <w:name w:val="xl78"/>
    <w:basedOn w:val="1"/>
    <w:qFormat/>
    <w:uiPriority w:val="0"/>
    <w:pPr>
      <w:widowControl/>
      <w:spacing w:before="100" w:beforeAutospacing="1" w:after="100" w:afterAutospacing="1"/>
      <w:jc w:val="center"/>
    </w:pPr>
    <w:rPr>
      <w:rFonts w:ascii="宋体" w:cs="宋体"/>
      <w:kern w:val="0"/>
      <w:sz w:val="20"/>
      <w:szCs w:val="20"/>
    </w:rPr>
  </w:style>
  <w:style w:type="paragraph" w:customStyle="1" w:styleId="43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styleId="440">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441">
    <w:name w:val="xl66"/>
    <w:basedOn w:val="1"/>
    <w:qFormat/>
    <w:uiPriority w:val="0"/>
    <w:pPr>
      <w:widowControl/>
      <w:spacing w:before="100" w:beforeAutospacing="1" w:after="100" w:afterAutospacing="1"/>
      <w:jc w:val="center"/>
    </w:pPr>
    <w:rPr>
      <w:rFonts w:ascii="宋体" w:cs="宋体"/>
      <w:b/>
      <w:bCs/>
      <w:kern w:val="0"/>
      <w:sz w:val="20"/>
      <w:szCs w:val="20"/>
    </w:rPr>
  </w:style>
  <w:style w:type="paragraph" w:customStyle="1" w:styleId="442">
    <w:name w:val="xl76"/>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443">
    <w:name w:val="font9"/>
    <w:basedOn w:val="1"/>
    <w:qFormat/>
    <w:uiPriority w:val="0"/>
    <w:pPr>
      <w:widowControl/>
      <w:spacing w:before="100" w:beforeAutospacing="1" w:after="100" w:afterAutospacing="1"/>
      <w:jc w:val="left"/>
    </w:pPr>
    <w:rPr>
      <w:rFonts w:ascii="宋体" w:cs="宋体"/>
      <w:kern w:val="0"/>
      <w:sz w:val="20"/>
      <w:szCs w:val="20"/>
    </w:rPr>
  </w:style>
  <w:style w:type="paragraph" w:customStyle="1" w:styleId="444">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445">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6">
    <w:name w:val="列出段落1"/>
    <w:basedOn w:val="1"/>
    <w:qFormat/>
    <w:uiPriority w:val="0"/>
    <w:pPr>
      <w:ind w:firstLine="420" w:firstLineChars="200"/>
    </w:pPr>
    <w:rPr>
      <w:szCs w:val="22"/>
    </w:rPr>
  </w:style>
  <w:style w:type="paragraph" w:customStyle="1" w:styleId="447">
    <w:name w:val="6"/>
    <w:next w:val="1"/>
    <w:qFormat/>
    <w:uiPriority w:val="0"/>
    <w:pPr>
      <w:widowControl w:val="0"/>
      <w:adjustRightInd w:val="0"/>
      <w:spacing w:line="312" w:lineRule="atLeast"/>
      <w:jc w:val="both"/>
      <w:textAlignment w:val="baseline"/>
    </w:pPr>
    <w:rPr>
      <w:rFonts w:ascii="Calibri" w:hAnsi="Calibri" w:eastAsia="仿宋" w:cs="Times New Roman"/>
      <w:sz w:val="32"/>
      <w:lang w:val="en-US" w:eastAsia="zh-CN" w:bidi="ar-SA"/>
    </w:rPr>
  </w:style>
  <w:style w:type="paragraph" w:customStyle="1" w:styleId="448">
    <w:name w:val="表格正文（5号）"/>
    <w:basedOn w:val="1"/>
    <w:qFormat/>
    <w:uiPriority w:val="0"/>
    <w:pPr>
      <w:adjustRightInd w:val="0"/>
      <w:snapToGrid w:val="0"/>
      <w:spacing w:line="264" w:lineRule="auto"/>
      <w:jc w:val="center"/>
      <w:textAlignment w:val="baseline"/>
    </w:pPr>
    <w:rPr>
      <w:snapToGrid w:val="0"/>
      <w:kern w:val="0"/>
      <w:sz w:val="24"/>
      <w:szCs w:val="20"/>
    </w:rPr>
  </w:style>
  <w:style w:type="paragraph" w:customStyle="1" w:styleId="449">
    <w:name w:val="图1"/>
    <w:basedOn w:val="1"/>
    <w:next w:val="1"/>
    <w:qFormat/>
    <w:uiPriority w:val="0"/>
    <w:pPr>
      <w:numPr>
        <w:ilvl w:val="0"/>
        <w:numId w:val="21"/>
      </w:numPr>
      <w:spacing w:beforeLines="50" w:afterLines="100" w:line="360" w:lineRule="auto"/>
      <w:ind w:left="2210" w:hanging="748"/>
      <w:jc w:val="center"/>
    </w:pPr>
    <w:rPr>
      <w:kern w:val="0"/>
      <w:sz w:val="24"/>
    </w:rPr>
  </w:style>
  <w:style w:type="paragraph" w:customStyle="1" w:styleId="450">
    <w:name w:val="pa-2"/>
    <w:basedOn w:val="1"/>
    <w:qFormat/>
    <w:uiPriority w:val="0"/>
    <w:pPr>
      <w:widowControl/>
      <w:spacing w:before="150" w:after="150"/>
      <w:jc w:val="left"/>
    </w:pPr>
    <w:rPr>
      <w:rFonts w:ascii="宋体" w:cs="宋体"/>
      <w:kern w:val="0"/>
      <w:sz w:val="24"/>
    </w:rPr>
  </w:style>
  <w:style w:type="paragraph" w:customStyle="1" w:styleId="451">
    <w:name w:val="xl7876"/>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452">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453">
    <w:name w:val="font12"/>
    <w:basedOn w:val="1"/>
    <w:qFormat/>
    <w:uiPriority w:val="0"/>
    <w:pPr>
      <w:widowControl/>
      <w:spacing w:before="100" w:beforeAutospacing="1" w:after="100" w:afterAutospacing="1"/>
      <w:jc w:val="left"/>
    </w:pPr>
    <w:rPr>
      <w:rFonts w:ascii="宋体" w:cs="宋体"/>
      <w:kern w:val="0"/>
      <w:sz w:val="20"/>
      <w:szCs w:val="20"/>
    </w:rPr>
  </w:style>
  <w:style w:type="paragraph" w:customStyle="1" w:styleId="454">
    <w:name w:val="自由格式"/>
    <w:qFormat/>
    <w:uiPriority w:val="0"/>
    <w:rPr>
      <w:rFonts w:ascii="Helvetica" w:hAnsi="Helvetica" w:eastAsia="ヒラギノ角ゴ Pro W3" w:cs="Times New Roman"/>
      <w:color w:val="000000"/>
      <w:sz w:val="24"/>
      <w:lang w:val="en-US" w:eastAsia="zh-CN" w:bidi="ar-SA"/>
    </w:rPr>
  </w:style>
  <w:style w:type="paragraph" w:customStyle="1" w:styleId="455">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56">
    <w:name w:val="样式 小四 首行缩进:  2 字符"/>
    <w:basedOn w:val="1"/>
    <w:qFormat/>
    <w:uiPriority w:val="0"/>
    <w:pPr>
      <w:spacing w:line="300" w:lineRule="auto"/>
      <w:ind w:firstLine="480" w:firstLineChars="200"/>
    </w:pPr>
    <w:rPr>
      <w:sz w:val="24"/>
      <w:szCs w:val="20"/>
    </w:rPr>
  </w:style>
  <w:style w:type="paragraph" w:customStyle="1" w:styleId="457">
    <w:name w:val="p0"/>
    <w:basedOn w:val="1"/>
    <w:qFormat/>
    <w:uiPriority w:val="0"/>
    <w:pPr>
      <w:widowControl/>
    </w:pPr>
    <w:rPr>
      <w:rFonts w:ascii="Courier New" w:hAnsi="Courier New" w:cs="Courier New"/>
      <w:kern w:val="0"/>
      <w:szCs w:val="21"/>
    </w:rPr>
  </w:style>
  <w:style w:type="paragraph" w:customStyle="1" w:styleId="458">
    <w:name w:val="xl67"/>
    <w:basedOn w:val="1"/>
    <w:qFormat/>
    <w:uiPriority w:val="0"/>
    <w:pPr>
      <w:widowControl/>
      <w:spacing w:before="100" w:beforeAutospacing="1" w:after="100" w:afterAutospacing="1"/>
      <w:jc w:val="center"/>
    </w:pPr>
    <w:rPr>
      <w:rFonts w:ascii="宋体" w:cs="宋体"/>
      <w:kern w:val="0"/>
      <w:sz w:val="20"/>
      <w:szCs w:val="20"/>
    </w:rPr>
  </w:style>
  <w:style w:type="paragraph" w:customStyle="1" w:styleId="459">
    <w:name w:val="三级条标题"/>
    <w:basedOn w:val="396"/>
    <w:next w:val="1"/>
    <w:qFormat/>
    <w:uiPriority w:val="0"/>
    <w:pPr>
      <w:numPr>
        <w:ilvl w:val="4"/>
      </w:numPr>
      <w:tabs>
        <w:tab w:val="left" w:pos="360"/>
      </w:tabs>
      <w:outlineLvl w:val="4"/>
    </w:pPr>
    <w:rPr>
      <w:rFonts w:eastAsia="宋体"/>
    </w:rPr>
  </w:style>
  <w:style w:type="paragraph" w:customStyle="1" w:styleId="460">
    <w:name w:val="样式 样式 样式 左侧:  2 字符1 + 首行缩进:  2 字符1 + 首行缩进:  2 字符"/>
    <w:basedOn w:val="1"/>
    <w:qFormat/>
    <w:uiPriority w:val="0"/>
    <w:pPr>
      <w:widowControl/>
      <w:numPr>
        <w:ilvl w:val="0"/>
        <w:numId w:val="25"/>
      </w:numPr>
      <w:adjustRightInd w:val="0"/>
      <w:spacing w:before="60" w:after="120" w:line="440" w:lineRule="atLeast"/>
      <w:ind w:left="0" w:firstLine="480"/>
      <w:textAlignment w:val="baseline"/>
    </w:pPr>
    <w:rPr>
      <w:sz w:val="24"/>
      <w:szCs w:val="20"/>
    </w:rPr>
  </w:style>
  <w:style w:type="paragraph" w:customStyle="1" w:styleId="461">
    <w:name w:val="Notes Text List in Table"/>
    <w:qFormat/>
    <w:uiPriority w:val="0"/>
    <w:pPr>
      <w:numPr>
        <w:ilvl w:val="0"/>
        <w:numId w:val="26"/>
      </w:numPr>
      <w:spacing w:before="40" w:after="80" w:line="200" w:lineRule="atLeast"/>
      <w:jc w:val="both"/>
    </w:pPr>
    <w:rPr>
      <w:rFonts w:ascii="Arial" w:hAnsi="Arial" w:eastAsia="楷体_GB2312" w:cs="楷体_GB2312"/>
      <w:sz w:val="18"/>
      <w:szCs w:val="18"/>
      <w:lang w:val="en-US" w:eastAsia="zh-CN" w:bidi="ar-SA"/>
    </w:rPr>
  </w:style>
  <w:style w:type="paragraph" w:customStyle="1" w:styleId="462">
    <w:name w:val="pa-3"/>
    <w:basedOn w:val="1"/>
    <w:qFormat/>
    <w:uiPriority w:val="0"/>
    <w:pPr>
      <w:widowControl/>
      <w:spacing w:before="150" w:after="150"/>
      <w:jc w:val="left"/>
    </w:pPr>
    <w:rPr>
      <w:rFonts w:ascii="宋体" w:cs="宋体"/>
      <w:kern w:val="0"/>
      <w:sz w:val="24"/>
    </w:rPr>
  </w:style>
  <w:style w:type="paragraph" w:customStyle="1" w:styleId="463">
    <w:name w:val="xl7864"/>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464">
    <w:name w:val="Char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465">
    <w:name w:val="xl31"/>
    <w:basedOn w:val="1"/>
    <w:qFormat/>
    <w:uiPriority w:val="0"/>
    <w:pPr>
      <w:widowControl/>
      <w:pBdr>
        <w:left w:val="single" w:color="008080" w:sz="4" w:space="0"/>
        <w:right w:val="single" w:color="008080" w:sz="4" w:space="0"/>
      </w:pBdr>
      <w:shd w:val="clear" w:color="9999FF" w:fill="FFFFFF"/>
      <w:spacing w:before="100" w:beforeAutospacing="1" w:after="100" w:afterAutospacing="1"/>
      <w:jc w:val="left"/>
    </w:pPr>
    <w:rPr>
      <w:rFonts w:ascii="宋体" w:hAnsi="宋体"/>
      <w:color w:val="000000"/>
      <w:kern w:val="0"/>
      <w:sz w:val="24"/>
    </w:rPr>
  </w:style>
  <w:style w:type="paragraph" w:customStyle="1" w:styleId="466">
    <w:name w:val="haikang"/>
    <w:basedOn w:val="1"/>
    <w:qFormat/>
    <w:uiPriority w:val="0"/>
    <w:pPr>
      <w:widowControl/>
      <w:spacing w:before="100" w:beforeAutospacing="1" w:after="100" w:afterAutospacing="1"/>
      <w:jc w:val="left"/>
    </w:pPr>
    <w:rPr>
      <w:rFonts w:eastAsia="仿宋"/>
      <w:color w:val="000000"/>
      <w:kern w:val="0"/>
      <w:sz w:val="18"/>
      <w:szCs w:val="18"/>
    </w:rPr>
  </w:style>
  <w:style w:type="paragraph" w:customStyle="1" w:styleId="467">
    <w:name w:val="封面中部"/>
    <w:basedOn w:val="1"/>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68">
    <w:name w:val="xl7865"/>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469">
    <w:name w:val="xl79"/>
    <w:basedOn w:val="1"/>
    <w:qFormat/>
    <w:uiPriority w:val="0"/>
    <w:pPr>
      <w:widowControl/>
      <w:spacing w:before="100" w:beforeAutospacing="1" w:after="100" w:afterAutospacing="1"/>
      <w:jc w:val="left"/>
    </w:pPr>
    <w:rPr>
      <w:rFonts w:ascii="宋体" w:cs="宋体"/>
      <w:kern w:val="0"/>
      <w:sz w:val="20"/>
      <w:szCs w:val="20"/>
    </w:rPr>
  </w:style>
  <w:style w:type="paragraph" w:customStyle="1" w:styleId="470">
    <w:name w:val="font18"/>
    <w:basedOn w:val="1"/>
    <w:qFormat/>
    <w:uiPriority w:val="0"/>
    <w:pPr>
      <w:widowControl/>
      <w:spacing w:before="100" w:beforeAutospacing="1" w:after="100" w:afterAutospacing="1"/>
      <w:jc w:val="left"/>
    </w:pPr>
    <w:rPr>
      <w:rFonts w:ascii="宋体" w:cs="宋体"/>
      <w:b/>
      <w:bCs/>
      <w:color w:val="000000"/>
      <w:kern w:val="0"/>
      <w:sz w:val="20"/>
      <w:szCs w:val="20"/>
    </w:rPr>
  </w:style>
  <w:style w:type="paragraph" w:customStyle="1" w:styleId="471">
    <w:name w:val="_Style 470"/>
    <w:basedOn w:val="4"/>
    <w:next w:val="1"/>
    <w:qFormat/>
    <w:uiPriority w:val="0"/>
    <w:pPr>
      <w:spacing w:line="578" w:lineRule="auto"/>
      <w:outlineLvl w:val="9"/>
    </w:pPr>
    <w:rPr>
      <w:bCs/>
      <w:szCs w:val="44"/>
    </w:rPr>
  </w:style>
  <w:style w:type="paragraph" w:customStyle="1" w:styleId="472">
    <w:name w:val="Block Label"/>
    <w:basedOn w:val="1"/>
    <w:next w:val="1"/>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473">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74">
    <w:name w:val="font7"/>
    <w:basedOn w:val="1"/>
    <w:qFormat/>
    <w:uiPriority w:val="0"/>
    <w:pPr>
      <w:widowControl/>
      <w:spacing w:before="100" w:beforeAutospacing="1" w:after="100" w:afterAutospacing="1"/>
      <w:jc w:val="left"/>
    </w:pPr>
    <w:rPr>
      <w:rFonts w:ascii="宋体" w:cs="宋体"/>
      <w:kern w:val="0"/>
      <w:sz w:val="20"/>
      <w:szCs w:val="20"/>
    </w:rPr>
  </w:style>
  <w:style w:type="paragraph" w:customStyle="1" w:styleId="475">
    <w:name w:val="Char Char2 Char1"/>
    <w:basedOn w:val="1"/>
    <w:qFormat/>
    <w:uiPriority w:val="0"/>
    <w:pPr>
      <w:widowControl/>
      <w:spacing w:after="160" w:line="240" w:lineRule="exact"/>
      <w:jc w:val="left"/>
    </w:pPr>
    <w:rPr>
      <w:rFonts w:ascii="Arial" w:hAnsi="Arial"/>
      <w:kern w:val="0"/>
      <w:sz w:val="22"/>
      <w:szCs w:val="22"/>
      <w:lang w:eastAsia="en-US"/>
    </w:rPr>
  </w:style>
  <w:style w:type="paragraph" w:customStyle="1" w:styleId="476">
    <w:name w:val="Notes Heading in Table"/>
    <w:next w:val="1"/>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77">
    <w:name w:val="xl787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78">
    <w:name w:val="Char Char Char Char1"/>
    <w:basedOn w:val="1"/>
    <w:qFormat/>
    <w:uiPriority w:val="0"/>
    <w:pPr>
      <w:tabs>
        <w:tab w:val="left" w:pos="360"/>
      </w:tabs>
      <w:ind w:firstLine="150" w:firstLineChars="150"/>
    </w:pPr>
    <w:rPr>
      <w:rFonts w:ascii="Arial" w:hAnsi="Arial" w:cs="Arial"/>
      <w:sz w:val="20"/>
      <w:szCs w:val="20"/>
    </w:rPr>
  </w:style>
  <w:style w:type="paragraph" w:customStyle="1" w:styleId="479">
    <w:name w:val="编号2级"/>
    <w:qFormat/>
    <w:uiPriority w:val="0"/>
    <w:pPr>
      <w:spacing w:after="20" w:afterLines="20" w:line="400" w:lineRule="exact"/>
    </w:pPr>
    <w:rPr>
      <w:rFonts w:ascii="Calibri" w:hAnsi="Calibri" w:eastAsia="Times New Roman" w:cs="Times New Roman"/>
      <w:kern w:val="2"/>
      <w:sz w:val="24"/>
      <w:szCs w:val="24"/>
      <w:lang w:val="en-US" w:eastAsia="zh-CN" w:bidi="ar-SA"/>
    </w:rPr>
  </w:style>
  <w:style w:type="paragraph" w:customStyle="1" w:styleId="48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8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82">
    <w:name w:val="CM64"/>
    <w:basedOn w:val="419"/>
    <w:next w:val="419"/>
    <w:qFormat/>
    <w:uiPriority w:val="0"/>
    <w:pPr>
      <w:spacing w:after="415"/>
    </w:pPr>
    <w:rPr>
      <w:rFonts w:ascii="黑体" w:eastAsia="黑体" w:cs="Times New Roman"/>
      <w:color w:val="auto"/>
    </w:rPr>
  </w:style>
  <w:style w:type="paragraph" w:customStyle="1" w:styleId="483">
    <w:name w:val="sanxiang3"/>
    <w:basedOn w:val="1"/>
    <w:qFormat/>
    <w:uiPriority w:val="0"/>
    <w:pPr>
      <w:widowControl/>
      <w:tabs>
        <w:tab w:val="left" w:pos="686"/>
        <w:tab w:val="left" w:pos="728"/>
        <w:tab w:val="left" w:pos="966"/>
      </w:tabs>
      <w:spacing w:beforeLines="100" w:after="156" w:line="240" w:lineRule="atLeast"/>
      <w:ind w:left="359" w:hanging="359" w:hangingChars="149"/>
      <w:jc w:val="left"/>
      <w:outlineLvl w:val="2"/>
    </w:pPr>
    <w:rPr>
      <w:rFonts w:ascii="宋体" w:hAnsi="宋体" w:eastAsia="黑体"/>
      <w:b/>
      <w:bCs/>
      <w:kern w:val="0"/>
      <w:sz w:val="24"/>
    </w:rPr>
  </w:style>
  <w:style w:type="paragraph" w:customStyle="1" w:styleId="484">
    <w:name w:val="font14"/>
    <w:basedOn w:val="1"/>
    <w:qFormat/>
    <w:uiPriority w:val="0"/>
    <w:pPr>
      <w:widowControl/>
      <w:spacing w:before="100" w:beforeAutospacing="1" w:after="100" w:afterAutospacing="1"/>
      <w:jc w:val="left"/>
    </w:pPr>
    <w:rPr>
      <w:rFonts w:ascii="宋体" w:cs="宋体"/>
      <w:kern w:val="0"/>
      <w:sz w:val="20"/>
      <w:szCs w:val="20"/>
    </w:rPr>
  </w:style>
  <w:style w:type="paragraph" w:customStyle="1" w:styleId="485">
    <w:name w:val="样式 标题 2 + 宋体 小三 段前: 0 磅 段后: 12 磅 行距: 1.5 倍行距"/>
    <w:basedOn w:val="5"/>
    <w:qFormat/>
    <w:uiPriority w:val="0"/>
    <w:pPr>
      <w:numPr>
        <w:ilvl w:val="1"/>
        <w:numId w:val="26"/>
      </w:numPr>
      <w:spacing w:before="0" w:after="240" w:afterLines="100" w:line="360" w:lineRule="auto"/>
    </w:pPr>
    <w:rPr>
      <w:rFonts w:ascii="宋体" w:hAnsi="宋体" w:eastAsia="宋体" w:cs="宋体"/>
      <w:sz w:val="30"/>
      <w:szCs w:val="20"/>
    </w:rPr>
  </w:style>
  <w:style w:type="paragraph" w:customStyle="1" w:styleId="486">
    <w:name w:val="样式 标题 3标题 3 Char Char Char Char(A-3)sect1.2.3h3H3 + 加粗 段前:..."/>
    <w:basedOn w:val="6"/>
    <w:qFormat/>
    <w:uiPriority w:val="0"/>
    <w:pPr>
      <w:keepNext w:val="0"/>
      <w:tabs>
        <w:tab w:val="left" w:pos="1080"/>
      </w:tabs>
      <w:spacing w:before="120" w:after="0"/>
    </w:pPr>
    <w:rPr>
      <w:rFonts w:eastAsia="黑体" w:cs="宋体"/>
      <w:b w:val="0"/>
      <w:sz w:val="24"/>
      <w:szCs w:val="20"/>
      <w:lang w:bidi="ar-SA"/>
    </w:rPr>
  </w:style>
  <w:style w:type="paragraph" w:customStyle="1" w:styleId="487">
    <w:name w:val="xl3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488">
    <w:name w:val="font23"/>
    <w:basedOn w:val="1"/>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489">
    <w:name w:val="正文文本 21"/>
    <w:basedOn w:val="1"/>
    <w:qFormat/>
    <w:uiPriority w:val="0"/>
    <w:pPr>
      <w:autoSpaceDE w:val="0"/>
      <w:autoSpaceDN w:val="0"/>
      <w:adjustRightInd w:val="0"/>
      <w:spacing w:line="360" w:lineRule="atLeast"/>
      <w:textAlignment w:val="baseline"/>
    </w:pPr>
    <w:rPr>
      <w:kern w:val="0"/>
      <w:sz w:val="24"/>
      <w:szCs w:val="20"/>
    </w:rPr>
  </w:style>
  <w:style w:type="paragraph" w:customStyle="1" w:styleId="490">
    <w:name w:val="font6"/>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491">
    <w:name w:val="样式2"/>
    <w:basedOn w:val="1"/>
    <w:qFormat/>
    <w:uiPriority w:val="0"/>
    <w:pPr>
      <w:spacing w:line="360" w:lineRule="auto"/>
      <w:ind w:firstLine="200" w:firstLineChars="200"/>
    </w:pPr>
    <w:rPr>
      <w:rFonts w:ascii="宋体" w:hAnsi="宋体"/>
      <w:sz w:val="24"/>
    </w:rPr>
  </w:style>
  <w:style w:type="table" w:customStyle="1" w:styleId="492">
    <w:name w:val="网格型1"/>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3">
    <w:name w:val="答复表头"/>
    <w:basedOn w:val="494"/>
    <w:next w:val="1"/>
    <w:qFormat/>
    <w:uiPriority w:val="0"/>
    <w:pPr>
      <w:tabs>
        <w:tab w:val="left" w:pos="480"/>
      </w:tabs>
    </w:pPr>
    <w:rPr>
      <w:b/>
    </w:rPr>
  </w:style>
  <w:style w:type="paragraph" w:customStyle="1" w:styleId="494">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95">
    <w:name w:val="NormalCharacter"/>
    <w:qFormat/>
    <w:uiPriority w:val="0"/>
  </w:style>
  <w:style w:type="paragraph" w:customStyle="1" w:styleId="496">
    <w:name w:val="Heading3"/>
    <w:basedOn w:val="1"/>
    <w:next w:val="1"/>
    <w:qFormat/>
    <w:uiPriority w:val="0"/>
    <w:pPr>
      <w:widowControl/>
      <w:spacing w:after="50" w:line="360" w:lineRule="auto"/>
      <w:ind w:left="-4"/>
      <w:jc w:val="left"/>
      <w:textAlignment w:val="baseline"/>
    </w:pPr>
    <w:rPr>
      <w:rFonts w:ascii="宋体" w:hAnsi="宋体"/>
      <w:b/>
      <w:color w:val="000000"/>
      <w:kern w:val="0"/>
      <w:sz w:val="30"/>
      <w:lang w:val="en-GB"/>
    </w:rPr>
  </w:style>
  <w:style w:type="character" w:customStyle="1" w:styleId="497">
    <w:name w:val="font31"/>
    <w:qFormat/>
    <w:uiPriority w:val="0"/>
    <w:rPr>
      <w:rFonts w:hint="eastAsia" w:ascii="仿宋" w:hAnsi="仿宋" w:eastAsia="仿宋" w:cs="仿宋"/>
      <w:b/>
      <w:bCs/>
      <w:color w:val="000000"/>
      <w:sz w:val="22"/>
      <w:szCs w:val="22"/>
      <w:u w:val="none"/>
    </w:rPr>
  </w:style>
  <w:style w:type="character" w:customStyle="1" w:styleId="498">
    <w:name w:val="font41"/>
    <w:qFormat/>
    <w:uiPriority w:val="0"/>
    <w:rPr>
      <w:rFonts w:hint="eastAsia" w:ascii="仿宋" w:hAnsi="仿宋" w:eastAsia="仿宋" w:cs="仿宋"/>
      <w:color w:val="000000"/>
      <w:sz w:val="22"/>
      <w:szCs w:val="22"/>
      <w:u w:val="none"/>
    </w:rPr>
  </w:style>
  <w:style w:type="character" w:customStyle="1" w:styleId="499">
    <w:name w:val="font51"/>
    <w:qFormat/>
    <w:uiPriority w:val="0"/>
    <w:rPr>
      <w:rFonts w:hint="eastAsia" w:ascii="仿宋" w:hAnsi="仿宋" w:eastAsia="仿宋" w:cs="仿宋"/>
      <w:color w:val="000000"/>
      <w:sz w:val="24"/>
      <w:szCs w:val="24"/>
      <w:u w:val="none"/>
    </w:rPr>
  </w:style>
  <w:style w:type="character" w:customStyle="1" w:styleId="500">
    <w:name w:val="font81"/>
    <w:basedOn w:val="90"/>
    <w:qFormat/>
    <w:uiPriority w:val="0"/>
    <w:rPr>
      <w:rFonts w:hint="eastAsia" w:ascii="仿宋" w:hAnsi="仿宋" w:eastAsia="仿宋" w:cs="仿宋"/>
      <w:color w:val="000000"/>
      <w:sz w:val="24"/>
      <w:szCs w:val="24"/>
      <w:u w:val="none"/>
    </w:rPr>
  </w:style>
  <w:style w:type="paragraph" w:customStyle="1" w:styleId="501">
    <w:name w:val="首行缩进"/>
    <w:basedOn w:val="1"/>
    <w:qFormat/>
    <w:uiPriority w:val="0"/>
    <w:pPr>
      <w:ind w:firstLine="480" w:firstLineChars="200"/>
    </w:pPr>
    <w:rPr>
      <w:lang w:val="zh-CN"/>
    </w:rPr>
  </w:style>
  <w:style w:type="paragraph" w:customStyle="1" w:styleId="502">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503">
    <w:name w:val="font01"/>
    <w:basedOn w:val="9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26029</Words>
  <Characters>28746</Characters>
  <Lines>218</Lines>
  <Paragraphs>61</Paragraphs>
  <TotalTime>31</TotalTime>
  <ScaleCrop>false</ScaleCrop>
  <LinksUpToDate>false</LinksUpToDate>
  <CharactersWithSpaces>31690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2022-03-15T08:37:00Z</dcterms:created>
  <dc:creator>hp</dc:creator>
  <cp:lastModifiedBy>【天助自助者】</cp:lastModifiedBy>
  <cp:lastPrinted>2022-07-29T08:43:00Z</cp:lastPrinted>
  <dcterms:modified xsi:type="dcterms:W3CDTF">2023-02-24T02:34:56Z</dcterms:modified>
  <dc:title>乌鲁木齐市公安局重点路段卡口系统采购项目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DACCFC3964554FCDB9A2F38531D2C317</vt:lpwstr>
  </property>
  <property fmtid="{D5CDD505-2E9C-101B-9397-08002B2CF9AE}" pid="4" name="commondata">
    <vt:lpwstr>eyJoZGlkIjoiMTJiNzZhMjQ5MWY2NWYxZjNjN2I1YzE3Nzc4YTNhZDgifQ==</vt:lpwstr>
  </property>
</Properties>
</file>