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宋体" w:hAnsi="宋体" w:eastAsia="宋体" w:cs="宋体"/>
          <w:b/>
          <w:color w:val="auto"/>
          <w:kern w:val="44"/>
          <w:sz w:val="40"/>
          <w:szCs w:val="22"/>
          <w:highlight w:val="none"/>
          <w:lang w:eastAsia="zh-CN"/>
        </w:rPr>
      </w:pPr>
      <w:bookmarkStart w:id="0" w:name="_Toc1934"/>
      <w:bookmarkStart w:id="1" w:name="_Toc12442"/>
      <w:bookmarkStart w:id="2" w:name="_Toc3501"/>
      <w:bookmarkStart w:id="3" w:name="_Toc22083"/>
      <w:bookmarkStart w:id="4" w:name="_Toc31636"/>
      <w:bookmarkStart w:id="5" w:name="_Toc29241"/>
      <w:bookmarkStart w:id="6" w:name="_Toc13057"/>
      <w:bookmarkStart w:id="7" w:name="_Toc16093"/>
      <w:bookmarkStart w:id="8" w:name="_Toc31645"/>
      <w:bookmarkStart w:id="9" w:name="_Toc11880"/>
      <w:bookmarkStart w:id="10" w:name="_Toc17321"/>
      <w:bookmarkStart w:id="11" w:name="_Toc13297"/>
      <w:bookmarkStart w:id="12" w:name="_Toc4177"/>
      <w:bookmarkStart w:id="13" w:name="_Toc27286"/>
      <w:bookmarkStart w:id="14" w:name="_Toc507399907"/>
      <w:bookmarkStart w:id="15" w:name="_Toc32647"/>
      <w:bookmarkStart w:id="16" w:name="_Toc218935355"/>
      <w:bookmarkStart w:id="17" w:name="_Toc219175639"/>
      <w:bookmarkStart w:id="18" w:name="_Toc7971"/>
      <w:bookmarkStart w:id="19" w:name="_Toc216582826"/>
      <w:bookmarkStart w:id="20" w:name="_Toc515647832"/>
    </w:p>
    <w:p>
      <w:pPr>
        <w:bidi w:val="0"/>
        <w:jc w:val="center"/>
        <w:outlineLvl w:val="9"/>
        <w:rPr>
          <w:rFonts w:hint="eastAsia" w:ascii="宋体" w:hAnsi="宋体" w:eastAsia="宋体" w:cs="宋体"/>
          <w:b/>
          <w:bCs/>
          <w:color w:val="auto"/>
          <w:sz w:val="52"/>
          <w:szCs w:val="52"/>
          <w:highlight w:val="none"/>
          <w:lang w:val="en-US" w:eastAsia="zh-CN"/>
        </w:rPr>
      </w:pPr>
      <w:r>
        <w:rPr>
          <w:rFonts w:hint="eastAsia" w:ascii="宋体" w:hAnsi="宋体" w:cs="宋体"/>
          <w:b/>
          <w:bCs/>
          <w:color w:val="auto"/>
          <w:sz w:val="52"/>
          <w:szCs w:val="52"/>
          <w:highlight w:val="none"/>
          <w:lang w:val="en-US" w:eastAsia="zh-CN"/>
        </w:rPr>
        <w:t>泽普县乡镇国土空间总体规划采购项目</w:t>
      </w:r>
    </w:p>
    <w:p>
      <w:pPr>
        <w:pStyle w:val="3"/>
        <w:ind w:firstLine="2880" w:firstLineChars="1200"/>
        <w:rPr>
          <w:rFonts w:hint="default" w:ascii="宋体" w:hAnsi="宋体" w:eastAsia="宋体" w:cs="宋体"/>
          <w:b/>
          <w:bCs/>
          <w:color w:val="auto"/>
          <w:highlight w:val="none"/>
          <w:lang w:val="en-US" w:eastAsia="zh-CN"/>
        </w:rPr>
      </w:pPr>
      <w:r>
        <w:rPr>
          <w:rFonts w:hint="eastAsia" w:hAnsi="宋体" w:cs="宋体"/>
          <w:b/>
          <w:bCs/>
          <w:color w:val="auto"/>
          <w:highlight w:val="none"/>
          <w:lang w:val="en-US" w:eastAsia="zh-CN"/>
        </w:rPr>
        <w:t>（第一包、第二包、第三包）</w:t>
      </w:r>
    </w:p>
    <w:p>
      <w:pPr>
        <w:pStyle w:val="4"/>
        <w:rPr>
          <w:rFonts w:hint="eastAsia"/>
          <w:color w:val="auto"/>
          <w:highlight w:val="none"/>
          <w:lang w:eastAsia="zh-CN"/>
        </w:rPr>
      </w:pPr>
    </w:p>
    <w:p>
      <w:pPr>
        <w:rPr>
          <w:rFonts w:hint="eastAsia" w:ascii="宋体" w:hAnsi="宋体" w:eastAsia="宋体" w:cs="宋体"/>
          <w:color w:val="auto"/>
          <w:highlight w:val="none"/>
          <w:lang w:eastAsia="zh-CN"/>
        </w:rPr>
      </w:pPr>
    </w:p>
    <w:p>
      <w:pPr>
        <w:spacing w:line="240" w:lineRule="atLeast"/>
        <w:jc w:val="center"/>
        <w:rPr>
          <w:rFonts w:hint="eastAsia" w:ascii="宋体" w:hAnsi="宋体" w:eastAsia="宋体" w:cs="宋体"/>
          <w:b/>
          <w:bCs w:val="0"/>
          <w:color w:val="auto"/>
          <w:sz w:val="48"/>
          <w:szCs w:val="48"/>
          <w:highlight w:val="none"/>
        </w:rPr>
      </w:pPr>
      <w:r>
        <w:rPr>
          <w:rFonts w:hint="eastAsia" w:ascii="宋体" w:hAnsi="宋体" w:eastAsia="宋体" w:cs="宋体"/>
          <w:b/>
          <w:bCs w:val="0"/>
          <w:color w:val="auto"/>
          <w:sz w:val="48"/>
          <w:szCs w:val="48"/>
          <w:highlight w:val="none"/>
        </w:rPr>
        <w:t>招 标 文 件</w:t>
      </w:r>
    </w:p>
    <w:p>
      <w:pPr>
        <w:outlineLvl w:val="9"/>
        <w:rPr>
          <w:rFonts w:hint="eastAsia"/>
          <w:color w:val="auto"/>
          <w:highlight w:val="none"/>
        </w:rPr>
      </w:pPr>
    </w:p>
    <w:p>
      <w:pPr>
        <w:outlineLvl w:val="9"/>
        <w:rPr>
          <w:rFonts w:hint="eastAsia"/>
          <w:color w:val="auto"/>
          <w:highlight w:val="none"/>
        </w:rPr>
      </w:pPr>
    </w:p>
    <w:p>
      <w:pPr>
        <w:outlineLvl w:val="9"/>
        <w:rPr>
          <w:rFonts w:hint="eastAsia"/>
          <w:color w:val="auto"/>
          <w:highlight w:val="none"/>
        </w:rPr>
      </w:pPr>
    </w:p>
    <w:p>
      <w:pPr>
        <w:spacing w:line="360" w:lineRule="auto"/>
        <w:jc w:val="center"/>
        <w:rPr>
          <w:rFonts w:hint="eastAsia" w:ascii="宋体" w:hAnsi="宋体" w:eastAsia="宋体" w:cs="宋体"/>
          <w:b/>
          <w:color w:val="auto"/>
          <w:sz w:val="32"/>
          <w:highlight w:val="none"/>
          <w:lang w:eastAsia="zh-CN"/>
        </w:rPr>
      </w:pPr>
      <w:r>
        <w:rPr>
          <w:rFonts w:hint="eastAsia" w:ascii="宋体" w:hAnsi="宋体" w:eastAsia="宋体" w:cs="宋体"/>
          <w:b/>
          <w:color w:val="auto"/>
          <w:sz w:val="32"/>
          <w:highlight w:val="none"/>
        </w:rPr>
        <w:t>项目编号：</w:t>
      </w:r>
      <w:r>
        <w:rPr>
          <w:rFonts w:hint="eastAsia" w:ascii="宋体" w:hAnsi="宋体" w:cs="宋体"/>
          <w:b/>
          <w:color w:val="auto"/>
          <w:sz w:val="32"/>
          <w:highlight w:val="none"/>
          <w:lang w:eastAsia="zh-CN"/>
        </w:rPr>
        <w:t>ZPDL（2023）09</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hd w:val="clear" w:color="auto" w:fill="auto"/>
        <w:spacing w:line="240" w:lineRule="atLeast"/>
        <w:ind w:firstLine="560" w:firstLineChars="200"/>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采购人名称：</w:t>
      </w:r>
      <w:r>
        <w:rPr>
          <w:rFonts w:hint="eastAsia" w:ascii="宋体" w:hAnsi="宋体" w:cs="宋体"/>
          <w:b/>
          <w:bCs/>
          <w:color w:val="auto"/>
          <w:sz w:val="28"/>
          <w:szCs w:val="28"/>
          <w:highlight w:val="none"/>
          <w:u w:val="single"/>
          <w:lang w:val="en-US" w:eastAsia="zh-CN"/>
        </w:rPr>
        <w:t xml:space="preserve"> 新疆维吾尔自治区泽普县自然资源局</w:t>
      </w:r>
    </w:p>
    <w:p>
      <w:pPr>
        <w:shd w:val="clear" w:color="auto" w:fill="auto"/>
        <w:ind w:firstLine="560" w:firstLineChars="2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联  系  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胥洪松</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 xml:space="preserve">    </w:t>
      </w:r>
    </w:p>
    <w:p>
      <w:pPr>
        <w:shd w:val="clear" w:color="auto" w:fill="auto"/>
        <w:spacing w:line="360" w:lineRule="auto"/>
        <w:ind w:firstLine="560" w:firstLineChars="200"/>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联 系电 话：</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13579050818</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lang w:val="en-US" w:eastAsia="zh-CN"/>
        </w:rPr>
        <w:t xml:space="preserve">  </w:t>
      </w:r>
    </w:p>
    <w:p>
      <w:pPr>
        <w:pStyle w:val="3"/>
        <w:shd w:val="clear" w:color="auto" w:fill="auto"/>
        <w:ind w:left="0" w:leftChars="0" w:firstLine="0" w:firstLineChars="0"/>
        <w:rPr>
          <w:rFonts w:hint="eastAsia" w:ascii="宋体" w:hAnsi="宋体" w:eastAsia="宋体" w:cs="宋体"/>
          <w:color w:val="auto"/>
          <w:sz w:val="28"/>
          <w:szCs w:val="28"/>
          <w:highlight w:val="none"/>
        </w:rPr>
      </w:pPr>
    </w:p>
    <w:p>
      <w:pPr>
        <w:pStyle w:val="19"/>
        <w:rPr>
          <w:rFonts w:hint="eastAsia" w:ascii="宋体" w:hAnsi="宋体" w:eastAsia="宋体" w:cs="宋体"/>
          <w:color w:val="auto"/>
          <w:highlight w:val="none"/>
        </w:rPr>
      </w:pPr>
    </w:p>
    <w:p>
      <w:pPr>
        <w:pStyle w:val="3"/>
        <w:shd w:val="clear" w:color="auto" w:fill="auto"/>
        <w:rPr>
          <w:rFonts w:hint="eastAsia" w:ascii="宋体" w:hAnsi="宋体" w:eastAsia="宋体" w:cs="宋体"/>
          <w:color w:val="auto"/>
          <w:sz w:val="28"/>
          <w:szCs w:val="28"/>
          <w:highlight w:val="none"/>
        </w:rPr>
      </w:pPr>
    </w:p>
    <w:p>
      <w:pPr>
        <w:shd w:val="clear" w:color="auto" w:fill="auto"/>
        <w:spacing w:line="240" w:lineRule="atLeast"/>
        <w:ind w:firstLine="560"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代理机构名称：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eastAsia="zh-CN"/>
        </w:rPr>
        <w:t>中经国际工程咨询集团有限公司</w:t>
      </w:r>
      <w:r>
        <w:rPr>
          <w:rFonts w:hint="eastAsia" w:ascii="宋体" w:hAnsi="宋体" w:eastAsia="宋体" w:cs="宋体"/>
          <w:b/>
          <w:bCs/>
          <w:color w:val="auto"/>
          <w:sz w:val="28"/>
          <w:szCs w:val="28"/>
          <w:highlight w:val="none"/>
        </w:rPr>
        <w:t xml:space="preserve">  </w:t>
      </w:r>
    </w:p>
    <w:p>
      <w:pPr>
        <w:shd w:val="clear" w:color="auto" w:fill="auto"/>
        <w:spacing w:line="240" w:lineRule="atLeas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联   系   人：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韩露</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 xml:space="preserve">       </w:t>
      </w:r>
    </w:p>
    <w:p>
      <w:pPr>
        <w:spacing w:line="240" w:lineRule="atLeast"/>
        <w:ind w:firstLine="560" w:firstLineChars="200"/>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 xml:space="preserve">联 系 电 话 ：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eastAsia="zh-CN"/>
        </w:rPr>
        <w:t>18099850003</w:t>
      </w:r>
      <w:r>
        <w:rPr>
          <w:rFonts w:hint="eastAsia" w:ascii="宋体" w:hAnsi="宋体" w:eastAsia="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val="en-US" w:eastAsia="zh-CN"/>
        </w:rPr>
        <w:t xml:space="preserve">    </w:t>
      </w:r>
      <w:r>
        <w:rPr>
          <w:rFonts w:hint="eastAsia" w:ascii="宋体" w:hAnsi="宋体" w:eastAsia="宋体" w:cs="宋体"/>
          <w:b/>
          <w:bCs/>
          <w:color w:val="auto"/>
          <w:sz w:val="28"/>
          <w:szCs w:val="28"/>
          <w:highlight w:val="none"/>
          <w:u w:val="single"/>
        </w:rPr>
        <w:t xml:space="preserve">    </w:t>
      </w:r>
    </w:p>
    <w:p>
      <w:pPr>
        <w:jc w:val="center"/>
        <w:rPr>
          <w:rFonts w:hint="eastAsia" w:ascii="宋体" w:hAnsi="宋体" w:eastAsia="宋体" w:cs="宋体"/>
          <w:b/>
          <w:bCs/>
          <w:color w:val="auto"/>
          <w:sz w:val="32"/>
          <w:szCs w:val="40"/>
          <w:highlight w:val="none"/>
        </w:rPr>
      </w:pPr>
    </w:p>
    <w:p>
      <w:pPr>
        <w:spacing w:line="240" w:lineRule="atLeast"/>
        <w:jc w:val="center"/>
        <w:rPr>
          <w:rFonts w:hint="eastAsia" w:ascii="宋体" w:hAnsi="宋体" w:eastAsia="宋体" w:cs="宋体"/>
          <w:b/>
          <w:color w:val="auto"/>
          <w:sz w:val="28"/>
          <w:szCs w:val="28"/>
          <w:highlight w:val="none"/>
          <w:lang w:val="en-US" w:eastAsia="zh-CN"/>
        </w:rPr>
        <w:sectPr>
          <w:head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
          <w:color w:val="auto"/>
          <w:sz w:val="28"/>
          <w:szCs w:val="28"/>
          <w:highlight w:val="none"/>
        </w:rPr>
        <w:t>日期：20</w:t>
      </w:r>
      <w:r>
        <w:rPr>
          <w:rFonts w:hint="eastAsia" w:ascii="宋体" w:hAnsi="宋体" w:cs="宋体"/>
          <w:b/>
          <w:color w:val="auto"/>
          <w:sz w:val="28"/>
          <w:szCs w:val="28"/>
          <w:highlight w:val="none"/>
          <w:lang w:val="en-US" w:eastAsia="zh-CN"/>
        </w:rPr>
        <w:t>23</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lang w:val="en-US" w:eastAsia="zh-CN"/>
        </w:rPr>
        <w:t>月</w:t>
      </w: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目   录</w:t>
      </w:r>
    </w:p>
    <w:p>
      <w:pPr>
        <w:pStyle w:val="18"/>
        <w:tabs>
          <w:tab w:val="right" w:leader="dot" w:pos="8279"/>
        </w:tabs>
        <w:spacing w:line="360" w:lineRule="auto"/>
        <w:rPr>
          <w:color w:val="auto"/>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_Toc16221 </w:instrText>
      </w:r>
      <w:r>
        <w:rPr>
          <w:rFonts w:hint="eastAsia" w:ascii="宋体" w:hAnsi="宋体" w:eastAsia="宋体" w:cs="宋体"/>
          <w:color w:val="auto"/>
          <w:szCs w:val="24"/>
          <w:highlight w:val="none"/>
        </w:rPr>
        <w:fldChar w:fldCharType="separate"/>
      </w:r>
      <w:r>
        <w:rPr>
          <w:rFonts w:hint="eastAsia" w:ascii="宋体" w:hAnsi="宋体" w:eastAsia="宋体" w:cs="宋体"/>
          <w:bCs/>
          <w:color w:val="auto"/>
          <w:szCs w:val="32"/>
          <w:highlight w:val="none"/>
        </w:rPr>
        <w:t>第1章</w:t>
      </w:r>
      <w:r>
        <w:rPr>
          <w:rFonts w:hint="eastAsia" w:hAnsi="宋体" w:cs="宋体"/>
          <w:bCs/>
          <w:color w:val="auto"/>
          <w:szCs w:val="32"/>
          <w:highlight w:val="none"/>
          <w:lang w:val="en-US" w:eastAsia="zh-CN"/>
        </w:rPr>
        <w:t xml:space="preserve">  </w:t>
      </w:r>
      <w:r>
        <w:rPr>
          <w:rFonts w:hint="eastAsia" w:ascii="宋体" w:hAnsi="宋体" w:eastAsia="宋体" w:cs="宋体"/>
          <w:bCs/>
          <w:color w:val="auto"/>
          <w:szCs w:val="32"/>
          <w:highlight w:val="none"/>
          <w:lang w:eastAsia="zh-CN"/>
        </w:rPr>
        <w:t>供应商</w:t>
      </w:r>
      <w:r>
        <w:rPr>
          <w:rFonts w:hint="eastAsia" w:ascii="宋体" w:hAnsi="宋体" w:eastAsia="宋体" w:cs="宋体"/>
          <w:bCs/>
          <w:color w:val="auto"/>
          <w:szCs w:val="32"/>
          <w:highlight w:val="none"/>
        </w:rPr>
        <w:t>须知</w:t>
      </w:r>
      <w:r>
        <w:rPr>
          <w:color w:val="auto"/>
        </w:rPr>
        <w:tab/>
      </w:r>
      <w:r>
        <w:rPr>
          <w:color w:val="auto"/>
        </w:rPr>
        <w:fldChar w:fldCharType="begin"/>
      </w:r>
      <w:r>
        <w:rPr>
          <w:color w:val="auto"/>
        </w:rPr>
        <w:instrText xml:space="preserve"> PAGEREF _Toc16221 \h </w:instrText>
      </w:r>
      <w:r>
        <w:rPr>
          <w:color w:val="auto"/>
        </w:rPr>
        <w:fldChar w:fldCharType="separate"/>
      </w:r>
      <w:r>
        <w:rPr>
          <w:color w:val="auto"/>
        </w:rPr>
        <w:t>5</w:t>
      </w:r>
      <w:r>
        <w:rPr>
          <w:color w:val="auto"/>
        </w:rPr>
        <w:fldChar w:fldCharType="end"/>
      </w:r>
      <w:r>
        <w:rPr>
          <w:rFonts w:hint="eastAsia" w:ascii="宋体" w:hAnsi="宋体" w:eastAsia="宋体" w:cs="宋体"/>
          <w:color w:val="auto"/>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_Toc20869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一   总 则</w:t>
      </w:r>
      <w:r>
        <w:rPr>
          <w:color w:val="auto"/>
        </w:rPr>
        <w:tab/>
      </w:r>
      <w:r>
        <w:rPr>
          <w:color w:val="auto"/>
        </w:rPr>
        <w:fldChar w:fldCharType="begin"/>
      </w:r>
      <w:r>
        <w:rPr>
          <w:color w:val="auto"/>
        </w:rPr>
        <w:instrText xml:space="preserve"> PAGEREF _Toc20869 \h </w:instrText>
      </w:r>
      <w:r>
        <w:rPr>
          <w:color w:val="auto"/>
        </w:rPr>
        <w:fldChar w:fldCharType="separate"/>
      </w:r>
      <w:r>
        <w:rPr>
          <w:color w:val="auto"/>
        </w:rPr>
        <w:t>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_Toc19231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二   招标文件</w:t>
      </w:r>
      <w:r>
        <w:rPr>
          <w:color w:val="auto"/>
        </w:rPr>
        <w:tab/>
      </w:r>
      <w:r>
        <w:rPr>
          <w:color w:val="auto"/>
        </w:rPr>
        <w:fldChar w:fldCharType="begin"/>
      </w:r>
      <w:r>
        <w:rPr>
          <w:color w:val="auto"/>
        </w:rPr>
        <w:instrText xml:space="preserve"> PAGEREF _Toc19231 \h </w:instrText>
      </w:r>
      <w:r>
        <w:rPr>
          <w:color w:val="auto"/>
        </w:rPr>
        <w:fldChar w:fldCharType="separate"/>
      </w:r>
      <w:r>
        <w:rPr>
          <w:color w:val="auto"/>
        </w:rPr>
        <w:t>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_Toc14565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三   投标文件的编制</w:t>
      </w:r>
      <w:r>
        <w:rPr>
          <w:color w:val="auto"/>
        </w:rPr>
        <w:tab/>
      </w:r>
      <w:r>
        <w:rPr>
          <w:color w:val="auto"/>
        </w:rPr>
        <w:fldChar w:fldCharType="begin"/>
      </w:r>
      <w:r>
        <w:rPr>
          <w:color w:val="auto"/>
        </w:rPr>
        <w:instrText xml:space="preserve"> PAGEREF _Toc14565 \h </w:instrText>
      </w:r>
      <w:r>
        <w:rPr>
          <w:color w:val="auto"/>
        </w:rPr>
        <w:fldChar w:fldCharType="separate"/>
      </w:r>
      <w:r>
        <w:rPr>
          <w:color w:val="auto"/>
        </w:rPr>
        <w:t>7</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_Toc27489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四   投标文件的递交</w:t>
      </w:r>
      <w:r>
        <w:rPr>
          <w:color w:val="auto"/>
        </w:rPr>
        <w:tab/>
      </w:r>
      <w:r>
        <w:rPr>
          <w:color w:val="auto"/>
        </w:rPr>
        <w:fldChar w:fldCharType="begin"/>
      </w:r>
      <w:r>
        <w:rPr>
          <w:color w:val="auto"/>
        </w:rPr>
        <w:instrText xml:space="preserve"> PAGEREF _Toc27489 \h </w:instrText>
      </w:r>
      <w:r>
        <w:rPr>
          <w:color w:val="auto"/>
        </w:rPr>
        <w:fldChar w:fldCharType="separate"/>
      </w:r>
      <w:r>
        <w:rPr>
          <w:color w:val="auto"/>
        </w:rPr>
        <w:t>9</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_Toc7895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五   开标及评标</w:t>
      </w:r>
      <w:r>
        <w:rPr>
          <w:color w:val="auto"/>
        </w:rPr>
        <w:tab/>
      </w:r>
      <w:r>
        <w:rPr>
          <w:color w:val="auto"/>
        </w:rPr>
        <w:fldChar w:fldCharType="begin"/>
      </w:r>
      <w:r>
        <w:rPr>
          <w:color w:val="auto"/>
        </w:rPr>
        <w:instrText xml:space="preserve"> PAGEREF _Toc7895 \h </w:instrText>
      </w:r>
      <w:r>
        <w:rPr>
          <w:color w:val="auto"/>
        </w:rPr>
        <w:fldChar w:fldCharType="separate"/>
      </w:r>
      <w:r>
        <w:rPr>
          <w:color w:val="auto"/>
        </w:rPr>
        <w:t>10</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_Toc14869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六   确定中标</w:t>
      </w:r>
      <w:r>
        <w:rPr>
          <w:color w:val="auto"/>
        </w:rPr>
        <w:tab/>
      </w:r>
      <w:r>
        <w:rPr>
          <w:color w:val="auto"/>
        </w:rPr>
        <w:fldChar w:fldCharType="begin"/>
      </w:r>
      <w:r>
        <w:rPr>
          <w:color w:val="auto"/>
        </w:rPr>
        <w:instrText xml:space="preserve"> PAGEREF _Toc14869 \h </w:instrText>
      </w:r>
      <w:r>
        <w:rPr>
          <w:color w:val="auto"/>
        </w:rPr>
        <w:fldChar w:fldCharType="separate"/>
      </w:r>
      <w:r>
        <w:rPr>
          <w:color w:val="auto"/>
        </w:rPr>
        <w:t>15</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_Toc22176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0"/>
          <w:szCs w:val="32"/>
          <w:highlight w:val="none"/>
          <w:lang w:val="en-US" w:eastAsia="zh-CN" w:bidi="ar-SA"/>
        </w:rPr>
        <w:t>第2章</w:t>
      </w:r>
      <w:r>
        <w:rPr>
          <w:rFonts w:hint="eastAsia" w:hAnsi="宋体" w:cs="宋体"/>
          <w:bCs/>
          <w:color w:val="auto"/>
          <w:kern w:val="0"/>
          <w:szCs w:val="32"/>
          <w:highlight w:val="none"/>
          <w:lang w:val="en-US" w:eastAsia="zh-CN" w:bidi="ar-SA"/>
        </w:rPr>
        <w:t xml:space="preserve">  </w:t>
      </w:r>
      <w:r>
        <w:rPr>
          <w:rFonts w:hint="eastAsia" w:ascii="宋体" w:hAnsi="宋体" w:eastAsia="宋体" w:cs="宋体"/>
          <w:bCs/>
          <w:color w:val="auto"/>
          <w:kern w:val="0"/>
          <w:szCs w:val="32"/>
          <w:highlight w:val="none"/>
          <w:lang w:val="en-US" w:eastAsia="zh-CN" w:bidi="ar-SA"/>
        </w:rPr>
        <w:t>投标文件格式</w:t>
      </w:r>
      <w:r>
        <w:rPr>
          <w:color w:val="auto"/>
        </w:rPr>
        <w:tab/>
      </w:r>
      <w:r>
        <w:rPr>
          <w:color w:val="auto"/>
        </w:rPr>
        <w:fldChar w:fldCharType="begin"/>
      </w:r>
      <w:r>
        <w:rPr>
          <w:color w:val="auto"/>
        </w:rPr>
        <w:instrText xml:space="preserve"> PAGEREF _Toc22176 \h </w:instrText>
      </w:r>
      <w:r>
        <w:rPr>
          <w:color w:val="auto"/>
        </w:rPr>
        <w:fldChar w:fldCharType="separate"/>
      </w:r>
      <w:r>
        <w:rPr>
          <w:color w:val="auto"/>
        </w:rPr>
        <w:t>21</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_Toc4810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4"/>
          <w:highlight w:val="none"/>
        </w:rPr>
        <w:t>第一部分 开标一览表及资格证明文件</w:t>
      </w:r>
      <w:r>
        <w:rPr>
          <w:color w:val="auto"/>
        </w:rPr>
        <w:tab/>
      </w:r>
      <w:r>
        <w:rPr>
          <w:color w:val="auto"/>
        </w:rPr>
        <w:fldChar w:fldCharType="begin"/>
      </w:r>
      <w:r>
        <w:rPr>
          <w:color w:val="auto"/>
        </w:rPr>
        <w:instrText xml:space="preserve"> PAGEREF _Toc4810 \h </w:instrText>
      </w:r>
      <w:r>
        <w:rPr>
          <w:color w:val="auto"/>
        </w:rPr>
        <w:fldChar w:fldCharType="separate"/>
      </w:r>
      <w:r>
        <w:rPr>
          <w:color w:val="auto"/>
        </w:rPr>
        <w:t>21</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_Toc17006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rPr>
        <w:t>1.开标一览表；</w:t>
      </w:r>
      <w:r>
        <w:rPr>
          <w:color w:val="auto"/>
        </w:rPr>
        <w:tab/>
      </w:r>
      <w:r>
        <w:rPr>
          <w:color w:val="auto"/>
        </w:rPr>
        <w:fldChar w:fldCharType="begin"/>
      </w:r>
      <w:r>
        <w:rPr>
          <w:color w:val="auto"/>
        </w:rPr>
        <w:instrText xml:space="preserve"> PAGEREF _Toc17006 \h </w:instrText>
      </w:r>
      <w:r>
        <w:rPr>
          <w:color w:val="auto"/>
        </w:rPr>
        <w:fldChar w:fldCharType="separate"/>
      </w:r>
      <w:r>
        <w:rPr>
          <w:color w:val="auto"/>
        </w:rPr>
        <w:t>22</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_Toc29262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rPr>
        <w:t>2.</w:t>
      </w:r>
      <w:r>
        <w:rPr>
          <w:rFonts w:hint="eastAsia" w:ascii="宋体" w:hAnsi="宋体" w:eastAsia="宋体" w:cs="宋体"/>
          <w:color w:val="auto"/>
          <w:szCs w:val="28"/>
          <w:highlight w:val="none"/>
          <w:lang w:eastAsia="zh-CN"/>
        </w:rPr>
        <w:t>具有有效的营业执照</w:t>
      </w:r>
      <w:r>
        <w:rPr>
          <w:rFonts w:hint="eastAsia" w:ascii="宋体" w:hAnsi="宋体" w:eastAsia="宋体" w:cs="宋体"/>
          <w:color w:val="auto"/>
          <w:szCs w:val="28"/>
          <w:highlight w:val="none"/>
        </w:rPr>
        <w:t>；</w:t>
      </w:r>
      <w:r>
        <w:rPr>
          <w:color w:val="auto"/>
        </w:rPr>
        <w:tab/>
      </w:r>
      <w:r>
        <w:rPr>
          <w:color w:val="auto"/>
        </w:rPr>
        <w:fldChar w:fldCharType="begin"/>
      </w:r>
      <w:r>
        <w:rPr>
          <w:color w:val="auto"/>
        </w:rPr>
        <w:instrText xml:space="preserve"> PAGEREF _Toc29262 \h </w:instrText>
      </w:r>
      <w:r>
        <w:rPr>
          <w:color w:val="auto"/>
        </w:rPr>
        <w:fldChar w:fldCharType="separate"/>
      </w:r>
      <w:r>
        <w:rPr>
          <w:color w:val="auto"/>
        </w:rPr>
        <w:t>22</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_Toc9399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3.法定代表人资格证明及授权书、被授权人身份证(法定代表人投标需提供法定代表人身份证)；</w:t>
      </w:r>
      <w:r>
        <w:rPr>
          <w:color w:val="auto"/>
        </w:rPr>
        <w:tab/>
      </w:r>
      <w:r>
        <w:rPr>
          <w:color w:val="auto"/>
        </w:rPr>
        <w:fldChar w:fldCharType="begin"/>
      </w:r>
      <w:r>
        <w:rPr>
          <w:color w:val="auto"/>
        </w:rPr>
        <w:instrText xml:space="preserve"> PAGEREF _Toc9399 \h </w:instrText>
      </w:r>
      <w:r>
        <w:rPr>
          <w:color w:val="auto"/>
        </w:rPr>
        <w:fldChar w:fldCharType="separate"/>
      </w:r>
      <w:r>
        <w:rPr>
          <w:color w:val="auto"/>
        </w:rPr>
        <w:t>23</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_Toc3088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4.提供近两年内任意一年的财务审计报告；</w:t>
      </w:r>
      <w:r>
        <w:rPr>
          <w:color w:val="auto"/>
        </w:rPr>
        <w:tab/>
      </w:r>
      <w:r>
        <w:rPr>
          <w:color w:val="auto"/>
        </w:rPr>
        <w:fldChar w:fldCharType="begin"/>
      </w:r>
      <w:r>
        <w:rPr>
          <w:color w:val="auto"/>
        </w:rPr>
        <w:instrText xml:space="preserve"> PAGEREF _Toc3088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_Toc19512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5.依法缴纳近六个月内任意一个月社会保险证明；</w:t>
      </w:r>
      <w:r>
        <w:rPr>
          <w:color w:val="auto"/>
        </w:rPr>
        <w:tab/>
      </w:r>
      <w:r>
        <w:rPr>
          <w:color w:val="auto"/>
        </w:rPr>
        <w:fldChar w:fldCharType="begin"/>
      </w:r>
      <w:r>
        <w:rPr>
          <w:color w:val="auto"/>
        </w:rPr>
        <w:instrText xml:space="preserve"> PAGEREF _Toc19512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_Toc4946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6.依法缴纳近六个月内任意一个月税收证明；</w:t>
      </w:r>
      <w:r>
        <w:rPr>
          <w:color w:val="auto"/>
        </w:rPr>
        <w:tab/>
      </w:r>
      <w:r>
        <w:rPr>
          <w:color w:val="auto"/>
        </w:rPr>
        <w:fldChar w:fldCharType="begin"/>
      </w:r>
      <w:r>
        <w:rPr>
          <w:color w:val="auto"/>
        </w:rPr>
        <w:instrText xml:space="preserve"> PAGEREF _Toc4946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_Toc10433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w:t>
      </w:r>
      <w:r>
        <w:rPr>
          <w:rFonts w:hint="eastAsia" w:ascii="宋体" w:hAnsi="宋体" w:cs="宋体"/>
          <w:color w:val="auto"/>
          <w:szCs w:val="28"/>
          <w:highlight w:val="none"/>
          <w:lang w:val="en-US" w:eastAsia="zh-CN"/>
        </w:rPr>
        <w:t>重点领域严重失信主体名单查询-搜索栏输入单位全称</w:t>
      </w:r>
      <w:r>
        <w:rPr>
          <w:rFonts w:hint="eastAsia" w:ascii="宋体" w:hAnsi="宋体" w:eastAsia="宋体" w:cs="宋体"/>
          <w:color w:val="auto"/>
          <w:szCs w:val="28"/>
          <w:highlight w:val="none"/>
          <w:lang w:val="en-US" w:eastAsia="zh-CN"/>
        </w:rPr>
        <w:t>)、中国政府采购网（http://www.ccgp.gov.cn/search/cr/）严重违法失信行为信息记录名单的（尚在处罚期内的），“国家企业信用信息公示系统（http://www.gsxt.gov.cn）”</w:t>
      </w:r>
      <w:r>
        <w:rPr>
          <w:rFonts w:hint="eastAsia" w:ascii="宋体" w:hAnsi="宋体" w:cs="宋体"/>
          <w:color w:val="auto"/>
          <w:szCs w:val="28"/>
          <w:highlight w:val="none"/>
          <w:lang w:val="en-US" w:eastAsia="zh-CN"/>
        </w:rPr>
        <w:t>列入严重违法失信名单（黑名单）信息</w:t>
      </w:r>
      <w:r>
        <w:rPr>
          <w:rFonts w:hint="eastAsia" w:ascii="宋体" w:hAnsi="宋体" w:eastAsia="宋体" w:cs="宋体"/>
          <w:color w:val="auto"/>
          <w:szCs w:val="28"/>
          <w:highlight w:val="none"/>
          <w:lang w:val="en-US" w:eastAsia="zh-CN"/>
        </w:rPr>
        <w:t>；将拒绝其参加本次招标活动；（以采购代理机构或采购人查询为准）；</w:t>
      </w:r>
      <w:r>
        <w:rPr>
          <w:color w:val="auto"/>
        </w:rPr>
        <w:tab/>
      </w:r>
      <w:r>
        <w:rPr>
          <w:color w:val="auto"/>
        </w:rPr>
        <w:fldChar w:fldCharType="begin"/>
      </w:r>
      <w:r>
        <w:rPr>
          <w:color w:val="auto"/>
        </w:rPr>
        <w:instrText xml:space="preserve"> PAGEREF _Toc10433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_Toc25585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8.参与政府采购活动前3年内未被列入失信、重大税收违法案件、财政部门禁止参加政府采购活动的承诺书；</w:t>
      </w:r>
      <w:r>
        <w:rPr>
          <w:color w:val="auto"/>
        </w:rPr>
        <w:tab/>
      </w:r>
      <w:r>
        <w:rPr>
          <w:color w:val="auto"/>
        </w:rPr>
        <w:fldChar w:fldCharType="begin"/>
      </w:r>
      <w:r>
        <w:rPr>
          <w:color w:val="auto"/>
        </w:rPr>
        <w:instrText xml:space="preserve"> PAGEREF _Toc25585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_Toc19669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9.提供针对本次项目的《反商业贿赂承诺书》；</w:t>
      </w:r>
      <w:r>
        <w:rPr>
          <w:color w:val="auto"/>
        </w:rPr>
        <w:tab/>
      </w:r>
      <w:r>
        <w:rPr>
          <w:color w:val="auto"/>
        </w:rPr>
        <w:fldChar w:fldCharType="begin"/>
      </w:r>
      <w:r>
        <w:rPr>
          <w:color w:val="auto"/>
        </w:rPr>
        <w:instrText xml:space="preserve"> PAGEREF _Toc19669 \h </w:instrText>
      </w:r>
      <w:r>
        <w:rPr>
          <w:color w:val="auto"/>
        </w:rPr>
        <w:fldChar w:fldCharType="separate"/>
      </w:r>
      <w:r>
        <w:rPr>
          <w:color w:val="auto"/>
        </w:rPr>
        <w:t>25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_Toc23547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lang w:val="en-US" w:eastAsia="zh-CN"/>
        </w:rPr>
        <w:t xml:space="preserve">10. </w:t>
      </w:r>
      <w:r>
        <w:rPr>
          <w:rFonts w:hint="eastAsia" w:ascii="宋体" w:hAnsi="宋体" w:eastAsia="宋体" w:cs="宋体"/>
          <w:color w:val="auto"/>
          <w:szCs w:val="28"/>
          <w:highlight w:val="none"/>
          <w:lang w:val="en-US" w:eastAsia="zh-CN"/>
        </w:rPr>
        <w:t>缴纳投标保证金的有效凭证；</w:t>
      </w:r>
      <w:r>
        <w:rPr>
          <w:color w:val="auto"/>
        </w:rPr>
        <w:tab/>
      </w:r>
      <w:r>
        <w:rPr>
          <w:color w:val="auto"/>
        </w:rPr>
        <w:fldChar w:fldCharType="begin"/>
      </w:r>
      <w:r>
        <w:rPr>
          <w:color w:val="auto"/>
        </w:rPr>
        <w:instrText xml:space="preserve"> PAGEREF _Toc23547 \h </w:instrText>
      </w:r>
      <w:r>
        <w:rPr>
          <w:color w:val="auto"/>
        </w:rPr>
        <w:fldChar w:fldCharType="separate"/>
      </w:r>
      <w:r>
        <w:rPr>
          <w:color w:val="auto"/>
        </w:rPr>
        <w:t>26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_Toc17795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11.须具备城乡规划编制乙级及以上资质（含乙级）证书或土地规划乙级及以上资质（含乙级）证书。</w:t>
      </w:r>
      <w:r>
        <w:rPr>
          <w:color w:val="auto"/>
        </w:rPr>
        <w:tab/>
      </w:r>
      <w:r>
        <w:rPr>
          <w:color w:val="auto"/>
        </w:rPr>
        <w:fldChar w:fldCharType="begin"/>
      </w:r>
      <w:r>
        <w:rPr>
          <w:color w:val="auto"/>
        </w:rPr>
        <w:instrText xml:space="preserve"> PAGEREF _Toc17795 \h </w:instrText>
      </w:r>
      <w:r>
        <w:rPr>
          <w:color w:val="auto"/>
        </w:rPr>
        <w:fldChar w:fldCharType="separate"/>
      </w:r>
      <w:r>
        <w:rPr>
          <w:color w:val="auto"/>
        </w:rPr>
        <w:t>26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_Toc9905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1</w:t>
      </w:r>
      <w:r>
        <w:rPr>
          <w:rFonts w:hint="eastAsia" w:ascii="宋体" w:hAnsi="宋体" w:cs="宋体"/>
          <w:color w:val="auto"/>
          <w:szCs w:val="28"/>
          <w:highlight w:val="none"/>
          <w:lang w:val="en-US" w:eastAsia="zh-CN"/>
        </w:rPr>
        <w:t>2</w:t>
      </w:r>
      <w:r>
        <w:rPr>
          <w:rFonts w:hint="eastAsia" w:ascii="宋体" w:hAnsi="宋体" w:eastAsia="宋体" w:cs="宋体"/>
          <w:color w:val="auto"/>
          <w:szCs w:val="28"/>
          <w:highlight w:val="none"/>
          <w:lang w:val="en-US" w:eastAsia="zh-CN"/>
        </w:rPr>
        <w:t>.银行开户许可证复印件或银行基本账户信息(包含：银行账号及开户行名称）；</w:t>
      </w:r>
      <w:r>
        <w:rPr>
          <w:color w:val="auto"/>
        </w:rPr>
        <w:tab/>
      </w:r>
      <w:r>
        <w:rPr>
          <w:color w:val="auto"/>
        </w:rPr>
        <w:fldChar w:fldCharType="begin"/>
      </w:r>
      <w:r>
        <w:rPr>
          <w:color w:val="auto"/>
        </w:rPr>
        <w:instrText xml:space="preserve"> PAGEREF _Toc9905 \h </w:instrText>
      </w:r>
      <w:r>
        <w:rPr>
          <w:color w:val="auto"/>
        </w:rPr>
        <w:fldChar w:fldCharType="separate"/>
      </w:r>
      <w:r>
        <w:rPr>
          <w:color w:val="auto"/>
        </w:rPr>
        <w:t>26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_Toc16840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1</w:t>
      </w:r>
      <w:r>
        <w:rPr>
          <w:rFonts w:hint="eastAsia" w:ascii="宋体" w:hAnsi="宋体" w:cs="宋体"/>
          <w:color w:val="auto"/>
          <w:szCs w:val="28"/>
          <w:highlight w:val="none"/>
          <w:lang w:val="en-US" w:eastAsia="zh-CN"/>
        </w:rPr>
        <w:t>3</w:t>
      </w:r>
      <w:r>
        <w:rPr>
          <w:rFonts w:hint="eastAsia" w:ascii="宋体" w:hAnsi="宋体" w:eastAsia="宋体" w:cs="宋体"/>
          <w:color w:val="auto"/>
          <w:szCs w:val="28"/>
          <w:highlight w:val="none"/>
          <w:lang w:val="en-US" w:eastAsia="zh-CN"/>
        </w:rPr>
        <w:t>.供应商可提供有利于投标的其他资格证明材料。</w:t>
      </w:r>
      <w:r>
        <w:rPr>
          <w:color w:val="auto"/>
        </w:rPr>
        <w:tab/>
      </w:r>
      <w:r>
        <w:rPr>
          <w:color w:val="auto"/>
        </w:rPr>
        <w:fldChar w:fldCharType="begin"/>
      </w:r>
      <w:r>
        <w:rPr>
          <w:color w:val="auto"/>
        </w:rPr>
        <w:instrText xml:space="preserve"> PAGEREF _Toc16840 \h </w:instrText>
      </w:r>
      <w:r>
        <w:rPr>
          <w:color w:val="auto"/>
        </w:rPr>
        <w:fldChar w:fldCharType="separate"/>
      </w:r>
      <w:r>
        <w:rPr>
          <w:color w:val="auto"/>
        </w:rPr>
        <w:t>26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_Toc11473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highlight w:val="none"/>
        </w:rPr>
        <w:t>第二部分  商务及技术文件</w:t>
      </w:r>
      <w:r>
        <w:rPr>
          <w:color w:val="auto"/>
        </w:rPr>
        <w:tab/>
      </w:r>
      <w:r>
        <w:rPr>
          <w:color w:val="auto"/>
        </w:rPr>
        <w:fldChar w:fldCharType="begin"/>
      </w:r>
      <w:r>
        <w:rPr>
          <w:color w:val="auto"/>
        </w:rPr>
        <w:instrText xml:space="preserve"> PAGEREF _Toc11473 \h </w:instrText>
      </w:r>
      <w:r>
        <w:rPr>
          <w:color w:val="auto"/>
        </w:rPr>
        <w:fldChar w:fldCharType="separate"/>
      </w:r>
      <w:r>
        <w:rPr>
          <w:color w:val="auto"/>
        </w:rPr>
        <w:t>27</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_Toc3640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1.投标书</w:t>
      </w:r>
      <w:r>
        <w:rPr>
          <w:color w:val="auto"/>
        </w:rPr>
        <w:tab/>
      </w:r>
      <w:r>
        <w:rPr>
          <w:color w:val="auto"/>
        </w:rPr>
        <w:fldChar w:fldCharType="begin"/>
      </w:r>
      <w:r>
        <w:rPr>
          <w:color w:val="auto"/>
        </w:rPr>
        <w:instrText xml:space="preserve"> PAGEREF _Toc3640 \h </w:instrText>
      </w:r>
      <w:r>
        <w:rPr>
          <w:color w:val="auto"/>
        </w:rPr>
        <w:fldChar w:fldCharType="separate"/>
      </w:r>
      <w:r>
        <w:rPr>
          <w:color w:val="auto"/>
        </w:rPr>
        <w:t>28</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_Toc15405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2.投标分项报价表</w:t>
      </w:r>
      <w:r>
        <w:rPr>
          <w:color w:val="auto"/>
        </w:rPr>
        <w:tab/>
      </w:r>
      <w:r>
        <w:rPr>
          <w:color w:val="auto"/>
        </w:rPr>
        <w:fldChar w:fldCharType="begin"/>
      </w:r>
      <w:r>
        <w:rPr>
          <w:color w:val="auto"/>
        </w:rPr>
        <w:instrText xml:space="preserve"> PAGEREF _Toc15405 \h </w:instrText>
      </w:r>
      <w:r>
        <w:rPr>
          <w:color w:val="auto"/>
        </w:rPr>
        <w:fldChar w:fldCharType="separate"/>
      </w:r>
      <w:r>
        <w:rPr>
          <w:color w:val="auto"/>
        </w:rPr>
        <w:t>29</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_Toc20164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3.服务说明一览表</w:t>
      </w:r>
      <w:r>
        <w:rPr>
          <w:color w:val="auto"/>
        </w:rPr>
        <w:tab/>
      </w:r>
      <w:r>
        <w:rPr>
          <w:color w:val="auto"/>
        </w:rPr>
        <w:fldChar w:fldCharType="begin"/>
      </w:r>
      <w:r>
        <w:rPr>
          <w:color w:val="auto"/>
        </w:rPr>
        <w:instrText xml:space="preserve"> PAGEREF _Toc20164 \h </w:instrText>
      </w:r>
      <w:r>
        <w:rPr>
          <w:color w:val="auto"/>
        </w:rPr>
        <w:fldChar w:fldCharType="separate"/>
      </w:r>
      <w:r>
        <w:rPr>
          <w:color w:val="auto"/>
        </w:rPr>
        <w:t>30</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_Toc18632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kern w:val="0"/>
          <w:szCs w:val="28"/>
          <w:highlight w:val="none"/>
          <w:lang w:val="en-US" w:eastAsia="zh-CN" w:bidi="ar-SA"/>
        </w:rPr>
        <w:t>4.技术规格偏离表</w:t>
      </w:r>
      <w:r>
        <w:rPr>
          <w:color w:val="auto"/>
        </w:rPr>
        <w:tab/>
      </w:r>
      <w:r>
        <w:rPr>
          <w:color w:val="auto"/>
        </w:rPr>
        <w:fldChar w:fldCharType="begin"/>
      </w:r>
      <w:r>
        <w:rPr>
          <w:color w:val="auto"/>
        </w:rPr>
        <w:instrText xml:space="preserve"> PAGEREF _Toc18632 \h </w:instrText>
      </w:r>
      <w:r>
        <w:rPr>
          <w:color w:val="auto"/>
        </w:rPr>
        <w:fldChar w:fldCharType="separate"/>
      </w:r>
      <w:r>
        <w:rPr>
          <w:color w:val="auto"/>
        </w:rPr>
        <w:t>31</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_Toc28629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5.商务条款偏离表</w:t>
      </w:r>
      <w:r>
        <w:rPr>
          <w:color w:val="auto"/>
        </w:rPr>
        <w:tab/>
      </w:r>
      <w:r>
        <w:rPr>
          <w:color w:val="auto"/>
        </w:rPr>
        <w:fldChar w:fldCharType="begin"/>
      </w:r>
      <w:r>
        <w:rPr>
          <w:color w:val="auto"/>
        </w:rPr>
        <w:instrText xml:space="preserve"> PAGEREF _Toc28629 \h </w:instrText>
      </w:r>
      <w:r>
        <w:rPr>
          <w:color w:val="auto"/>
        </w:rPr>
        <w:fldChar w:fldCharType="separate"/>
      </w:r>
      <w:r>
        <w:rPr>
          <w:color w:val="auto"/>
        </w:rPr>
        <w:t>32</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_Toc31764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6-1中小企业声明函</w:t>
      </w:r>
      <w:r>
        <w:rPr>
          <w:color w:val="auto"/>
        </w:rPr>
        <w:tab/>
      </w:r>
      <w:r>
        <w:rPr>
          <w:color w:val="auto"/>
        </w:rPr>
        <w:fldChar w:fldCharType="begin"/>
      </w:r>
      <w:r>
        <w:rPr>
          <w:color w:val="auto"/>
        </w:rPr>
        <w:instrText xml:space="preserve"> PAGEREF _Toc31764 \h </w:instrText>
      </w:r>
      <w:r>
        <w:rPr>
          <w:color w:val="auto"/>
        </w:rPr>
        <w:fldChar w:fldCharType="separate"/>
      </w:r>
      <w:r>
        <w:rPr>
          <w:color w:val="auto"/>
        </w:rPr>
        <w:t>33</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_Toc20755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6-2 残疾人福利性单位声明函</w:t>
      </w:r>
      <w:r>
        <w:rPr>
          <w:color w:val="auto"/>
        </w:rPr>
        <w:tab/>
      </w:r>
      <w:r>
        <w:rPr>
          <w:color w:val="auto"/>
        </w:rPr>
        <w:fldChar w:fldCharType="begin"/>
      </w:r>
      <w:r>
        <w:rPr>
          <w:color w:val="auto"/>
        </w:rPr>
        <w:instrText xml:space="preserve"> PAGEREF _Toc20755 \h </w:instrText>
      </w:r>
      <w:r>
        <w:rPr>
          <w:color w:val="auto"/>
        </w:rPr>
        <w:fldChar w:fldCharType="separate"/>
      </w:r>
      <w:r>
        <w:rPr>
          <w:color w:val="auto"/>
        </w:rPr>
        <w:t>36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_Toc11025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7.供应商关联单位的说明（格式自拟）</w:t>
      </w:r>
      <w:r>
        <w:rPr>
          <w:color w:val="auto"/>
        </w:rPr>
        <w:tab/>
      </w:r>
      <w:r>
        <w:rPr>
          <w:color w:val="auto"/>
        </w:rPr>
        <w:fldChar w:fldCharType="begin"/>
      </w:r>
      <w:r>
        <w:rPr>
          <w:color w:val="auto"/>
        </w:rPr>
        <w:instrText xml:space="preserve"> PAGEREF _Toc11025 \h </w:instrText>
      </w:r>
      <w:r>
        <w:rPr>
          <w:color w:val="auto"/>
        </w:rPr>
        <w:fldChar w:fldCharType="separate"/>
      </w:r>
      <w:r>
        <w:rPr>
          <w:color w:val="auto"/>
        </w:rPr>
        <w:t>36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_Toc32657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8.供应商可提供有利于投标的其他证明材料</w:t>
      </w:r>
      <w:r>
        <w:rPr>
          <w:color w:val="auto"/>
        </w:rPr>
        <w:tab/>
      </w:r>
      <w:r>
        <w:rPr>
          <w:color w:val="auto"/>
        </w:rPr>
        <w:fldChar w:fldCharType="begin"/>
      </w:r>
      <w:r>
        <w:rPr>
          <w:color w:val="auto"/>
        </w:rPr>
        <w:instrText xml:space="preserve"> PAGEREF _Toc32657 \h </w:instrText>
      </w:r>
      <w:r>
        <w:rPr>
          <w:color w:val="auto"/>
        </w:rPr>
        <w:fldChar w:fldCharType="separate"/>
      </w:r>
      <w:r>
        <w:rPr>
          <w:color w:val="auto"/>
        </w:rPr>
        <w:t>36</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_Toc21075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szCs w:val="28"/>
          <w:highlight w:val="none"/>
          <w:lang w:val="en-US" w:eastAsia="zh-CN"/>
        </w:rPr>
        <w:t>9.投标文件格式范本</w:t>
      </w:r>
      <w:r>
        <w:rPr>
          <w:color w:val="auto"/>
        </w:rPr>
        <w:tab/>
      </w:r>
      <w:r>
        <w:rPr>
          <w:color w:val="auto"/>
        </w:rPr>
        <w:fldChar w:fldCharType="begin"/>
      </w:r>
      <w:r>
        <w:rPr>
          <w:color w:val="auto"/>
        </w:rPr>
        <w:instrText xml:space="preserve"> PAGEREF _Toc21075 \h </w:instrText>
      </w:r>
      <w:r>
        <w:rPr>
          <w:color w:val="auto"/>
        </w:rPr>
        <w:fldChar w:fldCharType="separate"/>
      </w:r>
      <w:r>
        <w:rPr>
          <w:color w:val="auto"/>
        </w:rPr>
        <w:t>37</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_Toc16953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0"/>
          <w:szCs w:val="32"/>
          <w:highlight w:val="none"/>
          <w:lang w:val="en-US" w:eastAsia="zh-CN" w:bidi="ar-SA"/>
        </w:rPr>
        <w:t>第3章</w:t>
      </w:r>
      <w:r>
        <w:rPr>
          <w:rFonts w:hint="eastAsia" w:hAnsi="宋体" w:cs="宋体"/>
          <w:bCs/>
          <w:color w:val="auto"/>
          <w:kern w:val="0"/>
          <w:szCs w:val="32"/>
          <w:highlight w:val="none"/>
          <w:lang w:val="en-US" w:eastAsia="zh-CN" w:bidi="ar-SA"/>
        </w:rPr>
        <w:t xml:space="preserve">  </w:t>
      </w:r>
      <w:r>
        <w:rPr>
          <w:rFonts w:hint="eastAsia" w:ascii="宋体" w:hAnsi="宋体" w:eastAsia="宋体" w:cs="宋体"/>
          <w:bCs/>
          <w:color w:val="auto"/>
          <w:kern w:val="0"/>
          <w:szCs w:val="32"/>
          <w:highlight w:val="none"/>
          <w:lang w:val="en-US" w:eastAsia="zh-CN" w:bidi="ar-SA"/>
        </w:rPr>
        <w:t>投标邀请</w:t>
      </w:r>
      <w:r>
        <w:rPr>
          <w:color w:val="auto"/>
        </w:rPr>
        <w:tab/>
      </w:r>
      <w:r>
        <w:rPr>
          <w:color w:val="auto"/>
        </w:rPr>
        <w:fldChar w:fldCharType="begin"/>
      </w:r>
      <w:r>
        <w:rPr>
          <w:color w:val="auto"/>
        </w:rPr>
        <w:instrText xml:space="preserve"> PAGEREF _Toc16953 \h </w:instrText>
      </w:r>
      <w:r>
        <w:rPr>
          <w:color w:val="auto"/>
        </w:rPr>
        <w:fldChar w:fldCharType="separate"/>
      </w:r>
      <w:r>
        <w:rPr>
          <w:color w:val="auto"/>
        </w:rPr>
        <w:t>39</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_Toc28470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0"/>
          <w:szCs w:val="32"/>
          <w:highlight w:val="none"/>
          <w:lang w:val="en-US" w:eastAsia="zh-CN" w:bidi="ar-SA"/>
        </w:rPr>
        <w:t>第4章</w:t>
      </w:r>
      <w:r>
        <w:rPr>
          <w:rFonts w:hint="eastAsia" w:hAnsi="宋体" w:cs="宋体"/>
          <w:bCs/>
          <w:color w:val="auto"/>
          <w:kern w:val="0"/>
          <w:szCs w:val="32"/>
          <w:highlight w:val="none"/>
          <w:lang w:val="en-US" w:eastAsia="zh-CN" w:bidi="ar-SA"/>
        </w:rPr>
        <w:t xml:space="preserve">  </w:t>
      </w:r>
      <w:r>
        <w:rPr>
          <w:rFonts w:hint="eastAsia" w:ascii="宋体" w:hAnsi="宋体" w:eastAsia="宋体" w:cs="宋体"/>
          <w:bCs/>
          <w:color w:val="auto"/>
          <w:kern w:val="0"/>
          <w:szCs w:val="32"/>
          <w:highlight w:val="none"/>
          <w:lang w:val="en-US" w:eastAsia="zh-CN" w:bidi="ar-SA"/>
        </w:rPr>
        <w:t>供应商须知资料表</w:t>
      </w:r>
      <w:r>
        <w:rPr>
          <w:color w:val="auto"/>
        </w:rPr>
        <w:tab/>
      </w:r>
      <w:r>
        <w:rPr>
          <w:color w:val="auto"/>
        </w:rPr>
        <w:fldChar w:fldCharType="begin"/>
      </w:r>
      <w:r>
        <w:rPr>
          <w:color w:val="auto"/>
        </w:rPr>
        <w:instrText xml:space="preserve"> PAGEREF _Toc28470 \h </w:instrText>
      </w:r>
      <w:r>
        <w:rPr>
          <w:color w:val="auto"/>
        </w:rPr>
        <w:fldChar w:fldCharType="separate"/>
      </w:r>
      <w:r>
        <w:rPr>
          <w:color w:val="auto"/>
        </w:rPr>
        <w:t>43</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_Toc4773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44"/>
          <w:szCs w:val="28"/>
          <w:highlight w:val="none"/>
          <w:lang w:val="en-US" w:eastAsia="zh-CN"/>
        </w:rPr>
        <w:t xml:space="preserve">第5章 </w:t>
      </w:r>
      <w:r>
        <w:rPr>
          <w:rFonts w:hint="eastAsia" w:hAnsi="宋体" w:cs="宋体"/>
          <w:bCs/>
          <w:color w:val="auto"/>
          <w:kern w:val="44"/>
          <w:szCs w:val="28"/>
          <w:highlight w:val="none"/>
          <w:lang w:val="en-US" w:eastAsia="zh-CN"/>
        </w:rPr>
        <w:t>采购需求</w:t>
      </w:r>
      <w:r>
        <w:rPr>
          <w:rFonts w:hint="eastAsia" w:ascii="宋体" w:hAnsi="宋体" w:eastAsia="宋体" w:cs="宋体"/>
          <w:bCs/>
          <w:color w:val="auto"/>
          <w:kern w:val="44"/>
          <w:szCs w:val="28"/>
          <w:highlight w:val="none"/>
          <w:lang w:val="en-US" w:eastAsia="zh-CN"/>
        </w:rPr>
        <w:t>及项目要求</w:t>
      </w:r>
      <w:r>
        <w:rPr>
          <w:color w:val="auto"/>
        </w:rPr>
        <w:tab/>
      </w:r>
      <w:r>
        <w:rPr>
          <w:color w:val="auto"/>
        </w:rPr>
        <w:fldChar w:fldCharType="begin"/>
      </w:r>
      <w:r>
        <w:rPr>
          <w:color w:val="auto"/>
        </w:rPr>
        <w:instrText xml:space="preserve"> PAGEREF _Toc4773 \h </w:instrText>
      </w:r>
      <w:r>
        <w:rPr>
          <w:color w:val="auto"/>
        </w:rPr>
        <w:fldChar w:fldCharType="separate"/>
      </w:r>
      <w:r>
        <w:rPr>
          <w:color w:val="auto"/>
        </w:rPr>
        <w:t>47</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_Toc32614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0"/>
          <w:szCs w:val="32"/>
          <w:highlight w:val="none"/>
          <w:lang w:val="en-US" w:eastAsia="zh-CN" w:bidi="ar-SA"/>
        </w:rPr>
        <w:t>第6章  评标方法和标准</w:t>
      </w:r>
      <w:r>
        <w:rPr>
          <w:color w:val="auto"/>
        </w:rPr>
        <w:tab/>
      </w:r>
      <w:r>
        <w:rPr>
          <w:color w:val="auto"/>
        </w:rPr>
        <w:fldChar w:fldCharType="begin"/>
      </w:r>
      <w:r>
        <w:rPr>
          <w:color w:val="auto"/>
        </w:rPr>
        <w:instrText xml:space="preserve"> PAGEREF _Toc32614 \h </w:instrText>
      </w:r>
      <w:r>
        <w:rPr>
          <w:color w:val="auto"/>
        </w:rPr>
        <w:fldChar w:fldCharType="separate"/>
      </w:r>
      <w:r>
        <w:rPr>
          <w:color w:val="auto"/>
        </w:rPr>
        <w:t>49</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_Toc848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highlight w:val="none"/>
        </w:rPr>
        <w:t>初步评审—资格性审查表</w:t>
      </w:r>
      <w:r>
        <w:rPr>
          <w:color w:val="auto"/>
        </w:rPr>
        <w:tab/>
      </w:r>
      <w:r>
        <w:rPr>
          <w:color w:val="auto"/>
        </w:rPr>
        <w:fldChar w:fldCharType="begin"/>
      </w:r>
      <w:r>
        <w:rPr>
          <w:color w:val="auto"/>
        </w:rPr>
        <w:instrText xml:space="preserve"> PAGEREF _Toc848 \h </w:instrText>
      </w:r>
      <w:r>
        <w:rPr>
          <w:color w:val="auto"/>
        </w:rPr>
        <w:fldChar w:fldCharType="separate"/>
      </w:r>
      <w:r>
        <w:rPr>
          <w:color w:val="auto"/>
        </w:rPr>
        <w:t>54</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_Toc861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highlight w:val="none"/>
        </w:rPr>
        <w:t>初步评审—符合性审查表</w:t>
      </w:r>
      <w:r>
        <w:rPr>
          <w:color w:val="auto"/>
        </w:rPr>
        <w:tab/>
      </w:r>
      <w:r>
        <w:rPr>
          <w:color w:val="auto"/>
        </w:rPr>
        <w:fldChar w:fldCharType="begin"/>
      </w:r>
      <w:r>
        <w:rPr>
          <w:color w:val="auto"/>
        </w:rPr>
        <w:instrText xml:space="preserve"> PAGEREF _Toc861 \h </w:instrText>
      </w:r>
      <w:r>
        <w:rPr>
          <w:color w:val="auto"/>
        </w:rPr>
        <w:fldChar w:fldCharType="separate"/>
      </w:r>
      <w:r>
        <w:rPr>
          <w:color w:val="auto"/>
        </w:rPr>
        <w:t>55</w:t>
      </w:r>
      <w:r>
        <w:rPr>
          <w:color w:val="auto"/>
        </w:rPr>
        <w:fldChar w:fldCharType="end"/>
      </w:r>
      <w:r>
        <w:rPr>
          <w:rFonts w:hint="eastAsia" w:ascii="宋体" w:hAnsi="宋体" w:eastAsia="宋体" w:cs="宋体"/>
          <w:color w:val="auto"/>
          <w:kern w:val="2"/>
          <w:szCs w:val="24"/>
          <w:highlight w:val="none"/>
        </w:rPr>
        <w:fldChar w:fldCharType="end"/>
      </w:r>
    </w:p>
    <w:p>
      <w:pPr>
        <w:pStyle w:val="20"/>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_Toc32014 </w:instrText>
      </w:r>
      <w:r>
        <w:rPr>
          <w:rFonts w:hint="eastAsia" w:ascii="宋体" w:hAnsi="宋体" w:eastAsia="宋体" w:cs="宋体"/>
          <w:color w:val="auto"/>
          <w:kern w:val="2"/>
          <w:szCs w:val="24"/>
          <w:highlight w:val="none"/>
        </w:rPr>
        <w:fldChar w:fldCharType="separate"/>
      </w:r>
      <w:r>
        <w:rPr>
          <w:rFonts w:hint="eastAsia" w:ascii="宋体" w:hAnsi="宋体" w:eastAsia="宋体" w:cs="宋体"/>
          <w:color w:val="auto"/>
          <w:highlight w:val="none"/>
        </w:rPr>
        <w:t>综合评分表</w:t>
      </w:r>
      <w:r>
        <w:rPr>
          <w:rFonts w:hint="eastAsia" w:ascii="宋体" w:hAnsi="宋体" w:eastAsia="宋体" w:cs="宋体"/>
          <w:color w:val="auto"/>
          <w:highlight w:val="none"/>
          <w:lang w:eastAsia="zh-CN"/>
        </w:rPr>
        <w:t>（第一包、第二包、第三包）</w:t>
      </w:r>
      <w:r>
        <w:rPr>
          <w:color w:val="auto"/>
        </w:rPr>
        <w:tab/>
      </w:r>
      <w:r>
        <w:rPr>
          <w:color w:val="auto"/>
        </w:rPr>
        <w:fldChar w:fldCharType="begin"/>
      </w:r>
      <w:r>
        <w:rPr>
          <w:color w:val="auto"/>
        </w:rPr>
        <w:instrText xml:space="preserve"> PAGEREF _Toc32014 \h </w:instrText>
      </w:r>
      <w:r>
        <w:rPr>
          <w:color w:val="auto"/>
        </w:rPr>
        <w:fldChar w:fldCharType="separate"/>
      </w:r>
      <w:r>
        <w:rPr>
          <w:color w:val="auto"/>
        </w:rPr>
        <w:t>56</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r>
        <w:rPr>
          <w:rFonts w:hint="eastAsia" w:ascii="宋体" w:hAnsi="宋体" w:eastAsia="宋体" w:cs="宋体"/>
          <w:color w:val="auto"/>
          <w:kern w:val="2"/>
          <w:szCs w:val="24"/>
          <w:highlight w:val="none"/>
        </w:rPr>
        <w:fldChar w:fldCharType="begin"/>
      </w:r>
      <w:r>
        <w:rPr>
          <w:rFonts w:hint="eastAsia" w:ascii="宋体" w:hAnsi="宋体" w:eastAsia="宋体" w:cs="宋体"/>
          <w:color w:val="auto"/>
          <w:kern w:val="2"/>
          <w:szCs w:val="24"/>
          <w:highlight w:val="none"/>
        </w:rPr>
        <w:instrText xml:space="preserve"> HYPERLINK \l _Toc18207 </w:instrText>
      </w:r>
      <w:r>
        <w:rPr>
          <w:rFonts w:hint="eastAsia" w:ascii="宋体" w:hAnsi="宋体" w:eastAsia="宋体" w:cs="宋体"/>
          <w:color w:val="auto"/>
          <w:kern w:val="2"/>
          <w:szCs w:val="24"/>
          <w:highlight w:val="none"/>
        </w:rPr>
        <w:fldChar w:fldCharType="separate"/>
      </w:r>
      <w:r>
        <w:rPr>
          <w:rFonts w:hint="eastAsia" w:ascii="宋体" w:hAnsi="宋体" w:eastAsia="宋体" w:cs="宋体"/>
          <w:bCs/>
          <w:color w:val="auto"/>
          <w:kern w:val="0"/>
          <w:szCs w:val="32"/>
          <w:highlight w:val="none"/>
          <w:lang w:val="en-US" w:eastAsia="zh-CN" w:bidi="ar-SA"/>
        </w:rPr>
        <w:t>第7章  政府采购合同</w:t>
      </w:r>
      <w:r>
        <w:rPr>
          <w:color w:val="auto"/>
        </w:rPr>
        <w:tab/>
      </w:r>
      <w:r>
        <w:rPr>
          <w:color w:val="auto"/>
        </w:rPr>
        <w:fldChar w:fldCharType="begin"/>
      </w:r>
      <w:r>
        <w:rPr>
          <w:color w:val="auto"/>
        </w:rPr>
        <w:instrText xml:space="preserve"> PAGEREF _Toc18207 \h </w:instrText>
      </w:r>
      <w:r>
        <w:rPr>
          <w:color w:val="auto"/>
        </w:rPr>
        <w:fldChar w:fldCharType="separate"/>
      </w:r>
      <w:r>
        <w:rPr>
          <w:color w:val="auto"/>
        </w:rPr>
        <w:t>59</w:t>
      </w:r>
      <w:r>
        <w:rPr>
          <w:color w:val="auto"/>
        </w:rPr>
        <w:fldChar w:fldCharType="end"/>
      </w:r>
      <w:r>
        <w:rPr>
          <w:rFonts w:hint="eastAsia" w:ascii="宋体" w:hAnsi="宋体" w:eastAsia="宋体" w:cs="宋体"/>
          <w:color w:val="auto"/>
          <w:kern w:val="2"/>
          <w:szCs w:val="24"/>
          <w:highlight w:val="none"/>
        </w:rPr>
        <w:fldChar w:fldCharType="end"/>
      </w:r>
    </w:p>
    <w:p>
      <w:pPr>
        <w:pStyle w:val="18"/>
        <w:tabs>
          <w:tab w:val="right" w:leader="dot" w:pos="8279"/>
        </w:tabs>
        <w:spacing w:line="360" w:lineRule="auto"/>
        <w:rPr>
          <w:color w:val="auto"/>
        </w:rPr>
      </w:pPr>
    </w:p>
    <w:p>
      <w:pPr>
        <w:pStyle w:val="3"/>
        <w:keepNext w:val="0"/>
        <w:keepLines w:val="0"/>
        <w:pageBreakBefore w:val="0"/>
        <w:widowControl w:val="0"/>
        <w:kinsoku/>
        <w:wordWrap/>
        <w:overflowPunct/>
        <w:topLinePunct w:val="0"/>
        <w:bidi w:val="0"/>
        <w:snapToGrid/>
        <w:spacing w:line="360" w:lineRule="auto"/>
        <w:ind w:firstLine="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kern w:val="2"/>
          <w:szCs w:val="24"/>
          <w:highlight w:val="none"/>
        </w:rPr>
        <w:fldChar w:fldCharType="end"/>
      </w:r>
      <w:bookmarkStart w:id="21" w:name="_Toc8627"/>
      <w:bookmarkStart w:id="22" w:name="_Toc17230"/>
      <w:bookmarkStart w:id="23" w:name="_Toc216582804"/>
      <w:bookmarkStart w:id="24" w:name="_Toc22782"/>
      <w:bookmarkStart w:id="25" w:name="_Toc11115"/>
      <w:bookmarkStart w:id="26" w:name="_Toc1148"/>
      <w:bookmarkStart w:id="27" w:name="_Toc25253"/>
      <w:bookmarkStart w:id="28" w:name="_Toc16548"/>
      <w:bookmarkStart w:id="29" w:name="_Toc515647798"/>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rPr>
          <w:rFonts w:hint="eastAsia" w:ascii="宋体" w:hAnsi="宋体" w:eastAsia="宋体" w:cs="宋体"/>
          <w:color w:val="auto"/>
          <w:sz w:val="32"/>
          <w:szCs w:val="32"/>
          <w:highlight w:val="none"/>
        </w:rPr>
      </w:pPr>
    </w:p>
    <w:p>
      <w:pPr>
        <w:spacing w:line="240" w:lineRule="atLeast"/>
        <w:jc w:val="center"/>
        <w:outlineLvl w:val="9"/>
        <w:rPr>
          <w:rFonts w:hint="eastAsia" w:ascii="宋体" w:hAnsi="宋体" w:eastAsia="宋体" w:cs="宋体"/>
          <w:b/>
          <w:color w:val="auto"/>
          <w:sz w:val="44"/>
          <w:szCs w:val="44"/>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b/>
          <w:color w:val="auto"/>
          <w:sz w:val="44"/>
          <w:szCs w:val="44"/>
          <w:highlight w:val="none"/>
        </w:rPr>
        <w:t>招 标 文 件</w:t>
      </w:r>
    </w:p>
    <w:p>
      <w:pPr>
        <w:spacing w:line="360" w:lineRule="auto"/>
        <w:outlineLvl w:val="9"/>
        <w:rPr>
          <w:rFonts w:hint="eastAsia" w:ascii="宋体" w:hAnsi="宋体" w:eastAsia="宋体" w:cs="宋体"/>
          <w:b/>
          <w:color w:val="auto"/>
          <w:sz w:val="40"/>
          <w:szCs w:val="40"/>
          <w:highlight w:val="none"/>
        </w:rPr>
      </w:pPr>
    </w:p>
    <w:p>
      <w:pPr>
        <w:spacing w:line="360" w:lineRule="auto"/>
        <w:jc w:val="center"/>
        <w:outlineLvl w:val="9"/>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r>
        <w:rPr>
          <w:rFonts w:hint="eastAsia" w:ascii="宋体" w:hAnsi="宋体" w:cs="宋体"/>
          <w:b/>
          <w:color w:val="auto"/>
          <w:sz w:val="40"/>
          <w:szCs w:val="40"/>
          <w:highlight w:val="none"/>
          <w:lang w:eastAsia="zh-CN"/>
        </w:rPr>
        <w:t>ZPDL（2023）09</w:t>
      </w:r>
    </w:p>
    <w:p>
      <w:pPr>
        <w:spacing w:line="240" w:lineRule="atLeast"/>
        <w:jc w:val="center"/>
        <w:outlineLvl w:val="9"/>
        <w:rPr>
          <w:rFonts w:hint="eastAsia" w:ascii="宋体" w:hAnsi="宋体" w:eastAsia="宋体" w:cs="宋体"/>
          <w:b/>
          <w:color w:val="auto"/>
          <w:sz w:val="32"/>
          <w:highlight w:val="none"/>
        </w:rPr>
      </w:pPr>
    </w:p>
    <w:p>
      <w:pPr>
        <w:spacing w:line="240" w:lineRule="atLeast"/>
        <w:jc w:val="center"/>
        <w:outlineLvl w:val="9"/>
        <w:rPr>
          <w:rFonts w:hint="eastAsia" w:ascii="宋体" w:hAnsi="宋体" w:eastAsia="宋体" w:cs="宋体"/>
          <w:b/>
          <w:color w:val="auto"/>
          <w:sz w:val="32"/>
          <w:highlight w:val="none"/>
        </w:rPr>
      </w:pPr>
    </w:p>
    <w:p>
      <w:pPr>
        <w:pStyle w:val="3"/>
        <w:ind w:firstLine="0"/>
        <w:jc w:val="cente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 xml:space="preserve">第 </w:t>
      </w:r>
      <w:r>
        <w:rPr>
          <w:rFonts w:hint="eastAsia" w:hAnsi="宋体" w:cs="宋体"/>
          <w:b/>
          <w:color w:val="auto"/>
          <w:sz w:val="44"/>
          <w:szCs w:val="36"/>
          <w:highlight w:val="none"/>
          <w:lang w:val="en-US" w:eastAsia="zh-CN"/>
        </w:rPr>
        <w:t>一</w:t>
      </w:r>
      <w:r>
        <w:rPr>
          <w:rFonts w:hint="eastAsia" w:ascii="宋体" w:hAnsi="宋体" w:eastAsia="宋体" w:cs="宋体"/>
          <w:b/>
          <w:color w:val="auto"/>
          <w:sz w:val="44"/>
          <w:szCs w:val="36"/>
          <w:highlight w:val="none"/>
        </w:rPr>
        <w:t xml:space="preserve"> 册</w:t>
      </w:r>
    </w:p>
    <w:p>
      <w:pPr>
        <w:outlineLvl w:val="9"/>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br w:type="page"/>
      </w:r>
    </w:p>
    <w:p>
      <w:pPr>
        <w:pStyle w:val="3"/>
        <w:ind w:firstLine="0"/>
        <w:jc w:val="center"/>
        <w:outlineLvl w:val="0"/>
        <w:rPr>
          <w:rFonts w:hint="eastAsia" w:ascii="宋体" w:hAnsi="宋体" w:eastAsia="宋体" w:cs="宋体"/>
          <w:color w:val="auto"/>
          <w:sz w:val="32"/>
          <w:szCs w:val="32"/>
          <w:highlight w:val="none"/>
        </w:rPr>
      </w:pPr>
      <w:bookmarkStart w:id="30" w:name="_Toc16221"/>
      <w:r>
        <w:rPr>
          <w:rFonts w:hint="eastAsia" w:ascii="宋体" w:hAnsi="宋体" w:eastAsia="宋体" w:cs="宋体"/>
          <w:b/>
          <w:bCs/>
          <w:color w:val="auto"/>
          <w:sz w:val="32"/>
          <w:szCs w:val="32"/>
          <w:highlight w:val="none"/>
        </w:rPr>
        <w:t>第1章</w:t>
      </w:r>
      <w:bookmarkStart w:id="31" w:name="_Toc515647756"/>
      <w:r>
        <w:rPr>
          <w:rFonts w:hint="eastAsia"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21"/>
      <w:bookmarkEnd w:id="22"/>
      <w:bookmarkEnd w:id="23"/>
      <w:bookmarkEnd w:id="24"/>
      <w:bookmarkEnd w:id="30"/>
      <w:bookmarkEnd w:id="31"/>
    </w:p>
    <w:p>
      <w:pPr>
        <w:pStyle w:val="6"/>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32" w:name="_Toc520356143"/>
      <w:bookmarkStart w:id="33" w:name="_Toc515647757"/>
      <w:bookmarkStart w:id="34" w:name="_Toc216582805"/>
      <w:bookmarkStart w:id="35" w:name="_Toc11227"/>
      <w:bookmarkStart w:id="36" w:name="_Toc21215"/>
      <w:bookmarkStart w:id="37" w:name="_Toc21015"/>
      <w:bookmarkStart w:id="38" w:name="_Toc20869"/>
      <w:r>
        <w:rPr>
          <w:rFonts w:hint="eastAsia" w:ascii="宋体" w:hAnsi="宋体" w:eastAsia="宋体" w:cs="宋体"/>
          <w:color w:val="auto"/>
          <w:sz w:val="24"/>
          <w:szCs w:val="24"/>
          <w:highlight w:val="none"/>
        </w:rPr>
        <w:t xml:space="preserve">一   </w:t>
      </w:r>
      <w:bookmarkEnd w:id="32"/>
      <w:bookmarkEnd w:id="33"/>
      <w:bookmarkEnd w:id="34"/>
      <w:r>
        <w:rPr>
          <w:rFonts w:hint="eastAsia" w:ascii="宋体" w:hAnsi="宋体" w:eastAsia="宋体" w:cs="宋体"/>
          <w:color w:val="auto"/>
          <w:sz w:val="24"/>
          <w:szCs w:val="24"/>
          <w:highlight w:val="none"/>
        </w:rPr>
        <w:t>总 则</w:t>
      </w:r>
      <w:bookmarkEnd w:id="35"/>
      <w:bookmarkEnd w:id="36"/>
      <w:bookmarkEnd w:id="37"/>
      <w:bookmarkEnd w:id="38"/>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9" w:name="_Toc12861"/>
      <w:bookmarkStart w:id="40" w:name="_Toc520356144"/>
      <w:bookmarkStart w:id="41" w:name="_Toc515647758"/>
      <w:bookmarkStart w:id="42" w:name="_Toc31685"/>
      <w:bookmarkStart w:id="43" w:name="_Toc333"/>
      <w:bookmarkStart w:id="44" w:name="_Toc11808"/>
      <w:bookmarkStart w:id="45" w:name="_Toc32623"/>
      <w:bookmarkStart w:id="46" w:name="_Toc23985"/>
      <w:bookmarkStart w:id="47" w:name="_Toc32189"/>
      <w:bookmarkStart w:id="48" w:name="_Toc4880"/>
      <w:bookmarkStart w:id="49" w:name="_Toc28967"/>
      <w:bookmarkStart w:id="50" w:name="_Toc29554"/>
      <w:bookmarkStart w:id="51" w:name="_Toc32742"/>
      <w:bookmarkStart w:id="52" w:name="_Toc30123"/>
      <w:bookmarkStart w:id="53" w:name="_Toc12038"/>
      <w:bookmarkStart w:id="54" w:name="_Toc29071"/>
      <w:bookmarkStart w:id="55" w:name="_Toc18221"/>
      <w:bookmarkStart w:id="56" w:name="_Toc8320"/>
      <w:bookmarkStart w:id="57" w:name="_Toc25783"/>
      <w:bookmarkStart w:id="58" w:name="_Toc32450"/>
      <w:bookmarkStart w:id="59" w:name="_Toc21273"/>
      <w:bookmarkStart w:id="60" w:name="_Toc32697"/>
      <w:bookmarkStart w:id="61" w:name="_Toc9452"/>
      <w:bookmarkStart w:id="62" w:name="_Toc5164"/>
      <w:bookmarkStart w:id="63" w:name="_Toc16228"/>
      <w:bookmarkStart w:id="64" w:name="_Toc2442"/>
      <w:bookmarkStart w:id="65" w:name="_Toc18135"/>
      <w:bookmarkStart w:id="66" w:name="_Toc29164"/>
      <w:bookmarkStart w:id="67" w:name="_Toc15043"/>
      <w:r>
        <w:rPr>
          <w:rFonts w:hint="eastAsia" w:ascii="宋体" w:hAnsi="宋体" w:eastAsia="宋体" w:cs="宋体"/>
          <w:b/>
          <w:bCs/>
          <w:color w:val="auto"/>
          <w:sz w:val="24"/>
          <w:szCs w:val="24"/>
          <w:highlight w:val="none"/>
          <w:u w:val="none"/>
        </w:rPr>
        <w:t>采购人、采购代理机构及</w:t>
      </w:r>
      <w:bookmarkEnd w:id="39"/>
      <w:bookmarkEnd w:id="40"/>
      <w:bookmarkEnd w:id="41"/>
      <w:bookmarkEnd w:id="42"/>
      <w:bookmarkEnd w:id="43"/>
      <w:bookmarkEnd w:id="44"/>
      <w:bookmarkEnd w:id="45"/>
      <w:bookmarkEnd w:id="46"/>
      <w:bookmarkEnd w:id="47"/>
      <w:bookmarkEnd w:id="48"/>
      <w:bookmarkEnd w:id="49"/>
      <w:bookmarkEnd w:id="50"/>
      <w:r>
        <w:rPr>
          <w:rFonts w:hint="eastAsia" w:ascii="宋体" w:hAnsi="宋体" w:eastAsia="宋体" w:cs="宋体"/>
          <w:b/>
          <w:bCs/>
          <w:color w:val="auto"/>
          <w:sz w:val="24"/>
          <w:szCs w:val="24"/>
          <w:highlight w:val="none"/>
          <w:u w:val="none"/>
          <w:lang w:eastAsia="zh-CN"/>
        </w:rPr>
        <w:t>供应商</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ageBreakBefore w:val="0"/>
        <w:widowControl w:val="0"/>
        <w:numPr>
          <w:ilvl w:val="0"/>
          <w:numId w:val="0"/>
        </w:numPr>
        <w:tabs>
          <w:tab w:val="left" w:pos="0"/>
        </w:tabs>
        <w:kinsoku/>
        <w:wordWrap/>
        <w:overflowPunct/>
        <w:topLinePunct w:val="0"/>
        <w:bidi w:val="0"/>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采购人：是指依法开展政府采购活动的国家机关、事业单位、团体组织。</w:t>
      </w:r>
    </w:p>
    <w:p>
      <w:pPr>
        <w:pageBreakBefore w:val="0"/>
        <w:widowControl w:val="0"/>
        <w:tabs>
          <w:tab w:val="left" w:pos="0"/>
        </w:tabs>
        <w:kinsoku/>
        <w:wordWrap/>
        <w:overflowPunct/>
        <w:topLinePunct w:val="0"/>
        <w:bidi w:val="0"/>
        <w:spacing w:line="360" w:lineRule="exact"/>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本项目的采购人见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tabs>
          <w:tab w:val="left" w:pos="0"/>
        </w:tabs>
        <w:kinsoku/>
        <w:wordWrap/>
        <w:overflowPunct/>
        <w:topLinePunct w:val="0"/>
        <w:bidi w:val="0"/>
        <w:spacing w:line="360" w:lineRule="exact"/>
        <w:ind w:left="72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采购代理机构：是指在集中采购机构或从事采购代理业务的社会中介机构。本项目的采购代理机构见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numPr>
          <w:ilvl w:val="0"/>
          <w:numId w:val="0"/>
        </w:numPr>
        <w:kinsoku/>
        <w:wordWrap/>
        <w:overflowPunct/>
        <w:topLinePunct w:val="0"/>
        <w:bidi w:val="0"/>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：是指向采购人提供货物、工程或者服务的法人、非法人组织或者自然人。本项目的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及其投标货物须满足以下条件：</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在中华人民共和国境内注册，能够独立承担民事责任，有生产或供应能力的本国供应商。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具备《中华人民共和国政府采购法》第二十二条关于供应商条件的规定，遵守本项目采购人本级和上级财政部门政府采购的有关规定。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   以采购代理机构认可的方式获得了本项目的招标文件。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   符合</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中规定的其他要求。</w:t>
      </w:r>
    </w:p>
    <w:p>
      <w:pPr>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   若</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中写明专门面向中小企业采购的，如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为非中小企业且所投产品为非中小企业产品，其投标将被认定为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如</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中允许联合体投标，对联合体规定如下：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两个以上供应商可以组成一个投标联合体，以一个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的身份投标。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   联合体各方均应符合《中华人民共和国政府采购法》第二十二条规定的条件。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   采购人根据采购项目对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的特殊要求，联合体中至少应当有一方符合相关规定。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   联合体各方应签订共同投标协议，明确约定联合体各方承担的工作和相应的责任，并将共同投标协议连同作为投标文件第一部分的内容提交。</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1.4.6  联合体中有同类资质的供应商按照联合体分工承担相同工作的，按照较低的资质等级确定联合体的资质等级。</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   对联合体投标的其他资格要求见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单位负责人为同一人或者存在直接控股、管理关系的不同供应商，其相关投标将被认定为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1.6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在投标过程中不得向采购人提供、给予任何有价值的物品，影响其正常决策行为。一经发现，其将被认定为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8" w:name="_Toc28008"/>
      <w:bookmarkStart w:id="69" w:name="_Toc13065"/>
      <w:bookmarkStart w:id="70" w:name="_Toc1760"/>
      <w:bookmarkStart w:id="71" w:name="_Toc4311"/>
      <w:bookmarkStart w:id="72" w:name="_Toc15091"/>
      <w:bookmarkStart w:id="73" w:name="_Toc10699"/>
      <w:bookmarkStart w:id="74" w:name="_Toc21286"/>
      <w:bookmarkStart w:id="75" w:name="_Toc13272"/>
      <w:bookmarkStart w:id="76" w:name="_Toc1403"/>
      <w:bookmarkStart w:id="77" w:name="_Toc4816"/>
      <w:bookmarkStart w:id="78" w:name="_Toc19043"/>
      <w:bookmarkStart w:id="79" w:name="_Toc19970"/>
      <w:bookmarkStart w:id="80" w:name="_Toc27814"/>
      <w:bookmarkStart w:id="81" w:name="_Toc16369"/>
      <w:bookmarkStart w:id="82" w:name="_Toc16726"/>
      <w:bookmarkStart w:id="83" w:name="_Toc5286"/>
      <w:bookmarkStart w:id="84" w:name="_Toc10189"/>
      <w:bookmarkStart w:id="85" w:name="_Toc11068"/>
      <w:bookmarkStart w:id="86" w:name="_Toc1973"/>
      <w:bookmarkStart w:id="87" w:name="_Toc7800"/>
      <w:bookmarkStart w:id="88" w:name="_Toc12139"/>
      <w:bookmarkStart w:id="89" w:name="_Toc18986"/>
      <w:bookmarkStart w:id="90" w:name="_Toc28511"/>
      <w:bookmarkStart w:id="91" w:name="_Toc6840"/>
      <w:bookmarkStart w:id="92" w:name="_Toc4016"/>
      <w:bookmarkStart w:id="93" w:name="_Toc30940"/>
      <w:bookmarkStart w:id="94" w:name="_Toc23446"/>
      <w:bookmarkStart w:id="95" w:name="_Toc515647759"/>
      <w:r>
        <w:rPr>
          <w:rFonts w:hint="eastAsia" w:ascii="宋体" w:hAnsi="宋体" w:eastAsia="宋体" w:cs="宋体"/>
          <w:b/>
          <w:bCs/>
          <w:color w:val="auto"/>
          <w:sz w:val="24"/>
          <w:szCs w:val="24"/>
          <w:highlight w:val="none"/>
          <w:u w:val="none"/>
        </w:rPr>
        <w:t>资金来源</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本项目的采购人已获得足以支付本次招标后所签订的合同项下的资金（包括财政性资金和本项目采购中无法与财政性资金分割的非财政性资金）。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项目预算金额和分项或分包最高限价</w:t>
      </w:r>
      <w:r>
        <w:rPr>
          <w:rFonts w:hint="eastAsia" w:ascii="宋体" w:hAnsi="宋体" w:eastAsia="宋体" w:cs="宋体"/>
          <w:color w:val="auto"/>
          <w:sz w:val="24"/>
          <w:szCs w:val="24"/>
          <w:highlight w:val="none"/>
          <w:u w:val="single"/>
        </w:rPr>
        <w:t>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报价超过招标文件规定的预算金额或者分项、分包最高限价的，其投标将被认定为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96" w:name="_Toc9502"/>
      <w:bookmarkStart w:id="97" w:name="_Toc29481"/>
      <w:bookmarkStart w:id="98" w:name="_Toc29504"/>
      <w:bookmarkStart w:id="99" w:name="_Toc27044"/>
      <w:bookmarkStart w:id="100" w:name="_Toc144"/>
      <w:bookmarkStart w:id="101" w:name="_Toc29041"/>
      <w:bookmarkStart w:id="102" w:name="_Toc15518"/>
      <w:bookmarkStart w:id="103" w:name="_Toc14612"/>
      <w:bookmarkStart w:id="104" w:name="_Toc6415"/>
      <w:bookmarkStart w:id="105" w:name="_Toc10963"/>
      <w:bookmarkStart w:id="106" w:name="_Toc515647760"/>
      <w:bookmarkStart w:id="107" w:name="_Toc6389"/>
      <w:bookmarkStart w:id="108" w:name="_Toc1383"/>
      <w:bookmarkStart w:id="109" w:name="_Toc20044"/>
      <w:bookmarkStart w:id="110" w:name="_Toc903"/>
      <w:bookmarkStart w:id="111" w:name="_Toc27479"/>
      <w:bookmarkStart w:id="112" w:name="_Toc12188"/>
      <w:bookmarkStart w:id="113" w:name="_Toc20526"/>
      <w:bookmarkStart w:id="114" w:name="_Toc22731"/>
      <w:bookmarkStart w:id="115" w:name="_Toc30708"/>
      <w:bookmarkStart w:id="116" w:name="_Toc3603"/>
      <w:bookmarkStart w:id="117" w:name="_Toc5207"/>
      <w:bookmarkStart w:id="118" w:name="_Toc5757"/>
      <w:bookmarkStart w:id="119" w:name="_Toc20799"/>
      <w:bookmarkStart w:id="120" w:name="_Toc30650"/>
      <w:bookmarkStart w:id="121" w:name="_Toc22839"/>
      <w:bookmarkStart w:id="122" w:name="_Toc15936"/>
      <w:bookmarkStart w:id="123" w:name="_Toc26559"/>
      <w:bookmarkStart w:id="124" w:name="_Toc520356145"/>
      <w:r>
        <w:rPr>
          <w:rFonts w:hint="eastAsia" w:ascii="宋体" w:hAnsi="宋体" w:eastAsia="宋体" w:cs="宋体"/>
          <w:b/>
          <w:bCs/>
          <w:color w:val="auto"/>
          <w:sz w:val="24"/>
          <w:szCs w:val="24"/>
          <w:highlight w:val="none"/>
          <w:u w:val="none"/>
        </w:rPr>
        <w:t>投标费用</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不论投标的结果如何，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应承担所有与准备和参加投标有关的费用。</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25" w:name="_Toc26349"/>
      <w:bookmarkStart w:id="126" w:name="_Toc27687"/>
      <w:bookmarkStart w:id="127" w:name="_Toc11355"/>
      <w:bookmarkStart w:id="128" w:name="_Toc5853"/>
      <w:bookmarkStart w:id="129" w:name="_Toc515647761"/>
      <w:bookmarkStart w:id="130" w:name="_Toc7511"/>
      <w:bookmarkStart w:id="131" w:name="_Toc12920"/>
      <w:bookmarkStart w:id="132" w:name="_Toc1198"/>
      <w:bookmarkStart w:id="133" w:name="_Toc25242"/>
      <w:bookmarkStart w:id="134" w:name="_Toc2389"/>
      <w:bookmarkStart w:id="135" w:name="_Toc7071"/>
      <w:bookmarkStart w:id="136" w:name="_Toc24881"/>
      <w:bookmarkStart w:id="137" w:name="_Toc11860"/>
      <w:bookmarkStart w:id="138" w:name="_Toc13524"/>
      <w:bookmarkStart w:id="139" w:name="_Toc32103"/>
      <w:bookmarkStart w:id="140" w:name="_Toc4463"/>
      <w:bookmarkStart w:id="141" w:name="_Toc11505"/>
      <w:bookmarkStart w:id="142" w:name="_Toc21641"/>
      <w:bookmarkStart w:id="143" w:name="_Toc29403"/>
      <w:bookmarkStart w:id="144" w:name="_Toc2839"/>
      <w:bookmarkStart w:id="145" w:name="_Toc30046"/>
      <w:bookmarkStart w:id="146" w:name="_Toc15600"/>
      <w:bookmarkStart w:id="147" w:name="_Toc6116"/>
      <w:bookmarkStart w:id="148" w:name="_Toc16751"/>
      <w:bookmarkStart w:id="149" w:name="_Toc29011"/>
      <w:bookmarkStart w:id="150" w:name="_Toc17308"/>
      <w:bookmarkStart w:id="151" w:name="_Toc6759"/>
      <w:bookmarkStart w:id="152" w:name="_Toc16328"/>
      <w:r>
        <w:rPr>
          <w:rFonts w:hint="eastAsia" w:ascii="宋体" w:hAnsi="宋体" w:eastAsia="宋体" w:cs="宋体"/>
          <w:b/>
          <w:bCs/>
          <w:color w:val="auto"/>
          <w:sz w:val="24"/>
          <w:szCs w:val="24"/>
          <w:highlight w:val="none"/>
          <w:u w:val="none"/>
        </w:rPr>
        <w:t>适用法律</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本项目采购人、采购代理机构、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、评标委员会的相关行为均受《中华人民共和国政府采购法》、《中华人民共和国政府采购法实施条例》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中华人民共和国财政部令第87号--政府采购货物和货物招标投标管理办法</w:t>
      </w:r>
      <w:r>
        <w:rPr>
          <w:rFonts w:hint="eastAsia" w:ascii="宋体" w:hAnsi="宋体" w:eastAsia="宋体" w:cs="宋体"/>
          <w:color w:val="auto"/>
          <w:sz w:val="24"/>
          <w:szCs w:val="24"/>
          <w:highlight w:val="none"/>
        </w:rPr>
        <w:t>》及本项目本级和上级财政部门政府采购有关规定的约束，其权利受到上述法律法规的保护。</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6"/>
        <w:pageBreakBefore w:val="0"/>
        <w:widowControl w:val="0"/>
        <w:kinsoku/>
        <w:wordWrap/>
        <w:overflowPunct/>
        <w:topLinePunct w:val="0"/>
        <w:bidi w:val="0"/>
        <w:spacing w:before="0" w:line="360" w:lineRule="exact"/>
        <w:ind w:left="0" w:leftChars="0"/>
        <w:textAlignment w:val="auto"/>
        <w:rPr>
          <w:rFonts w:hint="eastAsia" w:ascii="宋体" w:hAnsi="宋体" w:eastAsia="宋体" w:cs="宋体"/>
          <w:color w:val="auto"/>
          <w:sz w:val="24"/>
          <w:szCs w:val="24"/>
          <w:highlight w:val="none"/>
        </w:rPr>
      </w:pPr>
      <w:bookmarkStart w:id="153" w:name="_Toc520356146"/>
      <w:bookmarkStart w:id="154" w:name="_Toc6385"/>
      <w:bookmarkStart w:id="155" w:name="_Toc216582806"/>
      <w:bookmarkStart w:id="156" w:name="_Toc19231"/>
      <w:bookmarkStart w:id="157" w:name="_Toc4365"/>
      <w:bookmarkStart w:id="158" w:name="_Toc515647762"/>
      <w:bookmarkStart w:id="159" w:name="_Toc21566"/>
      <w:r>
        <w:rPr>
          <w:rFonts w:hint="eastAsia" w:ascii="宋体" w:hAnsi="宋体" w:eastAsia="宋体" w:cs="宋体"/>
          <w:color w:val="auto"/>
          <w:sz w:val="24"/>
          <w:szCs w:val="24"/>
          <w:highlight w:val="none"/>
        </w:rPr>
        <w:t>二   招标文件</w:t>
      </w:r>
      <w:bookmarkEnd w:id="153"/>
      <w:bookmarkEnd w:id="154"/>
      <w:bookmarkEnd w:id="155"/>
      <w:bookmarkEnd w:id="156"/>
      <w:bookmarkEnd w:id="157"/>
      <w:bookmarkEnd w:id="158"/>
      <w:bookmarkEnd w:id="159"/>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60" w:name="_Toc25743"/>
      <w:bookmarkStart w:id="161" w:name="_Toc2876"/>
      <w:bookmarkStart w:id="162" w:name="_Toc21275"/>
      <w:bookmarkStart w:id="163" w:name="_Toc24971"/>
      <w:bookmarkStart w:id="164" w:name="_Toc18213"/>
      <w:bookmarkStart w:id="165" w:name="_Toc5479"/>
      <w:bookmarkStart w:id="166" w:name="_Toc5875"/>
      <w:bookmarkStart w:id="167" w:name="_Toc31428"/>
      <w:bookmarkStart w:id="168" w:name="_Toc29550"/>
      <w:bookmarkStart w:id="169" w:name="_Toc21734"/>
      <w:bookmarkStart w:id="170" w:name="_Toc18714"/>
      <w:bookmarkStart w:id="171" w:name="_Toc1044"/>
      <w:bookmarkStart w:id="172" w:name="_Toc32267"/>
      <w:bookmarkStart w:id="173" w:name="_Toc4112"/>
      <w:bookmarkStart w:id="174" w:name="_Toc27288"/>
      <w:bookmarkStart w:id="175" w:name="_Toc520356147"/>
      <w:bookmarkStart w:id="176" w:name="_Toc17343"/>
      <w:bookmarkStart w:id="177" w:name="_Toc3517"/>
      <w:bookmarkStart w:id="178" w:name="_Toc15203"/>
      <w:bookmarkStart w:id="179" w:name="_Toc27186"/>
      <w:bookmarkStart w:id="180" w:name="_Toc3153"/>
      <w:bookmarkStart w:id="181" w:name="_Toc515647763"/>
      <w:bookmarkStart w:id="182" w:name="_Toc7177"/>
      <w:bookmarkStart w:id="183" w:name="_Toc27237"/>
      <w:bookmarkStart w:id="184" w:name="_Toc14084"/>
      <w:bookmarkStart w:id="185" w:name="_Toc30349"/>
      <w:bookmarkStart w:id="186" w:name="_Toc30280"/>
      <w:bookmarkStart w:id="187" w:name="_Toc12831"/>
      <w:bookmarkStart w:id="188" w:name="_Toc31526"/>
      <w:r>
        <w:rPr>
          <w:rFonts w:hint="eastAsia" w:ascii="宋体" w:hAnsi="宋体" w:eastAsia="宋体" w:cs="宋体"/>
          <w:b/>
          <w:bCs/>
          <w:color w:val="auto"/>
          <w:sz w:val="24"/>
          <w:szCs w:val="24"/>
          <w:highlight w:val="none"/>
          <w:u w:val="none"/>
        </w:rPr>
        <w:t>招标文件构成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招标文件分为三册共7章，内容如下：</w:t>
      </w:r>
    </w:p>
    <w:p>
      <w:pPr>
        <w:pageBreakBefore w:val="0"/>
        <w:widowControl w:val="0"/>
        <w:kinsoku/>
        <w:wordWrap/>
        <w:overflowPunct/>
        <w:topLinePunct w:val="0"/>
        <w:bidi w:val="0"/>
        <w:spacing w:line="360" w:lineRule="exact"/>
        <w:ind w:left="0" w:leftChars="0"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第一册</w:t>
      </w:r>
    </w:p>
    <w:p>
      <w:pPr>
        <w:pageBreakBefore w:val="0"/>
        <w:widowControl w:val="0"/>
        <w:tabs>
          <w:tab w:val="left" w:pos="0"/>
        </w:tabs>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2投标文件格式</w:t>
      </w:r>
    </w:p>
    <w:p>
      <w:pPr>
        <w:pageBreakBefore w:val="0"/>
        <w:widowControl w:val="0"/>
        <w:kinsoku/>
        <w:wordWrap/>
        <w:overflowPunct/>
        <w:topLinePunct w:val="0"/>
        <w:bidi w:val="0"/>
        <w:spacing w:line="360" w:lineRule="exact"/>
        <w:ind w:left="0" w:leftChars="0" w:firstLine="33" w:firstLineChars="1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第二册</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投标邀请</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须知资料表</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 </w:t>
      </w:r>
      <w:r>
        <w:rPr>
          <w:rFonts w:hint="eastAsia" w:ascii="宋体" w:hAnsi="宋体" w:cs="宋体"/>
          <w:color w:val="auto"/>
          <w:sz w:val="24"/>
          <w:szCs w:val="24"/>
          <w:highlight w:val="none"/>
          <w:lang w:val="en-US" w:eastAsia="zh-CN"/>
        </w:rPr>
        <w:t>采购需求及项目要求</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评标方法和标准</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第三册</w:t>
      </w:r>
    </w:p>
    <w:p>
      <w:pPr>
        <w:pageBreakBefore w:val="0"/>
        <w:widowControl w:val="0"/>
        <w:kinsoku/>
        <w:wordWrap/>
        <w:overflowPunct/>
        <w:topLinePunct w:val="0"/>
        <w:bidi w:val="0"/>
        <w:spacing w:line="360" w:lineRule="exact"/>
        <w:ind w:left="0"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政府采购合同格式</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如本文件的前后内容不一致，以最后描述为准。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5.3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应认真阅读招标文件所有的事项、格式、条款和技术规范等。如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89" w:name="_Toc520356148"/>
      <w:bookmarkStart w:id="190" w:name="_Toc515904805"/>
      <w:bookmarkStart w:id="191" w:name="_Toc26044"/>
      <w:bookmarkStart w:id="192" w:name="_Toc10213"/>
      <w:bookmarkStart w:id="193" w:name="_Toc27465"/>
      <w:bookmarkStart w:id="194" w:name="_Toc20995"/>
      <w:bookmarkStart w:id="195" w:name="_Toc1117"/>
      <w:bookmarkStart w:id="196" w:name="_Toc29804"/>
      <w:bookmarkStart w:id="197" w:name="_Toc28731"/>
      <w:bookmarkStart w:id="198" w:name="_Toc7764"/>
      <w:bookmarkStart w:id="199" w:name="_Toc19551"/>
      <w:bookmarkStart w:id="200" w:name="_Toc21098"/>
      <w:bookmarkStart w:id="201" w:name="_Toc20202"/>
      <w:bookmarkStart w:id="202" w:name="_Toc12813"/>
      <w:bookmarkStart w:id="203" w:name="_Toc11330"/>
      <w:bookmarkStart w:id="204" w:name="_Toc21165"/>
      <w:bookmarkStart w:id="205" w:name="_Toc25866"/>
      <w:bookmarkStart w:id="206" w:name="_Toc20556"/>
      <w:bookmarkStart w:id="207" w:name="_Toc11642"/>
      <w:bookmarkStart w:id="208" w:name="_Toc19275"/>
      <w:bookmarkStart w:id="209" w:name="_Toc20604"/>
      <w:bookmarkStart w:id="210" w:name="_Toc32213"/>
      <w:bookmarkStart w:id="211" w:name="_Toc5991"/>
      <w:bookmarkStart w:id="212" w:name="_Toc10034"/>
      <w:bookmarkStart w:id="213" w:name="_Toc13020"/>
      <w:bookmarkStart w:id="214" w:name="_Toc20825"/>
      <w:bookmarkStart w:id="215" w:name="_Toc12945"/>
      <w:bookmarkStart w:id="216" w:name="_Toc4965"/>
      <w:bookmarkStart w:id="217" w:name="_Toc9232"/>
      <w:r>
        <w:rPr>
          <w:rFonts w:hint="eastAsia" w:ascii="宋体" w:hAnsi="宋体" w:eastAsia="宋体" w:cs="宋体"/>
          <w:b/>
          <w:bCs/>
          <w:color w:val="auto"/>
          <w:sz w:val="24"/>
          <w:szCs w:val="24"/>
          <w:highlight w:val="none"/>
          <w:u w:val="none"/>
        </w:rPr>
        <w:t>招标文件的澄清</w:t>
      </w:r>
      <w:bookmarkEnd w:id="189"/>
      <w:bookmarkEnd w:id="190"/>
      <w:r>
        <w:rPr>
          <w:rFonts w:hint="eastAsia" w:ascii="宋体" w:hAnsi="宋体" w:eastAsia="宋体" w:cs="宋体"/>
          <w:b/>
          <w:bCs/>
          <w:color w:val="auto"/>
          <w:sz w:val="24"/>
          <w:szCs w:val="24"/>
          <w:highlight w:val="none"/>
          <w:u w:val="none"/>
        </w:rPr>
        <w:t>与修改</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3"/>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为了保证对招标文件的澄清和修改满足法律的时限要求，任何要求对招标文件进行澄清的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，均应在投标截止期十五日前，以书面形式将澄清要求通知采购人或采购代理机构。</w:t>
      </w:r>
    </w:p>
    <w:p>
      <w:pPr>
        <w:pStyle w:val="3"/>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bookmarkStart w:id="218" w:name="_Toc520356149"/>
      <w:bookmarkStart w:id="219" w:name="_Ref467378678"/>
      <w:bookmarkStart w:id="220" w:name="_Toc515904806"/>
      <w:r>
        <w:rPr>
          <w:rFonts w:hint="eastAsia" w:ascii="宋体" w:hAnsi="宋体" w:eastAsia="宋体" w:cs="宋体"/>
          <w:color w:val="auto"/>
          <w:sz w:val="24"/>
          <w:szCs w:val="24"/>
          <w:highlight w:val="none"/>
        </w:rPr>
        <w:t>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采购人可主动地或在解答</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提出的澄清问题时对招标文件进行澄清或修改。采购代理机构将以发布澄清（更正）公告的方式，澄清或修改招标文件，澄清或修改内容作为招标文件的组成部分。</w:t>
      </w:r>
    </w:p>
    <w:p>
      <w:pPr>
        <w:pStyle w:val="3"/>
        <w:pageBreakBefore w:val="0"/>
        <w:widowControl w:val="0"/>
        <w:kinsoku/>
        <w:wordWrap/>
        <w:overflowPunct/>
        <w:topLinePunct w:val="0"/>
        <w:bidi w:val="0"/>
        <w:spacing w:line="360" w:lineRule="exact"/>
        <w:ind w:left="840" w:leftChars="0" w:hanging="840" w:hangingChars="3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澄清或者修改的内容可能影响投标文件编制的，采购代理机构将以书面形式通知所有购买招标文件的潜在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，并对其具有约束力。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在收到上述通知后，应及时向采购代理机构回函确认。</w:t>
      </w:r>
    </w:p>
    <w:bookmarkEnd w:id="218"/>
    <w:bookmarkEnd w:id="219"/>
    <w:bookmarkEnd w:id="220"/>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221" w:name="_Toc22107"/>
      <w:bookmarkStart w:id="222" w:name="_Toc14220"/>
      <w:bookmarkStart w:id="223" w:name="_Toc27352"/>
      <w:bookmarkStart w:id="224" w:name="_Toc7468"/>
      <w:bookmarkStart w:id="225" w:name="_Toc32529"/>
      <w:bookmarkStart w:id="226" w:name="_Toc10823"/>
      <w:bookmarkStart w:id="227" w:name="_Toc24028"/>
      <w:bookmarkStart w:id="228" w:name="_Toc27811"/>
      <w:bookmarkStart w:id="229" w:name="_Toc9080"/>
      <w:bookmarkStart w:id="230" w:name="_Toc25766"/>
      <w:bookmarkStart w:id="231" w:name="_Toc21187"/>
      <w:bookmarkStart w:id="232" w:name="_Toc1073"/>
      <w:bookmarkStart w:id="233" w:name="_Toc28126"/>
      <w:bookmarkStart w:id="234" w:name="_Toc32714"/>
      <w:bookmarkStart w:id="235" w:name="_Toc6936"/>
      <w:bookmarkStart w:id="236" w:name="_Toc14901"/>
      <w:bookmarkStart w:id="237" w:name="_Toc5258"/>
      <w:bookmarkStart w:id="238" w:name="_Toc6199"/>
      <w:bookmarkStart w:id="239" w:name="_Toc7919"/>
      <w:bookmarkStart w:id="240" w:name="_Toc30435"/>
      <w:bookmarkStart w:id="241" w:name="_Toc5103"/>
      <w:bookmarkStart w:id="242" w:name="_Toc978"/>
      <w:bookmarkStart w:id="243" w:name="_Toc11082"/>
      <w:bookmarkStart w:id="244" w:name="_Toc25635"/>
      <w:bookmarkStart w:id="245" w:name="_Toc14569"/>
      <w:bookmarkStart w:id="246" w:name="_Toc72"/>
      <w:bookmarkStart w:id="247" w:name="_Toc517"/>
      <w:r>
        <w:rPr>
          <w:rFonts w:hint="eastAsia" w:ascii="宋体" w:hAnsi="宋体" w:eastAsia="宋体" w:cs="宋体"/>
          <w:b/>
          <w:bCs/>
          <w:color w:val="auto"/>
          <w:sz w:val="24"/>
          <w:szCs w:val="24"/>
          <w:highlight w:val="none"/>
          <w:u w:val="none"/>
        </w:rPr>
        <w:t>投标截止时间的顺延</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为使</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准备投标时有足够的时间对招标文件的澄清或者修改部分进行研究，采购人将依法决定是否顺延投标截止时间。</w:t>
      </w:r>
      <w:bookmarkStart w:id="248" w:name="_Toc516367020"/>
      <w:bookmarkStart w:id="249" w:name="_Toc520356150"/>
      <w:bookmarkStart w:id="250" w:name="_Toc515647766"/>
      <w:bookmarkStart w:id="251" w:name="_Toc216582807"/>
      <w:bookmarkStart w:id="252" w:name="_Toc30808"/>
      <w:bookmarkStart w:id="253" w:name="_Toc7636"/>
    </w:p>
    <w:p>
      <w:pPr>
        <w:pageBreakBefore w:val="0"/>
        <w:widowControl w:val="0"/>
        <w:tabs>
          <w:tab w:val="left" w:pos="900"/>
        </w:tabs>
        <w:kinsoku/>
        <w:wordWrap/>
        <w:overflowPunct/>
        <w:topLinePunct w:val="0"/>
        <w:bidi w:val="0"/>
        <w:spacing w:line="360" w:lineRule="exact"/>
        <w:ind w:left="0" w:leftChars="0" w:hanging="540"/>
        <w:textAlignment w:val="auto"/>
        <w:rPr>
          <w:rFonts w:hint="eastAsia" w:ascii="宋体" w:hAnsi="宋体" w:eastAsia="宋体" w:cs="宋体"/>
          <w:color w:val="auto"/>
          <w:sz w:val="24"/>
          <w:szCs w:val="24"/>
          <w:highlight w:val="none"/>
        </w:rPr>
      </w:pPr>
    </w:p>
    <w:p>
      <w:pPr>
        <w:pStyle w:val="6"/>
        <w:pageBreakBefore w:val="0"/>
        <w:widowControl w:val="0"/>
        <w:tabs>
          <w:tab w:val="left" w:pos="900"/>
        </w:tabs>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254" w:name="_Toc14565"/>
      <w:bookmarkStart w:id="255" w:name="_Toc29522"/>
      <w:r>
        <w:rPr>
          <w:rFonts w:hint="eastAsia" w:ascii="宋体" w:hAnsi="宋体" w:eastAsia="宋体" w:cs="宋体"/>
          <w:color w:val="auto"/>
          <w:sz w:val="24"/>
          <w:szCs w:val="24"/>
          <w:highlight w:val="none"/>
        </w:rPr>
        <w:t>三   投标文件</w:t>
      </w:r>
      <w:bookmarkEnd w:id="248"/>
      <w:r>
        <w:rPr>
          <w:rFonts w:hint="eastAsia" w:ascii="宋体" w:hAnsi="宋体" w:eastAsia="宋体" w:cs="宋体"/>
          <w:color w:val="auto"/>
          <w:sz w:val="24"/>
          <w:szCs w:val="24"/>
          <w:highlight w:val="none"/>
        </w:rPr>
        <w:t>的编制</w:t>
      </w:r>
      <w:bookmarkEnd w:id="249"/>
      <w:bookmarkEnd w:id="250"/>
      <w:bookmarkEnd w:id="251"/>
      <w:bookmarkEnd w:id="252"/>
      <w:bookmarkEnd w:id="253"/>
      <w:bookmarkEnd w:id="254"/>
      <w:bookmarkEnd w:id="255"/>
    </w:p>
    <w:p>
      <w:pPr>
        <w:pStyle w:val="3"/>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256" w:name="_Toc32487"/>
      <w:bookmarkStart w:id="257" w:name="_Toc16526"/>
      <w:bookmarkStart w:id="258" w:name="_Toc516367021"/>
      <w:bookmarkStart w:id="259" w:name="_Toc10748"/>
      <w:bookmarkStart w:id="260" w:name="_Toc3553"/>
      <w:bookmarkStart w:id="261" w:name="_Toc7120"/>
      <w:bookmarkStart w:id="262" w:name="_Toc18295"/>
      <w:bookmarkStart w:id="263" w:name="_Toc28980"/>
      <w:bookmarkStart w:id="264" w:name="_Toc520356151"/>
      <w:bookmarkStart w:id="265" w:name="_Toc20486"/>
      <w:bookmarkStart w:id="266" w:name="_Toc7786"/>
      <w:bookmarkStart w:id="267" w:name="_Toc25949"/>
      <w:bookmarkStart w:id="268" w:name="_Toc7224"/>
      <w:bookmarkStart w:id="269" w:name="_Toc9725"/>
      <w:bookmarkStart w:id="270" w:name="_Toc2420"/>
      <w:bookmarkStart w:id="271" w:name="_Toc14739"/>
      <w:bookmarkStart w:id="272" w:name="_Toc2539"/>
      <w:bookmarkStart w:id="273" w:name="_Toc515647767"/>
      <w:bookmarkStart w:id="274" w:name="_Toc14086"/>
      <w:bookmarkStart w:id="275" w:name="_Toc5025"/>
      <w:bookmarkStart w:id="276" w:name="_Toc29965"/>
      <w:bookmarkStart w:id="277" w:name="_Toc2129"/>
      <w:bookmarkStart w:id="278" w:name="_Toc30336"/>
      <w:bookmarkStart w:id="279" w:name="_Toc8148"/>
      <w:bookmarkStart w:id="280" w:name="_Toc18719"/>
      <w:bookmarkStart w:id="281" w:name="_Toc10810"/>
      <w:bookmarkStart w:id="282" w:name="_Toc30652"/>
      <w:bookmarkStart w:id="283" w:name="_Toc1632"/>
      <w:bookmarkStart w:id="284" w:name="_Toc15642"/>
      <w:bookmarkStart w:id="285" w:name="_Toc13375"/>
      <w:r>
        <w:rPr>
          <w:rFonts w:hint="eastAsia" w:ascii="宋体" w:hAnsi="宋体" w:eastAsia="宋体" w:cs="宋体"/>
          <w:b/>
          <w:bCs/>
          <w:color w:val="auto"/>
          <w:sz w:val="24"/>
          <w:szCs w:val="24"/>
          <w:highlight w:val="none"/>
          <w:u w:val="none"/>
        </w:rPr>
        <w:t>投标范围及投标文件中标准和计量单位的使用</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项目有分包的，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可对招标文件其中某一个或几个分包</w:t>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rPr>
        <w:t>进行投标，除非在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中另有规定。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应当对所投分包招标文件中“</w:t>
      </w:r>
      <w:r>
        <w:rPr>
          <w:rFonts w:hint="eastAsia" w:ascii="宋体" w:hAnsi="宋体" w:cs="宋体"/>
          <w:color w:val="auto"/>
          <w:sz w:val="24"/>
          <w:szCs w:val="24"/>
          <w:highlight w:val="none"/>
          <w:lang w:val="en-US" w:eastAsia="zh-CN"/>
        </w:rPr>
        <w:t>采购需求及项目要求</w:t>
      </w:r>
      <w:r>
        <w:rPr>
          <w:rFonts w:hint="eastAsia" w:ascii="宋体" w:hAnsi="宋体" w:eastAsia="宋体" w:cs="宋体"/>
          <w:color w:val="auto"/>
          <w:sz w:val="24"/>
          <w:szCs w:val="24"/>
          <w:highlight w:val="none"/>
        </w:rPr>
        <w:t>”所列的所有内容进行投标，如仅响应某一包中的部分内容，其该包投标将被认定为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除招标文件中有特殊要求外，投标文件中所使用的计量单位，应采用中华人民共和国法定计量单位。</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286" w:name="_Ref467306676"/>
      <w:bookmarkStart w:id="287" w:name="_Ref467306195"/>
      <w:bookmarkStart w:id="288" w:name="_Toc516367022"/>
      <w:bookmarkStart w:id="289" w:name="_Toc28975"/>
      <w:bookmarkStart w:id="290" w:name="_Toc28307"/>
      <w:bookmarkStart w:id="291" w:name="_Toc3144"/>
      <w:bookmarkStart w:id="292" w:name="_Toc29634"/>
      <w:bookmarkStart w:id="293" w:name="_Toc15740"/>
      <w:bookmarkStart w:id="294" w:name="_Toc515647768"/>
      <w:bookmarkStart w:id="295" w:name="_Toc10992"/>
      <w:bookmarkStart w:id="296" w:name="_Toc18673"/>
      <w:bookmarkStart w:id="297" w:name="_Toc12220"/>
      <w:bookmarkStart w:id="298" w:name="_Toc13425"/>
      <w:bookmarkStart w:id="299" w:name="_Toc23291"/>
      <w:bookmarkStart w:id="300" w:name="_Toc24338"/>
      <w:bookmarkStart w:id="301" w:name="_Toc6152"/>
      <w:bookmarkStart w:id="302" w:name="_Toc30989"/>
      <w:bookmarkStart w:id="303" w:name="_Toc10364"/>
      <w:bookmarkStart w:id="304" w:name="_Toc12343"/>
      <w:bookmarkStart w:id="305" w:name="_Toc11888"/>
      <w:bookmarkStart w:id="306" w:name="_Toc22897"/>
      <w:bookmarkStart w:id="307" w:name="_Toc27550"/>
      <w:bookmarkStart w:id="308" w:name="_Toc14044"/>
      <w:bookmarkStart w:id="309" w:name="_Toc9418"/>
      <w:bookmarkStart w:id="310" w:name="_Toc3591"/>
      <w:bookmarkStart w:id="311" w:name="_Toc25596"/>
      <w:bookmarkStart w:id="312" w:name="_Toc20101"/>
      <w:bookmarkStart w:id="313" w:name="_Toc22417"/>
      <w:bookmarkStart w:id="314" w:name="_Toc258"/>
      <w:bookmarkStart w:id="315" w:name="_Toc22958"/>
      <w:bookmarkStart w:id="316" w:name="_Toc16016"/>
      <w:bookmarkStart w:id="317" w:name="_Toc520356152"/>
      <w:r>
        <w:rPr>
          <w:rFonts w:hint="eastAsia" w:ascii="宋体" w:hAnsi="宋体" w:eastAsia="宋体" w:cs="宋体"/>
          <w:b/>
          <w:bCs/>
          <w:color w:val="auto"/>
          <w:sz w:val="24"/>
          <w:szCs w:val="24"/>
          <w:highlight w:val="none"/>
          <w:u w:val="none"/>
        </w:rPr>
        <w:t>投标文件</w:t>
      </w:r>
      <w:bookmarkEnd w:id="286"/>
      <w:bookmarkEnd w:id="287"/>
      <w:bookmarkEnd w:id="288"/>
      <w:r>
        <w:rPr>
          <w:rFonts w:hint="eastAsia" w:ascii="宋体" w:hAnsi="宋体" w:eastAsia="宋体" w:cs="宋体"/>
          <w:b/>
          <w:bCs/>
          <w:color w:val="auto"/>
          <w:sz w:val="24"/>
          <w:szCs w:val="24"/>
          <w:highlight w:val="none"/>
          <w:u w:val="none"/>
        </w:rPr>
        <w:t>构成</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ageBreakBefore w:val="0"/>
        <w:widowControl w:val="0"/>
        <w:tabs>
          <w:tab w:val="left" w:pos="900"/>
          <w:tab w:val="left" w:pos="5580"/>
        </w:tabs>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u w:val="single"/>
        </w:rPr>
      </w:pPr>
      <w:bookmarkStart w:id="318" w:name="_Ref467052588"/>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应完整地按招标文件提供的投标文件格式及要求</w:t>
      </w:r>
      <w:r>
        <w:rPr>
          <w:rFonts w:hint="eastAsia" w:ascii="宋体" w:hAnsi="宋体" w:eastAsia="宋体" w:cs="宋体"/>
          <w:color w:val="auto"/>
          <w:sz w:val="24"/>
          <w:szCs w:val="24"/>
          <w:highlight w:val="none"/>
          <w:u w:val="single"/>
          <w:lang w:eastAsia="zh-CN"/>
        </w:rPr>
        <w:t>编</w:t>
      </w:r>
      <w:r>
        <w:rPr>
          <w:rFonts w:hint="eastAsia" w:ascii="宋体" w:hAnsi="宋体" w:eastAsia="宋体" w:cs="宋体"/>
          <w:color w:val="auto"/>
          <w:sz w:val="24"/>
          <w:szCs w:val="24"/>
          <w:highlight w:val="none"/>
          <w:u w:val="single"/>
        </w:rPr>
        <w:t>写投标文件，投标文件应包括“开标一览表及资格证明文件”和“商务及技术文件”两部分，两部分合成一册，</w:t>
      </w:r>
      <w:r>
        <w:rPr>
          <w:rFonts w:hint="eastAsia" w:ascii="宋体" w:hAnsi="宋体" w:eastAsia="宋体" w:cs="宋体"/>
          <w:color w:val="auto"/>
          <w:sz w:val="24"/>
          <w:szCs w:val="24"/>
          <w:highlight w:val="none"/>
          <w:u w:val="single"/>
          <w:lang w:eastAsia="zh-CN"/>
        </w:rPr>
        <w:t>上传至政采云平台</w:t>
      </w:r>
      <w:r>
        <w:rPr>
          <w:rFonts w:hint="eastAsia" w:ascii="宋体" w:hAnsi="宋体" w:eastAsia="宋体" w:cs="宋体"/>
          <w:color w:val="auto"/>
          <w:sz w:val="24"/>
          <w:szCs w:val="24"/>
          <w:highlight w:val="none"/>
          <w:u w:val="singl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上述文件应按照招标文件规定的格式填写、签署和盖章。</w:t>
      </w:r>
      <w:bookmarkEnd w:id="318"/>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eastAsia="zh-CN"/>
        </w:rPr>
      </w:pPr>
      <w:bookmarkStart w:id="319" w:name="_Toc17150"/>
      <w:bookmarkStart w:id="320" w:name="_Toc4601"/>
      <w:bookmarkStart w:id="321" w:name="_Toc12338"/>
      <w:bookmarkStart w:id="322" w:name="_Toc30354"/>
      <w:bookmarkStart w:id="323" w:name="_Toc17715"/>
      <w:bookmarkStart w:id="324" w:name="_Toc14035"/>
      <w:bookmarkStart w:id="325" w:name="_Toc22195"/>
      <w:bookmarkStart w:id="326" w:name="_Toc15151"/>
      <w:bookmarkStart w:id="327" w:name="_Toc520356153"/>
      <w:bookmarkStart w:id="328" w:name="_Toc516367023"/>
      <w:bookmarkStart w:id="329" w:name="_Toc10379"/>
      <w:bookmarkStart w:id="330" w:name="_Toc2056"/>
      <w:bookmarkStart w:id="331" w:name="_Toc6978"/>
      <w:bookmarkStart w:id="332" w:name="_Toc515647769"/>
      <w:bookmarkStart w:id="333" w:name="_Toc12121"/>
      <w:bookmarkStart w:id="334" w:name="_Toc10584"/>
      <w:bookmarkStart w:id="335" w:name="_Toc18045"/>
      <w:bookmarkStart w:id="336" w:name="_Toc23028"/>
      <w:bookmarkStart w:id="337" w:name="_Toc17390"/>
      <w:bookmarkStart w:id="338" w:name="_Toc13178"/>
      <w:bookmarkStart w:id="339" w:name="_Toc26648"/>
      <w:bookmarkStart w:id="340" w:name="_Toc1879"/>
      <w:bookmarkStart w:id="341" w:name="_Toc30964"/>
      <w:bookmarkStart w:id="342" w:name="_Toc2503"/>
      <w:bookmarkStart w:id="343" w:name="_Toc25894"/>
      <w:bookmarkStart w:id="344" w:name="_Toc12755"/>
      <w:bookmarkStart w:id="345" w:name="_Toc10487"/>
      <w:bookmarkStart w:id="346" w:name="_Toc10531"/>
      <w:bookmarkStart w:id="347" w:name="_Toc479"/>
      <w:bookmarkStart w:id="348" w:name="_Toc1845"/>
      <w:r>
        <w:rPr>
          <w:rFonts w:hint="eastAsia" w:ascii="宋体" w:hAnsi="宋体" w:eastAsia="宋体" w:cs="宋体"/>
          <w:b/>
          <w:bCs/>
          <w:color w:val="auto"/>
          <w:sz w:val="24"/>
          <w:szCs w:val="24"/>
          <w:highlight w:val="none"/>
          <w:u w:val="none"/>
        </w:rPr>
        <w:t>证明投标的的合格性和符合招标文件规定的技术文件</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Fonts w:hint="eastAsia" w:ascii="宋体" w:hAnsi="宋体" w:eastAsia="宋体" w:cs="宋体"/>
          <w:b/>
          <w:bCs/>
          <w:color w:val="auto"/>
          <w:sz w:val="24"/>
          <w:szCs w:val="24"/>
          <w:highlight w:val="none"/>
          <w:u w:val="none"/>
          <w:lang w:eastAsia="zh-CN"/>
        </w:rPr>
        <w: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应提交证明文件，证明其投标内容符合招标文件规定。该证明文件是投标文件的一部分。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349" w:name="_Ref467306244"/>
      <w:r>
        <w:rPr>
          <w:rFonts w:hint="eastAsia" w:ascii="宋体" w:hAnsi="宋体" w:eastAsia="宋体" w:cs="宋体"/>
          <w:color w:val="auto"/>
          <w:sz w:val="24"/>
          <w:szCs w:val="24"/>
          <w:highlight w:val="none"/>
        </w:rPr>
        <w:t>10.2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上款所述的证明文件，可以是文字资料、图纸和数据，</w:t>
      </w:r>
      <w:bookmarkEnd w:id="349"/>
      <w:r>
        <w:rPr>
          <w:rFonts w:hint="eastAsia" w:ascii="宋体" w:hAnsi="宋体" w:eastAsia="宋体" w:cs="宋体"/>
          <w:color w:val="auto"/>
          <w:sz w:val="24"/>
          <w:szCs w:val="24"/>
          <w:highlight w:val="none"/>
        </w:rPr>
        <w:t>它包括：</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设备主要技术指标的详细说明；</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货物从买方开始使用至</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文件规定的保质期内正常、连续地使用所必须的备件和专用工具清单，包括备件和专用工具的货源及现行价格；</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对照招标文件技术规格，逐条说明所提供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及伴随的工程和</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已对招标文件的技术规格做出了实质性的响应，或申明与技术规格条文的偏差和例外。</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在投标中可以选用替代牌号或分类号，但这些替代要实质上相当于技术规格的要求。采购人、采购代理机构承诺不以上述参照品牌型号或分类号作为评标时判定其投标是否有效的标准。</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50" w:name="_Toc515647770"/>
      <w:bookmarkStart w:id="351" w:name="_Toc5144"/>
      <w:bookmarkStart w:id="352" w:name="_Toc3868"/>
      <w:bookmarkStart w:id="353" w:name="_Toc520356155"/>
      <w:bookmarkStart w:id="354" w:name="_Toc30792"/>
      <w:bookmarkStart w:id="355" w:name="_Toc24468"/>
      <w:bookmarkStart w:id="356" w:name="_Toc710"/>
      <w:bookmarkStart w:id="357" w:name="_Toc23231"/>
      <w:bookmarkStart w:id="358" w:name="_Toc25641"/>
      <w:bookmarkStart w:id="359" w:name="_Toc5930"/>
      <w:bookmarkStart w:id="360" w:name="_Toc26145"/>
      <w:bookmarkStart w:id="361" w:name="_Toc11160"/>
      <w:bookmarkStart w:id="362" w:name="_Toc301"/>
      <w:bookmarkStart w:id="363" w:name="_Toc25685"/>
      <w:bookmarkStart w:id="364" w:name="_Toc27456"/>
      <w:bookmarkStart w:id="365" w:name="_Toc25118"/>
      <w:bookmarkStart w:id="366" w:name="_Toc29220"/>
      <w:bookmarkStart w:id="367" w:name="_Toc8305"/>
      <w:bookmarkStart w:id="368" w:name="_Toc2311"/>
      <w:bookmarkStart w:id="369" w:name="_Toc13890"/>
      <w:bookmarkStart w:id="370" w:name="_Toc30467"/>
      <w:bookmarkStart w:id="371" w:name="_Toc7447"/>
      <w:bookmarkStart w:id="372" w:name="_Toc24261"/>
      <w:bookmarkStart w:id="373" w:name="_Toc21396"/>
      <w:bookmarkStart w:id="374" w:name="_Toc7731"/>
      <w:bookmarkStart w:id="375" w:name="_Toc29204"/>
      <w:bookmarkStart w:id="376" w:name="_Toc2248"/>
      <w:bookmarkStart w:id="377" w:name="_Toc15670"/>
      <w:bookmarkStart w:id="378" w:name="_Toc28480"/>
      <w:r>
        <w:rPr>
          <w:rFonts w:hint="eastAsia" w:ascii="宋体" w:hAnsi="宋体" w:eastAsia="宋体" w:cs="宋体"/>
          <w:b/>
          <w:bCs/>
          <w:color w:val="auto"/>
          <w:sz w:val="24"/>
          <w:szCs w:val="24"/>
          <w:highlight w:val="none"/>
          <w:u w:val="none"/>
        </w:rPr>
        <w:t>投标报价</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所有投标均以人民币报价。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的投标报价应遵守《中华人民共和国价格法》。同时，根据《中华人民共和国政府采购法》第二条的规定，为保证公平竞争，如有主体部分的赠与行为，其投标将被认定为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应在投标分项报价表上标明投标相关</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的单价（如适用）和总价，并由法定代表人或其授权代表签署。</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投标分项报价表上的价格应按下列方式填写；</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每种</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只能有一个投标报价。采购人不接受具有附加条件的报价。</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379" w:name="_Toc17788"/>
      <w:bookmarkStart w:id="380" w:name="_Toc21776"/>
      <w:bookmarkStart w:id="381" w:name="_Toc515647771"/>
      <w:bookmarkStart w:id="382" w:name="_Toc15349"/>
      <w:bookmarkStart w:id="383" w:name="_Toc1683"/>
      <w:bookmarkStart w:id="384" w:name="_Toc25003"/>
      <w:bookmarkStart w:id="385" w:name="_Toc7022"/>
      <w:bookmarkStart w:id="386" w:name="_Toc23784"/>
      <w:bookmarkStart w:id="387" w:name="_Toc10329"/>
      <w:bookmarkStart w:id="388" w:name="_Toc28149"/>
      <w:bookmarkStart w:id="389" w:name="_Toc30245"/>
      <w:bookmarkStart w:id="390" w:name="_Toc12354"/>
      <w:bookmarkStart w:id="391" w:name="_Toc3670"/>
      <w:bookmarkStart w:id="392" w:name="_Toc23666"/>
      <w:bookmarkStart w:id="393" w:name="_Toc520356156"/>
      <w:bookmarkStart w:id="394" w:name="_Toc13010"/>
      <w:bookmarkStart w:id="395" w:name="_Toc21719"/>
      <w:bookmarkStart w:id="396" w:name="_Toc21916"/>
      <w:bookmarkStart w:id="397" w:name="_Toc30071"/>
      <w:bookmarkStart w:id="398" w:name="_Toc28730"/>
      <w:bookmarkStart w:id="399" w:name="_Toc24283"/>
      <w:bookmarkStart w:id="400" w:name="_Toc18556"/>
      <w:bookmarkStart w:id="401" w:name="_Toc14189"/>
      <w:bookmarkStart w:id="402" w:name="_Ref467306513"/>
      <w:bookmarkStart w:id="403" w:name="_Toc5648"/>
      <w:bookmarkStart w:id="404" w:name="_Toc30249"/>
      <w:bookmarkStart w:id="405" w:name="_Toc8221"/>
      <w:bookmarkStart w:id="406" w:name="_Toc11514"/>
      <w:bookmarkStart w:id="407" w:name="_Toc5799"/>
      <w:bookmarkStart w:id="408" w:name="_Toc22618"/>
      <w:r>
        <w:rPr>
          <w:rFonts w:hint="eastAsia" w:ascii="宋体" w:hAnsi="宋体" w:eastAsia="宋体" w:cs="宋体"/>
          <w:b/>
          <w:bCs/>
          <w:color w:val="auto"/>
          <w:sz w:val="24"/>
          <w:szCs w:val="24"/>
          <w:highlight w:val="none"/>
          <w:u w:val="none"/>
        </w:rPr>
        <w:t>投标保证金</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09" w:name="_Ref467306302"/>
      <w:r>
        <w:rPr>
          <w:rFonts w:hint="eastAsia" w:ascii="宋体" w:hAnsi="宋体" w:eastAsia="宋体" w:cs="宋体"/>
          <w:color w:val="auto"/>
          <w:sz w:val="24"/>
          <w:szCs w:val="24"/>
          <w:highlight w:val="none"/>
        </w:rPr>
        <w:t>12.1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中规定的投标保证金</w:t>
      </w:r>
      <w:bookmarkEnd w:id="409"/>
      <w:r>
        <w:rPr>
          <w:rFonts w:hint="eastAsia" w:ascii="宋体" w:hAnsi="宋体" w:eastAsia="宋体" w:cs="宋体"/>
          <w:color w:val="auto"/>
          <w:sz w:val="24"/>
          <w:szCs w:val="24"/>
          <w:highlight w:val="none"/>
        </w:rPr>
        <w:t>，并作为其投标的一部分。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存在下列情形的，投标保证金不予退还：</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（1）在投标有效期内，撤销投标的；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（2）中标后不按本须知第30条的规定与采购人签订合同的；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（3）中标后不按本须知第31条的规定提交履约保证金的；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（4）中标后不按本须知第32条的规定缴纳中标服务费的；</w:t>
      </w:r>
    </w:p>
    <w:p>
      <w:pPr>
        <w:pStyle w:val="13"/>
        <w:pageBreakBefore w:val="0"/>
        <w:widowControl w:val="0"/>
        <w:tabs>
          <w:tab w:val="left" w:pos="2240"/>
        </w:tabs>
        <w:kinsoku/>
        <w:wordWrap/>
        <w:overflowPunct/>
        <w:topLinePunct w:val="0"/>
        <w:bidi w:val="0"/>
        <w:spacing w:line="360" w:lineRule="exact"/>
        <w:ind w:left="300" w:leftChars="0" w:hanging="300" w:hangingChars="1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（5）存在其他违法违规行为的。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bookmarkStart w:id="410" w:name="_Ref467306336"/>
      <w:r>
        <w:rPr>
          <w:rFonts w:hint="eastAsia" w:ascii="宋体" w:hAnsi="宋体" w:eastAsia="宋体" w:cs="宋体"/>
          <w:color w:val="auto"/>
          <w:sz w:val="24"/>
          <w:szCs w:val="24"/>
          <w:highlight w:val="none"/>
        </w:rPr>
        <w:t>12.3</w:t>
      </w:r>
      <w:r>
        <w:rPr>
          <w:rFonts w:hint="eastAsia" w:ascii="宋体" w:hAnsi="宋体" w:eastAsia="宋体" w:cs="宋体"/>
          <w:color w:val="auto"/>
          <w:sz w:val="24"/>
          <w:szCs w:val="24"/>
          <w:highlight w:val="none"/>
        </w:rPr>
        <w:tab/>
      </w:r>
      <w:bookmarkEnd w:id="410"/>
      <w:r>
        <w:rPr>
          <w:rFonts w:hint="eastAsia" w:ascii="宋体" w:hAnsi="宋体" w:eastAsia="宋体" w:cs="宋体"/>
          <w:color w:val="auto"/>
          <w:sz w:val="24"/>
          <w:szCs w:val="24"/>
          <w:highlight w:val="none"/>
        </w:rPr>
        <w:t>政府采购信用担保试点范围内的项目，接受符合财政部门规定的政府采购投标担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原件。</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未按本须知第12.1和12.3条规定提交投标保证金的，其投标将被认定为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采用电汇形式的，一般可以实时入账。</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采用支票形式的，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则应充分考虑支票入账时间，以确保投标保证金能按时进入指定账户。根据银行信息交换和付款时间，支票从递交至实际入账一般需要4-5个工作日。如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未及时提交支票或支票不符合银行委托收款要求（如污损、折叠、胶装等），导致投标保证金不能按时进入指定账户的，将按照招标文件的第22.2条相关规定处理。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   联合体投标的，可以由联合体中的一方或者共同提交投标保证金。以一方名义提交投标保证金的，对联合体各方均具有约束力。</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投标保证金的退还</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12.6.1  中标人应在与采购人签订合同之日起5个工作日内，及时联系保证金收受机构办理投标保证金无息退还手续。</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12.6.2  未中标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的投标保证金将在中标通知书发出之日暨中标结果公告公布之日起5个工作日内无息退还。</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应及时联系保证金收受机构办理退还投标保证金手续。</w:t>
      </w:r>
    </w:p>
    <w:p>
      <w:pPr>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12.6.3  政府采购投标担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不予退回。</w:t>
      </w:r>
    </w:p>
    <w:p>
      <w:pPr>
        <w:pageBreakBefore w:val="0"/>
        <w:widowControl w:val="0"/>
        <w:kinsoku/>
        <w:wordWrap/>
        <w:overflowPunct/>
        <w:topLinePunct w:val="0"/>
        <w:bidi w:val="0"/>
        <w:spacing w:line="360" w:lineRule="exact"/>
        <w:ind w:left="960" w:leftChars="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12.7    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自身原因导致无法及时退还的，采购人或采购代理机构将不承担相应责任。</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11" w:name="_Toc24168"/>
      <w:bookmarkStart w:id="412" w:name="_Toc19931"/>
      <w:bookmarkStart w:id="413" w:name="_Toc23590"/>
      <w:bookmarkStart w:id="414" w:name="_Toc32569"/>
      <w:bookmarkStart w:id="415" w:name="_Toc3015"/>
      <w:bookmarkStart w:id="416" w:name="_Toc8299"/>
      <w:bookmarkStart w:id="417" w:name="_Toc23657"/>
      <w:bookmarkStart w:id="418" w:name="_Toc32477"/>
      <w:bookmarkStart w:id="419" w:name="_Toc20657"/>
      <w:bookmarkStart w:id="420" w:name="_Toc4526"/>
      <w:bookmarkStart w:id="421" w:name="_Toc7796"/>
      <w:bookmarkStart w:id="422" w:name="_Toc19152"/>
      <w:bookmarkStart w:id="423" w:name="_Toc31306"/>
      <w:bookmarkStart w:id="424" w:name="_Toc30519"/>
      <w:bookmarkStart w:id="425" w:name="_Toc12947"/>
      <w:bookmarkStart w:id="426" w:name="_Toc27999"/>
      <w:bookmarkStart w:id="427" w:name="_Toc520356157"/>
      <w:bookmarkStart w:id="428" w:name="_Toc1719"/>
      <w:bookmarkStart w:id="429" w:name="_Toc28650"/>
      <w:bookmarkStart w:id="430" w:name="_Toc25261"/>
      <w:bookmarkStart w:id="431" w:name="_Toc9333"/>
      <w:bookmarkStart w:id="432" w:name="_Toc11132"/>
      <w:bookmarkStart w:id="433" w:name="_Toc5678"/>
      <w:bookmarkStart w:id="434" w:name="_Toc7349"/>
      <w:bookmarkStart w:id="435" w:name="_Toc17927"/>
      <w:bookmarkStart w:id="436" w:name="_Toc515647772"/>
      <w:bookmarkStart w:id="437" w:name="_Toc1255"/>
      <w:bookmarkStart w:id="438" w:name="_Toc12620"/>
      <w:bookmarkStart w:id="439" w:name="_Toc13507"/>
      <w:r>
        <w:rPr>
          <w:rFonts w:hint="eastAsia" w:ascii="宋体" w:hAnsi="宋体" w:eastAsia="宋体" w:cs="宋体"/>
          <w:b/>
          <w:bCs/>
          <w:color w:val="auto"/>
          <w:sz w:val="24"/>
          <w:szCs w:val="24"/>
          <w:highlight w:val="none"/>
          <w:u w:val="none"/>
        </w:rPr>
        <w:t>投标有效期</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投标应在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中规定时间内保持有效。投标有效期不满足要求的投标，其投标将被认定为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为保证有充分时间签订合同，采购人或采购代理机构可根据实际情况，在原投标有效期截止之前，要求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延长投标文件的有效期。接受该要求的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将不会被要求和允许修正其投标，且本须知中有关投标保证金的要求须在延长的有效期内继续有效。</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可以拒绝延长投标有效期的要求，其投标保证金将及时无息退还。上述要求和答复都应以书面形式提交。</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40" w:name="_Toc520356158"/>
      <w:bookmarkStart w:id="441" w:name="_Toc30887"/>
      <w:bookmarkStart w:id="442" w:name="_Toc29619"/>
      <w:bookmarkStart w:id="443" w:name="_Toc30514"/>
      <w:bookmarkStart w:id="444" w:name="_Toc8162"/>
      <w:bookmarkStart w:id="445" w:name="_Toc493"/>
      <w:bookmarkStart w:id="446" w:name="_Toc31098"/>
      <w:bookmarkStart w:id="447" w:name="_Toc515647773"/>
      <w:bookmarkStart w:id="448" w:name="_Toc21504"/>
      <w:bookmarkStart w:id="449" w:name="_Toc11669"/>
      <w:bookmarkStart w:id="450" w:name="_Toc12276"/>
      <w:bookmarkStart w:id="451" w:name="_Toc3558"/>
      <w:bookmarkStart w:id="452" w:name="_Toc18546"/>
      <w:bookmarkStart w:id="453" w:name="_Toc6286"/>
      <w:bookmarkStart w:id="454" w:name="_Toc4425"/>
      <w:bookmarkStart w:id="455" w:name="_Toc10391"/>
      <w:bookmarkStart w:id="456" w:name="_Toc12203"/>
      <w:bookmarkStart w:id="457" w:name="_Toc8275"/>
      <w:bookmarkStart w:id="458" w:name="_Toc5874"/>
      <w:bookmarkStart w:id="459" w:name="_Toc9672"/>
      <w:bookmarkStart w:id="460" w:name="_Toc24787"/>
      <w:bookmarkStart w:id="461" w:name="_Toc30127"/>
      <w:bookmarkStart w:id="462" w:name="_Toc17074"/>
      <w:bookmarkStart w:id="463" w:name="_Toc16503"/>
      <w:bookmarkStart w:id="464" w:name="_Toc1080"/>
      <w:r>
        <w:rPr>
          <w:rFonts w:hint="eastAsia" w:ascii="宋体" w:hAnsi="宋体" w:eastAsia="宋体" w:cs="宋体"/>
          <w:b/>
          <w:bCs/>
          <w:color w:val="auto"/>
          <w:sz w:val="24"/>
          <w:szCs w:val="24"/>
          <w:highlight w:val="none"/>
          <w:u w:val="none"/>
        </w:rPr>
        <w:t>投标文件的签署</w:t>
      </w:r>
      <w:bookmarkEnd w:id="440"/>
      <w:r>
        <w:rPr>
          <w:rFonts w:hint="eastAsia" w:ascii="宋体" w:hAnsi="宋体" w:eastAsia="宋体" w:cs="宋体"/>
          <w:b/>
          <w:bCs/>
          <w:color w:val="auto"/>
          <w:sz w:val="24"/>
          <w:szCs w:val="24"/>
          <w:highlight w:val="none"/>
          <w:u w:val="none"/>
        </w:rPr>
        <w:t>及规定</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Fonts w:hint="eastAsia" w:ascii="宋体" w:hAnsi="宋体" w:eastAsia="宋体" w:cs="宋体"/>
          <w:b/>
          <w:bCs/>
          <w:color w:val="auto"/>
          <w:sz w:val="24"/>
          <w:szCs w:val="24"/>
          <w:highlight w:val="none"/>
          <w:u w:val="single"/>
          <w:lang w:eastAsia="zh-CN"/>
        </w:rPr>
        <w:t>（在招标结束后邮寄投标文件的要求）</w:t>
      </w:r>
    </w:p>
    <w:p>
      <w:pPr>
        <w:pageBreakBefore w:val="0"/>
        <w:shd w:val="clear"/>
        <w:kinsoku/>
        <w:wordWrap/>
        <w:overflowPunct/>
        <w:topLinePunct w:val="0"/>
        <w:bidi w:val="0"/>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供应商应按供应商须知资料表中的规定，准备和</w:t>
      </w:r>
      <w:r>
        <w:rPr>
          <w:rFonts w:hint="eastAsia" w:ascii="宋体" w:hAnsi="宋体" w:cs="宋体"/>
          <w:color w:val="auto"/>
          <w:sz w:val="24"/>
          <w:szCs w:val="24"/>
          <w:highlight w:val="none"/>
          <w:lang w:val="en-US" w:eastAsia="zh-CN"/>
        </w:rPr>
        <w:t>上传</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开标</w:t>
      </w:r>
      <w:r>
        <w:rPr>
          <w:rFonts w:hint="eastAsia" w:ascii="宋体" w:hAnsi="宋体" w:eastAsia="宋体" w:cs="宋体"/>
          <w:color w:val="auto"/>
          <w:sz w:val="24"/>
          <w:szCs w:val="24"/>
          <w:highlight w:val="none"/>
        </w:rPr>
        <w:t>一览表。</w:t>
      </w:r>
    </w:p>
    <w:p>
      <w:pPr>
        <w:pageBreakBefore w:val="0"/>
        <w:shd w:val="clear"/>
        <w:kinsoku/>
        <w:wordWrap/>
        <w:overflowPunct/>
        <w:topLinePunct w:val="0"/>
        <w:bidi w:val="0"/>
        <w:spacing w:line="360" w:lineRule="exact"/>
        <w:ind w:left="900" w:hanging="900" w:hanging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需打印或用不褪色墨水书写，并由供应商的法定代表人或经其正式委托代理人按</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规定在</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上签字或盖章并加盖单位</w:t>
      </w:r>
      <w:r>
        <w:rPr>
          <w:rFonts w:hint="eastAsia" w:ascii="宋体" w:hAnsi="宋体" w:cs="宋体"/>
          <w:color w:val="auto"/>
          <w:sz w:val="24"/>
          <w:szCs w:val="24"/>
          <w:highlight w:val="none"/>
          <w:lang w:val="en-US" w:eastAsia="zh-CN"/>
        </w:rPr>
        <w:t>公章</w:t>
      </w:r>
      <w:r>
        <w:rPr>
          <w:rFonts w:hint="eastAsia" w:ascii="宋体" w:hAnsi="宋体" w:eastAsia="宋体" w:cs="宋体"/>
          <w:color w:val="auto"/>
          <w:sz w:val="24"/>
          <w:szCs w:val="24"/>
          <w:highlight w:val="none"/>
        </w:rPr>
        <w:t>。委托代理人须持有书面的“法定代表人授权委托书”，并将其附在</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中。如对</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进行了修改，则应由供应商的法定代表人或其委托代理人在每一修改处签字。</w:t>
      </w:r>
    </w:p>
    <w:p>
      <w:pPr>
        <w:keepNext w:val="0"/>
        <w:keepLines w:val="0"/>
        <w:pageBreakBefore w:val="0"/>
        <w:widowControl w:val="0"/>
        <w:shd w:val="clear"/>
        <w:kinsoku/>
        <w:wordWrap/>
        <w:overflowPunct/>
        <w:topLinePunct w:val="0"/>
        <w:autoSpaceDE/>
        <w:autoSpaceDN/>
        <w:bidi w:val="0"/>
        <w:adjustRightInd/>
        <w:snapToGrid/>
        <w:spacing w:line="360" w:lineRule="exact"/>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14.3   </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因字迹潦草、表达不清或装订不当所引起的后果由供应商负责。</w:t>
      </w:r>
      <w:bookmarkStart w:id="465" w:name="_Toc16865"/>
      <w:bookmarkStart w:id="466" w:name="_Toc520356159"/>
      <w:bookmarkStart w:id="467" w:name="_Toc515647774"/>
      <w:bookmarkStart w:id="468" w:name="_Toc11179"/>
      <w:bookmarkStart w:id="469" w:name="_Toc216582808"/>
    </w:p>
    <w:p>
      <w:pPr>
        <w:pStyle w:val="19"/>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6"/>
        <w:pageBreakBefore w:val="0"/>
        <w:shd w:val="clear"/>
        <w:kinsoku/>
        <w:wordWrap/>
        <w:overflowPunct/>
        <w:topLinePunct w:val="0"/>
        <w:bidi w:val="0"/>
        <w:spacing w:before="0" w:line="360" w:lineRule="exact"/>
        <w:ind w:hanging="540"/>
        <w:rPr>
          <w:rFonts w:hint="eastAsia" w:ascii="宋体" w:hAnsi="宋体" w:eastAsia="宋体" w:cs="宋体"/>
          <w:color w:val="auto"/>
          <w:sz w:val="24"/>
          <w:szCs w:val="24"/>
          <w:highlight w:val="none"/>
        </w:rPr>
      </w:pPr>
      <w:bookmarkStart w:id="470" w:name="_Toc27489"/>
      <w:bookmarkStart w:id="471" w:name="_Toc30935"/>
      <w:bookmarkStart w:id="472" w:name="_Toc25125"/>
      <w:r>
        <w:rPr>
          <w:rFonts w:hint="eastAsia" w:ascii="宋体" w:hAnsi="宋体" w:eastAsia="宋体" w:cs="宋体"/>
          <w:color w:val="auto"/>
          <w:sz w:val="24"/>
          <w:szCs w:val="24"/>
          <w:highlight w:val="none"/>
        </w:rPr>
        <w:t>四   投标文件的递交</w:t>
      </w:r>
      <w:bookmarkEnd w:id="465"/>
      <w:bookmarkEnd w:id="466"/>
      <w:bookmarkEnd w:id="467"/>
      <w:bookmarkEnd w:id="468"/>
      <w:bookmarkEnd w:id="469"/>
      <w:bookmarkEnd w:id="470"/>
      <w:bookmarkEnd w:id="471"/>
      <w:bookmarkEnd w:id="472"/>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single"/>
        </w:rPr>
      </w:pPr>
      <w:bookmarkStart w:id="473" w:name="_Toc17213"/>
      <w:bookmarkStart w:id="474" w:name="_Toc14788"/>
      <w:bookmarkStart w:id="475" w:name="_Toc24289"/>
      <w:bookmarkStart w:id="476" w:name="_Toc14380"/>
      <w:bookmarkStart w:id="477" w:name="_Toc801"/>
      <w:bookmarkStart w:id="478" w:name="_Toc7981"/>
      <w:bookmarkStart w:id="479" w:name="_Toc19259"/>
      <w:bookmarkStart w:id="480" w:name="_Toc9105"/>
      <w:bookmarkStart w:id="481" w:name="_Toc2795"/>
      <w:bookmarkStart w:id="482" w:name="_Toc648"/>
      <w:bookmarkStart w:id="483" w:name="_Toc17407"/>
      <w:r>
        <w:rPr>
          <w:rFonts w:hint="eastAsia" w:ascii="宋体" w:hAnsi="宋体" w:eastAsia="宋体" w:cs="宋体"/>
          <w:b/>
          <w:bCs/>
          <w:color w:val="auto"/>
          <w:sz w:val="24"/>
          <w:szCs w:val="24"/>
          <w:highlight w:val="none"/>
          <w:u w:val="none"/>
          <w:lang w:eastAsia="zh-CN"/>
        </w:rPr>
        <w:t>投标文件</w:t>
      </w:r>
      <w:r>
        <w:rPr>
          <w:rFonts w:hint="eastAsia" w:ascii="宋体" w:hAnsi="宋体" w:eastAsia="宋体" w:cs="宋体"/>
          <w:b/>
          <w:bCs/>
          <w:color w:val="auto"/>
          <w:sz w:val="24"/>
          <w:szCs w:val="24"/>
          <w:highlight w:val="none"/>
          <w:u w:val="none"/>
        </w:rPr>
        <w:t>的密封和标记</w:t>
      </w:r>
      <w:bookmarkEnd w:id="473"/>
      <w:bookmarkEnd w:id="474"/>
      <w:bookmarkEnd w:id="475"/>
      <w:bookmarkEnd w:id="476"/>
      <w:bookmarkEnd w:id="477"/>
      <w:bookmarkEnd w:id="478"/>
      <w:bookmarkEnd w:id="479"/>
      <w:bookmarkEnd w:id="480"/>
      <w:bookmarkEnd w:id="481"/>
      <w:bookmarkEnd w:id="482"/>
      <w:bookmarkEnd w:id="483"/>
      <w:r>
        <w:rPr>
          <w:rFonts w:hint="eastAsia" w:ascii="宋体" w:hAnsi="宋体" w:eastAsia="宋体" w:cs="宋体"/>
          <w:b/>
          <w:bCs/>
          <w:color w:val="auto"/>
          <w:sz w:val="24"/>
          <w:szCs w:val="24"/>
          <w:highlight w:val="none"/>
          <w:u w:val="single"/>
          <w:lang w:eastAsia="zh-CN"/>
        </w:rPr>
        <w:t>（在招标结束后邮寄投标文件的要求）</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  为方便开启，供应商应将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第一部分和第二部分的内容合并装订成一册，密封提交，并在封皮正面标明“</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”字样。</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如果供应商未按上述要求标记的，将承担相应的后果。</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84" w:name="_Toc15282"/>
      <w:bookmarkStart w:id="485" w:name="_Toc5284"/>
      <w:bookmarkStart w:id="486" w:name="_Toc9344"/>
      <w:bookmarkStart w:id="487" w:name="_Toc28578"/>
      <w:bookmarkStart w:id="488" w:name="_Toc6497"/>
      <w:bookmarkStart w:id="489" w:name="_Toc20806"/>
      <w:bookmarkStart w:id="490" w:name="_Toc24185"/>
      <w:bookmarkStart w:id="491" w:name="_Toc27812"/>
      <w:bookmarkStart w:id="492" w:name="_Toc16555"/>
      <w:bookmarkStart w:id="493" w:name="_Toc31644"/>
      <w:bookmarkStart w:id="494" w:name="_Toc28699"/>
      <w:r>
        <w:rPr>
          <w:rFonts w:hint="eastAsia" w:ascii="宋体" w:hAnsi="宋体" w:eastAsia="宋体" w:cs="宋体"/>
          <w:b/>
          <w:bCs/>
          <w:color w:val="auto"/>
          <w:sz w:val="24"/>
          <w:szCs w:val="24"/>
          <w:highlight w:val="none"/>
          <w:u w:val="none"/>
          <w:lang w:val="en-US" w:eastAsia="zh-CN"/>
        </w:rPr>
        <w:t>投标</w:t>
      </w:r>
      <w:r>
        <w:rPr>
          <w:rFonts w:hint="eastAsia" w:ascii="宋体" w:hAnsi="宋体" w:eastAsia="宋体" w:cs="宋体"/>
          <w:b/>
          <w:bCs/>
          <w:color w:val="auto"/>
          <w:sz w:val="24"/>
          <w:szCs w:val="24"/>
          <w:highlight w:val="none"/>
          <w:u w:val="none"/>
        </w:rPr>
        <w:t>截止</w:t>
      </w:r>
      <w:bookmarkEnd w:id="484"/>
      <w:bookmarkEnd w:id="485"/>
      <w:bookmarkEnd w:id="486"/>
      <w:bookmarkEnd w:id="487"/>
      <w:bookmarkEnd w:id="488"/>
      <w:bookmarkEnd w:id="489"/>
      <w:bookmarkEnd w:id="490"/>
      <w:bookmarkEnd w:id="491"/>
      <w:bookmarkEnd w:id="492"/>
      <w:bookmarkEnd w:id="493"/>
      <w:bookmarkEnd w:id="494"/>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供应商应在供应商须知资料表中规定的</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截止时间前，将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上传到</w:t>
      </w:r>
      <w:r>
        <w:rPr>
          <w:rFonts w:hint="eastAsia" w:ascii="宋体" w:hAnsi="宋体" w:eastAsia="宋体" w:cs="宋体"/>
          <w:color w:val="auto"/>
          <w:sz w:val="24"/>
          <w:szCs w:val="24"/>
          <w:highlight w:val="none"/>
          <w:lang w:val="en-US" w:eastAsia="zh-CN"/>
        </w:rPr>
        <w:t>公开招标</w:t>
      </w:r>
      <w:r>
        <w:rPr>
          <w:rFonts w:hint="eastAsia" w:ascii="宋体" w:hAnsi="宋体" w:eastAsia="宋体" w:cs="宋体"/>
          <w:color w:val="auto"/>
          <w:sz w:val="24"/>
          <w:szCs w:val="24"/>
          <w:highlight w:val="none"/>
        </w:rPr>
        <w:t>公告中规定的地点。</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采购人和采购代理机构有权按本须知的规定，延迟</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截止时间。在此情况下，采购人、采购代理机构和供应商受</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截止时间制约的所有权利和义务均应延长至新的截止时间。</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采购人和采购代理机构将拒绝接收在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495" w:name="_Toc16255"/>
      <w:bookmarkStart w:id="496" w:name="_Toc6653"/>
      <w:bookmarkStart w:id="497" w:name="_Toc30874"/>
      <w:bookmarkStart w:id="498" w:name="_Toc3194"/>
      <w:bookmarkStart w:id="499" w:name="_Toc10568"/>
      <w:bookmarkStart w:id="500" w:name="_Toc29733"/>
      <w:bookmarkStart w:id="501" w:name="_Toc32019"/>
      <w:bookmarkStart w:id="502" w:name="_Toc31990"/>
      <w:bookmarkStart w:id="503" w:name="_Toc27841"/>
      <w:bookmarkStart w:id="504" w:name="_Toc4342"/>
      <w:bookmarkStart w:id="505" w:name="_Toc27119"/>
      <w:r>
        <w:rPr>
          <w:rFonts w:hint="eastAsia" w:ascii="宋体" w:hAnsi="宋体" w:eastAsia="宋体" w:cs="宋体"/>
          <w:b/>
          <w:bCs/>
          <w:color w:val="auto"/>
          <w:sz w:val="24"/>
          <w:szCs w:val="24"/>
          <w:highlight w:val="none"/>
          <w:u w:val="none"/>
          <w:lang w:eastAsia="zh-CN"/>
        </w:rPr>
        <w:t>投标文件</w:t>
      </w:r>
      <w:r>
        <w:rPr>
          <w:rFonts w:hint="eastAsia" w:ascii="宋体" w:hAnsi="宋体" w:eastAsia="宋体" w:cs="宋体"/>
          <w:b/>
          <w:bCs/>
          <w:color w:val="auto"/>
          <w:sz w:val="24"/>
          <w:szCs w:val="24"/>
          <w:highlight w:val="none"/>
          <w:u w:val="none"/>
        </w:rPr>
        <w:t>的接收、修改与撤回</w:t>
      </w:r>
      <w:bookmarkEnd w:id="495"/>
      <w:bookmarkEnd w:id="496"/>
      <w:bookmarkEnd w:id="497"/>
      <w:bookmarkEnd w:id="498"/>
      <w:bookmarkEnd w:id="499"/>
      <w:bookmarkEnd w:id="500"/>
      <w:bookmarkEnd w:id="501"/>
      <w:bookmarkEnd w:id="502"/>
      <w:bookmarkEnd w:id="503"/>
      <w:bookmarkEnd w:id="504"/>
      <w:bookmarkEnd w:id="505"/>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截止时间后上传的</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的，采购人和采购代理机构将拒绝接收。</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上传</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以后，如果供应商要进行修改或撤回</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，供应商对</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的修改或撤回通知应按本须知规定编制、标记。采购人和采购代理机构将予以接收，并视为</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的组成部分。</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w:t>
      </w:r>
      <w:r>
        <w:rPr>
          <w:rFonts w:hint="eastAsia" w:ascii="宋体" w:hAnsi="宋体" w:cs="宋体"/>
          <w:color w:val="auto"/>
          <w:sz w:val="24"/>
          <w:szCs w:val="24"/>
          <w:highlight w:val="none"/>
          <w:lang w:val="en-US" w:eastAsia="zh-CN"/>
        </w:rPr>
        <w:t>时间</w:t>
      </w:r>
      <w:r>
        <w:rPr>
          <w:rFonts w:hint="eastAsia" w:ascii="宋体" w:hAnsi="宋体" w:eastAsia="宋体" w:cs="宋体"/>
          <w:color w:val="auto"/>
          <w:sz w:val="24"/>
          <w:szCs w:val="24"/>
          <w:highlight w:val="none"/>
        </w:rPr>
        <w:t>之后，采购人和采购代理机构不接受供应商主动对其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做任何修改。</w:t>
      </w:r>
    </w:p>
    <w:p>
      <w:pPr>
        <w:pageBreakBefore w:val="0"/>
        <w:shd w:val="clear"/>
        <w:kinsoku/>
        <w:wordWrap/>
        <w:overflowPunct/>
        <w:topLinePunct w:val="0"/>
        <w:bidi w:val="0"/>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采购人和采购代理机构对所接收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概不退回。</w:t>
      </w:r>
    </w:p>
    <w:p>
      <w:pPr>
        <w:pageBreakBefore w:val="0"/>
        <w:widowControl w:val="0"/>
        <w:kinsoku/>
        <w:wordWrap/>
        <w:overflowPunct/>
        <w:topLinePunct w:val="0"/>
        <w:bidi w:val="0"/>
        <w:spacing w:before="0" w:line="360" w:lineRule="exact"/>
        <w:ind w:left="0" w:leftChars="0" w:hanging="540"/>
        <w:textAlignment w:val="auto"/>
        <w:outlineLvl w:val="9"/>
        <w:rPr>
          <w:rFonts w:hint="eastAsia" w:ascii="宋体" w:hAnsi="宋体" w:eastAsia="宋体" w:cs="宋体"/>
          <w:color w:val="auto"/>
          <w:sz w:val="24"/>
          <w:szCs w:val="24"/>
          <w:highlight w:val="none"/>
        </w:rPr>
      </w:pPr>
      <w:bookmarkStart w:id="506" w:name="_Toc28398"/>
      <w:bookmarkStart w:id="507" w:name="_Toc216582809"/>
      <w:bookmarkStart w:id="508" w:name="_Toc515647778"/>
      <w:bookmarkStart w:id="509" w:name="_Toc520356163"/>
      <w:bookmarkStart w:id="510" w:name="_Toc7470"/>
      <w:bookmarkStart w:id="511" w:name="_Toc12436"/>
    </w:p>
    <w:p>
      <w:pPr>
        <w:pStyle w:val="6"/>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512" w:name="_Toc7895"/>
      <w:r>
        <w:rPr>
          <w:rFonts w:hint="eastAsia" w:ascii="宋体" w:hAnsi="宋体" w:eastAsia="宋体" w:cs="宋体"/>
          <w:color w:val="auto"/>
          <w:sz w:val="24"/>
          <w:szCs w:val="24"/>
          <w:highlight w:val="none"/>
        </w:rPr>
        <w:t>五   开标及评标</w:t>
      </w:r>
      <w:bookmarkEnd w:id="506"/>
      <w:bookmarkEnd w:id="507"/>
      <w:bookmarkEnd w:id="508"/>
      <w:bookmarkEnd w:id="509"/>
      <w:bookmarkEnd w:id="510"/>
      <w:bookmarkEnd w:id="511"/>
      <w:bookmarkEnd w:id="512"/>
    </w:p>
    <w:p>
      <w:pPr>
        <w:pageBreakBefore w:val="0"/>
        <w:kinsoku/>
        <w:wordWrap/>
        <w:overflowPunct/>
        <w:topLinePunct w:val="0"/>
        <w:bidi w:val="0"/>
        <w:spacing w:line="360" w:lineRule="exact"/>
        <w:rPr>
          <w:rFonts w:hint="eastAsia" w:ascii="宋体" w:hAnsi="宋体" w:eastAsia="宋体" w:cs="宋体"/>
          <w:color w:val="auto"/>
          <w:sz w:val="24"/>
          <w:szCs w:val="24"/>
          <w:highlight w:val="none"/>
        </w:rPr>
      </w:pP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513" w:name="_Toc7236"/>
      <w:bookmarkStart w:id="514" w:name="_Toc23987"/>
      <w:bookmarkStart w:id="515" w:name="_Toc515647779"/>
      <w:bookmarkStart w:id="516" w:name="_Toc21418"/>
      <w:bookmarkStart w:id="517" w:name="_Toc17546"/>
      <w:bookmarkStart w:id="518" w:name="_Toc1738"/>
      <w:bookmarkStart w:id="519" w:name="_Toc25345"/>
      <w:bookmarkStart w:id="520" w:name="_Toc23772"/>
      <w:bookmarkStart w:id="521" w:name="_Toc22449"/>
      <w:bookmarkStart w:id="522" w:name="_Toc10415"/>
      <w:bookmarkStart w:id="523" w:name="_Toc10643"/>
      <w:bookmarkStart w:id="524" w:name="_Toc2886"/>
      <w:bookmarkStart w:id="525" w:name="_Toc28057"/>
      <w:bookmarkStart w:id="526" w:name="_Toc4191"/>
      <w:bookmarkStart w:id="527" w:name="_Toc24922"/>
      <w:bookmarkStart w:id="528" w:name="_Toc520356164"/>
      <w:bookmarkStart w:id="529" w:name="_Toc7186"/>
      <w:bookmarkStart w:id="530" w:name="_Toc9474"/>
      <w:bookmarkStart w:id="531" w:name="_Toc63"/>
      <w:bookmarkStart w:id="532" w:name="_Toc4385"/>
      <w:bookmarkStart w:id="533" w:name="_Toc11144"/>
      <w:bookmarkStart w:id="534" w:name="_Toc32409"/>
      <w:bookmarkStart w:id="535" w:name="_Toc23864"/>
      <w:bookmarkStart w:id="536" w:name="_Toc4423"/>
      <w:bookmarkStart w:id="537" w:name="_Toc11726"/>
      <w:bookmarkStart w:id="538" w:name="_Toc4771"/>
      <w:bookmarkStart w:id="539" w:name="_Toc9432"/>
      <w:bookmarkStart w:id="540" w:name="_Toc4378"/>
      <w:bookmarkStart w:id="541" w:name="_Toc520356165"/>
      <w:bookmarkStart w:id="542" w:name="_Toc28586"/>
      <w:bookmarkStart w:id="543" w:name="_Toc10550"/>
      <w:bookmarkStart w:id="544" w:name="_Toc18233"/>
      <w:bookmarkStart w:id="545" w:name="_Toc10746"/>
      <w:bookmarkStart w:id="546" w:name="_Toc26266"/>
      <w:bookmarkStart w:id="547" w:name="_Toc5052"/>
      <w:bookmarkStart w:id="548" w:name="_Toc22792"/>
      <w:bookmarkStart w:id="549" w:name="_Toc21667"/>
      <w:bookmarkStart w:id="550" w:name="_Toc515647780"/>
      <w:bookmarkStart w:id="551" w:name="_Toc22770"/>
      <w:bookmarkStart w:id="552" w:name="_Toc16864"/>
      <w:bookmarkStart w:id="553" w:name="_Toc21372"/>
      <w:bookmarkStart w:id="554" w:name="_Toc2316"/>
      <w:bookmarkStart w:id="555" w:name="_Toc4063"/>
      <w:bookmarkStart w:id="556" w:name="_Toc18228"/>
      <w:bookmarkStart w:id="557" w:name="_Toc19296"/>
      <w:bookmarkStart w:id="558" w:name="_Toc3080"/>
      <w:r>
        <w:rPr>
          <w:rFonts w:hint="eastAsia" w:ascii="宋体" w:hAnsi="宋体" w:eastAsia="宋体" w:cs="宋体"/>
          <w:b/>
          <w:bCs/>
          <w:color w:val="auto"/>
          <w:sz w:val="24"/>
          <w:szCs w:val="24"/>
          <w:highlight w:val="none"/>
          <w:u w:val="none"/>
        </w:rPr>
        <w:t>开标</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18.1供应商按照须知资料表中规定的开标时间和地点，在规定时间内上传投标文件。</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18.2到投标截止时间，对供应商上传的投标文件进行解密，解密时长为30分钟。供应商须在规定时间内使用CA锁在政采云平台解密，解密失败或未在规定时间内解密，将无法参加下一阶段的投标，将被认定为无效投标。请供应商提前调试好CA锁，确定在操作时能正常使用。  </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18.3在开标记录时，代理机构开启签字时段，须供应商使用CA锁在政采云平台进行签字确认报价。</w:t>
      </w:r>
    </w:p>
    <w:p>
      <w:pPr>
        <w:keepNext w:val="0"/>
        <w:keepLines w:val="0"/>
        <w:pageBreakBefore w:val="0"/>
        <w:widowControl w:val="0"/>
        <w:shd w:val="clear" w:color="auto" w:fill="auto"/>
        <w:kinsoku/>
        <w:wordWrap/>
        <w:overflowPunct/>
        <w:topLinePunct w:val="0"/>
        <w:bidi w:val="0"/>
        <w:snapToGrid/>
        <w:spacing w:line="360" w:lineRule="exact"/>
        <w:ind w:left="960" w:hanging="960" w:hanging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18.4采购人登录政采云平台对供应商的资格证明材料进行审查</w:t>
      </w:r>
      <w:r>
        <w:rPr>
          <w:rFonts w:hint="eastAsia" w:ascii="宋体" w:hAnsi="宋体" w:eastAsia="宋体" w:cs="宋体"/>
          <w:color w:val="auto"/>
          <w:sz w:val="24"/>
          <w:szCs w:val="24"/>
          <w:highlight w:val="none"/>
        </w:rPr>
        <w:t>。</w:t>
      </w:r>
    </w:p>
    <w:bookmarkEnd w:id="541"/>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eastAsia="zh-CN"/>
        </w:rPr>
      </w:pPr>
      <w:bookmarkStart w:id="559" w:name="_Toc24244"/>
      <w:bookmarkStart w:id="560" w:name="_Toc20023"/>
      <w:bookmarkStart w:id="561" w:name="_Toc10619"/>
      <w:bookmarkStart w:id="562" w:name="_Toc4755"/>
      <w:bookmarkStart w:id="563" w:name="_Toc11617"/>
      <w:bookmarkStart w:id="564" w:name="_Toc13596"/>
      <w:bookmarkStart w:id="565" w:name="_Toc1687"/>
      <w:bookmarkStart w:id="566" w:name="_Toc4767"/>
      <w:bookmarkStart w:id="567" w:name="_Toc23873"/>
      <w:bookmarkStart w:id="568" w:name="_Toc8996"/>
      <w:bookmarkStart w:id="569" w:name="_Toc24046"/>
      <w:r>
        <w:rPr>
          <w:rFonts w:hint="eastAsia" w:ascii="宋体" w:hAnsi="宋体" w:eastAsia="宋体" w:cs="宋体"/>
          <w:b/>
          <w:bCs/>
          <w:color w:val="auto"/>
          <w:sz w:val="24"/>
          <w:szCs w:val="24"/>
          <w:highlight w:val="none"/>
          <w:u w:val="none"/>
          <w:lang w:eastAsia="zh-CN"/>
        </w:rPr>
        <w:t>资格审查及组建评标委员会</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20" w:leftChars="0" w:hanging="720" w:hangingChars="300"/>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19.1</w:t>
      </w:r>
      <w:r>
        <w:rPr>
          <w:rFonts w:hint="eastAsia" w:ascii="宋体" w:hAnsi="宋体" w:eastAsia="宋体" w:cs="宋体"/>
          <w:color w:val="auto"/>
          <w:sz w:val="24"/>
          <w:szCs w:val="24"/>
          <w:highlight w:val="none"/>
          <w:lang w:eastAsia="zh-CN"/>
        </w:rPr>
        <w:t xml:space="preserve"> 采购人或采购代理机构依据法律法规和招标文件中规定的内容，对供应商及其</w:t>
      </w:r>
      <w:r>
        <w:rPr>
          <w:rFonts w:hint="eastAsia" w:ascii="宋体" w:hAnsi="宋体" w:cs="宋体"/>
          <w:color w:val="auto"/>
          <w:sz w:val="24"/>
          <w:szCs w:val="24"/>
          <w:highlight w:val="none"/>
          <w:lang w:eastAsia="zh-CN"/>
        </w:rPr>
        <w:t>货物</w:t>
      </w:r>
      <w:r>
        <w:rPr>
          <w:rFonts w:hint="eastAsia" w:ascii="宋体" w:hAnsi="宋体" w:eastAsia="宋体" w:cs="宋体"/>
          <w:color w:val="auto"/>
          <w:sz w:val="24"/>
          <w:szCs w:val="24"/>
          <w:highlight w:val="none"/>
          <w:lang w:eastAsia="zh-CN"/>
        </w:rPr>
        <w:t>的资格进行审查，本项目审查内容如下：</w:t>
      </w:r>
    </w:p>
    <w:p>
      <w:pPr>
        <w:keepNext w:val="0"/>
        <w:keepLines w:val="0"/>
        <w:pageBreakBefore w:val="0"/>
        <w:widowControl w:val="0"/>
        <w:shd w:val="clear" w:color="auto" w:fill="auto"/>
        <w:kinsoku/>
        <w:wordWrap/>
        <w:overflowPunct/>
        <w:topLinePunct w:val="0"/>
        <w:autoSpaceDE/>
        <w:autoSpaceDN/>
        <w:bidi w:val="0"/>
        <w:adjustRightInd/>
        <w:snapToGrid w:val="0"/>
        <w:spacing w:beforeAutospacing="0" w:afterAutospacing="0" w:line="360" w:lineRule="exact"/>
        <w:ind w:left="718" w:leftChars="342" w:firstLine="0" w:firstLineChars="0"/>
        <w:jc w:val="both"/>
        <w:textAlignment w:val="baseline"/>
        <w:rPr>
          <w:rFonts w:hint="eastAsia" w:ascii="宋体" w:hAnsi="宋体" w:eastAsia="宋体" w:cs="宋体"/>
          <w:b/>
          <w:bCs/>
          <w:color w:val="auto"/>
          <w:sz w:val="24"/>
          <w:szCs w:val="24"/>
          <w:highlight w:val="none"/>
        </w:rPr>
      </w:pPr>
      <w:r>
        <w:rPr>
          <w:rFonts w:hint="eastAsia" w:ascii="宋体" w:hAnsi="宋体" w:eastAsia="宋体" w:cs="宋体"/>
          <w:b/>
          <w:bCs/>
          <w:i w:val="0"/>
          <w:caps w:val="0"/>
          <w:color w:val="auto"/>
          <w:spacing w:val="0"/>
          <w:w w:val="100"/>
          <w:sz w:val="24"/>
          <w:szCs w:val="24"/>
          <w:highlight w:val="none"/>
        </w:rPr>
        <w:t>本项目</w:t>
      </w:r>
      <w:r>
        <w:rPr>
          <w:rFonts w:hint="eastAsia" w:ascii="宋体" w:hAnsi="宋体" w:eastAsia="宋体" w:cs="宋体"/>
          <w:b/>
          <w:bCs/>
          <w:i w:val="0"/>
          <w:caps w:val="0"/>
          <w:color w:val="auto"/>
          <w:spacing w:val="0"/>
          <w:w w:val="100"/>
          <w:sz w:val="24"/>
          <w:szCs w:val="24"/>
          <w:highlight w:val="none"/>
          <w:lang w:val="en-US" w:eastAsia="zh-CN"/>
        </w:rPr>
        <w:t>资格审查资料须附在投标文件中</w:t>
      </w:r>
      <w:r>
        <w:rPr>
          <w:rFonts w:hint="eastAsia" w:ascii="宋体" w:hAnsi="宋体" w:eastAsia="宋体" w:cs="宋体"/>
          <w:b/>
          <w:bCs/>
          <w:i w:val="0"/>
          <w:caps w:val="0"/>
          <w:color w:val="auto"/>
          <w:spacing w:val="0"/>
          <w:w w:val="100"/>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（1）</w:t>
      </w:r>
      <w:r>
        <w:rPr>
          <w:rFonts w:hint="eastAsia" w:ascii="宋体" w:hAnsi="宋体" w:cs="宋体"/>
          <w:b/>
          <w:bCs/>
          <w:i w:val="0"/>
          <w:caps w:val="0"/>
          <w:color w:val="auto"/>
          <w:spacing w:val="0"/>
          <w:w w:val="100"/>
          <w:sz w:val="24"/>
          <w:szCs w:val="24"/>
          <w:highlight w:val="none"/>
          <w:lang w:val="en-US" w:eastAsia="zh-CN"/>
        </w:rPr>
        <w:t>具有有效的营业执照</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（2）法定代表人资格证明及授权书、被授权人身份证(法定代表人投标需提供法定代表人身份证)；</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3</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提供近两年内任意一年的财务审计报告</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4</w:t>
      </w:r>
      <w:r>
        <w:rPr>
          <w:rFonts w:hint="eastAsia" w:ascii="宋体" w:hAnsi="宋体" w:eastAsia="宋体" w:cs="宋体"/>
          <w:b/>
          <w:bCs/>
          <w:i w:val="0"/>
          <w:caps w:val="0"/>
          <w:color w:val="auto"/>
          <w:spacing w:val="0"/>
          <w:w w:val="100"/>
          <w:sz w:val="24"/>
          <w:szCs w:val="24"/>
          <w:highlight w:val="none"/>
          <w:lang w:val="en-US" w:eastAsia="zh-CN"/>
        </w:rPr>
        <w:t>）依法缴纳近六个月内任意一个月</w:t>
      </w:r>
      <w:r>
        <w:rPr>
          <w:rFonts w:hint="eastAsia" w:ascii="宋体" w:hAnsi="宋体" w:cs="宋体"/>
          <w:b/>
          <w:bCs/>
          <w:i w:val="0"/>
          <w:caps w:val="0"/>
          <w:color w:val="auto"/>
          <w:spacing w:val="0"/>
          <w:w w:val="100"/>
          <w:sz w:val="24"/>
          <w:szCs w:val="24"/>
          <w:highlight w:val="none"/>
          <w:lang w:val="en-US" w:eastAsia="zh-CN"/>
        </w:rPr>
        <w:t>社会保险证明</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5</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6</w:t>
      </w:r>
      <w:r>
        <w:rPr>
          <w:rFonts w:hint="eastAsia" w:ascii="宋体" w:hAnsi="宋体" w:eastAsia="宋体" w:cs="宋体"/>
          <w:b/>
          <w:bCs/>
          <w:i w:val="0"/>
          <w:caps w:val="0"/>
          <w:color w:val="auto"/>
          <w:spacing w:val="0"/>
          <w:w w:val="100"/>
          <w:sz w:val="24"/>
          <w:szCs w:val="24"/>
          <w:highlight w:val="none"/>
          <w:lang w:val="en-US"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国家企业信用信息公示系统（http://www.gsxt.gov.cn）”</w:t>
      </w:r>
      <w:r>
        <w:rPr>
          <w:rFonts w:hint="eastAsia" w:ascii="宋体" w:hAnsi="宋体" w:cs="宋体"/>
          <w:b/>
          <w:bCs/>
          <w:i w:val="0"/>
          <w:caps w:val="0"/>
          <w:color w:val="auto"/>
          <w:spacing w:val="0"/>
          <w:w w:val="100"/>
          <w:sz w:val="24"/>
          <w:szCs w:val="24"/>
          <w:highlight w:val="none"/>
          <w:lang w:val="en-US" w:eastAsia="zh-CN"/>
        </w:rPr>
        <w:t>列入严重违法失信名单（黑名单）信息；将拒绝其参加本次招标活动</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以采购代理机构或采购人查询为准</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7</w:t>
      </w:r>
      <w:r>
        <w:rPr>
          <w:rFonts w:hint="eastAsia" w:ascii="宋体" w:hAnsi="宋体" w:eastAsia="宋体" w:cs="宋体"/>
          <w:b/>
          <w:bCs/>
          <w:i w:val="0"/>
          <w:caps w:val="0"/>
          <w:color w:val="auto"/>
          <w:spacing w:val="0"/>
          <w:w w:val="100"/>
          <w:sz w:val="24"/>
          <w:szCs w:val="24"/>
          <w:highlight w:val="none"/>
          <w:lang w:val="en-US" w:eastAsia="zh-CN"/>
        </w:rPr>
        <w:t>）参与政府采购活动前3年内未被列入失信、重大税收违法案件、财政部门禁止参加政府采购活动的承诺书；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i w:val="0"/>
          <w:caps w:val="0"/>
          <w:color w:val="auto"/>
          <w:spacing w:val="0"/>
          <w:w w:val="100"/>
          <w:sz w:val="24"/>
          <w:szCs w:val="24"/>
          <w:highlight w:val="none"/>
          <w:lang w:eastAsia="zh-CN"/>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8</w:t>
      </w:r>
      <w:r>
        <w:rPr>
          <w:rFonts w:hint="eastAsia" w:ascii="宋体" w:hAnsi="宋体" w:eastAsia="宋体" w:cs="宋体"/>
          <w:b/>
          <w:bCs/>
          <w:i w:val="0"/>
          <w:caps w:val="0"/>
          <w:color w:val="auto"/>
          <w:spacing w:val="0"/>
          <w:w w:val="100"/>
          <w:sz w:val="24"/>
          <w:szCs w:val="24"/>
          <w:highlight w:val="none"/>
          <w:lang w:val="en-US" w:eastAsia="zh-CN"/>
        </w:rPr>
        <w:t>）提供针对本次项目的《反商业贿赂承诺书》</w:t>
      </w:r>
      <w:r>
        <w:rPr>
          <w:rFonts w:hint="eastAsia" w:ascii="宋体" w:hAnsi="宋体" w:eastAsia="宋体" w:cs="宋体"/>
          <w:b/>
          <w:bCs/>
          <w:i w:val="0"/>
          <w:caps w:val="0"/>
          <w:color w:val="auto"/>
          <w:spacing w:val="0"/>
          <w:w w:val="100"/>
          <w:sz w:val="24"/>
          <w:szCs w:val="24"/>
          <w:highlight w:val="none"/>
          <w:lang w:eastAsia="zh-CN"/>
        </w:rPr>
        <w:t>；</w:t>
      </w:r>
    </w:p>
    <w:p>
      <w:pPr>
        <w:pStyle w:val="19"/>
        <w:pageBreakBefore w:val="0"/>
        <w:kinsoku/>
        <w:wordWrap/>
        <w:overflowPunct/>
        <w:topLinePunct w:val="0"/>
        <w:bidi w:val="0"/>
        <w:spacing w:line="360" w:lineRule="exact"/>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9</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eastAsia="宋体" w:cs="宋体"/>
          <w:b/>
          <w:bCs/>
          <w:i w:val="0"/>
          <w:caps w:val="0"/>
          <w:color w:val="auto"/>
          <w:spacing w:val="0"/>
          <w:w w:val="100"/>
          <w:kern w:val="2"/>
          <w:sz w:val="24"/>
          <w:szCs w:val="24"/>
          <w:highlight w:val="none"/>
          <w:lang w:val="en-US" w:eastAsia="zh-CN" w:bidi="ar-SA"/>
        </w:rPr>
        <w:t>缴纳投标保证金的有效凭证。</w:t>
      </w:r>
    </w:p>
    <w:p>
      <w:pPr>
        <w:pStyle w:val="19"/>
        <w:pageBreakBefore w:val="0"/>
        <w:kinsoku/>
        <w:wordWrap/>
        <w:overflowPunct/>
        <w:topLinePunct w:val="0"/>
        <w:bidi w:val="0"/>
        <w:spacing w:line="360" w:lineRule="exact"/>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cs="宋体"/>
          <w:b/>
          <w:bCs/>
          <w:i w:val="0"/>
          <w:caps w:val="0"/>
          <w:color w:val="auto"/>
          <w:spacing w:val="0"/>
          <w:w w:val="100"/>
          <w:sz w:val="24"/>
          <w:szCs w:val="24"/>
          <w:highlight w:val="none"/>
          <w:lang w:val="en-US" w:eastAsia="zh-CN"/>
        </w:rPr>
        <w:t>10</w:t>
      </w:r>
      <w:r>
        <w:rPr>
          <w:rFonts w:hint="eastAsia" w:ascii="宋体" w:hAnsi="宋体" w:eastAsia="宋体" w:cs="宋体"/>
          <w:b/>
          <w:bCs/>
          <w:i w:val="0"/>
          <w:caps w:val="0"/>
          <w:color w:val="auto"/>
          <w:spacing w:val="0"/>
          <w:w w:val="100"/>
          <w:sz w:val="24"/>
          <w:szCs w:val="24"/>
          <w:highlight w:val="none"/>
          <w:lang w:val="en-US" w:eastAsia="zh-CN"/>
        </w:rPr>
        <w:t>）</w:t>
      </w:r>
      <w:r>
        <w:rPr>
          <w:rFonts w:hint="eastAsia" w:ascii="宋体" w:hAnsi="宋体" w:eastAsia="宋体" w:cs="宋体"/>
          <w:b/>
          <w:bCs/>
          <w:i w:val="0"/>
          <w:caps w:val="0"/>
          <w:color w:val="auto"/>
          <w:spacing w:val="0"/>
          <w:w w:val="100"/>
          <w:kern w:val="2"/>
          <w:sz w:val="24"/>
          <w:szCs w:val="24"/>
          <w:highlight w:val="none"/>
          <w:lang w:val="en-US" w:eastAsia="zh-CN" w:bidi="ar-SA"/>
        </w:rPr>
        <w:t>须具备城乡规划编制乙级及以上资质（含乙级）证书或土地规划乙级及以上资质（含乙级）证书。</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firstLine="482" w:firstLineChars="200"/>
        <w:jc w:val="left"/>
        <w:textAlignment w:val="baseline"/>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cs="宋体"/>
          <w:b/>
          <w:bCs/>
          <w:i w:val="0"/>
          <w:caps w:val="0"/>
          <w:color w:val="auto"/>
          <w:spacing w:val="0"/>
          <w:w w:val="100"/>
          <w:sz w:val="24"/>
          <w:szCs w:val="24"/>
          <w:highlight w:val="none"/>
          <w:lang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r>
        <w:rPr>
          <w:rFonts w:hint="eastAsia" w:ascii="宋体" w:hAnsi="宋体" w:eastAsia="宋体" w:cs="宋体"/>
          <w:b/>
          <w:bCs/>
          <w:i w:val="0"/>
          <w:caps w:val="0"/>
          <w:color w:val="auto"/>
          <w:spacing w:val="0"/>
          <w:w w:val="100"/>
          <w:sz w:val="24"/>
          <w:szCs w:val="24"/>
          <w:highlight w:val="none"/>
          <w:lang w:eastAsia="zh-CN"/>
        </w:rPr>
        <w:t>。</w:t>
      </w:r>
    </w:p>
    <w:p>
      <w:pPr>
        <w:pageBreakBefore w:val="0"/>
        <w:widowControl w:val="0"/>
        <w:kinsoku/>
        <w:wordWrap/>
        <w:overflowPunct/>
        <w:topLinePunct w:val="0"/>
        <w:bidi w:val="0"/>
        <w:spacing w:line="36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未通过资格审查的供应商不进入评标；通过资格审查的供应商少于不足三家的，不得评标。</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采购人或采购代理机构将在开标前1个工作日至投标截止后1小时的期间内查询</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的信用记录。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存在不良信用记录的，其投标将被认定为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19.2.1 不良信用记录指：供应商在“信用中国”网站（ www.creditchina.gov.cn） 被列入失信被执行人、重大税收违法案件当事人名单(信用服务-重点领域严重失信主体名单查询-搜索栏输入单位全称)、中国政府采购网（http://www.ccgp.gov.cn/search/cr/）严重违法失信行为记录名单的（尚在处罚期内的），“国家企业信用信息公示系统（http://www.gsxt.gov.cn）”列入严重违法失信企业名单（黑名单）信息。</w:t>
      </w:r>
    </w:p>
    <w:p>
      <w:pPr>
        <w:pageBreakBefore w:val="0"/>
        <w:widowControl w:val="0"/>
        <w:kinsoku/>
        <w:wordWrap/>
        <w:overflowPunct/>
        <w:topLinePunct w:val="0"/>
        <w:bidi w:val="0"/>
        <w:spacing w:line="360" w:lineRule="exact"/>
        <w:ind w:left="958" w:leftChars="456"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以联合体形式参加投标的，联合体任何成员存在以上不良信用记录的，联合体投标将被认定为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3"/>
        <w:pageBreakBefore w:val="0"/>
        <w:widowControl w:val="0"/>
        <w:kinsoku/>
        <w:wordWrap/>
        <w:overflowPunct/>
        <w:topLinePunct w:val="0"/>
        <w:bidi w:val="0"/>
        <w:spacing w:line="360" w:lineRule="exact"/>
        <w:ind w:left="849" w:leftChars="0" w:hanging="849" w:hangingChars="354"/>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19.2.2 查询及记录方式：采购人或采购代理机构经办人将查询网页打印、签字并存档备查。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不良信用记录以采购人或采购代理机构查询结果为准。</w:t>
      </w:r>
    </w:p>
    <w:p>
      <w:pPr>
        <w:pStyle w:val="3"/>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在本招标文件规定的查询时间之后，网站信息发生的任何变更均不再作为评标依据。</w:t>
      </w:r>
    </w:p>
    <w:p>
      <w:pPr>
        <w:pStyle w:val="3"/>
        <w:pageBreakBefore w:val="0"/>
        <w:widowControl w:val="0"/>
        <w:kinsoku/>
        <w:wordWrap/>
        <w:overflowPunct/>
        <w:topLinePunct w:val="0"/>
        <w:bidi w:val="0"/>
        <w:spacing w:line="360" w:lineRule="exact"/>
        <w:ind w:left="0" w:leftChars="0" w:firstLine="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自行提供的与网站信息不一致的其他证明材料亦不作为资格审查依据。</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   按照《中华人民共和国政府采购法》、《中华人民共和国政府采购法实施条例》</w:t>
      </w:r>
      <w:r>
        <w:rPr>
          <w:rFonts w:hint="eastAsia" w:ascii="宋体" w:hAnsi="宋体" w:eastAsia="宋体" w:cs="宋体"/>
          <w:color w:val="auto"/>
          <w:sz w:val="24"/>
          <w:szCs w:val="24"/>
          <w:highlight w:val="none"/>
          <w:lang w:eastAsia="zh-CN"/>
        </w:rPr>
        <w:t>、《政府采购货物和服务招标投标管理办法》财政部令第87号</w:t>
      </w:r>
      <w:r>
        <w:rPr>
          <w:rFonts w:hint="eastAsia" w:ascii="宋体" w:hAnsi="宋体" w:eastAsia="宋体" w:cs="宋体"/>
          <w:color w:val="auto"/>
          <w:sz w:val="24"/>
          <w:szCs w:val="24"/>
          <w:highlight w:val="none"/>
        </w:rPr>
        <w:t>及本项目本级和上级财政部门的有关规定依法</w:t>
      </w:r>
      <w:bookmarkStart w:id="570" w:name="_Toc520356166"/>
      <w:r>
        <w:rPr>
          <w:rFonts w:hint="eastAsia" w:ascii="宋体" w:hAnsi="宋体" w:eastAsia="宋体" w:cs="宋体"/>
          <w:color w:val="auto"/>
          <w:sz w:val="24"/>
          <w:szCs w:val="24"/>
          <w:highlight w:val="none"/>
          <w:lang w:eastAsia="zh-CN"/>
        </w:rPr>
        <w:t>在</w:t>
      </w:r>
      <w:r>
        <w:rPr>
          <w:rFonts w:hint="eastAsia" w:ascii="宋体" w:hAnsi="宋体" w:eastAsia="宋体" w:cs="宋体"/>
          <w:b/>
          <w:bCs/>
          <w:color w:val="auto"/>
          <w:sz w:val="24"/>
          <w:szCs w:val="24"/>
          <w:highlight w:val="none"/>
          <w:lang w:eastAsia="zh-CN"/>
        </w:rPr>
        <w:t>政采云平台上随机抽取</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名</w:t>
      </w:r>
      <w:r>
        <w:rPr>
          <w:rFonts w:hint="eastAsia" w:ascii="宋体" w:hAnsi="宋体" w:eastAsia="宋体" w:cs="宋体"/>
          <w:b/>
          <w:bCs/>
          <w:color w:val="auto"/>
          <w:sz w:val="24"/>
          <w:szCs w:val="24"/>
          <w:highlight w:val="none"/>
          <w:lang w:eastAsia="zh-CN"/>
        </w:rPr>
        <w:t>专家</w:t>
      </w:r>
      <w:r>
        <w:rPr>
          <w:rFonts w:hint="eastAsia" w:ascii="宋体" w:hAnsi="宋体" w:eastAsia="宋体" w:cs="宋体"/>
          <w:color w:val="auto"/>
          <w:sz w:val="24"/>
          <w:szCs w:val="24"/>
          <w:highlight w:val="none"/>
        </w:rPr>
        <w:t>负责评标工作。</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571" w:name="_Toc6771"/>
      <w:bookmarkStart w:id="572" w:name="_Toc22736"/>
      <w:bookmarkStart w:id="573" w:name="_Toc7962"/>
      <w:bookmarkStart w:id="574" w:name="_Toc22021"/>
      <w:bookmarkStart w:id="575" w:name="_Toc22009"/>
      <w:bookmarkStart w:id="576" w:name="_Toc515647781"/>
      <w:bookmarkStart w:id="577" w:name="_Toc27593"/>
      <w:bookmarkStart w:id="578" w:name="_Toc19949"/>
      <w:bookmarkStart w:id="579" w:name="_Toc14028"/>
      <w:bookmarkStart w:id="580" w:name="_Toc827"/>
      <w:bookmarkStart w:id="581" w:name="_Toc31534"/>
      <w:bookmarkStart w:id="582" w:name="_Toc18754"/>
      <w:bookmarkStart w:id="583" w:name="_Toc32378"/>
      <w:bookmarkStart w:id="584" w:name="_Toc21876"/>
      <w:bookmarkStart w:id="585" w:name="_Toc19094"/>
      <w:bookmarkStart w:id="586" w:name="_Toc3936"/>
      <w:bookmarkStart w:id="587" w:name="_Toc12543"/>
      <w:bookmarkStart w:id="588" w:name="_Toc14130"/>
      <w:bookmarkStart w:id="589" w:name="_Toc14377"/>
      <w:bookmarkStart w:id="590" w:name="_Toc13448"/>
      <w:bookmarkStart w:id="591" w:name="_Toc8432"/>
      <w:bookmarkStart w:id="592" w:name="_Toc13892"/>
      <w:bookmarkStart w:id="593" w:name="_Toc23573"/>
      <w:bookmarkStart w:id="594" w:name="_Toc4062"/>
      <w:bookmarkStart w:id="595" w:name="_Toc13585"/>
      <w:bookmarkStart w:id="596" w:name="_Toc28479"/>
      <w:bookmarkStart w:id="597" w:name="_Toc22105"/>
      <w:bookmarkStart w:id="598" w:name="_Toc4663"/>
      <w:r>
        <w:rPr>
          <w:rFonts w:hint="eastAsia" w:ascii="宋体" w:hAnsi="宋体" w:eastAsia="宋体" w:cs="宋体"/>
          <w:b/>
          <w:bCs/>
          <w:color w:val="auto"/>
          <w:sz w:val="24"/>
          <w:szCs w:val="24"/>
          <w:highlight w:val="none"/>
          <w:u w:val="none"/>
        </w:rPr>
        <w:t>投标文件</w:t>
      </w:r>
      <w:bookmarkEnd w:id="570"/>
      <w:r>
        <w:rPr>
          <w:rFonts w:hint="eastAsia" w:ascii="宋体" w:hAnsi="宋体" w:eastAsia="宋体" w:cs="宋体"/>
          <w:b/>
          <w:bCs/>
          <w:color w:val="auto"/>
          <w:sz w:val="24"/>
          <w:szCs w:val="24"/>
          <w:highlight w:val="none"/>
          <w:u w:val="none"/>
        </w:rPr>
        <w:t>符合性审查与澄清</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   符合性审查是指依据招标文件的规定，从投标文件的有效性和完整性对招标文件的响应程度进行审查，以确定是否对招标文件的实质性要求做出响应。</w:t>
      </w:r>
      <w:bookmarkStart w:id="599" w:name="_Hlt522424701"/>
      <w:bookmarkEnd w:id="599"/>
      <w:bookmarkStart w:id="600" w:name="_Toc52035616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投标文件的澄清</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20.2.1  在评标期间，评标委员会将以书面方式要求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对其投标文件中含义不明确、对同类问题表述不一致或者有明显文字和计算错误的内容，以及评标委员会认为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的报价明显低于其他通过符合性检查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的报价，有可能影响履约的情况作必要的澄清、说明或补正。</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的澄清、说明或补正应在评标委员会规定的时间内以书面方式进行，并不得超出投标文件范围或者改变投标文件的实质性内容。</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20.2.2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的的澄清、说明或补正将作为投标文件的一部分。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  投标文件报价出现前后不一致的，按照下列规定修正：</w:t>
      </w:r>
    </w:p>
    <w:p>
      <w:pPr>
        <w:pageBreakBefore w:val="0"/>
        <w:widowControl w:val="0"/>
        <w:kinsoku/>
        <w:wordWrap/>
        <w:overflowPunct/>
        <w:topLinePunct w:val="0"/>
        <w:bidi w:val="0"/>
        <w:spacing w:line="360" w:lineRule="exact"/>
        <w:ind w:left="1020" w:leftChars="0" w:hanging="1020" w:hangingChars="4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（一）投标文件中开标一览表（报价表）内容与投标文件中相应内容不一致的，以开标一览表（报价表）为准；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　　   （二）大写金额和小写金额</w:t>
      </w:r>
      <w:r>
        <w:rPr>
          <w:rFonts w:hint="eastAsia" w:ascii="宋体" w:hAnsi="宋体" w:eastAsia="宋体" w:cs="宋体"/>
          <w:b w:val="0"/>
          <w:bCs w:val="0"/>
          <w:color w:val="auto"/>
          <w:sz w:val="24"/>
          <w:szCs w:val="24"/>
          <w:highlight w:val="none"/>
        </w:rPr>
        <w:t>不一致的，以大写金额为准；</w:t>
      </w:r>
    </w:p>
    <w:p>
      <w:pPr>
        <w:pageBreakBefore w:val="0"/>
        <w:widowControl w:val="0"/>
        <w:kinsoku/>
        <w:wordWrap/>
        <w:overflowPunct/>
        <w:topLinePunct w:val="0"/>
        <w:bidi w:val="0"/>
        <w:spacing w:line="360" w:lineRule="exact"/>
        <w:ind w:left="1020" w:leftChars="0" w:hanging="1020" w:hangingChars="425"/>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（三）单价金额小数点或者百分比有明显错位的，以开标一览表的总价为准，并修改单价；</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（四）总价金额与按单价汇总金额不一致的，以单价金额计算结果为准。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同时出现两种以上不一致的，按照前款规定的顺序修正。修正后的报价按照第20.2条的规定经</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不确认的，其投标将被认定为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0" w:leftChars="0" w:firstLine="120" w:firstLineChars="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对不同文字文本投标文件的解释发生异议的，以中文文本为准。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   如一个分包内只有一种产品，不同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所投产品为同一品牌的，按如下方式处理：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20.4.1  如本项目使用最低评标价法，提供相同品牌产品的不同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以其中通过资格审查、符合性审查且报价最低的参加评标；报价相同的，由采购人或者采购人委托评标委员会按照招标文件中评标办法规定的方式确定一个参加评标的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；未规定的采取随机抽取方式确定，其他投标将被认定为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20.4.2  如本项目使用综合评分法，提供相同品牌产品且通过资格审查、符合性审查的不同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，按一家</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计算，评审后得分最高的同品牌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获得中标人推荐资格；评审得分相同的，由采购人或者采购人委托评标委员会按照招标文件中评标办法规定的方式确定一个</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获得中标人推荐资格；未规定的采取随机抽取方式确定，其他同品牌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不作为中标候选人。</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20.5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如采购人所采购产品为政府强制采购的节能产品，</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所投产品的品牌及型号必须为清单中有效期内产品并提供证明文件，否则其投标将被认定为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01" w:name="_Toc18245"/>
      <w:bookmarkStart w:id="602" w:name="_Toc515647782"/>
      <w:bookmarkStart w:id="603" w:name="_Toc24344"/>
      <w:bookmarkStart w:id="604" w:name="_Toc14269"/>
      <w:bookmarkStart w:id="605" w:name="_Toc5106"/>
      <w:bookmarkStart w:id="606" w:name="_Toc21138"/>
      <w:bookmarkStart w:id="607" w:name="_Toc18062"/>
      <w:bookmarkStart w:id="608" w:name="_Toc6364"/>
      <w:bookmarkStart w:id="609" w:name="_Toc16606"/>
      <w:bookmarkStart w:id="610" w:name="_Toc27571"/>
      <w:bookmarkStart w:id="611" w:name="_Toc27158"/>
      <w:bookmarkStart w:id="612" w:name="_Toc21658"/>
      <w:bookmarkStart w:id="613" w:name="_Toc28053"/>
      <w:bookmarkStart w:id="614" w:name="_Toc1550"/>
      <w:bookmarkStart w:id="615" w:name="_Toc6538"/>
      <w:bookmarkStart w:id="616" w:name="_Toc22"/>
      <w:bookmarkStart w:id="617" w:name="_Toc16070"/>
      <w:bookmarkStart w:id="618" w:name="_Toc10143"/>
      <w:bookmarkStart w:id="619" w:name="_Toc21482"/>
      <w:bookmarkStart w:id="620" w:name="_Toc29292"/>
      <w:bookmarkStart w:id="621" w:name="_Toc21796"/>
      <w:bookmarkStart w:id="622" w:name="_Toc1633"/>
      <w:bookmarkStart w:id="623" w:name="_Toc9469"/>
      <w:bookmarkStart w:id="624" w:name="_Toc19042"/>
      <w:bookmarkStart w:id="625" w:name="_Toc630"/>
      <w:bookmarkStart w:id="626" w:name="_Toc12161"/>
      <w:bookmarkStart w:id="627" w:name="_Toc11608"/>
      <w:bookmarkStart w:id="628" w:name="_Toc7973"/>
      <w:r>
        <w:rPr>
          <w:rFonts w:hint="eastAsia" w:ascii="宋体" w:hAnsi="宋体" w:eastAsia="宋体" w:cs="宋体"/>
          <w:b/>
          <w:bCs/>
          <w:color w:val="auto"/>
          <w:sz w:val="24"/>
          <w:szCs w:val="24"/>
          <w:highlight w:val="none"/>
          <w:u w:val="none"/>
        </w:rPr>
        <w:t>投标偏离</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ageBreakBefore w:val="0"/>
        <w:widowControl w:val="0"/>
        <w:kinsoku/>
        <w:wordWrap/>
        <w:overflowPunct/>
        <w:topLinePunct w:val="0"/>
        <w:bidi w:val="0"/>
        <w:spacing w:line="360" w:lineRule="exact"/>
        <w:ind w:left="640" w:leftChars="0" w:hanging="640" w:hangingChars="267"/>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评标委员会可以接受投标文件中不构成实质性偏离的不正规或不一致。</w:t>
      </w:r>
      <w:bookmarkStart w:id="629" w:name="_Toc515647783"/>
      <w:bookmarkStart w:id="630" w:name="_Toc4950"/>
      <w:bookmarkStart w:id="631" w:name="_Toc6092"/>
      <w:r>
        <w:rPr>
          <w:rFonts w:hint="eastAsia" w:ascii="宋体" w:hAnsi="宋体" w:eastAsia="宋体" w:cs="宋体"/>
          <w:color w:val="auto"/>
          <w:sz w:val="24"/>
          <w:szCs w:val="24"/>
          <w:highlight w:val="none"/>
          <w:lang w:eastAsia="zh-CN"/>
        </w:rPr>
        <w:t>本项目接受偏离，投标供应商提供参数中出现正偏离加分、负偏离扣</w:t>
      </w:r>
      <w:r>
        <w:rPr>
          <w:rFonts w:hint="eastAsia" w:ascii="宋体" w:hAnsi="宋体" w:eastAsia="宋体" w:cs="宋体"/>
          <w:color w:val="auto"/>
          <w:sz w:val="24"/>
          <w:szCs w:val="24"/>
          <w:highlight w:val="none"/>
          <w:lang w:val="en-US" w:eastAsia="zh-CN"/>
        </w:rPr>
        <w:t>分。</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32" w:name="_Toc7356"/>
      <w:bookmarkStart w:id="633" w:name="_Toc31472"/>
      <w:bookmarkStart w:id="634" w:name="_Toc13696"/>
      <w:bookmarkStart w:id="635" w:name="_Toc26299"/>
      <w:bookmarkStart w:id="636" w:name="_Toc4727"/>
      <w:bookmarkStart w:id="637" w:name="_Toc23010"/>
      <w:bookmarkStart w:id="638" w:name="_Toc13354"/>
      <w:bookmarkStart w:id="639" w:name="_Toc1222"/>
      <w:bookmarkStart w:id="640" w:name="_Toc8973"/>
      <w:bookmarkStart w:id="641" w:name="_Toc665"/>
      <w:bookmarkStart w:id="642" w:name="_Toc550"/>
      <w:bookmarkStart w:id="643" w:name="_Toc28742"/>
      <w:bookmarkStart w:id="644" w:name="_Toc20972"/>
      <w:bookmarkStart w:id="645" w:name="_Toc23335"/>
      <w:bookmarkStart w:id="646" w:name="_Toc8254"/>
      <w:bookmarkStart w:id="647" w:name="_Toc24212"/>
      <w:bookmarkStart w:id="648" w:name="_Toc20559"/>
      <w:bookmarkStart w:id="649" w:name="_Toc11798"/>
      <w:bookmarkStart w:id="650" w:name="_Toc26622"/>
      <w:bookmarkStart w:id="651" w:name="_Toc6553"/>
      <w:bookmarkStart w:id="652" w:name="_Toc12294"/>
      <w:bookmarkStart w:id="653" w:name="_Toc1257"/>
      <w:bookmarkStart w:id="654" w:name="_Toc3291"/>
      <w:bookmarkStart w:id="655" w:name="_Toc9594"/>
      <w:bookmarkStart w:id="656" w:name="_Toc18096"/>
      <w:r>
        <w:rPr>
          <w:rFonts w:hint="eastAsia" w:ascii="宋体" w:hAnsi="宋体" w:eastAsia="宋体" w:cs="宋体"/>
          <w:b/>
          <w:bCs/>
          <w:color w:val="auto"/>
          <w:sz w:val="24"/>
          <w:szCs w:val="24"/>
          <w:highlight w:val="none"/>
          <w:u w:val="none"/>
        </w:rPr>
        <w:t>投标</w:t>
      </w:r>
      <w:bookmarkEnd w:id="629"/>
      <w:r>
        <w:rPr>
          <w:rFonts w:hint="eastAsia" w:ascii="宋体" w:hAnsi="宋体" w:eastAsia="宋体" w:cs="宋体"/>
          <w:b/>
          <w:bCs/>
          <w:color w:val="auto"/>
          <w:sz w:val="24"/>
          <w:szCs w:val="24"/>
          <w:highlight w:val="none"/>
          <w:u w:val="none"/>
        </w:rPr>
        <w:t>无效</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eastAsia="宋体" w:cs="宋体"/>
          <w:b/>
          <w:bCs/>
          <w:color w:val="auto"/>
          <w:sz w:val="24"/>
          <w:szCs w:val="24"/>
          <w:highlight w:val="none"/>
        </w:rPr>
        <w:t>投标无效</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不得通过修正或撤销不符合要求的偏离，从而使其投标成为实质上响应的投标。</w:t>
      </w:r>
    </w:p>
    <w:p>
      <w:pPr>
        <w:pageBreakBefore w:val="0"/>
        <w:widowControl w:val="0"/>
        <w:kinsoku/>
        <w:wordWrap/>
        <w:overflowPunct/>
        <w:topLinePunct w:val="0"/>
        <w:bidi w:val="0"/>
        <w:spacing w:line="360" w:lineRule="exact"/>
        <w:ind w:left="718" w:leftChars="342"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评标委员会决定投标的响应性只根据招标文件要求、投标文件内容及财政主管部门指定相关信息发布媒体。</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如发现下列情况之一的，其投标将被认定为投标无效</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未按招标文件规定的形式和金额提交投标保证金的；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未按照招标文件规定要求签署、盖章的；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未满足招标文件中技术条款的实质性要求；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与其他</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串通投标，或者与</w:t>
      </w:r>
      <w:r>
        <w:rPr>
          <w:rFonts w:hint="eastAsia" w:ascii="宋体" w:hAnsi="宋体" w:eastAsia="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串通投标；</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1"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属于招标文件规定的其他投标无效情形；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8" w:leftChars="256"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评标委员会认为</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的报价明显低于其他通过符合性检查</w:t>
      </w:r>
      <w:r>
        <w:rPr>
          <w:rFonts w:hint="eastAsia" w:ascii="宋体" w:hAnsi="宋体" w:eastAsia="宋体" w:cs="宋体"/>
          <w:b/>
          <w:bCs/>
          <w:color w:val="auto"/>
          <w:sz w:val="24"/>
          <w:szCs w:val="24"/>
          <w:highlight w:val="none"/>
          <w:lang w:eastAsia="zh-CN"/>
        </w:rPr>
        <w:t>供应</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商</w:t>
      </w:r>
      <w:r>
        <w:rPr>
          <w:rFonts w:hint="eastAsia" w:ascii="宋体" w:hAnsi="宋体" w:eastAsia="宋体" w:cs="宋体"/>
          <w:b/>
          <w:bCs/>
          <w:color w:val="auto"/>
          <w:sz w:val="24"/>
          <w:szCs w:val="24"/>
          <w:highlight w:val="none"/>
        </w:rPr>
        <w:t>的报价，有可能影响履约的，且</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未按照规定证明其报价合理性的；</w:t>
      </w:r>
    </w:p>
    <w:p>
      <w:pPr>
        <w:pageBreakBefore w:val="0"/>
        <w:widowControl w:val="0"/>
        <w:numPr>
          <w:ilvl w:val="0"/>
          <w:numId w:val="0"/>
        </w:numPr>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投标文件含有采购人不能接受的附加条件的；</w:t>
      </w:r>
    </w:p>
    <w:p>
      <w:pPr>
        <w:pageBreakBefore w:val="0"/>
        <w:widowControl w:val="0"/>
        <w:numPr>
          <w:ilvl w:val="0"/>
          <w:numId w:val="0"/>
        </w:numPr>
        <w:tabs>
          <w:tab w:val="left" w:pos="0"/>
        </w:tabs>
        <w:kinsoku/>
        <w:wordWrap/>
        <w:overflowPunct/>
        <w:topLinePunct w:val="0"/>
        <w:bidi w:val="0"/>
        <w:spacing w:line="360" w:lineRule="exact"/>
        <w:ind w:left="-180" w:leftChars="0" w:firstLine="723" w:firstLineChars="3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不符合法规和招标文件中规定的其他实质性要求的。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22.3   有下列情形之一的，属于恶意串通，对供应商依照政府采购法第七十七条第一款的规定追究法律责任，对采购人、采购代理机构及其工作人员依照政府采购法第七十二条的规定追究法律责任：</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（1）供应商直接或者间接从采购人或者采购代理机构处获得其他供应商的相关情况并修改其投标文件或者投标文件；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（2）供应商按照采购人或者采购代理机构的授意撤换、修改投标文件或者投标文件；</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（3）供应商之间协商报价、技术方案等投标文件或者投标文件的实质性内容；</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（4）属于同一集团、协会、商会等组织成员的供应商按照该组织要求协同参加政府采购活动；</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（5）供应商之间事先约定由某一特定供应商中标、成交；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（6）供应商之间商定部分供应商放弃参加政府采购活动或者放弃中标、成交；</w:t>
      </w:r>
    </w:p>
    <w:p>
      <w:pPr>
        <w:pageBreakBefore w:val="0"/>
        <w:widowControl w:val="0"/>
        <w:kinsoku/>
        <w:wordWrap/>
        <w:overflowPunct/>
        <w:topLinePunct w:val="0"/>
        <w:bidi w:val="0"/>
        <w:spacing w:line="360" w:lineRule="exact"/>
        <w:ind w:left="900" w:leftChars="0" w:hanging="900" w:hangingChars="375"/>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（7）供应商与采购人或者采购代理机构之间、供应商相互之间，为谋求特定供应商中标、成交或者排斥其他供应商的其他串通行为。</w:t>
      </w:r>
    </w:p>
    <w:bookmarkEnd w:id="600"/>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57" w:name="_Toc515647784"/>
      <w:bookmarkStart w:id="658" w:name="_Toc13922"/>
      <w:bookmarkStart w:id="659" w:name="_Toc15400"/>
      <w:bookmarkStart w:id="660" w:name="_Toc13566"/>
      <w:bookmarkStart w:id="661" w:name="_Toc16915"/>
      <w:bookmarkStart w:id="662" w:name="_Toc22981"/>
      <w:bookmarkStart w:id="663" w:name="_Toc24349"/>
      <w:bookmarkStart w:id="664" w:name="_Toc20498"/>
      <w:bookmarkStart w:id="665" w:name="_Toc13750"/>
      <w:bookmarkStart w:id="666" w:name="_Toc31023"/>
      <w:bookmarkStart w:id="667" w:name="_Toc9523"/>
      <w:bookmarkStart w:id="668" w:name="_Toc20639"/>
      <w:bookmarkStart w:id="669" w:name="_Toc22267"/>
      <w:bookmarkStart w:id="670" w:name="_Toc19116"/>
      <w:bookmarkStart w:id="671" w:name="_Toc4770"/>
      <w:bookmarkStart w:id="672" w:name="_Toc22941"/>
      <w:bookmarkStart w:id="673" w:name="_Toc25837"/>
      <w:bookmarkStart w:id="674" w:name="_Toc2195"/>
      <w:bookmarkStart w:id="675" w:name="_Toc13652"/>
      <w:bookmarkStart w:id="676" w:name="_Toc2833"/>
      <w:bookmarkStart w:id="677" w:name="_Toc16167"/>
      <w:bookmarkStart w:id="678" w:name="_Toc4328"/>
      <w:bookmarkStart w:id="679" w:name="_Toc32146"/>
      <w:bookmarkStart w:id="680" w:name="_Toc3877"/>
      <w:bookmarkStart w:id="681" w:name="_Toc29015"/>
      <w:r>
        <w:rPr>
          <w:rFonts w:hint="eastAsia" w:ascii="宋体" w:hAnsi="宋体" w:eastAsia="宋体" w:cs="宋体"/>
          <w:b/>
          <w:bCs/>
          <w:color w:val="auto"/>
          <w:sz w:val="24"/>
          <w:szCs w:val="24"/>
          <w:highlight w:val="none"/>
          <w:u w:val="none"/>
        </w:rPr>
        <w:t>比较与评价</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经符合性审查合格的投标文件，评标委员会将根据招标文件确定的评标方法和标准，对其技术部分和商务部分作进一步的比较和评价。</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23.2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评标严格按照招标文件的要求和条件进行。根据实际情况，在</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中规定采用下列一种评标方法，详细评标标准见招标文件第六章：</w:t>
      </w:r>
    </w:p>
    <w:p>
      <w:pPr>
        <w:pStyle w:val="13"/>
        <w:pageBreakBefore w:val="0"/>
        <w:widowControl w:val="0"/>
        <w:kinsoku/>
        <w:wordWrap/>
        <w:overflowPunct/>
        <w:topLinePunct w:val="0"/>
        <w:bidi w:val="0"/>
        <w:spacing w:line="360" w:lineRule="exact"/>
        <w:ind w:left="239" w:leftChars="114" w:firstLine="31" w:firstLineChars="1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（1）最低评标价法，是指投标文件满足招标文件全部实质性要求，且投标报价最低的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3"/>
        <w:pageBreakBefore w:val="0"/>
        <w:widowControl w:val="0"/>
        <w:kinsoku/>
        <w:wordWrap/>
        <w:overflowPunct/>
        <w:topLinePunct w:val="0"/>
        <w:bidi w:val="0"/>
        <w:spacing w:line="360" w:lineRule="exact"/>
        <w:ind w:left="239" w:leftChars="114" w:firstLine="33" w:firstLineChars="1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（2）综合评分法，是指投标文件满足招标文件全部实质性要求，且按照评审因素的量化指标评审得分最高的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为中标候选人的评标方法。</w:t>
      </w:r>
    </w:p>
    <w:p>
      <w:pPr>
        <w:pStyle w:val="19"/>
        <w:keepNext w:val="0"/>
        <w:keepLines w:val="0"/>
        <w:pageBreakBefore w:val="0"/>
        <w:kinsoku/>
        <w:wordWrap/>
        <w:overflowPunct/>
        <w:topLinePunct w:val="0"/>
        <w:autoSpaceDE/>
        <w:autoSpaceDN/>
        <w:bidi w:val="0"/>
        <w:adjustRightInd/>
        <w:spacing w:line="360" w:lineRule="exact"/>
        <w:ind w:firstLine="723" w:firstLineChars="300"/>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color w:val="auto"/>
          <w:sz w:val="24"/>
          <w:szCs w:val="24"/>
          <w:highlight w:val="none"/>
        </w:rPr>
        <w:t>采用综合评分法</w:t>
      </w:r>
      <w:r>
        <w:rPr>
          <w:rFonts w:hint="eastAsia" w:ascii="宋体" w:hAnsi="宋体" w:eastAsia="宋体" w:cs="宋体"/>
          <w:b/>
          <w:bCs/>
          <w:color w:val="auto"/>
          <w:sz w:val="24"/>
          <w:szCs w:val="24"/>
          <w:highlight w:val="none"/>
          <w:lang w:eastAsia="zh-CN"/>
        </w:rPr>
        <w:t>：价格占</w:t>
      </w:r>
      <w:r>
        <w:rPr>
          <w:rFonts w:hint="eastAsia" w:ascii="宋体" w:hAnsi="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eastAsia="zh-CN"/>
        </w:rPr>
        <w:t>%，商务占</w:t>
      </w:r>
      <w:r>
        <w:rPr>
          <w:rFonts w:hint="eastAsia" w:ascii="宋体" w:hAnsi="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lang w:eastAsia="zh-CN"/>
        </w:rPr>
        <w:t>%，技术占</w:t>
      </w:r>
      <w:r>
        <w:rPr>
          <w:rFonts w:hint="eastAsia" w:ascii="宋体" w:hAnsi="宋体" w:cs="宋体"/>
          <w:b/>
          <w:bCs/>
          <w:color w:val="auto"/>
          <w:sz w:val="24"/>
          <w:szCs w:val="24"/>
          <w:highlight w:val="none"/>
          <w:lang w:val="en-US" w:eastAsia="zh-CN"/>
        </w:rPr>
        <w:t>66</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i w:val="0"/>
          <w:caps w:val="0"/>
          <w:color w:val="auto"/>
          <w:spacing w:val="0"/>
          <w:w w:val="100"/>
          <w:sz w:val="24"/>
          <w:szCs w:val="24"/>
          <w:highlight w:val="none"/>
          <w:lang w:val="en-US" w:eastAsia="zh-CN"/>
        </w:rPr>
        <w:t>。</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23.3   本项目</w:t>
      </w:r>
      <w:r>
        <w:rPr>
          <w:rFonts w:hint="eastAsia" w:hAnsi="宋体" w:cs="宋体"/>
          <w:b/>
          <w:bCs/>
          <w:color w:val="auto"/>
          <w:kern w:val="2"/>
          <w:sz w:val="24"/>
          <w:szCs w:val="24"/>
          <w:highlight w:val="none"/>
          <w:lang w:val="en-US" w:eastAsia="zh-CN" w:bidi="ar-SA"/>
        </w:rPr>
        <w:t>不专门</w:t>
      </w:r>
      <w:r>
        <w:rPr>
          <w:rFonts w:hint="eastAsia" w:ascii="宋体" w:hAnsi="宋体" w:eastAsia="宋体" w:cs="宋体"/>
          <w:b/>
          <w:bCs/>
          <w:color w:val="auto"/>
          <w:kern w:val="2"/>
          <w:sz w:val="24"/>
          <w:szCs w:val="24"/>
          <w:highlight w:val="none"/>
          <w:lang w:val="en-US" w:eastAsia="zh-CN" w:bidi="ar-SA"/>
        </w:rPr>
        <w:t>面向中小企业采购。</w:t>
      </w:r>
      <w:r>
        <w:rPr>
          <w:rFonts w:hint="eastAsia" w:ascii="宋体" w:hAnsi="宋体" w:eastAsia="宋体" w:cs="宋体"/>
          <w:b/>
          <w:bCs/>
          <w:color w:val="auto"/>
          <w:sz w:val="24"/>
          <w:highlight w:val="none"/>
          <w:lang w:eastAsia="zh-CN"/>
        </w:rPr>
        <w:t>根据《财政部关于进一步加大政府采购支持中小企业力度的通知》财库〔2022〕19号</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lang w:eastAsia="zh-CN"/>
        </w:rPr>
        <w:t>《政府采购促进中小企业发展管理办法》（财库[2020]46号）、《财政部司法部关于政府采购支持监狱企业发展有关问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宋体" w:hAnsi="宋体" w:eastAsia="宋体" w:cs="宋体"/>
          <w:b/>
          <w:bCs/>
          <w:color w:val="auto"/>
          <w:sz w:val="24"/>
          <w:highlight w:val="none"/>
          <w:u w:val="single"/>
          <w:lang w:eastAsia="zh-CN"/>
        </w:rPr>
        <w:t xml:space="preserve">  10  %</w:t>
      </w:r>
      <w:r>
        <w:rPr>
          <w:rFonts w:hint="eastAsia" w:ascii="宋体" w:hAnsi="宋体" w:eastAsia="宋体" w:cs="宋体"/>
          <w:b/>
          <w:bCs/>
          <w:color w:val="auto"/>
          <w:sz w:val="24"/>
          <w:highlight w:val="none"/>
          <w:lang w:eastAsia="zh-CN"/>
        </w:rPr>
        <w:t>后参与评审。对于同时属于小型、微型及小微企业、监狱企业或残疾人福利性单位的，不重复进行报价扣除。</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682" w:name="_Toc9378"/>
      <w:bookmarkStart w:id="683" w:name="_Toc26540"/>
      <w:bookmarkStart w:id="684" w:name="_Toc20064"/>
      <w:bookmarkStart w:id="685" w:name="_Toc20655"/>
      <w:bookmarkStart w:id="686" w:name="_Toc6001"/>
      <w:bookmarkStart w:id="687" w:name="_Toc24482"/>
      <w:bookmarkStart w:id="688" w:name="_Toc29851"/>
      <w:bookmarkStart w:id="689" w:name="_Toc12703"/>
      <w:bookmarkStart w:id="690" w:name="_Toc1505"/>
      <w:bookmarkStart w:id="691" w:name="_Toc6053"/>
      <w:bookmarkStart w:id="692" w:name="_Toc20227"/>
      <w:bookmarkStart w:id="693" w:name="_Toc27067"/>
      <w:bookmarkStart w:id="694" w:name="_Toc31084"/>
      <w:bookmarkStart w:id="695" w:name="_Toc7770"/>
      <w:bookmarkStart w:id="696" w:name="_Toc16770"/>
      <w:bookmarkStart w:id="697" w:name="_Toc14038"/>
      <w:bookmarkStart w:id="698" w:name="_Toc30532"/>
      <w:bookmarkStart w:id="699" w:name="_Toc23163"/>
      <w:bookmarkStart w:id="700" w:name="_Toc29970"/>
      <w:bookmarkStart w:id="701" w:name="_Toc19218"/>
      <w:bookmarkStart w:id="702" w:name="_Toc7858"/>
      <w:bookmarkStart w:id="703" w:name="_Toc515647785"/>
      <w:bookmarkStart w:id="704" w:name="_Toc14835"/>
      <w:bookmarkStart w:id="705" w:name="_Toc28349"/>
      <w:bookmarkStart w:id="706" w:name="_Toc23302"/>
      <w:bookmarkStart w:id="707" w:name="_Toc16371"/>
      <w:bookmarkStart w:id="708" w:name="_Toc30004"/>
      <w:bookmarkStart w:id="709" w:name="_Toc14346"/>
      <w:r>
        <w:rPr>
          <w:rFonts w:hint="eastAsia" w:ascii="宋体" w:hAnsi="宋体" w:eastAsia="宋体" w:cs="宋体"/>
          <w:b/>
          <w:bCs/>
          <w:color w:val="auto"/>
          <w:sz w:val="24"/>
          <w:szCs w:val="24"/>
          <w:highlight w:val="none"/>
          <w:u w:val="none"/>
        </w:rPr>
        <w:t>废标</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ageBreakBefore w:val="0"/>
        <w:widowControl w:val="0"/>
        <w:kinsoku/>
        <w:wordWrap/>
        <w:overflowPunct/>
        <w:topLinePunct w:val="0"/>
        <w:bidi w:val="0"/>
        <w:spacing w:line="360" w:lineRule="exact"/>
        <w:ind w:left="60" w:leftChars="0" w:hanging="60" w:hangingChars="2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24.1</w:t>
      </w:r>
      <w:r>
        <w:rPr>
          <w:rFonts w:hint="eastAsia" w:ascii="宋体" w:hAnsi="宋体" w:eastAsia="宋体" w:cs="宋体"/>
          <w:b/>
          <w:bCs/>
          <w:color w:val="auto"/>
          <w:sz w:val="24"/>
          <w:szCs w:val="24"/>
          <w:highlight w:val="none"/>
        </w:rPr>
        <w:t>出现下列情形之一，将导致项目废标：</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b/>
          <w:bCs/>
          <w:color w:val="auto"/>
          <w:sz w:val="24"/>
          <w:szCs w:val="24"/>
          <w:highlight w:val="none"/>
        </w:rPr>
        <w:t>（1）符合专业条件的供应商或者对招标文件做实质性响应的供应商不足三家；</w:t>
      </w:r>
    </w:p>
    <w:p>
      <w:pPr>
        <w:pageBreakBefore w:val="0"/>
        <w:widowControl w:val="0"/>
        <w:kinsoku/>
        <w:wordWrap/>
        <w:overflowPunct/>
        <w:topLinePunct w:val="0"/>
        <w:bidi w:val="0"/>
        <w:spacing w:line="360" w:lineRule="exact"/>
        <w:ind w:left="904" w:leftChars="0" w:hanging="904" w:hangingChars="375"/>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（2）出现影响采购公正的违法、违规行为的；</w:t>
      </w:r>
    </w:p>
    <w:p>
      <w:pPr>
        <w:pageBreakBefore w:val="0"/>
        <w:widowControl w:val="0"/>
        <w:kinsoku/>
        <w:wordWrap/>
        <w:overflowPunct/>
        <w:topLinePunct w:val="0"/>
        <w:bidi w:val="0"/>
        <w:spacing w:line="360" w:lineRule="exact"/>
        <w:ind w:left="0" w:leftChars="0" w:firstLine="843" w:firstLineChars="35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的报价均超过了采购预算，采购人不能支付的；</w:t>
      </w:r>
    </w:p>
    <w:p>
      <w:pPr>
        <w:pageBreakBefore w:val="0"/>
        <w:widowControl w:val="0"/>
        <w:kinsoku/>
        <w:wordWrap/>
        <w:overflowPunct/>
        <w:topLinePunct w:val="0"/>
        <w:bidi w:val="0"/>
        <w:spacing w:line="360" w:lineRule="exact"/>
        <w:ind w:left="0" w:leftChars="0" w:firstLine="843" w:firstLineChars="35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（4）因重大变故，采购任务取消的。  </w:t>
      </w:r>
      <w:r>
        <w:rPr>
          <w:rFonts w:hint="eastAsia" w:ascii="宋体" w:hAnsi="宋体" w:eastAsia="宋体" w:cs="宋体"/>
          <w:color w:val="auto"/>
          <w:sz w:val="24"/>
          <w:szCs w:val="24"/>
          <w:highlight w:val="none"/>
        </w:rPr>
        <w:t xml:space="preserve"> </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710" w:name="_Toc29646"/>
      <w:bookmarkStart w:id="711" w:name="_Toc25957"/>
      <w:bookmarkStart w:id="712" w:name="_Toc10983"/>
      <w:bookmarkStart w:id="713" w:name="_Toc5674"/>
      <w:bookmarkStart w:id="714" w:name="_Toc25775"/>
      <w:bookmarkStart w:id="715" w:name="_Toc21380"/>
      <w:bookmarkStart w:id="716" w:name="_Toc3431"/>
      <w:bookmarkStart w:id="717" w:name="_Toc13545"/>
      <w:bookmarkStart w:id="718" w:name="_Toc21697"/>
      <w:bookmarkStart w:id="719" w:name="_Toc7638"/>
      <w:bookmarkStart w:id="720" w:name="_Toc9534"/>
      <w:bookmarkStart w:id="721" w:name="_Toc27604"/>
      <w:bookmarkStart w:id="722" w:name="_Toc23725"/>
      <w:bookmarkStart w:id="723" w:name="_Toc17702"/>
      <w:bookmarkStart w:id="724" w:name="_Toc5328"/>
      <w:bookmarkStart w:id="725" w:name="_Toc11422"/>
      <w:bookmarkStart w:id="726" w:name="_Toc515647786"/>
      <w:bookmarkStart w:id="727" w:name="_Toc3793"/>
      <w:bookmarkStart w:id="728" w:name="_Toc2809"/>
      <w:bookmarkStart w:id="729" w:name="_Toc9864"/>
      <w:bookmarkStart w:id="730" w:name="_Toc28035"/>
      <w:bookmarkStart w:id="731" w:name="_Toc29790"/>
      <w:bookmarkStart w:id="732" w:name="_Toc24972"/>
      <w:bookmarkStart w:id="733" w:name="_Toc10657"/>
      <w:bookmarkStart w:id="734" w:name="_Toc11460"/>
      <w:bookmarkStart w:id="735" w:name="_Toc30848"/>
      <w:bookmarkStart w:id="736" w:name="_Toc13885"/>
      <w:bookmarkStart w:id="737" w:name="_Toc31289"/>
      <w:bookmarkStart w:id="738" w:name="_Toc520356169"/>
      <w:r>
        <w:rPr>
          <w:rFonts w:hint="eastAsia" w:ascii="宋体" w:hAnsi="宋体" w:eastAsia="宋体" w:cs="宋体"/>
          <w:b/>
          <w:bCs/>
          <w:color w:val="auto"/>
          <w:sz w:val="24"/>
          <w:szCs w:val="24"/>
          <w:highlight w:val="none"/>
          <w:u w:val="none"/>
        </w:rPr>
        <w:t>保密原则</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评标将在严格保密的情况下进行。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政府采购评审专家应当遵守评审工作纪律，不得泄露评审文件、评审情况和评审中获悉的商业秘密。</w:t>
      </w:r>
    </w:p>
    <w:p>
      <w:pPr>
        <w:pStyle w:val="6"/>
        <w:pageBreakBefore w:val="0"/>
        <w:widowControl w:val="0"/>
        <w:kinsoku/>
        <w:wordWrap/>
        <w:overflowPunct/>
        <w:topLinePunct w:val="0"/>
        <w:bidi w:val="0"/>
        <w:spacing w:before="0" w:line="360" w:lineRule="exact"/>
        <w:ind w:left="0" w:leftChars="0" w:hanging="540"/>
        <w:textAlignment w:val="auto"/>
        <w:rPr>
          <w:rFonts w:hint="eastAsia" w:ascii="宋体" w:hAnsi="宋体" w:eastAsia="宋体" w:cs="宋体"/>
          <w:color w:val="auto"/>
          <w:sz w:val="24"/>
          <w:szCs w:val="24"/>
          <w:highlight w:val="none"/>
        </w:rPr>
      </w:pPr>
      <w:bookmarkStart w:id="739" w:name="_Toc12143"/>
      <w:bookmarkStart w:id="740" w:name="_Toc14869"/>
      <w:bookmarkStart w:id="741" w:name="_Toc216582810"/>
      <w:bookmarkStart w:id="742" w:name="_Toc23904"/>
      <w:bookmarkStart w:id="743" w:name="_Toc31410"/>
      <w:bookmarkStart w:id="744" w:name="_Toc515647787"/>
      <w:r>
        <w:rPr>
          <w:rFonts w:hint="eastAsia" w:ascii="宋体" w:hAnsi="宋体" w:eastAsia="宋体" w:cs="宋体"/>
          <w:color w:val="auto"/>
          <w:sz w:val="24"/>
          <w:szCs w:val="24"/>
          <w:highlight w:val="none"/>
        </w:rPr>
        <w:t xml:space="preserve">六   </w:t>
      </w:r>
      <w:bookmarkEnd w:id="738"/>
      <w:r>
        <w:rPr>
          <w:rFonts w:hint="eastAsia" w:ascii="宋体" w:hAnsi="宋体" w:eastAsia="宋体" w:cs="宋体"/>
          <w:color w:val="auto"/>
          <w:sz w:val="24"/>
          <w:szCs w:val="24"/>
          <w:highlight w:val="none"/>
        </w:rPr>
        <w:t>确定中标</w:t>
      </w:r>
      <w:bookmarkEnd w:id="739"/>
      <w:bookmarkEnd w:id="740"/>
      <w:bookmarkEnd w:id="741"/>
      <w:bookmarkEnd w:id="742"/>
      <w:bookmarkEnd w:id="743"/>
      <w:bookmarkEnd w:id="744"/>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lang w:val="en-US" w:eastAsia="zh-CN"/>
        </w:rPr>
      </w:pPr>
      <w:bookmarkStart w:id="745" w:name="_Toc24833"/>
      <w:bookmarkStart w:id="746" w:name="_Toc31710"/>
      <w:bookmarkStart w:id="747" w:name="_Toc154"/>
      <w:bookmarkStart w:id="748" w:name="_Toc9959"/>
      <w:bookmarkStart w:id="749" w:name="_Ref467307010"/>
      <w:bookmarkStart w:id="750" w:name="_Toc520356170"/>
      <w:bookmarkStart w:id="751" w:name="_Toc32273"/>
      <w:bookmarkStart w:id="752" w:name="_Toc26456"/>
      <w:bookmarkStart w:id="753" w:name="_Toc24563"/>
      <w:bookmarkStart w:id="754" w:name="_Toc14800"/>
      <w:bookmarkStart w:id="755" w:name="_Toc12168"/>
      <w:bookmarkStart w:id="756" w:name="_Toc24864"/>
      <w:bookmarkStart w:id="757" w:name="_Toc19739"/>
      <w:bookmarkStart w:id="758" w:name="_Toc23762"/>
      <w:bookmarkStart w:id="759" w:name="_Toc3604"/>
      <w:bookmarkStart w:id="760" w:name="_Toc28179"/>
      <w:bookmarkStart w:id="761" w:name="_Toc27501"/>
      <w:bookmarkStart w:id="762" w:name="_Toc29156"/>
      <w:bookmarkStart w:id="763" w:name="_Toc23617"/>
      <w:bookmarkStart w:id="764" w:name="_Toc515647788"/>
      <w:bookmarkStart w:id="765" w:name="_Toc30510"/>
      <w:bookmarkStart w:id="766" w:name="_Toc20762"/>
      <w:bookmarkStart w:id="767" w:name="_Toc22054"/>
      <w:bookmarkStart w:id="768" w:name="_Toc22284"/>
      <w:bookmarkStart w:id="769" w:name="_Toc20567"/>
      <w:bookmarkStart w:id="770" w:name="_Toc20061"/>
      <w:bookmarkStart w:id="771" w:name="_Toc6381"/>
      <w:bookmarkStart w:id="772" w:name="_Toc11354"/>
      <w:bookmarkStart w:id="773" w:name="_Toc13936"/>
      <w:r>
        <w:rPr>
          <w:rFonts w:hint="eastAsia" w:ascii="宋体" w:hAnsi="宋体" w:eastAsia="宋体" w:cs="宋体"/>
          <w:b/>
          <w:bCs/>
          <w:color w:val="auto"/>
          <w:sz w:val="24"/>
          <w:szCs w:val="24"/>
          <w:highlight w:val="none"/>
          <w:u w:val="none"/>
          <w:lang w:val="en-US" w:eastAsia="zh-CN"/>
        </w:rPr>
        <w:t>中标候选人的确定原则及标准</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对实质上响应招标文件的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按下列方法进行排序，确定投标候选人：</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bookmarkStart w:id="774" w:name="_Toc515647789"/>
      <w:bookmarkStart w:id="775" w:name="_Toc520356171"/>
      <w:r>
        <w:rPr>
          <w:rFonts w:hint="eastAsia" w:ascii="宋体" w:hAnsi="宋体" w:eastAsia="宋体" w:cs="宋体"/>
          <w:color w:val="auto"/>
          <w:sz w:val="24"/>
          <w:szCs w:val="24"/>
          <w:highlight w:val="none"/>
        </w:rPr>
        <w:t>（1）采用最低评标价法的，除了算术修正和落实政府采购政策需进行的价格扣除外，不对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的投标价格进行任何调整。评标结果按修正和扣除后的投标报价由低到高顺序排列。报价相同的处理方式详见招标文件第6章。</w:t>
      </w:r>
    </w:p>
    <w:p>
      <w:pPr>
        <w:pageBreakBefore w:val="0"/>
        <w:widowControl w:val="0"/>
        <w:kinsoku/>
        <w:wordWrap/>
        <w:overflowPunct/>
        <w:topLinePunct w:val="0"/>
        <w:bidi w:val="0"/>
        <w:spacing w:line="3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19"/>
        <w:keepNext w:val="0"/>
        <w:keepLines w:val="0"/>
        <w:pageBreakBefore w:val="0"/>
        <w:kinsoku/>
        <w:wordWrap/>
        <w:overflowPunct/>
        <w:topLinePunct w:val="0"/>
        <w:autoSpaceDE/>
        <w:autoSpaceDN/>
        <w:bidi w:val="0"/>
        <w:adjustRightInd/>
        <w:spacing w:line="360" w:lineRule="exact"/>
        <w:ind w:firstLine="482" w:firstLineChars="200"/>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rPr>
        <w:t>本项目采用综合评分法，</w:t>
      </w:r>
      <w:r>
        <w:rPr>
          <w:rFonts w:hint="eastAsia" w:ascii="宋体" w:hAnsi="宋体" w:eastAsia="宋体" w:cs="宋体"/>
          <w:b/>
          <w:bCs/>
          <w:i w:val="0"/>
          <w:caps w:val="0"/>
          <w:color w:val="auto"/>
          <w:spacing w:val="0"/>
          <w:w w:val="100"/>
          <w:sz w:val="24"/>
          <w:szCs w:val="24"/>
          <w:highlight w:val="none"/>
          <w:lang w:val="en-US" w:eastAsia="zh-CN"/>
        </w:rPr>
        <w:t>价格占</w:t>
      </w:r>
      <w:r>
        <w:rPr>
          <w:rFonts w:hint="eastAsia" w:ascii="宋体" w:hAnsi="宋体" w:cs="宋体"/>
          <w:b/>
          <w:bCs/>
          <w:i w:val="0"/>
          <w:caps w:val="0"/>
          <w:color w:val="auto"/>
          <w:spacing w:val="0"/>
          <w:w w:val="100"/>
          <w:sz w:val="24"/>
          <w:szCs w:val="24"/>
          <w:highlight w:val="none"/>
          <w:lang w:val="en-US" w:eastAsia="zh-CN"/>
        </w:rPr>
        <w:t>10</w:t>
      </w:r>
      <w:r>
        <w:rPr>
          <w:rFonts w:hint="eastAsia" w:ascii="宋体" w:hAnsi="宋体" w:eastAsia="宋体" w:cs="宋体"/>
          <w:b/>
          <w:bCs/>
          <w:i w:val="0"/>
          <w:caps w:val="0"/>
          <w:color w:val="auto"/>
          <w:spacing w:val="0"/>
          <w:w w:val="100"/>
          <w:sz w:val="24"/>
          <w:szCs w:val="24"/>
          <w:highlight w:val="none"/>
          <w:lang w:val="en-US" w:eastAsia="zh-CN"/>
        </w:rPr>
        <w:t>%，商务占</w:t>
      </w:r>
      <w:r>
        <w:rPr>
          <w:rFonts w:hint="eastAsia" w:ascii="宋体" w:hAnsi="宋体" w:cs="宋体"/>
          <w:b/>
          <w:bCs/>
          <w:i w:val="0"/>
          <w:caps w:val="0"/>
          <w:color w:val="auto"/>
          <w:spacing w:val="0"/>
          <w:w w:val="100"/>
          <w:sz w:val="24"/>
          <w:szCs w:val="24"/>
          <w:highlight w:val="none"/>
          <w:lang w:val="en-US" w:eastAsia="zh-CN"/>
        </w:rPr>
        <w:t>24</w:t>
      </w:r>
      <w:r>
        <w:rPr>
          <w:rFonts w:hint="eastAsia" w:ascii="宋体" w:hAnsi="宋体" w:eastAsia="宋体" w:cs="宋体"/>
          <w:b/>
          <w:bCs/>
          <w:i w:val="0"/>
          <w:caps w:val="0"/>
          <w:color w:val="auto"/>
          <w:spacing w:val="0"/>
          <w:w w:val="100"/>
          <w:sz w:val="24"/>
          <w:szCs w:val="24"/>
          <w:highlight w:val="none"/>
          <w:lang w:val="en-US" w:eastAsia="zh-CN"/>
        </w:rPr>
        <w:t>%，技术占</w:t>
      </w:r>
      <w:r>
        <w:rPr>
          <w:rFonts w:hint="eastAsia" w:ascii="宋体" w:hAnsi="宋体" w:cs="宋体"/>
          <w:b/>
          <w:bCs/>
          <w:i w:val="0"/>
          <w:caps w:val="0"/>
          <w:color w:val="auto"/>
          <w:spacing w:val="0"/>
          <w:w w:val="100"/>
          <w:sz w:val="24"/>
          <w:szCs w:val="24"/>
          <w:highlight w:val="none"/>
          <w:lang w:val="en-US" w:eastAsia="zh-CN"/>
        </w:rPr>
        <w:t>66</w:t>
      </w:r>
      <w:r>
        <w:rPr>
          <w:rFonts w:hint="eastAsia" w:ascii="宋体" w:hAnsi="宋体" w:eastAsia="宋体" w:cs="宋体"/>
          <w:b/>
          <w:bCs/>
          <w:i w:val="0"/>
          <w:caps w:val="0"/>
          <w:color w:val="auto"/>
          <w:spacing w:val="0"/>
          <w:w w:val="100"/>
          <w:sz w:val="24"/>
          <w:szCs w:val="24"/>
          <w:highlight w:val="none"/>
          <w:lang w:val="en-US" w:eastAsia="zh-CN"/>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776" w:name="_Toc17933"/>
      <w:bookmarkStart w:id="777" w:name="_Toc15604"/>
      <w:bookmarkStart w:id="778" w:name="_Toc27172"/>
      <w:bookmarkStart w:id="779" w:name="_Toc12288"/>
      <w:bookmarkStart w:id="780" w:name="_Toc2803"/>
      <w:bookmarkStart w:id="781" w:name="_Toc21306"/>
      <w:bookmarkStart w:id="782" w:name="_Toc11969"/>
      <w:bookmarkStart w:id="783" w:name="_Toc16846"/>
      <w:bookmarkStart w:id="784" w:name="_Toc15364"/>
      <w:bookmarkStart w:id="785" w:name="_Toc11247"/>
      <w:bookmarkStart w:id="786" w:name="_Toc25274"/>
      <w:bookmarkStart w:id="787" w:name="_Toc2611"/>
      <w:bookmarkStart w:id="788" w:name="_Toc29803"/>
      <w:bookmarkStart w:id="789" w:name="_Toc3720"/>
      <w:bookmarkStart w:id="790" w:name="_Toc17200"/>
      <w:bookmarkStart w:id="791" w:name="_Toc721"/>
      <w:bookmarkStart w:id="792" w:name="_Toc30756"/>
      <w:bookmarkStart w:id="793" w:name="_Toc17164"/>
      <w:bookmarkStart w:id="794" w:name="_Toc12678"/>
      <w:bookmarkStart w:id="795" w:name="_Toc28294"/>
      <w:bookmarkStart w:id="796" w:name="_Toc31556"/>
      <w:bookmarkStart w:id="797" w:name="_Toc21913"/>
      <w:bookmarkStart w:id="798" w:name="_Toc24948"/>
      <w:bookmarkStart w:id="799" w:name="_Toc3027"/>
      <w:bookmarkStart w:id="800" w:name="_Toc14558"/>
      <w:bookmarkStart w:id="801" w:name="_Toc976"/>
      <w:bookmarkStart w:id="802" w:name="_Toc2108"/>
      <w:bookmarkStart w:id="803" w:name="_Toc1644"/>
      <w:r>
        <w:rPr>
          <w:rFonts w:hint="eastAsia" w:ascii="宋体" w:hAnsi="宋体" w:eastAsia="宋体" w:cs="宋体"/>
          <w:b/>
          <w:bCs/>
          <w:color w:val="auto"/>
          <w:sz w:val="24"/>
          <w:szCs w:val="24"/>
          <w:highlight w:val="none"/>
          <w:u w:val="none"/>
        </w:rPr>
        <w:t>确定</w:t>
      </w:r>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候选人和</w:t>
      </w:r>
      <w:bookmarkEnd w:id="776"/>
      <w:r>
        <w:rPr>
          <w:rFonts w:hint="eastAsia" w:ascii="宋体" w:hAnsi="宋体" w:eastAsia="宋体" w:cs="宋体"/>
          <w:b/>
          <w:bCs/>
          <w:color w:val="auto"/>
          <w:sz w:val="24"/>
          <w:szCs w:val="24"/>
          <w:highlight w:val="none"/>
          <w:u w:val="none"/>
          <w:lang w:val="en-US" w:eastAsia="zh-CN"/>
        </w:rPr>
        <w:t>中标</w:t>
      </w:r>
      <w:r>
        <w:rPr>
          <w:rFonts w:hint="eastAsia" w:ascii="宋体" w:hAnsi="宋体" w:eastAsia="宋体" w:cs="宋体"/>
          <w:b/>
          <w:bCs/>
          <w:color w:val="auto"/>
          <w:sz w:val="24"/>
          <w:szCs w:val="24"/>
          <w:highlight w:val="none"/>
          <w:u w:val="none"/>
        </w:rPr>
        <w:t>人</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bookmarkEnd w:id="774"/>
    <w:bookmarkEnd w:id="775"/>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评标委员会将根据评标标准，按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w:t>
      </w:r>
      <w:r>
        <w:rPr>
          <w:rFonts w:hint="eastAsia" w:ascii="宋体" w:hAnsi="宋体" w:eastAsia="宋体" w:cs="宋体"/>
          <w:color w:val="auto"/>
          <w:sz w:val="24"/>
          <w:szCs w:val="24"/>
          <w:highlight w:val="none"/>
        </w:rPr>
        <w:t>规定数量推荐中标候</w:t>
      </w:r>
    </w:p>
    <w:p>
      <w:pPr>
        <w:pageBreakBefore w:val="0"/>
        <w:widowControl w:val="0"/>
        <w:kinsoku/>
        <w:wordWrap/>
        <w:overflowPunct/>
        <w:topLinePunct w:val="0"/>
        <w:bidi w:val="0"/>
        <w:spacing w:line="360" w:lineRule="exact"/>
        <w:ind w:left="479" w:leftChars="228" w:firstLine="60" w:firstLineChars="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选人；或根据采购人的委托，直接确定中标人。</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04" w:name="_Toc9640"/>
      <w:bookmarkStart w:id="805" w:name="_Toc3328"/>
      <w:bookmarkStart w:id="806" w:name="_Toc23770"/>
      <w:bookmarkStart w:id="807" w:name="_Toc21208"/>
      <w:bookmarkStart w:id="808" w:name="_Toc45"/>
      <w:bookmarkStart w:id="809" w:name="_Toc21889"/>
      <w:bookmarkStart w:id="810" w:name="_Toc20558"/>
      <w:bookmarkStart w:id="811" w:name="_Toc19007"/>
      <w:bookmarkStart w:id="812" w:name="_Toc32455"/>
      <w:bookmarkStart w:id="813" w:name="_Toc18980"/>
      <w:bookmarkStart w:id="814" w:name="_Toc5507"/>
      <w:bookmarkStart w:id="815" w:name="_Toc21618"/>
      <w:bookmarkStart w:id="816" w:name="_Toc20653"/>
      <w:bookmarkStart w:id="817" w:name="_Toc20001"/>
      <w:bookmarkStart w:id="818" w:name="_Toc20705"/>
      <w:bookmarkStart w:id="819" w:name="_Toc7156"/>
      <w:bookmarkStart w:id="820" w:name="_Toc9701"/>
      <w:bookmarkStart w:id="821" w:name="_Toc2533"/>
      <w:bookmarkStart w:id="822" w:name="_Toc17591"/>
      <w:bookmarkStart w:id="823" w:name="_Toc8389"/>
      <w:bookmarkStart w:id="824" w:name="_Toc20963"/>
      <w:bookmarkStart w:id="825" w:name="_Toc18821"/>
      <w:bookmarkStart w:id="826" w:name="_Toc1269"/>
      <w:bookmarkStart w:id="827" w:name="_Toc24959"/>
      <w:bookmarkStart w:id="828" w:name="_Toc28562"/>
      <w:bookmarkStart w:id="829" w:name="_Toc6340"/>
      <w:bookmarkStart w:id="830" w:name="_Toc31043"/>
      <w:bookmarkStart w:id="831" w:name="_Toc515647790"/>
      <w:r>
        <w:rPr>
          <w:rFonts w:hint="eastAsia" w:ascii="宋体" w:hAnsi="宋体" w:eastAsia="宋体" w:cs="宋体"/>
          <w:b/>
          <w:bCs/>
          <w:color w:val="auto"/>
          <w:sz w:val="24"/>
          <w:szCs w:val="24"/>
          <w:highlight w:val="none"/>
          <w:u w:val="none"/>
        </w:rPr>
        <w:t>采购任务取消</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因重大变故采购任务取消时，采购人有权拒绝任何</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中标，且对受影响的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不承担任何责任。</w:t>
      </w:r>
      <w:bookmarkStart w:id="832" w:name="_Toc520356174"/>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33" w:name="_Toc8140"/>
      <w:bookmarkStart w:id="834" w:name="_Toc10965"/>
      <w:bookmarkStart w:id="835" w:name="_Toc31099"/>
      <w:bookmarkStart w:id="836" w:name="_Toc20363"/>
      <w:bookmarkStart w:id="837" w:name="_Toc30170"/>
      <w:bookmarkStart w:id="838" w:name="_Toc13576"/>
      <w:bookmarkStart w:id="839" w:name="_Toc25281"/>
      <w:bookmarkStart w:id="840" w:name="_Toc12348"/>
      <w:bookmarkStart w:id="841" w:name="_Toc1818"/>
      <w:bookmarkStart w:id="842" w:name="_Toc1178"/>
      <w:bookmarkStart w:id="843" w:name="_Toc9886"/>
      <w:bookmarkStart w:id="844" w:name="_Toc14276"/>
      <w:bookmarkStart w:id="845" w:name="_Toc21583"/>
      <w:bookmarkStart w:id="846" w:name="_Toc4099"/>
      <w:bookmarkStart w:id="847" w:name="_Toc17202"/>
      <w:bookmarkStart w:id="848" w:name="_Toc8640"/>
      <w:bookmarkStart w:id="849" w:name="_Toc515647791"/>
      <w:bookmarkStart w:id="850" w:name="_Toc14221"/>
      <w:bookmarkStart w:id="851" w:name="_Toc1933"/>
      <w:bookmarkStart w:id="852" w:name="_Toc515"/>
      <w:bookmarkStart w:id="853" w:name="_Toc30931"/>
      <w:bookmarkStart w:id="854" w:name="_Toc8834"/>
      <w:bookmarkStart w:id="855" w:name="_Toc1676"/>
      <w:bookmarkStart w:id="856" w:name="_Toc27996"/>
      <w:bookmarkStart w:id="857" w:name="_Toc137"/>
      <w:bookmarkStart w:id="858" w:name="_Toc30149"/>
      <w:bookmarkStart w:id="859" w:name="_Toc15667"/>
      <w:bookmarkStart w:id="860" w:name="_Toc5820"/>
      <w:r>
        <w:rPr>
          <w:rFonts w:hint="eastAsia" w:ascii="宋体" w:hAnsi="宋体" w:eastAsia="宋体" w:cs="宋体"/>
          <w:b/>
          <w:bCs/>
          <w:color w:val="auto"/>
          <w:sz w:val="24"/>
          <w:szCs w:val="24"/>
          <w:highlight w:val="none"/>
          <w:u w:val="none"/>
        </w:rPr>
        <w:t>中标通知书</w:t>
      </w:r>
      <w:bookmarkEnd w:id="832"/>
      <w:r>
        <w:rPr>
          <w:rFonts w:hint="eastAsia" w:ascii="宋体" w:hAnsi="宋体" w:eastAsia="宋体" w:cs="宋体"/>
          <w:b/>
          <w:bCs/>
          <w:color w:val="auto"/>
          <w:sz w:val="24"/>
          <w:szCs w:val="24"/>
          <w:highlight w:val="none"/>
          <w:u w:val="none"/>
        </w:rPr>
        <w:t>和招标结果通知书</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在投标有效期内，中标人确定后，采购人或者采购代理机构发布中标公告，同时以书面形式向中标人发出中标通知书。</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中标通知书是合同的组成部分。</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29.3    招标结果通知书和中标通知书同时发出。招标结果通知书中将告知未通过资格审查的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未通过的原因；采用综合评分法评审的，还将告知未中标人本人的评审得分和排序。</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61" w:name="_Toc1386"/>
      <w:bookmarkStart w:id="862" w:name="_Toc14896"/>
      <w:bookmarkStart w:id="863" w:name="_Toc24788"/>
      <w:bookmarkStart w:id="864" w:name="_Toc3557"/>
      <w:bookmarkStart w:id="865" w:name="_Toc24666"/>
      <w:bookmarkStart w:id="866" w:name="_Toc22574"/>
      <w:bookmarkStart w:id="867" w:name="_Toc7779"/>
      <w:bookmarkStart w:id="868" w:name="_Toc14106"/>
      <w:bookmarkStart w:id="869" w:name="_Toc13210"/>
      <w:bookmarkStart w:id="870" w:name="_Toc7584"/>
      <w:bookmarkStart w:id="871" w:name="_Toc26598"/>
      <w:bookmarkStart w:id="872" w:name="_Toc11340"/>
      <w:bookmarkStart w:id="873" w:name="_Toc790"/>
      <w:bookmarkStart w:id="874" w:name="_Toc26465"/>
      <w:bookmarkStart w:id="875" w:name="_Toc9417"/>
      <w:bookmarkStart w:id="876" w:name="_Toc14551"/>
      <w:bookmarkStart w:id="877" w:name="_Ref467306978"/>
      <w:bookmarkStart w:id="878" w:name="_Toc515647792"/>
      <w:bookmarkStart w:id="879" w:name="_Toc29255"/>
      <w:bookmarkStart w:id="880" w:name="_Toc13873"/>
      <w:bookmarkStart w:id="881" w:name="_Toc4466"/>
      <w:bookmarkStart w:id="882" w:name="_Toc19580"/>
      <w:bookmarkStart w:id="883" w:name="_Toc830"/>
      <w:bookmarkStart w:id="884" w:name="_Ref467306377"/>
      <w:bookmarkStart w:id="885" w:name="_Toc29299"/>
      <w:bookmarkStart w:id="886" w:name="_Toc6885"/>
      <w:bookmarkStart w:id="887" w:name="_Toc15018"/>
      <w:bookmarkStart w:id="888" w:name="_Toc10292"/>
      <w:bookmarkStart w:id="889" w:name="_Toc16831"/>
      <w:bookmarkStart w:id="890" w:name="_Ref467307204"/>
      <w:bookmarkStart w:id="891" w:name="_Ref467307062"/>
      <w:bookmarkStart w:id="892" w:name="_Toc30068"/>
      <w:bookmarkStart w:id="893" w:name="_Toc520356175"/>
      <w:r>
        <w:rPr>
          <w:rFonts w:hint="eastAsia" w:ascii="宋体" w:hAnsi="宋体" w:eastAsia="宋体" w:cs="宋体"/>
          <w:b/>
          <w:bCs/>
          <w:color w:val="auto"/>
          <w:sz w:val="24"/>
          <w:szCs w:val="24"/>
          <w:highlight w:val="none"/>
          <w:u w:val="none"/>
        </w:rPr>
        <w:t>签订合同</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中标人应当自发出中标通知书之日起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日内，与采购人签订合同。</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30.2</w:t>
      </w:r>
      <w:r>
        <w:rPr>
          <w:rFonts w:hint="eastAsia" w:ascii="宋体" w:hAnsi="宋体" w:eastAsia="宋体" w:cs="宋体"/>
          <w:color w:val="auto"/>
          <w:sz w:val="24"/>
          <w:szCs w:val="24"/>
          <w:highlight w:val="none"/>
        </w:rPr>
        <w:tab/>
      </w:r>
      <w:bookmarkStart w:id="894" w:name="_Toc520356176"/>
      <w:bookmarkStart w:id="895" w:name="_Ref467307090"/>
      <w:bookmarkStart w:id="896" w:name="_Ref467306425"/>
      <w:r>
        <w:rPr>
          <w:rFonts w:hint="eastAsia" w:ascii="宋体" w:hAnsi="宋体" w:eastAsia="宋体" w:cs="宋体"/>
          <w:color w:val="auto"/>
          <w:sz w:val="24"/>
          <w:szCs w:val="24"/>
          <w:highlight w:val="none"/>
        </w:rPr>
        <w:t>招标文件、中标人的投标文件及其澄清文件等，均为签订合同的依据。</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30.3   中标人拒绝与采购人签订合同的，采购人可以按照评审报告推荐的中标候选人名单排序，确定下一中标候选人为中标人，也可以重新开展政府采购活动。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30.4   当出现法规规定的</w:t>
      </w:r>
      <w:r>
        <w:rPr>
          <w:rFonts w:hint="eastAsia" w:ascii="宋体" w:hAnsi="宋体" w:eastAsia="宋体" w:cs="宋体"/>
          <w:b/>
          <w:color w:val="auto"/>
          <w:sz w:val="24"/>
          <w:szCs w:val="24"/>
          <w:highlight w:val="none"/>
        </w:rPr>
        <w:t>中标无效或中标结果无效</w:t>
      </w:r>
      <w:r>
        <w:rPr>
          <w:rFonts w:hint="eastAsia" w:ascii="宋体" w:hAnsi="宋体" w:eastAsia="宋体" w:cs="宋体"/>
          <w:color w:val="auto"/>
          <w:sz w:val="24"/>
          <w:szCs w:val="24"/>
          <w:highlight w:val="none"/>
        </w:rPr>
        <w:t>情形时，采购人可与排名下一位的中标候选人另行签订合同，或依法重新开展采购活动。</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897" w:name="_Toc12919"/>
      <w:bookmarkStart w:id="898" w:name="_Toc4460"/>
      <w:bookmarkStart w:id="899" w:name="_Toc15498"/>
      <w:bookmarkStart w:id="900" w:name="_Toc32530"/>
      <w:bookmarkStart w:id="901" w:name="_Toc9468"/>
      <w:bookmarkStart w:id="902" w:name="_Toc32131"/>
      <w:bookmarkStart w:id="903" w:name="_Toc13252"/>
      <w:bookmarkStart w:id="904" w:name="_Toc31991"/>
      <w:bookmarkStart w:id="905" w:name="_Toc515647793"/>
      <w:bookmarkStart w:id="906" w:name="_Toc28788"/>
      <w:bookmarkStart w:id="907" w:name="_Toc17960"/>
      <w:bookmarkStart w:id="908" w:name="_Toc14080"/>
      <w:bookmarkStart w:id="909" w:name="_Toc10991"/>
      <w:bookmarkStart w:id="910" w:name="_Toc26902"/>
      <w:bookmarkStart w:id="911" w:name="_Toc11467"/>
      <w:bookmarkStart w:id="912" w:name="_Toc11471"/>
      <w:bookmarkStart w:id="913" w:name="_Toc4849"/>
      <w:bookmarkStart w:id="914" w:name="_Toc21692"/>
      <w:bookmarkStart w:id="915" w:name="_Toc12084"/>
      <w:bookmarkStart w:id="916" w:name="_Toc8801"/>
      <w:bookmarkStart w:id="917" w:name="_Toc15755"/>
      <w:bookmarkStart w:id="918" w:name="_Toc8189"/>
      <w:bookmarkStart w:id="919" w:name="_Toc8861"/>
      <w:bookmarkStart w:id="920" w:name="_Toc23943"/>
      <w:bookmarkStart w:id="921" w:name="_Toc22555"/>
      <w:bookmarkStart w:id="922" w:name="_Toc11387"/>
      <w:bookmarkStart w:id="923" w:name="_Toc28037"/>
      <w:bookmarkStart w:id="924" w:name="_Toc16092"/>
      <w:r>
        <w:rPr>
          <w:rFonts w:hint="eastAsia" w:ascii="宋体" w:hAnsi="宋体" w:eastAsia="宋体" w:cs="宋体"/>
          <w:b/>
          <w:bCs/>
          <w:color w:val="auto"/>
          <w:sz w:val="24"/>
          <w:szCs w:val="24"/>
          <w:highlight w:val="none"/>
          <w:u w:val="none"/>
        </w:rPr>
        <w:t>履约保证金</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中标人应按照</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规定向采购人缴纳履约保证金。</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政府采购利用担保试点范围内的项目，除31.1规定的情形外，中标人也可以按照财政部门的规定，向采购人提供合格的履约担</w:t>
      </w:r>
      <w:r>
        <w:rPr>
          <w:rFonts w:hint="eastAsia" w:ascii="宋体" w:hAnsi="宋体" w:eastAsia="宋体" w:cs="宋体"/>
          <w:color w:val="auto"/>
          <w:sz w:val="24"/>
          <w:szCs w:val="24"/>
          <w:highlight w:val="none"/>
          <w:lang w:eastAsia="zh-CN"/>
        </w:rPr>
        <w:t>开户行银行保函。</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925" w:name="_Toc16406"/>
      <w:bookmarkStart w:id="926" w:name="_Toc20540"/>
      <w:bookmarkStart w:id="927" w:name="_Toc15314"/>
      <w:bookmarkStart w:id="928" w:name="_Toc515647794"/>
      <w:bookmarkStart w:id="929" w:name="_Toc29408"/>
      <w:bookmarkStart w:id="930" w:name="_Toc21246"/>
      <w:bookmarkStart w:id="931" w:name="_Toc26497"/>
      <w:bookmarkStart w:id="932" w:name="_Toc1144"/>
      <w:bookmarkStart w:id="933" w:name="_Toc13048"/>
      <w:bookmarkStart w:id="934" w:name="_Toc17462"/>
      <w:bookmarkStart w:id="935" w:name="_Toc24979"/>
      <w:bookmarkStart w:id="936" w:name="_Toc9967"/>
      <w:bookmarkStart w:id="937" w:name="_Toc1705"/>
      <w:bookmarkStart w:id="938" w:name="_Toc12962"/>
      <w:bookmarkStart w:id="939" w:name="_Toc17256"/>
      <w:bookmarkStart w:id="940" w:name="_Toc18923"/>
      <w:bookmarkStart w:id="941" w:name="_Toc14539"/>
      <w:bookmarkStart w:id="942" w:name="_Toc31793"/>
      <w:bookmarkStart w:id="943" w:name="_Toc13043"/>
      <w:bookmarkStart w:id="944" w:name="_Toc17422"/>
      <w:bookmarkStart w:id="945" w:name="_Toc21835"/>
      <w:bookmarkStart w:id="946" w:name="_Toc3090"/>
      <w:bookmarkStart w:id="947" w:name="_Toc17827"/>
      <w:bookmarkStart w:id="948" w:name="_Toc25385"/>
      <w:bookmarkStart w:id="949" w:name="_Toc8906"/>
      <w:bookmarkStart w:id="950" w:name="_Toc14040"/>
      <w:bookmarkStart w:id="951" w:name="_Toc9993"/>
      <w:bookmarkStart w:id="952" w:name="_Toc20390"/>
      <w:r>
        <w:rPr>
          <w:rFonts w:hint="eastAsia" w:ascii="宋体" w:hAnsi="宋体" w:eastAsia="宋体" w:cs="宋体"/>
          <w:b/>
          <w:bCs/>
          <w:color w:val="auto"/>
          <w:sz w:val="24"/>
          <w:szCs w:val="24"/>
          <w:highlight w:val="none"/>
          <w:u w:val="none"/>
        </w:rPr>
        <w:t>中标服务费</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ageBreakBefore w:val="0"/>
        <w:widowControl w:val="0"/>
        <w:kinsoku/>
        <w:wordWrap/>
        <w:overflowPunct/>
        <w:topLinePunct w:val="0"/>
        <w:bidi w:val="0"/>
        <w:spacing w:line="360" w:lineRule="exact"/>
        <w:ind w:left="420" w:leftChars="0" w:hanging="420" w:hanging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中标人须按照</w:t>
      </w:r>
      <w:r>
        <w:rPr>
          <w:rFonts w:hint="eastAsia" w:ascii="宋体" w:hAnsi="宋体" w:eastAsia="宋体" w:cs="宋体"/>
          <w:color w:val="auto"/>
          <w:sz w:val="24"/>
          <w:szCs w:val="24"/>
          <w:highlight w:val="none"/>
          <w:u w:val="single"/>
        </w:rPr>
        <w:t>投标须知资料表</w:t>
      </w:r>
      <w:r>
        <w:rPr>
          <w:rFonts w:hint="eastAsia" w:ascii="宋体" w:hAnsi="宋体" w:eastAsia="宋体" w:cs="宋体"/>
          <w:color w:val="auto"/>
          <w:sz w:val="24"/>
          <w:szCs w:val="24"/>
          <w:highlight w:val="none"/>
        </w:rPr>
        <w:t>规定，向采购代理机构支付中标服务费。</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953" w:name="_Toc25076"/>
      <w:bookmarkStart w:id="954" w:name="_Toc3584"/>
      <w:bookmarkStart w:id="955" w:name="_Toc7049"/>
      <w:bookmarkStart w:id="956" w:name="_Toc365"/>
      <w:bookmarkStart w:id="957" w:name="_Toc13676"/>
      <w:bookmarkStart w:id="958" w:name="_Toc24525"/>
      <w:bookmarkStart w:id="959" w:name="_Toc8477"/>
      <w:bookmarkStart w:id="960" w:name="_Toc515647795"/>
      <w:bookmarkStart w:id="961" w:name="_Toc7265"/>
      <w:bookmarkStart w:id="962" w:name="_Toc3053"/>
      <w:bookmarkStart w:id="963" w:name="_Toc23330"/>
      <w:bookmarkStart w:id="964" w:name="_Toc10747"/>
      <w:bookmarkStart w:id="965" w:name="_Toc20843"/>
      <w:bookmarkStart w:id="966" w:name="_Toc28372"/>
      <w:bookmarkStart w:id="967" w:name="_Toc11778"/>
      <w:bookmarkStart w:id="968" w:name="_Toc4947"/>
      <w:bookmarkStart w:id="969" w:name="_Toc23477"/>
      <w:bookmarkStart w:id="970" w:name="_Toc7158"/>
      <w:bookmarkStart w:id="971" w:name="_Toc16900"/>
      <w:bookmarkStart w:id="972" w:name="_Toc2419"/>
      <w:bookmarkStart w:id="973" w:name="_Toc26840"/>
      <w:bookmarkStart w:id="974" w:name="_Toc6923"/>
      <w:bookmarkStart w:id="975" w:name="_Toc10756"/>
      <w:bookmarkStart w:id="976" w:name="_Toc14969"/>
      <w:bookmarkStart w:id="977" w:name="_Toc9070"/>
      <w:bookmarkStart w:id="978" w:name="_Toc31379"/>
      <w:bookmarkStart w:id="979" w:name="_Toc29584"/>
      <w:bookmarkStart w:id="980" w:name="_Toc8804"/>
      <w:r>
        <w:rPr>
          <w:rFonts w:hint="eastAsia" w:ascii="宋体" w:hAnsi="宋体" w:eastAsia="宋体" w:cs="宋体"/>
          <w:b/>
          <w:bCs/>
          <w:color w:val="auto"/>
          <w:sz w:val="24"/>
          <w:szCs w:val="24"/>
          <w:highlight w:val="none"/>
          <w:u w:val="none"/>
        </w:rPr>
        <w:t>政府采购信用担保</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本项目是否属于信用担保试点范围见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ageBreakBefore w:val="0"/>
        <w:widowControl w:val="0"/>
        <w:kinsoku/>
        <w:wordWrap/>
        <w:overflowPunct/>
        <w:topLinePunct w:val="0"/>
        <w:bidi w:val="0"/>
        <w:spacing w:line="360" w:lineRule="exact"/>
        <w:ind w:left="849" w:leftChars="0" w:hanging="849" w:hangingChars="35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如属于政府采购信用担保试点范围内，中小型企业</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可以自由按照财政部门的规定，采用投标担保、履约担保和融资担保。</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33.2.1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递交的投标担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和履约担</w:t>
      </w:r>
      <w:r>
        <w:rPr>
          <w:rFonts w:hint="eastAsia" w:ascii="宋体" w:hAnsi="宋体" w:eastAsia="宋体" w:cs="宋体"/>
          <w:color w:val="auto"/>
          <w:sz w:val="24"/>
          <w:szCs w:val="24"/>
          <w:highlight w:val="none"/>
          <w:lang w:eastAsia="zh-CN"/>
        </w:rPr>
        <w:t>开户行银行保函</w:t>
      </w:r>
      <w:r>
        <w:rPr>
          <w:rFonts w:hint="eastAsia" w:ascii="宋体" w:hAnsi="宋体" w:eastAsia="宋体" w:cs="宋体"/>
          <w:color w:val="auto"/>
          <w:sz w:val="24"/>
          <w:szCs w:val="24"/>
          <w:highlight w:val="none"/>
        </w:rPr>
        <w:t>应符合本招标文件的规定。</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33.2.2 中标人可以采取融资担保的形式为政府采购项目履约进行融资。</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33.2.3 合格的政府采购专业信用担保机构名单见</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w:t>
      </w:r>
      <w:r>
        <w:rPr>
          <w:rFonts w:hint="eastAsia" w:ascii="宋体" w:hAnsi="宋体" w:eastAsia="宋体" w:cs="宋体"/>
          <w:color w:val="auto"/>
          <w:sz w:val="24"/>
          <w:szCs w:val="24"/>
          <w:highlight w:val="none"/>
        </w:rPr>
        <w:t>。</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981" w:name="_Toc12486"/>
      <w:bookmarkStart w:id="982" w:name="_Toc11013"/>
      <w:bookmarkStart w:id="983" w:name="_Toc3656"/>
      <w:bookmarkStart w:id="984" w:name="_Toc22315"/>
      <w:bookmarkStart w:id="985" w:name="_Toc31425"/>
      <w:bookmarkStart w:id="986" w:name="_Toc24863"/>
      <w:bookmarkStart w:id="987" w:name="_Toc22695"/>
      <w:bookmarkStart w:id="988" w:name="_Toc5262"/>
      <w:bookmarkStart w:id="989" w:name="_Toc3713"/>
      <w:bookmarkStart w:id="990" w:name="_Toc2133"/>
      <w:bookmarkStart w:id="991" w:name="_Toc18954"/>
      <w:bookmarkStart w:id="992" w:name="_Toc31178"/>
      <w:bookmarkStart w:id="993" w:name="_Toc5750"/>
      <w:bookmarkStart w:id="994" w:name="_Toc11552"/>
      <w:bookmarkStart w:id="995" w:name="_Toc23999"/>
      <w:bookmarkStart w:id="996" w:name="_Toc29108"/>
      <w:bookmarkStart w:id="997" w:name="_Toc7459"/>
      <w:bookmarkStart w:id="998" w:name="_Toc14437"/>
      <w:bookmarkStart w:id="999" w:name="_Toc32379"/>
      <w:bookmarkStart w:id="1000" w:name="_Toc25791"/>
      <w:bookmarkStart w:id="1001" w:name="_Toc27009"/>
      <w:bookmarkStart w:id="1002" w:name="_Toc3616"/>
      <w:bookmarkStart w:id="1003" w:name="_Toc5770"/>
      <w:bookmarkStart w:id="1004" w:name="_Toc23161"/>
      <w:bookmarkStart w:id="1005" w:name="_Toc9260"/>
      <w:bookmarkStart w:id="1006" w:name="_Toc515647796"/>
      <w:bookmarkStart w:id="1007" w:name="_Toc11707"/>
      <w:bookmarkStart w:id="1008" w:name="_Toc12158"/>
      <w:r>
        <w:rPr>
          <w:rFonts w:hint="eastAsia" w:ascii="宋体" w:hAnsi="宋体" w:eastAsia="宋体" w:cs="宋体"/>
          <w:b/>
          <w:bCs/>
          <w:color w:val="auto"/>
          <w:sz w:val="24"/>
          <w:szCs w:val="24"/>
          <w:highlight w:val="none"/>
          <w:u w:val="none"/>
        </w:rPr>
        <w:t>廉洁自律规定</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采购代理机构工作人员不得以不正当手段获取政府采购代理业务，不得与采购人、供应商恶意串通操纵政府采购活动。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采购代理机构工作人员不得接受采购人或者供应商组织的宴请、旅游、娱乐，不得收受礼品、现金、有价证券等，不得向采购人或者供应商报销应当由个人承担的费用。</w:t>
      </w:r>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   为强化采购代理机构内部监督机制，供应商可按</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须知资料表中的</w:t>
      </w:r>
      <w:r>
        <w:rPr>
          <w:rFonts w:hint="eastAsia" w:ascii="宋体" w:hAnsi="宋体" w:eastAsia="宋体" w:cs="宋体"/>
          <w:color w:val="auto"/>
          <w:sz w:val="24"/>
          <w:szCs w:val="24"/>
          <w:highlight w:val="none"/>
        </w:rPr>
        <w:t>监督电话和邮箱，反映采购代理机构的廉洁自律等问题。</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009" w:name="_Toc25035"/>
      <w:bookmarkStart w:id="1010" w:name="_Toc27260"/>
      <w:bookmarkStart w:id="1011" w:name="_Toc5448"/>
      <w:bookmarkStart w:id="1012" w:name="_Toc29594"/>
      <w:bookmarkStart w:id="1013" w:name="_Toc15644"/>
      <w:bookmarkStart w:id="1014" w:name="_Toc3319"/>
      <w:bookmarkStart w:id="1015" w:name="_Toc8543"/>
      <w:bookmarkStart w:id="1016" w:name="_Toc30045"/>
      <w:bookmarkStart w:id="1017" w:name="_Toc30009"/>
      <w:bookmarkStart w:id="1018" w:name="_Toc515647797"/>
      <w:bookmarkStart w:id="1019" w:name="_Toc17682"/>
      <w:bookmarkStart w:id="1020" w:name="_Toc12422"/>
      <w:bookmarkStart w:id="1021" w:name="_Toc23126"/>
      <w:bookmarkStart w:id="1022" w:name="_Toc28543"/>
      <w:bookmarkStart w:id="1023" w:name="_Toc6587"/>
      <w:bookmarkStart w:id="1024" w:name="_Toc4826"/>
      <w:bookmarkStart w:id="1025" w:name="_Toc29018"/>
      <w:bookmarkStart w:id="1026" w:name="_Toc20945"/>
      <w:bookmarkStart w:id="1027" w:name="_Toc17079"/>
      <w:bookmarkStart w:id="1028" w:name="_Toc25480"/>
      <w:bookmarkStart w:id="1029" w:name="_Toc4757"/>
      <w:bookmarkStart w:id="1030" w:name="_Toc19338"/>
      <w:bookmarkStart w:id="1031" w:name="_Toc27794"/>
      <w:bookmarkStart w:id="1032" w:name="_Toc31630"/>
      <w:bookmarkStart w:id="1033" w:name="_Toc23695"/>
      <w:bookmarkStart w:id="1034" w:name="_Toc5069"/>
      <w:bookmarkStart w:id="1035" w:name="_Toc11586"/>
      <w:bookmarkStart w:id="1036" w:name="_Toc13267"/>
      <w:r>
        <w:rPr>
          <w:rFonts w:hint="eastAsia" w:ascii="宋体" w:hAnsi="宋体" w:eastAsia="宋体" w:cs="宋体"/>
          <w:b/>
          <w:bCs/>
          <w:color w:val="auto"/>
          <w:sz w:val="24"/>
          <w:szCs w:val="24"/>
          <w:highlight w:val="none"/>
          <w:u w:val="none"/>
        </w:rPr>
        <w:t>人员回避</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ageBreakBefore w:val="0"/>
        <w:widowControl w:val="0"/>
        <w:kinsoku/>
        <w:wordWrap/>
        <w:overflowPunct/>
        <w:topLinePunct w:val="0"/>
        <w:bidi w:val="0"/>
        <w:spacing w:line="360" w:lineRule="exact"/>
        <w:ind w:left="900" w:leftChars="0" w:hanging="900" w:hangingChars="3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认为采购人员及其相关人员有法律法规所列与其他供应商有利害关系的，可以向采购人或采购代理机构书面提出回避申请，并说明理由。</w:t>
      </w:r>
    </w:p>
    <w:p>
      <w:pPr>
        <w:pStyle w:val="2"/>
        <w:pageBreakBefore w:val="0"/>
        <w:widowControl w:val="0"/>
        <w:numPr>
          <w:ilvl w:val="0"/>
          <w:numId w:val="4"/>
        </w:numPr>
        <w:kinsoku/>
        <w:wordWrap/>
        <w:overflowPunct/>
        <w:topLinePunct w:val="0"/>
        <w:bidi w:val="0"/>
        <w:spacing w:before="0" w:after="0" w:line="360" w:lineRule="exact"/>
        <w:ind w:left="0" w:leftChars="0"/>
        <w:textAlignment w:val="auto"/>
        <w:rPr>
          <w:rFonts w:hint="eastAsia" w:ascii="宋体" w:hAnsi="宋体" w:eastAsia="宋体" w:cs="宋体"/>
          <w:b/>
          <w:bCs/>
          <w:color w:val="auto"/>
          <w:sz w:val="24"/>
          <w:szCs w:val="24"/>
          <w:highlight w:val="none"/>
          <w:u w:val="none"/>
        </w:rPr>
      </w:pPr>
      <w:bookmarkStart w:id="1037" w:name="_Toc1948"/>
      <w:bookmarkStart w:id="1038" w:name="_Toc12470"/>
      <w:bookmarkStart w:id="1039" w:name="_Toc1162"/>
      <w:bookmarkStart w:id="1040" w:name="_Toc8468"/>
      <w:bookmarkStart w:id="1041" w:name="_Toc427"/>
      <w:bookmarkStart w:id="1042" w:name="_Toc8352"/>
      <w:bookmarkStart w:id="1043" w:name="_Toc7870"/>
      <w:bookmarkStart w:id="1044" w:name="_Toc6634"/>
      <w:bookmarkStart w:id="1045" w:name="_Toc21912"/>
      <w:bookmarkStart w:id="1046" w:name="_Toc12880"/>
      <w:bookmarkStart w:id="1047" w:name="_Toc25174"/>
      <w:bookmarkStart w:id="1048" w:name="_Toc4096"/>
      <w:bookmarkStart w:id="1049" w:name="_Toc9357"/>
      <w:bookmarkStart w:id="1050" w:name="_Toc1324"/>
      <w:bookmarkStart w:id="1051" w:name="_Toc27328"/>
      <w:bookmarkStart w:id="1052" w:name="_Toc29828"/>
      <w:bookmarkStart w:id="1053" w:name="_Toc3910"/>
      <w:bookmarkStart w:id="1054" w:name="_Toc22831"/>
      <w:bookmarkStart w:id="1055" w:name="_Toc27421"/>
      <w:bookmarkStart w:id="1056" w:name="_Toc6387"/>
      <w:bookmarkStart w:id="1057" w:name="_Toc14457"/>
      <w:bookmarkStart w:id="1058" w:name="_Toc12727"/>
      <w:bookmarkStart w:id="1059" w:name="_Toc15630"/>
      <w:bookmarkStart w:id="1060" w:name="_Toc30943"/>
      <w:r>
        <w:rPr>
          <w:rFonts w:hint="eastAsia" w:ascii="宋体" w:hAnsi="宋体" w:eastAsia="宋体" w:cs="宋体"/>
          <w:b/>
          <w:bCs/>
          <w:color w:val="auto"/>
          <w:sz w:val="24"/>
          <w:szCs w:val="24"/>
          <w:highlight w:val="none"/>
          <w:u w:val="none"/>
        </w:rPr>
        <w:t>质疑与接收</w:t>
      </w:r>
      <w:bookmarkEnd w:id="25"/>
      <w:bookmarkEnd w:id="26"/>
      <w:bookmarkEnd w:id="27"/>
      <w:bookmarkEnd w:id="28"/>
      <w:bookmarkEnd w:id="29"/>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  供应商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Style w:val="36"/>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  供应商对本项目提出质疑，必须按照相关法律法规的要求和程序，提供的质疑材料必须具备事实依据和法律依据。质疑函应当包含具体的质疑事项及事实依据，不得进行虚假及恶意质疑，如所提供的质疑材料出现恶意诋毁或与事实不符等现象，我公司将该企业的行为上报相应主管部门。</w:t>
      </w:r>
    </w:p>
    <w:p>
      <w:pPr>
        <w:pStyle w:val="36"/>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  投诉的事项应当包含投诉的请求和法律依据，投诉的事项不得超出所质疑事项的范围。投诉人有捏造事实、提供虚假材料、以非法手段取得证明材料的行为之一的，属于虚假、恶意投诉，由财政部门列入不良行为记录名单，禁止其1至3年内参加政府采购活动。证据来源的合法性存在明显疑问，投诉人无法证明其取得方式合法的，视为以非法手段取得证明材料。</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36.4 质疑供应商应按照财政部制定的《政府采购质疑函范本》格式（可从财政部官方网站下载）和《政府采购质疑和投诉办法》的要求，在法定质疑期内以纸质形式提出质疑，针对同一采购程序环节的质疑应一次性提出。超出法定质疑期的、重复提出的、分次提出的或内容、形式不符合《政府采购质疑和投诉办法》的，质疑供应商将依法承担不利后果。</w:t>
      </w:r>
    </w:p>
    <w:p>
      <w:pPr>
        <w:pageBreakBefore w:val="0"/>
        <w:widowControl w:val="0"/>
        <w:kinsoku/>
        <w:wordWrap/>
        <w:overflowPunct/>
        <w:topLinePunct w:val="0"/>
        <w:bidi w:val="0"/>
        <w:spacing w:line="360" w:lineRule="exact"/>
        <w:ind w:left="720" w:leftChars="0" w:hanging="720" w:hanging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36.5  采购代理机构质疑函接收部门、联系电话和通讯地址, 见</w:t>
      </w:r>
      <w:r>
        <w:rPr>
          <w:rFonts w:hint="eastAsia" w:ascii="宋体" w:hAnsi="宋体" w:eastAsia="宋体" w:cs="宋体"/>
          <w:color w:val="auto"/>
          <w:sz w:val="24"/>
          <w:szCs w:val="24"/>
          <w:highlight w:val="none"/>
          <w:u w:val="single"/>
        </w:rPr>
        <w:t>供应商须知资料表。</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36.6   供应商认为采购文件、采购过程和中标结果使自己的权益受到损害的，可以在知道或者应知其权益受到损害之日起7个工作日内，以书面形式向采购方提出质疑。供应商应知其权益受到损害之日，是指：</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（一）对可以质疑的采购文件提出质疑的，为收到采购文件之日或者采购文件公告期限届满之日；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（二）对采购过程提出质疑的，为各采购程序环节结束之日；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（三）对中标结果提出质疑的，为中标结果公告期限届满之日。</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 xml:space="preserve">36.7   </w:t>
      </w:r>
      <w:r>
        <w:rPr>
          <w:rFonts w:hint="eastAsia" w:ascii="宋体" w:hAnsi="宋体" w:eastAsia="宋体" w:cs="宋体"/>
          <w:b w:val="0"/>
          <w:bCs w:val="0"/>
          <w:color w:val="auto"/>
          <w:sz w:val="24"/>
          <w:szCs w:val="24"/>
          <w:highlight w:val="none"/>
          <w:lang w:val="en-US" w:eastAsia="zh-CN"/>
        </w:rPr>
        <w:t>供应商有权提出一次质疑，不能多次提出。</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 xml:space="preserve">36.8   </w:t>
      </w:r>
      <w:r>
        <w:rPr>
          <w:rFonts w:hint="eastAsia" w:ascii="宋体" w:hAnsi="宋体" w:eastAsia="宋体" w:cs="宋体"/>
          <w:b w:val="0"/>
          <w:bCs w:val="0"/>
          <w:color w:val="auto"/>
          <w:sz w:val="24"/>
          <w:szCs w:val="24"/>
          <w:highlight w:val="none"/>
        </w:rPr>
        <w:t>对可以质</w:t>
      </w:r>
      <w:r>
        <w:rPr>
          <w:rFonts w:hint="eastAsia" w:ascii="宋体" w:hAnsi="宋体" w:eastAsia="宋体" w:cs="宋体"/>
          <w:color w:val="auto"/>
          <w:sz w:val="24"/>
          <w:szCs w:val="24"/>
          <w:highlight w:val="none"/>
        </w:rPr>
        <w:t>疑的采购文件提出质疑的，质疑人为参与本项目的报价方或潜在报价方。可质疑的文件为采购公告以及采购文件（包括属于其组成部分的澄清、修改、补充文件和评审标准、合同文本等）。</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对采购过程和中标结果提出质疑的，质疑人为直接参与本项目的报价方。采购过程,即从采购项目信息公告发布起到中标结果公告止，包括采购文件的发出、提交</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开启、评审等各个采购程序环节。</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 xml:space="preserve">  提出质疑应当符合下列条件：</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（一）质疑主体应当符合有关规定；</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（二）在质疑法定期限内提出；</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（三）属于可以提出质疑的政府采购事项受理范围和本项目采购人的管辖权范围；</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（四）政府采购法律、法规、规章规定的其他条件。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 xml:space="preserve">  质疑人所提供的证明材料应当具有真实性、合法性以及与质疑事项的关联性和证明力，否则不能作为认定该质疑事项成立的依据。</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 xml:space="preserve"> 质疑人提出质疑时应当提交质疑函。质疑函包括下列内容：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（一）提出质疑的质疑人的名称、地址、邮编、联系人及联系电话等；</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（四）事实依据和证明材料；</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（五）法律依据；</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（六）提出质疑的日期。</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 xml:space="preserve">  质疑人可以委托代理人进行质疑。代理人应当提交授权委托书。授权委托书应当载明委托代理的具体权限、期限和相关事项。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质疑的审查和受理</w:t>
      </w:r>
    </w:p>
    <w:p>
      <w:pPr>
        <w:pageBreakBefore w:val="0"/>
        <w:widowControl w:val="0"/>
        <w:kinsoku/>
        <w:wordWrap/>
        <w:overflowPunct/>
        <w:topLinePunct w:val="0"/>
        <w:bidi w:val="0"/>
        <w:spacing w:line="360" w:lineRule="exact"/>
        <w:ind w:left="718" w:leftChars="342"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采购方在收到质疑函后应当及时审查是否符合质疑受理条件，对符合质疑受理条件的，及时予以受理。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对不符合质疑受理条件的，分别按照下列不同情形予以处理：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（二）质疑主体不符合有关规定的，告知质疑人不予受理；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（三）超过质疑法定期限提出质疑的，告知质疑人不予受理；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（四）对不属于可以提出质疑的政府采购事项提出质疑的，告知质疑人不予受理；</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（五）质疑不属于本项目采购方管辖的，告知质疑人向有管辖权的采购人提出质疑；</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（六）质疑不符合其他条件的，告知质疑人不予受理。</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质疑的处理和答复</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采购方受理质疑后，将及时把质疑函发送给被质疑人，并要求其在一定限期内提交书面答复，同时提供有关证据、依据和相关材料。</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 xml:space="preserve">  对于质疑事项中涉及的问题较多、情况比较复杂的，为了全面查清事实、取得充分的证据，采购方认为有必要时，可以进行调查取证或者组织质证。</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  对评审过程、中标结果提出质疑的，采购方可以组织原评审委员会协助答复质疑。</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质疑处理过程中，质疑人书面申请撤回质疑的，将终止质疑处理程序。</w:t>
      </w:r>
    </w:p>
    <w:p>
      <w:pPr>
        <w:pageBreakBefore w:val="0"/>
        <w:widowControl w:val="0"/>
        <w:kinsoku/>
        <w:wordWrap/>
        <w:overflowPunct/>
        <w:topLinePunct w:val="0"/>
        <w:bidi w:val="0"/>
        <w:spacing w:line="360" w:lineRule="exact"/>
        <w:ind w:left="960" w:leftChars="0" w:hanging="960" w:hangingChars="4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720" w:leftChars="0" w:hanging="720" w:hanging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 xml:space="preserve"> 质疑人拒绝配合采购方依法对质疑进行调查处理的，采购方将按质疑人自动撤回质疑处理；被质疑人拒绝配合采购方依法对质疑进行调查处理的，采购方将视同其认可质疑事项。</w:t>
      </w:r>
    </w:p>
    <w:p>
      <w:pPr>
        <w:pageBreakBefore w:val="0"/>
        <w:widowControl w:val="0"/>
        <w:kinsoku/>
        <w:wordWrap/>
        <w:overflowPunct/>
        <w:topLinePunct w:val="0"/>
        <w:bidi w:val="0"/>
        <w:spacing w:line="360" w:lineRule="exact"/>
        <w:ind w:left="0" w:left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采购方将在正式受理质疑后7个工作日内作出答复。</w:t>
      </w:r>
      <w:r>
        <w:rPr>
          <w:rFonts w:hint="eastAsia" w:ascii="宋体" w:hAnsi="宋体" w:eastAsia="宋体" w:cs="宋体"/>
          <w:color w:val="auto"/>
          <w:sz w:val="24"/>
          <w:szCs w:val="24"/>
          <w:highlight w:val="none"/>
          <w:lang w:val="en-US" w:eastAsia="zh-CN"/>
        </w:rPr>
        <w:t xml:space="preserve"> </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质疑答复应当包括下列内容：</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（一）质疑人的姓名或者名称；</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（二）收到质疑函的日期、质疑项目名称及编号；</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（三）质疑事项、质疑答复的具体内容、事实依据和法律依据；</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（四）告知质疑供应商依法投诉的权利；</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（五）质疑答复人名称；</w:t>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（六）答复质疑的日期。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36"/>
        <w:pageBreakBefore w:val="0"/>
        <w:widowControl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p>
    <w:p>
      <w:pPr>
        <w:pageBreakBefore w:val="0"/>
        <w:kinsoku/>
        <w:wordWrap/>
        <w:overflowPunct/>
        <w:topLinePunct w:val="0"/>
        <w:bidi w:val="0"/>
        <w:spacing w:line="360" w:lineRule="exact"/>
        <w:ind w:left="0" w:leftChars="0"/>
        <w:jc w:val="center"/>
        <w:textAlignment w:val="auto"/>
        <w:outlineLvl w:val="2"/>
        <w:rPr>
          <w:rFonts w:hint="eastAsia" w:ascii="宋体" w:hAnsi="宋体" w:eastAsia="宋体" w:cs="宋体"/>
          <w:b/>
          <w:bCs/>
          <w:color w:val="auto"/>
          <w:sz w:val="24"/>
          <w:szCs w:val="24"/>
          <w:highlight w:val="none"/>
        </w:rPr>
      </w:pPr>
      <w:bookmarkStart w:id="1061" w:name="_Toc22908"/>
      <w:bookmarkStart w:id="1062" w:name="_Toc13021"/>
      <w:bookmarkStart w:id="1063" w:name="_Toc23411"/>
      <w:bookmarkStart w:id="1064" w:name="_Toc4981"/>
      <w:bookmarkStart w:id="1065" w:name="_Toc30093"/>
      <w:bookmarkStart w:id="1066" w:name="_Toc9437"/>
      <w:bookmarkStart w:id="1067" w:name="_Toc30855"/>
      <w:bookmarkStart w:id="1068" w:name="_Toc16652"/>
      <w:bookmarkStart w:id="1069" w:name="_Toc3696"/>
      <w:bookmarkStart w:id="1070" w:name="_Toc24946"/>
      <w:bookmarkStart w:id="1071" w:name="_Toc27146"/>
      <w:bookmarkStart w:id="1072" w:name="_Toc1819"/>
      <w:bookmarkStart w:id="1073" w:name="_Toc16553"/>
      <w:bookmarkStart w:id="1074" w:name="_Toc18518"/>
      <w:bookmarkStart w:id="1075" w:name="_Toc8353"/>
      <w:bookmarkStart w:id="1076" w:name="_Toc17218"/>
      <w:bookmarkStart w:id="1077" w:name="_Toc12088"/>
      <w:bookmarkStart w:id="1078" w:name="_Toc30512"/>
      <w:bookmarkStart w:id="1079" w:name="_Toc27096"/>
      <w:bookmarkStart w:id="1080" w:name="_Toc11973"/>
      <w:bookmarkStart w:id="1081" w:name="_Toc1369"/>
      <w:bookmarkStart w:id="1082" w:name="_Toc25636"/>
      <w:bookmarkStart w:id="1083" w:name="_Toc6493"/>
      <w:bookmarkStart w:id="1084" w:name="_Toc27601"/>
      <w:bookmarkStart w:id="1085" w:name="_Toc2799"/>
      <w:bookmarkStart w:id="1086" w:name="_Toc11297"/>
      <w:bookmarkStart w:id="1087" w:name="_Toc2500"/>
      <w:bookmarkStart w:id="1088" w:name="_Toc2072"/>
      <w:bookmarkStart w:id="1089" w:name="_Toc5602"/>
      <w:r>
        <w:rPr>
          <w:rFonts w:hint="eastAsia" w:ascii="宋体" w:hAnsi="宋体" w:eastAsia="宋体" w:cs="宋体"/>
          <w:b/>
          <w:bCs/>
          <w:color w:val="auto"/>
          <w:sz w:val="24"/>
          <w:szCs w:val="24"/>
          <w:highlight w:val="none"/>
        </w:rPr>
        <w:t>质疑函范本</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dotted"/>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pageBreakBefore w:val="0"/>
        <w:kinsoku/>
        <w:wordWrap/>
        <w:overflowPunct/>
        <w:topLinePunct w:val="0"/>
        <w:bidi w:val="0"/>
        <w:adjustRightInd w:val="0"/>
        <w:snapToGrid w:val="0"/>
        <w:spacing w:line="360" w:lineRule="exact"/>
        <w:ind w:left="0" w:left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single"/>
        </w:rPr>
        <w:t xml:space="preserve">                                               </w:t>
      </w:r>
    </w:p>
    <w:p>
      <w:pPr>
        <w:pageBreakBefore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pageBreakBefore w:val="0"/>
        <w:kinsoku/>
        <w:wordWrap/>
        <w:overflowPunct/>
        <w:topLinePunct w:val="0"/>
        <w:bidi w:val="0"/>
        <w:spacing w:line="36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pageBreakBefore w:val="0"/>
        <w:kinsoku/>
        <w:wordWrap/>
        <w:overflowPunct/>
        <w:topLinePunct w:val="0"/>
        <w:bidi w:val="0"/>
        <w:spacing w:line="360" w:lineRule="exact"/>
        <w:ind w:left="0" w:leftChars="0"/>
        <w:textAlignment w:val="auto"/>
        <w:rPr>
          <w:rFonts w:hint="eastAsia" w:ascii="宋体" w:hAnsi="宋体" w:eastAsia="宋体" w:cs="宋体"/>
          <w:b/>
          <w:color w:val="auto"/>
          <w:sz w:val="24"/>
          <w:szCs w:val="24"/>
          <w:highlight w:val="none"/>
        </w:rPr>
      </w:pPr>
    </w:p>
    <w:p>
      <w:pPr>
        <w:pageBreakBefore w:val="0"/>
        <w:kinsoku/>
        <w:wordWrap/>
        <w:overflowPunct/>
        <w:topLinePunct w:val="0"/>
        <w:bidi w:val="0"/>
        <w:spacing w:line="36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质疑函制作说明：</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pageBreakBefore w:val="0"/>
        <w:widowControl/>
        <w:kinsoku/>
        <w:wordWrap/>
        <w:overflowPunct/>
        <w:topLinePunct w:val="0"/>
        <w:bidi w:val="0"/>
        <w:spacing w:line="360" w:lineRule="exact"/>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pStyle w:val="3"/>
        <w:spacing w:line="400" w:lineRule="exact"/>
        <w:ind w:firstLine="0"/>
        <w:rPr>
          <w:rFonts w:hint="eastAsia" w:ascii="宋体" w:hAnsi="宋体" w:eastAsia="宋体" w:cs="宋体"/>
          <w:color w:val="auto"/>
          <w:kern w:val="2"/>
          <w:sz w:val="21"/>
          <w:szCs w:val="21"/>
          <w:highlight w:val="none"/>
        </w:rPr>
      </w:pPr>
      <w:r>
        <w:rPr>
          <w:rFonts w:hint="eastAsia" w:ascii="宋体" w:hAnsi="宋体" w:eastAsia="宋体" w:cs="宋体"/>
          <w:b/>
          <w:color w:val="auto"/>
          <w:szCs w:val="24"/>
          <w:highlight w:val="none"/>
        </w:rPr>
        <w:br w:type="page"/>
      </w:r>
    </w:p>
    <w:p>
      <w:pPr>
        <w:pStyle w:val="5"/>
        <w:keepNext/>
        <w:keepLines/>
        <w:pageBreakBefore w:val="0"/>
        <w:widowControl w:val="0"/>
        <w:kinsoku/>
        <w:wordWrap/>
        <w:overflowPunct/>
        <w:topLinePunct w:val="0"/>
        <w:autoSpaceDE w:val="0"/>
        <w:autoSpaceDN w:val="0"/>
        <w:bidi w:val="0"/>
        <w:adjustRightInd w:val="0"/>
        <w:snapToGrid/>
        <w:spacing w:before="0" w:after="0" w:line="240" w:lineRule="atLeast"/>
        <w:ind w:left="0"/>
        <w:jc w:val="center"/>
        <w:textAlignment w:val="auto"/>
        <w:rPr>
          <w:rFonts w:hint="eastAsia" w:ascii="宋体" w:hAnsi="宋体" w:eastAsia="宋体" w:cs="宋体"/>
          <w:b/>
          <w:bCs/>
          <w:color w:val="auto"/>
          <w:sz w:val="32"/>
          <w:szCs w:val="32"/>
          <w:highlight w:val="none"/>
        </w:rPr>
      </w:pPr>
      <w:bookmarkStart w:id="1090" w:name="_Toc728"/>
      <w:bookmarkStart w:id="1091" w:name="_Toc216582812"/>
      <w:bookmarkStart w:id="1092" w:name="_Toc702"/>
      <w:bookmarkStart w:id="1093" w:name="_Toc29770"/>
      <w:bookmarkStart w:id="1094" w:name="_Toc515647802"/>
      <w:bookmarkStart w:id="1095" w:name="_Toc3574"/>
      <w:bookmarkStart w:id="1096" w:name="_Toc22176"/>
      <w:r>
        <w:rPr>
          <w:rFonts w:hint="eastAsia" w:ascii="宋体" w:hAnsi="宋体" w:eastAsia="宋体" w:cs="宋体"/>
          <w:b/>
          <w:bCs/>
          <w:color w:val="auto"/>
          <w:kern w:val="0"/>
          <w:sz w:val="32"/>
          <w:szCs w:val="32"/>
          <w:highlight w:val="none"/>
          <w:lang w:val="en-US" w:eastAsia="zh-CN" w:bidi="ar-SA"/>
        </w:rPr>
        <w:t>第2章</w:t>
      </w:r>
      <w:r>
        <w:rPr>
          <w:rFonts w:hint="eastAsia" w:hAnsi="宋体" w:cs="宋体"/>
          <w:b/>
          <w:bCs/>
          <w:color w:val="auto"/>
          <w:kern w:val="0"/>
          <w:sz w:val="32"/>
          <w:szCs w:val="32"/>
          <w:highlight w:val="none"/>
          <w:lang w:val="en-US" w:eastAsia="zh-CN" w:bidi="ar-SA"/>
        </w:rPr>
        <w:t xml:space="preserve">  </w:t>
      </w:r>
      <w:r>
        <w:rPr>
          <w:rFonts w:hint="eastAsia" w:ascii="宋体" w:hAnsi="宋体" w:eastAsia="宋体" w:cs="宋体"/>
          <w:b/>
          <w:bCs/>
          <w:color w:val="auto"/>
          <w:kern w:val="0"/>
          <w:sz w:val="32"/>
          <w:szCs w:val="32"/>
          <w:highlight w:val="none"/>
          <w:lang w:val="en-US" w:eastAsia="zh-CN" w:bidi="ar-SA"/>
        </w:rPr>
        <w:t>投标文件格式</w:t>
      </w:r>
      <w:bookmarkEnd w:id="1090"/>
      <w:bookmarkEnd w:id="1091"/>
      <w:bookmarkEnd w:id="1092"/>
      <w:bookmarkEnd w:id="1093"/>
      <w:bookmarkEnd w:id="1094"/>
      <w:bookmarkEnd w:id="1095"/>
      <w:bookmarkEnd w:id="1096"/>
    </w:p>
    <w:p>
      <w:pPr>
        <w:pStyle w:val="6"/>
        <w:pageBreakBefore w:val="0"/>
        <w:kinsoku/>
        <w:wordWrap/>
        <w:overflowPunct/>
        <w:topLinePunct w:val="0"/>
        <w:bidi w:val="0"/>
        <w:spacing w:before="0" w:line="360" w:lineRule="exact"/>
        <w:ind w:left="1080" w:leftChars="257" w:hanging="540"/>
        <w:rPr>
          <w:rFonts w:hint="eastAsia" w:ascii="宋体" w:hAnsi="宋体" w:eastAsia="宋体" w:cs="宋体"/>
          <w:color w:val="auto"/>
          <w:sz w:val="24"/>
          <w:szCs w:val="24"/>
          <w:highlight w:val="none"/>
        </w:rPr>
      </w:pPr>
      <w:bookmarkStart w:id="1097" w:name="_Toc515647803"/>
      <w:bookmarkStart w:id="1098" w:name="_Toc32079"/>
      <w:bookmarkStart w:id="1099" w:name="_Toc18974"/>
      <w:bookmarkStart w:id="1100" w:name="_Toc18694"/>
      <w:bookmarkStart w:id="1101" w:name="_Toc32123"/>
      <w:bookmarkStart w:id="1102" w:name="_Toc4810"/>
      <w:bookmarkStart w:id="1103" w:name="_Toc22572"/>
      <w:bookmarkStart w:id="1104" w:name="_Toc3620"/>
      <w:bookmarkStart w:id="1105" w:name="_Toc30630"/>
      <w:bookmarkStart w:id="1106" w:name="_Toc14118"/>
      <w:bookmarkStart w:id="1107" w:name="_Toc11138"/>
      <w:bookmarkStart w:id="1108" w:name="_Toc16750"/>
      <w:bookmarkStart w:id="1109" w:name="_Toc16568"/>
      <w:bookmarkStart w:id="1110" w:name="_Toc21614"/>
      <w:bookmarkStart w:id="1111" w:name="_Toc515647804"/>
      <w:bookmarkStart w:id="1112" w:name="_Toc30524"/>
      <w:bookmarkStart w:id="1113" w:name="_Toc29091"/>
      <w:bookmarkStart w:id="1114" w:name="_Toc522"/>
      <w:bookmarkStart w:id="1115" w:name="_Toc13595"/>
      <w:bookmarkStart w:id="1116" w:name="_Toc520356217"/>
      <w:bookmarkStart w:id="1117" w:name="_Toc216582813"/>
      <w:bookmarkStart w:id="1118" w:name="_Ref467988698"/>
      <w:bookmarkStart w:id="1119" w:name="_Toc480942349"/>
      <w:r>
        <w:rPr>
          <w:rFonts w:hint="eastAsia" w:ascii="宋体" w:hAnsi="宋体" w:eastAsia="宋体" w:cs="宋体"/>
          <w:color w:val="auto"/>
          <w:sz w:val="24"/>
          <w:szCs w:val="24"/>
          <w:highlight w:val="none"/>
        </w:rPr>
        <w:t>第一部分 开标一览表及资格证明文件</w:t>
      </w:r>
      <w:bookmarkEnd w:id="1097"/>
      <w:bookmarkEnd w:id="1098"/>
      <w:bookmarkEnd w:id="1099"/>
      <w:bookmarkEnd w:id="1100"/>
      <w:bookmarkEnd w:id="1101"/>
      <w:bookmarkEnd w:id="1102"/>
      <w:bookmarkEnd w:id="1103"/>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开标一览表</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具有有效的营业执照</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法定代表人资格证明及授权书、被授权人身份证(法定代表人投标需提供法定代表人身份证)；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提供近两年内任意一年的财务审计报告</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依法缴纳近六个月内任意一个月</w:t>
      </w:r>
      <w:r>
        <w:rPr>
          <w:rFonts w:hint="eastAsia" w:ascii="宋体" w:hAnsi="宋体" w:cs="宋体"/>
          <w:color w:val="auto"/>
          <w:sz w:val="24"/>
          <w:szCs w:val="24"/>
          <w:highlight w:val="none"/>
          <w:lang w:eastAsia="zh-CN"/>
        </w:rPr>
        <w:t>社会保险证明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依法缴纳近六个月内任意一个月税收证明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w:t>
      </w:r>
      <w:r>
        <w:rPr>
          <w:rFonts w:hint="eastAsia" w:ascii="宋体" w:hAnsi="宋体" w:cs="宋体"/>
          <w:color w:val="auto"/>
          <w:sz w:val="24"/>
          <w:szCs w:val="24"/>
          <w:highlight w:val="none"/>
          <w:lang w:eastAsia="zh-CN"/>
        </w:rPr>
        <w:t>重点领域严重失信主体名单查询-搜索栏输入单位全称</w:t>
      </w:r>
      <w:r>
        <w:rPr>
          <w:rFonts w:hint="eastAsia" w:ascii="宋体" w:hAnsi="宋体" w:eastAsia="宋体" w:cs="宋体"/>
          <w:color w:val="auto"/>
          <w:sz w:val="24"/>
          <w:szCs w:val="24"/>
          <w:highlight w:val="none"/>
          <w:lang w:eastAsia="zh-CN"/>
        </w:rPr>
        <w:t>)、中国政府采购网（http://www.ccgp.gov.cn/search/cr/）严重违法失信行为信息记录名单的（尚在处罚期内的），“国家企业信用信息公示系统（http://www.gsxt.gov.cn）”</w:t>
      </w:r>
      <w:r>
        <w:rPr>
          <w:rFonts w:hint="eastAsia" w:ascii="宋体" w:hAnsi="宋体" w:cs="宋体"/>
          <w:color w:val="auto"/>
          <w:sz w:val="24"/>
          <w:szCs w:val="24"/>
          <w:highlight w:val="none"/>
          <w:lang w:eastAsia="zh-CN"/>
        </w:rPr>
        <w:t>列入严重违法失信名单（黑名单）信息；将拒绝其参加本次招标活动</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以采购代理机构或采购人查询为准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提供针对本次项目的《反商业贿赂承诺书》；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缴纳投标保证金的有效凭证</w:t>
      </w:r>
      <w:r>
        <w:rPr>
          <w:rFonts w:hint="eastAsia" w:ascii="宋体" w:hAnsi="宋体" w:eastAsia="宋体" w:cs="宋体"/>
          <w:color w:val="auto"/>
          <w:sz w:val="24"/>
          <w:szCs w:val="24"/>
          <w:highlight w:val="none"/>
        </w:rPr>
        <w:t>；</w:t>
      </w:r>
    </w:p>
    <w:p>
      <w:pPr>
        <w:pStyle w:val="19"/>
        <w:rPr>
          <w:rFonts w:hint="default" w:eastAsia="宋体"/>
          <w:color w:val="auto"/>
          <w:highlight w:val="none"/>
          <w:lang w:val="en-US" w:eastAsia="zh-CN"/>
        </w:rPr>
      </w:pPr>
      <w:r>
        <w:rPr>
          <w:rFonts w:hint="eastAsia" w:ascii="宋体" w:hAnsi="宋体" w:cs="宋体"/>
          <w:color w:val="auto"/>
          <w:sz w:val="24"/>
          <w:szCs w:val="24"/>
          <w:highlight w:val="none"/>
          <w:lang w:val="en-US" w:eastAsia="zh-CN"/>
        </w:rPr>
        <w:t>11.须具备城乡规划编制乙级及以上资质（含乙级）证书或土地规划乙级及以上资质（含乙级）证书；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kern w:val="0"/>
          <w:sz w:val="24"/>
          <w:szCs w:val="24"/>
          <w:highlight w:val="none"/>
        </w:rPr>
        <w:t>银行开户许可证复印件或银行基本账户信息(包含：银行账号及开户行名称）；</w:t>
      </w:r>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供应商可提供有利于投标的其他资格证明材料。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1"/>
          <w:szCs w:val="21"/>
          <w:highlight w:val="none"/>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left="0" w:leftChars="0"/>
        <w:jc w:val="left"/>
        <w:textAlignment w:val="baseline"/>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各供应商应注意以下事项：①本项目要求各投标供应商提供“</w:t>
      </w:r>
      <w:r>
        <w:rPr>
          <w:rFonts w:hint="eastAsia" w:ascii="宋体" w:hAnsi="宋体" w:cs="宋体"/>
          <w:b/>
          <w:bCs/>
          <w:color w:val="auto"/>
          <w:sz w:val="21"/>
          <w:szCs w:val="21"/>
          <w:highlight w:val="none"/>
          <w:lang w:eastAsia="zh-CN"/>
        </w:rPr>
        <w:t>依法缴纳近六个月内任意一个月税收证明</w:t>
      </w:r>
      <w:r>
        <w:rPr>
          <w:rFonts w:hint="eastAsia" w:ascii="宋体" w:hAnsi="宋体" w:eastAsia="宋体" w:cs="宋体"/>
          <w:b/>
          <w:bCs/>
          <w:color w:val="auto"/>
          <w:sz w:val="21"/>
          <w:szCs w:val="21"/>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bookmarkEnd w:id="1104"/>
    <w:bookmarkEnd w:id="1105"/>
    <w:bookmarkEnd w:id="1106"/>
    <w:bookmarkEnd w:id="1107"/>
    <w:bookmarkEnd w:id="1108"/>
    <w:bookmarkEnd w:id="1109"/>
    <w:bookmarkEnd w:id="1110"/>
    <w:bookmarkEnd w:id="1111"/>
    <w:bookmarkEnd w:id="1112"/>
    <w:bookmarkEnd w:id="1113"/>
    <w:bookmarkEnd w:id="1114"/>
    <w:bookmarkEnd w:id="1115"/>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20" w:name="_Toc17006"/>
      <w:r>
        <w:rPr>
          <w:rFonts w:hint="eastAsia" w:ascii="宋体" w:hAnsi="宋体" w:eastAsia="宋体" w:cs="宋体"/>
          <w:color w:val="auto"/>
          <w:sz w:val="28"/>
          <w:szCs w:val="28"/>
          <w:highlight w:val="none"/>
        </w:rPr>
        <w:t>1.开标一览表；</w:t>
      </w:r>
      <w:bookmarkEnd w:id="1120"/>
    </w:p>
    <w:p>
      <w:pPr>
        <w:pStyle w:val="3"/>
        <w:tabs>
          <w:tab w:val="left" w:pos="5580"/>
        </w:tabs>
        <w:spacing w:line="400" w:lineRule="exact"/>
        <w:ind w:left="1080" w:leftChars="257" w:hanging="540"/>
        <w:jc w:val="center"/>
        <w:rPr>
          <w:rFonts w:hint="eastAsia" w:ascii="宋体" w:hAnsi="宋体" w:eastAsia="宋体" w:cs="宋体"/>
          <w:color w:val="auto"/>
          <w:highlight w:val="none"/>
        </w:rPr>
      </w:pPr>
      <w:bookmarkStart w:id="1121" w:name="_Hlt520356241"/>
      <w:bookmarkEnd w:id="1121"/>
      <w:bookmarkStart w:id="1122" w:name="_Toc494296984"/>
      <w:r>
        <w:rPr>
          <w:rFonts w:hint="eastAsia" w:ascii="宋体" w:hAnsi="宋体" w:eastAsia="宋体" w:cs="宋体"/>
          <w:b/>
          <w:color w:val="auto"/>
          <w:highlight w:val="none"/>
        </w:rPr>
        <w:t>开标一览表</w:t>
      </w:r>
      <w:bookmarkEnd w:id="1122"/>
    </w:p>
    <w:p>
      <w:pPr>
        <w:tabs>
          <w:tab w:val="left" w:pos="1800"/>
          <w:tab w:val="left" w:pos="5580"/>
        </w:tabs>
        <w:spacing w:line="400" w:lineRule="exact"/>
        <w:ind w:left="1080" w:leftChars="257" w:right="-867" w:rightChars="-413"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项目编号：               </w:t>
      </w:r>
      <w:r>
        <w:rPr>
          <w:rFonts w:hint="eastAsia" w:ascii="宋体" w:hAnsi="宋体" w:cs="宋体"/>
          <w:color w:val="auto"/>
          <w:sz w:val="24"/>
          <w:highlight w:val="none"/>
          <w:lang w:val="en-US" w:eastAsia="zh-CN"/>
        </w:rPr>
        <w:t>包号</w:t>
      </w:r>
      <w:r>
        <w:rPr>
          <w:rFonts w:hint="eastAsia" w:ascii="宋体" w:hAnsi="宋体" w:eastAsia="宋体" w:cs="宋体"/>
          <w:color w:val="auto"/>
          <w:sz w:val="24"/>
          <w:highlight w:val="none"/>
        </w:rPr>
        <w:t xml:space="preserve">           </w:t>
      </w:r>
    </w:p>
    <w:p>
      <w:pPr>
        <w:tabs>
          <w:tab w:val="left" w:pos="1800"/>
          <w:tab w:val="left" w:pos="5580"/>
        </w:tabs>
        <w:spacing w:line="400" w:lineRule="exact"/>
        <w:ind w:left="1080" w:leftChars="257" w:right="-867" w:rightChars="-413" w:hanging="54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报价单位：人民币</w:t>
      </w:r>
      <w:r>
        <w:rPr>
          <w:rFonts w:hint="eastAsia" w:ascii="宋体" w:hAnsi="宋体" w:eastAsia="宋体" w:cs="宋体"/>
          <w:color w:val="auto"/>
          <w:sz w:val="24"/>
          <w:highlight w:val="none"/>
          <w:lang w:val="en-US" w:eastAsia="zh-CN"/>
        </w:rPr>
        <w:t xml:space="preserve"> </w:t>
      </w:r>
      <w:r>
        <w:rPr>
          <w:rFonts w:hint="eastAsia" w:ascii="宋体" w:hAnsi="宋体" w:eastAsia="宋体" w:cs="宋体"/>
          <w:b/>
          <w:color w:val="auto"/>
          <w:sz w:val="24"/>
          <w:highlight w:val="none"/>
        </w:rPr>
        <w:t>元</w:t>
      </w:r>
      <w:r>
        <w:rPr>
          <w:rFonts w:hint="eastAsia" w:ascii="宋体" w:hAnsi="宋体" w:eastAsia="宋体" w:cs="宋体"/>
          <w:b/>
          <w:color w:val="auto"/>
          <w:sz w:val="24"/>
          <w:highlight w:val="none"/>
          <w:lang w:val="en-US" w:eastAsia="zh-CN"/>
        </w:rPr>
        <w:t xml:space="preserve">           </w:t>
      </w:r>
    </w:p>
    <w:tbl>
      <w:tblPr>
        <w:tblStyle w:val="25"/>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87"/>
        <w:gridCol w:w="1387"/>
        <w:gridCol w:w="1387"/>
        <w:gridCol w:w="1387"/>
        <w:gridCol w:w="138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名称</w:t>
            </w: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投标总价</w:t>
            </w: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1387" w:type="dxa"/>
            <w:vAlign w:val="center"/>
          </w:tcPr>
          <w:p>
            <w:pPr>
              <w:tabs>
                <w:tab w:val="left" w:pos="5580"/>
              </w:tabs>
              <w:spacing w:line="40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成果交付期</w:t>
            </w:r>
          </w:p>
        </w:tc>
        <w:tc>
          <w:tcPr>
            <w:tcW w:w="1387" w:type="dxa"/>
            <w:vAlign w:val="center"/>
          </w:tcPr>
          <w:p>
            <w:pPr>
              <w:tabs>
                <w:tab w:val="left" w:pos="5580"/>
              </w:tabs>
              <w:spacing w:line="400" w:lineRule="exact"/>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交付地点</w:t>
            </w:r>
          </w:p>
        </w:tc>
        <w:tc>
          <w:tcPr>
            <w:tcW w:w="1387" w:type="dxa"/>
            <w:vAlign w:val="center"/>
          </w:tcPr>
          <w:p>
            <w:pPr>
              <w:tabs>
                <w:tab w:val="left" w:pos="5580"/>
              </w:tabs>
              <w:spacing w:line="400" w:lineRule="exact"/>
              <w:jc w:val="center"/>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jc w:val="center"/>
        </w:trPr>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大写：</w:t>
            </w:r>
          </w:p>
          <w:p>
            <w:pPr>
              <w:tabs>
                <w:tab w:val="left" w:pos="5580"/>
              </w:tabs>
              <w:spacing w:line="4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小写：</w:t>
            </w: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c>
          <w:tcPr>
            <w:tcW w:w="1387" w:type="dxa"/>
            <w:vAlign w:val="center"/>
          </w:tcPr>
          <w:p>
            <w:pPr>
              <w:spacing w:line="400" w:lineRule="exact"/>
              <w:jc w:val="center"/>
              <w:rPr>
                <w:rFonts w:hint="eastAsia" w:ascii="宋体" w:hAnsi="宋体" w:eastAsia="宋体" w:cs="宋体"/>
                <w:color w:val="auto"/>
                <w:sz w:val="24"/>
                <w:highlight w:val="none"/>
                <w:lang w:val="en-US" w:eastAsia="zh-CN"/>
              </w:rPr>
            </w:pPr>
          </w:p>
        </w:tc>
        <w:tc>
          <w:tcPr>
            <w:tcW w:w="1387" w:type="dxa"/>
            <w:vAlign w:val="center"/>
          </w:tcPr>
          <w:p>
            <w:pPr>
              <w:tabs>
                <w:tab w:val="left" w:pos="5580"/>
              </w:tabs>
              <w:spacing w:line="400" w:lineRule="exact"/>
              <w:jc w:val="center"/>
              <w:rPr>
                <w:rFonts w:hint="eastAsia" w:ascii="宋体" w:hAnsi="宋体" w:eastAsia="宋体" w:cs="宋体"/>
                <w:color w:val="auto"/>
                <w:sz w:val="24"/>
                <w:highlight w:val="none"/>
                <w:lang w:val="en-US" w:eastAsia="zh-CN"/>
              </w:rPr>
            </w:pPr>
          </w:p>
        </w:tc>
      </w:tr>
    </w:tbl>
    <w:p>
      <w:pPr>
        <w:pStyle w:val="13"/>
        <w:tabs>
          <w:tab w:val="left" w:pos="5580"/>
        </w:tabs>
        <w:spacing w:line="400" w:lineRule="exact"/>
        <w:ind w:left="1080" w:leftChars="257" w:hanging="540"/>
        <w:rPr>
          <w:rFonts w:hint="eastAsia" w:ascii="宋体" w:hAnsi="宋体" w:eastAsia="宋体" w:cs="宋体"/>
          <w:color w:val="auto"/>
          <w:sz w:val="24"/>
          <w:highlight w:val="none"/>
        </w:rPr>
      </w:pPr>
    </w:p>
    <w:p>
      <w:pPr>
        <w:pStyle w:val="13"/>
        <w:tabs>
          <w:tab w:val="left" w:pos="5580"/>
        </w:tabs>
        <w:spacing w:line="400" w:lineRule="exact"/>
        <w:ind w:left="1080" w:leftChars="257" w:hanging="540"/>
        <w:rPr>
          <w:rFonts w:hint="eastAsia" w:ascii="宋体" w:hAnsi="宋体" w:eastAsia="宋体" w:cs="宋体"/>
          <w:color w:val="auto"/>
          <w:sz w:val="24"/>
          <w:highlight w:val="none"/>
          <w:u w:val="single"/>
        </w:rPr>
      </w:pPr>
    </w:p>
    <w:p>
      <w:pPr>
        <w:pStyle w:val="13"/>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供应商名称（公章）：</w:t>
      </w:r>
      <w:r>
        <w:rPr>
          <w:rFonts w:hint="eastAsia" w:ascii="宋体" w:hAnsi="宋体" w:eastAsia="宋体" w:cs="宋体"/>
          <w:color w:val="auto"/>
          <w:sz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法定代表人或委托代理</w:t>
      </w:r>
      <w:r>
        <w:rPr>
          <w:rFonts w:hint="eastAsia" w:ascii="宋体" w:hAnsi="宋体" w:eastAsia="宋体" w:cs="宋体"/>
          <w:color w:val="auto"/>
          <w:sz w:val="24"/>
          <w:highlight w:val="none"/>
          <w:lang w:eastAsia="zh-CN"/>
        </w:rPr>
        <w:t>人（</w:t>
      </w:r>
      <w:r>
        <w:rPr>
          <w:rFonts w:hint="eastAsia" w:hAnsi="宋体" w:cs="宋体"/>
          <w:color w:val="auto"/>
          <w:sz w:val="24"/>
          <w:highlight w:val="none"/>
          <w:lang w:val="en-US" w:eastAsia="zh-CN"/>
        </w:rPr>
        <w:t>签字或盖章</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ab/>
      </w:r>
    </w:p>
    <w:p>
      <w:pPr>
        <w:pStyle w:val="13"/>
        <w:tabs>
          <w:tab w:val="left" w:pos="5580"/>
        </w:tabs>
        <w:spacing w:line="400" w:lineRule="exact"/>
        <w:ind w:left="1080" w:leftChars="257" w:hanging="540"/>
        <w:rPr>
          <w:rFonts w:hint="eastAsia" w:ascii="宋体" w:hAnsi="宋体" w:eastAsia="宋体" w:cs="宋体"/>
          <w:color w:val="auto"/>
          <w:sz w:val="24"/>
          <w:highlight w:val="none"/>
        </w:rPr>
      </w:pPr>
    </w:p>
    <w:p>
      <w:pPr>
        <w:pStyle w:val="13"/>
        <w:tabs>
          <w:tab w:val="left" w:pos="5580"/>
        </w:tabs>
        <w:spacing w:line="400" w:lineRule="exact"/>
        <w:ind w:left="741" w:leftChars="353"/>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注:1、此表中，投标总价应和投标分项报价表的总价相一致。</w:t>
      </w:r>
    </w:p>
    <w:p>
      <w:pPr>
        <w:pStyle w:val="13"/>
        <w:tabs>
          <w:tab w:val="left" w:pos="5580"/>
        </w:tabs>
        <w:spacing w:line="400" w:lineRule="exact"/>
        <w:ind w:left="741" w:leftChars="353"/>
        <w:rPr>
          <w:rFonts w:hint="eastAsia" w:ascii="宋体" w:hAnsi="宋体" w:eastAsia="宋体" w:cs="宋体"/>
          <w:color w:val="auto"/>
          <w:sz w:val="24"/>
          <w:highlight w:val="none"/>
        </w:rPr>
      </w:pP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、投标商报价时包含税费等一切与本次项目相关的费用。</w:t>
      </w: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23" w:name="_Toc29262"/>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具有有效的营业执照</w:t>
      </w:r>
      <w:r>
        <w:rPr>
          <w:rFonts w:hint="eastAsia" w:ascii="宋体" w:hAnsi="宋体" w:eastAsia="宋体" w:cs="宋体"/>
          <w:color w:val="auto"/>
          <w:sz w:val="28"/>
          <w:szCs w:val="28"/>
          <w:highlight w:val="none"/>
        </w:rPr>
        <w:t>；</w:t>
      </w:r>
      <w:bookmarkEnd w:id="1123"/>
    </w:p>
    <w:p>
      <w:pPr>
        <w:pStyle w:val="13"/>
        <w:tabs>
          <w:tab w:val="left" w:pos="5580"/>
        </w:tabs>
        <w:spacing w:line="240" w:lineRule="atLeast"/>
        <w:jc w:val="center"/>
        <w:rPr>
          <w:rFonts w:hint="eastAsia" w:ascii="宋体" w:hAnsi="宋体" w:eastAsia="宋体" w:cs="宋体"/>
          <w:b/>
          <w:color w:val="auto"/>
          <w:sz w:val="24"/>
          <w:highlight w:val="none"/>
        </w:rPr>
      </w:pPr>
    </w:p>
    <w:p>
      <w:pPr>
        <w:pStyle w:val="13"/>
        <w:tabs>
          <w:tab w:val="left" w:pos="5580"/>
        </w:tabs>
        <w:spacing w:line="240" w:lineRule="atLeast"/>
        <w:jc w:val="center"/>
        <w:rPr>
          <w:rFonts w:hint="eastAsia" w:ascii="宋体" w:hAnsi="宋体" w:eastAsia="宋体" w:cs="宋体"/>
          <w:b/>
          <w:color w:val="auto"/>
          <w:sz w:val="24"/>
          <w:highlight w:val="none"/>
        </w:rPr>
      </w:pPr>
    </w:p>
    <w:p>
      <w:pPr>
        <w:pStyle w:val="13"/>
        <w:tabs>
          <w:tab w:val="left" w:pos="5580"/>
        </w:tabs>
        <w:spacing w:line="240" w:lineRule="atLeast"/>
        <w:jc w:val="center"/>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rPr>
          <w:rFonts w:hint="eastAsia" w:ascii="宋体" w:hAnsi="宋体" w:eastAsia="宋体" w:cs="宋体"/>
          <w:b/>
          <w:color w:val="auto"/>
          <w:sz w:val="24"/>
          <w:highlight w:val="none"/>
        </w:rPr>
      </w:pPr>
    </w:p>
    <w:p>
      <w:pPr>
        <w:pStyle w:val="13"/>
        <w:tabs>
          <w:tab w:val="left" w:pos="5580"/>
        </w:tabs>
        <w:spacing w:line="240" w:lineRule="atLeast"/>
        <w:outlineLvl w:val="9"/>
        <w:rPr>
          <w:rFonts w:hint="eastAsia" w:ascii="宋体" w:hAnsi="宋体" w:eastAsia="宋体" w:cs="宋体"/>
          <w:b/>
          <w:color w:val="auto"/>
          <w:sz w:val="24"/>
          <w:highlight w:val="none"/>
        </w:rPr>
      </w:pPr>
    </w:p>
    <w:p>
      <w:pPr>
        <w:rPr>
          <w:rFonts w:hint="eastAsia" w:ascii="宋体" w:hAnsi="宋体" w:eastAsia="宋体" w:cs="宋体"/>
          <w:b/>
          <w:color w:val="auto"/>
          <w:sz w:val="24"/>
          <w:szCs w:val="20"/>
          <w:highlight w:val="none"/>
          <w:lang w:val="en-US" w:eastAsia="zh-CN"/>
        </w:rPr>
      </w:pPr>
      <w:r>
        <w:rPr>
          <w:rFonts w:hint="eastAsia" w:ascii="宋体" w:hAnsi="宋体" w:eastAsia="宋体" w:cs="宋体"/>
          <w:b/>
          <w:color w:val="auto"/>
          <w:sz w:val="24"/>
          <w:szCs w:val="20"/>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24" w:name="_Toc9399"/>
      <w:r>
        <w:rPr>
          <w:rFonts w:hint="eastAsia" w:ascii="宋体" w:hAnsi="宋体" w:eastAsia="宋体" w:cs="宋体"/>
          <w:color w:val="auto"/>
          <w:sz w:val="28"/>
          <w:szCs w:val="28"/>
          <w:highlight w:val="none"/>
          <w:lang w:val="en-US" w:eastAsia="zh-CN"/>
        </w:rPr>
        <w:t>3.法定代表人资格证明及授权书、被授权人身份证(法定代表人投标需提供法定代表人身份证)；</w:t>
      </w:r>
      <w:bookmarkEnd w:id="1124"/>
    </w:p>
    <w:p>
      <w:pPr>
        <w:adjustRightInd w:val="0"/>
        <w:snapToGrid w:val="0"/>
        <w:spacing w:before="240" w:beforeLines="100" w:after="240" w:afterLines="100"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（一）法定代表人身份证明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单位：</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身份证号码：</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具有有效的营业执照</w:t>
      </w:r>
      <w:r>
        <w:rPr>
          <w:rFonts w:hint="eastAsia" w:ascii="宋体" w:hAnsi="宋体" w:eastAsia="宋体" w:cs="宋体"/>
          <w:color w:val="auto"/>
          <w:sz w:val="24"/>
          <w:szCs w:val="24"/>
          <w:highlight w:val="none"/>
        </w:rPr>
        <w:t>号码：</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经济性质：</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提供身份证正反面。</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内容必须填写真实、清楚、涂改无效，不得转让。</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6"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流程图: 可选过程 14"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Jm44uc1AgAAYgQAAA4AAABkcnMvZTJvRG9jLnhtbK1UzY7T&#10;MBC+I/EOlu80abutlqjpCm0pFwSVFh5g6jiJJf9hu017gxNCHHgAXoAbJ67wNMvPWzB2SvcHDnsg&#10;h2Rsz3wz3zfjzM52SpItd14YXdLhIKeEa2YqoZuSvnyxfHBKiQ+gK5BG85Luuadn8/v3Zp0t+Mi0&#10;RlbcEQTRvuhsSdsQbJFlnrVcgR8YyzUe1sYpCLh0TVY56BBdyWyU59OsM66yzjDuPe4u+kN6QHR3&#10;ATR1LRhfGLZRXIce1XEJASn5VlhP56nauuYsPK9rzwORJUWmIb0xCdrr+M7mMygaB7YV7FAC3KWE&#10;W5wUCI1Jj1ALCEA2TvwFpQRzxps6DJhRWU8kKYIshvktbS5asDxxQam9PYru/x8se7ZdOSIqnIR8&#10;NKVEg8Kef//y5sen95cfvxbk8sPnX6/f/fz2FjfI8CQK1llfYNyFXbnDyqMZ2e9qp+IXeZFdEnl/&#10;FJnvAmG4ORqPx9PRhBKGZ8PJ6ckYF4iTXYVb58MTbhSJRklrabrzFlx4JAN3GgJf9eOTFIftUx/6&#10;+D9xsQRvpKiWQsq0cM36XDqyBRyDZXoOKW+4SU26kj6cpOoAZ7vGmcJClUV9vG5SvhsR/jpwnp5/&#10;AcfCFuDbvoCEEN2gUAIZJavlUD3WFQl7iw3QePVoLEbxihLJ8aZGK3kGEPIuniio1KhrbFffoGiF&#10;3XqHMNFcm2qPze9w+pHeqw04zLmxTjQtqj5MRKIfjl5qz+GaxNm+vk4prn4N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WTr11gAAAAgBAAAPAAAAAAAAAAEAIAAAACIAAABkcnMvZG93bnJldi54&#10;bWxQSwECFAAUAAAACACHTuJAmbji5zUCAABiBAAADgAAAAAAAAABACAAAAAlAQAAZHJzL2Uyb0Rv&#10;Yy54bWxQSwUGAAAAAAYABgBZAQAAz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59264" behindDoc="0" locked="0" layoutInCell="1" allowOverlap="1">
                <wp:simplePos x="0" y="0"/>
                <wp:positionH relativeFrom="column">
                  <wp:posOffset>2918460</wp:posOffset>
                </wp:positionH>
                <wp:positionV relativeFrom="paragraph">
                  <wp:posOffset>28575</wp:posOffset>
                </wp:positionV>
                <wp:extent cx="2392045" cy="1557020"/>
                <wp:effectExtent l="5080" t="4445" r="12700" b="10160"/>
                <wp:wrapNone/>
                <wp:docPr id="1027" name="圆角矩形 15"/>
                <wp:cNvGraphicFramePr/>
                <a:graphic xmlns:a="http://schemas.openxmlformats.org/drawingml/2006/main">
                  <a:graphicData uri="http://schemas.microsoft.com/office/word/2010/wordprocessingShape">
                    <wps:wsp>
                      <wps:cNvSpPr/>
                      <wps:spPr>
                        <a:xfrm>
                          <a:off x="0" y="0"/>
                          <a:ext cx="2392045" cy="155702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3"/>
                            </w:pPr>
                          </w:p>
                          <w:p>
                            <w:pPr>
                              <w:pStyle w:val="3"/>
                            </w:pPr>
                          </w:p>
                          <w:p>
                            <w:pPr>
                              <w:pStyle w:val="3"/>
                            </w:pPr>
                          </w:p>
                          <w:p>
                            <w:pPr>
                              <w:pStyle w:val="3"/>
                            </w:pPr>
                          </w:p>
                        </w:txbxContent>
                      </wps:txbx>
                      <wps:bodyPr wrap="square" upright="1"/>
                    </wps:wsp>
                  </a:graphicData>
                </a:graphic>
              </wp:anchor>
            </w:drawing>
          </mc:Choice>
          <mc:Fallback>
            <w:pict>
              <v:roundrect id="圆角矩形 15" o:spid="_x0000_s1026" o:spt="2" style="position:absolute;left:0pt;margin-left:229.8pt;margin-top:2.25pt;height:122.6pt;width:188.35pt;z-index:251659264;mso-width-relative:page;mso-height-relative:page;" fillcolor="#FFFFFF" filled="t" stroked="t" coordsize="21600,21600" arcsize="0.166666666666667" o:gfxdata="UEsDBAoAAAAAAIdO4kAAAAAAAAAAAAAAAAAEAAAAZHJzL1BLAwQUAAAACACHTuJAxQPyOdoAAAAJ&#10;AQAADwAAAGRycy9kb3ducmV2LnhtbE2PMU/DMBCFdyT+g3VIbNRu04YmjdMBCYmBARIGujnxNYmI&#10;z1HsJqW/Hncq2zu9p/e+y/Zn07MJR9dZkrBcCGBItdUdNRK+ytenLTDnFWnVW0IJv+hgn9/fZSrV&#10;dqZPnArfsFBCLlUSWu+HlHNXt2iUW9gBKXhHOxrlwzk2XI9qDuWm5yshYm5UR2GhVQO+tFj/FCcj&#10;YXqLi8u3jQ5JPFfvorwcSvuxkfLxYSl2wDye/S0MV/yADnlgquyJtGO9hPUmiUP0KoAFfxvFEbBK&#10;wmqdPAPPM/7/g/wPUEsDBBQAAAAIAIdO4kDJv7a+NgIAAHMEAAAOAAAAZHJzL2Uyb0RvYy54bWyt&#10;VEuOEzEQ3SNxB8t70h9IwrTSmQUhbBCMmOEAju3uNvIP20l3LsABWCMhsUEcguOMhmNQdprMBxZZ&#10;0ItOuV31/N6rchbng5Jox50XRte4mOQYcU0NE7qt8fur9ZPnGPlANCPSaF7jPff4fPn40aK3FS9N&#10;ZyTjDgGI9lVva9yFYKss87TjiviJsVzDZmOcIgGWrs2YIz2gK5mVeT7LeuOYdYZy7+Hr6rCJR0R3&#10;CqBpGkH5ytCt4jocUB2XJIAk3wnr8TKxbRpOw9um8TwgWWNQGtIbDoF4E9/ZckGq1hHbCTpSIKdQ&#10;eKBJEaHh0CPUigSCtk78BaUEdcabJkyoUdlBSHIEVBT5A28uO2J50gJWe3s03f8/WPpmd+GQYDAJ&#10;eTnHSBMFPb/+8unX9883X39c//yGiml0qbe+guRLe+HGlYcwSh4ap+IviEFDcnZ/dJYPAVH4WD49&#10;K/NnU4wo7BXT6Twvk/fZbbl1PrziRqEY1NiZrWbvoH/JVrJ77UPyl40UCfuAUaMkdGtHJCpms9k8&#10;8gTEMRmiP5ix0hsp2FpImRau3byQDkFpjdfpGYvvpUmN+hqfTcvInMCwNzBkECoLhnndJm73Kvxd&#10;4Dw9/wKOxFbEdwcCCSGmkUqJwF2KOk7YS81Q2FvoiIa7iCMZxRlGksPVjVHKDETIUzLBEKnBodjK&#10;Q/NiFIbNADAx3Bi2h2no4TqAvI9b4uDMrXWi7aAjRRIS82AWk9HjvYnDfnedjrj9r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UD8jnaAAAACQEAAA8AAAAAAAAAAQAgAAAAIgAAAGRycy9kb3du&#10;cmV2LnhtbFBLAQIUABQAAAAIAIdO4kDJv7a+NgIAAHMEAAAOAAAAAAAAAAEAIAAAACkBAABkcnMv&#10;ZTJvRG9jLnhtbFBLBQYAAAAABgAGAFkBAADRBQAAAAA=&#10;">
                <v:fill on="t" focussize="0,0"/>
                <v:stroke color="#000000" joinstyle="miter"/>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p/>
                    <w:p>
                      <w:pPr>
                        <w:pStyle w:val="3"/>
                      </w:pPr>
                    </w:p>
                    <w:p>
                      <w:pPr>
                        <w:pStyle w:val="3"/>
                      </w:pPr>
                    </w:p>
                    <w:p>
                      <w:pPr>
                        <w:pStyle w:val="3"/>
                      </w:pPr>
                    </w:p>
                    <w:p>
                      <w:pPr>
                        <w:pStyle w:val="3"/>
                      </w:pPr>
                    </w:p>
                  </w:txbxContent>
                </v:textbox>
              </v:roundrect>
            </w:pict>
          </mc:Fallback>
        </mc:AlternateConten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rPr>
          <w:rFonts w:hint="eastAsia" w:ascii="宋体" w:hAnsi="宋体" w:eastAsia="宋体" w:cs="宋体"/>
          <w:color w:val="auto"/>
          <w:kern w:val="0"/>
          <w:sz w:val="24"/>
          <w:szCs w:val="24"/>
          <w:highlight w:val="none"/>
        </w:rPr>
      </w:pPr>
    </w:p>
    <w:p>
      <w:pPr>
        <w:autoSpaceDE w:val="0"/>
        <w:autoSpaceDN w:val="0"/>
        <w:adjustRightInd w:val="0"/>
        <w:spacing w:line="360" w:lineRule="auto"/>
        <w:ind w:right="246"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公</w:t>
      </w:r>
      <w:r>
        <w:rPr>
          <w:rFonts w:hint="eastAsia" w:ascii="宋体" w:hAnsi="宋体" w:eastAsia="宋体" w:cs="宋体"/>
          <w:color w:val="auto"/>
          <w:kern w:val="0"/>
          <w:sz w:val="24"/>
          <w:szCs w:val="24"/>
          <w:highlight w:val="none"/>
        </w:rPr>
        <w:t>章）：</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784" w:firstLineChars="327"/>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法定代表人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签/章</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utoSpaceDE w:val="0"/>
        <w:autoSpaceDN w:val="0"/>
        <w:adjustRightInd w:val="0"/>
        <w:spacing w:line="360" w:lineRule="auto"/>
        <w:ind w:right="246" w:firstLine="784" w:firstLineChars="327"/>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日期：</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eastAsia="zh-CN"/>
        </w:rPr>
        <w:t xml:space="preserve">        </w:t>
      </w:r>
      <w:r>
        <w:rPr>
          <w:rFonts w:hint="eastAsia" w:ascii="宋体" w:hAnsi="宋体" w:eastAsia="宋体" w:cs="宋体"/>
          <w:color w:val="auto"/>
          <w:kern w:val="0"/>
          <w:sz w:val="24"/>
          <w:szCs w:val="24"/>
          <w:highlight w:val="none"/>
          <w:lang w:eastAsia="zh-CN"/>
        </w:rPr>
        <w:t xml:space="preserve">         </w:t>
      </w:r>
    </w:p>
    <w:p>
      <w:pPr>
        <w:adjustRightInd w:val="0"/>
        <w:snapToGrid w:val="0"/>
        <w:spacing w:line="400" w:lineRule="exact"/>
        <w:ind w:firstLine="784" w:firstLineChars="327"/>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w:t>
      </w:r>
    </w:p>
    <w:p>
      <w:pPr>
        <w:pStyle w:val="13"/>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说明：1.供应商为自然人的，应提供身份证明的复印件。</w:t>
      </w:r>
    </w:p>
    <w:p>
      <w:pPr>
        <w:pStyle w:val="13"/>
        <w:tabs>
          <w:tab w:val="left" w:pos="5580"/>
        </w:tabs>
        <w:spacing w:line="400" w:lineRule="exac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.联合体投标应提供联合体各方满足以上要求的证明文件。</w:t>
      </w:r>
      <w:bookmarkStart w:id="1125" w:name="_Toc13107"/>
      <w:bookmarkStart w:id="1126" w:name="_Toc515647807"/>
      <w:bookmarkStart w:id="1127" w:name="_Toc22472"/>
      <w:bookmarkStart w:id="1128" w:name="_Toc5436"/>
      <w:bookmarkStart w:id="1129" w:name="_Toc21867"/>
      <w:bookmarkStart w:id="1130" w:name="_Toc16640"/>
      <w:bookmarkStart w:id="1131" w:name="_Toc6829"/>
      <w:bookmarkStart w:id="1132" w:name="_Toc1083"/>
    </w:p>
    <w:p>
      <w:pPr>
        <w:rPr>
          <w:rFonts w:hint="eastAsia" w:ascii="宋体" w:hAnsi="宋体" w:eastAsia="宋体" w:cs="宋体"/>
          <w:b/>
          <w:bCs/>
          <w:color w:val="auto"/>
          <w:sz w:val="24"/>
          <w:highlight w:val="none"/>
        </w:rPr>
      </w:pPr>
      <w:bookmarkStart w:id="1133" w:name="_Toc24769"/>
      <w:bookmarkStart w:id="1134" w:name="_Toc6179"/>
      <w:bookmarkStart w:id="1135" w:name="_Toc32380"/>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bookmarkEnd w:id="1125"/>
    <w:bookmarkEnd w:id="1126"/>
    <w:bookmarkEnd w:id="1127"/>
    <w:bookmarkEnd w:id="1128"/>
    <w:bookmarkEnd w:id="1129"/>
    <w:bookmarkEnd w:id="1130"/>
    <w:bookmarkEnd w:id="1131"/>
    <w:bookmarkEnd w:id="1132"/>
    <w:bookmarkEnd w:id="1133"/>
    <w:bookmarkEnd w:id="1134"/>
    <w:bookmarkEnd w:id="1135"/>
    <w:p>
      <w:pPr>
        <w:spacing w:line="360" w:lineRule="auto"/>
        <w:jc w:val="center"/>
        <w:rPr>
          <w:rFonts w:hint="eastAsia" w:ascii="宋体" w:hAnsi="宋体" w:eastAsia="宋体" w:cs="宋体"/>
          <w:b/>
          <w:bCs/>
          <w:color w:val="auto"/>
          <w:sz w:val="24"/>
          <w:szCs w:val="24"/>
          <w:highlight w:val="none"/>
          <w:u w:val="single"/>
        </w:rPr>
      </w:pPr>
      <w:bookmarkStart w:id="1136" w:name="_Toc515647808"/>
      <w:bookmarkStart w:id="1137" w:name="_Toc32520"/>
      <w:bookmarkStart w:id="1138" w:name="_Toc7039"/>
      <w:r>
        <w:rPr>
          <w:rFonts w:hint="eastAsia" w:ascii="宋体" w:hAnsi="宋体" w:eastAsia="宋体" w:cs="宋体"/>
          <w:b/>
          <w:bCs/>
          <w:color w:val="auto"/>
          <w:sz w:val="24"/>
          <w:szCs w:val="24"/>
          <w:highlight w:val="none"/>
        </w:rPr>
        <w:t>（二）法定代表人授权委托书</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w:t>
      </w:r>
      <w:r>
        <w:rPr>
          <w:rFonts w:hint="eastAsia" w:ascii="宋体" w:hAnsi="宋体" w:eastAsia="宋体" w:cs="宋体"/>
          <w:i w:val="0"/>
          <w:iCs w:val="0"/>
          <w:color w:val="auto"/>
          <w:sz w:val="24"/>
          <w:szCs w:val="24"/>
          <w:highlight w:val="none"/>
        </w:rPr>
        <w:t>授权书声明：注册于</w:t>
      </w:r>
      <w:r>
        <w:rPr>
          <w:rFonts w:hint="eastAsia" w:ascii="宋体" w:hAnsi="宋体" w:eastAsia="宋体" w:cs="宋体"/>
          <w:i w:val="0"/>
          <w:iCs w:val="0"/>
          <w:color w:val="auto"/>
          <w:sz w:val="24"/>
          <w:szCs w:val="24"/>
          <w:highlight w:val="none"/>
          <w:u w:val="single"/>
        </w:rPr>
        <w:t>（国家或地区的名称）</w:t>
      </w:r>
      <w:r>
        <w:rPr>
          <w:rFonts w:hint="eastAsia" w:ascii="宋体" w:hAnsi="宋体" w:eastAsia="宋体" w:cs="宋体"/>
          <w:i w:val="0"/>
          <w:iCs w:val="0"/>
          <w:color w:val="auto"/>
          <w:sz w:val="24"/>
          <w:szCs w:val="24"/>
          <w:highlight w:val="none"/>
        </w:rPr>
        <w:t>的（</w:t>
      </w:r>
      <w:r>
        <w:rPr>
          <w:rFonts w:hint="eastAsia" w:ascii="宋体" w:hAnsi="宋体" w:eastAsia="宋体" w:cs="宋体"/>
          <w:i w:val="0"/>
          <w:iCs w:val="0"/>
          <w:color w:val="auto"/>
          <w:sz w:val="24"/>
          <w:szCs w:val="24"/>
          <w:highlight w:val="none"/>
          <w:u w:val="single"/>
          <w:lang w:eastAsia="zh-CN"/>
        </w:rPr>
        <w:t>供应商</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法人代表姓名、职务</w:t>
      </w:r>
      <w:r>
        <w:rPr>
          <w:rFonts w:hint="eastAsia" w:ascii="宋体" w:hAnsi="宋体" w:eastAsia="宋体" w:cs="宋体"/>
          <w:i w:val="0"/>
          <w:iCs w:val="0"/>
          <w:color w:val="auto"/>
          <w:sz w:val="24"/>
          <w:szCs w:val="24"/>
          <w:highlight w:val="none"/>
        </w:rPr>
        <w:t>）代表我单位授权（</w:t>
      </w:r>
      <w:r>
        <w:rPr>
          <w:rFonts w:hint="eastAsia" w:ascii="宋体" w:hAnsi="宋体" w:eastAsia="宋体" w:cs="宋体"/>
          <w:i w:val="0"/>
          <w:iCs w:val="0"/>
          <w:color w:val="auto"/>
          <w:sz w:val="24"/>
          <w:szCs w:val="24"/>
          <w:highlight w:val="none"/>
          <w:u w:val="single"/>
        </w:rPr>
        <w:t>单位名称</w:t>
      </w:r>
      <w:r>
        <w:rPr>
          <w:rFonts w:hint="eastAsia" w:ascii="宋体" w:hAnsi="宋体" w:eastAsia="宋体" w:cs="宋体"/>
          <w:i w:val="0"/>
          <w:iCs w:val="0"/>
          <w:color w:val="auto"/>
          <w:sz w:val="24"/>
          <w:szCs w:val="24"/>
          <w:highlight w:val="none"/>
        </w:rPr>
        <w:t>）的在下面签字的（</w:t>
      </w:r>
      <w:r>
        <w:rPr>
          <w:rFonts w:hint="eastAsia" w:ascii="宋体" w:hAnsi="宋体" w:eastAsia="宋体" w:cs="宋体"/>
          <w:i w:val="0"/>
          <w:iCs w:val="0"/>
          <w:color w:val="auto"/>
          <w:sz w:val="24"/>
          <w:szCs w:val="24"/>
          <w:highlight w:val="none"/>
          <w:u w:val="single"/>
        </w:rPr>
        <w:t>被授权人的姓名、职务</w:t>
      </w:r>
      <w:r>
        <w:rPr>
          <w:rFonts w:hint="eastAsia" w:ascii="宋体" w:hAnsi="宋体" w:eastAsia="宋体" w:cs="宋体"/>
          <w:i w:val="0"/>
          <w:iCs w:val="0"/>
          <w:color w:val="auto"/>
          <w:sz w:val="24"/>
          <w:szCs w:val="24"/>
          <w:highlight w:val="none"/>
        </w:rPr>
        <w:t>）为我单位的合法代理人，就（</w:t>
      </w:r>
      <w:r>
        <w:rPr>
          <w:rFonts w:hint="eastAsia" w:ascii="宋体" w:hAnsi="宋体" w:eastAsia="宋体" w:cs="宋体"/>
          <w:i w:val="0"/>
          <w:iCs w:val="0"/>
          <w:color w:val="auto"/>
          <w:sz w:val="24"/>
          <w:szCs w:val="24"/>
          <w:highlight w:val="none"/>
          <w:u w:val="single"/>
        </w:rPr>
        <w:t>项目名称</w:t>
      </w:r>
      <w:r>
        <w:rPr>
          <w:rFonts w:hint="eastAsia" w:ascii="宋体" w:hAnsi="宋体" w:eastAsia="宋体" w:cs="宋体"/>
          <w:i w:val="0"/>
          <w:iCs w:val="0"/>
          <w:color w:val="auto"/>
          <w:sz w:val="24"/>
          <w:szCs w:val="24"/>
          <w:highlight w:val="none"/>
        </w:rPr>
        <w:t>）的投标，以我单位名义处理一切与之有关的事</w:t>
      </w:r>
      <w:r>
        <w:rPr>
          <w:rFonts w:hint="eastAsia" w:ascii="宋体" w:hAnsi="宋体" w:eastAsia="宋体" w:cs="宋体"/>
          <w:color w:val="auto"/>
          <w:sz w:val="24"/>
          <w:szCs w:val="24"/>
          <w:highlight w:val="none"/>
        </w:rPr>
        <w:t>务。</w:t>
      </w:r>
      <w:r>
        <w:rPr>
          <w:rFonts w:hint="eastAsia" w:ascii="宋体" w:hAnsi="宋体" w:eastAsia="宋体" w:cs="宋体"/>
          <w:color w:val="auto"/>
          <w:sz w:val="24"/>
          <w:szCs w:val="24"/>
          <w:highlight w:val="none"/>
        </w:rPr>
        <w:cr/>
      </w:r>
      <w:r>
        <w:rPr>
          <w:rFonts w:hint="eastAsia" w:ascii="宋体" w:hAnsi="宋体" w:eastAsia="宋体" w:cs="宋体"/>
          <w:color w:val="auto"/>
          <w:sz w:val="24"/>
          <w:szCs w:val="24"/>
          <w:highlight w:val="none"/>
        </w:rPr>
        <w:t>　　</w:t>
      </w:r>
    </w:p>
    <w:p>
      <w:pPr>
        <w:pStyle w:val="13"/>
        <w:tabs>
          <w:tab w:val="left" w:pos="5580"/>
        </w:tabs>
        <w:spacing w:line="360" w:lineRule="exac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日签字生效,特此声明。</w:t>
      </w:r>
    </w:p>
    <w:p>
      <w:pPr>
        <w:pStyle w:val="13"/>
        <w:tabs>
          <w:tab w:val="left" w:pos="5580"/>
        </w:tabs>
        <w:spacing w:line="240" w:lineRule="atLeast"/>
        <w:ind w:left="-540" w:leftChars="-257" w:firstLine="900" w:firstLineChars="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1028"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0288;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c0c2TzMCAAByBAAADgAAAGRycy9lMm9Eb2MueG1s&#10;rVRLjhMxEN0jcQfLe9KdaJLJtNKZBSFsEIwYOIDjT7eRf9hOurNjhzgDO5ZzB7jNSHALyk6T+cAi&#10;CxKpU25XPdd7r5zFZa8V2nEfpDU1Ho9KjLihlknT1Pj9u/WzOUYhEsOIsobXeM8Dvlw+fbLoXMUn&#10;trWKcY8AxISqczVuY3RVUQTack3CyDpuYFNYr0mEpW8K5kkH6FoVk7KcFZ31zHlLeQjwdnXYxAOi&#10;PwXQCiEpX1m61dzEA6rnikSgFFrpAl7mboXgNL4RIvCIVI2BacxPOATiTXoWywWpGk9cK+nQAjml&#10;hUecNJEGDj1CrUgkaOvlX1BaUm+DFXFErS4ORLIiwGJcPtLmuiWOZy4gdXBH0cP/g6Wvd1ceSQaT&#10;UE7AeUM0eP7z882vT19uv/64/f4NTZNInQsV5F67Kz+sAoSJcS+8Tr/ABfVZ2P1RWN5HROHl5Ox8&#10;flZOMaKwdzG7AKoJtLirdj7El9xqlIIae7s17C24l0Ulu1chZnXZ0CBhHzASWoFXO6LQeDabnQ+I&#10;QzJg/8FMlcEqydZSqbzwzea58ghKa7zOn6H4QZoyqANdpvPz1DmBWRcwYxBqB3oF0+TmHpSE+8jz&#10;Mn3/hZw6W5HQHjrICCmNVJl3jlpO2AvDUNw7MMTAVcSpG80ZRorDzU1RzoxEqlMyQRFlQPRk5cG8&#10;FMV+0wNMCjeW7WEYOrgNQO/jlng4c+u8bFqwZJyJpDwYxezdcG3SrN9f5yPu/iq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BZ+42wAAAAoBAAAPAAAAAAAAAAEAIAAAACIAAABkcnMvZG93bnJl&#10;di54bWxQSwECFAAUAAAACACHTuJAc0c2TzMCAAByBAAADgAAAAAAAAABACAAAAAqAQAAZHJzL2Uy&#10;b0RvYy54bWxQSwUGAAAAAAYABgBZAQAAzwU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pPr>
                        <w:jc w:val="center"/>
                      </w:pPr>
                      <w:r>
                        <w:rPr>
                          <w:rFonts w:hint="eastAsia" w:hAnsi="宋体"/>
                        </w:rPr>
                        <w:t>授权委托人身份证复印件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20955</wp:posOffset>
                </wp:positionH>
                <wp:positionV relativeFrom="paragraph">
                  <wp:posOffset>135890</wp:posOffset>
                </wp:positionV>
                <wp:extent cx="2317750" cy="942340"/>
                <wp:effectExtent l="4445" t="4445" r="11430" b="5715"/>
                <wp:wrapNone/>
                <wp:docPr id="1029"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0288;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Owo9JMpAgAAVQQAAA4AAABkcnMvZTJvRG9jLnhtbK1UzY7T&#10;MBC+I/EOlu80aXa7y0ZNV2hLuSBYaeEBpo6TWPIfttukN26IZ+DGkXeAt1kJ3oKxU7o/cOiBHNJx&#10;PPPN930ed345KEm23HlhdEWnk5wSrpmphW4r+v7d6tlzSnwAXYM0mld0xz29XDx9Mu9tyQvTGVlz&#10;RxBE+7K3Fe1CsGWWedZxBX5iLNe42RinIODStVntoEd0JbMiz8+y3rjaOsO49/h1OW7SPaI7BtA0&#10;jWB8adhGcR1GVMclBJTkO2E9XSS2TcNZeNs0ngciK4pKQ3pjE4zX8Z0t5lC2Dmwn2J4CHEPhkSYF&#10;QmPTA9QSApCNE39BKcGc8aYJE2ZUNgpJjqCKaf7Im5sOLE9a0GpvD6b7/wfL3myvHRE1TkJeXFCi&#10;QeGZ//z07dfHz7dfftx+/0rOokm99SXm3thrt195DKPioXEq/qIWMiRjdwdj+RAIw4/FyfT8fIae&#10;M9y7OC1OTpPz2V21dT684kaRGFS0kaa/6sCFFzJwpyHw63Fiksmwfe0D0sD6P3WRgTdS1CshZVq4&#10;dn0lHdkCnvwqPVEHljxIk5r0SGlWzJAc4Dg3OEYYKouWeN2mfg8q/H3gPD3/Ao7EluC7kUBCiGlQ&#10;KoGKUtRxqF/qmoSdRc813jYaySheUyI5Xs4YpcwAQh6TieqkRpHxtMbziVEY1gPCxHBt6h2ed48D&#10;j/I+bMBhz411ou3Q9WkSEvNw2pJX+5sRx/n+OrW4+zd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NoQO1gAAAAgBAAAPAAAAAAAAAAEAIAAAACIAAABkcnMvZG93bnJldi54bWxQSwECFAAUAAAA&#10;CACHTuJA7Cj0kykCAABVBAAADgAAAAAAAAABACAAAAAlAQAAZHJzL2Uyb0RvYy54bWxQSwUGAAAA&#10;AAYABgBZAQAAwA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w:t>
                      </w:r>
                    </w:p>
                  </w:txbxContent>
                </v:textbox>
              </v:shape>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1030"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0288;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JRqzWzACAAByBAAADgAAAGRycy9lMm9Eb2MueG1s&#10;rVRLrtMwFJ0jsQfLc5q0VftK1PQNKGWC4IkHC3D9SYz8w3abdMYMsQZmDNkD7OZJsAuu3dD3gUEH&#10;JFJyHV8fn3PudZaXvVZoz32Q1tR4PCox4oZaJk1T43dvN08WGIVIDCPKGl7jAw/4cvX40bJzFZ/Y&#10;1irGPQIQE6rO1biN0VVFEWjLNQkj67iBSWG9JhGGvimYJx2ga1VMynJedNYz5y3lIcDX9XESD4j+&#10;HEArhKR8belOcxOPqJ4rEkFSaKULeJXZCsFpfC1E4BGpGoPSmJ+wCcTb9CxWS1I1nrhW0oECOYfC&#10;A02aSAObnqDWJBK08/IvKC2pt8GKOKJWF0ch2RFQMS4feHPdEsezFrA6uJPp4f/B0lf7K48kg04o&#10;p2CKIRpq/vPTt18fP998+XHz/Su6SCZ1LlSQe+2u/DAKECbFvfA6vUEL6rOxh5OxvI+IwsfJbDqD&#10;CyMKc0+naZRAi9vVzof4gluNUlBjb3eGvYHqZVPJ/mWI2V02ECTsPUZCK6jVnig0ns/nmSYgDskQ&#10;/cFMK4NVkm2kUnngm+0z5REsrfEmXwOde2nKoA58mS0uEnMCvS6gxyDUDvwKpsnk7i0Jd5EXZbr/&#10;hZyYrUlojwwyQkojVdado5YT9twwFA8OCmLgKOLERnOGkeJwclOUMyOR6pxMcEQZMD2V8li8FMV+&#10;2wNMCreWHaAZOjgNIO/DjnjYc+e8bFooyTgLSXnQirl2w7FJvX53nLe4/VW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DRWe2wAAAAoBAAAPAAAAAAAAAAEAIAAAACIAAABkcnMvZG93bnJldi54&#10;bWxQSwECFAAUAAAACACHTuJAJRqzWzACAAByBAAADgAAAAAAAAABACAAAAAqAQAAZHJzL2Uyb0Rv&#10;Yy54bWxQSwUGAAAAAAYABgBZAQAAzA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r>
        <w:rPr>
          <w:rFonts w:hint="eastAsia" w:ascii="宋体" w:hAnsi="宋体" w:eastAsia="宋体" w:cs="宋体"/>
          <w:color w:val="auto"/>
          <w:sz w:val="24"/>
          <w:szCs w:val="24"/>
          <w:highlight w:val="none"/>
        </w:rPr>
        <mc:AlternateContent>
          <mc:Choice Requires="wps">
            <w:drawing>
              <wp:anchor distT="0" distB="0" distL="0" distR="0" simplePos="0" relativeHeight="251660288"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1031" name="自选图形 8"/>
                <wp:cNvGraphicFramePr/>
                <a:graphic xmlns:a="http://schemas.openxmlformats.org/drawingml/2006/main">
                  <a:graphicData uri="http://schemas.microsoft.com/office/word/2010/wordprocessingShape">
                    <wps:wsp>
                      <wps:cNvSpPr/>
                      <wps:spPr>
                        <a:xfrm>
                          <a:off x="0" y="0"/>
                          <a:ext cx="2555240" cy="1024889"/>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wps:spPr>
                      <wps:txb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wps:txbx>
                      <wps:bodyPr wrap="square" upright="1"/>
                    </wps:wsp>
                  </a:graphicData>
                </a:graphic>
              </wp:anchor>
            </w:drawing>
          </mc:Choice>
          <mc:Fallback>
            <w:pict>
              <v:roundrect id="自选图形 8" o:spid="_x0000_s1026" o:spt="2" style="position:absolute;left:0pt;margin-left:-0.85pt;margin-top:2.35pt;height:80.7pt;width:201.2pt;z-index:251660288;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IaSgnDUCAABzBAAADgAAAGRycy9lMm9Eb2MueG1srVRL&#10;ktMwEN1TxR1U2hPbYZIxrjizIIQNBVMMHECRZFuUfkhK7OzYUZyB3Sy5A9xmquAWtBST+cAiC5Iq&#10;p2V1P733upXFxaAk2nHnhdE1LiY5RlxTw4Rua/z+3fpJiZEPRDMijeY13nOPL5aPHy16W/Gp6Yxk&#10;3CEA0b7qbY27EGyVZZ52XBE/MZZr2GyMUyTA0rUZc6QHdCWzaZ7Ps944Zp2h3Ht4uzps4hHRnQJo&#10;mkZQvjJ0q7gOB1THJQkgyXfCerxMbJuG0/CmaTwPSNYYlIb0hEMg3sRntlyQqnXEdoKOFMgpFB5o&#10;UkRoOPQItSKBoK0Tf0EpQZ3xpgkTalR2EJIcARVF/sCbq45YnrSA1d4eTff/D5a+3l06JBhMQv60&#10;wEgTBT3/+fnbr09fbr7+uPl+jcpoUm99BblX9tKNKw9hVDw0TsVf0IKGZOz+aCwfAqLwcjqbzaZn&#10;4DmFvSKfnpXls4ia3ZZb58NLbhSKQY2d2Wr2FtqXXCW7Vz4ke9nIkLAPGDVKQrN2RKJiPp+fj4hj&#10;MmD/wYyV3kjB1kLKtHDt5rl0CEprvE6fsfhemtSoB76z8nwG1AkMewNDBqGyYJjXbSJ3r8TfRS7z&#10;+P0XcmS2Ir47MEgIMY1USXeKOk7YC81Q2FvoiIa7iCMbxRlGksPVjVHKDETIUzLBEanB9NjLQ/di&#10;FIbNADAx3Bi2h2no4TqAvI9b4uDMrXWi7aAlRRIS82AWU+/GexOH/e46HXH7X7H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O+C3vYAAAACAEAAA8AAAAAAAAAAQAgAAAAIgAAAGRycy9kb3ducmV2&#10;LnhtbFBLAQIUABQAAAAIAIdO4kAhpKCcNQIAAHMEAAAOAAAAAAAAAAEAIAAAACcBAABkcnMvZTJv&#10;RG9jLnhtbFBLBQYAAAAABgAGAFkBAADOBQAAAAA=&#10;">
                <v:fill on="t" focussize="0,0"/>
                <v:stroke weight="1.25pt" color="#808080" joinstyle="round"/>
                <v:imagedata o:title=""/>
                <o:lock v:ext="edit" aspectratio="f"/>
                <v:textbox>
                  <w:txbxContent>
                    <w:p>
                      <w:pPr>
                        <w:jc w:val="center"/>
                        <w:rPr>
                          <w:rFonts w:hAnsi="宋体"/>
                        </w:rPr>
                      </w:pPr>
                    </w:p>
                    <w:p>
                      <w:pPr>
                        <w:rPr>
                          <w:rFonts w:hAnsi="宋体"/>
                        </w:rPr>
                      </w:pPr>
                    </w:p>
                    <w:p>
                      <w:pPr>
                        <w:jc w:val="center"/>
                        <w:rPr>
                          <w:szCs w:val="21"/>
                        </w:rPr>
                      </w:pPr>
                      <w:r>
                        <w:rPr>
                          <w:rFonts w:hint="eastAsia" w:hAnsi="宋体"/>
                          <w:szCs w:val="21"/>
                        </w:rPr>
                        <w:t>法定代表人身份证复印件</w:t>
                      </w:r>
                    </w:p>
                    <w:p/>
                  </w:txbxContent>
                </v:textbox>
              </v:roundrect>
            </w:pict>
          </mc:Fallback>
        </mc:AlternateContent>
      </w: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pStyle w:val="19"/>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p>
    <w:p>
      <w:pPr>
        <w:spacing w:line="360" w:lineRule="auto"/>
        <w:ind w:firstLine="241"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注：提供身份证正反面。</w:t>
      </w:r>
    </w:p>
    <w:p>
      <w:pPr>
        <w:pStyle w:val="13"/>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highlight w:val="none"/>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3"/>
        <w:tabs>
          <w:tab w:val="left" w:pos="5580"/>
        </w:tabs>
        <w:spacing w:line="3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签/章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lang w:val="en-US" w:eastAsia="zh-CN"/>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lang w:val="en-US" w:eastAsia="zh-CN"/>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Style w:val="13"/>
        <w:tabs>
          <w:tab w:val="left" w:pos="5580"/>
        </w:tabs>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lang w:val="en-US" w:eastAsia="zh-CN"/>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highlight w:val="none"/>
        </w:rPr>
        <w:t xml:space="preserve"> </w:t>
      </w:r>
      <w:bookmarkEnd w:id="1136"/>
      <w:bookmarkEnd w:id="1137"/>
      <w:bookmarkEnd w:id="1138"/>
    </w:p>
    <w:p>
      <w:pPr>
        <w:pStyle w:val="13"/>
        <w:tabs>
          <w:tab w:val="left" w:pos="5580"/>
        </w:tabs>
        <w:spacing w:line="400" w:lineRule="exact"/>
        <w:ind w:left="1079" w:leftChars="257" w:hanging="539"/>
        <w:rPr>
          <w:rFonts w:hint="eastAsia" w:ascii="宋体" w:hAnsi="宋体" w:eastAsia="宋体" w:cs="宋体"/>
          <w:color w:val="auto"/>
          <w:sz w:val="24"/>
          <w:highlight w:val="none"/>
        </w:rPr>
      </w:pPr>
    </w:p>
    <w:p>
      <w:pPr>
        <w:pStyle w:val="13"/>
        <w:tabs>
          <w:tab w:val="left" w:pos="5580"/>
        </w:tabs>
        <w:spacing w:line="400" w:lineRule="exact"/>
        <w:ind w:left="1079" w:leftChars="257" w:hanging="539"/>
        <w:rPr>
          <w:rFonts w:hint="eastAsia" w:ascii="宋体" w:hAnsi="宋体" w:eastAsia="宋体" w:cs="宋体"/>
          <w:color w:val="auto"/>
          <w:sz w:val="24"/>
          <w:highlight w:val="none"/>
        </w:rPr>
      </w:pPr>
    </w:p>
    <w:p>
      <w:pPr>
        <w:pStyle w:val="13"/>
        <w:tabs>
          <w:tab w:val="left" w:pos="5580"/>
        </w:tabs>
        <w:spacing w:line="400" w:lineRule="exact"/>
        <w:ind w:left="1079" w:leftChars="257" w:hanging="539"/>
        <w:rPr>
          <w:rFonts w:hint="eastAsia" w:ascii="宋体" w:hAnsi="宋体" w:eastAsia="宋体" w:cs="宋体"/>
          <w:color w:val="auto"/>
          <w:sz w:val="24"/>
          <w:highlight w:val="none"/>
        </w:rPr>
      </w:pPr>
    </w:p>
    <w:p>
      <w:pPr>
        <w:rPr>
          <w:rFonts w:hint="eastAsia" w:ascii="宋体" w:hAnsi="宋体" w:eastAsia="宋体" w:cs="宋体"/>
          <w:b/>
          <w:color w:val="auto"/>
          <w:kern w:val="0"/>
          <w:sz w:val="24"/>
          <w:highlight w:val="none"/>
          <w:lang w:val="en-US" w:eastAsia="zh-CN"/>
        </w:rPr>
      </w:pPr>
      <w:r>
        <w:rPr>
          <w:rFonts w:hint="eastAsia" w:ascii="宋体" w:hAnsi="宋体" w:eastAsia="宋体" w:cs="宋体"/>
          <w:b/>
          <w:color w:val="auto"/>
          <w:kern w:val="0"/>
          <w:sz w:val="24"/>
          <w:highlight w:val="none"/>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39" w:name="_Toc3088"/>
      <w:r>
        <w:rPr>
          <w:rFonts w:hint="eastAsia" w:ascii="宋体" w:hAnsi="宋体" w:eastAsia="宋体" w:cs="宋体"/>
          <w:color w:val="auto"/>
          <w:sz w:val="28"/>
          <w:szCs w:val="28"/>
          <w:highlight w:val="none"/>
          <w:lang w:val="en-US" w:eastAsia="zh-CN"/>
        </w:rPr>
        <w:t>4.提供近两年内任意一年的财务审计报告；</w:t>
      </w:r>
      <w:bookmarkEnd w:id="1139"/>
    </w:p>
    <w:p>
      <w:pPr>
        <w:pStyle w:val="11"/>
        <w:spacing w:line="400" w:lineRule="exact"/>
        <w:ind w:firstLine="0" w:firstLineChars="0"/>
        <w:rPr>
          <w:rFonts w:hint="eastAsia" w:ascii="宋体" w:hAnsi="宋体" w:eastAsia="宋体" w:cs="宋体"/>
          <w:b/>
          <w:color w:val="auto"/>
          <w:kern w:val="0"/>
          <w:szCs w:val="20"/>
          <w:highlight w:val="none"/>
        </w:rPr>
      </w:pPr>
    </w:p>
    <w:p>
      <w:pPr>
        <w:pStyle w:val="4"/>
        <w:rPr>
          <w:rFonts w:hint="eastAsia"/>
          <w:color w:val="auto"/>
          <w:highlight w:val="none"/>
        </w:rPr>
      </w:pPr>
    </w:p>
    <w:p>
      <w:pPr>
        <w:rPr>
          <w:rFonts w:hint="eastAsia"/>
          <w:color w:val="auto"/>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40" w:name="_Toc19512"/>
      <w:r>
        <w:rPr>
          <w:rFonts w:hint="eastAsia" w:ascii="宋体" w:hAnsi="宋体" w:eastAsia="宋体" w:cs="宋体"/>
          <w:color w:val="auto"/>
          <w:sz w:val="28"/>
          <w:szCs w:val="28"/>
          <w:highlight w:val="none"/>
          <w:lang w:val="en-US" w:eastAsia="zh-CN"/>
        </w:rPr>
        <w:t>5.依法缴纳近六个月内任意一个月社会保险证明；</w:t>
      </w:r>
      <w:bookmarkEnd w:id="1140"/>
    </w:p>
    <w:p>
      <w:pPr>
        <w:pStyle w:val="3"/>
        <w:ind w:left="0" w:leftChars="0" w:firstLine="0" w:firstLineChars="0"/>
        <w:rPr>
          <w:rFonts w:hint="eastAsia"/>
          <w:color w:val="auto"/>
          <w:highlight w:val="none"/>
        </w:rPr>
      </w:pPr>
    </w:p>
    <w:p>
      <w:pPr>
        <w:pStyle w:val="4"/>
        <w:rPr>
          <w:rFonts w:hint="eastAsia"/>
          <w:color w:val="auto"/>
          <w:highlight w:val="none"/>
        </w:rPr>
      </w:pPr>
    </w:p>
    <w:p>
      <w:pPr>
        <w:pStyle w:val="3"/>
        <w:rPr>
          <w:rFonts w:hint="eastAsia"/>
          <w:color w:val="auto"/>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41" w:name="_Toc4946"/>
      <w:r>
        <w:rPr>
          <w:rFonts w:hint="eastAsia" w:ascii="宋体" w:hAnsi="宋体" w:eastAsia="宋体" w:cs="宋体"/>
          <w:color w:val="auto"/>
          <w:sz w:val="28"/>
          <w:szCs w:val="28"/>
          <w:highlight w:val="none"/>
          <w:lang w:val="en-US" w:eastAsia="zh-CN"/>
        </w:rPr>
        <w:t>6.依法缴纳近六个月内任意一个月税收证明；</w:t>
      </w:r>
      <w:bookmarkEnd w:id="1141"/>
    </w:p>
    <w:p>
      <w:pPr>
        <w:pStyle w:val="13"/>
        <w:tabs>
          <w:tab w:val="left" w:pos="5580"/>
        </w:tabs>
        <w:spacing w:line="400" w:lineRule="exact"/>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42" w:name="_Toc10433"/>
      <w:r>
        <w:rPr>
          <w:rFonts w:hint="eastAsia" w:ascii="宋体" w:hAnsi="宋体" w:eastAsia="宋体" w:cs="宋体"/>
          <w:color w:val="auto"/>
          <w:sz w:val="28"/>
          <w:szCs w:val="28"/>
          <w:highlight w:val="none"/>
          <w:lang w:val="en-US" w:eastAsia="zh-CN"/>
        </w:rPr>
        <w:t>7.根据《财政部关于在政府采购活动中查询及使用信用记录有关问题的通知》（财库﹝2016﹞125号）的要求，凡拟参加本次招标项目的供应商，如在“信用中国”网站（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重点领域严重失信主体名单查询-搜索栏输入单位全称)、中国政府采购网（http://www.ccgp.gov.cn/search/cr/）严重违法失信行为信息记录名单的（尚在处罚期内的），“国家企业信用信息公示系统（http://www.gsxt.gov.cn）”列入严重违法失信名单（黑名单）信息；将拒绝其参加本次招标活动；（以采购代理机构或采购人查询为准）；</w:t>
      </w:r>
      <w:bookmarkEnd w:id="1142"/>
    </w:p>
    <w:p>
      <w:pPr>
        <w:pStyle w:val="13"/>
        <w:tabs>
          <w:tab w:val="left" w:pos="5580"/>
        </w:tabs>
        <w:spacing w:line="400" w:lineRule="exact"/>
        <w:ind w:left="1080" w:leftChars="257" w:hanging="540"/>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43" w:name="_Toc25585"/>
      <w:r>
        <w:rPr>
          <w:rFonts w:hint="eastAsia" w:ascii="宋体" w:hAnsi="宋体" w:eastAsia="宋体" w:cs="宋体"/>
          <w:color w:val="auto"/>
          <w:sz w:val="28"/>
          <w:szCs w:val="28"/>
          <w:highlight w:val="none"/>
          <w:lang w:val="en-US" w:eastAsia="zh-CN"/>
        </w:rPr>
        <w:t>8.参与政府采购活动前3年内未被列入失信、重大税收违法案件、财政部门禁止参加政府采购活动的承诺书；</w:t>
      </w:r>
      <w:bookmarkEnd w:id="1143"/>
    </w:p>
    <w:p>
      <w:pPr>
        <w:pStyle w:val="13"/>
        <w:tabs>
          <w:tab w:val="left" w:pos="5580"/>
        </w:tabs>
        <w:spacing w:line="400" w:lineRule="exact"/>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44" w:name="_Toc19669"/>
      <w:r>
        <w:rPr>
          <w:rFonts w:hint="eastAsia" w:ascii="宋体" w:hAnsi="宋体" w:eastAsia="宋体" w:cs="宋体"/>
          <w:color w:val="auto"/>
          <w:sz w:val="28"/>
          <w:szCs w:val="28"/>
          <w:highlight w:val="none"/>
          <w:lang w:val="en-US" w:eastAsia="zh-CN"/>
        </w:rPr>
        <w:t>9.提供针对本次项目的《反商业贿赂承诺书》；</w:t>
      </w:r>
      <w:bookmarkEnd w:id="1144"/>
    </w:p>
    <w:p>
      <w:pPr>
        <w:pStyle w:val="13"/>
        <w:tabs>
          <w:tab w:val="left" w:pos="5580"/>
        </w:tabs>
        <w:spacing w:line="400" w:lineRule="exact"/>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13"/>
        <w:tabs>
          <w:tab w:val="left" w:pos="5580"/>
        </w:tabs>
        <w:spacing w:line="400" w:lineRule="exact"/>
        <w:rPr>
          <w:rFonts w:hint="eastAsia" w:ascii="宋体" w:hAnsi="宋体" w:eastAsia="宋体" w:cs="宋体"/>
          <w:b/>
          <w:color w:val="auto"/>
          <w:kern w:val="0"/>
          <w:sz w:val="24"/>
          <w:highlight w:val="none"/>
        </w:rPr>
      </w:pPr>
    </w:p>
    <w:p>
      <w:pPr>
        <w:pStyle w:val="6"/>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45" w:name="_Toc23547"/>
      <w:r>
        <w:rPr>
          <w:rFonts w:hint="eastAsia" w:ascii="宋体" w:hAnsi="宋体" w:eastAsia="宋体" w:cs="宋体"/>
          <w:color w:val="auto"/>
          <w:sz w:val="28"/>
          <w:szCs w:val="28"/>
          <w:highlight w:val="none"/>
          <w:lang w:val="en-US" w:eastAsia="zh-CN"/>
        </w:rPr>
        <w:t>10.缴纳投标保证金的有效凭证；</w:t>
      </w:r>
      <w:bookmarkEnd w:id="1145"/>
    </w:p>
    <w:p>
      <w:pPr>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jc w:val="left"/>
        <w:textAlignment w:val="auto"/>
        <w:outlineLvl w:val="9"/>
        <w:rPr>
          <w:rFonts w:hint="eastAsia" w:ascii="宋体" w:hAnsi="宋体" w:eastAsia="宋体" w:cs="宋体"/>
          <w:color w:val="auto"/>
          <w:sz w:val="28"/>
          <w:szCs w:val="28"/>
          <w:highlight w:val="none"/>
          <w:lang w:val="en-US" w:eastAsia="zh-CN"/>
        </w:rPr>
      </w:pPr>
      <w:bookmarkStart w:id="1146" w:name="_Toc17795"/>
    </w:p>
    <w:p>
      <w:pPr>
        <w:pStyle w:val="6"/>
        <w:keepNext/>
        <w:keepLines/>
        <w:pageBreakBefore w:val="0"/>
        <w:widowControl w:val="0"/>
        <w:numPr>
          <w:ilvl w:val="0"/>
          <w:numId w:val="0"/>
        </w:numPr>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11.须具备城乡规划编制乙级及以上资质（含乙级）证书或土地规划乙级及以上资质（含乙级）证书。</w:t>
      </w:r>
      <w:bookmarkEnd w:id="1146"/>
    </w:p>
    <w:p>
      <w:pPr>
        <w:numPr>
          <w:ilvl w:val="0"/>
          <w:numId w:val="0"/>
        </w:numPr>
        <w:rPr>
          <w:rFonts w:hint="eastAsia"/>
          <w:color w:val="auto"/>
          <w:highlight w:val="none"/>
        </w:rPr>
      </w:pPr>
    </w:p>
    <w:p>
      <w:pPr>
        <w:pStyle w:val="13"/>
        <w:tabs>
          <w:tab w:val="left" w:pos="5580"/>
        </w:tabs>
        <w:spacing w:line="400" w:lineRule="exact"/>
        <w:ind w:left="540" w:leftChars="257"/>
        <w:outlineLvl w:val="9"/>
        <w:rPr>
          <w:rFonts w:hint="eastAsia" w:ascii="宋体" w:hAnsi="宋体" w:eastAsia="宋体" w:cs="宋体"/>
          <w:b/>
          <w:color w:val="auto"/>
          <w:kern w:val="0"/>
          <w:sz w:val="24"/>
          <w:highlight w:val="none"/>
        </w:rPr>
      </w:pPr>
    </w:p>
    <w:p>
      <w:pPr>
        <w:pStyle w:val="13"/>
        <w:tabs>
          <w:tab w:val="left" w:pos="5580"/>
        </w:tabs>
        <w:spacing w:line="400" w:lineRule="exact"/>
        <w:outlineLvl w:val="9"/>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rPr>
      </w:pPr>
      <w:bookmarkStart w:id="1147" w:name="_Toc9905"/>
      <w:bookmarkStart w:id="1148" w:name="_Toc22967"/>
      <w:bookmarkStart w:id="1149" w:name="_Toc18263"/>
      <w:bookmarkStart w:id="1150" w:name="_Toc30653"/>
      <w:bookmarkStart w:id="1151" w:name="_Toc15346"/>
      <w:bookmarkStart w:id="1152" w:name="_Toc515647816"/>
      <w:bookmarkStart w:id="1153" w:name="_Toc11180"/>
      <w:r>
        <w:rPr>
          <w:rFonts w:hint="eastAsia" w:ascii="宋体" w:hAnsi="宋体" w:eastAsia="宋体" w:cs="宋体"/>
          <w:color w:val="auto"/>
          <w:sz w:val="28"/>
          <w:szCs w:val="28"/>
          <w:highlight w:val="none"/>
          <w:lang w:val="en-US" w:eastAsia="zh-CN"/>
        </w:rPr>
        <w:t>12.银行开户许可证复印件或银行基本账户信息(包含：银行账号及开户行名称）；</w:t>
      </w:r>
      <w:bookmarkEnd w:id="1147"/>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shd w:val="clear" w:color="auto" w:fill="auto"/>
        <w:snapToGrid w:val="0"/>
        <w:spacing w:before="0" w:beforeAutospacing="0" w:after="0" w:afterAutospacing="0" w:line="360" w:lineRule="exact"/>
        <w:jc w:val="both"/>
        <w:textAlignment w:val="baseline"/>
        <w:rPr>
          <w:rFonts w:hint="eastAsia" w:ascii="宋体" w:hAnsi="宋体" w:eastAsia="宋体" w:cs="宋体"/>
          <w:b/>
          <w:bCs/>
          <w:i w:val="0"/>
          <w:caps w:val="0"/>
          <w:color w:val="auto"/>
          <w:spacing w:val="0"/>
          <w:w w:val="100"/>
          <w:sz w:val="24"/>
          <w:highlight w:val="none"/>
        </w:rPr>
      </w:pPr>
    </w:p>
    <w:p>
      <w:pPr>
        <w:shd w:val="clear" w:color="auto" w:fill="auto"/>
        <w:snapToGrid w:val="0"/>
        <w:spacing w:before="0" w:beforeAutospacing="0" w:after="0" w:afterAutospacing="0" w:line="360" w:lineRule="exact"/>
        <w:jc w:val="both"/>
        <w:textAlignment w:val="baseline"/>
        <w:rPr>
          <w:rFonts w:hint="eastAsia" w:ascii="宋体" w:hAnsi="宋体" w:eastAsia="宋体" w:cs="宋体"/>
          <w:b/>
          <w:bCs/>
          <w:i w:val="0"/>
          <w:caps w:val="0"/>
          <w:color w:val="auto"/>
          <w:spacing w:val="0"/>
          <w:w w:val="100"/>
          <w:sz w:val="24"/>
          <w:highlight w:val="none"/>
        </w:rPr>
      </w:pPr>
      <w:r>
        <w:rPr>
          <w:rFonts w:hint="eastAsia" w:ascii="宋体" w:hAnsi="宋体" w:eastAsia="宋体" w:cs="宋体"/>
          <w:b/>
          <w:bCs/>
          <w:i w:val="0"/>
          <w:caps w:val="0"/>
          <w:color w:val="auto"/>
          <w:spacing w:val="0"/>
          <w:w w:val="100"/>
          <w:sz w:val="24"/>
          <w:highlight w:val="none"/>
        </w:rPr>
        <w:t>（注：</w:t>
      </w:r>
      <w:r>
        <w:rPr>
          <w:rFonts w:hint="eastAsia" w:ascii="宋体" w:hAnsi="宋体" w:cs="宋体"/>
          <w:b/>
          <w:bCs/>
          <w:i w:val="0"/>
          <w:caps w:val="0"/>
          <w:color w:val="auto"/>
          <w:spacing w:val="0"/>
          <w:w w:val="100"/>
          <w:sz w:val="24"/>
          <w:highlight w:val="none"/>
          <w:lang w:val="en-US" w:eastAsia="zh-CN"/>
        </w:rPr>
        <w:t>本项目以</w:t>
      </w:r>
      <w:r>
        <w:rPr>
          <w:rFonts w:hint="eastAsia" w:ascii="宋体" w:hAnsi="宋体" w:eastAsia="宋体" w:cs="宋体"/>
          <w:b/>
          <w:bCs/>
          <w:i w:val="0"/>
          <w:caps w:val="0"/>
          <w:color w:val="auto"/>
          <w:spacing w:val="0"/>
          <w:w w:val="100"/>
          <w:sz w:val="24"/>
          <w:highlight w:val="none"/>
          <w:lang w:val="en-US" w:eastAsia="zh-CN"/>
        </w:rPr>
        <w:t>缴纳投标保证金的有效凭证复印件</w:t>
      </w:r>
      <w:r>
        <w:rPr>
          <w:rFonts w:hint="eastAsia" w:ascii="宋体" w:hAnsi="宋体" w:cs="宋体"/>
          <w:b/>
          <w:bCs/>
          <w:i w:val="0"/>
          <w:caps w:val="0"/>
          <w:color w:val="auto"/>
          <w:spacing w:val="0"/>
          <w:w w:val="100"/>
          <w:sz w:val="24"/>
          <w:highlight w:val="none"/>
          <w:lang w:val="en-US" w:eastAsia="zh-CN"/>
        </w:rPr>
        <w:t>加</w:t>
      </w:r>
      <w:r>
        <w:rPr>
          <w:rFonts w:hint="eastAsia" w:ascii="宋体" w:hAnsi="宋体" w:eastAsia="宋体" w:cs="宋体"/>
          <w:b/>
          <w:bCs/>
          <w:i w:val="0"/>
          <w:caps w:val="0"/>
          <w:color w:val="auto"/>
          <w:spacing w:val="0"/>
          <w:w w:val="100"/>
          <w:sz w:val="24"/>
          <w:highlight w:val="none"/>
          <w:lang w:val="en-US" w:eastAsia="zh-CN"/>
        </w:rPr>
        <w:t>盖公章为准</w:t>
      </w:r>
      <w:r>
        <w:rPr>
          <w:rFonts w:hint="eastAsia" w:ascii="宋体" w:hAnsi="宋体" w:eastAsia="宋体" w:cs="宋体"/>
          <w:b/>
          <w:bCs/>
          <w:i w:val="0"/>
          <w:caps w:val="0"/>
          <w:color w:val="auto"/>
          <w:spacing w:val="0"/>
          <w:w w:val="100"/>
          <w:sz w:val="24"/>
          <w:highlight w:val="none"/>
        </w:rPr>
        <w:t>。）</w:t>
      </w:r>
    </w:p>
    <w:tbl>
      <w:tblPr>
        <w:tblStyle w:val="25"/>
        <w:tblpPr w:leftFromText="180" w:rightFromText="180" w:vertAnchor="text" w:horzAnchor="page" w:tblpX="1967" w:tblpY="235"/>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8080" w:type="dxa"/>
          </w:tcPr>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both"/>
              <w:textAlignment w:val="baseline"/>
              <w:rPr>
                <w:rFonts w:hint="eastAsia" w:ascii="宋体" w:hAnsi="宋体" w:eastAsia="宋体" w:cs="宋体"/>
                <w:b w:val="0"/>
                <w:i w:val="0"/>
                <w:caps w:val="0"/>
                <w:color w:val="auto"/>
                <w:spacing w:val="0"/>
                <w:w w:val="100"/>
                <w:sz w:val="24"/>
                <w:highlight w:val="none"/>
              </w:rPr>
            </w:pPr>
          </w:p>
          <w:p>
            <w:pPr>
              <w:shd w:val="clear" w:color="auto" w:fill="auto"/>
              <w:snapToGrid w:val="0"/>
              <w:spacing w:before="0" w:beforeAutospacing="0" w:after="0" w:afterAutospacing="0" w:line="360" w:lineRule="exact"/>
              <w:jc w:val="center"/>
              <w:textAlignment w:val="baseline"/>
              <w:rPr>
                <w:rFonts w:hint="eastAsia" w:ascii="宋体" w:hAnsi="宋体" w:eastAsia="宋体" w:cs="宋体"/>
                <w:b w:val="0"/>
                <w:i w:val="0"/>
                <w:caps w:val="0"/>
                <w:color w:val="auto"/>
                <w:spacing w:val="0"/>
                <w:w w:val="100"/>
                <w:sz w:val="24"/>
                <w:highlight w:val="none"/>
                <w:lang w:eastAsia="zh-CN"/>
              </w:rPr>
            </w:pPr>
            <w:r>
              <w:rPr>
                <w:rFonts w:hint="eastAsia" w:ascii="宋体" w:hAnsi="宋体" w:eastAsia="宋体" w:cs="宋体"/>
                <w:b w:val="0"/>
                <w:i w:val="0"/>
                <w:caps w:val="0"/>
                <w:color w:val="auto"/>
                <w:spacing w:val="0"/>
                <w:w w:val="100"/>
                <w:sz w:val="24"/>
                <w:highlight w:val="none"/>
                <w:lang w:eastAsia="zh-CN"/>
              </w:rPr>
              <w:t>缴纳投标保证金的有效凭证</w:t>
            </w:r>
            <w:r>
              <w:rPr>
                <w:rFonts w:hint="eastAsia" w:ascii="宋体" w:hAnsi="宋体" w:eastAsia="宋体" w:cs="宋体"/>
                <w:b w:val="0"/>
                <w:i w:val="0"/>
                <w:caps w:val="0"/>
                <w:color w:val="auto"/>
                <w:spacing w:val="0"/>
                <w:w w:val="100"/>
                <w:sz w:val="24"/>
                <w:highlight w:val="none"/>
              </w:rPr>
              <w:t>复印件</w:t>
            </w:r>
            <w:r>
              <w:rPr>
                <w:rFonts w:hint="eastAsia" w:ascii="宋体" w:hAnsi="宋体" w:eastAsia="宋体" w:cs="宋体"/>
                <w:b w:val="0"/>
                <w:i w:val="0"/>
                <w:caps w:val="0"/>
                <w:color w:val="auto"/>
                <w:spacing w:val="0"/>
                <w:w w:val="100"/>
                <w:sz w:val="24"/>
                <w:highlight w:val="none"/>
                <w:lang w:eastAsia="zh-CN"/>
              </w:rPr>
              <w:t>（</w:t>
            </w:r>
            <w:r>
              <w:rPr>
                <w:rFonts w:hint="eastAsia" w:ascii="宋体" w:hAnsi="宋体" w:eastAsia="宋体" w:cs="宋体"/>
                <w:b w:val="0"/>
                <w:i w:val="0"/>
                <w:caps w:val="0"/>
                <w:color w:val="auto"/>
                <w:spacing w:val="0"/>
                <w:w w:val="100"/>
                <w:sz w:val="24"/>
                <w:highlight w:val="none"/>
                <w:lang w:val="en-US" w:eastAsia="zh-CN"/>
              </w:rPr>
              <w:t>银行转账回执单或保函</w:t>
            </w:r>
            <w:r>
              <w:rPr>
                <w:rFonts w:hint="eastAsia" w:ascii="宋体" w:hAnsi="宋体" w:cs="宋体"/>
                <w:b w:val="0"/>
                <w:i w:val="0"/>
                <w:caps w:val="0"/>
                <w:color w:val="auto"/>
                <w:spacing w:val="0"/>
                <w:w w:val="100"/>
                <w:sz w:val="24"/>
                <w:highlight w:val="none"/>
                <w:lang w:val="en-US" w:eastAsia="zh-CN"/>
              </w:rPr>
              <w:t>及保函收据</w:t>
            </w:r>
            <w:r>
              <w:rPr>
                <w:rFonts w:hint="eastAsia" w:ascii="宋体" w:hAnsi="宋体" w:eastAsia="宋体" w:cs="宋体"/>
                <w:b w:val="0"/>
                <w:i w:val="0"/>
                <w:caps w:val="0"/>
                <w:color w:val="auto"/>
                <w:spacing w:val="0"/>
                <w:w w:val="100"/>
                <w:sz w:val="24"/>
                <w:highlight w:val="none"/>
                <w:lang w:eastAsia="zh-CN"/>
              </w:rPr>
              <w:t>）</w:t>
            </w:r>
          </w:p>
        </w:tc>
      </w:tr>
    </w:tbl>
    <w:p>
      <w:pPr>
        <w:pStyle w:val="13"/>
        <w:tabs>
          <w:tab w:val="left" w:pos="5580"/>
        </w:tabs>
        <w:spacing w:line="400" w:lineRule="exact"/>
        <w:outlineLvl w:val="9"/>
        <w:rPr>
          <w:rFonts w:hint="eastAsia" w:ascii="宋体" w:hAnsi="宋体" w:eastAsia="宋体" w:cs="宋体"/>
          <w:b/>
          <w:color w:val="auto"/>
          <w:kern w:val="0"/>
          <w:sz w:val="24"/>
          <w:highlight w:val="none"/>
          <w:lang w:eastAsia="zh-CN"/>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54" w:name="_Toc16840"/>
      <w:r>
        <w:rPr>
          <w:rFonts w:hint="eastAsia" w:ascii="宋体" w:hAnsi="宋体" w:eastAsia="宋体" w:cs="宋体"/>
          <w:color w:val="auto"/>
          <w:sz w:val="28"/>
          <w:szCs w:val="28"/>
          <w:highlight w:val="none"/>
          <w:lang w:val="en-US" w:eastAsia="zh-CN"/>
        </w:rPr>
        <w:t>13.供应商可提供有利于投标的其他资格证明材料。</w:t>
      </w:r>
      <w:bookmarkEnd w:id="1154"/>
    </w:p>
    <w:p>
      <w:pPr>
        <w:rPr>
          <w:rFonts w:hint="eastAsia" w:ascii="宋体" w:hAnsi="宋体" w:eastAsia="宋体" w:cs="宋体"/>
          <w:b/>
          <w:color w:val="auto"/>
          <w:kern w:val="0"/>
          <w:sz w:val="24"/>
          <w:szCs w:val="20"/>
          <w:highlight w:val="none"/>
        </w:rPr>
      </w:pPr>
    </w:p>
    <w:p>
      <w:pPr>
        <w:rPr>
          <w:rFonts w:hint="eastAsia" w:ascii="宋体" w:hAnsi="宋体" w:eastAsia="宋体" w:cs="宋体"/>
          <w:color w:val="auto"/>
          <w:highlight w:val="none"/>
        </w:rPr>
      </w:pPr>
    </w:p>
    <w:p>
      <w:pPr>
        <w:pStyle w:val="19"/>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before="0" w:line="240" w:lineRule="atLeast"/>
        <w:ind w:left="1080" w:leftChars="257" w:hanging="540"/>
        <w:outlineLvl w:val="9"/>
        <w:rPr>
          <w:rFonts w:hint="eastAsia" w:ascii="宋体" w:hAnsi="宋体" w:eastAsia="宋体" w:cs="宋体"/>
          <w:color w:val="auto"/>
          <w:sz w:val="28"/>
          <w:highlight w:val="none"/>
        </w:rPr>
      </w:pPr>
    </w:p>
    <w:p>
      <w:pPr>
        <w:pStyle w:val="6"/>
        <w:spacing w:before="0" w:line="240" w:lineRule="atLeast"/>
        <w:ind w:left="1080" w:leftChars="257" w:hanging="540"/>
        <w:rPr>
          <w:rFonts w:hint="eastAsia" w:ascii="宋体" w:hAnsi="宋体" w:eastAsia="宋体" w:cs="宋体"/>
          <w:color w:val="auto"/>
          <w:sz w:val="28"/>
          <w:highlight w:val="none"/>
        </w:rPr>
      </w:pPr>
      <w:bookmarkStart w:id="1155" w:name="_Toc11473"/>
      <w:r>
        <w:rPr>
          <w:rFonts w:hint="eastAsia" w:ascii="宋体" w:hAnsi="宋体" w:eastAsia="宋体" w:cs="宋体"/>
          <w:color w:val="auto"/>
          <w:sz w:val="28"/>
          <w:highlight w:val="none"/>
        </w:rPr>
        <w:t>第二部分  商务及技术文件</w:t>
      </w:r>
      <w:bookmarkEnd w:id="1155"/>
    </w:p>
    <w:p>
      <w:pPr>
        <w:keepNext w:val="0"/>
        <w:keepLines w:val="0"/>
        <w:pageBreakBefore w:val="0"/>
        <w:widowControl w:val="0"/>
        <w:tabs>
          <w:tab w:val="left" w:pos="5580"/>
        </w:tabs>
        <w:kinsoku/>
        <w:wordWrap/>
        <w:overflowPunct/>
        <w:topLinePunct w:val="0"/>
        <w:autoSpaceDE/>
        <w:autoSpaceDN/>
        <w:bidi w:val="0"/>
        <w:adjustRightInd/>
        <w:snapToGrid/>
        <w:spacing w:line="360" w:lineRule="exact"/>
        <w:ind w:firstLine="0" w:firstLineChars="0"/>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bookmarkStart w:id="1156" w:name="_Toc14915"/>
      <w:bookmarkStart w:id="1157" w:name="_Toc2041"/>
      <w:bookmarkStart w:id="1158" w:name="_Toc515647817"/>
      <w:r>
        <w:rPr>
          <w:rFonts w:hint="eastAsia" w:ascii="宋体" w:hAnsi="宋体" w:cs="宋体"/>
          <w:color w:val="auto"/>
          <w:kern w:val="0"/>
          <w:sz w:val="28"/>
          <w:szCs w:val="28"/>
          <w:highlight w:val="none"/>
          <w:lang w:val="en-US" w:eastAsia="zh-CN"/>
        </w:rPr>
        <w:t>1.投标书</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2.投标分项报价表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3.货物说明一览表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4.货物规格偏离表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5.商务条款偏离表</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6-1中小企业声明函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6-2 残疾人福利性单位声明函</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7.供应商关联单位的说明（格式自拟）</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8.供应商可提供有利于投标的其他证明材料</w:t>
      </w:r>
    </w:p>
    <w:p>
      <w:pPr>
        <w:keepNext w:val="0"/>
        <w:keepLines w:val="0"/>
        <w:pageBreakBefore w:val="0"/>
        <w:widowControl w:val="0"/>
        <w:tabs>
          <w:tab w:val="left" w:pos="5580"/>
        </w:tabs>
        <w:kinsoku/>
        <w:wordWrap/>
        <w:overflowPunct/>
        <w:topLinePunct w:val="0"/>
        <w:autoSpaceDE/>
        <w:autoSpaceDN/>
        <w:bidi w:val="0"/>
        <w:adjustRightInd/>
        <w:snapToGrid/>
        <w:spacing w:line="480" w:lineRule="exact"/>
        <w:ind w:firstLine="0" w:firstLineChars="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9.投标文件格式范本</w:t>
      </w:r>
    </w:p>
    <w:p>
      <w:pPr>
        <w:spacing w:line="360" w:lineRule="auto"/>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pStyle w:val="3"/>
        <w:rPr>
          <w:rFonts w:hint="eastAsia" w:ascii="宋体" w:hAnsi="宋体" w:eastAsia="宋体" w:cs="宋体"/>
          <w:b/>
          <w:bCs/>
          <w:color w:val="auto"/>
          <w:highlight w:val="none"/>
        </w:rPr>
      </w:pPr>
    </w:p>
    <w:p>
      <w:pPr>
        <w:spacing w:line="360" w:lineRule="auto"/>
        <w:rPr>
          <w:rFonts w:hint="eastAsia" w:ascii="宋体" w:hAnsi="宋体" w:eastAsia="宋体" w:cs="宋体"/>
          <w:color w:val="auto"/>
          <w:sz w:val="24"/>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pStyle w:val="13"/>
        <w:tabs>
          <w:tab w:val="left" w:pos="5580"/>
        </w:tabs>
        <w:spacing w:line="240" w:lineRule="atLeast"/>
        <w:rPr>
          <w:rFonts w:hint="eastAsia" w:ascii="宋体" w:hAnsi="宋体" w:eastAsia="宋体" w:cs="宋体"/>
          <w:color w:val="auto"/>
          <w:szCs w:val="21"/>
          <w:highlight w:val="none"/>
        </w:rPr>
      </w:pPr>
    </w:p>
    <w:p>
      <w:pPr>
        <w:rPr>
          <w:rFonts w:hint="eastAsia" w:ascii="宋体" w:hAnsi="宋体" w:eastAsia="宋体" w:cs="宋体"/>
          <w:b/>
          <w:bCs/>
          <w:color w:val="auto"/>
          <w:sz w:val="24"/>
          <w:szCs w:val="24"/>
          <w:highlight w:val="none"/>
        </w:rPr>
      </w:pPr>
      <w:bookmarkStart w:id="1159" w:name="_Toc21772"/>
      <w:bookmarkStart w:id="1160" w:name="_Toc25918"/>
      <w:bookmarkStart w:id="1161" w:name="_Toc30408"/>
      <w:bookmarkStart w:id="1162" w:name="_Toc29625"/>
      <w:r>
        <w:rPr>
          <w:rFonts w:hint="eastAsia" w:ascii="宋体" w:hAnsi="宋体" w:eastAsia="宋体" w:cs="宋体"/>
          <w:b/>
          <w:bCs/>
          <w:color w:val="auto"/>
          <w:sz w:val="24"/>
          <w:szCs w:val="24"/>
          <w:highlight w:val="none"/>
        </w:rPr>
        <w:br w:type="page"/>
      </w:r>
    </w:p>
    <w:bookmarkEnd w:id="1156"/>
    <w:bookmarkEnd w:id="1157"/>
    <w:bookmarkEnd w:id="1158"/>
    <w:bookmarkEnd w:id="1159"/>
    <w:bookmarkEnd w:id="1160"/>
    <w:bookmarkEnd w:id="1161"/>
    <w:bookmarkEnd w:id="1162"/>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rPr>
          <w:rFonts w:hint="eastAsia" w:ascii="宋体" w:hAnsi="宋体" w:eastAsia="宋体" w:cs="宋体"/>
          <w:color w:val="auto"/>
          <w:sz w:val="28"/>
          <w:szCs w:val="28"/>
          <w:highlight w:val="none"/>
          <w:lang w:val="en-US" w:eastAsia="zh-CN"/>
        </w:rPr>
      </w:pPr>
      <w:bookmarkStart w:id="1163" w:name="_Toc3640"/>
      <w:r>
        <w:rPr>
          <w:rFonts w:hint="eastAsia" w:ascii="宋体" w:hAnsi="宋体" w:eastAsia="宋体" w:cs="宋体"/>
          <w:color w:val="auto"/>
          <w:sz w:val="28"/>
          <w:szCs w:val="28"/>
          <w:highlight w:val="none"/>
          <w:lang w:val="en-US" w:eastAsia="zh-CN"/>
        </w:rPr>
        <w:t>1.投标书</w:t>
      </w:r>
      <w:bookmarkEnd w:id="1163"/>
    </w:p>
    <w:p>
      <w:pPr>
        <w:tabs>
          <w:tab w:val="left" w:pos="5580"/>
        </w:tabs>
        <w:spacing w:line="400" w:lineRule="exac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p>
    <w:p>
      <w:pPr>
        <w:pStyle w:val="13"/>
        <w:tabs>
          <w:tab w:val="left" w:pos="5580"/>
        </w:tabs>
        <w:spacing w:line="40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i/>
          <w:color w:val="auto"/>
          <w:sz w:val="24"/>
          <w:szCs w:val="24"/>
          <w:highlight w:val="none"/>
          <w:u w:val="single"/>
        </w:rPr>
        <w:t>项目名称</w:t>
      </w:r>
      <w:r>
        <w:rPr>
          <w:rFonts w:hint="eastAsia" w:ascii="宋体" w:hAnsi="宋体" w:eastAsia="宋体" w:cs="宋体"/>
          <w:color w:val="auto"/>
          <w:sz w:val="24"/>
          <w:szCs w:val="24"/>
          <w:highlight w:val="none"/>
        </w:rPr>
        <w:t>)项目</w:t>
      </w:r>
      <w:r>
        <w:rPr>
          <w:rFonts w:hint="eastAsia" w:hAnsi="宋体" w:cs="宋体"/>
          <w:color w:val="auto"/>
          <w:sz w:val="24"/>
          <w:szCs w:val="24"/>
          <w:highlight w:val="none"/>
          <w:u w:val="single"/>
          <w:lang w:val="en-US" w:eastAsia="zh-CN"/>
        </w:rPr>
        <w:t>第  包</w:t>
      </w:r>
      <w:r>
        <w:rPr>
          <w:rFonts w:hint="eastAsia" w:ascii="宋体" w:hAnsi="宋体" w:eastAsia="宋体" w:cs="宋体"/>
          <w:color w:val="auto"/>
          <w:sz w:val="24"/>
          <w:szCs w:val="24"/>
          <w:highlight w:val="none"/>
        </w:rPr>
        <w:t>的投标邀请(</w:t>
      </w:r>
      <w:r>
        <w:rPr>
          <w:rFonts w:hint="eastAsia" w:ascii="宋体" w:hAnsi="宋体" w:eastAsia="宋体" w:cs="宋体"/>
          <w:i/>
          <w:color w:val="auto"/>
          <w:sz w:val="24"/>
          <w:szCs w:val="24"/>
          <w:highlight w:val="none"/>
          <w:u w:val="single"/>
        </w:rPr>
        <w:t>项目编号</w:t>
      </w:r>
      <w:r>
        <w:rPr>
          <w:rFonts w:hint="eastAsia" w:ascii="宋体" w:hAnsi="宋体" w:eastAsia="宋体" w:cs="宋体"/>
          <w:color w:val="auto"/>
          <w:sz w:val="24"/>
          <w:szCs w:val="24"/>
          <w:highlight w:val="none"/>
        </w:rPr>
        <w:t>),签字代表(</w:t>
      </w:r>
      <w:r>
        <w:rPr>
          <w:rFonts w:hint="eastAsia" w:ascii="宋体" w:hAnsi="宋体" w:eastAsia="宋体" w:cs="宋体"/>
          <w:i/>
          <w:color w:val="auto"/>
          <w:sz w:val="24"/>
          <w:szCs w:val="24"/>
          <w:highlight w:val="none"/>
          <w:u w:val="single"/>
        </w:rPr>
        <w:t>姓名、职务</w:t>
      </w:r>
      <w:r>
        <w:rPr>
          <w:rFonts w:hint="eastAsia" w:ascii="宋体" w:hAnsi="宋体" w:eastAsia="宋体" w:cs="宋体"/>
          <w:color w:val="auto"/>
          <w:sz w:val="24"/>
          <w:szCs w:val="24"/>
          <w:highlight w:val="none"/>
        </w:rPr>
        <w:t>)经正式授权并代表供应商（</w:t>
      </w:r>
      <w:r>
        <w:rPr>
          <w:rFonts w:hint="eastAsia" w:ascii="宋体" w:hAnsi="宋体" w:eastAsia="宋体" w:cs="宋体"/>
          <w:i/>
          <w:color w:val="auto"/>
          <w:sz w:val="24"/>
          <w:szCs w:val="24"/>
          <w:highlight w:val="none"/>
          <w:u w:val="single"/>
        </w:rPr>
        <w:t>名称、地址</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上传投标</w:t>
      </w:r>
      <w:r>
        <w:rPr>
          <w:rFonts w:hint="eastAsia" w:ascii="宋体" w:hAnsi="宋体" w:eastAsia="宋体" w:cs="宋体"/>
          <w:color w:val="auto"/>
          <w:sz w:val="24"/>
          <w:szCs w:val="24"/>
          <w:highlight w:val="none"/>
        </w:rPr>
        <w:t>文件，并以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形式出具的金额为人民币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据此，签字代表宣布同意如下：</w:t>
      </w:r>
    </w:p>
    <w:p>
      <w:pPr>
        <w:pStyle w:val="13"/>
        <w:tabs>
          <w:tab w:val="left" w:pos="720"/>
          <w:tab w:val="left" w:pos="900"/>
        </w:tabs>
        <w:spacing w:line="400" w:lineRule="exact"/>
        <w:ind w:left="769"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（1）附投标价格表中规定的应提供</w:t>
      </w:r>
      <w:r>
        <w:rPr>
          <w:rFonts w:hint="eastAsia" w:hAnsi="宋体" w:cs="宋体"/>
          <w:color w:val="auto"/>
          <w:sz w:val="24"/>
          <w:szCs w:val="24"/>
          <w:highlight w:val="none"/>
          <w:lang w:val="en-US" w:eastAsia="zh-CN"/>
        </w:rPr>
        <w:t>货物</w:t>
      </w:r>
      <w:r>
        <w:rPr>
          <w:rFonts w:hint="eastAsia" w:ascii="宋体" w:hAnsi="宋体" w:eastAsia="宋体" w:cs="宋体"/>
          <w:color w:val="auto"/>
          <w:sz w:val="24"/>
          <w:szCs w:val="24"/>
          <w:highlight w:val="none"/>
        </w:rPr>
        <w:t>的投标总价详见开标一览表，</w:t>
      </w:r>
      <w:r>
        <w:rPr>
          <w:rFonts w:hint="eastAsia" w:ascii="宋体" w:hAnsi="宋体" w:eastAsia="宋体" w:cs="宋体"/>
          <w:color w:val="auto"/>
          <w:sz w:val="24"/>
          <w:szCs w:val="24"/>
          <w:highlight w:val="none"/>
          <w:u w:val="single"/>
        </w:rPr>
        <w:t>其中由小型和</w:t>
      </w:r>
      <w:r>
        <w:rPr>
          <w:rFonts w:hint="eastAsia" w:ascii="宋体" w:hAnsi="宋体" w:eastAsia="宋体" w:cs="宋体"/>
          <w:color w:val="auto"/>
          <w:sz w:val="24"/>
          <w:szCs w:val="24"/>
          <w:highlight w:val="none"/>
        </w:rPr>
        <w:t>微型企业制造产品的价格为</w:t>
      </w:r>
      <w:r>
        <w:rPr>
          <w:rFonts w:hint="eastAsia" w:ascii="宋体" w:hAnsi="宋体" w:eastAsia="宋体" w:cs="宋体"/>
          <w:color w:val="auto"/>
          <w:sz w:val="24"/>
          <w:szCs w:val="24"/>
          <w:highlight w:val="none"/>
          <w:u w:val="single"/>
        </w:rPr>
        <w:t>　　  （用文字和数字表示），占投标总价   %</w:t>
      </w:r>
      <w:r>
        <w:rPr>
          <w:rFonts w:hint="eastAsia" w:ascii="宋体" w:hAnsi="宋体" w:eastAsia="宋体" w:cs="宋体"/>
          <w:color w:val="auto"/>
          <w:sz w:val="24"/>
          <w:szCs w:val="24"/>
          <w:highlight w:val="none"/>
        </w:rPr>
        <w:t>。</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（2）本投标有效期为自投标截止之日起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（3）联合体中的大中型企业和其他自然人、法人或者非法人组织，与联合体中的小型、微型企业之间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存在、不存在）投资关系（如果是联合体的话）。</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（4）已详细审查全部招标文件，包括所有补充通知（如果有的话），完全理解并同意放弃对这方面有不明、误解和质疑的权力。</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（5）在规定的开标时间后，遵守招标文件中有关保证金的规定。</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（6）在领取中标通知书的同时按招标文件规定的形式，向贵方一次性支付中标服务费。</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7</w:t>
      </w:r>
      <w:r>
        <w:rPr>
          <w:rFonts w:hint="eastAsia" w:ascii="宋体" w:hAnsi="宋体" w:eastAsia="宋体" w:cs="宋体"/>
          <w:color w:val="auto"/>
          <w:sz w:val="24"/>
          <w:szCs w:val="24"/>
          <w:highlight w:val="none"/>
        </w:rPr>
        <w:t>）按照贵方可能要求，提供与其投标有关的一切数据或资料，完全理解贵方不一定接受最低价的投标或收到的任何投标。</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rPr>
        <w:t>）按照招标文件的规定履行合同责任和义务。</w:t>
      </w:r>
    </w:p>
    <w:p>
      <w:pPr>
        <w:pStyle w:val="13"/>
        <w:tabs>
          <w:tab w:val="left" w:pos="5580"/>
        </w:tabs>
        <w:spacing w:line="400" w:lineRule="exact"/>
        <w:ind w:left="359"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法定代表人或其委托代理人（签/章）</w:t>
      </w:r>
      <w:r>
        <w:rPr>
          <w:rFonts w:hint="eastAsia" w:ascii="宋体" w:hAnsi="宋体" w:eastAsia="宋体" w:cs="宋体"/>
          <w:color w:val="auto"/>
          <w:sz w:val="24"/>
          <w:szCs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eastAsia="zh-CN"/>
        </w:rPr>
        <w:t>名称</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供应商开户银行（全称）</w:t>
      </w:r>
      <w:r>
        <w:rPr>
          <w:rFonts w:hint="eastAsia" w:ascii="宋体" w:hAnsi="宋体" w:eastAsia="宋体" w:cs="宋体"/>
          <w:color w:val="auto"/>
          <w:sz w:val="24"/>
          <w:szCs w:val="24"/>
          <w:highlight w:val="none"/>
          <w:u w:val="single"/>
        </w:rPr>
        <w:t xml:space="preserve">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供应商银行帐号</w:t>
      </w:r>
      <w:r>
        <w:rPr>
          <w:rFonts w:hint="eastAsia" w:ascii="宋体" w:hAnsi="宋体" w:eastAsia="宋体" w:cs="宋体"/>
          <w:color w:val="auto"/>
          <w:sz w:val="24"/>
          <w:szCs w:val="24"/>
          <w:highlight w:val="none"/>
          <w:u w:val="single"/>
        </w:rPr>
        <w:t>　　　　　　　　 　　</w:t>
      </w:r>
    </w:p>
    <w:p>
      <w:pPr>
        <w:pStyle w:val="13"/>
        <w:tabs>
          <w:tab w:val="left" w:pos="5580"/>
        </w:tabs>
        <w:spacing w:line="400" w:lineRule="exac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bookmarkStart w:id="1164" w:name="_Toc19819"/>
      <w:bookmarkStart w:id="1165" w:name="_Toc14219"/>
      <w:bookmarkStart w:id="1166" w:name="_Toc30947"/>
      <w:bookmarkStart w:id="1167" w:name="_Toc6738"/>
      <w:bookmarkStart w:id="1168" w:name="_Toc1266"/>
      <w:bookmarkStart w:id="1169" w:name="_Toc23473"/>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p>
    <w:bookmarkEnd w:id="1164"/>
    <w:bookmarkEnd w:id="1165"/>
    <w:bookmarkEnd w:id="1166"/>
    <w:bookmarkEnd w:id="1167"/>
    <w:bookmarkEnd w:id="1168"/>
    <w:bookmarkEnd w:id="1169"/>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rPr>
          <w:rFonts w:hint="eastAsia" w:ascii="宋体" w:hAnsi="宋体" w:eastAsia="宋体" w:cs="宋体"/>
          <w:color w:val="auto"/>
          <w:sz w:val="28"/>
          <w:szCs w:val="28"/>
          <w:highlight w:val="none"/>
          <w:lang w:val="en-US" w:eastAsia="zh-CN"/>
        </w:rPr>
      </w:pPr>
      <w:bookmarkStart w:id="1170" w:name="_Toc15405"/>
      <w:bookmarkStart w:id="1171" w:name="_Toc22563"/>
      <w:bookmarkStart w:id="1172" w:name="_Toc28959"/>
      <w:bookmarkStart w:id="1173" w:name="_Toc216582817"/>
      <w:bookmarkStart w:id="1174" w:name="_Toc515647820"/>
      <w:r>
        <w:rPr>
          <w:rFonts w:hint="eastAsia" w:ascii="宋体" w:hAnsi="宋体" w:eastAsia="宋体" w:cs="宋体"/>
          <w:color w:val="auto"/>
          <w:sz w:val="28"/>
          <w:szCs w:val="28"/>
          <w:highlight w:val="none"/>
          <w:lang w:val="en-US" w:eastAsia="zh-CN"/>
        </w:rPr>
        <w:t>2.投标分项报价表</w:t>
      </w:r>
      <w:bookmarkEnd w:id="1170"/>
    </w:p>
    <w:p>
      <w:pPr>
        <w:pStyle w:val="13"/>
        <w:keepNext w:val="0"/>
        <w:keepLines w:val="0"/>
        <w:pageBreakBefore w:val="0"/>
        <w:widowControl w:val="0"/>
        <w:kinsoku/>
        <w:wordWrap/>
        <w:overflowPunct/>
        <w:topLinePunct w:val="0"/>
        <w:autoSpaceDE/>
        <w:autoSpaceDN/>
        <w:bidi w:val="0"/>
        <w:adjustRightInd/>
        <w:snapToGrid/>
        <w:spacing w:line="400" w:lineRule="exact"/>
        <w:ind w:left="540" w:leftChars="257" w:firstLine="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项目名称:                      项目编号:                 </w:t>
      </w:r>
      <w:r>
        <w:rPr>
          <w:rFonts w:hint="eastAsia" w:hAnsi="宋体" w:cs="宋体"/>
          <w:color w:val="auto"/>
          <w:sz w:val="24"/>
          <w:szCs w:val="24"/>
          <w:highlight w:val="none"/>
          <w:lang w:val="en-US" w:eastAsia="zh-CN"/>
        </w:rPr>
        <w:t>包号：</w:t>
      </w:r>
      <w:r>
        <w:rPr>
          <w:rFonts w:hint="eastAsia" w:ascii="宋体" w:hAnsi="宋体" w:eastAsia="宋体" w:cs="宋体"/>
          <w:color w:val="auto"/>
          <w:sz w:val="24"/>
          <w:szCs w:val="24"/>
          <w:highlight w:val="none"/>
        </w:rPr>
        <w:t xml:space="preserve">      　 　          报价单位：人民币</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val="en-US" w:eastAsia="zh-CN"/>
        </w:rPr>
        <w:t xml:space="preserve">            </w:t>
      </w:r>
    </w:p>
    <w:tbl>
      <w:tblPr>
        <w:tblStyle w:val="25"/>
        <w:tblW w:w="53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002"/>
        <w:gridCol w:w="1570"/>
        <w:gridCol w:w="1068"/>
        <w:gridCol w:w="921"/>
        <w:gridCol w:w="1277"/>
        <w:gridCol w:w="109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76" w:type="pct"/>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序号</w:t>
            </w:r>
          </w:p>
        </w:tc>
        <w:tc>
          <w:tcPr>
            <w:tcW w:w="547" w:type="pct"/>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名称</w:t>
            </w:r>
          </w:p>
        </w:tc>
        <w:tc>
          <w:tcPr>
            <w:tcW w:w="857" w:type="pct"/>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工作内容</w:t>
            </w:r>
          </w:p>
        </w:tc>
        <w:tc>
          <w:tcPr>
            <w:tcW w:w="583"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502"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697"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600"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合价</w:t>
            </w:r>
          </w:p>
        </w:tc>
        <w:tc>
          <w:tcPr>
            <w:tcW w:w="835"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76" w:type="pct"/>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547" w:type="pct"/>
            <w:vAlign w:val="center"/>
          </w:tcPr>
          <w:p>
            <w:pPr>
              <w:spacing w:line="360" w:lineRule="auto"/>
              <w:jc w:val="center"/>
              <w:rPr>
                <w:rFonts w:hint="eastAsia" w:ascii="宋体" w:hAnsi="宋体" w:eastAsia="宋体" w:cs="宋体"/>
                <w:color w:val="auto"/>
                <w:sz w:val="24"/>
                <w:highlight w:val="none"/>
              </w:rPr>
            </w:pPr>
          </w:p>
        </w:tc>
        <w:tc>
          <w:tcPr>
            <w:tcW w:w="857" w:type="pct"/>
            <w:vAlign w:val="center"/>
          </w:tcPr>
          <w:p>
            <w:pPr>
              <w:spacing w:line="360" w:lineRule="auto"/>
              <w:jc w:val="center"/>
              <w:rPr>
                <w:rFonts w:hint="eastAsia" w:ascii="宋体" w:hAnsi="宋体" w:eastAsia="宋体" w:cs="宋体"/>
                <w:color w:val="auto"/>
                <w:sz w:val="24"/>
                <w:highlight w:val="none"/>
              </w:rPr>
            </w:pPr>
          </w:p>
        </w:tc>
        <w:tc>
          <w:tcPr>
            <w:tcW w:w="583" w:type="pct"/>
            <w:vAlign w:val="center"/>
          </w:tcPr>
          <w:p>
            <w:pPr>
              <w:spacing w:line="360" w:lineRule="auto"/>
              <w:jc w:val="center"/>
              <w:rPr>
                <w:rFonts w:hint="eastAsia" w:ascii="宋体" w:hAnsi="宋体" w:eastAsia="宋体" w:cs="宋体"/>
                <w:color w:val="auto"/>
                <w:sz w:val="24"/>
                <w:highlight w:val="none"/>
              </w:rPr>
            </w:pPr>
          </w:p>
        </w:tc>
        <w:tc>
          <w:tcPr>
            <w:tcW w:w="502" w:type="pct"/>
            <w:vAlign w:val="center"/>
          </w:tcPr>
          <w:p>
            <w:pPr>
              <w:spacing w:line="360" w:lineRule="auto"/>
              <w:jc w:val="center"/>
              <w:rPr>
                <w:rFonts w:hint="eastAsia" w:ascii="宋体" w:hAnsi="宋体" w:eastAsia="宋体" w:cs="宋体"/>
                <w:color w:val="auto"/>
                <w:sz w:val="24"/>
                <w:highlight w:val="none"/>
              </w:rPr>
            </w:pPr>
          </w:p>
        </w:tc>
        <w:tc>
          <w:tcPr>
            <w:tcW w:w="697" w:type="pct"/>
            <w:vAlign w:val="center"/>
          </w:tcPr>
          <w:p>
            <w:pPr>
              <w:spacing w:line="360" w:lineRule="auto"/>
              <w:jc w:val="center"/>
              <w:rPr>
                <w:rFonts w:hint="eastAsia" w:ascii="宋体" w:hAnsi="宋体" w:eastAsia="宋体" w:cs="宋体"/>
                <w:color w:val="auto"/>
                <w:sz w:val="24"/>
                <w:highlight w:val="none"/>
              </w:rPr>
            </w:pPr>
          </w:p>
        </w:tc>
        <w:tc>
          <w:tcPr>
            <w:tcW w:w="600" w:type="pct"/>
            <w:vAlign w:val="center"/>
          </w:tcPr>
          <w:p>
            <w:pPr>
              <w:spacing w:line="360" w:lineRule="auto"/>
              <w:jc w:val="center"/>
              <w:rPr>
                <w:rFonts w:hint="eastAsia" w:ascii="宋体" w:hAnsi="宋体" w:eastAsia="宋体" w:cs="宋体"/>
                <w:color w:val="auto"/>
                <w:sz w:val="24"/>
                <w:highlight w:val="none"/>
              </w:rPr>
            </w:pPr>
          </w:p>
        </w:tc>
        <w:tc>
          <w:tcPr>
            <w:tcW w:w="835" w:type="pct"/>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5000" w:type="pct"/>
            <w:gridSpan w:val="8"/>
            <w:vAlign w:val="center"/>
          </w:tcPr>
          <w:p>
            <w:pPr>
              <w:spacing w:line="360" w:lineRule="auto"/>
              <w:jc w:val="both"/>
              <w:rPr>
                <w:rFonts w:hint="eastAsia" w:ascii="宋体" w:hAnsi="宋体" w:cs="宋体"/>
                <w:color w:val="auto"/>
                <w:sz w:val="24"/>
                <w:highlight w:val="none"/>
                <w:lang w:val="en-US" w:eastAsia="zh-CN"/>
              </w:rPr>
            </w:pPr>
          </w:p>
          <w:p>
            <w:pPr>
              <w:spacing w:line="360" w:lineRule="auto"/>
              <w:jc w:val="both"/>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合计：</w:t>
            </w:r>
          </w:p>
        </w:tc>
      </w:tr>
    </w:tbl>
    <w:p>
      <w:pPr>
        <w:pStyle w:val="13"/>
        <w:spacing w:line="400" w:lineRule="exact"/>
        <w:ind w:left="1080" w:leftChars="257" w:hanging="540"/>
        <w:rPr>
          <w:rFonts w:hint="eastAsia" w:ascii="宋体" w:hAnsi="宋体" w:eastAsia="宋体" w:cs="宋体"/>
          <w:color w:val="auto"/>
          <w:sz w:val="24"/>
          <w:szCs w:val="24"/>
          <w:highlight w:val="none"/>
        </w:rPr>
      </w:pPr>
    </w:p>
    <w:p>
      <w:pPr>
        <w:pStyle w:val="3"/>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法定代表人或委托代理</w:t>
      </w:r>
      <w:r>
        <w:rPr>
          <w:rFonts w:hint="eastAsia" w:ascii="宋体" w:hAnsi="宋体" w:eastAsia="宋体" w:cs="宋体"/>
          <w:color w:val="auto"/>
          <w:kern w:val="2"/>
          <w:sz w:val="24"/>
          <w:szCs w:val="24"/>
          <w:highlight w:val="none"/>
          <w:lang w:val="en-US" w:eastAsia="zh-CN"/>
        </w:rPr>
        <w:t>人</w:t>
      </w:r>
      <w:r>
        <w:rPr>
          <w:rFonts w:hint="eastAsia" w:ascii="宋体" w:hAnsi="宋体" w:eastAsia="宋体" w:cs="宋体"/>
          <w:color w:val="auto"/>
          <w:kern w:val="2"/>
          <w:sz w:val="24"/>
          <w:szCs w:val="24"/>
          <w:highlight w:val="none"/>
        </w:rPr>
        <w:t>(签/章):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3"/>
        <w:keepNext w:val="0"/>
        <w:keepLines w:val="0"/>
        <w:pageBreakBefore w:val="0"/>
        <w:widowControl w:val="0"/>
        <w:kinsoku/>
        <w:wordWrap/>
        <w:overflowPunct/>
        <w:topLinePunct w:val="0"/>
        <w:autoSpaceDE/>
        <w:autoSpaceDN/>
        <w:bidi w:val="0"/>
        <w:adjustRightInd/>
        <w:snapToGrid/>
        <w:spacing w:line="380" w:lineRule="atLeast"/>
        <w:ind w:left="1080" w:leftChars="257" w:hanging="540"/>
        <w:textAlignment w:val="auto"/>
        <w:rPr>
          <w:rFonts w:hint="eastAsia" w:ascii="宋体" w:hAnsi="宋体" w:eastAsia="宋体" w:cs="宋体"/>
          <w:color w:val="auto"/>
          <w:sz w:val="21"/>
          <w:szCs w:val="21"/>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注:1.如果供应商认为需要，每</w:t>
      </w:r>
      <w:r>
        <w:rPr>
          <w:rFonts w:hint="eastAsia" w:hAnsi="宋体" w:cs="宋体"/>
          <w:color w:val="auto"/>
          <w:sz w:val="24"/>
          <w:szCs w:val="24"/>
          <w:highlight w:val="none"/>
          <w:lang w:val="en-US" w:eastAsia="zh-CN"/>
        </w:rPr>
        <w:t>项服务</w:t>
      </w:r>
      <w:r>
        <w:rPr>
          <w:rFonts w:hint="eastAsia" w:ascii="宋体" w:hAnsi="宋体" w:eastAsia="宋体" w:cs="宋体"/>
          <w:color w:val="auto"/>
          <w:sz w:val="24"/>
          <w:szCs w:val="24"/>
          <w:highlight w:val="none"/>
        </w:rPr>
        <w:t>填写一份该表。</w:t>
      </w:r>
    </w:p>
    <w:p>
      <w:pPr>
        <w:pStyle w:val="13"/>
        <w:spacing w:line="400" w:lineRule="exact"/>
        <w:ind w:left="1079" w:leftChars="428" w:hanging="180" w:hangingChars="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2.如果按单价计算的结果与总价不一致,以单价为准修正总价。</w:t>
      </w:r>
    </w:p>
    <w:p>
      <w:pPr>
        <w:pStyle w:val="13"/>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3.如果不提供详细分项报价将视为没有实质性响应</w:t>
      </w:r>
      <w:r>
        <w:rPr>
          <w:rFonts w:hint="eastAsia" w:hAnsi="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w:t>
      </w:r>
    </w:p>
    <w:p>
      <w:pPr>
        <w:pStyle w:val="13"/>
        <w:spacing w:line="400" w:lineRule="exact"/>
        <w:ind w:left="1080" w:leftChars="257" w:hanging="54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4.上述各项的详细分项报价，应</w:t>
      </w:r>
      <w:r>
        <w:rPr>
          <w:rFonts w:hint="eastAsia" w:ascii="宋体" w:hAnsi="宋体" w:eastAsia="宋体" w:cs="宋体"/>
          <w:color w:val="auto"/>
          <w:sz w:val="24"/>
          <w:szCs w:val="24"/>
          <w:highlight w:val="none"/>
          <w:lang w:val="en-US" w:eastAsia="zh-CN"/>
        </w:rPr>
        <w:t>列明所有费用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还应包含税费、保险费企业合理利润及质保期内的所有可能产生的费用。上述所有费用明细均须列明且须合理，否则视为不合理报价，按无效报价文件处理。</w:t>
      </w:r>
    </w:p>
    <w:p>
      <w:pPr>
        <w:pStyle w:val="13"/>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5.如果</w:t>
      </w:r>
      <w:r>
        <w:rPr>
          <w:rFonts w:hint="eastAsia" w:hAnsi="宋体" w:cs="宋体"/>
          <w:color w:val="auto"/>
          <w:sz w:val="24"/>
          <w:szCs w:val="24"/>
          <w:highlight w:val="none"/>
          <w:lang w:val="en-US" w:eastAsia="zh-CN"/>
        </w:rPr>
        <w:t>报价一览表</w:t>
      </w:r>
      <w:r>
        <w:rPr>
          <w:rFonts w:hint="eastAsia" w:ascii="宋体" w:hAnsi="宋体" w:eastAsia="宋体" w:cs="宋体"/>
          <w:color w:val="auto"/>
          <w:sz w:val="24"/>
          <w:szCs w:val="24"/>
          <w:highlight w:val="none"/>
        </w:rPr>
        <w:t>内容与</w:t>
      </w:r>
      <w:r>
        <w:rPr>
          <w:rFonts w:hint="eastAsia" w:hAnsi="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中明细表内容不一致的，以</w:t>
      </w:r>
      <w:r>
        <w:rPr>
          <w:rFonts w:hint="eastAsia" w:hAnsi="宋体" w:cs="宋体"/>
          <w:color w:val="auto"/>
          <w:sz w:val="24"/>
          <w:szCs w:val="24"/>
          <w:highlight w:val="none"/>
          <w:lang w:val="en-US" w:eastAsia="zh-CN"/>
        </w:rPr>
        <w:t>开标一览表</w:t>
      </w:r>
      <w:r>
        <w:rPr>
          <w:rFonts w:hint="eastAsia" w:ascii="宋体" w:hAnsi="宋体" w:eastAsia="宋体" w:cs="宋体"/>
          <w:color w:val="auto"/>
          <w:sz w:val="24"/>
          <w:szCs w:val="24"/>
          <w:highlight w:val="none"/>
        </w:rPr>
        <w:t>内容为准。</w:t>
      </w:r>
    </w:p>
    <w:p>
      <w:pPr>
        <w:pStyle w:val="13"/>
        <w:spacing w:line="400" w:lineRule="exact"/>
        <w:ind w:firstLine="960" w:firstLineChars="400"/>
        <w:rPr>
          <w:rFonts w:hint="default" w:ascii="宋体" w:hAnsi="宋体" w:eastAsia="宋体" w:cs="宋体"/>
          <w:color w:val="auto"/>
          <w:sz w:val="21"/>
          <w:szCs w:val="21"/>
          <w:highlight w:val="none"/>
          <w:lang w:val="en-US"/>
        </w:rPr>
      </w:pPr>
      <w:r>
        <w:rPr>
          <w:rFonts w:hint="eastAsia" w:hAnsi="宋体" w:cs="宋体"/>
          <w:color w:val="auto"/>
          <w:sz w:val="24"/>
          <w:szCs w:val="24"/>
          <w:highlight w:val="none"/>
          <w:lang w:val="en-US" w:eastAsia="zh-CN"/>
        </w:rPr>
        <w:t>6.此表可根据报价需求调整，内容只可增加不可删减。</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rPr>
          <w:rFonts w:hint="eastAsia" w:ascii="宋体" w:hAnsi="宋体" w:eastAsia="宋体" w:cs="宋体"/>
          <w:color w:val="auto"/>
          <w:sz w:val="28"/>
          <w:szCs w:val="28"/>
          <w:highlight w:val="none"/>
          <w:lang w:val="en-US" w:eastAsia="zh-CN"/>
        </w:rPr>
      </w:pPr>
      <w:bookmarkStart w:id="1175" w:name="_Toc20164"/>
      <w:r>
        <w:rPr>
          <w:rFonts w:hint="eastAsia" w:ascii="宋体" w:hAnsi="宋体" w:eastAsia="宋体" w:cs="宋体"/>
          <w:color w:val="auto"/>
          <w:sz w:val="28"/>
          <w:szCs w:val="28"/>
          <w:highlight w:val="none"/>
          <w:lang w:val="en-US" w:eastAsia="zh-CN"/>
        </w:rPr>
        <w:t>3.服务说明一览表</w:t>
      </w:r>
      <w:bookmarkEnd w:id="1175"/>
    </w:p>
    <w:p>
      <w:pPr>
        <w:pStyle w:val="13"/>
        <w:spacing w:line="360" w:lineRule="exact"/>
        <w:ind w:left="1080" w:leftChars="257" w:hanging="54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eastAsia="zh-CN"/>
        </w:rPr>
        <w:t>项目编号</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hAnsi="宋体" w:cs="宋体"/>
          <w:color w:val="auto"/>
          <w:sz w:val="24"/>
          <w:szCs w:val="24"/>
          <w:highlight w:val="none"/>
          <w:lang w:val="en-US" w:eastAsia="zh-CN"/>
        </w:rPr>
        <w:t>包号：</w:t>
      </w:r>
      <w:r>
        <w:rPr>
          <w:rFonts w:hint="eastAsia" w:ascii="宋体" w:hAnsi="宋体" w:eastAsia="宋体" w:cs="宋体"/>
          <w:color w:val="auto"/>
          <w:sz w:val="24"/>
          <w:highlight w:val="none"/>
        </w:rPr>
        <w:t xml:space="preserve">                             </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686"/>
        <w:gridCol w:w="1409"/>
        <w:gridCol w:w="1489"/>
        <w:gridCol w:w="1110"/>
        <w:gridCol w:w="1316"/>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19" w:type="pct"/>
          </w:tcPr>
          <w:p>
            <w:pPr>
              <w:pStyle w:val="13"/>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992" w:type="pct"/>
          </w:tcPr>
          <w:p>
            <w:pPr>
              <w:pStyle w:val="13"/>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829" w:type="pct"/>
          </w:tcPr>
          <w:p>
            <w:pPr>
              <w:pStyle w:val="13"/>
              <w:spacing w:line="36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主要</w:t>
            </w:r>
            <w:r>
              <w:rPr>
                <w:rFonts w:hint="eastAsia" w:hAnsi="宋体" w:cs="宋体"/>
                <w:color w:val="auto"/>
                <w:sz w:val="24"/>
                <w:highlight w:val="none"/>
                <w:lang w:val="en-US" w:eastAsia="zh-CN"/>
              </w:rPr>
              <w:t>内容</w:t>
            </w:r>
          </w:p>
        </w:tc>
        <w:tc>
          <w:tcPr>
            <w:tcW w:w="876" w:type="pct"/>
          </w:tcPr>
          <w:p>
            <w:pPr>
              <w:pStyle w:val="13"/>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653" w:type="pct"/>
          </w:tcPr>
          <w:p>
            <w:pPr>
              <w:pStyle w:val="13"/>
              <w:spacing w:line="36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交</w:t>
            </w:r>
            <w:r>
              <w:rPr>
                <w:rFonts w:hint="eastAsia" w:hAnsi="宋体" w:cs="宋体"/>
                <w:color w:val="auto"/>
                <w:sz w:val="24"/>
                <w:highlight w:val="none"/>
                <w:lang w:val="en-US" w:eastAsia="zh-CN"/>
              </w:rPr>
              <w:t>付</w:t>
            </w:r>
            <w:r>
              <w:rPr>
                <w:rFonts w:hint="eastAsia" w:ascii="宋体" w:hAnsi="宋体" w:eastAsia="宋体" w:cs="宋体"/>
                <w:color w:val="auto"/>
                <w:sz w:val="24"/>
                <w:highlight w:val="none"/>
                <w:lang w:val="en-US" w:eastAsia="zh-CN"/>
              </w:rPr>
              <w:t>期</w:t>
            </w:r>
          </w:p>
        </w:tc>
        <w:tc>
          <w:tcPr>
            <w:tcW w:w="774" w:type="pct"/>
          </w:tcPr>
          <w:p>
            <w:pPr>
              <w:pStyle w:val="13"/>
              <w:spacing w:line="3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交</w:t>
            </w:r>
            <w:r>
              <w:rPr>
                <w:rFonts w:hint="eastAsia" w:hAnsi="宋体" w:cs="宋体"/>
                <w:color w:val="auto"/>
                <w:sz w:val="24"/>
                <w:highlight w:val="none"/>
                <w:lang w:val="en-US" w:eastAsia="zh-CN"/>
              </w:rPr>
              <w:t>付</w:t>
            </w:r>
            <w:r>
              <w:rPr>
                <w:rFonts w:hint="eastAsia" w:ascii="宋体" w:hAnsi="宋体" w:eastAsia="宋体" w:cs="宋体"/>
                <w:color w:val="auto"/>
                <w:sz w:val="24"/>
                <w:highlight w:val="none"/>
                <w:lang w:val="en-US" w:eastAsia="zh-CN"/>
              </w:rPr>
              <w:t>地点</w:t>
            </w:r>
          </w:p>
        </w:tc>
        <w:tc>
          <w:tcPr>
            <w:tcW w:w="453" w:type="pct"/>
          </w:tcPr>
          <w:p>
            <w:pPr>
              <w:pStyle w:val="13"/>
              <w:spacing w:line="36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19" w:type="pct"/>
          </w:tcPr>
          <w:p>
            <w:pPr>
              <w:pStyle w:val="13"/>
              <w:spacing w:line="360" w:lineRule="exact"/>
              <w:ind w:left="1080" w:leftChars="257" w:hanging="540"/>
              <w:rPr>
                <w:rFonts w:hint="eastAsia" w:ascii="宋体" w:hAnsi="宋体" w:eastAsia="宋体" w:cs="宋体"/>
                <w:color w:val="auto"/>
                <w:sz w:val="24"/>
                <w:highlight w:val="none"/>
              </w:rPr>
            </w:pPr>
          </w:p>
        </w:tc>
        <w:tc>
          <w:tcPr>
            <w:tcW w:w="992" w:type="pct"/>
          </w:tcPr>
          <w:p>
            <w:pPr>
              <w:pStyle w:val="13"/>
              <w:spacing w:line="360" w:lineRule="exact"/>
              <w:ind w:left="1080" w:leftChars="257" w:hanging="540"/>
              <w:rPr>
                <w:rFonts w:hint="eastAsia" w:ascii="宋体" w:hAnsi="宋体" w:eastAsia="宋体" w:cs="宋体"/>
                <w:color w:val="auto"/>
                <w:sz w:val="24"/>
                <w:highlight w:val="none"/>
              </w:rPr>
            </w:pPr>
          </w:p>
        </w:tc>
        <w:tc>
          <w:tcPr>
            <w:tcW w:w="829" w:type="pct"/>
          </w:tcPr>
          <w:p>
            <w:pPr>
              <w:pStyle w:val="13"/>
              <w:spacing w:line="360" w:lineRule="exact"/>
              <w:ind w:left="1080" w:leftChars="257" w:hanging="540"/>
              <w:rPr>
                <w:rFonts w:hint="eastAsia" w:ascii="宋体" w:hAnsi="宋体" w:eastAsia="宋体" w:cs="宋体"/>
                <w:color w:val="auto"/>
                <w:sz w:val="24"/>
                <w:highlight w:val="none"/>
              </w:rPr>
            </w:pPr>
          </w:p>
        </w:tc>
        <w:tc>
          <w:tcPr>
            <w:tcW w:w="876" w:type="pct"/>
          </w:tcPr>
          <w:p>
            <w:pPr>
              <w:pStyle w:val="13"/>
              <w:spacing w:line="360" w:lineRule="exact"/>
              <w:ind w:left="1080" w:leftChars="257" w:hanging="540"/>
              <w:rPr>
                <w:rFonts w:hint="eastAsia" w:ascii="宋体" w:hAnsi="宋体" w:eastAsia="宋体" w:cs="宋体"/>
                <w:color w:val="auto"/>
                <w:sz w:val="24"/>
                <w:highlight w:val="none"/>
              </w:rPr>
            </w:pPr>
          </w:p>
        </w:tc>
        <w:tc>
          <w:tcPr>
            <w:tcW w:w="653" w:type="pct"/>
          </w:tcPr>
          <w:p>
            <w:pPr>
              <w:pStyle w:val="13"/>
              <w:spacing w:line="360" w:lineRule="exact"/>
              <w:ind w:left="1080" w:leftChars="257" w:hanging="540"/>
              <w:rPr>
                <w:rFonts w:hint="eastAsia" w:ascii="宋体" w:hAnsi="宋体" w:eastAsia="宋体" w:cs="宋体"/>
                <w:color w:val="auto"/>
                <w:sz w:val="24"/>
                <w:highlight w:val="none"/>
              </w:rPr>
            </w:pPr>
          </w:p>
        </w:tc>
        <w:tc>
          <w:tcPr>
            <w:tcW w:w="774" w:type="pct"/>
          </w:tcPr>
          <w:p>
            <w:pPr>
              <w:pStyle w:val="13"/>
              <w:spacing w:line="360" w:lineRule="exact"/>
              <w:ind w:left="1080" w:leftChars="257" w:hanging="540"/>
              <w:rPr>
                <w:rFonts w:hint="eastAsia" w:ascii="宋体" w:hAnsi="宋体" w:eastAsia="宋体" w:cs="宋体"/>
                <w:color w:val="auto"/>
                <w:sz w:val="24"/>
                <w:highlight w:val="none"/>
              </w:rPr>
            </w:pPr>
          </w:p>
        </w:tc>
        <w:tc>
          <w:tcPr>
            <w:tcW w:w="453" w:type="pct"/>
          </w:tcPr>
          <w:p>
            <w:pPr>
              <w:pStyle w:val="13"/>
              <w:spacing w:line="360" w:lineRule="exact"/>
              <w:ind w:left="1080" w:leftChars="257" w:hanging="540"/>
              <w:rPr>
                <w:rFonts w:hint="eastAsia" w:ascii="宋体" w:hAnsi="宋体" w:eastAsia="宋体" w:cs="宋体"/>
                <w:color w:val="auto"/>
                <w:sz w:val="24"/>
                <w:highlight w:val="none"/>
              </w:rPr>
            </w:pPr>
          </w:p>
        </w:tc>
      </w:tr>
    </w:tbl>
    <w:p>
      <w:pPr>
        <w:pStyle w:val="13"/>
        <w:spacing w:line="360" w:lineRule="exact"/>
        <w:ind w:left="1080" w:leftChars="257" w:hanging="540"/>
        <w:rPr>
          <w:rFonts w:hint="eastAsia" w:ascii="宋体" w:hAnsi="宋体" w:eastAsia="宋体" w:cs="宋体"/>
          <w:color w:val="auto"/>
          <w:sz w:val="24"/>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p>
    <w:p>
      <w:pPr>
        <w:pStyle w:val="3"/>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法定代表人或委托代理</w:t>
      </w:r>
      <w:r>
        <w:rPr>
          <w:rFonts w:hint="eastAsia" w:ascii="宋体" w:hAnsi="宋体" w:eastAsia="宋体" w:cs="宋体"/>
          <w:color w:val="auto"/>
          <w:kern w:val="2"/>
          <w:sz w:val="24"/>
          <w:szCs w:val="24"/>
          <w:highlight w:val="none"/>
          <w:lang w:val="en-US" w:eastAsia="zh-CN"/>
        </w:rPr>
        <w:t>人</w:t>
      </w:r>
      <w:r>
        <w:rPr>
          <w:rFonts w:hint="eastAsia" w:ascii="宋体" w:hAnsi="宋体" w:eastAsia="宋体" w:cs="宋体"/>
          <w:color w:val="auto"/>
          <w:kern w:val="2"/>
          <w:sz w:val="24"/>
          <w:szCs w:val="24"/>
          <w:highlight w:val="none"/>
        </w:rPr>
        <w:t>(签/章):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日期 ：</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3"/>
        <w:spacing w:line="400" w:lineRule="exact"/>
        <w:ind w:left="1080" w:leftChars="257" w:hanging="540"/>
        <w:rPr>
          <w:rFonts w:hint="eastAsia" w:ascii="宋体" w:hAnsi="宋体" w:eastAsia="宋体" w:cs="宋体"/>
          <w:b/>
          <w:bCs/>
          <w:color w:val="auto"/>
          <w:sz w:val="22"/>
          <w:szCs w:val="22"/>
          <w:highlight w:val="none"/>
          <w:lang w:eastAsia="zh-CN"/>
        </w:rPr>
      </w:pPr>
      <w:r>
        <w:rPr>
          <w:rFonts w:hint="eastAsia" w:ascii="宋体" w:hAnsi="宋体" w:eastAsia="宋体" w:cs="宋体"/>
          <w:color w:val="auto"/>
          <w:sz w:val="24"/>
          <w:szCs w:val="24"/>
          <w:highlight w:val="none"/>
        </w:rPr>
        <w:t>注: 各项</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详细技术性能应另页描述</w:t>
      </w:r>
      <w:r>
        <w:rPr>
          <w:rFonts w:hint="eastAsia" w:ascii="宋体" w:hAnsi="宋体" w:eastAsia="宋体" w:cs="宋体"/>
          <w:color w:val="auto"/>
          <w:sz w:val="24"/>
          <w:szCs w:val="24"/>
          <w:highlight w:val="none"/>
          <w:lang w:eastAsia="zh-CN"/>
        </w:rPr>
        <w:t>。</w:t>
      </w:r>
    </w:p>
    <w:p>
      <w:pPr>
        <w:pStyle w:val="13"/>
        <w:spacing w:line="240" w:lineRule="atLeast"/>
        <w:ind w:left="1080" w:leftChars="257" w:hanging="540"/>
        <w:jc w:val="center"/>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color w:val="auto"/>
          <w:sz w:val="24"/>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pStyle w:val="13"/>
        <w:spacing w:line="240" w:lineRule="atLeast"/>
        <w:rPr>
          <w:rFonts w:hint="eastAsia" w:ascii="宋体" w:hAnsi="宋体" w:eastAsia="宋体" w:cs="宋体"/>
          <w:b/>
          <w:bCs/>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bookmarkEnd w:id="1171"/>
    <w:bookmarkEnd w:id="1172"/>
    <w:bookmarkEnd w:id="1173"/>
    <w:bookmarkEnd w:id="1174"/>
    <w:p>
      <w:pPr>
        <w:spacing w:before="0" w:line="240" w:lineRule="atLeast"/>
        <w:ind w:left="1378" w:leftChars="656" w:firstLine="1242" w:firstLineChars="442"/>
        <w:jc w:val="both"/>
        <w:outlineLvl w:val="1"/>
        <w:rPr>
          <w:rFonts w:hint="eastAsia" w:ascii="宋体" w:hAnsi="宋体" w:eastAsia="宋体" w:cs="宋体"/>
          <w:b/>
          <w:color w:val="auto"/>
          <w:kern w:val="0"/>
          <w:sz w:val="28"/>
          <w:szCs w:val="28"/>
          <w:highlight w:val="none"/>
          <w:u w:val="none"/>
          <w:lang w:val="en-US" w:eastAsia="zh-CN" w:bidi="ar-SA"/>
        </w:rPr>
      </w:pPr>
      <w:bookmarkStart w:id="1176" w:name="_Toc27161"/>
      <w:bookmarkStart w:id="1177" w:name="_Toc18632"/>
      <w:bookmarkStart w:id="1178" w:name="_Toc216582818"/>
      <w:bookmarkStart w:id="1179" w:name="_Toc515647821"/>
      <w:bookmarkStart w:id="1180" w:name="_Toc31439"/>
      <w:bookmarkStart w:id="1181" w:name="_Toc23"/>
      <w:bookmarkStart w:id="1182" w:name="_Toc1980"/>
      <w:r>
        <w:rPr>
          <w:rFonts w:hint="eastAsia" w:ascii="宋体" w:hAnsi="宋体" w:eastAsia="宋体" w:cs="宋体"/>
          <w:b/>
          <w:color w:val="auto"/>
          <w:kern w:val="0"/>
          <w:sz w:val="28"/>
          <w:szCs w:val="28"/>
          <w:highlight w:val="none"/>
          <w:u w:val="none"/>
          <w:lang w:val="en-US" w:eastAsia="zh-CN" w:bidi="ar-SA"/>
        </w:rPr>
        <w:t>4.技术规格偏离表</w:t>
      </w:r>
      <w:bookmarkEnd w:id="1176"/>
      <w:bookmarkEnd w:id="1177"/>
    </w:p>
    <w:p>
      <w:pPr>
        <w:pStyle w:val="13"/>
        <w:spacing w:line="240" w:lineRule="atLeast"/>
        <w:ind w:left="1080" w:leftChars="257" w:hanging="540"/>
        <w:rPr>
          <w:rFonts w:hint="eastAsia" w:ascii="宋体" w:hAnsi="宋体" w:eastAsia="宋体" w:cs="宋体"/>
          <w:color w:val="auto"/>
          <w:sz w:val="24"/>
          <w:highlight w:val="none"/>
        </w:rPr>
      </w:pPr>
    </w:p>
    <w:p>
      <w:pPr>
        <w:pStyle w:val="13"/>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包号：</w:t>
      </w:r>
      <w:r>
        <w:rPr>
          <w:rFonts w:hint="eastAsia" w:ascii="宋体" w:hAnsi="宋体" w:eastAsia="宋体" w:cs="宋体"/>
          <w:color w:val="auto"/>
          <w:sz w:val="24"/>
          <w:szCs w:val="24"/>
          <w:highlight w:val="none"/>
        </w:rPr>
        <w:t xml:space="preserve">    </w:t>
      </w:r>
    </w:p>
    <w:tbl>
      <w:tblPr>
        <w:tblStyle w:val="2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30" w:type="dxa"/>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2472" w:type="dxa"/>
            <w:vAlign w:val="center"/>
          </w:tcPr>
          <w:p>
            <w:pPr>
              <w:pStyle w:val="13"/>
              <w:spacing w:line="400" w:lineRule="exact"/>
              <w:ind w:left="269" w:leftChars="128"/>
              <w:jc w:val="center"/>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条款号</w:t>
            </w:r>
          </w:p>
        </w:tc>
        <w:tc>
          <w:tcPr>
            <w:tcW w:w="1331" w:type="dxa"/>
            <w:vAlign w:val="center"/>
          </w:tcPr>
          <w:p>
            <w:pPr>
              <w:pStyle w:val="13"/>
              <w:spacing w:line="400" w:lineRule="exact"/>
              <w:jc w:val="center"/>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招标要求</w:t>
            </w:r>
          </w:p>
        </w:tc>
        <w:tc>
          <w:tcPr>
            <w:tcW w:w="1331" w:type="dxa"/>
            <w:vAlign w:val="center"/>
          </w:tcPr>
          <w:p>
            <w:pPr>
              <w:pStyle w:val="13"/>
              <w:spacing w:line="400" w:lineRule="exact"/>
              <w:jc w:val="center"/>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投标响应</w:t>
            </w:r>
          </w:p>
        </w:tc>
        <w:tc>
          <w:tcPr>
            <w:tcW w:w="950" w:type="dxa"/>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951" w:type="dxa"/>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75"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2472"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1331"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0" w:type="dxa"/>
          </w:tcPr>
          <w:p>
            <w:pPr>
              <w:pStyle w:val="13"/>
              <w:spacing w:line="400" w:lineRule="exact"/>
              <w:ind w:left="1080" w:leftChars="257" w:hanging="540"/>
              <w:rPr>
                <w:rFonts w:hint="eastAsia" w:ascii="宋体" w:hAnsi="宋体" w:eastAsia="宋体" w:cs="宋体"/>
                <w:color w:val="auto"/>
                <w:sz w:val="24"/>
                <w:szCs w:val="24"/>
                <w:highlight w:val="none"/>
              </w:rPr>
            </w:pPr>
          </w:p>
        </w:tc>
        <w:tc>
          <w:tcPr>
            <w:tcW w:w="951" w:type="dxa"/>
          </w:tcPr>
          <w:p>
            <w:pPr>
              <w:pStyle w:val="13"/>
              <w:spacing w:line="400" w:lineRule="exact"/>
              <w:ind w:left="1080" w:leftChars="257" w:hanging="540"/>
              <w:rPr>
                <w:rFonts w:hint="eastAsia" w:ascii="宋体" w:hAnsi="宋体" w:eastAsia="宋体" w:cs="宋体"/>
                <w:color w:val="auto"/>
                <w:sz w:val="24"/>
                <w:szCs w:val="24"/>
                <w:highlight w:val="none"/>
              </w:rPr>
            </w:pPr>
          </w:p>
        </w:tc>
      </w:tr>
    </w:tbl>
    <w:p>
      <w:pPr>
        <w:pStyle w:val="13"/>
        <w:spacing w:line="400" w:lineRule="exact"/>
        <w:ind w:left="1080" w:leftChars="257" w:hanging="540"/>
        <w:rPr>
          <w:rFonts w:hint="eastAsia" w:ascii="宋体" w:hAnsi="宋体" w:eastAsia="宋体" w:cs="宋体"/>
          <w:color w:val="auto"/>
          <w:sz w:val="24"/>
          <w:szCs w:val="24"/>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p>
    <w:p>
      <w:pPr>
        <w:pStyle w:val="3"/>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法定代表人或委托代理</w:t>
      </w:r>
      <w:r>
        <w:rPr>
          <w:rFonts w:hint="eastAsia" w:ascii="宋体" w:hAnsi="宋体" w:eastAsia="宋体" w:cs="宋体"/>
          <w:color w:val="auto"/>
          <w:kern w:val="2"/>
          <w:sz w:val="24"/>
          <w:szCs w:val="24"/>
          <w:highlight w:val="none"/>
          <w:lang w:val="en-US" w:eastAsia="zh-CN"/>
        </w:rPr>
        <w:t>人</w:t>
      </w:r>
      <w:r>
        <w:rPr>
          <w:rFonts w:hint="eastAsia" w:ascii="宋体" w:hAnsi="宋体" w:eastAsia="宋体" w:cs="宋体"/>
          <w:color w:val="auto"/>
          <w:kern w:val="2"/>
          <w:sz w:val="24"/>
          <w:szCs w:val="24"/>
          <w:highlight w:val="none"/>
        </w:rPr>
        <w:t>(签/章):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rPr>
          <w:rFonts w:hint="eastAsia" w:ascii="宋体" w:hAnsi="宋体" w:eastAsia="宋体" w:cs="宋体"/>
          <w:color w:val="auto"/>
          <w:sz w:val="28"/>
          <w:szCs w:val="28"/>
          <w:highlight w:val="none"/>
        </w:rPr>
      </w:pPr>
      <w:bookmarkStart w:id="1183" w:name="_Toc12914"/>
      <w:bookmarkStart w:id="1184" w:name="_Toc22109"/>
      <w:bookmarkStart w:id="1185" w:name="_Toc14887"/>
      <w:r>
        <w:rPr>
          <w:rFonts w:hint="eastAsia" w:ascii="宋体" w:hAnsi="宋体" w:eastAsia="宋体" w:cs="宋体"/>
          <w:color w:val="auto"/>
          <w:sz w:val="28"/>
          <w:szCs w:val="28"/>
          <w:highlight w:val="none"/>
        </w:rPr>
        <w:br w:type="page"/>
      </w:r>
    </w:p>
    <w:bookmarkEnd w:id="1178"/>
    <w:bookmarkEnd w:id="1179"/>
    <w:bookmarkEnd w:id="1180"/>
    <w:bookmarkEnd w:id="1181"/>
    <w:bookmarkEnd w:id="1182"/>
    <w:bookmarkEnd w:id="1183"/>
    <w:bookmarkEnd w:id="1184"/>
    <w:bookmarkEnd w:id="1185"/>
    <w:p>
      <w:pPr>
        <w:pStyle w:val="6"/>
        <w:keepNext/>
        <w:keepLines/>
        <w:pageBreakBefore w:val="0"/>
        <w:widowControl w:val="0"/>
        <w:kinsoku/>
        <w:wordWrap/>
        <w:overflowPunct/>
        <w:topLinePunct w:val="0"/>
        <w:autoSpaceDE w:val="0"/>
        <w:autoSpaceDN w:val="0"/>
        <w:bidi w:val="0"/>
        <w:adjustRightInd w:val="0"/>
        <w:snapToGrid/>
        <w:spacing w:before="0" w:line="440" w:lineRule="exact"/>
        <w:jc w:val="center"/>
        <w:textAlignment w:val="auto"/>
        <w:rPr>
          <w:rFonts w:hint="eastAsia" w:ascii="宋体" w:hAnsi="宋体" w:eastAsia="宋体" w:cs="宋体"/>
          <w:color w:val="auto"/>
          <w:sz w:val="28"/>
          <w:szCs w:val="28"/>
          <w:highlight w:val="none"/>
          <w:lang w:val="en-US" w:eastAsia="zh-CN"/>
        </w:rPr>
      </w:pPr>
      <w:bookmarkStart w:id="1186" w:name="_Toc28629"/>
      <w:r>
        <w:rPr>
          <w:rFonts w:hint="eastAsia" w:ascii="宋体" w:hAnsi="宋体" w:eastAsia="宋体" w:cs="宋体"/>
          <w:color w:val="auto"/>
          <w:sz w:val="28"/>
          <w:szCs w:val="28"/>
          <w:highlight w:val="none"/>
          <w:lang w:val="en-US" w:eastAsia="zh-CN"/>
        </w:rPr>
        <w:t>5.商务条款偏离表</w:t>
      </w:r>
      <w:bookmarkEnd w:id="1186"/>
    </w:p>
    <w:p>
      <w:pPr>
        <w:pStyle w:val="13"/>
        <w:spacing w:line="40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r>
        <w:rPr>
          <w:rFonts w:hint="eastAsia" w:hAnsi="宋体" w:cs="宋体"/>
          <w:color w:val="auto"/>
          <w:sz w:val="24"/>
          <w:szCs w:val="24"/>
          <w:highlight w:val="none"/>
          <w:lang w:val="en-US" w:eastAsia="zh-CN"/>
        </w:rPr>
        <w:t>包号：</w:t>
      </w:r>
    </w:p>
    <w:tbl>
      <w:tblPr>
        <w:tblStyle w:val="25"/>
        <w:tblW w:w="55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032"/>
        <w:gridCol w:w="2546"/>
        <w:gridCol w:w="2546"/>
        <w:gridCol w:w="74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85" w:type="pct"/>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1360" w:type="pct"/>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招标文件的商务条款</w:t>
            </w:r>
          </w:p>
        </w:tc>
        <w:tc>
          <w:tcPr>
            <w:tcW w:w="1360" w:type="pct"/>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投标文件的商务条款</w:t>
            </w:r>
          </w:p>
        </w:tc>
        <w:tc>
          <w:tcPr>
            <w:tcW w:w="398" w:type="pct"/>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398" w:type="pct"/>
            <w:vAlign w:val="center"/>
          </w:tcPr>
          <w:p>
            <w:pPr>
              <w:pStyle w:val="13"/>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jc w:val="center"/>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jc w:val="center"/>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6"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085"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1360"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c>
          <w:tcPr>
            <w:tcW w:w="398" w:type="pct"/>
          </w:tcPr>
          <w:p>
            <w:pPr>
              <w:pStyle w:val="13"/>
              <w:spacing w:line="400" w:lineRule="exact"/>
              <w:ind w:left="1080" w:leftChars="257" w:hanging="540"/>
              <w:rPr>
                <w:rFonts w:hint="eastAsia" w:ascii="宋体" w:hAnsi="宋体" w:eastAsia="宋体" w:cs="宋体"/>
                <w:color w:val="auto"/>
                <w:sz w:val="24"/>
                <w:szCs w:val="24"/>
                <w:highlight w:val="none"/>
              </w:rPr>
            </w:pPr>
          </w:p>
        </w:tc>
      </w:tr>
    </w:tbl>
    <w:p>
      <w:pPr>
        <w:pStyle w:val="13"/>
        <w:spacing w:line="400" w:lineRule="exact"/>
        <w:ind w:left="1080" w:leftChars="257" w:hanging="540"/>
        <w:rPr>
          <w:rFonts w:hint="eastAsia" w:ascii="宋体" w:hAnsi="宋体" w:eastAsia="宋体" w:cs="宋体"/>
          <w:color w:val="auto"/>
          <w:sz w:val="24"/>
          <w:szCs w:val="24"/>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p>
    <w:p>
      <w:pPr>
        <w:pStyle w:val="13"/>
        <w:spacing w:line="400" w:lineRule="exact"/>
        <w:ind w:left="1080" w:leftChars="257" w:hanging="540"/>
        <w:rPr>
          <w:rFonts w:hint="eastAsia" w:ascii="宋体" w:hAnsi="宋体" w:eastAsia="宋体" w:cs="宋体"/>
          <w:color w:val="auto"/>
          <w:sz w:val="24"/>
          <w:szCs w:val="24"/>
          <w:highlight w:val="none"/>
        </w:rPr>
      </w:pPr>
    </w:p>
    <w:p>
      <w:pPr>
        <w:pStyle w:val="3"/>
        <w:spacing w:line="360" w:lineRule="exact"/>
        <w:ind w:firstLine="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eastAsia="zh-CN"/>
        </w:rPr>
        <w:t>供应商</w:t>
      </w:r>
      <w:r>
        <w:rPr>
          <w:rFonts w:hint="eastAsia" w:ascii="宋体" w:hAnsi="宋体" w:eastAsia="宋体" w:cs="宋体"/>
          <w:color w:val="auto"/>
          <w:kern w:val="2"/>
          <w:sz w:val="24"/>
          <w:szCs w:val="24"/>
          <w:highlight w:val="none"/>
        </w:rPr>
        <w:t>名称（</w:t>
      </w:r>
      <w:r>
        <w:rPr>
          <w:rFonts w:hint="eastAsia" w:ascii="宋体" w:hAnsi="宋体" w:eastAsia="宋体" w:cs="宋体"/>
          <w:color w:val="auto"/>
          <w:kern w:val="2"/>
          <w:sz w:val="24"/>
          <w:szCs w:val="24"/>
          <w:highlight w:val="none"/>
          <w:lang w:eastAsia="zh-CN"/>
        </w:rPr>
        <w:t>公章</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法定代表人或委托代理</w:t>
      </w:r>
      <w:r>
        <w:rPr>
          <w:rFonts w:hint="eastAsia" w:ascii="宋体" w:hAnsi="宋体" w:eastAsia="宋体" w:cs="宋体"/>
          <w:color w:val="auto"/>
          <w:kern w:val="2"/>
          <w:sz w:val="24"/>
          <w:szCs w:val="24"/>
          <w:highlight w:val="none"/>
          <w:lang w:val="en-US" w:eastAsia="zh-CN"/>
        </w:rPr>
        <w:t>人</w:t>
      </w:r>
      <w:r>
        <w:rPr>
          <w:rFonts w:hint="eastAsia" w:ascii="宋体" w:hAnsi="宋体" w:eastAsia="宋体" w:cs="宋体"/>
          <w:color w:val="auto"/>
          <w:kern w:val="2"/>
          <w:sz w:val="24"/>
          <w:szCs w:val="24"/>
          <w:highlight w:val="none"/>
        </w:rPr>
        <w:t>(签/章):</w:t>
      </w:r>
      <w:r>
        <w:rPr>
          <w:rFonts w:hint="eastAsia" w:ascii="宋体" w:hAnsi="宋体" w:eastAsia="宋体" w:cs="宋体"/>
          <w:color w:val="auto"/>
          <w:kern w:val="2"/>
          <w:sz w:val="24"/>
          <w:szCs w:val="24"/>
          <w:highlight w:val="none"/>
          <w:u w:val="single"/>
        </w:rPr>
        <w:tab/>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pStyle w:val="3"/>
        <w:spacing w:line="360" w:lineRule="exact"/>
        <w:ind w:firstLine="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 xml:space="preserve">                                  </w:t>
      </w:r>
      <w:r>
        <w:rPr>
          <w:rFonts w:hint="eastAsia" w:ascii="宋体" w:hAnsi="宋体" w:eastAsia="宋体" w:cs="宋体"/>
          <w:color w:val="auto"/>
          <w:kern w:val="2"/>
          <w:sz w:val="24"/>
          <w:szCs w:val="24"/>
          <w:highlight w:val="none"/>
        </w:rPr>
        <w:t xml:space="preserve">   </w:t>
      </w: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pStyle w:val="13"/>
        <w:tabs>
          <w:tab w:val="left" w:pos="5370"/>
        </w:tabs>
        <w:spacing w:line="400" w:lineRule="exact"/>
        <w:ind w:left="1080" w:leftChars="257" w:hanging="540"/>
        <w:rPr>
          <w:rFonts w:hint="eastAsia" w:ascii="宋体" w:hAnsi="宋体" w:eastAsia="宋体" w:cs="宋体"/>
          <w:color w:val="auto"/>
          <w:sz w:val="24"/>
          <w:szCs w:val="24"/>
          <w:highlight w:val="none"/>
          <w:u w:val="single"/>
        </w:rPr>
      </w:pPr>
    </w:p>
    <w:p>
      <w:pPr>
        <w:rPr>
          <w:rFonts w:hint="eastAsia" w:ascii="宋体" w:hAnsi="宋体" w:eastAsia="宋体" w:cs="宋体"/>
          <w:color w:val="auto"/>
          <w:sz w:val="24"/>
          <w:szCs w:val="24"/>
          <w:highlight w:val="none"/>
        </w:rPr>
      </w:pPr>
      <w:bookmarkStart w:id="1187" w:name="_Toc25797"/>
      <w:bookmarkStart w:id="1188" w:name="_Toc31694"/>
      <w:bookmarkStart w:id="1189" w:name="_Toc515647823"/>
      <w:bookmarkStart w:id="1190" w:name="_Toc21312"/>
      <w:bookmarkStart w:id="1191" w:name="_Toc27043"/>
      <w:bookmarkStart w:id="1192" w:name="_Toc10725"/>
      <w:bookmarkStart w:id="1193" w:name="_Toc17820"/>
      <w:r>
        <w:rPr>
          <w:rFonts w:hint="eastAsia" w:ascii="宋体" w:hAnsi="宋体" w:eastAsia="宋体" w:cs="宋体"/>
          <w:color w:val="auto"/>
          <w:sz w:val="24"/>
          <w:szCs w:val="24"/>
          <w:highlight w:val="none"/>
        </w:rPr>
        <w:br w:type="page"/>
      </w:r>
    </w:p>
    <w:bookmarkEnd w:id="1187"/>
    <w:bookmarkEnd w:id="1188"/>
    <w:bookmarkEnd w:id="1189"/>
    <w:bookmarkEnd w:id="1190"/>
    <w:bookmarkEnd w:id="1191"/>
    <w:bookmarkEnd w:id="1192"/>
    <w:bookmarkEnd w:id="1193"/>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194" w:name="_Toc31764"/>
      <w:bookmarkStart w:id="1195" w:name="_Toc11803"/>
      <w:bookmarkStart w:id="1196" w:name="_Toc515647824"/>
      <w:bookmarkStart w:id="1197" w:name="_Toc21610"/>
      <w:bookmarkStart w:id="1198" w:name="_Toc11343"/>
      <w:bookmarkStart w:id="1199" w:name="_Toc2709"/>
      <w:bookmarkStart w:id="1200" w:name="_Toc10977"/>
      <w:bookmarkStart w:id="1201" w:name="_Toc9687"/>
      <w:r>
        <w:rPr>
          <w:rFonts w:hint="eastAsia" w:ascii="宋体" w:hAnsi="宋体" w:eastAsia="宋体" w:cs="宋体"/>
          <w:color w:val="auto"/>
          <w:sz w:val="28"/>
          <w:szCs w:val="28"/>
          <w:highlight w:val="none"/>
          <w:lang w:val="en-US" w:eastAsia="zh-CN"/>
        </w:rPr>
        <w:t>6-1中小企业声明函</w:t>
      </w:r>
      <w:bookmarkEnd w:id="1194"/>
    </w:p>
    <w:bookmarkEnd w:id="1195"/>
    <w:bookmarkEnd w:id="1196"/>
    <w:bookmarkEnd w:id="1197"/>
    <w:bookmarkEnd w:id="1198"/>
    <w:bookmarkEnd w:id="1199"/>
    <w:bookmarkEnd w:id="1200"/>
    <w:bookmarkEnd w:id="1201"/>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（单位名称）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的</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（项目名称）</w:t>
      </w:r>
      <w:r>
        <w:rPr>
          <w:rFonts w:hint="eastAsia" w:ascii="宋体" w:hAnsi="宋体" w:cs="宋体"/>
          <w:i w:val="0"/>
          <w:iCs w:val="0"/>
          <w:caps w:val="0"/>
          <w:color w:val="auto"/>
          <w:spacing w:val="0"/>
          <w:kern w:val="0"/>
          <w:sz w:val="24"/>
          <w:szCs w:val="24"/>
          <w:highlight w:val="none"/>
          <w:u w:val="single"/>
          <w:shd w:val="clear" w:color="auto" w:fill="FFFFFF"/>
          <w:lang w:val="en-US" w:eastAsia="zh-CN"/>
        </w:rPr>
        <w:t>第  包</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1.</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2.</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（标的名称）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（采购文件中明确的所属行业）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行业；制造商为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（企业名称）</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，从业人员</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人，营业收入为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万元，资产总额为</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万元，属于</w:t>
      </w:r>
      <w:r>
        <w:rPr>
          <w:rFonts w:hint="eastAsia" w:ascii="宋体" w:hAnsi="宋体" w:eastAsia="宋体" w:cs="宋体"/>
          <w:i w:val="0"/>
          <w:iCs w:val="0"/>
          <w:caps w:val="0"/>
          <w:color w:val="auto"/>
          <w:spacing w:val="0"/>
          <w:kern w:val="0"/>
          <w:sz w:val="24"/>
          <w:szCs w:val="24"/>
          <w:highlight w:val="none"/>
          <w:u w:val="single"/>
          <w:shd w:val="clear" w:color="auto" w:fill="FFFFFF"/>
          <w:lang w:val="en-US" w:eastAsia="zh-CN"/>
        </w:rPr>
        <w:t>     （中型企业、小型企业、微型企业）</w:t>
      </w: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以上企业，不属于大企业的分支机构，不存在控股股东为大企业的情形，也不存在与大企业的负责人为同一人的情形。</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本企业对上述声明内容的真实性负责。如有虚假，将依法承担相应责任。</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38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 </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企业名称（盖章）：</w:t>
      </w:r>
    </w:p>
    <w:p>
      <w:pPr>
        <w:keepNext w:val="0"/>
        <w:keepLines w:val="0"/>
        <w:widowControl/>
        <w:suppressLineNumbers w:val="0"/>
        <w:shd w:val="clear" w:color="auto" w:fill="auto"/>
        <w:spacing w:before="0" w:beforeAutospacing="1" w:after="0" w:afterAutospacing="1" w:line="348" w:lineRule="atLeast"/>
        <w:ind w:left="0" w:right="0" w:firstLine="4224"/>
        <w:jc w:val="left"/>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shd w:val="clear" w:color="auto" w:fill="FFFFFF"/>
          <w:lang w:val="en-US" w:eastAsia="zh-CN"/>
        </w:rPr>
        <w:t>日 期：</w:t>
      </w:r>
    </w:p>
    <w:p>
      <w:pPr>
        <w:rPr>
          <w:rFonts w:hint="eastAsia" w:ascii="微软雅黑" w:hAnsi="微软雅黑" w:eastAsia="微软雅黑" w:cs="微软雅黑"/>
          <w:b/>
          <w:bCs/>
          <w:color w:val="auto"/>
          <w:kern w:val="0"/>
          <w:sz w:val="32"/>
          <w:szCs w:val="32"/>
          <w:highlight w:val="none"/>
          <w:lang w:val="en-US" w:eastAsia="zh-CN"/>
        </w:rPr>
      </w:pPr>
    </w:p>
    <w:p>
      <w:pPr>
        <w:rPr>
          <w:rFonts w:hint="default" w:ascii="宋体" w:hAnsi="宋体" w:eastAsia="微软雅黑" w:cs="宋体"/>
          <w:b/>
          <w:bCs/>
          <w:color w:val="auto"/>
          <w:kern w:val="0"/>
          <w:sz w:val="32"/>
          <w:szCs w:val="32"/>
          <w:highlight w:val="none"/>
          <w:lang w:val="en-US" w:eastAsia="zh-CN"/>
        </w:rPr>
      </w:pPr>
      <w:r>
        <w:rPr>
          <w:rFonts w:hint="eastAsia" w:ascii="微软雅黑" w:hAnsi="微软雅黑" w:eastAsia="微软雅黑" w:cs="微软雅黑"/>
          <w:b/>
          <w:bCs/>
          <w:color w:val="auto"/>
          <w:kern w:val="0"/>
          <w:sz w:val="32"/>
          <w:szCs w:val="32"/>
          <w:highlight w:val="none"/>
          <w:lang w:val="en-US" w:eastAsia="zh-CN"/>
        </w:rPr>
        <w:t>本项目所属行业为租赁和商务服务业。</w:t>
      </w:r>
    </w:p>
    <w:p>
      <w:pP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sz w:val="24"/>
          <w:szCs w:val="24"/>
          <w:highlight w:val="none"/>
          <w:lang w:val="en-US" w:eastAsia="zh-CN"/>
        </w:rPr>
        <w:t>注：潜在投标企业属于中小微企业的，请在投标文件中提供“中小企业声明函”，如果未提供或提供虚假的“中小企业声明函”，投标企业将承担由此造成的一切不利后果。</w:t>
      </w:r>
    </w:p>
    <w:p>
      <w:pPr>
        <w:widowControl w:val="0"/>
        <w:snapToGrid w:val="0"/>
        <w:jc w:val="left"/>
        <w:rPr>
          <w:rFonts w:hint="eastAsia" w:ascii="宋体" w:hAnsi="宋体" w:eastAsia="宋体" w:cs="宋体"/>
          <w:b/>
          <w:bCs/>
          <w:color w:val="auto"/>
          <w:kern w:val="0"/>
          <w:sz w:val="21"/>
          <w:szCs w:val="21"/>
          <w:highlight w:val="none"/>
          <w:lang w:val="en-US" w:eastAsia="zh-CN" w:bidi="ar-SA"/>
        </w:rPr>
      </w:pPr>
    </w:p>
    <w:p>
      <w:pPr>
        <w:rPr>
          <w:rFonts w:hint="eastAsia" w:ascii="微软雅黑" w:hAnsi="微软雅黑" w:eastAsia="微软雅黑" w:cs="微软雅黑"/>
          <w:b/>
          <w:bCs/>
          <w:color w:val="auto"/>
          <w:kern w:val="0"/>
          <w:sz w:val="24"/>
          <w:szCs w:val="24"/>
          <w:highlight w:val="none"/>
        </w:rPr>
      </w:pPr>
      <w:r>
        <w:rPr>
          <w:rFonts w:hint="eastAsia" w:ascii="微软雅黑" w:hAnsi="微软雅黑" w:eastAsia="微软雅黑" w:cs="微软雅黑"/>
          <w:b/>
          <w:bCs/>
          <w:color w:val="auto"/>
          <w:kern w:val="0"/>
          <w:sz w:val="24"/>
          <w:szCs w:val="24"/>
          <w:highlight w:val="none"/>
        </w:rPr>
        <w:br w:type="page"/>
      </w:r>
    </w:p>
    <w:p>
      <w:pPr>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附：</w:t>
      </w:r>
    </w:p>
    <w:p>
      <w:pPr>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中小微企业划型标准</w:t>
      </w:r>
    </w:p>
    <w:tbl>
      <w:tblPr>
        <w:tblStyle w:val="25"/>
        <w:tblW w:w="9378" w:type="dxa"/>
        <w:jc w:val="center"/>
        <w:tblLayout w:type="fixed"/>
        <w:tblCellMar>
          <w:top w:w="0" w:type="dxa"/>
          <w:left w:w="108" w:type="dxa"/>
          <w:bottom w:w="0" w:type="dxa"/>
          <w:right w:w="108" w:type="dxa"/>
        </w:tblCellMar>
      </w:tblPr>
      <w:tblGrid>
        <w:gridCol w:w="1570"/>
        <w:gridCol w:w="1660"/>
        <w:gridCol w:w="1466"/>
        <w:gridCol w:w="1903"/>
        <w:gridCol w:w="1692"/>
        <w:gridCol w:w="1087"/>
      </w:tblGrid>
      <w:tr>
        <w:tblPrEx>
          <w:tblCellMar>
            <w:top w:w="0" w:type="dxa"/>
            <w:left w:w="108" w:type="dxa"/>
            <w:bottom w:w="0" w:type="dxa"/>
            <w:right w:w="108" w:type="dxa"/>
          </w:tblCellMar>
        </w:tblPrEx>
        <w:trPr>
          <w:trHeight w:val="451" w:hRule="atLeast"/>
          <w:jc w:val="center"/>
        </w:trPr>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行业名称</w:t>
            </w:r>
          </w:p>
        </w:tc>
        <w:tc>
          <w:tcPr>
            <w:tcW w:w="1660"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指标名称</w:t>
            </w:r>
          </w:p>
        </w:tc>
        <w:tc>
          <w:tcPr>
            <w:tcW w:w="1466"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计量单位</w:t>
            </w:r>
          </w:p>
        </w:tc>
        <w:tc>
          <w:tcPr>
            <w:tcW w:w="1903"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中型</w:t>
            </w:r>
          </w:p>
        </w:tc>
        <w:tc>
          <w:tcPr>
            <w:tcW w:w="1692"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小型</w:t>
            </w:r>
          </w:p>
        </w:tc>
        <w:tc>
          <w:tcPr>
            <w:tcW w:w="1087" w:type="dxa"/>
            <w:tcBorders>
              <w:top w:val="single" w:color="auto" w:sz="4" w:space="0"/>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微型</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农、林、牧、渔</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工业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建筑业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6000≤Y＜80000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300≤Y＜6000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Y＜300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5000≤Z＜80000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300≤Z＜5000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Z＜300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批发业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5≤X＜20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X＜5</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5000≤Y＜40000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零售业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10≤X＜50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500≤Y＜20000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100≤Y＜500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交通运输业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200≤Y＜3000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Y＜200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仓储业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100≤X＜200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邮政业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X＜20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2000≤Y＜30000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住宿业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餐饮业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100≤Y＜2000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信息传输业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100≤X＜2000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Y＜100</w:t>
            </w:r>
          </w:p>
        </w:tc>
      </w:tr>
      <w:tr>
        <w:tblPrEx>
          <w:tblCellMar>
            <w:top w:w="0" w:type="dxa"/>
            <w:left w:w="108" w:type="dxa"/>
            <w:bottom w:w="0" w:type="dxa"/>
            <w:right w:w="108" w:type="dxa"/>
          </w:tblCellMar>
        </w:tblPrEx>
        <w:trPr>
          <w:trHeight w:val="394"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软件和信息技术服务业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X＜10</w:t>
            </w:r>
          </w:p>
        </w:tc>
      </w:tr>
      <w:tr>
        <w:tblPrEx>
          <w:tblCellMar>
            <w:top w:w="0" w:type="dxa"/>
            <w:left w:w="108" w:type="dxa"/>
            <w:bottom w:w="0" w:type="dxa"/>
            <w:right w:w="108" w:type="dxa"/>
          </w:tblCellMar>
        </w:tblPrEx>
        <w:trPr>
          <w:trHeight w:val="377"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1000≤Y＜10000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50≤Y＜1000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Y＜50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房地产开发经营</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1000≤Y＜200000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5000≤Z＜10000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2000≤Y＜5000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Y＜2000</w:t>
            </w:r>
          </w:p>
        </w:tc>
      </w:tr>
      <w:tr>
        <w:tblPrEx>
          <w:tblCellMar>
            <w:top w:w="0" w:type="dxa"/>
            <w:left w:w="108" w:type="dxa"/>
            <w:bottom w:w="0" w:type="dxa"/>
            <w:right w:w="108" w:type="dxa"/>
          </w:tblCellMar>
        </w:tblPrEx>
        <w:trPr>
          <w:trHeight w:val="199"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物业管理</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300≤X＜1000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100≤X＜300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X＜100</w:t>
            </w:r>
          </w:p>
        </w:tc>
      </w:tr>
      <w:tr>
        <w:tblPrEx>
          <w:tblCellMar>
            <w:top w:w="0" w:type="dxa"/>
            <w:left w:w="108" w:type="dxa"/>
            <w:bottom w:w="0" w:type="dxa"/>
            <w:right w:w="108" w:type="dxa"/>
          </w:tblCellMar>
        </w:tblPrEx>
        <w:trPr>
          <w:trHeight w:val="90"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营业收入（Y）</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1000≤Y＜5000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500≤Y＜1000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Y＜500</w:t>
            </w:r>
          </w:p>
        </w:tc>
      </w:tr>
      <w:tr>
        <w:tblPrEx>
          <w:tblCellMar>
            <w:top w:w="0" w:type="dxa"/>
            <w:left w:w="108" w:type="dxa"/>
            <w:bottom w:w="0" w:type="dxa"/>
            <w:right w:w="108" w:type="dxa"/>
          </w:tblCellMar>
        </w:tblPrEx>
        <w:trPr>
          <w:trHeight w:val="242" w:hRule="atLeast"/>
          <w:jc w:val="center"/>
        </w:trPr>
        <w:tc>
          <w:tcPr>
            <w:tcW w:w="1570" w:type="dxa"/>
            <w:vMerge w:val="restart"/>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租赁和商务服务业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w:t>
            </w:r>
          </w:p>
        </w:tc>
      </w:tr>
      <w:tr>
        <w:tblPrEx>
          <w:tblCellMar>
            <w:top w:w="0" w:type="dxa"/>
            <w:left w:w="108" w:type="dxa"/>
            <w:bottom w:w="0" w:type="dxa"/>
            <w:right w:w="108" w:type="dxa"/>
          </w:tblCellMar>
        </w:tblPrEx>
        <w:trPr>
          <w:trHeight w:val="199" w:hRule="atLeast"/>
          <w:jc w:val="center"/>
        </w:trPr>
        <w:tc>
          <w:tcPr>
            <w:tcW w:w="1570" w:type="dxa"/>
            <w:vMerge w:val="continue"/>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资产总额（Z）</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万元</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8000≤Z＜120000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100≤Z＜8000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Y＜100</w:t>
            </w:r>
          </w:p>
        </w:tc>
      </w:tr>
      <w:tr>
        <w:tblPrEx>
          <w:tblCellMar>
            <w:top w:w="0" w:type="dxa"/>
            <w:left w:w="108" w:type="dxa"/>
            <w:bottom w:w="0" w:type="dxa"/>
            <w:right w:w="108" w:type="dxa"/>
          </w:tblCellMar>
        </w:tblPrEx>
        <w:trPr>
          <w:trHeight w:val="199" w:hRule="atLeast"/>
          <w:jc w:val="center"/>
        </w:trPr>
        <w:tc>
          <w:tcPr>
            <w:tcW w:w="1570" w:type="dxa"/>
            <w:tcBorders>
              <w:top w:val="nil"/>
              <w:left w:val="single" w:color="auto" w:sz="4" w:space="0"/>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其他未列明行业</w:t>
            </w:r>
          </w:p>
        </w:tc>
        <w:tc>
          <w:tcPr>
            <w:tcW w:w="1660"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从业人员（X）</w:t>
            </w:r>
          </w:p>
        </w:tc>
        <w:tc>
          <w:tcPr>
            <w:tcW w:w="1466"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w:t>
            </w:r>
          </w:p>
        </w:tc>
        <w:tc>
          <w:tcPr>
            <w:tcW w:w="1903"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100≤X＜300</w:t>
            </w:r>
          </w:p>
        </w:tc>
        <w:tc>
          <w:tcPr>
            <w:tcW w:w="1692"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10≤X＜100</w:t>
            </w:r>
          </w:p>
        </w:tc>
        <w:tc>
          <w:tcPr>
            <w:tcW w:w="1087" w:type="dxa"/>
            <w:tcBorders>
              <w:top w:val="nil"/>
              <w:left w:val="nil"/>
              <w:bottom w:val="single" w:color="auto" w:sz="4" w:space="0"/>
              <w:right w:val="single" w:color="auto" w:sz="4" w:space="0"/>
            </w:tcBorders>
            <w:noWrap w:val="0"/>
            <w:vAlign w:val="center"/>
          </w:tcPr>
          <w:p>
            <w:pPr>
              <w:widowControl/>
              <w:snapToGrid w:val="0"/>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X＜10</w:t>
            </w:r>
          </w:p>
        </w:tc>
      </w:tr>
    </w:tbl>
    <w:p>
      <w:pPr>
        <w:spacing w:line="360" w:lineRule="auto"/>
        <w:rPr>
          <w:rFonts w:hint="eastAsia" w:ascii="宋体" w:hAnsi="宋体" w:eastAsia="宋体" w:cs="宋体"/>
          <w:color w:val="auto"/>
          <w:sz w:val="24"/>
          <w:szCs w:val="24"/>
          <w:highlight w:val="none"/>
        </w:rPr>
      </w:pPr>
    </w:p>
    <w:p>
      <w:pPr>
        <w:snapToGrid w:val="0"/>
        <w:spacing w:line="336" w:lineRule="auto"/>
        <w:ind w:firstLine="482"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说明：</w:t>
      </w:r>
      <w:r>
        <w:rPr>
          <w:rFonts w:hint="eastAsia" w:ascii="宋体" w:hAnsi="宋体" w:eastAsia="宋体" w:cs="宋体"/>
          <w:color w:val="auto"/>
          <w:sz w:val="24"/>
          <w:szCs w:val="24"/>
          <w:highlight w:val="none"/>
        </w:rPr>
        <w:t>上述标准参照《关于印发中小企业划型标准规定的通知》（工信部联企业[2011]300号），大型、中型和小型企业须同时满足所列指标的下限，否则下划一档；微型企业只须满足所列指标中的一项即可。</w:t>
      </w:r>
    </w:p>
    <w:p>
      <w:pPr>
        <w:snapToGrid w:val="0"/>
        <w:spacing w:line="336" w:lineRule="auto"/>
        <w:ind w:firstLine="480" w:firstLineChars="200"/>
        <w:contextualSpacing/>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所称中小企业，是指在中华人民共和国境内依法设立，依据国务院批准的</w:t>
      </w:r>
    </w:p>
    <w:p>
      <w:pPr>
        <w:snapToGrid w:val="0"/>
        <w:spacing w:line="336" w:lineRule="auto"/>
        <w:ind w:firstLine="480" w:firstLineChars="200"/>
        <w:contextualSpacing/>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规定的中小企业扶持政策：</w:t>
      </w:r>
    </w:p>
    <w:p>
      <w:pPr>
        <w:snapToGrid w:val="0"/>
        <w:spacing w:line="336"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（1）在货物采购项目中，货物由中小企业制造，即货物由中小企业生产且使用该中小企业商号或者注册商标，不对其中涉及的工程承建商和服务的承接商作出要求；</w:t>
      </w:r>
    </w:p>
    <w:p>
      <w:pPr>
        <w:snapToGrid w:val="0"/>
        <w:spacing w:line="336"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（2）在工程采购项目中，工程由中小企业承建，即工程施工单位为中小企业，不对其中涉及的货物的制造商和服务的承接商作出要求；</w:t>
      </w:r>
    </w:p>
    <w:p>
      <w:pPr>
        <w:snapToGrid w:val="0"/>
        <w:spacing w:line="336"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w:t>
      </w:r>
      <w:r>
        <w:rPr>
          <w:rFonts w:hint="eastAsia" w:ascii="宋体" w:hAnsi="宋体" w:cs="宋体"/>
          <w:color w:val="auto"/>
          <w:kern w:val="0"/>
          <w:sz w:val="24"/>
          <w:szCs w:val="24"/>
          <w:highlight w:val="none"/>
          <w:lang w:eastAsia="zh-CN"/>
        </w:rPr>
        <w:t>货物</w:t>
      </w:r>
      <w:r>
        <w:rPr>
          <w:rFonts w:hint="eastAsia" w:ascii="宋体" w:hAnsi="宋体" w:eastAsia="宋体" w:cs="宋体"/>
          <w:color w:val="auto"/>
          <w:kern w:val="0"/>
          <w:sz w:val="24"/>
          <w:szCs w:val="24"/>
          <w:highlight w:val="none"/>
        </w:rPr>
        <w:t>采购项目中，</w:t>
      </w:r>
      <w:r>
        <w:rPr>
          <w:rFonts w:hint="eastAsia" w:ascii="宋体" w:hAnsi="宋体" w:cs="宋体"/>
          <w:color w:val="auto"/>
          <w:kern w:val="0"/>
          <w:sz w:val="24"/>
          <w:szCs w:val="24"/>
          <w:highlight w:val="none"/>
          <w:lang w:eastAsia="zh-CN"/>
        </w:rPr>
        <w:t>货物</w:t>
      </w:r>
      <w:r>
        <w:rPr>
          <w:rFonts w:hint="eastAsia" w:ascii="宋体" w:hAnsi="宋体" w:eastAsia="宋体" w:cs="宋体"/>
          <w:color w:val="auto"/>
          <w:kern w:val="0"/>
          <w:sz w:val="24"/>
          <w:szCs w:val="24"/>
          <w:highlight w:val="none"/>
        </w:rPr>
        <w:t>由中小企业承接，即提供</w:t>
      </w:r>
      <w:r>
        <w:rPr>
          <w:rFonts w:hint="eastAsia" w:ascii="宋体" w:hAnsi="宋体" w:cs="宋体"/>
          <w:color w:val="auto"/>
          <w:kern w:val="0"/>
          <w:sz w:val="24"/>
          <w:szCs w:val="24"/>
          <w:highlight w:val="none"/>
          <w:lang w:eastAsia="zh-CN"/>
        </w:rPr>
        <w:t>货物</w:t>
      </w:r>
      <w:r>
        <w:rPr>
          <w:rFonts w:hint="eastAsia" w:ascii="宋体" w:hAnsi="宋体" w:eastAsia="宋体" w:cs="宋体"/>
          <w:color w:val="auto"/>
          <w:kern w:val="0"/>
          <w:sz w:val="24"/>
          <w:szCs w:val="24"/>
          <w:highlight w:val="none"/>
        </w:rPr>
        <w:t>的人员为中小企业依照《中华人民共和国劳动合同法》订立劳动合同的从业人员，不对其中涉及的货物的制造商和工程承建商作出要求。</w:t>
      </w:r>
    </w:p>
    <w:p>
      <w:pPr>
        <w:snapToGrid w:val="0"/>
        <w:spacing w:line="336" w:lineRule="auto"/>
        <w:ind w:firstLine="480" w:firstLineChars="200"/>
        <w:contextualSpacing/>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在货物采购项目中，供应商提供的货物既有中小企业制造货物，也有大型企业制造货物的，不享受本</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规定的中小企业扶持政策。以联合体形式参加政府采购活动，联合体各方均为中小企业的，联合体视同中小企业。其中，联合体各方均为小微企业的，联合体视同小微企业。</w:t>
      </w:r>
    </w:p>
    <w:p>
      <w:pPr>
        <w:snapToGrid w:val="0"/>
        <w:spacing w:line="336" w:lineRule="auto"/>
        <w:ind w:firstLine="480" w:firstLineChars="200"/>
        <w:contextualSpacing/>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依据本</w:t>
      </w:r>
      <w:r>
        <w:rPr>
          <w:rFonts w:hint="eastAsia" w:ascii="宋体" w:hAnsi="宋体" w:eastAsia="宋体" w:cs="宋体"/>
          <w:color w:val="auto"/>
          <w:sz w:val="24"/>
          <w:szCs w:val="24"/>
          <w:highlight w:val="none"/>
          <w:lang w:eastAsia="zh-CN"/>
        </w:rPr>
        <w:t>招标文件</w:t>
      </w:r>
      <w:r>
        <w:rPr>
          <w:rFonts w:hint="eastAsia" w:ascii="宋体" w:hAnsi="宋体" w:eastAsia="宋体" w:cs="宋体"/>
          <w:color w:val="auto"/>
          <w:sz w:val="24"/>
          <w:szCs w:val="24"/>
          <w:highlight w:val="none"/>
        </w:rPr>
        <w:t>规定享受扶持政策获得政府采购合同的，小微企业不得将合同分包给大中型企业，中型企业不得将合同分包给大型企业。</w:t>
      </w:r>
    </w:p>
    <w:p>
      <w:pPr>
        <w:rPr>
          <w:color w:val="auto"/>
          <w:highlight w:val="none"/>
        </w:rPr>
      </w:pP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br w:type="page"/>
      </w: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202" w:name="_Toc20755"/>
      <w:r>
        <w:rPr>
          <w:rFonts w:hint="eastAsia" w:ascii="宋体" w:hAnsi="宋体" w:eastAsia="宋体" w:cs="宋体"/>
          <w:color w:val="auto"/>
          <w:sz w:val="28"/>
          <w:szCs w:val="28"/>
          <w:highlight w:val="none"/>
          <w:lang w:val="en-US" w:eastAsia="zh-CN"/>
        </w:rPr>
        <w:t>6-2 残疾人福利性单位声明函</w:t>
      </w:r>
      <w:bookmarkEnd w:id="1202"/>
    </w:p>
    <w:p>
      <w:pPr>
        <w:spacing w:line="400" w:lineRule="exact"/>
        <w:ind w:left="1080" w:leftChars="257" w:hanging="540"/>
        <w:jc w:val="center"/>
        <w:rPr>
          <w:rFonts w:hint="eastAsia" w:ascii="宋体" w:hAnsi="宋体" w:eastAsia="宋体" w:cs="宋体"/>
          <w:color w:val="auto"/>
          <w:kern w:val="0"/>
          <w:sz w:val="24"/>
          <w:highlight w:val="none"/>
        </w:rPr>
      </w:pPr>
    </w:p>
    <w:p>
      <w:pPr>
        <w:spacing w:line="400" w:lineRule="exact"/>
        <w:ind w:firstLine="56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w:t>
      </w:r>
      <w:r>
        <w:rPr>
          <w:rFonts w:hint="eastAsia" w:ascii="宋体" w:hAnsi="宋体" w:cs="宋体"/>
          <w:color w:val="auto"/>
          <w:kern w:val="0"/>
          <w:sz w:val="24"/>
          <w:highlight w:val="none"/>
          <w:lang w:val="en-US" w:eastAsia="zh-CN"/>
        </w:rPr>
        <w:t>货物</w:t>
      </w:r>
      <w:r>
        <w:rPr>
          <w:rFonts w:hint="eastAsia" w:ascii="宋体" w:hAnsi="宋体" w:eastAsia="宋体" w:cs="宋体"/>
          <w:color w:val="auto"/>
          <w:kern w:val="0"/>
          <w:sz w:val="24"/>
          <w:highlight w:val="none"/>
        </w:rPr>
        <w:t>，或者提供其他残疾人福利性单位</w:t>
      </w:r>
      <w:r>
        <w:rPr>
          <w:rFonts w:hint="eastAsia" w:ascii="宋体" w:hAnsi="宋体" w:cs="宋体"/>
          <w:color w:val="auto"/>
          <w:kern w:val="0"/>
          <w:sz w:val="24"/>
          <w:highlight w:val="none"/>
          <w:lang w:val="en-US" w:eastAsia="zh-CN"/>
        </w:rPr>
        <w:t>服务</w:t>
      </w:r>
      <w:r>
        <w:rPr>
          <w:rFonts w:hint="eastAsia" w:ascii="宋体" w:hAnsi="宋体" w:eastAsia="宋体" w:cs="宋体"/>
          <w:color w:val="auto"/>
          <w:kern w:val="0"/>
          <w:sz w:val="24"/>
          <w:highlight w:val="none"/>
        </w:rPr>
        <w:t>（不包括使用非残疾人福利性单位</w:t>
      </w:r>
      <w:r>
        <w:rPr>
          <w:rFonts w:hint="eastAsia" w:ascii="宋体" w:hAnsi="宋体" w:cs="宋体"/>
          <w:color w:val="auto"/>
          <w:kern w:val="0"/>
          <w:sz w:val="24"/>
          <w:highlight w:val="none"/>
          <w:lang w:val="en-US" w:eastAsia="zh-CN"/>
        </w:rPr>
        <w:t>服务</w:t>
      </w:r>
      <w:r>
        <w:rPr>
          <w:rFonts w:hint="eastAsia" w:ascii="宋体" w:hAnsi="宋体" w:eastAsia="宋体" w:cs="宋体"/>
          <w:color w:val="auto"/>
          <w:kern w:val="0"/>
          <w:sz w:val="24"/>
          <w:highlight w:val="none"/>
        </w:rPr>
        <w:t>）。</w:t>
      </w:r>
    </w:p>
    <w:p>
      <w:pPr>
        <w:spacing w:line="400" w:lineRule="exact"/>
        <w:ind w:left="1080" w:leftChars="257" w:hanging="54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本单位对上述声明的真实性负责。如有虚假，将依法承担相应责任。</w:t>
      </w:r>
    </w:p>
    <w:p>
      <w:pPr>
        <w:spacing w:line="400" w:lineRule="exact"/>
        <w:ind w:left="1080" w:leftChars="257" w:hanging="54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残疾人福利性单位名称（公章）：______________</w:t>
      </w:r>
    </w:p>
    <w:p>
      <w:pPr>
        <w:spacing w:line="400" w:lineRule="exact"/>
        <w:ind w:left="1080" w:leftChars="257" w:hanging="540"/>
        <w:jc w:val="center"/>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color="FFFFFF"/>
        </w:rPr>
        <w:t xml:space="preserve">       </w:t>
      </w:r>
      <w:r>
        <w:rPr>
          <w:rFonts w:hint="eastAsia" w:ascii="宋体" w:hAnsi="宋体" w:eastAsia="宋体" w:cs="宋体"/>
          <w:color w:val="auto"/>
          <w:kern w:val="0"/>
          <w:sz w:val="24"/>
          <w:highlight w:val="none"/>
        </w:rPr>
        <w:t>日  期：_____________________________________________</w:t>
      </w:r>
    </w:p>
    <w:p>
      <w:pPr>
        <w:pStyle w:val="11"/>
        <w:spacing w:line="400" w:lineRule="exact"/>
        <w:ind w:firstLine="480"/>
        <w:rPr>
          <w:rFonts w:hint="eastAsia" w:ascii="宋体" w:hAnsi="宋体" w:eastAsia="宋体" w:cs="宋体"/>
          <w:color w:val="auto"/>
          <w:highlight w:val="none"/>
        </w:rPr>
      </w:pPr>
    </w:p>
    <w:p>
      <w:pPr>
        <w:pStyle w:val="11"/>
        <w:spacing w:line="400" w:lineRule="exact"/>
        <w:ind w:firstLine="480"/>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color w:val="auto"/>
          <w:highlight w:val="none"/>
        </w:rPr>
      </w:pPr>
    </w:p>
    <w:p>
      <w:pPr>
        <w:pStyle w:val="4"/>
        <w:rPr>
          <w:rFonts w:hint="eastAsia" w:ascii="宋体" w:hAnsi="宋体" w:eastAsia="宋体" w:cs="宋体"/>
          <w:color w:val="auto"/>
          <w:highlight w:val="none"/>
        </w:rPr>
      </w:pPr>
    </w:p>
    <w:p>
      <w:pPr>
        <w:rPr>
          <w:rFonts w:hint="eastAsia"/>
          <w:color w:val="auto"/>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203" w:name="_Toc11025"/>
      <w:r>
        <w:rPr>
          <w:rFonts w:hint="eastAsia" w:ascii="宋体" w:hAnsi="宋体" w:eastAsia="宋体" w:cs="宋体"/>
          <w:color w:val="auto"/>
          <w:sz w:val="28"/>
          <w:szCs w:val="28"/>
          <w:highlight w:val="none"/>
          <w:lang w:val="en-US" w:eastAsia="zh-CN"/>
        </w:rPr>
        <w:t>7.供应商关联单位的说明（格式自拟）</w:t>
      </w:r>
      <w:bookmarkEnd w:id="1203"/>
    </w:p>
    <w:p>
      <w:pPr>
        <w:pStyle w:val="3"/>
        <w:spacing w:line="400" w:lineRule="exact"/>
        <w:jc w:val="center"/>
        <w:rPr>
          <w:rFonts w:hint="eastAsia" w:ascii="宋体" w:hAnsi="宋体" w:eastAsia="宋体" w:cs="宋体"/>
          <w:color w:val="auto"/>
          <w:szCs w:val="24"/>
          <w:highlight w:val="none"/>
        </w:rPr>
      </w:pPr>
    </w:p>
    <w:p>
      <w:pPr>
        <w:pStyle w:val="3"/>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说明：供应商应当如实披露与本单位存在下列关联关系的单位名称：</w:t>
      </w:r>
    </w:p>
    <w:p>
      <w:pPr>
        <w:pStyle w:val="3"/>
        <w:spacing w:line="400" w:lineRule="exact"/>
        <w:ind w:firstLine="960" w:firstLineChars="400"/>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（1）与供应商单位负责人为同一人的其他单位；</w:t>
      </w:r>
    </w:p>
    <w:p>
      <w:pPr>
        <w:pStyle w:val="3"/>
        <w:spacing w:line="4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（2）与供应商存在直接控股、管理关系的其他单位。</w:t>
      </w:r>
    </w:p>
    <w:p>
      <w:pPr>
        <w:pStyle w:val="4"/>
        <w:rPr>
          <w:rFonts w:hint="eastAsia" w:ascii="宋体" w:hAnsi="宋体" w:eastAsia="宋体" w:cs="宋体"/>
          <w:color w:val="auto"/>
          <w:highlight w:val="none"/>
        </w:rPr>
      </w:pPr>
    </w:p>
    <w:p>
      <w:pPr>
        <w:pStyle w:val="19"/>
        <w:rPr>
          <w:rFonts w:hint="eastAsia" w:ascii="宋体" w:hAnsi="宋体" w:eastAsia="宋体" w:cs="宋体"/>
          <w:b/>
          <w:color w:val="auto"/>
          <w:kern w:val="0"/>
          <w:sz w:val="24"/>
          <w:highlight w:val="none"/>
        </w:rPr>
      </w:pPr>
    </w:p>
    <w:p>
      <w:pPr>
        <w:pStyle w:val="19"/>
        <w:rPr>
          <w:rFonts w:hint="eastAsia" w:ascii="宋体" w:hAnsi="宋体" w:eastAsia="宋体" w:cs="宋体"/>
          <w:b/>
          <w:color w:val="auto"/>
          <w:kern w:val="0"/>
          <w:sz w:val="24"/>
          <w:highlight w:val="none"/>
        </w:rPr>
      </w:pPr>
    </w:p>
    <w:p>
      <w:pPr>
        <w:pStyle w:val="19"/>
        <w:rPr>
          <w:rFonts w:hint="eastAsia" w:ascii="宋体" w:hAnsi="宋体" w:eastAsia="宋体" w:cs="宋体"/>
          <w:b/>
          <w:color w:val="auto"/>
          <w:kern w:val="0"/>
          <w:sz w:val="24"/>
          <w:highlight w:val="none"/>
        </w:rPr>
      </w:pPr>
    </w:p>
    <w:p>
      <w:pPr>
        <w:pStyle w:val="19"/>
        <w:rPr>
          <w:rFonts w:hint="eastAsia" w:ascii="宋体" w:hAnsi="宋体" w:eastAsia="宋体" w:cs="宋体"/>
          <w:b/>
          <w:color w:val="auto"/>
          <w:kern w:val="0"/>
          <w:sz w:val="24"/>
          <w:highlight w:val="none"/>
        </w:rPr>
      </w:pPr>
    </w:p>
    <w:p>
      <w:pPr>
        <w:pStyle w:val="19"/>
        <w:rPr>
          <w:rFonts w:hint="eastAsia" w:ascii="宋体" w:hAnsi="宋体" w:eastAsia="宋体" w:cs="宋体"/>
          <w:b/>
          <w:color w:val="auto"/>
          <w:kern w:val="0"/>
          <w:sz w:val="24"/>
          <w:highlight w:val="none"/>
        </w:rPr>
      </w:pPr>
    </w:p>
    <w:p>
      <w:pPr>
        <w:pStyle w:val="19"/>
        <w:rPr>
          <w:rFonts w:hint="eastAsia" w:ascii="宋体" w:hAnsi="宋体" w:eastAsia="宋体" w:cs="宋体"/>
          <w:b/>
          <w:color w:val="auto"/>
          <w:kern w:val="0"/>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204" w:name="_Toc32657"/>
      <w:r>
        <w:rPr>
          <w:rFonts w:hint="eastAsia" w:ascii="宋体" w:hAnsi="宋体" w:eastAsia="宋体" w:cs="宋体"/>
          <w:color w:val="auto"/>
          <w:sz w:val="28"/>
          <w:szCs w:val="28"/>
          <w:highlight w:val="none"/>
          <w:lang w:val="en-US" w:eastAsia="zh-CN"/>
        </w:rPr>
        <w:t>8.供应商可提供有利于投标的其他证明材料</w:t>
      </w:r>
      <w:bookmarkEnd w:id="1204"/>
    </w:p>
    <w:p>
      <w:pPr>
        <w:pStyle w:val="3"/>
        <w:ind w:left="0" w:leftChars="0" w:firstLine="0" w:firstLineChars="0"/>
        <w:rPr>
          <w:rFonts w:hint="eastAsia" w:ascii="宋体" w:hAnsi="宋体" w:eastAsia="宋体" w:cs="宋体"/>
          <w:color w:val="auto"/>
          <w:sz w:val="24"/>
          <w:highlight w:val="none"/>
        </w:rPr>
      </w:pPr>
    </w:p>
    <w:p>
      <w:pPr>
        <w:pStyle w:val="4"/>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19"/>
        <w:rPr>
          <w:rFonts w:hint="eastAsia" w:ascii="宋体" w:hAnsi="宋体" w:eastAsia="宋体" w:cs="宋体"/>
          <w:color w:val="auto"/>
          <w:sz w:val="24"/>
          <w:highlight w:val="none"/>
        </w:rPr>
      </w:pPr>
    </w:p>
    <w:p>
      <w:pPr>
        <w:pStyle w:val="19"/>
        <w:rPr>
          <w:rFonts w:hint="eastAsia" w:ascii="宋体" w:hAnsi="宋体" w:eastAsia="宋体" w:cs="宋体"/>
          <w:color w:val="auto"/>
          <w:sz w:val="24"/>
          <w:highlight w:val="none"/>
        </w:rPr>
      </w:pPr>
    </w:p>
    <w:p>
      <w:pPr>
        <w:pStyle w:val="19"/>
        <w:rPr>
          <w:rFonts w:hint="eastAsia" w:ascii="宋体" w:hAnsi="宋体" w:eastAsia="宋体" w:cs="宋体"/>
          <w:color w:val="auto"/>
          <w:sz w:val="24"/>
          <w:highlight w:val="none"/>
        </w:rPr>
      </w:pPr>
    </w:p>
    <w:p>
      <w:pPr>
        <w:pStyle w:val="6"/>
        <w:keepNext/>
        <w:keepLines/>
        <w:pageBreakBefore w:val="0"/>
        <w:widowControl w:val="0"/>
        <w:kinsoku/>
        <w:wordWrap/>
        <w:overflowPunct/>
        <w:topLinePunct w:val="0"/>
        <w:autoSpaceDE w:val="0"/>
        <w:autoSpaceDN w:val="0"/>
        <w:bidi w:val="0"/>
        <w:adjustRightInd w:val="0"/>
        <w:snapToGrid/>
        <w:spacing w:before="0" w:line="440" w:lineRule="exact"/>
        <w:jc w:val="left"/>
        <w:textAlignment w:val="auto"/>
        <w:rPr>
          <w:rFonts w:hint="eastAsia" w:ascii="宋体" w:hAnsi="宋体" w:eastAsia="宋体" w:cs="宋体"/>
          <w:color w:val="auto"/>
          <w:sz w:val="28"/>
          <w:szCs w:val="28"/>
          <w:highlight w:val="none"/>
          <w:lang w:val="en-US" w:eastAsia="zh-CN"/>
        </w:rPr>
      </w:pPr>
      <w:bookmarkStart w:id="1205" w:name="_Toc21075"/>
      <w:r>
        <w:rPr>
          <w:rFonts w:hint="eastAsia" w:ascii="宋体" w:hAnsi="宋体" w:eastAsia="宋体" w:cs="宋体"/>
          <w:color w:val="auto"/>
          <w:sz w:val="28"/>
          <w:szCs w:val="28"/>
          <w:highlight w:val="none"/>
          <w:lang w:val="en-US" w:eastAsia="zh-CN"/>
        </w:rPr>
        <w:t>9.投标文件格式范本</w:t>
      </w:r>
      <w:bookmarkEnd w:id="1205"/>
    </w:p>
    <w:tbl>
      <w:tblPr>
        <w:tblStyle w:val="25"/>
        <w:tblpPr w:leftFromText="180" w:rightFromText="180" w:vertAnchor="text" w:horzAnchor="page" w:tblpX="1380" w:tblpY="440"/>
        <w:tblOverlap w:val="never"/>
        <w:tblW w:w="91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1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1132" w:hRule="atLeast"/>
        </w:trPr>
        <w:tc>
          <w:tcPr>
            <w:tcW w:w="9120" w:type="dxa"/>
            <w:shd w:val="clear" w:color="auto" w:fill="FCFEEA"/>
          </w:tcPr>
          <w:p>
            <w:pPr>
              <w:pStyle w:val="9"/>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（正本</w:t>
            </w:r>
            <w:r>
              <w:rPr>
                <w:rFonts w:hint="eastAsia" w:cs="宋体"/>
                <w:b/>
                <w:bCs/>
                <w:color w:val="auto"/>
                <w:sz w:val="28"/>
                <w:szCs w:val="28"/>
                <w:highlight w:val="none"/>
                <w:lang w:val="en-US" w:eastAsia="zh-CN"/>
              </w:rPr>
              <w:t>/</w:t>
            </w:r>
            <w:r>
              <w:rPr>
                <w:rFonts w:hint="eastAsia" w:ascii="宋体" w:hAnsi="宋体" w:eastAsia="宋体" w:cs="宋体"/>
                <w:b/>
                <w:bCs/>
                <w:color w:val="auto"/>
                <w:sz w:val="28"/>
                <w:szCs w:val="28"/>
                <w:highlight w:val="none"/>
              </w:rPr>
              <w:t>副本）</w:t>
            </w:r>
          </w:p>
          <w:p>
            <w:pPr>
              <w:pStyle w:val="9"/>
              <w:ind w:firstLine="4216" w:firstLineChars="1500"/>
              <w:rPr>
                <w:rFonts w:hint="eastAsia" w:ascii="宋体" w:hAnsi="宋体" w:eastAsia="宋体" w:cs="宋体"/>
                <w:b/>
                <w:bCs/>
                <w:color w:val="auto"/>
                <w:sz w:val="28"/>
                <w:szCs w:val="28"/>
                <w:highlight w:val="none"/>
              </w:rPr>
            </w:pPr>
          </w:p>
          <w:p>
            <w:pPr>
              <w:pStyle w:val="9"/>
              <w:ind w:firstLine="4216" w:firstLineChars="1500"/>
              <w:rPr>
                <w:rFonts w:hint="eastAsia" w:ascii="宋体" w:hAnsi="宋体" w:eastAsia="宋体" w:cs="宋体"/>
                <w:b/>
                <w:bCs/>
                <w:color w:val="auto"/>
                <w:sz w:val="28"/>
                <w:szCs w:val="28"/>
                <w:highlight w:val="none"/>
              </w:rPr>
            </w:pPr>
          </w:p>
          <w:p>
            <w:pPr>
              <w:pStyle w:val="9"/>
              <w:rPr>
                <w:rFonts w:hint="eastAsia" w:ascii="宋体" w:hAnsi="宋体" w:eastAsia="宋体" w:cs="宋体"/>
                <w:b/>
                <w:bCs/>
                <w:color w:val="auto"/>
                <w:sz w:val="28"/>
                <w:szCs w:val="28"/>
                <w:highlight w:val="none"/>
              </w:rPr>
            </w:pPr>
          </w:p>
          <w:p>
            <w:pPr>
              <w:pStyle w:val="9"/>
              <w:ind w:firstLine="1897" w:firstLineChars="900"/>
              <w:rPr>
                <w:rFonts w:hint="eastAsia" w:ascii="宋体" w:hAnsi="宋体" w:eastAsia="宋体" w:cs="宋体"/>
                <w:b/>
                <w:bCs/>
                <w:color w:val="auto"/>
                <w:sz w:val="28"/>
                <w:szCs w:val="28"/>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8"/>
                <w:szCs w:val="28"/>
                <w:highlight w:val="none"/>
              </w:rPr>
              <w:t>项目</w:t>
            </w:r>
          </w:p>
          <w:p>
            <w:pPr>
              <w:pStyle w:val="9"/>
              <w:jc w:val="center"/>
              <w:rPr>
                <w:rFonts w:hint="eastAsia" w:ascii="宋体" w:hAnsi="宋体" w:eastAsia="宋体" w:cs="宋体"/>
                <w:b/>
                <w:bCs/>
                <w:color w:val="auto"/>
                <w:sz w:val="21"/>
                <w:szCs w:val="21"/>
                <w:highlight w:val="none"/>
              </w:rPr>
            </w:pPr>
          </w:p>
          <w:p>
            <w:pPr>
              <w:rPr>
                <w:rFonts w:hint="eastAsia"/>
                <w:color w:val="auto"/>
                <w:highlight w:val="none"/>
              </w:rPr>
            </w:pPr>
          </w:p>
          <w:p>
            <w:pPr>
              <w:pStyle w:val="9"/>
              <w:ind w:firstLine="2741" w:firstLineChars="1300"/>
              <w:rPr>
                <w:rFonts w:hint="default"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编号 ＊＊＊      包号：</w:t>
            </w:r>
            <w:r>
              <w:rPr>
                <w:rFonts w:hint="eastAsia" w:cs="宋体"/>
                <w:b/>
                <w:bCs/>
                <w:color w:val="auto"/>
                <w:sz w:val="21"/>
                <w:szCs w:val="21"/>
                <w:highlight w:val="none"/>
                <w:lang w:val="en-US" w:eastAsia="zh-CN"/>
              </w:rPr>
              <w:t>第   包</w:t>
            </w:r>
          </w:p>
          <w:p>
            <w:pPr>
              <w:pStyle w:val="9"/>
              <w:jc w:val="center"/>
              <w:rPr>
                <w:rFonts w:hint="eastAsia" w:ascii="宋体" w:hAnsi="宋体" w:eastAsia="宋体" w:cs="宋体"/>
                <w:b/>
                <w:bCs/>
                <w:color w:val="auto"/>
                <w:sz w:val="48"/>
                <w:highlight w:val="none"/>
              </w:rPr>
            </w:pPr>
          </w:p>
          <w:p>
            <w:pPr>
              <w:pStyle w:val="9"/>
              <w:jc w:val="center"/>
              <w:rPr>
                <w:rFonts w:hint="eastAsia" w:ascii="宋体" w:hAnsi="宋体" w:eastAsia="宋体" w:cs="宋体"/>
                <w:b/>
                <w:bCs/>
                <w:color w:val="auto"/>
                <w:sz w:val="48"/>
                <w:highlight w:val="none"/>
              </w:rPr>
            </w:pPr>
            <w:r>
              <w:rPr>
                <w:rFonts w:hint="eastAsia" w:ascii="宋体" w:hAnsi="宋体" w:eastAsia="宋体" w:cs="宋体"/>
                <w:b/>
                <w:bCs/>
                <w:color w:val="auto"/>
                <w:sz w:val="48"/>
                <w:highlight w:val="none"/>
              </w:rPr>
              <w:t>投 标 文 件</w:t>
            </w:r>
          </w:p>
          <w:p>
            <w:pPr>
              <w:pStyle w:val="3"/>
              <w:ind w:firstLine="0"/>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应</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left="176" w:leftChars="84" w:firstLine="1260" w:firstLineChars="6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360" w:lineRule="auto"/>
              <w:ind w:left="176" w:leftChars="84" w:firstLine="1260" w:firstLineChars="600"/>
              <w:rPr>
                <w:rFonts w:hint="eastAsia" w:ascii="宋体" w:hAnsi="宋体" w:eastAsia="宋体" w:cs="宋体"/>
                <w:b/>
                <w:bCs/>
                <w:color w:val="auto"/>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jc w:val="center"/>
              <w:rPr>
                <w:rFonts w:hint="eastAsia" w:ascii="宋体" w:hAnsi="宋体" w:eastAsia="宋体" w:cs="宋体"/>
                <w:b/>
                <w:bCs/>
                <w:color w:val="auto"/>
                <w:highlight w:val="none"/>
              </w:rPr>
            </w:pPr>
          </w:p>
          <w:p>
            <w:pPr>
              <w:pStyle w:val="3"/>
              <w:rPr>
                <w:rFonts w:hint="eastAsia" w:ascii="宋体" w:hAnsi="宋体" w:eastAsia="宋体" w:cs="宋体"/>
                <w:color w:val="auto"/>
                <w:highlight w:val="none"/>
              </w:rPr>
            </w:pPr>
          </w:p>
          <w:p>
            <w:pPr>
              <w:jc w:val="center"/>
              <w:rPr>
                <w:rFonts w:hint="eastAsia" w:ascii="宋体" w:hAnsi="宋体" w:eastAsia="宋体" w:cs="宋体"/>
                <w:b/>
                <w:bCs/>
                <w:color w:val="auto"/>
                <w:highlight w:val="none"/>
              </w:rPr>
            </w:pP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注：在202</w:t>
            </w:r>
            <w:r>
              <w:rPr>
                <w:rFonts w:hint="eastAsia" w:ascii="宋体" w:hAnsi="宋体" w:cs="宋体"/>
                <w:b/>
                <w:bCs/>
                <w:color w:val="auto"/>
                <w:highlight w:val="none"/>
                <w:lang w:val="en-US" w:eastAsia="zh-CN"/>
              </w:rPr>
              <w:t>3</w:t>
            </w:r>
            <w:r>
              <w:rPr>
                <w:rFonts w:hint="eastAsia" w:ascii="宋体" w:hAnsi="宋体" w:eastAsia="宋体" w:cs="宋体"/>
                <w:b/>
                <w:bCs/>
                <w:color w:val="auto"/>
                <w:highlight w:val="none"/>
              </w:rPr>
              <w:t>年</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月</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日</w:t>
            </w:r>
            <w:r>
              <w:rPr>
                <w:rFonts w:hint="eastAsia" w:ascii="宋体" w:hAnsi="宋体" w:eastAsia="宋体" w:cs="宋体"/>
                <w:b/>
                <w:bCs/>
                <w:color w:val="auto"/>
                <w:sz w:val="21"/>
                <w:szCs w:val="21"/>
                <w:highlight w:val="none"/>
              </w:rPr>
              <w:t>＊</w:t>
            </w:r>
            <w:r>
              <w:rPr>
                <w:rFonts w:hint="eastAsia" w:ascii="宋体" w:hAnsi="宋体" w:eastAsia="宋体" w:cs="宋体"/>
                <w:b/>
                <w:bCs/>
                <w:color w:val="auto"/>
                <w:highlight w:val="none"/>
              </w:rPr>
              <w:t>午</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时</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分</w:t>
            </w:r>
            <w:r>
              <w:rPr>
                <w:rFonts w:hint="eastAsia" w:ascii="宋体" w:hAnsi="宋体" w:eastAsia="宋体" w:cs="宋体"/>
                <w:b/>
                <w:bCs/>
                <w:color w:val="auto"/>
                <w:highlight w:val="none"/>
              </w:rPr>
              <w:t>之前不得启封</w:t>
            </w:r>
          </w:p>
          <w:p>
            <w:pPr>
              <w:jc w:val="center"/>
              <w:rPr>
                <w:rFonts w:hint="eastAsia" w:ascii="宋体" w:hAnsi="宋体" w:eastAsia="宋体" w:cs="宋体"/>
                <w:b/>
                <w:bCs/>
                <w:color w:val="auto"/>
                <w:highlight w:val="none"/>
              </w:rPr>
            </w:pPr>
          </w:p>
        </w:tc>
      </w:tr>
    </w:tbl>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jc w:val="center"/>
        <w:rPr>
          <w:rFonts w:hint="eastAsia" w:ascii="宋体" w:hAnsi="宋体" w:eastAsia="宋体" w:cs="宋体"/>
          <w:b/>
          <w:color w:val="auto"/>
          <w:sz w:val="44"/>
          <w:szCs w:val="44"/>
          <w:highlight w:val="none"/>
        </w:rPr>
      </w:pPr>
    </w:p>
    <w:p>
      <w:pPr>
        <w:spacing w:line="240" w:lineRule="atLeast"/>
        <w:rPr>
          <w:rFonts w:hint="eastAsia" w:ascii="宋体" w:hAnsi="宋体" w:eastAsia="宋体" w:cs="宋体"/>
          <w:b/>
          <w:color w:val="auto"/>
          <w:sz w:val="44"/>
          <w:szCs w:val="44"/>
          <w:highlight w:val="none"/>
        </w:rPr>
      </w:pPr>
    </w:p>
    <w:p>
      <w:pPr>
        <w:spacing w:line="240" w:lineRule="atLeast"/>
        <w:jc w:val="center"/>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p>
    <w:p>
      <w:pPr>
        <w:pStyle w:val="3"/>
        <w:outlineLvl w:val="9"/>
        <w:rPr>
          <w:rFonts w:hint="eastAsia" w:ascii="宋体" w:hAnsi="宋体" w:eastAsia="宋体" w:cs="宋体"/>
          <w:b/>
          <w:color w:val="auto"/>
          <w:sz w:val="44"/>
          <w:szCs w:val="44"/>
          <w:highlight w:val="none"/>
        </w:rPr>
      </w:pPr>
    </w:p>
    <w:p>
      <w:pPr>
        <w:pStyle w:val="4"/>
        <w:rPr>
          <w:rFonts w:hint="eastAsia"/>
          <w:color w:val="auto"/>
          <w:highlight w:val="none"/>
        </w:rPr>
      </w:pPr>
    </w:p>
    <w:p>
      <w:pPr>
        <w:pStyle w:val="4"/>
        <w:outlineLvl w:val="9"/>
        <w:rPr>
          <w:rFonts w:hint="eastAsia" w:ascii="宋体" w:hAnsi="宋体" w:eastAsia="宋体" w:cs="宋体"/>
          <w:b/>
          <w:color w:val="auto"/>
          <w:sz w:val="44"/>
          <w:szCs w:val="44"/>
          <w:highlight w:val="none"/>
        </w:rPr>
      </w:pPr>
    </w:p>
    <w:p>
      <w:pPr>
        <w:outlineLvl w:val="9"/>
        <w:rPr>
          <w:rFonts w:hint="eastAsia" w:ascii="宋体" w:hAnsi="宋体" w:eastAsia="宋体" w:cs="宋体"/>
          <w:b/>
          <w:color w:val="auto"/>
          <w:sz w:val="44"/>
          <w:szCs w:val="44"/>
          <w:highlight w:val="none"/>
        </w:rPr>
      </w:pPr>
    </w:p>
    <w:p>
      <w:pPr>
        <w:outlineLvl w:val="9"/>
        <w:rPr>
          <w:rFonts w:hint="eastAsia"/>
          <w:color w:val="auto"/>
          <w:highlight w:val="none"/>
        </w:rPr>
      </w:pPr>
    </w:p>
    <w:p>
      <w:pPr>
        <w:pStyle w:val="19"/>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360" w:lineRule="auto"/>
        <w:rPr>
          <w:rFonts w:hint="eastAsia" w:ascii="宋体" w:hAnsi="宋体" w:eastAsia="宋体" w:cs="宋体"/>
          <w:b/>
          <w:color w:val="auto"/>
          <w:sz w:val="40"/>
          <w:szCs w:val="40"/>
          <w:highlight w:val="none"/>
        </w:rPr>
      </w:pPr>
      <w:bookmarkStart w:id="1206" w:name="_Toc24900_WPSOffice_Level2"/>
    </w:p>
    <w:p>
      <w:pPr>
        <w:spacing w:line="360" w:lineRule="auto"/>
        <w:jc w:val="center"/>
        <w:rPr>
          <w:rFonts w:hint="eastAsia" w:ascii="宋体" w:hAnsi="宋体" w:eastAsia="宋体" w:cs="宋体"/>
          <w:b/>
          <w:color w:val="auto"/>
          <w:sz w:val="40"/>
          <w:szCs w:val="40"/>
          <w:highlight w:val="none"/>
          <w:lang w:val="en-US" w:eastAsia="zh-CN"/>
        </w:rPr>
      </w:pPr>
      <w:r>
        <w:rPr>
          <w:rFonts w:hint="eastAsia" w:ascii="宋体" w:hAnsi="宋体" w:eastAsia="宋体" w:cs="宋体"/>
          <w:b/>
          <w:color w:val="auto"/>
          <w:sz w:val="40"/>
          <w:szCs w:val="40"/>
          <w:highlight w:val="none"/>
        </w:rPr>
        <w:t>项目编号：</w:t>
      </w:r>
      <w:bookmarkEnd w:id="1206"/>
      <w:r>
        <w:rPr>
          <w:rFonts w:hint="eastAsia" w:ascii="宋体" w:hAnsi="宋体" w:cs="宋体"/>
          <w:b/>
          <w:color w:val="auto"/>
          <w:sz w:val="40"/>
          <w:szCs w:val="40"/>
          <w:highlight w:val="none"/>
          <w:lang w:eastAsia="zh-CN"/>
        </w:rPr>
        <w:t xml:space="preserve">ZPDL（2023）09 </w:t>
      </w: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32"/>
          <w:highlight w:val="none"/>
        </w:rPr>
      </w:pPr>
    </w:p>
    <w:p>
      <w:pPr>
        <w:spacing w:line="240" w:lineRule="atLeast"/>
        <w:jc w:val="center"/>
        <w:rPr>
          <w:rFonts w:hint="eastAsia" w:ascii="宋体" w:hAnsi="宋体" w:eastAsia="宋体" w:cs="宋体"/>
          <w:b/>
          <w:color w:val="auto"/>
          <w:sz w:val="44"/>
          <w:szCs w:val="36"/>
          <w:highlight w:val="none"/>
        </w:rPr>
      </w:pPr>
      <w:r>
        <w:rPr>
          <w:rFonts w:hint="eastAsia" w:ascii="宋体" w:hAnsi="宋体" w:eastAsia="宋体" w:cs="宋体"/>
          <w:b/>
          <w:color w:val="auto"/>
          <w:sz w:val="44"/>
          <w:szCs w:val="36"/>
          <w:highlight w:val="none"/>
        </w:rPr>
        <w:t>第 二 册</w:t>
      </w:r>
    </w:p>
    <w:p>
      <w:pPr>
        <w:rPr>
          <w:rFonts w:hint="eastAsia" w:ascii="宋体" w:hAnsi="宋体" w:eastAsia="宋体" w:cs="宋体"/>
          <w:color w:val="auto"/>
          <w:sz w:val="44"/>
          <w:szCs w:val="36"/>
          <w:highlight w:val="none"/>
        </w:rPr>
      </w:pPr>
    </w:p>
    <w:p>
      <w:pPr>
        <w:pStyle w:val="3"/>
        <w:rPr>
          <w:rFonts w:hint="eastAsia" w:ascii="宋体" w:hAnsi="宋体" w:eastAsia="宋体" w:cs="宋体"/>
          <w:b/>
          <w:color w:val="auto"/>
          <w:sz w:val="44"/>
          <w:szCs w:val="36"/>
          <w:highlight w:val="none"/>
        </w:rPr>
      </w:pPr>
    </w:p>
    <w:p>
      <w:pPr>
        <w:pStyle w:val="4"/>
        <w:rPr>
          <w:rFonts w:hint="eastAsia" w:ascii="宋体" w:hAnsi="宋体" w:eastAsia="宋体" w:cs="宋体"/>
          <w:b/>
          <w:color w:val="auto"/>
          <w:sz w:val="44"/>
          <w:szCs w:val="36"/>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32"/>
          <w:highlight w:val="none"/>
        </w:rPr>
      </w:pPr>
    </w:p>
    <w:p>
      <w:pPr>
        <w:pStyle w:val="3"/>
        <w:rPr>
          <w:rFonts w:hint="eastAsia" w:ascii="宋体" w:hAnsi="宋体" w:eastAsia="宋体" w:cs="宋体"/>
          <w:b/>
          <w:color w:val="auto"/>
          <w:sz w:val="32"/>
          <w:highlight w:val="none"/>
        </w:rPr>
      </w:pPr>
    </w:p>
    <w:bookmarkEnd w:id="1116"/>
    <w:bookmarkEnd w:id="1117"/>
    <w:bookmarkEnd w:id="1118"/>
    <w:bookmarkEnd w:id="1119"/>
    <w:bookmarkEnd w:id="1148"/>
    <w:bookmarkEnd w:id="1149"/>
    <w:bookmarkEnd w:id="1150"/>
    <w:bookmarkEnd w:id="1151"/>
    <w:bookmarkEnd w:id="1152"/>
    <w:bookmarkEnd w:id="1153"/>
    <w:p>
      <w:pPr>
        <w:pStyle w:val="3"/>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Style w:val="37"/>
          <w:rFonts w:hint="eastAsia" w:ascii="宋体" w:hAnsi="宋体" w:eastAsia="宋体" w:cs="宋体"/>
          <w:color w:val="auto"/>
          <w:highlight w:val="none"/>
        </w:rPr>
      </w:pPr>
      <w:bookmarkStart w:id="1207" w:name="_Toc507399902"/>
      <w:bookmarkStart w:id="1208" w:name="_Toc219175634"/>
      <w:bookmarkStart w:id="1209" w:name="_Toc28765"/>
      <w:bookmarkStart w:id="1210" w:name="_Toc29715"/>
      <w:bookmarkStart w:id="1211" w:name="_Toc216582822"/>
      <w:bookmarkStart w:id="1212" w:name="_Toc16370"/>
      <w:bookmarkStart w:id="1213" w:name="_Toc22081"/>
      <w:bookmarkStart w:id="1214" w:name="_Toc515647829"/>
      <w:bookmarkStart w:id="1215" w:name="_Toc218935350"/>
      <w:r>
        <w:rPr>
          <w:rStyle w:val="37"/>
          <w:rFonts w:hint="eastAsia" w:ascii="宋体" w:hAnsi="宋体" w:eastAsia="宋体" w:cs="宋体"/>
          <w:color w:val="auto"/>
          <w:highlight w:val="none"/>
        </w:rPr>
        <w:br w:type="page"/>
      </w:r>
    </w:p>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r>
        <w:rPr>
          <w:rFonts w:hint="eastAsia" w:ascii="宋体" w:hAnsi="宋体" w:cs="宋体"/>
          <w:b/>
          <w:bCs/>
          <w:color w:val="auto"/>
          <w:kern w:val="0"/>
          <w:sz w:val="32"/>
          <w:szCs w:val="32"/>
          <w:highlight w:val="none"/>
          <w:lang w:val="en-US" w:eastAsia="zh-CN" w:bidi="ar-SA"/>
        </w:rPr>
        <w:t xml:space="preserve"> </w:t>
      </w:r>
      <w:bookmarkStart w:id="1216" w:name="_Toc16953"/>
      <w:r>
        <w:rPr>
          <w:rFonts w:hint="eastAsia" w:ascii="宋体" w:hAnsi="宋体" w:eastAsia="宋体" w:cs="宋体"/>
          <w:b/>
          <w:bCs/>
          <w:color w:val="auto"/>
          <w:kern w:val="0"/>
          <w:sz w:val="32"/>
          <w:szCs w:val="32"/>
          <w:highlight w:val="none"/>
          <w:lang w:val="en-US" w:eastAsia="zh-CN" w:bidi="ar-SA"/>
        </w:rPr>
        <w:t>第3章</w:t>
      </w:r>
      <w:r>
        <w:rPr>
          <w:rFonts w:hint="eastAsia" w:hAnsi="宋体" w:cs="宋体"/>
          <w:b/>
          <w:bCs/>
          <w:color w:val="auto"/>
          <w:kern w:val="0"/>
          <w:sz w:val="32"/>
          <w:szCs w:val="32"/>
          <w:highlight w:val="none"/>
          <w:lang w:val="en-US" w:eastAsia="zh-CN" w:bidi="ar-SA"/>
        </w:rPr>
        <w:t xml:space="preserve">  </w:t>
      </w:r>
      <w:r>
        <w:rPr>
          <w:rFonts w:hint="eastAsia" w:ascii="宋体" w:hAnsi="宋体" w:eastAsia="宋体" w:cs="宋体"/>
          <w:b/>
          <w:bCs/>
          <w:color w:val="auto"/>
          <w:kern w:val="0"/>
          <w:sz w:val="32"/>
          <w:szCs w:val="32"/>
          <w:highlight w:val="none"/>
          <w:lang w:val="en-US" w:eastAsia="zh-CN" w:bidi="ar-SA"/>
        </w:rPr>
        <w:t>投标邀请</w:t>
      </w:r>
      <w:bookmarkEnd w:id="1207"/>
      <w:bookmarkEnd w:id="1208"/>
      <w:bookmarkEnd w:id="1209"/>
      <w:bookmarkEnd w:id="1210"/>
      <w:bookmarkEnd w:id="1211"/>
      <w:bookmarkEnd w:id="1212"/>
      <w:bookmarkEnd w:id="1213"/>
      <w:bookmarkEnd w:id="1214"/>
      <w:bookmarkEnd w:id="1215"/>
      <w:bookmarkEnd w:id="1216"/>
      <w:bookmarkStart w:id="1217" w:name="_Toc515647830"/>
      <w:bookmarkStart w:id="1218" w:name="_Toc5272"/>
      <w:bookmarkStart w:id="1219" w:name="_Toc507399903"/>
      <w:bookmarkStart w:id="1220" w:name="_Toc512937850"/>
      <w:bookmarkStart w:id="1221" w:name="_Toc31583"/>
      <w:bookmarkStart w:id="1222" w:name="_Toc10488"/>
      <w:bookmarkStart w:id="1223" w:name="_Toc216582823"/>
    </w:p>
    <w:p>
      <w:pPr>
        <w:pStyle w:val="92"/>
        <w:keepNext w:val="0"/>
        <w:keepLines w:val="0"/>
        <w:pageBreakBefore w:val="0"/>
        <w:widowControl/>
        <w:kinsoku/>
        <w:wordWrap/>
        <w:overflowPunct/>
        <w:topLinePunct w:val="0"/>
        <w:autoSpaceDE/>
        <w:autoSpaceDN/>
        <w:bidi w:val="0"/>
        <w:adjustRightInd/>
        <w:snapToGrid/>
        <w:spacing w:before="0" w:after="0" w:line="400" w:lineRule="atLeast"/>
        <w:ind w:right="0" w:firstLine="843" w:firstLineChars="300"/>
        <w:jc w:val="both"/>
        <w:textAlignment w:val="auto"/>
        <w:rPr>
          <w:rFonts w:hint="eastAsia" w:ascii="宋体" w:hAnsi="宋体" w:eastAsia="宋体" w:cs="宋体"/>
          <w:color w:val="auto"/>
          <w:highlight w:val="none"/>
        </w:rPr>
      </w:pPr>
      <w:bookmarkStart w:id="1224" w:name="_Toc29132"/>
      <w:r>
        <w:rPr>
          <w:rFonts w:hint="eastAsia" w:ascii="宋体" w:hAnsi="宋体" w:cs="宋体"/>
          <w:b/>
          <w:bCs/>
          <w:color w:val="auto"/>
          <w:sz w:val="28"/>
          <w:szCs w:val="28"/>
          <w:highlight w:val="none"/>
          <w:lang w:eastAsia="zh-CN"/>
        </w:rPr>
        <w:t>泽普县乡镇国土空间总体规划采购项目</w:t>
      </w:r>
      <w:r>
        <w:rPr>
          <w:rFonts w:hint="eastAsia" w:ascii="宋体" w:hAnsi="宋体" w:eastAsia="宋体" w:cs="宋体"/>
          <w:b/>
          <w:bCs/>
          <w:color w:val="auto"/>
          <w:sz w:val="28"/>
          <w:szCs w:val="28"/>
          <w:highlight w:val="none"/>
          <w:lang w:eastAsia="zh-CN"/>
        </w:rPr>
        <w:t>招标公告</w:t>
      </w:r>
    </w:p>
    <w:p>
      <w:pPr>
        <w:keepNext w:val="0"/>
        <w:keepLines w:val="0"/>
        <w:pageBreakBefore w:val="0"/>
        <w:widowControl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400" w:lineRule="atLeast"/>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项目概况 </w:t>
      </w:r>
    </w:p>
    <w:p>
      <w:pPr>
        <w:keepNext w:val="0"/>
        <w:keepLines w:val="0"/>
        <w:pageBreakBefore w:val="0"/>
        <w:widowControl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泽普县乡镇国土空间总体规划采购项目</w:t>
      </w:r>
      <w:r>
        <w:rPr>
          <w:rFonts w:hint="eastAsia" w:ascii="宋体" w:hAnsi="宋体" w:eastAsia="宋体" w:cs="宋体"/>
          <w:color w:val="auto"/>
          <w:sz w:val="24"/>
          <w:szCs w:val="24"/>
          <w:highlight w:val="none"/>
        </w:rPr>
        <w:t>招标项目的潜在投标人应在</w:t>
      </w:r>
      <w:r>
        <w:rPr>
          <w:rFonts w:hint="eastAsia" w:ascii="宋体" w:hAnsi="宋体" w:eastAsia="宋体" w:cs="宋体"/>
          <w:color w:val="auto"/>
          <w:sz w:val="24"/>
          <w:szCs w:val="24"/>
          <w:highlight w:val="none"/>
          <w:lang w:val="en-US" w:eastAsia="zh-CN"/>
        </w:rPr>
        <w:t>政采云平台（https://login.zcygov.cn/user-login/#/login）</w:t>
      </w:r>
      <w:r>
        <w:rPr>
          <w:rFonts w:hint="eastAsia" w:ascii="宋体" w:hAnsi="宋体" w:eastAsia="宋体" w:cs="宋体"/>
          <w:color w:val="auto"/>
          <w:sz w:val="24"/>
          <w:szCs w:val="24"/>
          <w:highlight w:val="none"/>
        </w:rPr>
        <w:t>获取招标文件，并于202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日 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:00（北京时间）前递交投标文件。</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一、项目基本情况</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项目编号：</w:t>
      </w:r>
      <w:r>
        <w:rPr>
          <w:rFonts w:hint="eastAsia" w:ascii="宋体" w:hAnsi="宋体" w:cs="宋体"/>
          <w:color w:val="auto"/>
          <w:highlight w:val="none"/>
          <w:lang w:val="en-US" w:eastAsia="zh-CN"/>
        </w:rPr>
        <w:t>ZPDL(2023)09</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泽普县乡镇国土空间总体规划采购项目</w:t>
      </w:r>
      <w:r>
        <w:rPr>
          <w:rFonts w:hint="eastAsia" w:ascii="宋体" w:hAnsi="宋体" w:eastAsia="宋体" w:cs="宋体"/>
          <w:color w:val="auto"/>
          <w:highlight w:val="none"/>
        </w:rPr>
        <w:t>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采购方式：</w:t>
      </w:r>
      <w:r>
        <w:rPr>
          <w:rFonts w:hint="eastAsia" w:ascii="宋体" w:hAnsi="宋体" w:eastAsia="宋体" w:cs="宋体"/>
          <w:color w:val="auto"/>
          <w:highlight w:val="none"/>
          <w:lang w:val="en-US" w:eastAsia="zh-CN"/>
        </w:rPr>
        <w:t>公开招标</w:t>
      </w:r>
      <w:r>
        <w:rPr>
          <w:rFonts w:hint="eastAsia" w:ascii="宋体" w:hAnsi="宋体" w:eastAsia="宋体" w:cs="宋体"/>
          <w:color w:val="auto"/>
          <w:highlight w:val="none"/>
        </w:rPr>
        <w:t>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预算金额（元）：</w:t>
      </w:r>
      <w:r>
        <w:rPr>
          <w:rFonts w:hint="eastAsia" w:ascii="宋体" w:hAnsi="宋体" w:cs="宋体"/>
          <w:color w:val="auto"/>
          <w:kern w:val="0"/>
          <w:sz w:val="24"/>
          <w:szCs w:val="24"/>
          <w:highlight w:val="none"/>
          <w:lang w:val="en-US" w:eastAsia="zh-CN" w:bidi="ar"/>
        </w:rPr>
        <w:t>5500000</w:t>
      </w:r>
      <w:r>
        <w:rPr>
          <w:rFonts w:hint="eastAsia" w:ascii="宋体" w:hAnsi="宋体" w:eastAsia="宋体" w:cs="宋体"/>
          <w:color w:val="auto"/>
          <w:highlight w:val="none"/>
        </w:rPr>
        <w:t>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最高限价（元）：</w:t>
      </w:r>
      <w:r>
        <w:rPr>
          <w:rFonts w:hint="eastAsia" w:ascii="宋体" w:hAnsi="宋体" w:cs="宋体"/>
          <w:color w:val="auto"/>
          <w:kern w:val="0"/>
          <w:sz w:val="24"/>
          <w:szCs w:val="24"/>
          <w:highlight w:val="none"/>
          <w:lang w:val="en-US" w:eastAsia="zh-CN" w:bidi="ar"/>
        </w:rPr>
        <w:t>1724000，1986000，1790000</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采购需求：</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标项1</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标项</w:t>
      </w:r>
      <w:r>
        <w:rPr>
          <w:rFonts w:hint="eastAsia" w:ascii="宋体" w:hAnsi="宋体" w:eastAsia="宋体" w:cs="宋体"/>
          <w:color w:val="auto"/>
          <w:highlight w:val="none"/>
        </w:rPr>
        <w:t>名称：</w:t>
      </w:r>
      <w:r>
        <w:rPr>
          <w:rFonts w:hint="eastAsia" w:ascii="宋体" w:hAnsi="宋体" w:cs="宋体"/>
          <w:color w:val="auto"/>
          <w:highlight w:val="none"/>
          <w:lang w:val="en-US" w:eastAsia="zh-CN"/>
        </w:rPr>
        <w:t>第一包</w:t>
      </w:r>
      <w:r>
        <w:rPr>
          <w:rFonts w:hint="eastAsia" w:ascii="宋体" w:hAnsi="宋体" w:eastAsia="宋体" w:cs="宋体"/>
          <w:color w:val="auto"/>
          <w:highlight w:val="none"/>
        </w:rPr>
        <w:t>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数量:1</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最高限价（元）:</w:t>
      </w:r>
      <w:r>
        <w:rPr>
          <w:rFonts w:hint="eastAsia" w:ascii="宋体" w:hAnsi="宋体" w:cs="宋体"/>
          <w:color w:val="auto"/>
          <w:kern w:val="0"/>
          <w:sz w:val="24"/>
          <w:szCs w:val="24"/>
          <w:highlight w:val="none"/>
          <w:lang w:val="en-US" w:eastAsia="zh-CN" w:bidi="ar"/>
        </w:rPr>
        <w:t>1724000</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jc w:val="left"/>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单位：次</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简要规格描述或项目基本概况介绍、用途：</w:t>
      </w:r>
      <w:r>
        <w:rPr>
          <w:rFonts w:hint="eastAsia" w:ascii="宋体" w:hAnsi="宋体" w:eastAsia="宋体" w:cs="宋体"/>
          <w:color w:val="auto"/>
          <w:highlight w:val="none"/>
          <w:lang w:val="en-US" w:eastAsia="zh-CN"/>
        </w:rPr>
        <w:t>依玛乡国土空间总体规划及2个村庄规划编制、赛力乡国土空间总体规划编制及2个村庄规划编制和阿依库勒乡国土空间总体规划编制及3个村庄规划编制。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标项2</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标项</w:t>
      </w:r>
      <w:r>
        <w:rPr>
          <w:rFonts w:hint="eastAsia" w:ascii="宋体" w:hAnsi="宋体" w:eastAsia="宋体" w:cs="宋体"/>
          <w:color w:val="auto"/>
          <w:highlight w:val="none"/>
        </w:rPr>
        <w:t>名称：</w:t>
      </w:r>
      <w:r>
        <w:rPr>
          <w:rFonts w:hint="eastAsia" w:ascii="宋体" w:hAnsi="宋体" w:cs="宋体"/>
          <w:color w:val="auto"/>
          <w:highlight w:val="none"/>
          <w:lang w:val="en-US" w:eastAsia="zh-CN"/>
        </w:rPr>
        <w:t>第二包</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数量:1</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最高限价（元）:</w:t>
      </w:r>
      <w:r>
        <w:rPr>
          <w:rFonts w:hint="eastAsia" w:ascii="宋体" w:hAnsi="宋体" w:cs="宋体"/>
          <w:color w:val="auto"/>
          <w:kern w:val="0"/>
          <w:sz w:val="24"/>
          <w:szCs w:val="24"/>
          <w:highlight w:val="none"/>
          <w:lang w:val="en-US" w:eastAsia="zh-CN" w:bidi="ar"/>
        </w:rPr>
        <w:t>1986000</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jc w:val="left"/>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单位：次</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简要规格描述或项目基本概况介绍、用途：</w:t>
      </w:r>
      <w:r>
        <w:rPr>
          <w:rFonts w:hint="eastAsia" w:ascii="宋体" w:hAnsi="宋体" w:eastAsia="宋体" w:cs="宋体"/>
          <w:color w:val="auto"/>
          <w:highlight w:val="none"/>
          <w:lang w:val="en-US" w:eastAsia="zh-CN"/>
        </w:rPr>
        <w:t>图呼其乡国土空间总体规划及3个村庄规划编制、奎依巴格乡国土空间总体规划及1个村庄规划编制、阿克塔木乡国土空间总体规划及2个村庄规划编制、布依鲁克乡国土空间总体规划及4个村庄规划编制 。</w:t>
      </w:r>
    </w:p>
    <w:p>
      <w:pPr>
        <w:keepNext w:val="0"/>
        <w:keepLines w:val="0"/>
        <w:pageBreakBefore w:val="0"/>
        <w:widowControl/>
        <w:suppressAutoHyphens w:val="0"/>
        <w:kinsoku/>
        <w:wordWrap/>
        <w:overflowPunct/>
        <w:topLinePunct w:val="0"/>
        <w:autoSpaceDE/>
        <w:autoSpaceDN/>
        <w:bidi w:val="0"/>
        <w:adjustRightInd/>
        <w:snapToGrid/>
        <w:spacing w:before="75" w:after="75" w:line="380" w:lineRule="atLeast"/>
        <w:ind w:left="0" w:right="0" w:firstLine="480"/>
        <w:jc w:val="left"/>
        <w:textAlignment w:val="auto"/>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标项3</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标项</w:t>
      </w:r>
      <w:r>
        <w:rPr>
          <w:rFonts w:hint="eastAsia" w:ascii="宋体" w:hAnsi="宋体" w:eastAsia="宋体" w:cs="宋体"/>
          <w:color w:val="auto"/>
          <w:highlight w:val="none"/>
        </w:rPr>
        <w:t>名称：</w:t>
      </w:r>
      <w:r>
        <w:rPr>
          <w:rFonts w:hint="eastAsia" w:ascii="宋体" w:hAnsi="宋体" w:cs="宋体"/>
          <w:color w:val="auto"/>
          <w:highlight w:val="none"/>
          <w:lang w:val="en-US" w:eastAsia="zh-CN"/>
        </w:rPr>
        <w:t>第三包</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数量:1</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最高限价（元）:</w:t>
      </w:r>
      <w:r>
        <w:rPr>
          <w:rFonts w:hint="eastAsia" w:ascii="宋体" w:hAnsi="宋体" w:cs="宋体"/>
          <w:color w:val="auto"/>
          <w:kern w:val="0"/>
          <w:sz w:val="24"/>
          <w:szCs w:val="24"/>
          <w:highlight w:val="none"/>
          <w:lang w:val="en-US" w:eastAsia="zh-CN" w:bidi="ar"/>
        </w:rPr>
        <w:t>1790000</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jc w:val="left"/>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单位：次</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简要规格描述或项目基本概况介绍、用途：</w:t>
      </w:r>
      <w:r>
        <w:rPr>
          <w:rFonts w:hint="eastAsia" w:ascii="宋体" w:hAnsi="宋体" w:eastAsia="宋体" w:cs="宋体"/>
          <w:color w:val="auto"/>
          <w:highlight w:val="none"/>
          <w:lang w:val="en-US" w:eastAsia="zh-CN"/>
        </w:rPr>
        <w:t>古勒巴格乡国土空间总体规划及2个村庄规划编制、依克苏乡国土空间总体规划及3个村庄规划编制和奎依巴格镇国土空间总体规划及2个村庄规划编制。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合同履约期限：标项 1</w:t>
      </w:r>
      <w:r>
        <w:rPr>
          <w:rFonts w:hint="eastAsia" w:ascii="宋体" w:hAnsi="宋体" w:cs="宋体"/>
          <w:color w:val="auto"/>
          <w:highlight w:val="none"/>
          <w:lang w:eastAsia="zh-CN"/>
        </w:rPr>
        <w:t>、</w:t>
      </w:r>
      <w:r>
        <w:rPr>
          <w:rFonts w:hint="eastAsia" w:ascii="宋体" w:hAnsi="宋体" w:cs="宋体"/>
          <w:color w:val="auto"/>
          <w:highlight w:val="none"/>
          <w:lang w:val="en-US" w:eastAsia="zh-CN"/>
        </w:rPr>
        <w:t>2、3</w:t>
      </w:r>
      <w:r>
        <w:rPr>
          <w:rFonts w:hint="eastAsia" w:ascii="宋体" w:hAnsi="宋体" w:eastAsia="宋体" w:cs="宋体"/>
          <w:color w:val="auto"/>
          <w:highlight w:val="none"/>
          <w:lang w:val="en-US" w:eastAsia="zh-CN"/>
        </w:rPr>
        <w:t>详见招标文件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本项目（否）接受联合体投标。  </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二、申请人的资格要求：</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1.满足《中华人民共和国政府采购法》第二十二条规定；</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2.落实政府采购政策需满足的资格要求：</w:t>
      </w:r>
      <w:r>
        <w:rPr>
          <w:rFonts w:hint="eastAsia" w:ascii="宋体" w:hAnsi="宋体" w:eastAsia="宋体" w:cs="宋体"/>
          <w:color w:val="auto"/>
          <w:highlight w:val="none"/>
          <w:lang w:val="en-US" w:eastAsia="zh-CN"/>
        </w:rPr>
        <w:t>无</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3.本项目的特定资格要求：标项1、</w:t>
      </w:r>
      <w:r>
        <w:rPr>
          <w:rFonts w:hint="eastAsia" w:ascii="宋体" w:hAnsi="宋体" w:eastAsia="宋体" w:cs="宋体"/>
          <w:color w:val="auto"/>
          <w:highlight w:val="none"/>
          <w:lang w:val="en-US" w:eastAsia="zh-CN"/>
        </w:rPr>
        <w:t>2、3</w:t>
      </w:r>
      <w:r>
        <w:rPr>
          <w:rFonts w:hint="eastAsia" w:ascii="宋体" w:hAnsi="宋体" w:eastAsia="宋体" w:cs="宋体"/>
          <w:color w:val="auto"/>
          <w:highlight w:val="none"/>
          <w:lang w:eastAsia="zh-CN"/>
        </w:rPr>
        <w:t>须具备城乡规划编制乙级及以上资质（含乙级）证书</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lang w:eastAsia="zh-CN"/>
        </w:rPr>
        <w:t>土地规划乙级及以上资</w:t>
      </w:r>
      <w:bookmarkStart w:id="2223" w:name="_GoBack"/>
      <w:bookmarkEnd w:id="2223"/>
      <w:r>
        <w:rPr>
          <w:rFonts w:hint="eastAsia" w:ascii="宋体" w:hAnsi="宋体" w:eastAsia="宋体" w:cs="宋体"/>
          <w:color w:val="auto"/>
          <w:highlight w:val="none"/>
          <w:lang w:eastAsia="zh-CN"/>
        </w:rPr>
        <w:t>质（含乙级）证书。</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color w:val="auto"/>
          <w:highlight w:val="none"/>
          <w:lang w:eastAsia="zh-CN"/>
        </w:rPr>
      </w:pPr>
      <w:r>
        <w:rPr>
          <w:rFonts w:hint="eastAsia" w:ascii="宋体" w:hAnsi="宋体" w:eastAsia="宋体" w:cs="宋体"/>
          <w:b/>
          <w:bCs/>
          <w:color w:val="auto"/>
          <w:highlight w:val="none"/>
        </w:rPr>
        <w:t>三、获取</w:t>
      </w:r>
      <w:r>
        <w:rPr>
          <w:rFonts w:hint="eastAsia" w:ascii="宋体" w:hAnsi="宋体" w:eastAsia="宋体" w:cs="宋体"/>
          <w:b/>
          <w:bCs/>
          <w:color w:val="auto"/>
          <w:highlight w:val="none"/>
          <w:lang w:val="en-US" w:eastAsia="zh-CN"/>
        </w:rPr>
        <w:t>招标文件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时间：202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日至2023年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日，每天上午10:00至14:00，下午1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0至</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0（北京时间，法定节假日除外）</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color w:val="auto"/>
          <w:sz w:val="24"/>
          <w:szCs w:val="24"/>
          <w:highlight w:val="none"/>
          <w:lang w:val="en-US" w:eastAsia="zh-CN"/>
        </w:rPr>
        <w:t>地点：政采云平台（https://login.zcygov.cn/user-login/#/login）</w:t>
      </w:r>
    </w:p>
    <w:p>
      <w:pPr>
        <w:pStyle w:val="92"/>
        <w:keepNext w:val="0"/>
        <w:keepLines w:val="0"/>
        <w:pageBreakBefore w:val="0"/>
        <w:widowControl/>
        <w:kinsoku/>
        <w:wordWrap/>
        <w:overflowPunct/>
        <w:topLinePunct w:val="0"/>
        <w:autoSpaceDE/>
        <w:autoSpaceDN w:val="0"/>
        <w:bidi w:val="0"/>
        <w:adjustRightInd/>
        <w:snapToGrid/>
        <w:spacing w:before="0" w:after="0" w:line="400" w:lineRule="exact"/>
        <w:ind w:righ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方式：</w:t>
      </w:r>
      <w:r>
        <w:rPr>
          <w:rFonts w:hint="eastAsia" w:ascii="宋体" w:hAnsi="宋体" w:eastAsia="宋体" w:cs="宋体"/>
          <w:i w:val="0"/>
          <w:iCs w:val="0"/>
          <w:caps w:val="0"/>
          <w:color w:val="auto"/>
          <w:spacing w:val="0"/>
          <w:sz w:val="24"/>
          <w:szCs w:val="24"/>
          <w:highlight w:val="none"/>
        </w:rPr>
        <w:t>供应商登录</w:t>
      </w:r>
      <w:r>
        <w:rPr>
          <w:rFonts w:hint="eastAsia" w:ascii="宋体" w:hAnsi="宋体" w:eastAsia="宋体" w:cs="宋体"/>
          <w:color w:val="auto"/>
          <w:sz w:val="24"/>
          <w:szCs w:val="24"/>
          <w:highlight w:val="none"/>
          <w:lang w:val="en-US" w:eastAsia="zh-CN"/>
        </w:rPr>
        <w:t>政采云平台https://login.zcygov.cn/user-login/#/login</w:t>
      </w:r>
      <w:r>
        <w:rPr>
          <w:rFonts w:hint="eastAsia" w:ascii="宋体" w:hAnsi="宋体" w:eastAsia="宋体" w:cs="宋体"/>
          <w:i w:val="0"/>
          <w:iCs w:val="0"/>
          <w:caps w:val="0"/>
          <w:color w:val="auto"/>
          <w:spacing w:val="0"/>
          <w:sz w:val="24"/>
          <w:szCs w:val="24"/>
          <w:highlight w:val="none"/>
        </w:rPr>
        <w:t>在线申请获取采购文件（进入“项目采购”应用，在获取采购文件菜单中选择项目，申请获取采购文件）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售价（元）：0</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lang w:eastAsia="zh-CN"/>
        </w:rPr>
        <w:t>提交投标文件截止时间、开标时间和地点</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提交投标文件截止时间：2023年</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月</w:t>
      </w:r>
      <w:r>
        <w:rPr>
          <w:rFonts w:hint="eastAsia" w:ascii="宋体" w:hAnsi="宋体" w:cs="宋体"/>
          <w:color w:val="auto"/>
          <w:highlight w:val="none"/>
          <w:lang w:val="en-US" w:eastAsia="zh-CN"/>
        </w:rPr>
        <w:t>25</w:t>
      </w:r>
      <w:r>
        <w:rPr>
          <w:rFonts w:hint="eastAsia" w:ascii="宋体" w:hAnsi="宋体" w:eastAsia="宋体" w:cs="宋体"/>
          <w:color w:val="auto"/>
          <w:highlight w:val="none"/>
          <w:lang w:val="en-US" w:eastAsia="zh-CN"/>
        </w:rPr>
        <w:t>日 11:00（北京时间）</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投标地点：政采云平台（https://login.zcygov.cn/user-login/#/login）</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开标时间：2023年</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月</w:t>
      </w:r>
      <w:r>
        <w:rPr>
          <w:rFonts w:hint="eastAsia" w:ascii="宋体" w:hAnsi="宋体" w:cs="宋体"/>
          <w:color w:val="auto"/>
          <w:highlight w:val="none"/>
          <w:lang w:val="en-US" w:eastAsia="zh-CN"/>
        </w:rPr>
        <w:t>25</w:t>
      </w:r>
      <w:r>
        <w:rPr>
          <w:rFonts w:hint="eastAsia" w:ascii="宋体" w:hAnsi="宋体" w:eastAsia="宋体" w:cs="宋体"/>
          <w:color w:val="auto"/>
          <w:highlight w:val="none"/>
          <w:lang w:val="en-US" w:eastAsia="zh-CN"/>
        </w:rPr>
        <w:t>日 11:00（北京时间）</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开标地点：政采云平台（https://login.zcygov.cn/user-login/#/login）</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五</w:t>
      </w:r>
      <w:r>
        <w:rPr>
          <w:rFonts w:hint="eastAsia" w:ascii="宋体" w:hAnsi="宋体" w:eastAsia="宋体" w:cs="宋体"/>
          <w:b/>
          <w:bCs/>
          <w:color w:val="auto"/>
          <w:highlight w:val="none"/>
        </w:rPr>
        <w:t>、公告期限</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自本公告发布之日起</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个工作日。</w:t>
      </w:r>
    </w:p>
    <w:p>
      <w:pPr>
        <w:pStyle w:val="92"/>
        <w:keepNext w:val="0"/>
        <w:keepLines w:val="0"/>
        <w:pageBreakBefore w:val="0"/>
        <w:widowControl/>
        <w:kinsoku/>
        <w:wordWrap/>
        <w:overflowPunct/>
        <w:topLinePunct w:val="0"/>
        <w:autoSpaceDE/>
        <w:autoSpaceDN/>
        <w:bidi w:val="0"/>
        <w:adjustRightInd/>
        <w:snapToGrid/>
        <w:spacing w:line="380" w:lineRule="atLeast"/>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六</w:t>
      </w:r>
      <w:r>
        <w:rPr>
          <w:rFonts w:hint="eastAsia" w:ascii="宋体" w:hAnsi="宋体" w:eastAsia="宋体" w:cs="宋体"/>
          <w:b/>
          <w:bCs/>
          <w:color w:val="auto"/>
          <w:highlight w:val="none"/>
        </w:rPr>
        <w:t>、其他补充事宜</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本次采购采用电子交易方式，电子交易平台为“政府采购云平台（www.zcygov.cn）”。供应商参与本项目电子交易活动前，应注册成为政府采购云平台供应商。编制电子投标文件前还需申领CA证书并绑定帐号。供应商应充分考虑完成平台注册、申领CA证书等所需的时间。因未注册入库、未办理CA数字证书等原因造成无法投标或投标失败等后果由供应商自行承担。</w:t>
      </w:r>
      <w:r>
        <w:rPr>
          <w:rFonts w:hint="eastAsia" w:ascii="宋体" w:hAnsi="宋体" w:eastAsia="宋体" w:cs="宋体"/>
          <w:color w:val="auto"/>
          <w:highlight w:val="none"/>
          <w:lang w:eastAsia="zh-CN"/>
        </w:rPr>
        <w:br w:type="textWrapping"/>
      </w:r>
      <w:r>
        <w:rPr>
          <w:rFonts w:hint="eastAsia" w:ascii="宋体" w:hAnsi="宋体" w:eastAsia="宋体" w:cs="宋体"/>
          <w:color w:val="auto"/>
          <w:highlight w:val="none"/>
          <w:lang w:eastAsia="zh-CN"/>
        </w:rPr>
        <w:t>2.各政府采购代理机构（含集采机构）及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政采云在线客服获取服务。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特别提示：</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宋体" w:hAnsi="宋体" w:eastAsia="宋体" w:cs="宋体"/>
          <w:color w:val="auto"/>
          <w:highlight w:val="none"/>
          <w:lang w:eastAsia="zh-CN"/>
        </w:rPr>
        <w:br w:type="textWrapping"/>
      </w:r>
      <w:r>
        <w:rPr>
          <w:rFonts w:hint="eastAsia" w:ascii="宋体" w:hAnsi="宋体" w:eastAsia="宋体" w:cs="宋体"/>
          <w:color w:val="auto"/>
          <w:highlight w:val="none"/>
          <w:lang w:eastAsia="zh-CN"/>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宋体" w:hAnsi="宋体" w:eastAsia="宋体" w:cs="宋体"/>
          <w:color w:val="auto"/>
          <w:highlight w:val="none"/>
          <w:lang w:eastAsia="zh-CN"/>
        </w:rPr>
        <w:br w:type="textWrapping"/>
      </w:r>
      <w:r>
        <w:rPr>
          <w:rFonts w:hint="eastAsia" w:ascii="宋体" w:hAnsi="宋体" w:eastAsia="宋体" w:cs="宋体"/>
          <w:color w:val="auto"/>
          <w:highlight w:val="none"/>
          <w:lang w:eastAsia="zh-CN"/>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92"/>
        <w:keepNext w:val="0"/>
        <w:keepLines w:val="0"/>
        <w:pageBreakBefore w:val="0"/>
        <w:widowControl/>
        <w:numPr>
          <w:ilvl w:val="0"/>
          <w:numId w:val="0"/>
        </w:numPr>
        <w:kinsoku/>
        <w:wordWrap/>
        <w:overflowPunct/>
        <w:topLinePunct w:val="0"/>
        <w:autoSpaceDE/>
        <w:autoSpaceDN/>
        <w:bidi w:val="0"/>
        <w:adjustRightInd/>
        <w:snapToGrid/>
        <w:spacing w:line="380" w:lineRule="atLeast"/>
        <w:ind w:leftChars="0" w:right="0" w:right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七</w:t>
      </w:r>
      <w:r>
        <w:rPr>
          <w:rFonts w:hint="eastAsia" w:ascii="宋体" w:hAnsi="宋体" w:eastAsia="宋体" w:cs="宋体"/>
          <w:b/>
          <w:bCs/>
          <w:color w:val="auto"/>
          <w:highlight w:val="none"/>
        </w:rPr>
        <w:t>、对本次招标提出询问，请按以下方式联系</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1.采购人信息</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bookmarkStart w:id="1225" w:name="_Toc28359086"/>
      <w:bookmarkStart w:id="1226" w:name="_Toc28359009"/>
      <w:r>
        <w:rPr>
          <w:rFonts w:hint="eastAsia" w:ascii="宋体" w:hAnsi="宋体" w:eastAsia="宋体" w:cs="宋体"/>
          <w:color w:val="auto"/>
          <w:highlight w:val="none"/>
          <w:lang w:val="en-US" w:eastAsia="zh-CN"/>
        </w:rPr>
        <w:t>名 称：</w:t>
      </w:r>
      <w:r>
        <w:rPr>
          <w:rFonts w:hint="eastAsia" w:ascii="宋体" w:hAnsi="宋体" w:cs="宋体"/>
          <w:color w:val="auto"/>
          <w:highlight w:val="none"/>
          <w:lang w:val="en-US" w:eastAsia="zh-CN"/>
        </w:rPr>
        <w:t>新疆维吾尔自治区泽普县自然资源局</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 址：泽普县团结西路</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联系方式：13579050818</w:t>
      </w:r>
    </w:p>
    <w:bookmarkEnd w:id="1225"/>
    <w:bookmarkEnd w:id="1226"/>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2.采购代理机构信息</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bookmarkStart w:id="1227" w:name="_Toc28359010"/>
      <w:bookmarkStart w:id="1228" w:name="_Toc28359087"/>
      <w:r>
        <w:rPr>
          <w:rFonts w:hint="eastAsia" w:ascii="宋体" w:hAnsi="宋体" w:eastAsia="宋体" w:cs="宋体"/>
          <w:color w:val="auto"/>
          <w:highlight w:val="none"/>
          <w:lang w:val="en-US" w:eastAsia="zh-CN"/>
        </w:rPr>
        <w:t>名    称：中经国际工程咨询集团有限公司</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　  址：喀什经济开发区深圳城3号楼12层1204</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联系方式：18099850003</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3.项目联系方式</w:t>
      </w:r>
      <w:bookmarkEnd w:id="1227"/>
      <w:bookmarkEnd w:id="1228"/>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项目联系人：韩露</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电　话：18099850003</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rPr>
      </w:pPr>
    </w:p>
    <w:p>
      <w:pPr>
        <w:pStyle w:val="3"/>
        <w:spacing w:line="360" w:lineRule="exact"/>
        <w:jc w:val="right"/>
        <w:rPr>
          <w:rFonts w:ascii="微软雅黑" w:hAnsi="微软雅黑" w:eastAsia="微软雅黑" w:cs="微软雅黑"/>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p>
    <w:p>
      <w:pPr>
        <w:rPr>
          <w:color w:val="auto"/>
          <w:highlight w:val="none"/>
        </w:rPr>
      </w:pPr>
    </w:p>
    <w:p>
      <w:pPr>
        <w:pStyle w:val="19"/>
        <w:rPr>
          <w:rFonts w:hint="eastAsia" w:ascii="宋体" w:hAnsi="宋体" w:eastAsia="宋体" w:cs="宋体"/>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5"/>
        <w:tabs>
          <w:tab w:val="left" w:pos="0"/>
        </w:tabs>
        <w:spacing w:before="0" w:after="0" w:line="240" w:lineRule="atLeast"/>
        <w:rPr>
          <w:rFonts w:hint="eastAsia" w:ascii="宋体" w:hAnsi="宋体" w:eastAsia="宋体" w:cs="宋体"/>
          <w:b/>
          <w:bCs/>
          <w:color w:val="auto"/>
          <w:szCs w:val="32"/>
          <w:highlight w:val="none"/>
        </w:rPr>
      </w:pPr>
      <w:bookmarkStart w:id="1229" w:name="_Toc28470"/>
      <w:r>
        <w:rPr>
          <w:rFonts w:hint="eastAsia" w:ascii="宋体" w:hAnsi="宋体" w:eastAsia="宋体" w:cs="宋体"/>
          <w:b/>
          <w:bCs/>
          <w:color w:val="auto"/>
          <w:kern w:val="0"/>
          <w:sz w:val="32"/>
          <w:szCs w:val="32"/>
          <w:highlight w:val="none"/>
          <w:lang w:val="en-US" w:eastAsia="zh-CN" w:bidi="ar-SA"/>
        </w:rPr>
        <w:t>第4章</w:t>
      </w:r>
      <w:r>
        <w:rPr>
          <w:rFonts w:hint="eastAsia" w:hAnsi="宋体" w:cs="宋体"/>
          <w:b/>
          <w:bCs/>
          <w:color w:val="auto"/>
          <w:kern w:val="0"/>
          <w:sz w:val="32"/>
          <w:szCs w:val="32"/>
          <w:highlight w:val="none"/>
          <w:lang w:val="en-US" w:eastAsia="zh-CN" w:bidi="ar-SA"/>
        </w:rPr>
        <w:t xml:space="preserve">  </w:t>
      </w:r>
      <w:r>
        <w:rPr>
          <w:rFonts w:hint="eastAsia" w:ascii="宋体" w:hAnsi="宋体" w:eastAsia="宋体" w:cs="宋体"/>
          <w:b/>
          <w:bCs/>
          <w:color w:val="auto"/>
          <w:kern w:val="0"/>
          <w:sz w:val="32"/>
          <w:szCs w:val="32"/>
          <w:highlight w:val="none"/>
          <w:lang w:val="en-US" w:eastAsia="zh-CN" w:bidi="ar-SA"/>
        </w:rPr>
        <w:t>供应商须知资料表</w:t>
      </w:r>
      <w:bookmarkEnd w:id="1217"/>
      <w:bookmarkEnd w:id="1218"/>
      <w:bookmarkEnd w:id="1219"/>
      <w:bookmarkEnd w:id="1220"/>
      <w:bookmarkEnd w:id="1221"/>
      <w:bookmarkEnd w:id="1222"/>
      <w:bookmarkEnd w:id="1223"/>
      <w:bookmarkEnd w:id="1224"/>
      <w:bookmarkEnd w:id="1229"/>
    </w:p>
    <w:p>
      <w:pPr>
        <w:spacing w:line="40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本表是本招标项目的具体资料，是对供应商须知的具体补充和修改，如有矛盾，应以本资料表为准。</w:t>
      </w:r>
    </w:p>
    <w:tbl>
      <w:tblPr>
        <w:tblStyle w:val="25"/>
        <w:tblW w:w="9260" w:type="dxa"/>
        <w:tblInd w:w="-31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78"/>
        <w:gridCol w:w="78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7882" w:type="dxa"/>
            <w:vAlign w:val="center"/>
          </w:tcPr>
          <w:p>
            <w:pPr>
              <w:shd w:val="clear" w:color="auto" w:fill="auto"/>
              <w:spacing w:line="36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ascii="宋体" w:hAnsi="宋体" w:cs="宋体"/>
                <w:color w:val="auto"/>
                <w:sz w:val="24"/>
                <w:szCs w:val="24"/>
                <w:highlight w:val="none"/>
                <w:u w:val="single"/>
                <w:lang w:eastAsia="zh-CN"/>
              </w:rPr>
              <w:t>新疆维吾尔自治区泽普县自然资源局</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u w:val="single"/>
                <w:lang w:val="en-US" w:eastAsia="zh-CN"/>
              </w:rPr>
              <w:t>胥洪松</w:t>
            </w:r>
            <w:r>
              <w:rPr>
                <w:rFonts w:hint="eastAsia" w:ascii="宋体" w:hAnsi="宋体" w:eastAsia="宋体" w:cs="宋体"/>
                <w:color w:val="auto"/>
                <w:sz w:val="24"/>
                <w:szCs w:val="24"/>
                <w:highlight w:val="none"/>
              </w:rPr>
              <w:t xml:space="preserve">       联系电话：</w:t>
            </w:r>
            <w:r>
              <w:rPr>
                <w:rFonts w:hint="eastAsia" w:ascii="宋体" w:hAnsi="宋体" w:cs="宋体"/>
                <w:color w:val="auto"/>
                <w:sz w:val="24"/>
                <w:szCs w:val="24"/>
                <w:highlight w:val="none"/>
                <w:u w:val="single"/>
                <w:lang w:eastAsia="zh-CN"/>
              </w:rPr>
              <w:t>13579050818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4"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r>
              <w:rPr>
                <w:rFonts w:hint="eastAsia" w:ascii="宋体" w:hAnsi="宋体" w:cs="宋体"/>
                <w:color w:val="auto"/>
                <w:sz w:val="24"/>
                <w:szCs w:val="24"/>
                <w:highlight w:val="none"/>
                <w:u w:val="single"/>
                <w:lang w:eastAsia="zh-CN"/>
              </w:rPr>
              <w:t>中经国际工程咨询集团有限公司</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lang w:eastAsia="zh-CN"/>
              </w:rPr>
              <w:t>喀什经济开发区深圳城3号楼12层1204</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业务联系人：</w:t>
            </w:r>
            <w:r>
              <w:rPr>
                <w:rFonts w:hint="eastAsia" w:ascii="宋体" w:hAnsi="宋体" w:cs="宋体"/>
                <w:color w:val="auto"/>
                <w:sz w:val="24"/>
                <w:szCs w:val="24"/>
                <w:highlight w:val="none"/>
                <w:u w:val="single"/>
                <w:lang w:val="en-US" w:eastAsia="zh-CN"/>
              </w:rPr>
              <w:t>韩露</w:t>
            </w:r>
            <w:r>
              <w:rPr>
                <w:rFonts w:hint="eastAsia" w:ascii="宋体" w:hAnsi="宋体" w:eastAsia="宋体" w:cs="宋体"/>
                <w:color w:val="auto"/>
                <w:sz w:val="24"/>
                <w:szCs w:val="24"/>
                <w:highlight w:val="none"/>
              </w:rPr>
              <w:t xml:space="preserve">　   联系电话： </w:t>
            </w:r>
            <w:r>
              <w:rPr>
                <w:rFonts w:hint="eastAsia" w:ascii="宋体" w:hAnsi="宋体" w:cs="宋体"/>
                <w:color w:val="auto"/>
                <w:sz w:val="24"/>
                <w:szCs w:val="24"/>
                <w:highlight w:val="none"/>
                <w:u w:val="single"/>
                <w:lang w:eastAsia="zh-CN"/>
              </w:rPr>
              <w:t xml:space="preserve"> 18099850003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4"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w:t>
            </w:r>
          </w:p>
        </w:tc>
        <w:tc>
          <w:tcPr>
            <w:tcW w:w="7882" w:type="dxa"/>
            <w:vAlign w:val="center"/>
          </w:tcPr>
          <w:p>
            <w:pPr>
              <w:keepNext w:val="0"/>
              <w:keepLines w:val="0"/>
              <w:pageBreakBefore w:val="0"/>
              <w:widowControl/>
              <w:shd w:val="clear"/>
              <w:kinsoku/>
              <w:wordWrap/>
              <w:overflowPunct/>
              <w:topLinePunct w:val="0"/>
              <w:autoSpaceDE/>
              <w:autoSpaceDN/>
              <w:bidi w:val="0"/>
              <w:adjustRightInd/>
              <w:snapToGrid w:val="0"/>
              <w:spacing w:line="360" w:lineRule="exact"/>
              <w:jc w:val="left"/>
              <w:textAlignment w:val="baseline"/>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合格供应商的其他资格要求：</w:t>
            </w:r>
            <w:r>
              <w:rPr>
                <w:rFonts w:hint="eastAsia" w:ascii="宋体" w:hAnsi="宋体" w:eastAsia="宋体" w:cs="宋体"/>
                <w:b/>
                <w:bCs/>
                <w:color w:val="auto"/>
                <w:sz w:val="24"/>
                <w:szCs w:val="24"/>
                <w:highlight w:val="none"/>
                <w:lang w:val="en-US" w:eastAsia="zh-CN"/>
              </w:rPr>
              <w:t>（须将以下资格证明材料附在投标文件中）</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（1）具有有效的营业执照；</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（2）法定代表人资格证明及授权书、被授权人身份证(法定代表人投标需提供法定代表人身份证)；</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（3）提供近两年内任意一年的财务审计报告；</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（4）依法缴纳近六个月内任意一个月社会保险证明；</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（5）</w:t>
            </w:r>
            <w:r>
              <w:rPr>
                <w:rFonts w:hint="eastAsia" w:ascii="宋体" w:hAnsi="宋体" w:cs="宋体"/>
                <w:b/>
                <w:bCs/>
                <w:i w:val="0"/>
                <w:caps w:val="0"/>
                <w:color w:val="auto"/>
                <w:spacing w:val="0"/>
                <w:w w:val="100"/>
                <w:sz w:val="24"/>
                <w:szCs w:val="24"/>
                <w:highlight w:val="none"/>
                <w:lang w:val="en-US"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lang w:val="en-US" w:eastAsia="zh-CN"/>
              </w:rPr>
              <w:t>；</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（6）根据《财政部关于在政府采购活动中查询及使用信用记录有关问题的通知》（财库﹝2016﹞125号）的要求，凡拟参加本次招标项目的供应商，如在“信用中国”网站（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w:t>
            </w:r>
            <w:r>
              <w:rPr>
                <w:rFonts w:hint="eastAsia" w:ascii="宋体" w:hAnsi="宋体" w:cs="宋体"/>
                <w:b/>
                <w:bCs/>
                <w:i w:val="0"/>
                <w:caps w:val="0"/>
                <w:color w:val="auto"/>
                <w:spacing w:val="0"/>
                <w:w w:val="100"/>
                <w:sz w:val="24"/>
                <w:szCs w:val="24"/>
                <w:highlight w:val="none"/>
                <w:lang w:val="en-US" w:eastAsia="zh-CN"/>
              </w:rPr>
              <w:t>重点领域严重失信主体名单查询-搜索栏输入单位全称</w:t>
            </w:r>
            <w:r>
              <w:rPr>
                <w:rFonts w:hint="eastAsia" w:ascii="宋体" w:hAnsi="宋体" w:eastAsia="宋体" w:cs="宋体"/>
                <w:b/>
                <w:bCs/>
                <w:i w:val="0"/>
                <w:caps w:val="0"/>
                <w:color w:val="auto"/>
                <w:spacing w:val="0"/>
                <w:w w:val="100"/>
                <w:sz w:val="24"/>
                <w:szCs w:val="24"/>
                <w:highlight w:val="none"/>
                <w:lang w:val="en-US" w:eastAsia="zh-CN"/>
              </w:rPr>
              <w:t>)、中国政府采购网（http://www.ccgp.gov.cn/search/cr/）严重违法失信行为信息记录名单的（尚在处罚期内的），“国家企业信用信息公示系统（http://www.gsxt.gov.cn）”</w:t>
            </w:r>
            <w:r>
              <w:rPr>
                <w:rFonts w:hint="eastAsia" w:ascii="宋体" w:hAnsi="宋体" w:cs="宋体"/>
                <w:b/>
                <w:bCs/>
                <w:i w:val="0"/>
                <w:caps w:val="0"/>
                <w:color w:val="auto"/>
                <w:spacing w:val="0"/>
                <w:w w:val="100"/>
                <w:sz w:val="24"/>
                <w:szCs w:val="24"/>
                <w:highlight w:val="none"/>
                <w:lang w:val="en-US" w:eastAsia="zh-CN"/>
              </w:rPr>
              <w:t>列入严重违法失信名单（黑名单）信息</w:t>
            </w:r>
            <w:r>
              <w:rPr>
                <w:rFonts w:hint="eastAsia" w:ascii="宋体" w:hAnsi="宋体" w:eastAsia="宋体" w:cs="宋体"/>
                <w:b/>
                <w:bCs/>
                <w:i w:val="0"/>
                <w:caps w:val="0"/>
                <w:color w:val="auto"/>
                <w:spacing w:val="0"/>
                <w:w w:val="100"/>
                <w:sz w:val="24"/>
                <w:szCs w:val="24"/>
                <w:highlight w:val="none"/>
                <w:lang w:val="en-US" w:eastAsia="zh-CN"/>
              </w:rPr>
              <w:t>；将拒绝其参加本次招标活动；（以采购代理机构或采购人查询为准）；</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（7）参与政府采购活动前3年内未被列入失信、重大税收违法案件、财政部门禁止参加政府采购活动的承诺书；</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（8）提供针对本次项目的《反商业贿赂承诺书》；</w:t>
            </w:r>
          </w:p>
          <w:p>
            <w:pPr>
              <w:pStyle w:val="19"/>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bCs/>
                <w:i w:val="0"/>
                <w:caps w:val="0"/>
                <w:color w:val="auto"/>
                <w:spacing w:val="0"/>
                <w:w w:val="100"/>
                <w:sz w:val="24"/>
                <w:szCs w:val="24"/>
                <w:highlight w:val="none"/>
                <w:lang w:val="en-US" w:eastAsia="zh-CN"/>
              </w:rPr>
            </w:pPr>
            <w:r>
              <w:rPr>
                <w:rFonts w:hint="eastAsia" w:ascii="宋体" w:hAnsi="宋体" w:eastAsia="宋体" w:cs="宋体"/>
                <w:b/>
                <w:bCs/>
                <w:i w:val="0"/>
                <w:caps w:val="0"/>
                <w:color w:val="auto"/>
                <w:spacing w:val="0"/>
                <w:w w:val="100"/>
                <w:sz w:val="24"/>
                <w:szCs w:val="24"/>
                <w:highlight w:val="none"/>
                <w:lang w:val="en-US" w:eastAsia="zh-CN"/>
              </w:rPr>
              <w:t>（9）缴纳投标保证金的有效凭证。</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b/>
                <w:bCs/>
                <w:i w:val="0"/>
                <w:caps w:val="0"/>
                <w:color w:val="auto"/>
                <w:spacing w:val="0"/>
                <w:w w:val="100"/>
                <w:kern w:val="2"/>
                <w:sz w:val="24"/>
                <w:szCs w:val="24"/>
                <w:highlight w:val="none"/>
                <w:lang w:val="en-US" w:eastAsia="zh-CN" w:bidi="ar-SA"/>
              </w:rPr>
            </w:pPr>
            <w:r>
              <w:rPr>
                <w:rFonts w:hint="eastAsia" w:ascii="宋体" w:hAnsi="宋体" w:eastAsia="宋体" w:cs="宋体"/>
                <w:b/>
                <w:bCs/>
                <w:i w:val="0"/>
                <w:caps w:val="0"/>
                <w:color w:val="auto"/>
                <w:spacing w:val="0"/>
                <w:w w:val="100"/>
                <w:kern w:val="2"/>
                <w:sz w:val="24"/>
                <w:szCs w:val="24"/>
                <w:highlight w:val="none"/>
                <w:lang w:val="en-US" w:eastAsia="zh-CN" w:bidi="ar-SA"/>
              </w:rPr>
              <w:t>（10）须具备城乡规划编制乙级及以上资质（含乙级）证书或土地规划乙级及以上资质（含乙级）证书。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0" w:lef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bCs/>
                <w:i w:val="0"/>
                <w:caps w:val="0"/>
                <w:color w:val="auto"/>
                <w:spacing w:val="0"/>
                <w:w w:val="100"/>
                <w:sz w:val="24"/>
                <w:szCs w:val="24"/>
                <w:highlight w:val="none"/>
              </w:rPr>
              <w:t>各供应商应注意以下事项：①本项目要求各投标供应商提供“</w:t>
            </w:r>
            <w:r>
              <w:rPr>
                <w:rFonts w:hint="eastAsia" w:ascii="宋体" w:hAnsi="宋体" w:cs="宋体"/>
                <w:b/>
                <w:bCs/>
                <w:i w:val="0"/>
                <w:caps w:val="0"/>
                <w:color w:val="auto"/>
                <w:spacing w:val="0"/>
                <w:w w:val="100"/>
                <w:sz w:val="24"/>
                <w:szCs w:val="24"/>
                <w:highlight w:val="none"/>
                <w:lang w:eastAsia="zh-CN"/>
              </w:rPr>
              <w:t>依法缴纳近六个月内任意一个月税收证明</w:t>
            </w:r>
            <w:r>
              <w:rPr>
                <w:rFonts w:hint="eastAsia" w:ascii="宋体" w:hAnsi="宋体" w:eastAsia="宋体" w:cs="宋体"/>
                <w:b/>
                <w:bCs/>
                <w:i w:val="0"/>
                <w:caps w:val="0"/>
                <w:color w:val="auto"/>
                <w:spacing w:val="0"/>
                <w:w w:val="100"/>
                <w:sz w:val="24"/>
                <w:szCs w:val="24"/>
                <w:highlight w:val="none"/>
              </w:rPr>
              <w:t>”，若供应商某月税收为零申报，须提供加盖税务局公章的无欠税证明或申报成功网页截图（供应商可自主登录“国家税务总局电子税务局”12366.chinatax.gov.cn/bsfw/onlinetaxation/main——税费申报及缴纳——申报结果查询）。②税务局代收的社保缴费证明不可作为本项目的完税证明（“税种”不可为养老保险、医疗保险、失业保险、工伤保险和生育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firstLineChars="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 xml:space="preserve">1.3.5   </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是否允许采购进口产品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hAnsi="宋体" w:cs="宋体"/>
                <w:color w:val="auto"/>
                <w:sz w:val="24"/>
                <w:szCs w:val="24"/>
                <w:highlight w:val="none"/>
                <w:u w:val="single"/>
                <w:lang w:val="en-US" w:eastAsia="zh-CN"/>
              </w:rPr>
              <w:t>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1.3.6</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是否为专门面向中小企业采购：</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是否允许联合体投标：</w:t>
            </w:r>
            <w:r>
              <w:rPr>
                <w:rFonts w:hint="eastAsia" w:ascii="宋体" w:hAnsi="宋体" w:eastAsia="宋体" w:cs="宋体"/>
                <w:color w:val="auto"/>
                <w:sz w:val="24"/>
                <w:szCs w:val="24"/>
                <w:highlight w:val="none"/>
                <w:u w:val="single"/>
              </w:rPr>
              <w:t xml:space="preserve">  否  </w:t>
            </w:r>
            <w:r>
              <w:rPr>
                <w:rFonts w:hint="eastAsia" w:ascii="宋体" w:hAnsi="宋体" w:eastAsia="宋体" w:cs="宋体"/>
                <w:i/>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1.4.8</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9"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7882" w:type="dxa"/>
            <w:vAlign w:val="center"/>
          </w:tcPr>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预算金额</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rPr>
              <w:t>元</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5500000</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第一包最高限价</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rPr>
              <w:t>元</w:t>
            </w:r>
            <w:r>
              <w:rPr>
                <w:rFonts w:hint="eastAsia" w:ascii="宋体" w:hAnsi="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w:t>
            </w:r>
            <w:r>
              <w:rPr>
                <w:rFonts w:hint="eastAsia" w:ascii="宋体" w:hAnsi="宋体" w:cs="宋体"/>
                <w:color w:val="auto"/>
                <w:kern w:val="0"/>
                <w:sz w:val="24"/>
                <w:szCs w:val="24"/>
                <w:highlight w:val="none"/>
                <w:lang w:val="en-US" w:eastAsia="zh-CN" w:bidi="ar"/>
              </w:rPr>
              <w:t>1724000，</w:t>
            </w:r>
            <w:r>
              <w:rPr>
                <w:rFonts w:hint="eastAsia" w:ascii="宋体" w:hAnsi="宋体" w:cs="宋体"/>
                <w:b/>
                <w:bCs/>
                <w:color w:val="auto"/>
                <w:sz w:val="24"/>
                <w:szCs w:val="24"/>
                <w:highlight w:val="none"/>
                <w:lang w:val="en-US" w:eastAsia="zh-CN"/>
              </w:rPr>
              <w:t>第二包最高限价</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rPr>
              <w:t>元</w:t>
            </w:r>
            <w:r>
              <w:rPr>
                <w:rFonts w:hint="eastAsia" w:ascii="宋体" w:hAnsi="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w:t>
            </w:r>
            <w:r>
              <w:rPr>
                <w:rFonts w:hint="eastAsia" w:ascii="宋体" w:hAnsi="宋体" w:cs="宋体"/>
                <w:color w:val="auto"/>
                <w:kern w:val="0"/>
                <w:sz w:val="24"/>
                <w:szCs w:val="24"/>
                <w:highlight w:val="none"/>
                <w:lang w:val="en-US" w:eastAsia="zh-CN" w:bidi="ar"/>
              </w:rPr>
              <w:t>1986000</w:t>
            </w:r>
            <w:r>
              <w:rPr>
                <w:rFonts w:hint="eastAsia" w:ascii="宋体" w:hAnsi="宋体" w:cs="宋体"/>
                <w:b/>
                <w:bCs/>
                <w:color w:val="auto"/>
                <w:sz w:val="24"/>
                <w:szCs w:val="24"/>
                <w:highlight w:val="none"/>
                <w:lang w:val="en-US" w:eastAsia="zh-CN"/>
              </w:rPr>
              <w:t>第三包最高限价</w:t>
            </w:r>
            <w:r>
              <w:rPr>
                <w:rFonts w:hint="eastAsia" w:ascii="宋体" w:hAnsi="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rPr>
              <w:t>元</w:t>
            </w:r>
            <w:r>
              <w:rPr>
                <w:rFonts w:hint="eastAsia" w:ascii="宋体" w:hAnsi="宋体" w:cs="宋体"/>
                <w:b/>
                <w:bCs/>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w:t>
            </w:r>
            <w:r>
              <w:rPr>
                <w:rFonts w:hint="eastAsia" w:ascii="宋体" w:hAnsi="宋体" w:cs="宋体"/>
                <w:color w:val="auto"/>
                <w:kern w:val="0"/>
                <w:sz w:val="24"/>
                <w:szCs w:val="24"/>
                <w:highlight w:val="none"/>
                <w:lang w:val="en-US" w:eastAsia="zh-CN" w:bidi="ar"/>
              </w:rPr>
              <w:t>1790000。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2"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12.1</w:t>
            </w:r>
          </w:p>
        </w:tc>
        <w:tc>
          <w:tcPr>
            <w:tcW w:w="78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r>
              <w:rPr>
                <w:rFonts w:hint="eastAsia" w:ascii="宋体" w:hAnsi="宋体" w:eastAsia="宋体" w:cs="宋体"/>
                <w:b w:val="0"/>
                <w:bCs w:val="0"/>
                <w:color w:val="auto"/>
                <w:sz w:val="24"/>
                <w:szCs w:val="24"/>
                <w:highlight w:val="none"/>
                <w:lang w:val="en-US" w:eastAsia="zh-CN"/>
              </w:rPr>
              <w:t>形式</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☑保函</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电汇  □支票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对公转账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本项目允许的其他形式，提供保函的，须在投标前到我公司验证保函并换取保函收据</w:t>
            </w:r>
            <w:r>
              <w:rPr>
                <w:rFonts w:hint="eastAsia" w:ascii="宋体" w:hAnsi="宋体" w:eastAsia="宋体" w:cs="宋体"/>
                <w:b/>
                <w:bCs/>
                <w:color w:val="auto"/>
                <w:sz w:val="24"/>
                <w:szCs w:val="24"/>
                <w:highlight w:val="none"/>
              </w:rPr>
              <w:t>，投标文件须同时放保函</w:t>
            </w:r>
            <w:r>
              <w:rPr>
                <w:rFonts w:hint="eastAsia" w:ascii="宋体" w:hAnsi="宋体" w:cs="宋体"/>
                <w:b/>
                <w:bCs/>
                <w:color w:val="auto"/>
                <w:sz w:val="24"/>
                <w:szCs w:val="24"/>
                <w:highlight w:val="none"/>
                <w:lang w:val="en-US" w:eastAsia="zh-CN"/>
              </w:rPr>
              <w:t>及保函收据复印件</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保证金金额：</w:t>
            </w:r>
            <w:r>
              <w:rPr>
                <w:rFonts w:hint="eastAsia" w:ascii="宋体" w:hAnsi="宋体" w:cs="宋体"/>
                <w:b w:val="0"/>
                <w:bCs w:val="0"/>
                <w:color w:val="auto"/>
                <w:sz w:val="24"/>
                <w:szCs w:val="24"/>
                <w:highlight w:val="none"/>
                <w:lang w:val="en-US" w:eastAsia="zh-CN"/>
              </w:rPr>
              <w:t>第一包</w:t>
            </w:r>
            <w:r>
              <w:rPr>
                <w:rFonts w:hint="eastAsia" w:ascii="宋体" w:hAnsi="宋体" w:eastAsia="宋体" w:cs="宋体"/>
                <w:b/>
                <w:bCs/>
                <w:color w:val="auto"/>
                <w:sz w:val="24"/>
                <w:szCs w:val="24"/>
                <w:highlight w:val="none"/>
              </w:rPr>
              <w:t>小写：¥</w:t>
            </w:r>
            <w:r>
              <w:rPr>
                <w:rFonts w:hint="eastAsia" w:ascii="宋体" w:hAnsi="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lang w:val="en-US" w:eastAsia="zh-CN"/>
              </w:rPr>
              <w:t>000元（人民币</w:t>
            </w:r>
            <w:r>
              <w:rPr>
                <w:rFonts w:hint="eastAsia" w:ascii="宋体" w:hAnsi="宋体" w:cs="宋体"/>
                <w:b/>
                <w:bCs/>
                <w:color w:val="auto"/>
                <w:sz w:val="24"/>
                <w:szCs w:val="24"/>
                <w:highlight w:val="none"/>
                <w:lang w:val="en-US" w:eastAsia="zh-CN"/>
              </w:rPr>
              <w:t>贰万伍仟圆</w:t>
            </w:r>
            <w:r>
              <w:rPr>
                <w:rFonts w:hint="eastAsia" w:ascii="宋体" w:hAnsi="宋体" w:eastAsia="宋体" w:cs="宋体"/>
                <w:b/>
                <w:bCs/>
                <w:color w:val="auto"/>
                <w:sz w:val="24"/>
                <w:szCs w:val="24"/>
                <w:highlight w:val="none"/>
                <w:lang w:val="en-US" w:eastAsia="zh-CN"/>
              </w:rPr>
              <w:t>整）</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第二包</w:t>
            </w:r>
            <w:r>
              <w:rPr>
                <w:rFonts w:hint="eastAsia" w:ascii="宋体" w:hAnsi="宋体" w:eastAsia="宋体" w:cs="宋体"/>
                <w:b/>
                <w:bCs/>
                <w:color w:val="auto"/>
                <w:sz w:val="24"/>
                <w:szCs w:val="24"/>
                <w:highlight w:val="none"/>
              </w:rPr>
              <w:t>小写：¥</w:t>
            </w:r>
            <w:r>
              <w:rPr>
                <w:rFonts w:hint="eastAsia" w:ascii="宋体" w:hAnsi="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lang w:val="en-US" w:eastAsia="zh-CN"/>
              </w:rPr>
              <w:t>000元（人民币</w:t>
            </w:r>
            <w:r>
              <w:rPr>
                <w:rFonts w:hint="eastAsia" w:ascii="宋体" w:hAnsi="宋体" w:cs="宋体"/>
                <w:b/>
                <w:bCs/>
                <w:color w:val="auto"/>
                <w:sz w:val="24"/>
                <w:szCs w:val="24"/>
                <w:highlight w:val="none"/>
                <w:lang w:val="en-US" w:eastAsia="zh-CN"/>
              </w:rPr>
              <w:t>贰万捌仟圆</w:t>
            </w:r>
            <w:r>
              <w:rPr>
                <w:rFonts w:hint="eastAsia" w:ascii="宋体" w:hAnsi="宋体" w:eastAsia="宋体" w:cs="宋体"/>
                <w:b/>
                <w:bCs/>
                <w:color w:val="auto"/>
                <w:sz w:val="24"/>
                <w:szCs w:val="24"/>
                <w:highlight w:val="none"/>
                <w:lang w:val="en-US" w:eastAsia="zh-CN"/>
              </w:rPr>
              <w:t>整）</w:t>
            </w:r>
          </w:p>
          <w:p>
            <w:pPr>
              <w:pStyle w:val="19"/>
              <w:rPr>
                <w:rFonts w:hint="eastAsia" w:ascii="宋体" w:hAnsi="宋体" w:eastAsia="宋体" w:cs="宋体"/>
                <w:color w:val="auto"/>
                <w:sz w:val="24"/>
                <w:szCs w:val="24"/>
                <w:highlight w:val="none"/>
              </w:rPr>
            </w:pPr>
            <w:r>
              <w:rPr>
                <w:rFonts w:hint="eastAsia" w:ascii="宋体" w:hAnsi="宋体" w:cs="宋体"/>
                <w:b w:val="0"/>
                <w:bCs w:val="0"/>
                <w:color w:val="auto"/>
                <w:sz w:val="24"/>
                <w:szCs w:val="24"/>
                <w:highlight w:val="none"/>
                <w:lang w:val="en-US" w:eastAsia="zh-CN"/>
              </w:rPr>
              <w:t>第三包</w:t>
            </w:r>
            <w:r>
              <w:rPr>
                <w:rFonts w:hint="eastAsia" w:ascii="宋体" w:hAnsi="宋体" w:eastAsia="宋体" w:cs="宋体"/>
                <w:b/>
                <w:bCs/>
                <w:color w:val="auto"/>
                <w:sz w:val="24"/>
                <w:szCs w:val="24"/>
                <w:highlight w:val="none"/>
              </w:rPr>
              <w:t>小写：¥</w:t>
            </w:r>
            <w:r>
              <w:rPr>
                <w:rFonts w:hint="eastAsia" w:ascii="宋体" w:hAnsi="宋体" w:cs="宋体"/>
                <w:b/>
                <w:bCs/>
                <w:color w:val="auto"/>
                <w:sz w:val="24"/>
                <w:szCs w:val="24"/>
                <w:highlight w:val="none"/>
                <w:lang w:val="en-US" w:eastAsia="zh-CN"/>
              </w:rPr>
              <w:t>26</w:t>
            </w:r>
            <w:r>
              <w:rPr>
                <w:rFonts w:hint="eastAsia" w:ascii="宋体" w:hAnsi="宋体" w:eastAsia="宋体" w:cs="宋体"/>
                <w:b/>
                <w:bCs/>
                <w:color w:val="auto"/>
                <w:sz w:val="24"/>
                <w:szCs w:val="24"/>
                <w:highlight w:val="none"/>
                <w:lang w:val="en-US" w:eastAsia="zh-CN"/>
              </w:rPr>
              <w:t>000元（人民币</w:t>
            </w:r>
            <w:r>
              <w:rPr>
                <w:rFonts w:hint="eastAsia" w:ascii="宋体" w:hAnsi="宋体" w:cs="宋体"/>
                <w:b/>
                <w:bCs/>
                <w:color w:val="auto"/>
                <w:sz w:val="24"/>
                <w:szCs w:val="24"/>
                <w:highlight w:val="none"/>
                <w:lang w:val="en-US" w:eastAsia="zh-CN"/>
              </w:rPr>
              <w:t>贰万陆仟圆</w:t>
            </w:r>
            <w:r>
              <w:rPr>
                <w:rFonts w:hint="eastAsia" w:ascii="宋体" w:hAnsi="宋体" w:eastAsia="宋体" w:cs="宋体"/>
                <w:b/>
                <w:bCs/>
                <w:color w:val="auto"/>
                <w:sz w:val="24"/>
                <w:szCs w:val="24"/>
                <w:highlight w:val="none"/>
                <w:lang w:val="en-US" w:eastAsia="zh-CN"/>
              </w:rPr>
              <w:t>整）</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投标</w:t>
            </w:r>
            <w:r>
              <w:rPr>
                <w:rFonts w:hint="eastAsia" w:ascii="宋体" w:hAnsi="宋体" w:eastAsia="宋体" w:cs="宋体"/>
                <w:color w:val="auto"/>
                <w:sz w:val="24"/>
                <w:szCs w:val="24"/>
                <w:highlight w:val="none"/>
              </w:rPr>
              <w:t>保证金收款人：</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单位名称：中经国际工程咨询集团有限公司喀什分公司</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 户 行：中国银行股份有限公司喀什经济开发区支行</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账   号：107081984591</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（电汇时请在汇款备注栏注明项目名称及编号、包号（如有），并注明是</w:t>
            </w:r>
            <w:r>
              <w:rPr>
                <w:rFonts w:hint="eastAsia" w:ascii="宋体" w:hAnsi="宋体" w:eastAsia="宋体" w:cs="宋体"/>
                <w:b/>
                <w:bCs/>
                <w:color w:val="auto"/>
                <w:sz w:val="24"/>
                <w:szCs w:val="24"/>
                <w:highlight w:val="none"/>
                <w:lang w:val="en-US" w:eastAsia="zh-CN"/>
              </w:rPr>
              <w:t>投标</w:t>
            </w:r>
            <w:r>
              <w:rPr>
                <w:rFonts w:hint="eastAsia" w:ascii="宋体" w:hAnsi="宋体" w:eastAsia="宋体" w:cs="宋体"/>
                <w:b/>
                <w:bCs/>
                <w:color w:val="auto"/>
                <w:sz w:val="24"/>
                <w:szCs w:val="24"/>
                <w:highlight w:val="none"/>
              </w:rPr>
              <w:t>保证金）</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财务室联系方式：18099850003  </w:t>
            </w:r>
          </w:p>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A:缴纳</w:t>
            </w:r>
            <w:r>
              <w:rPr>
                <w:rFonts w:hint="eastAsia" w:ascii="宋体" w:hAnsi="宋体" w:eastAsia="宋体" w:cs="宋体"/>
                <w:b w:val="0"/>
                <w:bCs w:val="0"/>
                <w:color w:val="auto"/>
                <w:sz w:val="24"/>
                <w:szCs w:val="24"/>
                <w:highlight w:val="none"/>
                <w:lang w:val="en-US" w:eastAsia="zh-CN"/>
              </w:rPr>
              <w:t>投标保证金</w:t>
            </w:r>
            <w:r>
              <w:rPr>
                <w:rFonts w:hint="eastAsia" w:ascii="宋体" w:hAnsi="宋体" w:eastAsia="宋体" w:cs="宋体"/>
                <w:b w:val="0"/>
                <w:bCs w:val="0"/>
                <w:color w:val="auto"/>
                <w:sz w:val="24"/>
                <w:szCs w:val="24"/>
                <w:highlight w:val="none"/>
              </w:rPr>
              <w:t>保证金要求：投标保证金必须在开标前交到中经国际工程咨询集团有限公司喀什分公司账户中。不接受现金、支票及任何个人、分公司汇款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供应商向银行办理保证金汇（转）款时，应在用途栏（备注栏）注明项目名称及包号（如有），并注明是投标保证金字样，如填写字数有要求可简写项目名称与包号（如有），由于未按要求注明信息而导致的一切后果由供应商自行承担。</w:t>
            </w:r>
          </w:p>
          <w:p>
            <w:pPr>
              <w:keepNext w:val="0"/>
              <w:keepLines w:val="0"/>
              <w:pageBreakBefore w:val="0"/>
              <w:kinsoku/>
              <w:wordWrap/>
              <w:overflowPunct/>
              <w:topLinePunct w:val="0"/>
              <w:autoSpaceDE/>
              <w:autoSpaceDN/>
              <w:bidi w:val="0"/>
              <w:adjustRightInd/>
              <w:spacing w:line="360" w:lineRule="exact"/>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B：退</w:t>
            </w:r>
            <w:r>
              <w:rPr>
                <w:rFonts w:hint="eastAsia" w:ascii="宋体" w:hAnsi="宋体" w:eastAsia="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保证金：（1）根据《中华人民共和国财政部令第87号--政府采购货物和货物招标投标管理办法》第三十八条</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在投标截止时间前撤回已提交的投标文件的，采购人或者采购代理机构应当自收到</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书面撤回通知之日起５个工作日内，退还已收取的投标保证金，但因</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自身原因导致无法及时退还的除外。采购人或者采购代理机构应当自中标通知书发出之日起5个工作日内退还未</w:t>
            </w:r>
            <w:r>
              <w:rPr>
                <w:rFonts w:hint="eastAsia" w:ascii="宋体" w:hAnsi="宋体" w:cs="宋体"/>
                <w:b w:val="0"/>
                <w:bCs w:val="0"/>
                <w:color w:val="auto"/>
                <w:sz w:val="24"/>
                <w:szCs w:val="24"/>
                <w:highlight w:val="none"/>
                <w:lang w:val="en-US" w:eastAsia="zh-CN"/>
              </w:rPr>
              <w:t>中标供应商</w:t>
            </w:r>
            <w:r>
              <w:rPr>
                <w:rFonts w:hint="eastAsia" w:ascii="宋体" w:hAnsi="宋体" w:eastAsia="宋体" w:cs="宋体"/>
                <w:b w:val="0"/>
                <w:bCs w:val="0"/>
                <w:color w:val="auto"/>
                <w:sz w:val="24"/>
                <w:szCs w:val="24"/>
                <w:highlight w:val="none"/>
              </w:rPr>
              <w:t>的投标保证金，自采购合同签订之日起5个工作日内退还</w:t>
            </w:r>
            <w:r>
              <w:rPr>
                <w:rFonts w:hint="eastAsia" w:ascii="宋体" w:hAnsi="宋体" w:cs="宋体"/>
                <w:b w:val="0"/>
                <w:bCs w:val="0"/>
                <w:color w:val="auto"/>
                <w:sz w:val="24"/>
                <w:szCs w:val="24"/>
                <w:highlight w:val="none"/>
                <w:lang w:val="en-US" w:eastAsia="zh-CN"/>
              </w:rPr>
              <w:t>中标供应商</w:t>
            </w:r>
            <w:r>
              <w:rPr>
                <w:rFonts w:hint="eastAsia" w:ascii="宋体" w:hAnsi="宋体" w:eastAsia="宋体" w:cs="宋体"/>
                <w:b w:val="0"/>
                <w:bCs w:val="0"/>
                <w:color w:val="auto"/>
                <w:sz w:val="24"/>
                <w:szCs w:val="24"/>
                <w:highlight w:val="none"/>
              </w:rPr>
              <w:t>的投标保证金。</w:t>
            </w:r>
          </w:p>
          <w:p>
            <w:pPr>
              <w:keepNext w:val="0"/>
              <w:keepLines w:val="0"/>
              <w:pageBreakBefore w:val="0"/>
              <w:numPr>
                <w:ilvl w:val="0"/>
                <w:numId w:val="0"/>
              </w:numPr>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"mailto:中标供应商的投标保证金在与采购单位签订合同后，把合同扫描件发送至邮箱2783389030@qq.com后，当日或次日即原账户退回。"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t>中标供应商的投标保证金在与采购单位签订合同后，把合同扫描件发送至邮箱2735998177@qq.com后，当日或次日即原账户退回。</w:t>
            </w:r>
            <w:r>
              <w:rPr>
                <w:rFonts w:hint="eastAsia" w:ascii="宋体" w:hAnsi="宋体" w:eastAsia="宋体" w:cs="宋体"/>
                <w:b w:val="0"/>
                <w:bCs w:val="0"/>
                <w:color w:val="auto"/>
                <w:sz w:val="24"/>
                <w:szCs w:val="24"/>
                <w:highlight w:val="none"/>
                <w:lang w:val="en-US" w:eastAsia="zh-CN"/>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投标有效期：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90</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7882" w:type="dxa"/>
            <w:vAlign w:val="center"/>
          </w:tcPr>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（2）本项目实行网上投标，采用电子投标文件(供应商须使用CA加密设备通过政采云电子投标客户端制作投标文件)。若供应商参与投标，自行承担投标一切费用。</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（3）各供应商应在开标前应确保成为新疆政府采购网正式注册入库供应商，并完成CA数字证书申领。因未注册入库、未办理CA数字证书等原因造成无法投标或投标失败等后果由供应商自行承担。</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（5）供应商在开标时须使用制作加密电子投标文件所使用的CA锁及电脑，电脑须提前配置好浏览器（建议使用360浏览器或谷歌浏览器），以便开标时解锁。</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（6）投标保证金缴纳及确认时间：凡拟参加本次招标项目的供应商，必须在开标前将投标保证金汇入指定账户。否则，届时其投标将被拒绝。</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完整版的电子投标文件后缀为.bfbs，包含第一部分开标一览表及资格证明文件、第二部分商务及技术文件）</w:t>
            </w:r>
            <w:r>
              <w:rPr>
                <w:rFonts w:hint="eastAsia" w:ascii="宋体" w:hAnsi="宋体" w:cs="宋体"/>
                <w:b/>
                <w:bCs/>
                <w:color w:val="auto"/>
                <w:sz w:val="24"/>
                <w:szCs w:val="24"/>
                <w:highlight w:val="none"/>
                <w:lang w:val="en-US" w:eastAsia="zh-CN"/>
              </w:rPr>
              <w:t>。</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各供应商应完整地按招标文件提供的投标文件格式及要求编写投标文件，根据平台关联点上传对应佐证资料，投标文件应包括“开标一览表及资格证明文件”和“商务及技术文件”两部分，两部分合并成完整一册上传至政采云平台。</w:t>
            </w:r>
          </w:p>
          <w:p>
            <w:pPr>
              <w:pStyle w:val="1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（10）解密时长为30分钟</w:t>
            </w:r>
            <w:r>
              <w:rPr>
                <w:rFonts w:hint="eastAsia" w:ascii="宋体" w:hAnsi="宋体" w:cs="宋体"/>
                <w:b/>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14.2</w:t>
            </w:r>
          </w:p>
        </w:tc>
        <w:tc>
          <w:tcPr>
            <w:tcW w:w="7882" w:type="dxa"/>
            <w:vAlign w:val="center"/>
          </w:tcPr>
          <w:p>
            <w:pPr>
              <w:keepNext w:val="0"/>
              <w:keepLines w:val="0"/>
              <w:pageBreakBefore w:val="0"/>
              <w:shd w:val="clear"/>
              <w:kinsoku/>
              <w:wordWrap/>
              <w:overflowPunct/>
              <w:topLinePunct w:val="0"/>
              <w:autoSpaceDE/>
              <w:autoSpaceDN/>
              <w:bidi w:val="0"/>
              <w:adjustRightInd/>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所有投标供应商应在中标公告公示期结束后5个工作日内将上传的投标文件完整打印三份加盖鲜公章提交给代理机构备案。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投标截止时间：2023年</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lang w:eastAsia="zh-CN"/>
              </w:rPr>
              <w:t>日</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开标时间：2023年</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lang w:eastAsia="zh-CN"/>
              </w:rPr>
              <w:t>日</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i/>
                <w:color w:val="auto"/>
                <w:sz w:val="24"/>
                <w:szCs w:val="24"/>
                <w:highlight w:val="none"/>
              </w:rPr>
            </w:pPr>
            <w:r>
              <w:rPr>
                <w:rFonts w:hint="eastAsia" w:ascii="宋体" w:hAnsi="宋体" w:eastAsia="宋体" w:cs="宋体"/>
                <w:color w:val="auto"/>
                <w:sz w:val="24"/>
                <w:szCs w:val="24"/>
                <w:highlight w:val="none"/>
              </w:rPr>
              <w:t>评标方法：适用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4"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推荐中标候选供应商的数量：</w:t>
            </w:r>
            <w:r>
              <w:rPr>
                <w:rFonts w:hint="eastAsia" w:ascii="宋体" w:hAnsi="宋体" w:eastAsia="宋体" w:cs="宋体"/>
                <w:color w:val="auto"/>
                <w:sz w:val="24"/>
                <w:szCs w:val="24"/>
                <w:highlight w:val="none"/>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是否委托评标委员会直接确定中标人：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否</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i/>
                <w:color w:val="auto"/>
                <w:sz w:val="24"/>
                <w:szCs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7882"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履约保证金金额：合同总价的</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rPr>
              <w:t>0%　</w:t>
            </w:r>
            <w:r>
              <w:rPr>
                <w:rFonts w:hint="eastAsia" w:ascii="宋体" w:hAnsi="宋体" w:eastAsia="宋体" w:cs="宋体"/>
                <w:color w:val="auto"/>
                <w:sz w:val="24"/>
                <w:szCs w:val="24"/>
                <w:highlight w:val="none"/>
              </w:rPr>
              <w:t>（不得超过政府采购合同金额的10%）</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履约保证金形式：</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eastAsia="zh-CN"/>
              </w:rPr>
              <w:t>保函</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电汇  </w:t>
            </w:r>
            <w:r>
              <w:rPr>
                <w:rFonts w:hint="eastAsia" w:ascii="宋体" w:hAnsi="宋体" w:eastAsia="宋体" w:cs="宋体"/>
                <w:color w:val="auto"/>
                <w:sz w:val="24"/>
                <w:szCs w:val="24"/>
                <w:highlight w:val="none"/>
                <w:u w:val="single"/>
              </w:rPr>
              <w:sym w:font="Wingdings 2" w:char="00A3"/>
            </w:r>
            <w:r>
              <w:rPr>
                <w:rFonts w:hint="eastAsia" w:ascii="宋体" w:hAnsi="宋体" w:eastAsia="宋体" w:cs="宋体"/>
                <w:color w:val="auto"/>
                <w:sz w:val="24"/>
                <w:szCs w:val="24"/>
                <w:highlight w:val="none"/>
                <w:u w:val="single"/>
              </w:rPr>
              <w:t xml:space="preserve">支票   </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对公转账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提交履约保证金的时间：签订合同前打入甲方指定账户</w:t>
            </w:r>
            <w:r>
              <w:rPr>
                <w:rFonts w:hint="eastAsia" w:ascii="宋体" w:hAnsi="宋体" w:eastAsia="宋体" w:cs="宋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w:t>
            </w:r>
            <w:r>
              <w:rPr>
                <w:rFonts w:hint="eastAsia" w:ascii="宋体" w:hAnsi="宋体" w:cs="宋体"/>
                <w:b/>
                <w:bCs/>
                <w:color w:val="auto"/>
                <w:sz w:val="24"/>
                <w:szCs w:val="24"/>
                <w:highlight w:val="none"/>
                <w:lang w:val="en-US" w:eastAsia="zh-CN"/>
              </w:rPr>
              <w:t>本项目免收履约保证金</w:t>
            </w:r>
            <w:r>
              <w:rPr>
                <w:rFonts w:hint="eastAsia" w:ascii="宋体" w:hAnsi="宋体" w:eastAsia="宋体" w:cs="宋体"/>
                <w:color w:val="auto"/>
                <w:sz w:val="24"/>
                <w:szCs w:val="24"/>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p>
        </w:tc>
        <w:tc>
          <w:tcPr>
            <w:tcW w:w="7882" w:type="dxa"/>
            <w:vAlign w:val="center"/>
          </w:tcPr>
          <w:p>
            <w:pPr>
              <w:keepNext w:val="0"/>
              <w:keepLines w:val="0"/>
              <w:pageBreakBefore w:val="0"/>
              <w:kinsoku/>
              <w:wordWrap/>
              <w:overflowPunct/>
              <w:topLinePunct w:val="0"/>
              <w:autoSpaceDE/>
              <w:autoSpaceDN/>
              <w:bidi w:val="0"/>
              <w:adjustRightInd/>
              <w:spacing w:line="360" w:lineRule="exact"/>
              <w:ind w:left="900" w:hanging="900" w:hangingChars="375"/>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中标服务费：根据发改价格[2015]299</w:t>
            </w:r>
            <w:r>
              <w:rPr>
                <w:rFonts w:hint="eastAsia" w:ascii="宋体" w:hAnsi="宋体" w:eastAsia="宋体" w:cs="宋体"/>
                <w:color w:val="auto"/>
                <w:sz w:val="24"/>
                <w:szCs w:val="24"/>
                <w:highlight w:val="none"/>
                <w:lang w:eastAsia="zh-CN"/>
              </w:rPr>
              <w:t>号文</w:t>
            </w:r>
            <w:r>
              <w:rPr>
                <w:rFonts w:hint="eastAsia" w:ascii="宋体" w:hAnsi="宋体" w:eastAsia="宋体" w:cs="宋体"/>
                <w:color w:val="auto"/>
                <w:sz w:val="24"/>
                <w:szCs w:val="24"/>
                <w:highlight w:val="none"/>
              </w:rPr>
              <w:t>：确定代理服务费按照中标</w:t>
            </w:r>
            <w:r>
              <w:rPr>
                <w:rFonts w:hint="eastAsia" w:ascii="宋体" w:hAnsi="宋体" w:eastAsia="宋体" w:cs="宋体"/>
                <w:color w:val="auto"/>
                <w:sz w:val="24"/>
                <w:szCs w:val="24"/>
                <w:highlight w:val="none"/>
                <w:lang w:val="en-US" w:eastAsia="zh-CN"/>
              </w:rPr>
              <w:t>金额</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收取。（由中标供应商领取中标通知书时</w:t>
            </w:r>
            <w:r>
              <w:rPr>
                <w:rFonts w:hint="eastAsia" w:ascii="宋体" w:hAnsi="宋体" w:eastAsia="宋体" w:cs="宋体"/>
                <w:color w:val="auto"/>
                <w:sz w:val="24"/>
                <w:szCs w:val="24"/>
                <w:highlight w:val="none"/>
                <w:lang w:val="en-US" w:eastAsia="zh-CN"/>
              </w:rPr>
              <w:t>一次性</w:t>
            </w:r>
            <w:r>
              <w:rPr>
                <w:rFonts w:hint="eastAsia" w:ascii="宋体" w:hAnsi="宋体" w:eastAsia="宋体" w:cs="宋体"/>
                <w:color w:val="auto"/>
                <w:sz w:val="24"/>
                <w:szCs w:val="24"/>
                <w:highlight w:val="none"/>
              </w:rPr>
              <w:t>支付）</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支付形式：</w:t>
            </w:r>
            <w:r>
              <w:rPr>
                <w:rFonts w:hint="eastAsia" w:ascii="宋体" w:hAnsi="宋体" w:eastAsia="宋体" w:cs="宋体"/>
                <w:color w:val="auto"/>
                <w:sz w:val="24"/>
                <w:szCs w:val="24"/>
                <w:highlight w:val="none"/>
                <w:u w:val="single"/>
              </w:rPr>
              <w:t xml:space="preserve">  对公转账  </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支付时间：</w:t>
            </w:r>
            <w:r>
              <w:rPr>
                <w:rFonts w:hint="eastAsia" w:ascii="宋体" w:hAnsi="宋体" w:eastAsia="宋体" w:cs="宋体"/>
                <w:color w:val="auto"/>
                <w:sz w:val="24"/>
                <w:szCs w:val="24"/>
                <w:highlight w:val="none"/>
                <w:u w:val="single"/>
              </w:rPr>
              <w:t xml:space="preserve">  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6" w:hRule="atLeast"/>
        </w:trPr>
        <w:tc>
          <w:tcPr>
            <w:tcW w:w="1378" w:type="dxa"/>
            <w:vAlign w:val="center"/>
          </w:tcPr>
          <w:p>
            <w:pPr>
              <w:keepNext w:val="0"/>
              <w:keepLines w:val="0"/>
              <w:pageBreakBefore w:val="0"/>
              <w:kinsoku/>
              <w:wordWrap/>
              <w:overflowPunct/>
              <w:topLinePunct w:val="0"/>
              <w:autoSpaceDE/>
              <w:autoSpaceDN/>
              <w:bidi w:val="0"/>
              <w:adjustRightInd/>
              <w:snapToGrid/>
              <w:spacing w:line="360" w:lineRule="exact"/>
              <w:ind w:left="1080" w:leftChars="257" w:hanging="540"/>
              <w:textAlignment w:val="auto"/>
              <w:rPr>
                <w:rFonts w:hint="eastAsia" w:ascii="宋体" w:hAnsi="宋体" w:eastAsia="宋体" w:cs="宋体"/>
                <w:color w:val="auto"/>
                <w:sz w:val="24"/>
                <w:szCs w:val="24"/>
                <w:highlight w:val="none"/>
                <w:lang w:val="en-US" w:eastAsia="zh-CN"/>
              </w:rPr>
            </w:pPr>
            <w:bookmarkStart w:id="1230" w:name="_Toc27053"/>
            <w:bookmarkStart w:id="1231" w:name="_Toc512937852"/>
            <w:bookmarkStart w:id="1232" w:name="_Toc15092"/>
            <w:r>
              <w:rPr>
                <w:rFonts w:hint="eastAsia" w:ascii="宋体" w:hAnsi="宋体" w:cs="宋体"/>
                <w:color w:val="auto"/>
                <w:sz w:val="24"/>
                <w:szCs w:val="24"/>
                <w:highlight w:val="none"/>
                <w:lang w:val="en-US" w:eastAsia="zh-CN"/>
              </w:rPr>
              <w:t>说明</w:t>
            </w:r>
          </w:p>
        </w:tc>
        <w:tc>
          <w:tcPr>
            <w:tcW w:w="7882" w:type="dxa"/>
            <w:vAlign w:val="center"/>
          </w:tcPr>
          <w:p>
            <w:pPr>
              <w:keepNext w:val="0"/>
              <w:keepLines w:val="0"/>
              <w:widowControl/>
              <w:suppressLineNumbers w:val="0"/>
              <w:jc w:val="both"/>
              <w:rPr>
                <w:rFonts w:hint="eastAsia" w:ascii="宋体" w:hAnsi="宋体" w:eastAsia="宋体" w:cs="宋体"/>
                <w:color w:val="auto"/>
                <w:sz w:val="24"/>
                <w:szCs w:val="24"/>
                <w:highlight w:val="none"/>
              </w:rPr>
            </w:pPr>
            <w:r>
              <w:rPr>
                <w:rFonts w:hint="eastAsia" w:ascii="宋体" w:hAnsi="宋体" w:eastAsia="宋体" w:cs="宋体"/>
                <w:b/>
                <w:bCs/>
                <w:color w:val="auto"/>
                <w:kern w:val="0"/>
                <w:sz w:val="31"/>
                <w:szCs w:val="31"/>
                <w:highlight w:val="none"/>
                <w:lang w:val="en-US" w:eastAsia="zh-CN" w:bidi="ar"/>
              </w:rPr>
              <w:t>本项目可投多包，但不可兼中兼得，每个供应商只能中一包。</w:t>
            </w:r>
          </w:p>
        </w:tc>
      </w:tr>
    </w:tbl>
    <w:p>
      <w:pPr>
        <w:tabs>
          <w:tab w:val="left" w:pos="0"/>
        </w:tabs>
        <w:spacing w:before="0" w:after="0" w:line="240" w:lineRule="atLeast"/>
        <w:outlineLvl w:val="9"/>
        <w:rPr>
          <w:rFonts w:hint="eastAsia" w:ascii="宋体" w:hAnsi="宋体" w:eastAsia="宋体" w:cs="宋体"/>
          <w:b/>
          <w:bCs/>
          <w:color w:val="auto"/>
          <w:kern w:val="0"/>
          <w:sz w:val="32"/>
          <w:szCs w:val="32"/>
          <w:highlight w:val="none"/>
          <w:lang w:val="en-US" w:eastAsia="zh-CN" w:bidi="ar-SA"/>
        </w:rPr>
      </w:pPr>
    </w:p>
    <w:p>
      <w:pPr>
        <w:tabs>
          <w:tab w:val="left" w:pos="0"/>
        </w:tabs>
        <w:spacing w:before="0" w:after="0" w:line="240" w:lineRule="atLeast"/>
        <w:outlineLvl w:val="9"/>
        <w:rPr>
          <w:rFonts w:hint="eastAsia" w:ascii="宋体" w:hAnsi="宋体" w:eastAsia="宋体" w:cs="宋体"/>
          <w:b/>
          <w:bCs/>
          <w:color w:val="auto"/>
          <w:kern w:val="0"/>
          <w:sz w:val="32"/>
          <w:szCs w:val="32"/>
          <w:highlight w:val="none"/>
          <w:lang w:val="en-US" w:eastAsia="zh-CN" w:bidi="ar-SA"/>
        </w:rPr>
      </w:pPr>
    </w:p>
    <w:p>
      <w:pP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br w:type="page"/>
      </w:r>
    </w:p>
    <w:bookmarkEnd w:id="1230"/>
    <w:bookmarkEnd w:id="1231"/>
    <w:bookmarkEnd w:id="1232"/>
    <w:p>
      <w:pPr>
        <w:pStyle w:val="3"/>
        <w:numPr>
          <w:ilvl w:val="0"/>
          <w:numId w:val="0"/>
        </w:numPr>
        <w:shd w:val="clear" w:color="auto" w:fill="auto"/>
        <w:jc w:val="center"/>
        <w:outlineLvl w:val="0"/>
        <w:rPr>
          <w:rFonts w:hint="eastAsia" w:ascii="宋体" w:hAnsi="宋体" w:eastAsia="宋体" w:cs="宋体"/>
          <w:b/>
          <w:bCs/>
          <w:color w:val="auto"/>
          <w:kern w:val="44"/>
          <w:sz w:val="28"/>
          <w:szCs w:val="28"/>
          <w:highlight w:val="none"/>
        </w:rPr>
      </w:pPr>
      <w:bookmarkStart w:id="1233" w:name="_Toc9749"/>
      <w:bookmarkStart w:id="1234" w:name="_Toc4773"/>
      <w:r>
        <w:rPr>
          <w:rFonts w:hint="eastAsia" w:ascii="宋体" w:hAnsi="宋体" w:eastAsia="宋体" w:cs="宋体"/>
          <w:b/>
          <w:bCs/>
          <w:color w:val="auto"/>
          <w:kern w:val="44"/>
          <w:sz w:val="28"/>
          <w:szCs w:val="28"/>
          <w:highlight w:val="none"/>
          <w:lang w:val="en-US" w:eastAsia="zh-CN"/>
        </w:rPr>
        <w:t xml:space="preserve">第5章 </w:t>
      </w:r>
      <w:bookmarkEnd w:id="1233"/>
      <w:r>
        <w:rPr>
          <w:rFonts w:hint="eastAsia" w:hAnsi="宋体" w:cs="宋体"/>
          <w:b/>
          <w:bCs/>
          <w:color w:val="auto"/>
          <w:kern w:val="44"/>
          <w:sz w:val="28"/>
          <w:szCs w:val="28"/>
          <w:highlight w:val="none"/>
          <w:lang w:val="en-US" w:eastAsia="zh-CN"/>
        </w:rPr>
        <w:t>采购需求</w:t>
      </w:r>
      <w:r>
        <w:rPr>
          <w:rFonts w:hint="eastAsia" w:ascii="宋体" w:hAnsi="宋体" w:eastAsia="宋体" w:cs="宋体"/>
          <w:b/>
          <w:bCs/>
          <w:color w:val="auto"/>
          <w:kern w:val="44"/>
          <w:sz w:val="28"/>
          <w:szCs w:val="28"/>
          <w:highlight w:val="none"/>
          <w:lang w:val="en-US" w:eastAsia="zh-CN"/>
        </w:rPr>
        <w:t>及项目要求</w:t>
      </w:r>
      <w:bookmarkEnd w:id="1234"/>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leftChars="0"/>
        <w:jc w:val="both"/>
        <w:textAlignment w:val="auto"/>
        <w:outlineLvl w:val="9"/>
        <w:rPr>
          <w:rFonts w:hint="eastAsia" w:ascii="宋体" w:hAnsi="宋体" w:eastAsia="宋体" w:cs="宋体"/>
          <w:color w:val="auto"/>
          <w:sz w:val="28"/>
          <w:szCs w:val="28"/>
          <w:highlight w:val="none"/>
          <w:lang w:val="en-US" w:eastAsia="zh-CN"/>
        </w:rPr>
      </w:pPr>
      <w:bookmarkStart w:id="1235" w:name="_Toc9727"/>
      <w:bookmarkStart w:id="1236" w:name="_Toc2001"/>
      <w:bookmarkStart w:id="1237" w:name="_Toc12287"/>
      <w:bookmarkStart w:id="1238" w:name="_Toc11587"/>
      <w:bookmarkStart w:id="1239" w:name="_Toc1429"/>
      <w:bookmarkStart w:id="1240" w:name="_Toc10962"/>
      <w:bookmarkStart w:id="1241" w:name="_Toc15046"/>
      <w:bookmarkStart w:id="1242" w:name="_Toc8281"/>
      <w:bookmarkStart w:id="1243" w:name="_Toc22517"/>
      <w:r>
        <w:rPr>
          <w:rFonts w:hint="eastAsia" w:ascii="宋体" w:hAnsi="宋体" w:eastAsia="宋体" w:cs="宋体"/>
          <w:b/>
          <w:bCs/>
          <w:color w:val="auto"/>
          <w:sz w:val="28"/>
          <w:szCs w:val="28"/>
          <w:highlight w:val="none"/>
          <w:lang w:val="en-US" w:eastAsia="zh-CN"/>
        </w:rPr>
        <w:t>一、</w:t>
      </w:r>
      <w:r>
        <w:rPr>
          <w:rFonts w:hint="eastAsia" w:ascii="宋体" w:hAnsi="宋体" w:cs="宋体"/>
          <w:b/>
          <w:bCs/>
          <w:color w:val="auto"/>
          <w:sz w:val="28"/>
          <w:szCs w:val="28"/>
          <w:highlight w:val="none"/>
          <w:lang w:val="en-US" w:eastAsia="zh-CN"/>
        </w:rPr>
        <w:t>采购</w:t>
      </w:r>
      <w:r>
        <w:rPr>
          <w:rFonts w:hint="eastAsia" w:ascii="宋体" w:hAnsi="宋体" w:eastAsia="宋体" w:cs="宋体"/>
          <w:b/>
          <w:bCs/>
          <w:color w:val="auto"/>
          <w:sz w:val="28"/>
          <w:szCs w:val="28"/>
          <w:highlight w:val="none"/>
        </w:rPr>
        <w:t>需求：</w:t>
      </w:r>
      <w:bookmarkEnd w:id="1235"/>
      <w:bookmarkEnd w:id="1236"/>
      <w:r>
        <w:rPr>
          <w:rFonts w:hint="eastAsia" w:ascii="宋体" w:hAnsi="宋体" w:eastAsia="宋体" w:cs="宋体"/>
          <w:color w:val="auto"/>
          <w:sz w:val="28"/>
          <w:szCs w:val="28"/>
          <w:highlight w:val="none"/>
          <w:lang w:val="en-US" w:eastAsia="zh-CN"/>
        </w:rPr>
        <w:t xml:space="preserve"> </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对9个乡进行国土空间总体规划及24个村庄规划编制。依玛乡（2）：博斯坦（2）村、米尔皮格勒（3）※村、赛力乡（4）：巴扎(13）村、赛力新（14）村、阿依库勒乡（9）：团结（1）村、阿依库勒（13）※村、阿依丁库勒（14）村、图呼其乡（6）：荒地（2）村、阿克塔木加依（4）※村、奥库尔塔木（5）村、奎依巴格乡（7）：铁提尔（5）※村、阿克塔木乡（8）：巴什托扎克其(6）※村、奥吐拉托扎克其(7）★※村、布依鲁克乡（10）乡：依斯其格（1）※村、布依鲁克（2）村、图呼其（3）★村、翁库尔塔什（4）村、古勒巴格乡（3）：上阿热硝（6村）、阿热硝巴扎（7村）、依克苏乡（5）英巴扎（4村★）巴亚巴格（6）村、硝尔吐格曼（18）村、奎依巴格镇墩买里（1）★村、萨依吐格曼（2）村共24个村。</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default"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二、技术要求：</w:t>
      </w:r>
      <w:r>
        <w:rPr>
          <w:rFonts w:hint="eastAsia" w:ascii="宋体" w:hAnsi="宋体" w:eastAsia="宋体" w:cs="宋体"/>
          <w:color w:val="auto"/>
          <w:highlight w:val="none"/>
          <w:lang w:val="en-US" w:eastAsia="zh-CN"/>
        </w:rPr>
        <w:t>严格按照《新疆维吾尔尔自治区乡镇国土空间总体规划编制技术指南》和《新疆维吾尔自治区村庄规划编制指南》执行。</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color w:val="auto"/>
          <w:highlight w:val="none"/>
          <w:lang w:val="en-US" w:eastAsia="zh-CN"/>
        </w:rPr>
      </w:pPr>
      <w:r>
        <w:rPr>
          <w:rFonts w:hint="eastAsia" w:ascii="宋体" w:hAnsi="宋体" w:cs="宋体"/>
          <w:b/>
          <w:bCs/>
          <w:color w:val="auto"/>
          <w:highlight w:val="none"/>
          <w:lang w:val="en-US" w:eastAsia="zh-CN"/>
        </w:rPr>
        <w:t>三、</w:t>
      </w:r>
      <w:r>
        <w:rPr>
          <w:rFonts w:hint="eastAsia" w:ascii="宋体" w:hAnsi="宋体" w:eastAsia="宋体" w:cs="宋体"/>
          <w:b/>
          <w:bCs/>
          <w:color w:val="auto"/>
          <w:highlight w:val="none"/>
          <w:lang w:val="en-US" w:eastAsia="zh-CN"/>
        </w:rPr>
        <w:t>售后服务：</w:t>
      </w:r>
      <w:r>
        <w:rPr>
          <w:rFonts w:hint="eastAsia" w:ascii="宋体" w:hAnsi="宋体" w:eastAsia="宋体" w:cs="宋体"/>
          <w:color w:val="auto"/>
          <w:highlight w:val="none"/>
          <w:lang w:val="en-US" w:eastAsia="zh-CN"/>
        </w:rPr>
        <w:t>在项目结束后，乙方将提供一年的免费实施辅导，包括对规划方案的沟通与宣贯、对方案实施过程中的问题进行解答。实施辅导阶段工作以电话、邮件沟通答疑为主，出现需要培训或重要会议等情况时项目组将赴现场参加。（提供承诺书）</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cs="宋体"/>
          <w:color w:val="auto"/>
          <w:highlight w:val="none"/>
          <w:lang w:val="en-US" w:eastAsia="zh-CN"/>
        </w:rPr>
      </w:pPr>
      <w:r>
        <w:rPr>
          <w:rFonts w:hint="eastAsia" w:ascii="宋体" w:hAnsi="宋体" w:eastAsia="宋体" w:cs="宋体"/>
          <w:b/>
          <w:bCs/>
          <w:color w:val="auto"/>
          <w:highlight w:val="none"/>
          <w:lang w:val="en-US" w:eastAsia="zh-CN"/>
        </w:rPr>
        <w:t>四、交付地点（范围）：</w:t>
      </w:r>
      <w:r>
        <w:rPr>
          <w:rFonts w:hint="eastAsia" w:ascii="宋体" w:hAnsi="宋体" w:eastAsia="宋体" w:cs="宋体"/>
          <w:color w:val="auto"/>
          <w:highlight w:val="none"/>
          <w:lang w:val="en-US" w:eastAsia="zh-CN"/>
        </w:rPr>
        <w:t>采购人指定地点</w:t>
      </w:r>
      <w:r>
        <w:rPr>
          <w:rFonts w:hint="eastAsia" w:ascii="宋体" w:hAnsi="宋体" w:cs="宋体"/>
          <w:color w:val="auto"/>
          <w:highlight w:val="none"/>
          <w:lang w:val="en-US" w:eastAsia="zh-CN"/>
        </w:rPr>
        <w:t>。</w:t>
      </w:r>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cs="宋体"/>
          <w:color w:val="auto"/>
          <w:highlight w:val="none"/>
          <w:lang w:val="en-US" w:eastAsia="zh-CN"/>
        </w:rPr>
      </w:pPr>
      <w:r>
        <w:rPr>
          <w:rFonts w:hint="eastAsia" w:ascii="宋体" w:hAnsi="宋体" w:cs="宋体"/>
          <w:b/>
          <w:bCs/>
          <w:color w:val="auto"/>
          <w:highlight w:val="none"/>
          <w:lang w:val="en-US" w:eastAsia="zh-CN"/>
        </w:rPr>
        <w:t>五、成果交付期：</w:t>
      </w:r>
      <w:r>
        <w:rPr>
          <w:rFonts w:hint="eastAsia" w:ascii="宋体" w:hAnsi="宋体" w:cs="宋体"/>
          <w:color w:val="auto"/>
          <w:highlight w:val="none"/>
          <w:lang w:val="en-US" w:eastAsia="zh-CN"/>
        </w:rPr>
        <w:t>8月31日前提交及完成成果验收。</w:t>
      </w:r>
    </w:p>
    <w:p>
      <w:pPr>
        <w:pStyle w:val="11"/>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进度要求：</w:t>
      </w:r>
    </w:p>
    <w:tbl>
      <w:tblPr>
        <w:tblStyle w:val="25"/>
        <w:tblpPr w:leftFromText="180" w:rightFromText="180" w:vertAnchor="text" w:horzAnchor="page" w:tblpX="1360" w:tblpY="295"/>
        <w:tblOverlap w:val="never"/>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24"/>
        <w:gridCol w:w="1961"/>
        <w:gridCol w:w="1602"/>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序号</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时间</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工作内容</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成果类型</w:t>
            </w:r>
          </w:p>
        </w:tc>
        <w:tc>
          <w:tcPr>
            <w:tcW w:w="2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2023年5月</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现场收集资料</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照片，资料</w:t>
            </w:r>
          </w:p>
        </w:tc>
        <w:tc>
          <w:tcPr>
            <w:tcW w:w="2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资料收集、现场调研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2023年6月</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规划编制</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初步成果</w:t>
            </w:r>
          </w:p>
        </w:tc>
        <w:tc>
          <w:tcPr>
            <w:tcW w:w="2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第一次汇报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2023年7月</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规划工作深化</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中期成果</w:t>
            </w:r>
          </w:p>
        </w:tc>
        <w:tc>
          <w:tcPr>
            <w:tcW w:w="2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第二次汇报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2023年8月</w:t>
            </w:r>
          </w:p>
        </w:tc>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规划编制优化</w:t>
            </w:r>
          </w:p>
        </w:tc>
        <w:tc>
          <w:tcPr>
            <w:tcW w:w="1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最终成果</w:t>
            </w:r>
          </w:p>
        </w:tc>
        <w:tc>
          <w:tcPr>
            <w:tcW w:w="27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按照最新要求完善，对最终成果汇报，上报</w:t>
            </w:r>
          </w:p>
        </w:tc>
      </w:tr>
    </w:tbl>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color w:val="auto"/>
          <w:highlight w:val="none"/>
          <w:lang w:val="en-US" w:eastAsia="zh-CN"/>
        </w:rPr>
      </w:pPr>
      <w:bookmarkStart w:id="1244" w:name="_Toc11732"/>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lang w:val="en-US" w:eastAsia="zh-CN"/>
        </w:rPr>
        <w:t>、付款条件：</w:t>
      </w:r>
      <w:r>
        <w:rPr>
          <w:rFonts w:hint="eastAsia" w:ascii="宋体" w:hAnsi="宋体" w:eastAsia="宋体" w:cs="宋体"/>
          <w:color w:val="auto"/>
          <w:highlight w:val="none"/>
          <w:lang w:val="en-US" w:eastAsia="zh-CN"/>
        </w:rPr>
        <w:t>进度和方式：签订合同后30%，初步验收合格后付20%，成果审批通过后付45%，成果审批通过</w:t>
      </w:r>
      <w:r>
        <w:rPr>
          <w:rFonts w:hint="eastAsia" w:ascii="宋体" w:hAnsi="宋体" w:cs="宋体"/>
          <w:color w:val="auto"/>
          <w:highlight w:val="none"/>
          <w:lang w:val="en-US" w:eastAsia="zh-CN"/>
        </w:rPr>
        <w:t>后一年内</w:t>
      </w:r>
      <w:r>
        <w:rPr>
          <w:rFonts w:hint="eastAsia" w:ascii="宋体" w:hAnsi="宋体" w:eastAsia="宋体" w:cs="宋体"/>
          <w:color w:val="auto"/>
          <w:highlight w:val="none"/>
          <w:lang w:val="en-US" w:eastAsia="zh-CN"/>
        </w:rPr>
        <w:t>付5%。</w:t>
      </w:r>
      <w:bookmarkEnd w:id="1244"/>
    </w:p>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七</w:t>
      </w:r>
      <w:r>
        <w:rPr>
          <w:rFonts w:hint="eastAsia" w:ascii="宋体" w:hAnsi="宋体" w:eastAsia="宋体" w:cs="宋体"/>
          <w:b/>
          <w:bCs/>
          <w:color w:val="auto"/>
          <w:highlight w:val="none"/>
          <w:lang w:val="en-US" w:eastAsia="zh-CN"/>
        </w:rPr>
        <w:t>、采购标的的验收标准：</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验收主体：采购人</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验收方式：由采购单位派专人统一进行验收。</w:t>
      </w:r>
    </w:p>
    <w:p>
      <w:pPr>
        <w:pStyle w:val="92"/>
        <w:keepNext w:val="0"/>
        <w:keepLines w:val="0"/>
        <w:pageBreakBefore w:val="0"/>
        <w:widowControl/>
        <w:kinsoku/>
        <w:wordWrap/>
        <w:overflowPunct/>
        <w:topLinePunct w:val="0"/>
        <w:autoSpaceDE/>
        <w:autoSpaceDN/>
        <w:bidi w:val="0"/>
        <w:adjustRightInd/>
        <w:snapToGrid/>
        <w:spacing w:line="380" w:lineRule="atLeast"/>
        <w:ind w:left="0" w:right="0" w:firstLine="48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验收程序：1、项目业主按标准、技术要求在现场验收，货物验收按照国家最新标准及招标文件中所提出的要求，如供方实际执行的标准高于国家标准和机械行业标准则按买方标准验收。2、项目业主在成果交付之日起10日内完成初步验收，最终验收依据国家标准。3、项目所有内容实施并完毕后，双方共同派员参加验收，如承包方在接到项目业主通知之日起三日内无法派员抵达现场，则视为同意买方自行验收的结果。4、上述检验和验收不能代替质保期内设备制造性能质量考核。</w:t>
      </w:r>
    </w:p>
    <w:p>
      <w:pP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237"/>
    <w:bookmarkEnd w:id="1238"/>
    <w:bookmarkEnd w:id="1239"/>
    <w:bookmarkEnd w:id="1240"/>
    <w:bookmarkEnd w:id="1241"/>
    <w:bookmarkEnd w:id="1242"/>
    <w:bookmarkEnd w:id="1243"/>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bookmarkStart w:id="1245" w:name="_Toc11259"/>
      <w:bookmarkStart w:id="1246" w:name="_Toc31651"/>
      <w:bookmarkStart w:id="1247" w:name="_Toc32614"/>
      <w:r>
        <w:rPr>
          <w:rFonts w:hint="eastAsia" w:ascii="宋体" w:hAnsi="宋体" w:eastAsia="宋体" w:cs="宋体"/>
          <w:b/>
          <w:bCs/>
          <w:color w:val="auto"/>
          <w:kern w:val="0"/>
          <w:sz w:val="32"/>
          <w:szCs w:val="32"/>
          <w:highlight w:val="none"/>
          <w:lang w:val="en-US" w:eastAsia="zh-CN" w:bidi="ar-SA"/>
        </w:rPr>
        <w:t>第6章  评标方法和标准</w:t>
      </w:r>
      <w:bookmarkEnd w:id="14"/>
      <w:bookmarkEnd w:id="15"/>
      <w:bookmarkEnd w:id="16"/>
      <w:bookmarkEnd w:id="17"/>
      <w:bookmarkEnd w:id="18"/>
      <w:bookmarkEnd w:id="19"/>
      <w:bookmarkEnd w:id="20"/>
      <w:bookmarkEnd w:id="1245"/>
      <w:bookmarkEnd w:id="1246"/>
      <w:bookmarkEnd w:id="1247"/>
    </w:p>
    <w:p>
      <w:pPr>
        <w:pStyle w:val="9"/>
        <w:keepNext w:val="0"/>
        <w:keepLines w:val="0"/>
        <w:pageBreakBefore w:val="0"/>
        <w:tabs>
          <w:tab w:val="clear" w:pos="567"/>
        </w:tabs>
        <w:kinsoku/>
        <w:wordWrap/>
        <w:overflowPunct/>
        <w:topLinePunct w:val="0"/>
        <w:autoSpaceDE/>
        <w:autoSpaceDN/>
        <w:bidi w:val="0"/>
        <w:adjustRightInd/>
        <w:spacing w:before="0" w:line="380" w:lineRule="exact"/>
        <w:ind w:firstLine="540" w:firstLineChars="225"/>
        <w:rPr>
          <w:rFonts w:hint="eastAsia" w:ascii="宋体" w:hAnsi="宋体" w:eastAsia="宋体" w:cs="宋体"/>
          <w:color w:val="auto"/>
          <w:highlight w:val="none"/>
        </w:rPr>
      </w:pPr>
      <w:r>
        <w:rPr>
          <w:rFonts w:hint="eastAsia" w:ascii="宋体" w:hAnsi="宋体" w:eastAsia="宋体" w:cs="宋体"/>
          <w:color w:val="auto"/>
          <w:highlight w:val="none"/>
        </w:rPr>
        <w:t>本项目将按照招标文件第一章供应商须知中“五 开标及评标”、“六 确定中标”及本章的规定评标。</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1.投标无效的情形：</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（1）单位负责人为同一人或者存在直接控股、管理关系的不同供应商，其相关投标将被认定为投标无效。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（2）供应商报价超过招标文件规定的预算金额或者分项、分包最高限价的，其投标将被认定为投标无效。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应认真阅读招标文件所有的事项、格式、条款和技术规范等。如供应商没有按照招标文件要求提交全部资料，或者投标文件没有对投标文件在各方面都做出实质性响应，可能导致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）供应商应当对所投分包投标文件中“</w:t>
      </w:r>
      <w:r>
        <w:rPr>
          <w:rFonts w:hint="eastAsia" w:ascii="宋体" w:hAnsi="宋体" w:cs="宋体"/>
          <w:color w:val="auto"/>
          <w:sz w:val="24"/>
          <w:highlight w:val="none"/>
          <w:lang w:val="en-US" w:eastAsia="zh-CN"/>
        </w:rPr>
        <w:t>采购需求</w:t>
      </w:r>
      <w:r>
        <w:rPr>
          <w:rFonts w:hint="eastAsia" w:ascii="宋体" w:hAnsi="宋体" w:eastAsia="宋体" w:cs="宋体"/>
          <w:color w:val="auto"/>
          <w:sz w:val="24"/>
          <w:highlight w:val="none"/>
        </w:rPr>
        <w:t>”所列的所有内容进行投标，如仅响应某一包中的部分内容，其该包投标将被认定为投标无效。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）供应商未按本须知第12.1和12.3条规定提交投标保证金的，其投标资格将被认定为投标无效。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）所有投标均以人民币报价。供应商的投标报价应遵守《中华人民共和国价格法》。同时，根据《中华人民共和国政府采购法》第二条的规定，为保证公平竞争，如有</w:t>
      </w:r>
      <w:r>
        <w:rPr>
          <w:rFonts w:hint="eastAsia" w:ascii="宋体" w:hAnsi="宋体" w:cs="宋体"/>
          <w:color w:val="auto"/>
          <w:sz w:val="24"/>
          <w:highlight w:val="none"/>
          <w:lang w:val="en-US" w:eastAsia="zh-CN"/>
        </w:rPr>
        <w:t>货物</w:t>
      </w:r>
      <w:r>
        <w:rPr>
          <w:rFonts w:hint="eastAsia" w:ascii="宋体" w:hAnsi="宋体" w:eastAsia="宋体" w:cs="宋体"/>
          <w:color w:val="auto"/>
          <w:sz w:val="24"/>
          <w:highlight w:val="none"/>
        </w:rPr>
        <w:t>主体部分的赠与行为，其投标将被认定为投标无效。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）供应商所报的各分项投标单价在合同履行过程中是固定不变的，不得以任何理由予以变更。任何包含价格调整要求的投标，其投标将被认定为投标无效。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）投标应在供应商须知资料表中规定时间内保持有效。投标有效期不满足要求的投标，其投标将被认定为投标无效。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）采购人或采购代理机构将在开标前1个工作日至投标截止后1小时的期间内查询供应商的信用记录。供应商存在不良信用记录的，其投标将被认定为投标无效。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在比较与评价之前，根据本须知的规定，评标委员会要审查每份投标文件是否实质上响应了投标文件的要求。实质上响应的投标应该是与投标文件要求的全部条款、条件和规格相符，没有重大偏离的投标。对关键条款的偏离，将被认定为投标无效。</w:t>
      </w:r>
    </w:p>
    <w:p>
      <w:pPr>
        <w:keepNext w:val="0"/>
        <w:keepLines w:val="0"/>
        <w:pageBreakBefore w:val="0"/>
        <w:widowControl/>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如发现下列情况之一的，其投标将被认定为投标无效：未按招标文件规定的形式和金额提交投标保证金的；未按照招标文件规定要求签署、盖章的；未满足招标文件中技术条款的实质性要求；与其他供应商串通投标，或者与</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串通投标；属于招标文件规定的其他投标无效情形；评标委员会认为供应商的报价明显低于其他通过符合性检查供应商的报价，有可能影响履约的，且供应商未按照规定证明其报价合理性的；招标文件含有采购人不能接受的附加条件的；不符合法规和招标文件中规定的其他实质性要求的。</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eastAsia="zh-CN"/>
        </w:rPr>
        <w:t>本项目</w:t>
      </w:r>
      <w:r>
        <w:rPr>
          <w:rFonts w:hint="eastAsia" w:ascii="宋体" w:hAnsi="宋体" w:cs="宋体"/>
          <w:b/>
          <w:bCs/>
          <w:color w:val="auto"/>
          <w:sz w:val="24"/>
          <w:highlight w:val="none"/>
          <w:lang w:val="en-US" w:eastAsia="zh-CN"/>
        </w:rPr>
        <w:t>不专门</w:t>
      </w:r>
      <w:r>
        <w:rPr>
          <w:rFonts w:hint="eastAsia" w:ascii="宋体" w:hAnsi="宋体" w:eastAsia="宋体" w:cs="宋体"/>
          <w:b/>
          <w:bCs/>
          <w:color w:val="auto"/>
          <w:sz w:val="24"/>
          <w:highlight w:val="none"/>
          <w:lang w:eastAsia="zh-CN"/>
        </w:rPr>
        <w:t>面向中小企业采购。根据《财政部关于进一步加大政府采购支持中小企业力度的通知》财库〔2022〕19号</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lang w:eastAsia="zh-CN"/>
        </w:rPr>
        <w:t>《政府采购促进中小企业发展管理办法》（财库[2020]46号）、《财政部司法部关于政府采购支持监狱企业发展有关问 题 的通知》（财库〔2014〕68号）、《三部门联合发布关于促进残疾人就业政府采购政策的通知》（财库〔2017〕141号）的规定，其中小型、微型及小微企业在投标文件中提交了《中小企业声明函》、《残疾人福利性单位声明函》或省级以上监狱管理局、戒毒管理局（含新疆生产建设兵团）出具的属于监狱企业的证明文件的供应商，其报价扣除</w:t>
      </w:r>
      <w:r>
        <w:rPr>
          <w:rFonts w:hint="eastAsia" w:ascii="宋体" w:hAnsi="宋体" w:eastAsia="宋体" w:cs="宋体"/>
          <w:b/>
          <w:bCs/>
          <w:color w:val="auto"/>
          <w:sz w:val="24"/>
          <w:highlight w:val="none"/>
          <w:u w:val="single"/>
          <w:lang w:eastAsia="zh-CN"/>
        </w:rPr>
        <w:t xml:space="preserve">  10  %</w:t>
      </w:r>
      <w:r>
        <w:rPr>
          <w:rFonts w:hint="eastAsia" w:ascii="宋体" w:hAnsi="宋体" w:eastAsia="宋体" w:cs="宋体"/>
          <w:b/>
          <w:bCs/>
          <w:color w:val="auto"/>
          <w:sz w:val="24"/>
          <w:highlight w:val="none"/>
          <w:lang w:eastAsia="zh-CN"/>
        </w:rPr>
        <w:t>后参与评审。对于同时属于小型、微型及小微企业、监狱企业或残疾人福利性单位的，不重复进行报价扣除。</w:t>
      </w:r>
    </w:p>
    <w:p>
      <w:pPr>
        <w:keepNext w:val="0"/>
        <w:keepLines w:val="0"/>
        <w:pageBreakBefore w:val="0"/>
        <w:widowControl/>
        <w:kinsoku/>
        <w:wordWrap/>
        <w:overflowPunct/>
        <w:topLinePunct w:val="0"/>
        <w:autoSpaceDE/>
        <w:autoSpaceDN/>
        <w:bidi w:val="0"/>
        <w:adjustRightInd/>
        <w:spacing w:line="38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3.联合协议中约定</w:t>
      </w:r>
      <w:r>
        <w:rPr>
          <w:rFonts w:hint="eastAsia" w:ascii="宋体" w:hAnsi="宋体" w:eastAsia="宋体" w:cs="宋体"/>
          <w:color w:val="auto"/>
          <w:sz w:val="24"/>
          <w:highlight w:val="none"/>
        </w:rPr>
        <w:t>，小型、微型企业和监狱企业的协议合同金额占到联合体协议合同总金额30%以上的，可给予联合体</w:t>
      </w:r>
      <w:r>
        <w:rPr>
          <w:rFonts w:hint="eastAsia" w:ascii="宋体" w:hAnsi="宋体" w:eastAsia="宋体" w:cs="宋体"/>
          <w:color w:val="auto"/>
          <w:sz w:val="24"/>
          <w:highlight w:val="none"/>
          <w:u w:val="single"/>
        </w:rPr>
        <w:t xml:space="preserve"> 2%-3%</w:t>
      </w:r>
      <w:r>
        <w:rPr>
          <w:rFonts w:hint="eastAsia" w:ascii="宋体" w:hAnsi="宋体" w:eastAsia="宋体" w:cs="宋体"/>
          <w:color w:val="auto"/>
          <w:sz w:val="24"/>
          <w:highlight w:val="none"/>
        </w:rPr>
        <w:t>的价格扣除。</w:t>
      </w:r>
      <w:r>
        <w:rPr>
          <w:rFonts w:hint="eastAsia" w:ascii="宋体" w:hAnsi="宋体" w:eastAsia="宋体" w:cs="宋体"/>
          <w:b/>
          <w:bCs/>
          <w:color w:val="auto"/>
          <w:sz w:val="24"/>
          <w:highlight w:val="none"/>
        </w:rPr>
        <w:t>（本项目不适用）</w:t>
      </w:r>
    </w:p>
    <w:p>
      <w:pPr>
        <w:keepNext w:val="0"/>
        <w:keepLines w:val="0"/>
        <w:pageBreakBefore w:val="0"/>
        <w:widowControl/>
        <w:kinsoku/>
        <w:wordWrap/>
        <w:overflowPunct/>
        <w:topLinePunct w:val="0"/>
        <w:autoSpaceDE/>
        <w:autoSpaceDN/>
        <w:bidi w:val="0"/>
        <w:adjustRightInd/>
        <w:spacing w:line="3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联合体各方均为小型、微型企业和监狱企业的，联合体视同为小型、微型企业和监狱企业。</w:t>
      </w:r>
    </w:p>
    <w:p>
      <w:pPr>
        <w:pStyle w:val="9"/>
        <w:keepNext w:val="0"/>
        <w:keepLines w:val="0"/>
        <w:pageBreakBefore w:val="0"/>
        <w:tabs>
          <w:tab w:val="clear" w:pos="567"/>
        </w:tabs>
        <w:kinsoku/>
        <w:wordWrap/>
        <w:overflowPunct/>
        <w:topLinePunct w:val="0"/>
        <w:autoSpaceDE/>
        <w:autoSpaceDN/>
        <w:bidi w:val="0"/>
        <w:adjustRightInd/>
        <w:spacing w:before="0" w:line="380" w:lineRule="exact"/>
        <w:rPr>
          <w:rFonts w:hint="eastAsia" w:ascii="宋体" w:hAnsi="宋体" w:eastAsia="宋体" w:cs="宋体"/>
          <w:color w:val="auto"/>
          <w:highlight w:val="none"/>
        </w:rPr>
      </w:pPr>
      <w:r>
        <w:rPr>
          <w:rFonts w:hint="eastAsia" w:ascii="宋体" w:hAnsi="宋体" w:eastAsia="宋体" w:cs="宋体"/>
          <w:b/>
          <w:bCs/>
          <w:color w:val="auto"/>
          <w:highlight w:val="none"/>
        </w:rPr>
        <w:t>4.供应商</w:t>
      </w:r>
      <w:r>
        <w:rPr>
          <w:rFonts w:hint="eastAsia" w:ascii="宋体" w:hAnsi="宋体" w:eastAsia="宋体" w:cs="宋体"/>
          <w:color w:val="auto"/>
          <w:highlight w:val="none"/>
        </w:rPr>
        <w:t>为提供</w:t>
      </w:r>
      <w:r>
        <w:rPr>
          <w:rFonts w:hint="eastAsia" w:cs="宋体"/>
          <w:color w:val="auto"/>
          <w:highlight w:val="none"/>
          <w:lang w:eastAsia="zh-CN"/>
        </w:rPr>
        <w:t>货物</w:t>
      </w:r>
      <w:r>
        <w:rPr>
          <w:rFonts w:hint="eastAsia" w:ascii="宋体" w:hAnsi="宋体" w:eastAsia="宋体" w:cs="宋体"/>
          <w:color w:val="auto"/>
          <w:highlight w:val="none"/>
        </w:rPr>
        <w:t>需求在投标中伴随投标的产品如被列入财政部与国家主管部门颁发的节能产品目录或环境标志产品目录或无线局域网产品目录，应提供相关证明，在评标时予以优先采购，具体优惠措施为：</w:t>
      </w:r>
      <w:r>
        <w:rPr>
          <w:rFonts w:hint="eastAsia" w:ascii="宋体" w:hAnsi="宋体" w:eastAsia="宋体" w:cs="宋体"/>
          <w:color w:val="auto"/>
          <w:highlight w:val="none"/>
          <w:u w:val="single"/>
        </w:rPr>
        <w:t>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r>
        <w:rPr>
          <w:rFonts w:hint="eastAsia" w:ascii="宋体" w:hAnsi="宋体" w:eastAsia="宋体" w:cs="宋体"/>
          <w:color w:val="auto"/>
          <w:highlight w:val="none"/>
        </w:rPr>
        <w:t>。</w:t>
      </w:r>
    </w:p>
    <w:p>
      <w:pPr>
        <w:pStyle w:val="9"/>
        <w:keepNext w:val="0"/>
        <w:keepLines w:val="0"/>
        <w:pageBreakBefore w:val="0"/>
        <w:tabs>
          <w:tab w:val="clear" w:pos="567"/>
        </w:tabs>
        <w:kinsoku/>
        <w:wordWrap/>
        <w:overflowPunct/>
        <w:topLinePunct w:val="0"/>
        <w:autoSpaceDE/>
        <w:autoSpaceDN/>
        <w:bidi w:val="0"/>
        <w:adjustRightInd/>
        <w:spacing w:before="0" w:line="380" w:lineRule="exact"/>
        <w:rPr>
          <w:rFonts w:hint="eastAsia" w:ascii="宋体" w:hAnsi="宋体" w:eastAsia="宋体" w:cs="宋体"/>
          <w:color w:val="auto"/>
          <w:highlight w:val="none"/>
          <w:u w:val="single"/>
        </w:rPr>
      </w:pPr>
      <w:r>
        <w:rPr>
          <w:rFonts w:hint="eastAsia" w:ascii="宋体" w:hAnsi="宋体" w:eastAsia="宋体" w:cs="宋体"/>
          <w:b/>
          <w:bCs/>
          <w:color w:val="auto"/>
          <w:highlight w:val="none"/>
        </w:rPr>
        <w:t>5.对创新产</w:t>
      </w:r>
      <w:r>
        <w:rPr>
          <w:rFonts w:hint="eastAsia" w:ascii="宋体" w:hAnsi="宋体" w:eastAsia="宋体" w:cs="宋体"/>
          <w:color w:val="auto"/>
          <w:highlight w:val="none"/>
        </w:rPr>
        <w:t>品或创新性企业的优惠措施为：</w:t>
      </w:r>
      <w:r>
        <w:rPr>
          <w:rFonts w:hint="eastAsia" w:ascii="宋体" w:hAnsi="宋体" w:eastAsia="宋体" w:cs="宋体"/>
          <w:color w:val="auto"/>
          <w:highlight w:val="none"/>
          <w:u w:val="single"/>
        </w:rPr>
        <w:t xml:space="preserve">     /      </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6.开标：</w:t>
      </w:r>
    </w:p>
    <w:p>
      <w:pPr>
        <w:pStyle w:val="19"/>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（1）供应商按照须知资料表中规定的开标时间和地点，在规定时间内上传投标文件。</w:t>
      </w:r>
    </w:p>
    <w:p>
      <w:pPr>
        <w:pStyle w:val="19"/>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xml:space="preserve">到投标截止时间，对供应商上传的投标文件进行解密，解密时长为30分钟。供应商须在规定时间内使用CA锁在政采云平台解密，解密失败或未在规定时间内解密，将无法参加下一阶段的投标，将被认定为无效投标。请供应商提前调试好CA锁，确定在操作时能正常使用。  </w:t>
      </w:r>
    </w:p>
    <w:p>
      <w:pPr>
        <w:pStyle w:val="19"/>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在开标记录时，代理机构开启签字时段，须供应商使用CA锁在政采云平台进行签字确认报价。</w:t>
      </w:r>
    </w:p>
    <w:p>
      <w:pPr>
        <w:pStyle w:val="19"/>
        <w:keepNext w:val="0"/>
        <w:keepLines w:val="0"/>
        <w:pageBreakBefore w:val="0"/>
        <w:kinsoku/>
        <w:wordWrap/>
        <w:overflowPunct/>
        <w:topLinePunct w:val="0"/>
        <w:autoSpaceDE/>
        <w:autoSpaceDN/>
        <w:bidi w:val="0"/>
        <w:adjustRightInd/>
        <w:spacing w:line="380" w:lineRule="exac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采购人登录政采云平台对供应商的资格证明材料进行审查。</w:t>
      </w:r>
    </w:p>
    <w:p>
      <w:pPr>
        <w:pStyle w:val="19"/>
        <w:keepNext w:val="0"/>
        <w:keepLines w:val="0"/>
        <w:pageBreakBefore w:val="0"/>
        <w:kinsoku/>
        <w:wordWrap/>
        <w:overflowPunct/>
        <w:topLinePunct w:val="0"/>
        <w:autoSpaceDE/>
        <w:autoSpaceDN/>
        <w:bidi w:val="0"/>
        <w:adjustRightInd/>
        <w:spacing w:line="380" w:lineRule="exact"/>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7.评标：</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（1）在</w:t>
      </w:r>
      <w:r>
        <w:rPr>
          <w:rFonts w:hint="eastAsia" w:ascii="宋体" w:hAnsi="宋体" w:eastAsia="宋体" w:cs="宋体"/>
          <w:b/>
          <w:bCs/>
          <w:color w:val="auto"/>
          <w:sz w:val="24"/>
          <w:highlight w:val="none"/>
          <w:lang w:eastAsia="zh-CN"/>
        </w:rPr>
        <w:t>政采云平台上随机抽取</w:t>
      </w: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rPr>
        <w:t>名</w:t>
      </w:r>
      <w:r>
        <w:rPr>
          <w:rFonts w:hint="eastAsia" w:ascii="宋体" w:hAnsi="宋体" w:eastAsia="宋体" w:cs="宋体"/>
          <w:b/>
          <w:bCs/>
          <w:color w:val="auto"/>
          <w:sz w:val="24"/>
          <w:highlight w:val="none"/>
          <w:lang w:eastAsia="zh-CN"/>
        </w:rPr>
        <w:t>专家</w:t>
      </w:r>
      <w:r>
        <w:rPr>
          <w:rFonts w:hint="eastAsia" w:ascii="宋体" w:hAnsi="宋体" w:eastAsia="宋体" w:cs="宋体"/>
          <w:color w:val="auto"/>
          <w:sz w:val="24"/>
          <w:highlight w:val="none"/>
        </w:rPr>
        <w:t>负责评标工作。</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（2）评标前，工作人员收取所有参会人员的手机，主持人宣读评标纪律。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对采购单位的纪律要求：采购单位不得泄露招投标活动中应当保密的情况和资料，不得与供应商串通损害国家利益、社会公共利益或者他人合法权益</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对与开标大会活动有关的工作人员的纪律要求：与开标大会活动有关的工作人员不得收受他人的财物或者其他好处，不得向他人透露对中标候选人的推荐情况以及评标有关的其他情况。</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对评标专家的评标纪律及注意事项：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①与本次评标工作无关的人员不得进入评标现场；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②在评标过程中评标委员会以外人员不得干预或影响正常评标工作，不得明示或暗示其倾向性、引导性言论；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③评标委员会成员要严格遵守政府采购法、政府采购法实施条例、政府采购货物和服务招标投标管理办法及评标专家管理办法，要求公正、公平的参与评标工作；</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评标委员会成员要依法独立评标，并对评标意见承担个人责任。评标委员会成员对需要共同认定的事项存在争议的，按照少数服从多数的原则做出结论。持不同意见的评标委员会成员应当在评标报告上签署不同意见并说明理由，否则视为同意。</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评标委员会成员要认真阅读招标文件和所有供应商的投标文件，对所有投标文件逐一进行资格性、符合性检查，按招标文件规定的评标方法和标准，进行比较和评价；对需要借助专业知识评判的主观评分项，应当严格按照评分细则公正评分。</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⑥评标委员会成员不得明示或者暗示其倾向性、引导性意见，不得修改或细化投标文件确定的评标程序、评标方法、评标因素和评标标准，不得接受供应商主动提出的澄清和解释，不得征询采购单位代表的倾向性意见，不得协商评分，不得记录、复制或带走任何评标资料。</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⑦评标专家与供应商有下列利害关系之一的人员，应当回避</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参加采购活动前3年内与供应商存在劳动关系；</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参加采购活动前3年内担任供应商的董事、监事；</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参加采购活动前3年内是供应商的控股股东或者实际控制人；</w:t>
      </w:r>
    </w:p>
    <w:p>
      <w:pPr>
        <w:keepNext w:val="0"/>
        <w:keepLines w:val="0"/>
        <w:pageBreakBefore w:val="0"/>
        <w:widowControl w:val="0"/>
        <w:numPr>
          <w:ilvl w:val="0"/>
          <w:numId w:val="0"/>
        </w:numPr>
        <w:kinsoku/>
        <w:wordWrap/>
        <w:overflowPunct/>
        <w:topLinePunct w:val="0"/>
        <w:autoSpaceDE/>
        <w:autoSpaceDN/>
        <w:bidi w:val="0"/>
        <w:adjustRightInd/>
        <w:snapToGrid w:val="0"/>
        <w:spacing w:line="380" w:lineRule="exact"/>
        <w:ind w:leftChars="0"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与供应商的法定代表人或者负责人有夫妻、直系血亲、三代以内旁系血亲或者近姻亲关系。</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（3）评标委员会应当按照招标文件中规定的评标方法和标准，对所有投标文件进行资格性审查，再对符合资格要求的供应商的投标文件进行符合性审查，以确定其是否满足招标文件的实质性要求。</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4）若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供应商的澄清、说明或者补正不得超出投标文件的范围或者改变投标文件的实质性内容。</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5）评标委员会应当按照招标文件中规定的评标方法和标准，对符合性审查合格的投标文件进行商务和技术评估，综合比较与评价。综合评分法，是指投标文件满足招标文件全部实质性要求，且按照评审因素的量化指标评审得分最高的供应商为中标候选人的评标方法。</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（6）评标委员会成员对需要共同认定的事项存在争议的，应当按照少数服从多数的原则作出结论。持不同意见的评标委员会成员应当在评标报告上签署不同意见及理由，否则视为同意评标报告。</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注：现场所有参会人员均要对开标内容进行保密。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8.答疑澄清：</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（1）评标委员会对于投标文件中含义不明确、同类问题表述不一致或者有明显文字和计算错误的内容，要求供应商以书面形式现场作出必要的澄清、说明或者补正。</w:t>
      </w:r>
    </w:p>
    <w:p>
      <w:pPr>
        <w:pStyle w:val="19"/>
        <w:keepNext w:val="0"/>
        <w:keepLines w:val="0"/>
        <w:pageBreakBefore w:val="0"/>
        <w:numPr>
          <w:ilvl w:val="0"/>
          <w:numId w:val="0"/>
        </w:numPr>
        <w:kinsoku/>
        <w:wordWrap/>
        <w:overflowPunct/>
        <w:topLinePunct w:val="0"/>
        <w:autoSpaceDE/>
        <w:autoSpaceDN/>
        <w:bidi w:val="0"/>
        <w:adjustRightInd/>
        <w:spacing w:line="380" w:lineRule="exact"/>
        <w:ind w:left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（2）供应商的澄清、说明或者补正应当采用书面形式，并加盖公章，或者由法定代表人或其授权的代表签字。供应商的澄清、说明或者补正不得超出投标文件的范围或者改变投标文件的实质性内容。</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9.定标：</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（1）采购代理机构应当在评标结束后2个工作日内将评标报告送采购人。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（2）采购人应当自收到评标报告之日起</w:t>
      </w:r>
      <w:r>
        <w:rPr>
          <w:rFonts w:hint="eastAsia" w:ascii="宋体" w:hAnsi="宋体" w:cs="宋体"/>
          <w:b w:val="0"/>
          <w:i w:val="0"/>
          <w:caps w:val="0"/>
          <w:color w:val="auto"/>
          <w:spacing w:val="0"/>
          <w:w w:val="100"/>
          <w:sz w:val="24"/>
          <w:highlight w:val="none"/>
          <w:lang w:val="en-US" w:eastAsia="zh-CN"/>
        </w:rPr>
        <w:t>5</w:t>
      </w:r>
      <w:r>
        <w:rPr>
          <w:rFonts w:hint="eastAsia" w:ascii="宋体" w:hAnsi="宋体" w:eastAsia="宋体" w:cs="宋体"/>
          <w:b w:val="0"/>
          <w:i w:val="0"/>
          <w:caps w:val="0"/>
          <w:color w:val="auto"/>
          <w:spacing w:val="0"/>
          <w:w w:val="100"/>
          <w:sz w:val="24"/>
          <w:highlight w:val="none"/>
          <w:lang w:val="en-US" w:eastAsia="zh-CN"/>
        </w:rPr>
        <w:t>个工作日内，在评标报告确定的中标候选人名单中按顺序确定中标人。中标候选人并列的，由采购人按照招标文件规定的方式确定中标人。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4）同品牌处理办法：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5）中标候选人并列式时的处理方式：采用综合评标法，则：评标结果按评审后得分由高到低顺序排列。得分相同的，按投标报价由低到高顺序排列。得分且投标报价相同的并列。投标文件满足投标文件全部实质性要求，且按照评审因素的量化指标评审得分最高的供应商为排名第一的中标候选人。</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bCs/>
          <w:i w:val="0"/>
          <w:caps w:val="0"/>
          <w:color w:val="auto"/>
          <w:spacing w:val="0"/>
          <w:w w:val="100"/>
          <w:sz w:val="24"/>
          <w:highlight w:val="none"/>
          <w:lang w:val="en-US" w:eastAsia="zh-CN"/>
        </w:rPr>
      </w:pPr>
      <w:r>
        <w:rPr>
          <w:rFonts w:hint="eastAsia" w:ascii="宋体" w:hAnsi="宋体" w:eastAsia="宋体" w:cs="宋体"/>
          <w:b/>
          <w:bCs/>
          <w:i w:val="0"/>
          <w:caps w:val="0"/>
          <w:color w:val="auto"/>
          <w:spacing w:val="0"/>
          <w:w w:val="100"/>
          <w:sz w:val="24"/>
          <w:highlight w:val="none"/>
          <w:lang w:val="en-US" w:eastAsia="zh-CN"/>
        </w:rPr>
        <w:t>10.评标标准：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（1）价格评分占</w:t>
      </w:r>
      <w:r>
        <w:rPr>
          <w:rFonts w:hint="eastAsia" w:ascii="宋体" w:hAnsi="宋体" w:cs="宋体"/>
          <w:b w:val="0"/>
          <w:i w:val="0"/>
          <w:caps w:val="0"/>
          <w:color w:val="auto"/>
          <w:spacing w:val="0"/>
          <w:w w:val="100"/>
          <w:sz w:val="24"/>
          <w:highlight w:val="none"/>
          <w:lang w:val="en-US" w:eastAsia="zh-CN"/>
        </w:rPr>
        <w:t>10</w:t>
      </w:r>
      <w:r>
        <w:rPr>
          <w:rFonts w:hint="eastAsia" w:ascii="宋体" w:hAnsi="宋体" w:eastAsia="宋体" w:cs="宋体"/>
          <w:b w:val="0"/>
          <w:i w:val="0"/>
          <w:caps w:val="0"/>
          <w:color w:val="auto"/>
          <w:spacing w:val="0"/>
          <w:w w:val="100"/>
          <w:sz w:val="24"/>
          <w:highlight w:val="none"/>
          <w:lang w:val="en-US" w:eastAsia="zh-CN"/>
        </w:rPr>
        <w:t>%，完全满足招标文件参数的投标报价中的最低价为评标基准价，按照下列公式计算每个供应商的投标价格得分。投标报价得分＝（评标基准价/投标报价）×</w:t>
      </w:r>
      <w:r>
        <w:rPr>
          <w:rFonts w:hint="eastAsia" w:ascii="宋体" w:hAnsi="宋体" w:cs="宋体"/>
          <w:b w:val="0"/>
          <w:i w:val="0"/>
          <w:caps w:val="0"/>
          <w:color w:val="auto"/>
          <w:spacing w:val="0"/>
          <w:w w:val="100"/>
          <w:sz w:val="24"/>
          <w:highlight w:val="none"/>
          <w:lang w:val="en-US" w:eastAsia="zh-CN"/>
        </w:rPr>
        <w:t>1</w:t>
      </w:r>
      <w:r>
        <w:rPr>
          <w:rFonts w:hint="eastAsia" w:ascii="宋体" w:hAnsi="宋体" w:eastAsia="宋体" w:cs="宋体"/>
          <w:b w:val="0"/>
          <w:i w:val="0"/>
          <w:caps w:val="0"/>
          <w:color w:val="auto"/>
          <w:spacing w:val="0"/>
          <w:w w:val="100"/>
          <w:sz w:val="24"/>
          <w:highlight w:val="none"/>
          <w:lang w:val="en-US" w:eastAsia="zh-CN"/>
        </w:rPr>
        <w:t>0%×100。</w:t>
      </w:r>
      <w:r>
        <w:rPr>
          <w:rFonts w:hint="eastAsia" w:ascii="宋体" w:hAnsi="宋体" w:eastAsia="宋体" w:cs="宋体"/>
          <w:b/>
          <w:bCs/>
          <w:i w:val="0"/>
          <w:caps w:val="0"/>
          <w:color w:val="auto"/>
          <w:spacing w:val="0"/>
          <w:w w:val="100"/>
          <w:sz w:val="24"/>
          <w:highlight w:val="none"/>
          <w:lang w:val="en-US" w:eastAsia="zh-CN"/>
        </w:rPr>
        <w:t>（注：根据《政府采购促进中小企业发展管理办法》（财库﹝2020﹞46号）、《关于进一步加大政府采购支持中小企业力度的通知》（财库〔2022〕19号）的规定，对小型和微型企业给予10%的价格扣除，用扣除后的价格参与评标，提供相关证明资料，否则无效。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（2）商务评分占</w:t>
      </w:r>
      <w:r>
        <w:rPr>
          <w:rFonts w:hint="eastAsia" w:ascii="宋体" w:hAnsi="宋体" w:cs="宋体"/>
          <w:b w:val="0"/>
          <w:i w:val="0"/>
          <w:caps w:val="0"/>
          <w:color w:val="auto"/>
          <w:spacing w:val="0"/>
          <w:w w:val="100"/>
          <w:sz w:val="24"/>
          <w:highlight w:val="none"/>
          <w:lang w:val="en-US" w:eastAsia="zh-CN"/>
        </w:rPr>
        <w:t>24</w:t>
      </w:r>
      <w:r>
        <w:rPr>
          <w:rFonts w:hint="eastAsia" w:ascii="宋体" w:hAnsi="宋体" w:eastAsia="宋体" w:cs="宋体"/>
          <w:b w:val="0"/>
          <w:i w:val="0"/>
          <w:caps w:val="0"/>
          <w:color w:val="auto"/>
          <w:spacing w:val="0"/>
          <w:w w:val="100"/>
          <w:sz w:val="24"/>
          <w:highlight w:val="none"/>
          <w:lang w:val="en-US" w:eastAsia="zh-CN"/>
        </w:rPr>
        <w:t>%，包含人员配备</w:t>
      </w:r>
      <w:r>
        <w:rPr>
          <w:rFonts w:hint="eastAsia" w:ascii="宋体" w:hAnsi="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en-US" w:eastAsia="zh-CN"/>
        </w:rPr>
        <w:t>标书制作。</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80" w:lineRule="exact"/>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（3）技术评分占</w:t>
      </w:r>
      <w:r>
        <w:rPr>
          <w:rFonts w:hint="eastAsia" w:ascii="宋体" w:hAnsi="宋体" w:cs="宋体"/>
          <w:b w:val="0"/>
          <w:i w:val="0"/>
          <w:caps w:val="0"/>
          <w:color w:val="auto"/>
          <w:spacing w:val="0"/>
          <w:w w:val="100"/>
          <w:sz w:val="24"/>
          <w:highlight w:val="none"/>
          <w:lang w:val="en-US" w:eastAsia="zh-CN"/>
        </w:rPr>
        <w:t>66</w:t>
      </w:r>
      <w:r>
        <w:rPr>
          <w:rFonts w:hint="eastAsia" w:ascii="宋体" w:hAnsi="宋体" w:eastAsia="宋体" w:cs="宋体"/>
          <w:b w:val="0"/>
          <w:i w:val="0"/>
          <w:caps w:val="0"/>
          <w:color w:val="auto"/>
          <w:spacing w:val="0"/>
          <w:w w:val="100"/>
          <w:sz w:val="24"/>
          <w:highlight w:val="none"/>
          <w:lang w:val="en-US" w:eastAsia="zh-CN"/>
        </w:rPr>
        <w:t>%，包含总体技术方案</w:t>
      </w:r>
      <w:r>
        <w:rPr>
          <w:rFonts w:hint="eastAsia" w:ascii="宋体" w:hAnsi="宋体" w:cs="宋体"/>
          <w:b w:val="0"/>
          <w:i w:val="0"/>
          <w:caps w:val="0"/>
          <w:color w:val="auto"/>
          <w:spacing w:val="0"/>
          <w:w w:val="100"/>
          <w:sz w:val="24"/>
          <w:highlight w:val="none"/>
          <w:lang w:val="en-US" w:eastAsia="zh-CN"/>
        </w:rPr>
        <w:t>、研究方案路线、项目背景及现状分析、进度计划、质量保证措施等</w:t>
      </w:r>
      <w:r>
        <w:rPr>
          <w:rFonts w:hint="eastAsia" w:ascii="宋体" w:hAnsi="宋体" w:eastAsia="宋体" w:cs="宋体"/>
          <w:b w:val="0"/>
          <w:i w:val="0"/>
          <w:caps w:val="0"/>
          <w:color w:val="auto"/>
          <w:spacing w:val="0"/>
          <w:w w:val="100"/>
          <w:sz w:val="24"/>
          <w:highlight w:val="none"/>
          <w:lang w:val="en-US" w:eastAsia="zh-CN"/>
        </w:rPr>
        <w:t>。</w:t>
      </w:r>
    </w:p>
    <w:p>
      <w:pPr>
        <w:rPr>
          <w:rFonts w:hint="eastAsia" w:ascii="宋体" w:hAnsi="宋体" w:eastAsia="宋体" w:cs="宋体"/>
          <w:color w:val="auto"/>
          <w:highlight w:val="none"/>
        </w:rPr>
      </w:pPr>
      <w:bookmarkStart w:id="1248" w:name="_Toc10419"/>
      <w:bookmarkStart w:id="1249" w:name="_Toc5986"/>
      <w:bookmarkStart w:id="1250" w:name="_Toc9835"/>
      <w:bookmarkStart w:id="1251" w:name="_Toc5776"/>
      <w:bookmarkStart w:id="1252" w:name="_Toc23103"/>
      <w:bookmarkStart w:id="1253" w:name="_Toc7467"/>
      <w:bookmarkStart w:id="1254" w:name="_Toc5478"/>
      <w:bookmarkStart w:id="1255" w:name="_Toc1327"/>
      <w:bookmarkStart w:id="1256" w:name="_Toc5578"/>
      <w:bookmarkStart w:id="1257" w:name="_Toc21578"/>
      <w:bookmarkStart w:id="1258" w:name="_Toc6128"/>
      <w:bookmarkStart w:id="1259" w:name="_Toc25901"/>
      <w:bookmarkStart w:id="1260" w:name="_Toc29085"/>
      <w:bookmarkStart w:id="1261" w:name="_Toc28782"/>
      <w:bookmarkStart w:id="1262" w:name="_Toc9116"/>
      <w:bookmarkStart w:id="1263" w:name="_Toc21866"/>
      <w:bookmarkStart w:id="1264" w:name="_Toc19412"/>
      <w:r>
        <w:rPr>
          <w:rFonts w:hint="eastAsia" w:ascii="宋体" w:hAnsi="宋体" w:eastAsia="宋体" w:cs="宋体"/>
          <w:color w:val="auto"/>
          <w:highlight w:val="none"/>
        </w:rPr>
        <w:br w:type="page"/>
      </w:r>
    </w:p>
    <w:p>
      <w:pPr>
        <w:pStyle w:val="6"/>
        <w:rPr>
          <w:rFonts w:hint="eastAsia" w:ascii="宋体" w:hAnsi="宋体" w:eastAsia="宋体" w:cs="宋体"/>
          <w:color w:val="auto"/>
          <w:highlight w:val="none"/>
        </w:rPr>
      </w:pPr>
      <w:bookmarkStart w:id="1265" w:name="_Toc848"/>
      <w:r>
        <w:rPr>
          <w:rFonts w:hint="eastAsia" w:ascii="宋体" w:hAnsi="宋体" w:eastAsia="宋体" w:cs="宋体"/>
          <w:color w:val="auto"/>
          <w:highlight w:val="none"/>
        </w:rPr>
        <w:t>初步评审—资格性审查表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tbl>
      <w:tblPr>
        <w:tblStyle w:val="25"/>
        <w:tblW w:w="53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6756"/>
        <w:gridCol w:w="544"/>
        <w:gridCol w:w="566"/>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51"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714"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933" w:type="pct"/>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51"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3714"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p>
        </w:tc>
        <w:tc>
          <w:tcPr>
            <w:tcW w:w="29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1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c>
          <w:tcPr>
            <w:tcW w:w="3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lang w:eastAsia="zh-CN"/>
              </w:rPr>
              <w:t>具有有效的营业执照</w:t>
            </w:r>
            <w:r>
              <w:rPr>
                <w:rFonts w:hint="eastAsia" w:ascii="宋体" w:hAnsi="宋体" w:eastAsia="宋体" w:cs="宋体"/>
                <w:color w:val="auto"/>
                <w:spacing w:val="-2"/>
                <w:sz w:val="24"/>
                <w:szCs w:val="24"/>
                <w:highlight w:val="none"/>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2</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rPr>
              <w:t>法定代表人资格证明及授权书、被授权人身份证(法定代表人投标需提供法定代表人身份证)；</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3</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eastAsia="zh-CN"/>
              </w:rPr>
              <w:t>提供近两年内任意一年的财务审计报告</w:t>
            </w:r>
            <w:r>
              <w:rPr>
                <w:rFonts w:hint="eastAsia" w:ascii="宋体" w:hAnsi="宋体" w:eastAsia="宋体" w:cs="宋体"/>
                <w:color w:val="auto"/>
                <w:spacing w:val="-2"/>
                <w:sz w:val="24"/>
                <w:szCs w:val="24"/>
                <w:highlight w:val="none"/>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4</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依法缴纳近六个月内任意一个月</w:t>
            </w:r>
            <w:r>
              <w:rPr>
                <w:rFonts w:hint="eastAsia" w:ascii="宋体" w:hAnsi="宋体" w:eastAsia="宋体" w:cs="宋体"/>
                <w:color w:val="auto"/>
                <w:spacing w:val="-2"/>
                <w:sz w:val="24"/>
                <w:szCs w:val="24"/>
                <w:highlight w:val="none"/>
                <w:lang w:eastAsia="zh-CN"/>
              </w:rPr>
              <w:t>社会保险证明</w:t>
            </w:r>
            <w:r>
              <w:rPr>
                <w:rFonts w:hint="eastAsia" w:ascii="宋体" w:hAnsi="宋体" w:eastAsia="宋体" w:cs="宋体"/>
                <w:color w:val="auto"/>
                <w:spacing w:val="-2"/>
                <w:sz w:val="24"/>
                <w:szCs w:val="24"/>
                <w:highlight w:val="none"/>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5</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eastAsia="zh-CN"/>
              </w:rPr>
              <w:t>依法缴纳近六个月内任意一个月税收证明</w:t>
            </w:r>
            <w:r>
              <w:rPr>
                <w:rFonts w:hint="eastAsia" w:ascii="宋体" w:hAnsi="宋体" w:eastAsia="宋体" w:cs="宋体"/>
                <w:color w:val="auto"/>
                <w:spacing w:val="-2"/>
                <w:sz w:val="24"/>
                <w:szCs w:val="24"/>
                <w:highlight w:val="none"/>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6</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根据《财政部关于在政府采购活动中查询及使用信用记录有关问题的通知》（财库﹝2016﹞125号）的要求，凡拟参加本次招标项目的供应商，如在“信用中国”网站（ www.creditchina.gov.cn） 被列入失信被执行人、重大税收违法失信主体名单(信用服务-</w:t>
            </w:r>
            <w:r>
              <w:rPr>
                <w:rFonts w:hint="eastAsia" w:ascii="宋体" w:hAnsi="宋体" w:cs="宋体"/>
                <w:color w:val="auto"/>
                <w:spacing w:val="-2"/>
                <w:sz w:val="24"/>
                <w:szCs w:val="24"/>
                <w:highlight w:val="none"/>
                <w:lang w:eastAsia="zh-CN"/>
              </w:rPr>
              <w:t>重点领域严重失信主体名单查询-搜索栏输入单位全称</w:t>
            </w:r>
            <w:r>
              <w:rPr>
                <w:rFonts w:hint="eastAsia" w:ascii="宋体" w:hAnsi="宋体" w:eastAsia="宋体" w:cs="宋体"/>
                <w:color w:val="auto"/>
                <w:spacing w:val="-2"/>
                <w:sz w:val="24"/>
                <w:szCs w:val="24"/>
                <w:highlight w:val="none"/>
              </w:rPr>
              <w:t>)、中国政府采购网（http://www.ccgp.gov.cn/search/cr/）严重违法失信行为信息记录名单的（尚在处罚期内的），“国家企业信用信息公示系统（http://www.gsxt.gov.cn）”</w:t>
            </w:r>
            <w:r>
              <w:rPr>
                <w:rFonts w:hint="eastAsia" w:ascii="宋体" w:hAnsi="宋体" w:cs="宋体"/>
                <w:color w:val="auto"/>
                <w:spacing w:val="-2"/>
                <w:sz w:val="24"/>
                <w:szCs w:val="24"/>
                <w:highlight w:val="none"/>
                <w:lang w:eastAsia="zh-CN"/>
              </w:rPr>
              <w:t>列入严重违法失信名单（黑名单）信息</w:t>
            </w:r>
            <w:r>
              <w:rPr>
                <w:rFonts w:hint="eastAsia" w:ascii="宋体" w:hAnsi="宋体" w:eastAsia="宋体" w:cs="宋体"/>
                <w:color w:val="auto"/>
                <w:spacing w:val="-2"/>
                <w:sz w:val="24"/>
                <w:szCs w:val="24"/>
                <w:highlight w:val="none"/>
                <w:lang w:eastAsia="zh-CN"/>
              </w:rPr>
              <w:t>；将拒绝其参加本次招标活动</w:t>
            </w:r>
            <w:r>
              <w:rPr>
                <w:rFonts w:hint="eastAsia" w:ascii="宋体" w:hAnsi="宋体" w:eastAsia="宋体" w:cs="宋体"/>
                <w:color w:val="auto"/>
                <w:spacing w:val="-2"/>
                <w:sz w:val="24"/>
                <w:szCs w:val="24"/>
                <w:highlight w:val="none"/>
              </w:rPr>
              <w:t>；（</w:t>
            </w:r>
            <w:r>
              <w:rPr>
                <w:rFonts w:hint="eastAsia" w:ascii="宋体" w:hAnsi="宋体" w:eastAsia="宋体" w:cs="宋体"/>
                <w:color w:val="auto"/>
                <w:spacing w:val="-2"/>
                <w:sz w:val="24"/>
                <w:szCs w:val="24"/>
                <w:highlight w:val="none"/>
                <w:lang w:eastAsia="zh-CN"/>
              </w:rPr>
              <w:t>以采购代理机构或采购人查询为准</w:t>
            </w:r>
            <w:r>
              <w:rPr>
                <w:rFonts w:hint="eastAsia" w:ascii="宋体" w:hAnsi="宋体" w:eastAsia="宋体" w:cs="宋体"/>
                <w:color w:val="auto"/>
                <w:spacing w:val="-2"/>
                <w:sz w:val="24"/>
                <w:szCs w:val="24"/>
                <w:highlight w:val="none"/>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7</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参与政府采购活动前3年内未被列入失信、重大税收违法案件、财政部门禁止参加政府采购活动的承诺书；</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8</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提供针对本次项目的《反商业贿赂承诺书》；</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9</w:t>
            </w: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缴纳投标保证金的有效凭证</w:t>
            </w:r>
            <w:r>
              <w:rPr>
                <w:rFonts w:hint="eastAsia" w:ascii="宋体" w:hAnsi="宋体" w:cs="宋体"/>
                <w:color w:val="auto"/>
                <w:spacing w:val="-2"/>
                <w:sz w:val="24"/>
                <w:szCs w:val="24"/>
                <w:highlight w:val="none"/>
                <w:lang w:eastAsia="zh-CN"/>
              </w:rPr>
              <w:t>；</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pacing w:val="-2"/>
                <w:sz w:val="24"/>
                <w:szCs w:val="24"/>
                <w:highlight w:val="none"/>
                <w:lang w:val="en-US" w:eastAsia="zh-CN"/>
              </w:rPr>
            </w:pPr>
            <w:r>
              <w:rPr>
                <w:rFonts w:hint="eastAsia" w:ascii="宋体" w:hAnsi="宋体" w:cs="宋体"/>
                <w:color w:val="auto"/>
                <w:spacing w:val="-2"/>
                <w:sz w:val="24"/>
                <w:szCs w:val="24"/>
                <w:highlight w:val="none"/>
                <w:lang w:val="en-US" w:eastAsia="zh-CN"/>
              </w:rPr>
              <w:t>10</w:t>
            </w:r>
          </w:p>
        </w:tc>
        <w:tc>
          <w:tcPr>
            <w:tcW w:w="3714" w:type="pct"/>
            <w:vAlign w:val="center"/>
          </w:tcPr>
          <w:p>
            <w:pPr>
              <w:pStyle w:val="92"/>
              <w:keepNext w:val="0"/>
              <w:keepLines w:val="0"/>
              <w:pageBreakBefore w:val="0"/>
              <w:widowControl/>
              <w:kinsoku/>
              <w:wordWrap/>
              <w:overflowPunct/>
              <w:topLinePunct w:val="0"/>
              <w:autoSpaceDE/>
              <w:autoSpaceDN/>
              <w:bidi w:val="0"/>
              <w:adjustRightInd/>
              <w:snapToGrid/>
              <w:spacing w:line="380" w:lineRule="atLeast"/>
              <w:ind w:right="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highlight w:val="none"/>
                <w:lang w:eastAsia="zh-CN"/>
              </w:rPr>
              <w:t>须具备城乡规划编制乙级及以上资质（含乙级）证书</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lang w:eastAsia="zh-CN"/>
              </w:rPr>
              <w:t>土地规划乙级及以上资质（含乙级）证书。</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5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p>
        </w:tc>
        <w:tc>
          <w:tcPr>
            <w:tcW w:w="3714"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val="en-US" w:eastAsia="zh-CN"/>
              </w:rPr>
              <w:t>结论</w:t>
            </w:r>
          </w:p>
        </w:tc>
        <w:tc>
          <w:tcPr>
            <w:tcW w:w="299"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11"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c>
          <w:tcPr>
            <w:tcW w:w="323" w:type="pct"/>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p>
        </w:tc>
      </w:tr>
    </w:tbl>
    <w:p>
      <w:pPr>
        <w:spacing w:line="3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pStyle w:val="19"/>
        <w:rPr>
          <w:rFonts w:hint="eastAsia" w:ascii="宋体" w:hAnsi="宋体" w:eastAsia="宋体" w:cs="宋体"/>
          <w:b/>
          <w:bCs/>
          <w:color w:val="auto"/>
          <w:szCs w:val="21"/>
          <w:highlight w:val="none"/>
        </w:rPr>
      </w:pPr>
    </w:p>
    <w:p>
      <w:pPr>
        <w:rPr>
          <w:rFonts w:hint="eastAsia" w:ascii="宋体" w:hAnsi="宋体" w:eastAsia="宋体" w:cs="宋体"/>
          <w:color w:val="auto"/>
          <w:highlight w:val="none"/>
        </w:rPr>
      </w:pPr>
      <w:bookmarkStart w:id="1266" w:name="_Toc14007"/>
      <w:bookmarkStart w:id="1267" w:name="_Toc18094"/>
      <w:bookmarkStart w:id="1268" w:name="_Toc8382"/>
      <w:bookmarkStart w:id="1269" w:name="_Toc31983"/>
      <w:bookmarkStart w:id="1270" w:name="_Toc10492"/>
      <w:bookmarkStart w:id="1271" w:name="_Toc26642"/>
      <w:bookmarkStart w:id="1272" w:name="_Toc13854"/>
      <w:bookmarkStart w:id="1273" w:name="_Toc30395"/>
      <w:bookmarkStart w:id="1274" w:name="_Toc27246"/>
      <w:bookmarkStart w:id="1275" w:name="_Toc3927"/>
      <w:bookmarkStart w:id="1276" w:name="_Toc28858"/>
      <w:bookmarkStart w:id="1277" w:name="_Toc8255"/>
      <w:bookmarkStart w:id="1278" w:name="_Toc21850"/>
      <w:bookmarkStart w:id="1279" w:name="_Toc12108"/>
      <w:bookmarkStart w:id="1280" w:name="_Toc273"/>
      <w:bookmarkStart w:id="1281" w:name="_Toc16022"/>
      <w:bookmarkStart w:id="1282" w:name="_Toc3062"/>
      <w:r>
        <w:rPr>
          <w:rFonts w:hint="eastAsia" w:ascii="宋体" w:hAnsi="宋体" w:eastAsia="宋体" w:cs="宋体"/>
          <w:color w:val="auto"/>
          <w:highlight w:val="none"/>
        </w:rPr>
        <w:br w:type="page"/>
      </w:r>
    </w:p>
    <w:p>
      <w:pPr>
        <w:pStyle w:val="6"/>
        <w:rPr>
          <w:rFonts w:hint="eastAsia" w:ascii="宋体" w:hAnsi="宋体" w:eastAsia="宋体" w:cs="宋体"/>
          <w:color w:val="auto"/>
          <w:highlight w:val="none"/>
        </w:rPr>
      </w:pPr>
      <w:bookmarkStart w:id="1283" w:name="_Toc861"/>
      <w:r>
        <w:rPr>
          <w:rFonts w:hint="eastAsia" w:ascii="宋体" w:hAnsi="宋体" w:eastAsia="宋体" w:cs="宋体"/>
          <w:color w:val="auto"/>
          <w:highlight w:val="none"/>
        </w:rPr>
        <w:t>初步评审—符合性审查表</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bl>
      <w:tblPr>
        <w:tblStyle w:val="25"/>
        <w:tblW w:w="53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7577"/>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575" w:type="pct"/>
            <w:gridSpan w:val="2"/>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评审内容</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195" w:type="pct"/>
            <w:vAlign w:val="center"/>
          </w:tcPr>
          <w:p>
            <w:pPr>
              <w:spacing w:line="400" w:lineRule="exact"/>
              <w:jc w:val="center"/>
              <w:rPr>
                <w:rFonts w:hint="eastAsia" w:ascii="宋体" w:hAnsi="宋体" w:eastAsia="宋体" w:cs="宋体"/>
                <w:color w:val="auto"/>
                <w:spacing w:val="-2"/>
                <w:sz w:val="24"/>
                <w:szCs w:val="24"/>
                <w:highlight w:val="none"/>
              </w:rPr>
            </w:pP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各供应商投标报价未高于</w:t>
            </w:r>
            <w:r>
              <w:rPr>
                <w:rFonts w:hint="eastAsia" w:ascii="宋体" w:hAnsi="宋体" w:cs="宋体"/>
                <w:color w:val="auto"/>
                <w:spacing w:val="-2"/>
                <w:sz w:val="24"/>
                <w:szCs w:val="24"/>
                <w:highlight w:val="none"/>
                <w:lang w:val="en-US" w:eastAsia="zh-CN"/>
              </w:rPr>
              <w:t>最高限价</w:t>
            </w:r>
            <w:r>
              <w:rPr>
                <w:rFonts w:hint="eastAsia" w:ascii="宋体" w:hAnsi="宋体" w:eastAsia="宋体" w:cs="宋体"/>
                <w:color w:val="auto"/>
                <w:spacing w:val="-2"/>
                <w:sz w:val="24"/>
                <w:szCs w:val="24"/>
                <w:highlight w:val="none"/>
              </w:rPr>
              <w:t>；</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评标委员会认为供应商的报价无明显低于其他通过</w:t>
            </w:r>
            <w:r>
              <w:rPr>
                <w:rFonts w:hint="eastAsia" w:ascii="宋体" w:hAnsi="宋体" w:eastAsia="宋体" w:cs="宋体"/>
                <w:color w:val="auto"/>
                <w:spacing w:val="-2"/>
                <w:sz w:val="24"/>
                <w:szCs w:val="24"/>
                <w:highlight w:val="none"/>
                <w:lang w:val="en-US" w:eastAsia="zh-CN"/>
              </w:rPr>
              <w:t>符合</w:t>
            </w:r>
            <w:r>
              <w:rPr>
                <w:rFonts w:hint="eastAsia" w:ascii="宋体" w:hAnsi="宋体" w:eastAsia="宋体" w:cs="宋体"/>
                <w:color w:val="auto"/>
                <w:spacing w:val="-2"/>
                <w:sz w:val="24"/>
                <w:szCs w:val="24"/>
                <w:highlight w:val="none"/>
              </w:rPr>
              <w:t>性审查供应商的报价的，供应商的报价不存在异常一致并成规律性的，其报价合理；</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3</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投标文件按照招标文件的规定编制、标记及签署盖章的</w:t>
            </w:r>
            <w:r>
              <w:rPr>
                <w:rFonts w:hint="eastAsia" w:ascii="宋体" w:hAnsi="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rPr>
              <w:t>法定代表人或其授权代表</w:t>
            </w:r>
            <w:r>
              <w:rPr>
                <w:rFonts w:hint="eastAsia" w:ascii="宋体" w:hAnsi="宋体" w:eastAsia="宋体" w:cs="宋体"/>
                <w:color w:val="auto"/>
                <w:spacing w:val="-2"/>
                <w:sz w:val="24"/>
                <w:szCs w:val="24"/>
                <w:highlight w:val="none"/>
                <w:lang w:val="en-US" w:eastAsia="zh-CN"/>
              </w:rPr>
              <w:t>签</w:t>
            </w:r>
            <w:r>
              <w:rPr>
                <w:rFonts w:hint="eastAsia" w:ascii="宋体" w:hAnsi="宋体" w:eastAsia="宋体" w:cs="宋体"/>
                <w:color w:val="auto"/>
                <w:spacing w:val="-2"/>
                <w:sz w:val="24"/>
                <w:szCs w:val="24"/>
                <w:highlight w:val="none"/>
              </w:rPr>
              <w:t>章</w:t>
            </w:r>
            <w:r>
              <w:rPr>
                <w:rFonts w:hint="eastAsia" w:ascii="宋体" w:hAnsi="宋体" w:eastAsia="宋体" w:cs="宋体"/>
                <w:color w:val="auto"/>
                <w:spacing w:val="-2"/>
                <w:sz w:val="24"/>
                <w:szCs w:val="24"/>
                <w:highlight w:val="none"/>
                <w:lang w:eastAsia="zh-CN"/>
              </w:rPr>
              <w:t>；</w:t>
            </w:r>
          </w:p>
        </w:tc>
        <w:tc>
          <w:tcPr>
            <w:tcW w:w="424" w:type="pct"/>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4</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按招标文件规定的格式填写，内容</w:t>
            </w:r>
            <w:r>
              <w:rPr>
                <w:rFonts w:hint="eastAsia" w:ascii="宋体" w:hAnsi="宋体" w:eastAsia="宋体" w:cs="宋体"/>
                <w:color w:val="auto"/>
                <w:spacing w:val="-2"/>
                <w:sz w:val="24"/>
                <w:szCs w:val="24"/>
                <w:highlight w:val="none"/>
                <w:lang w:val="en-US" w:eastAsia="zh-CN"/>
              </w:rPr>
              <w:t>全面</w:t>
            </w:r>
            <w:r>
              <w:rPr>
                <w:rFonts w:hint="eastAsia" w:ascii="宋体" w:hAnsi="宋体" w:eastAsia="宋体" w:cs="宋体"/>
                <w:color w:val="auto"/>
                <w:spacing w:val="-2"/>
                <w:sz w:val="24"/>
                <w:szCs w:val="24"/>
                <w:highlight w:val="none"/>
              </w:rPr>
              <w:t>；</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5</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lang w:val="en-US" w:eastAsia="zh-CN"/>
              </w:rPr>
              <w:t>符合招标文件中规定的要求；</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6</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没有采购人不能接受的附加条件的；</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7</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不同供应商的投标文件没有错漏一致的情况；</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8</w:t>
            </w:r>
          </w:p>
        </w:tc>
        <w:tc>
          <w:tcPr>
            <w:tcW w:w="41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2"/>
                <w:kern w:val="2"/>
                <w:sz w:val="24"/>
                <w:szCs w:val="24"/>
                <w:highlight w:val="none"/>
                <w:lang w:val="en-US" w:eastAsia="zh-CN" w:bidi="ar-SA"/>
              </w:rPr>
            </w:pPr>
            <w:r>
              <w:rPr>
                <w:rFonts w:hint="eastAsia" w:ascii="宋体" w:hAnsi="宋体" w:eastAsia="宋体" w:cs="宋体"/>
                <w:color w:val="auto"/>
                <w:spacing w:val="-2"/>
                <w:sz w:val="24"/>
                <w:szCs w:val="24"/>
                <w:highlight w:val="none"/>
              </w:rPr>
              <w:t>供应商附有详细地址、联系人、电话标明的</w:t>
            </w:r>
            <w:r>
              <w:rPr>
                <w:rFonts w:hint="eastAsia" w:ascii="宋体" w:hAnsi="宋体" w:cs="宋体"/>
                <w:color w:val="auto"/>
                <w:spacing w:val="-2"/>
                <w:sz w:val="24"/>
                <w:szCs w:val="24"/>
                <w:highlight w:val="none"/>
                <w:lang w:eastAsia="zh-CN"/>
              </w:rPr>
              <w:t>。</w:t>
            </w:r>
          </w:p>
        </w:tc>
        <w:tc>
          <w:tcPr>
            <w:tcW w:w="424" w:type="pct"/>
            <w:vAlign w:val="center"/>
          </w:tcPr>
          <w:p>
            <w:pPr>
              <w:spacing w:line="400" w:lineRule="exact"/>
              <w:jc w:val="center"/>
              <w:rPr>
                <w:rFonts w:hint="eastAsia" w:ascii="宋体" w:hAnsi="宋体" w:eastAsia="宋体" w:cs="宋体"/>
                <w:color w:val="auto"/>
                <w:spacing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575"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结论：通过评审打“√”，未通过评审打“×”</w:t>
            </w:r>
          </w:p>
        </w:tc>
        <w:tc>
          <w:tcPr>
            <w:tcW w:w="424" w:type="pct"/>
            <w:vAlign w:val="center"/>
          </w:tcPr>
          <w:p>
            <w:pPr>
              <w:spacing w:line="400" w:lineRule="exact"/>
              <w:ind w:firstLine="424" w:firstLineChars="180"/>
              <w:jc w:val="center"/>
              <w:rPr>
                <w:rFonts w:hint="eastAsia" w:ascii="宋体" w:hAnsi="宋体" w:eastAsia="宋体" w:cs="宋体"/>
                <w:color w:val="auto"/>
                <w:spacing w:val="-2"/>
                <w:sz w:val="24"/>
                <w:szCs w:val="24"/>
                <w:highlight w:val="none"/>
              </w:rPr>
            </w:pPr>
          </w:p>
        </w:tc>
      </w:tr>
    </w:tbl>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keepNext w:val="0"/>
        <w:keepLines w:val="0"/>
        <w:pageBreakBefore w:val="0"/>
        <w:widowControl w:val="0"/>
        <w:kinsoku/>
        <w:wordWrap/>
        <w:overflowPunct/>
        <w:topLinePunct w:val="0"/>
        <w:bidi w:val="0"/>
        <w:snapToGrid/>
        <w:spacing w:line="400" w:lineRule="exact"/>
        <w:ind w:left="6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（1）上述各项中用“√”表示合格，“×”表示不合格；</w:t>
      </w:r>
    </w:p>
    <w:p>
      <w:pPr>
        <w:keepNext w:val="0"/>
        <w:keepLines w:val="0"/>
        <w:pageBreakBefore w:val="0"/>
        <w:widowControl w:val="0"/>
        <w:kinsoku/>
        <w:wordWrap/>
        <w:overflowPunct/>
        <w:topLinePunct w:val="0"/>
        <w:bidi w:val="0"/>
        <w:snapToGrid/>
        <w:spacing w:line="400" w:lineRule="exact"/>
        <w:ind w:left="689" w:leftChars="28" w:hanging="630" w:hangingChars="3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（2）上述各项中如有一项为“×”，则结论为“×”，表示该投标文件中存在重大偏差，不能通过初步评审；评委对某一分项评审认为不合格时，必须要写明原因。</w:t>
      </w:r>
    </w:p>
    <w:p>
      <w:pPr>
        <w:pStyle w:val="3"/>
        <w:keepNext w:val="0"/>
        <w:keepLines w:val="0"/>
        <w:pageBreakBefore w:val="0"/>
        <w:widowControl w:val="0"/>
        <w:kinsoku/>
        <w:wordWrap/>
        <w:overflowPunct/>
        <w:topLinePunct w:val="0"/>
        <w:bidi w:val="0"/>
        <w:snapToGrid/>
        <w:spacing w:line="400" w:lineRule="exact"/>
        <w:ind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（3）投标文件最终合格与否，以所有评委的评审意见中少数服从多数为原则定论。</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未通过资格审查的供应商不进入评标；通过资格审查的供应商少于不足三家的，不得评标。</w:t>
      </w:r>
    </w:p>
    <w:p>
      <w:pPr>
        <w:pStyle w:val="4"/>
        <w:ind w:left="0" w:leftChars="0" w:firstLine="0" w:firstLineChars="0"/>
        <w:outlineLvl w:val="9"/>
        <w:rPr>
          <w:rFonts w:hint="eastAsia" w:ascii="宋体" w:hAnsi="宋体" w:eastAsia="宋体" w:cs="宋体"/>
          <w:color w:val="auto"/>
          <w:highlight w:val="none"/>
        </w:rPr>
      </w:pPr>
    </w:p>
    <w:p>
      <w:pPr>
        <w:outlineLvl w:val="9"/>
        <w:rPr>
          <w:rFonts w:hint="eastAsia" w:ascii="宋体" w:hAnsi="宋体" w:eastAsia="宋体" w:cs="宋体"/>
          <w:color w:val="auto"/>
          <w:highlight w:val="none"/>
        </w:rPr>
      </w:pPr>
    </w:p>
    <w:p>
      <w:pPr>
        <w:pStyle w:val="11"/>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bookmarkStart w:id="1284" w:name="_Toc18177"/>
      <w:bookmarkStart w:id="1285" w:name="_Toc1909"/>
      <w:bookmarkStart w:id="1286" w:name="_Toc507399904"/>
      <w:r>
        <w:rPr>
          <w:rFonts w:hint="eastAsia" w:ascii="宋体" w:hAnsi="宋体" w:eastAsia="宋体" w:cs="宋体"/>
          <w:color w:val="auto"/>
          <w:highlight w:val="none"/>
        </w:rPr>
        <w:br w:type="page"/>
      </w:r>
    </w:p>
    <w:p>
      <w:pPr>
        <w:pStyle w:val="6"/>
        <w:spacing w:before="0" w:line="240" w:lineRule="auto"/>
        <w:rPr>
          <w:rFonts w:hint="eastAsia" w:ascii="宋体" w:hAnsi="宋体" w:eastAsia="宋体" w:cs="宋体"/>
          <w:color w:val="auto"/>
          <w:highlight w:val="none"/>
          <w:lang w:eastAsia="zh-CN"/>
        </w:rPr>
      </w:pPr>
      <w:bookmarkStart w:id="1287" w:name="_Toc32014"/>
      <w:r>
        <w:rPr>
          <w:rFonts w:hint="eastAsia" w:ascii="宋体" w:hAnsi="宋体" w:eastAsia="宋体" w:cs="宋体"/>
          <w:color w:val="auto"/>
          <w:highlight w:val="none"/>
        </w:rPr>
        <w:t>综合评分表</w:t>
      </w:r>
      <w:r>
        <w:rPr>
          <w:rFonts w:hint="eastAsia" w:ascii="宋体" w:hAnsi="宋体" w:eastAsia="宋体" w:cs="宋体"/>
          <w:color w:val="auto"/>
          <w:highlight w:val="none"/>
          <w:lang w:eastAsia="zh-CN"/>
        </w:rPr>
        <w:t>（第一包、第二包、第三包）</w:t>
      </w:r>
      <w:bookmarkEnd w:id="1287"/>
    </w:p>
    <w:tbl>
      <w:tblPr>
        <w:tblStyle w:val="25"/>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708"/>
        <w:gridCol w:w="6706"/>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072" w:type="dxa"/>
            <w:vAlign w:val="center"/>
          </w:tcPr>
          <w:p>
            <w:pPr>
              <w:spacing w:line="300" w:lineRule="exact"/>
              <w:ind w:firstLine="28"/>
              <w:jc w:val="center"/>
              <w:rPr>
                <w:rFonts w:ascii="宋体" w:hAnsi="宋体" w:cs="宋体"/>
                <w:b/>
                <w:color w:val="auto"/>
                <w:sz w:val="24"/>
                <w:highlight w:val="none"/>
              </w:rPr>
            </w:pPr>
            <w:r>
              <w:rPr>
                <w:rFonts w:hint="eastAsia" w:ascii="宋体" w:hAnsi="宋体" w:cs="宋体"/>
                <w:b/>
                <w:color w:val="auto"/>
                <w:sz w:val="24"/>
                <w:highlight w:val="none"/>
              </w:rPr>
              <w:t>评分项</w:t>
            </w:r>
          </w:p>
        </w:tc>
        <w:tc>
          <w:tcPr>
            <w:tcW w:w="708" w:type="dxa"/>
            <w:vAlign w:val="center"/>
          </w:tcPr>
          <w:p>
            <w:pPr>
              <w:spacing w:line="300" w:lineRule="exact"/>
              <w:ind w:firstLine="28"/>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6706" w:type="dxa"/>
            <w:vAlign w:val="center"/>
          </w:tcPr>
          <w:p>
            <w:pPr>
              <w:spacing w:line="300" w:lineRule="exact"/>
              <w:ind w:firstLine="28"/>
              <w:jc w:val="center"/>
              <w:rPr>
                <w:rFonts w:ascii="宋体" w:hAnsi="宋体" w:cs="宋体"/>
                <w:b/>
                <w:color w:val="auto"/>
                <w:sz w:val="24"/>
                <w:highlight w:val="none"/>
              </w:rPr>
            </w:pPr>
            <w:r>
              <w:rPr>
                <w:rFonts w:hint="eastAsia" w:ascii="宋体" w:hAnsi="宋体" w:cs="宋体"/>
                <w:b/>
                <w:color w:val="auto"/>
                <w:sz w:val="24"/>
                <w:highlight w:val="none"/>
              </w:rPr>
              <w:t>评分标准</w:t>
            </w:r>
          </w:p>
          <w:p>
            <w:pPr>
              <w:spacing w:line="300" w:lineRule="exact"/>
              <w:ind w:firstLine="28"/>
              <w:jc w:val="center"/>
              <w:rPr>
                <w:rFonts w:ascii="宋体" w:hAnsi="宋体" w:cs="宋体"/>
                <w:b/>
                <w:color w:val="auto"/>
                <w:sz w:val="24"/>
                <w:highlight w:val="none"/>
              </w:rPr>
            </w:pPr>
            <w:r>
              <w:rPr>
                <w:rFonts w:hint="eastAsia" w:ascii="宋体" w:hAnsi="宋体" w:cs="宋体"/>
                <w:color w:val="auto"/>
                <w:sz w:val="24"/>
                <w:highlight w:val="none"/>
              </w:rPr>
              <w:t>价   格：</w:t>
            </w:r>
            <w:r>
              <w:rPr>
                <w:rFonts w:ascii="宋体" w:hAnsi="宋体" w:cs="宋体"/>
                <w:color w:val="auto"/>
                <w:sz w:val="24"/>
                <w:highlight w:val="none"/>
              </w:rPr>
              <w:t>10</w:t>
            </w:r>
            <w:r>
              <w:rPr>
                <w:rFonts w:hint="eastAsia" w:ascii="宋体" w:hAnsi="宋体" w:cs="宋体"/>
                <w:color w:val="auto"/>
                <w:sz w:val="24"/>
                <w:highlight w:val="none"/>
              </w:rPr>
              <w:t>分  商   务：</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分   技   术：</w:t>
            </w:r>
            <w:r>
              <w:rPr>
                <w:rFonts w:hint="eastAsia" w:ascii="宋体" w:hAnsi="宋体" w:cs="宋体"/>
                <w:color w:val="auto"/>
                <w:sz w:val="24"/>
                <w:highlight w:val="none"/>
                <w:lang w:val="en-US" w:eastAsia="zh-CN"/>
              </w:rPr>
              <w:t>66</w:t>
            </w:r>
            <w:r>
              <w:rPr>
                <w:rFonts w:hint="eastAsia" w:ascii="宋体" w:hAnsi="宋体" w:cs="宋体"/>
                <w:color w:val="auto"/>
                <w:sz w:val="24"/>
                <w:highlight w:val="none"/>
              </w:rPr>
              <w:t xml:space="preserve">分              </w:t>
            </w:r>
          </w:p>
        </w:tc>
        <w:tc>
          <w:tcPr>
            <w:tcW w:w="1472" w:type="dxa"/>
            <w:vAlign w:val="center"/>
          </w:tcPr>
          <w:p>
            <w:pPr>
              <w:pStyle w:val="40"/>
              <w:spacing w:before="0" w:after="0" w:line="300" w:lineRule="exact"/>
              <w:rPr>
                <w:rFonts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jc w:val="center"/>
        </w:trPr>
        <w:tc>
          <w:tcPr>
            <w:tcW w:w="1072" w:type="dxa"/>
            <w:vAlign w:val="center"/>
          </w:tcPr>
          <w:p>
            <w:pPr>
              <w:spacing w:line="300" w:lineRule="exact"/>
              <w:rPr>
                <w:rFonts w:ascii="宋体" w:hAnsi="宋体" w:cs="宋体"/>
                <w:color w:val="auto"/>
                <w:sz w:val="24"/>
                <w:highlight w:val="none"/>
              </w:rPr>
            </w:pPr>
            <w:r>
              <w:rPr>
                <w:rFonts w:hint="eastAsia" w:ascii="宋体" w:hAnsi="宋体" w:cs="宋体"/>
                <w:color w:val="auto"/>
                <w:sz w:val="24"/>
                <w:highlight w:val="none"/>
              </w:rPr>
              <w:t>价格评分标准</w:t>
            </w:r>
          </w:p>
        </w:tc>
        <w:tc>
          <w:tcPr>
            <w:tcW w:w="708" w:type="dxa"/>
            <w:vAlign w:val="center"/>
          </w:tcPr>
          <w:p>
            <w:pPr>
              <w:spacing w:line="300" w:lineRule="exact"/>
              <w:jc w:val="center"/>
              <w:rPr>
                <w:rFonts w:ascii="宋体" w:hAnsi="宋体" w:cs="宋体"/>
                <w:color w:val="auto"/>
                <w:sz w:val="24"/>
                <w:highlight w:val="none"/>
              </w:rPr>
            </w:pPr>
            <w:r>
              <w:rPr>
                <w:rFonts w:ascii="宋体" w:hAnsi="宋体" w:cs="宋体"/>
                <w:color w:val="auto"/>
                <w:sz w:val="24"/>
                <w:highlight w:val="none"/>
              </w:rPr>
              <w:t>10</w:t>
            </w:r>
          </w:p>
        </w:tc>
        <w:tc>
          <w:tcPr>
            <w:tcW w:w="6706" w:type="dxa"/>
            <w:vAlign w:val="center"/>
          </w:tcPr>
          <w:p>
            <w:pPr>
              <w:spacing w:line="300" w:lineRule="exact"/>
              <w:rPr>
                <w:rFonts w:ascii="宋体" w:hAnsi="宋体" w:cs="宋体"/>
                <w:color w:val="auto"/>
                <w:sz w:val="24"/>
                <w:highlight w:val="none"/>
              </w:rPr>
            </w:pPr>
            <w:r>
              <w:rPr>
                <w:rFonts w:hint="eastAsia" w:ascii="宋体" w:hAnsi="宋体" w:cs="宋体"/>
                <w:color w:val="auto"/>
                <w:sz w:val="24"/>
                <w:highlight w:val="none"/>
              </w:rPr>
              <w:t>投标报价：完全满足招标文件参数的投标报价中的最低价为评标基准价，按照下列公式计算每个供应商的投标价格得分。投标报价得分＝（评标基准价/投标报价）×</w:t>
            </w:r>
            <w:r>
              <w:rPr>
                <w:rFonts w:ascii="宋体" w:hAnsi="宋体" w:cs="宋体"/>
                <w:color w:val="auto"/>
                <w:sz w:val="24"/>
                <w:highlight w:val="none"/>
              </w:rPr>
              <w:t>10</w:t>
            </w:r>
            <w:r>
              <w:rPr>
                <w:rFonts w:hint="eastAsia" w:ascii="宋体" w:hAnsi="宋体" w:cs="宋体"/>
                <w:color w:val="auto"/>
                <w:sz w:val="24"/>
                <w:highlight w:val="none"/>
              </w:rPr>
              <w:t>%×100。</w:t>
            </w:r>
            <w:r>
              <w:rPr>
                <w:rFonts w:hint="eastAsia" w:ascii="宋体" w:hAnsi="宋体" w:cs="宋体"/>
                <w:b/>
                <w:bCs/>
                <w:color w:val="auto"/>
                <w:sz w:val="24"/>
                <w:highlight w:val="none"/>
              </w:rPr>
              <w:t>（注：根据《政府采购促进中小企业发展管理办法》（财库﹝2020﹞46号）、《关于进一步加大政府采购支持中小企业力度的通知》（财库〔2022〕19号）的规定，对小型和微型企业给予10%的价格扣除，用扣除后的价格参与评标，提供相关证明资料，否则无效。残疾人福利性单位属于小型、微型企业的，不重复享受政策。）</w:t>
            </w:r>
          </w:p>
        </w:tc>
        <w:tc>
          <w:tcPr>
            <w:tcW w:w="1472" w:type="dxa"/>
            <w:vAlign w:val="center"/>
          </w:tcPr>
          <w:p>
            <w:pPr>
              <w:spacing w:line="300" w:lineRule="exact"/>
              <w:rPr>
                <w:rFonts w:ascii="宋体" w:hAnsi="宋体" w:cs="宋体"/>
                <w:color w:val="auto"/>
                <w:sz w:val="24"/>
                <w:highlight w:val="none"/>
              </w:rPr>
            </w:pPr>
            <w:r>
              <w:rPr>
                <w:rFonts w:hint="eastAsia" w:ascii="宋体" w:hAnsi="宋体" w:cs="宋体"/>
                <w:color w:val="auto"/>
                <w:sz w:val="24"/>
                <w:highlight w:val="none"/>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72" w:type="dxa"/>
            <w:vMerge w:val="restart"/>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商务评分标准</w:t>
            </w:r>
          </w:p>
        </w:tc>
        <w:tc>
          <w:tcPr>
            <w:tcW w:w="708" w:type="dxa"/>
            <w:vAlign w:val="center"/>
          </w:tcPr>
          <w:p>
            <w:pPr>
              <w:spacing w:line="300" w:lineRule="exact"/>
              <w:rPr>
                <w:rFonts w:ascii="宋体" w:hAnsi="宋体" w:cs="宋体"/>
                <w:bCs/>
                <w:color w:val="auto"/>
                <w:sz w:val="24"/>
                <w:highlight w:val="none"/>
              </w:rPr>
            </w:pPr>
            <w:r>
              <w:rPr>
                <w:rFonts w:ascii="宋体" w:hAnsi="宋体" w:cs="宋体"/>
                <w:bCs/>
                <w:color w:val="auto"/>
                <w:sz w:val="24"/>
                <w:highlight w:val="none"/>
              </w:rPr>
              <w:t>22</w:t>
            </w:r>
          </w:p>
        </w:tc>
        <w:tc>
          <w:tcPr>
            <w:tcW w:w="6706" w:type="dxa"/>
            <w:vAlign w:val="center"/>
          </w:tcPr>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人员配备：</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1.项目负责人（</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rPr>
              <w:t xml:space="preserve">分）  </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项目负责人:具有注册城乡规划师证书的得</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分，同时具有高级工程师或以上技术职称得3分；具有中级工程师或以上技术职称得2分；具有初级工程师或以上技术职称得1分。</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2019年1月1日以来作为项目负责人每承担过一个类似业绩加</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rPr>
              <w:t>分；共计3分。</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（注：业绩证明材料要求提供合同扫描件）</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2.项目组其他人员（</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分）</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项目组成员（除项目负责人外）中具备注册城乡规划师证书的，得</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分，同时具备高级职称的得</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分，具有中级工程师或以上技术职称得2分</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最高得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分。</w:t>
            </w:r>
          </w:p>
          <w:p>
            <w:pPr>
              <w:spacing w:line="300" w:lineRule="exact"/>
              <w:rPr>
                <w:rFonts w:hint="eastAsia" w:ascii="宋体" w:hAnsi="宋体" w:cs="宋体"/>
                <w:bCs/>
                <w:color w:val="auto"/>
                <w:sz w:val="24"/>
                <w:highlight w:val="none"/>
              </w:rPr>
            </w:pPr>
            <w:r>
              <w:rPr>
                <w:rFonts w:hint="eastAsia" w:ascii="宋体" w:hAnsi="宋体" w:cs="宋体"/>
                <w:bCs/>
                <w:color w:val="auto"/>
                <w:sz w:val="24"/>
                <w:highlight w:val="none"/>
              </w:rPr>
              <w:t>项目组成员（除项目负责人外）中具备国家一级注册建筑师证书的得</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分，同时具备高级职称的得</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分，具有中级工程师或以上技术职称得2分</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最多得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分。</w:t>
            </w:r>
          </w:p>
          <w:p>
            <w:pPr>
              <w:spacing w:line="300" w:lineRule="exact"/>
              <w:rPr>
                <w:rFonts w:ascii="宋体" w:hAnsi="宋体" w:cs="宋体"/>
                <w:bCs/>
                <w:color w:val="auto"/>
                <w:sz w:val="24"/>
                <w:highlight w:val="none"/>
              </w:rPr>
            </w:pPr>
            <w:r>
              <w:rPr>
                <w:rFonts w:hint="eastAsia" w:ascii="宋体" w:hAnsi="宋体" w:cs="宋体"/>
                <w:bCs/>
                <w:color w:val="auto"/>
                <w:sz w:val="24"/>
                <w:highlight w:val="none"/>
              </w:rPr>
              <w:t>提供相关证明资料（包括但不限于：姓名、工作经历、资质证书、在本单位缴纳的近3个月的社保缴纳证明等资料）未提供或提供不全的此项得0分。</w:t>
            </w:r>
          </w:p>
        </w:tc>
        <w:tc>
          <w:tcPr>
            <w:tcW w:w="1472" w:type="dxa"/>
            <w:vMerge w:val="restart"/>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072" w:type="dxa"/>
            <w:vMerge w:val="continue"/>
            <w:vAlign w:val="center"/>
          </w:tcPr>
          <w:p>
            <w:pPr>
              <w:spacing w:line="300" w:lineRule="exact"/>
              <w:rPr>
                <w:rFonts w:ascii="宋体" w:hAnsi="宋体" w:cs="宋体"/>
                <w:bCs/>
                <w:color w:val="auto"/>
                <w:sz w:val="24"/>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2</w:t>
            </w:r>
          </w:p>
        </w:tc>
        <w:tc>
          <w:tcPr>
            <w:tcW w:w="670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标书制作：投标文件目录清晰、关联点对应准确，评审内容便于查找，没有与评审内容无关的资料及文件得2分，否则不得分。</w:t>
            </w:r>
          </w:p>
        </w:tc>
        <w:tc>
          <w:tcPr>
            <w:tcW w:w="1472" w:type="dxa"/>
            <w:vMerge w:val="continue"/>
            <w:vAlign w:val="center"/>
          </w:tcPr>
          <w:p>
            <w:pPr>
              <w:spacing w:line="300" w:lineRule="exac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jc w:val="center"/>
        </w:trPr>
        <w:tc>
          <w:tcPr>
            <w:tcW w:w="1072" w:type="dxa"/>
            <w:vMerge w:val="restart"/>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技术评分标准</w:t>
            </w:r>
          </w:p>
        </w:tc>
        <w:tc>
          <w:tcPr>
            <w:tcW w:w="708" w:type="dxa"/>
            <w:vAlign w:val="center"/>
          </w:tcPr>
          <w:p>
            <w:pPr>
              <w:spacing w:line="300" w:lineRule="exact"/>
              <w:rPr>
                <w:rFonts w:ascii="宋体" w:hAnsi="宋体" w:cs="宋体"/>
                <w:bCs/>
                <w:color w:val="auto"/>
                <w:sz w:val="24"/>
                <w:highlight w:val="none"/>
              </w:rPr>
            </w:pPr>
            <w:r>
              <w:rPr>
                <w:rFonts w:ascii="宋体" w:hAnsi="宋体" w:cs="宋体"/>
                <w:bCs/>
                <w:color w:val="auto"/>
                <w:sz w:val="24"/>
                <w:highlight w:val="none"/>
              </w:rPr>
              <w:t>20</w:t>
            </w:r>
          </w:p>
        </w:tc>
        <w:tc>
          <w:tcPr>
            <w:tcW w:w="6706" w:type="dxa"/>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总体技术方案：根据投标人对本项目的技术方案的科学性、合理性、先进性等方面服务进行综合考量评定: 规划方案重点及难点分析突出、技术措施有效及成果形式符合规范要求的得20分；规划方案重点及难点分析较突出、技术措施比较有效及成果形式符合规范要求的方向得1</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rPr>
              <w:t>分；规划方案重点及难点分析不够突出、技术措施一般及成果形式基本符合规范要求的得</w:t>
            </w:r>
            <w:r>
              <w:rPr>
                <w:rFonts w:hint="eastAsia" w:ascii="宋体" w:hAnsi="宋体" w:cs="宋体"/>
                <w:bCs/>
                <w:color w:val="auto"/>
                <w:sz w:val="24"/>
                <w:highlight w:val="none"/>
                <w:lang w:val="en-US" w:eastAsia="zh-CN"/>
              </w:rPr>
              <w:t>14</w:t>
            </w:r>
            <w:r>
              <w:rPr>
                <w:rFonts w:hint="eastAsia" w:ascii="宋体" w:hAnsi="宋体" w:cs="宋体"/>
                <w:bCs/>
                <w:color w:val="auto"/>
                <w:sz w:val="24"/>
                <w:highlight w:val="none"/>
              </w:rPr>
              <w:t>分。未提供对应方案不得分。</w:t>
            </w:r>
          </w:p>
        </w:tc>
        <w:tc>
          <w:tcPr>
            <w:tcW w:w="1472" w:type="dxa"/>
            <w:vMerge w:val="restart"/>
            <w:vAlign w:val="center"/>
          </w:tcPr>
          <w:p>
            <w:pPr>
              <w:spacing w:line="300" w:lineRule="exac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1072" w:type="dxa"/>
            <w:vMerge w:val="continue"/>
            <w:vAlign w:val="center"/>
          </w:tcPr>
          <w:p>
            <w:pPr>
              <w:spacing w:line="300" w:lineRule="exact"/>
              <w:rPr>
                <w:rFonts w:ascii="宋体" w:hAnsi="宋体" w:cs="宋体"/>
                <w:bCs/>
                <w:color w:val="auto"/>
                <w:sz w:val="24"/>
                <w:highlight w:val="none"/>
              </w:rPr>
            </w:pPr>
          </w:p>
        </w:tc>
        <w:tc>
          <w:tcPr>
            <w:tcW w:w="708" w:type="dxa"/>
            <w:vAlign w:val="center"/>
          </w:tcPr>
          <w:p>
            <w:pPr>
              <w:spacing w:line="300" w:lineRule="exact"/>
              <w:rPr>
                <w:rFonts w:hint="eastAsia" w:ascii="宋体" w:hAnsi="宋体" w:eastAsia="宋体" w:cs="宋体"/>
                <w:bCs/>
                <w:color w:val="auto"/>
                <w:sz w:val="24"/>
                <w:highlight w:val="none"/>
                <w:lang w:val="en-US" w:eastAsia="zh-CN"/>
              </w:rPr>
            </w:pPr>
            <w:r>
              <w:rPr>
                <w:rFonts w:ascii="宋体" w:hAnsi="宋体" w:cs="宋体"/>
                <w:bCs/>
                <w:color w:val="auto"/>
                <w:sz w:val="24"/>
                <w:highlight w:val="none"/>
              </w:rPr>
              <w:t>1</w:t>
            </w:r>
            <w:r>
              <w:rPr>
                <w:rFonts w:hint="eastAsia" w:ascii="宋体" w:hAnsi="宋体" w:cs="宋体"/>
                <w:bCs/>
                <w:color w:val="auto"/>
                <w:sz w:val="24"/>
                <w:highlight w:val="none"/>
                <w:lang w:val="en-US" w:eastAsia="zh-CN"/>
              </w:rPr>
              <w:t>2</w:t>
            </w:r>
          </w:p>
        </w:tc>
        <w:tc>
          <w:tcPr>
            <w:tcW w:w="6706" w:type="dxa"/>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研究方案路线：根据投标人对本次项目的规划编制的指导思想、原则、工作技术路线等内容进行对比打分。对本项目的规划编制的指导思想明确、原则合理、工作技术路线合理的得1</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分；对本项目的规划编制的指导思想较明确、原则较合理、工作技术路线较清晰的得</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rPr>
              <w:t>分；对本项目的规划内容重点不够突出、技术措施一般及成果形式基本符合规范要求的得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分；未表述的本项不得分。</w:t>
            </w:r>
          </w:p>
        </w:tc>
        <w:tc>
          <w:tcPr>
            <w:tcW w:w="1472" w:type="dxa"/>
            <w:vMerge w:val="continue"/>
            <w:vAlign w:val="center"/>
          </w:tcPr>
          <w:p>
            <w:pPr>
              <w:spacing w:line="300" w:lineRule="exac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1072" w:type="dxa"/>
            <w:vMerge w:val="continue"/>
            <w:vAlign w:val="center"/>
          </w:tcPr>
          <w:p>
            <w:pPr>
              <w:spacing w:line="300" w:lineRule="exact"/>
              <w:rPr>
                <w:rFonts w:ascii="宋体" w:hAnsi="宋体" w:cs="宋体"/>
                <w:bCs/>
                <w:color w:val="auto"/>
                <w:sz w:val="24"/>
                <w:highlight w:val="none"/>
              </w:rPr>
            </w:pPr>
          </w:p>
        </w:tc>
        <w:tc>
          <w:tcPr>
            <w:tcW w:w="708" w:type="dxa"/>
            <w:vAlign w:val="center"/>
          </w:tcPr>
          <w:p>
            <w:pPr>
              <w:spacing w:line="300" w:lineRule="exact"/>
              <w:rPr>
                <w:rFonts w:hint="eastAsia" w:ascii="宋体" w:hAnsi="宋体" w:eastAsia="宋体" w:cs="宋体"/>
                <w:bCs/>
                <w:color w:val="auto"/>
                <w:sz w:val="24"/>
                <w:highlight w:val="none"/>
                <w:lang w:eastAsia="zh-CN"/>
              </w:rPr>
            </w:pPr>
            <w:r>
              <w:rPr>
                <w:rFonts w:ascii="宋体" w:hAnsi="宋体" w:cs="宋体"/>
                <w:bCs/>
                <w:color w:val="auto"/>
                <w:sz w:val="24"/>
                <w:highlight w:val="none"/>
              </w:rPr>
              <w:t>1</w:t>
            </w:r>
            <w:r>
              <w:rPr>
                <w:rFonts w:hint="eastAsia" w:ascii="宋体" w:hAnsi="宋体" w:cs="宋体"/>
                <w:bCs/>
                <w:color w:val="auto"/>
                <w:sz w:val="24"/>
                <w:highlight w:val="none"/>
                <w:lang w:val="en-US" w:eastAsia="zh-CN"/>
              </w:rPr>
              <w:t>2</w:t>
            </w:r>
          </w:p>
        </w:tc>
        <w:tc>
          <w:tcPr>
            <w:tcW w:w="6706" w:type="dxa"/>
            <w:vAlign w:val="center"/>
          </w:tcPr>
          <w:p>
            <w:pPr>
              <w:spacing w:line="300" w:lineRule="exact"/>
              <w:rPr>
                <w:rFonts w:ascii="宋体" w:hAnsi="宋体" w:cs="宋体"/>
                <w:bCs/>
                <w:color w:val="auto"/>
                <w:sz w:val="24"/>
                <w:highlight w:val="none"/>
              </w:rPr>
            </w:pPr>
            <w:r>
              <w:rPr>
                <w:rFonts w:hint="eastAsia" w:ascii="宋体" w:hAnsi="宋体" w:cs="宋体"/>
                <w:bCs/>
                <w:color w:val="auto"/>
                <w:sz w:val="24"/>
                <w:highlight w:val="none"/>
              </w:rPr>
              <w:t>项目背景及现状分析：根据投标人对本次项目任务的理解，分析思路、方法是否科学，提出的研究内容是否全面等方面进行对比打分。对本项目任务理解透彻、分析思路清晰、方法科学、研究内容全面的得1</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分；对本项目任务理解尚可、分析思路较清晰、方法较科学研究内容较全面的得</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rPr>
              <w:t>分；对本项目任务理解不够透彻、分析思路不够清晰、方法欠妥、研究内容一般的得</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分；未表述的本项不得分。</w:t>
            </w:r>
          </w:p>
        </w:tc>
        <w:tc>
          <w:tcPr>
            <w:tcW w:w="1472" w:type="dxa"/>
            <w:vMerge w:val="continue"/>
            <w:vAlign w:val="center"/>
          </w:tcPr>
          <w:p>
            <w:pPr>
              <w:spacing w:line="300" w:lineRule="exac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1072" w:type="dxa"/>
            <w:vMerge w:val="continue"/>
            <w:vAlign w:val="center"/>
          </w:tcPr>
          <w:p>
            <w:pPr>
              <w:spacing w:line="300" w:lineRule="exact"/>
              <w:rPr>
                <w:rFonts w:ascii="宋体" w:hAnsi="宋体" w:cs="宋体"/>
                <w:bCs/>
                <w:color w:val="auto"/>
                <w:sz w:val="24"/>
                <w:highlight w:val="none"/>
              </w:rPr>
            </w:pPr>
          </w:p>
        </w:tc>
        <w:tc>
          <w:tcPr>
            <w:tcW w:w="708" w:type="dxa"/>
            <w:vAlign w:val="center"/>
          </w:tcPr>
          <w:p>
            <w:pPr>
              <w:spacing w:line="300" w:lineRule="exact"/>
              <w:rPr>
                <w:rFonts w:hint="eastAsia" w:ascii="宋体" w:hAnsi="宋体" w:eastAsia="宋体" w:cs="宋体"/>
                <w:bCs/>
                <w:color w:val="auto"/>
                <w:sz w:val="24"/>
                <w:highlight w:val="none"/>
                <w:lang w:eastAsia="zh-CN"/>
              </w:rPr>
            </w:pPr>
            <w:r>
              <w:rPr>
                <w:rFonts w:ascii="宋体" w:hAnsi="宋体" w:cs="宋体"/>
                <w:bCs/>
                <w:color w:val="auto"/>
                <w:sz w:val="24"/>
                <w:highlight w:val="none"/>
              </w:rPr>
              <w:t>1</w:t>
            </w:r>
            <w:r>
              <w:rPr>
                <w:rFonts w:hint="eastAsia" w:ascii="宋体" w:hAnsi="宋体" w:cs="宋体"/>
                <w:bCs/>
                <w:color w:val="auto"/>
                <w:sz w:val="24"/>
                <w:highlight w:val="none"/>
                <w:lang w:val="en-US" w:eastAsia="zh-CN"/>
              </w:rPr>
              <w:t>2</w:t>
            </w:r>
          </w:p>
        </w:tc>
        <w:tc>
          <w:tcPr>
            <w:tcW w:w="6706" w:type="dxa"/>
            <w:vAlign w:val="center"/>
          </w:tcPr>
          <w:p>
            <w:pPr>
              <w:widowControl/>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进度计划：对项目的整体进度有详细计划，分工安排具有合理性、针对性的，得</w:t>
            </w:r>
            <w:r>
              <w:rPr>
                <w:rFonts w:hint="eastAsia" w:ascii="宋体" w:hAnsi="宋体" w:cs="宋体"/>
                <w:color w:val="auto"/>
                <w:kern w:val="0"/>
                <w:sz w:val="24"/>
                <w:highlight w:val="none"/>
                <w:lang w:val="en-US" w:eastAsia="zh-CN" w:bidi="ar"/>
              </w:rPr>
              <w:t>12</w:t>
            </w:r>
            <w:r>
              <w:rPr>
                <w:rFonts w:hint="eastAsia" w:ascii="宋体" w:hAnsi="宋体" w:cs="宋体"/>
                <w:color w:val="auto"/>
                <w:kern w:val="0"/>
                <w:sz w:val="24"/>
                <w:highlight w:val="none"/>
                <w:lang w:bidi="ar"/>
              </w:rPr>
              <w:t>分;对活动的整体进度有详细计划，分工安排没有合理性、针对性的，得</w:t>
            </w:r>
            <w:r>
              <w:rPr>
                <w:rFonts w:hint="eastAsia" w:ascii="宋体" w:hAnsi="宋体" w:cs="宋体"/>
                <w:color w:val="auto"/>
                <w:kern w:val="0"/>
                <w:sz w:val="24"/>
                <w:highlight w:val="none"/>
                <w:lang w:val="en-US" w:eastAsia="zh-CN" w:bidi="ar"/>
              </w:rPr>
              <w:t>9</w:t>
            </w:r>
            <w:r>
              <w:rPr>
                <w:rFonts w:hint="eastAsia" w:ascii="宋体" w:hAnsi="宋体" w:cs="宋体"/>
                <w:color w:val="auto"/>
                <w:kern w:val="0"/>
                <w:sz w:val="24"/>
                <w:highlight w:val="none"/>
                <w:lang w:bidi="ar"/>
              </w:rPr>
              <w:t>分;对活动的整体进度没有详细计划，没有分工安排，不得分。</w:t>
            </w:r>
          </w:p>
        </w:tc>
        <w:tc>
          <w:tcPr>
            <w:tcW w:w="1472" w:type="dxa"/>
            <w:vMerge w:val="continue"/>
            <w:vAlign w:val="center"/>
          </w:tcPr>
          <w:p>
            <w:pPr>
              <w:spacing w:line="300" w:lineRule="exac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1072" w:type="dxa"/>
            <w:vMerge w:val="continue"/>
            <w:vAlign w:val="center"/>
          </w:tcPr>
          <w:p>
            <w:pPr>
              <w:spacing w:line="300" w:lineRule="exact"/>
              <w:rPr>
                <w:rFonts w:ascii="宋体" w:hAnsi="宋体" w:cs="宋体"/>
                <w:bCs/>
                <w:color w:val="auto"/>
                <w:sz w:val="24"/>
                <w:highlight w:val="none"/>
              </w:rPr>
            </w:pPr>
          </w:p>
        </w:tc>
        <w:tc>
          <w:tcPr>
            <w:tcW w:w="708" w:type="dxa"/>
            <w:vAlign w:val="center"/>
          </w:tcPr>
          <w:p>
            <w:pPr>
              <w:spacing w:line="300" w:lineRule="exact"/>
              <w:rPr>
                <w:rFonts w:ascii="宋体" w:hAnsi="宋体" w:cs="宋体"/>
                <w:bCs/>
                <w:color w:val="auto"/>
                <w:sz w:val="24"/>
                <w:highlight w:val="none"/>
              </w:rPr>
            </w:pPr>
            <w:r>
              <w:rPr>
                <w:rFonts w:ascii="宋体" w:hAnsi="宋体" w:cs="宋体"/>
                <w:bCs/>
                <w:color w:val="auto"/>
                <w:sz w:val="24"/>
                <w:highlight w:val="none"/>
              </w:rPr>
              <w:t>10</w:t>
            </w:r>
          </w:p>
        </w:tc>
        <w:tc>
          <w:tcPr>
            <w:tcW w:w="6706" w:type="dxa"/>
            <w:vAlign w:val="center"/>
          </w:tcPr>
          <w:p>
            <w:pPr>
              <w:spacing w:line="300" w:lineRule="exact"/>
              <w:rPr>
                <w:rFonts w:ascii="宋体" w:hAnsi="宋体" w:cs="宋体"/>
                <w:bCs/>
                <w:color w:val="auto"/>
                <w:sz w:val="24"/>
                <w:highlight w:val="none"/>
                <w:lang w:val="zh-CN"/>
              </w:rPr>
            </w:pPr>
            <w:r>
              <w:rPr>
                <w:rFonts w:hint="eastAsia" w:ascii="宋体" w:hAnsi="宋体" w:cs="宋体"/>
                <w:color w:val="auto"/>
                <w:kern w:val="0"/>
                <w:sz w:val="24"/>
                <w:highlight w:val="none"/>
                <w:lang w:bidi="ar"/>
              </w:rPr>
              <w:t>质量保证措施：投标人按照要求有明确的质量保证目标，保证措施具体、目标明确、各项措施易操作落实得10分；有保证措施、目标模糊、各项措施易操作基本落实得6分；有保证措施、目标不明确、各项措施易操作落实不到位得</w:t>
            </w:r>
            <w:r>
              <w:rPr>
                <w:rFonts w:hint="eastAsia" w:ascii="宋体" w:hAnsi="宋体" w:cs="宋体"/>
                <w:color w:val="auto"/>
                <w:kern w:val="0"/>
                <w:sz w:val="24"/>
                <w:highlight w:val="none"/>
                <w:lang w:val="en-US" w:eastAsia="zh-CN" w:bidi="ar"/>
              </w:rPr>
              <w:t>2</w:t>
            </w:r>
            <w:r>
              <w:rPr>
                <w:rFonts w:hint="eastAsia" w:ascii="宋体" w:hAnsi="宋体" w:cs="宋体"/>
                <w:color w:val="auto"/>
                <w:kern w:val="0"/>
                <w:sz w:val="24"/>
                <w:highlight w:val="none"/>
                <w:lang w:bidi="ar"/>
              </w:rPr>
              <w:t>分；不提供得0分。</w:t>
            </w:r>
          </w:p>
        </w:tc>
        <w:tc>
          <w:tcPr>
            <w:tcW w:w="1472" w:type="dxa"/>
            <w:vMerge w:val="continue"/>
            <w:vAlign w:val="center"/>
          </w:tcPr>
          <w:p>
            <w:pPr>
              <w:spacing w:line="300" w:lineRule="exact"/>
              <w:rPr>
                <w:rFonts w:ascii="宋体" w:hAnsi="宋体" w:cs="宋体"/>
                <w:bCs/>
                <w:color w:val="auto"/>
                <w:sz w:val="24"/>
                <w:highlight w:val="none"/>
              </w:rPr>
            </w:pPr>
          </w:p>
        </w:tc>
      </w:tr>
    </w:tbl>
    <w:p>
      <w:pPr>
        <w:rPr>
          <w:rFonts w:hint="eastAsia" w:ascii="宋体" w:hAnsi="宋体" w:eastAsia="宋体" w:cs="宋体"/>
          <w:b/>
          <w:bCs/>
          <w:color w:val="auto"/>
          <w:sz w:val="24"/>
          <w:szCs w:val="24"/>
          <w:highlight w:val="none"/>
          <w:lang w:val="en-US" w:eastAsia="zh-CN"/>
        </w:rPr>
      </w:pPr>
    </w:p>
    <w:bookmarkEnd w:id="1284"/>
    <w:bookmarkEnd w:id="1285"/>
    <w:p>
      <w:pPr>
        <w:pStyle w:val="3"/>
        <w:rPr>
          <w:rFonts w:hint="eastAsia" w:ascii="宋体" w:hAnsi="宋体" w:eastAsia="宋体" w:cs="宋体"/>
          <w:color w:val="auto"/>
          <w:highlight w:val="none"/>
        </w:rPr>
      </w:pPr>
      <w:bookmarkStart w:id="1288" w:name="_Toc17586"/>
      <w:bookmarkStart w:id="1289" w:name="_Toc31737"/>
      <w:bookmarkStart w:id="1290" w:name="_Toc31042"/>
      <w:bookmarkStart w:id="1291" w:name="_Toc11449"/>
      <w:bookmarkStart w:id="1292" w:name="_Toc21350"/>
      <w:bookmarkStart w:id="1293" w:name="_Toc5375"/>
      <w:bookmarkStart w:id="1294" w:name="_Toc4748"/>
      <w:bookmarkStart w:id="1295" w:name="_Toc26924"/>
      <w:bookmarkStart w:id="1296" w:name="_Toc21392"/>
      <w:bookmarkStart w:id="1297" w:name="_Toc29006"/>
      <w:bookmarkStart w:id="1298" w:name="_Toc20505"/>
      <w:bookmarkStart w:id="1299" w:name="_Toc359"/>
      <w:bookmarkStart w:id="1300" w:name="_Toc19967"/>
      <w:bookmarkStart w:id="1301" w:name="_Toc4034"/>
      <w:bookmarkStart w:id="1302" w:name="_Toc3812"/>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rPr>
          <w:rFonts w:hint="eastAsia"/>
          <w:color w:val="auto"/>
          <w:highlight w:val="none"/>
        </w:rPr>
      </w:pPr>
    </w:p>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Pr>
        <w:pStyle w:val="3"/>
        <w:rPr>
          <w:rFonts w:hint="eastAsia"/>
          <w:color w:val="auto"/>
          <w:highlight w:val="none"/>
        </w:rPr>
      </w:pPr>
    </w:p>
    <w:p>
      <w:pPr>
        <w:pStyle w:val="3"/>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4"/>
        <w:rPr>
          <w:rFonts w:hint="eastAsia"/>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招 标 文 件</w:t>
      </w:r>
    </w:p>
    <w:p>
      <w:pPr>
        <w:spacing w:line="240" w:lineRule="atLeast"/>
        <w:jc w:val="center"/>
        <w:rPr>
          <w:rFonts w:hint="eastAsia" w:ascii="宋体" w:hAnsi="宋体" w:eastAsia="宋体" w:cs="宋体"/>
          <w:b/>
          <w:color w:val="auto"/>
          <w:sz w:val="40"/>
          <w:szCs w:val="40"/>
          <w:highlight w:val="none"/>
        </w:rPr>
      </w:pPr>
    </w:p>
    <w:p>
      <w:pPr>
        <w:spacing w:line="240" w:lineRule="atLeast"/>
        <w:jc w:val="center"/>
        <w:rPr>
          <w:rFonts w:hint="eastAsia" w:ascii="宋体" w:hAnsi="宋体" w:eastAsia="宋体" w:cs="宋体"/>
          <w:b/>
          <w:color w:val="auto"/>
          <w:sz w:val="40"/>
          <w:szCs w:val="40"/>
          <w:highlight w:val="none"/>
          <w:lang w:val="en-US" w:eastAsia="zh-CN"/>
        </w:rPr>
      </w:pPr>
      <w:bookmarkStart w:id="1303" w:name="_Toc13284_WPSOffice_Level2"/>
      <w:r>
        <w:rPr>
          <w:rFonts w:hint="eastAsia" w:ascii="宋体" w:hAnsi="宋体" w:eastAsia="宋体" w:cs="宋体"/>
          <w:b/>
          <w:color w:val="auto"/>
          <w:sz w:val="40"/>
          <w:szCs w:val="40"/>
          <w:highlight w:val="none"/>
        </w:rPr>
        <w:t>项目编号：</w:t>
      </w:r>
      <w:bookmarkEnd w:id="1303"/>
      <w:r>
        <w:rPr>
          <w:rFonts w:hint="eastAsia" w:ascii="宋体" w:hAnsi="宋体" w:cs="宋体"/>
          <w:b/>
          <w:color w:val="auto"/>
          <w:sz w:val="40"/>
          <w:szCs w:val="40"/>
          <w:highlight w:val="none"/>
          <w:lang w:eastAsia="zh-CN"/>
        </w:rPr>
        <w:t>ZPDL（2023）09</w:t>
      </w:r>
    </w:p>
    <w:p>
      <w:pPr>
        <w:pStyle w:val="11"/>
        <w:ind w:firstLine="480"/>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第 三 册</w:t>
      </w:r>
    </w:p>
    <w:p>
      <w:pPr>
        <w:spacing w:line="240" w:lineRule="atLeast"/>
        <w:jc w:val="center"/>
        <w:rPr>
          <w:rFonts w:hint="eastAsia" w:ascii="宋体" w:hAnsi="宋体" w:eastAsia="宋体" w:cs="宋体"/>
          <w:b/>
          <w:color w:val="auto"/>
          <w:sz w:val="32"/>
          <w:highlight w:val="none"/>
        </w:rPr>
      </w:pPr>
    </w:p>
    <w:p>
      <w:pPr>
        <w:spacing w:line="240" w:lineRule="atLeast"/>
        <w:ind w:left="1080" w:leftChars="257" w:hanging="540"/>
        <w:jc w:val="center"/>
        <w:rPr>
          <w:rFonts w:hint="eastAsia" w:ascii="宋体" w:hAnsi="宋体" w:eastAsia="宋体" w:cs="宋体"/>
          <w:b/>
          <w:color w:val="auto"/>
          <w:sz w:val="52"/>
          <w:highlight w:val="none"/>
        </w:rPr>
      </w:pPr>
    </w:p>
    <w:p>
      <w:pPr>
        <w:pStyle w:val="11"/>
        <w:rPr>
          <w:rFonts w:hint="eastAsia" w:ascii="宋体" w:hAnsi="宋体" w:eastAsia="宋体" w:cs="宋体"/>
          <w:b/>
          <w:color w:val="auto"/>
          <w:sz w:val="52"/>
          <w:highlight w:val="none"/>
        </w:rPr>
      </w:pPr>
    </w:p>
    <w:p>
      <w:pPr>
        <w:pStyle w:val="11"/>
        <w:rPr>
          <w:rFonts w:hint="eastAsia" w:ascii="宋体" w:hAnsi="宋体" w:eastAsia="宋体" w:cs="宋体"/>
          <w:b/>
          <w:color w:val="auto"/>
          <w:sz w:val="52"/>
          <w:highlight w:val="none"/>
        </w:rPr>
      </w:pPr>
    </w:p>
    <w:p>
      <w:pPr>
        <w:pStyle w:val="11"/>
        <w:rPr>
          <w:rFonts w:hint="eastAsia" w:ascii="宋体" w:hAnsi="宋体" w:eastAsia="宋体" w:cs="宋体"/>
          <w:b/>
          <w:color w:val="auto"/>
          <w:sz w:val="52"/>
          <w:highlight w:val="none"/>
        </w:rPr>
      </w:pPr>
    </w:p>
    <w:p>
      <w:pPr>
        <w:rPr>
          <w:rFonts w:hint="eastAsia" w:ascii="宋体" w:hAnsi="宋体" w:eastAsia="宋体" w:cs="宋体"/>
          <w:color w:val="auto"/>
          <w:highlight w:val="none"/>
        </w:rPr>
      </w:pPr>
      <w:bookmarkStart w:id="1304" w:name="_Toc6865"/>
      <w:bookmarkStart w:id="1305" w:name="_Toc28085"/>
      <w:bookmarkStart w:id="1306" w:name="_Toc23920"/>
      <w:bookmarkStart w:id="1307" w:name="_Toc515647833"/>
      <w:bookmarkStart w:id="1308" w:name="_Toc4796"/>
      <w:r>
        <w:rPr>
          <w:rFonts w:hint="eastAsia" w:ascii="宋体" w:hAnsi="宋体" w:eastAsia="宋体" w:cs="宋体"/>
          <w:color w:val="auto"/>
          <w:highlight w:val="none"/>
        </w:rPr>
        <w:br w:type="page"/>
      </w:r>
    </w:p>
    <w:bookmarkEnd w:id="1286"/>
    <w:bookmarkEnd w:id="1304"/>
    <w:bookmarkEnd w:id="1305"/>
    <w:bookmarkEnd w:id="1306"/>
    <w:bookmarkEnd w:id="1307"/>
    <w:bookmarkEnd w:id="1308"/>
    <w:p>
      <w:pPr>
        <w:widowControl/>
        <w:spacing w:line="440" w:lineRule="exact"/>
        <w:jc w:val="center"/>
        <w:outlineLvl w:val="0"/>
        <w:rPr>
          <w:rFonts w:hint="eastAsia" w:ascii="宋体" w:hAnsi="宋体" w:eastAsia="宋体" w:cs="宋体"/>
          <w:b/>
          <w:bCs/>
          <w:color w:val="auto"/>
          <w:kern w:val="0"/>
          <w:sz w:val="32"/>
          <w:szCs w:val="32"/>
          <w:highlight w:val="none"/>
          <w:lang w:val="en-US" w:eastAsia="zh-CN" w:bidi="ar-SA"/>
        </w:rPr>
      </w:pPr>
      <w:bookmarkStart w:id="1309" w:name="_Toc4781"/>
      <w:bookmarkStart w:id="1310" w:name="_Toc18207"/>
      <w:r>
        <w:rPr>
          <w:rFonts w:hint="eastAsia" w:ascii="宋体" w:hAnsi="宋体" w:eastAsia="宋体" w:cs="宋体"/>
          <w:b/>
          <w:bCs/>
          <w:color w:val="auto"/>
          <w:kern w:val="0"/>
          <w:sz w:val="32"/>
          <w:szCs w:val="32"/>
          <w:highlight w:val="none"/>
          <w:lang w:val="en-US" w:eastAsia="zh-CN" w:bidi="ar-SA"/>
        </w:rPr>
        <w:t>第7章  政府采购合同</w:t>
      </w:r>
      <w:bookmarkEnd w:id="1309"/>
      <w:bookmarkEnd w:id="1310"/>
      <w:bookmarkStart w:id="1311" w:name="_Toc216513788"/>
      <w:bookmarkEnd w:id="1311"/>
      <w:bookmarkStart w:id="1312" w:name="_Hlt487972895"/>
      <w:bookmarkEnd w:id="1312"/>
      <w:bookmarkStart w:id="1313" w:name="_Toc487900382"/>
      <w:bookmarkEnd w:id="1313"/>
    </w:p>
    <w:p>
      <w:pPr>
        <w:spacing w:line="4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合同编号：</w:t>
      </w:r>
      <w:r>
        <w:rPr>
          <w:rFonts w:hint="eastAsia" w:ascii="宋体" w:hAnsi="宋体" w:eastAsia="宋体" w:cs="宋体"/>
          <w:color w:val="auto"/>
          <w:sz w:val="30"/>
          <w:szCs w:val="30"/>
          <w:highlight w:val="none"/>
          <w:u w:val="single"/>
        </w:rPr>
        <w:t xml:space="preserve">           </w:t>
      </w:r>
    </w:p>
    <w:p>
      <w:pPr>
        <w:rPr>
          <w:rFonts w:ascii="微软雅黑" w:hAnsi="微软雅黑" w:eastAsia="微软雅黑" w:cs="微软雅黑"/>
          <w:color w:val="auto"/>
          <w:highlight w:val="none"/>
        </w:rPr>
      </w:pPr>
    </w:p>
    <w:p>
      <w:pPr>
        <w:rPr>
          <w:rFonts w:ascii="微软雅黑" w:hAnsi="微软雅黑" w:eastAsia="微软雅黑" w:cs="微软雅黑"/>
          <w:color w:val="auto"/>
          <w:highlight w:val="none"/>
        </w:rPr>
      </w:pPr>
    </w:p>
    <w:p>
      <w:pPr>
        <w:spacing w:line="500" w:lineRule="exact"/>
        <w:jc w:val="center"/>
        <w:rPr>
          <w:rFonts w:ascii="微软雅黑" w:hAnsi="微软雅黑" w:eastAsia="微软雅黑" w:cs="微软雅黑"/>
          <w:b/>
          <w:bCs/>
          <w:color w:val="auto"/>
          <w:sz w:val="44"/>
          <w:szCs w:val="44"/>
          <w:highlight w:val="none"/>
        </w:rPr>
      </w:pPr>
      <w:r>
        <w:rPr>
          <w:rFonts w:hint="eastAsia" w:ascii="微软雅黑" w:hAnsi="微软雅黑" w:eastAsia="微软雅黑" w:cs="微软雅黑"/>
          <w:b/>
          <w:bCs/>
          <w:color w:val="auto"/>
          <w:sz w:val="44"/>
          <w:szCs w:val="44"/>
          <w:highlight w:val="none"/>
        </w:rPr>
        <w:t>政府采购合同参考范本</w:t>
      </w:r>
    </w:p>
    <w:p>
      <w:pPr>
        <w:spacing w:line="50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（服务类）</w:t>
      </w:r>
    </w:p>
    <w:p>
      <w:pPr>
        <w:rPr>
          <w:rFonts w:ascii="微软雅黑" w:hAnsi="微软雅黑" w:eastAsia="微软雅黑" w:cs="微软雅黑"/>
          <w:color w:val="auto"/>
          <w:highlight w:val="none"/>
        </w:rPr>
      </w:pPr>
    </w:p>
    <w:p>
      <w:pPr>
        <w:rPr>
          <w:rFonts w:ascii="微软雅黑" w:hAnsi="微软雅黑" w:eastAsia="微软雅黑" w:cs="微软雅黑"/>
          <w:color w:val="auto"/>
          <w:highlight w:val="none"/>
        </w:rPr>
      </w:pPr>
    </w:p>
    <w:p>
      <w:pPr>
        <w:pStyle w:val="56"/>
        <w:spacing w:line="360" w:lineRule="exact"/>
        <w:ind w:firstLine="0"/>
        <w:jc w:val="center"/>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第一部分 合同书</w:t>
      </w:r>
    </w:p>
    <w:p>
      <w:pPr>
        <w:rPr>
          <w:rFonts w:ascii="微软雅黑" w:hAnsi="微软雅黑" w:eastAsia="微软雅黑" w:cs="微软雅黑"/>
          <w:color w:val="auto"/>
          <w:highlight w:val="none"/>
        </w:rPr>
      </w:pPr>
    </w:p>
    <w:p>
      <w:pPr>
        <w:spacing w:before="120" w:line="360" w:lineRule="exact"/>
        <w:ind w:left="96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w:t>
      </w:r>
      <w:r>
        <w:rPr>
          <w:rFonts w:hint="eastAsia" w:ascii="微软雅黑" w:hAnsi="微软雅黑" w:eastAsia="微软雅黑" w:cs="微软雅黑"/>
          <w:color w:val="auto"/>
          <w:sz w:val="24"/>
          <w:highlight w:val="none"/>
          <w:u w:val="single"/>
        </w:rPr>
        <w:t xml:space="preserve">                                   </w:t>
      </w:r>
    </w:p>
    <w:p>
      <w:pPr>
        <w:pStyle w:val="57"/>
        <w:spacing w:before="120" w:line="360" w:lineRule="exact"/>
        <w:rPr>
          <w:rFonts w:ascii="微软雅黑" w:hAnsi="微软雅黑" w:eastAsia="微软雅黑" w:cs="微软雅黑"/>
          <w:color w:val="auto"/>
          <w:highlight w:val="none"/>
        </w:rPr>
      </w:pPr>
    </w:p>
    <w:p>
      <w:pPr>
        <w:spacing w:line="360" w:lineRule="exact"/>
        <w:rPr>
          <w:rFonts w:ascii="微软雅黑" w:hAnsi="微软雅黑" w:eastAsia="微软雅黑" w:cs="微软雅黑"/>
          <w:color w:val="auto"/>
          <w:highlight w:val="none"/>
        </w:rPr>
      </w:pPr>
    </w:p>
    <w:p>
      <w:pPr>
        <w:pStyle w:val="3"/>
        <w:rPr>
          <w:rFonts w:ascii="微软雅黑" w:hAnsi="微软雅黑" w:eastAsia="微软雅黑" w:cs="微软雅黑"/>
          <w:color w:val="auto"/>
          <w:highlight w:val="none"/>
        </w:rPr>
      </w:pPr>
    </w:p>
    <w:p>
      <w:pPr>
        <w:spacing w:before="120" w:line="360" w:lineRule="exact"/>
        <w:ind w:left="96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甲方：</w:t>
      </w:r>
      <w:r>
        <w:rPr>
          <w:rFonts w:hint="eastAsia" w:ascii="微软雅黑" w:hAnsi="微软雅黑" w:eastAsia="微软雅黑" w:cs="微软雅黑"/>
          <w:color w:val="auto"/>
          <w:sz w:val="24"/>
          <w:highlight w:val="none"/>
          <w:u w:val="single"/>
        </w:rPr>
        <w:t xml:space="preserve">                                       </w:t>
      </w:r>
    </w:p>
    <w:p>
      <w:pPr>
        <w:spacing w:before="120" w:line="360" w:lineRule="exact"/>
        <w:rPr>
          <w:rFonts w:ascii="微软雅黑" w:hAnsi="微软雅黑" w:eastAsia="微软雅黑" w:cs="微软雅黑"/>
          <w:color w:val="auto"/>
          <w:sz w:val="24"/>
          <w:highlight w:val="none"/>
        </w:rPr>
      </w:pPr>
    </w:p>
    <w:p>
      <w:pPr>
        <w:spacing w:before="120" w:line="360" w:lineRule="exact"/>
        <w:ind w:left="96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乙方：</w:t>
      </w:r>
      <w:r>
        <w:rPr>
          <w:rFonts w:hint="eastAsia" w:ascii="微软雅黑" w:hAnsi="微软雅黑" w:eastAsia="微软雅黑" w:cs="微软雅黑"/>
          <w:color w:val="auto"/>
          <w:sz w:val="24"/>
          <w:highlight w:val="none"/>
          <w:u w:val="single"/>
        </w:rPr>
        <w:t xml:space="preserve">                                       </w:t>
      </w:r>
    </w:p>
    <w:p>
      <w:pPr>
        <w:spacing w:before="120" w:line="360" w:lineRule="exact"/>
        <w:rPr>
          <w:rFonts w:ascii="微软雅黑" w:hAnsi="微软雅黑" w:eastAsia="微软雅黑" w:cs="微软雅黑"/>
          <w:color w:val="auto"/>
          <w:sz w:val="24"/>
          <w:highlight w:val="none"/>
        </w:rPr>
      </w:pPr>
    </w:p>
    <w:p>
      <w:pPr>
        <w:spacing w:before="120" w:line="360" w:lineRule="exact"/>
        <w:ind w:firstLine="960" w:firstLineChars="4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签订地：</w:t>
      </w:r>
      <w:r>
        <w:rPr>
          <w:rFonts w:hint="eastAsia" w:ascii="微软雅黑" w:hAnsi="微软雅黑" w:eastAsia="微软雅黑" w:cs="微软雅黑"/>
          <w:color w:val="auto"/>
          <w:sz w:val="24"/>
          <w:highlight w:val="none"/>
          <w:u w:val="single"/>
        </w:rPr>
        <w:t xml:space="preserve">                                     </w:t>
      </w:r>
    </w:p>
    <w:p>
      <w:pPr>
        <w:spacing w:before="120" w:line="360" w:lineRule="exact"/>
        <w:rPr>
          <w:rFonts w:ascii="微软雅黑" w:hAnsi="微软雅黑" w:eastAsia="微软雅黑" w:cs="微软雅黑"/>
          <w:color w:val="auto"/>
          <w:sz w:val="24"/>
          <w:highlight w:val="none"/>
        </w:rPr>
      </w:pPr>
    </w:p>
    <w:p>
      <w:pPr>
        <w:spacing w:before="120" w:line="360" w:lineRule="exact"/>
        <w:ind w:firstLine="960" w:firstLineChars="4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签订日期：</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w:t>
      </w:r>
    </w:p>
    <w:p>
      <w:pPr>
        <w:autoSpaceDE w:val="0"/>
        <w:autoSpaceDN w:val="0"/>
        <w:adjustRightInd w:val="0"/>
        <w:spacing w:line="360" w:lineRule="exact"/>
        <w:ind w:firstLine="640"/>
        <w:jc w:val="center"/>
        <w:rPr>
          <w:rFonts w:ascii="微软雅黑" w:hAnsi="微软雅黑" w:eastAsia="微软雅黑" w:cs="微软雅黑"/>
          <w:color w:val="auto"/>
          <w:sz w:val="24"/>
          <w:highlight w:val="none"/>
        </w:rPr>
        <w:sectPr>
          <w:pgSz w:w="11907" w:h="16840"/>
          <w:pgMar w:top="1474" w:right="1814" w:bottom="1474" w:left="1814" w:header="851" w:footer="851" w:gutter="0"/>
          <w:pgNumType w:fmt="decimal"/>
          <w:cols w:space="720" w:num="1"/>
          <w:docGrid w:linePitch="462" w:charSpace="0"/>
        </w:sectPr>
      </w:pPr>
    </w:p>
    <w:p>
      <w:pPr>
        <w:spacing w:line="360" w:lineRule="exact"/>
        <w:ind w:firstLine="480" w:firstLineChars="200"/>
        <w:rPr>
          <w:rFonts w:ascii="微软雅黑" w:hAnsi="微软雅黑" w:eastAsia="微软雅黑" w:cs="微软雅黑"/>
          <w:color w:val="auto"/>
          <w:sz w:val="24"/>
          <w:highlight w:val="none"/>
        </w:rPr>
      </w:pPr>
      <w:bookmarkStart w:id="1314" w:name="_Toc24059"/>
      <w:bookmarkStart w:id="1315" w:name="_Toc3029"/>
      <w:bookmarkStart w:id="1316" w:name="_Toc2232"/>
      <w:bookmarkStart w:id="1317" w:name="_Toc26721"/>
      <w:bookmarkStart w:id="1318" w:name="_Toc1846"/>
      <w:bookmarkStart w:id="1319" w:name="_Toc2659"/>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年</w:t>
      </w:r>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月</w:t>
      </w:r>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日</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u w:val="single"/>
        </w:rPr>
        <w:t xml:space="preserve">   （采购人名称）   </w:t>
      </w:r>
      <w:r>
        <w:rPr>
          <w:rFonts w:hint="eastAsia" w:ascii="微软雅黑" w:hAnsi="微软雅黑" w:eastAsia="微软雅黑" w:cs="微软雅黑"/>
          <w:color w:val="auto"/>
          <w:sz w:val="24"/>
          <w:highlight w:val="none"/>
        </w:rPr>
        <w:t>以</w:t>
      </w:r>
      <w:r>
        <w:rPr>
          <w:rFonts w:hint="eastAsia" w:ascii="微软雅黑" w:hAnsi="微软雅黑" w:eastAsia="微软雅黑" w:cs="微软雅黑"/>
          <w:color w:val="auto"/>
          <w:sz w:val="24"/>
          <w:highlight w:val="none"/>
          <w:u w:val="single"/>
        </w:rPr>
        <w:t xml:space="preserve">   （政府采购方式）  </w:t>
      </w:r>
      <w:r>
        <w:rPr>
          <w:rFonts w:hint="eastAsia" w:ascii="微软雅黑" w:hAnsi="微软雅黑" w:eastAsia="微软雅黑" w:cs="微软雅黑"/>
          <w:color w:val="auto"/>
          <w:sz w:val="24"/>
          <w:highlight w:val="none"/>
        </w:rPr>
        <w:t>对</w:t>
      </w:r>
      <w:r>
        <w:rPr>
          <w:rFonts w:hint="eastAsia" w:ascii="微软雅黑" w:hAnsi="微软雅黑" w:eastAsia="微软雅黑" w:cs="微软雅黑"/>
          <w:color w:val="auto"/>
          <w:sz w:val="24"/>
          <w:highlight w:val="none"/>
          <w:u w:val="single"/>
        </w:rPr>
        <w:t xml:space="preserve">   （同前页项目名称）   </w:t>
      </w:r>
      <w:r>
        <w:rPr>
          <w:rFonts w:hint="eastAsia" w:ascii="微软雅黑" w:hAnsi="微软雅黑" w:eastAsia="微软雅黑" w:cs="微软雅黑"/>
          <w:color w:val="auto"/>
          <w:sz w:val="24"/>
          <w:highlight w:val="none"/>
        </w:rPr>
        <w:t>项目进行了采购。经</w:t>
      </w:r>
      <w:r>
        <w:rPr>
          <w:rFonts w:hint="eastAsia" w:ascii="微软雅黑" w:hAnsi="微软雅黑" w:eastAsia="微软雅黑" w:cs="微软雅黑"/>
          <w:color w:val="auto"/>
          <w:sz w:val="24"/>
          <w:highlight w:val="none"/>
          <w:u w:val="single"/>
        </w:rPr>
        <w:t xml:space="preserve">   （相关评定主体名称）   </w:t>
      </w:r>
      <w:r>
        <w:rPr>
          <w:rFonts w:hint="eastAsia" w:ascii="微软雅黑" w:hAnsi="微软雅黑" w:eastAsia="微软雅黑" w:cs="微软雅黑"/>
          <w:color w:val="auto"/>
          <w:sz w:val="24"/>
          <w:highlight w:val="none"/>
        </w:rPr>
        <w:t>评定，</w:t>
      </w:r>
      <w:r>
        <w:rPr>
          <w:rFonts w:hint="eastAsia" w:ascii="微软雅黑" w:hAnsi="微软雅黑" w:eastAsia="微软雅黑" w:cs="微软雅黑"/>
          <w:color w:val="auto"/>
          <w:sz w:val="24"/>
          <w:highlight w:val="none"/>
          <w:u w:val="single"/>
        </w:rPr>
        <w:t xml:space="preserve">   （成交供应商名称）</w:t>
      </w:r>
      <w:r>
        <w:rPr>
          <w:rFonts w:hint="eastAsia" w:ascii="微软雅黑" w:hAnsi="微软雅黑" w:eastAsia="微软雅黑" w:cs="微软雅黑"/>
          <w:color w:val="auto"/>
          <w:sz w:val="24"/>
          <w:highlight w:val="none"/>
        </w:rPr>
        <w:t>为该项目成交供应商。现于成交通知书发出之日起三十日内，按照采购文件确定的事项签订本合同。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zh-CN"/>
        </w:rPr>
        <w:t>根据《中华人民共和国合同法》、《中华人民共和国政府采购法》等相关法律法规之规定，按照平等、自愿、公平和诚实信用的原则，经</w:t>
      </w:r>
      <w:r>
        <w:rPr>
          <w:rFonts w:hint="eastAsia" w:ascii="微软雅黑" w:hAnsi="微软雅黑" w:eastAsia="微软雅黑" w:cs="微软雅黑"/>
          <w:color w:val="auto"/>
          <w:sz w:val="24"/>
          <w:highlight w:val="none"/>
          <w:u w:val="single"/>
        </w:rPr>
        <w:t xml:space="preserve">   （采购人名称）   </w:t>
      </w:r>
      <w:r>
        <w:rPr>
          <w:rFonts w:hint="eastAsia" w:ascii="微软雅黑" w:hAnsi="微软雅黑" w:eastAsia="微软雅黑" w:cs="微软雅黑"/>
          <w:color w:val="auto"/>
          <w:sz w:val="24"/>
          <w:highlight w:val="none"/>
          <w:lang w:val="zh-CN"/>
        </w:rPr>
        <w:t>(以下简称：甲方)和</w:t>
      </w:r>
      <w:r>
        <w:rPr>
          <w:rFonts w:hint="eastAsia" w:ascii="微软雅黑" w:hAnsi="微软雅黑" w:eastAsia="微软雅黑" w:cs="微软雅黑"/>
          <w:color w:val="auto"/>
          <w:sz w:val="24"/>
          <w:highlight w:val="none"/>
          <w:u w:val="single"/>
        </w:rPr>
        <w:t xml:space="preserve">   （成交供应商名称）   </w:t>
      </w:r>
      <w:r>
        <w:rPr>
          <w:rFonts w:hint="eastAsia" w:ascii="微软雅黑" w:hAnsi="微软雅黑" w:eastAsia="微软雅黑" w:cs="微软雅黑"/>
          <w:color w:val="auto"/>
          <w:sz w:val="24"/>
          <w:highlight w:val="none"/>
          <w:lang w:val="zh-CN"/>
        </w:rPr>
        <w:t>(以下简称：乙方)协商一致，约定以下合同</w:t>
      </w:r>
      <w:r>
        <w:rPr>
          <w:rFonts w:hint="eastAsia" w:ascii="微软雅黑" w:hAnsi="微软雅黑" w:eastAsia="微软雅黑" w:cs="微软雅黑"/>
          <w:color w:val="auto"/>
          <w:sz w:val="24"/>
          <w:highlight w:val="none"/>
        </w:rPr>
        <w:t>条款，以兹共同遵守、全面履行。</w:t>
      </w:r>
    </w:p>
    <w:bookmarkEnd w:id="1314"/>
    <w:bookmarkEnd w:id="1315"/>
    <w:bookmarkEnd w:id="1316"/>
    <w:bookmarkEnd w:id="1317"/>
    <w:bookmarkEnd w:id="1318"/>
    <w:bookmarkEnd w:id="1319"/>
    <w:p>
      <w:pPr>
        <w:spacing w:line="360" w:lineRule="exact"/>
        <w:ind w:firstLine="480" w:firstLineChars="200"/>
        <w:outlineLvl w:val="0"/>
        <w:rPr>
          <w:rFonts w:ascii="微软雅黑" w:hAnsi="微软雅黑" w:eastAsia="微软雅黑" w:cs="微软雅黑"/>
          <w:b/>
          <w:bCs/>
          <w:color w:val="auto"/>
          <w:sz w:val="24"/>
          <w:highlight w:val="none"/>
        </w:rPr>
      </w:pPr>
      <w:bookmarkStart w:id="1320" w:name="_Toc5861"/>
      <w:bookmarkStart w:id="1321" w:name="_Toc11049"/>
      <w:bookmarkStart w:id="1322" w:name="_Toc18247"/>
      <w:bookmarkStart w:id="1323" w:name="_Toc2048"/>
      <w:bookmarkStart w:id="1324" w:name="_Toc21386"/>
      <w:bookmarkStart w:id="1325" w:name="_Toc4772"/>
      <w:bookmarkStart w:id="1326" w:name="_Toc6552"/>
      <w:bookmarkStart w:id="1327" w:name="_Toc30575"/>
      <w:bookmarkStart w:id="1328" w:name="_Toc29751"/>
      <w:bookmarkStart w:id="1329" w:name="_Toc2812"/>
      <w:bookmarkStart w:id="1330" w:name="_Toc8553"/>
      <w:bookmarkStart w:id="1331" w:name="_Toc25352"/>
      <w:bookmarkStart w:id="1332" w:name="_Toc24186"/>
      <w:bookmarkStart w:id="1333" w:name="_Toc27428"/>
      <w:bookmarkStart w:id="1334" w:name="_Toc6038"/>
      <w:bookmarkStart w:id="1335" w:name="_Toc29615"/>
      <w:bookmarkStart w:id="1336" w:name="_Toc4751"/>
      <w:bookmarkStart w:id="1337" w:name="_Toc8605"/>
      <w:bookmarkStart w:id="1338" w:name="_Toc28090"/>
      <w:bookmarkStart w:id="1339" w:name="_Toc967"/>
      <w:bookmarkStart w:id="1340" w:name="_Toc14766"/>
      <w:bookmarkStart w:id="1341" w:name="_Toc4498"/>
      <w:bookmarkStart w:id="1342" w:name="_Toc26956"/>
      <w:bookmarkStart w:id="1343" w:name="_Toc27963"/>
      <w:r>
        <w:rPr>
          <w:rFonts w:hint="eastAsia" w:ascii="微软雅黑" w:hAnsi="微软雅黑" w:eastAsia="微软雅黑" w:cs="微软雅黑"/>
          <w:b/>
          <w:bCs/>
          <w:color w:val="auto"/>
          <w:sz w:val="24"/>
          <w:highlight w:val="none"/>
        </w:rPr>
        <w:t>1.1 合同组成部分</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1.1.1 本合同及其补充合同、变更协议；</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1.1.2 成交通知书；</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1.1.3 响应文件（含澄清或者说明文件）；</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1.1.4 磋商文件（含澄清或者修改文件）；</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1.1.5 其他相关采购文件。</w:t>
      </w:r>
    </w:p>
    <w:p>
      <w:pPr>
        <w:spacing w:line="360" w:lineRule="exact"/>
        <w:ind w:firstLine="480" w:firstLineChars="200"/>
        <w:outlineLvl w:val="0"/>
        <w:rPr>
          <w:rFonts w:ascii="微软雅黑" w:hAnsi="微软雅黑" w:eastAsia="微软雅黑" w:cs="微软雅黑"/>
          <w:b/>
          <w:bCs/>
          <w:color w:val="auto"/>
          <w:sz w:val="24"/>
          <w:highlight w:val="none"/>
        </w:rPr>
      </w:pPr>
      <w:bookmarkStart w:id="1344" w:name="_Toc7977"/>
      <w:bookmarkStart w:id="1345" w:name="_Toc15345"/>
      <w:bookmarkStart w:id="1346" w:name="_Toc11238"/>
      <w:bookmarkStart w:id="1347" w:name="_Toc14235"/>
      <w:bookmarkStart w:id="1348" w:name="_Toc2579"/>
      <w:bookmarkStart w:id="1349" w:name="_Toc8631"/>
      <w:bookmarkStart w:id="1350" w:name="_Toc27126"/>
      <w:bookmarkStart w:id="1351" w:name="_Toc31638"/>
      <w:bookmarkStart w:id="1352" w:name="_Toc9006"/>
      <w:bookmarkStart w:id="1353" w:name="_Toc24300"/>
      <w:bookmarkStart w:id="1354" w:name="_Toc4464"/>
      <w:bookmarkStart w:id="1355" w:name="_Toc21295"/>
      <w:bookmarkStart w:id="1356" w:name="_Toc25735"/>
      <w:bookmarkStart w:id="1357" w:name="_Toc27318"/>
      <w:bookmarkStart w:id="1358" w:name="_Toc5906"/>
      <w:bookmarkStart w:id="1359" w:name="_Toc31632"/>
      <w:bookmarkStart w:id="1360" w:name="_Toc4735"/>
      <w:bookmarkStart w:id="1361" w:name="_Toc288"/>
      <w:bookmarkStart w:id="1362" w:name="_Toc29478"/>
      <w:bookmarkStart w:id="1363" w:name="_Toc21690"/>
      <w:bookmarkStart w:id="1364" w:name="_Toc1446"/>
      <w:bookmarkStart w:id="1365" w:name="_Toc25402"/>
      <w:bookmarkStart w:id="1366" w:name="_Toc21217"/>
      <w:bookmarkStart w:id="1367" w:name="_Toc13138"/>
      <w:bookmarkStart w:id="1368" w:name="_Toc19432"/>
      <w:bookmarkStart w:id="1369" w:name="_Toc30525"/>
      <w:bookmarkStart w:id="1370" w:name="_Toc9451"/>
      <w:bookmarkStart w:id="1371" w:name="_Toc7078"/>
      <w:bookmarkStart w:id="1372" w:name="_Toc10134"/>
      <w:bookmarkStart w:id="1373" w:name="_Toc17044"/>
      <w:bookmarkStart w:id="1374" w:name="_Toc19764"/>
      <w:r>
        <w:rPr>
          <w:rFonts w:hint="eastAsia" w:ascii="微软雅黑" w:hAnsi="微软雅黑" w:eastAsia="微软雅黑" w:cs="微软雅黑"/>
          <w:b/>
          <w:bCs/>
          <w:color w:val="auto"/>
          <w:sz w:val="24"/>
          <w:highlight w:val="none"/>
        </w:rPr>
        <w:t xml:space="preserve">1.2 </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Fonts w:hint="eastAsia" w:ascii="微软雅黑" w:hAnsi="微软雅黑" w:eastAsia="微软雅黑" w:cs="微软雅黑"/>
          <w:b/>
          <w:bCs/>
          <w:color w:val="auto"/>
          <w:sz w:val="24"/>
          <w:highlight w:val="none"/>
        </w:rPr>
        <w:t>标的</w:t>
      </w:r>
      <w:bookmarkEnd w:id="1370"/>
      <w:bookmarkEnd w:id="1371"/>
      <w:bookmarkEnd w:id="1372"/>
      <w:bookmarkEnd w:id="1373"/>
      <w:bookmarkEnd w:id="1374"/>
    </w:p>
    <w:p>
      <w:pPr>
        <w:spacing w:line="36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1.2.1 标的名称：</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1.2.2 标的数量：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1.2.3 标的质量：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outlineLvl w:val="0"/>
        <w:rPr>
          <w:rFonts w:ascii="微软雅黑" w:hAnsi="微软雅黑" w:eastAsia="微软雅黑" w:cs="微软雅黑"/>
          <w:b/>
          <w:bCs/>
          <w:color w:val="auto"/>
          <w:sz w:val="24"/>
          <w:highlight w:val="none"/>
        </w:rPr>
      </w:pPr>
      <w:bookmarkStart w:id="1375" w:name="_Toc28065"/>
      <w:bookmarkStart w:id="1376" w:name="_Toc9609"/>
      <w:bookmarkStart w:id="1377" w:name="_Toc27014"/>
      <w:bookmarkStart w:id="1378" w:name="_Toc1528"/>
      <w:bookmarkStart w:id="1379" w:name="_Toc16608"/>
      <w:bookmarkStart w:id="1380" w:name="_Toc874"/>
      <w:bookmarkStart w:id="1381" w:name="_Toc16170"/>
      <w:bookmarkStart w:id="1382" w:name="_Toc19682"/>
      <w:bookmarkStart w:id="1383" w:name="_Toc6057"/>
      <w:bookmarkStart w:id="1384" w:name="_Toc21040"/>
      <w:bookmarkStart w:id="1385" w:name="_Toc21551"/>
      <w:bookmarkStart w:id="1386" w:name="_Toc30667"/>
      <w:bookmarkStart w:id="1387" w:name="_Toc12266"/>
      <w:bookmarkStart w:id="1388" w:name="_Toc6581"/>
      <w:bookmarkStart w:id="1389" w:name="_Toc2897"/>
      <w:bookmarkStart w:id="1390" w:name="_Toc29540"/>
      <w:bookmarkStart w:id="1391" w:name="_Toc9271"/>
      <w:bookmarkStart w:id="1392" w:name="_Toc23292"/>
      <w:bookmarkStart w:id="1393" w:name="_Toc29278"/>
      <w:bookmarkStart w:id="1394" w:name="_Toc21631"/>
      <w:bookmarkStart w:id="1395" w:name="_Toc1267"/>
      <w:bookmarkStart w:id="1396" w:name="_Toc30755"/>
      <w:bookmarkStart w:id="1397" w:name="_Toc11045"/>
      <w:bookmarkStart w:id="1398" w:name="_Toc8386"/>
      <w:bookmarkStart w:id="1399" w:name="_Toc13836"/>
      <w:bookmarkStart w:id="1400" w:name="_Toc27282"/>
      <w:bookmarkStart w:id="1401" w:name="_Toc10942"/>
      <w:bookmarkStart w:id="1402" w:name="_Toc9364"/>
      <w:bookmarkStart w:id="1403" w:name="_Toc633"/>
      <w:bookmarkStart w:id="1404" w:name="_Toc25368"/>
      <w:bookmarkStart w:id="1405" w:name="_Toc13898"/>
      <w:r>
        <w:rPr>
          <w:rFonts w:hint="eastAsia" w:ascii="微软雅黑" w:hAnsi="微软雅黑" w:eastAsia="微软雅黑" w:cs="微软雅黑"/>
          <w:b/>
          <w:bCs/>
          <w:color w:val="auto"/>
          <w:sz w:val="24"/>
          <w:highlight w:val="none"/>
        </w:rPr>
        <w:t>1.3 价款</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本合同总价为：￥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元（大写：</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元人民币）。</w:t>
      </w:r>
    </w:p>
    <w:p>
      <w:pPr>
        <w:spacing w:line="36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分项价格：</w:t>
      </w:r>
    </w:p>
    <w:tbl>
      <w:tblPr>
        <w:tblStyle w:val="25"/>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8"/>
              <w:spacing w:line="360" w:lineRule="exact"/>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序号</w:t>
            </w:r>
          </w:p>
        </w:tc>
        <w:tc>
          <w:tcPr>
            <w:tcW w:w="3738"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分项名称</w:t>
            </w:r>
          </w:p>
        </w:tc>
        <w:tc>
          <w:tcPr>
            <w:tcW w:w="2803" w:type="dxa"/>
            <w:vAlign w:val="center"/>
          </w:tcPr>
          <w:p>
            <w:pPr>
              <w:pStyle w:val="58"/>
              <w:spacing w:line="360" w:lineRule="exact"/>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c>
          <w:tcPr>
            <w:tcW w:w="3738"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c>
          <w:tcPr>
            <w:tcW w:w="2803"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19"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c>
          <w:tcPr>
            <w:tcW w:w="3738"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c>
          <w:tcPr>
            <w:tcW w:w="2803"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57" w:type="dxa"/>
            <w:gridSpan w:val="2"/>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总价</w:t>
            </w:r>
          </w:p>
        </w:tc>
        <w:tc>
          <w:tcPr>
            <w:tcW w:w="2803" w:type="dxa"/>
            <w:vAlign w:val="center"/>
          </w:tcPr>
          <w:p>
            <w:pPr>
              <w:pStyle w:val="58"/>
              <w:spacing w:line="360" w:lineRule="exact"/>
              <w:ind w:firstLine="200"/>
              <w:jc w:val="center"/>
              <w:rPr>
                <w:rFonts w:ascii="微软雅黑" w:hAnsi="微软雅黑" w:eastAsia="微软雅黑" w:cs="微软雅黑"/>
                <w:color w:val="auto"/>
                <w:kern w:val="2"/>
                <w:sz w:val="24"/>
                <w:szCs w:val="24"/>
                <w:highlight w:val="none"/>
              </w:rPr>
            </w:pPr>
          </w:p>
        </w:tc>
      </w:tr>
    </w:tbl>
    <w:p>
      <w:pPr>
        <w:spacing w:line="360" w:lineRule="exact"/>
        <w:ind w:firstLine="480" w:firstLineChars="200"/>
        <w:outlineLvl w:val="0"/>
        <w:rPr>
          <w:rFonts w:ascii="微软雅黑" w:hAnsi="微软雅黑" w:eastAsia="微软雅黑" w:cs="微软雅黑"/>
          <w:b/>
          <w:bCs/>
          <w:color w:val="auto"/>
          <w:sz w:val="24"/>
          <w:highlight w:val="none"/>
        </w:rPr>
      </w:pPr>
      <w:bookmarkStart w:id="1406" w:name="_Toc21649"/>
      <w:bookmarkStart w:id="1407" w:name="_Toc13940"/>
      <w:bookmarkStart w:id="1408" w:name="_Toc24781"/>
      <w:bookmarkStart w:id="1409" w:name="_Toc27817"/>
      <w:bookmarkStart w:id="1410" w:name="_Toc5736"/>
      <w:bookmarkStart w:id="1411" w:name="_Toc6855"/>
      <w:bookmarkStart w:id="1412" w:name="_Toc10340"/>
      <w:bookmarkStart w:id="1413" w:name="_Toc21104"/>
      <w:bookmarkStart w:id="1414" w:name="_Toc7458"/>
      <w:bookmarkStart w:id="1415" w:name="_Toc27654"/>
      <w:bookmarkStart w:id="1416" w:name="_Toc28597"/>
      <w:bookmarkStart w:id="1417" w:name="_Toc847"/>
      <w:bookmarkStart w:id="1418" w:name="_Toc22509"/>
      <w:bookmarkStart w:id="1419" w:name="_Toc7801"/>
      <w:bookmarkStart w:id="1420" w:name="_Toc26112"/>
      <w:bookmarkStart w:id="1421" w:name="_Toc44"/>
      <w:bookmarkStart w:id="1422" w:name="_Toc1814"/>
      <w:bookmarkStart w:id="1423" w:name="_Toc18970"/>
      <w:bookmarkStart w:id="1424" w:name="_Toc21349"/>
      <w:bookmarkStart w:id="1425" w:name="_Toc2285"/>
      <w:bookmarkStart w:id="1426" w:name="_Toc9089"/>
      <w:bookmarkStart w:id="1427" w:name="_Toc4585"/>
      <w:bookmarkStart w:id="1428" w:name="_Toc26470"/>
      <w:bookmarkStart w:id="1429" w:name="_Toc8933"/>
      <w:bookmarkStart w:id="1430" w:name="_Toc30643"/>
      <w:bookmarkStart w:id="1431" w:name="_Toc10086"/>
      <w:bookmarkStart w:id="1432" w:name="_Toc28773"/>
      <w:bookmarkStart w:id="1433" w:name="_Toc14955"/>
      <w:r>
        <w:rPr>
          <w:rFonts w:hint="eastAsia" w:ascii="微软雅黑" w:hAnsi="微软雅黑" w:eastAsia="微软雅黑" w:cs="微软雅黑"/>
          <w:b/>
          <w:bCs/>
          <w:color w:val="auto"/>
          <w:sz w:val="24"/>
          <w:highlight w:val="none"/>
        </w:rPr>
        <w:t>1.4 付款方式和发票开具方式</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 付款方式：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 发票开具方式：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outlineLvl w:val="0"/>
        <w:rPr>
          <w:rFonts w:ascii="微软雅黑" w:hAnsi="微软雅黑" w:eastAsia="微软雅黑" w:cs="微软雅黑"/>
          <w:b/>
          <w:bCs/>
          <w:color w:val="auto"/>
          <w:sz w:val="24"/>
          <w:highlight w:val="none"/>
        </w:rPr>
      </w:pPr>
      <w:bookmarkStart w:id="1434" w:name="_Toc2846"/>
      <w:bookmarkStart w:id="1435" w:name="_Toc10059"/>
      <w:bookmarkStart w:id="1436" w:name="_Toc11496"/>
      <w:bookmarkStart w:id="1437" w:name="_Toc22861"/>
      <w:bookmarkStart w:id="1438" w:name="_Toc18253"/>
      <w:bookmarkStart w:id="1439" w:name="_Toc4377"/>
      <w:bookmarkStart w:id="1440" w:name="_Toc4501"/>
      <w:bookmarkStart w:id="1441" w:name="_Toc32071"/>
      <w:bookmarkStart w:id="1442" w:name="_Toc30563"/>
      <w:bookmarkStart w:id="1443" w:name="_Toc25427"/>
      <w:bookmarkStart w:id="1444" w:name="_Toc25278"/>
      <w:bookmarkStart w:id="1445" w:name="_Toc2852"/>
      <w:bookmarkStart w:id="1446" w:name="_Toc9171"/>
      <w:bookmarkStart w:id="1447" w:name="_Toc10276"/>
      <w:bookmarkStart w:id="1448" w:name="_Toc4058"/>
      <w:bookmarkStart w:id="1449" w:name="_Toc16823"/>
      <w:bookmarkStart w:id="1450" w:name="_Toc17179"/>
      <w:bookmarkStart w:id="1451" w:name="_Toc3449"/>
      <w:bookmarkStart w:id="1452" w:name="_Toc8547"/>
      <w:bookmarkStart w:id="1453" w:name="_Toc20590"/>
      <w:bookmarkStart w:id="1454" w:name="_Toc11682"/>
      <w:bookmarkStart w:id="1455" w:name="_Toc29661"/>
      <w:bookmarkStart w:id="1456" w:name="_Toc23862"/>
      <w:bookmarkStart w:id="1457" w:name="_Toc2083"/>
      <w:bookmarkStart w:id="1458" w:name="_Toc2023"/>
      <w:bookmarkStart w:id="1459" w:name="_Toc2750"/>
      <w:bookmarkStart w:id="1460" w:name="_Toc19304"/>
      <w:bookmarkStart w:id="1461" w:name="_Toc30447"/>
      <w:bookmarkStart w:id="1462" w:name="_Toc17448"/>
      <w:bookmarkStart w:id="1463" w:name="_Toc26187"/>
      <w:r>
        <w:rPr>
          <w:rFonts w:hint="eastAsia" w:ascii="微软雅黑" w:hAnsi="微软雅黑" w:eastAsia="微软雅黑" w:cs="微软雅黑"/>
          <w:b/>
          <w:bCs/>
          <w:color w:val="auto"/>
          <w:sz w:val="24"/>
          <w:highlight w:val="none"/>
        </w:rPr>
        <w:t>1.5 履行期限、地点和方式</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spacing w:line="36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1.5.1 交付期限：</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1.5.2 交付地点：</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1.5.3 交付方式：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360" w:lineRule="exact"/>
        <w:ind w:firstLine="480" w:firstLineChars="200"/>
        <w:outlineLvl w:val="0"/>
        <w:rPr>
          <w:rFonts w:ascii="微软雅黑" w:hAnsi="微软雅黑" w:eastAsia="微软雅黑" w:cs="微软雅黑"/>
          <w:b/>
          <w:bCs/>
          <w:color w:val="auto"/>
          <w:sz w:val="24"/>
          <w:highlight w:val="none"/>
        </w:rPr>
      </w:pPr>
      <w:bookmarkStart w:id="1464" w:name="_Toc24947"/>
      <w:bookmarkStart w:id="1465" w:name="_Toc8569"/>
      <w:bookmarkStart w:id="1466" w:name="_Toc28455"/>
      <w:bookmarkStart w:id="1467" w:name="_Toc6841"/>
      <w:bookmarkStart w:id="1468" w:name="_Toc30932"/>
      <w:bookmarkStart w:id="1469" w:name="_Toc10320"/>
      <w:bookmarkStart w:id="1470" w:name="_Toc4190"/>
      <w:bookmarkStart w:id="1471" w:name="_Toc19554"/>
      <w:bookmarkStart w:id="1472" w:name="_Toc8341"/>
      <w:bookmarkStart w:id="1473" w:name="_Toc15721"/>
      <w:bookmarkStart w:id="1474" w:name="_Toc29138"/>
      <w:bookmarkStart w:id="1475" w:name="_Toc21406"/>
      <w:bookmarkStart w:id="1476" w:name="_Toc1835"/>
      <w:bookmarkStart w:id="1477" w:name="_Toc29769"/>
      <w:bookmarkStart w:id="1478" w:name="_Toc27247"/>
      <w:bookmarkStart w:id="1479" w:name="_Toc26850"/>
      <w:bookmarkStart w:id="1480" w:name="_Toc12424"/>
      <w:bookmarkStart w:id="1481" w:name="_Toc12753"/>
      <w:bookmarkStart w:id="1482" w:name="_Toc12629"/>
      <w:bookmarkStart w:id="1483" w:name="_Toc15865"/>
      <w:bookmarkStart w:id="1484" w:name="_Toc21423"/>
      <w:bookmarkStart w:id="1485" w:name="_Toc20764"/>
      <w:bookmarkStart w:id="1486" w:name="_Toc27250"/>
      <w:bookmarkStart w:id="1487" w:name="_Toc8754"/>
      <w:bookmarkStart w:id="1488" w:name="_Toc11237"/>
      <w:bookmarkStart w:id="1489" w:name="_Toc30784"/>
      <w:bookmarkStart w:id="1490" w:name="_Toc13569"/>
      <w:bookmarkStart w:id="1491" w:name="_Toc7738"/>
      <w:bookmarkStart w:id="1492" w:name="_Toc27156"/>
      <w:bookmarkStart w:id="1493" w:name="_Toc12988"/>
      <w:r>
        <w:rPr>
          <w:rFonts w:hint="eastAsia" w:ascii="微软雅黑" w:hAnsi="微软雅黑" w:eastAsia="微软雅黑" w:cs="微软雅黑"/>
          <w:b/>
          <w:bCs/>
          <w:color w:val="auto"/>
          <w:sz w:val="24"/>
          <w:highlight w:val="none"/>
        </w:rPr>
        <w:t>1.6 违约责任</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 除不可抗力外，如果乙方没有按照本合同约定的期限、地点和方式交付服务，那么甲方可要求乙方支付违约金，违约金按每迟延交付服务一日的应交付而未交付服务价格的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%计算，最高限额为本合同总价的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%；迟延交付服务的违约金计算数额达到前述最高限额之日起，甲方有权在要求乙方支付违约金的同时，书面通知乙方解除本合同；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1.6.2 除不可抗力外，如果甲方没有按照本合同约定的付款方式付款，那么乙方可要求甲方支付违约金，违约金按每迟延付款一日的应付而未付款的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%计算，最高限额为本合同总价的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%；迟延付款的违约金计算数额达到前述最高限额之日起，乙方有权在要求甲方支付违约金的同时，书面通知甲方解除本合同；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exact"/>
        <w:ind w:firstLine="480" w:firstLineChars="200"/>
        <w:outlineLvl w:val="0"/>
        <w:rPr>
          <w:rFonts w:ascii="微软雅黑" w:hAnsi="微软雅黑" w:eastAsia="微软雅黑" w:cs="微软雅黑"/>
          <w:b/>
          <w:bCs/>
          <w:color w:val="auto"/>
          <w:sz w:val="24"/>
          <w:highlight w:val="none"/>
        </w:rPr>
      </w:pPr>
      <w:bookmarkStart w:id="1494" w:name="_Toc31145"/>
      <w:bookmarkStart w:id="1495" w:name="_Toc16021"/>
      <w:bookmarkStart w:id="1496" w:name="_Toc2907"/>
      <w:bookmarkStart w:id="1497" w:name="_Toc5482"/>
      <w:bookmarkStart w:id="1498" w:name="_Toc21643"/>
      <w:bookmarkStart w:id="1499" w:name="_Toc16341"/>
      <w:bookmarkStart w:id="1500" w:name="_Toc23654"/>
      <w:bookmarkStart w:id="1501" w:name="_Toc6344"/>
      <w:bookmarkStart w:id="1502" w:name="_Toc14531"/>
      <w:bookmarkStart w:id="1503" w:name="_Toc27466"/>
      <w:bookmarkStart w:id="1504" w:name="_Toc28375"/>
      <w:bookmarkStart w:id="1505" w:name="_Toc8747"/>
      <w:bookmarkStart w:id="1506" w:name="_Toc22341"/>
      <w:bookmarkStart w:id="1507" w:name="_Toc15583"/>
      <w:bookmarkStart w:id="1508" w:name="_Toc7216"/>
      <w:bookmarkStart w:id="1509" w:name="_Toc24393"/>
      <w:bookmarkStart w:id="1510" w:name="_Toc27762"/>
      <w:bookmarkStart w:id="1511" w:name="_Toc8914"/>
      <w:bookmarkStart w:id="1512" w:name="_Toc20497"/>
      <w:bookmarkStart w:id="1513" w:name="_Toc3403"/>
      <w:bookmarkStart w:id="1514" w:name="_Toc29338"/>
      <w:bookmarkStart w:id="1515" w:name="_Toc12283"/>
      <w:bookmarkStart w:id="1516" w:name="_Toc27927"/>
      <w:bookmarkStart w:id="1517" w:name="_Toc20776"/>
      <w:bookmarkStart w:id="1518" w:name="_Toc17880"/>
      <w:bookmarkStart w:id="1519" w:name="_Toc20610"/>
      <w:bookmarkStart w:id="1520" w:name="_Toc9202"/>
      <w:bookmarkStart w:id="1521" w:name="_Toc23525"/>
      <w:bookmarkStart w:id="1522" w:name="_Toc25915"/>
      <w:bookmarkStart w:id="1523" w:name="_Toc19011"/>
      <w:r>
        <w:rPr>
          <w:rFonts w:hint="eastAsia" w:ascii="微软雅黑" w:hAnsi="微软雅黑" w:eastAsia="微软雅黑" w:cs="微软雅黑"/>
          <w:b/>
          <w:bCs/>
          <w:color w:val="auto"/>
          <w:sz w:val="24"/>
          <w:highlight w:val="none"/>
        </w:rPr>
        <w:t>1.7 合同争议的解决</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本合同履行过程中发生的任何争议，双方当事人均可通过和解或者调解解决；不愿和解、调解或者和解、调解不成的，可以选择下列第</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种方式解决：</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1.7.1 将争议提交</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仲裁委员会依申请仲裁时其现行有效的仲裁规则裁决；</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1.7.2 向</w:t>
      </w:r>
      <w:r>
        <w:rPr>
          <w:rFonts w:hint="eastAsia" w:ascii="微软雅黑" w:hAnsi="微软雅黑" w:eastAsia="微软雅黑" w:cs="微软雅黑"/>
          <w:color w:val="auto"/>
          <w:sz w:val="24"/>
          <w:highlight w:val="none"/>
          <w:u w:val="single"/>
        </w:rPr>
        <w:t xml:space="preserve">   （被告住所地、合同履行地、合同签订地、原告住所地、标的物所在地等与争议有实际联系的地点中选出的人民法院名称）    </w:t>
      </w:r>
      <w:r>
        <w:rPr>
          <w:rFonts w:hint="eastAsia" w:ascii="微软雅黑" w:hAnsi="微软雅黑" w:eastAsia="微软雅黑" w:cs="微软雅黑"/>
          <w:color w:val="auto"/>
          <w:sz w:val="24"/>
          <w:highlight w:val="none"/>
        </w:rPr>
        <w:t>人民法院起诉。</w:t>
      </w:r>
    </w:p>
    <w:p>
      <w:pPr>
        <w:spacing w:line="360" w:lineRule="exact"/>
        <w:ind w:firstLine="480" w:firstLineChars="200"/>
        <w:outlineLvl w:val="0"/>
        <w:rPr>
          <w:rFonts w:ascii="微软雅黑" w:hAnsi="微软雅黑" w:eastAsia="微软雅黑" w:cs="微软雅黑"/>
          <w:b/>
          <w:bCs/>
          <w:color w:val="auto"/>
          <w:sz w:val="24"/>
          <w:highlight w:val="none"/>
        </w:rPr>
      </w:pPr>
      <w:bookmarkStart w:id="1524" w:name="_Toc10255"/>
      <w:bookmarkStart w:id="1525" w:name="_Toc9329"/>
      <w:bookmarkStart w:id="1526" w:name="_Toc27630"/>
      <w:bookmarkStart w:id="1527" w:name="_Toc11173"/>
      <w:bookmarkStart w:id="1528" w:name="_Toc8975"/>
      <w:bookmarkStart w:id="1529" w:name="_Toc15322"/>
      <w:bookmarkStart w:id="1530" w:name="_Toc1069"/>
      <w:bookmarkStart w:id="1531" w:name="_Toc28669"/>
      <w:bookmarkStart w:id="1532" w:name="_Toc17113"/>
      <w:bookmarkStart w:id="1533" w:name="_Toc10429"/>
      <w:bookmarkStart w:id="1534" w:name="_Toc2894"/>
      <w:bookmarkStart w:id="1535" w:name="_Toc17699"/>
      <w:bookmarkStart w:id="1536" w:name="_Toc20192"/>
      <w:bookmarkStart w:id="1537" w:name="_Toc14796"/>
      <w:bookmarkStart w:id="1538" w:name="_Toc518"/>
      <w:bookmarkStart w:id="1539" w:name="_Toc10043"/>
      <w:bookmarkStart w:id="1540" w:name="_Toc7245"/>
      <w:bookmarkStart w:id="1541" w:name="_Toc16410"/>
      <w:bookmarkStart w:id="1542" w:name="_Toc20305"/>
      <w:bookmarkStart w:id="1543" w:name="_Toc32723"/>
      <w:bookmarkStart w:id="1544" w:name="_Toc30260"/>
      <w:bookmarkStart w:id="1545" w:name="_Toc1647"/>
      <w:bookmarkStart w:id="1546" w:name="_Toc12946"/>
      <w:bookmarkStart w:id="1547" w:name="_Toc6131"/>
      <w:bookmarkStart w:id="1548" w:name="_Toc4516"/>
      <w:bookmarkStart w:id="1549" w:name="_Toc30207"/>
      <w:bookmarkStart w:id="1550" w:name="_Toc22425"/>
      <w:bookmarkStart w:id="1551" w:name="_Toc21082"/>
      <w:bookmarkStart w:id="1552" w:name="_Toc6411"/>
      <w:bookmarkStart w:id="1553" w:name="_Toc2901"/>
      <w:r>
        <w:rPr>
          <w:rFonts w:hint="eastAsia" w:ascii="微软雅黑" w:hAnsi="微软雅黑" w:eastAsia="微软雅黑" w:cs="微软雅黑"/>
          <w:b/>
          <w:bCs/>
          <w:color w:val="auto"/>
          <w:sz w:val="24"/>
          <w:highlight w:val="none"/>
        </w:rPr>
        <w:t>1.8 合同生效</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spacing w:line="360" w:lineRule="exact"/>
        <w:ind w:firstLine="480" w:firstLineChars="200"/>
        <w:rPr>
          <w:rFonts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rPr>
        <w:t>本合同自双方当事人盖章或者签字时生效。</w:t>
      </w:r>
    </w:p>
    <w:p>
      <w:pPr>
        <w:autoSpaceDE w:val="0"/>
        <w:autoSpaceDN w:val="0"/>
        <w:adjustRightInd w:val="0"/>
        <w:spacing w:line="360" w:lineRule="exact"/>
        <w:rPr>
          <w:rFonts w:ascii="微软雅黑" w:hAnsi="微软雅黑" w:eastAsia="微软雅黑" w:cs="微软雅黑"/>
          <w:color w:val="auto"/>
          <w:sz w:val="24"/>
          <w:highlight w:val="none"/>
          <w:lang w:val="zh-CN"/>
        </w:rPr>
      </w:pP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b/>
          <w:bCs/>
          <w:color w:val="auto"/>
          <w:sz w:val="24"/>
          <w:highlight w:val="none"/>
          <w:lang w:val="zh-CN"/>
        </w:rPr>
        <w:t>甲方</w:t>
      </w:r>
      <w:r>
        <w:rPr>
          <w:rFonts w:hint="eastAsia" w:ascii="微软雅黑" w:hAnsi="微软雅黑" w:eastAsia="微软雅黑" w:cs="微软雅黑"/>
          <w:color w:val="auto"/>
          <w:sz w:val="24"/>
          <w:highlight w:val="none"/>
          <w:lang w:val="zh-CN"/>
        </w:rPr>
        <w:t xml:space="preserve">：                             </w:t>
      </w:r>
      <w:r>
        <w:rPr>
          <w:rFonts w:hint="eastAsia" w:ascii="微软雅黑" w:hAnsi="微软雅黑" w:eastAsia="微软雅黑" w:cs="微软雅黑"/>
          <w:b/>
          <w:bCs/>
          <w:color w:val="auto"/>
          <w:sz w:val="24"/>
          <w:highlight w:val="none"/>
          <w:lang w:val="zh-CN"/>
        </w:rPr>
        <w:t xml:space="preserve">      乙方</w:t>
      </w:r>
      <w:r>
        <w:rPr>
          <w:rFonts w:hint="eastAsia" w:ascii="微软雅黑" w:hAnsi="微软雅黑" w:eastAsia="微软雅黑" w:cs="微软雅黑"/>
          <w:color w:val="auto"/>
          <w:sz w:val="24"/>
          <w:highlight w:val="none"/>
          <w:lang w:val="zh-CN"/>
        </w:rPr>
        <w:t>：</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统一社会信用代码：                      统一社会信用代码或身份证号码：</w:t>
      </w:r>
    </w:p>
    <w:p>
      <w:pPr>
        <w:autoSpaceDE w:val="0"/>
        <w:autoSpaceDN w:val="0"/>
        <w:adjustRightInd w:val="0"/>
        <w:spacing w:line="360" w:lineRule="exact"/>
        <w:rPr>
          <w:rFonts w:ascii="微软雅黑" w:hAnsi="微软雅黑" w:eastAsia="微软雅黑" w:cs="微软雅黑"/>
          <w:color w:val="auto"/>
          <w:sz w:val="24"/>
          <w:highlight w:val="none"/>
          <w:lang w:val="zh-CN"/>
        </w:rPr>
      </w:pP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住所：                                   住所：</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法定代表人或                             法定代表人</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授权代表（签字）：                        或授权代表（签字）: </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联系人：                                 联系人：</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约定送达地址：                           约定送达地址：</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邮政编码：                               邮政编码：</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电话:                                    电话: </w:t>
      </w:r>
    </w:p>
    <w:p>
      <w:pPr>
        <w:autoSpaceDE w:val="0"/>
        <w:autoSpaceDN w:val="0"/>
        <w:adjustRightInd w:val="0"/>
        <w:spacing w:line="36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传真:                                    传真:</w:t>
      </w:r>
    </w:p>
    <w:p>
      <w:pPr>
        <w:autoSpaceDE w:val="0"/>
        <w:autoSpaceDN w:val="0"/>
        <w:adjustRightInd w:val="0"/>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zh-CN"/>
        </w:rPr>
        <w:t>电子邮箱：                               电子邮箱：</w:t>
      </w:r>
    </w:p>
    <w:p>
      <w:pPr>
        <w:autoSpaceDE w:val="0"/>
        <w:autoSpaceDN w:val="0"/>
        <w:adjustRightInd w:val="0"/>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开户银行：                               开户银行： </w:t>
      </w:r>
    </w:p>
    <w:p>
      <w:pPr>
        <w:autoSpaceDE w:val="0"/>
        <w:autoSpaceDN w:val="0"/>
        <w:adjustRightInd w:val="0"/>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开户名称：                               开户名称： </w:t>
      </w:r>
    </w:p>
    <w:p>
      <w:pPr>
        <w:autoSpaceDE w:val="0"/>
        <w:autoSpaceDN w:val="0"/>
        <w:adjustRightInd w:val="0"/>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开户账号：</w:t>
      </w:r>
      <w:r>
        <w:rPr>
          <w:rFonts w:hint="eastAsia" w:ascii="微软雅黑" w:hAnsi="微软雅黑" w:eastAsia="微软雅黑" w:cs="微软雅黑"/>
          <w:color w:val="auto"/>
          <w:sz w:val="24"/>
          <w:highlight w:val="none"/>
          <w:lang w:val="zh-CN"/>
        </w:rPr>
        <w:t xml:space="preserve">                               </w:t>
      </w:r>
      <w:r>
        <w:rPr>
          <w:rFonts w:hint="eastAsia" w:ascii="微软雅黑" w:hAnsi="微软雅黑" w:eastAsia="微软雅黑" w:cs="微软雅黑"/>
          <w:color w:val="auto"/>
          <w:sz w:val="24"/>
          <w:highlight w:val="none"/>
        </w:rPr>
        <w:t>开户账号：</w:t>
      </w:r>
    </w:p>
    <w:p>
      <w:pPr>
        <w:widowControl/>
        <w:spacing w:line="360" w:lineRule="exact"/>
        <w:jc w:val="left"/>
        <w:rPr>
          <w:rFonts w:ascii="微软雅黑" w:hAnsi="微软雅黑" w:eastAsia="微软雅黑" w:cs="微软雅黑"/>
          <w:b/>
          <w:bCs/>
          <w:color w:val="auto"/>
          <w:highlight w:val="none"/>
        </w:rPr>
      </w:pPr>
      <w:bookmarkStart w:id="1554" w:name="_Toc331685783"/>
    </w:p>
    <w:p>
      <w:pPr>
        <w:widowControl/>
        <w:spacing w:line="360" w:lineRule="exact"/>
        <w:jc w:val="left"/>
        <w:rPr>
          <w:rFonts w:ascii="微软雅黑" w:hAnsi="微软雅黑" w:eastAsia="微软雅黑" w:cs="微软雅黑"/>
          <w:b/>
          <w:bCs/>
          <w:color w:val="auto"/>
          <w:highlight w:val="none"/>
        </w:rPr>
      </w:pPr>
    </w:p>
    <w:p>
      <w:pPr>
        <w:pStyle w:val="56"/>
        <w:spacing w:line="360" w:lineRule="exact"/>
        <w:ind w:firstLine="200"/>
        <w:jc w:val="center"/>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第二部分 合同一般条款</w:t>
      </w:r>
      <w:bookmarkEnd w:id="1554"/>
    </w:p>
    <w:p>
      <w:pPr>
        <w:spacing w:line="360" w:lineRule="exact"/>
        <w:ind w:firstLine="480" w:firstLineChars="200"/>
        <w:outlineLvl w:val="0"/>
        <w:rPr>
          <w:rFonts w:ascii="微软雅黑" w:hAnsi="微软雅黑" w:eastAsia="微软雅黑" w:cs="微软雅黑"/>
          <w:b/>
          <w:bCs/>
          <w:color w:val="auto"/>
          <w:sz w:val="24"/>
          <w:highlight w:val="none"/>
        </w:rPr>
      </w:pPr>
      <w:bookmarkStart w:id="1555" w:name="_Toc1892"/>
      <w:bookmarkStart w:id="1556" w:name="_Toc9369"/>
      <w:bookmarkStart w:id="1557" w:name="_Toc2854"/>
      <w:bookmarkStart w:id="1558" w:name="_Toc2034"/>
      <w:bookmarkStart w:id="1559" w:name="_Toc28547"/>
      <w:bookmarkStart w:id="1560" w:name="_Toc20709"/>
      <w:bookmarkStart w:id="1561" w:name="_Toc23140"/>
      <w:bookmarkStart w:id="1562" w:name="_Toc28865"/>
      <w:bookmarkStart w:id="1563" w:name="_Toc29659"/>
      <w:bookmarkStart w:id="1564" w:name="_Ref467379214"/>
      <w:bookmarkStart w:id="1565" w:name="_Toc19614"/>
      <w:bookmarkStart w:id="1566" w:name="_Toc20680"/>
      <w:bookmarkStart w:id="1567" w:name="_Toc28763"/>
      <w:bookmarkStart w:id="1568" w:name="_Toc5579"/>
      <w:bookmarkStart w:id="1569" w:name="_Toc487900349"/>
      <w:bookmarkStart w:id="1570" w:name="_Ref467379109"/>
      <w:bookmarkStart w:id="1571" w:name="_Toc14827"/>
      <w:bookmarkStart w:id="1572" w:name="_Toc16917"/>
      <w:bookmarkStart w:id="1573" w:name="_Toc26015"/>
      <w:bookmarkStart w:id="1574" w:name="_Ref467379101"/>
      <w:bookmarkStart w:id="1575" w:name="_Toc26699"/>
      <w:bookmarkStart w:id="1576" w:name="_Toc17718"/>
      <w:bookmarkStart w:id="1577" w:name="_Ref467379205"/>
      <w:bookmarkStart w:id="1578" w:name="_Ref467379094"/>
      <w:bookmarkStart w:id="1579" w:name="_Ref467378463"/>
      <w:bookmarkStart w:id="1580" w:name="_Toc279701240"/>
      <w:bookmarkStart w:id="1581" w:name="_Toc31417"/>
      <w:bookmarkStart w:id="1582" w:name="_Toc259093669"/>
      <w:bookmarkStart w:id="1583" w:name="_Toc13767"/>
      <w:bookmarkStart w:id="1584" w:name="_Toc30479"/>
      <w:bookmarkStart w:id="1585" w:name="_Toc27181"/>
      <w:bookmarkStart w:id="1586" w:name="_Toc510"/>
      <w:bookmarkStart w:id="1587" w:name="_Toc32624"/>
      <w:bookmarkStart w:id="1588" w:name="_Ref467379195"/>
      <w:bookmarkStart w:id="1589" w:name="_Ref467379225"/>
      <w:bookmarkStart w:id="1590" w:name="_Toc26936"/>
      <w:bookmarkStart w:id="1591" w:name="_Toc3091"/>
      <w:bookmarkStart w:id="1592" w:name="_Ref467378499"/>
      <w:bookmarkStart w:id="1593" w:name="_Toc25554"/>
      <w:bookmarkStart w:id="1594" w:name="_Toc26415"/>
      <w:bookmarkStart w:id="1595" w:name="_Ref467378404"/>
      <w:bookmarkStart w:id="1596" w:name="_Toc6673"/>
      <w:r>
        <w:rPr>
          <w:rFonts w:hint="eastAsia" w:ascii="微软雅黑" w:hAnsi="微软雅黑" w:eastAsia="微软雅黑" w:cs="微软雅黑"/>
          <w:b/>
          <w:bCs/>
          <w:color w:val="auto"/>
          <w:sz w:val="24"/>
          <w:highlight w:val="none"/>
        </w:rPr>
        <w:t>2.1 定义</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本合同中的下列词语应按以下内容进行解释：</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 “合同”系指采购人和成交供应商签订的载明双方当事人所达成的协议，并包括所有的附件、附录和构成合同的其他文件。</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2.1.2 “合同价”系指根据合同约定，成交供应商在完全履行合同义务后，采购人应支付给成交供应商的价格。</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 “服务”系指成交供应商根据合同约定应向采购人</w:t>
      </w:r>
      <w:bookmarkStart w:id="1597" w:name="_Ref467378840"/>
      <w:r>
        <w:rPr>
          <w:rFonts w:hint="eastAsia" w:ascii="微软雅黑" w:hAnsi="微软雅黑" w:eastAsia="微软雅黑" w:cs="微软雅黑"/>
          <w:color w:val="auto"/>
          <w:sz w:val="24"/>
          <w:highlight w:val="none"/>
        </w:rPr>
        <w:t>履行的除货物和工程以外的其他政府采购对象，包括采购人自身需要的服务和向社会公众提供的公共服务。</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2.1.4 “甲方”系指与成交供应商签署合同的采购人</w:t>
      </w:r>
      <w:bookmarkEnd w:id="1597"/>
      <w:r>
        <w:rPr>
          <w:rFonts w:hint="eastAsia" w:ascii="微软雅黑" w:hAnsi="微软雅黑" w:eastAsia="微软雅黑" w:cs="微软雅黑"/>
          <w:color w:val="auto"/>
          <w:sz w:val="24"/>
          <w:highlight w:val="none"/>
        </w:rPr>
        <w:t>；采购人委托采购代理机构代表其与乙方签订合同的，采购人的授权委托书作为合同附件。</w:t>
      </w:r>
    </w:p>
    <w:p>
      <w:pPr>
        <w:spacing w:line="360" w:lineRule="exact"/>
        <w:ind w:firstLine="480" w:firstLineChars="200"/>
        <w:rPr>
          <w:rFonts w:ascii="微软雅黑" w:hAnsi="微软雅黑" w:eastAsia="微软雅黑" w:cs="微软雅黑"/>
          <w:color w:val="auto"/>
          <w:sz w:val="24"/>
          <w:highlight w:val="none"/>
        </w:rPr>
      </w:pPr>
      <w:bookmarkStart w:id="1598" w:name="_Ref467379400"/>
      <w:r>
        <w:rPr>
          <w:rFonts w:hint="eastAsia" w:ascii="微软雅黑" w:hAnsi="微软雅黑" w:eastAsia="微软雅黑" w:cs="微软雅黑"/>
          <w:color w:val="auto"/>
          <w:sz w:val="24"/>
          <w:highlight w:val="none"/>
        </w:rPr>
        <w:t>2.1.5 “乙方”系指根据合同约定交付服务的成交供应商</w:t>
      </w:r>
      <w:bookmarkEnd w:id="1598"/>
      <w:r>
        <w:rPr>
          <w:rFonts w:hint="eastAsia" w:ascii="微软雅黑" w:hAnsi="微软雅黑" w:eastAsia="微软雅黑" w:cs="微软雅黑"/>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ascii="微软雅黑" w:hAnsi="微软雅黑" w:eastAsia="微软雅黑" w:cs="微软雅黑"/>
          <w:color w:val="auto"/>
          <w:sz w:val="24"/>
          <w:highlight w:val="none"/>
        </w:rPr>
      </w:pPr>
      <w:bookmarkStart w:id="1599" w:name="_Ref467379436"/>
      <w:r>
        <w:rPr>
          <w:rFonts w:hint="eastAsia" w:ascii="微软雅黑" w:hAnsi="微软雅黑" w:eastAsia="微软雅黑" w:cs="微软雅黑"/>
          <w:color w:val="auto"/>
          <w:sz w:val="24"/>
          <w:highlight w:val="none"/>
        </w:rPr>
        <w:t>2.1.6 “现场”系指合同约定提供服务的地点。</w:t>
      </w:r>
      <w:bookmarkEnd w:id="1599"/>
    </w:p>
    <w:p>
      <w:pPr>
        <w:spacing w:line="360" w:lineRule="exact"/>
        <w:ind w:firstLine="480" w:firstLineChars="200"/>
        <w:outlineLvl w:val="0"/>
        <w:rPr>
          <w:rFonts w:ascii="微软雅黑" w:hAnsi="微软雅黑" w:eastAsia="微软雅黑" w:cs="微软雅黑"/>
          <w:b/>
          <w:bCs/>
          <w:color w:val="auto"/>
          <w:sz w:val="24"/>
          <w:highlight w:val="none"/>
        </w:rPr>
      </w:pPr>
      <w:bookmarkStart w:id="1600" w:name="_Toc25266"/>
      <w:bookmarkStart w:id="1601" w:name="_Toc7048"/>
      <w:bookmarkStart w:id="1602" w:name="_Toc22489"/>
      <w:bookmarkStart w:id="1603" w:name="_Toc7416"/>
      <w:bookmarkStart w:id="1604" w:name="_Toc20605"/>
      <w:bookmarkStart w:id="1605" w:name="_Toc25269"/>
      <w:bookmarkStart w:id="1606" w:name="_Toc24523"/>
      <w:bookmarkStart w:id="1607" w:name="_Toc1221"/>
      <w:bookmarkStart w:id="1608" w:name="_Toc5592"/>
      <w:bookmarkStart w:id="1609" w:name="_Toc17151"/>
      <w:bookmarkStart w:id="1610" w:name="_Toc15953"/>
      <w:bookmarkStart w:id="1611" w:name="_Toc5301"/>
      <w:bookmarkStart w:id="1612" w:name="_Toc26076"/>
      <w:bookmarkStart w:id="1613" w:name="_Toc1447"/>
      <w:bookmarkStart w:id="1614" w:name="_Toc3949"/>
      <w:bookmarkStart w:id="1615" w:name="_Toc13336"/>
      <w:bookmarkStart w:id="1616" w:name="_Toc279701241"/>
      <w:bookmarkStart w:id="1617" w:name="_Toc418"/>
      <w:bookmarkStart w:id="1618" w:name="_Toc22122"/>
      <w:bookmarkStart w:id="1619" w:name="_Toc17871"/>
      <w:bookmarkStart w:id="1620" w:name="_Toc18600"/>
      <w:bookmarkStart w:id="1621" w:name="_Toc259093670"/>
      <w:bookmarkStart w:id="1622" w:name="_Toc24792"/>
      <w:bookmarkStart w:id="1623" w:name="_Toc487900350"/>
      <w:bookmarkStart w:id="1624" w:name="_Toc11142"/>
      <w:bookmarkStart w:id="1625" w:name="_Toc3193"/>
      <w:bookmarkStart w:id="1626" w:name="_Toc27635"/>
      <w:bookmarkStart w:id="1627" w:name="_Toc32504"/>
      <w:bookmarkStart w:id="1628" w:name="_Toc23689"/>
      <w:bookmarkStart w:id="1629" w:name="_Toc1183"/>
      <w:bookmarkStart w:id="1630" w:name="_Toc12538"/>
      <w:bookmarkStart w:id="1631" w:name="_Toc22769"/>
      <w:r>
        <w:rPr>
          <w:rFonts w:hint="eastAsia" w:ascii="微软雅黑" w:hAnsi="微软雅黑" w:eastAsia="微软雅黑" w:cs="微软雅黑"/>
          <w:b/>
          <w:bCs/>
          <w:color w:val="auto"/>
          <w:sz w:val="24"/>
          <w:highlight w:val="none"/>
        </w:rPr>
        <w:t>2.2 技术规范</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0" w:firstLineChars="200"/>
        <w:outlineLvl w:val="0"/>
        <w:rPr>
          <w:rFonts w:ascii="微软雅黑" w:hAnsi="微软雅黑" w:eastAsia="微软雅黑" w:cs="微软雅黑"/>
          <w:b/>
          <w:bCs/>
          <w:color w:val="auto"/>
          <w:sz w:val="24"/>
          <w:highlight w:val="none"/>
        </w:rPr>
      </w:pPr>
      <w:bookmarkStart w:id="1632" w:name="_Toc14632"/>
      <w:bookmarkStart w:id="1633" w:name="_Toc15733"/>
      <w:bookmarkStart w:id="1634" w:name="_Toc17386"/>
      <w:bookmarkStart w:id="1635" w:name="_Toc31634"/>
      <w:bookmarkStart w:id="1636" w:name="_Toc32048"/>
      <w:bookmarkStart w:id="1637" w:name="_Toc259093671"/>
      <w:bookmarkStart w:id="1638" w:name="_Toc6835"/>
      <w:bookmarkStart w:id="1639" w:name="_Toc6121"/>
      <w:bookmarkStart w:id="1640" w:name="_Toc4029"/>
      <w:bookmarkStart w:id="1641" w:name="_Toc24711"/>
      <w:bookmarkStart w:id="1642" w:name="_Toc27853"/>
      <w:bookmarkStart w:id="1643" w:name="_Toc9829"/>
      <w:bookmarkStart w:id="1644" w:name="_Toc28662"/>
      <w:bookmarkStart w:id="1645" w:name="_Toc4916"/>
      <w:bookmarkStart w:id="1646" w:name="_Toc24537"/>
      <w:bookmarkStart w:id="1647" w:name="_Toc20130"/>
      <w:bookmarkStart w:id="1648" w:name="_Toc279701242"/>
      <w:bookmarkStart w:id="1649" w:name="_Toc975"/>
      <w:bookmarkStart w:id="1650" w:name="_Toc23791"/>
      <w:bookmarkStart w:id="1651" w:name="_Toc17045"/>
      <w:bookmarkStart w:id="1652" w:name="_Toc487900351"/>
      <w:bookmarkStart w:id="1653" w:name="_Toc23649"/>
      <w:bookmarkStart w:id="1654" w:name="_Toc3854"/>
      <w:bookmarkStart w:id="1655" w:name="_Toc4563"/>
      <w:bookmarkStart w:id="1656" w:name="_Toc21449"/>
      <w:bookmarkStart w:id="1657" w:name="_Toc32457"/>
      <w:bookmarkStart w:id="1658" w:name="_Toc29313"/>
      <w:bookmarkStart w:id="1659" w:name="_Toc15564"/>
      <w:bookmarkStart w:id="1660" w:name="_Toc30700"/>
      <w:bookmarkStart w:id="1661" w:name="_Toc7722"/>
      <w:bookmarkStart w:id="1662" w:name="_Toc12655"/>
      <w:bookmarkStart w:id="1663" w:name="_Toc28946"/>
      <w:bookmarkStart w:id="1664" w:name="_Toc30552"/>
      <w:bookmarkStart w:id="1665" w:name="_Toc10461"/>
      <w:r>
        <w:rPr>
          <w:rFonts w:hint="eastAsia" w:ascii="微软雅黑" w:hAnsi="微软雅黑" w:eastAsia="微软雅黑" w:cs="微软雅黑"/>
          <w:b/>
          <w:bCs/>
          <w:color w:val="auto"/>
          <w:sz w:val="24"/>
          <w:highlight w:val="none"/>
        </w:rPr>
        <w:t>2.3 知识产权</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2.3.2合同涉及技术成果的归属和收益的，详见</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w:t>
      </w:r>
    </w:p>
    <w:p>
      <w:pPr>
        <w:spacing w:line="360" w:lineRule="exact"/>
        <w:ind w:firstLine="480" w:firstLineChars="200"/>
        <w:outlineLvl w:val="0"/>
        <w:rPr>
          <w:rFonts w:ascii="微软雅黑" w:hAnsi="微软雅黑" w:eastAsia="微软雅黑" w:cs="微软雅黑"/>
          <w:b/>
          <w:bCs/>
          <w:color w:val="auto"/>
          <w:sz w:val="24"/>
          <w:highlight w:val="none"/>
        </w:rPr>
      </w:pPr>
      <w:bookmarkStart w:id="1666" w:name="_Ref467379527"/>
      <w:bookmarkStart w:id="1667" w:name="_Toc487900354"/>
      <w:bookmarkStart w:id="1668" w:name="_Ref467378541"/>
      <w:bookmarkStart w:id="1669" w:name="_Ref467378591"/>
      <w:bookmarkStart w:id="1670" w:name="_Ref467379536"/>
      <w:bookmarkStart w:id="1671" w:name="_Toc279701245"/>
      <w:bookmarkStart w:id="1672" w:name="_Toc259093674"/>
      <w:bookmarkStart w:id="1673" w:name="_Ref467379542"/>
      <w:bookmarkStart w:id="1674" w:name="_Toc4831"/>
      <w:bookmarkStart w:id="1675" w:name="_Toc31437"/>
      <w:bookmarkStart w:id="1676" w:name="_Toc5927"/>
      <w:bookmarkStart w:id="1677" w:name="_Toc7355"/>
      <w:bookmarkStart w:id="1678" w:name="_Toc24299"/>
      <w:bookmarkStart w:id="1679" w:name="_Toc2815"/>
      <w:bookmarkStart w:id="1680" w:name="_Toc7299"/>
      <w:bookmarkStart w:id="1681" w:name="_Toc30516"/>
      <w:bookmarkStart w:id="1682" w:name="_Toc18515"/>
      <w:bookmarkStart w:id="1683" w:name="_Toc14100"/>
      <w:bookmarkStart w:id="1684" w:name="_Toc14579"/>
      <w:bookmarkStart w:id="1685" w:name="_Toc7230"/>
      <w:bookmarkStart w:id="1686" w:name="_Toc15512"/>
      <w:bookmarkStart w:id="1687" w:name="_Toc30272"/>
      <w:bookmarkStart w:id="1688" w:name="_Toc6070"/>
      <w:bookmarkStart w:id="1689" w:name="_Toc1929"/>
      <w:bookmarkStart w:id="1690" w:name="_Toc28920"/>
      <w:bookmarkStart w:id="1691" w:name="_Toc18307"/>
      <w:bookmarkStart w:id="1692" w:name="_Toc17088"/>
      <w:bookmarkStart w:id="1693" w:name="_Toc17957"/>
      <w:bookmarkStart w:id="1694" w:name="_Toc24935"/>
      <w:bookmarkStart w:id="1695" w:name="_Toc10209"/>
      <w:bookmarkStart w:id="1696" w:name="_Toc28937"/>
      <w:bookmarkStart w:id="1697" w:name="_Toc21410"/>
      <w:bookmarkStart w:id="1698" w:name="_Toc1580"/>
      <w:bookmarkStart w:id="1699" w:name="_Toc28324"/>
      <w:bookmarkStart w:id="1700" w:name="_Toc19074"/>
      <w:bookmarkStart w:id="1701" w:name="_Toc21198"/>
      <w:bookmarkStart w:id="1702" w:name="_Toc12428"/>
      <w:bookmarkStart w:id="1703" w:name="_Toc26182"/>
      <w:bookmarkStart w:id="1704" w:name="_Toc20160"/>
      <w:r>
        <w:rPr>
          <w:rFonts w:hint="eastAsia" w:ascii="微软雅黑" w:hAnsi="微软雅黑" w:eastAsia="微软雅黑" w:cs="微软雅黑"/>
          <w:b/>
          <w:bCs/>
          <w:color w:val="auto"/>
          <w:sz w:val="24"/>
          <w:highlight w:val="none"/>
        </w:rPr>
        <w:t>2.</w:t>
      </w:r>
      <w:bookmarkEnd w:id="1666"/>
      <w:bookmarkEnd w:id="1667"/>
      <w:bookmarkEnd w:id="1668"/>
      <w:bookmarkEnd w:id="1669"/>
      <w:bookmarkEnd w:id="1670"/>
      <w:bookmarkEnd w:id="1671"/>
      <w:bookmarkEnd w:id="1672"/>
      <w:bookmarkEnd w:id="1673"/>
      <w:r>
        <w:rPr>
          <w:rFonts w:hint="eastAsia" w:ascii="微软雅黑" w:hAnsi="微软雅黑" w:eastAsia="微软雅黑" w:cs="微软雅黑"/>
          <w:b/>
          <w:bCs/>
          <w:color w:val="auto"/>
          <w:sz w:val="24"/>
          <w:highlight w:val="none"/>
        </w:rPr>
        <w:t>4 履约检查和问题反馈</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spacing w:line="360" w:lineRule="exact"/>
        <w:ind w:firstLine="480" w:firstLineChars="200"/>
        <w:rPr>
          <w:rFonts w:ascii="微软雅黑" w:hAnsi="微软雅黑" w:eastAsia="微软雅黑" w:cs="微软雅黑"/>
          <w:color w:val="auto"/>
          <w:sz w:val="24"/>
          <w:highlight w:val="none"/>
        </w:rPr>
      </w:pPr>
      <w:bookmarkStart w:id="1705" w:name="_Ref467379657"/>
      <w:r>
        <w:rPr>
          <w:rFonts w:hint="eastAsia" w:ascii="微软雅黑" w:hAnsi="微软雅黑" w:eastAsia="微软雅黑" w:cs="微软雅黑"/>
          <w:color w:val="auto"/>
          <w:sz w:val="24"/>
          <w:highlight w:val="none"/>
        </w:rPr>
        <w:t>2.4.1</w:t>
      </w:r>
      <w:bookmarkEnd w:id="1705"/>
      <w:bookmarkStart w:id="1706" w:name="_Toc186431854"/>
      <w:bookmarkStart w:id="1707" w:name="_Toc487900357"/>
      <w:bookmarkStart w:id="1708" w:name="_Ref467379793"/>
      <w:bookmarkStart w:id="1709" w:name="_Toc279701247"/>
      <w:bookmarkStart w:id="1710" w:name="_Ref467379807"/>
      <w:bookmarkStart w:id="1711" w:name="_Toc259093676"/>
      <w:r>
        <w:rPr>
          <w:rFonts w:hint="eastAsia" w:ascii="微软雅黑" w:hAnsi="微软雅黑" w:eastAsia="微软雅黑" w:cs="微软雅黑"/>
          <w:color w:val="auto"/>
          <w:sz w:val="24"/>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2.4.2 合同履行期间，甲方有权将履行过程中出现的问题反馈给乙方，双方当事人应以书面形式约定需要完善和改进的内容</w:t>
      </w:r>
      <w:bookmarkEnd w:id="1706"/>
      <w:bookmarkStart w:id="1712" w:name="_Toc186431855"/>
      <w:r>
        <w:rPr>
          <w:rFonts w:hint="eastAsia" w:ascii="微软雅黑" w:hAnsi="微软雅黑" w:eastAsia="微软雅黑" w:cs="微软雅黑"/>
          <w:color w:val="auto"/>
          <w:sz w:val="24"/>
          <w:highlight w:val="none"/>
        </w:rPr>
        <w:t>。</w:t>
      </w:r>
    </w:p>
    <w:bookmarkEnd w:id="1712"/>
    <w:p>
      <w:pPr>
        <w:spacing w:line="360" w:lineRule="exact"/>
        <w:ind w:firstLine="480" w:firstLineChars="200"/>
        <w:outlineLvl w:val="0"/>
        <w:rPr>
          <w:rFonts w:ascii="微软雅黑" w:hAnsi="微软雅黑" w:eastAsia="微软雅黑" w:cs="微软雅黑"/>
          <w:b/>
          <w:bCs/>
          <w:color w:val="auto"/>
          <w:sz w:val="24"/>
          <w:highlight w:val="none"/>
        </w:rPr>
      </w:pPr>
      <w:bookmarkStart w:id="1713" w:name="_Toc582"/>
      <w:bookmarkStart w:id="1714" w:name="_Toc26245"/>
      <w:bookmarkStart w:id="1715" w:name="_Toc29825"/>
      <w:bookmarkStart w:id="1716" w:name="_Toc2067"/>
      <w:bookmarkStart w:id="1717" w:name="_Toc17283"/>
      <w:bookmarkStart w:id="1718" w:name="_Toc31520"/>
      <w:bookmarkStart w:id="1719" w:name="_Toc12377"/>
      <w:bookmarkStart w:id="1720" w:name="_Toc12360"/>
      <w:bookmarkStart w:id="1721" w:name="_Toc28451"/>
      <w:bookmarkStart w:id="1722" w:name="_Toc19219"/>
      <w:bookmarkStart w:id="1723" w:name="_Toc7464"/>
      <w:bookmarkStart w:id="1724" w:name="_Toc15854"/>
      <w:bookmarkStart w:id="1725" w:name="_Toc234"/>
      <w:bookmarkStart w:id="1726" w:name="_Toc9092"/>
      <w:bookmarkStart w:id="1727" w:name="_Toc24765"/>
      <w:bookmarkStart w:id="1728" w:name="_Toc26298"/>
      <w:bookmarkStart w:id="1729" w:name="_Toc5304"/>
      <w:bookmarkStart w:id="1730" w:name="_Toc4406"/>
      <w:bookmarkStart w:id="1731" w:name="_Toc5363"/>
      <w:bookmarkStart w:id="1732" w:name="_Toc31661"/>
      <w:bookmarkStart w:id="1733" w:name="_Toc22499"/>
      <w:bookmarkStart w:id="1734" w:name="_Toc11522"/>
      <w:bookmarkStart w:id="1735" w:name="_Toc22841"/>
      <w:bookmarkStart w:id="1736" w:name="_Toc7836"/>
      <w:bookmarkStart w:id="1737" w:name="_Toc10980"/>
      <w:bookmarkStart w:id="1738" w:name="_Toc32743"/>
      <w:bookmarkStart w:id="1739" w:name="_Toc26232"/>
      <w:bookmarkStart w:id="1740" w:name="_Toc14429"/>
      <w:bookmarkStart w:id="1741" w:name="_Toc23261"/>
      <w:r>
        <w:rPr>
          <w:rFonts w:hint="eastAsia" w:ascii="微软雅黑" w:hAnsi="微软雅黑" w:eastAsia="微软雅黑" w:cs="微软雅黑"/>
          <w:b/>
          <w:bCs/>
          <w:color w:val="auto"/>
          <w:sz w:val="24"/>
          <w:highlight w:val="none"/>
        </w:rPr>
        <w:t>2.5 结算方式和付款条件</w:t>
      </w:r>
      <w:bookmarkEnd w:id="1707"/>
      <w:bookmarkEnd w:id="1708"/>
      <w:bookmarkEnd w:id="1709"/>
      <w:bookmarkEnd w:id="1710"/>
      <w:bookmarkEnd w:id="1711"/>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详见</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w:t>
      </w:r>
    </w:p>
    <w:p>
      <w:pPr>
        <w:spacing w:line="360" w:lineRule="exact"/>
        <w:ind w:firstLine="480" w:firstLineChars="200"/>
        <w:outlineLvl w:val="0"/>
        <w:rPr>
          <w:rFonts w:ascii="微软雅黑" w:hAnsi="微软雅黑" w:eastAsia="微软雅黑" w:cs="微软雅黑"/>
          <w:b/>
          <w:bCs/>
          <w:color w:val="auto"/>
          <w:sz w:val="24"/>
          <w:highlight w:val="none"/>
        </w:rPr>
      </w:pPr>
      <w:bookmarkStart w:id="1742" w:name="_Ref467379852"/>
      <w:bookmarkStart w:id="1743" w:name="_Toc487900358"/>
      <w:bookmarkStart w:id="1744" w:name="_Ref467379863"/>
      <w:bookmarkStart w:id="1745" w:name="_Ref467379923"/>
      <w:bookmarkStart w:id="1746" w:name="_Toc259093677"/>
      <w:bookmarkStart w:id="1747" w:name="_Toc279701248"/>
      <w:bookmarkStart w:id="1748" w:name="_Toc13023"/>
      <w:bookmarkStart w:id="1749" w:name="_Toc22619"/>
      <w:bookmarkStart w:id="1750" w:name="_Toc29256"/>
      <w:bookmarkStart w:id="1751" w:name="_Toc16110"/>
      <w:bookmarkStart w:id="1752" w:name="_Toc6635"/>
      <w:bookmarkStart w:id="1753" w:name="_Toc29616"/>
      <w:bookmarkStart w:id="1754" w:name="_Toc356"/>
      <w:bookmarkStart w:id="1755" w:name="_Toc10114"/>
      <w:bookmarkStart w:id="1756" w:name="_Toc16062"/>
      <w:bookmarkStart w:id="1757" w:name="_Toc31305"/>
      <w:bookmarkStart w:id="1758" w:name="_Toc28781"/>
      <w:bookmarkStart w:id="1759" w:name="_Toc3225"/>
      <w:bookmarkStart w:id="1760" w:name="_Toc25277"/>
      <w:bookmarkStart w:id="1761" w:name="_Toc1200"/>
      <w:bookmarkStart w:id="1762" w:name="_Toc24083"/>
      <w:bookmarkStart w:id="1763" w:name="_Toc1861"/>
      <w:bookmarkStart w:id="1764" w:name="_Toc29030"/>
      <w:bookmarkStart w:id="1765" w:name="_Toc17607"/>
      <w:bookmarkStart w:id="1766" w:name="_Toc17051"/>
      <w:bookmarkStart w:id="1767" w:name="_Toc15491"/>
      <w:bookmarkStart w:id="1768" w:name="_Toc14432"/>
      <w:bookmarkStart w:id="1769" w:name="_Toc9845"/>
      <w:bookmarkStart w:id="1770" w:name="_Toc17136"/>
      <w:bookmarkStart w:id="1771" w:name="_Toc17145"/>
      <w:bookmarkStart w:id="1772" w:name="_Toc774"/>
      <w:bookmarkStart w:id="1773" w:name="_Toc11615"/>
      <w:bookmarkStart w:id="1774" w:name="_Toc31971"/>
      <w:bookmarkStart w:id="1775" w:name="_Toc18851"/>
      <w:r>
        <w:rPr>
          <w:rFonts w:hint="eastAsia" w:ascii="微软雅黑" w:hAnsi="微软雅黑" w:eastAsia="微软雅黑" w:cs="微软雅黑"/>
          <w:b/>
          <w:bCs/>
          <w:color w:val="auto"/>
          <w:sz w:val="24"/>
          <w:highlight w:val="none"/>
        </w:rPr>
        <w:t>2.6 技术资料</w:t>
      </w:r>
      <w:bookmarkEnd w:id="1742"/>
      <w:bookmarkEnd w:id="1743"/>
      <w:bookmarkEnd w:id="1744"/>
      <w:bookmarkEnd w:id="1745"/>
      <w:bookmarkEnd w:id="1746"/>
      <w:bookmarkEnd w:id="1747"/>
      <w:r>
        <w:rPr>
          <w:rFonts w:hint="eastAsia" w:ascii="微软雅黑" w:hAnsi="微软雅黑" w:eastAsia="微软雅黑" w:cs="微软雅黑"/>
          <w:b/>
          <w:bCs/>
          <w:color w:val="auto"/>
          <w:sz w:val="24"/>
          <w:highlight w:val="none"/>
        </w:rPr>
        <w:t>和保密义务</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2.6.1 乙方有权依据合同约定和项目需要，向甲方了解有关情况，调阅有关资料等，甲方应予积极配合；</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2.6.2 乙方有义务妥善保管和保护由甲方提供的前款信息和资料等；</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0" w:firstLineChars="200"/>
        <w:outlineLvl w:val="0"/>
        <w:rPr>
          <w:rFonts w:ascii="微软雅黑" w:hAnsi="微软雅黑" w:eastAsia="微软雅黑" w:cs="微软雅黑"/>
          <w:b/>
          <w:bCs/>
          <w:color w:val="auto"/>
          <w:sz w:val="24"/>
          <w:highlight w:val="none"/>
        </w:rPr>
      </w:pPr>
      <w:bookmarkStart w:id="1776" w:name="_Toc3156"/>
      <w:bookmarkStart w:id="1777" w:name="_Toc30477"/>
      <w:bookmarkStart w:id="1778" w:name="_Toc10326"/>
      <w:bookmarkStart w:id="1779" w:name="_Toc122"/>
      <w:bookmarkStart w:id="1780" w:name="_Toc29635"/>
      <w:bookmarkStart w:id="1781" w:name="_Toc23081"/>
      <w:bookmarkStart w:id="1782" w:name="_Toc16190"/>
      <w:bookmarkStart w:id="1783" w:name="_Toc11530"/>
      <w:bookmarkStart w:id="1784" w:name="_Toc2899"/>
      <w:bookmarkStart w:id="1785" w:name="_Toc28380"/>
      <w:bookmarkStart w:id="1786" w:name="_Toc10181"/>
      <w:bookmarkStart w:id="1787" w:name="_Toc30503"/>
      <w:bookmarkStart w:id="1788" w:name="_Toc23723"/>
      <w:bookmarkStart w:id="1789" w:name="_Toc27453"/>
      <w:bookmarkStart w:id="1790" w:name="_Toc18165"/>
      <w:bookmarkStart w:id="1791" w:name="_Toc14438"/>
      <w:bookmarkStart w:id="1792" w:name="_Toc15375"/>
      <w:bookmarkStart w:id="1793" w:name="_Toc26425"/>
      <w:bookmarkStart w:id="1794" w:name="_Toc18231"/>
      <w:bookmarkStart w:id="1795" w:name="_Toc31678"/>
      <w:bookmarkStart w:id="1796" w:name="_Toc7860"/>
      <w:bookmarkStart w:id="1797" w:name="_Toc5200"/>
      <w:bookmarkStart w:id="1798" w:name="_Toc18551"/>
      <w:bookmarkStart w:id="1799" w:name="_Toc21267"/>
      <w:bookmarkStart w:id="1800" w:name="_Toc25676"/>
      <w:bookmarkStart w:id="1801" w:name="_Toc4779"/>
      <w:bookmarkStart w:id="1802" w:name="_Toc30167"/>
      <w:bookmarkStart w:id="1803" w:name="_Toc11328"/>
      <w:bookmarkStart w:id="1804" w:name="_Toc8288"/>
      <w:r>
        <w:rPr>
          <w:rFonts w:hint="eastAsia" w:ascii="微软雅黑" w:hAnsi="微软雅黑" w:eastAsia="微软雅黑" w:cs="微软雅黑"/>
          <w:b/>
          <w:bCs/>
          <w:color w:val="auto"/>
          <w:sz w:val="24"/>
          <w:highlight w:val="none"/>
        </w:rPr>
        <w:t>2.7质量保证</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2.7.1 乙方应建立和完善履行合同的内部质量保证体系，并提供相关内部规章制度给甲方，以便甲方进行监督检查；</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2.7.2 乙方应保证履行合同的人员数量和素质、软件和硬件设备的配置、场地、环境和设施等满足全面履行合同的要求，并应接受甲方的监督检查。</w:t>
      </w:r>
    </w:p>
    <w:p>
      <w:pPr>
        <w:spacing w:line="360" w:lineRule="exact"/>
        <w:ind w:firstLine="480" w:firstLineChars="200"/>
        <w:outlineLvl w:val="0"/>
        <w:rPr>
          <w:rFonts w:ascii="微软雅黑" w:hAnsi="微软雅黑" w:eastAsia="微软雅黑" w:cs="微软雅黑"/>
          <w:b/>
          <w:bCs/>
          <w:color w:val="auto"/>
          <w:sz w:val="24"/>
          <w:highlight w:val="none"/>
        </w:rPr>
      </w:pPr>
      <w:bookmarkStart w:id="1805" w:name="_Toc279701252"/>
      <w:bookmarkStart w:id="1806" w:name="_Toc15112"/>
      <w:bookmarkStart w:id="1807" w:name="_Toc21328"/>
      <w:bookmarkStart w:id="1808" w:name="_Toc20938"/>
      <w:bookmarkStart w:id="1809" w:name="_Toc6602"/>
      <w:bookmarkStart w:id="1810" w:name="_Toc13248"/>
      <w:bookmarkStart w:id="1811" w:name="_Toc487900362"/>
      <w:bookmarkStart w:id="1812" w:name="_Toc26567"/>
      <w:bookmarkStart w:id="1813" w:name="_Toc24456"/>
      <w:bookmarkStart w:id="1814" w:name="_Toc14055"/>
      <w:bookmarkStart w:id="1815" w:name="_Toc31822"/>
      <w:bookmarkStart w:id="1816" w:name="_Toc7986"/>
      <w:bookmarkStart w:id="1817" w:name="_Toc1299"/>
      <w:bookmarkStart w:id="1818" w:name="_Toc28242"/>
      <w:bookmarkStart w:id="1819" w:name="_Toc11963"/>
      <w:bookmarkStart w:id="1820" w:name="_Toc29192"/>
      <w:bookmarkStart w:id="1821" w:name="_Toc15465"/>
      <w:bookmarkStart w:id="1822" w:name="_Toc259093681"/>
      <w:bookmarkStart w:id="1823" w:name="_Toc14698"/>
      <w:bookmarkStart w:id="1824" w:name="_Toc2"/>
      <w:bookmarkStart w:id="1825" w:name="_Toc21262"/>
      <w:bookmarkStart w:id="1826" w:name="_Toc25663"/>
      <w:bookmarkStart w:id="1827" w:name="_Toc30866"/>
      <w:bookmarkStart w:id="1828" w:name="_Toc19684"/>
      <w:bookmarkStart w:id="1829" w:name="_Toc15972"/>
      <w:bookmarkStart w:id="1830" w:name="_Toc5196"/>
      <w:bookmarkStart w:id="1831" w:name="_Toc20457"/>
      <w:bookmarkStart w:id="1832" w:name="_Toc16001"/>
      <w:bookmarkStart w:id="1833" w:name="_Toc7803"/>
      <w:r>
        <w:rPr>
          <w:rFonts w:hint="eastAsia" w:ascii="微软雅黑" w:hAnsi="微软雅黑" w:eastAsia="微软雅黑" w:cs="微软雅黑"/>
          <w:b/>
          <w:bCs/>
          <w:color w:val="auto"/>
          <w:sz w:val="24"/>
          <w:highlight w:val="none"/>
        </w:rPr>
        <w:t>2.8 延迟交货</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交货的具体时间。</w:t>
      </w:r>
    </w:p>
    <w:p>
      <w:pPr>
        <w:spacing w:line="360" w:lineRule="exact"/>
        <w:ind w:firstLine="480" w:firstLineChars="200"/>
        <w:outlineLvl w:val="0"/>
        <w:rPr>
          <w:rFonts w:ascii="微软雅黑" w:hAnsi="微软雅黑" w:eastAsia="微软雅黑" w:cs="微软雅黑"/>
          <w:b/>
          <w:bCs/>
          <w:color w:val="auto"/>
          <w:sz w:val="24"/>
          <w:highlight w:val="none"/>
        </w:rPr>
      </w:pPr>
      <w:bookmarkStart w:id="1834" w:name="_Toc17237"/>
      <w:bookmarkStart w:id="1835" w:name="_Toc507"/>
      <w:bookmarkStart w:id="1836" w:name="_Toc11716"/>
      <w:bookmarkStart w:id="1837" w:name="_Toc18301"/>
      <w:bookmarkStart w:id="1838" w:name="_Toc3064"/>
      <w:bookmarkStart w:id="1839" w:name="_Toc25717"/>
      <w:bookmarkStart w:id="1840" w:name="_Toc18704"/>
      <w:bookmarkStart w:id="1841" w:name="_Toc4667"/>
      <w:bookmarkStart w:id="1842" w:name="_Toc16528"/>
      <w:bookmarkStart w:id="1843" w:name="_Toc16810"/>
      <w:bookmarkStart w:id="1844" w:name="_Toc7502"/>
      <w:bookmarkStart w:id="1845" w:name="_Toc22167"/>
      <w:bookmarkStart w:id="1846" w:name="_Toc9706"/>
      <w:bookmarkStart w:id="1847" w:name="_Toc7444"/>
      <w:bookmarkStart w:id="1848" w:name="_Toc10956"/>
      <w:bookmarkStart w:id="1849" w:name="_Toc9632"/>
      <w:bookmarkStart w:id="1850" w:name="_Toc23198"/>
      <w:bookmarkStart w:id="1851" w:name="_Toc14851"/>
      <w:bookmarkStart w:id="1852" w:name="_Toc8126"/>
      <w:bookmarkStart w:id="1853" w:name="_Toc5912"/>
      <w:bookmarkStart w:id="1854" w:name="_Toc8441"/>
      <w:bookmarkStart w:id="1855" w:name="_Toc20524"/>
      <w:bookmarkStart w:id="1856" w:name="_Toc29075"/>
      <w:bookmarkStart w:id="1857" w:name="_Toc3765"/>
      <w:bookmarkStart w:id="1858" w:name="_Toc31403"/>
      <w:bookmarkStart w:id="1859" w:name="_Toc4332"/>
      <w:bookmarkStart w:id="1860" w:name="_Toc12175"/>
      <w:bookmarkStart w:id="1861" w:name="_Toc15143"/>
      <w:bookmarkStart w:id="1862" w:name="_Toc487900364"/>
      <w:bookmarkStart w:id="1863" w:name="_Toc279701254"/>
      <w:bookmarkStart w:id="1864" w:name="_Toc259093683"/>
      <w:bookmarkStart w:id="1865" w:name="_Ref467378121"/>
      <w:r>
        <w:rPr>
          <w:rFonts w:hint="eastAsia" w:ascii="微软雅黑" w:hAnsi="微软雅黑" w:eastAsia="微软雅黑" w:cs="微软雅黑"/>
          <w:b/>
          <w:bCs/>
          <w:color w:val="auto"/>
          <w:sz w:val="24"/>
          <w:highlight w:val="none"/>
        </w:rPr>
        <w:t>2.9 合同变更</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spacing w:line="4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2.9.1双方当事人协商一致，可以签订书面补充合同的形式变更合同，但不得违背采购文件确定的事项，且如果系追加与合同标的相同的服务的，那么所有补充合同的采购金额不得超过原合同价的10%；</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2.9.2 合同继续履行将损害国家利益和社会公共利益的，双方当事人应当以书面形式变更合同。有过错的一方应当承担赔偿责任，双方当事人都有过错的，各自承担相应的责任。</w:t>
      </w:r>
      <w:bookmarkStart w:id="1866" w:name="_Toc259093688"/>
      <w:bookmarkStart w:id="1867" w:name="_Toc487900369"/>
      <w:bookmarkStart w:id="1868" w:name="_Toc279701259"/>
    </w:p>
    <w:p>
      <w:pPr>
        <w:spacing w:line="360" w:lineRule="exact"/>
        <w:ind w:firstLine="480" w:firstLineChars="200"/>
        <w:outlineLvl w:val="0"/>
        <w:rPr>
          <w:rFonts w:ascii="微软雅黑" w:hAnsi="微软雅黑" w:eastAsia="微软雅黑" w:cs="微软雅黑"/>
          <w:b/>
          <w:bCs/>
          <w:color w:val="auto"/>
          <w:sz w:val="24"/>
          <w:highlight w:val="none"/>
        </w:rPr>
      </w:pPr>
      <w:bookmarkStart w:id="1869" w:name="_Toc3928"/>
      <w:bookmarkStart w:id="1870" w:name="_Toc17872"/>
      <w:bookmarkStart w:id="1871" w:name="_Toc19380"/>
      <w:bookmarkStart w:id="1872" w:name="_Toc8679"/>
      <w:bookmarkStart w:id="1873" w:name="_Toc24780"/>
      <w:bookmarkStart w:id="1874" w:name="_Toc14895"/>
      <w:bookmarkStart w:id="1875" w:name="_Toc32309"/>
      <w:bookmarkStart w:id="1876" w:name="_Toc24511"/>
      <w:bookmarkStart w:id="1877" w:name="_Toc27772"/>
      <w:bookmarkStart w:id="1878" w:name="_Toc2157"/>
      <w:bookmarkStart w:id="1879" w:name="_Toc3825"/>
      <w:bookmarkStart w:id="1880" w:name="_Toc7781"/>
      <w:bookmarkStart w:id="1881" w:name="_Toc23079"/>
      <w:bookmarkStart w:id="1882" w:name="_Toc30240"/>
      <w:bookmarkStart w:id="1883" w:name="_Toc26870"/>
      <w:bookmarkStart w:id="1884" w:name="_Toc25193"/>
      <w:bookmarkStart w:id="1885" w:name="_Toc26224"/>
      <w:bookmarkStart w:id="1886" w:name="_Toc10366"/>
      <w:bookmarkStart w:id="1887" w:name="_Toc26864"/>
      <w:bookmarkStart w:id="1888" w:name="_Toc3931"/>
      <w:bookmarkStart w:id="1889" w:name="_Toc10195"/>
      <w:bookmarkStart w:id="1890" w:name="_Toc27823"/>
      <w:bookmarkStart w:id="1891" w:name="_Toc10537"/>
      <w:bookmarkStart w:id="1892" w:name="_Toc22955"/>
      <w:bookmarkStart w:id="1893" w:name="_Toc32581"/>
      <w:bookmarkStart w:id="1894" w:name="_Toc11626"/>
      <w:bookmarkStart w:id="1895" w:name="_Toc15237"/>
      <w:bookmarkStart w:id="1896" w:name="_Toc12915"/>
      <w:bookmarkStart w:id="1897" w:name="_Toc21753"/>
      <w:bookmarkStart w:id="1898" w:name="_Toc25508"/>
      <w:r>
        <w:rPr>
          <w:rFonts w:hint="eastAsia" w:ascii="微软雅黑" w:hAnsi="微软雅黑" w:eastAsia="微软雅黑" w:cs="微软雅黑"/>
          <w:b/>
          <w:bCs/>
          <w:color w:val="auto"/>
          <w:sz w:val="24"/>
          <w:highlight w:val="none"/>
        </w:rPr>
        <w:t>2.10 合同转让</w:t>
      </w:r>
      <w:bookmarkEnd w:id="1866"/>
      <w:bookmarkEnd w:id="1867"/>
      <w:bookmarkEnd w:id="1868"/>
      <w:r>
        <w:rPr>
          <w:rFonts w:hint="eastAsia" w:ascii="微软雅黑" w:hAnsi="微软雅黑" w:eastAsia="微软雅黑" w:cs="微软雅黑"/>
          <w:b/>
          <w:bCs/>
          <w:color w:val="auto"/>
          <w:sz w:val="24"/>
          <w:highlight w:val="none"/>
        </w:rPr>
        <w:t>和分包</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0" w:firstLineChars="200"/>
        <w:outlineLvl w:val="0"/>
        <w:rPr>
          <w:rFonts w:ascii="微软雅黑" w:hAnsi="微软雅黑" w:eastAsia="微软雅黑" w:cs="微软雅黑"/>
          <w:b/>
          <w:bCs/>
          <w:color w:val="auto"/>
          <w:sz w:val="24"/>
          <w:highlight w:val="none"/>
        </w:rPr>
      </w:pPr>
      <w:bookmarkStart w:id="1899" w:name="_Toc29228"/>
      <w:bookmarkStart w:id="1900" w:name="_Toc20199"/>
      <w:bookmarkStart w:id="1901" w:name="_Toc14066"/>
      <w:bookmarkStart w:id="1902" w:name="_Toc32426"/>
      <w:bookmarkStart w:id="1903" w:name="_Toc19750"/>
      <w:bookmarkStart w:id="1904" w:name="_Toc32515"/>
      <w:bookmarkStart w:id="1905" w:name="_Toc8114"/>
      <w:bookmarkStart w:id="1906" w:name="_Toc12165"/>
      <w:bookmarkStart w:id="1907" w:name="_Toc11104"/>
      <w:bookmarkStart w:id="1908" w:name="_Toc2586"/>
      <w:bookmarkStart w:id="1909" w:name="_Toc24741"/>
      <w:bookmarkStart w:id="1910" w:name="_Toc12809"/>
      <w:bookmarkStart w:id="1911" w:name="_Toc14752"/>
      <w:bookmarkStart w:id="1912" w:name="_Toc18698"/>
      <w:bookmarkStart w:id="1913" w:name="_Toc15741"/>
      <w:bookmarkStart w:id="1914" w:name="_Toc13557"/>
      <w:bookmarkStart w:id="1915" w:name="_Toc4905"/>
      <w:bookmarkStart w:id="1916" w:name="_Toc17498"/>
      <w:bookmarkStart w:id="1917" w:name="_Toc31984"/>
      <w:bookmarkStart w:id="1918" w:name="_Toc3533"/>
      <w:bookmarkStart w:id="1919" w:name="_Toc25263"/>
      <w:bookmarkStart w:id="1920" w:name="_Toc5061"/>
      <w:bookmarkStart w:id="1921" w:name="_Toc19314"/>
      <w:bookmarkStart w:id="1922" w:name="_Toc14564"/>
      <w:bookmarkStart w:id="1923" w:name="_Toc18244"/>
      <w:bookmarkStart w:id="1924" w:name="_Toc4540"/>
      <w:bookmarkStart w:id="1925" w:name="_Toc5484"/>
      <w:bookmarkStart w:id="1926" w:name="_Toc16508"/>
      <w:bookmarkStart w:id="1927" w:name="_Toc21450"/>
      <w:bookmarkStart w:id="1928" w:name="_Toc16893"/>
      <w:r>
        <w:rPr>
          <w:rFonts w:hint="eastAsia" w:ascii="微软雅黑" w:hAnsi="微软雅黑" w:eastAsia="微软雅黑" w:cs="微软雅黑"/>
          <w:b/>
          <w:bCs/>
          <w:color w:val="auto"/>
          <w:sz w:val="24"/>
          <w:highlight w:val="none"/>
        </w:rPr>
        <w:t>2.11 不可抗力</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2.11.1如果任何一方遭遇法律规定的不可抗力，致使合同履行受阻时，履行合同的期限应予延长，延长的期限应相当于不可抗力所影响的时间；</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2.11.2 因不可抗力致使不能实现合同目的的，当事人可以解除合同；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2.11.3 因不可抗力致使合同有变更必要的，双方当事人应在</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约定时间内以书面形式变更合同；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2.11.4受不可抗力影响的一方在不可抗力发生后，应在</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约定时间内以书面形式通知对方当事人，并在</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约定时间内，将有关部门出具的证明文件送达对方当事人。</w:t>
      </w:r>
    </w:p>
    <w:p>
      <w:pPr>
        <w:spacing w:line="360" w:lineRule="exact"/>
        <w:ind w:firstLine="480" w:firstLineChars="200"/>
        <w:outlineLvl w:val="0"/>
        <w:rPr>
          <w:rFonts w:ascii="微软雅黑" w:hAnsi="微软雅黑" w:eastAsia="微软雅黑" w:cs="微软雅黑"/>
          <w:b/>
          <w:bCs/>
          <w:color w:val="auto"/>
          <w:sz w:val="24"/>
          <w:highlight w:val="none"/>
        </w:rPr>
      </w:pPr>
      <w:bookmarkStart w:id="1929" w:name="_Toc13910"/>
      <w:bookmarkStart w:id="1930" w:name="_Toc259093684"/>
      <w:bookmarkStart w:id="1931" w:name="_Toc14013"/>
      <w:bookmarkStart w:id="1932" w:name="_Toc487900365"/>
      <w:bookmarkStart w:id="1933" w:name="_Toc28117"/>
      <w:bookmarkStart w:id="1934" w:name="_Toc19677"/>
      <w:bookmarkStart w:id="1935" w:name="_Toc31985"/>
      <w:bookmarkStart w:id="1936" w:name="_Toc6047"/>
      <w:bookmarkStart w:id="1937" w:name="_Toc6676"/>
      <w:bookmarkStart w:id="1938" w:name="_Toc32764"/>
      <w:bookmarkStart w:id="1939" w:name="_Toc12959"/>
      <w:bookmarkStart w:id="1940" w:name="_Toc7422"/>
      <w:bookmarkStart w:id="1941" w:name="_Toc11876"/>
      <w:bookmarkStart w:id="1942" w:name="_Toc1584"/>
      <w:bookmarkStart w:id="1943" w:name="_Toc7145"/>
      <w:bookmarkStart w:id="1944" w:name="_Toc20099"/>
      <w:bookmarkStart w:id="1945" w:name="_Toc21584"/>
      <w:bookmarkStart w:id="1946" w:name="_Toc26085"/>
      <w:bookmarkStart w:id="1947" w:name="_Toc6034"/>
      <w:bookmarkStart w:id="1948" w:name="_Toc5884"/>
      <w:bookmarkStart w:id="1949" w:name="_Toc11423"/>
      <w:bookmarkStart w:id="1950" w:name="_Toc6288"/>
      <w:bookmarkStart w:id="1951" w:name="_Toc4048"/>
      <w:bookmarkStart w:id="1952" w:name="_Toc10528"/>
      <w:bookmarkStart w:id="1953" w:name="_Toc30676"/>
      <w:bookmarkStart w:id="1954" w:name="_Toc6969"/>
      <w:bookmarkStart w:id="1955" w:name="_Toc25124"/>
      <w:bookmarkStart w:id="1956" w:name="_Toc18927"/>
      <w:bookmarkStart w:id="1957" w:name="_Toc4006"/>
      <w:bookmarkStart w:id="1958" w:name="_Toc689"/>
      <w:bookmarkStart w:id="1959" w:name="_Toc31597"/>
      <w:bookmarkStart w:id="1960" w:name="_Toc13584"/>
      <w:bookmarkStart w:id="1961" w:name="_Toc16229"/>
      <w:bookmarkStart w:id="1962" w:name="_Toc279701255"/>
      <w:r>
        <w:rPr>
          <w:rFonts w:hint="eastAsia" w:ascii="微软雅黑" w:hAnsi="微软雅黑" w:eastAsia="微软雅黑" w:cs="微软雅黑"/>
          <w:b/>
          <w:bCs/>
          <w:color w:val="auto"/>
          <w:sz w:val="24"/>
          <w:highlight w:val="none"/>
        </w:rPr>
        <w:t>2.12 税费</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与合同有关的一切税费，均按照中华人民共和国法律的相关规定。</w:t>
      </w:r>
    </w:p>
    <w:p>
      <w:pPr>
        <w:spacing w:line="360" w:lineRule="exact"/>
        <w:ind w:firstLine="480" w:firstLineChars="200"/>
        <w:outlineLvl w:val="0"/>
        <w:rPr>
          <w:rFonts w:ascii="微软雅黑" w:hAnsi="微软雅黑" w:eastAsia="微软雅黑" w:cs="微软雅黑"/>
          <w:b/>
          <w:bCs/>
          <w:color w:val="auto"/>
          <w:sz w:val="24"/>
          <w:highlight w:val="none"/>
        </w:rPr>
      </w:pPr>
      <w:bookmarkStart w:id="1963" w:name="_Toc487900368"/>
      <w:bookmarkStart w:id="1964" w:name="_Toc23882"/>
      <w:bookmarkStart w:id="1965" w:name="_Toc7102"/>
      <w:bookmarkStart w:id="1966" w:name="_Toc7117"/>
      <w:bookmarkStart w:id="1967" w:name="_Toc25260"/>
      <w:bookmarkStart w:id="1968" w:name="_Toc12141"/>
      <w:bookmarkStart w:id="1969" w:name="_Toc16959"/>
      <w:bookmarkStart w:id="1970" w:name="_Toc14403"/>
      <w:bookmarkStart w:id="1971" w:name="_Toc21290"/>
      <w:bookmarkStart w:id="1972" w:name="_Toc13626"/>
      <w:bookmarkStart w:id="1973" w:name="_Toc1932"/>
      <w:bookmarkStart w:id="1974" w:name="_Toc6725"/>
      <w:bookmarkStart w:id="1975" w:name="_Toc1259"/>
      <w:bookmarkStart w:id="1976" w:name="_Toc8050"/>
      <w:bookmarkStart w:id="1977" w:name="_Toc5652"/>
      <w:bookmarkStart w:id="1978" w:name="_Toc22239"/>
      <w:bookmarkStart w:id="1979" w:name="_Toc28614"/>
      <w:bookmarkStart w:id="1980" w:name="_Toc279701258"/>
      <w:bookmarkStart w:id="1981" w:name="_Toc8298"/>
      <w:bookmarkStart w:id="1982" w:name="_Toc11308"/>
      <w:bookmarkStart w:id="1983" w:name="_Toc15211"/>
      <w:bookmarkStart w:id="1984" w:name="_Toc24862"/>
      <w:bookmarkStart w:id="1985" w:name="_Toc23266"/>
      <w:bookmarkStart w:id="1986" w:name="_Toc29993"/>
      <w:bookmarkStart w:id="1987" w:name="_Toc8934"/>
      <w:bookmarkStart w:id="1988" w:name="_Toc20594"/>
      <w:bookmarkStart w:id="1989" w:name="_Toc17523"/>
      <w:bookmarkStart w:id="1990" w:name="_Toc5215"/>
      <w:bookmarkStart w:id="1991" w:name="_Toc29869"/>
      <w:bookmarkStart w:id="1992" w:name="_Toc15527"/>
      <w:bookmarkStart w:id="1993" w:name="_Toc4812"/>
      <w:bookmarkStart w:id="1994" w:name="_Toc25055"/>
      <w:bookmarkStart w:id="1995" w:name="_Toc259093687"/>
      <w:r>
        <w:rPr>
          <w:rFonts w:hint="eastAsia" w:ascii="微软雅黑" w:hAnsi="微软雅黑" w:eastAsia="微软雅黑" w:cs="微软雅黑"/>
          <w:b/>
          <w:bCs/>
          <w:color w:val="auto"/>
          <w:sz w:val="24"/>
          <w:highlight w:val="none"/>
        </w:rPr>
        <w:t>2.13 乙方破产</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0" w:firstLineChars="200"/>
        <w:outlineLvl w:val="0"/>
        <w:rPr>
          <w:rFonts w:ascii="微软雅黑" w:hAnsi="微软雅黑" w:eastAsia="微软雅黑" w:cs="微软雅黑"/>
          <w:b/>
          <w:bCs/>
          <w:color w:val="auto"/>
          <w:sz w:val="24"/>
          <w:highlight w:val="none"/>
        </w:rPr>
      </w:pPr>
      <w:bookmarkStart w:id="1996" w:name="_Toc8579"/>
      <w:bookmarkStart w:id="1997" w:name="_Toc818"/>
      <w:bookmarkStart w:id="1998" w:name="_Toc1942"/>
      <w:bookmarkStart w:id="1999" w:name="_Toc9412"/>
      <w:bookmarkStart w:id="2000" w:name="_Toc24391"/>
      <w:bookmarkStart w:id="2001" w:name="_Toc26255"/>
      <w:bookmarkStart w:id="2002" w:name="_Toc31639"/>
      <w:bookmarkStart w:id="2003" w:name="_Toc6134"/>
      <w:bookmarkStart w:id="2004" w:name="_Toc15605"/>
      <w:bookmarkStart w:id="2005" w:name="_Toc15387"/>
      <w:bookmarkStart w:id="2006" w:name="_Toc4227"/>
      <w:bookmarkStart w:id="2007" w:name="_Toc1303"/>
      <w:bookmarkStart w:id="2008" w:name="_Toc32508"/>
      <w:bookmarkStart w:id="2009" w:name="_Toc12606"/>
      <w:bookmarkStart w:id="2010" w:name="_Toc24976"/>
      <w:bookmarkStart w:id="2011" w:name="_Toc4013"/>
      <w:bookmarkStart w:id="2012" w:name="_Toc9318"/>
      <w:bookmarkStart w:id="2013" w:name="_Toc462"/>
      <w:bookmarkStart w:id="2014" w:name="_Toc27106"/>
      <w:bookmarkStart w:id="2015" w:name="_Toc23948"/>
      <w:bookmarkStart w:id="2016" w:name="_Toc11898"/>
      <w:bookmarkStart w:id="2017" w:name="_Toc24867"/>
      <w:bookmarkStart w:id="2018" w:name="_Toc28925"/>
      <w:bookmarkStart w:id="2019" w:name="_Toc29333"/>
      <w:bookmarkStart w:id="2020" w:name="_Toc24066"/>
      <w:bookmarkStart w:id="2021" w:name="_Toc25273"/>
      <w:bookmarkStart w:id="2022" w:name="_Toc15445"/>
      <w:bookmarkStart w:id="2023" w:name="_Toc110"/>
      <w:bookmarkStart w:id="2024" w:name="_Toc15105"/>
      <w:bookmarkStart w:id="2025" w:name="_Toc29764"/>
      <w:r>
        <w:rPr>
          <w:rFonts w:hint="eastAsia" w:ascii="微软雅黑" w:hAnsi="微软雅黑" w:eastAsia="微软雅黑" w:cs="微软雅黑"/>
          <w:b/>
          <w:bCs/>
          <w:color w:val="auto"/>
          <w:sz w:val="24"/>
          <w:highlight w:val="none"/>
        </w:rPr>
        <w:t>2.14 合同中止、终止</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2.14.1 双方当事人不得擅自中止或者终止合同；</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exact"/>
        <w:ind w:firstLine="480" w:firstLineChars="200"/>
        <w:outlineLvl w:val="0"/>
        <w:rPr>
          <w:rFonts w:ascii="微软雅黑" w:hAnsi="微软雅黑" w:eastAsia="微软雅黑" w:cs="微软雅黑"/>
          <w:b/>
          <w:bCs/>
          <w:color w:val="auto"/>
          <w:sz w:val="24"/>
          <w:highlight w:val="none"/>
        </w:rPr>
      </w:pPr>
      <w:bookmarkStart w:id="2026" w:name="_Toc28303"/>
      <w:bookmarkStart w:id="2027" w:name="_Toc8778"/>
      <w:bookmarkStart w:id="2028" w:name="_Toc25710"/>
      <w:bookmarkStart w:id="2029" w:name="_Toc6704"/>
      <w:bookmarkStart w:id="2030" w:name="_Toc9532"/>
      <w:bookmarkStart w:id="2031" w:name="_Toc13848"/>
      <w:bookmarkStart w:id="2032" w:name="_Toc24731"/>
      <w:bookmarkStart w:id="2033" w:name="_Toc21636"/>
      <w:bookmarkStart w:id="2034" w:name="_Toc30133"/>
      <w:bookmarkStart w:id="2035" w:name="_Toc30476"/>
      <w:bookmarkStart w:id="2036" w:name="_Toc30958"/>
      <w:bookmarkStart w:id="2037" w:name="_Toc25358"/>
      <w:bookmarkStart w:id="2038" w:name="_Toc19755"/>
      <w:bookmarkStart w:id="2039" w:name="_Toc12090"/>
      <w:bookmarkStart w:id="2040" w:name="_Toc14563"/>
      <w:bookmarkStart w:id="2041" w:name="_Toc28769"/>
      <w:bookmarkStart w:id="2042" w:name="_Toc14890"/>
      <w:bookmarkStart w:id="2043" w:name="_Toc10359"/>
      <w:bookmarkStart w:id="2044" w:name="_Toc13150"/>
      <w:bookmarkStart w:id="2045" w:name="_Toc25230"/>
      <w:bookmarkStart w:id="2046" w:name="_Toc6596"/>
      <w:bookmarkStart w:id="2047" w:name="_Toc4111"/>
      <w:bookmarkStart w:id="2048" w:name="_Toc25426"/>
      <w:bookmarkStart w:id="2049" w:name="_Toc1125"/>
      <w:bookmarkStart w:id="2050" w:name="_Toc12134"/>
      <w:bookmarkStart w:id="2051" w:name="_Toc11658"/>
      <w:bookmarkStart w:id="2052" w:name="_Toc3956"/>
      <w:bookmarkStart w:id="2053" w:name="_Toc16956"/>
      <w:bookmarkStart w:id="2054" w:name="_Toc20145"/>
      <w:bookmarkStart w:id="2055" w:name="_Toc28047"/>
      <w:r>
        <w:rPr>
          <w:rFonts w:hint="eastAsia" w:ascii="微软雅黑" w:hAnsi="微软雅黑" w:eastAsia="微软雅黑" w:cs="微软雅黑"/>
          <w:b/>
          <w:bCs/>
          <w:color w:val="auto"/>
          <w:sz w:val="24"/>
          <w:highlight w:val="none"/>
        </w:rPr>
        <w:t>2.15 检验和验收</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tabs>
          <w:tab w:val="left" w:pos="360"/>
          <w:tab w:val="left" w:pos="540"/>
          <w:tab w:val="left" w:pos="1080"/>
        </w:tabs>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2.15.1乙方按照合同专用条款的约定，定期提交服务报告，甲方按照合同专用条款的约定进行定期验收；</w:t>
      </w:r>
    </w:p>
    <w:p>
      <w:pPr>
        <w:tabs>
          <w:tab w:val="left" w:pos="360"/>
          <w:tab w:val="left" w:pos="540"/>
          <w:tab w:val="left" w:pos="1080"/>
        </w:tabs>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2.15.3 检验和验收标准、程序等具体内容以及前述验收书的效力详见</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i/>
          <w:iCs/>
          <w:color w:val="auto"/>
          <w:sz w:val="24"/>
          <w:highlight w:val="none"/>
        </w:rPr>
        <w:t>。</w:t>
      </w:r>
    </w:p>
    <w:bookmarkEnd w:id="1862"/>
    <w:bookmarkEnd w:id="1863"/>
    <w:bookmarkEnd w:id="1864"/>
    <w:bookmarkEnd w:id="1865"/>
    <w:p>
      <w:pPr>
        <w:spacing w:line="360" w:lineRule="exact"/>
        <w:ind w:firstLine="480" w:firstLineChars="200"/>
        <w:outlineLvl w:val="0"/>
        <w:rPr>
          <w:rFonts w:ascii="微软雅黑" w:hAnsi="微软雅黑" w:eastAsia="微软雅黑" w:cs="微软雅黑"/>
          <w:b/>
          <w:bCs/>
          <w:color w:val="auto"/>
          <w:sz w:val="24"/>
          <w:highlight w:val="none"/>
        </w:rPr>
      </w:pPr>
      <w:bookmarkStart w:id="2056" w:name="_Toc487900371"/>
      <w:bookmarkStart w:id="2057" w:name="_Toc279701261"/>
      <w:bookmarkStart w:id="2058" w:name="_Toc259093690"/>
      <w:bookmarkStart w:id="2059" w:name="_Toc15037"/>
      <w:bookmarkStart w:id="2060" w:name="_Toc7660"/>
      <w:bookmarkStart w:id="2061" w:name="_Toc26892"/>
      <w:bookmarkStart w:id="2062" w:name="_Toc12890"/>
      <w:bookmarkStart w:id="2063" w:name="_Toc5232"/>
      <w:bookmarkStart w:id="2064" w:name="_Toc17313"/>
      <w:bookmarkStart w:id="2065" w:name="_Toc11284"/>
      <w:bookmarkStart w:id="2066" w:name="_Toc10130"/>
      <w:bookmarkStart w:id="2067" w:name="_Toc24118"/>
      <w:bookmarkStart w:id="2068" w:name="_Toc9266"/>
      <w:bookmarkStart w:id="2069" w:name="_Toc27621"/>
      <w:bookmarkStart w:id="2070" w:name="_Toc14242"/>
      <w:bookmarkStart w:id="2071" w:name="_Toc13220"/>
      <w:bookmarkStart w:id="2072" w:name="_Toc7309"/>
      <w:bookmarkStart w:id="2073" w:name="_Toc4983"/>
      <w:bookmarkStart w:id="2074" w:name="_Toc31945"/>
      <w:bookmarkStart w:id="2075" w:name="_Toc7641"/>
      <w:bookmarkStart w:id="2076" w:name="_Toc19872"/>
      <w:bookmarkStart w:id="2077" w:name="_Toc725"/>
      <w:bookmarkStart w:id="2078" w:name="_Toc8379"/>
      <w:bookmarkStart w:id="2079" w:name="_Toc19604"/>
      <w:bookmarkStart w:id="2080" w:name="_Toc9656"/>
      <w:bookmarkStart w:id="2081" w:name="_Toc8096"/>
      <w:bookmarkStart w:id="2082" w:name="_Toc20616"/>
      <w:bookmarkStart w:id="2083" w:name="_Toc14665"/>
      <w:bookmarkStart w:id="2084" w:name="_Toc12493"/>
      <w:bookmarkStart w:id="2085" w:name="_Toc25182"/>
      <w:bookmarkStart w:id="2086" w:name="_Toc29950"/>
      <w:bookmarkStart w:id="2087" w:name="_Toc17270"/>
      <w:bookmarkStart w:id="2088" w:name="_Toc26823"/>
      <w:r>
        <w:rPr>
          <w:rFonts w:hint="eastAsia" w:ascii="微软雅黑" w:hAnsi="微软雅黑" w:eastAsia="微软雅黑" w:cs="微软雅黑"/>
          <w:b/>
          <w:bCs/>
          <w:color w:val="auto"/>
          <w:sz w:val="24"/>
          <w:highlight w:val="none"/>
        </w:rPr>
        <w:t>2.16 通知</w:t>
      </w:r>
      <w:bookmarkEnd w:id="2056"/>
      <w:bookmarkEnd w:id="2057"/>
      <w:bookmarkEnd w:id="2058"/>
      <w:r>
        <w:rPr>
          <w:rFonts w:hint="eastAsia" w:ascii="微软雅黑" w:hAnsi="微软雅黑" w:eastAsia="微软雅黑" w:cs="微软雅黑"/>
          <w:b/>
          <w:bCs/>
          <w:color w:val="auto"/>
          <w:sz w:val="24"/>
          <w:highlight w:val="none"/>
        </w:rPr>
        <w:t>和送达</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spacing w:line="360" w:lineRule="exact"/>
        <w:ind w:firstLine="480" w:firstLineChars="200"/>
        <w:rPr>
          <w:rFonts w:ascii="微软雅黑" w:hAnsi="微软雅黑" w:eastAsia="微软雅黑" w:cs="微软雅黑"/>
          <w:color w:val="auto"/>
          <w:sz w:val="24"/>
          <w:highlight w:val="none"/>
        </w:rPr>
      </w:pPr>
      <w:bookmarkStart w:id="2089" w:name="_Toc6698"/>
      <w:bookmarkStart w:id="2090" w:name="_Toc3135"/>
      <w:bookmarkStart w:id="2091" w:name="_Toc279701262"/>
      <w:bookmarkStart w:id="2092" w:name="_Toc259093691"/>
      <w:bookmarkStart w:id="2093" w:name="_Toc487900372"/>
      <w:r>
        <w:rPr>
          <w:rFonts w:hint="eastAsia" w:ascii="微软雅黑" w:hAnsi="微软雅黑" w:eastAsia="微软雅黑" w:cs="微软雅黑"/>
          <w:color w:val="auto"/>
          <w:sz w:val="24"/>
          <w:highlight w:val="none"/>
        </w:rPr>
        <w:t>2.16.1 任何一方因履行合同而以合同第一部分尾部所列明的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发出的所有通知、文件、材料，均视为已向对方当事人送达；任何一方变更上述送达方式或者地址的，应于</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个工作日内书面通知对方当事人，在对方当事人收到有关变更通知之前，变更前的约定送达方式或者地址仍视为有效。</w:t>
      </w:r>
      <w:bookmarkEnd w:id="2089"/>
      <w:bookmarkEnd w:id="2090"/>
    </w:p>
    <w:p>
      <w:pPr>
        <w:spacing w:line="360" w:lineRule="exact"/>
        <w:ind w:firstLine="480" w:firstLineChars="200"/>
        <w:rPr>
          <w:rFonts w:ascii="微软雅黑" w:hAnsi="微软雅黑" w:eastAsia="微软雅黑" w:cs="微软雅黑"/>
          <w:color w:val="auto"/>
          <w:sz w:val="24"/>
          <w:highlight w:val="none"/>
        </w:rPr>
      </w:pPr>
      <w:bookmarkStart w:id="2094" w:name="_Toc23294"/>
      <w:bookmarkStart w:id="2095" w:name="_Toc23128"/>
      <w:r>
        <w:rPr>
          <w:rFonts w:hint="eastAsia" w:ascii="微软雅黑" w:hAnsi="微软雅黑" w:eastAsia="微软雅黑" w:cs="微软雅黑"/>
          <w:color w:val="auto"/>
          <w:sz w:val="24"/>
          <w:highlight w:val="none"/>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94"/>
      <w:bookmarkEnd w:id="2095"/>
    </w:p>
    <w:p>
      <w:pPr>
        <w:spacing w:line="360" w:lineRule="exact"/>
        <w:ind w:firstLine="480" w:firstLineChars="200"/>
        <w:outlineLvl w:val="0"/>
        <w:rPr>
          <w:rFonts w:ascii="微软雅黑" w:hAnsi="微软雅黑" w:eastAsia="微软雅黑" w:cs="微软雅黑"/>
          <w:b/>
          <w:bCs/>
          <w:color w:val="auto"/>
          <w:sz w:val="24"/>
          <w:highlight w:val="none"/>
        </w:rPr>
      </w:pPr>
      <w:bookmarkStart w:id="2096" w:name="_Toc4747"/>
      <w:bookmarkStart w:id="2097" w:name="_Toc18540"/>
      <w:bookmarkStart w:id="2098" w:name="_Toc21923"/>
      <w:bookmarkStart w:id="2099" w:name="_Toc16783"/>
      <w:bookmarkStart w:id="2100" w:name="_Toc30387"/>
      <w:bookmarkStart w:id="2101" w:name="_Toc5141"/>
      <w:bookmarkStart w:id="2102" w:name="_Toc26867"/>
      <w:bookmarkStart w:id="2103" w:name="_Toc30497"/>
      <w:bookmarkStart w:id="2104" w:name="_Toc20837"/>
      <w:bookmarkStart w:id="2105" w:name="_Toc26556"/>
      <w:bookmarkStart w:id="2106" w:name="_Toc12721"/>
      <w:bookmarkStart w:id="2107" w:name="_Toc2623"/>
      <w:bookmarkStart w:id="2108" w:name="_Toc10932"/>
      <w:bookmarkStart w:id="2109" w:name="_Toc9371"/>
      <w:bookmarkStart w:id="2110" w:name="_Toc15273"/>
      <w:bookmarkStart w:id="2111" w:name="_Toc18621"/>
      <w:bookmarkStart w:id="2112" w:name="_Toc27038"/>
      <w:bookmarkStart w:id="2113" w:name="_Toc11892"/>
      <w:bookmarkStart w:id="2114" w:name="_Toc13198"/>
      <w:bookmarkStart w:id="2115" w:name="_Toc19223"/>
      <w:bookmarkStart w:id="2116" w:name="_Toc20309"/>
      <w:bookmarkStart w:id="2117" w:name="_Toc21582"/>
      <w:bookmarkStart w:id="2118" w:name="_Toc20914"/>
      <w:bookmarkStart w:id="2119" w:name="_Toc4241"/>
      <w:bookmarkStart w:id="2120" w:name="_Toc4355"/>
      <w:bookmarkStart w:id="2121" w:name="_Toc31861"/>
      <w:bookmarkStart w:id="2122" w:name="_Toc32633"/>
      <w:bookmarkStart w:id="2123" w:name="_Toc23275"/>
      <w:bookmarkStart w:id="2124" w:name="_Toc30599"/>
      <w:bookmarkStart w:id="2125" w:name="_Toc29312"/>
      <w:bookmarkStart w:id="2126" w:name="_Toc14810"/>
      <w:r>
        <w:rPr>
          <w:rFonts w:hint="eastAsia" w:ascii="微软雅黑" w:hAnsi="微软雅黑" w:eastAsia="微软雅黑" w:cs="微软雅黑"/>
          <w:b/>
          <w:bCs/>
          <w:color w:val="auto"/>
          <w:sz w:val="24"/>
          <w:highlight w:val="none"/>
        </w:rPr>
        <w:t>2.17 计量单位</w:t>
      </w:r>
      <w:bookmarkEnd w:id="2091"/>
      <w:bookmarkEnd w:id="2092"/>
      <w:bookmarkEnd w:id="2093"/>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除技术规范中另有规定外,合同的计量单位均使用国家法定计量单位。</w:t>
      </w:r>
    </w:p>
    <w:p>
      <w:pPr>
        <w:spacing w:line="360" w:lineRule="exact"/>
        <w:ind w:firstLine="480" w:firstLineChars="200"/>
        <w:outlineLvl w:val="0"/>
        <w:rPr>
          <w:rFonts w:ascii="微软雅黑" w:hAnsi="微软雅黑" w:eastAsia="微软雅黑" w:cs="微软雅黑"/>
          <w:b/>
          <w:bCs/>
          <w:color w:val="auto"/>
          <w:sz w:val="24"/>
          <w:highlight w:val="none"/>
        </w:rPr>
      </w:pPr>
      <w:bookmarkStart w:id="2127" w:name="_Toc1728"/>
      <w:bookmarkStart w:id="2128" w:name="_Toc18201"/>
      <w:bookmarkStart w:id="2129" w:name="_Toc20624"/>
      <w:bookmarkStart w:id="2130" w:name="_Toc10286"/>
      <w:bookmarkStart w:id="2131" w:name="_Toc259093692"/>
      <w:bookmarkStart w:id="2132" w:name="_Toc13131"/>
      <w:bookmarkStart w:id="2133" w:name="_Toc9178"/>
      <w:bookmarkStart w:id="2134" w:name="_Toc7388"/>
      <w:bookmarkStart w:id="2135" w:name="_Toc8011"/>
      <w:bookmarkStart w:id="2136" w:name="_Toc15868"/>
      <w:bookmarkStart w:id="2137" w:name="_Toc18634"/>
      <w:bookmarkStart w:id="2138" w:name="_Toc11130"/>
      <w:bookmarkStart w:id="2139" w:name="_Toc9626"/>
      <w:bookmarkStart w:id="2140" w:name="_Toc19154"/>
      <w:bookmarkStart w:id="2141" w:name="_Toc9869"/>
      <w:bookmarkStart w:id="2142" w:name="_Toc8108"/>
      <w:bookmarkStart w:id="2143" w:name="_Toc12773"/>
      <w:bookmarkStart w:id="2144" w:name="_Toc24138"/>
      <w:bookmarkStart w:id="2145" w:name="_Toc12490"/>
      <w:bookmarkStart w:id="2146" w:name="_Toc5796"/>
      <w:bookmarkStart w:id="2147" w:name="_Toc15261"/>
      <w:bookmarkStart w:id="2148" w:name="_Toc32583"/>
      <w:bookmarkStart w:id="2149" w:name="_Toc27589"/>
      <w:bookmarkStart w:id="2150" w:name="_Toc10830"/>
      <w:bookmarkStart w:id="2151" w:name="_Toc18567"/>
      <w:bookmarkStart w:id="2152" w:name="_Toc10330"/>
      <w:bookmarkStart w:id="2153" w:name="_Toc487900373"/>
      <w:bookmarkStart w:id="2154" w:name="_Toc22103"/>
      <w:bookmarkStart w:id="2155" w:name="_Toc28784"/>
      <w:bookmarkStart w:id="2156" w:name="_Toc13041"/>
      <w:bookmarkStart w:id="2157" w:name="_Toc16880"/>
      <w:bookmarkStart w:id="2158" w:name="_Toc279701263"/>
      <w:bookmarkStart w:id="2159" w:name="_Toc17517"/>
      <w:r>
        <w:rPr>
          <w:rFonts w:hint="eastAsia" w:ascii="微软雅黑" w:hAnsi="微软雅黑" w:eastAsia="微软雅黑" w:cs="微软雅黑"/>
          <w:b/>
          <w:bCs/>
          <w:color w:val="auto"/>
          <w:sz w:val="24"/>
          <w:highlight w:val="none"/>
        </w:rPr>
        <w:t>2.18 合同使用的文字和适用的法律</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2.18.1 合同使用汉语书就、变更和解释；</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2.18.2 合同适用中华人民共和国法律。</w:t>
      </w:r>
    </w:p>
    <w:p>
      <w:pPr>
        <w:spacing w:line="360" w:lineRule="exact"/>
        <w:ind w:firstLine="480" w:firstLineChars="200"/>
        <w:outlineLvl w:val="0"/>
        <w:rPr>
          <w:rFonts w:ascii="微软雅黑" w:hAnsi="微软雅黑" w:eastAsia="微软雅黑" w:cs="微软雅黑"/>
          <w:b/>
          <w:bCs/>
          <w:color w:val="auto"/>
          <w:sz w:val="24"/>
          <w:highlight w:val="none"/>
        </w:rPr>
      </w:pPr>
      <w:bookmarkStart w:id="2160" w:name="_Toc5000"/>
      <w:bookmarkStart w:id="2161" w:name="_Toc25784"/>
      <w:bookmarkStart w:id="2162" w:name="_Toc31790"/>
      <w:bookmarkStart w:id="2163" w:name="_Toc3148"/>
      <w:bookmarkStart w:id="2164" w:name="_Toc16673"/>
      <w:bookmarkStart w:id="2165" w:name="_Toc23252"/>
      <w:bookmarkStart w:id="2166" w:name="_Toc30675"/>
      <w:bookmarkStart w:id="2167" w:name="_Toc25551"/>
      <w:bookmarkStart w:id="2168" w:name="_Toc31421"/>
      <w:bookmarkStart w:id="2169" w:name="_Toc11628"/>
      <w:bookmarkStart w:id="2170" w:name="_Toc279701264"/>
      <w:bookmarkStart w:id="2171" w:name="_Toc14964"/>
      <w:bookmarkStart w:id="2172" w:name="_Toc29073"/>
      <w:bookmarkStart w:id="2173" w:name="_Toc12004"/>
      <w:bookmarkStart w:id="2174" w:name="_Toc13379"/>
      <w:bookmarkStart w:id="2175" w:name="_Toc16671"/>
      <w:bookmarkStart w:id="2176" w:name="_Toc620"/>
      <w:bookmarkStart w:id="2177" w:name="_Toc21907"/>
      <w:bookmarkStart w:id="2178" w:name="_Toc26372"/>
      <w:bookmarkStart w:id="2179" w:name="_Toc5571"/>
      <w:bookmarkStart w:id="2180" w:name="_Toc14308"/>
      <w:bookmarkStart w:id="2181" w:name="_Toc3838"/>
      <w:bookmarkStart w:id="2182" w:name="_Toc259093693"/>
      <w:bookmarkStart w:id="2183" w:name="_Toc1670"/>
      <w:bookmarkStart w:id="2184" w:name="_Toc3177"/>
      <w:bookmarkStart w:id="2185" w:name="_Toc638"/>
      <w:bookmarkStart w:id="2186" w:name="_Toc17626"/>
      <w:bookmarkStart w:id="2187" w:name="_Toc32497"/>
      <w:bookmarkStart w:id="2188" w:name="_Toc15434"/>
      <w:bookmarkStart w:id="2189" w:name="_Toc8602"/>
      <w:bookmarkStart w:id="2190" w:name="_Toc28942"/>
      <w:bookmarkStart w:id="2191" w:name="_Toc18845"/>
      <w:bookmarkStart w:id="2192" w:name="_Toc487900374"/>
      <w:r>
        <w:rPr>
          <w:rFonts w:hint="eastAsia" w:ascii="微软雅黑" w:hAnsi="微软雅黑" w:eastAsia="微软雅黑" w:cs="微软雅黑"/>
          <w:b/>
          <w:bCs/>
          <w:color w:val="auto"/>
          <w:sz w:val="24"/>
          <w:highlight w:val="none"/>
        </w:rPr>
        <w:t>2.19 履约保证金</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2.19.1 采购文件要求乙方提交履约保证金的，乙方应按</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约定的方式，以支票、汇票、本票或者金融机构、担保机构出具的保函等非现金形式，提交不超过合同价10%的履约保证金；</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2.19.2  履约保证金在</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约定期间内或者服务质量保证期内不予退还或者应完全有效，前述约定期间届满或者服务质量保证期届满之日起</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个工作日内，甲方应将履约保证金退还乙方；</w:t>
      </w:r>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192"/>
    <w:p>
      <w:pPr>
        <w:spacing w:line="360" w:lineRule="exact"/>
        <w:ind w:firstLine="480" w:firstLineChars="200"/>
        <w:outlineLvl w:val="0"/>
        <w:rPr>
          <w:rFonts w:ascii="微软雅黑" w:hAnsi="微软雅黑" w:eastAsia="微软雅黑" w:cs="微软雅黑"/>
          <w:b/>
          <w:bCs/>
          <w:color w:val="auto"/>
          <w:sz w:val="24"/>
          <w:highlight w:val="none"/>
        </w:rPr>
      </w:pPr>
      <w:bookmarkStart w:id="2193" w:name="_Toc20802"/>
      <w:bookmarkStart w:id="2194" w:name="_Toc22821"/>
      <w:bookmarkStart w:id="2195" w:name="_Toc10801"/>
      <w:bookmarkStart w:id="2196" w:name="_Toc21487"/>
      <w:bookmarkStart w:id="2197" w:name="_Toc24006"/>
      <w:bookmarkStart w:id="2198" w:name="_Toc19122"/>
      <w:bookmarkStart w:id="2199" w:name="_Toc27563"/>
      <w:bookmarkStart w:id="2200" w:name="_Toc16431"/>
      <w:bookmarkStart w:id="2201" w:name="_Toc21256"/>
      <w:bookmarkStart w:id="2202" w:name="_Toc30847"/>
      <w:bookmarkStart w:id="2203" w:name="_Toc19890"/>
      <w:bookmarkStart w:id="2204" w:name="_Toc25691"/>
      <w:bookmarkStart w:id="2205" w:name="_Toc8161"/>
      <w:bookmarkStart w:id="2206" w:name="_Toc12034"/>
      <w:bookmarkStart w:id="2207" w:name="_Toc17310"/>
      <w:bookmarkStart w:id="2208" w:name="_Toc15185"/>
      <w:bookmarkStart w:id="2209" w:name="_Toc8867"/>
      <w:bookmarkStart w:id="2210" w:name="_Toc16450"/>
      <w:bookmarkStart w:id="2211" w:name="_Toc2720"/>
      <w:bookmarkStart w:id="2212" w:name="_Toc14001"/>
      <w:bookmarkStart w:id="2213" w:name="_Toc11103"/>
      <w:bookmarkStart w:id="2214" w:name="_Toc17158"/>
      <w:bookmarkStart w:id="2215" w:name="_Toc8495"/>
      <w:bookmarkStart w:id="2216" w:name="_Toc22496"/>
      <w:bookmarkStart w:id="2217" w:name="_Toc13126"/>
      <w:bookmarkStart w:id="2218" w:name="_Toc32408"/>
      <w:bookmarkStart w:id="2219" w:name="_Toc5325"/>
      <w:bookmarkStart w:id="2220" w:name="_Toc3292"/>
      <w:bookmarkStart w:id="2221" w:name="_Toc30496"/>
      <w:r>
        <w:rPr>
          <w:rFonts w:hint="eastAsia" w:ascii="微软雅黑" w:hAnsi="微软雅黑" w:eastAsia="微软雅黑" w:cs="微软雅黑"/>
          <w:b/>
          <w:bCs/>
          <w:color w:val="auto"/>
          <w:sz w:val="24"/>
          <w:highlight w:val="none"/>
        </w:rPr>
        <w:t>2.20 合同份数</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spacing w:line="360" w:lineRule="exact"/>
        <w:ind w:firstLine="480" w:firstLineChars="200"/>
        <w:rPr>
          <w:rFonts w:ascii="微软雅黑" w:hAnsi="微软雅黑" w:eastAsia="微软雅黑" w:cs="微软雅黑"/>
          <w:b/>
          <w:bCs/>
          <w:color w:val="auto"/>
          <w:highlight w:val="none"/>
        </w:rPr>
      </w:pPr>
      <w:r>
        <w:rPr>
          <w:rFonts w:hint="eastAsia" w:ascii="微软雅黑" w:hAnsi="微软雅黑" w:eastAsia="微软雅黑" w:cs="微软雅黑"/>
          <w:color w:val="auto"/>
          <w:sz w:val="24"/>
          <w:highlight w:val="none"/>
        </w:rPr>
        <w:t>合同份数按</w:t>
      </w:r>
      <w:r>
        <w:rPr>
          <w:rFonts w:hint="eastAsia" w:ascii="微软雅黑" w:hAnsi="微软雅黑" w:eastAsia="微软雅黑" w:cs="微软雅黑"/>
          <w:b/>
          <w:bCs/>
          <w:i/>
          <w:iCs/>
          <w:color w:val="auto"/>
          <w:sz w:val="24"/>
          <w:highlight w:val="none"/>
          <w:u w:val="single"/>
        </w:rPr>
        <w:t>合同专用条款</w:t>
      </w:r>
      <w:r>
        <w:rPr>
          <w:rFonts w:hint="eastAsia" w:ascii="微软雅黑" w:hAnsi="微软雅黑" w:eastAsia="微软雅黑" w:cs="微软雅黑"/>
          <w:color w:val="auto"/>
          <w:sz w:val="24"/>
          <w:highlight w:val="none"/>
        </w:rPr>
        <w:t>规定，每份均具有同等法律效力。</w:t>
      </w:r>
      <w:bookmarkStart w:id="2222" w:name="_Toc331685784"/>
    </w:p>
    <w:p>
      <w:pPr>
        <w:pStyle w:val="56"/>
        <w:spacing w:line="360" w:lineRule="exact"/>
        <w:ind w:firstLine="0"/>
        <w:jc w:val="center"/>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第三部分  合同专用条款</w:t>
      </w:r>
      <w:bookmarkEnd w:id="2222"/>
    </w:p>
    <w:p>
      <w:pPr>
        <w:spacing w:line="3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843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条款号</w:t>
            </w:r>
          </w:p>
        </w:tc>
        <w:tc>
          <w:tcPr>
            <w:tcW w:w="7633" w:type="dxa"/>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ascii="微软雅黑" w:hAnsi="微软雅黑" w:eastAsia="微软雅黑" w:cs="微软雅黑"/>
                <w:color w:val="auto"/>
                <w:sz w:val="24"/>
                <w:highlight w:val="none"/>
              </w:rPr>
            </w:pPr>
          </w:p>
        </w:tc>
        <w:tc>
          <w:tcPr>
            <w:tcW w:w="7633" w:type="dxa"/>
            <w:vAlign w:val="center"/>
          </w:tcPr>
          <w:p>
            <w:pPr>
              <w:spacing w:line="360" w:lineRule="exact"/>
              <w:rPr>
                <w:rFonts w:ascii="微软雅黑" w:hAnsi="微软雅黑" w:eastAsia="微软雅黑" w:cs="微软雅黑"/>
                <w:color w:val="auto"/>
                <w:sz w:val="24"/>
                <w:highlight w:val="none"/>
              </w:rPr>
            </w:pPr>
          </w:p>
        </w:tc>
      </w:tr>
    </w:tbl>
    <w:p>
      <w:pPr>
        <w:bidi w:val="0"/>
        <w:rPr>
          <w:rFonts w:hint="eastAsia"/>
          <w:color w:val="auto"/>
          <w:highlight w:val="none"/>
        </w:rPr>
      </w:pPr>
    </w:p>
    <w:p>
      <w:pPr>
        <w:outlineLvl w:val="9"/>
        <w:rPr>
          <w:rFonts w:hint="eastAsia" w:ascii="宋体" w:hAnsi="宋体" w:eastAsia="宋体" w:cs="宋体"/>
          <w:color w:val="auto"/>
          <w:sz w:val="24"/>
          <w:szCs w:val="24"/>
          <w:highlight w:val="none"/>
        </w:rPr>
      </w:pPr>
    </w:p>
    <w:sectPr>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pingfang sc">
    <w:altName w:val="宋体"/>
    <w:panose1 w:val="020B0400000000000000"/>
    <w:charset w:val="86"/>
    <w:family w:val="auto"/>
    <w:pitch w:val="default"/>
    <w:sig w:usb0="00000000" w:usb1="00000000" w:usb2="00000017"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uble" w:color="FF9900" w:sz="8" w:space="0"/>
      </w:pBdr>
      <w:jc w:val="left"/>
    </w:pPr>
    <w:r>
      <w:rPr>
        <w:rFonts w:hint="eastAsia" w:eastAsia="宋体"/>
        <w:lang w:eastAsia="zh-CN"/>
      </w:rPr>
      <w:drawing>
        <wp:inline distT="0" distB="0" distL="114300" distR="114300">
          <wp:extent cx="2625725" cy="344170"/>
          <wp:effectExtent l="0" t="0" r="0" b="17780"/>
          <wp:docPr id="5" name="图片 1" descr="6d1c33d3f8d5e2c99c49ea8cc88b898b_logo"/>
          <wp:cNvGraphicFramePr/>
          <a:graphic xmlns:a="http://schemas.openxmlformats.org/drawingml/2006/main">
            <a:graphicData uri="http://schemas.openxmlformats.org/drawingml/2006/picture">
              <pic:pic xmlns:pic="http://schemas.openxmlformats.org/drawingml/2006/picture">
                <pic:nvPicPr>
                  <pic:cNvPr id="5" name="图片 1" descr="6d1c33d3f8d5e2c99c49ea8cc88b898b_logo"/>
                  <pic:cNvPicPr/>
                </pic:nvPicPr>
                <pic:blipFill>
                  <a:blip r:embed="rId1"/>
                  <a:stretch>
                    <a:fillRect/>
                  </a:stretch>
                </pic:blipFill>
                <pic:spPr>
                  <a:xfrm>
                    <a:off x="0" y="0"/>
                    <a:ext cx="2625725" cy="344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space"/>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00000006"/>
    <w:multiLevelType w:val="multilevel"/>
    <w:tmpl w:val="00000006"/>
    <w:lvl w:ilvl="0" w:tentative="0">
      <w:start w:val="1"/>
      <w:numFmt w:val="upperLetter"/>
      <w:pStyle w:val="34"/>
      <w:lvlText w:val="%1."/>
      <w:lvlJc w:val="left"/>
      <w:pPr>
        <w:widowControl/>
        <w:tabs>
          <w:tab w:val="left" w:pos="752"/>
        </w:tabs>
        <w:ind w:left="752" w:hanging="468"/>
        <w:textAlignment w:val="baseline"/>
      </w:pPr>
    </w:lvl>
    <w:lvl w:ilvl="1" w:tentative="0">
      <w:start w:val="1"/>
      <w:numFmt w:val="decimal"/>
      <w:lvlText w:val="%1."/>
      <w:lvlJc w:val="left"/>
      <w:pPr>
        <w:widowControl/>
        <w:tabs>
          <w:tab w:val="left" w:pos="1724"/>
        </w:tabs>
        <w:ind w:left="1724" w:hanging="360"/>
        <w:textAlignment w:val="baseline"/>
      </w:pPr>
    </w:lvl>
    <w:lvl w:ilvl="2" w:tentative="0">
      <w:start w:val="1"/>
      <w:numFmt w:val="decimal"/>
      <w:lvlText w:val="%1."/>
      <w:lvlJc w:val="left"/>
      <w:pPr>
        <w:widowControl/>
        <w:tabs>
          <w:tab w:val="left" w:pos="644"/>
        </w:tabs>
        <w:ind w:left="644" w:hanging="360"/>
        <w:textAlignment w:val="baseline"/>
      </w:pPr>
    </w:lvl>
    <w:lvl w:ilvl="3" w:tentative="0">
      <w:start w:val="1"/>
      <w:numFmt w:val="decimal"/>
      <w:lvlText w:val="%1."/>
      <w:lvlJc w:val="left"/>
      <w:pPr>
        <w:widowControl/>
        <w:tabs>
          <w:tab w:val="left" w:pos="3164"/>
        </w:tabs>
        <w:ind w:left="3164" w:hanging="360"/>
        <w:textAlignment w:val="baseline"/>
      </w:pPr>
    </w:lvl>
    <w:lvl w:ilvl="4" w:tentative="0">
      <w:start w:val="1"/>
      <w:numFmt w:val="decimal"/>
      <w:lvlText w:val="%1."/>
      <w:lvlJc w:val="left"/>
      <w:pPr>
        <w:widowControl/>
        <w:tabs>
          <w:tab w:val="left" w:pos="3884"/>
        </w:tabs>
        <w:ind w:left="3884" w:hanging="360"/>
        <w:textAlignment w:val="baseline"/>
      </w:pPr>
    </w:lvl>
    <w:lvl w:ilvl="5" w:tentative="0">
      <w:start w:val="1"/>
      <w:numFmt w:val="decimal"/>
      <w:lvlText w:val="%1."/>
      <w:lvlJc w:val="left"/>
      <w:pPr>
        <w:widowControl/>
        <w:tabs>
          <w:tab w:val="left" w:pos="4604"/>
        </w:tabs>
        <w:ind w:left="4604" w:hanging="360"/>
        <w:textAlignment w:val="baseline"/>
      </w:pPr>
    </w:lvl>
    <w:lvl w:ilvl="6" w:tentative="0">
      <w:start w:val="1"/>
      <w:numFmt w:val="decimal"/>
      <w:lvlText w:val="%1."/>
      <w:lvlJc w:val="left"/>
      <w:pPr>
        <w:widowControl/>
        <w:tabs>
          <w:tab w:val="left" w:pos="5324"/>
        </w:tabs>
        <w:ind w:left="5324" w:hanging="360"/>
        <w:textAlignment w:val="baseline"/>
      </w:pPr>
    </w:lvl>
    <w:lvl w:ilvl="7" w:tentative="0">
      <w:start w:val="1"/>
      <w:numFmt w:val="decimal"/>
      <w:lvlText w:val="%1."/>
      <w:lvlJc w:val="left"/>
      <w:pPr>
        <w:widowControl/>
        <w:tabs>
          <w:tab w:val="left" w:pos="6044"/>
        </w:tabs>
        <w:ind w:left="6044" w:hanging="360"/>
        <w:textAlignment w:val="baseline"/>
      </w:pPr>
    </w:lvl>
    <w:lvl w:ilvl="8" w:tentative="0">
      <w:start w:val="1"/>
      <w:numFmt w:val="decimal"/>
      <w:lvlText w:val="%1."/>
      <w:lvlJc w:val="left"/>
      <w:pPr>
        <w:widowControl/>
        <w:tabs>
          <w:tab w:val="left" w:pos="6764"/>
        </w:tabs>
        <w:ind w:left="6764" w:hanging="360"/>
        <w:textAlignment w:val="baseline"/>
      </w:pPr>
    </w:lvl>
  </w:abstractNum>
  <w:abstractNum w:abstractNumId="2">
    <w:nsid w:val="00000008"/>
    <w:multiLevelType w:val="multilevel"/>
    <w:tmpl w:val="00000008"/>
    <w:lvl w:ilvl="0" w:tentative="0">
      <w:start w:val="1"/>
      <w:numFmt w:val="decimal"/>
      <w:lvlText w:val="%1"/>
      <w:lvlJc w:val="left"/>
      <w:pPr>
        <w:ind w:left="432" w:hanging="432"/>
      </w:pPr>
      <w:rPr>
        <w:rFonts w:hint="eastAsia"/>
      </w:rPr>
    </w:lvl>
    <w:lvl w:ilvl="1" w:tentative="0">
      <w:start w:val="1"/>
      <w:numFmt w:val="decimal"/>
      <w:pStyle w:val="75"/>
      <w:lvlText w:val="%1.%2"/>
      <w:lvlJc w:val="left"/>
      <w:pPr>
        <w:ind w:left="576" w:hanging="576"/>
      </w:pPr>
      <w:rPr>
        <w:rFonts w:hint="eastAsia"/>
        <w:b/>
        <w:i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
    <w:nsid w:val="55828DFF"/>
    <w:multiLevelType w:val="multilevel"/>
    <w:tmpl w:val="55828DFF"/>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lvlText w:val="%1.%2."/>
      <w:lvlJc w:val="left"/>
      <w:pPr>
        <w:tabs>
          <w:tab w:val="left" w:pos="575"/>
        </w:tabs>
        <w:ind w:left="575" w:hanging="575"/>
      </w:pPr>
      <w:rPr>
        <w:rFonts w:hint="default" w:ascii="Times New Roman" w:hAnsi="Times New Roman" w:cs="Times New Roman"/>
        <w:lang w:val="en-US"/>
      </w:rPr>
    </w:lvl>
    <w:lvl w:ilvl="2" w:tentative="0">
      <w:start w:val="1"/>
      <w:numFmt w:val="decimal"/>
      <w:pStyle w:val="83"/>
      <w:lvlText w:val="%1.%2.%3."/>
      <w:lvlJc w:val="left"/>
      <w:pPr>
        <w:tabs>
          <w:tab w:val="left" w:pos="720"/>
        </w:tabs>
        <w:ind w:left="720" w:hanging="720"/>
      </w:pPr>
      <w:rPr>
        <w:rFonts w:hint="default" w:ascii="Times New Roman" w:hAnsi="Times New Roman" w:eastAsia="黑体" w:cs="Times New Roman"/>
        <w:b/>
        <w:bCs/>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84"/>
      <w:lvlText w:val="%1.%2.%3.%4."/>
      <w:lvlJc w:val="left"/>
      <w:pPr>
        <w:tabs>
          <w:tab w:val="left" w:pos="864"/>
        </w:tabs>
        <w:ind w:left="864" w:hanging="864"/>
      </w:pPr>
      <w:rPr>
        <w:rFonts w:hint="default" w:ascii="Times New Roman" w:hAnsi="Times New Roman" w:eastAsia="黑体" w:cs="Times New Roman"/>
        <w:lang w:val="en-US"/>
      </w:rPr>
    </w:lvl>
    <w:lvl w:ilvl="4" w:tentative="0">
      <w:start w:val="1"/>
      <w:numFmt w:val="decimal"/>
      <w:lvlText w:val="%1.%2.%3.%4.%5."/>
      <w:lvlJc w:val="left"/>
      <w:pPr>
        <w:tabs>
          <w:tab w:val="left" w:pos="1008"/>
        </w:tabs>
        <w:ind w:left="1008" w:hanging="1008"/>
      </w:pPr>
      <w:rPr>
        <w:rFonts w:hint="default" w:ascii="Times New Roman" w:hAnsi="Times New Roman" w:cs="Times New Roman"/>
      </w:rPr>
    </w:lvl>
    <w:lvl w:ilvl="5" w:tentative="0">
      <w:start w:val="1"/>
      <w:numFmt w:val="decimal"/>
      <w:lvlText w:val="%1.%2.%3.%4.%5.%6."/>
      <w:lvlJc w:val="left"/>
      <w:pPr>
        <w:tabs>
          <w:tab w:val="left" w:pos="1151"/>
        </w:tabs>
        <w:ind w:left="1151" w:hanging="1151"/>
      </w:pPr>
      <w:rPr>
        <w:rFonts w:hint="default" w:ascii="Times New Roman" w:hAnsi="Times New Roman" w:cs="Times New Roman"/>
      </w:rPr>
    </w:lvl>
    <w:lvl w:ilvl="6" w:tentative="0">
      <w:start w:val="1"/>
      <w:numFmt w:val="decimal"/>
      <w:lvlText w:val="%1.%2.%3.%4.%5.%6.%7."/>
      <w:lvlJc w:val="left"/>
      <w:pPr>
        <w:tabs>
          <w:tab w:val="left" w:pos="1296"/>
        </w:tabs>
        <w:ind w:left="1296" w:hanging="1296"/>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N2VkYmUwNzMxMWIyZTYyMmE2NzkzY2EzMTJjNjQifQ=="/>
  </w:docVars>
  <w:rsids>
    <w:rsidRoot w:val="00000000"/>
    <w:rsid w:val="00081654"/>
    <w:rsid w:val="00186BF0"/>
    <w:rsid w:val="00320039"/>
    <w:rsid w:val="003A4DB8"/>
    <w:rsid w:val="00417EF4"/>
    <w:rsid w:val="00523EB0"/>
    <w:rsid w:val="006360BD"/>
    <w:rsid w:val="0073763C"/>
    <w:rsid w:val="007E2EF7"/>
    <w:rsid w:val="008E53B2"/>
    <w:rsid w:val="009C11B9"/>
    <w:rsid w:val="00A010BF"/>
    <w:rsid w:val="00A20AC9"/>
    <w:rsid w:val="00B22F90"/>
    <w:rsid w:val="00B71F65"/>
    <w:rsid w:val="00CA58C6"/>
    <w:rsid w:val="00CD1788"/>
    <w:rsid w:val="00DE5743"/>
    <w:rsid w:val="00E80370"/>
    <w:rsid w:val="010C0502"/>
    <w:rsid w:val="01113BE8"/>
    <w:rsid w:val="012028B4"/>
    <w:rsid w:val="014632E9"/>
    <w:rsid w:val="014E721F"/>
    <w:rsid w:val="01621A8C"/>
    <w:rsid w:val="01761E20"/>
    <w:rsid w:val="017F2465"/>
    <w:rsid w:val="0192652E"/>
    <w:rsid w:val="0196601E"/>
    <w:rsid w:val="01AC75F0"/>
    <w:rsid w:val="01B36BD0"/>
    <w:rsid w:val="01B85F94"/>
    <w:rsid w:val="01D60B10"/>
    <w:rsid w:val="01E24E4B"/>
    <w:rsid w:val="023F0464"/>
    <w:rsid w:val="024535A0"/>
    <w:rsid w:val="0247556A"/>
    <w:rsid w:val="02714395"/>
    <w:rsid w:val="02720839"/>
    <w:rsid w:val="02775E4F"/>
    <w:rsid w:val="0281282A"/>
    <w:rsid w:val="02987B74"/>
    <w:rsid w:val="02A00FF1"/>
    <w:rsid w:val="02A5282B"/>
    <w:rsid w:val="02C933CD"/>
    <w:rsid w:val="02CB1CF7"/>
    <w:rsid w:val="02CD36F4"/>
    <w:rsid w:val="02DD1F30"/>
    <w:rsid w:val="02FE3E7B"/>
    <w:rsid w:val="030A6CC4"/>
    <w:rsid w:val="030D2310"/>
    <w:rsid w:val="032338E1"/>
    <w:rsid w:val="032923D9"/>
    <w:rsid w:val="032D29B2"/>
    <w:rsid w:val="032D4760"/>
    <w:rsid w:val="035937A7"/>
    <w:rsid w:val="03635BA2"/>
    <w:rsid w:val="036A59B4"/>
    <w:rsid w:val="039B2F0B"/>
    <w:rsid w:val="039B6747"/>
    <w:rsid w:val="03A17621"/>
    <w:rsid w:val="03B15391"/>
    <w:rsid w:val="03B24C65"/>
    <w:rsid w:val="03C70711"/>
    <w:rsid w:val="03D472D2"/>
    <w:rsid w:val="03E00F19"/>
    <w:rsid w:val="04003C23"/>
    <w:rsid w:val="040C0819"/>
    <w:rsid w:val="0418202A"/>
    <w:rsid w:val="042042C5"/>
    <w:rsid w:val="0422003D"/>
    <w:rsid w:val="042647B4"/>
    <w:rsid w:val="042F62B6"/>
    <w:rsid w:val="0442248D"/>
    <w:rsid w:val="0495080F"/>
    <w:rsid w:val="04956A61"/>
    <w:rsid w:val="04A40A52"/>
    <w:rsid w:val="04A86794"/>
    <w:rsid w:val="04C64E6C"/>
    <w:rsid w:val="04DA0DAB"/>
    <w:rsid w:val="04E11CA6"/>
    <w:rsid w:val="05151950"/>
    <w:rsid w:val="05283431"/>
    <w:rsid w:val="052B035A"/>
    <w:rsid w:val="052E222C"/>
    <w:rsid w:val="05654685"/>
    <w:rsid w:val="05A21435"/>
    <w:rsid w:val="05B918D7"/>
    <w:rsid w:val="05E22D85"/>
    <w:rsid w:val="05E74AEF"/>
    <w:rsid w:val="05F0727E"/>
    <w:rsid w:val="05F9301F"/>
    <w:rsid w:val="06043E9E"/>
    <w:rsid w:val="060A6FDB"/>
    <w:rsid w:val="062513A7"/>
    <w:rsid w:val="062E4A77"/>
    <w:rsid w:val="065169B7"/>
    <w:rsid w:val="065232F6"/>
    <w:rsid w:val="066E1317"/>
    <w:rsid w:val="068C3E93"/>
    <w:rsid w:val="069D39AB"/>
    <w:rsid w:val="06A27213"/>
    <w:rsid w:val="06A905A2"/>
    <w:rsid w:val="06B82B89"/>
    <w:rsid w:val="06BF5690"/>
    <w:rsid w:val="06C13B3D"/>
    <w:rsid w:val="06CD0C1A"/>
    <w:rsid w:val="06E415DA"/>
    <w:rsid w:val="06ED4932"/>
    <w:rsid w:val="07043A2A"/>
    <w:rsid w:val="070677A2"/>
    <w:rsid w:val="070E48A8"/>
    <w:rsid w:val="07155A8F"/>
    <w:rsid w:val="07577514"/>
    <w:rsid w:val="07623E5D"/>
    <w:rsid w:val="07666493"/>
    <w:rsid w:val="07735B4E"/>
    <w:rsid w:val="078F1CCE"/>
    <w:rsid w:val="07A11524"/>
    <w:rsid w:val="07A44D2D"/>
    <w:rsid w:val="07AB0349"/>
    <w:rsid w:val="07D16002"/>
    <w:rsid w:val="08033CE1"/>
    <w:rsid w:val="080B2B96"/>
    <w:rsid w:val="08314CF2"/>
    <w:rsid w:val="083B791F"/>
    <w:rsid w:val="08493DEA"/>
    <w:rsid w:val="084B1AA8"/>
    <w:rsid w:val="08573CD6"/>
    <w:rsid w:val="085D1644"/>
    <w:rsid w:val="086C1BEB"/>
    <w:rsid w:val="08752E31"/>
    <w:rsid w:val="08870126"/>
    <w:rsid w:val="088F0C53"/>
    <w:rsid w:val="08C1200F"/>
    <w:rsid w:val="08D60107"/>
    <w:rsid w:val="08D833C0"/>
    <w:rsid w:val="08DB6A0C"/>
    <w:rsid w:val="08E12275"/>
    <w:rsid w:val="08E477A1"/>
    <w:rsid w:val="08E55999"/>
    <w:rsid w:val="08E873D7"/>
    <w:rsid w:val="08F024B8"/>
    <w:rsid w:val="08F32F05"/>
    <w:rsid w:val="08F464D7"/>
    <w:rsid w:val="08FA1588"/>
    <w:rsid w:val="09016473"/>
    <w:rsid w:val="09033A4F"/>
    <w:rsid w:val="09045F63"/>
    <w:rsid w:val="09060CCF"/>
    <w:rsid w:val="090B72F2"/>
    <w:rsid w:val="090D0669"/>
    <w:rsid w:val="091C0C95"/>
    <w:rsid w:val="09532A47"/>
    <w:rsid w:val="095D5673"/>
    <w:rsid w:val="095E1B17"/>
    <w:rsid w:val="096D3B08"/>
    <w:rsid w:val="09772245"/>
    <w:rsid w:val="097D1872"/>
    <w:rsid w:val="097E5D15"/>
    <w:rsid w:val="0989582F"/>
    <w:rsid w:val="099870EA"/>
    <w:rsid w:val="09A03C4E"/>
    <w:rsid w:val="09A07FFE"/>
    <w:rsid w:val="09A137B2"/>
    <w:rsid w:val="09C6272F"/>
    <w:rsid w:val="09E029B5"/>
    <w:rsid w:val="09E57B43"/>
    <w:rsid w:val="0A960E3D"/>
    <w:rsid w:val="0AA00E18"/>
    <w:rsid w:val="0AB614DF"/>
    <w:rsid w:val="0ADA0003"/>
    <w:rsid w:val="0ADA341F"/>
    <w:rsid w:val="0AF04068"/>
    <w:rsid w:val="0AF50259"/>
    <w:rsid w:val="0B0B182B"/>
    <w:rsid w:val="0B0C55A3"/>
    <w:rsid w:val="0B11176E"/>
    <w:rsid w:val="0B3D1979"/>
    <w:rsid w:val="0B432F08"/>
    <w:rsid w:val="0B6E381F"/>
    <w:rsid w:val="0B7A075E"/>
    <w:rsid w:val="0B815649"/>
    <w:rsid w:val="0B894DF9"/>
    <w:rsid w:val="0BC07AD2"/>
    <w:rsid w:val="0BE013B4"/>
    <w:rsid w:val="0BE27694"/>
    <w:rsid w:val="0BFE313E"/>
    <w:rsid w:val="0C063DA0"/>
    <w:rsid w:val="0C1D5661"/>
    <w:rsid w:val="0C1E558E"/>
    <w:rsid w:val="0C291FD0"/>
    <w:rsid w:val="0C300E1D"/>
    <w:rsid w:val="0C4D19CF"/>
    <w:rsid w:val="0C522904"/>
    <w:rsid w:val="0C601702"/>
    <w:rsid w:val="0C7D0506"/>
    <w:rsid w:val="0C7F4408"/>
    <w:rsid w:val="0C8A49D1"/>
    <w:rsid w:val="0CC638F0"/>
    <w:rsid w:val="0CCF250D"/>
    <w:rsid w:val="0CCF6888"/>
    <w:rsid w:val="0CEF17A5"/>
    <w:rsid w:val="0CF84031"/>
    <w:rsid w:val="0D065FC8"/>
    <w:rsid w:val="0D0E1995"/>
    <w:rsid w:val="0D374B59"/>
    <w:rsid w:val="0D4E3C51"/>
    <w:rsid w:val="0D5374B9"/>
    <w:rsid w:val="0D5A43A4"/>
    <w:rsid w:val="0D896A37"/>
    <w:rsid w:val="0D957AD2"/>
    <w:rsid w:val="0D9D2C7A"/>
    <w:rsid w:val="0DCD726B"/>
    <w:rsid w:val="0DD203DE"/>
    <w:rsid w:val="0DDA54E4"/>
    <w:rsid w:val="0DEC3941"/>
    <w:rsid w:val="0E043EE4"/>
    <w:rsid w:val="0E0F33E0"/>
    <w:rsid w:val="0E0F38A2"/>
    <w:rsid w:val="0E5928AD"/>
    <w:rsid w:val="0E653000"/>
    <w:rsid w:val="0E7C47EE"/>
    <w:rsid w:val="0EAA4EB7"/>
    <w:rsid w:val="0EAC6E81"/>
    <w:rsid w:val="0EB21FBD"/>
    <w:rsid w:val="0EEF72C3"/>
    <w:rsid w:val="0EFE3455"/>
    <w:rsid w:val="0F07055B"/>
    <w:rsid w:val="0F0767AD"/>
    <w:rsid w:val="0F113188"/>
    <w:rsid w:val="0F143C29"/>
    <w:rsid w:val="0F29227F"/>
    <w:rsid w:val="0F3853C5"/>
    <w:rsid w:val="0F3B1FB3"/>
    <w:rsid w:val="0F40581B"/>
    <w:rsid w:val="0F4935D9"/>
    <w:rsid w:val="0F6E0014"/>
    <w:rsid w:val="0F706100"/>
    <w:rsid w:val="0F723C8C"/>
    <w:rsid w:val="0F7617CD"/>
    <w:rsid w:val="0F987405"/>
    <w:rsid w:val="0FB32592"/>
    <w:rsid w:val="0FB6788B"/>
    <w:rsid w:val="0FBE2B5A"/>
    <w:rsid w:val="0FC54741"/>
    <w:rsid w:val="0FD14C8B"/>
    <w:rsid w:val="0FF652C6"/>
    <w:rsid w:val="10000D77"/>
    <w:rsid w:val="10120F66"/>
    <w:rsid w:val="10162528"/>
    <w:rsid w:val="10166E4C"/>
    <w:rsid w:val="10280789"/>
    <w:rsid w:val="104574EA"/>
    <w:rsid w:val="10616D58"/>
    <w:rsid w:val="106317C1"/>
    <w:rsid w:val="10640E1A"/>
    <w:rsid w:val="108D101D"/>
    <w:rsid w:val="108D7DC6"/>
    <w:rsid w:val="10901321"/>
    <w:rsid w:val="109149C6"/>
    <w:rsid w:val="109B53FF"/>
    <w:rsid w:val="10B84B6F"/>
    <w:rsid w:val="10C36704"/>
    <w:rsid w:val="10C7057C"/>
    <w:rsid w:val="10CF32FA"/>
    <w:rsid w:val="10EA3C90"/>
    <w:rsid w:val="10F62635"/>
    <w:rsid w:val="112A6783"/>
    <w:rsid w:val="11375FBE"/>
    <w:rsid w:val="114333A1"/>
    <w:rsid w:val="11503189"/>
    <w:rsid w:val="115B0FFA"/>
    <w:rsid w:val="115F151F"/>
    <w:rsid w:val="11603F53"/>
    <w:rsid w:val="116C28F7"/>
    <w:rsid w:val="11806BCC"/>
    <w:rsid w:val="119245C3"/>
    <w:rsid w:val="11A71B81"/>
    <w:rsid w:val="11AA45C9"/>
    <w:rsid w:val="11AB78C4"/>
    <w:rsid w:val="11C50105"/>
    <w:rsid w:val="11CE678B"/>
    <w:rsid w:val="11CF74C4"/>
    <w:rsid w:val="11D30BC8"/>
    <w:rsid w:val="11DB182B"/>
    <w:rsid w:val="11FF376C"/>
    <w:rsid w:val="121A67F7"/>
    <w:rsid w:val="12525F91"/>
    <w:rsid w:val="12527D3F"/>
    <w:rsid w:val="12592360"/>
    <w:rsid w:val="126637EB"/>
    <w:rsid w:val="128B14A3"/>
    <w:rsid w:val="12A04F4F"/>
    <w:rsid w:val="12A460C1"/>
    <w:rsid w:val="12AC5303"/>
    <w:rsid w:val="12BB3B36"/>
    <w:rsid w:val="12DD1CFF"/>
    <w:rsid w:val="12E12E71"/>
    <w:rsid w:val="12ED5CBA"/>
    <w:rsid w:val="12EF37E0"/>
    <w:rsid w:val="12F11306"/>
    <w:rsid w:val="12FC31D3"/>
    <w:rsid w:val="130D010A"/>
    <w:rsid w:val="13257202"/>
    <w:rsid w:val="133631BD"/>
    <w:rsid w:val="13453400"/>
    <w:rsid w:val="135F0966"/>
    <w:rsid w:val="1377365B"/>
    <w:rsid w:val="137A29E8"/>
    <w:rsid w:val="13857617"/>
    <w:rsid w:val="139A6651"/>
    <w:rsid w:val="13A16876"/>
    <w:rsid w:val="13B16CE7"/>
    <w:rsid w:val="13B642FE"/>
    <w:rsid w:val="13BA2040"/>
    <w:rsid w:val="13BB1914"/>
    <w:rsid w:val="13C44C6D"/>
    <w:rsid w:val="13DB225F"/>
    <w:rsid w:val="13DD7ADC"/>
    <w:rsid w:val="13EB21F9"/>
    <w:rsid w:val="13F866C4"/>
    <w:rsid w:val="14027543"/>
    <w:rsid w:val="140530B1"/>
    <w:rsid w:val="141C5039"/>
    <w:rsid w:val="141F6347"/>
    <w:rsid w:val="142A5FDC"/>
    <w:rsid w:val="142B2A40"/>
    <w:rsid w:val="142E0338"/>
    <w:rsid w:val="143B3D82"/>
    <w:rsid w:val="1443132A"/>
    <w:rsid w:val="144933C4"/>
    <w:rsid w:val="146E4BD8"/>
    <w:rsid w:val="14700951"/>
    <w:rsid w:val="147A0359"/>
    <w:rsid w:val="148651F0"/>
    <w:rsid w:val="148B7538"/>
    <w:rsid w:val="149169E7"/>
    <w:rsid w:val="14AD5701"/>
    <w:rsid w:val="14B064D3"/>
    <w:rsid w:val="14D329F2"/>
    <w:rsid w:val="150B2427"/>
    <w:rsid w:val="151439D2"/>
    <w:rsid w:val="152628C2"/>
    <w:rsid w:val="15290693"/>
    <w:rsid w:val="15325C06"/>
    <w:rsid w:val="153D570D"/>
    <w:rsid w:val="156F0C08"/>
    <w:rsid w:val="157E709D"/>
    <w:rsid w:val="15825156"/>
    <w:rsid w:val="158E5532"/>
    <w:rsid w:val="15973CBB"/>
    <w:rsid w:val="15995C85"/>
    <w:rsid w:val="159A283B"/>
    <w:rsid w:val="15A44D56"/>
    <w:rsid w:val="15B900D5"/>
    <w:rsid w:val="15C42D02"/>
    <w:rsid w:val="15C727F2"/>
    <w:rsid w:val="15C87CCD"/>
    <w:rsid w:val="15DB28B8"/>
    <w:rsid w:val="161B48EC"/>
    <w:rsid w:val="16421E79"/>
    <w:rsid w:val="16493207"/>
    <w:rsid w:val="16552373"/>
    <w:rsid w:val="166B7621"/>
    <w:rsid w:val="16731E78"/>
    <w:rsid w:val="1679118E"/>
    <w:rsid w:val="16826719"/>
    <w:rsid w:val="16A00DA8"/>
    <w:rsid w:val="16A13043"/>
    <w:rsid w:val="16B02706"/>
    <w:rsid w:val="16BA2357"/>
    <w:rsid w:val="16BF796D"/>
    <w:rsid w:val="16D57BCB"/>
    <w:rsid w:val="170D15F4"/>
    <w:rsid w:val="170F66BD"/>
    <w:rsid w:val="171037CA"/>
    <w:rsid w:val="17131521"/>
    <w:rsid w:val="17147CB9"/>
    <w:rsid w:val="17360AC8"/>
    <w:rsid w:val="17384C14"/>
    <w:rsid w:val="17393C13"/>
    <w:rsid w:val="175B20CB"/>
    <w:rsid w:val="175B7696"/>
    <w:rsid w:val="176A116E"/>
    <w:rsid w:val="177D47A8"/>
    <w:rsid w:val="178A7F7B"/>
    <w:rsid w:val="179018DD"/>
    <w:rsid w:val="17961E8F"/>
    <w:rsid w:val="17A65C04"/>
    <w:rsid w:val="17C0399D"/>
    <w:rsid w:val="17C972FA"/>
    <w:rsid w:val="17CB63FF"/>
    <w:rsid w:val="17CE7E68"/>
    <w:rsid w:val="17E05DED"/>
    <w:rsid w:val="17E23913"/>
    <w:rsid w:val="18023FB5"/>
    <w:rsid w:val="1820443C"/>
    <w:rsid w:val="18295485"/>
    <w:rsid w:val="183103F7"/>
    <w:rsid w:val="18354ACF"/>
    <w:rsid w:val="18365A0D"/>
    <w:rsid w:val="187A3B4C"/>
    <w:rsid w:val="187C5B16"/>
    <w:rsid w:val="18955D2D"/>
    <w:rsid w:val="189F33C8"/>
    <w:rsid w:val="18AF6446"/>
    <w:rsid w:val="18B2778A"/>
    <w:rsid w:val="18CB43A7"/>
    <w:rsid w:val="18D13587"/>
    <w:rsid w:val="18F51424"/>
    <w:rsid w:val="19172397"/>
    <w:rsid w:val="1917583F"/>
    <w:rsid w:val="19193365"/>
    <w:rsid w:val="19282810"/>
    <w:rsid w:val="19297320"/>
    <w:rsid w:val="196366AC"/>
    <w:rsid w:val="196F6835"/>
    <w:rsid w:val="19856C4C"/>
    <w:rsid w:val="19866520"/>
    <w:rsid w:val="198A6011"/>
    <w:rsid w:val="19940C3D"/>
    <w:rsid w:val="1998697F"/>
    <w:rsid w:val="19A03A86"/>
    <w:rsid w:val="19A0795C"/>
    <w:rsid w:val="19A242E1"/>
    <w:rsid w:val="19D63004"/>
    <w:rsid w:val="19D92AF4"/>
    <w:rsid w:val="19FE21FC"/>
    <w:rsid w:val="1A0538E9"/>
    <w:rsid w:val="1A073B05"/>
    <w:rsid w:val="1A084B70"/>
    <w:rsid w:val="1A19736B"/>
    <w:rsid w:val="1A1F2BFD"/>
    <w:rsid w:val="1A203775"/>
    <w:rsid w:val="1A383B94"/>
    <w:rsid w:val="1A554870"/>
    <w:rsid w:val="1A66082C"/>
    <w:rsid w:val="1A705133"/>
    <w:rsid w:val="1A8567D8"/>
    <w:rsid w:val="1A8B2040"/>
    <w:rsid w:val="1AD03EF7"/>
    <w:rsid w:val="1AE254F2"/>
    <w:rsid w:val="1AE45BF4"/>
    <w:rsid w:val="1AEB0D31"/>
    <w:rsid w:val="1B11471E"/>
    <w:rsid w:val="1B121D3A"/>
    <w:rsid w:val="1B1B5E81"/>
    <w:rsid w:val="1B214753"/>
    <w:rsid w:val="1B222DFA"/>
    <w:rsid w:val="1B2435A0"/>
    <w:rsid w:val="1B274760"/>
    <w:rsid w:val="1B3C333B"/>
    <w:rsid w:val="1B497395"/>
    <w:rsid w:val="1B4D19EC"/>
    <w:rsid w:val="1B50328A"/>
    <w:rsid w:val="1B6D1746"/>
    <w:rsid w:val="1BC05D1A"/>
    <w:rsid w:val="1BC17CE4"/>
    <w:rsid w:val="1BEA58FD"/>
    <w:rsid w:val="1C2C1601"/>
    <w:rsid w:val="1C38492A"/>
    <w:rsid w:val="1C485D0F"/>
    <w:rsid w:val="1C4F0B8B"/>
    <w:rsid w:val="1C5F46E4"/>
    <w:rsid w:val="1C662D65"/>
    <w:rsid w:val="1C744D56"/>
    <w:rsid w:val="1C753007"/>
    <w:rsid w:val="1C935A22"/>
    <w:rsid w:val="1C9A2A0F"/>
    <w:rsid w:val="1CD001DE"/>
    <w:rsid w:val="1CD87093"/>
    <w:rsid w:val="1CE617B0"/>
    <w:rsid w:val="1CF07981"/>
    <w:rsid w:val="1D01040A"/>
    <w:rsid w:val="1D012A8E"/>
    <w:rsid w:val="1D1231FB"/>
    <w:rsid w:val="1D2D6FEF"/>
    <w:rsid w:val="1D38412F"/>
    <w:rsid w:val="1D45532A"/>
    <w:rsid w:val="1D5E4D92"/>
    <w:rsid w:val="1D7A5D3C"/>
    <w:rsid w:val="1D8D4321"/>
    <w:rsid w:val="1D9456B0"/>
    <w:rsid w:val="1D9B4C90"/>
    <w:rsid w:val="1D9C6BA7"/>
    <w:rsid w:val="1DC53ABB"/>
    <w:rsid w:val="1DC85359"/>
    <w:rsid w:val="1DD95F2A"/>
    <w:rsid w:val="1DDC3E11"/>
    <w:rsid w:val="1DE2466D"/>
    <w:rsid w:val="1DFE521F"/>
    <w:rsid w:val="1E0223B3"/>
    <w:rsid w:val="1E081BFA"/>
    <w:rsid w:val="1E14234D"/>
    <w:rsid w:val="1E1965DF"/>
    <w:rsid w:val="1E28404A"/>
    <w:rsid w:val="1E360515"/>
    <w:rsid w:val="1E3C6860"/>
    <w:rsid w:val="1E5E3995"/>
    <w:rsid w:val="1E613D0C"/>
    <w:rsid w:val="1E6A65D5"/>
    <w:rsid w:val="1E8618AA"/>
    <w:rsid w:val="1E8E65A3"/>
    <w:rsid w:val="1E982F7E"/>
    <w:rsid w:val="1E9A6CF6"/>
    <w:rsid w:val="1EA56127"/>
    <w:rsid w:val="1EAF3635"/>
    <w:rsid w:val="1EB51D82"/>
    <w:rsid w:val="1ECB3353"/>
    <w:rsid w:val="1ED27475"/>
    <w:rsid w:val="1ED45E22"/>
    <w:rsid w:val="1ED61CF8"/>
    <w:rsid w:val="1EE879B6"/>
    <w:rsid w:val="1EF503D0"/>
    <w:rsid w:val="1EF74148"/>
    <w:rsid w:val="1F073C5F"/>
    <w:rsid w:val="1F0B3750"/>
    <w:rsid w:val="1F4153C3"/>
    <w:rsid w:val="1F52137F"/>
    <w:rsid w:val="1F585820"/>
    <w:rsid w:val="1F7312F5"/>
    <w:rsid w:val="1F7B107E"/>
    <w:rsid w:val="1F813A12"/>
    <w:rsid w:val="1F8E4D0D"/>
    <w:rsid w:val="1F8E612F"/>
    <w:rsid w:val="1F933265"/>
    <w:rsid w:val="1F941997"/>
    <w:rsid w:val="1F9C6A9E"/>
    <w:rsid w:val="1FA47700"/>
    <w:rsid w:val="1FA83694"/>
    <w:rsid w:val="1FB65DB1"/>
    <w:rsid w:val="1FBC2C9C"/>
    <w:rsid w:val="1FC2498B"/>
    <w:rsid w:val="1FED10A7"/>
    <w:rsid w:val="1FFC578E"/>
    <w:rsid w:val="1FFE1506"/>
    <w:rsid w:val="1FFE5062"/>
    <w:rsid w:val="201C198C"/>
    <w:rsid w:val="20217B67"/>
    <w:rsid w:val="20230F6D"/>
    <w:rsid w:val="20234AC9"/>
    <w:rsid w:val="203767C6"/>
    <w:rsid w:val="2039253E"/>
    <w:rsid w:val="2043516B"/>
    <w:rsid w:val="204C04C4"/>
    <w:rsid w:val="2076109D"/>
    <w:rsid w:val="208C6B12"/>
    <w:rsid w:val="2096528F"/>
    <w:rsid w:val="209B6D55"/>
    <w:rsid w:val="209F6845"/>
    <w:rsid w:val="20A42F05"/>
    <w:rsid w:val="20A774A8"/>
    <w:rsid w:val="20D51A99"/>
    <w:rsid w:val="2107263D"/>
    <w:rsid w:val="21134B3E"/>
    <w:rsid w:val="211A2370"/>
    <w:rsid w:val="21397256"/>
    <w:rsid w:val="2144119B"/>
    <w:rsid w:val="21526D1B"/>
    <w:rsid w:val="215533A8"/>
    <w:rsid w:val="215E79BE"/>
    <w:rsid w:val="216E2542"/>
    <w:rsid w:val="21863561"/>
    <w:rsid w:val="21A734D8"/>
    <w:rsid w:val="21A80E9D"/>
    <w:rsid w:val="21C8620E"/>
    <w:rsid w:val="21CB2917"/>
    <w:rsid w:val="21DA1AFF"/>
    <w:rsid w:val="21E169EA"/>
    <w:rsid w:val="21F015B6"/>
    <w:rsid w:val="2207555D"/>
    <w:rsid w:val="220B3A67"/>
    <w:rsid w:val="2210107D"/>
    <w:rsid w:val="22273242"/>
    <w:rsid w:val="222D7D43"/>
    <w:rsid w:val="225B49EE"/>
    <w:rsid w:val="22813E3B"/>
    <w:rsid w:val="22853819"/>
    <w:rsid w:val="22A52C15"/>
    <w:rsid w:val="22AA3280"/>
    <w:rsid w:val="22AC53BE"/>
    <w:rsid w:val="22CC1448"/>
    <w:rsid w:val="22D4654E"/>
    <w:rsid w:val="22E06CA1"/>
    <w:rsid w:val="22E907A2"/>
    <w:rsid w:val="22EE3A71"/>
    <w:rsid w:val="22F17100"/>
    <w:rsid w:val="23045086"/>
    <w:rsid w:val="23137077"/>
    <w:rsid w:val="23261B35"/>
    <w:rsid w:val="23272B22"/>
    <w:rsid w:val="23330577"/>
    <w:rsid w:val="233F31F6"/>
    <w:rsid w:val="234A6048"/>
    <w:rsid w:val="23573852"/>
    <w:rsid w:val="235E2BD1"/>
    <w:rsid w:val="235F2990"/>
    <w:rsid w:val="2378337E"/>
    <w:rsid w:val="238B4E5F"/>
    <w:rsid w:val="23BC3AB0"/>
    <w:rsid w:val="23F67FA6"/>
    <w:rsid w:val="240069B4"/>
    <w:rsid w:val="241035B6"/>
    <w:rsid w:val="2425014F"/>
    <w:rsid w:val="2429545C"/>
    <w:rsid w:val="24341D75"/>
    <w:rsid w:val="244F40DF"/>
    <w:rsid w:val="24694582"/>
    <w:rsid w:val="246F2824"/>
    <w:rsid w:val="249441E7"/>
    <w:rsid w:val="24997A50"/>
    <w:rsid w:val="249C4BBB"/>
    <w:rsid w:val="24AA6765"/>
    <w:rsid w:val="24AE5C38"/>
    <w:rsid w:val="24B416CE"/>
    <w:rsid w:val="251B0465"/>
    <w:rsid w:val="25267DED"/>
    <w:rsid w:val="25317C88"/>
    <w:rsid w:val="25361296"/>
    <w:rsid w:val="2536529E"/>
    <w:rsid w:val="253F23A5"/>
    <w:rsid w:val="254B5DAB"/>
    <w:rsid w:val="254D531C"/>
    <w:rsid w:val="256421C0"/>
    <w:rsid w:val="256C6F12"/>
    <w:rsid w:val="256E108E"/>
    <w:rsid w:val="257162D7"/>
    <w:rsid w:val="257B7155"/>
    <w:rsid w:val="258E20A6"/>
    <w:rsid w:val="25DA0320"/>
    <w:rsid w:val="25DE2665"/>
    <w:rsid w:val="25E116AE"/>
    <w:rsid w:val="25E91C5D"/>
    <w:rsid w:val="25F0544D"/>
    <w:rsid w:val="25F34F3E"/>
    <w:rsid w:val="26061B44"/>
    <w:rsid w:val="26192BF6"/>
    <w:rsid w:val="262275D1"/>
    <w:rsid w:val="2629095F"/>
    <w:rsid w:val="26345C82"/>
    <w:rsid w:val="263C68E5"/>
    <w:rsid w:val="263E5C19"/>
    <w:rsid w:val="264D4AE7"/>
    <w:rsid w:val="26541209"/>
    <w:rsid w:val="267E514F"/>
    <w:rsid w:val="268A7650"/>
    <w:rsid w:val="26991330"/>
    <w:rsid w:val="26997893"/>
    <w:rsid w:val="26AB7EF8"/>
    <w:rsid w:val="26AF70B6"/>
    <w:rsid w:val="26CA4055"/>
    <w:rsid w:val="26CC5EBA"/>
    <w:rsid w:val="26E50D2A"/>
    <w:rsid w:val="26FE1DEC"/>
    <w:rsid w:val="2700271D"/>
    <w:rsid w:val="27286E18"/>
    <w:rsid w:val="272C6959"/>
    <w:rsid w:val="275163C0"/>
    <w:rsid w:val="2758774E"/>
    <w:rsid w:val="27653C19"/>
    <w:rsid w:val="276C144B"/>
    <w:rsid w:val="2771134C"/>
    <w:rsid w:val="27750300"/>
    <w:rsid w:val="27AF2C80"/>
    <w:rsid w:val="27C13545"/>
    <w:rsid w:val="27EE1E60"/>
    <w:rsid w:val="27FC27CF"/>
    <w:rsid w:val="2803474D"/>
    <w:rsid w:val="28060F58"/>
    <w:rsid w:val="280B47C0"/>
    <w:rsid w:val="281776AC"/>
    <w:rsid w:val="281E4E5C"/>
    <w:rsid w:val="284B3BC6"/>
    <w:rsid w:val="28506677"/>
    <w:rsid w:val="28645A37"/>
    <w:rsid w:val="28667C49"/>
    <w:rsid w:val="28753D57"/>
    <w:rsid w:val="287700A8"/>
    <w:rsid w:val="28893937"/>
    <w:rsid w:val="28920A3E"/>
    <w:rsid w:val="289534F5"/>
    <w:rsid w:val="28A16ED3"/>
    <w:rsid w:val="28CA329C"/>
    <w:rsid w:val="28CA642A"/>
    <w:rsid w:val="28DB4EF1"/>
    <w:rsid w:val="29011C0D"/>
    <w:rsid w:val="290A0F1C"/>
    <w:rsid w:val="29213387"/>
    <w:rsid w:val="29315676"/>
    <w:rsid w:val="29515CEB"/>
    <w:rsid w:val="29521364"/>
    <w:rsid w:val="295D5ECC"/>
    <w:rsid w:val="295E6B72"/>
    <w:rsid w:val="29763724"/>
    <w:rsid w:val="298365D8"/>
    <w:rsid w:val="29B64C00"/>
    <w:rsid w:val="29B6702A"/>
    <w:rsid w:val="29F64FFC"/>
    <w:rsid w:val="29F85218"/>
    <w:rsid w:val="2A112973"/>
    <w:rsid w:val="2A1C2CB5"/>
    <w:rsid w:val="2A391AB9"/>
    <w:rsid w:val="2A522E74"/>
    <w:rsid w:val="2A571F3F"/>
    <w:rsid w:val="2A573CED"/>
    <w:rsid w:val="2A720B27"/>
    <w:rsid w:val="2A742AF1"/>
    <w:rsid w:val="2A7A3E7F"/>
    <w:rsid w:val="2A9A007E"/>
    <w:rsid w:val="2AA07B14"/>
    <w:rsid w:val="2AAB228B"/>
    <w:rsid w:val="2AAF7153"/>
    <w:rsid w:val="2AB54EB7"/>
    <w:rsid w:val="2AD43590"/>
    <w:rsid w:val="2AD510B6"/>
    <w:rsid w:val="2AF53506"/>
    <w:rsid w:val="2AF878AA"/>
    <w:rsid w:val="2AFA50E7"/>
    <w:rsid w:val="2B067121"/>
    <w:rsid w:val="2B1240B8"/>
    <w:rsid w:val="2B1716CE"/>
    <w:rsid w:val="2B195BC3"/>
    <w:rsid w:val="2B3109E2"/>
    <w:rsid w:val="2B312790"/>
    <w:rsid w:val="2B6352AF"/>
    <w:rsid w:val="2B6C7E56"/>
    <w:rsid w:val="2B797C93"/>
    <w:rsid w:val="2B861772"/>
    <w:rsid w:val="2BC5112A"/>
    <w:rsid w:val="2BD80E5D"/>
    <w:rsid w:val="2BE45A54"/>
    <w:rsid w:val="2BF832AE"/>
    <w:rsid w:val="2BFE65D6"/>
    <w:rsid w:val="2BFF63EA"/>
    <w:rsid w:val="2C1874AC"/>
    <w:rsid w:val="2C1A1476"/>
    <w:rsid w:val="2C1F4CDE"/>
    <w:rsid w:val="2C333511"/>
    <w:rsid w:val="2C3F2C8B"/>
    <w:rsid w:val="2C477D91"/>
    <w:rsid w:val="2C4A2D0A"/>
    <w:rsid w:val="2C6F1ADB"/>
    <w:rsid w:val="2C9A25B7"/>
    <w:rsid w:val="2C9D1712"/>
    <w:rsid w:val="2CAB0E29"/>
    <w:rsid w:val="2CAB6572"/>
    <w:rsid w:val="2CAE39BA"/>
    <w:rsid w:val="2CED26E7"/>
    <w:rsid w:val="2CF0667B"/>
    <w:rsid w:val="2D13752C"/>
    <w:rsid w:val="2D18318D"/>
    <w:rsid w:val="2D300EFC"/>
    <w:rsid w:val="2D3F513B"/>
    <w:rsid w:val="2D4F33A1"/>
    <w:rsid w:val="2D6A3D37"/>
    <w:rsid w:val="2D742E08"/>
    <w:rsid w:val="2D962D7E"/>
    <w:rsid w:val="2DB2154A"/>
    <w:rsid w:val="2DC97D1C"/>
    <w:rsid w:val="2DEB5BE1"/>
    <w:rsid w:val="2DED7FEE"/>
    <w:rsid w:val="2DEF39C2"/>
    <w:rsid w:val="2DF14458"/>
    <w:rsid w:val="2E0B376C"/>
    <w:rsid w:val="2E1D349F"/>
    <w:rsid w:val="2E254102"/>
    <w:rsid w:val="2E304F81"/>
    <w:rsid w:val="2E3879E0"/>
    <w:rsid w:val="2E4A2DDA"/>
    <w:rsid w:val="2E50117F"/>
    <w:rsid w:val="2E5721D6"/>
    <w:rsid w:val="2E791EC3"/>
    <w:rsid w:val="2E870919"/>
    <w:rsid w:val="2E933762"/>
    <w:rsid w:val="2EA9088F"/>
    <w:rsid w:val="2EA94D33"/>
    <w:rsid w:val="2EAE60F1"/>
    <w:rsid w:val="2EB1632E"/>
    <w:rsid w:val="2EB57CA5"/>
    <w:rsid w:val="2EBE07DF"/>
    <w:rsid w:val="2ED1078B"/>
    <w:rsid w:val="2EDE49DD"/>
    <w:rsid w:val="2EF064BE"/>
    <w:rsid w:val="2EF3743D"/>
    <w:rsid w:val="2F0106CB"/>
    <w:rsid w:val="2F1777F0"/>
    <w:rsid w:val="2F195A15"/>
    <w:rsid w:val="2F1A353B"/>
    <w:rsid w:val="2F2A7575"/>
    <w:rsid w:val="2F3445FD"/>
    <w:rsid w:val="2F5F67B5"/>
    <w:rsid w:val="2F633F94"/>
    <w:rsid w:val="2F6E42FA"/>
    <w:rsid w:val="2F805A94"/>
    <w:rsid w:val="2F8108E2"/>
    <w:rsid w:val="2F972DDE"/>
    <w:rsid w:val="2FC16BFF"/>
    <w:rsid w:val="2FC33BD3"/>
    <w:rsid w:val="2FF40284"/>
    <w:rsid w:val="2FFA3A98"/>
    <w:rsid w:val="30036183"/>
    <w:rsid w:val="300C07F9"/>
    <w:rsid w:val="3011493E"/>
    <w:rsid w:val="301D32E3"/>
    <w:rsid w:val="3049232A"/>
    <w:rsid w:val="305603A6"/>
    <w:rsid w:val="30654D09"/>
    <w:rsid w:val="3086532C"/>
    <w:rsid w:val="30936FF5"/>
    <w:rsid w:val="30963095"/>
    <w:rsid w:val="309C45E7"/>
    <w:rsid w:val="30A12166"/>
    <w:rsid w:val="30A13BD7"/>
    <w:rsid w:val="30AE4883"/>
    <w:rsid w:val="30B71989"/>
    <w:rsid w:val="30BD3254"/>
    <w:rsid w:val="30CA0702"/>
    <w:rsid w:val="30CF6097"/>
    <w:rsid w:val="30CF6683"/>
    <w:rsid w:val="30D065A7"/>
    <w:rsid w:val="30D51E0F"/>
    <w:rsid w:val="30D61ED4"/>
    <w:rsid w:val="30DD0CC4"/>
    <w:rsid w:val="30E20088"/>
    <w:rsid w:val="310F320C"/>
    <w:rsid w:val="312B1A2F"/>
    <w:rsid w:val="31313A34"/>
    <w:rsid w:val="315C0D08"/>
    <w:rsid w:val="317F1A54"/>
    <w:rsid w:val="31C364EC"/>
    <w:rsid w:val="31D41044"/>
    <w:rsid w:val="31D64091"/>
    <w:rsid w:val="31D976DD"/>
    <w:rsid w:val="31F8501E"/>
    <w:rsid w:val="31FB5844"/>
    <w:rsid w:val="31FC33CC"/>
    <w:rsid w:val="32153953"/>
    <w:rsid w:val="32186458"/>
    <w:rsid w:val="32195D2C"/>
    <w:rsid w:val="321E77E6"/>
    <w:rsid w:val="322C5A5F"/>
    <w:rsid w:val="322D17D7"/>
    <w:rsid w:val="32326DEE"/>
    <w:rsid w:val="323576DA"/>
    <w:rsid w:val="3243731A"/>
    <w:rsid w:val="32780945"/>
    <w:rsid w:val="328119CD"/>
    <w:rsid w:val="32A93554"/>
    <w:rsid w:val="32AC4289"/>
    <w:rsid w:val="32BE5662"/>
    <w:rsid w:val="32D0288E"/>
    <w:rsid w:val="32F02F31"/>
    <w:rsid w:val="33105381"/>
    <w:rsid w:val="332E1CAB"/>
    <w:rsid w:val="3341378C"/>
    <w:rsid w:val="33490375"/>
    <w:rsid w:val="33554575"/>
    <w:rsid w:val="337F6063"/>
    <w:rsid w:val="339733AC"/>
    <w:rsid w:val="33A13E34"/>
    <w:rsid w:val="33AB50A9"/>
    <w:rsid w:val="33D44600"/>
    <w:rsid w:val="33EA7980"/>
    <w:rsid w:val="33F87A3F"/>
    <w:rsid w:val="33F94067"/>
    <w:rsid w:val="33FD557F"/>
    <w:rsid w:val="34082B44"/>
    <w:rsid w:val="340B5857"/>
    <w:rsid w:val="341669C7"/>
    <w:rsid w:val="341A3513"/>
    <w:rsid w:val="342F1837"/>
    <w:rsid w:val="347C7A35"/>
    <w:rsid w:val="347E631A"/>
    <w:rsid w:val="34931DC5"/>
    <w:rsid w:val="349B3370"/>
    <w:rsid w:val="34B41D3C"/>
    <w:rsid w:val="34D04DC8"/>
    <w:rsid w:val="34F226A3"/>
    <w:rsid w:val="34F82570"/>
    <w:rsid w:val="34FC3E0F"/>
    <w:rsid w:val="351C2BB8"/>
    <w:rsid w:val="352E7D40"/>
    <w:rsid w:val="3538296D"/>
    <w:rsid w:val="353A713F"/>
    <w:rsid w:val="35513922"/>
    <w:rsid w:val="3566572C"/>
    <w:rsid w:val="356E0679"/>
    <w:rsid w:val="357F059C"/>
    <w:rsid w:val="358D3C5A"/>
    <w:rsid w:val="3592002F"/>
    <w:rsid w:val="35AA397D"/>
    <w:rsid w:val="35BF4E3C"/>
    <w:rsid w:val="35F43F4A"/>
    <w:rsid w:val="35F920FC"/>
    <w:rsid w:val="36056CF3"/>
    <w:rsid w:val="364001C7"/>
    <w:rsid w:val="36462E68"/>
    <w:rsid w:val="3656754F"/>
    <w:rsid w:val="3659703F"/>
    <w:rsid w:val="365C3BAD"/>
    <w:rsid w:val="366072AB"/>
    <w:rsid w:val="366150EE"/>
    <w:rsid w:val="366A4DA8"/>
    <w:rsid w:val="36703DC4"/>
    <w:rsid w:val="367F7DF8"/>
    <w:rsid w:val="36851BE2"/>
    <w:rsid w:val="36A24542"/>
    <w:rsid w:val="36AB243C"/>
    <w:rsid w:val="36B204FD"/>
    <w:rsid w:val="36C33AFE"/>
    <w:rsid w:val="36C95B54"/>
    <w:rsid w:val="36D30B9F"/>
    <w:rsid w:val="36DA1F2E"/>
    <w:rsid w:val="36E508D2"/>
    <w:rsid w:val="36F357AF"/>
    <w:rsid w:val="37133692"/>
    <w:rsid w:val="37206361"/>
    <w:rsid w:val="3726294D"/>
    <w:rsid w:val="3728009E"/>
    <w:rsid w:val="374A67D1"/>
    <w:rsid w:val="376E08C8"/>
    <w:rsid w:val="378E1A2B"/>
    <w:rsid w:val="378E4AC6"/>
    <w:rsid w:val="378F1341"/>
    <w:rsid w:val="37914E1C"/>
    <w:rsid w:val="37B02C8E"/>
    <w:rsid w:val="37B81B43"/>
    <w:rsid w:val="380958D5"/>
    <w:rsid w:val="38176009"/>
    <w:rsid w:val="381C6576"/>
    <w:rsid w:val="3825367C"/>
    <w:rsid w:val="383E64EC"/>
    <w:rsid w:val="384B0C09"/>
    <w:rsid w:val="38530FF4"/>
    <w:rsid w:val="38575DB5"/>
    <w:rsid w:val="388243D6"/>
    <w:rsid w:val="388D4D7E"/>
    <w:rsid w:val="38AE5AAE"/>
    <w:rsid w:val="38BE211F"/>
    <w:rsid w:val="38BE2D85"/>
    <w:rsid w:val="38C5558A"/>
    <w:rsid w:val="38DD71EC"/>
    <w:rsid w:val="38EA0422"/>
    <w:rsid w:val="38FD1F03"/>
    <w:rsid w:val="391334D5"/>
    <w:rsid w:val="391978EF"/>
    <w:rsid w:val="393578EF"/>
    <w:rsid w:val="39364146"/>
    <w:rsid w:val="398A1150"/>
    <w:rsid w:val="398D6467"/>
    <w:rsid w:val="39B051C8"/>
    <w:rsid w:val="39C60B71"/>
    <w:rsid w:val="39CD5D7A"/>
    <w:rsid w:val="39D0617D"/>
    <w:rsid w:val="39E92488"/>
    <w:rsid w:val="39F205F1"/>
    <w:rsid w:val="39F41558"/>
    <w:rsid w:val="39FF1E0A"/>
    <w:rsid w:val="3A0D43C8"/>
    <w:rsid w:val="3A105C66"/>
    <w:rsid w:val="3A135A35"/>
    <w:rsid w:val="3A2B2AA0"/>
    <w:rsid w:val="3A2B6F44"/>
    <w:rsid w:val="3A347BA7"/>
    <w:rsid w:val="3A3A2CE3"/>
    <w:rsid w:val="3A573895"/>
    <w:rsid w:val="3A5C691B"/>
    <w:rsid w:val="3A613026"/>
    <w:rsid w:val="3A6B7341"/>
    <w:rsid w:val="3A712515"/>
    <w:rsid w:val="3AB17012"/>
    <w:rsid w:val="3AB56185"/>
    <w:rsid w:val="3ABB3136"/>
    <w:rsid w:val="3AE50EA1"/>
    <w:rsid w:val="3AFB60DC"/>
    <w:rsid w:val="3B0C4D1D"/>
    <w:rsid w:val="3B0E03F8"/>
    <w:rsid w:val="3B167C0B"/>
    <w:rsid w:val="3B286FE0"/>
    <w:rsid w:val="3B471B5C"/>
    <w:rsid w:val="3B4E6A46"/>
    <w:rsid w:val="3B583D69"/>
    <w:rsid w:val="3B7B2140"/>
    <w:rsid w:val="3B7B3C9E"/>
    <w:rsid w:val="3B7F22D6"/>
    <w:rsid w:val="3B8F7FFA"/>
    <w:rsid w:val="3B9A1EA4"/>
    <w:rsid w:val="3BA7084C"/>
    <w:rsid w:val="3BB15227"/>
    <w:rsid w:val="3BE54A14"/>
    <w:rsid w:val="3BE9342A"/>
    <w:rsid w:val="3BF750E1"/>
    <w:rsid w:val="3C0C4D5B"/>
    <w:rsid w:val="3C1E28BD"/>
    <w:rsid w:val="3C293BC2"/>
    <w:rsid w:val="3C2F4ACA"/>
    <w:rsid w:val="3C3F6EED"/>
    <w:rsid w:val="3C6F3118"/>
    <w:rsid w:val="3C74613C"/>
    <w:rsid w:val="3C7E2B25"/>
    <w:rsid w:val="3C877FE3"/>
    <w:rsid w:val="3C8B3CCA"/>
    <w:rsid w:val="3CA01012"/>
    <w:rsid w:val="3CB202D6"/>
    <w:rsid w:val="3CB52AF5"/>
    <w:rsid w:val="3CD613E9"/>
    <w:rsid w:val="3CE401C5"/>
    <w:rsid w:val="3CE91981"/>
    <w:rsid w:val="3CEC29BB"/>
    <w:rsid w:val="3CF87027"/>
    <w:rsid w:val="3CFC0724"/>
    <w:rsid w:val="3D163594"/>
    <w:rsid w:val="3D207281"/>
    <w:rsid w:val="3D2C2DB7"/>
    <w:rsid w:val="3D672041"/>
    <w:rsid w:val="3D7B789B"/>
    <w:rsid w:val="3D87623F"/>
    <w:rsid w:val="3D8C7CFA"/>
    <w:rsid w:val="3D94181C"/>
    <w:rsid w:val="3DB00D18"/>
    <w:rsid w:val="3DBA4867"/>
    <w:rsid w:val="3DC9653B"/>
    <w:rsid w:val="3DC96858"/>
    <w:rsid w:val="3DD31EFC"/>
    <w:rsid w:val="3E0B6E71"/>
    <w:rsid w:val="3E0D3B8F"/>
    <w:rsid w:val="3E1C2E2C"/>
    <w:rsid w:val="3E330175"/>
    <w:rsid w:val="3E3F4D6C"/>
    <w:rsid w:val="3E444130"/>
    <w:rsid w:val="3E45258B"/>
    <w:rsid w:val="3E5F0F6A"/>
    <w:rsid w:val="3E6B1F14"/>
    <w:rsid w:val="3E7A6D31"/>
    <w:rsid w:val="3ECA2888"/>
    <w:rsid w:val="3ED96F6F"/>
    <w:rsid w:val="3EDA1E89"/>
    <w:rsid w:val="3EF47905"/>
    <w:rsid w:val="3F0C11A9"/>
    <w:rsid w:val="3F2006FA"/>
    <w:rsid w:val="3F2432A9"/>
    <w:rsid w:val="3F2C3542"/>
    <w:rsid w:val="3F316DAB"/>
    <w:rsid w:val="3F367F1D"/>
    <w:rsid w:val="3F4C7741"/>
    <w:rsid w:val="3F520ACF"/>
    <w:rsid w:val="3F6F38B1"/>
    <w:rsid w:val="3F815597"/>
    <w:rsid w:val="3F8C0675"/>
    <w:rsid w:val="3FA53259"/>
    <w:rsid w:val="3FB65236"/>
    <w:rsid w:val="3FBE071F"/>
    <w:rsid w:val="3FFA0F65"/>
    <w:rsid w:val="400E7381"/>
    <w:rsid w:val="403B61BE"/>
    <w:rsid w:val="403C77B5"/>
    <w:rsid w:val="403D6568"/>
    <w:rsid w:val="40552625"/>
    <w:rsid w:val="405F34A4"/>
    <w:rsid w:val="40640ABA"/>
    <w:rsid w:val="40784565"/>
    <w:rsid w:val="40842F0A"/>
    <w:rsid w:val="408745C2"/>
    <w:rsid w:val="40A62E81"/>
    <w:rsid w:val="40AF442B"/>
    <w:rsid w:val="40BD01A1"/>
    <w:rsid w:val="40CD3FF4"/>
    <w:rsid w:val="40F571EB"/>
    <w:rsid w:val="40F77B80"/>
    <w:rsid w:val="4105337E"/>
    <w:rsid w:val="4108613C"/>
    <w:rsid w:val="411F101A"/>
    <w:rsid w:val="41213BDD"/>
    <w:rsid w:val="414601C0"/>
    <w:rsid w:val="41511589"/>
    <w:rsid w:val="415957F8"/>
    <w:rsid w:val="41670862"/>
    <w:rsid w:val="41760AA5"/>
    <w:rsid w:val="41781AFB"/>
    <w:rsid w:val="418807D8"/>
    <w:rsid w:val="41993698"/>
    <w:rsid w:val="419E624E"/>
    <w:rsid w:val="41B4616B"/>
    <w:rsid w:val="41CA7043"/>
    <w:rsid w:val="41DB4DAC"/>
    <w:rsid w:val="41E35FAA"/>
    <w:rsid w:val="41F3622B"/>
    <w:rsid w:val="41F6443A"/>
    <w:rsid w:val="41FF65A5"/>
    <w:rsid w:val="42067245"/>
    <w:rsid w:val="420C6766"/>
    <w:rsid w:val="424B0183"/>
    <w:rsid w:val="424C6071"/>
    <w:rsid w:val="425132C0"/>
    <w:rsid w:val="425773AB"/>
    <w:rsid w:val="42610F23"/>
    <w:rsid w:val="426B6130"/>
    <w:rsid w:val="42816EC0"/>
    <w:rsid w:val="429531AD"/>
    <w:rsid w:val="42AB29D0"/>
    <w:rsid w:val="42B62EBF"/>
    <w:rsid w:val="42BA0E65"/>
    <w:rsid w:val="42BF13A8"/>
    <w:rsid w:val="42C73FA3"/>
    <w:rsid w:val="42D81D62"/>
    <w:rsid w:val="42DC004C"/>
    <w:rsid w:val="42DE0FF8"/>
    <w:rsid w:val="42E163F2"/>
    <w:rsid w:val="42EA174A"/>
    <w:rsid w:val="42F92679"/>
    <w:rsid w:val="42FD6AEA"/>
    <w:rsid w:val="4304139C"/>
    <w:rsid w:val="43066BB7"/>
    <w:rsid w:val="430F0607"/>
    <w:rsid w:val="430F26D4"/>
    <w:rsid w:val="43170066"/>
    <w:rsid w:val="432A251A"/>
    <w:rsid w:val="432A61EE"/>
    <w:rsid w:val="433107D0"/>
    <w:rsid w:val="43413334"/>
    <w:rsid w:val="434577DA"/>
    <w:rsid w:val="43486471"/>
    <w:rsid w:val="434D1CD9"/>
    <w:rsid w:val="4372194D"/>
    <w:rsid w:val="43907070"/>
    <w:rsid w:val="43BD0C0D"/>
    <w:rsid w:val="43CF26EE"/>
    <w:rsid w:val="43D30AB1"/>
    <w:rsid w:val="43FB34E3"/>
    <w:rsid w:val="44093E52"/>
    <w:rsid w:val="4416031D"/>
    <w:rsid w:val="44242BF2"/>
    <w:rsid w:val="44295A18"/>
    <w:rsid w:val="443600D1"/>
    <w:rsid w:val="44422052"/>
    <w:rsid w:val="4446213C"/>
    <w:rsid w:val="444843DB"/>
    <w:rsid w:val="445B0426"/>
    <w:rsid w:val="446D371D"/>
    <w:rsid w:val="447A08AC"/>
    <w:rsid w:val="447A4D50"/>
    <w:rsid w:val="447D214A"/>
    <w:rsid w:val="448C0A90"/>
    <w:rsid w:val="44B85878"/>
    <w:rsid w:val="44D0671E"/>
    <w:rsid w:val="44D877ED"/>
    <w:rsid w:val="44E16B7D"/>
    <w:rsid w:val="44F57952"/>
    <w:rsid w:val="44F763A1"/>
    <w:rsid w:val="450308A1"/>
    <w:rsid w:val="45097E82"/>
    <w:rsid w:val="451A5BEB"/>
    <w:rsid w:val="45380515"/>
    <w:rsid w:val="453F3F6E"/>
    <w:rsid w:val="454D5FC1"/>
    <w:rsid w:val="4550160D"/>
    <w:rsid w:val="455870C9"/>
    <w:rsid w:val="455A248C"/>
    <w:rsid w:val="455C26A8"/>
    <w:rsid w:val="456926CF"/>
    <w:rsid w:val="45692AA8"/>
    <w:rsid w:val="45701CAF"/>
    <w:rsid w:val="45800144"/>
    <w:rsid w:val="4586275D"/>
    <w:rsid w:val="45930267"/>
    <w:rsid w:val="45A100BA"/>
    <w:rsid w:val="45BE2A1A"/>
    <w:rsid w:val="45CC4274"/>
    <w:rsid w:val="45D40E9D"/>
    <w:rsid w:val="45DE620E"/>
    <w:rsid w:val="45E958C2"/>
    <w:rsid w:val="45EB67D2"/>
    <w:rsid w:val="4609638B"/>
    <w:rsid w:val="46144D30"/>
    <w:rsid w:val="46160AA8"/>
    <w:rsid w:val="461B3F58"/>
    <w:rsid w:val="46386C71"/>
    <w:rsid w:val="463B406B"/>
    <w:rsid w:val="464078D3"/>
    <w:rsid w:val="46412573"/>
    <w:rsid w:val="464F7B16"/>
    <w:rsid w:val="46525488"/>
    <w:rsid w:val="46535BAB"/>
    <w:rsid w:val="46554453"/>
    <w:rsid w:val="465670F7"/>
    <w:rsid w:val="465B1E84"/>
    <w:rsid w:val="46804174"/>
    <w:rsid w:val="468A10C9"/>
    <w:rsid w:val="46A75BA4"/>
    <w:rsid w:val="46B9431C"/>
    <w:rsid w:val="46D83FB0"/>
    <w:rsid w:val="46DC584E"/>
    <w:rsid w:val="46DD15C6"/>
    <w:rsid w:val="46F01A52"/>
    <w:rsid w:val="46FD0452"/>
    <w:rsid w:val="46FE1EC1"/>
    <w:rsid w:val="47173339"/>
    <w:rsid w:val="471D19C3"/>
    <w:rsid w:val="473769FB"/>
    <w:rsid w:val="473A2575"/>
    <w:rsid w:val="473B6AF6"/>
    <w:rsid w:val="47413903"/>
    <w:rsid w:val="4745097C"/>
    <w:rsid w:val="47631ACB"/>
    <w:rsid w:val="47681176"/>
    <w:rsid w:val="478D08F6"/>
    <w:rsid w:val="47AF0CB0"/>
    <w:rsid w:val="47B57E4D"/>
    <w:rsid w:val="47C14A44"/>
    <w:rsid w:val="47ED5839"/>
    <w:rsid w:val="47EE3876"/>
    <w:rsid w:val="47FE7A46"/>
    <w:rsid w:val="481608EC"/>
    <w:rsid w:val="482B052A"/>
    <w:rsid w:val="482F19AD"/>
    <w:rsid w:val="48321BFE"/>
    <w:rsid w:val="483D40CA"/>
    <w:rsid w:val="4840005F"/>
    <w:rsid w:val="484F2050"/>
    <w:rsid w:val="4860600B"/>
    <w:rsid w:val="48716EA2"/>
    <w:rsid w:val="487A3570"/>
    <w:rsid w:val="487F60CE"/>
    <w:rsid w:val="48AB372A"/>
    <w:rsid w:val="48D24757"/>
    <w:rsid w:val="48DF1625"/>
    <w:rsid w:val="48E71DE0"/>
    <w:rsid w:val="48E955FE"/>
    <w:rsid w:val="48EB6509"/>
    <w:rsid w:val="48F50E49"/>
    <w:rsid w:val="48FD6371"/>
    <w:rsid w:val="48FF5824"/>
    <w:rsid w:val="49115557"/>
    <w:rsid w:val="49184B37"/>
    <w:rsid w:val="49494CF1"/>
    <w:rsid w:val="49650D95"/>
    <w:rsid w:val="49775F25"/>
    <w:rsid w:val="49830203"/>
    <w:rsid w:val="498875C7"/>
    <w:rsid w:val="49B900C8"/>
    <w:rsid w:val="49B948C6"/>
    <w:rsid w:val="49C36851"/>
    <w:rsid w:val="49CF51F6"/>
    <w:rsid w:val="49E9664A"/>
    <w:rsid w:val="49EA3E58"/>
    <w:rsid w:val="4A143551"/>
    <w:rsid w:val="4A1836FF"/>
    <w:rsid w:val="4A3B4F46"/>
    <w:rsid w:val="4A4554B8"/>
    <w:rsid w:val="4A595408"/>
    <w:rsid w:val="4A5971B6"/>
    <w:rsid w:val="4A5C2802"/>
    <w:rsid w:val="4A5D766A"/>
    <w:rsid w:val="4A673681"/>
    <w:rsid w:val="4A7759C5"/>
    <w:rsid w:val="4A857FAB"/>
    <w:rsid w:val="4A871F75"/>
    <w:rsid w:val="4A9457E6"/>
    <w:rsid w:val="4A9871C3"/>
    <w:rsid w:val="4AC16991"/>
    <w:rsid w:val="4AC24D5B"/>
    <w:rsid w:val="4ACB602B"/>
    <w:rsid w:val="4ACE1952"/>
    <w:rsid w:val="4ACF0F07"/>
    <w:rsid w:val="4B0C4228"/>
    <w:rsid w:val="4B0F4B86"/>
    <w:rsid w:val="4B200A28"/>
    <w:rsid w:val="4B3A2B43"/>
    <w:rsid w:val="4B4E4840"/>
    <w:rsid w:val="4B585BB2"/>
    <w:rsid w:val="4B617617"/>
    <w:rsid w:val="4B6E6C91"/>
    <w:rsid w:val="4B7324F9"/>
    <w:rsid w:val="4B8137BE"/>
    <w:rsid w:val="4B8169C4"/>
    <w:rsid w:val="4B8270B7"/>
    <w:rsid w:val="4B882CCA"/>
    <w:rsid w:val="4B897627"/>
    <w:rsid w:val="4B9009B5"/>
    <w:rsid w:val="4B9366F7"/>
    <w:rsid w:val="4BA803F5"/>
    <w:rsid w:val="4BC06985"/>
    <w:rsid w:val="4BD1035B"/>
    <w:rsid w:val="4BD9235C"/>
    <w:rsid w:val="4BEE392E"/>
    <w:rsid w:val="4BEF63DD"/>
    <w:rsid w:val="4C1304F8"/>
    <w:rsid w:val="4C1710D6"/>
    <w:rsid w:val="4C172E84"/>
    <w:rsid w:val="4C266B6F"/>
    <w:rsid w:val="4C417533"/>
    <w:rsid w:val="4C493FB8"/>
    <w:rsid w:val="4C497552"/>
    <w:rsid w:val="4C4A14AC"/>
    <w:rsid w:val="4C545E87"/>
    <w:rsid w:val="4C56556E"/>
    <w:rsid w:val="4C6A56AA"/>
    <w:rsid w:val="4CAA1EF9"/>
    <w:rsid w:val="4CAF54B5"/>
    <w:rsid w:val="4CC90623"/>
    <w:rsid w:val="4CCB5621"/>
    <w:rsid w:val="4CD6614F"/>
    <w:rsid w:val="4CD945DE"/>
    <w:rsid w:val="4CDB65A8"/>
    <w:rsid w:val="4CF3744D"/>
    <w:rsid w:val="4D021466"/>
    <w:rsid w:val="4D147D15"/>
    <w:rsid w:val="4D2C6E03"/>
    <w:rsid w:val="4D3637DE"/>
    <w:rsid w:val="4D3A32CE"/>
    <w:rsid w:val="4D3D7270"/>
    <w:rsid w:val="4D491763"/>
    <w:rsid w:val="4D5E6D65"/>
    <w:rsid w:val="4D6537ED"/>
    <w:rsid w:val="4D7A191D"/>
    <w:rsid w:val="4D7C3266"/>
    <w:rsid w:val="4D840509"/>
    <w:rsid w:val="4D9B2972"/>
    <w:rsid w:val="4D9F75D5"/>
    <w:rsid w:val="4DAB7D28"/>
    <w:rsid w:val="4DB43081"/>
    <w:rsid w:val="4DC87D7D"/>
    <w:rsid w:val="4DD03C33"/>
    <w:rsid w:val="4DDD1EDB"/>
    <w:rsid w:val="4DE80F7C"/>
    <w:rsid w:val="4DEB1F11"/>
    <w:rsid w:val="4DFD3E60"/>
    <w:rsid w:val="4E015B9A"/>
    <w:rsid w:val="4E06200E"/>
    <w:rsid w:val="4E1B3100"/>
    <w:rsid w:val="4E1C0C26"/>
    <w:rsid w:val="4E1C52A3"/>
    <w:rsid w:val="4E230DF5"/>
    <w:rsid w:val="4E2D698F"/>
    <w:rsid w:val="4E330B17"/>
    <w:rsid w:val="4E5C7274"/>
    <w:rsid w:val="4E807407"/>
    <w:rsid w:val="4EA330F5"/>
    <w:rsid w:val="4EA8070C"/>
    <w:rsid w:val="4EAA7467"/>
    <w:rsid w:val="4EB470B0"/>
    <w:rsid w:val="4EC866B8"/>
    <w:rsid w:val="4ECE7984"/>
    <w:rsid w:val="4ED137BE"/>
    <w:rsid w:val="4EDD3D64"/>
    <w:rsid w:val="4EE03A01"/>
    <w:rsid w:val="4F2F0FF2"/>
    <w:rsid w:val="4F440434"/>
    <w:rsid w:val="4F457D08"/>
    <w:rsid w:val="4F561F16"/>
    <w:rsid w:val="4F565CBB"/>
    <w:rsid w:val="4F6E725F"/>
    <w:rsid w:val="4F740E0E"/>
    <w:rsid w:val="4F8548EE"/>
    <w:rsid w:val="4F860A4D"/>
    <w:rsid w:val="4F875B29"/>
    <w:rsid w:val="4F894099"/>
    <w:rsid w:val="4F8A253C"/>
    <w:rsid w:val="4F8F6435"/>
    <w:rsid w:val="4F950C90"/>
    <w:rsid w:val="4F9667B6"/>
    <w:rsid w:val="4F98252E"/>
    <w:rsid w:val="4F9F2B64"/>
    <w:rsid w:val="4FB235F0"/>
    <w:rsid w:val="4FCC21D8"/>
    <w:rsid w:val="4FD572DE"/>
    <w:rsid w:val="4FDC066D"/>
    <w:rsid w:val="4FDE2637"/>
    <w:rsid w:val="4FE63299"/>
    <w:rsid w:val="4FE70E6E"/>
    <w:rsid w:val="4FE87012"/>
    <w:rsid w:val="4FF9723D"/>
    <w:rsid w:val="4FFF25AD"/>
    <w:rsid w:val="50077ED7"/>
    <w:rsid w:val="500A32CB"/>
    <w:rsid w:val="500B4BA9"/>
    <w:rsid w:val="502142D2"/>
    <w:rsid w:val="502E0831"/>
    <w:rsid w:val="502E69EF"/>
    <w:rsid w:val="502F155F"/>
    <w:rsid w:val="50354221"/>
    <w:rsid w:val="504A0F22"/>
    <w:rsid w:val="504A72AE"/>
    <w:rsid w:val="505C355C"/>
    <w:rsid w:val="50726BE2"/>
    <w:rsid w:val="50870E47"/>
    <w:rsid w:val="50977777"/>
    <w:rsid w:val="50B11AF9"/>
    <w:rsid w:val="50CF32A9"/>
    <w:rsid w:val="50F24D94"/>
    <w:rsid w:val="50FD4D3F"/>
    <w:rsid w:val="50FE4613"/>
    <w:rsid w:val="511300BE"/>
    <w:rsid w:val="51387B25"/>
    <w:rsid w:val="51711289"/>
    <w:rsid w:val="517174DB"/>
    <w:rsid w:val="517C33D6"/>
    <w:rsid w:val="51856C95"/>
    <w:rsid w:val="51864D34"/>
    <w:rsid w:val="518671FA"/>
    <w:rsid w:val="51894824"/>
    <w:rsid w:val="518E3BE9"/>
    <w:rsid w:val="51A11B6E"/>
    <w:rsid w:val="51B03B5F"/>
    <w:rsid w:val="51B11685"/>
    <w:rsid w:val="51B24966"/>
    <w:rsid w:val="51C836E8"/>
    <w:rsid w:val="51DC2BA6"/>
    <w:rsid w:val="51F61B62"/>
    <w:rsid w:val="51FA302C"/>
    <w:rsid w:val="51FA74D0"/>
    <w:rsid w:val="521F2A93"/>
    <w:rsid w:val="521F6F37"/>
    <w:rsid w:val="5227392D"/>
    <w:rsid w:val="522B58DB"/>
    <w:rsid w:val="522B768A"/>
    <w:rsid w:val="523C53F3"/>
    <w:rsid w:val="52426081"/>
    <w:rsid w:val="524E0305"/>
    <w:rsid w:val="524F15CA"/>
    <w:rsid w:val="527C6137"/>
    <w:rsid w:val="528C45CC"/>
    <w:rsid w:val="52937F3D"/>
    <w:rsid w:val="529841B0"/>
    <w:rsid w:val="529E7E5B"/>
    <w:rsid w:val="52AB2578"/>
    <w:rsid w:val="52AB64C9"/>
    <w:rsid w:val="52AC3333"/>
    <w:rsid w:val="52C04276"/>
    <w:rsid w:val="52C534B2"/>
    <w:rsid w:val="52DE294E"/>
    <w:rsid w:val="52E635B0"/>
    <w:rsid w:val="52E71802"/>
    <w:rsid w:val="52F65D6E"/>
    <w:rsid w:val="52FF4DD7"/>
    <w:rsid w:val="53035F10"/>
    <w:rsid w:val="530C1269"/>
    <w:rsid w:val="53193986"/>
    <w:rsid w:val="53206AC2"/>
    <w:rsid w:val="533A0733"/>
    <w:rsid w:val="536410A5"/>
    <w:rsid w:val="53733096"/>
    <w:rsid w:val="53B25492"/>
    <w:rsid w:val="53C71634"/>
    <w:rsid w:val="53CB6B82"/>
    <w:rsid w:val="53EE096F"/>
    <w:rsid w:val="540D34EB"/>
    <w:rsid w:val="541C1980"/>
    <w:rsid w:val="541C54DC"/>
    <w:rsid w:val="542919A7"/>
    <w:rsid w:val="542E2280"/>
    <w:rsid w:val="54324CFF"/>
    <w:rsid w:val="54336424"/>
    <w:rsid w:val="5438608E"/>
    <w:rsid w:val="543C5B7E"/>
    <w:rsid w:val="543D5452"/>
    <w:rsid w:val="544C75C8"/>
    <w:rsid w:val="544F0695"/>
    <w:rsid w:val="545033D7"/>
    <w:rsid w:val="545443CB"/>
    <w:rsid w:val="5477549E"/>
    <w:rsid w:val="54BF40B9"/>
    <w:rsid w:val="54CD67D6"/>
    <w:rsid w:val="54D14506"/>
    <w:rsid w:val="54E3249D"/>
    <w:rsid w:val="55012924"/>
    <w:rsid w:val="55056B6F"/>
    <w:rsid w:val="551A036D"/>
    <w:rsid w:val="55342CF9"/>
    <w:rsid w:val="55564A1D"/>
    <w:rsid w:val="556A2277"/>
    <w:rsid w:val="557171C5"/>
    <w:rsid w:val="55794BB0"/>
    <w:rsid w:val="55801A9A"/>
    <w:rsid w:val="55992B5C"/>
    <w:rsid w:val="55A21A11"/>
    <w:rsid w:val="55B300C2"/>
    <w:rsid w:val="55BD1A84"/>
    <w:rsid w:val="55E711DA"/>
    <w:rsid w:val="55E71B19"/>
    <w:rsid w:val="55EC5382"/>
    <w:rsid w:val="55EF275F"/>
    <w:rsid w:val="55F12113"/>
    <w:rsid w:val="55F52488"/>
    <w:rsid w:val="56026815"/>
    <w:rsid w:val="5606673C"/>
    <w:rsid w:val="5627460C"/>
    <w:rsid w:val="562E7748"/>
    <w:rsid w:val="566B5F8F"/>
    <w:rsid w:val="566D200C"/>
    <w:rsid w:val="566E223B"/>
    <w:rsid w:val="567A473C"/>
    <w:rsid w:val="56A63783"/>
    <w:rsid w:val="56A7795F"/>
    <w:rsid w:val="56A874FB"/>
    <w:rsid w:val="56D025AE"/>
    <w:rsid w:val="56D54068"/>
    <w:rsid w:val="56F36D7A"/>
    <w:rsid w:val="57007337"/>
    <w:rsid w:val="5725579B"/>
    <w:rsid w:val="5726041F"/>
    <w:rsid w:val="57405985"/>
    <w:rsid w:val="574134AB"/>
    <w:rsid w:val="574376B4"/>
    <w:rsid w:val="574D3BFE"/>
    <w:rsid w:val="57560D05"/>
    <w:rsid w:val="575907F5"/>
    <w:rsid w:val="578421FC"/>
    <w:rsid w:val="57983795"/>
    <w:rsid w:val="579E08FE"/>
    <w:rsid w:val="57A001D2"/>
    <w:rsid w:val="57A23F4A"/>
    <w:rsid w:val="57B62A48"/>
    <w:rsid w:val="57B9742D"/>
    <w:rsid w:val="57C873E9"/>
    <w:rsid w:val="57E02CC4"/>
    <w:rsid w:val="5802243C"/>
    <w:rsid w:val="581035A9"/>
    <w:rsid w:val="5814296E"/>
    <w:rsid w:val="5815081C"/>
    <w:rsid w:val="582901C7"/>
    <w:rsid w:val="583250CB"/>
    <w:rsid w:val="583A1BE2"/>
    <w:rsid w:val="58642631"/>
    <w:rsid w:val="5878114F"/>
    <w:rsid w:val="58824ECF"/>
    <w:rsid w:val="588540F9"/>
    <w:rsid w:val="588854DF"/>
    <w:rsid w:val="58A27F7A"/>
    <w:rsid w:val="58C6010C"/>
    <w:rsid w:val="58E6255C"/>
    <w:rsid w:val="58EF7663"/>
    <w:rsid w:val="58F5279F"/>
    <w:rsid w:val="59071FB3"/>
    <w:rsid w:val="59142C25"/>
    <w:rsid w:val="591764DD"/>
    <w:rsid w:val="591A1FE8"/>
    <w:rsid w:val="592B61C1"/>
    <w:rsid w:val="593E7CA2"/>
    <w:rsid w:val="59480B21"/>
    <w:rsid w:val="594A4ECB"/>
    <w:rsid w:val="595C45CC"/>
    <w:rsid w:val="59605E6B"/>
    <w:rsid w:val="596B480F"/>
    <w:rsid w:val="597E2795"/>
    <w:rsid w:val="598558D1"/>
    <w:rsid w:val="598D29D8"/>
    <w:rsid w:val="599124C8"/>
    <w:rsid w:val="59A85A64"/>
    <w:rsid w:val="59C70328"/>
    <w:rsid w:val="5A117165"/>
    <w:rsid w:val="5A1F7AD4"/>
    <w:rsid w:val="5A44578C"/>
    <w:rsid w:val="5A5B4884"/>
    <w:rsid w:val="5A663955"/>
    <w:rsid w:val="5A6951F3"/>
    <w:rsid w:val="5A6A06F6"/>
    <w:rsid w:val="5A6E0A5B"/>
    <w:rsid w:val="5A731BCE"/>
    <w:rsid w:val="5A7E7F78"/>
    <w:rsid w:val="5A851901"/>
    <w:rsid w:val="5A955FE8"/>
    <w:rsid w:val="5AA1673B"/>
    <w:rsid w:val="5AAE15E4"/>
    <w:rsid w:val="5AB521E6"/>
    <w:rsid w:val="5ABA77FD"/>
    <w:rsid w:val="5ABE78FA"/>
    <w:rsid w:val="5AD51B54"/>
    <w:rsid w:val="5AE67453"/>
    <w:rsid w:val="5AFE2B5B"/>
    <w:rsid w:val="5B101B12"/>
    <w:rsid w:val="5B275E78"/>
    <w:rsid w:val="5B2829B8"/>
    <w:rsid w:val="5B3752F1"/>
    <w:rsid w:val="5B3A12E0"/>
    <w:rsid w:val="5B3C43F9"/>
    <w:rsid w:val="5B455011"/>
    <w:rsid w:val="5B4F689D"/>
    <w:rsid w:val="5B57329D"/>
    <w:rsid w:val="5B5F22A6"/>
    <w:rsid w:val="5B7C4AB2"/>
    <w:rsid w:val="5B871A54"/>
    <w:rsid w:val="5B8E1F77"/>
    <w:rsid w:val="5B953D21"/>
    <w:rsid w:val="5BB308F0"/>
    <w:rsid w:val="5BB3204C"/>
    <w:rsid w:val="5BDB3ECE"/>
    <w:rsid w:val="5BE32D83"/>
    <w:rsid w:val="5C0C052C"/>
    <w:rsid w:val="5C0D7E00"/>
    <w:rsid w:val="5C0E31E0"/>
    <w:rsid w:val="5C2515ED"/>
    <w:rsid w:val="5C294C3A"/>
    <w:rsid w:val="5C371101"/>
    <w:rsid w:val="5C6043D4"/>
    <w:rsid w:val="5C6C6ABA"/>
    <w:rsid w:val="5CCB7A9F"/>
    <w:rsid w:val="5CE9261B"/>
    <w:rsid w:val="5D03088A"/>
    <w:rsid w:val="5D1E0517"/>
    <w:rsid w:val="5D373386"/>
    <w:rsid w:val="5D4B0BE0"/>
    <w:rsid w:val="5D63417B"/>
    <w:rsid w:val="5D6F0D72"/>
    <w:rsid w:val="5D7C348F"/>
    <w:rsid w:val="5D812854"/>
    <w:rsid w:val="5D814602"/>
    <w:rsid w:val="5DA721EE"/>
    <w:rsid w:val="5DDA44C4"/>
    <w:rsid w:val="5DDC5CDC"/>
    <w:rsid w:val="5DE828D3"/>
    <w:rsid w:val="5E0219E3"/>
    <w:rsid w:val="5E036058"/>
    <w:rsid w:val="5E0D4729"/>
    <w:rsid w:val="5E0D5F05"/>
    <w:rsid w:val="5E0F7E5F"/>
    <w:rsid w:val="5E1C257C"/>
    <w:rsid w:val="5E27164D"/>
    <w:rsid w:val="5E2E29DB"/>
    <w:rsid w:val="5E4541A5"/>
    <w:rsid w:val="5E547F68"/>
    <w:rsid w:val="5E622188"/>
    <w:rsid w:val="5E6A0C09"/>
    <w:rsid w:val="5E7D301B"/>
    <w:rsid w:val="5E841F66"/>
    <w:rsid w:val="5E850121"/>
    <w:rsid w:val="5E8C325E"/>
    <w:rsid w:val="5EA902B4"/>
    <w:rsid w:val="5ECF75EF"/>
    <w:rsid w:val="5ED846F5"/>
    <w:rsid w:val="5EE011AA"/>
    <w:rsid w:val="5EF157B7"/>
    <w:rsid w:val="5F014280"/>
    <w:rsid w:val="5F021772"/>
    <w:rsid w:val="5F04373C"/>
    <w:rsid w:val="5F0B4ACB"/>
    <w:rsid w:val="5F0C5367"/>
    <w:rsid w:val="5F1F1321"/>
    <w:rsid w:val="5F3833E6"/>
    <w:rsid w:val="5F555D46"/>
    <w:rsid w:val="5F571ABE"/>
    <w:rsid w:val="5F61742A"/>
    <w:rsid w:val="5F7206A6"/>
    <w:rsid w:val="5F9871DA"/>
    <w:rsid w:val="5F9C66E1"/>
    <w:rsid w:val="5F9F3465"/>
    <w:rsid w:val="5FB00017"/>
    <w:rsid w:val="5FD255E8"/>
    <w:rsid w:val="5FD96977"/>
    <w:rsid w:val="5FDE5D3B"/>
    <w:rsid w:val="5FF67EAC"/>
    <w:rsid w:val="5FFE018B"/>
    <w:rsid w:val="60013D7F"/>
    <w:rsid w:val="601D2D07"/>
    <w:rsid w:val="60363DC9"/>
    <w:rsid w:val="603C56C2"/>
    <w:rsid w:val="603E4B8A"/>
    <w:rsid w:val="604A2DD9"/>
    <w:rsid w:val="604E1113"/>
    <w:rsid w:val="6058765C"/>
    <w:rsid w:val="606A75CF"/>
    <w:rsid w:val="60804663"/>
    <w:rsid w:val="608C39E9"/>
    <w:rsid w:val="60917251"/>
    <w:rsid w:val="6098238E"/>
    <w:rsid w:val="609B1E7E"/>
    <w:rsid w:val="60D64C64"/>
    <w:rsid w:val="60E539A3"/>
    <w:rsid w:val="60E6759D"/>
    <w:rsid w:val="60F26A84"/>
    <w:rsid w:val="60FD0443"/>
    <w:rsid w:val="610E43FE"/>
    <w:rsid w:val="6118527D"/>
    <w:rsid w:val="612F525A"/>
    <w:rsid w:val="61306C0D"/>
    <w:rsid w:val="61364C91"/>
    <w:rsid w:val="613A1697"/>
    <w:rsid w:val="61581B1D"/>
    <w:rsid w:val="61883922"/>
    <w:rsid w:val="61896FFD"/>
    <w:rsid w:val="61907509"/>
    <w:rsid w:val="619A2136"/>
    <w:rsid w:val="619E75CA"/>
    <w:rsid w:val="61BF394A"/>
    <w:rsid w:val="61D355A0"/>
    <w:rsid w:val="61DC62AA"/>
    <w:rsid w:val="61E403FB"/>
    <w:rsid w:val="61ED04B8"/>
    <w:rsid w:val="61F47A98"/>
    <w:rsid w:val="61FE4473"/>
    <w:rsid w:val="62001846"/>
    <w:rsid w:val="620140DF"/>
    <w:rsid w:val="620F042E"/>
    <w:rsid w:val="623A42B8"/>
    <w:rsid w:val="625C50B7"/>
    <w:rsid w:val="62620EA5"/>
    <w:rsid w:val="626647B3"/>
    <w:rsid w:val="627E55B4"/>
    <w:rsid w:val="62970423"/>
    <w:rsid w:val="62BD1642"/>
    <w:rsid w:val="62C54E4A"/>
    <w:rsid w:val="62D376AD"/>
    <w:rsid w:val="62DD68DE"/>
    <w:rsid w:val="62E25B42"/>
    <w:rsid w:val="62F12229"/>
    <w:rsid w:val="62F85546"/>
    <w:rsid w:val="630261E5"/>
    <w:rsid w:val="631C1015"/>
    <w:rsid w:val="6329551F"/>
    <w:rsid w:val="632A16A7"/>
    <w:rsid w:val="632F6802"/>
    <w:rsid w:val="63302D52"/>
    <w:rsid w:val="63471D15"/>
    <w:rsid w:val="634C4DBD"/>
    <w:rsid w:val="635B58F5"/>
    <w:rsid w:val="635D78BF"/>
    <w:rsid w:val="636B26DB"/>
    <w:rsid w:val="63784A9C"/>
    <w:rsid w:val="637F15E3"/>
    <w:rsid w:val="63956756"/>
    <w:rsid w:val="63B147CB"/>
    <w:rsid w:val="63B55005"/>
    <w:rsid w:val="63BA086D"/>
    <w:rsid w:val="63BC45E5"/>
    <w:rsid w:val="63CC3CF3"/>
    <w:rsid w:val="63DC6A36"/>
    <w:rsid w:val="64124205"/>
    <w:rsid w:val="64145061"/>
    <w:rsid w:val="644F5459"/>
    <w:rsid w:val="6456039C"/>
    <w:rsid w:val="64570C2A"/>
    <w:rsid w:val="64654C7D"/>
    <w:rsid w:val="64715A0E"/>
    <w:rsid w:val="64754794"/>
    <w:rsid w:val="6490508C"/>
    <w:rsid w:val="64A137DB"/>
    <w:rsid w:val="64B61035"/>
    <w:rsid w:val="64DB0657"/>
    <w:rsid w:val="64E558BE"/>
    <w:rsid w:val="651E4E2C"/>
    <w:rsid w:val="654C1999"/>
    <w:rsid w:val="654E74BF"/>
    <w:rsid w:val="655A60B2"/>
    <w:rsid w:val="658514DA"/>
    <w:rsid w:val="658E3D60"/>
    <w:rsid w:val="65A13A93"/>
    <w:rsid w:val="65BA4B55"/>
    <w:rsid w:val="65BA6903"/>
    <w:rsid w:val="65C638F5"/>
    <w:rsid w:val="65ED4F48"/>
    <w:rsid w:val="65F71905"/>
    <w:rsid w:val="66124586"/>
    <w:rsid w:val="6616725E"/>
    <w:rsid w:val="66187ACD"/>
    <w:rsid w:val="661B13ED"/>
    <w:rsid w:val="662465C8"/>
    <w:rsid w:val="665A1CA4"/>
    <w:rsid w:val="665C20B0"/>
    <w:rsid w:val="66737EE4"/>
    <w:rsid w:val="667C6446"/>
    <w:rsid w:val="668141DE"/>
    <w:rsid w:val="669453A6"/>
    <w:rsid w:val="66C24F70"/>
    <w:rsid w:val="66FE4F15"/>
    <w:rsid w:val="67006EDF"/>
    <w:rsid w:val="670179EA"/>
    <w:rsid w:val="67021C42"/>
    <w:rsid w:val="6712451C"/>
    <w:rsid w:val="672C3830"/>
    <w:rsid w:val="673715D0"/>
    <w:rsid w:val="67566AFF"/>
    <w:rsid w:val="675C1FE7"/>
    <w:rsid w:val="67670D0C"/>
    <w:rsid w:val="6771220F"/>
    <w:rsid w:val="67864576"/>
    <w:rsid w:val="67896912"/>
    <w:rsid w:val="678E6299"/>
    <w:rsid w:val="67900263"/>
    <w:rsid w:val="67A96C2F"/>
    <w:rsid w:val="67C021CA"/>
    <w:rsid w:val="67CF18DD"/>
    <w:rsid w:val="67D8681C"/>
    <w:rsid w:val="67DA14DE"/>
    <w:rsid w:val="67EB36EB"/>
    <w:rsid w:val="67F00D02"/>
    <w:rsid w:val="67F02AB0"/>
    <w:rsid w:val="680700DC"/>
    <w:rsid w:val="68126ECA"/>
    <w:rsid w:val="68141A46"/>
    <w:rsid w:val="682E35D8"/>
    <w:rsid w:val="683C5CF5"/>
    <w:rsid w:val="68490412"/>
    <w:rsid w:val="6850601E"/>
    <w:rsid w:val="685D03F9"/>
    <w:rsid w:val="685F19E3"/>
    <w:rsid w:val="685F7C35"/>
    <w:rsid w:val="686C6B6B"/>
    <w:rsid w:val="68813268"/>
    <w:rsid w:val="68A61BF4"/>
    <w:rsid w:val="68BE1741"/>
    <w:rsid w:val="68BF71FB"/>
    <w:rsid w:val="68C82C22"/>
    <w:rsid w:val="68F16ADF"/>
    <w:rsid w:val="69273E73"/>
    <w:rsid w:val="69365E67"/>
    <w:rsid w:val="693B7D5A"/>
    <w:rsid w:val="694A2693"/>
    <w:rsid w:val="694C1F68"/>
    <w:rsid w:val="695928D6"/>
    <w:rsid w:val="696C085C"/>
    <w:rsid w:val="697414BE"/>
    <w:rsid w:val="69794D27"/>
    <w:rsid w:val="698E07D2"/>
    <w:rsid w:val="69BA15C7"/>
    <w:rsid w:val="69BB25E9"/>
    <w:rsid w:val="69C55155"/>
    <w:rsid w:val="69F30635"/>
    <w:rsid w:val="6A042842"/>
    <w:rsid w:val="6A097E59"/>
    <w:rsid w:val="6A0D5208"/>
    <w:rsid w:val="6A301889"/>
    <w:rsid w:val="6A3C022E"/>
    <w:rsid w:val="6A3D5D54"/>
    <w:rsid w:val="6A4D41E9"/>
    <w:rsid w:val="6A505A87"/>
    <w:rsid w:val="6A51640E"/>
    <w:rsid w:val="6A674180"/>
    <w:rsid w:val="6A6B466F"/>
    <w:rsid w:val="6A786D8C"/>
    <w:rsid w:val="6A863A05"/>
    <w:rsid w:val="6A86594D"/>
    <w:rsid w:val="6AA45DD3"/>
    <w:rsid w:val="6AA67D9D"/>
    <w:rsid w:val="6AAA6C5A"/>
    <w:rsid w:val="6AB2229E"/>
    <w:rsid w:val="6AB9187F"/>
    <w:rsid w:val="6ABA55F7"/>
    <w:rsid w:val="6AC344AB"/>
    <w:rsid w:val="6AC55036"/>
    <w:rsid w:val="6ACE4BFE"/>
    <w:rsid w:val="6ADA72D5"/>
    <w:rsid w:val="6AE13432"/>
    <w:rsid w:val="6AE6019A"/>
    <w:rsid w:val="6AEB2C75"/>
    <w:rsid w:val="6B014FD4"/>
    <w:rsid w:val="6B050FEE"/>
    <w:rsid w:val="6B120F8F"/>
    <w:rsid w:val="6B1A6C42"/>
    <w:rsid w:val="6B252A70"/>
    <w:rsid w:val="6B2667E8"/>
    <w:rsid w:val="6B421874"/>
    <w:rsid w:val="6B460C38"/>
    <w:rsid w:val="6B482C03"/>
    <w:rsid w:val="6B531AB3"/>
    <w:rsid w:val="6B560266"/>
    <w:rsid w:val="6B5B7BB3"/>
    <w:rsid w:val="6B5C220A"/>
    <w:rsid w:val="6B647ACE"/>
    <w:rsid w:val="6B7834E8"/>
    <w:rsid w:val="6B8A4FC9"/>
    <w:rsid w:val="6B9051F9"/>
    <w:rsid w:val="6B991B92"/>
    <w:rsid w:val="6BC7621D"/>
    <w:rsid w:val="6BCA055A"/>
    <w:rsid w:val="6BCE6D20"/>
    <w:rsid w:val="6BD34BC2"/>
    <w:rsid w:val="6C045D80"/>
    <w:rsid w:val="6C0703C8"/>
    <w:rsid w:val="6C0C513D"/>
    <w:rsid w:val="6C12412D"/>
    <w:rsid w:val="6C1A459F"/>
    <w:rsid w:val="6C256AA0"/>
    <w:rsid w:val="6C313697"/>
    <w:rsid w:val="6C347ED9"/>
    <w:rsid w:val="6C360CAD"/>
    <w:rsid w:val="6C4B378C"/>
    <w:rsid w:val="6C4C0AD1"/>
    <w:rsid w:val="6C4D758C"/>
    <w:rsid w:val="6C506213"/>
    <w:rsid w:val="6C6E48EB"/>
    <w:rsid w:val="6C723FAF"/>
    <w:rsid w:val="6C8E5108"/>
    <w:rsid w:val="6C937EAD"/>
    <w:rsid w:val="6C944351"/>
    <w:rsid w:val="6C9E6F7E"/>
    <w:rsid w:val="6CA00CC7"/>
    <w:rsid w:val="6CB30550"/>
    <w:rsid w:val="6CCF0D79"/>
    <w:rsid w:val="6CD429A0"/>
    <w:rsid w:val="6CDA3D2E"/>
    <w:rsid w:val="6CEE1E7E"/>
    <w:rsid w:val="6CF3576D"/>
    <w:rsid w:val="6D0226C3"/>
    <w:rsid w:val="6D0843F7"/>
    <w:rsid w:val="6D0F5D7A"/>
    <w:rsid w:val="6D1234C8"/>
    <w:rsid w:val="6D166445"/>
    <w:rsid w:val="6D4E1FD9"/>
    <w:rsid w:val="6D561607"/>
    <w:rsid w:val="6D605FE2"/>
    <w:rsid w:val="6D745F31"/>
    <w:rsid w:val="6D7E46BA"/>
    <w:rsid w:val="6D8018C0"/>
    <w:rsid w:val="6D9143ED"/>
    <w:rsid w:val="6DA77C55"/>
    <w:rsid w:val="6DAA54AF"/>
    <w:rsid w:val="6DB14A8F"/>
    <w:rsid w:val="6DCA36D7"/>
    <w:rsid w:val="6DCE4C80"/>
    <w:rsid w:val="6DFA4688"/>
    <w:rsid w:val="6DFA6436"/>
    <w:rsid w:val="6E0C6169"/>
    <w:rsid w:val="6E104455"/>
    <w:rsid w:val="6E166FE8"/>
    <w:rsid w:val="6E1B63AC"/>
    <w:rsid w:val="6E1D0376"/>
    <w:rsid w:val="6E213562"/>
    <w:rsid w:val="6E3A4A84"/>
    <w:rsid w:val="6E511637"/>
    <w:rsid w:val="6E587601"/>
    <w:rsid w:val="6E7A1325"/>
    <w:rsid w:val="6E7F2DDF"/>
    <w:rsid w:val="6E7F3A9C"/>
    <w:rsid w:val="6E865F1C"/>
    <w:rsid w:val="6EB74327"/>
    <w:rsid w:val="6EB83E30"/>
    <w:rsid w:val="6EC802E2"/>
    <w:rsid w:val="6ED24CBD"/>
    <w:rsid w:val="6ED870F8"/>
    <w:rsid w:val="6EDA1DC4"/>
    <w:rsid w:val="6EE20FB0"/>
    <w:rsid w:val="6EE5266B"/>
    <w:rsid w:val="6EF2710D"/>
    <w:rsid w:val="6EF81D7D"/>
    <w:rsid w:val="6F0C75E9"/>
    <w:rsid w:val="6F0F1F10"/>
    <w:rsid w:val="6F0F4163"/>
    <w:rsid w:val="6F127BBD"/>
    <w:rsid w:val="6F1C23DC"/>
    <w:rsid w:val="6F3239AE"/>
    <w:rsid w:val="6F343BCA"/>
    <w:rsid w:val="6F413BF1"/>
    <w:rsid w:val="6F5A2F04"/>
    <w:rsid w:val="6F82139A"/>
    <w:rsid w:val="6F8A37EA"/>
    <w:rsid w:val="6F9E7295"/>
    <w:rsid w:val="6FC30AAA"/>
    <w:rsid w:val="6FC860C0"/>
    <w:rsid w:val="6FE13847"/>
    <w:rsid w:val="6FE86762"/>
    <w:rsid w:val="700D7F77"/>
    <w:rsid w:val="701F6C1E"/>
    <w:rsid w:val="702A0B29"/>
    <w:rsid w:val="7034110A"/>
    <w:rsid w:val="70347EC5"/>
    <w:rsid w:val="7037325E"/>
    <w:rsid w:val="704C0A9F"/>
    <w:rsid w:val="705636CC"/>
    <w:rsid w:val="705B62AB"/>
    <w:rsid w:val="70716758"/>
    <w:rsid w:val="70756248"/>
    <w:rsid w:val="707D6EAA"/>
    <w:rsid w:val="70877D29"/>
    <w:rsid w:val="70BA5135"/>
    <w:rsid w:val="70C865BA"/>
    <w:rsid w:val="70D0347E"/>
    <w:rsid w:val="70D70CB1"/>
    <w:rsid w:val="70E37655"/>
    <w:rsid w:val="70F3716D"/>
    <w:rsid w:val="7101188A"/>
    <w:rsid w:val="710359C7"/>
    <w:rsid w:val="710C4F64"/>
    <w:rsid w:val="711C66C3"/>
    <w:rsid w:val="71257C6E"/>
    <w:rsid w:val="712832BA"/>
    <w:rsid w:val="712E7CE0"/>
    <w:rsid w:val="713003C1"/>
    <w:rsid w:val="713A2FED"/>
    <w:rsid w:val="7141684A"/>
    <w:rsid w:val="71494FDF"/>
    <w:rsid w:val="714B2F5B"/>
    <w:rsid w:val="714D518E"/>
    <w:rsid w:val="715B3690"/>
    <w:rsid w:val="716342F2"/>
    <w:rsid w:val="719E532A"/>
    <w:rsid w:val="71B608C6"/>
    <w:rsid w:val="71BB3282"/>
    <w:rsid w:val="71BB56FA"/>
    <w:rsid w:val="720C2BDC"/>
    <w:rsid w:val="722872EA"/>
    <w:rsid w:val="724F424E"/>
    <w:rsid w:val="72677E12"/>
    <w:rsid w:val="726E117A"/>
    <w:rsid w:val="728B1D53"/>
    <w:rsid w:val="729C3F60"/>
    <w:rsid w:val="72A44BC2"/>
    <w:rsid w:val="72BD5C84"/>
    <w:rsid w:val="72D1172F"/>
    <w:rsid w:val="72EB27F1"/>
    <w:rsid w:val="72ED34B8"/>
    <w:rsid w:val="72FA32DB"/>
    <w:rsid w:val="73010267"/>
    <w:rsid w:val="73136182"/>
    <w:rsid w:val="73221F8B"/>
    <w:rsid w:val="732F7EF1"/>
    <w:rsid w:val="733028FA"/>
    <w:rsid w:val="733046A8"/>
    <w:rsid w:val="73315854"/>
    <w:rsid w:val="7349146F"/>
    <w:rsid w:val="73657957"/>
    <w:rsid w:val="737C6D64"/>
    <w:rsid w:val="737F118B"/>
    <w:rsid w:val="73834F73"/>
    <w:rsid w:val="73B01345"/>
    <w:rsid w:val="73B47087"/>
    <w:rsid w:val="73C3551C"/>
    <w:rsid w:val="73CA68AB"/>
    <w:rsid w:val="73FE6554"/>
    <w:rsid w:val="74031DBD"/>
    <w:rsid w:val="740A4EF9"/>
    <w:rsid w:val="74235FBB"/>
    <w:rsid w:val="742F4960"/>
    <w:rsid w:val="748E4468"/>
    <w:rsid w:val="7491438D"/>
    <w:rsid w:val="74961CFE"/>
    <w:rsid w:val="74991B66"/>
    <w:rsid w:val="749F246B"/>
    <w:rsid w:val="74AF784E"/>
    <w:rsid w:val="74B02D01"/>
    <w:rsid w:val="74BF0D5E"/>
    <w:rsid w:val="74D37CCA"/>
    <w:rsid w:val="74DC2D7E"/>
    <w:rsid w:val="74F0721D"/>
    <w:rsid w:val="74FD680C"/>
    <w:rsid w:val="750162FC"/>
    <w:rsid w:val="75267B11"/>
    <w:rsid w:val="753642B6"/>
    <w:rsid w:val="75387844"/>
    <w:rsid w:val="753C330D"/>
    <w:rsid w:val="75457333"/>
    <w:rsid w:val="7568355A"/>
    <w:rsid w:val="75703482"/>
    <w:rsid w:val="75901BFB"/>
    <w:rsid w:val="759727BC"/>
    <w:rsid w:val="75A46F31"/>
    <w:rsid w:val="75A8117E"/>
    <w:rsid w:val="75AF3FAA"/>
    <w:rsid w:val="75E55C1E"/>
    <w:rsid w:val="75F24464"/>
    <w:rsid w:val="75FA70B8"/>
    <w:rsid w:val="760D2A7F"/>
    <w:rsid w:val="76197675"/>
    <w:rsid w:val="761E6A3A"/>
    <w:rsid w:val="762A2599"/>
    <w:rsid w:val="7641097A"/>
    <w:rsid w:val="76465CA4"/>
    <w:rsid w:val="764A1137"/>
    <w:rsid w:val="76527883"/>
    <w:rsid w:val="765E32DA"/>
    <w:rsid w:val="767D5E56"/>
    <w:rsid w:val="76857A13"/>
    <w:rsid w:val="76967AE3"/>
    <w:rsid w:val="76AF3B36"/>
    <w:rsid w:val="76B92761"/>
    <w:rsid w:val="76CC293A"/>
    <w:rsid w:val="76D93138"/>
    <w:rsid w:val="76DB2B7D"/>
    <w:rsid w:val="76E01F41"/>
    <w:rsid w:val="76F77172"/>
    <w:rsid w:val="77057BFA"/>
    <w:rsid w:val="771852A8"/>
    <w:rsid w:val="77312D10"/>
    <w:rsid w:val="773724A9"/>
    <w:rsid w:val="77471AC4"/>
    <w:rsid w:val="77587D9F"/>
    <w:rsid w:val="77664B3C"/>
    <w:rsid w:val="77737259"/>
    <w:rsid w:val="778E31B0"/>
    <w:rsid w:val="779A47E6"/>
    <w:rsid w:val="779E42D6"/>
    <w:rsid w:val="77A417EA"/>
    <w:rsid w:val="77A711E5"/>
    <w:rsid w:val="77B27D81"/>
    <w:rsid w:val="77B75C63"/>
    <w:rsid w:val="77BF1197"/>
    <w:rsid w:val="77C43611"/>
    <w:rsid w:val="77C47AB5"/>
    <w:rsid w:val="77D0645A"/>
    <w:rsid w:val="77EF0278"/>
    <w:rsid w:val="77F122C3"/>
    <w:rsid w:val="77FA431C"/>
    <w:rsid w:val="78000AED"/>
    <w:rsid w:val="78006D3F"/>
    <w:rsid w:val="78153E6C"/>
    <w:rsid w:val="782347DB"/>
    <w:rsid w:val="78452B7C"/>
    <w:rsid w:val="784D7151"/>
    <w:rsid w:val="784F3822"/>
    <w:rsid w:val="785B6A4B"/>
    <w:rsid w:val="78670B6C"/>
    <w:rsid w:val="78700AEC"/>
    <w:rsid w:val="78720118"/>
    <w:rsid w:val="78817E80"/>
    <w:rsid w:val="78881314"/>
    <w:rsid w:val="78992CEF"/>
    <w:rsid w:val="78A3591C"/>
    <w:rsid w:val="78A53442"/>
    <w:rsid w:val="78A551F0"/>
    <w:rsid w:val="78E57EA5"/>
    <w:rsid w:val="78E81581"/>
    <w:rsid w:val="78E937B9"/>
    <w:rsid w:val="78F148D9"/>
    <w:rsid w:val="78F817C4"/>
    <w:rsid w:val="78FB7506"/>
    <w:rsid w:val="78FE4D5E"/>
    <w:rsid w:val="791800B8"/>
    <w:rsid w:val="792425B9"/>
    <w:rsid w:val="79254583"/>
    <w:rsid w:val="79267DB8"/>
    <w:rsid w:val="793622EC"/>
    <w:rsid w:val="794970F6"/>
    <w:rsid w:val="794A0ECC"/>
    <w:rsid w:val="795A13EC"/>
    <w:rsid w:val="79711576"/>
    <w:rsid w:val="79752E15"/>
    <w:rsid w:val="797D616D"/>
    <w:rsid w:val="798F3A5E"/>
    <w:rsid w:val="799F634B"/>
    <w:rsid w:val="79AC0800"/>
    <w:rsid w:val="79B25E17"/>
    <w:rsid w:val="79B5694C"/>
    <w:rsid w:val="79BD47BC"/>
    <w:rsid w:val="79E63D12"/>
    <w:rsid w:val="79EB30D7"/>
    <w:rsid w:val="79FF3026"/>
    <w:rsid w:val="7A146E06"/>
    <w:rsid w:val="7A1532E7"/>
    <w:rsid w:val="7A2D36EF"/>
    <w:rsid w:val="7A2D4A2B"/>
    <w:rsid w:val="7A41010A"/>
    <w:rsid w:val="7A480529"/>
    <w:rsid w:val="7A4C5587"/>
    <w:rsid w:val="7A6335B5"/>
    <w:rsid w:val="7A635363"/>
    <w:rsid w:val="7A8D0632"/>
    <w:rsid w:val="7A9B793E"/>
    <w:rsid w:val="7A9C77AE"/>
    <w:rsid w:val="7AB73F37"/>
    <w:rsid w:val="7AD43DCB"/>
    <w:rsid w:val="7AD718AD"/>
    <w:rsid w:val="7ADE09A6"/>
    <w:rsid w:val="7ADE0E8D"/>
    <w:rsid w:val="7AEE7323"/>
    <w:rsid w:val="7AF8058E"/>
    <w:rsid w:val="7B2A7C2F"/>
    <w:rsid w:val="7B580C40"/>
    <w:rsid w:val="7B684125"/>
    <w:rsid w:val="7B7517F2"/>
    <w:rsid w:val="7B7A2964"/>
    <w:rsid w:val="7B7D31C4"/>
    <w:rsid w:val="7B8437E3"/>
    <w:rsid w:val="7B8E6410"/>
    <w:rsid w:val="7B8E776C"/>
    <w:rsid w:val="7B9375BF"/>
    <w:rsid w:val="7B9E0996"/>
    <w:rsid w:val="7BC02341"/>
    <w:rsid w:val="7BCE2CB0"/>
    <w:rsid w:val="7BDC53CD"/>
    <w:rsid w:val="7BE97AEA"/>
    <w:rsid w:val="7BEB7BB7"/>
    <w:rsid w:val="7C013085"/>
    <w:rsid w:val="7C057E14"/>
    <w:rsid w:val="7C1253BC"/>
    <w:rsid w:val="7C1B1A99"/>
    <w:rsid w:val="7C370855"/>
    <w:rsid w:val="7C423191"/>
    <w:rsid w:val="7C464D32"/>
    <w:rsid w:val="7C4D1E27"/>
    <w:rsid w:val="7C6113AE"/>
    <w:rsid w:val="7C61562B"/>
    <w:rsid w:val="7C8C718A"/>
    <w:rsid w:val="7C9B6DD9"/>
    <w:rsid w:val="7C9C4B5C"/>
    <w:rsid w:val="7C9E2B82"/>
    <w:rsid w:val="7CB1685A"/>
    <w:rsid w:val="7CCC5441"/>
    <w:rsid w:val="7CDB7433"/>
    <w:rsid w:val="7D0A5F6A"/>
    <w:rsid w:val="7D0C35D2"/>
    <w:rsid w:val="7D1D3EEF"/>
    <w:rsid w:val="7D6C7AE3"/>
    <w:rsid w:val="7D741635"/>
    <w:rsid w:val="7D755AD9"/>
    <w:rsid w:val="7D837FCA"/>
    <w:rsid w:val="7D957F29"/>
    <w:rsid w:val="7DAE0FEB"/>
    <w:rsid w:val="7DCC76C3"/>
    <w:rsid w:val="7DD1096F"/>
    <w:rsid w:val="7DE10D4F"/>
    <w:rsid w:val="7DEA19F0"/>
    <w:rsid w:val="7DEF65D0"/>
    <w:rsid w:val="7E176B90"/>
    <w:rsid w:val="7E1F77F3"/>
    <w:rsid w:val="7E3A287F"/>
    <w:rsid w:val="7E3A378D"/>
    <w:rsid w:val="7E703D97"/>
    <w:rsid w:val="7EAC1F50"/>
    <w:rsid w:val="7EB83DBE"/>
    <w:rsid w:val="7EC14D4E"/>
    <w:rsid w:val="7EE06F82"/>
    <w:rsid w:val="7EF97A8A"/>
    <w:rsid w:val="7F067F7C"/>
    <w:rsid w:val="7F0A2251"/>
    <w:rsid w:val="7F1B26B0"/>
    <w:rsid w:val="7F2E0730"/>
    <w:rsid w:val="7F3D0A9C"/>
    <w:rsid w:val="7F4365A6"/>
    <w:rsid w:val="7F482D79"/>
    <w:rsid w:val="7F5259A6"/>
    <w:rsid w:val="7F671451"/>
    <w:rsid w:val="7F767868"/>
    <w:rsid w:val="7F8E4463"/>
    <w:rsid w:val="7F912972"/>
    <w:rsid w:val="7FA53B5B"/>
    <w:rsid w:val="7FB977D3"/>
    <w:rsid w:val="7FC71EF0"/>
    <w:rsid w:val="7FC73900"/>
    <w:rsid w:val="7FCB5E84"/>
    <w:rsid w:val="7FD0349B"/>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37"/>
    <w:qFormat/>
    <w:uiPriority w:val="0"/>
    <w:pPr>
      <w:keepNext/>
      <w:keepLines/>
      <w:autoSpaceDE w:val="0"/>
      <w:autoSpaceDN w:val="0"/>
      <w:adjustRightInd w:val="0"/>
      <w:spacing w:before="240" w:after="120" w:line="300" w:lineRule="auto"/>
      <w:jc w:val="center"/>
      <w:outlineLvl w:val="0"/>
    </w:pPr>
    <w:rPr>
      <w:rFonts w:ascii="宋体"/>
      <w:kern w:val="44"/>
      <w:sz w:val="32"/>
      <w:szCs w:val="20"/>
    </w:rPr>
  </w:style>
  <w:style w:type="paragraph" w:styleId="6">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2">
    <w:name w:val="heading 3"/>
    <w:basedOn w:val="1"/>
    <w:next w:val="3"/>
    <w:qFormat/>
    <w:uiPriority w:val="0"/>
    <w:pPr>
      <w:spacing w:before="360" w:after="120"/>
      <w:jc w:val="left"/>
      <w:outlineLvl w:val="2"/>
    </w:pPr>
    <w:rPr>
      <w:rFonts w:ascii="宋体" w:hAnsi="Times New Roman" w:eastAsia="宋体"/>
      <w:sz w:val="24"/>
      <w:u w:val="single"/>
    </w:rPr>
  </w:style>
  <w:style w:type="paragraph" w:styleId="7">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27">
    <w:name w:val="Default Paragraph Font"/>
    <w:qFormat/>
    <w:uiPriority w:val="1"/>
  </w:style>
  <w:style w:type="table" w:default="1" w:styleId="25">
    <w:name w:val="Normal Table"/>
    <w:qFormat/>
    <w:uiPriority w:val="99"/>
    <w:tblPr>
      <w:tblCellMar>
        <w:top w:w="0" w:type="dxa"/>
        <w:left w:w="108" w:type="dxa"/>
        <w:bottom w:w="0" w:type="dxa"/>
        <w:right w:w="108" w:type="dxa"/>
      </w:tblCellMar>
    </w:tblPr>
  </w:style>
  <w:style w:type="paragraph" w:styleId="3">
    <w:name w:val="Normal Indent"/>
    <w:basedOn w:val="1"/>
    <w:next w:val="4"/>
    <w:qFormat/>
    <w:uiPriority w:val="0"/>
    <w:pPr>
      <w:autoSpaceDE w:val="0"/>
      <w:autoSpaceDN w:val="0"/>
      <w:adjustRightInd w:val="0"/>
      <w:ind w:firstLine="420"/>
      <w:jc w:val="left"/>
    </w:pPr>
    <w:rPr>
      <w:rFonts w:ascii="宋体" w:hAnsi="Times New Roman"/>
      <w:kern w:val="0"/>
      <w:sz w:val="24"/>
      <w:szCs w:val="20"/>
    </w:rPr>
  </w:style>
  <w:style w:type="paragraph" w:styleId="4">
    <w:name w:val="toa heading"/>
    <w:basedOn w:val="1"/>
    <w:next w:val="1"/>
    <w:qFormat/>
    <w:uiPriority w:val="0"/>
    <w:pPr>
      <w:widowControl/>
      <w:spacing w:before="120"/>
      <w:ind w:firstLine="3584"/>
    </w:pPr>
  </w:style>
  <w:style w:type="paragraph" w:styleId="8">
    <w:name w:val="annotation text"/>
    <w:basedOn w:val="1"/>
    <w:link w:val="62"/>
    <w:qFormat/>
    <w:uiPriority w:val="0"/>
    <w:pPr>
      <w:jc w:val="left"/>
    </w:pPr>
  </w:style>
  <w:style w:type="paragraph" w:styleId="9">
    <w:name w:val="Body Text"/>
    <w:basedOn w:val="1"/>
    <w:next w:val="1"/>
    <w:qFormat/>
    <w:uiPriority w:val="0"/>
    <w:pPr>
      <w:tabs>
        <w:tab w:val="left" w:pos="567"/>
      </w:tabs>
      <w:spacing w:before="120" w:line="22" w:lineRule="atLeast"/>
    </w:pPr>
    <w:rPr>
      <w:rFonts w:ascii="宋体" w:hAnsi="宋体"/>
      <w:sz w:val="24"/>
    </w:rPr>
  </w:style>
  <w:style w:type="paragraph" w:styleId="10">
    <w:name w:val="Body Text Indent"/>
    <w:basedOn w:val="1"/>
    <w:next w:val="11"/>
    <w:qFormat/>
    <w:uiPriority w:val="0"/>
    <w:pPr>
      <w:spacing w:line="360" w:lineRule="auto"/>
      <w:ind w:firstLine="570"/>
    </w:pPr>
    <w:rPr>
      <w:rFonts w:ascii="Times New Roman" w:hAnsi="Times New Roman"/>
      <w:sz w:val="24"/>
    </w:rPr>
  </w:style>
  <w:style w:type="paragraph" w:styleId="11">
    <w:name w:val="Body Text First Indent 2"/>
    <w:basedOn w:val="10"/>
    <w:next w:val="3"/>
    <w:qFormat/>
    <w:uiPriority w:val="0"/>
    <w:pPr>
      <w:ind w:firstLine="420" w:firstLineChars="200"/>
    </w:p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Cs w:val="20"/>
    </w:rPr>
  </w:style>
  <w:style w:type="paragraph" w:styleId="14">
    <w:name w:val="Date"/>
    <w:basedOn w:val="1"/>
    <w:next w:val="1"/>
    <w:qFormat/>
    <w:uiPriority w:val="0"/>
    <w:pPr>
      <w:ind w:left="100" w:leftChars="2500"/>
    </w:pPr>
    <w:rPr>
      <w:rFonts w:ascii="仿宋_GB2312" w:hAnsi="Courier New" w:eastAsia="仿宋_GB2312"/>
      <w:kern w:val="0"/>
      <w:sz w:val="24"/>
    </w:rPr>
  </w:style>
  <w:style w:type="paragraph" w:styleId="15">
    <w:name w:val="Balloon Text"/>
    <w:basedOn w:val="1"/>
    <w:link w:val="61"/>
    <w:qFormat/>
    <w:uiPriority w:val="0"/>
    <w:rPr>
      <w:sz w:val="18"/>
      <w:szCs w:val="18"/>
    </w:rPr>
  </w:style>
  <w:style w:type="paragraph" w:styleId="16">
    <w:name w:val="footer"/>
    <w:basedOn w:val="1"/>
    <w:qFormat/>
    <w:uiPriority w:val="0"/>
    <w:pPr>
      <w:tabs>
        <w:tab w:val="center" w:pos="4153"/>
        <w:tab w:val="right" w:pos="8306"/>
      </w:tabs>
      <w:autoSpaceDE w:val="0"/>
      <w:autoSpaceDN w:val="0"/>
      <w:adjustRightInd w:val="0"/>
      <w:snapToGrid w:val="0"/>
      <w:jc w:val="left"/>
    </w:pPr>
    <w:rPr>
      <w:rFonts w:ascii="宋体" w:hAnsi="Times New Roman"/>
      <w:kern w:val="0"/>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8">
    <w:name w:val="toc 1"/>
    <w:basedOn w:val="1"/>
    <w:next w:val="1"/>
    <w:qFormat/>
    <w:uiPriority w:val="0"/>
    <w:rPr>
      <w:rFonts w:ascii="Times New Roman" w:hAnsi="Times New Roman"/>
    </w:rPr>
  </w:style>
  <w:style w:type="paragraph" w:styleId="19">
    <w:name w:val="footnote text"/>
    <w:basedOn w:val="1"/>
    <w:qFormat/>
    <w:uiPriority w:val="0"/>
    <w:pPr>
      <w:snapToGrid w:val="0"/>
      <w:jc w:val="left"/>
    </w:pPr>
    <w:rPr>
      <w:rFonts w:ascii="Times New Roman" w:hAnsi="Times New Roman"/>
      <w:sz w:val="18"/>
    </w:rPr>
  </w:style>
  <w:style w:type="paragraph" w:styleId="20">
    <w:name w:val="toc 2"/>
    <w:basedOn w:val="1"/>
    <w:next w:val="1"/>
    <w:qFormat/>
    <w:uiPriority w:val="0"/>
    <w:pPr>
      <w:ind w:left="420" w:leftChars="200"/>
    </w:pPr>
    <w:rPr>
      <w:rFonts w:ascii="Times New Roman" w:hAnsi="Times New Roman"/>
    </w:rPr>
  </w:style>
  <w:style w:type="paragraph" w:styleId="21">
    <w:name w:val="Normal (Web)"/>
    <w:basedOn w:val="1"/>
    <w:qFormat/>
    <w:uiPriority w:val="0"/>
    <w:pPr>
      <w:spacing w:beforeAutospacing="1" w:afterAutospacing="1"/>
      <w:jc w:val="left"/>
    </w:pPr>
    <w:rPr>
      <w:kern w:val="0"/>
      <w:sz w:val="24"/>
    </w:rPr>
  </w:style>
  <w:style w:type="paragraph" w:styleId="22">
    <w:name w:val="Title"/>
    <w:basedOn w:val="1"/>
    <w:next w:val="1"/>
    <w:qFormat/>
    <w:uiPriority w:val="10"/>
    <w:pPr>
      <w:spacing w:before="240" w:after="60"/>
      <w:jc w:val="center"/>
      <w:outlineLvl w:val="0"/>
    </w:pPr>
    <w:rPr>
      <w:rFonts w:ascii="Calibri Light" w:hAnsi="Calibri Light" w:eastAsia="宋体" w:cs="宋体"/>
      <w:b/>
      <w:bCs/>
      <w:sz w:val="32"/>
      <w:szCs w:val="32"/>
    </w:rPr>
  </w:style>
  <w:style w:type="paragraph" w:styleId="23">
    <w:name w:val="annotation subject"/>
    <w:basedOn w:val="8"/>
    <w:next w:val="8"/>
    <w:link w:val="63"/>
    <w:qFormat/>
    <w:uiPriority w:val="0"/>
    <w:rPr>
      <w:b/>
      <w:bCs/>
    </w:rPr>
  </w:style>
  <w:style w:type="paragraph" w:styleId="24">
    <w:name w:val="Body Text First Indent"/>
    <w:basedOn w:val="9"/>
    <w:qFormat/>
    <w:uiPriority w:val="0"/>
    <w:pPr>
      <w:spacing w:after="120" w:line="240" w:lineRule="auto"/>
      <w:ind w:firstLine="420" w:firstLineChars="100"/>
    </w:pPr>
    <w:rPr>
      <w:rFonts w:ascii="Calibri" w:hAnsi="Calibri"/>
      <w:sz w:val="18"/>
      <w:szCs w:val="18"/>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rPr>
      <w:rFonts w:ascii="Times New Roman" w:hAnsi="Times New Roman" w:eastAsia="宋体" w:cs="Times New Roman"/>
    </w:rPr>
  </w:style>
  <w:style w:type="character" w:styleId="30">
    <w:name w:val="Hyperlink"/>
    <w:basedOn w:val="27"/>
    <w:qFormat/>
    <w:uiPriority w:val="0"/>
    <w:rPr>
      <w:color w:val="0000FF"/>
      <w:u w:val="single"/>
    </w:rPr>
  </w:style>
  <w:style w:type="character" w:styleId="31">
    <w:name w:val="annotation reference"/>
    <w:basedOn w:val="27"/>
    <w:qFormat/>
    <w:uiPriority w:val="0"/>
    <w:rPr>
      <w:sz w:val="21"/>
      <w:szCs w:val="21"/>
    </w:rPr>
  </w:style>
  <w:style w:type="paragraph" w:customStyle="1" w:styleId="32">
    <w:name w:val="正文王森"/>
    <w:basedOn w:val="1"/>
    <w:qFormat/>
    <w:uiPriority w:val="0"/>
    <w:pPr>
      <w:spacing w:line="360" w:lineRule="auto"/>
      <w:ind w:firstLine="480" w:firstLineChars="200"/>
    </w:pPr>
    <w:rPr>
      <w:rFonts w:ascii="黑体" w:hAnsi="黑体" w:eastAsia="黑体"/>
      <w:sz w:val="24"/>
    </w:rPr>
  </w:style>
  <w:style w:type="paragraph" w:customStyle="1" w:styleId="33">
    <w:name w:val="List2"/>
    <w:basedOn w:val="1"/>
    <w:qFormat/>
    <w:uiPriority w:val="0"/>
    <w:pPr>
      <w:widowControl/>
      <w:ind w:left="100" w:leftChars="200" w:hanging="200" w:hangingChars="200"/>
      <w:contextualSpacing/>
      <w:textAlignment w:val="baseline"/>
    </w:pPr>
  </w:style>
  <w:style w:type="paragraph" w:customStyle="1" w:styleId="34">
    <w:name w:val="Heading3"/>
    <w:basedOn w:val="1"/>
    <w:next w:val="1"/>
    <w:qFormat/>
    <w:uiPriority w:val="0"/>
    <w:pPr>
      <w:keepNext/>
      <w:numPr>
        <w:ilvl w:val="0"/>
        <w:numId w:val="1"/>
      </w:numPr>
      <w:jc w:val="both"/>
      <w:textAlignment w:val="baseline"/>
    </w:pPr>
    <w:rPr>
      <w:rFonts w:cs="Times New Roman"/>
      <w:b/>
      <w:bCs/>
      <w:kern w:val="2"/>
      <w:sz w:val="28"/>
      <w:szCs w:val="24"/>
      <w:lang w:val="en-US" w:eastAsia="zh-CN" w:bidi="ar-SA"/>
    </w:rPr>
  </w:style>
  <w:style w:type="paragraph" w:customStyle="1" w:styleId="35">
    <w:name w:val="BodyText"/>
    <w:basedOn w:val="1"/>
    <w:qFormat/>
    <w:uiPriority w:val="0"/>
    <w:pPr>
      <w:spacing w:after="120"/>
    </w:pPr>
  </w:style>
  <w:style w:type="paragraph" w:customStyle="1" w:styleId="36">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character" w:customStyle="1" w:styleId="37">
    <w:name w:val="标题 1 Char"/>
    <w:link w:val="5"/>
    <w:qFormat/>
    <w:uiPriority w:val="0"/>
    <w:rPr>
      <w:rFonts w:ascii="宋体"/>
      <w:b/>
      <w:kern w:val="44"/>
      <w:sz w:val="32"/>
      <w:szCs w:val="20"/>
    </w:rPr>
  </w:style>
  <w:style w:type="paragraph" w:customStyle="1" w:styleId="38">
    <w:name w:val="No Spacing_3b93350b-94da-44fa-8143-641484b951a0"/>
    <w:link w:val="55"/>
    <w:qFormat/>
    <w:uiPriority w:val="1"/>
    <w:pPr>
      <w:widowControl w:val="0"/>
      <w:jc w:val="both"/>
    </w:pPr>
    <w:rPr>
      <w:rFonts w:ascii="Calibri" w:hAnsi="Calibri" w:eastAsia="宋体" w:cs="Times New Roman"/>
      <w:kern w:val="2"/>
      <w:sz w:val="21"/>
      <w:szCs w:val="24"/>
      <w:lang w:val="en-US" w:eastAsia="zh-CN" w:bidi="ar-SA"/>
    </w:rPr>
  </w:style>
  <w:style w:type="character" w:customStyle="1" w:styleId="39">
    <w:name w:val="NormalCharacter"/>
    <w:qFormat/>
    <w:uiPriority w:val="0"/>
    <w:rPr>
      <w:rFonts w:ascii="Calibri" w:hAnsi="Calibri" w:eastAsia="宋体" w:cs="Times New Roman"/>
      <w:kern w:val="2"/>
      <w:sz w:val="21"/>
      <w:szCs w:val="24"/>
      <w:lang w:val="en-US" w:eastAsia="zh-CN" w:bidi="ar-SA"/>
    </w:rPr>
  </w:style>
  <w:style w:type="paragraph" w:customStyle="1" w:styleId="40">
    <w:name w:val="图例"/>
    <w:basedOn w:val="1"/>
    <w:qFormat/>
    <w:uiPriority w:val="0"/>
    <w:pPr>
      <w:spacing w:before="120" w:after="120" w:line="360" w:lineRule="auto"/>
      <w:jc w:val="center"/>
    </w:pPr>
    <w:rPr>
      <w:rFonts w:eastAsia="仿宋_GB2312"/>
      <w:b/>
      <w:sz w:val="24"/>
    </w:rPr>
  </w:style>
  <w:style w:type="paragraph" w:customStyle="1" w:styleId="41">
    <w:name w:val="列出段落1"/>
    <w:basedOn w:val="1"/>
    <w:qFormat/>
    <w:uiPriority w:val="0"/>
    <w:pPr>
      <w:ind w:firstLine="420" w:firstLineChars="200"/>
    </w:pPr>
  </w:style>
  <w:style w:type="paragraph" w:customStyle="1" w:styleId="42">
    <w:name w:val="List Paragraph_7aecd6e6-fc70-4df6-be05-ef790174fbad"/>
    <w:basedOn w:val="1"/>
    <w:qFormat/>
    <w:uiPriority w:val="34"/>
    <w:pPr>
      <w:ind w:firstLine="420" w:firstLineChars="200"/>
    </w:pPr>
  </w:style>
  <w:style w:type="paragraph" w:customStyle="1" w:styleId="43">
    <w:name w:val="正文-manu"/>
    <w:basedOn w:val="1"/>
    <w:qFormat/>
    <w:uiPriority w:val="0"/>
    <w:pPr>
      <w:spacing w:line="300" w:lineRule="auto"/>
    </w:pPr>
    <w:rPr>
      <w:b/>
      <w:snapToGrid w:val="0"/>
      <w:kern w:val="0"/>
      <w:sz w:val="24"/>
      <w:szCs w:val="20"/>
    </w:rPr>
  </w:style>
  <w:style w:type="character" w:customStyle="1" w:styleId="44">
    <w:name w:val="font01"/>
    <w:basedOn w:val="27"/>
    <w:qFormat/>
    <w:uiPriority w:val="0"/>
    <w:rPr>
      <w:rFonts w:hint="default" w:ascii="Arial" w:hAnsi="Arial" w:cs="Arial"/>
      <w:color w:val="000000"/>
      <w:sz w:val="22"/>
      <w:szCs w:val="22"/>
      <w:u w:val="none"/>
    </w:rPr>
  </w:style>
  <w:style w:type="character" w:customStyle="1" w:styleId="45">
    <w:name w:val="font41"/>
    <w:basedOn w:val="27"/>
    <w:qFormat/>
    <w:uiPriority w:val="0"/>
    <w:rPr>
      <w:rFonts w:hint="eastAsia" w:ascii="宋体" w:hAnsi="宋体" w:eastAsia="宋体" w:cs="宋体"/>
      <w:color w:val="000000"/>
      <w:sz w:val="22"/>
      <w:szCs w:val="22"/>
      <w:u w:val="none"/>
    </w:rPr>
  </w:style>
  <w:style w:type="character" w:customStyle="1" w:styleId="46">
    <w:name w:val="font51"/>
    <w:basedOn w:val="27"/>
    <w:qFormat/>
    <w:uiPriority w:val="0"/>
    <w:rPr>
      <w:rFonts w:hint="eastAsia" w:ascii="宋体" w:hAnsi="宋体" w:eastAsia="宋体" w:cs="宋体"/>
      <w:color w:val="000000"/>
      <w:sz w:val="22"/>
      <w:szCs w:val="22"/>
      <w:u w:val="none"/>
    </w:rPr>
  </w:style>
  <w:style w:type="character" w:customStyle="1" w:styleId="47">
    <w:name w:val="font31"/>
    <w:basedOn w:val="27"/>
    <w:qFormat/>
    <w:uiPriority w:val="0"/>
    <w:rPr>
      <w:rFonts w:hint="default" w:ascii="Arial" w:hAnsi="Arial" w:cs="Arial"/>
      <w:b/>
      <w:color w:val="000000"/>
      <w:sz w:val="22"/>
      <w:szCs w:val="22"/>
      <w:u w:val="none"/>
    </w:rPr>
  </w:style>
  <w:style w:type="character" w:customStyle="1" w:styleId="48">
    <w:name w:val="font91"/>
    <w:basedOn w:val="27"/>
    <w:qFormat/>
    <w:uiPriority w:val="0"/>
    <w:rPr>
      <w:rFonts w:hint="default" w:ascii="Arial" w:hAnsi="Arial" w:cs="Arial"/>
      <w:color w:val="000000"/>
      <w:sz w:val="22"/>
      <w:szCs w:val="22"/>
      <w:u w:val="none"/>
    </w:rPr>
  </w:style>
  <w:style w:type="character" w:customStyle="1" w:styleId="49">
    <w:name w:val="font81"/>
    <w:basedOn w:val="27"/>
    <w:qFormat/>
    <w:uiPriority w:val="0"/>
    <w:rPr>
      <w:rFonts w:hint="eastAsia" w:ascii="宋体" w:hAnsi="宋体" w:eastAsia="宋体" w:cs="宋体"/>
      <w:color w:val="000000"/>
      <w:sz w:val="22"/>
      <w:szCs w:val="22"/>
      <w:u w:val="none"/>
    </w:rPr>
  </w:style>
  <w:style w:type="character" w:customStyle="1" w:styleId="50">
    <w:name w:val="font21"/>
    <w:basedOn w:val="27"/>
    <w:qFormat/>
    <w:uiPriority w:val="0"/>
    <w:rPr>
      <w:rFonts w:ascii="微软雅黑" w:hAnsi="微软雅黑" w:eastAsia="微软雅黑" w:cs="微软雅黑"/>
      <w:b/>
      <w:color w:val="000000"/>
      <w:sz w:val="24"/>
      <w:szCs w:val="24"/>
      <w:u w:val="none"/>
    </w:rPr>
  </w:style>
  <w:style w:type="character" w:customStyle="1" w:styleId="51">
    <w:name w:val="font61"/>
    <w:basedOn w:val="27"/>
    <w:qFormat/>
    <w:uiPriority w:val="0"/>
    <w:rPr>
      <w:rFonts w:hint="default" w:ascii="Times New Roman" w:hAnsi="Times New Roman" w:cs="Times New Roman"/>
      <w:b/>
      <w:color w:val="000000"/>
      <w:sz w:val="24"/>
      <w:szCs w:val="24"/>
      <w:u w:val="none"/>
    </w:rPr>
  </w:style>
  <w:style w:type="character" w:customStyle="1" w:styleId="52">
    <w:name w:val="font71"/>
    <w:basedOn w:val="27"/>
    <w:qFormat/>
    <w:uiPriority w:val="0"/>
    <w:rPr>
      <w:rFonts w:hint="eastAsia" w:ascii="微软雅黑" w:hAnsi="微软雅黑" w:eastAsia="微软雅黑" w:cs="微软雅黑"/>
      <w:color w:val="000000"/>
      <w:sz w:val="24"/>
      <w:szCs w:val="24"/>
      <w:u w:val="none"/>
    </w:rPr>
  </w:style>
  <w:style w:type="character" w:customStyle="1" w:styleId="53">
    <w:name w:val="font101"/>
    <w:basedOn w:val="27"/>
    <w:qFormat/>
    <w:uiPriority w:val="0"/>
    <w:rPr>
      <w:rFonts w:hint="default" w:ascii="Times New Roman" w:hAnsi="Times New Roman" w:cs="Times New Roman"/>
      <w:color w:val="000000"/>
      <w:sz w:val="24"/>
      <w:szCs w:val="24"/>
      <w:u w:val="none"/>
    </w:rPr>
  </w:style>
  <w:style w:type="paragraph" w:customStyle="1" w:styleId="54">
    <w:name w:val="_Style 1"/>
    <w:basedOn w:val="1"/>
    <w:qFormat/>
    <w:uiPriority w:val="34"/>
    <w:pPr>
      <w:ind w:firstLine="420" w:firstLineChars="200"/>
    </w:pPr>
  </w:style>
  <w:style w:type="character" w:customStyle="1" w:styleId="55">
    <w:name w:val="无间隔 Char"/>
    <w:link w:val="38"/>
    <w:qFormat/>
    <w:uiPriority w:val="1"/>
    <w:rPr>
      <w:rFonts w:ascii="Calibri" w:hAnsi="Calibri" w:eastAsia="宋体" w:cs="Times New Roman"/>
      <w:kern w:val="2"/>
      <w:sz w:val="21"/>
      <w:szCs w:val="24"/>
      <w:lang w:val="en-US" w:eastAsia="zh-CN" w:bidi="ar-SA"/>
    </w:rPr>
  </w:style>
  <w:style w:type="paragraph" w:customStyle="1" w:styleId="56">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57">
    <w:name w:val="索引 11"/>
    <w:basedOn w:val="1"/>
    <w:next w:val="1"/>
    <w:qFormat/>
    <w:uiPriority w:val="0"/>
    <w:pPr>
      <w:spacing w:line="360" w:lineRule="auto"/>
    </w:pPr>
    <w:rPr>
      <w:rFonts w:ascii="仿宋_GB2312" w:eastAsia="仿宋_GB2312"/>
      <w:sz w:val="24"/>
      <w:szCs w:val="20"/>
    </w:rPr>
  </w:style>
  <w:style w:type="paragraph" w:customStyle="1" w:styleId="58">
    <w:name w:val="纯文本1"/>
    <w:basedOn w:val="1"/>
    <w:qFormat/>
    <w:uiPriority w:val="0"/>
    <w:rPr>
      <w:rFonts w:ascii="宋体" w:hAnsi="Courier New"/>
      <w:kern w:val="0"/>
      <w:sz w:val="20"/>
      <w:szCs w:val="20"/>
    </w:rPr>
  </w:style>
  <w:style w:type="paragraph" w:customStyle="1" w:styleId="59">
    <w:name w:val="段"/>
    <w:next w:val="1"/>
    <w:qFormat/>
    <w:uiPriority w:val="0"/>
    <w:pPr>
      <w:autoSpaceDE w:val="0"/>
      <w:autoSpaceDN w:val="0"/>
      <w:ind w:firstLine="420" w:firstLineChars="200"/>
      <w:jc w:val="both"/>
    </w:pPr>
    <w:rPr>
      <w:rFonts w:ascii="宋体" w:hAnsi="Calibri" w:eastAsia="宋体" w:cs="Times New Roman"/>
      <w:kern w:val="2"/>
      <w:sz w:val="21"/>
      <w:szCs w:val="21"/>
      <w:lang w:val="en-US" w:eastAsia="zh-CN" w:bidi="ar-SA"/>
    </w:rPr>
  </w:style>
  <w:style w:type="paragraph" w:customStyle="1" w:styleId="60">
    <w:name w:val="石墨文档正文"/>
    <w:qFormat/>
    <w:uiPriority w:val="0"/>
    <w:rPr>
      <w:rFonts w:ascii="微软雅黑" w:hAnsi="微软雅黑" w:eastAsia="微软雅黑" w:cs="微软雅黑"/>
      <w:sz w:val="24"/>
      <w:szCs w:val="24"/>
      <w:lang w:val="en-US" w:eastAsia="zh-CN" w:bidi="ar-SA"/>
    </w:rPr>
  </w:style>
  <w:style w:type="character" w:customStyle="1" w:styleId="61">
    <w:name w:val="批注框文本 Char"/>
    <w:basedOn w:val="27"/>
    <w:link w:val="15"/>
    <w:qFormat/>
    <w:uiPriority w:val="0"/>
    <w:rPr>
      <w:kern w:val="2"/>
      <w:sz w:val="18"/>
      <w:szCs w:val="18"/>
    </w:rPr>
  </w:style>
  <w:style w:type="character" w:customStyle="1" w:styleId="62">
    <w:name w:val="批注文字 Char"/>
    <w:basedOn w:val="27"/>
    <w:link w:val="8"/>
    <w:qFormat/>
    <w:uiPriority w:val="0"/>
    <w:rPr>
      <w:kern w:val="2"/>
      <w:sz w:val="21"/>
      <w:szCs w:val="24"/>
    </w:rPr>
  </w:style>
  <w:style w:type="character" w:customStyle="1" w:styleId="63">
    <w:name w:val="批注主题 Char"/>
    <w:basedOn w:val="62"/>
    <w:link w:val="23"/>
    <w:qFormat/>
    <w:uiPriority w:val="0"/>
    <w:rPr>
      <w:b/>
      <w:bCs/>
      <w:kern w:val="2"/>
      <w:sz w:val="21"/>
      <w:szCs w:val="24"/>
    </w:rPr>
  </w:style>
  <w:style w:type="paragraph" w:customStyle="1" w:styleId="64">
    <w:name w:val="CL标准正文首行缩进2字"/>
    <w:qFormat/>
    <w:uiPriority w:val="0"/>
    <w:pPr>
      <w:widowControl w:val="0"/>
      <w:spacing w:line="360" w:lineRule="auto"/>
      <w:ind w:firstLine="200"/>
      <w:jc w:val="both"/>
    </w:pPr>
    <w:rPr>
      <w:rFonts w:ascii="Arial" w:hAnsi="Arial" w:eastAsia="宋体" w:cs="Arial Unicode MS"/>
      <w:color w:val="000000"/>
      <w:kern w:val="2"/>
      <w:sz w:val="21"/>
      <w:szCs w:val="21"/>
      <w:u w:color="000000"/>
      <w:lang w:val="en-US" w:eastAsia="zh-CN" w:bidi="ar-SA"/>
    </w:rPr>
  </w:style>
  <w:style w:type="table" w:customStyle="1" w:styleId="65">
    <w:name w:val="Table Normal1"/>
    <w:qFormat/>
    <w:uiPriority w:val="0"/>
    <w:rPr>
      <w:rFonts w:ascii="Times New Roman" w:hAnsi="Times New Roman" w:cs="Times New Roman"/>
    </w:rPr>
    <w:tblPr>
      <w:tblCellMar>
        <w:top w:w="0" w:type="dxa"/>
        <w:left w:w="0" w:type="dxa"/>
        <w:bottom w:w="0" w:type="dxa"/>
        <w:right w:w="0" w:type="dxa"/>
      </w:tblCellMar>
    </w:tblPr>
  </w:style>
  <w:style w:type="paragraph" w:customStyle="1" w:styleId="66">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67">
    <w:name w:val="p1"/>
    <w:basedOn w:val="1"/>
    <w:qFormat/>
    <w:uiPriority w:val="0"/>
    <w:pPr>
      <w:spacing w:before="0" w:beforeAutospacing="0" w:after="0" w:afterAutospacing="0"/>
      <w:ind w:left="0" w:right="0"/>
      <w:jc w:val="left"/>
    </w:pPr>
    <w:rPr>
      <w:rFonts w:ascii="pingfang sc" w:hAnsi="pingfang sc" w:eastAsia="pingfang sc" w:cs="pingfang sc"/>
      <w:kern w:val="0"/>
      <w:sz w:val="26"/>
      <w:szCs w:val="26"/>
      <w:lang w:val="en-US" w:eastAsia="zh-CN"/>
    </w:rPr>
  </w:style>
  <w:style w:type="character" w:customStyle="1" w:styleId="68">
    <w:name w:val="s1"/>
    <w:basedOn w:val="27"/>
    <w:qFormat/>
    <w:uiPriority w:val="0"/>
    <w:rPr>
      <w:rFonts w:ascii="pingfang sc" w:hAnsi="pingfang sc" w:eastAsia="pingfang sc" w:cs="pingfang sc"/>
      <w:sz w:val="40"/>
      <w:szCs w:val="40"/>
    </w:rPr>
  </w:style>
  <w:style w:type="character" w:customStyle="1" w:styleId="69">
    <w:name w:val="trans"/>
    <w:qFormat/>
    <w:uiPriority w:val="99"/>
  </w:style>
  <w:style w:type="paragraph" w:customStyle="1" w:styleId="70">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71">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72">
    <w:name w:val="PageNumber"/>
    <w:qFormat/>
    <w:uiPriority w:val="99"/>
    <w:rPr>
      <w:rFonts w:cs="Times New Roman"/>
    </w:rPr>
  </w:style>
  <w:style w:type="paragraph" w:customStyle="1" w:styleId="73">
    <w:name w:val="样式1"/>
    <w:basedOn w:val="6"/>
    <w:qFormat/>
    <w:uiPriority w:val="0"/>
    <w:pPr>
      <w:spacing w:before="100" w:beforeAutospacing="1" w:after="100" w:afterAutospacing="1"/>
      <w:ind w:right="100" w:rightChars="100"/>
    </w:pPr>
    <w:rPr>
      <w:sz w:val="21"/>
    </w:rPr>
  </w:style>
  <w:style w:type="paragraph" w:customStyle="1" w:styleId="74">
    <w:name w:val="UserStyle_15"/>
    <w:basedOn w:val="75"/>
    <w:qFormat/>
    <w:uiPriority w:val="0"/>
    <w:pPr>
      <w:keepNext/>
      <w:widowControl/>
      <w:numPr>
        <w:ilvl w:val="1"/>
        <w:numId w:val="2"/>
      </w:numPr>
      <w:spacing w:before="100" w:beforeAutospacing="1" w:after="100" w:afterAutospacing="1"/>
      <w:ind w:left="1710" w:right="100" w:rightChars="100"/>
      <w:textAlignment w:val="baseline"/>
    </w:pPr>
    <w:rPr>
      <w:rFonts w:ascii="Cambria" w:hAnsi="Cambria" w:cs="Times New Roman"/>
      <w:sz w:val="21"/>
      <w:szCs w:val="28"/>
      <w:lang w:bidi="ar-SA"/>
    </w:rPr>
  </w:style>
  <w:style w:type="paragraph" w:customStyle="1" w:styleId="75">
    <w:name w:val="Heading2"/>
    <w:basedOn w:val="1"/>
    <w:next w:val="1"/>
    <w:qFormat/>
    <w:uiPriority w:val="0"/>
    <w:pPr>
      <w:keepNext/>
      <w:widowControl/>
      <w:numPr>
        <w:ilvl w:val="1"/>
        <w:numId w:val="2"/>
      </w:numPr>
      <w:spacing w:before="240" w:after="60"/>
      <w:textAlignment w:val="baseline"/>
    </w:pPr>
    <w:rPr>
      <w:rFonts w:ascii="Cambria" w:hAnsi="Cambria" w:cs="Times New Roman"/>
      <w:b/>
      <w:bCs/>
      <w:i/>
      <w:iCs/>
      <w:sz w:val="28"/>
      <w:szCs w:val="28"/>
      <w:lang w:bidi="ar-SA"/>
    </w:rPr>
  </w:style>
  <w:style w:type="character" w:customStyle="1" w:styleId="76">
    <w:name w:val="UserStyle_2"/>
    <w:link w:val="77"/>
    <w:qFormat/>
    <w:uiPriority w:val="0"/>
    <w:rPr>
      <w:kern w:val="0"/>
      <w:sz w:val="20"/>
      <w:szCs w:val="24"/>
      <w:lang w:val="en-US" w:eastAsia="zh-CN" w:bidi="ar-SA"/>
    </w:rPr>
  </w:style>
  <w:style w:type="paragraph" w:customStyle="1" w:styleId="77">
    <w:name w:val="UserStyle_3"/>
    <w:basedOn w:val="1"/>
    <w:link w:val="76"/>
    <w:qFormat/>
    <w:uiPriority w:val="0"/>
    <w:pPr>
      <w:jc w:val="both"/>
      <w:textAlignment w:val="baseline"/>
    </w:pPr>
    <w:rPr>
      <w:kern w:val="0"/>
      <w:sz w:val="20"/>
      <w:szCs w:val="24"/>
      <w:lang w:val="en-US" w:eastAsia="zh-CN" w:bidi="ar-SA"/>
    </w:rPr>
  </w:style>
  <w:style w:type="paragraph" w:customStyle="1" w:styleId="78">
    <w:name w:val="List Paragraph1"/>
    <w:basedOn w:val="1"/>
    <w:qFormat/>
    <w:uiPriority w:val="0"/>
    <w:pPr>
      <w:ind w:firstLine="420" w:firstLineChars="200"/>
    </w:pPr>
  </w:style>
  <w:style w:type="paragraph" w:customStyle="1" w:styleId="79">
    <w:name w:val="List Paragraph"/>
    <w:basedOn w:val="1"/>
    <w:qFormat/>
    <w:uiPriority w:val="34"/>
    <w:pPr>
      <w:ind w:firstLine="420" w:firstLineChars="200"/>
    </w:pPr>
  </w:style>
  <w:style w:type="paragraph" w:styleId="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Times New Roman"/>
      <w:kern w:val="0"/>
      <w:sz w:val="24"/>
      <w:szCs w:val="24"/>
    </w:rPr>
  </w:style>
  <w:style w:type="paragraph" w:customStyle="1" w:styleId="82">
    <w:name w:val="TOC Heading"/>
    <w:basedOn w:val="5"/>
    <w:next w:val="1"/>
    <w:semiHidden/>
    <w:unhideWhenUsed/>
    <w:qFormat/>
    <w:uiPriority w:val="39"/>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83">
    <w:name w:val="标题33"/>
    <w:basedOn w:val="2"/>
    <w:next w:val="32"/>
    <w:qFormat/>
    <w:uiPriority w:val="0"/>
    <w:pPr>
      <w:numPr>
        <w:ilvl w:val="2"/>
        <w:numId w:val="3"/>
      </w:numPr>
      <w:tabs>
        <w:tab w:val="clear" w:pos="720"/>
      </w:tabs>
    </w:pPr>
    <w:rPr>
      <w:rFonts w:hAnsi="黑体" w:eastAsia="黑体"/>
      <w:sz w:val="30"/>
      <w:szCs w:val="30"/>
    </w:rPr>
  </w:style>
  <w:style w:type="paragraph" w:customStyle="1" w:styleId="84">
    <w:name w:val="标题44"/>
    <w:basedOn w:val="7"/>
    <w:next w:val="32"/>
    <w:qFormat/>
    <w:uiPriority w:val="0"/>
    <w:pPr>
      <w:numPr>
        <w:ilvl w:val="3"/>
        <w:numId w:val="3"/>
      </w:numPr>
    </w:pPr>
    <w:rPr>
      <w:sz w:val="30"/>
      <w:szCs w:val="30"/>
    </w:rPr>
  </w:style>
  <w:style w:type="paragraph" w:customStyle="1" w:styleId="85">
    <w:name w:val="表格文字"/>
    <w:basedOn w:val="1"/>
    <w:qFormat/>
    <w:uiPriority w:val="0"/>
    <w:pPr>
      <w:spacing w:before="25" w:after="25"/>
      <w:jc w:val="left"/>
    </w:pPr>
    <w:rPr>
      <w:bCs/>
      <w:spacing w:val="10"/>
      <w:kern w:val="0"/>
      <w:sz w:val="24"/>
    </w:rPr>
  </w:style>
  <w:style w:type="paragraph" w:customStyle="1" w:styleId="86">
    <w:name w:val="p0"/>
    <w:basedOn w:val="1"/>
    <w:qFormat/>
    <w:uiPriority w:val="0"/>
    <w:pPr>
      <w:widowControl/>
    </w:pPr>
    <w:rPr>
      <w:kern w:val="0"/>
      <w:szCs w:val="21"/>
    </w:rPr>
  </w:style>
  <w:style w:type="character" w:customStyle="1" w:styleId="87">
    <w:name w:val="font11"/>
    <w:basedOn w:val="27"/>
    <w:qFormat/>
    <w:uiPriority w:val="0"/>
    <w:rPr>
      <w:rFonts w:hint="eastAsia" w:ascii="宋体" w:hAnsi="宋体" w:eastAsia="宋体" w:cs="宋体"/>
      <w:color w:val="333333"/>
      <w:sz w:val="24"/>
      <w:szCs w:val="24"/>
      <w:u w:val="none"/>
    </w:rPr>
  </w:style>
  <w:style w:type="table" w:customStyle="1" w:styleId="88">
    <w:name w:val="Table Normal"/>
    <w:semiHidden/>
    <w:unhideWhenUsed/>
    <w:qFormat/>
    <w:uiPriority w:val="0"/>
    <w:tblPr>
      <w:tblCellMar>
        <w:top w:w="0" w:type="dxa"/>
        <w:left w:w="0" w:type="dxa"/>
        <w:bottom w:w="0" w:type="dxa"/>
        <w:right w:w="0" w:type="dxa"/>
      </w:tblCellMar>
    </w:tblPr>
  </w:style>
  <w:style w:type="paragraph" w:customStyle="1" w:styleId="89">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90">
    <w:name w:val="CharAttribute0"/>
    <w:qFormat/>
    <w:uiPriority w:val="0"/>
    <w:rPr>
      <w:rFonts w:ascii="Times New Roman" w:eastAsia="宋体"/>
      <w:sz w:val="21"/>
    </w:rPr>
  </w:style>
  <w:style w:type="paragraph" w:customStyle="1" w:styleId="91">
    <w:name w:val="List Paragraph_1ffbf98a-d79d-4ba6-959b-084034549eb9"/>
    <w:basedOn w:val="1"/>
    <w:qFormat/>
    <w:uiPriority w:val="99"/>
    <w:pPr>
      <w:ind w:firstLine="420" w:firstLineChars="200"/>
    </w:pPr>
  </w:style>
  <w:style w:type="paragraph" w:customStyle="1" w:styleId="92">
    <w:name w:val="普通(网站)1"/>
    <w:basedOn w:val="1"/>
    <w:qFormat/>
    <w:uiPriority w:val="2"/>
    <w:pPr>
      <w:spacing w:before="75" w:after="75"/>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36478</Words>
  <Characters>39631</Characters>
  <Paragraphs>2159</Paragraphs>
  <TotalTime>2</TotalTime>
  <ScaleCrop>false</ScaleCrop>
  <LinksUpToDate>false</LinksUpToDate>
  <CharactersWithSpaces>44623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WPS_1542621076</dc:creator>
  <cp:lastModifiedBy>大口吃芒果</cp:lastModifiedBy>
  <cp:lastPrinted>2023-02-13T12:18:00Z</cp:lastPrinted>
  <dcterms:modified xsi:type="dcterms:W3CDTF">2023-05-03T07:44:22Z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A8D2F4A6D5C24783877D43C5795146CD_13</vt:lpwstr>
  </property>
</Properties>
</file>