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62AF0A">
      <w:pPr>
        <w:spacing w:line="360" w:lineRule="auto"/>
        <w:jc w:val="center"/>
        <w:rPr>
          <w:rFonts w:hint="eastAsia" w:ascii="宋体" w:hAnsi="宋体"/>
          <w:b/>
          <w:color w:val="auto"/>
          <w:sz w:val="48"/>
          <w:szCs w:val="48"/>
          <w:highlight w:val="none"/>
        </w:rPr>
      </w:pPr>
    </w:p>
    <w:p w14:paraId="0EAB6D56">
      <w:pPr>
        <w:pStyle w:val="86"/>
        <w:ind w:firstLine="482"/>
        <w:rPr>
          <w:rFonts w:hint="eastAsia" w:hAnsi="宋体"/>
          <w:b/>
          <w:color w:val="auto"/>
          <w:sz w:val="48"/>
          <w:szCs w:val="48"/>
          <w:highlight w:val="none"/>
        </w:rPr>
      </w:pPr>
    </w:p>
    <w:p w14:paraId="0F6E5441">
      <w:pPr>
        <w:pStyle w:val="68"/>
        <w:rPr>
          <w:rFonts w:hint="eastAsia" w:ascii="宋体" w:hAnsi="宋体"/>
          <w:b/>
          <w:color w:val="auto"/>
          <w:sz w:val="48"/>
          <w:szCs w:val="48"/>
          <w:highlight w:val="none"/>
        </w:rPr>
      </w:pPr>
    </w:p>
    <w:p w14:paraId="14AB0E9B">
      <w:pPr>
        <w:rPr>
          <w:rFonts w:hint="eastAsia"/>
          <w:color w:val="auto"/>
          <w:highlight w:val="none"/>
        </w:rPr>
      </w:pPr>
    </w:p>
    <w:p w14:paraId="120F0142">
      <w:pPr>
        <w:spacing w:line="360" w:lineRule="auto"/>
        <w:jc w:val="center"/>
        <w:rPr>
          <w:rFonts w:hint="eastAsia"/>
          <w:b/>
          <w:bCs/>
          <w:color w:val="auto"/>
          <w:sz w:val="84"/>
          <w:szCs w:val="84"/>
          <w:highlight w:val="none"/>
        </w:rPr>
      </w:pPr>
      <w:r>
        <w:rPr>
          <w:rFonts w:hint="eastAsia"/>
          <w:b/>
          <w:bCs/>
          <w:color w:val="auto"/>
          <w:sz w:val="84"/>
          <w:szCs w:val="84"/>
          <w:highlight w:val="none"/>
        </w:rPr>
        <w:t>公开</w:t>
      </w:r>
      <w:r>
        <w:rPr>
          <w:b/>
          <w:bCs/>
          <w:color w:val="auto"/>
          <w:sz w:val="84"/>
          <w:szCs w:val="84"/>
          <w:highlight w:val="none"/>
        </w:rPr>
        <w:t>招标文件</w:t>
      </w:r>
    </w:p>
    <w:p w14:paraId="2D136B98">
      <w:pPr>
        <w:jc w:val="center"/>
        <w:rPr>
          <w:rFonts w:hint="eastAsia" w:ascii="宋体"/>
          <w:color w:val="auto"/>
          <w:sz w:val="44"/>
          <w:highlight w:val="none"/>
        </w:rPr>
      </w:pPr>
    </w:p>
    <w:p w14:paraId="17A84D25">
      <w:pPr>
        <w:tabs>
          <w:tab w:val="left" w:pos="3240"/>
          <w:tab w:val="left" w:pos="3420"/>
        </w:tabs>
        <w:spacing w:line="360" w:lineRule="auto"/>
        <w:jc w:val="center"/>
        <w:rPr>
          <w:rFonts w:hint="eastAsia" w:eastAsia="宋体"/>
          <w:bCs/>
          <w:color w:val="auto"/>
          <w:sz w:val="36"/>
          <w:szCs w:val="36"/>
          <w:highlight w:val="none"/>
          <w:lang w:eastAsia="zh-CN"/>
        </w:rPr>
      </w:pPr>
      <w:r>
        <w:rPr>
          <w:rFonts w:hint="eastAsia"/>
          <w:bCs/>
          <w:color w:val="auto"/>
          <w:sz w:val="36"/>
          <w:szCs w:val="36"/>
          <w:highlight w:val="none"/>
          <w:lang w:eastAsia="zh-CN"/>
        </w:rPr>
        <w:t>（</w:t>
      </w:r>
      <w:r>
        <w:rPr>
          <w:bCs/>
          <w:color w:val="auto"/>
          <w:sz w:val="36"/>
          <w:szCs w:val="36"/>
          <w:highlight w:val="none"/>
        </w:rPr>
        <w:t>项目编号：</w:t>
      </w:r>
      <w:r>
        <w:rPr>
          <w:rFonts w:hint="eastAsia"/>
          <w:bCs/>
          <w:color w:val="auto"/>
          <w:sz w:val="36"/>
          <w:szCs w:val="36"/>
          <w:highlight w:val="none"/>
          <w:lang w:eastAsia="zh-CN"/>
        </w:rPr>
        <w:t>XYTDZB-2025GK</w:t>
      </w:r>
      <w:r>
        <w:rPr>
          <w:rFonts w:hint="eastAsia"/>
          <w:bCs/>
          <w:color w:val="auto"/>
          <w:sz w:val="36"/>
          <w:szCs w:val="36"/>
          <w:highlight w:val="none"/>
          <w:lang w:val="en-US" w:eastAsia="zh-CN"/>
        </w:rPr>
        <w:t>268</w:t>
      </w:r>
      <w:r>
        <w:rPr>
          <w:rFonts w:hint="eastAsia"/>
          <w:bCs/>
          <w:color w:val="auto"/>
          <w:sz w:val="36"/>
          <w:szCs w:val="36"/>
          <w:highlight w:val="none"/>
          <w:lang w:eastAsia="zh-CN"/>
        </w:rPr>
        <w:t>）</w:t>
      </w:r>
    </w:p>
    <w:p w14:paraId="2AC77A4D">
      <w:pPr>
        <w:pStyle w:val="331"/>
        <w:jc w:val="center"/>
        <w:rPr>
          <w:rFonts w:hint="eastAsia" w:ascii="宋体"/>
          <w:color w:val="auto"/>
          <w:sz w:val="44"/>
          <w:highlight w:val="none"/>
        </w:rPr>
      </w:pPr>
    </w:p>
    <w:p w14:paraId="10704089">
      <w:pPr>
        <w:pStyle w:val="331"/>
        <w:rPr>
          <w:rFonts w:hint="eastAsia" w:ascii="宋体"/>
          <w:color w:val="auto"/>
          <w:sz w:val="44"/>
          <w:highlight w:val="none"/>
        </w:rPr>
      </w:pPr>
    </w:p>
    <w:p w14:paraId="247EC7B4">
      <w:pPr>
        <w:pStyle w:val="27"/>
        <w:rPr>
          <w:rFonts w:hint="eastAsia"/>
          <w:color w:val="auto"/>
          <w:highlight w:val="none"/>
        </w:rPr>
      </w:pPr>
    </w:p>
    <w:p w14:paraId="4F54BE79">
      <w:pPr>
        <w:spacing w:line="360" w:lineRule="auto"/>
        <w:jc w:val="center"/>
        <w:rPr>
          <w:rFonts w:hint="eastAsia" w:ascii="宋体"/>
          <w:b/>
          <w:color w:val="auto"/>
          <w:sz w:val="24"/>
          <w:highlight w:val="none"/>
        </w:rPr>
      </w:pPr>
    </w:p>
    <w:p w14:paraId="125EFE42">
      <w:pPr>
        <w:pStyle w:val="39"/>
        <w:rPr>
          <w:rFonts w:hint="eastAsia" w:hAnsi="宋体" w:cs="宋体"/>
          <w:b/>
          <w:bCs/>
          <w:color w:val="auto"/>
          <w:sz w:val="32"/>
          <w:szCs w:val="32"/>
          <w:highlight w:val="none"/>
        </w:rPr>
      </w:pPr>
    </w:p>
    <w:p w14:paraId="08945467">
      <w:pPr>
        <w:pStyle w:val="39"/>
        <w:rPr>
          <w:rFonts w:hint="eastAsia" w:hAnsi="宋体" w:cs="宋体"/>
          <w:b/>
          <w:bCs/>
          <w:color w:val="auto"/>
          <w:sz w:val="32"/>
          <w:szCs w:val="32"/>
          <w:highlight w:val="none"/>
        </w:rPr>
      </w:pPr>
    </w:p>
    <w:p w14:paraId="4BE7DECA">
      <w:pPr>
        <w:pStyle w:val="39"/>
        <w:rPr>
          <w:rFonts w:hint="eastAsia" w:hAnsi="宋体" w:cs="宋体"/>
          <w:b/>
          <w:bCs/>
          <w:color w:val="auto"/>
          <w:sz w:val="32"/>
          <w:szCs w:val="32"/>
          <w:highlight w:val="none"/>
        </w:rPr>
      </w:pPr>
    </w:p>
    <w:p w14:paraId="53AA24D5">
      <w:pPr>
        <w:tabs>
          <w:tab w:val="left" w:pos="3240"/>
          <w:tab w:val="left" w:pos="3420"/>
        </w:tabs>
        <w:spacing w:line="600" w:lineRule="auto"/>
        <w:jc w:val="left"/>
        <w:rPr>
          <w:rFonts w:hint="eastAsia" w:eastAsia="宋体"/>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新疆第二医学院药学实验教学示范中心建设项目</w:t>
      </w:r>
    </w:p>
    <w:p w14:paraId="4047E5FE">
      <w:pPr>
        <w:tabs>
          <w:tab w:val="left" w:pos="3240"/>
          <w:tab w:val="left" w:pos="3420"/>
        </w:tabs>
        <w:spacing w:line="600" w:lineRule="auto"/>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新疆第二医学院</w:t>
      </w:r>
    </w:p>
    <w:p w14:paraId="3F70D205">
      <w:pPr>
        <w:tabs>
          <w:tab w:val="left" w:pos="3240"/>
          <w:tab w:val="left" w:pos="3420"/>
        </w:tabs>
        <w:spacing w:line="600" w:lineRule="auto"/>
        <w:jc w:val="left"/>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新疆星耀天都项目管理有限责任公司</w:t>
      </w:r>
      <w:r>
        <w:rPr>
          <w:bCs/>
          <w:color w:val="auto"/>
          <w:sz w:val="36"/>
          <w:szCs w:val="36"/>
          <w:highlight w:val="none"/>
        </w:rPr>
        <w:t xml:space="preserve"> </w:t>
      </w:r>
    </w:p>
    <w:p w14:paraId="61C5188A">
      <w:pPr>
        <w:widowControl/>
        <w:spacing w:line="600" w:lineRule="auto"/>
        <w:jc w:val="left"/>
        <w:rPr>
          <w:b/>
          <w:bCs/>
          <w:color w:val="auto"/>
          <w:sz w:val="44"/>
          <w:highlight w:val="none"/>
        </w:rPr>
      </w:pPr>
    </w:p>
    <w:p w14:paraId="5FE1BA11">
      <w:pPr>
        <w:jc w:val="center"/>
        <w:rPr>
          <w:rFonts w:hint="eastAsia"/>
          <w:bCs/>
          <w:color w:val="auto"/>
          <w:sz w:val="36"/>
          <w:szCs w:val="36"/>
          <w:highlight w:val="none"/>
        </w:rPr>
      </w:pPr>
      <w:r>
        <w:rPr>
          <w:rFonts w:hint="eastAsia"/>
          <w:bCs/>
          <w:color w:val="auto"/>
          <w:sz w:val="36"/>
          <w:szCs w:val="36"/>
          <w:highlight w:val="none"/>
        </w:rPr>
        <w:t>日期：</w:t>
      </w:r>
      <w:r>
        <w:rPr>
          <w:rFonts w:hint="eastAsia" w:ascii="宋体" w:hAnsi="宋体" w:cs="宋体"/>
          <w:bCs/>
          <w:color w:val="auto"/>
          <w:sz w:val="36"/>
          <w:szCs w:val="36"/>
          <w:highlight w:val="none"/>
        </w:rPr>
        <w:t>20</w:t>
      </w:r>
      <w:r>
        <w:rPr>
          <w:rFonts w:hint="eastAsia" w:ascii="宋体" w:hAnsi="宋体" w:cs="宋体"/>
          <w:bCs/>
          <w:color w:val="auto"/>
          <w:sz w:val="36"/>
          <w:szCs w:val="36"/>
          <w:highlight w:val="none"/>
          <w:lang w:val="en-US" w:eastAsia="zh-CN"/>
        </w:rPr>
        <w:t>25</w:t>
      </w:r>
      <w:r>
        <w:rPr>
          <w:rFonts w:hint="eastAsia" w:ascii="宋体" w:hAnsi="宋体" w:cs="宋体"/>
          <w:bCs/>
          <w:color w:val="auto"/>
          <w:sz w:val="36"/>
          <w:szCs w:val="36"/>
          <w:highlight w:val="none"/>
        </w:rPr>
        <w:t>年</w:t>
      </w:r>
      <w:r>
        <w:rPr>
          <w:rFonts w:hint="eastAsia" w:ascii="宋体" w:hAnsi="宋体" w:cs="宋体"/>
          <w:bCs/>
          <w:color w:val="auto"/>
          <w:sz w:val="36"/>
          <w:szCs w:val="36"/>
          <w:highlight w:val="none"/>
          <w:lang w:val="en-US" w:eastAsia="zh-CN"/>
        </w:rPr>
        <w:t>06</w:t>
      </w:r>
      <w:r>
        <w:rPr>
          <w:rFonts w:hint="eastAsia" w:ascii="宋体" w:hAnsi="宋体" w:cs="宋体"/>
          <w:bCs/>
          <w:color w:val="auto"/>
          <w:sz w:val="36"/>
          <w:szCs w:val="36"/>
          <w:highlight w:val="none"/>
        </w:rPr>
        <w:t>月</w:t>
      </w:r>
      <w:r>
        <w:rPr>
          <w:rFonts w:hint="eastAsia" w:ascii="宋体" w:hAnsi="宋体" w:cs="宋体"/>
          <w:bCs/>
          <w:color w:val="auto"/>
          <w:sz w:val="36"/>
          <w:szCs w:val="36"/>
          <w:highlight w:val="none"/>
        </w:rPr>
        <w:br w:type="page"/>
      </w:r>
    </w:p>
    <w:p w14:paraId="7C9B0F75">
      <w:pPr>
        <w:jc w:val="center"/>
        <w:rPr>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D6D4687">
      <w:pPr>
        <w:pStyle w:val="59"/>
        <w:tabs>
          <w:tab w:val="right" w:leader="dot" w:pos="9026"/>
          <w:tab w:val="clear" w:pos="540"/>
          <w:tab w:val="clear" w:pos="8460"/>
        </w:tabs>
        <w:rPr>
          <w:color w:val="auto"/>
          <w:highlight w:val="none"/>
        </w:rPr>
      </w:pPr>
      <w:r>
        <w:rPr>
          <w:rFonts w:hint="eastAsia"/>
          <w:bCs/>
          <w:color w:val="auto"/>
          <w:sz w:val="36"/>
          <w:szCs w:val="36"/>
          <w:highlight w:val="none"/>
        </w:rPr>
        <w:fldChar w:fldCharType="begin"/>
      </w:r>
      <w:r>
        <w:rPr>
          <w:rFonts w:hint="eastAsia"/>
          <w:bCs/>
          <w:color w:val="auto"/>
          <w:sz w:val="36"/>
          <w:szCs w:val="36"/>
          <w:highlight w:val="none"/>
        </w:rPr>
        <w:instrText xml:space="preserve">TOC \o "1-1" \h \u </w:instrText>
      </w:r>
      <w:r>
        <w:rPr>
          <w:rFonts w:hint="eastAsia"/>
          <w:bCs/>
          <w:color w:val="auto"/>
          <w:sz w:val="36"/>
          <w:szCs w:val="36"/>
          <w:highlight w:val="none"/>
        </w:rPr>
        <w:fldChar w:fldCharType="separate"/>
      </w:r>
      <w:r>
        <w:rPr>
          <w:rFonts w:hint="eastAsia"/>
          <w:bCs/>
          <w:color w:val="auto"/>
          <w:szCs w:val="36"/>
          <w:highlight w:val="none"/>
        </w:rPr>
        <w:fldChar w:fldCharType="begin"/>
      </w:r>
      <w:r>
        <w:rPr>
          <w:rFonts w:hint="eastAsia"/>
          <w:bCs/>
          <w:color w:val="auto"/>
          <w:szCs w:val="36"/>
          <w:highlight w:val="none"/>
        </w:rPr>
        <w:instrText xml:space="preserve"> HYPERLINK \l _Toc22805 </w:instrText>
      </w:r>
      <w:r>
        <w:rPr>
          <w:rFonts w:hint="eastAsia"/>
          <w:bCs/>
          <w:color w:val="auto"/>
          <w:szCs w:val="36"/>
          <w:highlight w:val="none"/>
        </w:rPr>
        <w:fldChar w:fldCharType="separate"/>
      </w:r>
      <w:r>
        <w:rPr>
          <w:rFonts w:hint="eastAsia"/>
          <w:color w:val="auto"/>
          <w:szCs w:val="36"/>
          <w:highlight w:val="none"/>
          <w:lang w:eastAsia="zh-CN"/>
        </w:rPr>
        <w:t>第一章</w:t>
      </w:r>
      <w:r>
        <w:rPr>
          <w:rFonts w:hint="eastAsia"/>
          <w:color w:val="auto"/>
          <w:szCs w:val="36"/>
          <w:highlight w:val="none"/>
          <w:lang w:val="en-US" w:eastAsia="zh-CN"/>
        </w:rPr>
        <w:t xml:space="preserve"> </w:t>
      </w:r>
      <w:r>
        <w:rPr>
          <w:color w:val="auto"/>
          <w:szCs w:val="36"/>
          <w:highlight w:val="none"/>
        </w:rPr>
        <w:t>投标邀请</w:t>
      </w:r>
      <w:r>
        <w:rPr>
          <w:color w:val="auto"/>
          <w:highlight w:val="none"/>
        </w:rPr>
        <w:tab/>
      </w:r>
      <w:r>
        <w:rPr>
          <w:color w:val="auto"/>
          <w:highlight w:val="none"/>
        </w:rPr>
        <w:fldChar w:fldCharType="begin"/>
      </w:r>
      <w:r>
        <w:rPr>
          <w:color w:val="auto"/>
          <w:highlight w:val="none"/>
        </w:rPr>
        <w:instrText xml:space="preserve"> PAGEREF _Toc22805 \h </w:instrText>
      </w:r>
      <w:r>
        <w:rPr>
          <w:color w:val="auto"/>
          <w:highlight w:val="none"/>
        </w:rPr>
        <w:fldChar w:fldCharType="separate"/>
      </w:r>
      <w:r>
        <w:rPr>
          <w:color w:val="auto"/>
          <w:highlight w:val="none"/>
        </w:rPr>
        <w:t>3</w:t>
      </w:r>
      <w:r>
        <w:rPr>
          <w:color w:val="auto"/>
          <w:highlight w:val="none"/>
        </w:rPr>
        <w:fldChar w:fldCharType="end"/>
      </w:r>
      <w:r>
        <w:rPr>
          <w:rFonts w:hint="eastAsia"/>
          <w:bCs/>
          <w:color w:val="auto"/>
          <w:szCs w:val="36"/>
          <w:highlight w:val="none"/>
        </w:rPr>
        <w:fldChar w:fldCharType="end"/>
      </w:r>
    </w:p>
    <w:p w14:paraId="277E7F52">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_Toc121 </w:instrText>
      </w:r>
      <w:r>
        <w:rPr>
          <w:rFonts w:hint="eastAsia"/>
          <w:bCs/>
          <w:color w:val="auto"/>
          <w:szCs w:val="36"/>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7</w:t>
      </w:r>
      <w:r>
        <w:rPr>
          <w:color w:val="auto"/>
          <w:highlight w:val="none"/>
        </w:rPr>
        <w:fldChar w:fldCharType="end"/>
      </w:r>
      <w:r>
        <w:rPr>
          <w:rFonts w:hint="eastAsia"/>
          <w:bCs/>
          <w:color w:val="auto"/>
          <w:szCs w:val="36"/>
          <w:highlight w:val="none"/>
        </w:rPr>
        <w:fldChar w:fldCharType="end"/>
      </w:r>
    </w:p>
    <w:p w14:paraId="4F4F433A">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_Toc22387 </w:instrText>
      </w:r>
      <w:r>
        <w:rPr>
          <w:rFonts w:hint="eastAsia"/>
          <w:bCs/>
          <w:color w:val="auto"/>
          <w:szCs w:val="36"/>
          <w:highlight w:val="none"/>
        </w:rPr>
        <w:fldChar w:fldCharType="separate"/>
      </w:r>
      <w:r>
        <w:rPr>
          <w:rFonts w:hint="eastAsia"/>
          <w:color w:val="auto"/>
          <w:szCs w:val="36"/>
          <w:highlight w:val="none"/>
          <w:lang w:eastAsia="zh-CN"/>
        </w:rPr>
        <w:t>第三章</w:t>
      </w:r>
      <w:r>
        <w:rPr>
          <w:rFonts w:hint="eastAsia"/>
          <w:color w:val="auto"/>
          <w:szCs w:val="36"/>
          <w:highlight w:val="none"/>
          <w:lang w:val="en-US" w:eastAsia="zh-CN"/>
        </w:rPr>
        <w:t xml:space="preserve">  </w:t>
      </w:r>
      <w:r>
        <w:rPr>
          <w:rFonts w:hint="eastAsia"/>
          <w:color w:val="auto"/>
          <w:szCs w:val="36"/>
          <w:highlight w:val="none"/>
          <w:lang w:eastAsia="zh-CN"/>
        </w:rPr>
        <w:t>资格审查</w:t>
      </w:r>
      <w:r>
        <w:rPr>
          <w:color w:val="auto"/>
          <w:highlight w:val="none"/>
        </w:rPr>
        <w:tab/>
      </w:r>
      <w:r>
        <w:rPr>
          <w:color w:val="auto"/>
          <w:highlight w:val="none"/>
        </w:rPr>
        <w:fldChar w:fldCharType="begin"/>
      </w:r>
      <w:r>
        <w:rPr>
          <w:color w:val="auto"/>
          <w:highlight w:val="none"/>
        </w:rPr>
        <w:instrText xml:space="preserve"> PAGEREF _Toc22387 \h </w:instrText>
      </w:r>
      <w:r>
        <w:rPr>
          <w:color w:val="auto"/>
          <w:highlight w:val="none"/>
        </w:rPr>
        <w:fldChar w:fldCharType="separate"/>
      </w:r>
      <w:r>
        <w:rPr>
          <w:color w:val="auto"/>
          <w:highlight w:val="none"/>
        </w:rPr>
        <w:t>25</w:t>
      </w:r>
      <w:r>
        <w:rPr>
          <w:color w:val="auto"/>
          <w:highlight w:val="none"/>
        </w:rPr>
        <w:fldChar w:fldCharType="end"/>
      </w:r>
      <w:r>
        <w:rPr>
          <w:rFonts w:hint="eastAsia"/>
          <w:bCs/>
          <w:color w:val="auto"/>
          <w:szCs w:val="36"/>
          <w:highlight w:val="none"/>
        </w:rPr>
        <w:fldChar w:fldCharType="end"/>
      </w:r>
    </w:p>
    <w:p w14:paraId="20DE396E">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_Toc24895 </w:instrText>
      </w:r>
      <w:r>
        <w:rPr>
          <w:rFonts w:hint="eastAsia"/>
          <w:bCs/>
          <w:color w:val="auto"/>
          <w:szCs w:val="36"/>
          <w:highlight w:val="none"/>
        </w:rPr>
        <w:fldChar w:fldCharType="separate"/>
      </w:r>
      <w:r>
        <w:rPr>
          <w:rFonts w:hint="eastAsia" w:cs="宋体"/>
          <w:color w:val="auto"/>
          <w:szCs w:val="36"/>
          <w:highlight w:val="none"/>
          <w:lang w:val="en-US" w:eastAsia="zh-CN"/>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27</w:t>
      </w:r>
      <w:r>
        <w:rPr>
          <w:color w:val="auto"/>
          <w:highlight w:val="none"/>
        </w:rPr>
        <w:fldChar w:fldCharType="end"/>
      </w:r>
      <w:r>
        <w:rPr>
          <w:rFonts w:hint="eastAsia"/>
          <w:bCs/>
          <w:color w:val="auto"/>
          <w:szCs w:val="36"/>
          <w:highlight w:val="none"/>
        </w:rPr>
        <w:fldChar w:fldCharType="end"/>
      </w:r>
    </w:p>
    <w:p w14:paraId="719BBED9">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_Toc29987 </w:instrText>
      </w:r>
      <w:r>
        <w:rPr>
          <w:rFonts w:hint="eastAsia"/>
          <w:bCs/>
          <w:color w:val="auto"/>
          <w:szCs w:val="36"/>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_Toc29987 \h </w:instrText>
      </w:r>
      <w:r>
        <w:rPr>
          <w:color w:val="auto"/>
          <w:highlight w:val="none"/>
        </w:rPr>
        <w:fldChar w:fldCharType="separate"/>
      </w:r>
      <w:r>
        <w:rPr>
          <w:color w:val="auto"/>
          <w:highlight w:val="none"/>
        </w:rPr>
        <w:t>37</w:t>
      </w:r>
      <w:r>
        <w:rPr>
          <w:color w:val="auto"/>
          <w:highlight w:val="none"/>
        </w:rPr>
        <w:fldChar w:fldCharType="end"/>
      </w:r>
      <w:r>
        <w:rPr>
          <w:rFonts w:hint="eastAsia"/>
          <w:bCs/>
          <w:color w:val="auto"/>
          <w:szCs w:val="36"/>
          <w:highlight w:val="none"/>
        </w:rPr>
        <w:fldChar w:fldCharType="end"/>
      </w:r>
    </w:p>
    <w:p w14:paraId="29CA1574">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_Toc19796 </w:instrText>
      </w:r>
      <w:r>
        <w:rPr>
          <w:rFonts w:hint="eastAsia"/>
          <w:bCs/>
          <w:color w:val="auto"/>
          <w:szCs w:val="36"/>
          <w:highlight w:val="none"/>
        </w:rPr>
        <w:fldChar w:fldCharType="separate"/>
      </w:r>
      <w:r>
        <w:rPr>
          <w:rFonts w:hint="eastAsia"/>
          <w:color w:val="auto"/>
          <w:szCs w:val="36"/>
          <w:highlight w:val="none"/>
        </w:rPr>
        <w:t>第六章</w:t>
      </w:r>
      <w:r>
        <w:rPr>
          <w:rFonts w:hint="eastAsia"/>
          <w:color w:val="auto"/>
          <w:szCs w:val="36"/>
          <w:highlight w:val="none"/>
          <w:lang w:val="en-US" w:eastAsia="zh-CN"/>
        </w:rPr>
        <w:t xml:space="preserve"> </w:t>
      </w:r>
      <w:r>
        <w:rPr>
          <w:rFonts w:hint="eastAsia"/>
          <w:color w:val="auto"/>
          <w:szCs w:val="36"/>
          <w:highlight w:val="none"/>
        </w:rPr>
        <w:t xml:space="preserve"> </w:t>
      </w:r>
      <w:r>
        <w:rPr>
          <w:rFonts w:hint="eastAsia"/>
          <w:color w:val="auto"/>
          <w:szCs w:val="36"/>
          <w:highlight w:val="none"/>
          <w:lang w:eastAsia="zh-CN"/>
        </w:rPr>
        <w:t>拟签订的合同文本</w:t>
      </w:r>
      <w:r>
        <w:rPr>
          <w:color w:val="auto"/>
          <w:highlight w:val="none"/>
        </w:rPr>
        <w:tab/>
      </w:r>
      <w:r>
        <w:rPr>
          <w:color w:val="auto"/>
          <w:highlight w:val="none"/>
        </w:rPr>
        <w:fldChar w:fldCharType="begin"/>
      </w:r>
      <w:r>
        <w:rPr>
          <w:color w:val="auto"/>
          <w:highlight w:val="none"/>
        </w:rPr>
        <w:instrText xml:space="preserve"> PAGEREF _Toc19796 \h </w:instrText>
      </w:r>
      <w:r>
        <w:rPr>
          <w:color w:val="auto"/>
          <w:highlight w:val="none"/>
        </w:rPr>
        <w:fldChar w:fldCharType="separate"/>
      </w:r>
      <w:r>
        <w:rPr>
          <w:color w:val="auto"/>
          <w:highlight w:val="none"/>
        </w:rPr>
        <w:t>37</w:t>
      </w:r>
      <w:r>
        <w:rPr>
          <w:color w:val="auto"/>
          <w:highlight w:val="none"/>
        </w:rPr>
        <w:fldChar w:fldCharType="end"/>
      </w:r>
      <w:r>
        <w:rPr>
          <w:rFonts w:hint="eastAsia"/>
          <w:bCs/>
          <w:color w:val="auto"/>
          <w:szCs w:val="36"/>
          <w:highlight w:val="none"/>
        </w:rPr>
        <w:fldChar w:fldCharType="end"/>
      </w:r>
    </w:p>
    <w:p w14:paraId="73423251">
      <w:pPr>
        <w:pStyle w:val="59"/>
        <w:tabs>
          <w:tab w:val="right" w:leader="dot" w:pos="9026"/>
          <w:tab w:val="clear" w:pos="540"/>
          <w:tab w:val="clear" w:pos="8460"/>
        </w:tabs>
        <w:rPr>
          <w:color w:val="auto"/>
          <w:highlight w:val="none"/>
        </w:rPr>
      </w:pPr>
      <w:r>
        <w:rPr>
          <w:rFonts w:hint="eastAsia"/>
          <w:bCs/>
          <w:color w:val="auto"/>
          <w:szCs w:val="36"/>
          <w:highlight w:val="none"/>
        </w:rPr>
        <w:fldChar w:fldCharType="begin"/>
      </w:r>
      <w:r>
        <w:rPr>
          <w:rFonts w:hint="eastAsia"/>
          <w:bCs/>
          <w:color w:val="auto"/>
          <w:szCs w:val="36"/>
          <w:highlight w:val="none"/>
        </w:rPr>
        <w:instrText xml:space="preserve"> HYPERLINK \l _Toc21015 </w:instrText>
      </w:r>
      <w:r>
        <w:rPr>
          <w:rFonts w:hint="eastAsia"/>
          <w:bCs/>
          <w:color w:val="auto"/>
          <w:szCs w:val="36"/>
          <w:highlight w:val="none"/>
        </w:rPr>
        <w:fldChar w:fldCharType="separate"/>
      </w:r>
      <w:r>
        <w:rPr>
          <w:rFonts w:hint="eastAsia" w:cs="Times New Roman"/>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_Toc21015 \h </w:instrText>
      </w:r>
      <w:r>
        <w:rPr>
          <w:color w:val="auto"/>
          <w:highlight w:val="none"/>
        </w:rPr>
        <w:fldChar w:fldCharType="separate"/>
      </w:r>
      <w:r>
        <w:rPr>
          <w:color w:val="auto"/>
          <w:highlight w:val="none"/>
        </w:rPr>
        <w:t>53</w:t>
      </w:r>
      <w:r>
        <w:rPr>
          <w:color w:val="auto"/>
          <w:highlight w:val="none"/>
        </w:rPr>
        <w:fldChar w:fldCharType="end"/>
      </w:r>
      <w:r>
        <w:rPr>
          <w:rFonts w:hint="eastAsia"/>
          <w:bCs/>
          <w:color w:val="auto"/>
          <w:szCs w:val="36"/>
          <w:highlight w:val="none"/>
        </w:rPr>
        <w:fldChar w:fldCharType="end"/>
      </w:r>
    </w:p>
    <w:p w14:paraId="7805A87E">
      <w:pPr>
        <w:jc w:val="center"/>
        <w:rPr>
          <w:rFonts w:hint="eastAsia"/>
          <w:bCs/>
          <w:color w:val="auto"/>
          <w:sz w:val="36"/>
          <w:szCs w:val="36"/>
          <w:highlight w:val="none"/>
        </w:rPr>
      </w:pPr>
      <w:r>
        <w:rPr>
          <w:rFonts w:hint="eastAsia"/>
          <w:bCs/>
          <w:color w:val="auto"/>
          <w:szCs w:val="36"/>
          <w:highlight w:val="none"/>
        </w:rPr>
        <w:fldChar w:fldCharType="end"/>
      </w:r>
    </w:p>
    <w:p w14:paraId="3597CCA9">
      <w:pPr>
        <w:jc w:val="center"/>
        <w:rPr>
          <w:rFonts w:hint="eastAsia"/>
          <w:bCs/>
          <w:color w:val="auto"/>
          <w:sz w:val="36"/>
          <w:szCs w:val="36"/>
          <w:highlight w:val="none"/>
        </w:rPr>
      </w:pPr>
    </w:p>
    <w:p w14:paraId="70485953">
      <w:pPr>
        <w:jc w:val="center"/>
        <w:rPr>
          <w:rFonts w:hint="eastAsia"/>
          <w:bCs/>
          <w:color w:val="auto"/>
          <w:sz w:val="36"/>
          <w:szCs w:val="36"/>
          <w:highlight w:val="none"/>
        </w:rPr>
      </w:pPr>
    </w:p>
    <w:p w14:paraId="12E0B7AE">
      <w:pPr>
        <w:jc w:val="center"/>
        <w:rPr>
          <w:rFonts w:hint="eastAsia"/>
          <w:bCs/>
          <w:color w:val="auto"/>
          <w:sz w:val="36"/>
          <w:szCs w:val="36"/>
          <w:highlight w:val="none"/>
        </w:rPr>
      </w:pPr>
    </w:p>
    <w:p w14:paraId="556C26A7">
      <w:pPr>
        <w:jc w:val="center"/>
        <w:rPr>
          <w:rFonts w:hint="eastAsia"/>
          <w:bCs/>
          <w:color w:val="auto"/>
          <w:sz w:val="36"/>
          <w:szCs w:val="36"/>
          <w:highlight w:val="none"/>
        </w:rPr>
      </w:pPr>
    </w:p>
    <w:p w14:paraId="1C77255A">
      <w:pPr>
        <w:jc w:val="center"/>
        <w:rPr>
          <w:rFonts w:hint="eastAsia"/>
          <w:bCs/>
          <w:color w:val="auto"/>
          <w:sz w:val="36"/>
          <w:szCs w:val="36"/>
          <w:highlight w:val="none"/>
        </w:rPr>
      </w:pPr>
    </w:p>
    <w:p w14:paraId="0272D977">
      <w:pPr>
        <w:jc w:val="center"/>
        <w:rPr>
          <w:rFonts w:hint="eastAsia"/>
          <w:bCs/>
          <w:color w:val="auto"/>
          <w:sz w:val="36"/>
          <w:szCs w:val="36"/>
          <w:highlight w:val="none"/>
        </w:rPr>
      </w:pPr>
    </w:p>
    <w:p w14:paraId="3B2EA850">
      <w:pPr>
        <w:jc w:val="center"/>
        <w:rPr>
          <w:rFonts w:hint="eastAsia"/>
          <w:bCs/>
          <w:color w:val="auto"/>
          <w:sz w:val="36"/>
          <w:szCs w:val="36"/>
          <w:highlight w:val="none"/>
        </w:rPr>
      </w:pPr>
    </w:p>
    <w:p w14:paraId="65BCDFE8">
      <w:pPr>
        <w:jc w:val="center"/>
        <w:rPr>
          <w:rFonts w:hint="eastAsia"/>
          <w:bCs/>
          <w:color w:val="auto"/>
          <w:sz w:val="36"/>
          <w:szCs w:val="36"/>
          <w:highlight w:val="none"/>
        </w:rPr>
      </w:pPr>
    </w:p>
    <w:p w14:paraId="7D701F20">
      <w:pPr>
        <w:jc w:val="center"/>
        <w:rPr>
          <w:rFonts w:hint="eastAsia"/>
          <w:bCs/>
          <w:color w:val="auto"/>
          <w:sz w:val="36"/>
          <w:szCs w:val="36"/>
          <w:highlight w:val="none"/>
        </w:rPr>
      </w:pPr>
    </w:p>
    <w:p w14:paraId="65DCD1C5">
      <w:pPr>
        <w:jc w:val="center"/>
        <w:rPr>
          <w:rFonts w:hint="eastAsia"/>
          <w:bCs/>
          <w:color w:val="auto"/>
          <w:sz w:val="36"/>
          <w:szCs w:val="36"/>
          <w:highlight w:val="none"/>
        </w:rPr>
      </w:pPr>
    </w:p>
    <w:p w14:paraId="2BD16220">
      <w:pPr>
        <w:jc w:val="center"/>
        <w:rPr>
          <w:rFonts w:hint="eastAsia"/>
          <w:bCs/>
          <w:color w:val="auto"/>
          <w:sz w:val="36"/>
          <w:szCs w:val="36"/>
          <w:highlight w:val="none"/>
        </w:rPr>
      </w:pPr>
    </w:p>
    <w:p w14:paraId="7959B9F7">
      <w:pPr>
        <w:jc w:val="center"/>
        <w:rPr>
          <w:rFonts w:hint="eastAsia"/>
          <w:bCs/>
          <w:color w:val="auto"/>
          <w:sz w:val="36"/>
          <w:szCs w:val="36"/>
          <w:highlight w:val="none"/>
        </w:rPr>
      </w:pPr>
    </w:p>
    <w:p w14:paraId="62BA21E4">
      <w:pPr>
        <w:rPr>
          <w:rFonts w:hint="eastAsia"/>
          <w:bCs/>
          <w:color w:val="auto"/>
          <w:sz w:val="36"/>
          <w:szCs w:val="36"/>
          <w:highlight w:val="none"/>
        </w:rPr>
      </w:pPr>
    </w:p>
    <w:p w14:paraId="69CE952D">
      <w:pPr>
        <w:spacing w:line="360" w:lineRule="auto"/>
        <w:jc w:val="center"/>
        <w:outlineLvl w:val="0"/>
        <w:rPr>
          <w:rFonts w:hint="eastAsia" w:ascii="宋体"/>
          <w:b/>
          <w:color w:val="auto"/>
          <w:sz w:val="36"/>
          <w:szCs w:val="36"/>
          <w:highlight w:val="none"/>
        </w:rPr>
      </w:pPr>
      <w:r>
        <w:rPr>
          <w:rFonts w:hint="eastAsia" w:ascii="宋体"/>
          <w:b/>
          <w:color w:val="auto"/>
          <w:sz w:val="36"/>
          <w:szCs w:val="36"/>
          <w:highlight w:val="none"/>
        </w:rPr>
        <w:t xml:space="preserve"> </w:t>
      </w:r>
      <w:bookmarkStart w:id="0" w:name="_Toc22805"/>
      <w:r>
        <w:rPr>
          <w:rFonts w:hint="eastAsia" w:ascii="宋体"/>
          <w:b/>
          <w:color w:val="auto"/>
          <w:sz w:val="36"/>
          <w:szCs w:val="36"/>
          <w:highlight w:val="none"/>
        </w:rPr>
        <w:t xml:space="preserve">第一章 </w:t>
      </w:r>
      <w:r>
        <w:rPr>
          <w:b/>
          <w:color w:val="auto"/>
          <w:sz w:val="36"/>
          <w:szCs w:val="36"/>
          <w:highlight w:val="none"/>
        </w:rPr>
        <w:t>投标邀请</w:t>
      </w:r>
      <w:bookmarkEnd w:id="0"/>
    </w:p>
    <w:p w14:paraId="29D84D9B">
      <w:pPr>
        <w:pStyle w:val="27"/>
        <w:rPr>
          <w:rFonts w:hint="eastAsia"/>
          <w:color w:val="auto"/>
          <w:highlight w:val="none"/>
        </w:rPr>
      </w:pPr>
    </w:p>
    <w:p w14:paraId="08D24A26">
      <w:pPr>
        <w:rPr>
          <w:rFonts w:hint="eastAsia"/>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74295</wp:posOffset>
                </wp:positionV>
                <wp:extent cx="6000750" cy="1439545"/>
                <wp:effectExtent l="9525" t="9525" r="9525" b="11430"/>
                <wp:wrapNone/>
                <wp:docPr id="1" name="文本框 4"/>
                <wp:cNvGraphicFramePr/>
                <a:graphic xmlns:a="http://schemas.openxmlformats.org/drawingml/2006/main">
                  <a:graphicData uri="http://schemas.microsoft.com/office/word/2010/wordprocessingShape">
                    <wps:wsp>
                      <wps:cNvSpPr txBox="1"/>
                      <wps:spPr>
                        <a:xfrm>
                          <a:off x="0" y="0"/>
                          <a:ext cx="6000750" cy="1439545"/>
                        </a:xfrm>
                        <a:prstGeom prst="rect">
                          <a:avLst/>
                        </a:prstGeom>
                        <a:solidFill>
                          <a:srgbClr val="FFFFFF"/>
                        </a:solidFill>
                        <a:ln w="19050" cap="flat" cmpd="sng">
                          <a:solidFill>
                            <a:srgbClr val="00B0F0"/>
                          </a:solidFill>
                          <a:prstDash val="solid"/>
                          <a:miter/>
                          <a:headEnd type="none" w="med" len="med"/>
                          <a:tailEnd type="none" w="med" len="med"/>
                        </a:ln>
                      </wps:spPr>
                      <wps:txbx>
                        <w:txbxContent>
                          <w:p w14:paraId="0794F0AF">
                            <w:pPr>
                              <w:pStyle w:val="81"/>
                              <w:spacing w:before="75" w:after="75" w:line="360" w:lineRule="auto"/>
                              <w:rPr>
                                <w:rFonts w:hint="eastAsia" w:hAnsi="宋体"/>
                                <w:color w:val="000000"/>
                              </w:rPr>
                            </w:pPr>
                            <w:r>
                              <w:rPr>
                                <w:rFonts w:hint="eastAsia" w:hAnsi="宋体"/>
                                <w:color w:val="000000"/>
                              </w:rPr>
                              <w:t>项目概况</w:t>
                            </w:r>
                          </w:p>
                          <w:p w14:paraId="4FDCD6EA">
                            <w:pPr>
                              <w:pStyle w:val="81"/>
                              <w:spacing w:before="75" w:after="75" w:line="360" w:lineRule="auto"/>
                              <w:ind w:firstLine="480" w:firstLineChars="200"/>
                              <w:rPr>
                                <w:rFonts w:hint="eastAsia" w:hAnsi="宋体"/>
                                <w:color w:val="000000"/>
                              </w:rPr>
                            </w:pPr>
                            <w:r>
                              <w:rPr>
                                <w:rFonts w:hint="eastAsia" w:hAnsi="宋体"/>
                                <w:highlight w:val="none"/>
                                <w:u w:val="single"/>
                              </w:rPr>
                              <w:t>新疆第二医学院药学实验教学示范中心建设项目</w:t>
                            </w:r>
                            <w:r>
                              <w:rPr>
                                <w:rFonts w:hint="eastAsia" w:hAnsi="宋体"/>
                                <w:color w:val="000000"/>
                                <w:highlight w:val="none"/>
                              </w:rPr>
                              <w:t>的</w:t>
                            </w:r>
                            <w:r>
                              <w:rPr>
                                <w:rFonts w:hint="eastAsia" w:hAnsi="宋体"/>
                                <w:color w:val="000000"/>
                              </w:rPr>
                              <w:t>潜在投标人应在政采云平台https://www.zcygov.cn/获取招标文件，并</w:t>
                            </w:r>
                            <w:r>
                              <w:rPr>
                                <w:rFonts w:hint="eastAsia" w:hAnsi="宋体"/>
                                <w:color w:val="000000"/>
                                <w:highlight w:val="none"/>
                              </w:rPr>
                              <w:t>于</w:t>
                            </w:r>
                            <w:r>
                              <w:rPr>
                                <w:rFonts w:hint="eastAsia" w:hAnsi="宋体"/>
                                <w:color w:val="0000FF"/>
                                <w:highlight w:val="none"/>
                                <w:lang w:eastAsia="zh-CN"/>
                              </w:rPr>
                              <w:t>202</w:t>
                            </w:r>
                            <w:r>
                              <w:rPr>
                                <w:rFonts w:hint="eastAsia" w:hAnsi="宋体"/>
                                <w:color w:val="0000FF"/>
                                <w:highlight w:val="none"/>
                                <w:lang w:val="en-US" w:eastAsia="zh-CN"/>
                              </w:rPr>
                              <w:t>5</w:t>
                            </w:r>
                            <w:r>
                              <w:rPr>
                                <w:rFonts w:hint="eastAsia" w:hAnsi="宋体"/>
                                <w:color w:val="0000FF"/>
                                <w:highlight w:val="none"/>
                                <w:lang w:eastAsia="zh-CN"/>
                              </w:rPr>
                              <w:t>年</w:t>
                            </w:r>
                            <w:r>
                              <w:rPr>
                                <w:rFonts w:hint="eastAsia" w:hAnsi="宋体"/>
                                <w:color w:val="0000FF"/>
                                <w:highlight w:val="none"/>
                                <w:lang w:val="en-US" w:eastAsia="zh-CN"/>
                              </w:rPr>
                              <w:t>7月24日11</w:t>
                            </w:r>
                            <w:r>
                              <w:rPr>
                                <w:rFonts w:hint="eastAsia" w:hAnsi="宋体"/>
                                <w:color w:val="0000FF"/>
                                <w:highlight w:val="none"/>
                                <w:lang w:eastAsia="zh-CN"/>
                              </w:rPr>
                              <w:t>:00</w:t>
                            </w:r>
                            <w:r>
                              <w:rPr>
                                <w:rFonts w:hint="eastAsia" w:hAnsi="宋体"/>
                                <w:color w:val="auto"/>
                                <w:highlight w:val="none"/>
                              </w:rPr>
                              <w:t>（北京时间</w:t>
                            </w:r>
                            <w:r>
                              <w:rPr>
                                <w:rFonts w:hint="eastAsia" w:hAnsi="宋体"/>
                                <w:color w:val="000000"/>
                              </w:rPr>
                              <w:t>前递交投标文件。</w:t>
                            </w:r>
                          </w:p>
                          <w:p w14:paraId="1B2A85AB">
                            <w:pPr>
                              <w:pStyle w:val="81"/>
                              <w:spacing w:before="75" w:after="75" w:line="360" w:lineRule="auto"/>
                              <w:rPr>
                                <w:rFonts w:hint="eastAsia" w:hAnsi="宋体"/>
                                <w:color w:val="000000"/>
                              </w:rPr>
                            </w:pPr>
                          </w:p>
                          <w:p w14:paraId="64DDF243"/>
                        </w:txbxContent>
                      </wps:txbx>
                      <wps:bodyPr wrap="square" upright="1"/>
                    </wps:wsp>
                  </a:graphicData>
                </a:graphic>
              </wp:anchor>
            </w:drawing>
          </mc:Choice>
          <mc:Fallback>
            <w:pict>
              <v:shape id="文本框 4" o:spid="_x0000_s1026" o:spt="202" type="#_x0000_t202" style="position:absolute;left:0pt;margin-left:2.15pt;margin-top:5.85pt;height:113.35pt;width:472.5pt;z-index:251659264;mso-width-relative:page;mso-height-relative:page;" fillcolor="#FFFFFF" filled="t" stroked="t" coordsize="21600,21600" o:gfxdata="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3MFt3TAAAACAEAAA8AAAAA&#10;AAAAAQAgAAAAIgAAAGRycy9kb3ducmV2LnhtbFBLAQIUABQAAAAIAIdO4kCduRXSGQIAAEYEAAAO&#10;AAAAAAAAAAEAIAAAACIBAABkcnMvZTJvRG9jLnhtbFBLBQYAAAAABgAGAFkBAACtBQAAAAA=&#10;">
                <v:fill on="t" focussize="0,0"/>
                <v:stroke weight="1.5pt" color="#00B0F0" joinstyle="miter"/>
                <v:imagedata o:title=""/>
                <o:lock v:ext="edit" aspectratio="f"/>
                <v:textbox>
                  <w:txbxContent>
                    <w:p w14:paraId="0794F0AF">
                      <w:pPr>
                        <w:pStyle w:val="81"/>
                        <w:spacing w:before="75" w:after="75" w:line="360" w:lineRule="auto"/>
                        <w:rPr>
                          <w:rFonts w:hint="eastAsia" w:hAnsi="宋体"/>
                          <w:color w:val="000000"/>
                        </w:rPr>
                      </w:pPr>
                      <w:r>
                        <w:rPr>
                          <w:rFonts w:hint="eastAsia" w:hAnsi="宋体"/>
                          <w:color w:val="000000"/>
                        </w:rPr>
                        <w:t>项目概况</w:t>
                      </w:r>
                    </w:p>
                    <w:p w14:paraId="4FDCD6EA">
                      <w:pPr>
                        <w:pStyle w:val="81"/>
                        <w:spacing w:before="75" w:after="75" w:line="360" w:lineRule="auto"/>
                        <w:ind w:firstLine="480" w:firstLineChars="200"/>
                        <w:rPr>
                          <w:rFonts w:hint="eastAsia" w:hAnsi="宋体"/>
                          <w:color w:val="000000"/>
                        </w:rPr>
                      </w:pPr>
                      <w:r>
                        <w:rPr>
                          <w:rFonts w:hint="eastAsia" w:hAnsi="宋体"/>
                          <w:highlight w:val="none"/>
                          <w:u w:val="single"/>
                        </w:rPr>
                        <w:t>新疆第二医学院药学实验教学示范中心建设项目</w:t>
                      </w:r>
                      <w:r>
                        <w:rPr>
                          <w:rFonts w:hint="eastAsia" w:hAnsi="宋体"/>
                          <w:color w:val="000000"/>
                          <w:highlight w:val="none"/>
                        </w:rPr>
                        <w:t>的</w:t>
                      </w:r>
                      <w:r>
                        <w:rPr>
                          <w:rFonts w:hint="eastAsia" w:hAnsi="宋体"/>
                          <w:color w:val="000000"/>
                        </w:rPr>
                        <w:t>潜在投标人应在政采云平台https://www.zcygov.cn/获取招标文件，并</w:t>
                      </w:r>
                      <w:r>
                        <w:rPr>
                          <w:rFonts w:hint="eastAsia" w:hAnsi="宋体"/>
                          <w:color w:val="000000"/>
                          <w:highlight w:val="none"/>
                        </w:rPr>
                        <w:t>于</w:t>
                      </w:r>
                      <w:r>
                        <w:rPr>
                          <w:rFonts w:hint="eastAsia" w:hAnsi="宋体"/>
                          <w:color w:val="0000FF"/>
                          <w:highlight w:val="none"/>
                          <w:lang w:eastAsia="zh-CN"/>
                        </w:rPr>
                        <w:t>202</w:t>
                      </w:r>
                      <w:r>
                        <w:rPr>
                          <w:rFonts w:hint="eastAsia" w:hAnsi="宋体"/>
                          <w:color w:val="0000FF"/>
                          <w:highlight w:val="none"/>
                          <w:lang w:val="en-US" w:eastAsia="zh-CN"/>
                        </w:rPr>
                        <w:t>5</w:t>
                      </w:r>
                      <w:r>
                        <w:rPr>
                          <w:rFonts w:hint="eastAsia" w:hAnsi="宋体"/>
                          <w:color w:val="0000FF"/>
                          <w:highlight w:val="none"/>
                          <w:lang w:eastAsia="zh-CN"/>
                        </w:rPr>
                        <w:t>年</w:t>
                      </w:r>
                      <w:r>
                        <w:rPr>
                          <w:rFonts w:hint="eastAsia" w:hAnsi="宋体"/>
                          <w:color w:val="0000FF"/>
                          <w:highlight w:val="none"/>
                          <w:lang w:val="en-US" w:eastAsia="zh-CN"/>
                        </w:rPr>
                        <w:t>7月24日11</w:t>
                      </w:r>
                      <w:r>
                        <w:rPr>
                          <w:rFonts w:hint="eastAsia" w:hAnsi="宋体"/>
                          <w:color w:val="0000FF"/>
                          <w:highlight w:val="none"/>
                          <w:lang w:eastAsia="zh-CN"/>
                        </w:rPr>
                        <w:t>:00</w:t>
                      </w:r>
                      <w:r>
                        <w:rPr>
                          <w:rFonts w:hint="eastAsia" w:hAnsi="宋体"/>
                          <w:color w:val="auto"/>
                          <w:highlight w:val="none"/>
                        </w:rPr>
                        <w:t>（北京时间</w:t>
                      </w:r>
                      <w:r>
                        <w:rPr>
                          <w:rFonts w:hint="eastAsia" w:hAnsi="宋体"/>
                          <w:color w:val="000000"/>
                        </w:rPr>
                        <w:t>前递交投标文件。</w:t>
                      </w:r>
                    </w:p>
                    <w:p w14:paraId="1B2A85AB">
                      <w:pPr>
                        <w:pStyle w:val="81"/>
                        <w:spacing w:before="75" w:after="75" w:line="360" w:lineRule="auto"/>
                        <w:rPr>
                          <w:rFonts w:hint="eastAsia" w:hAnsi="宋体"/>
                          <w:color w:val="000000"/>
                        </w:rPr>
                      </w:pPr>
                    </w:p>
                    <w:p w14:paraId="64DDF243"/>
                  </w:txbxContent>
                </v:textbox>
              </v:shape>
            </w:pict>
          </mc:Fallback>
        </mc:AlternateContent>
      </w:r>
    </w:p>
    <w:p w14:paraId="05B008F5">
      <w:pPr>
        <w:pStyle w:val="27"/>
        <w:rPr>
          <w:rFonts w:hint="eastAsia"/>
          <w:color w:val="auto"/>
          <w:highlight w:val="none"/>
        </w:rPr>
      </w:pPr>
    </w:p>
    <w:p w14:paraId="60EABECE">
      <w:pPr>
        <w:rPr>
          <w:rFonts w:hint="eastAsia"/>
          <w:color w:val="auto"/>
          <w:highlight w:val="none"/>
        </w:rPr>
      </w:pPr>
    </w:p>
    <w:p w14:paraId="7B51DBD1">
      <w:pPr>
        <w:pStyle w:val="27"/>
        <w:rPr>
          <w:rFonts w:hint="eastAsia"/>
          <w:color w:val="auto"/>
          <w:highlight w:val="none"/>
        </w:rPr>
      </w:pPr>
    </w:p>
    <w:p w14:paraId="0DF4C6AD">
      <w:pPr>
        <w:rPr>
          <w:rFonts w:hint="eastAsia"/>
          <w:color w:val="auto"/>
          <w:highlight w:val="none"/>
        </w:rPr>
      </w:pPr>
    </w:p>
    <w:p w14:paraId="6F734680">
      <w:pPr>
        <w:pStyle w:val="27"/>
        <w:rPr>
          <w:rFonts w:hint="eastAsia"/>
          <w:color w:val="auto"/>
          <w:highlight w:val="none"/>
        </w:rPr>
      </w:pPr>
    </w:p>
    <w:p w14:paraId="4C3721CA">
      <w:pPr>
        <w:rPr>
          <w:rFonts w:hint="eastAsia"/>
          <w:color w:val="auto"/>
          <w:highlight w:val="none"/>
        </w:rPr>
      </w:pPr>
    </w:p>
    <w:p w14:paraId="4D5A17F7">
      <w:pPr>
        <w:rPr>
          <w:rFonts w:hint="eastAsia"/>
          <w:color w:val="auto"/>
          <w:highlight w:val="none"/>
        </w:rPr>
      </w:pPr>
    </w:p>
    <w:p w14:paraId="4F5A76F9">
      <w:pPr>
        <w:pStyle w:val="81"/>
        <w:spacing w:before="255" w:after="255"/>
        <w:jc w:val="both"/>
        <w:rPr>
          <w:rFonts w:hint="eastAsia" w:hAnsi="宋体"/>
          <w:color w:val="auto"/>
          <w:sz w:val="27"/>
          <w:szCs w:val="27"/>
          <w:highlight w:val="none"/>
        </w:rPr>
      </w:pPr>
      <w:r>
        <w:rPr>
          <w:rStyle w:val="91"/>
          <w:rFonts w:hint="eastAsia" w:ascii="宋体" w:hAnsi="宋体" w:cs="宋体"/>
          <w:color w:val="auto"/>
          <w:sz w:val="27"/>
          <w:szCs w:val="27"/>
          <w:highlight w:val="none"/>
        </w:rPr>
        <w:t>一、项目基本情况</w:t>
      </w:r>
    </w:p>
    <w:p w14:paraId="27088EB2">
      <w:pPr>
        <w:pStyle w:val="81"/>
        <w:spacing w:before="75" w:after="75" w:line="360" w:lineRule="auto"/>
        <w:ind w:firstLine="420"/>
        <w:rPr>
          <w:rFonts w:hint="eastAsia" w:hAnsi="宋体"/>
          <w:color w:val="auto"/>
          <w:highlight w:val="none"/>
        </w:rPr>
      </w:pPr>
      <w:r>
        <w:rPr>
          <w:rFonts w:hint="eastAsia" w:hAnsi="宋体"/>
          <w:color w:val="auto"/>
          <w:highlight w:val="none"/>
        </w:rPr>
        <w:t>项目编号：</w:t>
      </w:r>
      <w:r>
        <w:rPr>
          <w:rFonts w:hint="eastAsia" w:hAnsi="宋体"/>
          <w:color w:val="auto"/>
          <w:highlight w:val="none"/>
          <w:lang w:eastAsia="zh-CN"/>
        </w:rPr>
        <w:t>XYTDZB-2025GK268</w:t>
      </w:r>
    </w:p>
    <w:p w14:paraId="40851C75">
      <w:pPr>
        <w:pStyle w:val="81"/>
        <w:spacing w:before="75" w:after="75" w:line="360" w:lineRule="auto"/>
        <w:ind w:firstLine="480" w:firstLineChars="20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新疆第二医学院药学实验教学示范中心建设项目</w:t>
      </w:r>
    </w:p>
    <w:p w14:paraId="30EB97D1">
      <w:pPr>
        <w:pStyle w:val="81"/>
        <w:spacing w:before="75" w:after="75" w:line="360" w:lineRule="auto"/>
        <w:ind w:firstLine="420"/>
        <w:rPr>
          <w:rFonts w:hint="eastAsia" w:hAnsi="宋体"/>
          <w:color w:val="auto"/>
          <w:highlight w:val="none"/>
        </w:rPr>
      </w:pPr>
      <w:r>
        <w:rPr>
          <w:rFonts w:hint="eastAsia" w:hAnsi="宋体"/>
          <w:color w:val="auto"/>
          <w:highlight w:val="none"/>
        </w:rPr>
        <w:t>采购方式：公开招标</w:t>
      </w:r>
    </w:p>
    <w:p w14:paraId="660BE2B5">
      <w:pPr>
        <w:pStyle w:val="81"/>
        <w:spacing w:before="75" w:after="75" w:line="360" w:lineRule="auto"/>
        <w:ind w:firstLine="420"/>
        <w:rPr>
          <w:rFonts w:hint="eastAsia" w:hAnsi="宋体"/>
          <w:color w:val="0000FF"/>
        </w:rPr>
      </w:pPr>
      <w:r>
        <w:rPr>
          <w:rFonts w:hint="eastAsia" w:hAnsi="宋体"/>
          <w:color w:val="0000FF"/>
          <w:highlight w:val="none"/>
        </w:rPr>
        <w:t>预算金额：</w:t>
      </w:r>
      <w:r>
        <w:rPr>
          <w:rFonts w:hint="eastAsia" w:hAnsi="宋体"/>
          <w:color w:val="0000FF"/>
          <w:lang w:val="en-US" w:eastAsia="zh-CN"/>
        </w:rPr>
        <w:t>150万元</w:t>
      </w:r>
      <w:r>
        <w:rPr>
          <w:rFonts w:hint="eastAsia" w:hAnsi="宋体"/>
          <w:color w:val="0000FF"/>
        </w:rPr>
        <w:t xml:space="preserve"> </w:t>
      </w:r>
    </w:p>
    <w:p w14:paraId="34350F4D">
      <w:pPr>
        <w:pStyle w:val="81"/>
        <w:spacing w:before="75" w:after="75" w:line="360" w:lineRule="auto"/>
        <w:ind w:firstLine="420"/>
        <w:rPr>
          <w:rFonts w:hint="default" w:hAnsi="宋体" w:eastAsia="宋体"/>
          <w:color w:val="0000FF"/>
          <w:highlight w:val="none"/>
          <w:lang w:val="en-US" w:eastAsia="zh-CN"/>
        </w:rPr>
      </w:pPr>
      <w:r>
        <w:rPr>
          <w:rFonts w:hint="eastAsia" w:hAnsi="宋体"/>
          <w:color w:val="0000FF"/>
        </w:rPr>
        <w:t>最高限价：</w:t>
      </w:r>
      <w:r>
        <w:rPr>
          <w:rFonts w:hint="eastAsia" w:hAnsi="宋体"/>
          <w:color w:val="0000FF"/>
          <w:lang w:val="en-US" w:eastAsia="zh-CN"/>
        </w:rPr>
        <w:t>145万元</w:t>
      </w:r>
    </w:p>
    <w:p w14:paraId="29EC45BA">
      <w:pPr>
        <w:pStyle w:val="81"/>
        <w:spacing w:before="75" w:after="75" w:line="360" w:lineRule="auto"/>
        <w:ind w:firstLine="420"/>
        <w:rPr>
          <w:rFonts w:hint="eastAsia" w:hAnsi="宋体"/>
        </w:rPr>
      </w:pPr>
      <w:r>
        <w:rPr>
          <w:rFonts w:hint="eastAsia" w:hAnsi="宋体"/>
          <w:color w:val="auto"/>
          <w:highlight w:val="none"/>
        </w:rPr>
        <w:t>采购需求：</w:t>
      </w:r>
      <w:r>
        <w:rPr>
          <w:rFonts w:hint="eastAsia" w:hAnsi="宋体"/>
          <w:color w:val="0000FF"/>
          <w:highlight w:val="none"/>
        </w:rPr>
        <w:t>药学实验教学示范中心建设项目</w:t>
      </w:r>
      <w:r>
        <w:rPr>
          <w:rFonts w:hint="eastAsia" w:hAnsi="宋体"/>
          <w:color w:val="auto"/>
          <w:highlight w:val="none"/>
          <w:lang w:val="en-US" w:eastAsia="zh-CN"/>
        </w:rPr>
        <w:t>(</w:t>
      </w:r>
      <w:r>
        <w:rPr>
          <w:rFonts w:hint="eastAsia" w:hAnsi="宋体"/>
          <w:color w:val="auto"/>
          <w:highlight w:val="none"/>
        </w:rPr>
        <w:t>具体详见招标文件采购需求</w:t>
      </w:r>
      <w:r>
        <w:rPr>
          <w:rFonts w:hint="eastAsia" w:hAnsi="宋体"/>
          <w:color w:val="auto"/>
          <w:highlight w:val="none"/>
          <w:lang w:val="en-US" w:eastAsia="zh-CN"/>
        </w:rPr>
        <w:t>)</w:t>
      </w:r>
      <w:r>
        <w:rPr>
          <w:rFonts w:hint="eastAsia" w:hAnsi="宋体"/>
          <w:highlight w:val="none"/>
        </w:rPr>
        <w:t>。</w:t>
      </w:r>
    </w:p>
    <w:p w14:paraId="1D4C267A">
      <w:pPr>
        <w:pStyle w:val="81"/>
        <w:spacing w:before="75" w:after="75" w:line="360" w:lineRule="auto"/>
        <w:ind w:firstLine="420"/>
        <w:rPr>
          <w:rFonts w:hint="eastAsia" w:hAnsi="宋体"/>
          <w:color w:val="auto"/>
          <w:highlight w:val="none"/>
        </w:rPr>
      </w:pPr>
      <w:r>
        <w:rPr>
          <w:rFonts w:hint="eastAsia" w:hAnsi="宋体"/>
          <w:color w:val="auto"/>
          <w:highlight w:val="none"/>
        </w:rPr>
        <w:t>合同履约期限：详阅招标文件</w:t>
      </w:r>
    </w:p>
    <w:p w14:paraId="08AFB4E2">
      <w:pPr>
        <w:pStyle w:val="81"/>
        <w:spacing w:before="75" w:after="75" w:line="360" w:lineRule="auto"/>
        <w:ind w:firstLine="420"/>
        <w:rPr>
          <w:rFonts w:hint="eastAsia" w:hAnsi="宋体"/>
          <w:color w:val="auto"/>
          <w:highlight w:val="none"/>
        </w:rPr>
      </w:pPr>
      <w:r>
        <w:rPr>
          <w:rFonts w:hint="eastAsia" w:hAnsi="宋体"/>
          <w:color w:val="auto"/>
          <w:highlight w:val="none"/>
        </w:rPr>
        <w:t>本项目（否）接受联合体投标</w:t>
      </w:r>
    </w:p>
    <w:p w14:paraId="66119738">
      <w:pPr>
        <w:pStyle w:val="81"/>
        <w:spacing w:before="75" w:after="75" w:line="360" w:lineRule="auto"/>
        <w:rPr>
          <w:rFonts w:hint="eastAsia" w:hAnsi="宋体"/>
          <w:color w:val="auto"/>
          <w:highlight w:val="none"/>
        </w:rPr>
      </w:pPr>
      <w:r>
        <w:rPr>
          <w:rStyle w:val="91"/>
          <w:rFonts w:hint="eastAsia" w:ascii="宋体" w:hAnsi="宋体" w:cs="宋体"/>
          <w:color w:val="auto"/>
          <w:sz w:val="27"/>
          <w:szCs w:val="27"/>
          <w:highlight w:val="none"/>
        </w:rPr>
        <w:t>二、申请人的资格要求：</w:t>
      </w:r>
    </w:p>
    <w:p w14:paraId="6F298835">
      <w:pPr>
        <w:pStyle w:val="81"/>
        <w:spacing w:before="75" w:after="75" w:line="360" w:lineRule="auto"/>
        <w:ind w:firstLine="480"/>
        <w:rPr>
          <w:rFonts w:hint="eastAsia" w:hAnsi="宋体"/>
          <w:color w:val="auto"/>
          <w:highlight w:val="none"/>
        </w:rPr>
      </w:pPr>
      <w:r>
        <w:rPr>
          <w:rFonts w:hint="eastAsia" w:hAnsi="宋体"/>
          <w:color w:val="auto"/>
          <w:highlight w:val="none"/>
        </w:rPr>
        <w:t>1、须符合《中华人民共和国政府采购法》第</w:t>
      </w:r>
      <w:bookmarkStart w:id="353" w:name="_GoBack"/>
      <w:r>
        <w:rPr>
          <w:rFonts w:hint="eastAsia" w:hAnsi="宋体"/>
          <w:color w:val="auto"/>
          <w:highlight w:val="none"/>
        </w:rPr>
        <w:t>22</w:t>
      </w:r>
      <w:bookmarkEnd w:id="353"/>
      <w:r>
        <w:rPr>
          <w:rFonts w:hint="eastAsia" w:hAnsi="宋体"/>
          <w:color w:val="auto"/>
          <w:highlight w:val="none"/>
        </w:rPr>
        <w:t>条规定：</w:t>
      </w:r>
    </w:p>
    <w:p w14:paraId="66D62E84">
      <w:pPr>
        <w:pStyle w:val="81"/>
        <w:spacing w:before="75" w:after="75" w:line="360" w:lineRule="auto"/>
        <w:ind w:firstLine="480"/>
        <w:rPr>
          <w:rFonts w:hint="eastAsia" w:hAnsi="宋体"/>
          <w:color w:val="0000FF"/>
          <w:highlight w:val="none"/>
          <w:lang w:val="en-US" w:eastAsia="zh-CN"/>
        </w:rPr>
      </w:pPr>
      <w:r>
        <w:rPr>
          <w:rFonts w:hint="eastAsia" w:hAnsi="宋体"/>
          <w:color w:val="auto"/>
          <w:highlight w:val="none"/>
        </w:rPr>
        <w:t>2、</w:t>
      </w:r>
      <w:r>
        <w:rPr>
          <w:rFonts w:hint="eastAsia" w:hAnsi="宋体"/>
          <w:color w:val="auto"/>
          <w:highlight w:val="none"/>
          <w:lang w:val="en-US" w:eastAsia="zh-CN"/>
        </w:rPr>
        <w:t>落实政府采购政策需满足的资格要求</w:t>
      </w:r>
      <w:r>
        <w:rPr>
          <w:rFonts w:hint="eastAsia" w:hAnsi="宋体"/>
          <w:color w:val="0000FF"/>
          <w:highlight w:val="none"/>
          <w:lang w:val="en-US" w:eastAsia="zh-CN"/>
        </w:rPr>
        <w:t>：本项目专门面向中小企业采购；</w:t>
      </w:r>
    </w:p>
    <w:p w14:paraId="651AFC3E">
      <w:pPr>
        <w:pStyle w:val="81"/>
        <w:spacing w:before="75" w:after="75" w:line="360" w:lineRule="auto"/>
        <w:ind w:firstLine="480"/>
        <w:rPr>
          <w:rFonts w:hint="eastAsia" w:ascii="宋体" w:hAnsi="宋体" w:cs="宋体"/>
          <w:color w:val="auto"/>
          <w:kern w:val="0"/>
          <w:sz w:val="24"/>
          <w:highlight w:val="none"/>
        </w:rPr>
      </w:pPr>
      <w:r>
        <w:rPr>
          <w:rFonts w:hint="eastAsia" w:hAnsi="宋体"/>
          <w:color w:val="auto"/>
          <w:highlight w:val="none"/>
          <w:lang w:val="en-US" w:eastAsia="zh-CN"/>
        </w:rPr>
        <w:t>3、本项目的特定资格要求：</w:t>
      </w:r>
      <w:r>
        <w:rPr>
          <w:rFonts w:hint="eastAsia" w:ascii="宋体" w:hAnsi="宋体" w:cs="宋体"/>
          <w:color w:val="auto"/>
          <w:kern w:val="0"/>
          <w:sz w:val="24"/>
          <w:highlight w:val="none"/>
        </w:rPr>
        <w:t>投标产品属于医疗器械管理范围的：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复印件加盖公章；（投标产品不属于医疗器械管理范围的，此项无需提供）；</w:t>
      </w:r>
    </w:p>
    <w:p w14:paraId="78538BA0">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三、获取招标文件</w:t>
      </w:r>
    </w:p>
    <w:p w14:paraId="75146EE2">
      <w:pPr>
        <w:pStyle w:val="81"/>
        <w:spacing w:before="75" w:after="75" w:line="360" w:lineRule="auto"/>
        <w:ind w:firstLine="420"/>
        <w:rPr>
          <w:rFonts w:hint="eastAsia" w:hAnsi="宋体" w:eastAsia="宋体"/>
          <w:color w:val="auto"/>
          <w:highlight w:val="none"/>
          <w:lang w:val="en-US" w:eastAsia="zh-CN"/>
        </w:rPr>
      </w:pPr>
      <w:r>
        <w:rPr>
          <w:rFonts w:hint="eastAsia" w:hAnsi="宋体"/>
          <w:color w:val="auto"/>
          <w:highlight w:val="none"/>
        </w:rPr>
        <w:t>时间：</w:t>
      </w:r>
      <w:r>
        <w:rPr>
          <w:rFonts w:hint="eastAsia" w:hAnsi="宋体"/>
          <w:color w:val="0000FF"/>
          <w:highlight w:val="none"/>
        </w:rPr>
        <w:t>20</w:t>
      </w:r>
      <w:r>
        <w:rPr>
          <w:rFonts w:hint="eastAsia" w:hAnsi="宋体"/>
          <w:color w:val="0000FF"/>
          <w:highlight w:val="none"/>
          <w:lang w:val="en-US" w:eastAsia="zh-CN"/>
        </w:rPr>
        <w:t>25</w:t>
      </w:r>
      <w:r>
        <w:rPr>
          <w:rFonts w:hint="eastAsia" w:hAnsi="宋体"/>
          <w:color w:val="0000FF"/>
          <w:highlight w:val="none"/>
        </w:rPr>
        <w:t>年</w:t>
      </w:r>
      <w:r>
        <w:rPr>
          <w:rFonts w:hint="eastAsia" w:hAnsi="宋体"/>
          <w:color w:val="0000FF"/>
          <w:highlight w:val="none"/>
          <w:lang w:val="en-US" w:eastAsia="zh-CN"/>
        </w:rPr>
        <w:t>6</w:t>
      </w:r>
      <w:r>
        <w:rPr>
          <w:rFonts w:hint="eastAsia" w:hAnsi="宋体"/>
          <w:color w:val="0000FF"/>
          <w:highlight w:val="none"/>
        </w:rPr>
        <w:t>月</w:t>
      </w:r>
      <w:r>
        <w:rPr>
          <w:rFonts w:hint="eastAsia" w:hAnsi="宋体"/>
          <w:color w:val="0000FF"/>
          <w:highlight w:val="none"/>
          <w:lang w:val="en-US" w:eastAsia="zh-CN"/>
        </w:rPr>
        <w:t>30</w:t>
      </w:r>
      <w:r>
        <w:rPr>
          <w:rFonts w:hint="eastAsia" w:hAnsi="宋体"/>
          <w:color w:val="0000FF"/>
          <w:highlight w:val="none"/>
        </w:rPr>
        <w:t>日至20</w:t>
      </w:r>
      <w:r>
        <w:rPr>
          <w:rFonts w:hint="eastAsia" w:hAnsi="宋体"/>
          <w:color w:val="0000FF"/>
          <w:highlight w:val="none"/>
          <w:lang w:val="en-US" w:eastAsia="zh-CN"/>
        </w:rPr>
        <w:t>25</w:t>
      </w:r>
      <w:r>
        <w:rPr>
          <w:rFonts w:hint="eastAsia" w:hAnsi="宋体"/>
          <w:color w:val="0000FF"/>
          <w:highlight w:val="none"/>
        </w:rPr>
        <w:t>年</w:t>
      </w:r>
      <w:r>
        <w:rPr>
          <w:rFonts w:hint="eastAsia" w:hAnsi="宋体"/>
          <w:color w:val="0000FF"/>
          <w:highlight w:val="none"/>
          <w:lang w:val="en-US" w:eastAsia="zh-CN"/>
        </w:rPr>
        <w:t>7</w:t>
      </w:r>
      <w:r>
        <w:rPr>
          <w:rFonts w:hint="eastAsia" w:hAnsi="宋体"/>
          <w:color w:val="0000FF"/>
          <w:highlight w:val="none"/>
        </w:rPr>
        <w:t>月</w:t>
      </w:r>
      <w:r>
        <w:rPr>
          <w:rFonts w:hint="eastAsia" w:hAnsi="宋体"/>
          <w:color w:val="0000FF"/>
          <w:highlight w:val="none"/>
          <w:lang w:val="en-US" w:eastAsia="zh-CN"/>
        </w:rPr>
        <w:t>4</w:t>
      </w:r>
      <w:r>
        <w:rPr>
          <w:rFonts w:hint="eastAsia" w:hAnsi="宋体"/>
          <w:color w:val="0000FF"/>
          <w:highlight w:val="none"/>
        </w:rPr>
        <w:t>日</w:t>
      </w:r>
      <w:r>
        <w:rPr>
          <w:rFonts w:hint="eastAsia" w:hAnsi="宋体"/>
          <w:color w:val="auto"/>
          <w:highlight w:val="none"/>
        </w:rPr>
        <w:t>，</w:t>
      </w:r>
      <w:r>
        <w:rPr>
          <w:rFonts w:hint="eastAsia" w:ascii="宋体" w:hAnsi="宋体" w:eastAsia="宋体" w:cs="宋体"/>
          <w:color w:val="auto"/>
          <w:highlight w:val="none"/>
        </w:rPr>
        <w:t>每天上午00:00至12:00，下午12:00至23:59（北京时间，法定节假日除外）</w:t>
      </w:r>
      <w:r>
        <w:rPr>
          <w:rFonts w:hint="eastAsia" w:hAnsi="宋体"/>
          <w:color w:val="auto"/>
          <w:highlight w:val="none"/>
          <w:lang w:val="en-US" w:eastAsia="zh-CN"/>
        </w:rPr>
        <w:tab/>
      </w:r>
    </w:p>
    <w:p w14:paraId="51A34002">
      <w:pPr>
        <w:pStyle w:val="81"/>
        <w:spacing w:before="75" w:after="75" w:line="360" w:lineRule="auto"/>
        <w:ind w:firstLine="420"/>
        <w:rPr>
          <w:rFonts w:hint="eastAsia" w:hAnsi="宋体"/>
          <w:color w:val="auto"/>
          <w:highlight w:val="none"/>
        </w:rPr>
      </w:pPr>
      <w:r>
        <w:rPr>
          <w:rFonts w:hint="eastAsia" w:hAnsi="宋体"/>
          <w:color w:val="auto"/>
          <w:highlight w:val="none"/>
        </w:rPr>
        <w:t>地点：政采云平台https://www.zcygov.cn/</w:t>
      </w:r>
    </w:p>
    <w:p w14:paraId="498DC1C2">
      <w:pPr>
        <w:pStyle w:val="81"/>
        <w:spacing w:before="75" w:after="75" w:line="360" w:lineRule="auto"/>
        <w:ind w:firstLine="420"/>
        <w:rPr>
          <w:rFonts w:hint="eastAsia" w:hAnsi="宋体"/>
          <w:color w:val="auto"/>
          <w:highlight w:val="none"/>
        </w:rPr>
      </w:pPr>
      <w:r>
        <w:rPr>
          <w:rFonts w:hint="eastAsia" w:hAnsi="宋体"/>
          <w:color w:val="auto"/>
          <w:highlight w:val="none"/>
        </w:rPr>
        <w:t>方式：</w:t>
      </w:r>
      <w:r>
        <w:rPr>
          <w:color w:val="auto"/>
          <w:highlight w:val="none"/>
          <w:lang w:bidi="ar"/>
        </w:rPr>
        <w:t>线上获取。供应商登录政采云平台https://www.zcygov.cn/在线申请获取招标文件（进入“项目采购”应用，在获取招标文件菜单中选择项目，申请获取招标文件）</w:t>
      </w:r>
    </w:p>
    <w:p w14:paraId="475DAAF9">
      <w:pPr>
        <w:pStyle w:val="81"/>
        <w:spacing w:before="75" w:after="75" w:line="360" w:lineRule="auto"/>
        <w:ind w:firstLine="420"/>
        <w:rPr>
          <w:rFonts w:hAnsi="宋体"/>
          <w:color w:val="auto"/>
          <w:highlight w:val="none"/>
        </w:rPr>
      </w:pPr>
      <w:r>
        <w:rPr>
          <w:rFonts w:hint="eastAsia" w:hAnsi="宋体"/>
          <w:color w:val="auto"/>
          <w:highlight w:val="none"/>
        </w:rPr>
        <w:t>售价（元）：0元</w:t>
      </w:r>
    </w:p>
    <w:p w14:paraId="548FF004">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四、提交投标文件截止时间、开标时间和地点</w:t>
      </w:r>
    </w:p>
    <w:p w14:paraId="082CA637">
      <w:pPr>
        <w:pStyle w:val="81"/>
        <w:spacing w:before="75" w:after="75" w:line="360" w:lineRule="auto"/>
        <w:ind w:firstLine="420"/>
        <w:rPr>
          <w:rFonts w:hint="eastAsia" w:hAnsi="宋体"/>
          <w:color w:val="auto"/>
          <w:highlight w:val="none"/>
        </w:rPr>
      </w:pPr>
      <w:r>
        <w:rPr>
          <w:color w:val="auto"/>
          <w:highlight w:val="none"/>
          <w:lang w:bidi="ar"/>
        </w:rPr>
        <w:t>投标截止时间、开标时间</w:t>
      </w:r>
      <w:r>
        <w:rPr>
          <w:rFonts w:hint="eastAsia" w:hAnsi="宋体"/>
          <w:color w:val="auto"/>
          <w:highlight w:val="none"/>
        </w:rPr>
        <w:t>：</w:t>
      </w:r>
      <w:r>
        <w:rPr>
          <w:rFonts w:hint="eastAsia" w:hAnsi="宋体"/>
          <w:color w:val="0000FF"/>
          <w:highlight w:val="none"/>
          <w:lang w:eastAsia="zh-CN"/>
        </w:rPr>
        <w:t>202</w:t>
      </w:r>
      <w:r>
        <w:rPr>
          <w:rFonts w:hint="eastAsia" w:hAnsi="宋体"/>
          <w:color w:val="0000FF"/>
          <w:highlight w:val="none"/>
          <w:lang w:val="en-US" w:eastAsia="zh-CN"/>
        </w:rPr>
        <w:t>5</w:t>
      </w:r>
      <w:r>
        <w:rPr>
          <w:rFonts w:hint="eastAsia" w:hAnsi="宋体"/>
          <w:color w:val="0000FF"/>
          <w:highlight w:val="none"/>
          <w:lang w:eastAsia="zh-CN"/>
        </w:rPr>
        <w:t>年</w:t>
      </w:r>
      <w:r>
        <w:rPr>
          <w:rFonts w:hint="eastAsia" w:hAnsi="宋体"/>
          <w:color w:val="0000FF"/>
          <w:highlight w:val="none"/>
          <w:lang w:val="en-US" w:eastAsia="zh-CN"/>
        </w:rPr>
        <w:t>7月24日11</w:t>
      </w:r>
      <w:r>
        <w:rPr>
          <w:rFonts w:hint="eastAsia" w:hAnsi="宋体"/>
          <w:color w:val="0000FF"/>
          <w:highlight w:val="none"/>
          <w:lang w:eastAsia="zh-CN"/>
        </w:rPr>
        <w:t>:00</w:t>
      </w:r>
      <w:r>
        <w:rPr>
          <w:rFonts w:hint="eastAsia" w:hAnsi="宋体"/>
          <w:color w:val="auto"/>
          <w:highlight w:val="none"/>
        </w:rPr>
        <w:t>（北京时间）</w:t>
      </w:r>
    </w:p>
    <w:p w14:paraId="11749F84">
      <w:pPr>
        <w:pStyle w:val="81"/>
        <w:spacing w:before="75" w:after="75" w:line="360" w:lineRule="auto"/>
        <w:ind w:firstLine="420"/>
        <w:rPr>
          <w:rFonts w:hint="eastAsia" w:hAnsi="宋体"/>
          <w:color w:val="auto"/>
          <w:highlight w:val="none"/>
        </w:rPr>
      </w:pPr>
      <w:r>
        <w:rPr>
          <w:rFonts w:hint="eastAsia" w:hAnsi="宋体"/>
          <w:color w:val="auto"/>
          <w:highlight w:val="none"/>
        </w:rPr>
        <w:t>地点：政采云平台https://www.zcygov.cn/</w:t>
      </w:r>
    </w:p>
    <w:p w14:paraId="1D719C61">
      <w:pPr>
        <w:pStyle w:val="81"/>
        <w:spacing w:before="255" w:after="255" w:line="360" w:lineRule="auto"/>
        <w:jc w:val="both"/>
        <w:rPr>
          <w:rFonts w:hint="eastAsia" w:hAnsi="宋体"/>
          <w:color w:val="auto"/>
          <w:sz w:val="31"/>
          <w:szCs w:val="31"/>
          <w:highlight w:val="none"/>
        </w:rPr>
      </w:pPr>
      <w:r>
        <w:rPr>
          <w:rStyle w:val="91"/>
          <w:rFonts w:hint="eastAsia" w:ascii="宋体" w:hAnsi="宋体" w:cs="宋体"/>
          <w:color w:val="auto"/>
          <w:sz w:val="27"/>
          <w:szCs w:val="27"/>
          <w:highlight w:val="none"/>
        </w:rPr>
        <w:t>五、公告期限</w:t>
      </w:r>
    </w:p>
    <w:p w14:paraId="65223833">
      <w:pPr>
        <w:pStyle w:val="81"/>
        <w:spacing w:before="75" w:after="75" w:line="360" w:lineRule="auto"/>
        <w:ind w:firstLine="420"/>
        <w:rPr>
          <w:rFonts w:hint="eastAsia" w:hAnsi="宋体"/>
          <w:color w:val="auto"/>
          <w:highlight w:val="none"/>
        </w:rPr>
      </w:pPr>
      <w:r>
        <w:rPr>
          <w:rFonts w:hint="eastAsia" w:hAnsi="宋体"/>
          <w:color w:val="auto"/>
          <w:highlight w:val="none"/>
        </w:rPr>
        <w:t>自本公告发布之日起5个工作日。</w:t>
      </w:r>
    </w:p>
    <w:p w14:paraId="01664F49">
      <w:pPr>
        <w:pStyle w:val="81"/>
        <w:spacing w:before="255" w:after="255" w:line="360" w:lineRule="auto"/>
        <w:jc w:val="both"/>
        <w:rPr>
          <w:rFonts w:hint="eastAsia" w:hAnsi="宋体"/>
          <w:color w:val="auto"/>
          <w:sz w:val="27"/>
          <w:szCs w:val="27"/>
          <w:highlight w:val="none"/>
        </w:rPr>
      </w:pPr>
      <w:r>
        <w:rPr>
          <w:rStyle w:val="91"/>
          <w:rFonts w:hint="eastAsia" w:ascii="宋体" w:hAnsi="宋体" w:cs="宋体"/>
          <w:color w:val="auto"/>
          <w:sz w:val="27"/>
          <w:szCs w:val="27"/>
          <w:highlight w:val="none"/>
        </w:rPr>
        <w:t>六、其他补充事宜</w:t>
      </w:r>
    </w:p>
    <w:p w14:paraId="659BE1F4">
      <w:pPr>
        <w:pStyle w:val="81"/>
        <w:spacing w:before="75" w:after="75" w:line="360" w:lineRule="auto"/>
        <w:ind w:firstLine="480"/>
        <w:rPr>
          <w:rFonts w:hint="eastAsia" w:hAnsi="宋体"/>
          <w:color w:val="auto"/>
          <w:highlight w:val="none"/>
        </w:rPr>
      </w:pPr>
      <w:r>
        <w:rPr>
          <w:rFonts w:hint="eastAsia" w:hAnsi="宋体"/>
          <w:color w:val="auto"/>
          <w:highlight w:val="none"/>
        </w:rPr>
        <w:t>1、本项目实行网上投标，采用电子投标文件，若供应商参与投标，自行承担投标一切费用。</w:t>
      </w:r>
    </w:p>
    <w:p w14:paraId="78E3E6AA">
      <w:pPr>
        <w:pStyle w:val="81"/>
        <w:spacing w:before="75" w:after="75" w:line="360" w:lineRule="auto"/>
        <w:ind w:firstLine="480"/>
        <w:rPr>
          <w:rFonts w:hint="eastAsia" w:hAnsi="宋体"/>
          <w:color w:val="auto"/>
          <w:highlight w:val="none"/>
        </w:rPr>
      </w:pPr>
      <w:r>
        <w:rPr>
          <w:rFonts w:hint="eastAsia" w:hAnsi="宋体"/>
          <w:color w:val="auto"/>
          <w:highlight w:val="none"/>
        </w:rPr>
        <w:t>2、各供应商应在开标前应确保成为新疆维吾尔自治区政府采购网正式注册入库供应商，并完成CA数字证书申领。因未注册入库、未办理CA数字证书等原因造成无法响应或响应失败等后果由供应商自行承担。</w:t>
      </w:r>
    </w:p>
    <w:p w14:paraId="2D372EC7">
      <w:pPr>
        <w:pStyle w:val="81"/>
        <w:spacing w:before="75" w:after="75" w:line="360" w:lineRule="auto"/>
        <w:ind w:firstLine="480"/>
        <w:rPr>
          <w:rFonts w:hint="eastAsia" w:hAnsi="宋体"/>
          <w:color w:val="auto"/>
          <w:highlight w:val="none"/>
        </w:rPr>
      </w:pPr>
      <w:r>
        <w:rPr>
          <w:rFonts w:hint="eastAsia" w:hAnsi="宋体"/>
          <w:color w:val="auto"/>
          <w:highlight w:val="none"/>
        </w:rPr>
        <w:t>3、未办理CA的供应商可自主通过新疆CA申领渠道“新疆政务通”申请政采云平台可使用的CA设备，如原有兵团或公共资源使用的CA，可与新疆CA联系，申请增加电子证书即可，无需重复申领。</w:t>
      </w:r>
    </w:p>
    <w:p w14:paraId="44B69919">
      <w:pPr>
        <w:pStyle w:val="81"/>
        <w:spacing w:before="75" w:after="75" w:line="360" w:lineRule="auto"/>
        <w:ind w:firstLine="480"/>
        <w:rPr>
          <w:rFonts w:hint="eastAsia" w:hAnsi="宋体"/>
          <w:color w:val="auto"/>
          <w:highlight w:val="none"/>
        </w:rPr>
      </w:pPr>
      <w:r>
        <w:rPr>
          <w:rFonts w:hint="eastAsia" w:hAnsi="宋体"/>
          <w:color w:val="auto"/>
          <w:highlight w:val="none"/>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12487EE4">
      <w:pPr>
        <w:pStyle w:val="81"/>
        <w:spacing w:before="75" w:after="75" w:line="360" w:lineRule="auto"/>
        <w:ind w:firstLine="480"/>
        <w:rPr>
          <w:rFonts w:hint="eastAsia" w:hAnsi="宋体"/>
          <w:color w:val="auto"/>
          <w:highlight w:val="none"/>
        </w:rPr>
      </w:pPr>
      <w:r>
        <w:rPr>
          <w:rFonts w:hint="eastAsia" w:hAnsi="宋体"/>
          <w:color w:val="auto"/>
          <w:highlight w:val="none"/>
        </w:rPr>
        <w:t>5、逾期未上传的或不符合规定的投标文件将被拒绝接收，</w:t>
      </w:r>
    </w:p>
    <w:p w14:paraId="2018E455">
      <w:pPr>
        <w:pStyle w:val="81"/>
        <w:spacing w:before="75" w:after="75" w:line="360" w:lineRule="auto"/>
        <w:ind w:firstLine="480"/>
        <w:rPr>
          <w:rFonts w:hint="eastAsia" w:hAnsi="宋体"/>
          <w:color w:val="auto"/>
          <w:highlight w:val="none"/>
        </w:rPr>
      </w:pPr>
      <w:r>
        <w:rPr>
          <w:rFonts w:hint="eastAsia" w:hAnsi="宋体"/>
          <w:color w:val="auto"/>
          <w:highlight w:val="none"/>
          <w:lang w:val="en-US" w:eastAsia="zh-CN"/>
        </w:rPr>
        <w:t>6</w:t>
      </w:r>
      <w:r>
        <w:rPr>
          <w:rFonts w:hint="eastAsia" w:hAnsi="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ED5E973">
      <w:pPr>
        <w:pStyle w:val="81"/>
        <w:spacing w:before="255" w:after="255" w:line="360" w:lineRule="auto"/>
        <w:jc w:val="both"/>
        <w:rPr>
          <w:rFonts w:hint="eastAsia" w:hAnsi="宋体"/>
          <w:color w:val="auto"/>
          <w:sz w:val="31"/>
          <w:szCs w:val="31"/>
          <w:highlight w:val="none"/>
        </w:rPr>
      </w:pPr>
      <w:r>
        <w:rPr>
          <w:rStyle w:val="91"/>
          <w:rFonts w:hint="eastAsia" w:ascii="宋体" w:hAnsi="宋体" w:cs="宋体"/>
          <w:color w:val="auto"/>
          <w:sz w:val="27"/>
          <w:szCs w:val="27"/>
          <w:highlight w:val="none"/>
        </w:rPr>
        <w:t>七、对本次采购提出询问，请按以下方式联系</w:t>
      </w:r>
    </w:p>
    <w:p w14:paraId="0BEB30F6">
      <w:pPr>
        <w:pStyle w:val="81"/>
        <w:spacing w:before="75" w:after="75" w:line="360" w:lineRule="auto"/>
        <w:ind w:firstLine="420"/>
        <w:rPr>
          <w:rFonts w:hint="eastAsia" w:hAnsi="宋体"/>
          <w:color w:val="auto"/>
          <w:highlight w:val="none"/>
        </w:rPr>
      </w:pPr>
      <w:r>
        <w:rPr>
          <w:rFonts w:hint="eastAsia" w:hAnsi="宋体"/>
          <w:color w:val="auto"/>
          <w:highlight w:val="none"/>
        </w:rPr>
        <w:t>1.采购人信息</w:t>
      </w:r>
    </w:p>
    <w:p w14:paraId="0356E9D7">
      <w:pPr>
        <w:pStyle w:val="81"/>
        <w:spacing w:before="75" w:after="75" w:line="360" w:lineRule="auto"/>
        <w:ind w:firstLine="420"/>
        <w:rPr>
          <w:rStyle w:val="98"/>
          <w:rFonts w:hint="eastAsia" w:hAnsi="宋体" w:eastAsia="宋体" w:cs="宋体"/>
          <w:color w:val="auto"/>
          <w:highlight w:val="none"/>
          <w:lang w:eastAsia="zh-CN"/>
        </w:rPr>
      </w:pPr>
      <w:r>
        <w:rPr>
          <w:rFonts w:hint="eastAsia" w:hAnsi="宋体"/>
          <w:color w:val="auto"/>
          <w:highlight w:val="none"/>
        </w:rPr>
        <w:t>名 称：</w:t>
      </w:r>
      <w:bookmarkStart w:id="1" w:name="OLE_LINK1"/>
      <w:r>
        <w:rPr>
          <w:rFonts w:hint="eastAsia" w:hAnsi="宋体"/>
          <w:color w:val="auto"/>
          <w:highlight w:val="none"/>
        </w:rPr>
        <w:t>新疆第二医学院</w:t>
      </w:r>
      <w:bookmarkEnd w:id="1"/>
      <w:r>
        <w:rPr>
          <w:rFonts w:hint="eastAsia" w:hAnsi="宋体"/>
          <w:color w:val="auto"/>
          <w:highlight w:val="none"/>
        </w:rPr>
        <w:t xml:space="preserve"> </w:t>
      </w:r>
    </w:p>
    <w:p w14:paraId="0BA47586">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地 址：新疆克拉玛依市</w:t>
      </w:r>
      <w:r>
        <w:rPr>
          <w:rFonts w:hint="eastAsia" w:hAnsi="宋体"/>
          <w:color w:val="auto"/>
          <w:highlight w:val="none"/>
          <w:lang w:val="en-US" w:eastAsia="zh-CN"/>
        </w:rPr>
        <w:t>胜利路12号</w:t>
      </w:r>
    </w:p>
    <w:p w14:paraId="7E757426">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联系方式：</w:t>
      </w:r>
      <w:r>
        <w:rPr>
          <w:rFonts w:hint="eastAsia" w:hAnsi="宋体"/>
          <w:color w:val="auto"/>
          <w:highlight w:val="none"/>
          <w:lang w:val="en-US" w:eastAsia="zh-CN"/>
        </w:rPr>
        <w:t>0990-7564821</w:t>
      </w:r>
    </w:p>
    <w:p w14:paraId="0A034BFC">
      <w:pPr>
        <w:pStyle w:val="81"/>
        <w:spacing w:before="75" w:after="75" w:line="360" w:lineRule="auto"/>
        <w:ind w:firstLine="420"/>
        <w:rPr>
          <w:rFonts w:hint="eastAsia" w:hAnsi="宋体"/>
          <w:color w:val="auto"/>
          <w:highlight w:val="none"/>
        </w:rPr>
      </w:pPr>
      <w:r>
        <w:rPr>
          <w:rFonts w:hint="eastAsia" w:hAnsi="宋体"/>
          <w:color w:val="auto"/>
          <w:highlight w:val="none"/>
        </w:rPr>
        <w:t>2.采购代理机构信息</w:t>
      </w:r>
    </w:p>
    <w:p w14:paraId="38EDD7AD">
      <w:pPr>
        <w:pStyle w:val="81"/>
        <w:spacing w:before="75" w:after="75" w:line="360" w:lineRule="auto"/>
        <w:ind w:firstLine="420"/>
        <w:rPr>
          <w:rFonts w:hint="eastAsia" w:hAnsi="宋体"/>
          <w:color w:val="auto"/>
          <w:highlight w:val="none"/>
        </w:rPr>
      </w:pPr>
      <w:r>
        <w:rPr>
          <w:rFonts w:hint="eastAsia" w:hAnsi="宋体"/>
          <w:color w:val="auto"/>
          <w:highlight w:val="none"/>
        </w:rPr>
        <w:t>名 称：新疆星耀天都项目管理有限责任公司</w:t>
      </w:r>
    </w:p>
    <w:p w14:paraId="00681CF0">
      <w:pPr>
        <w:pStyle w:val="81"/>
        <w:spacing w:before="75" w:after="75" w:line="360" w:lineRule="auto"/>
        <w:ind w:firstLine="420"/>
        <w:rPr>
          <w:rFonts w:hint="eastAsia" w:hAnsi="宋体"/>
          <w:color w:val="auto"/>
          <w:highlight w:val="none"/>
        </w:rPr>
      </w:pPr>
      <w:r>
        <w:rPr>
          <w:rFonts w:hint="eastAsia" w:hAnsi="宋体"/>
          <w:color w:val="auto"/>
          <w:highlight w:val="none"/>
        </w:rPr>
        <w:t>地 址：乌鲁木齐市天山区光明路59号时代广场A座2</w:t>
      </w:r>
      <w:r>
        <w:rPr>
          <w:rFonts w:hint="eastAsia" w:hAnsi="宋体"/>
          <w:color w:val="auto"/>
          <w:highlight w:val="none"/>
          <w:lang w:val="en-US" w:eastAsia="zh-CN"/>
        </w:rPr>
        <w:t>5A-</w:t>
      </w:r>
      <w:r>
        <w:rPr>
          <w:rFonts w:hint="eastAsia" w:hAnsi="宋体"/>
          <w:color w:val="auto"/>
          <w:highlight w:val="none"/>
        </w:rPr>
        <w:t>F</w:t>
      </w:r>
    </w:p>
    <w:p w14:paraId="2A7A8F2E">
      <w:pPr>
        <w:pStyle w:val="81"/>
        <w:spacing w:before="75" w:after="75" w:line="360" w:lineRule="auto"/>
        <w:ind w:firstLine="420"/>
        <w:rPr>
          <w:rFonts w:hint="eastAsia" w:hAnsi="宋体"/>
          <w:color w:val="auto"/>
          <w:highlight w:val="none"/>
        </w:rPr>
      </w:pPr>
      <w:r>
        <w:rPr>
          <w:rFonts w:hint="eastAsia" w:hAnsi="宋体"/>
          <w:color w:val="auto"/>
          <w:highlight w:val="none"/>
        </w:rPr>
        <w:t>3.项目联系方式</w:t>
      </w:r>
    </w:p>
    <w:p w14:paraId="60BADC26">
      <w:pPr>
        <w:pStyle w:val="81"/>
        <w:spacing w:before="75" w:after="75" w:line="360" w:lineRule="auto"/>
        <w:ind w:firstLine="420"/>
        <w:rPr>
          <w:rFonts w:hint="eastAsia" w:hAnsi="宋体" w:eastAsia="宋体"/>
          <w:color w:val="auto"/>
          <w:highlight w:val="none"/>
          <w:lang w:val="en-US" w:eastAsia="zh-CN"/>
        </w:rPr>
      </w:pPr>
      <w:r>
        <w:rPr>
          <w:rFonts w:hint="eastAsia" w:hAnsi="宋体"/>
          <w:color w:val="auto"/>
          <w:highlight w:val="none"/>
        </w:rPr>
        <w:t>项目联系人：</w:t>
      </w:r>
      <w:r>
        <w:rPr>
          <w:rFonts w:hint="eastAsia" w:hAnsi="宋体"/>
          <w:color w:val="auto"/>
          <w:highlight w:val="none"/>
          <w:lang w:eastAsia="zh-CN"/>
        </w:rPr>
        <w:t>史新西</w:t>
      </w:r>
    </w:p>
    <w:p w14:paraId="68D4342D">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电 话：</w:t>
      </w:r>
      <w:r>
        <w:rPr>
          <w:rFonts w:hint="eastAsia" w:hAnsi="宋体"/>
          <w:color w:val="auto"/>
          <w:highlight w:val="none"/>
          <w:lang w:val="en-US" w:eastAsia="zh-CN"/>
        </w:rPr>
        <w:t>15999133266、0991-3265858</w:t>
      </w:r>
    </w:p>
    <w:p w14:paraId="15D6792E">
      <w:pPr>
        <w:pStyle w:val="27"/>
        <w:rPr>
          <w:rFonts w:hint="eastAsia"/>
          <w:color w:val="auto"/>
          <w:highlight w:val="none"/>
        </w:rPr>
      </w:pPr>
    </w:p>
    <w:p w14:paraId="4F385ECC">
      <w:pPr>
        <w:rPr>
          <w:rFonts w:hint="eastAsia"/>
          <w:color w:val="auto"/>
          <w:highlight w:val="none"/>
        </w:rPr>
      </w:pPr>
    </w:p>
    <w:p w14:paraId="4FCC7F29">
      <w:pPr>
        <w:pStyle w:val="27"/>
        <w:rPr>
          <w:rFonts w:hint="eastAsia"/>
          <w:color w:val="auto"/>
          <w:highlight w:val="none"/>
        </w:rPr>
      </w:pPr>
    </w:p>
    <w:p w14:paraId="21BC3190">
      <w:pPr>
        <w:numPr>
          <w:ilvl w:val="0"/>
          <w:numId w:val="0"/>
        </w:numPr>
        <w:spacing w:line="360" w:lineRule="auto"/>
        <w:jc w:val="center"/>
        <w:outlineLvl w:val="0"/>
        <w:rPr>
          <w:rFonts w:hint="eastAsia" w:ascii="宋体"/>
          <w:b/>
          <w:color w:val="auto"/>
          <w:sz w:val="36"/>
          <w:szCs w:val="36"/>
          <w:highlight w:val="none"/>
        </w:rPr>
      </w:pPr>
      <w:bookmarkStart w:id="2" w:name="_Toc501639723"/>
      <w:r>
        <w:rPr>
          <w:rFonts w:hint="eastAsia" w:ascii="宋体"/>
          <w:b/>
          <w:color w:val="auto"/>
          <w:sz w:val="32"/>
          <w:szCs w:val="32"/>
          <w:highlight w:val="none"/>
        </w:rPr>
        <w:br w:type="page"/>
      </w:r>
      <w:r>
        <w:rPr>
          <w:rFonts w:hint="eastAsia" w:ascii="宋体"/>
          <w:b/>
          <w:color w:val="auto"/>
          <w:sz w:val="36"/>
          <w:szCs w:val="36"/>
          <w:highlight w:val="none"/>
        </w:rPr>
        <w:t xml:space="preserve"> </w:t>
      </w:r>
      <w:bookmarkStart w:id="3" w:name="_Toc121"/>
      <w:r>
        <w:rPr>
          <w:rFonts w:hint="eastAsia" w:ascii="宋体"/>
          <w:b/>
          <w:color w:val="auto"/>
          <w:sz w:val="36"/>
          <w:szCs w:val="36"/>
          <w:highlight w:val="none"/>
        </w:rPr>
        <w:t>投标人须知</w:t>
      </w:r>
      <w:bookmarkEnd w:id="3"/>
    </w:p>
    <w:p w14:paraId="0286927D">
      <w:pPr>
        <w:pStyle w:val="86"/>
        <w:spacing w:line="360" w:lineRule="auto"/>
        <w:ind w:firstLine="0" w:firstLineChars="0"/>
        <w:jc w:val="center"/>
        <w:rPr>
          <w:rFonts w:hint="eastAsia"/>
          <w:b/>
          <w:bCs/>
          <w:color w:val="auto"/>
          <w:sz w:val="28"/>
          <w:szCs w:val="28"/>
          <w:highlight w:val="none"/>
        </w:rPr>
      </w:pPr>
      <w:r>
        <w:rPr>
          <w:rFonts w:ascii="Times New Roman" w:hAnsi="Times New Roman"/>
          <w:b/>
          <w:bCs/>
          <w:color w:val="auto"/>
          <w:sz w:val="28"/>
          <w:szCs w:val="28"/>
          <w:highlight w:val="none"/>
        </w:rPr>
        <w:t>投标人须知资料表</w:t>
      </w:r>
    </w:p>
    <w:p w14:paraId="25FBEA04">
      <w:pPr>
        <w:spacing w:line="360" w:lineRule="auto"/>
        <w:jc w:val="center"/>
        <w:rPr>
          <w:rFonts w:hint="eastAsia" w:ascii="宋体"/>
          <w:color w:val="auto"/>
          <w:sz w:val="24"/>
          <w:highlight w:val="none"/>
        </w:rPr>
      </w:pPr>
      <w:r>
        <w:rPr>
          <w:color w:val="auto"/>
          <w:sz w:val="24"/>
          <w:highlight w:val="none"/>
        </w:rPr>
        <w:t>本表是对投标人须知的具体补充和修改，如有矛盾，均以本资料表为准。</w:t>
      </w:r>
    </w:p>
    <w:bookmarkEnd w:id="2"/>
    <w:tbl>
      <w:tblPr>
        <w:tblStyle w:val="8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62"/>
        <w:gridCol w:w="7275"/>
      </w:tblGrid>
      <w:tr w14:paraId="0B68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blHeader/>
        </w:trPr>
        <w:tc>
          <w:tcPr>
            <w:tcW w:w="721" w:type="dxa"/>
            <w:tcBorders>
              <w:top w:val="single" w:color="auto" w:sz="4" w:space="0"/>
              <w:left w:val="single" w:color="auto" w:sz="4" w:space="0"/>
              <w:bottom w:val="single" w:color="auto" w:sz="4" w:space="0"/>
              <w:right w:val="single" w:color="auto" w:sz="4" w:space="0"/>
            </w:tcBorders>
            <w:noWrap w:val="0"/>
            <w:vAlign w:val="center"/>
          </w:tcPr>
          <w:p w14:paraId="410F2DFE">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项号</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865385F">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项 目</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0BD035B">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内   容</w:t>
            </w:r>
          </w:p>
        </w:tc>
      </w:tr>
      <w:tr w14:paraId="6ED7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44B20DC">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2967CBC">
            <w:pPr>
              <w:spacing w:line="360" w:lineRule="auto"/>
              <w:jc w:val="center"/>
              <w:rPr>
                <w:rFonts w:hint="eastAsia" w:ascii="宋体" w:eastAsia="宋体" w:cs="Times New Roman"/>
                <w:color w:val="auto"/>
                <w:sz w:val="24"/>
                <w:highlight w:val="none"/>
              </w:rPr>
            </w:pPr>
            <w:r>
              <w:rPr>
                <w:rFonts w:eastAsia="宋体" w:cs="Times New Roman"/>
                <w:color w:val="auto"/>
                <w:sz w:val="24"/>
                <w:highlight w:val="none"/>
              </w:rPr>
              <w:t>项目属性</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4E02684">
            <w:pPr>
              <w:jc w:val="left"/>
              <w:rPr>
                <w:rFonts w:hint="eastAsia" w:eastAsia="宋体" w:cs="Times New Roman"/>
                <w:color w:val="auto"/>
                <w:sz w:val="24"/>
                <w:highlight w:val="none"/>
                <w:u w:val="single"/>
              </w:rPr>
            </w:pPr>
            <w:r>
              <w:rPr>
                <w:rFonts w:eastAsia="宋体" w:cs="Times New Roman"/>
                <w:color w:val="auto"/>
                <w:sz w:val="24"/>
                <w:highlight w:val="none"/>
              </w:rPr>
              <w:t>项目属性：货物</w:t>
            </w:r>
          </w:p>
        </w:tc>
      </w:tr>
      <w:tr w14:paraId="7975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CD41F75">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E63A80F">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预算金额</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A3CBFCC">
            <w:pPr>
              <w:widowControl/>
              <w:spacing w:line="360" w:lineRule="auto"/>
              <w:rPr>
                <w:rFonts w:ascii="宋体" w:hAnsi="宋体" w:eastAsia="宋体" w:cs="Times New Roman"/>
                <w:color w:val="auto"/>
                <w:sz w:val="24"/>
                <w:highlight w:val="none"/>
              </w:rPr>
            </w:pPr>
            <w:r>
              <w:rPr>
                <w:rFonts w:hint="eastAsia" w:ascii="宋体" w:hAnsi="宋体" w:cs="Times New Roman"/>
                <w:color w:val="auto"/>
                <w:sz w:val="24"/>
                <w:highlight w:val="none"/>
                <w:lang w:val="en-US" w:eastAsia="zh-CN"/>
              </w:rPr>
              <w:t>150</w:t>
            </w:r>
            <w:r>
              <w:rPr>
                <w:rFonts w:hint="eastAsia" w:ascii="宋体" w:hAnsi="宋体" w:eastAsia="宋体" w:cs="Times New Roman"/>
                <w:color w:val="auto"/>
                <w:sz w:val="24"/>
                <w:highlight w:val="none"/>
                <w:lang w:val="en-US" w:eastAsia="zh-CN"/>
              </w:rPr>
              <w:t>万元</w:t>
            </w:r>
          </w:p>
        </w:tc>
      </w:tr>
      <w:tr w14:paraId="42D0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A539ACA">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72DDAE1">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采购需求</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4865F33">
            <w:pPr>
              <w:pStyle w:val="81"/>
              <w:spacing w:before="75" w:after="75" w:line="360" w:lineRule="auto"/>
              <w:rPr>
                <w:rFonts w:hint="eastAsia" w:hAnsi="宋体" w:eastAsia="宋体" w:cs="Times New Roman"/>
                <w:color w:val="auto"/>
                <w:kern w:val="2"/>
                <w:highlight w:val="none"/>
                <w:lang w:eastAsia="zh-CN"/>
              </w:rPr>
            </w:pPr>
            <w:r>
              <w:rPr>
                <w:rFonts w:hint="eastAsia" w:hAnsi="宋体"/>
                <w:color w:val="0000FF"/>
                <w:highlight w:val="none"/>
              </w:rPr>
              <w:t>药学实验教学示范中心建设项目</w:t>
            </w:r>
            <w:r>
              <w:rPr>
                <w:rFonts w:hint="eastAsia" w:hAnsi="宋体"/>
                <w:color w:val="auto"/>
                <w:highlight w:val="none"/>
                <w:lang w:val="en-US" w:eastAsia="zh-CN"/>
              </w:rPr>
              <w:t>(</w:t>
            </w:r>
            <w:r>
              <w:rPr>
                <w:rFonts w:hint="eastAsia" w:hAnsi="宋体"/>
                <w:color w:val="auto"/>
                <w:highlight w:val="none"/>
              </w:rPr>
              <w:t>具体详见招标文件采购需求</w:t>
            </w:r>
            <w:r>
              <w:rPr>
                <w:rFonts w:hint="eastAsia" w:hAnsi="宋体"/>
                <w:color w:val="auto"/>
                <w:highlight w:val="none"/>
                <w:lang w:val="en-US" w:eastAsia="zh-CN"/>
              </w:rPr>
              <w:t>)</w:t>
            </w:r>
            <w:r>
              <w:rPr>
                <w:rFonts w:hint="eastAsia" w:hAnsi="宋体"/>
                <w:highlight w:val="none"/>
              </w:rPr>
              <w:t>。</w:t>
            </w:r>
          </w:p>
        </w:tc>
      </w:tr>
      <w:tr w14:paraId="32FC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2DAF568">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C3BBEA4">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采购方式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9F1DCB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公开招标</w:t>
            </w:r>
          </w:p>
        </w:tc>
      </w:tr>
      <w:tr w14:paraId="6A3F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7C4C7F89">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D0ADE0F">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付款方式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3D7CE87C">
            <w:pPr>
              <w:widowControl/>
              <w:spacing w:line="360" w:lineRule="auto"/>
              <w:rPr>
                <w:rFonts w:hint="default" w:ascii="宋体" w:hAnsi="宋体" w:eastAsia="宋体" w:cs="Times New Roman"/>
                <w:color w:val="auto"/>
                <w:sz w:val="24"/>
                <w:highlight w:val="none"/>
                <w:lang w:val="en-US" w:eastAsia="zh-CN"/>
              </w:rPr>
            </w:pPr>
            <w:r>
              <w:rPr>
                <w:rFonts w:hint="default" w:ascii="宋体" w:hAnsi="宋体" w:eastAsia="宋体" w:cs="Times New Roman"/>
                <w:color w:val="0000FF"/>
                <w:sz w:val="24"/>
                <w:highlight w:val="none"/>
                <w:lang w:val="en-US" w:eastAsia="zh-CN"/>
              </w:rPr>
              <w:t>合同签订后预付30%，产品到达并无质量问题支付50%，产品验收合格后支付20%。</w:t>
            </w:r>
          </w:p>
        </w:tc>
      </w:tr>
      <w:tr w14:paraId="3A7C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4F9D8B4">
            <w:pPr>
              <w:numPr>
                <w:ilvl w:val="0"/>
                <w:numId w:val="27"/>
              </w:numPr>
              <w:spacing w:line="360" w:lineRule="auto"/>
              <w:ind w:left="425" w:leftChars="0" w:hanging="425" w:firstLineChars="0"/>
              <w:jc w:val="center"/>
              <w:rPr>
                <w:rFonts w:hint="eastAsia"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786EEF7A">
            <w:pPr>
              <w:widowControl/>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质保</w:t>
            </w:r>
            <w:r>
              <w:rPr>
                <w:rFonts w:hint="eastAsia" w:ascii="宋体" w:hAnsi="宋体" w:eastAsia="宋体" w:cs="Times New Roman"/>
                <w:color w:val="auto"/>
                <w:sz w:val="24"/>
                <w:highlight w:val="none"/>
              </w:rPr>
              <w:t>期</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52FA034">
            <w:pPr>
              <w:widowControl/>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验收合格后</w:t>
            </w:r>
            <w:r>
              <w:rPr>
                <w:rFonts w:hint="eastAsia" w:ascii="宋体" w:hAnsi="宋体" w:eastAsia="宋体" w:cs="Times New Roman"/>
                <w:color w:val="auto"/>
                <w:sz w:val="24"/>
                <w:highlight w:val="none"/>
                <w:lang w:val="en-US" w:eastAsia="zh-CN"/>
              </w:rPr>
              <w:t>1年</w:t>
            </w:r>
          </w:p>
        </w:tc>
      </w:tr>
      <w:tr w14:paraId="448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35E2186">
            <w:pPr>
              <w:numPr>
                <w:ilvl w:val="0"/>
                <w:numId w:val="27"/>
              </w:numPr>
              <w:spacing w:line="360" w:lineRule="auto"/>
              <w:ind w:left="425" w:leftChars="0" w:hanging="425" w:firstLineChars="0"/>
              <w:jc w:val="center"/>
              <w:rPr>
                <w:rFonts w:ascii="宋体" w:eastAsia="宋体" w:cs="Times New Roman"/>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8293CF5">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lang w:val="en-US" w:eastAsia="zh-CN"/>
              </w:rPr>
              <w:t>交货期</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6E8831C">
            <w:pPr>
              <w:pStyle w:val="457"/>
              <w:shd w:val="clear" w:color="auto" w:fill="FFFFFF"/>
              <w:spacing w:line="360" w:lineRule="auto"/>
              <w:ind w:left="480" w:hanging="480" w:hangingChars="200"/>
              <w:rPr>
                <w:rFonts w:hint="default" w:ascii="宋体" w:hAnsi="宋体" w:eastAsia="宋体" w:cs="Times New Roman"/>
                <w:color w:val="auto"/>
                <w:kern w:val="2"/>
                <w:sz w:val="24"/>
                <w:szCs w:val="24"/>
                <w:highlight w:val="none"/>
                <w:lang w:val="en-US" w:eastAsia="zh-CN"/>
              </w:rPr>
            </w:pPr>
            <w:r>
              <w:rPr>
                <w:rFonts w:hint="default" w:ascii="宋体" w:hAnsi="宋体" w:eastAsia="宋体" w:cs="Times New Roman"/>
                <w:color w:val="0000FF"/>
                <w:kern w:val="2"/>
                <w:sz w:val="24"/>
                <w:szCs w:val="24"/>
                <w:highlight w:val="none"/>
                <w:lang w:val="en-US" w:eastAsia="zh-CN"/>
              </w:rPr>
              <w:t>中标人应在采购合同签订后</w:t>
            </w:r>
            <w:r>
              <w:rPr>
                <w:rFonts w:hint="eastAsia" w:ascii="宋体" w:hAnsi="宋体" w:cs="Times New Roman"/>
                <w:color w:val="0000FF"/>
                <w:kern w:val="2"/>
                <w:sz w:val="24"/>
                <w:szCs w:val="24"/>
                <w:highlight w:val="none"/>
                <w:lang w:val="en-US" w:eastAsia="zh-CN"/>
              </w:rPr>
              <w:t>6</w:t>
            </w:r>
            <w:r>
              <w:rPr>
                <w:rFonts w:hint="default" w:ascii="宋体" w:hAnsi="宋体" w:eastAsia="宋体" w:cs="Times New Roman"/>
                <w:color w:val="0000FF"/>
                <w:kern w:val="2"/>
                <w:sz w:val="24"/>
                <w:szCs w:val="24"/>
                <w:highlight w:val="none"/>
                <w:lang w:val="en-US" w:eastAsia="zh-CN"/>
              </w:rPr>
              <w:t>0日内交货并完成安装调试。</w:t>
            </w:r>
          </w:p>
        </w:tc>
      </w:tr>
      <w:tr w14:paraId="3BA4BE10">
        <w:tblPrEx>
          <w:tblCellMar>
            <w:top w:w="0" w:type="dxa"/>
            <w:left w:w="108" w:type="dxa"/>
            <w:bottom w:w="0" w:type="dxa"/>
            <w:right w:w="108" w:type="dxa"/>
          </w:tblCellMar>
        </w:tblPrEx>
        <w:trPr>
          <w:trHeight w:val="65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680F89A">
            <w:pPr>
              <w:numPr>
                <w:ilvl w:val="0"/>
                <w:numId w:val="27"/>
              </w:numPr>
              <w:spacing w:line="360" w:lineRule="auto"/>
              <w:ind w:left="425" w:leftChars="0" w:hanging="425" w:firstLineChars="0"/>
              <w:jc w:val="center"/>
              <w:rPr>
                <w:rFonts w:hint="eastAsia"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E9233D2">
            <w:pPr>
              <w:spacing w:line="360" w:lineRule="auto"/>
              <w:jc w:val="center"/>
              <w:rPr>
                <w:rFonts w:hint="eastAsia" w:ascii="宋体" w:hAnsi="宋体" w:eastAsia="宋体" w:cs="宋体"/>
                <w:b/>
                <w:color w:val="auto"/>
                <w:sz w:val="24"/>
                <w:highlight w:val="none"/>
                <w:lang w:val="en-US" w:eastAsia="zh-CN"/>
              </w:rPr>
            </w:pPr>
            <w:r>
              <w:rPr>
                <w:rFonts w:hint="eastAsia" w:ascii="宋体" w:eastAsia="宋体" w:cs="Times New Roman"/>
                <w:color w:val="auto"/>
                <w:sz w:val="24"/>
                <w:highlight w:val="none"/>
                <w:lang w:val="en-US" w:eastAsia="zh-CN"/>
              </w:rPr>
              <w:t>质量标准</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D5DF03F">
            <w:pPr>
              <w:pStyle w:val="457"/>
              <w:shd w:val="clear" w:color="auto" w:fill="FFFFFF"/>
              <w:spacing w:line="360" w:lineRule="auto"/>
              <w:ind w:left="480" w:hanging="480" w:hangingChars="200"/>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合格</w:t>
            </w:r>
          </w:p>
        </w:tc>
      </w:tr>
      <w:tr w14:paraId="441D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4489E10">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AA65E51">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交货地点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A681065">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lang w:val="en-US" w:eastAsia="zh-CN"/>
              </w:rPr>
              <w:t>新疆第二医学院</w:t>
            </w:r>
          </w:p>
        </w:tc>
      </w:tr>
      <w:tr w14:paraId="6D3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FD613DB">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4946C79">
            <w:pPr>
              <w:spacing w:line="360" w:lineRule="auto"/>
              <w:jc w:val="center"/>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核心产品</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20E9E59">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接触角测量仪、酶标仪、高效液相色谱仪</w:t>
            </w:r>
          </w:p>
          <w:p w14:paraId="7963FB7C">
            <w:pPr>
              <w:spacing w:line="360" w:lineRule="auto"/>
              <w:rPr>
                <w:rFonts w:hint="eastAsia" w:asciiTheme="minorEastAsia" w:hAnsiTheme="minorEastAsia" w:eastAsiaTheme="minorEastAsia" w:cstheme="minorEastAsia"/>
                <w:kern w:val="0"/>
                <w:sz w:val="20"/>
                <w:szCs w:val="20"/>
                <w:highlight w:val="none"/>
                <w:lang w:val="en-US" w:eastAsia="zh-CN"/>
              </w:rPr>
            </w:pPr>
            <w:r>
              <w:rPr>
                <w:rFonts w:hint="eastAsia" w:ascii="宋体" w:hAnsi="宋体" w:eastAsia="宋体" w:cs="宋体"/>
                <w:b/>
                <w:bCs/>
                <w:color w:val="auto"/>
                <w:kern w:val="0"/>
                <w:highlight w:val="none"/>
                <w:lang w:val="en-US" w:eastAsia="zh-CN"/>
              </w:rPr>
              <w:t>注：三个核心产品中，只要任意一个核心产品的品牌相同，有关投标人就应认定为一个投标人。</w:t>
            </w:r>
          </w:p>
        </w:tc>
      </w:tr>
      <w:tr w14:paraId="79C2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11533AEA">
            <w:pPr>
              <w:numPr>
                <w:ilvl w:val="0"/>
                <w:numId w:val="27"/>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7E5A1D9B">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投标人资格证明文件</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82CFFAC">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1、须符合《中华人民共和国政府采购法》第22条规定：</w:t>
            </w:r>
          </w:p>
          <w:p w14:paraId="02DBD842">
            <w:pPr>
              <w:pStyle w:val="81"/>
              <w:spacing w:before="75" w:after="75" w:line="360" w:lineRule="auto"/>
              <w:rPr>
                <w:rFonts w:hint="eastAsia" w:hAnsi="宋体" w:cs="Times New Roman"/>
                <w:color w:val="auto"/>
                <w:kern w:val="2"/>
                <w:highlight w:val="none"/>
                <w:lang w:val="en-US" w:eastAsia="zh-CN"/>
              </w:rPr>
            </w:pPr>
            <w:r>
              <w:rPr>
                <w:rFonts w:hint="eastAsia" w:hAnsi="宋体" w:cs="Times New Roman"/>
                <w:color w:val="auto"/>
                <w:kern w:val="2"/>
                <w:highlight w:val="none"/>
              </w:rPr>
              <w:t>2、</w:t>
            </w:r>
            <w:r>
              <w:rPr>
                <w:rFonts w:hint="eastAsia" w:hAnsi="宋体" w:cs="Times New Roman"/>
                <w:color w:val="auto"/>
                <w:kern w:val="2"/>
                <w:highlight w:val="none"/>
                <w:lang w:val="en-US" w:eastAsia="zh-CN"/>
              </w:rPr>
              <w:t>落实政府采购政策需满足的资格要求：</w:t>
            </w:r>
            <w:r>
              <w:rPr>
                <w:rFonts w:hint="eastAsia" w:hAnsi="宋体"/>
                <w:color w:val="auto"/>
                <w:highlight w:val="none"/>
                <w:lang w:val="en-US" w:eastAsia="zh-CN"/>
              </w:rPr>
              <w:t>本项目专门面向中小企业采购；</w:t>
            </w:r>
          </w:p>
          <w:p w14:paraId="1D308E23">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lang w:val="en-US" w:eastAsia="zh-CN"/>
              </w:rPr>
              <w:t>3、本项目的特定资格要求：</w:t>
            </w:r>
            <w:r>
              <w:rPr>
                <w:rFonts w:hint="eastAsia" w:hAnsi="宋体" w:cs="Times New Roman"/>
                <w:color w:val="auto"/>
                <w:kern w:val="2"/>
                <w:highlight w:val="none"/>
              </w:rPr>
              <w:t>投标产品属于医疗器械管理范围的：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复印件加盖公章；（投标产品不属于医疗器械管理范围的，此项无需提供）；</w:t>
            </w:r>
          </w:p>
        </w:tc>
      </w:tr>
      <w:tr w14:paraId="5A60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4ACCF38">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CA28F46">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lang w:val="en-US" w:eastAsia="zh-CN"/>
              </w:rPr>
              <w:t>制造企业</w:t>
            </w:r>
          </w:p>
          <w:p w14:paraId="3027D518">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所属行业</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62A65B9">
            <w:pPr>
              <w:spacing w:line="360" w:lineRule="auto"/>
              <w:rPr>
                <w:rFonts w:hint="eastAsia" w:ascii="宋体" w:eastAsia="宋体" w:cs="Times New Roman"/>
                <w:color w:val="auto"/>
                <w:szCs w:val="21"/>
                <w:highlight w:val="none"/>
              </w:rPr>
            </w:pPr>
            <w:r>
              <w:rPr>
                <w:rFonts w:hint="eastAsia" w:ascii="宋体" w:eastAsia="宋体" w:cs="Times New Roman"/>
                <w:color w:val="auto"/>
                <w:szCs w:val="21"/>
                <w:highlight w:val="none"/>
              </w:rPr>
              <w:t>本项目</w:t>
            </w:r>
            <w:r>
              <w:rPr>
                <w:rFonts w:hint="eastAsia" w:ascii="宋体" w:eastAsia="宋体" w:cs="Times New Roman"/>
                <w:color w:val="auto"/>
                <w:szCs w:val="21"/>
                <w:highlight w:val="none"/>
                <w:lang w:val="en-US" w:eastAsia="zh-CN"/>
              </w:rPr>
              <w:t>采购标的对应的中小企业划分标准所属行业</w:t>
            </w:r>
            <w:r>
              <w:rPr>
                <w:rFonts w:hint="eastAsia" w:ascii="宋体" w:eastAsia="宋体" w:cs="Times New Roman"/>
                <w:color w:val="auto"/>
                <w:szCs w:val="21"/>
                <w:highlight w:val="none"/>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093"/>
              <w:gridCol w:w="3257"/>
            </w:tblGrid>
            <w:tr w14:paraId="0616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2BC0F856">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序号</w:t>
                  </w:r>
                </w:p>
              </w:tc>
              <w:tc>
                <w:tcPr>
                  <w:tcW w:w="3093" w:type="dxa"/>
                  <w:noWrap w:val="0"/>
                  <w:vAlign w:val="center"/>
                </w:tcPr>
                <w:p w14:paraId="52551A0A">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标的名称</w:t>
                  </w:r>
                </w:p>
              </w:tc>
              <w:tc>
                <w:tcPr>
                  <w:tcW w:w="3257" w:type="dxa"/>
                  <w:noWrap w:val="0"/>
                  <w:vAlign w:val="center"/>
                </w:tcPr>
                <w:p w14:paraId="026D56A6">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中小企业划分标准所属行业</w:t>
                  </w:r>
                </w:p>
              </w:tc>
            </w:tr>
            <w:tr w14:paraId="736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3A08AFC1">
                  <w:pPr>
                    <w:spacing w:line="360" w:lineRule="auto"/>
                    <w:jc w:val="center"/>
                    <w:rPr>
                      <w:rFonts w:ascii="宋体" w:eastAsia="宋体" w:cs="Times New Roman"/>
                      <w:color w:val="auto"/>
                      <w:szCs w:val="21"/>
                      <w:highlight w:val="none"/>
                    </w:rPr>
                  </w:pPr>
                  <w:r>
                    <w:rPr>
                      <w:rFonts w:hint="eastAsia" w:ascii="宋体" w:eastAsia="宋体" w:cs="Times New Roman"/>
                      <w:color w:val="auto"/>
                      <w:szCs w:val="21"/>
                      <w:highlight w:val="none"/>
                    </w:rPr>
                    <w:t>1</w:t>
                  </w:r>
                </w:p>
              </w:tc>
              <w:tc>
                <w:tcPr>
                  <w:tcW w:w="3093" w:type="dxa"/>
                  <w:noWrap w:val="0"/>
                  <w:vAlign w:val="center"/>
                </w:tcPr>
                <w:p w14:paraId="72A63C65">
                  <w:pPr>
                    <w:spacing w:line="360" w:lineRule="auto"/>
                    <w:jc w:val="center"/>
                    <w:rPr>
                      <w:rFonts w:hint="default" w:ascii="宋体" w:eastAsia="宋体" w:cs="Times New Roman"/>
                      <w:color w:val="auto"/>
                      <w:szCs w:val="21"/>
                      <w:highlight w:val="none"/>
                      <w:lang w:val="en-US" w:eastAsia="zh-CN"/>
                    </w:rPr>
                  </w:pPr>
                  <w:r>
                    <w:rPr>
                      <w:rFonts w:hint="eastAsia" w:ascii="宋体" w:eastAsia="宋体" w:cs="Times New Roman"/>
                      <w:color w:val="auto"/>
                      <w:szCs w:val="21"/>
                      <w:highlight w:val="none"/>
                      <w:lang w:val="en-US" w:eastAsia="zh-CN"/>
                    </w:rPr>
                    <w:t>本项目包含所有产品</w:t>
                  </w:r>
                </w:p>
              </w:tc>
              <w:tc>
                <w:tcPr>
                  <w:tcW w:w="3257" w:type="dxa"/>
                  <w:noWrap w:val="0"/>
                  <w:vAlign w:val="center"/>
                </w:tcPr>
                <w:p w14:paraId="5511AAA7">
                  <w:pPr>
                    <w:spacing w:line="360" w:lineRule="auto"/>
                    <w:jc w:val="center"/>
                    <w:rPr>
                      <w:rFonts w:hint="eastAsia" w:ascii="宋体" w:eastAsia="宋体" w:cs="Times New Roman"/>
                      <w:color w:val="auto"/>
                      <w:szCs w:val="21"/>
                      <w:highlight w:val="none"/>
                    </w:rPr>
                  </w:pPr>
                  <w:r>
                    <w:rPr>
                      <w:rFonts w:hint="eastAsia" w:ascii="宋体" w:eastAsia="宋体" w:cs="Times New Roman"/>
                      <w:color w:val="auto"/>
                      <w:szCs w:val="21"/>
                      <w:highlight w:val="none"/>
                    </w:rPr>
                    <w:t>工业</w:t>
                  </w:r>
                </w:p>
              </w:tc>
            </w:tr>
          </w:tbl>
          <w:p w14:paraId="4DCED7E3">
            <w:pPr>
              <w:spacing w:line="360" w:lineRule="auto"/>
              <w:rPr>
                <w:rFonts w:hint="eastAsia" w:ascii="宋体" w:eastAsia="宋体" w:cs="Times New Roman"/>
                <w:color w:val="auto"/>
                <w:sz w:val="24"/>
                <w:highlight w:val="none"/>
              </w:rPr>
            </w:pPr>
          </w:p>
        </w:tc>
      </w:tr>
      <w:tr w14:paraId="2280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7111747">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623C537">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投标有效期</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A09D349">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自投标截止之日起90个日历日</w:t>
            </w:r>
          </w:p>
        </w:tc>
      </w:tr>
      <w:tr w14:paraId="0132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5055DCE2">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6CFA6E1">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评标方法</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0FEE2AA8">
            <w:pPr>
              <w:spacing w:line="360" w:lineRule="auto"/>
              <w:rPr>
                <w:rFonts w:hint="eastAsia" w:ascii="宋体" w:eastAsia="宋体" w:cs="新宋体-18030"/>
                <w:bCs/>
                <w:color w:val="auto"/>
                <w:sz w:val="24"/>
                <w:highlight w:val="none"/>
              </w:rPr>
            </w:pPr>
            <w:r>
              <w:rPr>
                <w:rFonts w:hint="eastAsia" w:ascii="宋体" w:eastAsia="宋体" w:cs="Times New Roman"/>
                <w:color w:val="auto"/>
                <w:sz w:val="24"/>
                <w:highlight w:val="none"/>
              </w:rPr>
              <w:t>综合评分法</w:t>
            </w:r>
          </w:p>
        </w:tc>
      </w:tr>
      <w:tr w14:paraId="44A7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67CB40A9">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1D0CA98">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评标委员会</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3E9C93E4">
            <w:pPr>
              <w:pStyle w:val="81"/>
              <w:spacing w:before="75" w:after="75" w:line="360" w:lineRule="auto"/>
              <w:rPr>
                <w:rFonts w:hint="eastAsia" w:hAnsi="宋体" w:cs="Times New Roman"/>
                <w:color w:val="auto"/>
                <w:kern w:val="2"/>
                <w:highlight w:val="none"/>
              </w:rPr>
            </w:pPr>
            <w:r>
              <w:rPr>
                <w:rFonts w:hint="eastAsia" w:hAnsi="宋体" w:cs="Times New Roman"/>
                <w:color w:val="auto"/>
                <w:kern w:val="2"/>
                <w:highlight w:val="none"/>
              </w:rPr>
              <w:t>评标委员会构成：</w:t>
            </w:r>
            <w:r>
              <w:rPr>
                <w:rFonts w:hint="eastAsia" w:hAnsi="宋体" w:cs="Times New Roman"/>
                <w:color w:val="auto"/>
                <w:kern w:val="2"/>
                <w:highlight w:val="none"/>
                <w:lang w:val="en-US" w:eastAsia="zh-CN"/>
              </w:rPr>
              <w:t>5</w:t>
            </w:r>
            <w:r>
              <w:rPr>
                <w:rFonts w:hint="eastAsia" w:hAnsi="宋体" w:cs="Times New Roman"/>
                <w:color w:val="auto"/>
                <w:kern w:val="2"/>
                <w:highlight w:val="none"/>
              </w:rPr>
              <w:t>人，其中招标人代表0-</w:t>
            </w:r>
            <w:r>
              <w:rPr>
                <w:rFonts w:hint="eastAsia" w:hAnsi="宋体" w:cs="Times New Roman"/>
                <w:color w:val="auto"/>
                <w:kern w:val="2"/>
                <w:highlight w:val="none"/>
                <w:lang w:val="en-US" w:eastAsia="zh-CN"/>
              </w:rPr>
              <w:t>1</w:t>
            </w:r>
            <w:r>
              <w:rPr>
                <w:rFonts w:hint="eastAsia" w:hAnsi="宋体" w:cs="Times New Roman"/>
                <w:color w:val="auto"/>
                <w:kern w:val="2"/>
                <w:highlight w:val="none"/>
              </w:rPr>
              <w:t>人，专家</w:t>
            </w:r>
            <w:r>
              <w:rPr>
                <w:rFonts w:hint="eastAsia" w:hAnsi="宋体" w:cs="Times New Roman"/>
                <w:color w:val="auto"/>
                <w:kern w:val="2"/>
                <w:highlight w:val="none"/>
                <w:lang w:val="en-US" w:eastAsia="zh-CN"/>
              </w:rPr>
              <w:t>4</w:t>
            </w:r>
            <w:r>
              <w:rPr>
                <w:rFonts w:hint="eastAsia" w:hAnsi="宋体" w:cs="Times New Roman"/>
                <w:color w:val="auto"/>
                <w:kern w:val="2"/>
                <w:highlight w:val="none"/>
              </w:rPr>
              <w:t>-</w:t>
            </w:r>
            <w:r>
              <w:rPr>
                <w:rFonts w:hint="eastAsia" w:hAnsi="宋体" w:cs="Times New Roman"/>
                <w:color w:val="auto"/>
                <w:kern w:val="2"/>
                <w:highlight w:val="none"/>
                <w:lang w:val="en-US" w:eastAsia="zh-CN"/>
              </w:rPr>
              <w:t>5</w:t>
            </w:r>
            <w:r>
              <w:rPr>
                <w:rFonts w:hint="eastAsia" w:hAnsi="宋体" w:cs="Times New Roman"/>
                <w:color w:val="auto"/>
                <w:kern w:val="2"/>
                <w:highlight w:val="none"/>
              </w:rPr>
              <w:t>人；</w:t>
            </w:r>
          </w:p>
          <w:p w14:paraId="24971EF5">
            <w:pPr>
              <w:pStyle w:val="81"/>
              <w:spacing w:before="75" w:after="75" w:line="360" w:lineRule="auto"/>
              <w:rPr>
                <w:rFonts w:hint="eastAsia" w:hAnsi="宋体"/>
                <w:color w:val="auto"/>
                <w:highlight w:val="none"/>
              </w:rPr>
            </w:pPr>
            <w:r>
              <w:rPr>
                <w:rFonts w:hint="eastAsia" w:hAnsi="宋体" w:cs="Times New Roman"/>
                <w:color w:val="auto"/>
                <w:kern w:val="2"/>
                <w:highlight w:val="none"/>
              </w:rPr>
              <w:t>评标专家确定方式：开标前48小时从新疆政采云平台专家库中随机抽取。</w:t>
            </w:r>
          </w:p>
        </w:tc>
      </w:tr>
      <w:tr w14:paraId="5FA2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9C218E6">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9084CAF">
            <w:pPr>
              <w:spacing w:line="360" w:lineRule="auto"/>
              <w:jc w:val="center"/>
              <w:rPr>
                <w:rFonts w:hint="eastAsia" w:ascii="宋体" w:eastAsia="宋体" w:cs="Times New Roman"/>
                <w:color w:val="auto"/>
                <w:sz w:val="24"/>
                <w:highlight w:val="none"/>
              </w:rPr>
            </w:pPr>
            <w:r>
              <w:rPr>
                <w:rFonts w:hint="eastAsia" w:ascii="宋体" w:hAnsi="宋体" w:eastAsia="宋体" w:cs="宋体"/>
                <w:b/>
                <w:color w:val="auto"/>
                <w:sz w:val="24"/>
                <w:highlight w:val="none"/>
              </w:rPr>
              <w:t>★</w:t>
            </w:r>
            <w:r>
              <w:rPr>
                <w:rFonts w:hint="eastAsia" w:ascii="宋体" w:eastAsia="宋体" w:cs="Times New Roman"/>
                <w:color w:val="auto"/>
                <w:sz w:val="24"/>
                <w:highlight w:val="none"/>
              </w:rPr>
              <w:t>投标文件递交截止时间及开标时间、地点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3EA4867">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本项目采用不见面开标：</w:t>
            </w:r>
          </w:p>
          <w:p w14:paraId="0E35E17A">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时间：</w:t>
            </w:r>
            <w:r>
              <w:rPr>
                <w:rFonts w:hint="eastAsia" w:ascii="宋体" w:eastAsia="宋体" w:cs="Times New Roman"/>
                <w:color w:val="0000FF"/>
                <w:sz w:val="24"/>
                <w:highlight w:val="none"/>
                <w:lang w:eastAsia="zh-CN"/>
              </w:rPr>
              <w:t>202</w:t>
            </w:r>
            <w:r>
              <w:rPr>
                <w:rFonts w:hint="eastAsia" w:ascii="宋体" w:eastAsia="宋体" w:cs="Times New Roman"/>
                <w:color w:val="0000FF"/>
                <w:sz w:val="24"/>
                <w:highlight w:val="none"/>
                <w:lang w:val="en-US" w:eastAsia="zh-CN"/>
              </w:rPr>
              <w:t>5</w:t>
            </w:r>
            <w:r>
              <w:rPr>
                <w:rFonts w:hint="eastAsia" w:ascii="宋体" w:eastAsia="宋体" w:cs="Times New Roman"/>
                <w:color w:val="0000FF"/>
                <w:sz w:val="24"/>
                <w:highlight w:val="none"/>
                <w:lang w:eastAsia="zh-CN"/>
              </w:rPr>
              <w:t>年</w:t>
            </w:r>
            <w:r>
              <w:rPr>
                <w:rFonts w:hint="eastAsia" w:ascii="宋体" w:cs="Times New Roman"/>
                <w:color w:val="0000FF"/>
                <w:sz w:val="24"/>
                <w:highlight w:val="none"/>
                <w:lang w:val="en-US" w:eastAsia="zh-CN"/>
              </w:rPr>
              <w:t>7</w:t>
            </w:r>
            <w:r>
              <w:rPr>
                <w:rFonts w:hint="eastAsia" w:ascii="宋体" w:eastAsia="宋体" w:cs="Times New Roman"/>
                <w:color w:val="0000FF"/>
                <w:sz w:val="24"/>
                <w:highlight w:val="none"/>
                <w:lang w:val="en-US" w:eastAsia="zh-CN"/>
              </w:rPr>
              <w:t>月</w:t>
            </w:r>
            <w:r>
              <w:rPr>
                <w:rFonts w:hint="eastAsia" w:ascii="宋体" w:cs="Times New Roman"/>
                <w:color w:val="0000FF"/>
                <w:sz w:val="24"/>
                <w:highlight w:val="none"/>
                <w:lang w:val="en-US" w:eastAsia="zh-CN"/>
              </w:rPr>
              <w:t>24</w:t>
            </w:r>
            <w:r>
              <w:rPr>
                <w:rFonts w:hint="eastAsia" w:ascii="宋体" w:eastAsia="宋体" w:cs="Times New Roman"/>
                <w:color w:val="0000FF"/>
                <w:sz w:val="24"/>
                <w:highlight w:val="none"/>
                <w:lang w:val="en-US" w:eastAsia="zh-CN"/>
              </w:rPr>
              <w:t>日</w:t>
            </w:r>
            <w:r>
              <w:rPr>
                <w:rFonts w:hint="eastAsia" w:ascii="宋体" w:cs="Times New Roman"/>
                <w:color w:val="0000FF"/>
                <w:sz w:val="24"/>
                <w:highlight w:val="none"/>
                <w:lang w:val="en-US" w:eastAsia="zh-CN"/>
              </w:rPr>
              <w:t>11</w:t>
            </w:r>
            <w:r>
              <w:rPr>
                <w:rFonts w:hint="eastAsia" w:ascii="宋体" w:eastAsia="宋体" w:cs="Times New Roman"/>
                <w:color w:val="0000FF"/>
                <w:sz w:val="24"/>
                <w:highlight w:val="none"/>
                <w:lang w:eastAsia="zh-CN"/>
              </w:rPr>
              <w:t>:00</w:t>
            </w:r>
            <w:r>
              <w:rPr>
                <w:rFonts w:hint="eastAsia" w:ascii="宋体" w:eastAsia="宋体" w:cs="Times New Roman"/>
                <w:color w:val="auto"/>
                <w:sz w:val="24"/>
                <w:highlight w:val="none"/>
              </w:rPr>
              <w:t>（北京时间）</w:t>
            </w:r>
          </w:p>
          <w:p w14:paraId="1A71F46A">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投标文件递交地点：供应商应将加密的电子投标文件上传到政采云平台https://www.zcygov.cn对应位置（逾期未上传的或不符合规定的投标文件将被拒绝接收）</w:t>
            </w:r>
          </w:p>
          <w:p w14:paraId="359A9D06">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解密时间：30分钟</w:t>
            </w:r>
          </w:p>
          <w:p w14:paraId="0B5A07E9">
            <w:pPr>
              <w:spacing w:line="500" w:lineRule="exact"/>
              <w:rPr>
                <w:rFonts w:hint="eastAsia" w:ascii="宋体" w:eastAsia="宋体" w:cs="Times New Roman"/>
                <w:color w:val="auto"/>
                <w:sz w:val="24"/>
                <w:highlight w:val="none"/>
              </w:rPr>
            </w:pPr>
            <w:r>
              <w:rPr>
                <w:rFonts w:hint="eastAsia" w:ascii="宋体" w:eastAsia="宋体" w:cs="Times New Roman"/>
                <w:color w:val="auto"/>
                <w:sz w:val="24"/>
                <w:highlight w:val="none"/>
              </w:rPr>
              <w:t>供应商可以登录“政采云”平台，用“项目采购-开标评标”功能进行解密投标文件。若供应商在规定时间内，未按时解密的，视为投标文件撤回。</w:t>
            </w:r>
          </w:p>
        </w:tc>
      </w:tr>
      <w:tr w14:paraId="7E1F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6A9DA9C">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4AF4245">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投标保证金</w:t>
            </w:r>
            <w:r>
              <w:rPr>
                <w:rFonts w:hint="eastAsia" w:ascii="宋体" w:eastAsia="宋体" w:cs="Times New Roman"/>
                <w:b/>
                <w:bCs/>
                <w:color w:val="auto"/>
                <w:sz w:val="24"/>
                <w:highlight w:val="none"/>
                <w:lang w:eastAsia="zh-CN"/>
              </w:rPr>
              <w:t>（</w:t>
            </w:r>
            <w:r>
              <w:rPr>
                <w:rFonts w:hint="eastAsia" w:ascii="宋体" w:eastAsia="宋体" w:cs="Times New Roman"/>
                <w:b/>
                <w:bCs/>
                <w:color w:val="auto"/>
                <w:sz w:val="24"/>
                <w:highlight w:val="none"/>
                <w:lang w:val="en-US" w:eastAsia="zh-CN"/>
              </w:rPr>
              <w:t>本项目不收取</w:t>
            </w:r>
            <w:r>
              <w:rPr>
                <w:rFonts w:hint="eastAsia" w:ascii="宋体" w:eastAsia="宋体" w:cs="Times New Roman"/>
                <w:b/>
                <w:bCs/>
                <w:color w:val="auto"/>
                <w:sz w:val="24"/>
                <w:highlight w:val="none"/>
                <w:lang w:eastAsia="zh-CN"/>
              </w:rPr>
              <w:t>）</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FC5B86E">
            <w:pPr>
              <w:spacing w:line="360" w:lineRule="auto"/>
              <w:rPr>
                <w:rFonts w:hint="eastAsia" w:ascii="宋体" w:eastAsia="宋体" w:cs="Times New Roman"/>
                <w:color w:val="auto"/>
                <w:sz w:val="24"/>
                <w:highlight w:val="none"/>
                <w:lang w:eastAsia="zh-CN"/>
              </w:rPr>
            </w:pPr>
            <w:r>
              <w:rPr>
                <w:rFonts w:hint="eastAsia" w:ascii="宋体" w:eastAsia="宋体" w:cs="Times New Roman"/>
                <w:color w:val="auto"/>
                <w:sz w:val="24"/>
                <w:highlight w:val="none"/>
              </w:rPr>
              <w:t>保证金金额：</w:t>
            </w:r>
            <w:r>
              <w:rPr>
                <w:rFonts w:hint="eastAsia" w:ascii="宋体" w:eastAsia="宋体" w:cs="Times New Roman"/>
                <w:color w:val="auto"/>
                <w:sz w:val="24"/>
                <w:highlight w:val="none"/>
                <w:lang w:val="en-US" w:eastAsia="zh-CN"/>
              </w:rPr>
              <w:t>0</w:t>
            </w:r>
            <w:r>
              <w:rPr>
                <w:rFonts w:hint="eastAsia" w:ascii="宋体" w:eastAsia="宋体" w:cs="Times New Roman"/>
                <w:color w:val="auto"/>
                <w:sz w:val="24"/>
                <w:highlight w:val="none"/>
              </w:rPr>
              <w:t>元</w:t>
            </w:r>
            <w:r>
              <w:rPr>
                <w:rFonts w:hint="eastAsia" w:ascii="宋体" w:eastAsia="宋体" w:cs="Times New Roman"/>
                <w:color w:val="auto"/>
                <w:sz w:val="24"/>
                <w:highlight w:val="none"/>
                <w:lang w:eastAsia="zh-CN"/>
              </w:rPr>
              <w:t>。</w:t>
            </w:r>
          </w:p>
          <w:p w14:paraId="306D9389">
            <w:pPr>
              <w:overflowPunct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账户名：新疆星耀天都项目管理有限责任公司</w:t>
            </w:r>
          </w:p>
          <w:p w14:paraId="56B62128">
            <w:pPr>
              <w:overflowPunct w:val="0"/>
              <w:spacing w:line="360" w:lineRule="auto"/>
              <w:rPr>
                <w:rFonts w:hint="eastAsia" w:ascii="宋体" w:hAnsi="宋体" w:eastAsia="宋体" w:cs="Times New Roman"/>
                <w:color w:val="auto"/>
                <w:sz w:val="24"/>
                <w:highlight w:val="none"/>
              </w:rPr>
            </w:pPr>
            <w:r>
              <w:rPr>
                <w:rFonts w:ascii="宋体" w:hAnsi="宋体" w:eastAsia="宋体" w:cs="Times New Roman"/>
                <w:color w:val="auto"/>
                <w:sz w:val="24"/>
                <w:highlight w:val="none"/>
              </w:rPr>
              <w:t>开户行：</w:t>
            </w:r>
            <w:r>
              <w:rPr>
                <w:rFonts w:hint="eastAsia" w:ascii="宋体" w:hAnsi="宋体" w:eastAsia="宋体" w:cs="Times New Roman"/>
                <w:color w:val="auto"/>
                <w:sz w:val="24"/>
                <w:highlight w:val="none"/>
              </w:rPr>
              <w:t>招商</w:t>
            </w:r>
            <w:r>
              <w:rPr>
                <w:rFonts w:ascii="宋体" w:hAnsi="宋体" w:eastAsia="宋体" w:cs="Times New Roman"/>
                <w:color w:val="auto"/>
                <w:sz w:val="24"/>
                <w:highlight w:val="none"/>
              </w:rPr>
              <w:t>银行乌鲁木齐</w:t>
            </w:r>
            <w:r>
              <w:rPr>
                <w:rFonts w:hint="eastAsia" w:ascii="宋体" w:hAnsi="宋体" w:eastAsia="宋体" w:cs="Times New Roman"/>
                <w:color w:val="auto"/>
                <w:sz w:val="24"/>
                <w:highlight w:val="none"/>
              </w:rPr>
              <w:t>新华北路</w:t>
            </w:r>
            <w:r>
              <w:rPr>
                <w:rFonts w:ascii="宋体" w:hAnsi="宋体" w:eastAsia="宋体" w:cs="Times New Roman"/>
                <w:color w:val="auto"/>
                <w:sz w:val="24"/>
                <w:highlight w:val="none"/>
              </w:rPr>
              <w:t>支行</w:t>
            </w:r>
          </w:p>
          <w:p w14:paraId="68AFE389">
            <w:pPr>
              <w:spacing w:line="360" w:lineRule="auto"/>
              <w:rPr>
                <w:rFonts w:hint="eastAsia" w:ascii="宋体" w:hAnsi="宋体" w:eastAsia="宋体" w:cs="Times New Roman"/>
                <w:color w:val="auto"/>
                <w:sz w:val="24"/>
                <w:highlight w:val="none"/>
                <w:lang w:val="en-US" w:eastAsia="zh-CN"/>
              </w:rPr>
            </w:pPr>
            <w:r>
              <w:rPr>
                <w:rFonts w:ascii="宋体" w:hAnsi="宋体" w:eastAsia="宋体" w:cs="Times New Roman"/>
                <w:color w:val="auto"/>
                <w:sz w:val="24"/>
                <w:highlight w:val="none"/>
              </w:rPr>
              <w:t>帐  号：</w:t>
            </w:r>
            <w:r>
              <w:rPr>
                <w:rFonts w:hint="eastAsia" w:ascii="宋体" w:hAnsi="宋体" w:eastAsia="宋体" w:cs="Times New Roman"/>
                <w:color w:val="auto"/>
                <w:sz w:val="24"/>
                <w:highlight w:val="none"/>
              </w:rPr>
              <w:t>991904723110215</w:t>
            </w:r>
            <w:r>
              <w:rPr>
                <w:rFonts w:hint="eastAsia" w:ascii="宋体" w:hAnsi="宋体" w:eastAsia="宋体" w:cs="Times New Roman"/>
                <w:color w:val="auto"/>
                <w:sz w:val="24"/>
                <w:highlight w:val="none"/>
                <w:lang w:val="en-US" w:eastAsia="zh-CN"/>
              </w:rPr>
              <w:t xml:space="preserve"> </w:t>
            </w:r>
          </w:p>
          <w:p w14:paraId="0D056D37">
            <w:pPr>
              <w:spacing w:line="360" w:lineRule="auto"/>
              <w:rPr>
                <w:rFonts w:hint="eastAsia" w:ascii="宋体" w:hAnsi="宋体" w:eastAsia="宋体" w:cs="Times New Roman"/>
                <w:color w:val="auto"/>
                <w:sz w:val="24"/>
                <w:highlight w:val="none"/>
              </w:rPr>
            </w:pPr>
            <w:r>
              <w:rPr>
                <w:rFonts w:ascii="宋体" w:hAnsi="宋体" w:eastAsia="宋体" w:cs="Times New Roman"/>
                <w:color w:val="auto"/>
                <w:sz w:val="24"/>
                <w:highlight w:val="none"/>
              </w:rPr>
              <w:t>行  号：</w:t>
            </w:r>
            <w:r>
              <w:rPr>
                <w:rFonts w:hint="eastAsia" w:ascii="宋体" w:hAnsi="宋体" w:eastAsia="宋体" w:cs="Times New Roman"/>
                <w:color w:val="auto"/>
                <w:sz w:val="24"/>
                <w:highlight w:val="none"/>
              </w:rPr>
              <w:t>308881029026</w:t>
            </w:r>
          </w:p>
          <w:p w14:paraId="60216C6C">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rPr>
              <w:t>投标</w:t>
            </w:r>
            <w:r>
              <w:rPr>
                <w:rFonts w:hint="eastAsia" w:ascii="宋体" w:eastAsia="宋体" w:cs="Times New Roman"/>
                <w:color w:val="auto"/>
                <w:sz w:val="24"/>
                <w:highlight w:val="none"/>
                <w:lang w:val="en-US" w:eastAsia="zh-CN"/>
              </w:rPr>
              <w:t>保证金缴纳形式：以转账、电汇或者保函（政府采购电子保函）等非现金形式提交。</w:t>
            </w:r>
          </w:p>
          <w:p w14:paraId="644F9133">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1.保证金到账截止时间</w:t>
            </w:r>
            <w:bookmarkStart w:id="4" w:name="EB961a54d590dd4901836fe4678f9cafb9"/>
            <w:bookmarkEnd w:id="4"/>
            <w:r>
              <w:rPr>
                <w:rFonts w:hint="eastAsia" w:ascii="宋体" w:eastAsia="宋体" w:cs="Times New Roman"/>
                <w:color w:val="auto"/>
                <w:sz w:val="24"/>
                <w:highlight w:val="none"/>
                <w:lang w:val="en-US" w:eastAsia="zh-CN"/>
              </w:rPr>
              <w:t>：同开标时间（响应文件递交截止时间）</w:t>
            </w:r>
          </w:p>
          <w:p w14:paraId="0AFCFD30">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2.缴纳的保证金以保证金实际到达采购代理机构账户时间为准； </w:t>
            </w:r>
          </w:p>
          <w:p w14:paraId="6B9EE0EE">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3.供应商以转账、电汇或者保函（政府采购电子保函）等非现金形式提交保证金的注意事项如下： </w:t>
            </w:r>
          </w:p>
          <w:p w14:paraId="275CD8AE">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 xml:space="preserve">（1）保证金单位名称必须与供应商登记的单位名称一致,不得以分公司、办事处或其或其他机构名义交纳,否则其投标将被拒绝。 </w:t>
            </w:r>
          </w:p>
          <w:p w14:paraId="387E862C">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（2）供应商须在响应截止时间前由供应商账户一次性汇入采购文件指定帐号,供应商须自行评估因异地、跨行、公休日等因素造成的保证金到账延迟风险,并承担相应责任。</w:t>
            </w:r>
          </w:p>
          <w:p w14:paraId="7AD44597">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（3）供应商请自行查询是否到账,供应商以网银转账、电汇汇款方式缴纳保证金的须从供应商账户转出,请备注项目名称或项目编号。</w:t>
            </w:r>
          </w:p>
          <w:p w14:paraId="13862234">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（4）采用电子保函形式应按以下要求办理：</w:t>
            </w:r>
          </w:p>
          <w:p w14:paraId="4557E379">
            <w:pPr>
              <w:spacing w:line="360" w:lineRule="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具体操作网址详见以下网址https://jinrong.zcygov.cn/luban/finance/letter/xinjiang?pageModelFlag=650000&amp;utm=luban.luban-PC-42055.959-pc-websitegroup-navBar-front.6.7e243ab01fd611eeaa409fcd72e2594c</w:t>
            </w:r>
          </w:p>
          <w:p w14:paraId="2C39AF33">
            <w:pPr>
              <w:spacing w:line="360" w:lineRule="auto"/>
              <w:rPr>
                <w:rFonts w:hint="eastAsia" w:ascii="宋体" w:eastAsia="宋体" w:cs="Times New Roman"/>
                <w:b/>
                <w:bCs/>
                <w:color w:val="auto"/>
                <w:sz w:val="24"/>
                <w:highlight w:val="none"/>
                <w:lang w:val="en-US" w:eastAsia="zh-CN"/>
              </w:rPr>
            </w:pPr>
            <w:r>
              <w:rPr>
                <w:rFonts w:hint="eastAsia" w:ascii="宋体" w:eastAsia="宋体" w:cs="Times New Roman"/>
                <w:color w:val="auto"/>
                <w:sz w:val="24"/>
                <w:highlight w:val="none"/>
                <w:lang w:val="en-US" w:eastAsia="zh-CN"/>
              </w:rPr>
              <w:t xml:space="preserve">注:供应商未按照招标文件上述要求提交保证金的,投标将被否决。供应商应充分考虑到账时间，否决后果自负。保函应由金融机构或担保机构出具。 </w:t>
            </w:r>
          </w:p>
          <w:p w14:paraId="4EC24D7D">
            <w:pPr>
              <w:spacing w:line="360" w:lineRule="auto"/>
              <w:rPr>
                <w:rFonts w:hint="eastAsia" w:ascii="宋体" w:eastAsia="宋体" w:cs="Times New Roman"/>
                <w:b w:val="0"/>
                <w:bCs w:val="0"/>
                <w:color w:val="auto"/>
                <w:sz w:val="24"/>
                <w:highlight w:val="none"/>
                <w:lang w:val="en-US" w:eastAsia="zh-CN"/>
              </w:rPr>
            </w:pPr>
            <w:r>
              <w:rPr>
                <w:rFonts w:hint="eastAsia" w:ascii="宋体" w:eastAsia="宋体" w:cs="Times New Roman"/>
                <w:b w:val="0"/>
                <w:bCs w:val="0"/>
                <w:color w:val="auto"/>
                <w:sz w:val="24"/>
                <w:highlight w:val="none"/>
                <w:lang w:val="en-US" w:eastAsia="zh-CN"/>
              </w:rPr>
              <w:t>投标保证金有效期：自提交响应文件的截止之日起90天。</w:t>
            </w:r>
          </w:p>
          <w:p w14:paraId="1C7C9D49">
            <w:pPr>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保函格式：将政采云电子保函制作到电子投标文件即可</w:t>
            </w:r>
          </w:p>
          <w:p w14:paraId="59D6A3F0">
            <w:pPr>
              <w:spacing w:line="360" w:lineRule="auto"/>
              <w:rPr>
                <w:rFonts w:hint="eastAsia" w:ascii="宋体" w:eastAsia="宋体" w:cs="Times New Roman"/>
                <w:color w:val="auto"/>
                <w:sz w:val="24"/>
                <w:highlight w:val="none"/>
              </w:rPr>
            </w:pPr>
            <w:r>
              <w:rPr>
                <w:rFonts w:hint="eastAsia" w:ascii="宋体" w:hAnsi="宋体" w:eastAsia="宋体" w:cs="Times New Roman"/>
                <w:b/>
                <w:color w:val="auto"/>
                <w:sz w:val="24"/>
                <w:highlight w:val="none"/>
              </w:rPr>
              <w:t>注：</w:t>
            </w:r>
            <w:r>
              <w:rPr>
                <w:rFonts w:hint="eastAsia" w:ascii="宋体" w:hAnsi="宋体" w:eastAsia="宋体" w:cs="Times New Roman"/>
                <w:b/>
                <w:bCs/>
                <w:color w:val="auto"/>
                <w:sz w:val="24"/>
                <w:highlight w:val="none"/>
              </w:rPr>
              <w:t>汇款单上需备注项目名称（可简写）</w:t>
            </w:r>
            <w:r>
              <w:rPr>
                <w:rFonts w:hint="eastAsia" w:ascii="宋体" w:hAnsi="宋体" w:eastAsia="宋体" w:cs="Times New Roman"/>
                <w:b/>
                <w:bCs/>
                <w:color w:val="auto"/>
                <w:sz w:val="24"/>
                <w:highlight w:val="none"/>
                <w:lang w:eastAsia="zh-CN"/>
              </w:rPr>
              <w:t>或项目编号</w:t>
            </w:r>
            <w:r>
              <w:rPr>
                <w:rFonts w:hint="eastAsia" w:ascii="宋体" w:hAnsi="宋体" w:eastAsia="宋体" w:cs="Times New Roman"/>
                <w:b/>
                <w:bCs/>
                <w:color w:val="auto"/>
                <w:sz w:val="24"/>
                <w:highlight w:val="none"/>
              </w:rPr>
              <w:t>。投标保证金于截止日之前确认到账，若投标人</w:t>
            </w:r>
            <w:r>
              <w:rPr>
                <w:rFonts w:hint="eastAsia" w:ascii="宋体" w:hAnsi="宋体" w:eastAsia="宋体" w:cs="Times New Roman"/>
                <w:b/>
                <w:bCs/>
                <w:color w:val="auto"/>
                <w:sz w:val="24"/>
                <w:highlight w:val="none"/>
                <w:lang w:val="zh-CN"/>
              </w:rPr>
              <w:t>未按照上述规定缴纳投标保证金</w:t>
            </w:r>
            <w:r>
              <w:rPr>
                <w:rFonts w:ascii="宋体" w:hAnsi="宋体" w:eastAsia="宋体" w:cs="Times New Roman"/>
                <w:b/>
                <w:bCs/>
                <w:color w:val="auto"/>
                <w:sz w:val="24"/>
                <w:highlight w:val="none"/>
                <w:lang w:val="zh-CN"/>
              </w:rPr>
              <w:t>,</w:t>
            </w:r>
            <w:r>
              <w:rPr>
                <w:rFonts w:hint="eastAsia" w:ascii="宋体" w:hAnsi="宋体" w:eastAsia="宋体" w:cs="Times New Roman"/>
                <w:b/>
                <w:bCs/>
                <w:color w:val="auto"/>
                <w:sz w:val="24"/>
                <w:highlight w:val="none"/>
                <w:lang w:val="zh-CN"/>
              </w:rPr>
              <w:t>投标文件将被拒绝评审。</w:t>
            </w:r>
          </w:p>
        </w:tc>
      </w:tr>
      <w:tr w14:paraId="526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3AFD4CA">
            <w:pPr>
              <w:numPr>
                <w:ilvl w:val="0"/>
                <w:numId w:val="27"/>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52F6A9C">
            <w:pPr>
              <w:spacing w:line="360" w:lineRule="auto"/>
              <w:jc w:val="center"/>
              <w:rPr>
                <w:rFonts w:hint="eastAsia" w:ascii="宋体" w:hAnsi="宋体" w:eastAsia="宋体" w:cs="宋体"/>
                <w:b/>
                <w:color w:val="auto"/>
                <w:sz w:val="24"/>
                <w:highlight w:val="none"/>
              </w:rPr>
            </w:pPr>
            <w:r>
              <w:rPr>
                <w:rFonts w:hint="eastAsia" w:eastAsia="宋体" w:cs="Times New Roman"/>
                <w:color w:val="auto"/>
                <w:sz w:val="24"/>
                <w:highlight w:val="none"/>
                <w:lang w:eastAsia="zh-CN"/>
              </w:rPr>
              <w:t>投标</w:t>
            </w:r>
            <w:r>
              <w:rPr>
                <w:rFonts w:eastAsia="宋体" w:cs="Times New Roman"/>
                <w:color w:val="auto"/>
                <w:sz w:val="24"/>
                <w:highlight w:val="none"/>
              </w:rPr>
              <w:t>保证金不予退还的其他情形</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671AFB72">
            <w:pPr>
              <w:spacing w:line="360" w:lineRule="auto"/>
              <w:jc w:val="left"/>
              <w:rPr>
                <w:rFonts w:eastAsia="宋体" w:cs="Times New Roman"/>
                <w:color w:val="auto"/>
                <w:sz w:val="24"/>
                <w:highlight w:val="none"/>
              </w:rPr>
            </w:pPr>
            <w:r>
              <w:rPr>
                <w:rFonts w:hint="eastAsia" w:eastAsia="宋体" w:cs="Times New Roman"/>
                <w:color w:val="auto"/>
                <w:sz w:val="24"/>
                <w:highlight w:val="none"/>
                <w:lang w:eastAsia="zh-CN"/>
              </w:rPr>
              <w:t>投标</w:t>
            </w:r>
            <w:r>
              <w:rPr>
                <w:rFonts w:eastAsia="宋体" w:cs="Times New Roman"/>
                <w:color w:val="auto"/>
                <w:sz w:val="24"/>
                <w:highlight w:val="none"/>
              </w:rPr>
              <w:t>保证金不予退还的其他情形：</w:t>
            </w:r>
          </w:p>
          <w:p w14:paraId="44B96EC3">
            <w:pPr>
              <w:spacing w:line="360" w:lineRule="auto"/>
              <w:jc w:val="left"/>
              <w:rPr>
                <w:rFonts w:eastAsia="宋体" w:cs="Times New Roman"/>
                <w:color w:val="auto"/>
                <w:sz w:val="24"/>
                <w:highlight w:val="none"/>
              </w:rPr>
            </w:pPr>
            <w:r>
              <w:rPr>
                <w:rFonts w:hint="eastAsia" w:eastAsia="宋体" w:cs="Times New Roman"/>
                <w:color w:val="auto"/>
                <w:highlight w:val="none"/>
                <w:lang w:eastAsia="zh-CN"/>
              </w:rPr>
              <w:t>□</w:t>
            </w:r>
            <w:r>
              <w:rPr>
                <w:rFonts w:eastAsia="宋体" w:cs="Times New Roman"/>
                <w:color w:val="auto"/>
                <w:sz w:val="24"/>
                <w:highlight w:val="none"/>
              </w:rPr>
              <w:t>无</w:t>
            </w:r>
          </w:p>
          <w:p w14:paraId="7AE7D380">
            <w:pPr>
              <w:pStyle w:val="39"/>
              <w:adjustRightInd w:val="0"/>
              <w:snapToGrid w:val="0"/>
              <w:spacing w:line="360" w:lineRule="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4"/>
                <w:highlight w:val="none"/>
              </w:rPr>
              <w:t>有，具体情形：</w:t>
            </w:r>
          </w:p>
          <w:p w14:paraId="49B58BDE">
            <w:pPr>
              <w:pStyle w:val="39"/>
              <w:numPr>
                <w:ilvl w:val="0"/>
                <w:numId w:val="0"/>
              </w:numPr>
              <w:adjustRightInd w:val="0"/>
              <w:snapToGrid w:val="0"/>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1.投标有效期内投标人撤销投标文件的，采购人或者采购代理机构可以不退还投标保证金。</w:t>
            </w:r>
          </w:p>
          <w:p w14:paraId="5CE5487F">
            <w:pPr>
              <w:pStyle w:val="39"/>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供应商在提交响应文件截止时间后撤回响应文件的；</w:t>
            </w:r>
          </w:p>
          <w:p w14:paraId="299485E1">
            <w:pPr>
              <w:pStyle w:val="39"/>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供应商在响应文件中提供虚假材料的；</w:t>
            </w:r>
          </w:p>
          <w:p w14:paraId="0A9126E4">
            <w:pPr>
              <w:pStyle w:val="39"/>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4.除因不可抗力或谈判文件、询价通知书认可的情形以外，成交供应商不与采购人签订合同的；</w:t>
            </w:r>
          </w:p>
          <w:p w14:paraId="36D3013F">
            <w:pPr>
              <w:pStyle w:val="39"/>
              <w:numPr>
                <w:ilvl w:val="0"/>
                <w:numId w:val="0"/>
              </w:num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供应商与采购人、其他供应商或者采购代理机构恶意串通的；</w:t>
            </w:r>
          </w:p>
          <w:p w14:paraId="649220CC">
            <w:pPr>
              <w:pStyle w:val="39"/>
              <w:numPr>
                <w:ilvl w:val="0"/>
                <w:numId w:val="0"/>
              </w:numPr>
              <w:adjustRightInd w:val="0"/>
              <w:snapToGrid w:val="0"/>
              <w:spacing w:line="360" w:lineRule="auto"/>
              <w:ind w:left="0" w:leftChars="0" w:firstLine="0" w:firstLineChars="0"/>
              <w:rPr>
                <w:rFonts w:hint="eastAsia" w:ascii="宋体" w:hAnsi="宋体" w:eastAsia="宋体" w:cs="Times New Roman"/>
                <w:b/>
                <w:color w:val="auto"/>
                <w:sz w:val="24"/>
                <w:highlight w:val="none"/>
              </w:rPr>
            </w:pP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eastAsia="zh-CN"/>
              </w:rPr>
              <w:t>采购文件规定的其他情形。</w:t>
            </w:r>
          </w:p>
        </w:tc>
      </w:tr>
      <w:tr w14:paraId="0626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72A1D5A">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548C62C2">
            <w:pPr>
              <w:spacing w:line="360" w:lineRule="auto"/>
              <w:jc w:val="center"/>
              <w:rPr>
                <w:rFonts w:hint="eastAsia" w:ascii="宋体" w:eastAsia="宋体" w:cs="Times New Roman"/>
                <w:color w:val="auto"/>
                <w:sz w:val="24"/>
                <w:highlight w:val="none"/>
              </w:rPr>
            </w:pPr>
            <w:r>
              <w:rPr>
                <w:rFonts w:hint="eastAsia" w:ascii="宋体" w:hAnsi="宋体" w:eastAsia="宋体" w:cs="宋体"/>
                <w:color w:val="auto"/>
                <w:spacing w:val="-14"/>
                <w:sz w:val="24"/>
                <w:highlight w:val="none"/>
              </w:rPr>
              <w:t>投标文件</w:t>
            </w:r>
            <w:r>
              <w:rPr>
                <w:rFonts w:hint="eastAsia" w:ascii="宋体" w:hAnsi="宋体" w:eastAsia="宋体" w:cs="宋体"/>
                <w:color w:val="auto"/>
                <w:sz w:val="24"/>
                <w:highlight w:val="none"/>
              </w:rPr>
              <w:t>份数及密封情况</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2152C16">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电子版投标文件：递交投标文件截止时间之前将电子投标文件上传到“政采云”平台。应按照本项目招标文件和政采云平台的要求编制、加密传输投标文件。</w:t>
            </w:r>
          </w:p>
        </w:tc>
      </w:tr>
      <w:tr w14:paraId="69BB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32E0696">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DF7741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询问和质疑</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55B5906">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询问和质疑送达形式：书面</w:t>
            </w:r>
            <w:r>
              <w:rPr>
                <w:rFonts w:hint="eastAsia" w:ascii="宋体" w:hAnsi="宋体" w:eastAsia="宋体" w:cs="宋体"/>
                <w:bCs/>
                <w:color w:val="auto"/>
                <w:sz w:val="24"/>
                <w:highlight w:val="none"/>
                <w:lang w:eastAsia="zh-CN"/>
              </w:rPr>
              <w:t>形式</w:t>
            </w:r>
          </w:p>
        </w:tc>
      </w:tr>
      <w:tr w14:paraId="616B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2BBC448">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72A3808">
            <w:pPr>
              <w:spacing w:line="360" w:lineRule="auto"/>
              <w:jc w:val="center"/>
              <w:rPr>
                <w:rFonts w:hint="eastAsia" w:ascii="宋体" w:eastAsia="宋体" w:cs="Times New Roman"/>
                <w:color w:val="auto"/>
                <w:sz w:val="24"/>
                <w:highlight w:val="none"/>
              </w:rPr>
            </w:pPr>
            <w:r>
              <w:rPr>
                <w:rFonts w:eastAsia="宋体" w:cs="Times New Roman"/>
                <w:color w:val="auto"/>
                <w:sz w:val="24"/>
                <w:highlight w:val="none"/>
              </w:rPr>
              <w:t>联系方式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7ADF6A25">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接收询问和质疑的联系方式</w:t>
            </w:r>
          </w:p>
          <w:p w14:paraId="298C8B7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联系部门：新疆星耀天都项目管理有限责任公司；</w:t>
            </w:r>
          </w:p>
          <w:p w14:paraId="396EBFF5">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w:t>
            </w:r>
            <w:r>
              <w:rPr>
                <w:rFonts w:hint="eastAsia" w:ascii="宋体" w:hAnsi="宋体" w:eastAsia="宋体" w:cs="宋体"/>
                <w:bCs/>
                <w:color w:val="auto"/>
                <w:sz w:val="24"/>
                <w:highlight w:val="none"/>
                <w:lang w:eastAsia="zh-CN"/>
              </w:rPr>
              <w:t>人及</w:t>
            </w:r>
            <w:r>
              <w:rPr>
                <w:rFonts w:hint="eastAsia" w:ascii="宋体" w:hAnsi="宋体" w:eastAsia="宋体" w:cs="宋体"/>
                <w:bCs/>
                <w:color w:val="auto"/>
                <w:sz w:val="24"/>
                <w:highlight w:val="none"/>
              </w:rPr>
              <w:t>电话：</w:t>
            </w:r>
            <w:r>
              <w:rPr>
                <w:rFonts w:hint="eastAsia" w:ascii="宋体" w:hAnsi="宋体" w:cs="宋体"/>
                <w:bCs/>
                <w:color w:val="auto"/>
                <w:sz w:val="24"/>
                <w:highlight w:val="none"/>
                <w:lang w:eastAsia="zh-CN"/>
              </w:rPr>
              <w:t>史新西</w:t>
            </w:r>
            <w:r>
              <w:rPr>
                <w:rFonts w:hint="eastAsia" w:ascii="宋体" w:hAnsi="宋体" w:cs="宋体"/>
                <w:bCs/>
                <w:color w:val="auto"/>
                <w:sz w:val="24"/>
                <w:highlight w:val="none"/>
                <w:lang w:val="en-US" w:eastAsia="zh-CN"/>
              </w:rPr>
              <w:t xml:space="preserve">  0991-3265858</w:t>
            </w:r>
            <w:r>
              <w:rPr>
                <w:rFonts w:hint="eastAsia" w:ascii="宋体" w:hAnsi="宋体" w:eastAsia="宋体" w:cs="宋体"/>
                <w:bCs/>
                <w:color w:val="auto"/>
                <w:sz w:val="24"/>
                <w:highlight w:val="none"/>
              </w:rPr>
              <w:t>；</w:t>
            </w:r>
          </w:p>
          <w:p w14:paraId="7F054D2C">
            <w:pPr>
              <w:spacing w:line="360" w:lineRule="auto"/>
              <w:rPr>
                <w:rFonts w:hint="eastAsia" w:ascii="宋体" w:eastAsia="宋体" w:cs="Times New Roman"/>
                <w:color w:val="auto"/>
                <w:sz w:val="24"/>
                <w:highlight w:val="none"/>
              </w:rPr>
            </w:pPr>
            <w:r>
              <w:rPr>
                <w:rFonts w:hint="eastAsia" w:ascii="宋体" w:hAnsi="宋体" w:eastAsia="宋体" w:cs="宋体"/>
                <w:bCs/>
                <w:color w:val="auto"/>
                <w:sz w:val="24"/>
                <w:highlight w:val="none"/>
              </w:rPr>
              <w:t>通讯地址：乌鲁木齐市天山区光明路59号时代广场A座24F。</w:t>
            </w:r>
          </w:p>
        </w:tc>
      </w:tr>
      <w:tr w14:paraId="0A48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00D9D5E9">
            <w:pPr>
              <w:numPr>
                <w:ilvl w:val="0"/>
                <w:numId w:val="27"/>
              </w:numPr>
              <w:spacing w:line="360" w:lineRule="auto"/>
              <w:ind w:left="425" w:leftChars="0" w:hanging="425" w:firstLineChars="0"/>
              <w:jc w:val="center"/>
              <w:rPr>
                <w:rFonts w:hint="default" w:ascii="宋体" w:eastAsia="宋体" w:cs="Times New Roman"/>
                <w:color w:val="auto"/>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40390F4">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投标报价</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464B689">
            <w:pPr>
              <w:spacing w:line="360" w:lineRule="auto"/>
              <w:jc w:val="left"/>
              <w:rPr>
                <w:rFonts w:hint="eastAsia" w:ascii="宋体" w:eastAsia="宋体" w:cs="Times New Roman"/>
                <w:color w:val="auto"/>
                <w:sz w:val="24"/>
                <w:highlight w:val="none"/>
                <w:lang w:eastAsia="zh-CN"/>
              </w:rPr>
            </w:pPr>
            <w:r>
              <w:rPr>
                <w:rFonts w:hint="eastAsia" w:ascii="宋体" w:eastAsia="宋体" w:cs="Times New Roman"/>
                <w:color w:val="auto"/>
                <w:sz w:val="24"/>
                <w:highlight w:val="none"/>
              </w:rPr>
              <w:t>投标人应在开标一览表中标明其提供的所有货物及相关工作范围内所有费用的总价。</w:t>
            </w:r>
          </w:p>
          <w:p w14:paraId="34FA7E8E">
            <w:pPr>
              <w:spacing w:line="360" w:lineRule="auto"/>
              <w:jc w:val="left"/>
              <w:rPr>
                <w:rFonts w:hint="eastAsia" w:eastAsia="宋体" w:cs="Times New Roman"/>
                <w:color w:val="auto"/>
                <w:sz w:val="24"/>
                <w:highlight w:val="none"/>
                <w:lang w:eastAsia="zh-CN"/>
              </w:rPr>
            </w:pPr>
            <w:r>
              <w:rPr>
                <w:rFonts w:hint="eastAsia" w:eastAsia="宋体" w:cs="Times New Roman"/>
                <w:color w:val="auto"/>
                <w:sz w:val="24"/>
                <w:highlight w:val="none"/>
                <w:lang w:eastAsia="zh-CN"/>
              </w:rPr>
              <w:t>投标人的报价应包括：</w:t>
            </w:r>
          </w:p>
          <w:p w14:paraId="438D2B92">
            <w:pPr>
              <w:spacing w:line="360" w:lineRule="auto"/>
              <w:jc w:val="left"/>
              <w:rPr>
                <w:rFonts w:hint="eastAsia" w:eastAsia="宋体" w:cs="Times New Roman"/>
                <w:color w:val="auto"/>
                <w:sz w:val="24"/>
                <w:highlight w:val="none"/>
                <w:lang w:eastAsia="zh-CN"/>
              </w:rPr>
            </w:pPr>
            <w:r>
              <w:rPr>
                <w:rFonts w:hint="eastAsia" w:eastAsia="宋体" w:cs="Times New Roman"/>
                <w:color w:val="auto"/>
                <w:sz w:val="24"/>
                <w:highlight w:val="none"/>
                <w:lang w:val="en-US" w:eastAsia="zh-CN"/>
              </w:rPr>
              <w:t>1.</w:t>
            </w:r>
            <w:r>
              <w:rPr>
                <w:rFonts w:hint="eastAsia" w:eastAsia="宋体" w:cs="Times New Roman"/>
                <w:color w:val="auto"/>
                <w:sz w:val="24"/>
                <w:highlight w:val="none"/>
                <w:lang w:eastAsia="zh-CN"/>
              </w:rPr>
              <w:t>投标人的报价应包括为完成本项目所发生的一切费用和税费，招标人将不再支付报价以外的任何费用。投标人的报价应包括但不限于下列内容，《投标人须知资料表》中有特殊规定的，从其规定。</w:t>
            </w:r>
          </w:p>
          <w:p w14:paraId="55F89E39">
            <w:pPr>
              <w:spacing w:line="360" w:lineRule="auto"/>
              <w:jc w:val="left"/>
              <w:rPr>
                <w:rFonts w:hint="eastAsia" w:eastAsia="宋体" w:cs="Times New Roman"/>
                <w:color w:val="auto"/>
                <w:sz w:val="24"/>
                <w:highlight w:val="none"/>
                <w:lang w:eastAsia="zh-CN"/>
              </w:rPr>
            </w:pPr>
            <w:r>
              <w:rPr>
                <w:rFonts w:hint="eastAsia" w:eastAsia="宋体" w:cs="Times New Roman"/>
                <w:color w:val="auto"/>
                <w:sz w:val="24"/>
                <w:highlight w:val="none"/>
                <w:lang w:val="en-US" w:eastAsia="zh-CN"/>
              </w:rPr>
              <w:t>2.</w:t>
            </w:r>
            <w:r>
              <w:rPr>
                <w:rFonts w:hint="eastAsia" w:eastAsia="宋体" w:cs="Times New Roman"/>
                <w:color w:val="auto"/>
                <w:sz w:val="24"/>
                <w:highlight w:val="none"/>
                <w:lang w:eastAsia="zh-CN"/>
              </w:rPr>
              <w:t>投标货物等的出厂价（包括已在中国国内的进口货物完税后的仓库交货价、展室交货价或货架交货价）和运至最终目的地的运输费和保险费、检验、培训、质量保证、售后服务、税费等按照招标文件要求完成本项目的全部相关服务费用；</w:t>
            </w:r>
          </w:p>
          <w:p w14:paraId="55F8C862">
            <w:pPr>
              <w:spacing w:line="360" w:lineRule="auto"/>
              <w:rPr>
                <w:rFonts w:ascii="宋体" w:eastAsia="宋体" w:cs="Times New Roman"/>
                <w:b/>
                <w:bCs/>
                <w:color w:val="auto"/>
                <w:sz w:val="24"/>
                <w:highlight w:val="none"/>
              </w:rPr>
            </w:pPr>
            <w:r>
              <w:rPr>
                <w:rFonts w:hint="eastAsia" w:eastAsia="宋体" w:cs="Times New Roman"/>
                <w:color w:val="auto"/>
                <w:sz w:val="24"/>
                <w:highlight w:val="none"/>
                <w:lang w:val="en-US" w:eastAsia="zh-CN"/>
              </w:rPr>
              <w:t>3.</w:t>
            </w:r>
            <w:r>
              <w:rPr>
                <w:rFonts w:hint="eastAsia" w:eastAsia="宋体" w:cs="Times New Roman"/>
                <w:color w:val="auto"/>
                <w:sz w:val="24"/>
                <w:highlight w:val="none"/>
                <w:lang w:eastAsia="zh-CN"/>
              </w:rPr>
              <w:t xml:space="preserve">按照招标文件要求完成本项目的全部相关服务费用。 </w:t>
            </w:r>
          </w:p>
        </w:tc>
      </w:tr>
      <w:tr w14:paraId="3EC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15F4EAC1">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C929654">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最高限价</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1CD8991A">
            <w:pPr>
              <w:spacing w:line="360" w:lineRule="auto"/>
              <w:rPr>
                <w:rFonts w:ascii="宋体" w:eastAsia="宋体" w:cs="Times New Roman"/>
                <w:b/>
                <w:bCs/>
                <w:color w:val="auto"/>
                <w:sz w:val="24"/>
                <w:highlight w:val="none"/>
              </w:rPr>
            </w:pPr>
            <w:r>
              <w:rPr>
                <w:rFonts w:hint="eastAsia" w:ascii="宋体" w:eastAsia="宋体" w:cs="Times New Roman"/>
                <w:b/>
                <w:bCs/>
                <w:color w:val="auto"/>
                <w:sz w:val="24"/>
                <w:highlight w:val="none"/>
              </w:rPr>
              <w:t>本次招标设置最高限价，最高限价：</w:t>
            </w:r>
            <w:r>
              <w:rPr>
                <w:rFonts w:hint="eastAsia" w:ascii="宋体" w:eastAsia="宋体" w:cs="Times New Roman"/>
                <w:b/>
                <w:bCs/>
                <w:color w:val="0000FF"/>
                <w:sz w:val="24"/>
                <w:highlight w:val="none"/>
                <w:lang w:val="en-US" w:eastAsia="zh-CN"/>
              </w:rPr>
              <w:t>145万元</w:t>
            </w:r>
            <w:r>
              <w:rPr>
                <w:rFonts w:hint="eastAsia" w:ascii="宋体" w:eastAsia="宋体" w:cs="Times New Roman"/>
                <w:b/>
                <w:bCs/>
                <w:color w:val="auto"/>
                <w:sz w:val="24"/>
                <w:highlight w:val="none"/>
                <w:lang w:val="en-US" w:eastAsia="zh-CN"/>
              </w:rPr>
              <w:t>。</w:t>
            </w:r>
          </w:p>
          <w:p w14:paraId="0E814F44">
            <w:pPr>
              <w:spacing w:line="360" w:lineRule="auto"/>
              <w:rPr>
                <w:rFonts w:hint="eastAsia" w:ascii="宋体" w:eastAsia="宋体" w:cs="Times New Roman"/>
                <w:color w:val="auto"/>
                <w:sz w:val="24"/>
                <w:highlight w:val="none"/>
              </w:rPr>
            </w:pPr>
            <w:r>
              <w:rPr>
                <w:rFonts w:hint="eastAsia" w:ascii="宋体" w:eastAsia="宋体" w:cs="Times New Roman"/>
                <w:b/>
                <w:bCs/>
                <w:color w:val="auto"/>
                <w:sz w:val="24"/>
                <w:highlight w:val="none"/>
              </w:rPr>
              <w:t>各投标单位的总价不得超出最高限价,否则将作废标处理。</w:t>
            </w:r>
          </w:p>
        </w:tc>
      </w:tr>
      <w:tr w14:paraId="2154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EE9E618">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56B9F75">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合格的货物</w:t>
            </w:r>
          </w:p>
          <w:p w14:paraId="136839C5">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及其有关服</w:t>
            </w:r>
          </w:p>
          <w:p w14:paraId="7B03ED75">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务</w:t>
            </w:r>
          </w:p>
        </w:tc>
        <w:tc>
          <w:tcPr>
            <w:tcW w:w="7275" w:type="dxa"/>
            <w:tcBorders>
              <w:top w:val="single" w:color="auto" w:sz="4" w:space="0"/>
              <w:left w:val="single" w:color="auto" w:sz="4" w:space="0"/>
              <w:bottom w:val="single" w:color="auto" w:sz="4" w:space="0"/>
              <w:right w:val="single" w:color="auto" w:sz="4" w:space="0"/>
            </w:tcBorders>
            <w:noWrap w:val="0"/>
            <w:vAlign w:val="top"/>
          </w:tcPr>
          <w:p w14:paraId="3A9EB82F">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合格的货物及其有关服务：</w:t>
            </w:r>
          </w:p>
          <w:p w14:paraId="0AB43FBA">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 xml:space="preserve">对于接受进口产品投标的品目且投标人以进口产品参加投标时， </w:t>
            </w:r>
          </w:p>
          <w:p w14:paraId="5F44A5B0">
            <w:pPr>
              <w:spacing w:line="360" w:lineRule="auto"/>
              <w:rPr>
                <w:rFonts w:hint="eastAsia" w:ascii="宋体" w:eastAsia="宋体" w:cs="Times New Roman"/>
                <w:color w:val="auto"/>
                <w:sz w:val="24"/>
                <w:highlight w:val="none"/>
              </w:rPr>
            </w:pPr>
            <w:r>
              <w:rPr>
                <w:rFonts w:hint="eastAsia" w:ascii="宋体" w:eastAsia="宋体" w:cs="Times New Roman"/>
                <w:color w:val="auto"/>
                <w:sz w:val="24"/>
                <w:highlight w:val="none"/>
              </w:rPr>
              <w:t xml:space="preserve">如投标货物非投标人所有或制造，投标人投标时须提供制造商（或其境内总代理的）就本项目所提供的投标品牌产品授权书，授权书中须要注明项目名称、招标编号、货物名称、品牌及型号，如是境内总代理提供的产品授权书，投标人还须提供制造商给予境内总代理的正式授权文件的复印件，以证明所供货物来源的可靠性。 </w:t>
            </w:r>
          </w:p>
        </w:tc>
      </w:tr>
      <w:tr w14:paraId="2D74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1" w:type="dxa"/>
            <w:tcBorders>
              <w:left w:val="single" w:color="auto" w:sz="4" w:space="0"/>
              <w:right w:val="single" w:color="auto" w:sz="4" w:space="0"/>
            </w:tcBorders>
            <w:noWrap w:val="0"/>
            <w:vAlign w:val="center"/>
          </w:tcPr>
          <w:p w14:paraId="0EE5D194">
            <w:pPr>
              <w:numPr>
                <w:ilvl w:val="0"/>
                <w:numId w:val="27"/>
              </w:numPr>
              <w:spacing w:line="360" w:lineRule="auto"/>
              <w:ind w:left="425" w:leftChars="0" w:hanging="425" w:firstLineChars="0"/>
              <w:jc w:val="center"/>
              <w:rPr>
                <w:rFonts w:hint="eastAsia" w:ascii="宋体" w:eastAsia="宋体" w:cs="Times New Roman"/>
                <w:color w:val="auto"/>
                <w:sz w:val="24"/>
                <w:highlight w:val="none"/>
                <w:lang w:eastAsia="zh-CN"/>
              </w:rPr>
            </w:pPr>
          </w:p>
        </w:tc>
        <w:tc>
          <w:tcPr>
            <w:tcW w:w="1762" w:type="dxa"/>
            <w:tcBorders>
              <w:left w:val="single" w:color="auto" w:sz="4" w:space="0"/>
              <w:right w:val="single" w:color="auto" w:sz="4" w:space="0"/>
            </w:tcBorders>
            <w:noWrap w:val="0"/>
            <w:vAlign w:val="center"/>
          </w:tcPr>
          <w:p w14:paraId="7703EB59">
            <w:pPr>
              <w:spacing w:line="360" w:lineRule="auto"/>
              <w:jc w:val="center"/>
              <w:rPr>
                <w:rFonts w:hint="eastAsia" w:ascii="宋体" w:eastAsia="宋体" w:cs="Times New Roman"/>
                <w:color w:val="auto"/>
                <w:spacing w:val="-14"/>
                <w:sz w:val="24"/>
                <w:highlight w:val="none"/>
              </w:rPr>
            </w:pPr>
            <w:r>
              <w:rPr>
                <w:rFonts w:hint="eastAsia" w:ascii="宋体" w:hAnsi="宋体" w:eastAsia="宋体" w:cs="Times New Roman"/>
                <w:color w:val="auto"/>
                <w:sz w:val="24"/>
                <w:highlight w:val="none"/>
              </w:rPr>
              <w:t>采购代理服务费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215D97C">
            <w:pP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收费标准：</w:t>
            </w:r>
            <w:r>
              <w:rPr>
                <w:rFonts w:hint="eastAsia" w:ascii="宋体" w:hAnsi="宋体" w:eastAsia="宋体" w:cs="Times New Roman"/>
                <w:color w:val="auto"/>
                <w:sz w:val="24"/>
                <w:highlight w:val="none"/>
              </w:rPr>
              <w:t>参照国家发展计划委员会文件（计价格[2002]1980号文）和（发改办价格[2003]857号文件）所规定标准</w:t>
            </w:r>
            <w:r>
              <w:rPr>
                <w:rFonts w:hint="eastAsia" w:ascii="宋体" w:hAnsi="宋体" w:eastAsia="宋体" w:cs="Times New Roman"/>
                <w:color w:val="auto"/>
                <w:sz w:val="24"/>
                <w:highlight w:val="none"/>
                <w:lang w:eastAsia="zh-CN"/>
              </w:rPr>
              <w:t>下浮</w:t>
            </w:r>
            <w:r>
              <w:rPr>
                <w:rFonts w:hint="eastAsia" w:ascii="宋体" w:hAnsi="宋体" w:eastAsia="宋体" w:cs="Times New Roman"/>
                <w:color w:val="auto"/>
                <w:sz w:val="24"/>
                <w:highlight w:val="none"/>
                <w:lang w:val="en-US" w:eastAsia="zh-CN"/>
              </w:rPr>
              <w:t>40%</w:t>
            </w:r>
            <w:r>
              <w:rPr>
                <w:rFonts w:hint="eastAsia" w:ascii="宋体" w:hAnsi="宋体" w:eastAsia="宋体" w:cs="Times New Roman"/>
                <w:color w:val="auto"/>
                <w:sz w:val="24"/>
                <w:highlight w:val="none"/>
              </w:rPr>
              <w:t>由成交人向采购代理机构支付。</w:t>
            </w:r>
            <w:r>
              <w:rPr>
                <w:rFonts w:hint="eastAsia" w:ascii="宋体" w:hAnsi="宋体" w:cs="Times New Roman"/>
                <w:color w:val="auto"/>
                <w:sz w:val="24"/>
                <w:highlight w:val="none"/>
                <w:lang w:eastAsia="zh-CN"/>
              </w:rPr>
              <w:t>不足</w:t>
            </w:r>
            <w:r>
              <w:rPr>
                <w:rFonts w:hint="eastAsia" w:ascii="宋体" w:hAnsi="宋体" w:cs="Times New Roman"/>
                <w:color w:val="auto"/>
                <w:sz w:val="24"/>
                <w:highlight w:val="none"/>
                <w:lang w:val="en-US" w:eastAsia="zh-CN"/>
              </w:rPr>
              <w:t>3000元按3000元收取。</w:t>
            </w:r>
          </w:p>
          <w:p w14:paraId="46462129">
            <w:pPr>
              <w:spacing w:line="360" w:lineRule="auto"/>
              <w:rPr>
                <w:rFonts w:hint="eastAsia" w:eastAsia="宋体" w:cs="Times New Roman"/>
                <w:color w:val="auto"/>
                <w:highlight w:val="none"/>
              </w:rPr>
            </w:pPr>
            <w:r>
              <w:rPr>
                <w:rFonts w:hint="eastAsia" w:ascii="宋体" w:hAnsi="宋体" w:eastAsia="宋体" w:cs="Times New Roman"/>
                <w:color w:val="auto"/>
                <w:sz w:val="24"/>
                <w:highlight w:val="none"/>
              </w:rPr>
              <w:t>缴纳时间：中标人领取中标通知书时缴纳。</w:t>
            </w:r>
          </w:p>
        </w:tc>
      </w:tr>
    </w:tbl>
    <w:p w14:paraId="5C3835F0">
      <w:pPr>
        <w:jc w:val="center"/>
        <w:rPr>
          <w:rFonts w:hint="eastAsia" w:ascii="宋体"/>
          <w:b/>
          <w:color w:val="auto"/>
          <w:sz w:val="32"/>
          <w:szCs w:val="32"/>
          <w:highlight w:val="none"/>
        </w:rPr>
      </w:pPr>
      <w:bookmarkStart w:id="5" w:name="_Toc501639724"/>
      <w:r>
        <w:rPr>
          <w:rFonts w:hint="eastAsia" w:ascii="宋体"/>
          <w:b/>
          <w:color w:val="auto"/>
          <w:sz w:val="32"/>
          <w:szCs w:val="32"/>
          <w:highlight w:val="none"/>
        </w:rPr>
        <w:br w:type="page"/>
      </w:r>
      <w:r>
        <w:rPr>
          <w:rFonts w:hint="eastAsia" w:ascii="宋体"/>
          <w:b/>
          <w:color w:val="auto"/>
          <w:sz w:val="32"/>
          <w:szCs w:val="32"/>
          <w:highlight w:val="none"/>
        </w:rPr>
        <w:t>投标人须知</w:t>
      </w:r>
      <w:bookmarkEnd w:id="5"/>
    </w:p>
    <w:p w14:paraId="1EFBEA8C">
      <w:pPr>
        <w:jc w:val="center"/>
        <w:rPr>
          <w:rFonts w:hint="eastAsia" w:ascii="宋体"/>
          <w:b/>
          <w:color w:val="auto"/>
          <w:sz w:val="32"/>
          <w:szCs w:val="32"/>
          <w:highlight w:val="none"/>
        </w:rPr>
      </w:pPr>
      <w:r>
        <w:rPr>
          <w:rFonts w:hint="eastAsia" w:ascii="宋体"/>
          <w:b/>
          <w:color w:val="auto"/>
          <w:sz w:val="32"/>
          <w:szCs w:val="32"/>
          <w:highlight w:val="none"/>
        </w:rPr>
        <w:t>一  说  明</w:t>
      </w:r>
    </w:p>
    <w:p w14:paraId="2398C2C8">
      <w:pPr>
        <w:numPr>
          <w:ilvl w:val="0"/>
          <w:numId w:val="28"/>
        </w:numPr>
        <w:tabs>
          <w:tab w:val="left" w:pos="360"/>
          <w:tab w:val="clear" w:pos="900"/>
        </w:tabs>
        <w:snapToGrid w:val="0"/>
        <w:spacing w:line="360" w:lineRule="auto"/>
        <w:ind w:left="357" w:hanging="357"/>
        <w:rPr>
          <w:color w:val="auto"/>
          <w:sz w:val="24"/>
          <w:highlight w:val="none"/>
        </w:rPr>
      </w:pPr>
      <w:bookmarkStart w:id="6" w:name="_Toc264969209"/>
      <w:bookmarkStart w:id="7" w:name="_Toc265228357"/>
      <w:bookmarkStart w:id="8" w:name="_Toc305158861"/>
      <w:bookmarkStart w:id="9" w:name="_Toc305158787"/>
      <w:r>
        <w:rPr>
          <w:color w:val="auto"/>
          <w:sz w:val="24"/>
          <w:highlight w:val="none"/>
        </w:rPr>
        <w:t>采购人、采购代理机构、投标人</w:t>
      </w:r>
      <w:bookmarkEnd w:id="6"/>
      <w:bookmarkEnd w:id="7"/>
      <w:bookmarkEnd w:id="8"/>
      <w:bookmarkEnd w:id="9"/>
      <w:r>
        <w:rPr>
          <w:rFonts w:hint="eastAsia"/>
          <w:color w:val="auto"/>
          <w:sz w:val="24"/>
          <w:highlight w:val="none"/>
        </w:rPr>
        <w:t>、联合体</w:t>
      </w:r>
    </w:p>
    <w:p w14:paraId="7FF56DFD">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1.1</w:t>
      </w:r>
      <w:r>
        <w:rPr>
          <w:color w:val="auto"/>
          <w:sz w:val="24"/>
          <w:highlight w:val="none"/>
        </w:rPr>
        <w:t>采购人、采购代理机构：指依法进行政府采购的国家机关、事业单位、团体组织，及其委托的采购代理机构。本项目采购人、采购代理机构见第一章《投标邀请》。</w:t>
      </w:r>
    </w:p>
    <w:p w14:paraId="33D8D05D">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1.2</w:t>
      </w: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14:paraId="1C8509B5">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1.3联合体：指两个以上的自然人、法人或者其他组织组成一个联合体，以一个供应商的身份共同参加政府采购。</w:t>
      </w:r>
    </w:p>
    <w:p w14:paraId="21A14247">
      <w:pPr>
        <w:numPr>
          <w:ilvl w:val="0"/>
          <w:numId w:val="28"/>
        </w:numPr>
        <w:tabs>
          <w:tab w:val="left" w:pos="360"/>
          <w:tab w:val="clear" w:pos="900"/>
        </w:tabs>
        <w:snapToGrid w:val="0"/>
        <w:spacing w:line="360" w:lineRule="auto"/>
        <w:ind w:left="357" w:hanging="357"/>
        <w:rPr>
          <w:color w:val="auto"/>
          <w:sz w:val="24"/>
          <w:highlight w:val="none"/>
        </w:rPr>
      </w:pPr>
      <w:bookmarkStart w:id="10" w:name="_Toc305158862"/>
      <w:bookmarkStart w:id="11" w:name="_Toc149720813"/>
      <w:bookmarkStart w:id="12" w:name="_Toc150480758"/>
      <w:bookmarkStart w:id="13" w:name="_Toc195842885"/>
      <w:bookmarkStart w:id="14" w:name="_Toc265228358"/>
      <w:bookmarkStart w:id="15" w:name="_Toc164608789"/>
      <w:bookmarkStart w:id="16" w:name="_Toc151193908"/>
      <w:bookmarkStart w:id="17" w:name="_Toc226309764"/>
      <w:bookmarkStart w:id="18" w:name="_Toc164229215"/>
      <w:bookmarkStart w:id="19" w:name="_Toc127151520"/>
      <w:bookmarkStart w:id="20" w:name="_Toc151193762"/>
      <w:bookmarkStart w:id="21" w:name="_Toc150774620"/>
      <w:bookmarkStart w:id="22" w:name="_Toc127151721"/>
      <w:bookmarkStart w:id="23" w:name="_Toc151190147"/>
      <w:bookmarkStart w:id="24" w:name="_Toc164229361"/>
      <w:bookmarkStart w:id="25" w:name="_Toc226337216"/>
      <w:bookmarkStart w:id="26" w:name="_Toc151193690"/>
      <w:bookmarkStart w:id="27" w:name="_Toc305158788"/>
      <w:bookmarkStart w:id="28" w:name="_Toc142311022"/>
      <w:bookmarkStart w:id="29" w:name="_Toc150774725"/>
      <w:bookmarkStart w:id="30" w:name="_Toc151193834"/>
      <w:bookmarkStart w:id="31" w:name="_Toc164608634"/>
      <w:bookmarkStart w:id="32" w:name="_Toc151193618"/>
      <w:bookmarkStart w:id="33" w:name="_Toc150509271"/>
      <w:bookmarkStart w:id="34" w:name="_Toc164351614"/>
      <w:bookmarkStart w:id="35" w:name="_Toc264969210"/>
      <w:bookmarkStart w:id="36" w:name="_Toc127161434"/>
      <w:bookmarkStart w:id="37" w:name="_Toc226965710"/>
      <w:bookmarkStart w:id="38" w:name="_Toc226965793"/>
      <w:r>
        <w:rPr>
          <w:color w:val="auto"/>
          <w:sz w:val="24"/>
          <w:highlight w:val="none"/>
        </w:rPr>
        <w:t>资金来源</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color w:val="auto"/>
          <w:sz w:val="24"/>
          <w:highlight w:val="none"/>
        </w:rPr>
        <w:t>、项目属性、科研仪器设备采购、核心产品</w:t>
      </w:r>
    </w:p>
    <w:p w14:paraId="44719EEF">
      <w:pPr>
        <w:tabs>
          <w:tab w:val="left" w:pos="1080"/>
          <w:tab w:val="left" w:pos="2014"/>
        </w:tabs>
        <w:snapToGrid w:val="0"/>
        <w:spacing w:line="360" w:lineRule="auto"/>
        <w:ind w:left="360"/>
        <w:rPr>
          <w:color w:val="auto"/>
          <w:sz w:val="24"/>
          <w:highlight w:val="none"/>
        </w:rPr>
      </w:pPr>
      <w:r>
        <w:rPr>
          <w:rFonts w:hint="eastAsia"/>
          <w:color w:val="auto"/>
          <w:sz w:val="24"/>
          <w:highlight w:val="none"/>
        </w:rPr>
        <w:t>2.1</w:t>
      </w:r>
      <w:r>
        <w:rPr>
          <w:color w:val="auto"/>
          <w:sz w:val="24"/>
          <w:highlight w:val="none"/>
        </w:rPr>
        <w:t>资金来源为财政性资金和/或本项目采购中无法与财政性资金分割的非财政性资金。</w:t>
      </w:r>
    </w:p>
    <w:p w14:paraId="2B420E31">
      <w:pPr>
        <w:tabs>
          <w:tab w:val="left" w:pos="1080"/>
          <w:tab w:val="left" w:pos="2014"/>
        </w:tabs>
        <w:snapToGrid w:val="0"/>
        <w:spacing w:line="360" w:lineRule="auto"/>
        <w:ind w:left="360"/>
        <w:rPr>
          <w:color w:val="auto"/>
          <w:sz w:val="24"/>
          <w:highlight w:val="none"/>
        </w:rPr>
      </w:pPr>
      <w:r>
        <w:rPr>
          <w:rFonts w:hint="eastAsia"/>
          <w:color w:val="auto"/>
          <w:sz w:val="24"/>
          <w:highlight w:val="none"/>
        </w:rPr>
        <w:t>2.2</w:t>
      </w:r>
      <w:r>
        <w:rPr>
          <w:color w:val="auto"/>
          <w:sz w:val="24"/>
          <w:highlight w:val="none"/>
        </w:rPr>
        <w:t>项目属性见《投标人须知资料表》。</w:t>
      </w:r>
    </w:p>
    <w:p w14:paraId="2E46F670">
      <w:pPr>
        <w:tabs>
          <w:tab w:val="left" w:pos="1080"/>
          <w:tab w:val="left" w:pos="2014"/>
        </w:tabs>
        <w:snapToGrid w:val="0"/>
        <w:spacing w:line="360" w:lineRule="auto"/>
        <w:ind w:left="360"/>
        <w:rPr>
          <w:color w:val="auto"/>
          <w:sz w:val="24"/>
          <w:highlight w:val="none"/>
        </w:rPr>
      </w:pPr>
      <w:r>
        <w:rPr>
          <w:rFonts w:hint="eastAsia"/>
          <w:color w:val="auto"/>
          <w:sz w:val="24"/>
          <w:highlight w:val="none"/>
        </w:rPr>
        <w:t>2.3</w:t>
      </w:r>
      <w:r>
        <w:rPr>
          <w:color w:val="auto"/>
          <w:sz w:val="24"/>
          <w:highlight w:val="none"/>
        </w:rPr>
        <w:t>是否属于科研仪器设备采购见《投标人须知资料表》。</w:t>
      </w:r>
    </w:p>
    <w:p w14:paraId="7686F244">
      <w:pPr>
        <w:tabs>
          <w:tab w:val="left" w:pos="1080"/>
          <w:tab w:val="left" w:pos="2014"/>
          <w:tab w:val="left" w:pos="5521"/>
        </w:tabs>
        <w:snapToGrid w:val="0"/>
        <w:spacing w:line="360" w:lineRule="auto"/>
        <w:ind w:left="360"/>
        <w:rPr>
          <w:color w:val="auto"/>
          <w:sz w:val="24"/>
          <w:highlight w:val="none"/>
        </w:rPr>
      </w:pPr>
      <w:r>
        <w:rPr>
          <w:rFonts w:hint="eastAsia"/>
          <w:color w:val="auto"/>
          <w:sz w:val="24"/>
          <w:highlight w:val="none"/>
        </w:rPr>
        <w:t>2.4</w:t>
      </w:r>
      <w:r>
        <w:rPr>
          <w:color w:val="auto"/>
          <w:sz w:val="24"/>
          <w:highlight w:val="none"/>
        </w:rPr>
        <w:t>核心产品见《投标人须知资料表》。</w:t>
      </w:r>
    </w:p>
    <w:p w14:paraId="53A9C36C">
      <w:pPr>
        <w:numPr>
          <w:ilvl w:val="0"/>
          <w:numId w:val="28"/>
        </w:numPr>
        <w:tabs>
          <w:tab w:val="left" w:pos="360"/>
        </w:tabs>
        <w:snapToGrid w:val="0"/>
        <w:spacing w:line="360" w:lineRule="auto"/>
        <w:ind w:left="357" w:hanging="357"/>
        <w:rPr>
          <w:color w:val="auto"/>
          <w:sz w:val="24"/>
          <w:highlight w:val="none"/>
        </w:rPr>
      </w:pPr>
      <w:r>
        <w:rPr>
          <w:color w:val="auto"/>
          <w:sz w:val="24"/>
          <w:highlight w:val="none"/>
        </w:rPr>
        <w:t>现场考察、开标前答疑会</w:t>
      </w:r>
    </w:p>
    <w:p w14:paraId="0338FE3F">
      <w:pPr>
        <w:tabs>
          <w:tab w:val="left" w:pos="1080"/>
          <w:tab w:val="left" w:pos="2014"/>
        </w:tabs>
        <w:snapToGrid w:val="0"/>
        <w:spacing w:line="360" w:lineRule="auto"/>
        <w:ind w:left="360"/>
        <w:rPr>
          <w:color w:val="auto"/>
          <w:sz w:val="28"/>
          <w:highlight w:val="none"/>
        </w:rPr>
      </w:pPr>
      <w:r>
        <w:rPr>
          <w:rFonts w:hint="eastAsia"/>
          <w:color w:val="auto"/>
          <w:sz w:val="24"/>
          <w:highlight w:val="none"/>
        </w:rPr>
        <w:t>3.1</w:t>
      </w:r>
      <w:r>
        <w:rPr>
          <w:color w:val="auto"/>
          <w:sz w:val="24"/>
          <w:highlight w:val="none"/>
        </w:rPr>
        <w:t>若《投标人须知资料表》中规定了组织现场考察、召开开标前答疑会，则投标人应按要求在规定的时间和地点参加。</w:t>
      </w:r>
    </w:p>
    <w:p w14:paraId="7C45FE9F">
      <w:pPr>
        <w:tabs>
          <w:tab w:val="left" w:pos="1080"/>
          <w:tab w:val="left" w:pos="2014"/>
        </w:tabs>
        <w:snapToGrid w:val="0"/>
        <w:spacing w:line="360" w:lineRule="auto"/>
        <w:ind w:left="360"/>
        <w:rPr>
          <w:color w:val="auto"/>
          <w:sz w:val="24"/>
          <w:highlight w:val="none"/>
        </w:rPr>
      </w:pPr>
      <w:r>
        <w:rPr>
          <w:rFonts w:hint="eastAsia"/>
          <w:color w:val="auto"/>
          <w:sz w:val="24"/>
          <w:highlight w:val="none"/>
        </w:rPr>
        <w:t>3.2</w:t>
      </w: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6885294E">
      <w:pPr>
        <w:numPr>
          <w:ilvl w:val="0"/>
          <w:numId w:val="28"/>
        </w:numPr>
        <w:tabs>
          <w:tab w:val="left" w:pos="360"/>
        </w:tabs>
        <w:snapToGrid w:val="0"/>
        <w:spacing w:line="360" w:lineRule="auto"/>
        <w:ind w:left="357" w:hanging="357"/>
        <w:rPr>
          <w:color w:val="auto"/>
          <w:sz w:val="24"/>
          <w:highlight w:val="none"/>
        </w:rPr>
      </w:pPr>
      <w:r>
        <w:rPr>
          <w:color w:val="auto"/>
          <w:sz w:val="24"/>
          <w:highlight w:val="none"/>
        </w:rPr>
        <w:t>样品</w:t>
      </w:r>
    </w:p>
    <w:p w14:paraId="22626147">
      <w:pPr>
        <w:tabs>
          <w:tab w:val="left" w:pos="1080"/>
          <w:tab w:val="left" w:pos="2014"/>
        </w:tabs>
        <w:snapToGrid w:val="0"/>
        <w:spacing w:line="360" w:lineRule="auto"/>
        <w:ind w:left="360"/>
        <w:rPr>
          <w:color w:val="auto"/>
          <w:sz w:val="24"/>
          <w:highlight w:val="none"/>
        </w:rPr>
      </w:pPr>
      <w:r>
        <w:rPr>
          <w:rFonts w:hint="eastAsia"/>
          <w:color w:val="auto"/>
          <w:sz w:val="24"/>
          <w:highlight w:val="none"/>
        </w:rPr>
        <w:t>4.1</w:t>
      </w: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14:paraId="7BFFD337">
      <w:pPr>
        <w:tabs>
          <w:tab w:val="left" w:pos="1080"/>
          <w:tab w:val="left" w:pos="2014"/>
        </w:tabs>
        <w:snapToGrid w:val="0"/>
        <w:spacing w:line="360" w:lineRule="auto"/>
        <w:ind w:left="360"/>
        <w:rPr>
          <w:color w:val="auto"/>
          <w:sz w:val="24"/>
          <w:highlight w:val="none"/>
        </w:rPr>
      </w:pPr>
      <w:r>
        <w:rPr>
          <w:rFonts w:hint="eastAsia"/>
          <w:color w:val="auto"/>
          <w:sz w:val="24"/>
          <w:highlight w:val="none"/>
        </w:rPr>
        <w:t>4.2</w:t>
      </w:r>
      <w:r>
        <w:rPr>
          <w:color w:val="auto"/>
          <w:sz w:val="24"/>
          <w:highlight w:val="none"/>
        </w:rPr>
        <w:t>样品的评审方法以及评审标准等内容见第四章《评标方法和评标标准》。</w:t>
      </w:r>
    </w:p>
    <w:p w14:paraId="2CCC5259">
      <w:pPr>
        <w:numPr>
          <w:ilvl w:val="0"/>
          <w:numId w:val="28"/>
        </w:numPr>
        <w:tabs>
          <w:tab w:val="left" w:pos="360"/>
          <w:tab w:val="clear" w:pos="900"/>
        </w:tabs>
        <w:snapToGrid w:val="0"/>
        <w:spacing w:line="360" w:lineRule="auto"/>
        <w:ind w:left="357" w:hanging="357"/>
        <w:rPr>
          <w:color w:val="auto"/>
          <w:sz w:val="24"/>
          <w:highlight w:val="none"/>
        </w:rPr>
      </w:pPr>
      <w:r>
        <w:rPr>
          <w:color w:val="auto"/>
          <w:sz w:val="24"/>
          <w:highlight w:val="none"/>
        </w:rPr>
        <w:t>政府采购政策（包括但不限于下列具体政策要求）</w:t>
      </w:r>
    </w:p>
    <w:p w14:paraId="783398A5">
      <w:pPr>
        <w:tabs>
          <w:tab w:val="left" w:pos="1080"/>
          <w:tab w:val="left" w:pos="2014"/>
        </w:tabs>
        <w:snapToGrid w:val="0"/>
        <w:spacing w:line="360" w:lineRule="auto"/>
        <w:ind w:left="360"/>
        <w:rPr>
          <w:color w:val="auto"/>
          <w:sz w:val="24"/>
          <w:highlight w:val="none"/>
        </w:rPr>
      </w:pPr>
      <w:r>
        <w:rPr>
          <w:rFonts w:hint="eastAsia"/>
          <w:color w:val="auto"/>
          <w:sz w:val="24"/>
          <w:highlight w:val="none"/>
        </w:rPr>
        <w:t>5.1</w:t>
      </w:r>
      <w:r>
        <w:rPr>
          <w:color w:val="auto"/>
          <w:sz w:val="24"/>
          <w:highlight w:val="none"/>
        </w:rPr>
        <w:t>进口产品</w:t>
      </w:r>
    </w:p>
    <w:p w14:paraId="3EC07B63">
      <w:pPr>
        <w:tabs>
          <w:tab w:val="left" w:pos="2014"/>
        </w:tabs>
        <w:snapToGrid w:val="0"/>
        <w:spacing w:line="360" w:lineRule="auto"/>
        <w:ind w:left="1080"/>
        <w:rPr>
          <w:color w:val="auto"/>
          <w:sz w:val="24"/>
          <w:highlight w:val="none"/>
        </w:rPr>
      </w:pPr>
      <w:r>
        <w:rPr>
          <w:rFonts w:hint="eastAsia"/>
          <w:color w:val="auto"/>
          <w:sz w:val="24"/>
          <w:highlight w:val="none"/>
        </w:rPr>
        <w:t>5.1.1</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DB2C620">
      <w:pPr>
        <w:tabs>
          <w:tab w:val="left" w:pos="2014"/>
        </w:tabs>
        <w:snapToGrid w:val="0"/>
        <w:spacing w:line="360" w:lineRule="auto"/>
        <w:ind w:left="1080"/>
        <w:rPr>
          <w:color w:val="auto"/>
          <w:sz w:val="24"/>
          <w:highlight w:val="none"/>
        </w:rPr>
      </w:pPr>
      <w:r>
        <w:rPr>
          <w:rFonts w:hint="eastAsia"/>
          <w:color w:val="auto"/>
          <w:sz w:val="24"/>
          <w:highlight w:val="none"/>
        </w:rPr>
        <w:t>5.1.2</w:t>
      </w:r>
      <w:r>
        <w:rPr>
          <w:color w:val="auto"/>
          <w:sz w:val="24"/>
          <w:highlight w:val="none"/>
        </w:rPr>
        <w:t>本项目是否接受进口产品见第五章《采购需求》。</w:t>
      </w:r>
    </w:p>
    <w:p w14:paraId="009F230C">
      <w:pPr>
        <w:tabs>
          <w:tab w:val="left" w:pos="1080"/>
          <w:tab w:val="left" w:pos="2014"/>
        </w:tabs>
        <w:snapToGrid w:val="0"/>
        <w:spacing w:line="360" w:lineRule="auto"/>
        <w:ind w:left="360"/>
        <w:rPr>
          <w:color w:val="auto"/>
          <w:sz w:val="24"/>
          <w:highlight w:val="none"/>
        </w:rPr>
      </w:pPr>
      <w:r>
        <w:rPr>
          <w:rFonts w:hint="eastAsia"/>
          <w:color w:val="auto"/>
          <w:sz w:val="24"/>
          <w:highlight w:val="none"/>
        </w:rPr>
        <w:t>5.2</w:t>
      </w:r>
      <w:r>
        <w:rPr>
          <w:color w:val="auto"/>
          <w:sz w:val="24"/>
          <w:highlight w:val="none"/>
        </w:rPr>
        <w:t>中小企业、监狱企业及残疾人福利性单位</w:t>
      </w:r>
    </w:p>
    <w:p w14:paraId="7EB9C5A8">
      <w:pPr>
        <w:snapToGrid w:val="0"/>
        <w:spacing w:line="360" w:lineRule="auto"/>
        <w:ind w:firstLine="720" w:firstLineChars="300"/>
        <w:rPr>
          <w:color w:val="auto"/>
          <w:sz w:val="24"/>
          <w:highlight w:val="none"/>
        </w:rPr>
      </w:pPr>
      <w:r>
        <w:rPr>
          <w:rFonts w:hint="eastAsia"/>
          <w:color w:val="auto"/>
          <w:sz w:val="24"/>
          <w:highlight w:val="none"/>
        </w:rPr>
        <w:t>5.2.1</w:t>
      </w:r>
      <w:r>
        <w:rPr>
          <w:color w:val="auto"/>
          <w:sz w:val="24"/>
          <w:highlight w:val="none"/>
        </w:rPr>
        <w:t>中小企业定义：</w:t>
      </w:r>
    </w:p>
    <w:p w14:paraId="669FEB96">
      <w:pPr>
        <w:pStyle w:val="171"/>
        <w:numPr>
          <w:ilvl w:val="0"/>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60C6B3E1">
      <w:pPr>
        <w:pStyle w:val="171"/>
        <w:numPr>
          <w:ilvl w:val="0"/>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43940B28">
      <w:pPr>
        <w:pStyle w:val="171"/>
        <w:numPr>
          <w:ilvl w:val="0"/>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271AAC16">
      <w:pPr>
        <w:pStyle w:val="171"/>
        <w:numPr>
          <w:ilvl w:val="0"/>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1A9646D1">
      <w:pPr>
        <w:pStyle w:val="171"/>
        <w:numPr>
          <w:ilvl w:val="0"/>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597CF121">
      <w:pPr>
        <w:pStyle w:val="171"/>
        <w:numPr>
          <w:ilvl w:val="1"/>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5293CE59">
      <w:pPr>
        <w:pStyle w:val="171"/>
        <w:numPr>
          <w:ilvl w:val="1"/>
          <w:numId w:val="29"/>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14:paraId="449C1433">
      <w:pPr>
        <w:pStyle w:val="171"/>
        <w:numPr>
          <w:ilvl w:val="2"/>
          <w:numId w:val="2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174E4E27">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8DF793D">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5.2.1.2</w:t>
      </w:r>
      <w:r>
        <w:rPr>
          <w:color w:val="auto"/>
          <w:sz w:val="24"/>
          <w:highlight w:val="none"/>
        </w:rPr>
        <w:t>供应商提供的货物、工程或者服务符合下列情形的，享受中小企业扶持政策：</w:t>
      </w:r>
    </w:p>
    <w:p w14:paraId="6715F10D">
      <w:pPr>
        <w:tabs>
          <w:tab w:val="left" w:pos="1980"/>
        </w:tabs>
        <w:snapToGrid w:val="0"/>
        <w:spacing w:line="360" w:lineRule="auto"/>
        <w:ind w:firstLine="1200" w:firstLineChars="500"/>
        <w:rPr>
          <w:color w:val="auto"/>
          <w:sz w:val="24"/>
          <w:highlight w:val="none"/>
        </w:rPr>
      </w:pPr>
      <w:r>
        <w:rPr>
          <w:color w:val="auto"/>
          <w:sz w:val="24"/>
          <w:highlight w:val="none"/>
        </w:rPr>
        <w:t>（1）在货物采购项目中，货物由中小企业制造，即货物由中小企业生产且使用该中小企业商号或者注册商标；</w:t>
      </w:r>
    </w:p>
    <w:p w14:paraId="0C381BD2">
      <w:pPr>
        <w:tabs>
          <w:tab w:val="left" w:pos="1980"/>
        </w:tabs>
        <w:snapToGrid w:val="0"/>
        <w:spacing w:line="360" w:lineRule="auto"/>
        <w:ind w:firstLine="1200" w:firstLineChars="500"/>
        <w:rPr>
          <w:color w:val="auto"/>
          <w:sz w:val="24"/>
          <w:highlight w:val="none"/>
        </w:rPr>
      </w:pPr>
      <w:r>
        <w:rPr>
          <w:color w:val="auto"/>
          <w:sz w:val="24"/>
          <w:highlight w:val="none"/>
        </w:rPr>
        <w:t>（2）在工程采购项目中，工程由中小企业承建，即工程施工单位为中小企业；</w:t>
      </w:r>
    </w:p>
    <w:p w14:paraId="264B8D9D">
      <w:pPr>
        <w:tabs>
          <w:tab w:val="left" w:pos="1980"/>
        </w:tabs>
        <w:snapToGrid w:val="0"/>
        <w:spacing w:line="360" w:lineRule="auto"/>
        <w:ind w:firstLine="1200" w:firstLineChars="50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14:paraId="2F12510F">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5.2.1.3</w:t>
      </w:r>
      <w:r>
        <w:rPr>
          <w:color w:val="auto"/>
          <w:sz w:val="24"/>
          <w:highlight w:val="none"/>
        </w:rPr>
        <w:t>在货物采购项目中，供应商提供的货物既有中小企业制造货物，也有大型企业制造货物的，不享受中小企业扶持政策。</w:t>
      </w:r>
    </w:p>
    <w:p w14:paraId="3C8FDAC7">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5.2.1.4</w:t>
      </w:r>
      <w:r>
        <w:rPr>
          <w:color w:val="auto"/>
          <w:sz w:val="24"/>
          <w:highlight w:val="none"/>
        </w:rPr>
        <w:t>以联合体形式参加政府采购活动，联合体各方均为中小企业的，联合体视同中小企业。其中，联合体各方均为小微企业的，联合体视同小微企业。</w:t>
      </w:r>
    </w:p>
    <w:p w14:paraId="4EE770E3">
      <w:pPr>
        <w:snapToGrid w:val="0"/>
        <w:spacing w:line="360" w:lineRule="auto"/>
        <w:ind w:firstLine="720" w:firstLineChars="300"/>
        <w:rPr>
          <w:color w:val="auto"/>
          <w:sz w:val="24"/>
          <w:highlight w:val="none"/>
        </w:rPr>
      </w:pPr>
      <w:r>
        <w:rPr>
          <w:rFonts w:hint="eastAsia"/>
          <w:color w:val="auto"/>
          <w:sz w:val="24"/>
          <w:highlight w:val="none"/>
        </w:rPr>
        <w:t>5.2.2</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99680C">
      <w:pPr>
        <w:snapToGrid w:val="0"/>
        <w:spacing w:line="360" w:lineRule="auto"/>
        <w:ind w:firstLine="720" w:firstLineChars="300"/>
        <w:rPr>
          <w:color w:val="auto"/>
          <w:sz w:val="24"/>
          <w:highlight w:val="none"/>
        </w:rPr>
      </w:pPr>
      <w:r>
        <w:rPr>
          <w:rFonts w:hint="eastAsia"/>
          <w:color w:val="auto"/>
          <w:sz w:val="24"/>
          <w:highlight w:val="none"/>
        </w:rPr>
        <w:t>5.2.3</w:t>
      </w:r>
      <w:r>
        <w:rPr>
          <w:color w:val="auto"/>
          <w:sz w:val="24"/>
          <w:highlight w:val="none"/>
        </w:rPr>
        <w:t>残疾人福利单位定义：享受政府采购支持政策的残疾人福利性单位应当同时满足以下条件：</w:t>
      </w:r>
    </w:p>
    <w:p w14:paraId="0468D35D">
      <w:pPr>
        <w:pStyle w:val="171"/>
        <w:numPr>
          <w:ilvl w:val="2"/>
          <w:numId w:val="2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7F403E64">
      <w:pPr>
        <w:pStyle w:val="171"/>
        <w:numPr>
          <w:ilvl w:val="2"/>
          <w:numId w:val="29"/>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14:paraId="3CA302D6">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5.2.3.1</w:t>
      </w:r>
      <w:r>
        <w:rPr>
          <w:color w:val="auto"/>
          <w:sz w:val="24"/>
          <w:highlight w:val="none"/>
        </w:rPr>
        <w:t>安置的残疾人占本单位在职职工人数的比例不低于25%（含25%），并且安置的残疾人人数不少于10 人（含10 人）；</w:t>
      </w:r>
    </w:p>
    <w:p w14:paraId="144747B4">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5.2.3.2</w:t>
      </w:r>
      <w:r>
        <w:rPr>
          <w:color w:val="auto"/>
          <w:sz w:val="24"/>
          <w:highlight w:val="none"/>
        </w:rPr>
        <w:t>依法与安置的每位残疾人签订了一年以上（含一年）的劳动合同或服务协议；</w:t>
      </w:r>
    </w:p>
    <w:p w14:paraId="0118CFB5">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5.2.3.3</w:t>
      </w:r>
      <w:r>
        <w:rPr>
          <w:color w:val="auto"/>
          <w:sz w:val="24"/>
          <w:highlight w:val="none"/>
        </w:rPr>
        <w:t>为安置的每位残疾人按月足额缴纳了基本养老保险、基本医疗保险、失业保险、工伤保险和生育保险等社会保险费；</w:t>
      </w:r>
    </w:p>
    <w:p w14:paraId="15EEAEFF">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5.2.3.4</w:t>
      </w:r>
      <w:r>
        <w:rPr>
          <w:color w:val="auto"/>
          <w:sz w:val="24"/>
          <w:highlight w:val="none"/>
        </w:rPr>
        <w:t>通过银行等金融机构向安置的每位残疾人，按月支付了不低于单位所在区县适用的经省级人民政府批准的月最低工资标准的工资；</w:t>
      </w:r>
    </w:p>
    <w:p w14:paraId="3FDD9E05">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08656755">
      <w:pPr>
        <w:tabs>
          <w:tab w:val="left" w:pos="1980"/>
          <w:tab w:val="left" w:pos="2035"/>
          <w:tab w:val="left" w:pos="2885"/>
          <w:tab w:val="left" w:pos="2977"/>
        </w:tabs>
        <w:snapToGrid w:val="0"/>
        <w:spacing w:line="360" w:lineRule="auto"/>
        <w:ind w:firstLine="1200" w:firstLineChars="500"/>
        <w:rPr>
          <w:color w:val="auto"/>
          <w:sz w:val="24"/>
          <w:highlight w:val="none"/>
        </w:rPr>
      </w:pPr>
      <w:r>
        <w:rPr>
          <w:rFonts w:hint="eastAsia"/>
          <w:color w:val="auto"/>
          <w:sz w:val="24"/>
          <w:highlight w:val="none"/>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D405EB">
      <w:pPr>
        <w:snapToGrid w:val="0"/>
        <w:spacing w:line="360" w:lineRule="auto"/>
        <w:ind w:firstLine="720" w:firstLineChars="300"/>
        <w:rPr>
          <w:color w:val="auto"/>
          <w:sz w:val="24"/>
          <w:highlight w:val="none"/>
        </w:rPr>
      </w:pPr>
      <w:r>
        <w:rPr>
          <w:rFonts w:hint="eastAsia"/>
          <w:color w:val="auto"/>
          <w:sz w:val="24"/>
          <w:highlight w:val="none"/>
        </w:rPr>
        <w:t>5.2.4</w:t>
      </w:r>
      <w:r>
        <w:rPr>
          <w:color w:val="auto"/>
          <w:sz w:val="24"/>
          <w:highlight w:val="none"/>
        </w:rPr>
        <w:t>本项目是否专门面向中小企业预留采购份额见第一章《投标邀请》。</w:t>
      </w:r>
    </w:p>
    <w:p w14:paraId="56257977">
      <w:pPr>
        <w:snapToGrid w:val="0"/>
        <w:spacing w:line="360" w:lineRule="auto"/>
        <w:ind w:firstLine="720" w:firstLineChars="300"/>
        <w:rPr>
          <w:color w:val="auto"/>
          <w:sz w:val="24"/>
          <w:highlight w:val="none"/>
        </w:rPr>
      </w:pPr>
      <w:r>
        <w:rPr>
          <w:rFonts w:hint="eastAsia"/>
          <w:color w:val="auto"/>
          <w:sz w:val="24"/>
          <w:highlight w:val="none"/>
        </w:rPr>
        <w:t>5.2.5</w:t>
      </w:r>
      <w:r>
        <w:rPr>
          <w:color w:val="auto"/>
          <w:sz w:val="24"/>
          <w:highlight w:val="none"/>
        </w:rPr>
        <w:t>采购标的对应的中小企业划分标准所属行业见《投标人须知资料表》。</w:t>
      </w:r>
    </w:p>
    <w:p w14:paraId="6F4CB9F6">
      <w:pPr>
        <w:snapToGrid w:val="0"/>
        <w:spacing w:line="360" w:lineRule="auto"/>
        <w:ind w:firstLine="720" w:firstLineChars="300"/>
        <w:rPr>
          <w:color w:val="auto"/>
          <w:sz w:val="24"/>
          <w:highlight w:val="none"/>
        </w:rPr>
      </w:pPr>
      <w:r>
        <w:rPr>
          <w:rFonts w:hint="eastAsia"/>
          <w:color w:val="auto"/>
          <w:sz w:val="24"/>
          <w:highlight w:val="none"/>
        </w:rPr>
        <w:t>5.2.6</w:t>
      </w:r>
      <w:r>
        <w:rPr>
          <w:color w:val="auto"/>
          <w:sz w:val="24"/>
          <w:highlight w:val="none"/>
        </w:rPr>
        <w:t>小微企业价格评审优惠的政策调整：见第四章《评标方法和评标标准》。</w:t>
      </w:r>
    </w:p>
    <w:p w14:paraId="7902C608">
      <w:pPr>
        <w:tabs>
          <w:tab w:val="left" w:pos="1080"/>
          <w:tab w:val="left" w:pos="2014"/>
        </w:tabs>
        <w:snapToGrid w:val="0"/>
        <w:spacing w:line="360" w:lineRule="auto"/>
        <w:ind w:left="360"/>
        <w:rPr>
          <w:color w:val="auto"/>
          <w:sz w:val="24"/>
          <w:highlight w:val="none"/>
        </w:rPr>
      </w:pPr>
      <w:r>
        <w:rPr>
          <w:rFonts w:hint="eastAsia"/>
          <w:color w:val="auto"/>
          <w:sz w:val="24"/>
          <w:highlight w:val="none"/>
        </w:rPr>
        <w:t>5.3</w:t>
      </w:r>
      <w:r>
        <w:rPr>
          <w:color w:val="auto"/>
          <w:sz w:val="24"/>
          <w:highlight w:val="none"/>
        </w:rPr>
        <w:t>政府采购节能产品、环境标志产品</w:t>
      </w:r>
    </w:p>
    <w:p w14:paraId="7A461BE3">
      <w:pPr>
        <w:snapToGrid w:val="0"/>
        <w:spacing w:line="360" w:lineRule="auto"/>
        <w:ind w:firstLine="720" w:firstLineChars="300"/>
        <w:rPr>
          <w:color w:val="auto"/>
          <w:sz w:val="24"/>
          <w:highlight w:val="none"/>
        </w:rPr>
      </w:pPr>
      <w:r>
        <w:rPr>
          <w:rFonts w:hint="eastAsia"/>
          <w:color w:val="auto"/>
          <w:sz w:val="24"/>
          <w:highlight w:val="none"/>
        </w:rPr>
        <w:t>5.3.1</w:t>
      </w: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EF237FB">
      <w:pPr>
        <w:snapToGrid w:val="0"/>
        <w:spacing w:line="360" w:lineRule="auto"/>
        <w:ind w:firstLine="720" w:firstLineChars="300"/>
        <w:rPr>
          <w:color w:val="auto"/>
          <w:sz w:val="24"/>
          <w:highlight w:val="none"/>
        </w:rPr>
      </w:pPr>
      <w:r>
        <w:rPr>
          <w:rFonts w:hint="eastAsia"/>
          <w:color w:val="auto"/>
          <w:sz w:val="24"/>
          <w:highlight w:val="none"/>
        </w:rPr>
        <w:t>5.3.2</w:t>
      </w: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6D73DAC">
      <w:pPr>
        <w:snapToGrid w:val="0"/>
        <w:spacing w:line="360" w:lineRule="auto"/>
        <w:ind w:firstLine="720" w:firstLineChars="300"/>
        <w:rPr>
          <w:color w:val="auto"/>
          <w:sz w:val="24"/>
          <w:highlight w:val="none"/>
        </w:rPr>
      </w:pPr>
      <w:r>
        <w:rPr>
          <w:rFonts w:hint="eastAsia"/>
          <w:color w:val="auto"/>
          <w:sz w:val="24"/>
          <w:highlight w:val="none"/>
        </w:rPr>
        <w:t>5.3.3</w:t>
      </w: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25612097">
      <w:pPr>
        <w:snapToGrid w:val="0"/>
        <w:spacing w:line="360" w:lineRule="auto"/>
        <w:ind w:firstLine="720" w:firstLineChars="300"/>
        <w:rPr>
          <w:color w:val="auto"/>
          <w:sz w:val="24"/>
          <w:highlight w:val="none"/>
        </w:rPr>
      </w:pPr>
      <w:r>
        <w:rPr>
          <w:rFonts w:hint="eastAsia"/>
          <w:color w:val="auto"/>
          <w:sz w:val="24"/>
          <w:highlight w:val="none"/>
        </w:rPr>
        <w:t>5.3.4</w:t>
      </w:r>
      <w:r>
        <w:rPr>
          <w:color w:val="auto"/>
          <w:sz w:val="24"/>
          <w:highlight w:val="none"/>
        </w:rPr>
        <w:t>非政府强制采购的节能产品或环境标志产品，依据品目清单和认证证书实施政府优先采购。优先采购的具体规定见第四章《评标方法和评标标准》（如涉及）。</w:t>
      </w:r>
    </w:p>
    <w:p w14:paraId="204373F0">
      <w:pPr>
        <w:tabs>
          <w:tab w:val="left" w:pos="1080"/>
          <w:tab w:val="left" w:pos="2014"/>
        </w:tabs>
        <w:snapToGrid w:val="0"/>
        <w:spacing w:line="360" w:lineRule="auto"/>
        <w:ind w:left="360"/>
        <w:rPr>
          <w:color w:val="auto"/>
          <w:sz w:val="24"/>
          <w:highlight w:val="none"/>
        </w:rPr>
      </w:pPr>
      <w:r>
        <w:rPr>
          <w:rFonts w:hint="eastAsia"/>
          <w:color w:val="auto"/>
          <w:sz w:val="24"/>
          <w:highlight w:val="none"/>
        </w:rPr>
        <w:t>5.4</w:t>
      </w:r>
      <w:r>
        <w:rPr>
          <w:color w:val="auto"/>
          <w:sz w:val="24"/>
          <w:highlight w:val="none"/>
        </w:rPr>
        <w:t>支持乡村产业振兴管理</w:t>
      </w:r>
    </w:p>
    <w:p w14:paraId="38E75D17">
      <w:pPr>
        <w:tabs>
          <w:tab w:val="left" w:pos="2014"/>
        </w:tabs>
        <w:snapToGrid w:val="0"/>
        <w:spacing w:line="360" w:lineRule="auto"/>
        <w:ind w:firstLine="720" w:firstLineChars="300"/>
        <w:rPr>
          <w:color w:val="auto"/>
          <w:sz w:val="24"/>
          <w:highlight w:val="none"/>
        </w:rPr>
      </w:pPr>
      <w:r>
        <w:rPr>
          <w:rFonts w:hint="eastAsia"/>
          <w:color w:val="auto"/>
          <w:sz w:val="24"/>
          <w:highlight w:val="none"/>
        </w:rPr>
        <w:t>5.4.1</w:t>
      </w: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740FEB7A">
      <w:pPr>
        <w:tabs>
          <w:tab w:val="left" w:pos="1080"/>
          <w:tab w:val="left" w:pos="2014"/>
        </w:tabs>
        <w:snapToGrid w:val="0"/>
        <w:spacing w:line="360" w:lineRule="auto"/>
        <w:ind w:left="360"/>
        <w:rPr>
          <w:color w:val="auto"/>
          <w:sz w:val="24"/>
          <w:highlight w:val="none"/>
        </w:rPr>
      </w:pPr>
      <w:r>
        <w:rPr>
          <w:rFonts w:hint="eastAsia"/>
          <w:color w:val="auto"/>
          <w:sz w:val="24"/>
          <w:highlight w:val="none"/>
        </w:rPr>
        <w:t>5.5</w:t>
      </w:r>
      <w:r>
        <w:rPr>
          <w:color w:val="auto"/>
          <w:sz w:val="24"/>
          <w:highlight w:val="none"/>
        </w:rPr>
        <w:t>正版软件</w:t>
      </w:r>
    </w:p>
    <w:p w14:paraId="297012D4">
      <w:pPr>
        <w:snapToGrid w:val="0"/>
        <w:spacing w:line="360" w:lineRule="auto"/>
        <w:ind w:firstLine="720" w:firstLineChars="300"/>
        <w:rPr>
          <w:color w:val="auto"/>
          <w:sz w:val="24"/>
          <w:highlight w:val="none"/>
        </w:rPr>
      </w:pPr>
      <w:r>
        <w:rPr>
          <w:rFonts w:hint="eastAsia"/>
          <w:color w:val="auto"/>
          <w:sz w:val="24"/>
          <w:highlight w:val="none"/>
        </w:rPr>
        <w:t>5.5.1</w:t>
      </w: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BAF65E2">
      <w:pPr>
        <w:snapToGrid w:val="0"/>
        <w:spacing w:line="360" w:lineRule="auto"/>
        <w:ind w:firstLine="720" w:firstLineChars="300"/>
        <w:rPr>
          <w:color w:val="auto"/>
          <w:sz w:val="24"/>
          <w:highlight w:val="none"/>
        </w:rPr>
      </w:pPr>
      <w:r>
        <w:rPr>
          <w:rFonts w:hint="eastAsia"/>
          <w:color w:val="auto"/>
          <w:sz w:val="24"/>
          <w:highlight w:val="none"/>
        </w:rPr>
        <w:t>5.5.2</w:t>
      </w: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9ADE42A">
      <w:pPr>
        <w:tabs>
          <w:tab w:val="left" w:pos="1080"/>
          <w:tab w:val="left" w:pos="2014"/>
        </w:tabs>
        <w:snapToGrid w:val="0"/>
        <w:spacing w:line="360" w:lineRule="auto"/>
        <w:ind w:left="360"/>
        <w:rPr>
          <w:color w:val="auto"/>
          <w:sz w:val="24"/>
          <w:highlight w:val="none"/>
        </w:rPr>
      </w:pPr>
      <w:r>
        <w:rPr>
          <w:rFonts w:hint="eastAsia"/>
          <w:color w:val="auto"/>
          <w:sz w:val="24"/>
          <w:highlight w:val="none"/>
        </w:rPr>
        <w:t>5.6</w:t>
      </w:r>
      <w:r>
        <w:rPr>
          <w:color w:val="auto"/>
          <w:sz w:val="24"/>
          <w:highlight w:val="none"/>
        </w:rPr>
        <w:t>信息安全产品</w:t>
      </w:r>
    </w:p>
    <w:p w14:paraId="7D691A6D">
      <w:pPr>
        <w:tabs>
          <w:tab w:val="left" w:pos="2014"/>
        </w:tabs>
        <w:snapToGrid w:val="0"/>
        <w:spacing w:line="360" w:lineRule="auto"/>
        <w:ind w:firstLine="720" w:firstLineChars="300"/>
        <w:rPr>
          <w:color w:val="auto"/>
          <w:sz w:val="24"/>
          <w:highlight w:val="none"/>
        </w:rPr>
      </w:pPr>
      <w:r>
        <w:rPr>
          <w:rFonts w:hint="eastAsia"/>
          <w:color w:val="auto"/>
          <w:sz w:val="24"/>
          <w:highlight w:val="none"/>
        </w:rPr>
        <w:t>5.6.1</w:t>
      </w:r>
      <w:r>
        <w:rPr>
          <w:color w:val="auto"/>
          <w:sz w:val="24"/>
          <w:highlight w:val="none"/>
        </w:rPr>
        <w:t>所投产品属于《关于调整信息安全产品强制性认证实施要求的公告》（2009 年第33 号）范围的，采购经国家认证的信息安全产品，</w:t>
      </w:r>
      <w:r>
        <w:rPr>
          <w:color w:val="auto"/>
          <w:kern w:val="0"/>
          <w:sz w:val="24"/>
          <w:highlight w:val="none"/>
        </w:rPr>
        <w:t>否则</w:t>
      </w:r>
      <w:r>
        <w:rPr>
          <w:b/>
          <w:color w:val="auto"/>
          <w:kern w:val="0"/>
          <w:sz w:val="24"/>
          <w:highlight w:val="none"/>
        </w:rPr>
        <w:t>投标无效</w:t>
      </w:r>
      <w:r>
        <w:rPr>
          <w:color w:val="auto"/>
          <w:sz w:val="24"/>
          <w:highlight w:val="none"/>
        </w:rPr>
        <w:t>。关于信息安全相关规定依据《关于信息安全产品实施政府采购的通知》（财库〔2010〕48 号）。</w:t>
      </w:r>
    </w:p>
    <w:p w14:paraId="3FB68B70">
      <w:pPr>
        <w:numPr>
          <w:ilvl w:val="0"/>
          <w:numId w:val="28"/>
        </w:numPr>
        <w:tabs>
          <w:tab w:val="left" w:pos="360"/>
        </w:tabs>
        <w:snapToGrid w:val="0"/>
        <w:spacing w:line="360" w:lineRule="auto"/>
        <w:ind w:left="357" w:hanging="357"/>
        <w:rPr>
          <w:color w:val="auto"/>
          <w:sz w:val="24"/>
          <w:highlight w:val="none"/>
        </w:rPr>
      </w:pPr>
      <w:r>
        <w:rPr>
          <w:color w:val="auto"/>
          <w:sz w:val="24"/>
          <w:highlight w:val="none"/>
        </w:rPr>
        <w:t>投标费用</w:t>
      </w:r>
    </w:p>
    <w:p w14:paraId="0D3A71D9">
      <w:pPr>
        <w:tabs>
          <w:tab w:val="left" w:pos="1080"/>
          <w:tab w:val="left" w:pos="2014"/>
        </w:tabs>
        <w:snapToGrid w:val="0"/>
        <w:spacing w:line="360" w:lineRule="auto"/>
        <w:ind w:left="360"/>
        <w:rPr>
          <w:color w:val="auto"/>
          <w:sz w:val="24"/>
          <w:highlight w:val="none"/>
        </w:rPr>
      </w:pPr>
      <w:r>
        <w:rPr>
          <w:rFonts w:hint="eastAsia"/>
          <w:color w:val="auto"/>
          <w:sz w:val="24"/>
          <w:highlight w:val="none"/>
        </w:rPr>
        <w:t>6.1</w:t>
      </w:r>
      <w:r>
        <w:rPr>
          <w:color w:val="auto"/>
          <w:sz w:val="24"/>
          <w:highlight w:val="none"/>
        </w:rPr>
        <w:t>投标人应自行承担所有与准备和参加投标有关的费用，无论投标的结果如何，采购人或采购代理机构在任何情况下均无承担这些费用的义务和责任。</w:t>
      </w:r>
    </w:p>
    <w:p w14:paraId="29CFBAD8">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  招标文件</w:t>
      </w:r>
    </w:p>
    <w:p w14:paraId="5DE80249">
      <w:pPr>
        <w:numPr>
          <w:ilvl w:val="0"/>
          <w:numId w:val="28"/>
        </w:numPr>
        <w:tabs>
          <w:tab w:val="left" w:pos="360"/>
        </w:tabs>
        <w:snapToGrid w:val="0"/>
        <w:spacing w:line="360" w:lineRule="auto"/>
        <w:ind w:left="357" w:hanging="357"/>
        <w:rPr>
          <w:color w:val="auto"/>
          <w:sz w:val="24"/>
          <w:highlight w:val="none"/>
        </w:rPr>
      </w:pPr>
      <w:bookmarkStart w:id="39" w:name="_Toc127151523"/>
      <w:bookmarkStart w:id="40" w:name="_Toc151193693"/>
      <w:bookmarkStart w:id="41" w:name="_Toc305158865"/>
      <w:bookmarkStart w:id="42" w:name="_Toc164229218"/>
      <w:bookmarkStart w:id="43" w:name="_Toc226309767"/>
      <w:bookmarkStart w:id="44" w:name="_Toc150509274"/>
      <w:bookmarkStart w:id="45" w:name="_Toc520356147"/>
      <w:bookmarkStart w:id="46" w:name="_Toc150774728"/>
      <w:bookmarkStart w:id="47" w:name="_Toc226965713"/>
      <w:bookmarkStart w:id="48" w:name="_Toc151193911"/>
      <w:bookmarkStart w:id="49" w:name="_Toc127151724"/>
      <w:bookmarkStart w:id="50" w:name="_Toc195842888"/>
      <w:bookmarkStart w:id="51" w:name="_Toc164229364"/>
      <w:bookmarkStart w:id="52" w:name="_Toc150774623"/>
      <w:bookmarkStart w:id="53" w:name="_Toc164608637"/>
      <w:bookmarkStart w:id="54" w:name="_Toc305158791"/>
      <w:bookmarkStart w:id="55" w:name="_Toc226337219"/>
      <w:bookmarkStart w:id="56" w:name="_Toc264969213"/>
      <w:bookmarkStart w:id="57" w:name="_Toc164351617"/>
      <w:bookmarkStart w:id="58" w:name="_Toc151193765"/>
      <w:bookmarkStart w:id="59" w:name="_Toc151190150"/>
      <w:bookmarkStart w:id="60" w:name="_Toc151193837"/>
      <w:bookmarkStart w:id="61" w:name="_Toc226965796"/>
      <w:bookmarkStart w:id="62" w:name="_Toc151193621"/>
      <w:bookmarkStart w:id="63" w:name="_Toc164608792"/>
      <w:bookmarkStart w:id="64" w:name="_Toc142311025"/>
      <w:bookmarkStart w:id="65" w:name="_Toc127161437"/>
      <w:bookmarkStart w:id="66" w:name="_Toc265228361"/>
      <w:bookmarkStart w:id="67" w:name="_Toc149720816"/>
      <w:bookmarkStart w:id="68" w:name="_Toc150480761"/>
      <w:r>
        <w:rPr>
          <w:color w:val="auto"/>
          <w:sz w:val="24"/>
          <w:highlight w:val="none"/>
        </w:rPr>
        <w:t>招标文件构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color w:val="auto"/>
          <w:sz w:val="24"/>
          <w:highlight w:val="none"/>
        </w:rPr>
        <w:t>成</w:t>
      </w:r>
    </w:p>
    <w:p w14:paraId="64E08C2A">
      <w:pPr>
        <w:tabs>
          <w:tab w:val="left" w:pos="1080"/>
          <w:tab w:val="left" w:pos="2014"/>
        </w:tabs>
        <w:snapToGrid w:val="0"/>
        <w:spacing w:line="360" w:lineRule="auto"/>
        <w:ind w:left="360"/>
        <w:rPr>
          <w:color w:val="auto"/>
          <w:sz w:val="24"/>
          <w:highlight w:val="none"/>
        </w:rPr>
      </w:pPr>
      <w:r>
        <w:rPr>
          <w:rFonts w:hint="eastAsia"/>
          <w:color w:val="auto"/>
          <w:sz w:val="24"/>
          <w:highlight w:val="none"/>
        </w:rPr>
        <w:t>7.1</w:t>
      </w:r>
      <w:r>
        <w:rPr>
          <w:color w:val="auto"/>
          <w:sz w:val="24"/>
          <w:highlight w:val="none"/>
        </w:rPr>
        <w:t>招标文件包括以下部分：</w:t>
      </w:r>
    </w:p>
    <w:p w14:paraId="22BCAC7B">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第一章 </w:t>
      </w:r>
      <w:r>
        <w:rPr>
          <w:color w:val="auto"/>
          <w:sz w:val="24"/>
          <w:highlight w:val="none"/>
        </w:rPr>
        <w:t>投标邀请</w:t>
      </w:r>
    </w:p>
    <w:p w14:paraId="2DEACA03">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第二章 </w:t>
      </w:r>
      <w:r>
        <w:rPr>
          <w:color w:val="auto"/>
          <w:sz w:val="24"/>
          <w:highlight w:val="none"/>
        </w:rPr>
        <w:t>投标人须知</w:t>
      </w:r>
    </w:p>
    <w:p w14:paraId="6DEF005C">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第三章 </w:t>
      </w:r>
      <w:r>
        <w:rPr>
          <w:color w:val="auto"/>
          <w:sz w:val="24"/>
          <w:highlight w:val="none"/>
        </w:rPr>
        <w:t>资格审查</w:t>
      </w:r>
    </w:p>
    <w:p w14:paraId="34B6D4C3">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第四章 </w:t>
      </w:r>
      <w:r>
        <w:rPr>
          <w:color w:val="auto"/>
          <w:sz w:val="24"/>
          <w:highlight w:val="none"/>
        </w:rPr>
        <w:t>评标程序、评标方法和评标标准</w:t>
      </w:r>
    </w:p>
    <w:p w14:paraId="7C93736D">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第五章 </w:t>
      </w:r>
      <w:r>
        <w:rPr>
          <w:color w:val="auto"/>
          <w:sz w:val="24"/>
          <w:highlight w:val="none"/>
        </w:rPr>
        <w:t>采购需求</w:t>
      </w:r>
    </w:p>
    <w:p w14:paraId="78E68FBD">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第六章 </w:t>
      </w:r>
      <w:r>
        <w:rPr>
          <w:color w:val="auto"/>
          <w:sz w:val="24"/>
          <w:highlight w:val="none"/>
        </w:rPr>
        <w:t>拟签订的合同文本</w:t>
      </w:r>
    </w:p>
    <w:p w14:paraId="0A8B3942">
      <w:pPr>
        <w:tabs>
          <w:tab w:val="left" w:pos="1980"/>
          <w:tab w:val="left" w:pos="2520"/>
        </w:tabs>
        <w:snapToGrid w:val="0"/>
        <w:spacing w:line="360" w:lineRule="auto"/>
        <w:ind w:firstLine="720" w:firstLineChars="300"/>
        <w:rPr>
          <w:color w:val="auto"/>
          <w:sz w:val="24"/>
          <w:highlight w:val="none"/>
        </w:rPr>
      </w:pPr>
      <w:r>
        <w:rPr>
          <w:rFonts w:hint="eastAsia"/>
          <w:color w:val="auto"/>
          <w:sz w:val="24"/>
          <w:highlight w:val="none"/>
        </w:rPr>
        <w:t xml:space="preserve">第七章 </w:t>
      </w:r>
      <w:r>
        <w:rPr>
          <w:color w:val="auto"/>
          <w:sz w:val="24"/>
          <w:highlight w:val="none"/>
        </w:rPr>
        <w:t>投标文件格式</w:t>
      </w:r>
    </w:p>
    <w:p w14:paraId="04B3A3C9">
      <w:pPr>
        <w:tabs>
          <w:tab w:val="left" w:pos="1080"/>
          <w:tab w:val="left" w:pos="2014"/>
        </w:tabs>
        <w:snapToGrid w:val="0"/>
        <w:spacing w:line="360" w:lineRule="auto"/>
        <w:ind w:left="360"/>
        <w:rPr>
          <w:color w:val="auto"/>
          <w:sz w:val="24"/>
          <w:highlight w:val="none"/>
        </w:rPr>
      </w:pPr>
      <w:r>
        <w:rPr>
          <w:rFonts w:hint="eastAsia"/>
          <w:color w:val="auto"/>
          <w:sz w:val="24"/>
          <w:highlight w:val="none"/>
        </w:rPr>
        <w:t>7.2</w:t>
      </w: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2FBA6E6D">
      <w:pPr>
        <w:tabs>
          <w:tab w:val="left" w:pos="1080"/>
          <w:tab w:val="left" w:pos="2014"/>
        </w:tabs>
        <w:snapToGrid w:val="0"/>
        <w:spacing w:line="360" w:lineRule="auto"/>
        <w:rPr>
          <w:color w:val="auto"/>
          <w:sz w:val="24"/>
          <w:highlight w:val="none"/>
        </w:rPr>
      </w:pPr>
      <w:r>
        <w:rPr>
          <w:rFonts w:hint="eastAsia"/>
          <w:color w:val="auto"/>
          <w:sz w:val="24"/>
          <w:highlight w:val="none"/>
        </w:rPr>
        <w:t xml:space="preserve">8  </w:t>
      </w:r>
      <w:r>
        <w:rPr>
          <w:color w:val="auto"/>
          <w:sz w:val="24"/>
          <w:highlight w:val="none"/>
        </w:rPr>
        <w:t>对招标文件的澄清或修改</w:t>
      </w:r>
    </w:p>
    <w:p w14:paraId="434F3211">
      <w:pPr>
        <w:tabs>
          <w:tab w:val="left" w:pos="1080"/>
          <w:tab w:val="left" w:pos="1561"/>
          <w:tab w:val="left" w:pos="2014"/>
        </w:tabs>
        <w:snapToGrid w:val="0"/>
        <w:spacing w:line="360" w:lineRule="auto"/>
        <w:ind w:left="360"/>
        <w:rPr>
          <w:color w:val="auto"/>
          <w:sz w:val="24"/>
          <w:highlight w:val="none"/>
        </w:rPr>
      </w:pPr>
      <w:r>
        <w:rPr>
          <w:rFonts w:hint="eastAsia"/>
          <w:color w:val="auto"/>
          <w:sz w:val="24"/>
          <w:highlight w:val="none"/>
        </w:rPr>
        <w:t>8.1</w:t>
      </w: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439631CC">
      <w:pPr>
        <w:tabs>
          <w:tab w:val="left" w:pos="1080"/>
          <w:tab w:val="left" w:pos="1561"/>
          <w:tab w:val="left" w:pos="2014"/>
        </w:tabs>
        <w:snapToGrid w:val="0"/>
        <w:spacing w:line="360" w:lineRule="auto"/>
        <w:ind w:left="360"/>
        <w:rPr>
          <w:color w:val="auto"/>
          <w:sz w:val="24"/>
          <w:highlight w:val="none"/>
        </w:rPr>
      </w:pPr>
      <w:r>
        <w:rPr>
          <w:rFonts w:hint="eastAsia"/>
          <w:color w:val="auto"/>
          <w:sz w:val="24"/>
          <w:highlight w:val="none"/>
        </w:rPr>
        <w:t>8.2</w:t>
      </w:r>
      <w:r>
        <w:rPr>
          <w:color w:val="auto"/>
          <w:sz w:val="24"/>
          <w:highlight w:val="none"/>
        </w:rPr>
        <w:t>上述书面通知，按照获取招标文件的潜在投标人提供的联系方式发出，因提供的信息有误导致通知延迟或无法通知的，采购人或采购代理机构不承担责任。</w:t>
      </w:r>
    </w:p>
    <w:p w14:paraId="1504D2A2">
      <w:pPr>
        <w:tabs>
          <w:tab w:val="left" w:pos="1080"/>
          <w:tab w:val="left" w:pos="1561"/>
          <w:tab w:val="left" w:pos="2014"/>
        </w:tabs>
        <w:snapToGrid w:val="0"/>
        <w:spacing w:line="360" w:lineRule="auto"/>
        <w:ind w:left="360"/>
        <w:rPr>
          <w:rFonts w:hint="eastAsia" w:ascii="宋体" w:hAnsi="宋体"/>
          <w:bCs/>
          <w:color w:val="auto"/>
          <w:sz w:val="28"/>
          <w:szCs w:val="28"/>
          <w:highlight w:val="none"/>
        </w:rPr>
      </w:pPr>
      <w:r>
        <w:rPr>
          <w:rFonts w:hint="eastAsia"/>
          <w:color w:val="auto"/>
          <w:sz w:val="24"/>
          <w:highlight w:val="none"/>
        </w:rPr>
        <w:t>8.3</w:t>
      </w: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812C6CD">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三  投标文件的编制</w:t>
      </w:r>
    </w:p>
    <w:p w14:paraId="00873323">
      <w:pPr>
        <w:tabs>
          <w:tab w:val="left" w:pos="360"/>
        </w:tabs>
        <w:snapToGrid w:val="0"/>
        <w:spacing w:line="360" w:lineRule="auto"/>
        <w:rPr>
          <w:color w:val="auto"/>
          <w:sz w:val="24"/>
          <w:highlight w:val="none"/>
        </w:rPr>
      </w:pPr>
      <w:bookmarkStart w:id="69" w:name="_Toc520356151"/>
      <w:bookmarkStart w:id="70" w:name="_Toc264969217"/>
      <w:bookmarkStart w:id="71" w:name="_Toc142311029"/>
      <w:bookmarkStart w:id="72" w:name="_Toc226965717"/>
      <w:bookmarkStart w:id="73" w:name="_Toc150774732"/>
      <w:bookmarkStart w:id="74" w:name="_Toc164608641"/>
      <w:bookmarkStart w:id="75" w:name="_Toc150480765"/>
      <w:bookmarkStart w:id="76" w:name="_Toc164608796"/>
      <w:bookmarkStart w:id="77" w:name="_Toc151193625"/>
      <w:bookmarkStart w:id="78" w:name="_Toc151193697"/>
      <w:bookmarkStart w:id="79" w:name="_Toc150774627"/>
      <w:bookmarkStart w:id="80" w:name="_Toc195842892"/>
      <w:bookmarkStart w:id="81" w:name="_Toc226337223"/>
      <w:bookmarkStart w:id="82" w:name="_Toc151193769"/>
      <w:bookmarkStart w:id="83" w:name="_Toc516367021"/>
      <w:bookmarkStart w:id="84" w:name="_Toc226309771"/>
      <w:bookmarkStart w:id="85" w:name="_Toc164229222"/>
      <w:bookmarkStart w:id="86" w:name="_Toc151190154"/>
      <w:bookmarkStart w:id="87" w:name="_Toc149720820"/>
      <w:bookmarkStart w:id="88" w:name="_Toc150509278"/>
      <w:bookmarkStart w:id="89" w:name="_Toc151193915"/>
      <w:bookmarkStart w:id="90" w:name="_Toc305158795"/>
      <w:bookmarkStart w:id="91" w:name="_Toc127151728"/>
      <w:bookmarkStart w:id="92" w:name="_Toc305158869"/>
      <w:bookmarkStart w:id="93" w:name="_Toc151193841"/>
      <w:bookmarkStart w:id="94" w:name="_Toc127161441"/>
      <w:bookmarkStart w:id="95" w:name="_Toc164229368"/>
      <w:bookmarkStart w:id="96" w:name="_Toc265228365"/>
      <w:bookmarkStart w:id="97" w:name="_Toc127151527"/>
      <w:bookmarkStart w:id="98" w:name="_Toc164351621"/>
      <w:bookmarkStart w:id="99" w:name="_Toc226965800"/>
      <w:r>
        <w:rPr>
          <w:rFonts w:hint="eastAsia"/>
          <w:color w:val="auto"/>
          <w:sz w:val="24"/>
          <w:highlight w:val="none"/>
        </w:rPr>
        <w:t xml:space="preserve">9  </w:t>
      </w:r>
      <w:r>
        <w:rPr>
          <w:color w:val="auto"/>
          <w:sz w:val="24"/>
          <w:highlight w:val="none"/>
        </w:rPr>
        <w:t>投标范围、投标文件中计量单位的使用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color w:val="auto"/>
          <w:sz w:val="24"/>
          <w:highlight w:val="none"/>
        </w:rPr>
        <w:t>及投标语言</w:t>
      </w:r>
    </w:p>
    <w:p w14:paraId="36287657">
      <w:pPr>
        <w:tabs>
          <w:tab w:val="left" w:pos="1080"/>
          <w:tab w:val="left" w:pos="2014"/>
        </w:tabs>
        <w:snapToGrid w:val="0"/>
        <w:spacing w:line="360" w:lineRule="auto"/>
        <w:ind w:left="360"/>
        <w:rPr>
          <w:color w:val="auto"/>
          <w:sz w:val="24"/>
          <w:highlight w:val="none"/>
        </w:rPr>
      </w:pPr>
      <w:r>
        <w:rPr>
          <w:rFonts w:hint="eastAsia"/>
          <w:color w:val="auto"/>
          <w:sz w:val="24"/>
          <w:highlight w:val="none"/>
        </w:rPr>
        <w:t>9.1</w:t>
      </w: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14:paraId="470F43FD">
      <w:pPr>
        <w:tabs>
          <w:tab w:val="left" w:pos="1080"/>
          <w:tab w:val="left" w:pos="2014"/>
        </w:tabs>
        <w:snapToGrid w:val="0"/>
        <w:spacing w:line="360" w:lineRule="auto"/>
        <w:ind w:left="360"/>
        <w:rPr>
          <w:color w:val="auto"/>
          <w:sz w:val="24"/>
          <w:highlight w:val="none"/>
        </w:rPr>
      </w:pPr>
      <w:r>
        <w:rPr>
          <w:rFonts w:hint="eastAsia"/>
          <w:color w:val="auto"/>
          <w:sz w:val="24"/>
          <w:highlight w:val="none"/>
        </w:rPr>
        <w:t>9.2</w:t>
      </w:r>
      <w:r>
        <w:rPr>
          <w:color w:val="auto"/>
          <w:sz w:val="24"/>
          <w:highlight w:val="none"/>
        </w:rPr>
        <w:t>除招标文件有特殊要求外，本项目投标所使用的计量单位，应采用中华人民共和国法定计量单位。</w:t>
      </w:r>
    </w:p>
    <w:p w14:paraId="7952EDA0">
      <w:pPr>
        <w:tabs>
          <w:tab w:val="left" w:pos="1080"/>
          <w:tab w:val="left" w:pos="2014"/>
        </w:tabs>
        <w:snapToGrid w:val="0"/>
        <w:spacing w:line="360" w:lineRule="auto"/>
        <w:ind w:left="360"/>
        <w:rPr>
          <w:color w:val="auto"/>
          <w:sz w:val="24"/>
          <w:highlight w:val="none"/>
        </w:rPr>
      </w:pPr>
      <w:r>
        <w:rPr>
          <w:rFonts w:hint="eastAsia"/>
          <w:color w:val="auto"/>
          <w:sz w:val="24"/>
          <w:highlight w:val="none"/>
        </w:rPr>
        <w:t>9.3</w:t>
      </w: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4196AE0">
      <w:pPr>
        <w:tabs>
          <w:tab w:val="left" w:pos="360"/>
        </w:tabs>
        <w:snapToGrid w:val="0"/>
        <w:spacing w:line="360" w:lineRule="auto"/>
        <w:rPr>
          <w:color w:val="auto"/>
          <w:sz w:val="24"/>
          <w:highlight w:val="none"/>
        </w:rPr>
      </w:pPr>
      <w:bookmarkStart w:id="100" w:name="_Toc516367022"/>
      <w:bookmarkStart w:id="101" w:name="_Ref467306195"/>
      <w:bookmarkStart w:id="102" w:name="_Ref467306676"/>
      <w:bookmarkStart w:id="103" w:name="_Toc226965718"/>
      <w:bookmarkStart w:id="104" w:name="_Toc226337224"/>
      <w:bookmarkStart w:id="105" w:name="_Toc151190155"/>
      <w:bookmarkStart w:id="106" w:name="_Toc127161442"/>
      <w:bookmarkStart w:id="107" w:name="_Toc151193770"/>
      <w:bookmarkStart w:id="108" w:name="_Toc164608642"/>
      <w:bookmarkStart w:id="109" w:name="_Toc164229223"/>
      <w:bookmarkStart w:id="110" w:name="_Toc226309772"/>
      <w:bookmarkStart w:id="111" w:name="_Toc150480766"/>
      <w:bookmarkStart w:id="112" w:name="_Toc150774733"/>
      <w:bookmarkStart w:id="113" w:name="_Toc164229369"/>
      <w:bookmarkStart w:id="114" w:name="_Toc149720821"/>
      <w:bookmarkStart w:id="115" w:name="_Toc305158796"/>
      <w:bookmarkStart w:id="116" w:name="_Toc151193916"/>
      <w:bookmarkStart w:id="117" w:name="_Toc265228366"/>
      <w:bookmarkStart w:id="118" w:name="_Toc520356152"/>
      <w:bookmarkStart w:id="119" w:name="_Toc127151729"/>
      <w:bookmarkStart w:id="120" w:name="_Toc151193626"/>
      <w:bookmarkStart w:id="121" w:name="_Toc195842893"/>
      <w:bookmarkStart w:id="122" w:name="_Toc164351622"/>
      <w:bookmarkStart w:id="123" w:name="_Toc226965801"/>
      <w:bookmarkStart w:id="124" w:name="_Toc150774628"/>
      <w:bookmarkStart w:id="125" w:name="_Toc127151528"/>
      <w:bookmarkStart w:id="126" w:name="_Toc151193842"/>
      <w:bookmarkStart w:id="127" w:name="_Toc264969218"/>
      <w:bookmarkStart w:id="128" w:name="_Toc305158870"/>
      <w:bookmarkStart w:id="129" w:name="_Toc151193698"/>
      <w:bookmarkStart w:id="130" w:name="_Toc150509279"/>
      <w:bookmarkStart w:id="131" w:name="_Toc142311030"/>
      <w:bookmarkStart w:id="132" w:name="_Toc164608797"/>
      <w:r>
        <w:rPr>
          <w:rFonts w:hint="eastAsia"/>
          <w:color w:val="auto"/>
          <w:sz w:val="24"/>
          <w:highlight w:val="none"/>
        </w:rPr>
        <w:t xml:space="preserve">10  </w:t>
      </w:r>
      <w:r>
        <w:rPr>
          <w:color w:val="auto"/>
          <w:sz w:val="24"/>
          <w:highlight w:val="none"/>
        </w:rPr>
        <w:t>投标文件</w:t>
      </w:r>
      <w:bookmarkEnd w:id="100"/>
      <w:bookmarkEnd w:id="101"/>
      <w:bookmarkEnd w:id="102"/>
      <w:r>
        <w:rPr>
          <w:color w:val="auto"/>
          <w:sz w:val="24"/>
          <w:highlight w:val="none"/>
        </w:rPr>
        <w:t>构成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F89D52D">
      <w:pPr>
        <w:tabs>
          <w:tab w:val="left" w:pos="1080"/>
          <w:tab w:val="left" w:pos="2014"/>
        </w:tabs>
        <w:snapToGrid w:val="0"/>
        <w:spacing w:line="360" w:lineRule="auto"/>
        <w:ind w:left="357"/>
        <w:rPr>
          <w:color w:val="auto"/>
          <w:sz w:val="24"/>
          <w:highlight w:val="none"/>
        </w:rPr>
      </w:pPr>
      <w:bookmarkStart w:id="133" w:name="_Ref467052588"/>
      <w:r>
        <w:rPr>
          <w:rFonts w:hint="eastAsia"/>
          <w:color w:val="auto"/>
          <w:sz w:val="24"/>
          <w:highlight w:val="none"/>
        </w:rPr>
        <w:t>10.1</w:t>
      </w:r>
      <w:r>
        <w:rPr>
          <w:color w:val="auto"/>
          <w:sz w:val="24"/>
          <w:highlight w:val="none"/>
        </w:rPr>
        <w:t>投标人应当按照招标文件的要求编制投标文件。投标文件应由《资格证明文件》、《商务技术文件》两部分构成。投标文件的部分格式要求，见第七章《投标文件格式》。</w:t>
      </w:r>
    </w:p>
    <w:p w14:paraId="5705982B">
      <w:pPr>
        <w:tabs>
          <w:tab w:val="left" w:pos="1080"/>
          <w:tab w:val="left" w:pos="2014"/>
        </w:tabs>
        <w:snapToGrid w:val="0"/>
        <w:spacing w:line="360" w:lineRule="auto"/>
        <w:ind w:left="357"/>
        <w:rPr>
          <w:color w:val="auto"/>
          <w:sz w:val="24"/>
          <w:highlight w:val="none"/>
        </w:rPr>
      </w:pPr>
      <w:r>
        <w:rPr>
          <w:rFonts w:hint="eastAsia"/>
          <w:color w:val="auto"/>
          <w:kern w:val="0"/>
          <w:sz w:val="24"/>
          <w:highlight w:val="none"/>
        </w:rPr>
        <w:t>10.2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7C4CF9CE">
      <w:pPr>
        <w:tabs>
          <w:tab w:val="left" w:pos="1080"/>
          <w:tab w:val="left" w:pos="2014"/>
        </w:tabs>
        <w:snapToGrid w:val="0"/>
        <w:spacing w:line="360" w:lineRule="auto"/>
        <w:ind w:left="357"/>
        <w:rPr>
          <w:color w:val="auto"/>
          <w:sz w:val="24"/>
          <w:highlight w:val="none"/>
        </w:rPr>
      </w:pPr>
      <w:r>
        <w:rPr>
          <w:rFonts w:hint="eastAsia"/>
          <w:color w:val="auto"/>
          <w:sz w:val="24"/>
          <w:highlight w:val="none"/>
        </w:rPr>
        <w:t>10.3</w:t>
      </w:r>
      <w:r>
        <w:rPr>
          <w:color w:val="auto"/>
          <w:sz w:val="24"/>
          <w:highlight w:val="none"/>
        </w:rPr>
        <w:t>第四章《评标程序、评标方法和评标标准》中涉及的证明文件。</w:t>
      </w:r>
    </w:p>
    <w:p w14:paraId="4349A736">
      <w:pPr>
        <w:tabs>
          <w:tab w:val="left" w:pos="1080"/>
          <w:tab w:val="left" w:pos="2014"/>
        </w:tabs>
        <w:snapToGrid w:val="0"/>
        <w:spacing w:line="360" w:lineRule="auto"/>
        <w:ind w:left="357"/>
        <w:rPr>
          <w:color w:val="auto"/>
          <w:sz w:val="24"/>
          <w:highlight w:val="none"/>
        </w:rPr>
      </w:pPr>
      <w:r>
        <w:rPr>
          <w:rFonts w:hint="eastAsia"/>
          <w:color w:val="auto"/>
          <w:sz w:val="24"/>
          <w:highlight w:val="none"/>
        </w:rPr>
        <w:t>10.4</w:t>
      </w: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8494BE">
      <w:pPr>
        <w:tabs>
          <w:tab w:val="left" w:pos="1080"/>
          <w:tab w:val="left" w:pos="2014"/>
        </w:tabs>
        <w:snapToGrid w:val="0"/>
        <w:spacing w:line="360" w:lineRule="auto"/>
        <w:ind w:left="357"/>
        <w:rPr>
          <w:color w:val="auto"/>
          <w:sz w:val="24"/>
          <w:highlight w:val="none"/>
        </w:rPr>
      </w:pPr>
      <w:r>
        <w:rPr>
          <w:rFonts w:hint="eastAsia"/>
          <w:color w:val="auto"/>
          <w:sz w:val="24"/>
          <w:highlight w:val="none"/>
        </w:rPr>
        <w:t>10.5</w:t>
      </w:r>
      <w:r>
        <w:rPr>
          <w:color w:val="auto"/>
          <w:sz w:val="24"/>
          <w:highlight w:val="none"/>
        </w:rPr>
        <w:t>投标人认为应附的其他材料。</w:t>
      </w:r>
      <w:bookmarkEnd w:id="133"/>
    </w:p>
    <w:p w14:paraId="4C8E2681">
      <w:pPr>
        <w:tabs>
          <w:tab w:val="left" w:pos="360"/>
        </w:tabs>
        <w:snapToGrid w:val="0"/>
        <w:spacing w:line="360" w:lineRule="auto"/>
        <w:rPr>
          <w:color w:val="auto"/>
          <w:sz w:val="24"/>
          <w:highlight w:val="none"/>
        </w:rPr>
      </w:pPr>
      <w:bookmarkStart w:id="134" w:name="_Toc142311032"/>
      <w:bookmarkStart w:id="135" w:name="_Toc151193700"/>
      <w:bookmarkStart w:id="136" w:name="_Toc164351624"/>
      <w:bookmarkStart w:id="137" w:name="_Toc150509281"/>
      <w:bookmarkStart w:id="138" w:name="_Toc150774735"/>
      <w:bookmarkStart w:id="139" w:name="_Toc127161444"/>
      <w:bookmarkStart w:id="140" w:name="_Toc127151731"/>
      <w:bookmarkStart w:id="141" w:name="_Toc151190157"/>
      <w:bookmarkStart w:id="142" w:name="_Toc164229225"/>
      <w:bookmarkStart w:id="143" w:name="_Toc164608644"/>
      <w:bookmarkStart w:id="144" w:name="_Toc151193628"/>
      <w:bookmarkStart w:id="145" w:name="_Toc150480768"/>
      <w:bookmarkStart w:id="146" w:name="_Toc149720823"/>
      <w:bookmarkStart w:id="147" w:name="_Toc520356155"/>
      <w:bookmarkStart w:id="148" w:name="_Toc150774630"/>
      <w:bookmarkStart w:id="149" w:name="_Toc151193918"/>
      <w:bookmarkStart w:id="150" w:name="_Toc151193772"/>
      <w:bookmarkStart w:id="151" w:name="_Toc195842895"/>
      <w:bookmarkStart w:id="152" w:name="_Toc151193844"/>
      <w:bookmarkStart w:id="153" w:name="_Toc127151530"/>
      <w:bookmarkStart w:id="154" w:name="_Toc164608799"/>
      <w:bookmarkStart w:id="155" w:name="_Toc164229371"/>
      <w:r>
        <w:rPr>
          <w:rFonts w:hint="eastAsia"/>
          <w:color w:val="auto"/>
          <w:sz w:val="24"/>
          <w:highlight w:val="none"/>
        </w:rPr>
        <w:t xml:space="preserve">11  </w:t>
      </w:r>
      <w:r>
        <w:rPr>
          <w:color w:val="auto"/>
          <w:sz w:val="24"/>
          <w:highlight w:val="none"/>
        </w:rPr>
        <w:t>投标报价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1E20777">
      <w:pPr>
        <w:tabs>
          <w:tab w:val="left" w:pos="1080"/>
          <w:tab w:val="left" w:pos="2014"/>
        </w:tabs>
        <w:snapToGrid w:val="0"/>
        <w:spacing w:line="360" w:lineRule="auto"/>
        <w:ind w:left="357"/>
        <w:rPr>
          <w:color w:val="auto"/>
          <w:sz w:val="24"/>
          <w:highlight w:val="none"/>
        </w:rPr>
      </w:pPr>
      <w:r>
        <w:rPr>
          <w:rFonts w:hint="eastAsia"/>
          <w:color w:val="auto"/>
          <w:sz w:val="24"/>
          <w:highlight w:val="none"/>
        </w:rPr>
        <w:t>11.1</w:t>
      </w:r>
      <w:r>
        <w:rPr>
          <w:color w:val="auto"/>
          <w:sz w:val="24"/>
          <w:highlight w:val="none"/>
        </w:rPr>
        <w:t>所有投标均以人民币报价。</w:t>
      </w:r>
    </w:p>
    <w:p w14:paraId="37C75016">
      <w:pPr>
        <w:tabs>
          <w:tab w:val="left" w:pos="1080"/>
          <w:tab w:val="left" w:pos="2014"/>
        </w:tabs>
        <w:snapToGrid w:val="0"/>
        <w:spacing w:line="360" w:lineRule="auto"/>
        <w:ind w:left="357"/>
        <w:rPr>
          <w:color w:val="auto"/>
          <w:sz w:val="24"/>
          <w:highlight w:val="none"/>
        </w:rPr>
      </w:pPr>
      <w:r>
        <w:rPr>
          <w:rFonts w:hint="eastAsia"/>
          <w:color w:val="auto"/>
          <w:sz w:val="24"/>
          <w:highlight w:val="none"/>
        </w:rPr>
        <w:t>11.2</w:t>
      </w: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14:paraId="744F2CBF">
      <w:pPr>
        <w:snapToGrid w:val="0"/>
        <w:spacing w:line="360" w:lineRule="auto"/>
        <w:ind w:left="1080"/>
        <w:rPr>
          <w:color w:val="auto"/>
          <w:sz w:val="24"/>
          <w:highlight w:val="none"/>
        </w:rPr>
      </w:pPr>
      <w:r>
        <w:rPr>
          <w:rFonts w:hint="eastAsia"/>
          <w:color w:val="auto"/>
          <w:sz w:val="24"/>
          <w:highlight w:val="none"/>
        </w:rPr>
        <w:t>11.2.1</w:t>
      </w: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7CFE411">
      <w:pPr>
        <w:snapToGrid w:val="0"/>
        <w:spacing w:line="360" w:lineRule="auto"/>
        <w:ind w:left="1080"/>
        <w:rPr>
          <w:color w:val="auto"/>
          <w:sz w:val="24"/>
          <w:highlight w:val="none"/>
        </w:rPr>
      </w:pPr>
      <w:r>
        <w:rPr>
          <w:rFonts w:hint="eastAsia"/>
          <w:color w:val="auto"/>
          <w:sz w:val="24"/>
          <w:highlight w:val="none"/>
        </w:rPr>
        <w:t>11.2.2</w:t>
      </w:r>
      <w:r>
        <w:rPr>
          <w:color w:val="auto"/>
          <w:sz w:val="24"/>
          <w:highlight w:val="none"/>
        </w:rPr>
        <w:t xml:space="preserve">按照招标文件要求完成本项目的全部相关服务费用。 </w:t>
      </w:r>
    </w:p>
    <w:p w14:paraId="5FFDBED4">
      <w:pPr>
        <w:tabs>
          <w:tab w:val="left" w:pos="1080"/>
          <w:tab w:val="left" w:pos="2014"/>
        </w:tabs>
        <w:snapToGrid w:val="0"/>
        <w:spacing w:line="360" w:lineRule="auto"/>
        <w:ind w:left="357"/>
        <w:rPr>
          <w:color w:val="auto"/>
          <w:sz w:val="24"/>
          <w:highlight w:val="none"/>
        </w:rPr>
      </w:pPr>
      <w:r>
        <w:rPr>
          <w:rFonts w:hint="eastAsia"/>
          <w:color w:val="auto"/>
          <w:sz w:val="24"/>
          <w:highlight w:val="none"/>
        </w:rPr>
        <w:t>11.3</w:t>
      </w:r>
      <w:r>
        <w:rPr>
          <w:color w:val="auto"/>
          <w:sz w:val="24"/>
          <w:highlight w:val="none"/>
        </w:rPr>
        <w:t>采购人不得向供应商索要或者接受其给予的赠品、回扣或者与采购无关的其他商品、服务。</w:t>
      </w:r>
    </w:p>
    <w:p w14:paraId="0C46341C">
      <w:pPr>
        <w:tabs>
          <w:tab w:val="left" w:pos="1080"/>
          <w:tab w:val="left" w:pos="2014"/>
        </w:tabs>
        <w:snapToGrid w:val="0"/>
        <w:spacing w:line="360" w:lineRule="auto"/>
        <w:ind w:left="360"/>
        <w:rPr>
          <w:color w:val="auto"/>
          <w:sz w:val="24"/>
          <w:highlight w:val="none"/>
        </w:rPr>
      </w:pPr>
      <w:r>
        <w:rPr>
          <w:rFonts w:hint="eastAsia"/>
          <w:color w:val="auto"/>
          <w:sz w:val="24"/>
          <w:highlight w:val="none"/>
        </w:rPr>
        <w:t>11.4</w:t>
      </w: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14:paraId="27FCFD88">
      <w:pPr>
        <w:tabs>
          <w:tab w:val="left" w:pos="360"/>
        </w:tabs>
        <w:snapToGrid w:val="0"/>
        <w:spacing w:line="360" w:lineRule="auto"/>
        <w:rPr>
          <w:color w:val="auto"/>
          <w:sz w:val="24"/>
          <w:highlight w:val="none"/>
        </w:rPr>
      </w:pPr>
      <w:bookmarkStart w:id="156" w:name="_Toc150480769"/>
      <w:bookmarkStart w:id="157" w:name="_Toc127161445"/>
      <w:bookmarkStart w:id="158" w:name="_Toc151193773"/>
      <w:bookmarkStart w:id="159" w:name="_Toc264969221"/>
      <w:bookmarkStart w:id="160" w:name="_Toc305158873"/>
      <w:bookmarkStart w:id="161" w:name="_Toc151193845"/>
      <w:bookmarkStart w:id="162" w:name="_Toc127151531"/>
      <w:bookmarkStart w:id="163" w:name="_Toc151190158"/>
      <w:bookmarkStart w:id="164" w:name="_Toc226965721"/>
      <w:bookmarkStart w:id="165" w:name="_Toc226337227"/>
      <w:bookmarkStart w:id="166" w:name="_Toc164608645"/>
      <w:bookmarkStart w:id="167" w:name="_Toc195842896"/>
      <w:bookmarkStart w:id="168" w:name="_Toc226965804"/>
      <w:bookmarkStart w:id="169" w:name="_Toc164229372"/>
      <w:bookmarkStart w:id="170" w:name="_Ref467306513"/>
      <w:bookmarkStart w:id="171" w:name="_Toc164229226"/>
      <w:bookmarkStart w:id="172" w:name="_Toc151193629"/>
      <w:bookmarkStart w:id="173" w:name="_Toc226309775"/>
      <w:bookmarkStart w:id="174" w:name="_Toc265228369"/>
      <w:bookmarkStart w:id="175" w:name="_Toc151193919"/>
      <w:bookmarkStart w:id="176" w:name="_Toc164608800"/>
      <w:bookmarkStart w:id="177" w:name="_Toc164351625"/>
      <w:bookmarkStart w:id="178" w:name="_Toc305158799"/>
      <w:bookmarkStart w:id="179" w:name="_Toc149720824"/>
      <w:bookmarkStart w:id="180" w:name="_Toc142311033"/>
      <w:bookmarkStart w:id="181" w:name="_Toc150509282"/>
      <w:bookmarkStart w:id="182" w:name="_Toc127151732"/>
      <w:bookmarkStart w:id="183" w:name="_Toc151193701"/>
      <w:bookmarkStart w:id="184" w:name="_Toc520356156"/>
      <w:bookmarkStart w:id="185" w:name="_Toc150774736"/>
      <w:bookmarkStart w:id="186" w:name="_Toc150774631"/>
      <w:r>
        <w:rPr>
          <w:rFonts w:hint="eastAsia"/>
          <w:color w:val="auto"/>
          <w:sz w:val="24"/>
          <w:highlight w:val="none"/>
        </w:rPr>
        <w:t xml:space="preserve">12  </w:t>
      </w:r>
      <w:r>
        <w:rPr>
          <w:color w:val="auto"/>
          <w:sz w:val="24"/>
          <w:highlight w:val="none"/>
        </w:rPr>
        <w:t>投标保证金</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2C04AA9">
      <w:pPr>
        <w:tabs>
          <w:tab w:val="left" w:pos="1080"/>
          <w:tab w:val="left" w:pos="2014"/>
        </w:tabs>
        <w:snapToGrid w:val="0"/>
        <w:spacing w:line="360" w:lineRule="auto"/>
        <w:ind w:left="357"/>
        <w:rPr>
          <w:color w:val="auto"/>
          <w:sz w:val="24"/>
          <w:highlight w:val="none"/>
        </w:rPr>
      </w:pPr>
      <w:bookmarkStart w:id="187" w:name="_Ref467306302"/>
      <w:r>
        <w:rPr>
          <w:rFonts w:hint="eastAsia"/>
          <w:color w:val="auto"/>
          <w:sz w:val="24"/>
          <w:highlight w:val="none"/>
        </w:rPr>
        <w:t>12.1</w:t>
      </w:r>
      <w:r>
        <w:rPr>
          <w:color w:val="auto"/>
          <w:sz w:val="24"/>
          <w:highlight w:val="none"/>
        </w:rPr>
        <w:t>投标人应按《投标人须知资料表》中规定的金额及要求交纳投标保证金</w:t>
      </w:r>
      <w:bookmarkEnd w:id="187"/>
      <w:r>
        <w:rPr>
          <w:color w:val="auto"/>
          <w:sz w:val="24"/>
          <w:highlight w:val="none"/>
        </w:rPr>
        <w:t>，并作为其投标的一部分。</w:t>
      </w:r>
    </w:p>
    <w:p w14:paraId="7CA6F791">
      <w:pPr>
        <w:tabs>
          <w:tab w:val="left" w:pos="1080"/>
          <w:tab w:val="left" w:pos="2014"/>
        </w:tabs>
        <w:snapToGrid w:val="0"/>
        <w:spacing w:line="360" w:lineRule="auto"/>
        <w:ind w:left="357"/>
        <w:rPr>
          <w:color w:val="auto"/>
          <w:sz w:val="24"/>
          <w:highlight w:val="none"/>
        </w:rPr>
      </w:pPr>
      <w:r>
        <w:rPr>
          <w:rFonts w:hint="eastAsia"/>
          <w:color w:val="auto"/>
          <w:sz w:val="24"/>
          <w:highlight w:val="none"/>
        </w:rPr>
        <w:t>12.2</w:t>
      </w:r>
      <w:r>
        <w:rPr>
          <w:color w:val="auto"/>
          <w:sz w:val="24"/>
          <w:highlight w:val="none"/>
        </w:rPr>
        <w:t>交纳投标保证金可采用的形式：政府采购法律法规接受的支票、汇票、本票、网上银行支付或者金融机构、担保机构出具的保函等非现金形式。</w:t>
      </w:r>
    </w:p>
    <w:p w14:paraId="3B79B21F">
      <w:pPr>
        <w:tabs>
          <w:tab w:val="left" w:pos="1080"/>
          <w:tab w:val="left" w:pos="2014"/>
        </w:tabs>
        <w:snapToGrid w:val="0"/>
        <w:spacing w:line="360" w:lineRule="auto"/>
        <w:ind w:left="357"/>
        <w:rPr>
          <w:color w:val="auto"/>
          <w:sz w:val="24"/>
          <w:highlight w:val="none"/>
        </w:rPr>
      </w:pPr>
      <w:r>
        <w:rPr>
          <w:rFonts w:hint="eastAsia"/>
          <w:color w:val="auto"/>
          <w:sz w:val="24"/>
          <w:highlight w:val="none"/>
        </w:rPr>
        <w:t>12.3</w:t>
      </w: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14:paraId="5E624773">
      <w:pPr>
        <w:tabs>
          <w:tab w:val="left" w:pos="1080"/>
          <w:tab w:val="left" w:pos="2014"/>
        </w:tabs>
        <w:snapToGrid w:val="0"/>
        <w:spacing w:line="360" w:lineRule="auto"/>
        <w:ind w:left="357"/>
        <w:rPr>
          <w:color w:val="auto"/>
          <w:sz w:val="24"/>
          <w:highlight w:val="none"/>
        </w:rPr>
      </w:pPr>
      <w:r>
        <w:rPr>
          <w:rFonts w:hint="eastAsia"/>
          <w:color w:val="auto"/>
          <w:sz w:val="24"/>
          <w:highlight w:val="none"/>
        </w:rPr>
        <w:t>12.4</w:t>
      </w:r>
      <w:r>
        <w:rPr>
          <w:color w:val="auto"/>
          <w:sz w:val="24"/>
          <w:highlight w:val="none"/>
        </w:rPr>
        <w:t>投标保证金（保函）有效期同投标有效期。</w:t>
      </w:r>
    </w:p>
    <w:p w14:paraId="1C1EB9E5">
      <w:pPr>
        <w:tabs>
          <w:tab w:val="left" w:pos="1080"/>
          <w:tab w:val="left" w:pos="2014"/>
        </w:tabs>
        <w:snapToGrid w:val="0"/>
        <w:spacing w:line="360" w:lineRule="auto"/>
        <w:ind w:left="357"/>
        <w:rPr>
          <w:color w:val="auto"/>
          <w:sz w:val="24"/>
          <w:highlight w:val="none"/>
        </w:rPr>
      </w:pPr>
      <w:r>
        <w:rPr>
          <w:rFonts w:hint="eastAsia"/>
          <w:color w:val="auto"/>
          <w:sz w:val="24"/>
          <w:highlight w:val="none"/>
        </w:rPr>
        <w:t>12.5</w:t>
      </w:r>
      <w:r>
        <w:rPr>
          <w:color w:val="auto"/>
          <w:sz w:val="24"/>
          <w:highlight w:val="none"/>
        </w:rPr>
        <w:t>联合体投标的，可以由联合体中的一方或者共同提交投标保证金，以一方名义提交投标保证金的，对联合体各方均具有约束力。</w:t>
      </w:r>
    </w:p>
    <w:p w14:paraId="5D7D9943">
      <w:pPr>
        <w:tabs>
          <w:tab w:val="left" w:pos="1080"/>
          <w:tab w:val="left" w:pos="2014"/>
        </w:tabs>
        <w:snapToGrid w:val="0"/>
        <w:spacing w:line="360" w:lineRule="auto"/>
        <w:ind w:left="357"/>
        <w:rPr>
          <w:color w:val="auto"/>
          <w:sz w:val="24"/>
          <w:highlight w:val="none"/>
        </w:rPr>
      </w:pPr>
      <w:r>
        <w:rPr>
          <w:rFonts w:hint="eastAsia"/>
          <w:color w:val="auto"/>
          <w:sz w:val="24"/>
          <w:highlight w:val="none"/>
        </w:rPr>
        <w:t>12.6</w:t>
      </w: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保证金，经供应商同意后采购人、采购代理机构可以不再退还，但因投标人自身原因导致无法及时退还的除外：</w:t>
      </w:r>
    </w:p>
    <w:p w14:paraId="07E48C11">
      <w:pPr>
        <w:snapToGrid w:val="0"/>
        <w:spacing w:line="360" w:lineRule="auto"/>
        <w:ind w:left="1080"/>
        <w:rPr>
          <w:color w:val="auto"/>
          <w:sz w:val="24"/>
          <w:highlight w:val="none"/>
        </w:rPr>
      </w:pPr>
      <w:r>
        <w:rPr>
          <w:rFonts w:hint="eastAsia"/>
          <w:color w:val="auto"/>
          <w:sz w:val="24"/>
          <w:highlight w:val="none"/>
        </w:rPr>
        <w:t>12.6.1</w:t>
      </w:r>
      <w:r>
        <w:rPr>
          <w:color w:val="auto"/>
          <w:sz w:val="24"/>
          <w:highlight w:val="none"/>
        </w:rPr>
        <w:t>投标人在投标截止时间前撤回已提交的投标文件的，自收到投标人书面撤回通知之日起5个工作日内退还已收取的投标保证金；</w:t>
      </w:r>
    </w:p>
    <w:p w14:paraId="0678670C">
      <w:pPr>
        <w:snapToGrid w:val="0"/>
        <w:spacing w:line="360" w:lineRule="auto"/>
        <w:ind w:left="1080"/>
        <w:rPr>
          <w:color w:val="auto"/>
          <w:sz w:val="24"/>
          <w:highlight w:val="none"/>
        </w:rPr>
      </w:pPr>
      <w:r>
        <w:rPr>
          <w:rFonts w:hint="eastAsia"/>
          <w:color w:val="auto"/>
          <w:sz w:val="24"/>
          <w:highlight w:val="none"/>
        </w:rPr>
        <w:t>12.6.2</w:t>
      </w:r>
      <w:r>
        <w:rPr>
          <w:color w:val="auto"/>
          <w:sz w:val="24"/>
          <w:highlight w:val="none"/>
        </w:rPr>
        <w:t>中标人的投标保证金，自采购合同签订之日起5个工作日内退还中标人；</w:t>
      </w:r>
    </w:p>
    <w:p w14:paraId="40A9FADC">
      <w:pPr>
        <w:snapToGrid w:val="0"/>
        <w:spacing w:line="360" w:lineRule="auto"/>
        <w:ind w:left="1080"/>
        <w:rPr>
          <w:color w:val="auto"/>
          <w:sz w:val="24"/>
          <w:highlight w:val="none"/>
        </w:rPr>
      </w:pPr>
      <w:r>
        <w:rPr>
          <w:rFonts w:hint="eastAsia"/>
          <w:color w:val="auto"/>
          <w:sz w:val="24"/>
          <w:highlight w:val="none"/>
        </w:rPr>
        <w:t>12.6.3</w:t>
      </w:r>
      <w:r>
        <w:rPr>
          <w:color w:val="auto"/>
          <w:sz w:val="24"/>
          <w:highlight w:val="none"/>
        </w:rPr>
        <w:t>未中标投标人的投标保证金，自中标通知书发出之日起5个工作日内退还未中标人；</w:t>
      </w:r>
    </w:p>
    <w:p w14:paraId="5E79827B">
      <w:pPr>
        <w:snapToGrid w:val="0"/>
        <w:spacing w:line="360" w:lineRule="auto"/>
        <w:ind w:left="1080"/>
        <w:rPr>
          <w:color w:val="auto"/>
          <w:sz w:val="24"/>
          <w:highlight w:val="none"/>
        </w:rPr>
      </w:pPr>
      <w:r>
        <w:rPr>
          <w:rFonts w:hint="eastAsia"/>
          <w:color w:val="auto"/>
          <w:sz w:val="24"/>
          <w:highlight w:val="none"/>
        </w:rPr>
        <w:t>12.6.4</w:t>
      </w:r>
      <w:r>
        <w:rPr>
          <w:color w:val="auto"/>
          <w:sz w:val="24"/>
          <w:highlight w:val="none"/>
        </w:rPr>
        <w:t>终止招标项目已经收取投标保证金的，自终止采购活动后5个工作日内退还已收取的投标保证金。</w:t>
      </w:r>
    </w:p>
    <w:p w14:paraId="43E06FAB">
      <w:pPr>
        <w:tabs>
          <w:tab w:val="left" w:pos="1080"/>
          <w:tab w:val="left" w:pos="2014"/>
        </w:tabs>
        <w:snapToGrid w:val="0"/>
        <w:spacing w:line="360" w:lineRule="auto"/>
        <w:ind w:left="357"/>
        <w:rPr>
          <w:color w:val="auto"/>
          <w:sz w:val="24"/>
          <w:highlight w:val="none"/>
        </w:rPr>
      </w:pPr>
      <w:r>
        <w:rPr>
          <w:rFonts w:hint="eastAsia"/>
          <w:color w:val="auto"/>
          <w:sz w:val="24"/>
          <w:highlight w:val="none"/>
        </w:rPr>
        <w:t>12.7</w:t>
      </w:r>
      <w:r>
        <w:rPr>
          <w:color w:val="auto"/>
          <w:sz w:val="24"/>
          <w:highlight w:val="none"/>
        </w:rPr>
        <w:t>有下列情形之一的，采购人或采购代理机构可以不予退还投标保证金：</w:t>
      </w:r>
    </w:p>
    <w:p w14:paraId="0887ED6F">
      <w:pPr>
        <w:snapToGrid w:val="0"/>
        <w:spacing w:line="360" w:lineRule="auto"/>
        <w:ind w:left="1080"/>
        <w:rPr>
          <w:color w:val="auto"/>
          <w:sz w:val="24"/>
          <w:highlight w:val="none"/>
        </w:rPr>
      </w:pPr>
      <w:r>
        <w:rPr>
          <w:rFonts w:hint="eastAsia"/>
          <w:color w:val="auto"/>
          <w:sz w:val="24"/>
          <w:highlight w:val="none"/>
        </w:rPr>
        <w:t>12.7.1</w:t>
      </w:r>
      <w:r>
        <w:rPr>
          <w:color w:val="auto"/>
          <w:sz w:val="24"/>
          <w:highlight w:val="none"/>
        </w:rPr>
        <w:t>投标有效期内投标人撤销投标文件的；</w:t>
      </w:r>
    </w:p>
    <w:p w14:paraId="305F719A">
      <w:pPr>
        <w:tabs>
          <w:tab w:val="left" w:pos="900"/>
          <w:tab w:val="left" w:pos="1080"/>
          <w:tab w:val="left" w:pos="2014"/>
        </w:tabs>
        <w:snapToGrid w:val="0"/>
        <w:spacing w:line="360" w:lineRule="auto"/>
        <w:ind w:left="1080"/>
        <w:rPr>
          <w:color w:val="auto"/>
          <w:sz w:val="24"/>
          <w:highlight w:val="none"/>
        </w:rPr>
      </w:pPr>
      <w:r>
        <w:rPr>
          <w:rFonts w:hint="eastAsia"/>
          <w:color w:val="auto"/>
          <w:sz w:val="24"/>
          <w:highlight w:val="none"/>
        </w:rPr>
        <w:t>12.7.2</w:t>
      </w:r>
      <w:r>
        <w:rPr>
          <w:color w:val="auto"/>
          <w:sz w:val="24"/>
          <w:highlight w:val="none"/>
        </w:rPr>
        <w:t>《投标人须知资料表》中规定的其他情形。</w:t>
      </w:r>
    </w:p>
    <w:p w14:paraId="306A024F">
      <w:pPr>
        <w:tabs>
          <w:tab w:val="left" w:pos="360"/>
        </w:tabs>
        <w:snapToGrid w:val="0"/>
        <w:spacing w:line="360" w:lineRule="auto"/>
        <w:rPr>
          <w:color w:val="auto"/>
          <w:sz w:val="24"/>
          <w:highlight w:val="none"/>
        </w:rPr>
      </w:pPr>
      <w:bookmarkStart w:id="188" w:name="_Toc150480770"/>
      <w:bookmarkStart w:id="189" w:name="_Toc164229227"/>
      <w:bookmarkStart w:id="190" w:name="_Toc305158874"/>
      <w:bookmarkStart w:id="191" w:name="_Toc127151532"/>
      <w:bookmarkStart w:id="192" w:name="_Toc265228370"/>
      <w:bookmarkStart w:id="193" w:name="_Toc127161446"/>
      <w:bookmarkStart w:id="194" w:name="_Toc226965722"/>
      <w:bookmarkStart w:id="195" w:name="_Toc151193630"/>
      <w:bookmarkStart w:id="196" w:name="_Toc127151733"/>
      <w:bookmarkStart w:id="197" w:name="_Toc151193774"/>
      <w:bookmarkStart w:id="198" w:name="_Toc164608646"/>
      <w:bookmarkStart w:id="199" w:name="_Toc149720825"/>
      <w:bookmarkStart w:id="200" w:name="_Toc226337228"/>
      <w:bookmarkStart w:id="201" w:name="_Toc151193920"/>
      <w:bookmarkStart w:id="202" w:name="_Toc150774737"/>
      <w:bookmarkStart w:id="203" w:name="_Toc305158800"/>
      <w:bookmarkStart w:id="204" w:name="_Toc151193702"/>
      <w:bookmarkStart w:id="205" w:name="_Toc264969222"/>
      <w:bookmarkStart w:id="206" w:name="_Toc150509283"/>
      <w:bookmarkStart w:id="207" w:name="_Toc151193846"/>
      <w:bookmarkStart w:id="208" w:name="_Toc142311034"/>
      <w:bookmarkStart w:id="209" w:name="_Toc520356157"/>
      <w:bookmarkStart w:id="210" w:name="_Toc164229373"/>
      <w:bookmarkStart w:id="211" w:name="_Toc164351626"/>
      <w:bookmarkStart w:id="212" w:name="_Toc150774632"/>
      <w:bookmarkStart w:id="213" w:name="_Toc226309776"/>
      <w:bookmarkStart w:id="214" w:name="_Toc151190159"/>
      <w:bookmarkStart w:id="215" w:name="_Toc164608801"/>
      <w:bookmarkStart w:id="216" w:name="_Toc226965805"/>
      <w:bookmarkStart w:id="217" w:name="_Toc195842897"/>
      <w:r>
        <w:rPr>
          <w:rFonts w:hint="eastAsia"/>
          <w:color w:val="auto"/>
          <w:sz w:val="24"/>
          <w:highlight w:val="none"/>
        </w:rPr>
        <w:t xml:space="preserve">13  </w:t>
      </w:r>
      <w:r>
        <w:rPr>
          <w:color w:val="auto"/>
          <w:sz w:val="24"/>
          <w:highlight w:val="none"/>
        </w:rPr>
        <w:t>投标有效期</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B2CE785">
      <w:pPr>
        <w:tabs>
          <w:tab w:val="left" w:pos="1080"/>
          <w:tab w:val="left" w:pos="2014"/>
        </w:tabs>
        <w:snapToGrid w:val="0"/>
        <w:spacing w:line="360" w:lineRule="auto"/>
        <w:ind w:left="357"/>
        <w:rPr>
          <w:color w:val="auto"/>
          <w:sz w:val="24"/>
          <w:highlight w:val="none"/>
        </w:rPr>
      </w:pPr>
      <w:r>
        <w:rPr>
          <w:rFonts w:hint="eastAsia"/>
          <w:color w:val="auto"/>
          <w:sz w:val="24"/>
          <w:highlight w:val="none"/>
        </w:rPr>
        <w:t>13.1</w:t>
      </w: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70D5C5DF">
      <w:pPr>
        <w:tabs>
          <w:tab w:val="left" w:pos="360"/>
        </w:tabs>
        <w:snapToGrid w:val="0"/>
        <w:spacing w:line="360" w:lineRule="auto"/>
        <w:rPr>
          <w:color w:val="auto"/>
          <w:sz w:val="24"/>
          <w:highlight w:val="none"/>
        </w:rPr>
      </w:pPr>
      <w:bookmarkStart w:id="218" w:name="_Toc164608647"/>
      <w:bookmarkStart w:id="219" w:name="_Toc164229374"/>
      <w:bookmarkStart w:id="220" w:name="_Toc265228371"/>
      <w:bookmarkStart w:id="221" w:name="_Toc305158801"/>
      <w:bookmarkStart w:id="222" w:name="_Toc142311035"/>
      <w:bookmarkStart w:id="223" w:name="_Toc520356158"/>
      <w:bookmarkStart w:id="224" w:name="_Toc150509284"/>
      <w:bookmarkStart w:id="225" w:name="_Toc151193703"/>
      <w:bookmarkStart w:id="226" w:name="_Toc151193921"/>
      <w:bookmarkStart w:id="227" w:name="_Toc305158875"/>
      <w:bookmarkStart w:id="228" w:name="_Toc195842898"/>
      <w:bookmarkStart w:id="229" w:name="_Toc164608802"/>
      <w:bookmarkStart w:id="230" w:name="_Toc264969223"/>
      <w:bookmarkStart w:id="231" w:name="_Toc151193847"/>
      <w:bookmarkStart w:id="232" w:name="_Toc150774633"/>
      <w:bookmarkStart w:id="233" w:name="_Toc151193775"/>
      <w:bookmarkStart w:id="234" w:name="_Toc226309777"/>
      <w:bookmarkStart w:id="235" w:name="_Toc226965723"/>
      <w:bookmarkStart w:id="236" w:name="_Toc164229228"/>
      <w:bookmarkStart w:id="237" w:name="_Toc150774738"/>
      <w:bookmarkStart w:id="238" w:name="_Toc226337229"/>
      <w:bookmarkStart w:id="239" w:name="_Toc127151734"/>
      <w:bookmarkStart w:id="240" w:name="_Toc149720826"/>
      <w:bookmarkStart w:id="241" w:name="_Toc127161447"/>
      <w:bookmarkStart w:id="242" w:name="_Toc151193631"/>
      <w:bookmarkStart w:id="243" w:name="_Toc164351627"/>
      <w:bookmarkStart w:id="244" w:name="_Toc127151533"/>
      <w:bookmarkStart w:id="245" w:name="_Toc150480771"/>
      <w:bookmarkStart w:id="246" w:name="_Toc151190160"/>
      <w:bookmarkStart w:id="247" w:name="_Toc226965806"/>
      <w:r>
        <w:rPr>
          <w:rFonts w:hint="eastAsia"/>
          <w:color w:val="auto"/>
          <w:sz w:val="24"/>
          <w:highlight w:val="none"/>
        </w:rPr>
        <w:t xml:space="preserve">14  </w:t>
      </w:r>
      <w:r>
        <w:rPr>
          <w:color w:val="auto"/>
          <w:sz w:val="24"/>
          <w:highlight w:val="none"/>
        </w:rPr>
        <w:t>投标文件的签署</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auto"/>
          <w:sz w:val="24"/>
          <w:highlight w:val="none"/>
        </w:rPr>
        <w:t>、盖章</w:t>
      </w:r>
    </w:p>
    <w:p w14:paraId="6983A1DA">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4BDA0F66">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14.2 投标截止时间以政府采购云平台电子交易平台显示的时间为准，逾期系统将自动关闭，未完成上传的投标文件视为逾期送达，将被拒绝。</w:t>
      </w:r>
    </w:p>
    <w:p w14:paraId="7F042C0C">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14.3 如果投标人未按上述要求密封及加写标记，采购代理机构对投标文件的误投和提前启封概不负责。对由此造成提前开封的投标文件，采购代理机构有权予以拒绝，并退回投标人。</w:t>
      </w:r>
    </w:p>
    <w:p w14:paraId="062D4A7B">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14.4 是否采用不见面开标方式详见投标人须知前附表，若本项目采用不见面开标，无需提供电子投标文件U盘、纸质投标文件。</w:t>
      </w:r>
    </w:p>
    <w:p w14:paraId="4EE0A261">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14.5 如果投标文件未按上述要求密封，采购人、采购代理机构应当拒收。</w:t>
      </w:r>
    </w:p>
    <w:p w14:paraId="46DAC9C3">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14.6任何行间插字、涂改和增删，必须由投标人法定代表人或经其正式授权的代表签字后才有效。</w:t>
      </w:r>
    </w:p>
    <w:p w14:paraId="75077C7B">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14.7投标文件因字迹潦草或表达不清所引起的后果由投标人负责。</w:t>
      </w:r>
    </w:p>
    <w:p w14:paraId="4C41CEB6">
      <w:pPr>
        <w:pStyle w:val="445"/>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14.8本招标文件中所要求加盖的投标人公章是指与投标人名称全称相一致的</w:t>
      </w:r>
      <w:r>
        <w:rPr>
          <w:rFonts w:ascii="宋体" w:hAnsi="宋体"/>
          <w:bCs/>
          <w:color w:val="auto"/>
          <w:sz w:val="24"/>
          <w:highlight w:val="none"/>
        </w:rPr>
        <w:t xml:space="preserve"> “</w:t>
      </w:r>
      <w:r>
        <w:rPr>
          <w:rFonts w:hint="eastAsia" w:ascii="宋体" w:hAnsi="宋体"/>
          <w:bCs/>
          <w:color w:val="auto"/>
          <w:sz w:val="24"/>
          <w:highlight w:val="none"/>
        </w:rPr>
        <w:t>行政公章</w:t>
      </w:r>
      <w:r>
        <w:rPr>
          <w:rFonts w:ascii="宋体" w:hAnsi="宋体"/>
          <w:bCs/>
          <w:color w:val="auto"/>
          <w:sz w:val="24"/>
          <w:highlight w:val="none"/>
        </w:rPr>
        <w:t>”</w:t>
      </w:r>
      <w:r>
        <w:rPr>
          <w:rFonts w:hint="eastAsia" w:ascii="宋体" w:hAnsi="宋体"/>
          <w:bCs/>
          <w:color w:val="auto"/>
          <w:sz w:val="24"/>
          <w:highlight w:val="none"/>
        </w:rPr>
        <w:t>原章，不得加盖其它</w:t>
      </w:r>
      <w:r>
        <w:rPr>
          <w:rFonts w:ascii="宋体" w:hAnsi="宋体"/>
          <w:bCs/>
          <w:color w:val="auto"/>
          <w:sz w:val="24"/>
          <w:highlight w:val="none"/>
        </w:rPr>
        <w:t>“</w:t>
      </w:r>
      <w:r>
        <w:rPr>
          <w:rFonts w:hint="eastAsia" w:ascii="宋体" w:hAnsi="宋体"/>
          <w:bCs/>
          <w:color w:val="auto"/>
          <w:sz w:val="24"/>
          <w:highlight w:val="none"/>
        </w:rPr>
        <w:t>合同专用章、投标专用章、财务专用章</w:t>
      </w:r>
      <w:r>
        <w:rPr>
          <w:rFonts w:ascii="宋体" w:hAnsi="宋体"/>
          <w:bCs/>
          <w:color w:val="auto"/>
          <w:sz w:val="24"/>
          <w:highlight w:val="none"/>
        </w:rPr>
        <w:t>”</w:t>
      </w:r>
      <w:r>
        <w:rPr>
          <w:rFonts w:hint="eastAsia" w:ascii="宋体" w:hAnsi="宋体"/>
          <w:bCs/>
          <w:color w:val="auto"/>
          <w:sz w:val="24"/>
          <w:highlight w:val="none"/>
        </w:rPr>
        <w:t>等非行政公章；</w:t>
      </w:r>
      <w:r>
        <w:rPr>
          <w:rFonts w:ascii="宋体" w:hAnsi="宋体"/>
          <w:bCs/>
          <w:color w:val="auto"/>
          <w:sz w:val="24"/>
          <w:highlight w:val="none"/>
        </w:rPr>
        <w:t>“</w:t>
      </w:r>
      <w:r>
        <w:rPr>
          <w:rFonts w:hint="eastAsia" w:ascii="宋体" w:hAnsi="宋体"/>
          <w:bCs/>
          <w:color w:val="auto"/>
          <w:sz w:val="24"/>
          <w:highlight w:val="none"/>
        </w:rPr>
        <w:t>签字</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是指投标人法定代表人或授权代表在招标文件规定处亲笔写上本人姓名；</w:t>
      </w:r>
      <w:r>
        <w:rPr>
          <w:rFonts w:ascii="宋体" w:hAnsi="宋体"/>
          <w:bCs/>
          <w:color w:val="auto"/>
          <w:sz w:val="24"/>
          <w:highlight w:val="none"/>
        </w:rPr>
        <w:t>“</w:t>
      </w:r>
      <w:r>
        <w:rPr>
          <w:rFonts w:hint="eastAsia" w:ascii="宋体" w:hAnsi="宋体"/>
          <w:bCs/>
          <w:color w:val="auto"/>
          <w:sz w:val="24"/>
          <w:highlight w:val="none"/>
        </w:rPr>
        <w:t>法定代表人或授权代表盖章</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是指投标人法定代表人或授权代表在招标文件规定处加盖个人名章、手签章、印鉴等。</w:t>
      </w:r>
    </w:p>
    <w:p w14:paraId="74F9329A">
      <w:pPr>
        <w:pStyle w:val="445"/>
        <w:spacing w:line="360" w:lineRule="auto"/>
        <w:jc w:val="center"/>
        <w:rPr>
          <w:color w:val="auto"/>
          <w:sz w:val="24"/>
          <w:highlight w:val="none"/>
        </w:rPr>
      </w:pPr>
    </w:p>
    <w:p w14:paraId="45BDDCC8">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  投标文件的提交</w:t>
      </w:r>
    </w:p>
    <w:p w14:paraId="359C55AF">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15.投标文件的提交方式</w:t>
      </w:r>
    </w:p>
    <w:p w14:paraId="4EA729DD">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15.1 投标人应当在招标文件要求提交投标文件的截止时间前在政采云平台递交投标文件。</w:t>
      </w:r>
    </w:p>
    <w:p w14:paraId="54A01ABF">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15.2 在招标文件要求提交投标文件的截止时间之后送达的投标文件，为无效投标文件，采购代理机构将拒绝接收。</w:t>
      </w:r>
    </w:p>
    <w:p w14:paraId="04D1ED70">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15.3 是否采用不见面开标详见投标人须知前附表，若项目采用不见面开标。只需将加密电子投标文件在投标截止时间前通过政府采购云平台电子交易平台上传完成。上传时必须得到电脑“上传成功”的确认回复后方为上传成功。逾期上传的或者未上传到平台的投标文件，采购人不予受理。</w:t>
      </w:r>
    </w:p>
    <w:p w14:paraId="0F2CA526">
      <w:pPr>
        <w:pStyle w:val="445"/>
        <w:spacing w:line="360" w:lineRule="auto"/>
        <w:rPr>
          <w:rFonts w:hint="eastAsia" w:ascii="宋体" w:hAnsi="宋体"/>
          <w:bCs/>
          <w:color w:val="auto"/>
          <w:sz w:val="24"/>
          <w:highlight w:val="none"/>
        </w:rPr>
      </w:pPr>
      <w:r>
        <w:rPr>
          <w:rFonts w:hint="eastAsia" w:ascii="宋体" w:hAnsi="宋体"/>
          <w:bCs/>
          <w:color w:val="auto"/>
          <w:sz w:val="24"/>
          <w:highlight w:val="none"/>
        </w:rPr>
        <w:t>16.投标文件的修改和撒回</w:t>
      </w:r>
    </w:p>
    <w:p w14:paraId="1C071AD3">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16.1 投标人在投标截止时间前，可以对所递交的投标文件进行补充、修改或者撤回，并书面通知采购人或者采购代理机构。</w:t>
      </w:r>
    </w:p>
    <w:p w14:paraId="054F224E">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16.2 投标人补充、修改的内容应当按照招标文件要求签署、盖章、密封后，作为投标文件的组成部分。</w:t>
      </w:r>
    </w:p>
    <w:p w14:paraId="37524F00">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16.3 在投标截止时间之后，投标人不得对其投标文件做任何补充或修改。</w:t>
      </w:r>
    </w:p>
    <w:p w14:paraId="7190DBC4">
      <w:pPr>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16.4 从投标截止时间至投标人在投标文件中确定的投标有效期之间，投标人不得撤销其投标，否则其投标保证金将按照本须知的规定不予退还。</w:t>
      </w:r>
    </w:p>
    <w:p w14:paraId="55B07C73">
      <w:pPr>
        <w:pStyle w:val="27"/>
        <w:rPr>
          <w:rFonts w:hint="eastAsia"/>
          <w:color w:val="auto"/>
          <w:highlight w:val="none"/>
        </w:rPr>
      </w:pPr>
    </w:p>
    <w:p w14:paraId="168C53CC">
      <w:pPr>
        <w:pStyle w:val="445"/>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五  开标、资格审查及评标</w:t>
      </w:r>
    </w:p>
    <w:p w14:paraId="69EF7354">
      <w:pPr>
        <w:pStyle w:val="445"/>
        <w:spacing w:line="360" w:lineRule="auto"/>
        <w:jc w:val="left"/>
        <w:rPr>
          <w:rFonts w:ascii="宋体" w:hAnsi="宋体"/>
          <w:color w:val="auto"/>
          <w:sz w:val="24"/>
          <w:highlight w:val="none"/>
        </w:rPr>
      </w:pPr>
      <w:r>
        <w:rPr>
          <w:rFonts w:hint="eastAsia" w:ascii="宋体" w:hAnsi="宋体"/>
          <w:color w:val="auto"/>
          <w:sz w:val="24"/>
          <w:highlight w:val="none"/>
        </w:rPr>
        <w:t>17  开标</w:t>
      </w:r>
    </w:p>
    <w:p w14:paraId="307807F1">
      <w:pPr>
        <w:pStyle w:val="445"/>
        <w:spacing w:line="360" w:lineRule="auto"/>
        <w:jc w:val="left"/>
        <w:rPr>
          <w:rFonts w:hint="eastAsia" w:ascii="宋体" w:hAnsi="宋体"/>
          <w:color w:val="auto"/>
          <w:sz w:val="24"/>
          <w:highlight w:val="none"/>
        </w:rPr>
      </w:pPr>
      <w:r>
        <w:rPr>
          <w:rFonts w:hint="eastAsia" w:ascii="宋体" w:hAnsi="宋体"/>
          <w:color w:val="auto"/>
          <w:sz w:val="24"/>
          <w:highlight w:val="none"/>
        </w:rPr>
        <w:t>18  开标方式：本项目采用不见面开标方式</w:t>
      </w:r>
    </w:p>
    <w:p w14:paraId="6076459E">
      <w:pPr>
        <w:pStyle w:val="445"/>
        <w:spacing w:line="360" w:lineRule="auto"/>
        <w:ind w:firstLine="480" w:firstLineChars="200"/>
        <w:rPr>
          <w:rFonts w:hint="eastAsia" w:hAnsi="宋体"/>
          <w:bCs/>
          <w:color w:val="auto"/>
          <w:sz w:val="24"/>
          <w:highlight w:val="none"/>
        </w:rPr>
      </w:pPr>
      <w:r>
        <w:rPr>
          <w:rFonts w:hint="eastAsia" w:ascii="宋体" w:hAnsi="宋体"/>
          <w:bCs/>
          <w:color w:val="auto"/>
          <w:sz w:val="24"/>
          <w:highlight w:val="none"/>
        </w:rPr>
        <w:t>18.1招标人在规定的投标截止时间（开标时间）和投标人须知前附表规定的地点开标。投标人的法定代表人或其委托代理人无需到达开标现场，仅需在任意地点通过政府采购云平台电子交易平台，使用CA密钥完成远程解密、提疑澄清、开标唱标、结果公布等交互环节。</w:t>
      </w:r>
    </w:p>
    <w:p w14:paraId="6001554B">
      <w:pPr>
        <w:pStyle w:val="445"/>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18.2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A6DD912">
      <w:pPr>
        <w:pStyle w:val="445"/>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18.3公开招标采购项目开标结束后，采购人或者采购代理机构应当依法对投标人的资格进行审查。</w:t>
      </w:r>
    </w:p>
    <w:p w14:paraId="23F171D1">
      <w:pPr>
        <w:pStyle w:val="445"/>
        <w:spacing w:line="360" w:lineRule="auto"/>
        <w:ind w:firstLine="480" w:firstLineChars="200"/>
        <w:rPr>
          <w:rFonts w:ascii="宋体" w:hAnsi="宋体"/>
          <w:bCs/>
          <w:color w:val="auto"/>
          <w:highlight w:val="none"/>
        </w:rPr>
      </w:pPr>
      <w:r>
        <w:rPr>
          <w:rFonts w:hint="eastAsia" w:ascii="宋体" w:hAnsi="宋体"/>
          <w:bCs/>
          <w:color w:val="auto"/>
          <w:sz w:val="24"/>
          <w:highlight w:val="none"/>
        </w:rPr>
        <w:t>18.4采购代理机构将对开标过程进行记录，由参加开标的各投标人代表和相关工作人员签字确认，并存档备查。投标人未参加开标的，视同认可开标结果。</w:t>
      </w:r>
    </w:p>
    <w:p w14:paraId="76B8A852">
      <w:pPr>
        <w:pStyle w:val="445"/>
        <w:spacing w:line="360" w:lineRule="auto"/>
        <w:rPr>
          <w:rFonts w:hint="eastAsia" w:ascii="宋体" w:hAnsi="宋体"/>
          <w:color w:val="auto"/>
          <w:sz w:val="24"/>
          <w:highlight w:val="none"/>
        </w:rPr>
      </w:pPr>
      <w:r>
        <w:rPr>
          <w:rFonts w:hint="eastAsia" w:ascii="宋体" w:hAnsi="宋体"/>
          <w:color w:val="auto"/>
          <w:sz w:val="24"/>
          <w:highlight w:val="none"/>
        </w:rPr>
        <w:t>19  资格审查</w:t>
      </w:r>
    </w:p>
    <w:p w14:paraId="02FC60A1">
      <w:pPr>
        <w:pStyle w:val="445"/>
        <w:spacing w:line="360" w:lineRule="auto"/>
        <w:ind w:firstLine="480" w:firstLineChars="200"/>
        <w:rPr>
          <w:color w:val="auto"/>
          <w:sz w:val="24"/>
          <w:highlight w:val="none"/>
        </w:rPr>
      </w:pPr>
      <w:r>
        <w:rPr>
          <w:rFonts w:hint="eastAsia" w:ascii="宋体" w:hAnsi="宋体"/>
          <w:bCs/>
          <w:color w:val="auto"/>
          <w:sz w:val="24"/>
          <w:highlight w:val="none"/>
        </w:rPr>
        <w:t>19.1</w:t>
      </w:r>
      <w:r>
        <w:rPr>
          <w:color w:val="auto"/>
          <w:sz w:val="24"/>
          <w:highlight w:val="none"/>
        </w:rPr>
        <w:t>见第三章《资格审查》。</w:t>
      </w:r>
    </w:p>
    <w:p w14:paraId="5897A6AC">
      <w:pPr>
        <w:pStyle w:val="445"/>
        <w:spacing w:line="360" w:lineRule="auto"/>
        <w:rPr>
          <w:rFonts w:hint="eastAsia"/>
          <w:color w:val="auto"/>
          <w:sz w:val="24"/>
          <w:highlight w:val="none"/>
        </w:rPr>
      </w:pPr>
      <w:r>
        <w:rPr>
          <w:rFonts w:hint="eastAsia" w:ascii="宋体" w:hAnsi="宋体"/>
          <w:color w:val="auto"/>
          <w:sz w:val="24"/>
          <w:highlight w:val="none"/>
        </w:rPr>
        <w:t xml:space="preserve">20 </w:t>
      </w:r>
      <w:r>
        <w:rPr>
          <w:rFonts w:hint="eastAsia"/>
          <w:color w:val="auto"/>
          <w:sz w:val="24"/>
          <w:highlight w:val="none"/>
        </w:rPr>
        <w:t xml:space="preserve"> 评标委员会</w:t>
      </w:r>
    </w:p>
    <w:p w14:paraId="4F15C282">
      <w:pPr>
        <w:pStyle w:val="445"/>
        <w:spacing w:line="360" w:lineRule="auto"/>
        <w:ind w:firstLine="480" w:firstLineChars="200"/>
        <w:rPr>
          <w:rFonts w:hint="eastAsia"/>
          <w:color w:val="auto"/>
          <w:sz w:val="24"/>
          <w:highlight w:val="none"/>
        </w:rPr>
      </w:pPr>
      <w:r>
        <w:rPr>
          <w:rFonts w:hint="eastAsia" w:ascii="宋体" w:hAnsi="宋体"/>
          <w:bCs/>
          <w:color w:val="auto"/>
          <w:sz w:val="24"/>
          <w:highlight w:val="none"/>
        </w:rPr>
        <w:t>20.1</w:t>
      </w:r>
      <w:r>
        <w:rPr>
          <w:rFonts w:hint="eastAsia"/>
          <w:color w:val="auto"/>
          <w:sz w:val="24"/>
          <w:highlight w:val="none"/>
        </w:rPr>
        <w:t>评标委员会根据政府采购有关规定和本次招标采购项目的特点进行组建，并负责具体评标事务，独立履行职责。</w:t>
      </w:r>
    </w:p>
    <w:p w14:paraId="14372C38">
      <w:pPr>
        <w:pStyle w:val="445"/>
        <w:spacing w:line="360" w:lineRule="auto"/>
        <w:ind w:firstLine="480" w:firstLineChars="200"/>
        <w:rPr>
          <w:color w:val="auto"/>
          <w:sz w:val="24"/>
          <w:highlight w:val="none"/>
        </w:rPr>
      </w:pPr>
      <w:r>
        <w:rPr>
          <w:rFonts w:hint="eastAsia" w:ascii="宋体" w:hAnsi="宋体"/>
          <w:bCs/>
          <w:color w:val="auto"/>
          <w:sz w:val="24"/>
          <w:highlight w:val="none"/>
        </w:rPr>
        <w:t>20.2</w:t>
      </w:r>
      <w:r>
        <w:rPr>
          <w:rFonts w:hint="eastAsia"/>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E131B9C">
      <w:pPr>
        <w:pStyle w:val="445"/>
        <w:spacing w:line="360" w:lineRule="auto"/>
        <w:rPr>
          <w:color w:val="auto"/>
          <w:sz w:val="24"/>
          <w:highlight w:val="none"/>
        </w:rPr>
      </w:pPr>
      <w:r>
        <w:rPr>
          <w:rFonts w:hint="eastAsia" w:ascii="宋体" w:hAnsi="宋体"/>
          <w:color w:val="auto"/>
          <w:sz w:val="24"/>
          <w:highlight w:val="none"/>
        </w:rPr>
        <w:t xml:space="preserve">21 </w:t>
      </w:r>
      <w:r>
        <w:rPr>
          <w:color w:val="auto"/>
          <w:sz w:val="24"/>
          <w:highlight w:val="none"/>
        </w:rPr>
        <w:t>评标程序、评标方法和评标标准</w:t>
      </w:r>
    </w:p>
    <w:p w14:paraId="24828C0F">
      <w:pPr>
        <w:pStyle w:val="445"/>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21.1见第四章《评标程序、评标方法和评标标准》。</w:t>
      </w:r>
    </w:p>
    <w:p w14:paraId="428BE7B6">
      <w:pPr>
        <w:pStyle w:val="44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  确定中标</w:t>
      </w:r>
    </w:p>
    <w:p w14:paraId="2C8C7D4E">
      <w:pPr>
        <w:pStyle w:val="445"/>
        <w:spacing w:line="360" w:lineRule="auto"/>
        <w:rPr>
          <w:rFonts w:hint="eastAsia" w:ascii="宋体" w:hAnsi="宋体"/>
          <w:color w:val="auto"/>
          <w:sz w:val="24"/>
          <w:highlight w:val="none"/>
        </w:rPr>
      </w:pPr>
      <w:r>
        <w:rPr>
          <w:rFonts w:hint="eastAsia" w:ascii="宋体" w:hAnsi="宋体"/>
          <w:color w:val="auto"/>
          <w:sz w:val="24"/>
          <w:highlight w:val="none"/>
        </w:rPr>
        <w:t>22  确定中标人</w:t>
      </w:r>
    </w:p>
    <w:p w14:paraId="427A7F2B">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353B5CB">
      <w:pPr>
        <w:pStyle w:val="445"/>
        <w:spacing w:line="360" w:lineRule="auto"/>
        <w:rPr>
          <w:rFonts w:hint="eastAsia" w:ascii="宋体" w:hAnsi="宋体"/>
          <w:color w:val="auto"/>
          <w:sz w:val="24"/>
          <w:highlight w:val="none"/>
        </w:rPr>
      </w:pPr>
      <w:r>
        <w:rPr>
          <w:rFonts w:hint="eastAsia" w:ascii="宋体" w:hAnsi="宋体"/>
          <w:color w:val="auto"/>
          <w:sz w:val="24"/>
          <w:highlight w:val="none"/>
        </w:rPr>
        <w:t xml:space="preserve">23  </w:t>
      </w:r>
      <w:bookmarkStart w:id="248" w:name="_Toc305158817"/>
      <w:bookmarkStart w:id="249" w:name="_Toc305158891"/>
      <w:r>
        <w:rPr>
          <w:rFonts w:hint="eastAsia" w:ascii="宋体" w:hAnsi="宋体"/>
          <w:color w:val="auto"/>
          <w:sz w:val="24"/>
          <w:highlight w:val="none"/>
        </w:rPr>
        <w:t>中标公告与中标通知书</w:t>
      </w:r>
      <w:bookmarkEnd w:id="248"/>
      <w:bookmarkEnd w:id="249"/>
    </w:p>
    <w:p w14:paraId="45419C95">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23.1 采购人或采购代理机构自中标人确定之日起2个工作日内，在新疆政府采购网公告中标结果，同时向中标人发出中标通知书，中标公告期限为1个工作日。</w:t>
      </w:r>
    </w:p>
    <w:p w14:paraId="75E11283">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23.2中标通知书对采购人和中标供应商均具有法律效力。中标通知书发出后，采购人改变中标结果的，或者中标供应商放弃中标项目的，应当依法承担法律责任。</w:t>
      </w:r>
    </w:p>
    <w:p w14:paraId="7E8C1275">
      <w:pPr>
        <w:pStyle w:val="445"/>
        <w:spacing w:line="360" w:lineRule="auto"/>
        <w:rPr>
          <w:rFonts w:hint="eastAsia" w:ascii="宋体" w:hAnsi="宋体"/>
          <w:color w:val="auto"/>
          <w:sz w:val="24"/>
          <w:highlight w:val="none"/>
        </w:rPr>
      </w:pPr>
      <w:r>
        <w:rPr>
          <w:rFonts w:hint="eastAsia" w:ascii="宋体" w:hAnsi="宋体"/>
          <w:color w:val="auto"/>
          <w:sz w:val="24"/>
          <w:highlight w:val="none"/>
        </w:rPr>
        <w:t>24  废标</w:t>
      </w:r>
    </w:p>
    <w:p w14:paraId="7A49C6D6">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24.1在招标采购中，出现下列情形之一的，应予废标：</w:t>
      </w:r>
    </w:p>
    <w:p w14:paraId="7F6FC066">
      <w:pPr>
        <w:pStyle w:val="445"/>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24.1.1</w:t>
      </w:r>
      <w:r>
        <w:rPr>
          <w:color w:val="auto"/>
          <w:sz w:val="24"/>
          <w:highlight w:val="none"/>
        </w:rPr>
        <w:t>符合专业条件的供应商或者对招标文件作实质响应的供应商不足三家的；</w:t>
      </w:r>
    </w:p>
    <w:p w14:paraId="514D8596">
      <w:pPr>
        <w:pStyle w:val="445"/>
        <w:spacing w:line="360" w:lineRule="auto"/>
        <w:ind w:firstLine="480" w:firstLineChars="200"/>
        <w:rPr>
          <w:color w:val="auto"/>
          <w:sz w:val="24"/>
          <w:highlight w:val="none"/>
        </w:rPr>
      </w:pPr>
      <w:r>
        <w:rPr>
          <w:rFonts w:hint="eastAsia" w:ascii="宋体" w:hAnsi="宋体"/>
          <w:color w:val="auto"/>
          <w:sz w:val="24"/>
          <w:highlight w:val="none"/>
        </w:rPr>
        <w:t xml:space="preserve">   24.1.2</w:t>
      </w:r>
      <w:r>
        <w:rPr>
          <w:color w:val="auto"/>
          <w:sz w:val="24"/>
          <w:highlight w:val="none"/>
        </w:rPr>
        <w:t>出现影响采购公正的违法、违规行为的；</w:t>
      </w:r>
    </w:p>
    <w:p w14:paraId="53571D6E">
      <w:pPr>
        <w:pStyle w:val="445"/>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24.1.3</w:t>
      </w:r>
      <w:r>
        <w:rPr>
          <w:color w:val="auto"/>
          <w:sz w:val="24"/>
          <w:highlight w:val="none"/>
        </w:rPr>
        <w:t>投标人的报价均超过了采购预算，采购人不能支付的；</w:t>
      </w:r>
    </w:p>
    <w:p w14:paraId="25327889">
      <w:pPr>
        <w:pStyle w:val="445"/>
        <w:spacing w:line="360" w:lineRule="auto"/>
        <w:ind w:firstLine="480" w:firstLineChars="200"/>
        <w:rPr>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24.1.4</w:t>
      </w:r>
      <w:r>
        <w:rPr>
          <w:color w:val="auto"/>
          <w:sz w:val="24"/>
          <w:highlight w:val="none"/>
        </w:rPr>
        <w:t>因重大变故，采购任务取消的。</w:t>
      </w:r>
    </w:p>
    <w:p w14:paraId="6C722ED4">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24.2废标后，采购人或采购代理机构将废标理由通知所有投标人。</w:t>
      </w:r>
    </w:p>
    <w:p w14:paraId="3EB2DC10">
      <w:pPr>
        <w:pStyle w:val="445"/>
        <w:spacing w:line="360" w:lineRule="auto"/>
        <w:rPr>
          <w:color w:val="auto"/>
          <w:sz w:val="24"/>
          <w:highlight w:val="none"/>
        </w:rPr>
      </w:pPr>
      <w:r>
        <w:rPr>
          <w:rFonts w:hint="eastAsia" w:ascii="宋体" w:hAnsi="宋体"/>
          <w:color w:val="auto"/>
          <w:sz w:val="24"/>
          <w:highlight w:val="none"/>
        </w:rPr>
        <w:t>25</w:t>
      </w:r>
      <w:bookmarkStart w:id="250" w:name="_Toc151193720"/>
      <w:bookmarkStart w:id="251" w:name="_Toc164608664"/>
      <w:bookmarkStart w:id="252" w:name="_Toc151190177"/>
      <w:bookmarkStart w:id="253" w:name="_Ref467306377"/>
      <w:bookmarkStart w:id="254" w:name="_Toc151193648"/>
      <w:bookmarkStart w:id="255" w:name="_Toc195842915"/>
      <w:bookmarkStart w:id="256" w:name="_Toc150774650"/>
      <w:bookmarkStart w:id="257" w:name="_Toc150480788"/>
      <w:bookmarkStart w:id="258" w:name="_Toc127151751"/>
      <w:bookmarkStart w:id="259" w:name="_Ref467307062"/>
      <w:bookmarkStart w:id="260" w:name="_Ref467307204"/>
      <w:bookmarkStart w:id="261" w:name="_Toc164229245"/>
      <w:bookmarkStart w:id="262" w:name="_Toc164229391"/>
      <w:bookmarkStart w:id="263" w:name="_Toc305158892"/>
      <w:bookmarkStart w:id="264" w:name="_Toc520356175"/>
      <w:bookmarkStart w:id="265" w:name="_Toc305158818"/>
      <w:bookmarkStart w:id="266" w:name="_Toc226337246"/>
      <w:bookmarkStart w:id="267" w:name="_Ref467306978"/>
      <w:bookmarkStart w:id="268" w:name="_Toc127151550"/>
      <w:bookmarkStart w:id="269" w:name="_Toc265228388"/>
      <w:bookmarkStart w:id="270" w:name="_Toc164608819"/>
      <w:bookmarkStart w:id="271" w:name="_Toc264969240"/>
      <w:bookmarkStart w:id="272" w:name="_Toc150509301"/>
      <w:bookmarkStart w:id="273" w:name="_Toc151193792"/>
      <w:bookmarkStart w:id="274" w:name="_Toc226309794"/>
      <w:bookmarkStart w:id="275" w:name="_Toc127161464"/>
      <w:bookmarkStart w:id="276" w:name="_Toc151193864"/>
      <w:bookmarkStart w:id="277" w:name="_Toc226965740"/>
      <w:bookmarkStart w:id="278" w:name="_Toc149720843"/>
      <w:bookmarkStart w:id="279" w:name="_Toc226965823"/>
      <w:bookmarkStart w:id="280" w:name="_Toc151193938"/>
      <w:bookmarkStart w:id="281" w:name="_Toc142311052"/>
      <w:bookmarkStart w:id="282" w:name="_Toc150774755"/>
      <w:bookmarkStart w:id="283" w:name="_Toc164351644"/>
      <w:r>
        <w:rPr>
          <w:rFonts w:hint="eastAsia" w:ascii="宋体" w:hAnsi="宋体"/>
          <w:color w:val="auto"/>
          <w:sz w:val="24"/>
          <w:highlight w:val="none"/>
        </w:rPr>
        <w:t xml:space="preserve">  </w:t>
      </w:r>
      <w:r>
        <w:rPr>
          <w:color w:val="auto"/>
          <w:sz w:val="24"/>
          <w:highlight w:val="none"/>
        </w:rPr>
        <w:t>签订合同</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2913077">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25.1中标人、采购人应当自中标通知书发出之日起30日内，按照招标文件和中标人投标文件的规定签订书面合同。所签订的合同不得对招标文件确定的事项和中标人投标文件作实质性修改。</w:t>
      </w:r>
    </w:p>
    <w:p w14:paraId="43A237C6">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25.2中标人拒绝与采购人签订合同的，采购人可以按照评标报告推荐的中标候选人名单排序，确定下一候选人为中标人，也可以重新开展政府采购活动。</w:t>
      </w:r>
    </w:p>
    <w:p w14:paraId="43C9D17F">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25.3联合体中标的，联合体各方应当共同与采购人签订合同，就中标项目向采购人承担连带责任。</w:t>
      </w:r>
    </w:p>
    <w:p w14:paraId="4DA1E417">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25.4政府采购合同不能转包。</w:t>
      </w:r>
    </w:p>
    <w:p w14:paraId="7EC6C425">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083BE4A1">
      <w:pPr>
        <w:pStyle w:val="445"/>
        <w:spacing w:line="360" w:lineRule="auto"/>
        <w:rPr>
          <w:rFonts w:hint="eastAsia" w:ascii="宋体" w:hAnsi="宋体"/>
          <w:color w:val="auto"/>
          <w:sz w:val="24"/>
          <w:highlight w:val="none"/>
        </w:rPr>
      </w:pPr>
      <w:r>
        <w:rPr>
          <w:rFonts w:hint="eastAsia" w:ascii="宋体" w:hAnsi="宋体"/>
          <w:color w:val="auto"/>
          <w:sz w:val="24"/>
          <w:highlight w:val="none"/>
        </w:rPr>
        <w:t>26  询问与质疑</w:t>
      </w:r>
    </w:p>
    <w:p w14:paraId="74016182">
      <w:pPr>
        <w:pStyle w:val="445"/>
        <w:spacing w:line="360" w:lineRule="auto"/>
        <w:ind w:firstLine="480" w:firstLineChars="200"/>
        <w:rPr>
          <w:color w:val="auto"/>
          <w:sz w:val="24"/>
          <w:highlight w:val="none"/>
        </w:rPr>
      </w:pPr>
      <w:r>
        <w:rPr>
          <w:rFonts w:hint="eastAsia" w:ascii="宋体" w:hAnsi="宋体"/>
          <w:color w:val="auto"/>
          <w:sz w:val="24"/>
          <w:highlight w:val="none"/>
        </w:rPr>
        <w:t>26.1</w:t>
      </w:r>
      <w:r>
        <w:rPr>
          <w:color w:val="auto"/>
          <w:sz w:val="24"/>
          <w:highlight w:val="none"/>
        </w:rPr>
        <w:t>询问</w:t>
      </w:r>
    </w:p>
    <w:p w14:paraId="6D637EB2">
      <w:pPr>
        <w:pStyle w:val="445"/>
        <w:spacing w:line="360" w:lineRule="auto"/>
        <w:ind w:firstLine="960" w:firstLineChars="400"/>
        <w:rPr>
          <w:color w:val="auto"/>
          <w:sz w:val="24"/>
          <w:highlight w:val="none"/>
        </w:rPr>
      </w:pPr>
      <w:r>
        <w:rPr>
          <w:rFonts w:hint="eastAsia" w:ascii="宋体" w:hAnsi="宋体"/>
          <w:color w:val="auto"/>
          <w:sz w:val="24"/>
          <w:highlight w:val="none"/>
        </w:rPr>
        <w:t>26.1.1</w:t>
      </w:r>
      <w:r>
        <w:rPr>
          <w:color w:val="auto"/>
          <w:sz w:val="24"/>
          <w:highlight w:val="none"/>
        </w:rPr>
        <w:t>投标人对政府采购活动事项有疑问的，可依法提出询问，并按《投标人须知资料表》载明的形式送达采购人或采购代理机构。</w:t>
      </w:r>
    </w:p>
    <w:p w14:paraId="53189DC5">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26.1.2采购人或采购代理机构对供应商依法提出的询问，在3个工作日内作出答复，但答复的内容不得涉及商业秘密。</w:t>
      </w:r>
    </w:p>
    <w:p w14:paraId="71D25C4C">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26.2  质疑</w:t>
      </w:r>
    </w:p>
    <w:p w14:paraId="1660599F">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26.2.1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7F14FAE1">
      <w:pPr>
        <w:pStyle w:val="445"/>
        <w:spacing w:line="360" w:lineRule="auto"/>
        <w:ind w:firstLine="960" w:firstLineChars="400"/>
        <w:rPr>
          <w:color w:val="auto"/>
          <w:sz w:val="24"/>
          <w:highlight w:val="none"/>
        </w:rPr>
      </w:pPr>
      <w:r>
        <w:rPr>
          <w:rFonts w:hint="eastAsia" w:ascii="宋体" w:hAnsi="宋体"/>
          <w:color w:val="auto"/>
          <w:sz w:val="24"/>
          <w:highlight w:val="none"/>
        </w:rPr>
        <w:t>26.2.2</w:t>
      </w:r>
      <w:r>
        <w:rPr>
          <w:color w:val="auto"/>
          <w:sz w:val="24"/>
          <w:highlight w:val="none"/>
        </w:rPr>
        <w:t>质疑函须使用财政部制定的范本文件。</w:t>
      </w:r>
    </w:p>
    <w:p w14:paraId="2960399F">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26.2.3投标人为自然人的，应当由本人签字；投标人为法人或者其他组织的，应当由法定代表人、主要负责人，或者其授权代表签字或者盖章，并加盖公章。</w:t>
      </w:r>
    </w:p>
    <w:p w14:paraId="6C10DF66">
      <w:pPr>
        <w:pStyle w:val="445"/>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26.2.4投标人应在法定质疑期内一次性提出针对同一采购程序环节的质疑，法定质疑期内针对同一采购程序环节再次提出的质疑，采购人、采购代理机构有权不予答复。</w:t>
      </w:r>
    </w:p>
    <w:p w14:paraId="3CEB3BE4">
      <w:pPr>
        <w:pStyle w:val="445"/>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26.3接收询问和质疑的联系部门、联系电话和通讯地址见《投标人须知资料表》。</w:t>
      </w:r>
    </w:p>
    <w:p w14:paraId="44DEAA9A">
      <w:pPr>
        <w:pStyle w:val="445"/>
        <w:spacing w:line="360" w:lineRule="auto"/>
        <w:rPr>
          <w:rFonts w:hint="eastAsia" w:ascii="宋体" w:hAnsi="宋体"/>
          <w:color w:val="auto"/>
          <w:sz w:val="24"/>
          <w:highlight w:val="none"/>
        </w:rPr>
      </w:pPr>
      <w:r>
        <w:rPr>
          <w:rFonts w:hint="eastAsia" w:ascii="宋体" w:hAnsi="宋体"/>
          <w:color w:val="auto"/>
          <w:sz w:val="24"/>
          <w:highlight w:val="none"/>
        </w:rPr>
        <w:t>27  代理费</w:t>
      </w:r>
    </w:p>
    <w:p w14:paraId="5A81ECC5">
      <w:pPr>
        <w:pStyle w:val="445"/>
        <w:spacing w:line="360" w:lineRule="auto"/>
        <w:ind w:firstLine="480" w:firstLineChars="200"/>
        <w:jc w:val="center"/>
        <w:rPr>
          <w:rFonts w:hint="eastAsia"/>
          <w:color w:val="auto"/>
          <w:highlight w:val="none"/>
        </w:rPr>
      </w:pPr>
      <w:r>
        <w:rPr>
          <w:rFonts w:hint="eastAsia" w:ascii="宋体" w:hAnsi="宋体"/>
          <w:color w:val="auto"/>
          <w:sz w:val="24"/>
          <w:highlight w:val="none"/>
        </w:rPr>
        <w:t>27.1收费对象、收费标准及缴纳时间见《投标人须知资料表》。由中标人支付的，中标人须一次性向采购代理机构缴纳代理费，投标报价应包含代理费用。</w:t>
      </w:r>
      <w:bookmarkStart w:id="284" w:name="_Toc22387"/>
      <w:r>
        <w:rPr>
          <w:rFonts w:hint="eastAsia" w:ascii="宋体"/>
          <w:b/>
          <w:color w:val="auto"/>
          <w:sz w:val="36"/>
          <w:szCs w:val="36"/>
          <w:highlight w:val="none"/>
        </w:rPr>
        <w:br w:type="page"/>
      </w:r>
      <w:r>
        <w:rPr>
          <w:rFonts w:hint="eastAsia" w:ascii="宋体"/>
          <w:b/>
          <w:color w:val="auto"/>
          <w:sz w:val="36"/>
          <w:szCs w:val="36"/>
          <w:highlight w:val="none"/>
        </w:rPr>
        <w:t>第三章  资格审查</w:t>
      </w:r>
      <w:bookmarkEnd w:id="284"/>
    </w:p>
    <w:p w14:paraId="057D07EE">
      <w:pPr>
        <w:pStyle w:val="80"/>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一、资格审查程序</w:t>
      </w:r>
    </w:p>
    <w:p w14:paraId="471F08A9">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1.开标结束后，采购人或采购代理机构将根据《资格审查要求》中的规定，对投标人进行资格审查，并形成资格审查结果。</w:t>
      </w:r>
    </w:p>
    <w:p w14:paraId="5EFE67B0">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2.《资格审查要求》中对格式有要求的，除招标文件另有规定外，均为“实质性格式”文件。</w:t>
      </w:r>
    </w:p>
    <w:p w14:paraId="506243C0">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3.投标人《资格证明文件》有任何一项不符合《资格审查要求》的，资格审查不合格，其投标无效。</w:t>
      </w:r>
    </w:p>
    <w:p w14:paraId="1FDE9F2E">
      <w:pPr>
        <w:pStyle w:val="8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4.资格审查合格的投标人不足3家的，不进行评标。</w:t>
      </w:r>
    </w:p>
    <w:p w14:paraId="138D47C2">
      <w:pPr>
        <w:pStyle w:val="80"/>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二、资格审查要求</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017"/>
        <w:gridCol w:w="4151"/>
        <w:gridCol w:w="2311"/>
      </w:tblGrid>
      <w:tr w14:paraId="2E9D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top"/>
          </w:tcPr>
          <w:p w14:paraId="3EFB6160">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2017" w:type="dxa"/>
            <w:noWrap w:val="0"/>
            <w:vAlign w:val="top"/>
          </w:tcPr>
          <w:p w14:paraId="3CE23302">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审查因素</w:t>
            </w:r>
          </w:p>
        </w:tc>
        <w:tc>
          <w:tcPr>
            <w:tcW w:w="4151" w:type="dxa"/>
            <w:noWrap w:val="0"/>
            <w:vAlign w:val="top"/>
          </w:tcPr>
          <w:p w14:paraId="64344509">
            <w:pPr>
              <w:pStyle w:val="27"/>
              <w:jc w:val="center"/>
              <w:outlineLvl w:val="1"/>
              <w:rPr>
                <w:rFonts w:ascii="宋体" w:hAnsi="宋体" w:eastAsia="宋体" w:cs="宋体"/>
                <w:b/>
                <w:color w:val="auto"/>
                <w:szCs w:val="24"/>
                <w:highlight w:val="none"/>
              </w:rPr>
            </w:pPr>
            <w:r>
              <w:rPr>
                <w:rFonts w:hint="eastAsia" w:ascii="宋体" w:hAnsi="宋体" w:eastAsia="宋体" w:cs="宋体"/>
                <w:b/>
                <w:color w:val="auto"/>
                <w:szCs w:val="24"/>
                <w:highlight w:val="none"/>
              </w:rPr>
              <w:t>审查内容</w:t>
            </w:r>
          </w:p>
        </w:tc>
        <w:tc>
          <w:tcPr>
            <w:tcW w:w="2311" w:type="dxa"/>
            <w:noWrap w:val="0"/>
            <w:vAlign w:val="top"/>
          </w:tcPr>
          <w:p w14:paraId="64F20C62">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格式要求</w:t>
            </w:r>
          </w:p>
        </w:tc>
      </w:tr>
      <w:tr w14:paraId="0328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atLeast"/>
        </w:trPr>
        <w:tc>
          <w:tcPr>
            <w:tcW w:w="763" w:type="dxa"/>
            <w:noWrap w:val="0"/>
            <w:vAlign w:val="center"/>
          </w:tcPr>
          <w:p w14:paraId="58AE0728">
            <w:pPr>
              <w:pStyle w:val="27"/>
              <w:jc w:val="center"/>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p>
        </w:tc>
        <w:tc>
          <w:tcPr>
            <w:tcW w:w="2017" w:type="dxa"/>
            <w:noWrap w:val="0"/>
            <w:vAlign w:val="center"/>
          </w:tcPr>
          <w:p w14:paraId="3D9E3B0A">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具有独立承担民事责任的能力</w:t>
            </w:r>
          </w:p>
        </w:tc>
        <w:tc>
          <w:tcPr>
            <w:tcW w:w="4151" w:type="dxa"/>
            <w:noWrap w:val="0"/>
            <w:vAlign w:val="center"/>
          </w:tcPr>
          <w:p w14:paraId="33217941">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投标人为企业（包括合伙企业）的，应提供有效的“营业执照”；</w:t>
            </w:r>
          </w:p>
          <w:p w14:paraId="6E84A071">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投标人为事业单位的，应提供有效的“事业单位法人证书”；</w:t>
            </w:r>
          </w:p>
          <w:p w14:paraId="716A7304">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投标人是非企业机构的，应提供有效的“执业许可证”、“登记证书”等证明文件；</w:t>
            </w:r>
          </w:p>
          <w:p w14:paraId="630B39D7">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投标人是个体工商户的，应提供有效的“个体工商户营业执照”；</w:t>
            </w:r>
          </w:p>
          <w:p w14:paraId="347A4B47">
            <w:pPr>
              <w:tabs>
                <w:tab w:val="left" w:pos="1080"/>
              </w:tabs>
              <w:snapToGrid w:val="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投标人是自然人的，应提供有效的自然人身份证明。</w:t>
            </w:r>
          </w:p>
          <w:p w14:paraId="073263B2">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kern w:val="0"/>
                <w:szCs w:val="28"/>
                <w:highlight w:val="none"/>
              </w:rPr>
              <w:t>若本项目允许分支机构参加投标，则分支机构参加投标的，此处可提供该分支机构或其所属法人或其他组织的相应证明文件。</w:t>
            </w:r>
          </w:p>
        </w:tc>
        <w:tc>
          <w:tcPr>
            <w:tcW w:w="2311" w:type="dxa"/>
            <w:noWrap w:val="0"/>
            <w:vAlign w:val="center"/>
          </w:tcPr>
          <w:p w14:paraId="7F0BA0B9">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r w14:paraId="5590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763" w:type="dxa"/>
            <w:noWrap w:val="0"/>
            <w:vAlign w:val="center"/>
          </w:tcPr>
          <w:p w14:paraId="0503D0A6">
            <w:pPr>
              <w:pStyle w:val="27"/>
              <w:jc w:val="center"/>
              <w:outlineLvl w:val="1"/>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2</w:t>
            </w:r>
          </w:p>
        </w:tc>
        <w:tc>
          <w:tcPr>
            <w:tcW w:w="2017" w:type="dxa"/>
            <w:noWrap w:val="0"/>
            <w:vAlign w:val="center"/>
          </w:tcPr>
          <w:p w14:paraId="11C92DEC">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具有良好的商业信誉和健全的财务会计制度</w:t>
            </w:r>
          </w:p>
        </w:tc>
        <w:tc>
          <w:tcPr>
            <w:tcW w:w="4151" w:type="dxa"/>
            <w:noWrap w:val="0"/>
            <w:vAlign w:val="center"/>
          </w:tcPr>
          <w:p w14:paraId="3C1EC2C1">
            <w:pPr>
              <w:pStyle w:val="27"/>
              <w:outlineLvl w:val="1"/>
              <w:rPr>
                <w:rFonts w:hint="eastAsia" w:ascii="宋体" w:hAnsi="宋体" w:eastAsia="宋体" w:cs="宋体"/>
                <w:bCs/>
                <w:color w:val="auto"/>
                <w:kern w:val="0"/>
                <w:szCs w:val="28"/>
                <w:highlight w:val="none"/>
              </w:rPr>
            </w:pPr>
            <w:r>
              <w:rPr>
                <w:rFonts w:hint="eastAsia" w:ascii="宋体" w:hAnsi="宋体" w:eastAsia="宋体" w:cs="宋体"/>
                <w:bCs/>
                <w:color w:val="auto"/>
                <w:szCs w:val="24"/>
                <w:highlight w:val="none"/>
              </w:rPr>
              <w:t>提供会计师事务所出具</w:t>
            </w:r>
            <w:r>
              <w:rPr>
                <w:rFonts w:hint="eastAsia" w:ascii="宋体" w:hAnsi="宋体" w:eastAsia="宋体" w:cs="宋体"/>
                <w:bCs/>
                <w:color w:val="auto"/>
                <w:szCs w:val="24"/>
                <w:highlight w:val="none"/>
                <w:lang w:eastAsia="zh-CN"/>
              </w:rPr>
              <w:t>2023年度或2024年度财务审计报告复印件或银行在开标日前三个月内开具的资信证明（新成立公司提供自成立以来的财务报表）。</w:t>
            </w:r>
          </w:p>
        </w:tc>
        <w:tc>
          <w:tcPr>
            <w:tcW w:w="2311" w:type="dxa"/>
            <w:noWrap w:val="0"/>
            <w:vAlign w:val="center"/>
          </w:tcPr>
          <w:p w14:paraId="7AE5C6AA">
            <w:pPr>
              <w:pStyle w:val="27"/>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r w14:paraId="3D82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763" w:type="dxa"/>
            <w:noWrap w:val="0"/>
            <w:vAlign w:val="center"/>
          </w:tcPr>
          <w:p w14:paraId="014E3DEA">
            <w:pPr>
              <w:pStyle w:val="27"/>
              <w:jc w:val="center"/>
              <w:outlineLvl w:val="1"/>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3</w:t>
            </w:r>
          </w:p>
        </w:tc>
        <w:tc>
          <w:tcPr>
            <w:tcW w:w="2017" w:type="dxa"/>
            <w:noWrap w:val="0"/>
            <w:vAlign w:val="center"/>
          </w:tcPr>
          <w:p w14:paraId="394E23FF">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具备履行合同所必需的设备和专业技术能力</w:t>
            </w:r>
          </w:p>
        </w:tc>
        <w:tc>
          <w:tcPr>
            <w:tcW w:w="4151" w:type="dxa"/>
            <w:noWrap w:val="0"/>
            <w:vAlign w:val="center"/>
          </w:tcPr>
          <w:p w14:paraId="05269AC7">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提供具备履行合同所必需的设备和专业技术能力的证明材料或承诺（须加盖投标人公章）。</w:t>
            </w:r>
          </w:p>
        </w:tc>
        <w:tc>
          <w:tcPr>
            <w:tcW w:w="2311" w:type="dxa"/>
            <w:noWrap w:val="0"/>
            <w:vAlign w:val="center"/>
          </w:tcPr>
          <w:p w14:paraId="5522304A">
            <w:pPr>
              <w:pStyle w:val="27"/>
              <w:jc w:val="center"/>
              <w:outlineLvl w:val="1"/>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格式自拟</w:t>
            </w:r>
          </w:p>
        </w:tc>
      </w:tr>
      <w:tr w14:paraId="2DF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6CABD40B">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4</w:t>
            </w:r>
          </w:p>
        </w:tc>
        <w:tc>
          <w:tcPr>
            <w:tcW w:w="2017" w:type="dxa"/>
            <w:noWrap w:val="0"/>
            <w:vAlign w:val="center"/>
          </w:tcPr>
          <w:p w14:paraId="3C09EA0E">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有依法缴纳税收和社会保障资金的良好记录</w:t>
            </w:r>
          </w:p>
        </w:tc>
        <w:tc>
          <w:tcPr>
            <w:tcW w:w="4151" w:type="dxa"/>
            <w:noWrap w:val="0"/>
            <w:vAlign w:val="center"/>
          </w:tcPr>
          <w:p w14:paraId="6300E95A">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提供近一年内任意三个月缴纳税收及社保证明原件</w:t>
            </w:r>
            <w:r>
              <w:rPr>
                <w:rFonts w:hint="eastAsia" w:ascii="宋体" w:hAnsi="宋体" w:eastAsia="宋体" w:cs="宋体"/>
                <w:bCs/>
                <w:color w:val="auto"/>
                <w:szCs w:val="24"/>
                <w:highlight w:val="none"/>
                <w:lang w:eastAsia="zh-CN"/>
              </w:rPr>
              <w:t>的扫描件</w:t>
            </w:r>
            <w:r>
              <w:rPr>
                <w:rFonts w:hint="eastAsia" w:ascii="宋体" w:hAnsi="宋体" w:eastAsia="宋体" w:cs="宋体"/>
                <w:bCs/>
                <w:color w:val="auto"/>
                <w:szCs w:val="24"/>
                <w:highlight w:val="none"/>
              </w:rPr>
              <w:t>或复印件加盖公章（公司成立不到三个月的从成立之日起算）</w:t>
            </w:r>
          </w:p>
        </w:tc>
        <w:tc>
          <w:tcPr>
            <w:tcW w:w="2311" w:type="dxa"/>
            <w:noWrap w:val="0"/>
            <w:vAlign w:val="center"/>
          </w:tcPr>
          <w:p w14:paraId="4F5ECB3E">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w:t>
            </w:r>
            <w:r>
              <w:rPr>
                <w:rFonts w:hint="eastAsia" w:ascii="宋体" w:hAnsi="宋体" w:eastAsia="宋体" w:cs="宋体"/>
                <w:bCs/>
                <w:color w:val="auto"/>
                <w:szCs w:val="24"/>
                <w:highlight w:val="none"/>
                <w:lang w:eastAsia="zh-CN"/>
              </w:rPr>
              <w:t>的扫描件</w:t>
            </w:r>
            <w:r>
              <w:rPr>
                <w:rFonts w:hint="eastAsia" w:ascii="宋体" w:hAnsi="宋体" w:eastAsia="宋体" w:cs="宋体"/>
                <w:bCs/>
                <w:color w:val="auto"/>
                <w:szCs w:val="24"/>
                <w:highlight w:val="none"/>
              </w:rPr>
              <w:t>或复印件加盖公章</w:t>
            </w:r>
          </w:p>
        </w:tc>
      </w:tr>
      <w:tr w14:paraId="3776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6A181A00">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5</w:t>
            </w:r>
          </w:p>
        </w:tc>
        <w:tc>
          <w:tcPr>
            <w:tcW w:w="2017" w:type="dxa"/>
            <w:noWrap w:val="0"/>
            <w:vAlign w:val="center"/>
          </w:tcPr>
          <w:p w14:paraId="6E31A889">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投标人声明函</w:t>
            </w:r>
          </w:p>
        </w:tc>
        <w:tc>
          <w:tcPr>
            <w:tcW w:w="4151" w:type="dxa"/>
            <w:noWrap w:val="0"/>
            <w:vAlign w:val="center"/>
          </w:tcPr>
          <w:p w14:paraId="2E8A9236">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提供了参加政府采购活动前三年内，在经营活动中没有重大违法记录的书面声明函（格式后附）。</w:t>
            </w:r>
          </w:p>
        </w:tc>
        <w:tc>
          <w:tcPr>
            <w:tcW w:w="2311" w:type="dxa"/>
            <w:noWrap w:val="0"/>
            <w:vAlign w:val="center"/>
          </w:tcPr>
          <w:p w14:paraId="67A99DD5">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格式见《投标文件格式》</w:t>
            </w:r>
          </w:p>
        </w:tc>
      </w:tr>
      <w:tr w14:paraId="2E93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 w:type="dxa"/>
            <w:noWrap w:val="0"/>
            <w:vAlign w:val="center"/>
          </w:tcPr>
          <w:p w14:paraId="13CCA9F7">
            <w:pPr>
              <w:pStyle w:val="27"/>
              <w:jc w:val="center"/>
              <w:outlineLvl w:val="1"/>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val="en-US" w:eastAsia="zh-CN"/>
              </w:rPr>
              <w:t>6</w:t>
            </w:r>
          </w:p>
        </w:tc>
        <w:tc>
          <w:tcPr>
            <w:tcW w:w="2017" w:type="dxa"/>
            <w:noWrap w:val="0"/>
            <w:vAlign w:val="center"/>
          </w:tcPr>
          <w:p w14:paraId="78192BE6">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投标人信用记录</w:t>
            </w:r>
          </w:p>
        </w:tc>
        <w:tc>
          <w:tcPr>
            <w:tcW w:w="4151" w:type="dxa"/>
            <w:noWrap w:val="0"/>
            <w:vAlign w:val="center"/>
          </w:tcPr>
          <w:p w14:paraId="2401B8D1">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查询渠道：信用中国网站和中国政府采购网（www.creditchina.gov.cn、www.ccgp.gov.cn）；</w:t>
            </w:r>
          </w:p>
          <w:p w14:paraId="6D23ABCC">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截止时点：投标截止时间以后、资格审查阶段采购人或采购代理机构的实际查询时间；</w:t>
            </w:r>
          </w:p>
          <w:p w14:paraId="71434EA2">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信用信息查询记录和证据留存具体方式：查询结果网页打印页作为查询记录和证据，与其他采购文件一并保存；</w:t>
            </w:r>
          </w:p>
          <w:p w14:paraId="33EFCAA4">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2311" w:type="dxa"/>
            <w:noWrap w:val="0"/>
            <w:vAlign w:val="center"/>
          </w:tcPr>
          <w:p w14:paraId="60C148C3">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无须投标人提供，由采购人或采购代理机构查询。</w:t>
            </w:r>
          </w:p>
        </w:tc>
      </w:tr>
      <w:tr w14:paraId="4B22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63" w:type="dxa"/>
            <w:noWrap w:val="0"/>
            <w:vAlign w:val="center"/>
          </w:tcPr>
          <w:p w14:paraId="4868ECE0">
            <w:pPr>
              <w:pStyle w:val="27"/>
              <w:jc w:val="center"/>
              <w:outlineLvl w:val="1"/>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7</w:t>
            </w:r>
          </w:p>
        </w:tc>
        <w:tc>
          <w:tcPr>
            <w:tcW w:w="2017" w:type="dxa"/>
            <w:noWrap w:val="0"/>
            <w:vAlign w:val="center"/>
          </w:tcPr>
          <w:p w14:paraId="4C77ACE8">
            <w:pPr>
              <w:pStyle w:val="27"/>
              <w:outlineLvl w:val="1"/>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特定资质</w:t>
            </w:r>
          </w:p>
        </w:tc>
        <w:tc>
          <w:tcPr>
            <w:tcW w:w="4151" w:type="dxa"/>
            <w:noWrap w:val="0"/>
            <w:vAlign w:val="center"/>
          </w:tcPr>
          <w:p w14:paraId="4A087980">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产品属于医疗器械管理范围的：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复印件加盖公章；（投标产品不属于医疗器械管理范围的，此项无需提供）；</w:t>
            </w:r>
          </w:p>
        </w:tc>
        <w:tc>
          <w:tcPr>
            <w:tcW w:w="2311" w:type="dxa"/>
            <w:noWrap w:val="0"/>
            <w:vAlign w:val="center"/>
          </w:tcPr>
          <w:p w14:paraId="1A958991">
            <w:pPr>
              <w:pStyle w:val="27"/>
              <w:outlineLvl w:val="1"/>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提供证明文件原件的扫描件加盖公章或原件的复印件加盖公章</w:t>
            </w:r>
          </w:p>
        </w:tc>
      </w:tr>
      <w:tr w14:paraId="728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63" w:type="dxa"/>
            <w:noWrap w:val="0"/>
            <w:vAlign w:val="center"/>
          </w:tcPr>
          <w:p w14:paraId="37938A63">
            <w:pPr>
              <w:pStyle w:val="27"/>
              <w:jc w:val="center"/>
              <w:outlineLvl w:val="1"/>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8</w:t>
            </w:r>
          </w:p>
        </w:tc>
        <w:tc>
          <w:tcPr>
            <w:tcW w:w="2017" w:type="dxa"/>
            <w:noWrap w:val="0"/>
            <w:vAlign w:val="center"/>
          </w:tcPr>
          <w:p w14:paraId="663C55DD">
            <w:pPr>
              <w:pStyle w:val="27"/>
              <w:outlineLvl w:val="1"/>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中小企业声明函</w:t>
            </w:r>
          </w:p>
        </w:tc>
        <w:tc>
          <w:tcPr>
            <w:tcW w:w="4151" w:type="dxa"/>
            <w:noWrap w:val="0"/>
            <w:vAlign w:val="center"/>
          </w:tcPr>
          <w:p w14:paraId="1837EC51">
            <w:pPr>
              <w:pStyle w:val="27"/>
              <w:outlineLvl w:val="1"/>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因本项目为专门面向中小企业采购，必须提供。</w:t>
            </w:r>
          </w:p>
        </w:tc>
        <w:tc>
          <w:tcPr>
            <w:tcW w:w="2311" w:type="dxa"/>
            <w:noWrap w:val="0"/>
            <w:vAlign w:val="center"/>
          </w:tcPr>
          <w:p w14:paraId="1FDD6FF3">
            <w:pPr>
              <w:pStyle w:val="27"/>
              <w:outlineLvl w:val="1"/>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格式后附</w:t>
            </w:r>
          </w:p>
        </w:tc>
      </w:tr>
    </w:tbl>
    <w:p w14:paraId="23E68103">
      <w:pPr>
        <w:pStyle w:val="27"/>
        <w:jc w:val="center"/>
        <w:outlineLvl w:val="0"/>
        <w:rPr>
          <w:rFonts w:hint="eastAsia" w:ascii="宋体" w:hAnsi="宋体" w:eastAsia="宋体" w:cs="宋体"/>
          <w:b/>
          <w:color w:val="auto"/>
          <w:sz w:val="36"/>
          <w:szCs w:val="36"/>
          <w:highlight w:val="none"/>
        </w:rPr>
      </w:pPr>
      <w:r>
        <w:rPr>
          <w:rFonts w:hint="eastAsia" w:ascii="宋体"/>
          <w:b/>
          <w:color w:val="auto"/>
          <w:sz w:val="32"/>
          <w:szCs w:val="32"/>
          <w:highlight w:val="none"/>
        </w:rPr>
        <w:br w:type="page"/>
      </w:r>
      <w:bookmarkStart w:id="285" w:name="_Toc24895"/>
      <w:r>
        <w:rPr>
          <w:rFonts w:hint="eastAsia" w:ascii="宋体" w:hAnsi="宋体" w:eastAsia="宋体" w:cs="宋体"/>
          <w:b/>
          <w:color w:val="auto"/>
          <w:sz w:val="36"/>
          <w:szCs w:val="36"/>
          <w:highlight w:val="none"/>
        </w:rPr>
        <w:t>第四章 评标程序、评标方法和评标标准</w:t>
      </w:r>
      <w:bookmarkEnd w:id="285"/>
    </w:p>
    <w:p w14:paraId="2E237D7E">
      <w:pPr>
        <w:jc w:val="center"/>
        <w:rPr>
          <w:rFonts w:hint="eastAsia"/>
          <w:b/>
          <w:bCs/>
          <w:color w:val="auto"/>
          <w:sz w:val="24"/>
          <w:highlight w:val="none"/>
        </w:rPr>
      </w:pPr>
      <w:r>
        <w:rPr>
          <w:rFonts w:hint="eastAsia"/>
          <w:b/>
          <w:bCs/>
          <w:color w:val="auto"/>
          <w:sz w:val="24"/>
          <w:highlight w:val="none"/>
        </w:rPr>
        <w:t>一、评标方法</w:t>
      </w:r>
    </w:p>
    <w:p w14:paraId="36587265">
      <w:pPr>
        <w:pStyle w:val="34"/>
        <w:tabs>
          <w:tab w:val="left" w:pos="957"/>
        </w:tabs>
        <w:kinsoku w:val="0"/>
        <w:overflowPunct w:val="0"/>
        <w:spacing w:before="46" w:line="360" w:lineRule="auto"/>
        <w:ind w:right="109"/>
        <w:rPr>
          <w:rFonts w:hint="eastAsia" w:hAnsi="宋体"/>
          <w:color w:val="auto"/>
          <w:highlight w:val="none"/>
          <w:lang w:val="en-US" w:eastAsia="zh-CN"/>
        </w:rPr>
      </w:pPr>
      <w:bookmarkStart w:id="286" w:name="_Toc265228379"/>
      <w:bookmarkStart w:id="287" w:name="_Toc151193639"/>
      <w:bookmarkStart w:id="288" w:name="_Toc151193855"/>
      <w:bookmarkStart w:id="289" w:name="_Toc164229382"/>
      <w:bookmarkStart w:id="290" w:name="_Toc164351635"/>
      <w:bookmarkStart w:id="291" w:name="_Toc305158883"/>
      <w:bookmarkStart w:id="292" w:name="_Toc264969231"/>
      <w:bookmarkStart w:id="293" w:name="_Toc151193711"/>
      <w:bookmarkStart w:id="294" w:name="_Toc151193783"/>
      <w:bookmarkStart w:id="295" w:name="_Toc305158809"/>
      <w:bookmarkStart w:id="296" w:name="_Toc164229236"/>
      <w:bookmarkStart w:id="297" w:name="_Toc142311043"/>
      <w:bookmarkStart w:id="298" w:name="_Toc150774746"/>
      <w:bookmarkStart w:id="299" w:name="_Toc164608655"/>
      <w:bookmarkStart w:id="300" w:name="_Toc150774641"/>
      <w:bookmarkStart w:id="301" w:name="_Toc226965814"/>
      <w:bookmarkStart w:id="302" w:name="_Toc226965731"/>
      <w:bookmarkStart w:id="303" w:name="_Toc149720834"/>
      <w:bookmarkStart w:id="304" w:name="_Toc150480779"/>
      <w:bookmarkStart w:id="305" w:name="_Toc127151742"/>
      <w:bookmarkStart w:id="306" w:name="_Toc151190168"/>
      <w:bookmarkStart w:id="307" w:name="_Toc226337237"/>
      <w:bookmarkStart w:id="308" w:name="_Toc164608810"/>
      <w:bookmarkStart w:id="309" w:name="_Toc127151541"/>
      <w:bookmarkStart w:id="310" w:name="_Toc195842906"/>
      <w:bookmarkStart w:id="311" w:name="_Toc151193929"/>
      <w:bookmarkStart w:id="312" w:name="_Toc150509292"/>
      <w:bookmarkStart w:id="313" w:name="_Toc127161455"/>
      <w:bookmarkStart w:id="314" w:name="_Toc226309785"/>
      <w:r>
        <w:rPr>
          <w:rFonts w:hint="eastAsia" w:hAnsi="宋体"/>
          <w:color w:val="auto"/>
          <w:highlight w:val="none"/>
          <w:lang w:val="en-US" w:eastAsia="zh-CN"/>
        </w:rPr>
        <w:t>1  投标文件的符合性审查</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9CA4D50">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highlight w:val="none"/>
          <w:lang w:val="en-US" w:eastAsia="zh-CN"/>
        </w:rPr>
        <w:t xml:space="preserve"> </w:t>
      </w:r>
      <w:r>
        <w:rPr>
          <w:rFonts w:hint="eastAsia" w:hAnsi="宋体" w:cs="宋体"/>
          <w:color w:val="auto"/>
          <w:sz w:val="24"/>
          <w:highlight w:val="none"/>
          <w:lang w:val="en-US" w:eastAsia="zh-CN"/>
        </w:rPr>
        <w:t>1.1评标委员会对资格审查合格的投标人的投标文件进行符合性审查，以确定其是否满足招标文件的实质性要求。</w:t>
      </w:r>
    </w:p>
    <w:p w14:paraId="68C1E462">
      <w:pPr>
        <w:pStyle w:val="68"/>
        <w:spacing w:line="360" w:lineRule="auto"/>
        <w:ind w:left="0" w:leftChars="0"/>
        <w:rPr>
          <w:rFonts w:hint="eastAsia" w:ascii="宋体" w:hAnsi="宋体" w:cs="宋体"/>
          <w:b/>
          <w:bCs/>
          <w:color w:val="auto"/>
          <w:sz w:val="24"/>
          <w:highlight w:val="none"/>
        </w:rPr>
      </w:pPr>
      <w:r>
        <w:rPr>
          <w:rFonts w:hint="eastAsia" w:ascii="宋体" w:hAnsi="宋体" w:cs="宋体"/>
          <w:color w:val="auto"/>
          <w:sz w:val="24"/>
          <w:highlight w:val="none"/>
        </w:rPr>
        <w:t xml:space="preserve">   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hint="eastAsia" w:ascii="宋体" w:hAnsi="宋体" w:cs="宋体"/>
          <w:b/>
          <w:bCs/>
          <w:color w:val="auto"/>
          <w:sz w:val="24"/>
          <w:highlight w:val="none"/>
        </w:rPr>
        <w:t>投标无效。</w:t>
      </w:r>
    </w:p>
    <w:p w14:paraId="36518E22">
      <w:pPr>
        <w:jc w:val="center"/>
        <w:rPr>
          <w:rFonts w:hint="eastAsia"/>
          <w:b/>
          <w:bCs/>
          <w:color w:val="auto"/>
          <w:highlight w:val="none"/>
        </w:rPr>
      </w:pPr>
    </w:p>
    <w:p w14:paraId="3DEB3A36">
      <w:pPr>
        <w:jc w:val="center"/>
        <w:rPr>
          <w:rFonts w:hint="eastAsia"/>
          <w:b/>
          <w:bCs/>
          <w:color w:val="auto"/>
          <w:sz w:val="24"/>
          <w:highlight w:val="none"/>
        </w:rPr>
      </w:pPr>
      <w:r>
        <w:rPr>
          <w:rFonts w:hint="eastAsia"/>
          <w:b/>
          <w:bCs/>
          <w:color w:val="auto"/>
          <w:sz w:val="24"/>
          <w:highlight w:val="none"/>
        </w:rPr>
        <w:t>符合性审查要求</w:t>
      </w:r>
    </w:p>
    <w:tbl>
      <w:tblPr>
        <w:tblStyle w:val="8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5"/>
        <w:gridCol w:w="6657"/>
      </w:tblGrid>
      <w:tr w14:paraId="03A2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EC47C35">
            <w:pPr>
              <w:pStyle w:val="86"/>
              <w:ind w:firstLine="0" w:firstLineChars="0"/>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序号</w:t>
            </w:r>
          </w:p>
        </w:tc>
        <w:tc>
          <w:tcPr>
            <w:tcW w:w="1755" w:type="dxa"/>
            <w:noWrap w:val="0"/>
            <w:vAlign w:val="center"/>
          </w:tcPr>
          <w:p w14:paraId="718BF039">
            <w:pPr>
              <w:pStyle w:val="86"/>
              <w:ind w:firstLine="211"/>
              <w:jc w:val="center"/>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审查因素</w:t>
            </w:r>
          </w:p>
        </w:tc>
        <w:tc>
          <w:tcPr>
            <w:tcW w:w="6657" w:type="dxa"/>
            <w:noWrap w:val="0"/>
            <w:vAlign w:val="center"/>
          </w:tcPr>
          <w:p w14:paraId="6F2A1314">
            <w:pPr>
              <w:pStyle w:val="86"/>
              <w:ind w:firstLine="211"/>
              <w:jc w:val="center"/>
              <w:rPr>
                <w:rFonts w:ascii="Calibri" w:eastAsia="宋体" w:cs="Times New Roman"/>
                <w:b/>
                <w:bCs/>
                <w:color w:val="auto"/>
                <w:highlight w:val="none"/>
                <w:lang w:val="en-US" w:eastAsia="zh-CN"/>
              </w:rPr>
            </w:pPr>
            <w:r>
              <w:rPr>
                <w:rFonts w:hint="eastAsia" w:ascii="Calibri" w:eastAsia="宋体" w:cs="Times New Roman"/>
                <w:b/>
                <w:bCs/>
                <w:color w:val="auto"/>
                <w:highlight w:val="none"/>
                <w:lang w:val="en-US" w:eastAsia="zh-CN"/>
              </w:rPr>
              <w:t>审查内容</w:t>
            </w:r>
          </w:p>
        </w:tc>
      </w:tr>
      <w:tr w14:paraId="2F48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noWrap w:val="0"/>
            <w:vAlign w:val="center"/>
          </w:tcPr>
          <w:p w14:paraId="360715A6">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1755" w:type="dxa"/>
            <w:noWrap w:val="0"/>
            <w:vAlign w:val="center"/>
          </w:tcPr>
          <w:p w14:paraId="50DC3477">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法定代表人授权书</w:t>
            </w:r>
          </w:p>
        </w:tc>
        <w:tc>
          <w:tcPr>
            <w:tcW w:w="6657" w:type="dxa"/>
            <w:noWrap w:val="0"/>
            <w:vAlign w:val="center"/>
          </w:tcPr>
          <w:p w14:paraId="6639A7A6">
            <w:pPr>
              <w:pStyle w:val="86"/>
              <w:ind w:firstLine="240"/>
              <w:jc w:val="center"/>
              <w:rPr>
                <w:rFonts w:hint="eastAsia" w:hAnsi="宋体" w:eastAsia="宋体" w:cs="宋体"/>
                <w:color w:val="auto"/>
                <w:sz w:val="24"/>
                <w:highlight w:val="none"/>
                <w:lang w:val="en-US" w:eastAsia="zh-CN"/>
              </w:rPr>
            </w:pPr>
            <w:r>
              <w:rPr>
                <w:rFonts w:hint="eastAsia" w:ascii="宋体" w:hAnsi="宋体" w:eastAsia="宋体" w:cs="宋体"/>
                <w:color w:val="auto"/>
                <w:spacing w:val="-2"/>
                <w:kern w:val="0"/>
                <w:sz w:val="24"/>
                <w:szCs w:val="20"/>
                <w:highlight w:val="none"/>
              </w:rPr>
              <w:t>投标文件提供法定代表人授权委托书或提供法定代表人身份证明；</w:t>
            </w:r>
          </w:p>
        </w:tc>
      </w:tr>
      <w:tr w14:paraId="7BE5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0" w:type="dxa"/>
            <w:noWrap w:val="0"/>
            <w:vAlign w:val="center"/>
          </w:tcPr>
          <w:p w14:paraId="47AEE432">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1755" w:type="dxa"/>
            <w:noWrap w:val="0"/>
            <w:vAlign w:val="center"/>
          </w:tcPr>
          <w:p w14:paraId="7BDD0C3C">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投标完整性</w:t>
            </w:r>
          </w:p>
        </w:tc>
        <w:tc>
          <w:tcPr>
            <w:tcW w:w="6657" w:type="dxa"/>
            <w:noWrap w:val="0"/>
            <w:vAlign w:val="center"/>
          </w:tcPr>
          <w:p w14:paraId="671BBE64">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sz w:val="24"/>
                <w:highlight w:val="none"/>
                <w:lang w:val="en-US" w:eastAsia="zh-CN"/>
              </w:rPr>
              <w:t>未</w:t>
            </w:r>
            <w:r>
              <w:rPr>
                <w:rFonts w:ascii="Calibri" w:eastAsia="宋体" w:cs="Times New Roman"/>
                <w:color w:val="auto"/>
                <w:sz w:val="24"/>
                <w:highlight w:val="none"/>
                <w:lang w:val="en-US" w:eastAsia="zh-CN"/>
              </w:rPr>
              <w:t>将一个采购包中的内容拆开投标；</w:t>
            </w:r>
          </w:p>
        </w:tc>
      </w:tr>
      <w:tr w14:paraId="3888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FBEB8E4">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3</w:t>
            </w:r>
          </w:p>
        </w:tc>
        <w:tc>
          <w:tcPr>
            <w:tcW w:w="1755" w:type="dxa"/>
            <w:noWrap w:val="0"/>
            <w:vAlign w:val="center"/>
          </w:tcPr>
          <w:p w14:paraId="21D12951">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投标报价</w:t>
            </w:r>
          </w:p>
        </w:tc>
        <w:tc>
          <w:tcPr>
            <w:tcW w:w="6657" w:type="dxa"/>
            <w:noWrap w:val="0"/>
            <w:vAlign w:val="center"/>
          </w:tcPr>
          <w:p w14:paraId="1B7353C0">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投标报价未超过招标文件中规定的预算金额或者最高限价；</w:t>
            </w:r>
          </w:p>
        </w:tc>
      </w:tr>
      <w:tr w14:paraId="5DB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2069ECD0">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4</w:t>
            </w:r>
          </w:p>
        </w:tc>
        <w:tc>
          <w:tcPr>
            <w:tcW w:w="1755" w:type="dxa"/>
            <w:noWrap w:val="0"/>
            <w:vAlign w:val="center"/>
          </w:tcPr>
          <w:p w14:paraId="6078CD00">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报价唯一性</w:t>
            </w:r>
          </w:p>
        </w:tc>
        <w:tc>
          <w:tcPr>
            <w:tcW w:w="6657" w:type="dxa"/>
            <w:noWrap w:val="0"/>
            <w:vAlign w:val="center"/>
          </w:tcPr>
          <w:p w14:paraId="2C55A391">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投标文件未出现可选择性或可调整的报价（招标文件另有规定的除外）；</w:t>
            </w:r>
          </w:p>
        </w:tc>
      </w:tr>
      <w:tr w14:paraId="32BA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4537CD4A">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5</w:t>
            </w:r>
          </w:p>
        </w:tc>
        <w:tc>
          <w:tcPr>
            <w:tcW w:w="1755" w:type="dxa"/>
            <w:noWrap w:val="0"/>
            <w:vAlign w:val="center"/>
          </w:tcPr>
          <w:p w14:paraId="50A17D4D">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投标有效期</w:t>
            </w:r>
          </w:p>
        </w:tc>
        <w:tc>
          <w:tcPr>
            <w:tcW w:w="6657" w:type="dxa"/>
            <w:noWrap w:val="0"/>
            <w:vAlign w:val="center"/>
          </w:tcPr>
          <w:p w14:paraId="5436A2DE">
            <w:pPr>
              <w:pStyle w:val="86"/>
              <w:ind w:firstLine="240"/>
              <w:jc w:val="center"/>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投标文件中承诺的投标有效期满足招标文件中载明的投标有效期的；</w:t>
            </w:r>
          </w:p>
        </w:tc>
      </w:tr>
      <w:tr w14:paraId="6FFC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0" w:type="dxa"/>
            <w:noWrap w:val="0"/>
            <w:vAlign w:val="center"/>
          </w:tcPr>
          <w:p w14:paraId="61D17E5C">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6</w:t>
            </w:r>
          </w:p>
        </w:tc>
        <w:tc>
          <w:tcPr>
            <w:tcW w:w="1755" w:type="dxa"/>
            <w:noWrap w:val="0"/>
            <w:vAlign w:val="center"/>
          </w:tcPr>
          <w:p w14:paraId="3BCC9BE0">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签署、盖章</w:t>
            </w:r>
          </w:p>
        </w:tc>
        <w:tc>
          <w:tcPr>
            <w:tcW w:w="6657" w:type="dxa"/>
            <w:noWrap w:val="0"/>
            <w:vAlign w:val="center"/>
          </w:tcPr>
          <w:p w14:paraId="5CAD5170">
            <w:pPr>
              <w:pStyle w:val="86"/>
              <w:ind w:firstLine="240"/>
              <w:jc w:val="center"/>
              <w:rPr>
                <w:rFonts w:hint="eastAsia" w:hAnsi="宋体" w:eastAsia="宋体" w:cs="宋体"/>
                <w:color w:val="auto"/>
                <w:sz w:val="24"/>
                <w:highlight w:val="none"/>
                <w:lang w:val="en-US" w:eastAsia="zh-CN"/>
              </w:rPr>
            </w:pPr>
            <w:r>
              <w:rPr>
                <w:rFonts w:ascii="Calibri" w:eastAsia="宋体" w:cs="Times New Roman"/>
                <w:color w:val="auto"/>
                <w:kern w:val="0"/>
                <w:sz w:val="24"/>
                <w:highlight w:val="none"/>
                <w:lang w:val="en-US" w:eastAsia="zh-CN"/>
              </w:rPr>
              <w:t>按照招标文件要求签署、盖章的；</w:t>
            </w:r>
          </w:p>
        </w:tc>
      </w:tr>
      <w:tr w14:paraId="76C3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0225D1C0">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7</w:t>
            </w:r>
          </w:p>
        </w:tc>
        <w:tc>
          <w:tcPr>
            <w:tcW w:w="1755" w:type="dxa"/>
            <w:noWrap w:val="0"/>
            <w:vAlign w:val="center"/>
          </w:tcPr>
          <w:p w14:paraId="22F80287">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实质性格式</w:t>
            </w:r>
          </w:p>
        </w:tc>
        <w:tc>
          <w:tcPr>
            <w:tcW w:w="6657" w:type="dxa"/>
            <w:noWrap w:val="0"/>
            <w:vAlign w:val="center"/>
          </w:tcPr>
          <w:p w14:paraId="59F3A96F">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标记为</w:t>
            </w:r>
            <w:r>
              <w:rPr>
                <w:rFonts w:ascii="Calibri" w:eastAsia="宋体" w:cs="Times New Roman"/>
                <w:color w:val="auto"/>
                <w:kern w:val="0"/>
                <w:sz w:val="24"/>
                <w:highlight w:val="none"/>
                <w:lang w:val="en-US" w:eastAsia="zh-CN"/>
              </w:rPr>
              <w:t>“实质性格式”的</w:t>
            </w:r>
            <w:r>
              <w:rPr>
                <w:rFonts w:hint="eastAsia" w:ascii="Calibri" w:eastAsia="宋体" w:cs="Times New Roman"/>
                <w:color w:val="auto"/>
                <w:kern w:val="0"/>
                <w:sz w:val="24"/>
                <w:highlight w:val="none"/>
                <w:lang w:val="en-US" w:eastAsia="zh-CN"/>
              </w:rPr>
              <w:t>文件均按</w:t>
            </w:r>
            <w:r>
              <w:rPr>
                <w:rFonts w:ascii="Calibri" w:eastAsia="宋体" w:cs="Times New Roman"/>
                <w:color w:val="auto"/>
                <w:kern w:val="0"/>
                <w:sz w:val="24"/>
                <w:highlight w:val="none"/>
                <w:lang w:val="en-US" w:eastAsia="zh-CN"/>
              </w:rPr>
              <w:t>招标文件</w:t>
            </w:r>
            <w:r>
              <w:rPr>
                <w:rFonts w:hint="eastAsia" w:ascii="Calibri" w:eastAsia="宋体" w:cs="Times New Roman"/>
                <w:color w:val="auto"/>
                <w:kern w:val="0"/>
                <w:sz w:val="24"/>
                <w:highlight w:val="none"/>
                <w:lang w:val="en-US" w:eastAsia="zh-CN"/>
              </w:rPr>
              <w:t>要求提供；</w:t>
            </w:r>
          </w:p>
        </w:tc>
      </w:tr>
      <w:tr w14:paraId="496E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3C214889">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8</w:t>
            </w:r>
          </w:p>
        </w:tc>
        <w:tc>
          <w:tcPr>
            <w:tcW w:w="1755" w:type="dxa"/>
            <w:noWrap w:val="0"/>
            <w:vAlign w:val="center"/>
          </w:tcPr>
          <w:p w14:paraId="395B6563">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附加条件</w:t>
            </w:r>
          </w:p>
        </w:tc>
        <w:tc>
          <w:tcPr>
            <w:tcW w:w="6657" w:type="dxa"/>
            <w:noWrap w:val="0"/>
            <w:vAlign w:val="center"/>
          </w:tcPr>
          <w:p w14:paraId="077041BF">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投标文件</w:t>
            </w:r>
            <w:r>
              <w:rPr>
                <w:rFonts w:hint="eastAsia" w:ascii="Calibri" w:eastAsia="宋体" w:cs="Times New Roman"/>
                <w:color w:val="auto"/>
                <w:kern w:val="0"/>
                <w:sz w:val="24"/>
                <w:highlight w:val="none"/>
                <w:lang w:val="en-US" w:eastAsia="zh-CN"/>
              </w:rPr>
              <w:t>未</w:t>
            </w:r>
            <w:r>
              <w:rPr>
                <w:rFonts w:ascii="Calibri" w:eastAsia="宋体" w:cs="Times New Roman"/>
                <w:color w:val="auto"/>
                <w:kern w:val="0"/>
                <w:sz w:val="24"/>
                <w:highlight w:val="none"/>
                <w:lang w:val="en-US" w:eastAsia="zh-CN"/>
              </w:rPr>
              <w:t>含有采购人不能接受的附加条件的；</w:t>
            </w:r>
          </w:p>
        </w:tc>
      </w:tr>
      <w:tr w14:paraId="1616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3D2A2196">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9</w:t>
            </w:r>
          </w:p>
        </w:tc>
        <w:tc>
          <w:tcPr>
            <w:tcW w:w="1755" w:type="dxa"/>
            <w:noWrap w:val="0"/>
            <w:vAlign w:val="center"/>
          </w:tcPr>
          <w:p w14:paraId="0C48DD77">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报价的修正（如有）</w:t>
            </w:r>
          </w:p>
        </w:tc>
        <w:tc>
          <w:tcPr>
            <w:tcW w:w="6657" w:type="dxa"/>
            <w:noWrap w:val="0"/>
            <w:vAlign w:val="center"/>
          </w:tcPr>
          <w:p w14:paraId="59652D62">
            <w:pPr>
              <w:pStyle w:val="86"/>
              <w:ind w:firstLine="240"/>
              <w:jc w:val="center"/>
              <w:rPr>
                <w:rFonts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不涉及报价修正</w:t>
            </w:r>
            <w:r>
              <w:rPr>
                <w:rFonts w:ascii="Calibri" w:eastAsia="宋体" w:cs="Times New Roman"/>
                <w:color w:val="auto"/>
                <w:kern w:val="0"/>
                <w:sz w:val="24"/>
                <w:highlight w:val="none"/>
                <w:lang w:val="en-US" w:eastAsia="zh-CN"/>
              </w:rPr>
              <w:t>，或投标文件报价出现前后不一致</w:t>
            </w:r>
            <w:r>
              <w:rPr>
                <w:rFonts w:hint="eastAsia" w:ascii="Calibri" w:eastAsia="宋体" w:cs="Times New Roman"/>
                <w:color w:val="auto"/>
                <w:kern w:val="0"/>
                <w:sz w:val="24"/>
                <w:highlight w:val="none"/>
                <w:lang w:val="en-US" w:eastAsia="zh-CN"/>
              </w:rPr>
              <w:t>时</w:t>
            </w:r>
            <w:r>
              <w:rPr>
                <w:rFonts w:ascii="Calibri" w:eastAsia="宋体" w:cs="Times New Roman"/>
                <w:color w:val="auto"/>
                <w:kern w:val="0"/>
                <w:sz w:val="24"/>
                <w:highlight w:val="none"/>
                <w:lang w:val="en-US" w:eastAsia="zh-CN"/>
              </w:rPr>
              <w:t>，投标人对修正后的报价予</w:t>
            </w:r>
            <w:r>
              <w:rPr>
                <w:rFonts w:hint="eastAsia" w:ascii="Calibri" w:eastAsia="宋体" w:cs="Times New Roman"/>
                <w:color w:val="auto"/>
                <w:kern w:val="0"/>
                <w:sz w:val="24"/>
                <w:highlight w:val="none"/>
                <w:lang w:val="en-US" w:eastAsia="zh-CN"/>
              </w:rPr>
              <w:t>以</w:t>
            </w:r>
            <w:r>
              <w:rPr>
                <w:rFonts w:ascii="Calibri" w:eastAsia="宋体" w:cs="Times New Roman"/>
                <w:color w:val="auto"/>
                <w:kern w:val="0"/>
                <w:sz w:val="24"/>
                <w:highlight w:val="none"/>
                <w:lang w:val="en-US" w:eastAsia="zh-CN"/>
              </w:rPr>
              <w:t>确认；（如有）</w:t>
            </w:r>
          </w:p>
        </w:tc>
      </w:tr>
      <w:tr w14:paraId="3A4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715B7E26">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10</w:t>
            </w:r>
          </w:p>
        </w:tc>
        <w:tc>
          <w:tcPr>
            <w:tcW w:w="1755" w:type="dxa"/>
            <w:noWrap w:val="0"/>
            <w:vAlign w:val="center"/>
          </w:tcPr>
          <w:p w14:paraId="31202694">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公平竞争</w:t>
            </w:r>
          </w:p>
        </w:tc>
        <w:tc>
          <w:tcPr>
            <w:tcW w:w="6657" w:type="dxa"/>
            <w:noWrap w:val="0"/>
            <w:vAlign w:val="center"/>
          </w:tcPr>
          <w:p w14:paraId="7294D977">
            <w:pPr>
              <w:pStyle w:val="86"/>
              <w:ind w:firstLine="240"/>
              <w:jc w:val="center"/>
              <w:rPr>
                <w:rFonts w:hint="eastAsia" w:ascii="Calibri" w:eastAsia="宋体" w:cs="Times New Roman"/>
                <w:color w:val="auto"/>
                <w:kern w:val="0"/>
                <w:sz w:val="24"/>
                <w:highlight w:val="none"/>
                <w:lang w:val="en-US" w:eastAsia="zh-CN"/>
              </w:rPr>
            </w:pPr>
            <w:r>
              <w:rPr>
                <w:rFonts w:hint="eastAsia" w:ascii="Calibri" w:eastAsia="宋体" w:cs="Times New Roman"/>
                <w:color w:val="auto"/>
                <w:kern w:val="0"/>
                <w:sz w:val="24"/>
                <w:highlight w:val="none"/>
                <w:lang w:val="en-US" w:eastAsia="zh-CN"/>
              </w:rPr>
              <w:t>投标人遵循公平竞争的原则，不存在恶意串通，妨碍其他投标人的竞争行为，不存在损害采购人或者其他投标人的合法权益情形的；</w:t>
            </w:r>
          </w:p>
        </w:tc>
      </w:tr>
      <w:tr w14:paraId="0149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42ADC386">
            <w:pPr>
              <w:pStyle w:val="86"/>
              <w:ind w:firstLine="240"/>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11</w:t>
            </w:r>
          </w:p>
        </w:tc>
        <w:tc>
          <w:tcPr>
            <w:tcW w:w="1755" w:type="dxa"/>
            <w:noWrap w:val="0"/>
            <w:vAlign w:val="center"/>
          </w:tcPr>
          <w:p w14:paraId="68D5D668">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投标保证金</w:t>
            </w:r>
          </w:p>
        </w:tc>
        <w:tc>
          <w:tcPr>
            <w:tcW w:w="6657" w:type="dxa"/>
            <w:noWrap w:val="0"/>
            <w:vAlign w:val="top"/>
          </w:tcPr>
          <w:p w14:paraId="0A77B4A6">
            <w:pPr>
              <w:spacing w:line="360" w:lineRule="auto"/>
              <w:jc w:val="center"/>
              <w:rPr>
                <w:rFonts w:hint="eastAsia" w:ascii="宋体" w:hAnsi="宋体" w:eastAsia="宋体" w:cs="宋体"/>
                <w:color w:val="auto"/>
                <w:spacing w:val="-2"/>
                <w:kern w:val="0"/>
                <w:sz w:val="24"/>
                <w:szCs w:val="20"/>
                <w:highlight w:val="none"/>
              </w:rPr>
            </w:pPr>
            <w:r>
              <w:rPr>
                <w:rFonts w:hint="eastAsia" w:ascii="宋体" w:hAnsi="宋体" w:eastAsia="宋体" w:cs="宋体"/>
                <w:color w:val="auto"/>
                <w:spacing w:val="-2"/>
                <w:kern w:val="0"/>
                <w:sz w:val="24"/>
                <w:szCs w:val="20"/>
                <w:highlight w:val="none"/>
              </w:rPr>
              <w:t>按照招标文件的规定提交投标保证金。</w:t>
            </w:r>
          </w:p>
        </w:tc>
      </w:tr>
      <w:tr w14:paraId="01EE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0" w:type="dxa"/>
            <w:noWrap w:val="0"/>
            <w:vAlign w:val="center"/>
          </w:tcPr>
          <w:p w14:paraId="71B3B01D">
            <w:pPr>
              <w:pStyle w:val="86"/>
              <w:ind w:firstLine="240"/>
              <w:jc w:val="center"/>
              <w:rPr>
                <w:rFonts w:hAnsi="宋体" w:eastAsia="宋体" w:cs="宋体"/>
                <w:color w:val="auto"/>
                <w:sz w:val="24"/>
                <w:highlight w:val="none"/>
                <w:lang w:val="en-US" w:eastAsia="zh-CN"/>
              </w:rPr>
            </w:pPr>
            <w:r>
              <w:rPr>
                <w:rFonts w:hint="eastAsia" w:hAnsi="宋体" w:eastAsia="宋体" w:cs="宋体"/>
                <w:color w:val="auto"/>
                <w:sz w:val="24"/>
                <w:highlight w:val="none"/>
                <w:lang w:val="en-US" w:eastAsia="zh-CN"/>
              </w:rPr>
              <w:t>12</w:t>
            </w:r>
          </w:p>
        </w:tc>
        <w:tc>
          <w:tcPr>
            <w:tcW w:w="1755" w:type="dxa"/>
            <w:noWrap w:val="0"/>
            <w:vAlign w:val="center"/>
          </w:tcPr>
          <w:p w14:paraId="05D1DAAD">
            <w:pPr>
              <w:pStyle w:val="86"/>
              <w:ind w:firstLine="240"/>
              <w:jc w:val="center"/>
              <w:rPr>
                <w:rFonts w:ascii="Calibri" w:eastAsia="宋体" w:cs="Times New Roman"/>
                <w:color w:val="auto"/>
                <w:kern w:val="0"/>
                <w:sz w:val="24"/>
                <w:highlight w:val="none"/>
                <w:lang w:val="en-US" w:eastAsia="zh-CN"/>
              </w:rPr>
            </w:pPr>
            <w:r>
              <w:rPr>
                <w:rFonts w:ascii="Calibri" w:eastAsia="宋体" w:cs="Times New Roman"/>
                <w:color w:val="auto"/>
                <w:kern w:val="0"/>
                <w:sz w:val="24"/>
                <w:highlight w:val="none"/>
                <w:lang w:val="en-US" w:eastAsia="zh-CN"/>
              </w:rPr>
              <w:t>其他无效情形</w:t>
            </w:r>
          </w:p>
        </w:tc>
        <w:tc>
          <w:tcPr>
            <w:tcW w:w="6657" w:type="dxa"/>
            <w:noWrap w:val="0"/>
            <w:vAlign w:val="center"/>
          </w:tcPr>
          <w:p w14:paraId="79333F43">
            <w:pPr>
              <w:pStyle w:val="86"/>
              <w:ind w:firstLine="240"/>
              <w:jc w:val="center"/>
              <w:rPr>
                <w:rFonts w:hint="eastAsia" w:ascii="Calibri" w:eastAsia="宋体" w:cs="Times New Roman"/>
                <w:color w:val="auto"/>
                <w:kern w:val="0"/>
                <w:sz w:val="24"/>
                <w:highlight w:val="none"/>
                <w:lang w:val="en-US" w:eastAsia="zh-CN"/>
              </w:rPr>
            </w:pPr>
            <w:r>
              <w:rPr>
                <w:rFonts w:ascii="Calibri" w:eastAsia="宋体" w:cs="Times New Roman"/>
                <w:color w:val="auto"/>
                <w:sz w:val="24"/>
                <w:highlight w:val="none"/>
                <w:lang w:val="en-US" w:eastAsia="zh-CN"/>
              </w:rPr>
              <w:t>投标人、投标文件</w:t>
            </w:r>
            <w:r>
              <w:rPr>
                <w:rFonts w:hint="eastAsia" w:ascii="Calibri" w:eastAsia="宋体" w:cs="Times New Roman"/>
                <w:color w:val="auto"/>
                <w:sz w:val="24"/>
                <w:highlight w:val="none"/>
                <w:lang w:val="en-US" w:eastAsia="zh-CN"/>
              </w:rPr>
              <w:t>不存在</w:t>
            </w:r>
            <w:r>
              <w:rPr>
                <w:rFonts w:ascii="Calibri" w:eastAsia="宋体" w:cs="Times New Roman"/>
                <w:color w:val="auto"/>
                <w:sz w:val="24"/>
                <w:highlight w:val="none"/>
                <w:lang w:val="en-US" w:eastAsia="zh-CN"/>
              </w:rPr>
              <w:t>不符合法律、法规和招标文件规定的其他无效情形。</w:t>
            </w:r>
          </w:p>
        </w:tc>
      </w:tr>
    </w:tbl>
    <w:p w14:paraId="3F93C52D">
      <w:pPr>
        <w:pStyle w:val="86"/>
        <w:ind w:firstLine="0" w:firstLineChars="0"/>
        <w:jc w:val="left"/>
        <w:rPr>
          <w:rFonts w:hint="eastAsia" w:hAnsi="宋体" w:cs="宋体"/>
          <w:color w:val="auto"/>
          <w:sz w:val="24"/>
          <w:highlight w:val="none"/>
          <w:lang w:val="en-US" w:eastAsia="zh-CN"/>
        </w:rPr>
      </w:pPr>
    </w:p>
    <w:p w14:paraId="5457E92C">
      <w:pPr>
        <w:pStyle w:val="86"/>
        <w:ind w:firstLine="0" w:firstLineChars="0"/>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   投标文件有关事项的澄清或者说明</w:t>
      </w:r>
    </w:p>
    <w:p w14:paraId="4DCB2B39">
      <w:pPr>
        <w:pStyle w:val="68"/>
        <w:spacing w:line="360" w:lineRule="auto"/>
        <w:ind w:left="0" w:leftChars="0"/>
        <w:rPr>
          <w:color w:val="auto"/>
          <w:highlight w:val="none"/>
        </w:rPr>
      </w:pPr>
      <w:r>
        <w:rPr>
          <w:rFonts w:hint="eastAsia" w:ascii="宋体" w:hAnsi="宋体" w:cs="宋体"/>
          <w:color w:val="auto"/>
          <w:sz w:val="24"/>
          <w:highlight w:val="none"/>
        </w:rPr>
        <w:t xml:space="preserve">  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C591896">
      <w:pPr>
        <w:pStyle w:val="86"/>
        <w:spacing w:line="360" w:lineRule="auto"/>
        <w:ind w:firstLine="240"/>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BD34240">
      <w:pPr>
        <w:pStyle w:val="68"/>
        <w:spacing w:line="360" w:lineRule="auto"/>
        <w:ind w:left="0" w:leftChars="0" w:firstLine="240" w:firstLineChars="100"/>
        <w:rPr>
          <w:rFonts w:hint="eastAsia" w:ascii="宋体" w:hAnsi="宋体" w:cs="宋体"/>
          <w:b/>
          <w:bCs/>
          <w:color w:val="auto"/>
          <w:sz w:val="24"/>
          <w:highlight w:val="none"/>
        </w:rPr>
      </w:pPr>
      <w:r>
        <w:rPr>
          <w:rFonts w:hint="eastAsia" w:ascii="宋体" w:hAnsi="宋体" w:cs="宋体"/>
          <w:color w:val="auto"/>
          <w:sz w:val="24"/>
          <w:highlight w:val="none"/>
        </w:rPr>
        <w:t>2.3投标报价须包含招标文件全部内容，如分项报价表有缺漏项视为将一个采购包中的内容拆开投标，</w:t>
      </w:r>
      <w:r>
        <w:rPr>
          <w:rFonts w:hint="eastAsia" w:ascii="宋体" w:hAnsi="宋体" w:cs="宋体"/>
          <w:b/>
          <w:bCs/>
          <w:color w:val="auto"/>
          <w:sz w:val="24"/>
          <w:highlight w:val="none"/>
        </w:rPr>
        <w:t>其投标无效。</w:t>
      </w:r>
    </w:p>
    <w:p w14:paraId="4D82E819">
      <w:pPr>
        <w:pStyle w:val="68"/>
        <w:spacing w:line="360" w:lineRule="auto"/>
        <w:ind w:left="0" w:leftChars="0" w:firstLine="240" w:firstLineChars="100"/>
        <w:rPr>
          <w:rFonts w:hint="eastAsia" w:ascii="宋体" w:hAnsi="宋体" w:cs="宋体"/>
          <w:color w:val="auto"/>
          <w:sz w:val="24"/>
          <w:highlight w:val="none"/>
        </w:rPr>
      </w:pPr>
      <w:r>
        <w:rPr>
          <w:rFonts w:hint="eastAsia" w:ascii="宋体" w:hAnsi="宋体" w:cs="宋体"/>
          <w:color w:val="auto"/>
          <w:sz w:val="24"/>
          <w:highlight w:val="none"/>
        </w:rPr>
        <w:t>2.4投标文件报价出现前后不一致的，按照下列规定修正：</w:t>
      </w:r>
    </w:p>
    <w:p w14:paraId="67F22070">
      <w:pPr>
        <w:pStyle w:val="68"/>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2.4.1单独递交的开标一览表（报价表）与投标文件中开标一览表（报价表）内容不一致的，以单独递交的开标一览表（报价表）为准；</w:t>
      </w:r>
    </w:p>
    <w:p w14:paraId="695180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2.4.2投标文件中开标一览表（报价表）内容与投标文件中相应内容不一致的，以开标一览表（报价表）为准；</w:t>
      </w:r>
    </w:p>
    <w:p w14:paraId="08F36403">
      <w:pPr>
        <w:pStyle w:val="86"/>
        <w:spacing w:line="360" w:lineRule="auto"/>
        <w:ind w:firstLine="240"/>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2.4.3大写金额和小写金额不一致的，以大写金额为准；</w:t>
      </w:r>
    </w:p>
    <w:p w14:paraId="1C1C1B65">
      <w:pPr>
        <w:pStyle w:val="86"/>
        <w:spacing w:line="360" w:lineRule="auto"/>
        <w:ind w:firstLine="21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2.4.4单价金额小数点或者百分比有明显错位的，以开标一览表的总价为准，并修改单价；</w:t>
      </w:r>
    </w:p>
    <w:p w14:paraId="0E97DF2C">
      <w:pPr>
        <w:pStyle w:val="86"/>
        <w:spacing w:line="360" w:lineRule="auto"/>
        <w:ind w:firstLine="240"/>
        <w:rPr>
          <w:color w:val="auto"/>
          <w:sz w:val="24"/>
          <w:highlight w:val="none"/>
        </w:rPr>
      </w:pPr>
      <w:r>
        <w:rPr>
          <w:rFonts w:hint="eastAsia" w:hAnsi="宋体" w:cs="宋体"/>
          <w:color w:val="auto"/>
          <w:sz w:val="24"/>
          <w:highlight w:val="none"/>
          <w:lang w:val="en-US" w:eastAsia="zh-CN"/>
        </w:rPr>
        <w:t xml:space="preserve">   2.4.5</w:t>
      </w:r>
      <w:r>
        <w:rPr>
          <w:color w:val="auto"/>
          <w:sz w:val="24"/>
          <w:highlight w:val="none"/>
        </w:rPr>
        <w:t>总价金额与按单价汇总金额不一致的，以单价金额计算结果为准。</w:t>
      </w:r>
    </w:p>
    <w:p w14:paraId="75C1E806">
      <w:pPr>
        <w:pStyle w:val="68"/>
        <w:spacing w:line="360" w:lineRule="auto"/>
        <w:ind w:left="0" w:leftChars="0"/>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 xml:space="preserve"> 2.4.6同时出现两种以上不一致的，按照前款规定的顺序修正。修正后的报价经投标人书面确认后产生约束力，投标人不确认的，其投标无效。</w:t>
      </w:r>
    </w:p>
    <w:p w14:paraId="2126D7F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2.5落实政府采购政策的价格调整：只有符合第二章《投标人须知》5.2条规定情形的，可以享受中小企业扶持政策，用扣除后的价格参加评审；否则，评标时价格不予扣除。</w:t>
      </w:r>
    </w:p>
    <w:p w14:paraId="5C14586B">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2.5.1对于未预留份额专门面向中小企业采购的采购项目，以及预留份额项目中的非预留部分采购包，对小微企业报价给予</w:t>
      </w:r>
      <w:r>
        <w:rPr>
          <w:rFonts w:hint="eastAsia" w:hAnsi="宋体" w:cs="宋体"/>
          <w:color w:val="auto"/>
          <w:sz w:val="24"/>
          <w:highlight w:val="none"/>
          <w:u w:val="single"/>
          <w:lang w:val="en-US" w:eastAsia="zh-CN"/>
        </w:rPr>
        <w:t>10</w:t>
      </w:r>
      <w:r>
        <w:rPr>
          <w:rFonts w:hint="eastAsia" w:hAnsi="宋体" w:cs="宋体"/>
          <w:color w:val="auto"/>
          <w:sz w:val="24"/>
          <w:highlight w:val="none"/>
          <w:lang w:val="en-US" w:eastAsia="zh-CN"/>
        </w:rPr>
        <w:t>%的扣除，用扣除后的价格参加评审。</w:t>
      </w:r>
    </w:p>
    <w:p w14:paraId="0EF02624">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hAnsi="宋体" w:cs="宋体"/>
          <w:color w:val="auto"/>
          <w:sz w:val="24"/>
          <w:highlight w:val="none"/>
          <w:u w:val="single"/>
          <w:lang w:val="en-US" w:eastAsia="zh-CN"/>
        </w:rPr>
        <w:t>10</w:t>
      </w:r>
      <w:r>
        <w:rPr>
          <w:rFonts w:hint="eastAsia" w:hAnsi="宋体" w:cs="宋体"/>
          <w:color w:val="auto"/>
          <w:sz w:val="24"/>
          <w:highlight w:val="none"/>
          <w:lang w:val="en-US" w:eastAsia="zh-CN"/>
        </w:rPr>
        <w:t>%的扣除，用扣除后的价格参加评审。</w:t>
      </w:r>
    </w:p>
    <w:p w14:paraId="4E67C1D3">
      <w:pPr>
        <w:pStyle w:val="86"/>
        <w:tabs>
          <w:tab w:val="left" w:pos="840"/>
        </w:tabs>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2.5.3组成联合体或者接受分包的小微企业与联合体内其他企业、分包企业之间存在直接控股、管理关系的，不享受价格扣除优惠政策。</w:t>
      </w:r>
    </w:p>
    <w:p w14:paraId="22B5FFE0">
      <w:pPr>
        <w:pStyle w:val="86"/>
        <w:tabs>
          <w:tab w:val="left" w:pos="840"/>
        </w:tabs>
        <w:spacing w:line="360" w:lineRule="auto"/>
        <w:ind w:firstLine="638" w:firstLineChars="266"/>
        <w:rPr>
          <w:color w:val="auto"/>
          <w:sz w:val="24"/>
          <w:highlight w:val="none"/>
        </w:rPr>
      </w:pPr>
      <w:r>
        <w:rPr>
          <w:rFonts w:hint="eastAsia" w:hAnsi="宋体" w:cs="宋体"/>
          <w:color w:val="auto"/>
          <w:sz w:val="24"/>
          <w:highlight w:val="none"/>
          <w:lang w:val="en-US" w:eastAsia="zh-CN"/>
        </w:rPr>
        <w:t>2.5.4</w:t>
      </w:r>
      <w:r>
        <w:rPr>
          <w:color w:val="auto"/>
          <w:sz w:val="24"/>
          <w:highlight w:val="none"/>
        </w:rPr>
        <w:t>价格扣除比例对小型企业和微型企业同等对待，不作区分。</w:t>
      </w:r>
    </w:p>
    <w:p w14:paraId="264A29ED">
      <w:pPr>
        <w:pStyle w:val="68"/>
        <w:spacing w:line="360" w:lineRule="auto"/>
        <w:ind w:left="0" w:leftChars="0"/>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2.5.5中小企业参加政府采购活动，应当按照招标文件给定的格式出具《中小企业声明函》，否则不得享受相关中小企业扶持政策。</w:t>
      </w:r>
    </w:p>
    <w:p w14:paraId="13475698">
      <w:pPr>
        <w:pStyle w:val="68"/>
        <w:spacing w:line="360" w:lineRule="auto"/>
        <w:ind w:left="0" w:leftChars="0" w:firstLine="638" w:firstLineChars="266"/>
        <w:rPr>
          <w:rFonts w:hint="eastAsia" w:ascii="宋体" w:hAnsi="宋体" w:cs="宋体"/>
          <w:color w:val="auto"/>
          <w:sz w:val="24"/>
          <w:highlight w:val="none"/>
        </w:rPr>
      </w:pPr>
      <w:r>
        <w:rPr>
          <w:rFonts w:hint="eastAsia" w:ascii="宋体" w:hAnsi="宋体" w:cs="宋体"/>
          <w:color w:val="auto"/>
          <w:sz w:val="24"/>
          <w:highlight w:val="none"/>
        </w:rPr>
        <w:t>2.5.6监狱企业提供了由省级以上监狱管理局、戒毒管理局（含新疆生产建设兵团）出具的属于监狱企业的证明文件的，视同小微企业。</w:t>
      </w:r>
    </w:p>
    <w:p w14:paraId="32D99DAE">
      <w:pPr>
        <w:pStyle w:val="68"/>
        <w:spacing w:line="360" w:lineRule="auto"/>
        <w:ind w:left="0" w:leftChars="0"/>
        <w:rPr>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2.5.7</w:t>
      </w:r>
      <w:r>
        <w:rPr>
          <w:color w:val="auto"/>
          <w:sz w:val="24"/>
          <w:highlight w:val="none"/>
        </w:rPr>
        <w:t>残疾人福利性单位按招标文件要求提供了《残疾人福利性单位声明函》（见附件）的，视同小微企业。</w:t>
      </w:r>
    </w:p>
    <w:p w14:paraId="4B96819B">
      <w:pPr>
        <w:spacing w:line="360" w:lineRule="auto"/>
        <w:rPr>
          <w:rFonts w:hint="eastAsia" w:ascii="宋体" w:hAnsi="宋体" w:cs="宋体"/>
          <w:color w:val="auto"/>
          <w:sz w:val="24"/>
          <w:highlight w:val="none"/>
        </w:rPr>
      </w:pPr>
      <w:r>
        <w:rPr>
          <w:rFonts w:hint="eastAsia"/>
          <w:color w:val="auto"/>
          <w:sz w:val="24"/>
          <w:highlight w:val="none"/>
        </w:rPr>
        <w:t xml:space="preserve">      </w:t>
      </w:r>
      <w:r>
        <w:rPr>
          <w:rFonts w:hint="eastAsia" w:ascii="宋体" w:hAnsi="宋体" w:cs="宋体"/>
          <w:color w:val="auto"/>
          <w:sz w:val="24"/>
          <w:highlight w:val="none"/>
        </w:rPr>
        <w:t>2.5.8若投标人同时属于小型或微型企业、监狱企业、残疾人福利性单位中的两种及以上，将不重复享受小微企业价格扣减的优惠政策。</w:t>
      </w:r>
    </w:p>
    <w:p w14:paraId="09794A77">
      <w:pPr>
        <w:pStyle w:val="86"/>
        <w:spacing w:line="360" w:lineRule="auto"/>
        <w:ind w:firstLine="0" w:firstLineChars="0"/>
        <w:rPr>
          <w:color w:val="auto"/>
          <w:sz w:val="24"/>
          <w:highlight w:val="none"/>
        </w:rPr>
      </w:pPr>
      <w:r>
        <w:rPr>
          <w:rFonts w:hint="eastAsia" w:hAnsi="宋体" w:cs="宋体"/>
          <w:color w:val="auto"/>
          <w:sz w:val="24"/>
          <w:highlight w:val="none"/>
          <w:lang w:val="en-US" w:eastAsia="zh-CN"/>
        </w:rPr>
        <w:t xml:space="preserve">3  </w:t>
      </w:r>
      <w:r>
        <w:rPr>
          <w:color w:val="auto"/>
          <w:sz w:val="24"/>
          <w:highlight w:val="none"/>
        </w:rPr>
        <w:t>投标文件的比较和评价</w:t>
      </w:r>
    </w:p>
    <w:p w14:paraId="3EDE086F">
      <w:pPr>
        <w:pStyle w:val="86"/>
        <w:spacing w:line="360" w:lineRule="auto"/>
        <w:ind w:firstLine="0" w:firstLineChars="0"/>
        <w:rPr>
          <w:rFonts w:hint="eastAsia" w:hAnsi="宋体" w:cs="宋体"/>
          <w:color w:val="auto"/>
          <w:sz w:val="24"/>
          <w:highlight w:val="none"/>
          <w:lang w:val="en-US" w:eastAsia="zh-CN"/>
        </w:rPr>
      </w:pPr>
      <w:r>
        <w:rPr>
          <w:rFonts w:hint="eastAsia"/>
          <w:color w:val="auto"/>
          <w:sz w:val="24"/>
          <w:highlight w:val="none"/>
          <w:lang w:val="en-US" w:eastAsia="zh-CN"/>
        </w:rPr>
        <w:t xml:space="preserve"> </w:t>
      </w:r>
      <w:r>
        <w:rPr>
          <w:rFonts w:hint="eastAsia" w:hAnsi="宋体" w:cs="宋体"/>
          <w:color w:val="auto"/>
          <w:sz w:val="24"/>
          <w:highlight w:val="none"/>
          <w:lang w:val="en-US" w:eastAsia="zh-CN"/>
        </w:rPr>
        <w:t xml:space="preserve"> 3.1评标委员会将按照招标文件中规定的评标方法和标准，对符合性审查合格的投标文件进行商务和技术评估，综合比较与评价；未通过符合性审查的投标文件不得进入比较与评价。</w:t>
      </w:r>
    </w:p>
    <w:p w14:paraId="74E28AC0">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3.2评标方法和评标标准</w:t>
      </w:r>
    </w:p>
    <w:p w14:paraId="03396C56">
      <w:pPr>
        <w:pStyle w:val="86"/>
        <w:spacing w:line="360" w:lineRule="auto"/>
        <w:ind w:firstLine="0" w:firstLineChars="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 xml:space="preserve">   3.2.1本项目采用的评标方法为：</w:t>
      </w:r>
    </w:p>
    <w:p w14:paraId="3EC5D063">
      <w:pPr>
        <w:pStyle w:val="86"/>
        <w:spacing w:line="360" w:lineRule="auto"/>
        <w:ind w:firstLine="1050" w:firstLineChars="500"/>
        <w:rPr>
          <w:color w:val="auto"/>
          <w:sz w:val="24"/>
          <w:highlight w:val="none"/>
        </w:rPr>
      </w:pPr>
      <w:r>
        <w:rPr>
          <w:rFonts w:hint="eastAsia"/>
          <w:color w:val="auto"/>
          <w:highlight w:val="none"/>
          <w:lang w:val="en-US" w:eastAsia="zh-CN"/>
        </w:rPr>
        <w:t xml:space="preserve"> </w:t>
      </w:r>
      <w:r>
        <w:rPr>
          <w:color w:val="auto"/>
          <w:sz w:val="24"/>
          <w:highlight w:val="none"/>
        </w:rPr>
        <w:sym w:font="Wingdings 2" w:char="0052"/>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14:paraId="72F546AD">
      <w:pPr>
        <w:pStyle w:val="86"/>
        <w:spacing w:line="360" w:lineRule="auto"/>
        <w:ind w:firstLine="1200" w:firstLineChars="500"/>
        <w:rPr>
          <w:rFonts w:hint="eastAsia"/>
          <w:color w:val="auto"/>
          <w:highlight w:val="none"/>
          <w:lang w:val="en-US" w:eastAsia="zh-CN"/>
        </w:rPr>
      </w:pPr>
      <w:r>
        <w:rPr>
          <w:color w:val="auto"/>
          <w:sz w:val="24"/>
          <w:highlight w:val="none"/>
        </w:rPr>
        <w:t>□最低评标价法，指投标文件满足招标文件全部实质性要求，且投标报价最低的投标人为中标候选人的评标方法。</w:t>
      </w:r>
      <w:r>
        <w:rPr>
          <w:rFonts w:hint="eastAsia"/>
          <w:color w:val="auto"/>
          <w:highlight w:val="none"/>
          <w:lang w:val="en-US" w:eastAsia="zh-CN"/>
        </w:rPr>
        <w:t xml:space="preserve"> </w:t>
      </w:r>
    </w:p>
    <w:p w14:paraId="5E7360B3">
      <w:pPr>
        <w:pStyle w:val="86"/>
        <w:spacing w:line="360" w:lineRule="auto"/>
        <w:ind w:firstLine="218" w:firstLineChars="104"/>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 xml:space="preserve"> 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0985449">
      <w:pPr>
        <w:pStyle w:val="86"/>
        <w:spacing w:line="360" w:lineRule="auto"/>
        <w:ind w:firstLine="240"/>
        <w:rPr>
          <w:rFonts w:hint="eastAsia" w:hAnsi="宋体" w:cs="宋体"/>
          <w:color w:val="auto"/>
          <w:sz w:val="24"/>
          <w:highlight w:val="none"/>
          <w:lang w:val="en-US" w:eastAsia="zh-CN"/>
        </w:rPr>
      </w:pPr>
      <w:r>
        <w:rPr>
          <w:color w:val="auto"/>
          <w:sz w:val="24"/>
          <w:highlight w:val="none"/>
        </w:rPr>
        <w:t>□</w:t>
      </w:r>
      <w:r>
        <w:rPr>
          <w:rFonts w:hint="eastAsia" w:hAnsi="宋体" w:cs="宋体"/>
          <w:color w:val="auto"/>
          <w:sz w:val="24"/>
          <w:highlight w:val="none"/>
          <w:lang w:val="en-US" w:eastAsia="zh-CN"/>
        </w:rPr>
        <w:t>随机抽取</w:t>
      </w:r>
    </w:p>
    <w:p w14:paraId="7F7BAB2E">
      <w:pPr>
        <w:pStyle w:val="86"/>
        <w:spacing w:line="360" w:lineRule="auto"/>
        <w:ind w:firstLine="240"/>
        <w:rPr>
          <w:rFonts w:hint="eastAsia" w:hAnsi="宋体" w:cs="宋体"/>
          <w:color w:val="auto"/>
          <w:sz w:val="24"/>
          <w:highlight w:val="none"/>
          <w:u w:val="single"/>
          <w:lang w:val="en-US" w:eastAsia="zh-CN"/>
        </w:rPr>
      </w:pPr>
      <w:r>
        <w:rPr>
          <w:rFonts w:hint="eastAsia" w:hAnsi="宋体" w:cs="宋体"/>
          <w:color w:val="auto"/>
          <w:sz w:val="24"/>
          <w:highlight w:val="none"/>
          <w:lang w:val="en-US" w:eastAsia="zh-CN"/>
        </w:rPr>
        <w:t>■其他方式，具体要求：</w:t>
      </w:r>
      <w:r>
        <w:rPr>
          <w:rFonts w:hint="eastAsia" w:hAnsi="宋体" w:cs="宋体"/>
          <w:color w:val="auto"/>
          <w:sz w:val="24"/>
          <w:highlight w:val="none"/>
          <w:u w:val="single"/>
          <w:lang w:val="en-US" w:eastAsia="zh-CN"/>
        </w:rPr>
        <w:t>采购人确定</w:t>
      </w:r>
    </w:p>
    <w:p w14:paraId="48D99B85">
      <w:pPr>
        <w:pStyle w:val="86"/>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3.2.3非政府强制采购的节能产品或环境标志产品，依据品目清单和认证证书实施政府优先采购。优先采购的具体规定（如涉及）_____。</w:t>
      </w:r>
    </w:p>
    <w:p w14:paraId="7528493C">
      <w:pPr>
        <w:pStyle w:val="86"/>
        <w:spacing w:line="360" w:lineRule="auto"/>
        <w:ind w:firstLine="638" w:firstLineChars="266"/>
        <w:rPr>
          <w:rFonts w:hint="eastAsia" w:hAnsi="宋体" w:cs="宋体"/>
          <w:color w:val="auto"/>
          <w:sz w:val="24"/>
          <w:highlight w:val="none"/>
          <w:lang w:val="en-US" w:eastAsia="zh-CN"/>
        </w:rPr>
      </w:pPr>
      <w:r>
        <w:rPr>
          <w:rFonts w:hint="eastAsia" w:hAnsi="宋体" w:cs="宋体"/>
          <w:color w:val="auto"/>
          <w:sz w:val="24"/>
          <w:highlight w:val="none"/>
          <w:lang w:val="en-US" w:eastAsia="zh-CN"/>
        </w:rPr>
        <w:t>3.2.4 关于无线局域网认证产品政府采购清单中的产品，优先采购的具体规定（如涉及）_____。</w:t>
      </w:r>
    </w:p>
    <w:p w14:paraId="5D41F9E1">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4  确定</w:t>
      </w:r>
      <w:bookmarkStart w:id="315" w:name="_Toc150774646"/>
      <w:bookmarkStart w:id="316" w:name="_Toc127151546"/>
      <w:bookmarkStart w:id="317" w:name="_Toc226337242"/>
      <w:bookmarkStart w:id="318" w:name="_Toc127151747"/>
      <w:bookmarkStart w:id="319" w:name="_Toc226309790"/>
      <w:bookmarkStart w:id="320" w:name="_Toc164608815"/>
      <w:bookmarkStart w:id="321" w:name="_Toc164229241"/>
      <w:bookmarkStart w:id="322" w:name="_Toc150509297"/>
      <w:bookmarkStart w:id="323" w:name="_Toc164229387"/>
      <w:bookmarkStart w:id="324" w:name="_Toc150774751"/>
      <w:bookmarkStart w:id="325" w:name="_Toc149720839"/>
      <w:bookmarkStart w:id="326" w:name="_Toc151193788"/>
      <w:bookmarkStart w:id="327" w:name="_Toc151193716"/>
      <w:bookmarkStart w:id="328" w:name="_Ref467307010"/>
      <w:bookmarkStart w:id="329" w:name="_Toc226965819"/>
      <w:bookmarkStart w:id="330" w:name="_Toc127161460"/>
      <w:bookmarkStart w:id="331" w:name="_Toc264969236"/>
      <w:bookmarkStart w:id="332" w:name="_Toc265228384"/>
      <w:bookmarkStart w:id="333" w:name="_Toc305158814"/>
      <w:bookmarkStart w:id="334" w:name="_Toc164608660"/>
      <w:bookmarkStart w:id="335" w:name="_Toc226965736"/>
      <w:bookmarkStart w:id="336" w:name="_Toc520356170"/>
      <w:bookmarkStart w:id="337" w:name="_Toc150480784"/>
      <w:bookmarkStart w:id="338" w:name="_Toc151193860"/>
      <w:bookmarkStart w:id="339" w:name="_Toc151193934"/>
      <w:bookmarkStart w:id="340" w:name="_Toc142311048"/>
      <w:bookmarkStart w:id="341" w:name="_Toc164351640"/>
      <w:bookmarkStart w:id="342" w:name="_Toc151190173"/>
      <w:bookmarkStart w:id="343" w:name="_Toc305158888"/>
      <w:bookmarkStart w:id="344" w:name="_Toc151193644"/>
      <w:bookmarkStart w:id="345" w:name="_Toc195842911"/>
      <w:r>
        <w:rPr>
          <w:rFonts w:hint="eastAsia" w:ascii="宋体" w:hAnsi="宋体" w:cs="宋体"/>
          <w:color w:val="auto"/>
          <w:sz w:val="24"/>
          <w:highlight w:val="none"/>
        </w:rPr>
        <w:t>中标候选人名单</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85B905C">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E58C34">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color w:val="auto"/>
          <w:sz w:val="24"/>
          <w:highlight w:val="none"/>
        </w:rPr>
        <w:sym w:font="Wingdings 2" w:char="00A3"/>
      </w:r>
      <w:r>
        <w:rPr>
          <w:rFonts w:hint="eastAsia" w:ascii="宋体" w:hAnsi="宋体" w:cs="宋体"/>
          <w:color w:val="auto"/>
          <w:sz w:val="24"/>
          <w:highlight w:val="none"/>
        </w:rPr>
        <w:t>随机抽取</w:t>
      </w:r>
    </w:p>
    <w:p w14:paraId="49ED24C6">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color w:val="auto"/>
          <w:sz w:val="24"/>
          <w:highlight w:val="none"/>
          <w:lang w:eastAsia="zh-CN"/>
        </w:rPr>
        <w:t>☑</w:t>
      </w:r>
      <w:r>
        <w:rPr>
          <w:rFonts w:hint="eastAsia" w:ascii="宋体" w:hAnsi="宋体" w:cs="宋体"/>
          <w:color w:val="auto"/>
          <w:sz w:val="24"/>
          <w:highlight w:val="none"/>
        </w:rPr>
        <w:t>其他方式，具体要求：</w:t>
      </w:r>
      <w:r>
        <w:rPr>
          <w:rFonts w:hint="eastAsia" w:ascii="宋体" w:hAnsi="宋体" w:cs="宋体"/>
          <w:color w:val="auto"/>
          <w:sz w:val="24"/>
          <w:highlight w:val="none"/>
          <w:u w:val="single"/>
          <w:lang w:eastAsia="zh-CN"/>
        </w:rPr>
        <w:t>采购人决定</w:t>
      </w:r>
    </w:p>
    <w:p w14:paraId="3CE6FF8B">
      <w:pPr>
        <w:pStyle w:val="68"/>
        <w:spacing w:line="360" w:lineRule="auto"/>
        <w:ind w:left="0" w:leftChars="0"/>
        <w:rPr>
          <w:rFonts w:hint="eastAsia" w:ascii="宋体" w:hAnsi="宋体" w:cs="宋体"/>
          <w:color w:val="auto"/>
          <w:sz w:val="24"/>
          <w:highlight w:val="none"/>
        </w:rPr>
      </w:pPr>
      <w:r>
        <w:rPr>
          <w:rFonts w:hint="eastAsia"/>
          <w:color w:val="auto"/>
          <w:highlight w:val="none"/>
        </w:rPr>
        <w:t xml:space="preserve"> </w:t>
      </w:r>
      <w:r>
        <w:rPr>
          <w:rFonts w:hint="eastAsia" w:ascii="宋体" w:hAnsi="宋体" w:cs="宋体"/>
          <w:color w:val="auto"/>
          <w:sz w:val="24"/>
          <w:highlight w:val="none"/>
        </w:rPr>
        <w:t xml:space="preserve">  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A2CD5B1">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4.3采用最低评标价法时，评标结果按本章2.4、2.5调整后的投标报价由低到高顺序排列。投标报价相同的并列。投标文件满足招标文件全部实质性要求且投标报价最低的投标人为排名第一的中标候选人。</w:t>
      </w:r>
    </w:p>
    <w:p w14:paraId="6DB6FB95">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4.4评标委员会要对评分汇总情况进行复核，特别是对排名第一的、报价最低的、投标或响应文件被认定为无效的情形进行重点复核。</w:t>
      </w:r>
    </w:p>
    <w:p w14:paraId="0A0373CB">
      <w:pPr>
        <w:pStyle w:val="68"/>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4.5评标委员会将根据各投标人的评标排序，依次推荐本项目（各采购包）的中标候选人，起草并签署评标报告。本项目（各采购包）评标委员会共（各）推荐</w:t>
      </w:r>
      <w:r>
        <w:rPr>
          <w:rFonts w:hint="eastAsia" w:ascii="宋体" w:hAnsi="宋体" w:cs="宋体"/>
          <w:color w:val="auto"/>
          <w:sz w:val="24"/>
          <w:highlight w:val="none"/>
          <w:u w:val="single"/>
        </w:rPr>
        <w:t>1-3</w:t>
      </w:r>
      <w:r>
        <w:rPr>
          <w:rFonts w:hint="eastAsia" w:ascii="宋体" w:hAnsi="宋体" w:cs="宋体"/>
          <w:color w:val="auto"/>
          <w:sz w:val="24"/>
          <w:highlight w:val="none"/>
        </w:rPr>
        <w:t>名中标候选人。</w:t>
      </w:r>
    </w:p>
    <w:p w14:paraId="5FF822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5  报告违法行为</w:t>
      </w:r>
    </w:p>
    <w:p w14:paraId="01C470E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5.1评标委员会在评标过程中发现投标人有行贿、提供虚假材料或者串通等违法行为时，有向采购人、采购代理机构或者有关部门报告的职责。</w:t>
      </w:r>
    </w:p>
    <w:p w14:paraId="7BB9360A">
      <w:pPr>
        <w:rPr>
          <w:color w:val="auto"/>
          <w:highlight w:val="none"/>
        </w:rPr>
      </w:pPr>
    </w:p>
    <w:p w14:paraId="3B3CDA59">
      <w:pPr>
        <w:pStyle w:val="445"/>
        <w:spacing w:line="360" w:lineRule="auto"/>
        <w:rPr>
          <w:rFonts w:hint="eastAsia" w:ascii="宋体" w:hAnsi="宋体"/>
          <w:bCs/>
          <w:color w:val="auto"/>
          <w:sz w:val="24"/>
          <w:highlight w:val="none"/>
        </w:rPr>
      </w:pPr>
      <w:r>
        <w:rPr>
          <w:rFonts w:hint="eastAsia" w:ascii="宋体" w:hAnsi="宋体"/>
          <w:b/>
          <w:bCs/>
          <w:color w:val="auto"/>
          <w:sz w:val="24"/>
          <w:highlight w:val="none"/>
        </w:rPr>
        <w:t>二、评标标准</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88"/>
        <w:gridCol w:w="1144"/>
        <w:gridCol w:w="4296"/>
        <w:gridCol w:w="2018"/>
      </w:tblGrid>
      <w:tr w14:paraId="0163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2C38160B">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88" w:type="dxa"/>
            <w:noWrap w:val="0"/>
            <w:vAlign w:val="top"/>
          </w:tcPr>
          <w:p w14:paraId="392C86B7">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1144" w:type="dxa"/>
            <w:noWrap w:val="0"/>
            <w:vAlign w:val="top"/>
          </w:tcPr>
          <w:p w14:paraId="0937C5DE">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4296" w:type="dxa"/>
            <w:noWrap w:val="0"/>
            <w:vAlign w:val="top"/>
          </w:tcPr>
          <w:p w14:paraId="7014211A">
            <w:pPr>
              <w:pStyle w:val="445"/>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2018" w:type="dxa"/>
            <w:noWrap w:val="0"/>
            <w:vAlign w:val="top"/>
          </w:tcPr>
          <w:p w14:paraId="73B2AECD">
            <w:pPr>
              <w:pStyle w:val="445"/>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tc>
      </w:tr>
      <w:tr w14:paraId="65F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BEA93C2">
            <w:pPr>
              <w:numPr>
                <w:ilvl w:val="0"/>
                <w:numId w:val="30"/>
              </w:numPr>
              <w:spacing w:line="360" w:lineRule="auto"/>
              <w:ind w:left="635" w:leftChars="0" w:hanging="425" w:firstLineChars="0"/>
              <w:rPr>
                <w:rFonts w:hint="eastAsia" w:ascii="宋体" w:hAnsi="宋体" w:eastAsia="宋体" w:cs="宋体"/>
                <w:color w:val="auto"/>
                <w:sz w:val="24"/>
                <w:highlight w:val="none"/>
              </w:rPr>
            </w:pPr>
          </w:p>
        </w:tc>
        <w:tc>
          <w:tcPr>
            <w:tcW w:w="1088" w:type="dxa"/>
            <w:noWrap w:val="0"/>
            <w:vAlign w:val="center"/>
          </w:tcPr>
          <w:p w14:paraId="285B469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投标报价</w:t>
            </w:r>
          </w:p>
        </w:tc>
        <w:tc>
          <w:tcPr>
            <w:tcW w:w="1144" w:type="dxa"/>
            <w:noWrap w:val="0"/>
            <w:vAlign w:val="center"/>
          </w:tcPr>
          <w:p w14:paraId="29E9C13A">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30分</w:t>
            </w:r>
          </w:p>
        </w:tc>
        <w:tc>
          <w:tcPr>
            <w:tcW w:w="4296" w:type="dxa"/>
            <w:noWrap w:val="0"/>
            <w:vAlign w:val="center"/>
          </w:tcPr>
          <w:p w14:paraId="04AB781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满足招标文件要求且投标价格最低的投标报价为评标基准价，其价格分为满分。其他投标人的价格分统一按照下列公式计算：</w:t>
            </w:r>
          </w:p>
          <w:p w14:paraId="2EE0949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投标报价得分＝（评标基准价/投标报价）×分值。</w:t>
            </w:r>
          </w:p>
        </w:tc>
        <w:tc>
          <w:tcPr>
            <w:tcW w:w="2018" w:type="dxa"/>
            <w:noWrap w:val="0"/>
            <w:vAlign w:val="center"/>
          </w:tcPr>
          <w:p w14:paraId="3E59476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此处投标报价指经过报价修正，及因落实政府采购政策进行价格调整后的报价，详见第四章《评标方法和评标标准》2.4及2.5。</w:t>
            </w:r>
          </w:p>
        </w:tc>
      </w:tr>
      <w:tr w14:paraId="7113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3F9D136">
            <w:pPr>
              <w:numPr>
                <w:ilvl w:val="0"/>
                <w:numId w:val="30"/>
              </w:numPr>
              <w:spacing w:line="360" w:lineRule="auto"/>
              <w:ind w:left="635" w:leftChars="0" w:hanging="425" w:firstLineChars="0"/>
              <w:rPr>
                <w:rFonts w:hint="eastAsia" w:ascii="宋体" w:hAnsi="宋体" w:eastAsia="宋体" w:cs="宋体"/>
                <w:color w:val="auto"/>
                <w:sz w:val="24"/>
                <w:highlight w:val="none"/>
              </w:rPr>
            </w:pPr>
          </w:p>
        </w:tc>
        <w:tc>
          <w:tcPr>
            <w:tcW w:w="1088" w:type="dxa"/>
            <w:noWrap w:val="0"/>
            <w:vAlign w:val="center"/>
          </w:tcPr>
          <w:p w14:paraId="67903F1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业   绩</w:t>
            </w:r>
          </w:p>
        </w:tc>
        <w:tc>
          <w:tcPr>
            <w:tcW w:w="1144" w:type="dxa"/>
            <w:noWrap w:val="0"/>
            <w:vAlign w:val="center"/>
          </w:tcPr>
          <w:p w14:paraId="127A4920">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4296" w:type="dxa"/>
            <w:noWrap w:val="0"/>
            <w:vAlign w:val="center"/>
          </w:tcPr>
          <w:p w14:paraId="2B526816">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投标人提供近三年（202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年01月01日-至投标截止时间）的类似业绩。</w:t>
            </w:r>
            <w:r>
              <w:rPr>
                <w:rFonts w:hint="eastAsia" w:ascii="宋体" w:hAnsi="宋体" w:eastAsia="宋体" w:cs="宋体"/>
                <w:color w:val="auto"/>
                <w:sz w:val="24"/>
                <w:highlight w:val="none"/>
                <w:lang w:val="en-US" w:eastAsia="zh-CN"/>
              </w:rPr>
              <w:t>每提供一项有效业绩得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.5分，</w:t>
            </w:r>
            <w:r>
              <w:rPr>
                <w:rFonts w:hint="eastAsia" w:ascii="宋体" w:hAnsi="宋体" w:cs="宋体"/>
                <w:color w:val="auto"/>
                <w:sz w:val="24"/>
                <w:highlight w:val="none"/>
                <w:lang w:val="en-US" w:eastAsia="zh-CN"/>
              </w:rPr>
              <w:t>满分5分。</w:t>
            </w:r>
            <w:r>
              <w:rPr>
                <w:rFonts w:hint="eastAsia" w:ascii="宋体" w:hAnsi="宋体" w:eastAsia="宋体" w:cs="宋体"/>
                <w:color w:val="auto"/>
                <w:sz w:val="24"/>
                <w:highlight w:val="none"/>
                <w:lang w:val="en-US" w:eastAsia="zh-CN"/>
              </w:rPr>
              <w:t>未提供不得分。</w:t>
            </w:r>
          </w:p>
        </w:tc>
        <w:tc>
          <w:tcPr>
            <w:tcW w:w="2018" w:type="dxa"/>
            <w:noWrap w:val="0"/>
            <w:vAlign w:val="center"/>
          </w:tcPr>
          <w:p w14:paraId="6597F80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zh-TW" w:eastAsia="zh-CN"/>
              </w:rPr>
              <w:t>证明材料：</w:t>
            </w:r>
            <w:r>
              <w:rPr>
                <w:rFonts w:hint="eastAsia" w:ascii="宋体" w:hAnsi="宋体" w:eastAsia="宋体" w:cs="宋体"/>
                <w:color w:val="auto"/>
                <w:sz w:val="24"/>
                <w:szCs w:val="24"/>
                <w:highlight w:val="none"/>
                <w:lang w:val="zh-TW" w:eastAsia="zh-TW"/>
              </w:rPr>
              <w:t>提供合同</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中标通知书及验收报告</w:t>
            </w:r>
            <w:r>
              <w:rPr>
                <w:rFonts w:hint="eastAsia" w:ascii="宋体" w:hAnsi="宋体" w:eastAsia="宋体" w:cs="宋体"/>
                <w:color w:val="auto"/>
                <w:sz w:val="24"/>
                <w:szCs w:val="24"/>
                <w:highlight w:val="none"/>
                <w:lang w:val="zh-TW" w:eastAsia="zh-TW"/>
              </w:rPr>
              <w:t>，未提供的此项不得分</w:t>
            </w:r>
          </w:p>
        </w:tc>
      </w:tr>
      <w:tr w14:paraId="36FD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696" w:type="dxa"/>
            <w:noWrap w:val="0"/>
            <w:vAlign w:val="center"/>
          </w:tcPr>
          <w:p w14:paraId="481388F4">
            <w:pPr>
              <w:numPr>
                <w:ilvl w:val="0"/>
                <w:numId w:val="30"/>
              </w:numPr>
              <w:spacing w:line="360" w:lineRule="auto"/>
              <w:ind w:left="635" w:leftChars="0" w:hanging="425" w:firstLineChars="0"/>
              <w:rPr>
                <w:rFonts w:hint="eastAsia" w:ascii="宋体" w:hAnsi="宋体" w:eastAsia="宋体" w:cs="宋体"/>
                <w:color w:val="auto"/>
                <w:sz w:val="24"/>
                <w:highlight w:val="none"/>
              </w:rPr>
            </w:pPr>
          </w:p>
        </w:tc>
        <w:tc>
          <w:tcPr>
            <w:tcW w:w="1088" w:type="dxa"/>
            <w:noWrap w:val="0"/>
            <w:vAlign w:val="center"/>
          </w:tcPr>
          <w:p w14:paraId="452851E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技术指标响应</w:t>
            </w:r>
          </w:p>
        </w:tc>
        <w:tc>
          <w:tcPr>
            <w:tcW w:w="1144" w:type="dxa"/>
            <w:noWrap w:val="0"/>
            <w:vAlign w:val="center"/>
          </w:tcPr>
          <w:p w14:paraId="3DA7527E">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分</w:t>
            </w:r>
          </w:p>
        </w:tc>
        <w:tc>
          <w:tcPr>
            <w:tcW w:w="4296" w:type="dxa"/>
            <w:noWrap w:val="0"/>
            <w:vAlign w:val="center"/>
          </w:tcPr>
          <w:p w14:paraId="378BC7BB">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技术规格要求”中凡是带有“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color w:val="auto"/>
                <w:kern w:val="0"/>
                <w:sz w:val="24"/>
                <w:szCs w:val="24"/>
                <w:highlight w:val="none"/>
                <w:lang w:val="en-US" w:eastAsia="zh-CN" w:bidi="ar-SA"/>
              </w:rPr>
              <w:t>”号的条款，均为</w:t>
            </w:r>
            <w:r>
              <w:rPr>
                <w:rFonts w:hint="eastAsia" w:eastAsia="宋体" w:cs="宋体"/>
                <w:color w:val="auto"/>
                <w:kern w:val="0"/>
                <w:sz w:val="24"/>
                <w:szCs w:val="24"/>
                <w:highlight w:val="none"/>
                <w:lang w:val="en-US" w:eastAsia="zh-CN" w:bidi="ar-SA"/>
              </w:rPr>
              <w:t>重要参数</w:t>
            </w:r>
            <w:r>
              <w:rPr>
                <w:rFonts w:hint="eastAsia" w:ascii="宋体" w:hAnsi="宋体" w:eastAsia="宋体" w:cs="宋体"/>
                <w:color w:val="auto"/>
                <w:kern w:val="0"/>
                <w:sz w:val="24"/>
                <w:szCs w:val="24"/>
                <w:highlight w:val="none"/>
                <w:lang w:val="en-US" w:eastAsia="zh-CN" w:bidi="ar-SA"/>
              </w:rPr>
              <w:t>，如每有一项不满足扣3分；</w:t>
            </w:r>
            <w:r>
              <w:rPr>
                <w:rFonts w:hint="eastAsia" w:eastAsia="宋体" w:cs="宋体"/>
                <w:color w:val="auto"/>
                <w:kern w:val="0"/>
                <w:sz w:val="24"/>
                <w:szCs w:val="24"/>
                <w:highlight w:val="none"/>
                <w:lang w:val="en-US" w:eastAsia="zh-CN" w:bidi="ar-SA"/>
              </w:rPr>
              <w:t>其余为一般条款，如有一项不满足扣</w:t>
            </w:r>
            <w:r>
              <w:rPr>
                <w:rFonts w:hint="eastAsia" w:ascii="宋体" w:hAnsi="宋体" w:eastAsia="宋体" w:cs="宋体"/>
                <w:color w:val="auto"/>
                <w:kern w:val="0"/>
                <w:sz w:val="24"/>
                <w:szCs w:val="24"/>
                <w:highlight w:val="none"/>
                <w:lang w:val="en-US" w:eastAsia="zh-CN" w:bidi="ar-SA"/>
              </w:rPr>
              <w:t>1分</w:t>
            </w:r>
            <w:r>
              <w:rPr>
                <w:rFonts w:hint="eastAsia" w:eastAsia="宋体" w:cs="宋体"/>
                <w:color w:val="auto"/>
                <w:kern w:val="0"/>
                <w:sz w:val="24"/>
                <w:szCs w:val="24"/>
                <w:highlight w:val="none"/>
                <w:lang w:val="en-US" w:eastAsia="zh-CN" w:bidi="ar-SA"/>
              </w:rPr>
              <w:t>，满分</w:t>
            </w:r>
            <w:r>
              <w:rPr>
                <w:rFonts w:hint="eastAsia" w:ascii="宋体" w:hAnsi="宋体" w:eastAsia="宋体" w:cs="宋体"/>
                <w:color w:val="auto"/>
                <w:kern w:val="0"/>
                <w:sz w:val="24"/>
                <w:szCs w:val="24"/>
                <w:highlight w:val="none"/>
                <w:lang w:val="en-US" w:eastAsia="zh-CN" w:bidi="ar-SA"/>
              </w:rPr>
              <w:t>45</w:t>
            </w:r>
            <w:r>
              <w:rPr>
                <w:rFonts w:hint="eastAsia" w:eastAsia="宋体" w:cs="宋体"/>
                <w:color w:val="auto"/>
                <w:kern w:val="0"/>
                <w:sz w:val="24"/>
                <w:szCs w:val="24"/>
                <w:highlight w:val="none"/>
                <w:lang w:val="en-US" w:eastAsia="zh-CN" w:bidi="ar-SA"/>
              </w:rPr>
              <w:t>分；</w:t>
            </w:r>
            <w:r>
              <w:rPr>
                <w:rFonts w:hint="eastAsia" w:ascii="宋体" w:hAnsi="宋体" w:eastAsia="宋体" w:cs="宋体"/>
                <w:color w:val="auto"/>
                <w:kern w:val="0"/>
                <w:sz w:val="24"/>
                <w:szCs w:val="24"/>
                <w:highlight w:val="none"/>
                <w:lang w:val="en-US" w:eastAsia="zh-CN" w:bidi="ar-SA"/>
              </w:rPr>
              <w:t>需按参数要求提供相关证书及检测报告和对应佐证材料</w:t>
            </w:r>
            <w:r>
              <w:rPr>
                <w:rFonts w:hint="eastAsia" w:eastAsia="宋体" w:cs="宋体"/>
                <w:color w:val="auto"/>
                <w:kern w:val="0"/>
                <w:sz w:val="24"/>
                <w:szCs w:val="24"/>
                <w:highlight w:val="none"/>
                <w:lang w:val="en-US" w:eastAsia="zh-CN" w:bidi="ar-SA"/>
              </w:rPr>
              <w:t>。</w:t>
            </w:r>
          </w:p>
        </w:tc>
        <w:tc>
          <w:tcPr>
            <w:tcW w:w="2018" w:type="dxa"/>
            <w:noWrap w:val="0"/>
            <w:vAlign w:val="center"/>
          </w:tcPr>
          <w:p w14:paraId="69571338">
            <w:pPr>
              <w:spacing w:line="360" w:lineRule="auto"/>
              <w:jc w:val="center"/>
              <w:rPr>
                <w:rFonts w:hint="eastAsia" w:ascii="宋体" w:hAnsi="宋体" w:eastAsia="宋体" w:cs="宋体"/>
                <w:color w:val="auto"/>
                <w:sz w:val="24"/>
                <w:highlight w:val="none"/>
                <w:lang w:val="en-US" w:eastAsia="zh-CN"/>
              </w:rPr>
            </w:pPr>
          </w:p>
        </w:tc>
      </w:tr>
      <w:tr w14:paraId="791D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F33297E">
            <w:pPr>
              <w:numPr>
                <w:ilvl w:val="0"/>
                <w:numId w:val="30"/>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088" w:type="dxa"/>
            <w:noWrap w:val="0"/>
            <w:vAlign w:val="center"/>
          </w:tcPr>
          <w:p w14:paraId="2E23BF7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技术培训</w:t>
            </w:r>
          </w:p>
        </w:tc>
        <w:tc>
          <w:tcPr>
            <w:tcW w:w="1144" w:type="dxa"/>
            <w:noWrap w:val="0"/>
            <w:vAlign w:val="center"/>
          </w:tcPr>
          <w:p w14:paraId="620A1413">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tc>
        <w:tc>
          <w:tcPr>
            <w:tcW w:w="4296" w:type="dxa"/>
            <w:noWrap w:val="0"/>
            <w:vAlign w:val="center"/>
          </w:tcPr>
          <w:p w14:paraId="54CFDA0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能结合采购人现有资源提出详细的技术培训方案，并提供完整的相关培训资料，并有效提升工作质量。方案包括：培训对象、培训形式、培训计划、培训费用、培训成果，最高得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分，每有一项内容存在缺陷扣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分，未提供不得分。</w:t>
            </w:r>
          </w:p>
          <w:p w14:paraId="431E0E2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2、技术培训承诺</w:t>
            </w:r>
          </w:p>
          <w:p w14:paraId="5BB5F87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（1）设备安装完成后，现场进行培训，使</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技术人员了解设备基本原理、主要部件的功能，日常维护的内容和方法，得1.5分，每有一项内容存在缺陷扣0.5分，未提供不得分；</w:t>
            </w:r>
          </w:p>
          <w:p w14:paraId="7293932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（2）定期举办用户培训，掌握常见故障的判断、维修及解决办法，得1.5分，每有一项内容存在缺陷扣0.5 分，未提供不得分；</w:t>
            </w:r>
          </w:p>
          <w:p w14:paraId="7BEF27D5">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default" w:ascii="宋体" w:hAnsi="宋体" w:cs="宋体"/>
                <w:color w:val="auto"/>
                <w:kern w:val="2"/>
                <w:sz w:val="24"/>
                <w:szCs w:val="24"/>
                <w:highlight w:val="none"/>
                <w:lang w:val="en-US" w:eastAsia="zh-CN" w:bidi="ar-SA"/>
              </w:rPr>
              <w:t>(缺陷是指：存在不适用项目实际情况的情形、凭空编造、内容前后不一致、前后逻辑错误、涉及的规范及标准错误、地点区域错误、内容遗漏、不符合采购需求等）扣完为止。未提供的本项不得分。</w:t>
            </w:r>
            <w:r>
              <w:rPr>
                <w:rFonts w:hint="eastAsia" w:ascii="宋体" w:hAnsi="宋体" w:eastAsia="宋体" w:cs="宋体"/>
                <w:color w:val="auto"/>
                <w:sz w:val="24"/>
                <w:highlight w:val="none"/>
              </w:rPr>
              <w:t>。</w:t>
            </w:r>
          </w:p>
        </w:tc>
        <w:tc>
          <w:tcPr>
            <w:tcW w:w="2018" w:type="dxa"/>
            <w:noWrap w:val="0"/>
            <w:vAlign w:val="center"/>
          </w:tcPr>
          <w:p w14:paraId="7CDC3D6F">
            <w:pPr>
              <w:spacing w:line="360" w:lineRule="auto"/>
              <w:jc w:val="center"/>
              <w:rPr>
                <w:rFonts w:hint="eastAsia" w:ascii="宋体" w:hAnsi="宋体" w:eastAsia="宋体" w:cs="宋体"/>
                <w:color w:val="auto"/>
                <w:sz w:val="24"/>
                <w:highlight w:val="none"/>
                <w:lang w:val="en-US" w:eastAsia="zh-CN"/>
              </w:rPr>
            </w:pPr>
          </w:p>
        </w:tc>
      </w:tr>
      <w:tr w14:paraId="3E69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86987AF">
            <w:pPr>
              <w:numPr>
                <w:ilvl w:val="0"/>
                <w:numId w:val="30"/>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088" w:type="dxa"/>
            <w:noWrap w:val="0"/>
            <w:vAlign w:val="center"/>
          </w:tcPr>
          <w:p w14:paraId="26EBECE2">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售后服务内容</w:t>
            </w:r>
          </w:p>
        </w:tc>
        <w:tc>
          <w:tcPr>
            <w:tcW w:w="1144" w:type="dxa"/>
            <w:noWrap w:val="0"/>
            <w:vAlign w:val="center"/>
          </w:tcPr>
          <w:p w14:paraId="3767040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2分</w:t>
            </w:r>
          </w:p>
        </w:tc>
        <w:tc>
          <w:tcPr>
            <w:tcW w:w="4296" w:type="dxa"/>
            <w:noWrap w:val="0"/>
            <w:vAlign w:val="center"/>
          </w:tcPr>
          <w:p w14:paraId="3833742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1、售后服务地点：须提供场地合同、照片、地址等证明材料，得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p w14:paraId="2552788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2、响应时间：提供承诺书格式自拟并加盖投标人公章；须提供到达采购人指定地点的距离、时间、交通工具等证明材料，加盖投标人公章：</w:t>
            </w:r>
          </w:p>
          <w:p w14:paraId="5BE5EBB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a.提供7×24小时的服务，接到采购人的通知后在1小时内（含）响应的得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w:t>
            </w:r>
          </w:p>
          <w:p w14:paraId="3C13CF6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b提供7×24小时的服务，接到采购人的通知后在2小时内（含）响应的，得</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5A9232F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c提供7×24小时的服务，接到采购人的通知后在超过2小时内响应的，不得分；</w:t>
            </w:r>
          </w:p>
          <w:p w14:paraId="237CB52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根据投标人提供的售后服务方案进行评审，包括但不限于：售后服务范围、售后服务人员配备情况、服务方式、收费标准（免费质保期除外）、其他售后服务工作等方面进行评审，以上方案内容符合项目实际情况、完全满足项目实施得1分；每有一项内容存在缺陷扣0.2 分，未提供不得分；</w:t>
            </w:r>
          </w:p>
          <w:p w14:paraId="466CB8B3">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default" w:ascii="宋体" w:hAnsi="宋体" w:cs="宋体"/>
                <w:color w:val="auto"/>
                <w:kern w:val="2"/>
                <w:sz w:val="24"/>
                <w:szCs w:val="24"/>
                <w:highlight w:val="none"/>
                <w:lang w:val="en-US" w:eastAsia="zh-CN" w:bidi="ar-SA"/>
              </w:rPr>
              <w:t>(缺陷是指：存在不适用项目实际情况的情形、凭空编造、内容前后不一致、前后逻辑错误、涉及的规范及标准错误、地点区域错误、内容遗漏、不符合采购需求等）</w:t>
            </w:r>
            <w:r>
              <w:rPr>
                <w:rFonts w:hint="eastAsia" w:ascii="宋体" w:hAnsi="宋体" w:cs="宋体"/>
                <w:color w:val="auto"/>
                <w:kern w:val="2"/>
                <w:sz w:val="24"/>
                <w:szCs w:val="24"/>
                <w:highlight w:val="none"/>
                <w:lang w:val="en-US" w:eastAsia="zh-CN" w:bidi="ar-SA"/>
              </w:rPr>
              <w:t>。</w:t>
            </w:r>
          </w:p>
        </w:tc>
        <w:tc>
          <w:tcPr>
            <w:tcW w:w="2018" w:type="dxa"/>
            <w:noWrap w:val="0"/>
            <w:vAlign w:val="center"/>
          </w:tcPr>
          <w:p w14:paraId="4205A326">
            <w:pPr>
              <w:spacing w:line="360" w:lineRule="auto"/>
              <w:jc w:val="center"/>
              <w:rPr>
                <w:rFonts w:hint="eastAsia" w:ascii="宋体" w:hAnsi="宋体" w:eastAsia="宋体" w:cs="宋体"/>
                <w:color w:val="auto"/>
                <w:sz w:val="24"/>
                <w:highlight w:val="none"/>
                <w:lang w:val="en-US" w:eastAsia="zh-CN"/>
              </w:rPr>
            </w:pPr>
          </w:p>
        </w:tc>
      </w:tr>
      <w:tr w14:paraId="7CC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160D25">
            <w:pPr>
              <w:numPr>
                <w:ilvl w:val="0"/>
                <w:numId w:val="30"/>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088" w:type="dxa"/>
            <w:noWrap w:val="0"/>
            <w:vAlign w:val="center"/>
          </w:tcPr>
          <w:p w14:paraId="1CA93C9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项目实施方案</w:t>
            </w:r>
          </w:p>
        </w:tc>
        <w:tc>
          <w:tcPr>
            <w:tcW w:w="1144" w:type="dxa"/>
            <w:noWrap w:val="0"/>
            <w:vAlign w:val="center"/>
          </w:tcPr>
          <w:p w14:paraId="16B7E89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5分</w:t>
            </w:r>
          </w:p>
        </w:tc>
        <w:tc>
          <w:tcPr>
            <w:tcW w:w="4296" w:type="dxa"/>
            <w:noWrap w:val="0"/>
            <w:vAlign w:val="center"/>
          </w:tcPr>
          <w:p w14:paraId="26D7982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根据投标人提供的项目实施能力、保障措施及实施计划等方案进行打分，内容包括：</w:t>
            </w:r>
          </w:p>
          <w:p w14:paraId="0B0B661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1、交货期保证措施；</w:t>
            </w:r>
          </w:p>
          <w:p w14:paraId="27E168E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2、安装、验收计划（包含进度安排、现场保管计划、项目验收计划等内容）；</w:t>
            </w:r>
          </w:p>
          <w:p w14:paraId="39A3FCE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3、人员组织（包含人员相关证书、岗位职责等内容）；</w:t>
            </w:r>
          </w:p>
          <w:p w14:paraId="698647A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4、安全生产（包含质量保障、安全生产保证措施、成品保护措施等内容）；</w:t>
            </w:r>
          </w:p>
          <w:p w14:paraId="2233D1F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5、应急预案（包含紧急故障应急处理流程、紧急恢复服务、紧急情况应急预案组织措施、紧急情况发生后的事后处理等）</w:t>
            </w:r>
          </w:p>
          <w:p w14:paraId="528C45B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以上内容完整且完全满足项目要求得5 分，每有一项内容存在缺陷扣0.5 分，未提供不得分；</w:t>
            </w:r>
          </w:p>
          <w:p w14:paraId="3EF9CE29">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default" w:ascii="宋体" w:hAnsi="宋体" w:cs="宋体"/>
                <w:color w:val="auto"/>
                <w:kern w:val="2"/>
                <w:sz w:val="24"/>
                <w:szCs w:val="24"/>
                <w:highlight w:val="none"/>
                <w:lang w:val="en-US" w:eastAsia="zh-CN" w:bidi="ar-SA"/>
              </w:rPr>
              <w:t>(缺陷是指：存在不适用项目实际情况的情形、凭空编造、内容前后不一致、前后逻辑错误、涉及的规范及标准错误、地点区域错误、内容遗漏、不符合采购需求等）</w:t>
            </w:r>
            <w:r>
              <w:rPr>
                <w:rFonts w:hint="eastAsia" w:ascii="宋体" w:hAnsi="宋体" w:eastAsia="宋体" w:cs="宋体"/>
                <w:color w:val="auto"/>
                <w:sz w:val="24"/>
                <w:highlight w:val="none"/>
              </w:rPr>
              <w:t>。</w:t>
            </w:r>
          </w:p>
        </w:tc>
        <w:tc>
          <w:tcPr>
            <w:tcW w:w="2018" w:type="dxa"/>
            <w:noWrap w:val="0"/>
            <w:vAlign w:val="center"/>
          </w:tcPr>
          <w:p w14:paraId="2384FE1A">
            <w:pPr>
              <w:spacing w:line="360" w:lineRule="auto"/>
              <w:jc w:val="center"/>
              <w:rPr>
                <w:rFonts w:hint="eastAsia" w:ascii="宋体" w:hAnsi="宋体" w:eastAsia="宋体" w:cs="宋体"/>
                <w:color w:val="auto"/>
                <w:sz w:val="24"/>
                <w:highlight w:val="none"/>
                <w:lang w:val="en-US" w:eastAsia="zh-CN"/>
              </w:rPr>
            </w:pPr>
          </w:p>
        </w:tc>
      </w:tr>
      <w:tr w14:paraId="5023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7BDDB53">
            <w:pPr>
              <w:numPr>
                <w:ilvl w:val="0"/>
                <w:numId w:val="30"/>
              </w:numPr>
              <w:spacing w:line="360" w:lineRule="auto"/>
              <w:ind w:left="635" w:leftChars="0" w:hanging="425" w:firstLineChars="0"/>
              <w:rPr>
                <w:rFonts w:hint="eastAsia" w:ascii="宋体" w:hAnsi="宋体" w:eastAsia="宋体" w:cs="宋体"/>
                <w:color w:val="auto"/>
                <w:sz w:val="24"/>
                <w:highlight w:val="none"/>
                <w:lang w:eastAsia="zh-CN"/>
              </w:rPr>
            </w:pPr>
          </w:p>
        </w:tc>
        <w:tc>
          <w:tcPr>
            <w:tcW w:w="1088" w:type="dxa"/>
            <w:noWrap w:val="0"/>
            <w:vAlign w:val="center"/>
          </w:tcPr>
          <w:p w14:paraId="25C1FD92">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设备质量保障措施</w:t>
            </w:r>
          </w:p>
        </w:tc>
        <w:tc>
          <w:tcPr>
            <w:tcW w:w="1144" w:type="dxa"/>
            <w:noWrap w:val="0"/>
            <w:vAlign w:val="center"/>
          </w:tcPr>
          <w:p w14:paraId="1B856DA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2分</w:t>
            </w:r>
          </w:p>
        </w:tc>
        <w:tc>
          <w:tcPr>
            <w:tcW w:w="4296" w:type="dxa"/>
            <w:noWrap w:val="0"/>
            <w:vAlign w:val="center"/>
          </w:tcPr>
          <w:p w14:paraId="50A89DB7">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提供完善的设备质量保障措施（包括但不限于）：外观检查、性能测试、寿命测试、在设备生产工艺流程中各环节的检测手段、已投运产品的故障发生率、关键部件的材质。</w:t>
            </w:r>
          </w:p>
          <w:p w14:paraId="6EE04F2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附业主评价表、验收记录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维修记录等相应证明材料，措施完整得2分，每有一项内容存在缺陷扣0.25分，未提供不得分；</w:t>
            </w:r>
          </w:p>
          <w:p w14:paraId="1198ECFA">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default" w:ascii="宋体" w:hAnsi="宋体" w:cs="宋体"/>
                <w:color w:val="auto"/>
                <w:kern w:val="2"/>
                <w:sz w:val="24"/>
                <w:szCs w:val="24"/>
                <w:highlight w:val="none"/>
                <w:lang w:val="en-US" w:eastAsia="zh-CN" w:bidi="ar-SA"/>
              </w:rPr>
              <w:t>缺陷是指：存在不适用项目实际情况的情形、凭空编造、内容前后不一致、前后逻辑错误、涉及的规范及标准错误、地点区域错误、内容遗漏、不符合采购需求等</w:t>
            </w:r>
            <w:r>
              <w:rPr>
                <w:rFonts w:hint="eastAsia" w:ascii="宋体" w:hAnsi="宋体" w:eastAsia="宋体" w:cs="宋体"/>
                <w:color w:val="auto"/>
                <w:sz w:val="24"/>
                <w:highlight w:val="none"/>
              </w:rPr>
              <w:t>。</w:t>
            </w:r>
          </w:p>
        </w:tc>
        <w:tc>
          <w:tcPr>
            <w:tcW w:w="2018" w:type="dxa"/>
            <w:noWrap w:val="0"/>
            <w:vAlign w:val="center"/>
          </w:tcPr>
          <w:p w14:paraId="7BBDD21B">
            <w:pPr>
              <w:spacing w:line="360" w:lineRule="auto"/>
              <w:jc w:val="center"/>
              <w:rPr>
                <w:rFonts w:hint="eastAsia" w:ascii="宋体" w:hAnsi="宋体" w:eastAsia="宋体" w:cs="宋体"/>
                <w:color w:val="auto"/>
                <w:sz w:val="24"/>
                <w:highlight w:val="none"/>
                <w:lang w:val="en-US" w:eastAsia="zh-CN"/>
              </w:rPr>
            </w:pPr>
          </w:p>
        </w:tc>
      </w:tr>
      <w:tr w14:paraId="0997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69DDB24">
            <w:pPr>
              <w:numPr>
                <w:ilvl w:val="0"/>
                <w:numId w:val="30"/>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088" w:type="dxa"/>
            <w:noWrap w:val="0"/>
            <w:vAlign w:val="center"/>
          </w:tcPr>
          <w:p w14:paraId="383758C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设备调试方案</w:t>
            </w:r>
          </w:p>
        </w:tc>
        <w:tc>
          <w:tcPr>
            <w:tcW w:w="1144" w:type="dxa"/>
            <w:noWrap w:val="0"/>
            <w:vAlign w:val="center"/>
          </w:tcPr>
          <w:p w14:paraId="730667B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4296" w:type="dxa"/>
            <w:noWrap w:val="0"/>
            <w:vAlign w:val="center"/>
          </w:tcPr>
          <w:p w14:paraId="0C57366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投标人根据本项目需求提供详细的设备调试方案（包括但不限于）：设备调试要求、设备调试人员配置、调试步骤、设备调试工作等内容，得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分，每有一项内容存在缺陷扣0.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分，未提供不得分；</w:t>
            </w:r>
          </w:p>
          <w:p w14:paraId="2906E7D8">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default" w:ascii="宋体" w:hAnsi="宋体" w:cs="宋体"/>
                <w:color w:val="auto"/>
                <w:kern w:val="2"/>
                <w:sz w:val="24"/>
                <w:szCs w:val="24"/>
                <w:highlight w:val="none"/>
                <w:lang w:val="en-US" w:eastAsia="zh-CN" w:bidi="ar-SA"/>
              </w:rPr>
              <w:t>缺陷是指：存在不适用项目实际情况的情形、凭空编造、内容前后不一致、前后逻辑错误、涉及的规范及标准错误、地点区域错误、内容遗漏、不符合采购需求等</w:t>
            </w:r>
            <w:r>
              <w:rPr>
                <w:rFonts w:hint="eastAsia" w:ascii="宋体" w:hAnsi="宋体" w:eastAsia="宋体" w:cs="宋体"/>
                <w:color w:val="auto"/>
                <w:sz w:val="24"/>
                <w:highlight w:val="none"/>
              </w:rPr>
              <w:t>。</w:t>
            </w:r>
          </w:p>
        </w:tc>
        <w:tc>
          <w:tcPr>
            <w:tcW w:w="2018" w:type="dxa"/>
            <w:noWrap w:val="0"/>
            <w:vAlign w:val="center"/>
          </w:tcPr>
          <w:p w14:paraId="16484F1A">
            <w:pPr>
              <w:spacing w:line="360" w:lineRule="auto"/>
              <w:jc w:val="center"/>
              <w:rPr>
                <w:rFonts w:hint="eastAsia" w:ascii="宋体" w:hAnsi="宋体" w:eastAsia="宋体" w:cs="宋体"/>
                <w:color w:val="auto"/>
                <w:sz w:val="24"/>
                <w:highlight w:val="none"/>
                <w:lang w:val="en-US" w:eastAsia="zh-CN"/>
              </w:rPr>
            </w:pPr>
          </w:p>
        </w:tc>
      </w:tr>
      <w:tr w14:paraId="779F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B61E421">
            <w:pPr>
              <w:numPr>
                <w:ilvl w:val="0"/>
                <w:numId w:val="30"/>
              </w:numPr>
              <w:spacing w:line="360" w:lineRule="auto"/>
              <w:ind w:left="635" w:leftChars="0" w:hanging="425" w:firstLineChars="0"/>
              <w:rPr>
                <w:rFonts w:hint="eastAsia" w:ascii="宋体" w:hAnsi="宋体" w:eastAsia="宋体" w:cs="宋体"/>
                <w:color w:val="auto"/>
                <w:sz w:val="24"/>
                <w:highlight w:val="none"/>
              </w:rPr>
            </w:pPr>
          </w:p>
        </w:tc>
        <w:tc>
          <w:tcPr>
            <w:tcW w:w="1088" w:type="dxa"/>
            <w:noWrap w:val="0"/>
            <w:vAlign w:val="center"/>
          </w:tcPr>
          <w:p w14:paraId="6684EE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环保节能产品</w:t>
            </w:r>
          </w:p>
        </w:tc>
        <w:tc>
          <w:tcPr>
            <w:tcW w:w="1144" w:type="dxa"/>
            <w:noWrap w:val="0"/>
            <w:vAlign w:val="center"/>
          </w:tcPr>
          <w:p w14:paraId="53EC6B0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1分</w:t>
            </w:r>
          </w:p>
        </w:tc>
        <w:tc>
          <w:tcPr>
            <w:tcW w:w="4296" w:type="dxa"/>
            <w:noWrap w:val="0"/>
            <w:vAlign w:val="center"/>
          </w:tcPr>
          <w:p w14:paraId="25CF870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提供的产品每有一项为政府采购节能产品（不包括强制节能产品）或环境标志产品得0.5分，最多得1分。（投标文件中对所供产品为节能、环境标志产品清单中的产品，须在节能、环境标志产品优惠明细表中列明并按要求提供证明材料，否则不予认定。）</w:t>
            </w:r>
          </w:p>
          <w:p w14:paraId="7D19BBA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注：若节能、环境标志清单内的产品仅是构成投标产品的部件、组件或零件的，则该投标产品不予加分。</w:t>
            </w:r>
          </w:p>
        </w:tc>
        <w:tc>
          <w:tcPr>
            <w:tcW w:w="2018" w:type="dxa"/>
            <w:noWrap w:val="0"/>
            <w:vAlign w:val="center"/>
          </w:tcPr>
          <w:p w14:paraId="53FE8E13">
            <w:pPr>
              <w:spacing w:line="360" w:lineRule="auto"/>
              <w:jc w:val="center"/>
              <w:rPr>
                <w:rFonts w:hint="eastAsia" w:ascii="宋体" w:hAnsi="宋体" w:eastAsia="宋体" w:cs="宋体"/>
                <w:color w:val="auto"/>
                <w:sz w:val="24"/>
                <w:highlight w:val="none"/>
                <w:lang w:val="en-US" w:eastAsia="zh-CN"/>
              </w:rPr>
            </w:pPr>
          </w:p>
        </w:tc>
      </w:tr>
      <w:tr w14:paraId="77A7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4" w:type="dxa"/>
            <w:gridSpan w:val="2"/>
            <w:noWrap w:val="0"/>
            <w:vAlign w:val="center"/>
          </w:tcPr>
          <w:p w14:paraId="5C157E86">
            <w:pPr>
              <w:pStyle w:val="445"/>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7458" w:type="dxa"/>
            <w:gridSpan w:val="3"/>
            <w:noWrap w:val="0"/>
            <w:vAlign w:val="center"/>
          </w:tcPr>
          <w:p w14:paraId="77D11857">
            <w:pPr>
              <w:pStyle w:val="445"/>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分</w:t>
            </w:r>
          </w:p>
        </w:tc>
      </w:tr>
    </w:tbl>
    <w:p w14:paraId="42F971C1">
      <w:pPr>
        <w:rPr>
          <w:rFonts w:hint="eastAsia" w:ascii="宋体" w:hAnsi="宋体" w:cs="宋体"/>
          <w:color w:val="auto"/>
          <w:sz w:val="24"/>
          <w:highlight w:val="none"/>
        </w:rPr>
      </w:pPr>
    </w:p>
    <w:p w14:paraId="2D3D8BC6">
      <w:pPr>
        <w:pStyle w:val="21"/>
        <w:ind w:firstLine="480"/>
        <w:rPr>
          <w:rFonts w:hint="eastAsia" w:ascii="宋体" w:hAnsi="宋体" w:cs="宋体"/>
          <w:color w:val="auto"/>
          <w:sz w:val="24"/>
          <w:highlight w:val="none"/>
        </w:rPr>
      </w:pPr>
    </w:p>
    <w:p w14:paraId="434D5948">
      <w:pPr>
        <w:rPr>
          <w:rFonts w:hint="eastAsia" w:ascii="宋体" w:hAnsi="宋体" w:cs="宋体"/>
          <w:color w:val="auto"/>
          <w:sz w:val="24"/>
          <w:highlight w:val="none"/>
        </w:rPr>
      </w:pPr>
    </w:p>
    <w:p w14:paraId="4871C141">
      <w:pPr>
        <w:spacing w:line="360" w:lineRule="auto"/>
        <w:jc w:val="center"/>
        <w:outlineLvl w:val="0"/>
        <w:rPr>
          <w:rFonts w:hint="eastAsia" w:ascii="宋体" w:hAnsi="宋体" w:cs="宋体"/>
          <w:b/>
          <w:bCs/>
          <w:color w:val="auto"/>
          <w:sz w:val="24"/>
          <w:highlight w:val="none"/>
        </w:rPr>
      </w:pPr>
      <w:bookmarkStart w:id="346" w:name="_Toc29987"/>
      <w:bookmarkStart w:id="347" w:name="_Toc99301424"/>
      <w:r>
        <w:rPr>
          <w:b/>
          <w:color w:val="auto"/>
          <w:sz w:val="36"/>
          <w:szCs w:val="36"/>
          <w:highlight w:val="none"/>
        </w:rPr>
        <w:br w:type="page"/>
      </w:r>
      <w:r>
        <w:rPr>
          <w:b/>
          <w:color w:val="auto"/>
          <w:sz w:val="36"/>
          <w:szCs w:val="36"/>
          <w:highlight w:val="none"/>
        </w:rPr>
        <w:t>第五章  采购需求</w:t>
      </w:r>
      <w:bookmarkEnd w:id="346"/>
      <w:bookmarkEnd w:id="347"/>
    </w:p>
    <w:p w14:paraId="3B3FE5A3">
      <w:pPr>
        <w:rPr>
          <w:rFonts w:ascii="宋体" w:hAnsi="宋体" w:cs="宋体"/>
          <w:b/>
          <w:color w:val="FF0000"/>
          <w:sz w:val="28"/>
          <w:szCs w:val="28"/>
        </w:rPr>
      </w:pPr>
      <w:bookmarkStart w:id="348" w:name="_Toc501639726"/>
      <w:bookmarkStart w:id="349" w:name="_Toc19796"/>
    </w:p>
    <w:p w14:paraId="32EF4051">
      <w:pPr>
        <w:jc w:val="center"/>
        <w:rPr>
          <w:rFonts w:ascii="方正小标宋_GBK" w:hAnsi="仿宋" w:eastAsia="方正小标宋_GBK" w:cs="Times New Roman"/>
          <w:color w:val="000000"/>
          <w:sz w:val="36"/>
          <w:szCs w:val="36"/>
        </w:rPr>
      </w:pPr>
      <w:r>
        <w:rPr>
          <w:rFonts w:hint="eastAsia" w:ascii="方正小标宋_GBK" w:hAnsi="仿宋" w:eastAsia="方正小标宋_GBK" w:cs="Times New Roman"/>
          <w:color w:val="000000"/>
          <w:sz w:val="36"/>
          <w:szCs w:val="36"/>
        </w:rPr>
        <w:t>新疆第二医学院药学实验教学示范中心建设项目</w:t>
      </w:r>
    </w:p>
    <w:p w14:paraId="25C85F7F">
      <w:pPr>
        <w:jc w:val="center"/>
        <w:rPr>
          <w:rFonts w:ascii="方正小标宋_GBK" w:hAnsi="仿宋" w:eastAsia="方正小标宋_GBK" w:cs="Times New Roman"/>
          <w:color w:val="000000"/>
          <w:sz w:val="36"/>
          <w:szCs w:val="36"/>
        </w:rPr>
      </w:pPr>
      <w:r>
        <w:rPr>
          <w:rFonts w:hint="eastAsia" w:ascii="方正小标宋_GBK" w:hAnsi="仿宋" w:eastAsia="方正小标宋_GBK" w:cs="Times New Roman"/>
          <w:color w:val="000000"/>
          <w:sz w:val="36"/>
          <w:szCs w:val="36"/>
        </w:rPr>
        <w:t>采购需求</w:t>
      </w:r>
    </w:p>
    <w:p w14:paraId="0CD70251">
      <w:pPr>
        <w:ind w:firstLine="640" w:firstLineChars="20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一、投标人资格条件</w:t>
      </w:r>
    </w:p>
    <w:p w14:paraId="590AE525">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（一）特定资格条件</w:t>
      </w:r>
    </w:p>
    <w:p w14:paraId="7CA6D770">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无</w:t>
      </w:r>
    </w:p>
    <w:p w14:paraId="5CAA8930">
      <w:pPr>
        <w:ind w:firstLine="640" w:firstLineChars="20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二、项目技术规格、数量及质量要求</w:t>
      </w:r>
    </w:p>
    <w:p w14:paraId="768D8DD8">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详见货物技术及服务标准。</w:t>
      </w:r>
    </w:p>
    <w:p w14:paraId="6C00A4F4">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（一）项目基本情况和采购标的需实现的功能或目标</w:t>
      </w:r>
    </w:p>
    <w:p w14:paraId="5E3D6E3A">
      <w:pPr>
        <w:ind w:firstLine="640" w:firstLineChars="200"/>
        <w:rPr>
          <w:rFonts w:ascii="宋体" w:hAnsi="宋体" w:cs="宋体"/>
          <w:color w:val="FF0000"/>
          <w:sz w:val="32"/>
          <w:szCs w:val="32"/>
          <w:highlight w:val="cyan"/>
        </w:rPr>
      </w:pPr>
      <w:r>
        <w:rPr>
          <w:rFonts w:hint="eastAsia" w:ascii="Times New Roman" w:hAnsi="Times New Roman" w:eastAsia="仿宋_GB2312" w:cs="Times New Roman"/>
          <w:snapToGrid w:val="0"/>
          <w:kern w:val="0"/>
          <w:sz w:val="32"/>
          <w:szCs w:val="32"/>
        </w:rPr>
        <w:t>本项目包括变焦体视显微镜、六通道尤斯灌流室系统、迷你型箱式炉、高温管式炉、接触角测量仪、酶标仪、冰箱和高效液相色谱仪等共计12台/套仪器设备。通过此次项目采购，旨在优化实验教学条件与资源配置，进一步满足药学实验教学和科研使用，提升药学专业学科水平和学生的操作技能。</w:t>
      </w:r>
    </w:p>
    <w:p w14:paraId="4FC4513D">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（二）货物技术及服务标准</w:t>
      </w:r>
    </w:p>
    <w:p w14:paraId="10578C61">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1、必须满足的技术及服务标准</w:t>
      </w:r>
    </w:p>
    <w:tbl>
      <w:tblPr>
        <w:tblStyle w:val="88"/>
        <w:tblW w:w="5070" w:type="pct"/>
        <w:tblInd w:w="0" w:type="dxa"/>
        <w:tblLayout w:type="fixed"/>
        <w:tblCellMar>
          <w:top w:w="0" w:type="dxa"/>
          <w:left w:w="108" w:type="dxa"/>
          <w:bottom w:w="0" w:type="dxa"/>
          <w:right w:w="108" w:type="dxa"/>
        </w:tblCellMar>
      </w:tblPr>
      <w:tblGrid>
        <w:gridCol w:w="508"/>
        <w:gridCol w:w="1075"/>
        <w:gridCol w:w="6139"/>
        <w:gridCol w:w="760"/>
        <w:gridCol w:w="753"/>
        <w:gridCol w:w="780"/>
      </w:tblGrid>
      <w:tr w14:paraId="1BA2CF7D">
        <w:tblPrEx>
          <w:tblCellMar>
            <w:top w:w="0" w:type="dxa"/>
            <w:left w:w="108" w:type="dxa"/>
            <w:bottom w:w="0" w:type="dxa"/>
            <w:right w:w="108" w:type="dxa"/>
          </w:tblCellMar>
        </w:tblPrEx>
        <w:trPr>
          <w:trHeight w:val="562"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318C6AF8">
            <w:pPr>
              <w:overflowPunct w:val="0"/>
              <w:spacing w:line="500" w:lineRule="exact"/>
              <w:jc w:val="center"/>
              <w:rPr>
                <w:rFonts w:ascii="宋体" w:hAnsi="宋体" w:eastAsia="宋体" w:cs="宋体"/>
                <w:color w:val="000000"/>
                <w:sz w:val="20"/>
                <w:szCs w:val="20"/>
              </w:rPr>
            </w:pPr>
            <w:r>
              <w:rPr>
                <w:rFonts w:hint="eastAsia" w:ascii="宋体" w:hAnsi="宋体" w:eastAsia="宋体" w:cs="宋体"/>
                <w:b/>
                <w:sz w:val="20"/>
                <w:szCs w:val="20"/>
              </w:rPr>
              <w:t>序号</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1705B29E">
            <w:pPr>
              <w:overflowPunct w:val="0"/>
              <w:spacing w:line="500" w:lineRule="exact"/>
              <w:jc w:val="center"/>
              <w:rPr>
                <w:rFonts w:ascii="宋体" w:hAnsi="宋体" w:eastAsia="宋体" w:cs="宋体"/>
                <w:color w:val="000000"/>
                <w:sz w:val="20"/>
                <w:szCs w:val="20"/>
              </w:rPr>
            </w:pPr>
            <w:r>
              <w:rPr>
                <w:rFonts w:hint="eastAsia" w:ascii="宋体" w:hAnsi="宋体" w:eastAsia="宋体" w:cs="宋体"/>
                <w:b/>
                <w:sz w:val="20"/>
                <w:szCs w:val="20"/>
              </w:rPr>
              <w:t>设备名称</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58F0B24E">
            <w:pPr>
              <w:overflowPunct w:val="0"/>
              <w:spacing w:line="500" w:lineRule="exact"/>
              <w:jc w:val="center"/>
              <w:rPr>
                <w:rFonts w:ascii="宋体" w:hAnsi="宋体" w:eastAsia="宋体" w:cs="宋体"/>
                <w:color w:val="000000"/>
                <w:sz w:val="20"/>
                <w:szCs w:val="20"/>
              </w:rPr>
            </w:pPr>
            <w:r>
              <w:rPr>
                <w:rFonts w:hint="eastAsia" w:ascii="宋体" w:hAnsi="宋体" w:eastAsia="宋体" w:cs="宋体"/>
                <w:b/>
                <w:sz w:val="20"/>
                <w:szCs w:val="20"/>
              </w:rPr>
              <w:t>规格参数</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7B24B3D">
            <w:pPr>
              <w:overflowPunct w:val="0"/>
              <w:spacing w:line="500" w:lineRule="exact"/>
              <w:jc w:val="center"/>
              <w:rPr>
                <w:rFonts w:ascii="宋体" w:hAnsi="宋体" w:eastAsia="宋体" w:cs="宋体"/>
                <w:color w:val="000000"/>
                <w:kern w:val="0"/>
                <w:sz w:val="20"/>
                <w:szCs w:val="20"/>
                <w:lang w:bidi="ar"/>
              </w:rPr>
            </w:pPr>
            <w:r>
              <w:rPr>
                <w:rFonts w:hint="eastAsia" w:ascii="宋体" w:hAnsi="宋体" w:eastAsia="宋体" w:cs="宋体"/>
                <w:b/>
                <w:sz w:val="20"/>
                <w:szCs w:val="20"/>
              </w:rPr>
              <w:t>单位</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4AC74C3D">
            <w:pPr>
              <w:overflowPunct w:val="0"/>
              <w:spacing w:line="500" w:lineRule="exact"/>
              <w:jc w:val="center"/>
              <w:rPr>
                <w:rFonts w:ascii="宋体" w:hAnsi="宋体" w:eastAsia="宋体" w:cs="宋体"/>
                <w:color w:val="000000"/>
                <w:sz w:val="20"/>
                <w:szCs w:val="20"/>
              </w:rPr>
            </w:pPr>
            <w:r>
              <w:rPr>
                <w:rFonts w:hint="eastAsia" w:ascii="宋体" w:hAnsi="宋体" w:eastAsia="宋体" w:cs="宋体"/>
                <w:b/>
                <w:sz w:val="20"/>
                <w:szCs w:val="20"/>
              </w:rPr>
              <w:t>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F42DC1E">
            <w:pPr>
              <w:overflowPunct w:val="0"/>
              <w:spacing w:line="500" w:lineRule="exact"/>
              <w:jc w:val="center"/>
              <w:rPr>
                <w:rFonts w:ascii="宋体" w:hAnsi="宋体" w:eastAsia="宋体" w:cs="宋体"/>
                <w:color w:val="000000"/>
                <w:kern w:val="0"/>
                <w:sz w:val="20"/>
                <w:szCs w:val="20"/>
                <w:lang w:bidi="ar"/>
              </w:rPr>
            </w:pPr>
            <w:r>
              <w:rPr>
                <w:rFonts w:hint="eastAsia" w:ascii="宋体" w:hAnsi="宋体" w:eastAsia="宋体" w:cs="宋体"/>
                <w:b/>
                <w:sz w:val="20"/>
                <w:szCs w:val="20"/>
              </w:rPr>
              <w:t>备注</w:t>
            </w:r>
          </w:p>
        </w:tc>
      </w:tr>
      <w:tr w14:paraId="5E12CB5F">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47CC27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43EBB61C">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0"/>
                <w:szCs w:val="20"/>
              </w:rPr>
              <w:t>变焦体视显微镜</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4AA5CEB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1.光学系统</w:t>
            </w:r>
          </w:p>
          <w:p w14:paraId="00AE044B">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采用Greenough光学系统，具有10度收敛角设计，确保高平场度、大景深和低畸变，同时支持三维立体观察。</w:t>
            </w:r>
          </w:p>
          <w:p w14:paraId="01F5239C">
            <w:pPr>
              <w:rPr>
                <w:rFonts w:ascii="宋体" w:hAnsi="宋体" w:eastAsia="宋体" w:cs="宋体"/>
                <w:kern w:val="0"/>
                <w:sz w:val="20"/>
                <w:szCs w:val="20"/>
                <w:highlight w:val="none"/>
              </w:rPr>
            </w:pPr>
            <w:r>
              <w:rPr>
                <w:rFonts w:ascii="宋体" w:hAnsi="宋体" w:eastAsia="宋体" w:cs="宋体"/>
                <w:kern w:val="0"/>
                <w:sz w:val="20"/>
                <w:szCs w:val="20"/>
                <w:highlight w:val="none"/>
              </w:rPr>
              <w:t>1.2</w:t>
            </w:r>
            <w:r>
              <w:rPr>
                <w:rFonts w:hint="eastAsia" w:ascii="宋体" w:hAnsi="宋体" w:eastAsia="宋体" w:cs="宋体"/>
                <w:kern w:val="0"/>
                <w:sz w:val="20"/>
                <w:szCs w:val="20"/>
                <w:highlight w:val="none"/>
              </w:rPr>
              <w:t>色彩还原：通过特殊具有镀膜技术和复消色差光学元件，实现真实色彩再现。</w:t>
            </w:r>
          </w:p>
          <w:p w14:paraId="62B6BA74">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2. 变焦比与放大范围  </w:t>
            </w:r>
          </w:p>
          <w:p w14:paraId="1D589064">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ascii="宋体" w:hAnsi="宋体" w:eastAsia="宋体" w:cs="宋体"/>
                <w:kern w:val="0"/>
                <w:sz w:val="20"/>
                <w:szCs w:val="20"/>
                <w:highlight w:val="none"/>
              </w:rPr>
              <w:t xml:space="preserve">2.1 </w:t>
            </w:r>
            <w:r>
              <w:rPr>
                <w:rFonts w:hint="eastAsia" w:ascii="宋体" w:hAnsi="宋体" w:eastAsia="宋体" w:cs="宋体"/>
                <w:kern w:val="0"/>
                <w:sz w:val="20"/>
                <w:szCs w:val="20"/>
                <w:highlight w:val="none"/>
              </w:rPr>
              <w:t>变焦比6.7:1，变倍范围0.67×~4.5×（物镜），结合10×目镜时总放大倍率为6.7×~45×（最高可达270×，搭配辅助物镜）。</w:t>
            </w:r>
          </w:p>
          <w:p w14:paraId="0A0812A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二、观察筒与人体工程学设计</w:t>
            </w:r>
          </w:p>
          <w:p w14:paraId="7F3D428B">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1. 观察筒配置  </w:t>
            </w:r>
          </w:p>
          <w:p w14:paraId="701300B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   1</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三目观察筒（内置0.5×拍摄透镜），三目型号可连接数码相机。</w:t>
            </w:r>
          </w:p>
          <w:p w14:paraId="3B8FFEFB">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2. 舒适性设计 </w:t>
            </w:r>
          </w:p>
          <w:p w14:paraId="04879164">
            <w:pPr>
              <w:rPr>
                <w:rFonts w:ascii="宋体" w:hAnsi="宋体" w:eastAsia="宋体" w:cs="宋体"/>
                <w:kern w:val="0"/>
                <w:sz w:val="20"/>
                <w:szCs w:val="20"/>
                <w:highlight w:val="none"/>
              </w:rPr>
            </w:pPr>
            <w:r>
              <w:rPr>
                <w:rFonts w:ascii="宋体" w:hAnsi="宋体" w:eastAsia="宋体" w:cs="宋体"/>
                <w:kern w:val="0"/>
                <w:sz w:val="20"/>
                <w:szCs w:val="20"/>
                <w:highlight w:val="none"/>
              </w:rPr>
              <w:t>2.1</w:t>
            </w:r>
            <w:r>
              <w:rPr>
                <w:rFonts w:hint="eastAsia" w:ascii="宋体" w:hAnsi="宋体" w:eastAsia="宋体" w:cs="宋体"/>
                <w:kern w:val="0"/>
                <w:sz w:val="20"/>
                <w:szCs w:val="20"/>
                <w:highlight w:val="none"/>
              </w:rPr>
              <w:t xml:space="preserve"> 目镜：支持瞳孔像差控制和视点定位，减少眼部疲劳，搭配宽视场。</w:t>
            </w:r>
          </w:p>
          <w:p w14:paraId="6A4D7DBD">
            <w:pPr>
              <w:rPr>
                <w:rFonts w:ascii="宋体" w:hAnsi="宋体" w:eastAsia="宋体" w:cs="宋体"/>
                <w:kern w:val="0"/>
                <w:sz w:val="20"/>
                <w:szCs w:val="20"/>
                <w:highlight w:val="none"/>
              </w:rPr>
            </w:pPr>
            <w:r>
              <w:rPr>
                <w:rFonts w:ascii="宋体" w:hAnsi="宋体" w:eastAsia="宋体" w:cs="宋体"/>
                <w:kern w:val="0"/>
                <w:sz w:val="20"/>
                <w:szCs w:val="20"/>
                <w:highlight w:val="none"/>
              </w:rPr>
              <w:t>2.2</w:t>
            </w:r>
            <w:r>
              <w:rPr>
                <w:rFonts w:hint="eastAsia" w:ascii="宋体" w:hAnsi="宋体" w:eastAsia="宋体" w:cs="宋体"/>
                <w:kern w:val="0"/>
                <w:sz w:val="20"/>
                <w:szCs w:val="20"/>
                <w:highlight w:val="none"/>
              </w:rPr>
              <w:t>操作便捷性：正面旋钮设计，支持瞳距调节（52~76mm），单轴水平调焦。</w:t>
            </w:r>
          </w:p>
          <w:p w14:paraId="7B8D2B18">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三、物镜与辅助配件</w:t>
            </w:r>
          </w:p>
          <w:p w14:paraId="78761563">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1. 物镜参数  </w:t>
            </w:r>
          </w:p>
          <w:p w14:paraId="13B72AF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标准物镜：1×物镜，工作距离110mm，数值孔径（NA）0.071。</w:t>
            </w:r>
          </w:p>
          <w:p w14:paraId="3139313F">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2. 目镜选项  </w:t>
            </w:r>
          </w:p>
          <w:p w14:paraId="73B0F0D5">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标配10×目镜，支持屈光度调节和标线功能。</w:t>
            </w:r>
          </w:p>
          <w:p w14:paraId="4E714BF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四、照明系统</w:t>
            </w:r>
          </w:p>
          <w:p w14:paraId="429B38B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1. 透射照明 </w:t>
            </w:r>
          </w:p>
          <w:p w14:paraId="5FAC3EB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 LED照明底座：薄型设计，支持透射/反射光切换，色温稳定，寿命≥6000小时。</w:t>
            </w:r>
          </w:p>
          <w:p w14:paraId="783B428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五、物理参数与环境适应性</w:t>
            </w:r>
          </w:p>
          <w:p w14:paraId="359FC5D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环境要求：温度0~40℃，湿度30%~90%。</w:t>
            </w:r>
          </w:p>
          <w:p w14:paraId="26A7FD3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防静电设计：机身及附件采用防静电材料，防止静电损伤样品。</w:t>
            </w:r>
          </w:p>
          <w:p w14:paraId="2CB72244">
            <w:pPr>
              <w:rPr>
                <w:rFonts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六</w:t>
            </w:r>
            <w:r>
              <w:rPr>
                <w:rFonts w:hint="eastAsia" w:ascii="宋体" w:hAnsi="宋体" w:eastAsia="宋体" w:cs="宋体"/>
                <w:kern w:val="0"/>
                <w:sz w:val="20"/>
                <w:szCs w:val="20"/>
                <w:highlight w:val="none"/>
              </w:rPr>
              <w:t>、工作站</w:t>
            </w:r>
          </w:p>
          <w:p w14:paraId="03CF7A9B">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 xml:space="preserve">工作站一套≥（i5/1T/8G/29寸显示器） </w:t>
            </w:r>
          </w:p>
          <w:p w14:paraId="4D64DE44">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相机分辨率：用于教学/基础观察，5MP≥2592×1944 满足屏幕显示或简单记录 ；用于科研、精细结构分析，分辨率5MP≥ 2592×1944 需高物镜和优质照明。</w:t>
            </w:r>
          </w:p>
          <w:p w14:paraId="50D7CD2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七、售后服务</w:t>
            </w:r>
          </w:p>
          <w:p w14:paraId="656C8D07">
            <w:pPr>
              <w:rPr>
                <w:rFonts w:ascii="宋体" w:hAnsi="宋体" w:eastAsia="宋体" w:cs="宋体"/>
                <w:kern w:val="0"/>
                <w:sz w:val="20"/>
                <w:szCs w:val="20"/>
              </w:rPr>
            </w:pPr>
            <w:r>
              <w:rPr>
                <w:rFonts w:hint="eastAsia" w:ascii="宋体" w:hAnsi="宋体" w:eastAsia="宋体" w:cs="宋体"/>
                <w:kern w:val="0"/>
                <w:sz w:val="20"/>
                <w:szCs w:val="20"/>
                <w:highlight w:val="none"/>
              </w:rPr>
              <w:t>服务要求如下：1.针对所售产品提供安装、调试和操作技术培训；2.配件及仪器一年质保期，终生维护；</w:t>
            </w:r>
            <w:r>
              <w:rPr>
                <w:rFonts w:hint="eastAsia" w:ascii="宋体" w:hAnsi="宋体" w:eastAsia="宋体" w:cs="宋体"/>
                <w:kern w:val="0"/>
                <w:sz w:val="20"/>
                <w:szCs w:val="20"/>
                <w:highlight w:val="none"/>
                <w:lang w:val="en-US" w:eastAsia="zh-CN"/>
              </w:rPr>
              <w:t>3.提供载玻片、盖玻片、目镜油等消耗品。</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C4C1819">
            <w:pPr>
              <w:rPr>
                <w:rFonts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303EAA4E">
            <w:pPr>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3683DC9">
            <w:pPr>
              <w:jc w:val="center"/>
              <w:rPr>
                <w:rFonts w:ascii="宋体" w:hAnsi="宋体" w:eastAsia="宋体" w:cs="宋体"/>
                <w:kern w:val="0"/>
                <w:sz w:val="20"/>
                <w:szCs w:val="20"/>
              </w:rPr>
            </w:pPr>
          </w:p>
        </w:tc>
      </w:tr>
      <w:tr w14:paraId="664FE31E">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76E69B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6CF34F44">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0"/>
                <w:szCs w:val="20"/>
              </w:rPr>
              <w:t>六通道尤斯灌流室系统</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3B73B4F8">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1.功能用途及配置说明 </w:t>
            </w:r>
          </w:p>
          <w:p w14:paraId="2206172E">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用于跨上皮转运的研究，包括离子通道机制、药物吸收代谢评价、营养吸收评价、肠道屏障功能等等。 </w:t>
            </w:r>
          </w:p>
          <w:p w14:paraId="680DF967">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主要设备包括：用于离体组织研究的六通道尤斯室、用于监测组织电生理参数的六通道电压电流钳、数据采集与记录系统及保证3年的备品备件。 </w:t>
            </w:r>
          </w:p>
          <w:p w14:paraId="15553DF5">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2.主要性能及技术参数 </w:t>
            </w:r>
          </w:p>
          <w:p w14:paraId="5AAAE72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 xml:space="preserve">.垂直循环式尤斯室，具备恒温及供氧功能。 </w:t>
            </w:r>
          </w:p>
          <w:p w14:paraId="15BEFA55">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 xml:space="preserve">.电极垂直安装方式，更换电极时无需排空溶液。 </w:t>
            </w:r>
          </w:p>
          <w:p w14:paraId="63DBD783">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3</w:t>
            </w:r>
            <w:r>
              <w:rPr>
                <w:rFonts w:ascii="宋体" w:hAnsi="宋体" w:eastAsia="宋体" w:cs="宋体"/>
                <w:kern w:val="0"/>
                <w:sz w:val="20"/>
                <w:szCs w:val="20"/>
                <w:highlight w:val="none"/>
              </w:rPr>
              <w:t xml:space="preserve">.可连续实时监测的参数包括电压、电流、电阻及电导； </w:t>
            </w:r>
          </w:p>
          <w:p w14:paraId="581163FB">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0"/>
                <w:szCs w:val="20"/>
                <w:highlight w:val="none"/>
              </w:rPr>
              <w:t>4</w:t>
            </w:r>
            <w:r>
              <w:rPr>
                <w:rFonts w:ascii="宋体" w:hAnsi="宋体" w:eastAsia="宋体" w:cs="宋体"/>
                <w:kern w:val="0"/>
                <w:sz w:val="20"/>
                <w:szCs w:val="20"/>
                <w:highlight w:val="none"/>
              </w:rPr>
              <w:t xml:space="preserve">.分体式样本固定夹，可根据样本面积大小选择不同规格。 </w:t>
            </w:r>
          </w:p>
          <w:p w14:paraId="1BF5CD46">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工作条件：温度： 15～35℃，相对湿度：20～80% </w:t>
            </w:r>
          </w:p>
          <w:p w14:paraId="1EECDAD3">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电源：220VAC\50Hz </w:t>
            </w:r>
          </w:p>
          <w:p w14:paraId="7175FBC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w:t>
            </w:r>
            <w:r>
              <w:rPr>
                <w:rFonts w:ascii="宋体" w:hAnsi="宋体" w:eastAsia="宋体" w:cs="宋体"/>
                <w:kern w:val="0"/>
                <w:sz w:val="20"/>
                <w:szCs w:val="20"/>
                <w:highlight w:val="none"/>
              </w:rPr>
              <w:t xml:space="preserve">.尤斯室单侧容积：2-8ml </w:t>
            </w:r>
          </w:p>
          <w:p w14:paraId="0B270FE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 xml:space="preserve">.尤斯室结构：垂直循环式 </w:t>
            </w:r>
          </w:p>
          <w:p w14:paraId="75C6DB9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.输入阻抗：1 x 10</w:t>
            </w:r>
            <w:r>
              <w:rPr>
                <w:rFonts w:ascii="宋体" w:hAnsi="宋体" w:eastAsia="宋体" w:cs="宋体"/>
                <w:kern w:val="0"/>
                <w:sz w:val="20"/>
                <w:szCs w:val="20"/>
                <w:highlight w:val="none"/>
                <w:vertAlign w:val="superscript"/>
              </w:rPr>
              <w:t>10</w:t>
            </w:r>
            <w:r>
              <w:rPr>
                <w:rFonts w:ascii="宋体" w:hAnsi="宋体" w:eastAsia="宋体" w:cs="宋体"/>
                <w:kern w:val="0"/>
                <w:sz w:val="20"/>
                <w:szCs w:val="20"/>
                <w:highlight w:val="none"/>
              </w:rPr>
              <w:t xml:space="preserve">Ω </w:t>
            </w:r>
          </w:p>
          <w:p w14:paraId="50C5E7E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 xml:space="preserve">.电压测量范围：±199.9 mV </w:t>
            </w:r>
          </w:p>
          <w:p w14:paraId="536B1F4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 xml:space="preserve">.电流测量范围：±1999 μA（可调增益设置） </w:t>
            </w:r>
          </w:p>
          <w:p w14:paraId="2559F21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 xml:space="preserve">0.流体阻抗补偿范围：0-1000Ω（备注：最大可以10000） </w:t>
            </w:r>
          </w:p>
          <w:p w14:paraId="2F5652FB">
            <w:pPr>
              <w:rPr>
                <w:rFonts w:ascii="宋体" w:hAnsi="宋体" w:eastAsia="宋体" w:cs="宋体"/>
                <w:kern w:val="0"/>
                <w:sz w:val="20"/>
                <w:szCs w:val="20"/>
                <w:highlight w:val="none"/>
              </w:rPr>
            </w:pPr>
            <w:r>
              <w:rPr>
                <w:rFonts w:ascii="宋体" w:hAnsi="宋体" w:eastAsia="宋体" w:cs="宋体"/>
                <w:kern w:val="0"/>
                <w:sz w:val="20"/>
                <w:szCs w:val="20"/>
                <w:highlight w:val="none"/>
              </w:rPr>
              <w:t>11.采集器精度：</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16bit</w:t>
            </w:r>
          </w:p>
          <w:p w14:paraId="617FA07C">
            <w:pPr>
              <w:rPr>
                <w:rFonts w:ascii="宋体" w:hAnsi="宋体" w:eastAsia="宋体" w:cs="宋体"/>
                <w:kern w:val="0"/>
                <w:sz w:val="20"/>
                <w:szCs w:val="20"/>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2.采集速率：</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200k/s</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5E43700">
            <w:pPr>
              <w:rPr>
                <w:rFonts w:ascii="宋体" w:hAnsi="宋体" w:eastAsia="宋体" w:cs="宋体"/>
                <w:kern w:val="0"/>
                <w:sz w:val="20"/>
                <w:szCs w:val="20"/>
              </w:rPr>
            </w:pPr>
            <w:r>
              <w:rPr>
                <w:rFonts w:hint="eastAsia" w:ascii="宋体" w:hAnsi="宋体" w:eastAsia="宋体" w:cs="宋体"/>
                <w:kern w:val="0"/>
                <w:sz w:val="20"/>
                <w:szCs w:val="20"/>
              </w:rPr>
              <w:t>套</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0079FD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339F09F">
            <w:pPr>
              <w:widowControl/>
              <w:jc w:val="center"/>
              <w:textAlignment w:val="center"/>
              <w:rPr>
                <w:rFonts w:ascii="宋体" w:hAnsi="宋体" w:eastAsia="宋体" w:cs="宋体"/>
                <w:color w:val="000000"/>
                <w:kern w:val="0"/>
                <w:sz w:val="20"/>
                <w:szCs w:val="20"/>
                <w:lang w:bidi="ar"/>
              </w:rPr>
            </w:pPr>
          </w:p>
        </w:tc>
      </w:tr>
      <w:tr w14:paraId="70C7D5AC">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73745EA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5B06F6A9">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0"/>
                <w:szCs w:val="20"/>
              </w:rPr>
              <w:t>迷你型箱式炉</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310D11BC">
            <w:pPr>
              <w:rPr>
                <w:rFonts w:ascii="Calibri" w:hAnsi="Calibri" w:eastAsia="宋体" w:cs="Times New Roman"/>
                <w:sz w:val="20"/>
                <w:szCs w:val="20"/>
                <w:highlight w:val="none"/>
              </w:rPr>
            </w:pPr>
            <w:r>
              <w:rPr>
                <w:rFonts w:hint="eastAsia" w:ascii="宋体" w:hAnsi="宋体" w:eastAsia="宋体" w:cs="宋体"/>
                <w:sz w:val="20"/>
                <w:szCs w:val="20"/>
                <w:highlight w:val="none"/>
                <w:lang w:bidi="ar"/>
              </w:rPr>
              <w:t>基本参数</w:t>
            </w:r>
          </w:p>
          <w:p w14:paraId="639A1B4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电源：</w:t>
            </w:r>
            <w:r>
              <w:rPr>
                <w:rFonts w:ascii="宋体" w:hAnsi="宋体" w:eastAsia="宋体" w:cs="宋体"/>
                <w:kern w:val="0"/>
                <w:sz w:val="20"/>
                <w:szCs w:val="20"/>
                <w:highlight w:val="none"/>
              </w:rPr>
              <w:t>AC220V/50HZ</w:t>
            </w:r>
          </w:p>
          <w:p w14:paraId="098FF1D3">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额定功率：≥</w:t>
            </w:r>
            <w:r>
              <w:rPr>
                <w:rFonts w:ascii="宋体" w:hAnsi="宋体" w:eastAsia="宋体" w:cs="宋体"/>
                <w:kern w:val="0"/>
                <w:sz w:val="20"/>
                <w:szCs w:val="20"/>
                <w:highlight w:val="none"/>
              </w:rPr>
              <w:t>1.2KW</w:t>
            </w:r>
          </w:p>
          <w:p w14:paraId="32E1973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加热区尺寸：≥</w:t>
            </w:r>
            <w:r>
              <w:rPr>
                <w:rFonts w:ascii="宋体" w:hAnsi="宋体" w:eastAsia="宋体" w:cs="宋体"/>
                <w:kern w:val="0"/>
                <w:sz w:val="20"/>
                <w:szCs w:val="20"/>
                <w:highlight w:val="none"/>
              </w:rPr>
              <w:t xml:space="preserve">130 </w:t>
            </w:r>
            <w:r>
              <w:rPr>
                <w:rFonts w:hint="eastAsia" w:ascii="宋体" w:hAnsi="宋体" w:eastAsia="宋体" w:cs="宋体"/>
                <w:kern w:val="0"/>
                <w:sz w:val="20"/>
                <w:szCs w:val="20"/>
                <w:highlight w:val="none"/>
              </w:rPr>
              <w:t>长</w:t>
            </w:r>
            <w:r>
              <w:rPr>
                <w:rFonts w:ascii="宋体" w:hAnsi="宋体" w:eastAsia="宋体" w:cs="宋体"/>
                <w:kern w:val="0"/>
                <w:sz w:val="20"/>
                <w:szCs w:val="20"/>
                <w:highlight w:val="none"/>
              </w:rPr>
              <w:t xml:space="preserve">*100 </w:t>
            </w:r>
            <w:r>
              <w:rPr>
                <w:rFonts w:hint="eastAsia" w:ascii="宋体" w:hAnsi="宋体" w:eastAsia="宋体" w:cs="宋体"/>
                <w:kern w:val="0"/>
                <w:sz w:val="20"/>
                <w:szCs w:val="20"/>
                <w:highlight w:val="none"/>
              </w:rPr>
              <w:t>宽</w:t>
            </w:r>
            <w:r>
              <w:rPr>
                <w:rFonts w:ascii="宋体" w:hAnsi="宋体" w:eastAsia="宋体" w:cs="宋体"/>
                <w:kern w:val="0"/>
                <w:sz w:val="20"/>
                <w:szCs w:val="20"/>
                <w:highlight w:val="none"/>
              </w:rPr>
              <w:t xml:space="preserve">*100mm </w:t>
            </w:r>
            <w:r>
              <w:rPr>
                <w:rFonts w:hint="eastAsia" w:ascii="宋体" w:hAnsi="宋体" w:eastAsia="宋体" w:cs="宋体"/>
                <w:kern w:val="0"/>
                <w:sz w:val="20"/>
                <w:szCs w:val="20"/>
                <w:highlight w:val="none"/>
              </w:rPr>
              <w:t>高</w:t>
            </w:r>
          </w:p>
          <w:p w14:paraId="7F384DC1">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温度：最高使用温度：≤</w:t>
            </w:r>
            <w:r>
              <w:rPr>
                <w:rFonts w:ascii="宋体" w:hAnsi="宋体" w:eastAsia="宋体" w:cs="宋体"/>
                <w:kern w:val="0"/>
                <w:sz w:val="20"/>
                <w:szCs w:val="20"/>
                <w:highlight w:val="none"/>
              </w:rPr>
              <w:t xml:space="preserve">1100 </w:t>
            </w:r>
            <w:r>
              <w:rPr>
                <w:rFonts w:hint="eastAsia" w:ascii="宋体" w:hAnsi="宋体" w:eastAsia="宋体" w:cs="宋体"/>
                <w:kern w:val="0"/>
                <w:sz w:val="20"/>
                <w:szCs w:val="20"/>
                <w:highlight w:val="none"/>
              </w:rPr>
              <w:t>度（≤</w:t>
            </w:r>
            <w:r>
              <w:rPr>
                <w:rFonts w:ascii="宋体" w:hAnsi="宋体" w:eastAsia="宋体" w:cs="宋体"/>
                <w:kern w:val="0"/>
                <w:sz w:val="20"/>
                <w:szCs w:val="20"/>
                <w:highlight w:val="none"/>
              </w:rPr>
              <w:t>30min</w:t>
            </w:r>
            <w:r>
              <w:rPr>
                <w:rFonts w:hint="eastAsia" w:ascii="宋体" w:hAnsi="宋体" w:eastAsia="宋体" w:cs="宋体"/>
                <w:kern w:val="0"/>
                <w:sz w:val="20"/>
                <w:szCs w:val="20"/>
                <w:highlight w:val="none"/>
              </w:rPr>
              <w:t>）</w:t>
            </w:r>
          </w:p>
          <w:p w14:paraId="5944E22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工作温度：</w:t>
            </w:r>
            <w:r>
              <w:rPr>
                <w:rFonts w:ascii="宋体" w:hAnsi="宋体" w:eastAsia="宋体" w:cs="宋体"/>
                <w:kern w:val="0"/>
                <w:sz w:val="20"/>
                <w:szCs w:val="20"/>
                <w:highlight w:val="none"/>
              </w:rPr>
              <w:t xml:space="preserve"> 1000 </w:t>
            </w:r>
            <w:r>
              <w:rPr>
                <w:rFonts w:hint="eastAsia" w:ascii="宋体" w:hAnsi="宋体" w:eastAsia="宋体" w:cs="宋体"/>
                <w:kern w:val="0"/>
                <w:sz w:val="20"/>
                <w:szCs w:val="20"/>
                <w:highlight w:val="none"/>
              </w:rPr>
              <w:t>度</w:t>
            </w:r>
          </w:p>
          <w:p w14:paraId="703EA5F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升温速率：≤</w:t>
            </w:r>
            <w:r>
              <w:rPr>
                <w:rFonts w:ascii="宋体" w:hAnsi="宋体" w:eastAsia="宋体" w:cs="宋体"/>
                <w:kern w:val="0"/>
                <w:sz w:val="20"/>
                <w:szCs w:val="20"/>
                <w:highlight w:val="none"/>
              </w:rPr>
              <w:t xml:space="preserve">10 </w:t>
            </w:r>
            <w:r>
              <w:rPr>
                <w:rFonts w:hint="eastAsia" w:ascii="宋体" w:hAnsi="宋体" w:eastAsia="宋体" w:cs="宋体"/>
                <w:kern w:val="0"/>
                <w:sz w:val="20"/>
                <w:szCs w:val="20"/>
                <w:highlight w:val="none"/>
              </w:rPr>
              <w:t>度</w:t>
            </w:r>
            <w:r>
              <w:rPr>
                <w:rFonts w:ascii="宋体" w:hAnsi="宋体" w:eastAsia="宋体" w:cs="宋体"/>
                <w:kern w:val="0"/>
                <w:sz w:val="20"/>
                <w:szCs w:val="20"/>
                <w:highlight w:val="none"/>
              </w:rPr>
              <w:t>/min</w:t>
            </w:r>
          </w:p>
          <w:p w14:paraId="4E379F5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加热元件：电阻丝（掺钼铁铬铝合金）</w:t>
            </w:r>
          </w:p>
          <w:p w14:paraId="1A0140A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温控系统</w:t>
            </w:r>
          </w:p>
          <w:p w14:paraId="73714F0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智能控温仪</w:t>
            </w:r>
          </w:p>
          <w:p w14:paraId="7B4A5906">
            <w:pPr>
              <w:rPr>
                <w:rFonts w:ascii="宋体" w:hAnsi="宋体" w:eastAsia="宋体" w:cs="宋体"/>
                <w:kern w:val="0"/>
                <w:sz w:val="20"/>
                <w:szCs w:val="20"/>
                <w:highlight w:val="none"/>
              </w:rPr>
            </w:pPr>
            <w:r>
              <w:rPr>
                <w:rFonts w:ascii="宋体" w:hAnsi="宋体" w:eastAsia="宋体" w:cs="宋体"/>
                <w:kern w:val="0"/>
                <w:sz w:val="20"/>
                <w:szCs w:val="20"/>
                <w:highlight w:val="none"/>
              </w:rPr>
              <w:t>7.2</w:t>
            </w:r>
            <w:r>
              <w:rPr>
                <w:rFonts w:hint="eastAsia" w:ascii="宋体" w:hAnsi="宋体" w:eastAsia="宋体" w:cs="宋体"/>
                <w:kern w:val="0"/>
                <w:sz w:val="20"/>
                <w:szCs w:val="20"/>
                <w:highlight w:val="none"/>
                <w:lang w:val="en-US" w:eastAsia="zh-CN"/>
              </w:rPr>
              <w:t xml:space="preserve"> </w:t>
            </w:r>
            <w:r>
              <w:rPr>
                <w:rFonts w:ascii="宋体" w:hAnsi="宋体" w:eastAsia="宋体" w:cs="宋体"/>
                <w:kern w:val="0"/>
                <w:sz w:val="20"/>
                <w:szCs w:val="20"/>
                <w:highlight w:val="none"/>
              </w:rPr>
              <w:t xml:space="preserve">PID50 </w:t>
            </w:r>
            <w:r>
              <w:rPr>
                <w:rFonts w:hint="eastAsia" w:ascii="宋体" w:hAnsi="宋体" w:eastAsia="宋体" w:cs="宋体"/>
                <w:kern w:val="0"/>
                <w:sz w:val="20"/>
                <w:szCs w:val="20"/>
                <w:highlight w:val="none"/>
              </w:rPr>
              <w:t>段程序控温</w:t>
            </w:r>
          </w:p>
          <w:p w14:paraId="19C9BAC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 xml:space="preserve">热电偶采用 </w:t>
            </w:r>
            <w:r>
              <w:rPr>
                <w:rFonts w:ascii="宋体" w:hAnsi="宋体" w:eastAsia="宋体" w:cs="宋体"/>
                <w:kern w:val="0"/>
                <w:sz w:val="20"/>
                <w:szCs w:val="20"/>
                <w:highlight w:val="none"/>
              </w:rPr>
              <w:t xml:space="preserve">K </w:t>
            </w:r>
            <w:r>
              <w:rPr>
                <w:rFonts w:hint="eastAsia" w:ascii="宋体" w:hAnsi="宋体" w:eastAsia="宋体" w:cs="宋体"/>
                <w:kern w:val="0"/>
                <w:sz w:val="20"/>
                <w:szCs w:val="20"/>
                <w:highlight w:val="none"/>
              </w:rPr>
              <w:t>型热电偶</w:t>
            </w:r>
          </w:p>
          <w:p w14:paraId="5D13125A">
            <w:pPr>
              <w:rPr>
                <w:rFonts w:ascii="宋体" w:hAnsi="宋体" w:eastAsia="宋体" w:cs="宋体"/>
                <w:kern w:val="0"/>
                <w:sz w:val="20"/>
                <w:szCs w:val="20"/>
                <w:highlight w:val="none"/>
              </w:rPr>
            </w:pPr>
            <w:r>
              <w:rPr>
                <w:rFonts w:ascii="宋体" w:hAnsi="宋体" w:eastAsia="宋体" w:cs="宋体"/>
                <w:kern w:val="0"/>
                <w:sz w:val="20"/>
                <w:szCs w:val="20"/>
                <w:highlight w:val="none"/>
              </w:rPr>
              <w:t>7.4</w:t>
            </w:r>
            <w:r>
              <w:rPr>
                <w:rFonts w:hint="eastAsia" w:ascii="宋体" w:hAnsi="宋体" w:eastAsia="宋体" w:cs="宋体"/>
                <w:kern w:val="0"/>
                <w:sz w:val="20"/>
                <w:szCs w:val="20"/>
                <w:highlight w:val="none"/>
              </w:rPr>
              <w:t>控温精度：±</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w:t>
            </w:r>
          </w:p>
          <w:p w14:paraId="3030389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外形尺寸</w:t>
            </w:r>
          </w:p>
          <w:p w14:paraId="25AF17B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不开启：</w:t>
            </w:r>
            <w:r>
              <w:rPr>
                <w:rFonts w:hint="eastAsia" w:ascii="宋体" w:hAnsi="宋体" w:eastAsia="宋体" w:cs="宋体"/>
                <w:kern w:val="0"/>
                <w:sz w:val="20"/>
                <w:szCs w:val="20"/>
                <w:highlight w:val="none"/>
                <w:lang w:val="en-US" w:eastAsia="zh-CN"/>
              </w:rPr>
              <w:t>不小于</w:t>
            </w:r>
            <w:r>
              <w:rPr>
                <w:rFonts w:ascii="宋体" w:hAnsi="宋体" w:eastAsia="宋体" w:cs="宋体"/>
                <w:kern w:val="0"/>
                <w:sz w:val="20"/>
                <w:szCs w:val="20"/>
                <w:highlight w:val="none"/>
              </w:rPr>
              <w:t xml:space="preserve">230 </w:t>
            </w:r>
            <w:r>
              <w:rPr>
                <w:rFonts w:hint="eastAsia" w:ascii="宋体" w:hAnsi="宋体" w:eastAsia="宋体" w:cs="宋体"/>
                <w:kern w:val="0"/>
                <w:sz w:val="20"/>
                <w:szCs w:val="20"/>
                <w:highlight w:val="none"/>
              </w:rPr>
              <w:t>长</w:t>
            </w:r>
            <w:r>
              <w:rPr>
                <w:rFonts w:ascii="宋体" w:hAnsi="宋体" w:eastAsia="宋体" w:cs="宋体"/>
                <w:kern w:val="0"/>
                <w:sz w:val="20"/>
                <w:szCs w:val="20"/>
                <w:highlight w:val="none"/>
              </w:rPr>
              <w:t xml:space="preserve">*200 </w:t>
            </w:r>
            <w:r>
              <w:rPr>
                <w:rFonts w:hint="eastAsia" w:ascii="宋体" w:hAnsi="宋体" w:eastAsia="宋体" w:cs="宋体"/>
                <w:kern w:val="0"/>
                <w:sz w:val="20"/>
                <w:szCs w:val="20"/>
                <w:highlight w:val="none"/>
              </w:rPr>
              <w:t>宽</w:t>
            </w:r>
            <w:r>
              <w:rPr>
                <w:rFonts w:ascii="宋体" w:hAnsi="宋体" w:eastAsia="宋体" w:cs="宋体"/>
                <w:kern w:val="0"/>
                <w:sz w:val="20"/>
                <w:szCs w:val="20"/>
                <w:highlight w:val="none"/>
              </w:rPr>
              <w:t xml:space="preserve">*360mm </w:t>
            </w:r>
            <w:r>
              <w:rPr>
                <w:rFonts w:hint="eastAsia" w:ascii="宋体" w:hAnsi="宋体" w:eastAsia="宋体" w:cs="宋体"/>
                <w:kern w:val="0"/>
                <w:sz w:val="20"/>
                <w:szCs w:val="20"/>
                <w:highlight w:val="none"/>
              </w:rPr>
              <w:t>高</w:t>
            </w:r>
          </w:p>
          <w:p w14:paraId="26BD01A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开启：</w:t>
            </w:r>
            <w:r>
              <w:rPr>
                <w:rFonts w:hint="eastAsia" w:ascii="宋体" w:hAnsi="宋体" w:eastAsia="宋体" w:cs="宋体"/>
                <w:kern w:val="0"/>
                <w:sz w:val="20"/>
                <w:szCs w:val="20"/>
                <w:highlight w:val="none"/>
                <w:lang w:val="en-US" w:eastAsia="zh-CN"/>
              </w:rPr>
              <w:t>不小于</w:t>
            </w:r>
            <w:r>
              <w:rPr>
                <w:rFonts w:ascii="宋体" w:hAnsi="宋体" w:eastAsia="宋体" w:cs="宋体"/>
                <w:kern w:val="0"/>
                <w:sz w:val="20"/>
                <w:szCs w:val="20"/>
                <w:highlight w:val="none"/>
              </w:rPr>
              <w:t xml:space="preserve">230 </w:t>
            </w:r>
            <w:r>
              <w:rPr>
                <w:rFonts w:hint="eastAsia" w:ascii="宋体" w:hAnsi="宋体" w:eastAsia="宋体" w:cs="宋体"/>
                <w:kern w:val="0"/>
                <w:sz w:val="20"/>
                <w:szCs w:val="20"/>
                <w:highlight w:val="none"/>
              </w:rPr>
              <w:t>长</w:t>
            </w:r>
            <w:r>
              <w:rPr>
                <w:rFonts w:ascii="宋体" w:hAnsi="宋体" w:eastAsia="宋体" w:cs="宋体"/>
                <w:kern w:val="0"/>
                <w:sz w:val="20"/>
                <w:szCs w:val="20"/>
                <w:highlight w:val="none"/>
              </w:rPr>
              <w:t xml:space="preserve">*440 </w:t>
            </w:r>
            <w:r>
              <w:rPr>
                <w:rFonts w:hint="eastAsia" w:ascii="宋体" w:hAnsi="宋体" w:eastAsia="宋体" w:cs="宋体"/>
                <w:kern w:val="0"/>
                <w:sz w:val="20"/>
                <w:szCs w:val="20"/>
                <w:highlight w:val="none"/>
              </w:rPr>
              <w:t>宽</w:t>
            </w:r>
            <w:r>
              <w:rPr>
                <w:rFonts w:ascii="宋体" w:hAnsi="宋体" w:eastAsia="宋体" w:cs="宋体"/>
                <w:kern w:val="0"/>
                <w:sz w:val="20"/>
                <w:szCs w:val="20"/>
                <w:highlight w:val="none"/>
              </w:rPr>
              <w:t xml:space="preserve">*360mm </w:t>
            </w:r>
            <w:r>
              <w:rPr>
                <w:rFonts w:hint="eastAsia" w:ascii="宋体" w:hAnsi="宋体" w:eastAsia="宋体" w:cs="宋体"/>
                <w:kern w:val="0"/>
                <w:sz w:val="20"/>
                <w:szCs w:val="20"/>
                <w:highlight w:val="none"/>
              </w:rPr>
              <w:t>高</w:t>
            </w:r>
          </w:p>
          <w:p w14:paraId="6FC2AF3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气氛</w:t>
            </w:r>
          </w:p>
          <w:p w14:paraId="4A8A8E7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带进气口，进气口为φ</w:t>
            </w:r>
            <w:r>
              <w:rPr>
                <w:rFonts w:ascii="宋体" w:hAnsi="宋体" w:eastAsia="宋体" w:cs="宋体"/>
                <w:kern w:val="0"/>
                <w:sz w:val="20"/>
                <w:szCs w:val="20"/>
                <w:highlight w:val="none"/>
              </w:rPr>
              <w:t xml:space="preserve">6 </w:t>
            </w:r>
            <w:r>
              <w:rPr>
                <w:rFonts w:hint="eastAsia" w:ascii="宋体" w:hAnsi="宋体" w:eastAsia="宋体" w:cs="宋体"/>
                <w:kern w:val="0"/>
                <w:sz w:val="20"/>
                <w:szCs w:val="20"/>
                <w:highlight w:val="none"/>
              </w:rPr>
              <w:t>的宝塔嘴接口</w:t>
            </w:r>
          </w:p>
          <w:p w14:paraId="22E6140A">
            <w:pPr>
              <w:rPr>
                <w:rFonts w:ascii="宋体" w:hAnsi="宋体" w:eastAsia="宋体" w:cs="宋体"/>
                <w:kern w:val="0"/>
                <w:sz w:val="20"/>
                <w:szCs w:val="20"/>
                <w:highlight w:val="none"/>
              </w:rPr>
            </w:pPr>
            <w:r>
              <w:rPr>
                <w:rFonts w:ascii="宋体" w:hAnsi="宋体" w:eastAsia="宋体" w:cs="宋体"/>
                <w:kern w:val="0"/>
                <w:sz w:val="20"/>
                <w:szCs w:val="20"/>
                <w:highlight w:val="none"/>
              </w:rPr>
              <w:t>8.2</w:t>
            </w:r>
            <w:r>
              <w:rPr>
                <w:rFonts w:hint="eastAsia" w:ascii="宋体" w:hAnsi="宋体" w:eastAsia="宋体" w:cs="宋体"/>
                <w:kern w:val="0"/>
                <w:sz w:val="20"/>
                <w:szCs w:val="20"/>
                <w:highlight w:val="none"/>
              </w:rPr>
              <w:t>出气口，出气口为φ</w:t>
            </w:r>
            <w:r>
              <w:rPr>
                <w:rFonts w:ascii="宋体" w:hAnsi="宋体" w:eastAsia="宋体" w:cs="宋体"/>
                <w:kern w:val="0"/>
                <w:sz w:val="20"/>
                <w:szCs w:val="20"/>
                <w:highlight w:val="none"/>
              </w:rPr>
              <w:t xml:space="preserve">6 </w:t>
            </w:r>
            <w:r>
              <w:rPr>
                <w:rFonts w:hint="eastAsia" w:ascii="宋体" w:hAnsi="宋体" w:eastAsia="宋体" w:cs="宋体"/>
                <w:kern w:val="0"/>
                <w:sz w:val="20"/>
                <w:szCs w:val="20"/>
                <w:highlight w:val="none"/>
              </w:rPr>
              <w:t>的宝塔嘴接口</w:t>
            </w:r>
          </w:p>
          <w:p w14:paraId="227870C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重量：</w:t>
            </w:r>
            <w:r>
              <w:rPr>
                <w:rFonts w:ascii="宋体" w:hAnsi="宋体" w:eastAsia="宋体" w:cs="宋体"/>
                <w:kern w:val="0"/>
                <w:sz w:val="20"/>
                <w:szCs w:val="20"/>
                <w:highlight w:val="none"/>
              </w:rPr>
              <w:t>9KG</w:t>
            </w:r>
          </w:p>
          <w:p w14:paraId="2BF75FB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功能特点：体积小、重量轻、节能，可置于手套箱和通风柜内操作，炉膛材料采用高纯氧化铝纤维，能最大程度减少能量损失，炉膛表面涂有</w:t>
            </w:r>
            <w:r>
              <w:rPr>
                <w:rFonts w:hint="eastAsia" w:ascii="宋体" w:hAnsi="宋体" w:eastAsia="宋体" w:cs="宋体"/>
                <w:kern w:val="0"/>
                <w:sz w:val="20"/>
                <w:szCs w:val="20"/>
                <w:highlight w:val="none"/>
                <w:lang w:val="en-US" w:eastAsia="zh-CN"/>
              </w:rPr>
              <w:t>优质</w:t>
            </w:r>
            <w:r>
              <w:rPr>
                <w:rFonts w:hint="eastAsia" w:ascii="宋体" w:hAnsi="宋体" w:eastAsia="宋体" w:cs="宋体"/>
                <w:kern w:val="0"/>
                <w:sz w:val="20"/>
                <w:szCs w:val="20"/>
                <w:highlight w:val="none"/>
              </w:rPr>
              <w:t>高温氧化铝涂层可以提高加热效率和使用寿命，下拉式炉门结构，方便放样取品，炉膛带有通气口，可在惰性气氛下使用。</w:t>
            </w:r>
          </w:p>
          <w:p w14:paraId="422024C5">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工作原理：加热炉利用电流使炉内加热元件发热，采用固态继电器进行电路控制，采用温度传感器（热电偶）检测炉内温度，热电偶检测到的温度反馈到控温仪表。智能控温仪可设置升温过程（升温速度），仪表采集到热电偶反馈的炉内温度信号，会通过 </w:t>
            </w:r>
            <w:r>
              <w:rPr>
                <w:rFonts w:ascii="宋体" w:hAnsi="宋体" w:eastAsia="宋体" w:cs="宋体"/>
                <w:kern w:val="0"/>
                <w:sz w:val="20"/>
                <w:szCs w:val="20"/>
                <w:highlight w:val="none"/>
              </w:rPr>
              <w:t xml:space="preserve">PID </w:t>
            </w:r>
            <w:r>
              <w:rPr>
                <w:rFonts w:hint="eastAsia" w:ascii="宋体" w:hAnsi="宋体" w:eastAsia="宋体" w:cs="宋体"/>
                <w:kern w:val="0"/>
                <w:sz w:val="20"/>
                <w:szCs w:val="20"/>
                <w:highlight w:val="none"/>
              </w:rPr>
              <w:t>调节输出合适的电压信号，固态继电器接收到仪表的输出信号，控制自身的通断时间从而达到调节炉内温度稳定的目的，使得高温炉按照控温仪设置好的升温过程进行升温。</w:t>
            </w:r>
          </w:p>
          <w:p w14:paraId="7127C3D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销售服务：</w:t>
            </w:r>
          </w:p>
          <w:p w14:paraId="6976B2D7">
            <w:pPr>
              <w:rPr>
                <w:rFonts w:ascii="宋体" w:hAnsi="宋体" w:eastAsia="宋体" w:cs="宋体"/>
                <w:kern w:val="0"/>
                <w:sz w:val="20"/>
                <w:szCs w:val="20"/>
              </w:rPr>
            </w:pPr>
            <w:r>
              <w:rPr>
                <w:rFonts w:ascii="宋体" w:hAnsi="宋体" w:eastAsia="宋体" w:cs="宋体"/>
                <w:kern w:val="0"/>
                <w:sz w:val="20"/>
                <w:szCs w:val="20"/>
                <w:highlight w:val="none"/>
              </w:rPr>
              <w:t>配备使用人员防护用品</w:t>
            </w:r>
            <w:r>
              <w:rPr>
                <w:rFonts w:hint="eastAsia" w:ascii="宋体" w:hAnsi="宋体" w:eastAsia="宋体" w:cs="宋体"/>
                <w:kern w:val="0"/>
                <w:sz w:val="20"/>
                <w:szCs w:val="20"/>
                <w:highlight w:val="none"/>
              </w:rPr>
              <w:t xml:space="preserve">；质保期 </w:t>
            </w:r>
            <w:r>
              <w:rPr>
                <w:rFonts w:ascii="宋体" w:hAnsi="宋体" w:eastAsia="宋体" w:cs="宋体"/>
                <w:kern w:val="0"/>
                <w:sz w:val="20"/>
                <w:szCs w:val="20"/>
                <w:highlight w:val="none"/>
              </w:rPr>
              <w:t xml:space="preserve">1 </w:t>
            </w:r>
            <w:r>
              <w:rPr>
                <w:rFonts w:hint="eastAsia" w:ascii="宋体" w:hAnsi="宋体" w:eastAsia="宋体" w:cs="宋体"/>
                <w:kern w:val="0"/>
                <w:sz w:val="20"/>
                <w:szCs w:val="20"/>
                <w:highlight w:val="none"/>
              </w:rPr>
              <w:t>年（不包含垫块、加热元件等损耗件）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26D474">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8596D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AF419F0">
            <w:pPr>
              <w:widowControl/>
              <w:jc w:val="center"/>
              <w:textAlignment w:val="center"/>
              <w:rPr>
                <w:rFonts w:ascii="宋体" w:hAnsi="宋体" w:eastAsia="宋体" w:cs="宋体"/>
                <w:color w:val="000000"/>
                <w:kern w:val="0"/>
                <w:sz w:val="20"/>
                <w:szCs w:val="20"/>
                <w:lang w:bidi="ar"/>
              </w:rPr>
            </w:pPr>
          </w:p>
        </w:tc>
      </w:tr>
      <w:tr w14:paraId="349CE586">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3F5DB30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6C3D3480">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0"/>
                <w:szCs w:val="20"/>
              </w:rPr>
              <w:t>高温管式炉</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58BD2F3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产品特点</w:t>
            </w:r>
          </w:p>
          <w:p w14:paraId="75B9BBD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 xml:space="preserve">采用 </w:t>
            </w:r>
            <w:r>
              <w:rPr>
                <w:rFonts w:ascii="宋体" w:hAnsi="宋体" w:eastAsia="宋体" w:cs="宋体"/>
                <w:kern w:val="0"/>
                <w:sz w:val="20"/>
                <w:szCs w:val="20"/>
                <w:highlight w:val="none"/>
              </w:rPr>
              <w:t xml:space="preserve">ABB </w:t>
            </w:r>
            <w:r>
              <w:rPr>
                <w:rFonts w:hint="eastAsia" w:ascii="宋体" w:hAnsi="宋体" w:eastAsia="宋体" w:cs="宋体"/>
                <w:kern w:val="0"/>
                <w:sz w:val="20"/>
                <w:szCs w:val="20"/>
                <w:highlight w:val="none"/>
              </w:rPr>
              <w:t>电器元件</w:t>
            </w:r>
          </w:p>
          <w:p w14:paraId="3C91DB2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采用双层壳体结构并带有风冷系统</w:t>
            </w:r>
          </w:p>
          <w:p w14:paraId="21B42963">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3</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炉膛材料采用高纯氧化铝纤维，能最大程度减少能量损失</w:t>
            </w:r>
          </w:p>
          <w:p w14:paraId="53CBA404">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可以作为模块，</w:t>
            </w:r>
            <w:r>
              <w:rPr>
                <w:rFonts w:ascii="宋体" w:hAnsi="宋体" w:eastAsia="宋体" w:cs="宋体"/>
                <w:kern w:val="0"/>
                <w:sz w:val="20"/>
                <w:szCs w:val="20"/>
                <w:highlight w:val="none"/>
              </w:rPr>
              <w:t xml:space="preserve">DIY ALD CVD PVD </w:t>
            </w:r>
            <w:r>
              <w:rPr>
                <w:rFonts w:hint="eastAsia" w:ascii="宋体" w:hAnsi="宋体" w:eastAsia="宋体" w:cs="宋体"/>
                <w:kern w:val="0"/>
                <w:sz w:val="20"/>
                <w:szCs w:val="20"/>
                <w:highlight w:val="none"/>
              </w:rPr>
              <w:t>蒸发炉 回转炉等</w:t>
            </w:r>
          </w:p>
          <w:p w14:paraId="1C5BB821">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采用高纯氧化铝作为炉膛材料，炉膛表面涂有</w:t>
            </w:r>
            <w:r>
              <w:rPr>
                <w:rFonts w:hint="eastAsia" w:ascii="宋体" w:hAnsi="宋体" w:eastAsia="宋体" w:cs="宋体"/>
                <w:kern w:val="0"/>
                <w:sz w:val="20"/>
                <w:szCs w:val="20"/>
                <w:highlight w:val="none"/>
                <w:lang w:val="en-US" w:eastAsia="zh-CN"/>
              </w:rPr>
              <w:t>优质</w:t>
            </w:r>
            <w:r>
              <w:rPr>
                <w:rFonts w:hint="eastAsia" w:ascii="宋体" w:hAnsi="宋体" w:eastAsia="宋体" w:cs="宋体"/>
                <w:kern w:val="0"/>
                <w:sz w:val="20"/>
                <w:szCs w:val="20"/>
                <w:highlight w:val="none"/>
              </w:rPr>
              <w:t>高温氧化铝涂层可以提高加热效率和炉膛使用寿命</w:t>
            </w:r>
          </w:p>
          <w:p w14:paraId="3B53E098">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基本参数</w:t>
            </w:r>
          </w:p>
          <w:p w14:paraId="7835E3D8">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最高温度</w:t>
            </w:r>
            <w:r>
              <w:rPr>
                <w:rFonts w:ascii="宋体" w:hAnsi="宋体" w:eastAsia="宋体" w:cs="宋体"/>
                <w:kern w:val="0"/>
                <w:sz w:val="20"/>
                <w:szCs w:val="20"/>
                <w:highlight w:val="none"/>
              </w:rPr>
              <w:t>: 1200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30min</w:t>
            </w:r>
            <w:r>
              <w:rPr>
                <w:rFonts w:hint="eastAsia" w:ascii="宋体" w:hAnsi="宋体" w:eastAsia="宋体" w:cs="宋体"/>
                <w:kern w:val="0"/>
                <w:sz w:val="20"/>
                <w:szCs w:val="20"/>
                <w:highlight w:val="none"/>
              </w:rPr>
              <w:t>）</w:t>
            </w:r>
          </w:p>
          <w:p w14:paraId="2C08668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连续工作温度</w:t>
            </w:r>
            <w:r>
              <w:rPr>
                <w:rFonts w:ascii="宋体" w:hAnsi="宋体" w:eastAsia="宋体" w:cs="宋体"/>
                <w:kern w:val="0"/>
                <w:sz w:val="20"/>
                <w:szCs w:val="20"/>
                <w:highlight w:val="none"/>
              </w:rPr>
              <w:t>: 1100</w:t>
            </w:r>
            <w:r>
              <w:rPr>
                <w:rFonts w:hint="eastAsia" w:ascii="宋体" w:hAnsi="宋体" w:eastAsia="宋体" w:cs="宋体"/>
                <w:kern w:val="0"/>
                <w:sz w:val="20"/>
                <w:szCs w:val="20"/>
                <w:highlight w:val="none"/>
              </w:rPr>
              <w:t>℃</w:t>
            </w:r>
          </w:p>
          <w:p w14:paraId="05BDC24F">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推荐升温速率</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/min</w:t>
            </w:r>
          </w:p>
          <w:p w14:paraId="671B85A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加热区：</w:t>
            </w:r>
            <w:r>
              <w:rPr>
                <w:rFonts w:ascii="宋体" w:hAnsi="宋体" w:eastAsia="宋体" w:cs="宋体"/>
                <w:kern w:val="0"/>
                <w:sz w:val="20"/>
                <w:szCs w:val="20"/>
                <w:highlight w:val="none"/>
              </w:rPr>
              <w:t xml:space="preserve">200 mm </w:t>
            </w:r>
          </w:p>
          <w:p w14:paraId="23A7B77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热偶：</w:t>
            </w:r>
            <w:r>
              <w:rPr>
                <w:rFonts w:ascii="宋体" w:hAnsi="宋体" w:eastAsia="宋体" w:cs="宋体"/>
                <w:kern w:val="0"/>
                <w:sz w:val="20"/>
                <w:szCs w:val="20"/>
                <w:highlight w:val="none"/>
              </w:rPr>
              <w:t xml:space="preserve">K </w:t>
            </w:r>
            <w:r>
              <w:rPr>
                <w:rFonts w:hint="eastAsia" w:ascii="宋体" w:hAnsi="宋体" w:eastAsia="宋体" w:cs="宋体"/>
                <w:kern w:val="0"/>
                <w:sz w:val="20"/>
                <w:szCs w:val="20"/>
                <w:highlight w:val="none"/>
              </w:rPr>
              <w:t>型热偶</w:t>
            </w:r>
          </w:p>
          <w:p w14:paraId="0529F65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加热元件：掺钼铁铬铝合金</w:t>
            </w:r>
          </w:p>
          <w:p w14:paraId="6F716FF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炉体结构与炉管</w:t>
            </w:r>
          </w:p>
          <w:p w14:paraId="08ECE03B">
            <w:pPr>
              <w:rPr>
                <w:rFonts w:ascii="宋体" w:hAnsi="宋体" w:eastAsia="宋体" w:cs="宋体"/>
                <w:kern w:val="0"/>
                <w:sz w:val="20"/>
                <w:szCs w:val="20"/>
                <w:highlight w:val="none"/>
              </w:rPr>
            </w:pPr>
            <w:r>
              <w:rPr>
                <w:rFonts w:ascii="宋体" w:hAnsi="宋体" w:eastAsia="宋体" w:cs="宋体"/>
                <w:kern w:val="0"/>
                <w:sz w:val="20"/>
                <w:szCs w:val="20"/>
                <w:highlight w:val="none"/>
              </w:rPr>
              <w:t>7.1</w:t>
            </w:r>
            <w:r>
              <w:rPr>
                <w:rFonts w:hint="eastAsia" w:ascii="宋体" w:hAnsi="宋体" w:eastAsia="宋体" w:cs="宋体"/>
                <w:kern w:val="0"/>
                <w:sz w:val="20"/>
                <w:szCs w:val="20"/>
                <w:highlight w:val="none"/>
              </w:rPr>
              <w:t>配有一对不锈钢密封法兰，采用硅胶密封圈密封</w:t>
            </w:r>
          </w:p>
          <w:p w14:paraId="1AB7BA8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石英管口径可选：Φ</w:t>
            </w:r>
            <w:r>
              <w:rPr>
                <w:rFonts w:ascii="宋体" w:hAnsi="宋体" w:eastAsia="宋体" w:cs="宋体"/>
                <w:kern w:val="0"/>
                <w:sz w:val="20"/>
                <w:szCs w:val="20"/>
                <w:highlight w:val="none"/>
              </w:rPr>
              <w:t xml:space="preserve">25 x 600mm </w:t>
            </w:r>
            <w:r>
              <w:rPr>
                <w:rFonts w:hint="eastAsia" w:ascii="宋体" w:hAnsi="宋体" w:eastAsia="宋体" w:cs="宋体"/>
                <w:kern w:val="0"/>
                <w:sz w:val="20"/>
                <w:szCs w:val="20"/>
                <w:highlight w:val="none"/>
              </w:rPr>
              <w:t>或 Φ</w:t>
            </w:r>
            <w:r>
              <w:rPr>
                <w:rFonts w:ascii="宋体" w:hAnsi="宋体" w:eastAsia="宋体" w:cs="宋体"/>
                <w:kern w:val="0"/>
                <w:sz w:val="20"/>
                <w:szCs w:val="20"/>
                <w:highlight w:val="none"/>
              </w:rPr>
              <w:t>50 x 600mm</w:t>
            </w:r>
          </w:p>
          <w:p w14:paraId="01922DD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真空度：</w:t>
            </w:r>
            <w:r>
              <w:rPr>
                <w:rFonts w:ascii="宋体" w:hAnsi="宋体" w:eastAsia="宋体" w:cs="宋体"/>
                <w:kern w:val="0"/>
                <w:sz w:val="20"/>
                <w:szCs w:val="20"/>
                <w:highlight w:val="none"/>
              </w:rPr>
              <w:t>10-2torr (</w:t>
            </w:r>
            <w:r>
              <w:rPr>
                <w:rFonts w:hint="eastAsia" w:ascii="宋体" w:hAnsi="宋体" w:eastAsia="宋体" w:cs="宋体"/>
                <w:kern w:val="0"/>
                <w:sz w:val="20"/>
                <w:szCs w:val="20"/>
                <w:highlight w:val="none"/>
              </w:rPr>
              <w:t>采用机械泵</w:t>
            </w:r>
            <w:r>
              <w:rPr>
                <w:rFonts w:ascii="宋体" w:hAnsi="宋体" w:eastAsia="宋体" w:cs="宋体"/>
                <w:kern w:val="0"/>
                <w:sz w:val="20"/>
                <w:szCs w:val="20"/>
                <w:highlight w:val="none"/>
              </w:rPr>
              <w:t xml:space="preserve">) </w:t>
            </w:r>
          </w:p>
          <w:p w14:paraId="2F0E5F3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安装有一机械压力表，测量范围为</w:t>
            </w:r>
            <w:r>
              <w:rPr>
                <w:rFonts w:ascii="宋体" w:hAnsi="宋体" w:eastAsia="宋体" w:cs="宋体"/>
                <w:kern w:val="0"/>
                <w:sz w:val="20"/>
                <w:szCs w:val="20"/>
                <w:highlight w:val="none"/>
              </w:rPr>
              <w:t>-0.1</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0.15MP</w:t>
            </w:r>
          </w:p>
          <w:p w14:paraId="5ED0954B">
            <w:pPr>
              <w:rPr>
                <w:rFonts w:ascii="宋体" w:hAnsi="宋体" w:eastAsia="宋体" w:cs="宋体"/>
                <w:kern w:val="0"/>
                <w:sz w:val="20"/>
                <w:szCs w:val="20"/>
                <w:highlight w:val="none"/>
              </w:rPr>
            </w:pPr>
            <w:r>
              <w:rPr>
                <w:rFonts w:ascii="宋体" w:hAnsi="宋体" w:eastAsia="宋体" w:cs="宋体"/>
                <w:kern w:val="0"/>
                <w:sz w:val="20"/>
                <w:szCs w:val="20"/>
                <w:highlight w:val="none"/>
              </w:rPr>
              <w:t>7.5安装减压阀，量程（0.01MPa-0.1MPa）</w:t>
            </w:r>
          </w:p>
          <w:p w14:paraId="41E9A52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.6配石英管堵</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18*50mm一个，</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40*60mm一个。</w:t>
            </w:r>
          </w:p>
          <w:p w14:paraId="4F315F10">
            <w:pPr>
              <w:rPr>
                <w:rFonts w:ascii="宋体" w:hAnsi="宋体" w:eastAsia="宋体" w:cs="宋体"/>
                <w:kern w:val="0"/>
                <w:sz w:val="20"/>
                <w:szCs w:val="20"/>
                <w:highlight w:val="none"/>
              </w:rPr>
            </w:pPr>
            <w:r>
              <w:rPr>
                <w:rFonts w:ascii="宋体" w:hAnsi="宋体" w:eastAsia="宋体" w:cs="宋体"/>
                <w:kern w:val="0"/>
                <w:sz w:val="20"/>
                <w:szCs w:val="20"/>
                <w:highlight w:val="none"/>
              </w:rPr>
              <w:t>7.7配连熔炉管</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25/</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50*600一根。</w:t>
            </w:r>
          </w:p>
          <w:p w14:paraId="679AF801">
            <w:pPr>
              <w:rPr>
                <w:rFonts w:ascii="宋体" w:hAnsi="宋体" w:eastAsia="宋体" w:cs="宋体"/>
                <w:kern w:val="0"/>
                <w:sz w:val="20"/>
                <w:szCs w:val="20"/>
                <w:highlight w:val="none"/>
              </w:rPr>
            </w:pPr>
            <w:r>
              <w:rPr>
                <w:rFonts w:ascii="宋体" w:hAnsi="宋体" w:eastAsia="宋体" w:cs="宋体"/>
                <w:kern w:val="0"/>
                <w:sz w:val="20"/>
                <w:szCs w:val="20"/>
                <w:highlight w:val="none"/>
              </w:rPr>
              <w:t>7.8不锈钢快接法兰总成一套（1英寸/</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52）</w:t>
            </w:r>
          </w:p>
          <w:p w14:paraId="55239D06">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.9硅胶0型圈8个（内径</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24*5/外径</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58*内径</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48*截面</w:t>
            </w:r>
            <w:r>
              <w:rPr>
                <w:rFonts w:hint="eastAsia" w:ascii="宋体" w:hAnsi="宋体" w:eastAsia="宋体" w:cs="宋体"/>
                <w:kern w:val="0"/>
                <w:sz w:val="20"/>
                <w:szCs w:val="20"/>
                <w:highlight w:val="none"/>
              </w:rPr>
              <w:t>Φ</w:t>
            </w:r>
            <w:r>
              <w:rPr>
                <w:rFonts w:ascii="宋体" w:hAnsi="宋体" w:eastAsia="宋体" w:cs="宋体"/>
                <w:kern w:val="0"/>
                <w:sz w:val="20"/>
                <w:szCs w:val="20"/>
                <w:highlight w:val="none"/>
              </w:rPr>
              <w:t>5）</w:t>
            </w:r>
          </w:p>
          <w:p w14:paraId="463D9192">
            <w:pPr>
              <w:rPr>
                <w:rFonts w:ascii="宋体" w:hAnsi="宋体" w:eastAsia="宋体" w:cs="宋体"/>
                <w:kern w:val="0"/>
                <w:sz w:val="20"/>
                <w:szCs w:val="20"/>
                <w:highlight w:val="none"/>
              </w:rPr>
            </w:pPr>
            <w:r>
              <w:rPr>
                <w:rFonts w:ascii="宋体" w:hAnsi="宋体" w:eastAsia="宋体" w:cs="宋体"/>
                <w:kern w:val="0"/>
                <w:sz w:val="20"/>
                <w:szCs w:val="20"/>
                <w:highlight w:val="none"/>
              </w:rPr>
              <w:t>8.</w:t>
            </w:r>
            <w:r>
              <w:rPr>
                <w:rFonts w:hint="eastAsia" w:ascii="宋体" w:hAnsi="宋体" w:eastAsia="宋体" w:cs="宋体"/>
                <w:kern w:val="0"/>
                <w:sz w:val="20"/>
                <w:szCs w:val="20"/>
                <w:highlight w:val="none"/>
              </w:rPr>
              <w:t>温控系统</w:t>
            </w:r>
          </w:p>
          <w:p w14:paraId="7CFB7B58">
            <w:pPr>
              <w:rPr>
                <w:rFonts w:ascii="宋体" w:hAnsi="宋体" w:eastAsia="宋体" w:cs="宋体"/>
                <w:kern w:val="0"/>
                <w:sz w:val="20"/>
                <w:szCs w:val="20"/>
                <w:highlight w:val="none"/>
              </w:rPr>
            </w:pPr>
            <w:r>
              <w:rPr>
                <w:rFonts w:ascii="宋体" w:hAnsi="宋体" w:eastAsia="宋体" w:cs="宋体"/>
                <w:kern w:val="0"/>
                <w:sz w:val="20"/>
                <w:szCs w:val="20"/>
                <w:highlight w:val="none"/>
              </w:rPr>
              <w:t>8.1</w:t>
            </w:r>
            <w:r>
              <w:rPr>
                <w:rFonts w:hint="eastAsia" w:ascii="宋体" w:hAnsi="宋体" w:eastAsia="宋体" w:cs="宋体"/>
                <w:kern w:val="0"/>
                <w:sz w:val="20"/>
                <w:szCs w:val="20"/>
                <w:highlight w:val="none"/>
              </w:rPr>
              <w:t xml:space="preserve">全自动 </w:t>
            </w:r>
            <w:r>
              <w:rPr>
                <w:rFonts w:ascii="宋体" w:hAnsi="宋体" w:eastAsia="宋体" w:cs="宋体"/>
                <w:kern w:val="0"/>
                <w:sz w:val="20"/>
                <w:szCs w:val="20"/>
                <w:highlight w:val="none"/>
              </w:rPr>
              <w:t xml:space="preserve">PID </w:t>
            </w:r>
            <w:r>
              <w:rPr>
                <w:rFonts w:hint="eastAsia" w:ascii="宋体" w:hAnsi="宋体" w:eastAsia="宋体" w:cs="宋体"/>
                <w:kern w:val="0"/>
                <w:sz w:val="20"/>
                <w:szCs w:val="20"/>
                <w:highlight w:val="none"/>
              </w:rPr>
              <w:t>控制和自整定功能</w:t>
            </w:r>
          </w:p>
          <w:p w14:paraId="79077FFD">
            <w:pPr>
              <w:rPr>
                <w:rFonts w:ascii="宋体" w:hAnsi="宋体" w:eastAsia="宋体" w:cs="宋体"/>
                <w:kern w:val="0"/>
                <w:sz w:val="20"/>
                <w:szCs w:val="20"/>
                <w:highlight w:val="none"/>
              </w:rPr>
            </w:pPr>
            <w:r>
              <w:rPr>
                <w:rFonts w:ascii="宋体" w:hAnsi="宋体" w:eastAsia="宋体" w:cs="宋体"/>
                <w:kern w:val="0"/>
                <w:sz w:val="20"/>
                <w:szCs w:val="20"/>
                <w:highlight w:val="none"/>
              </w:rPr>
              <w:t xml:space="preserve">8.2 </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30 </w:t>
            </w:r>
            <w:r>
              <w:rPr>
                <w:rFonts w:hint="eastAsia" w:ascii="宋体" w:hAnsi="宋体" w:eastAsia="宋体" w:cs="宋体"/>
                <w:kern w:val="0"/>
                <w:sz w:val="20"/>
                <w:szCs w:val="20"/>
                <w:highlight w:val="none"/>
              </w:rPr>
              <w:t>段可编程控制，可根据不同的客户需求来设定升降温程序</w:t>
            </w:r>
          </w:p>
          <w:p w14:paraId="1D38DBA9">
            <w:pPr>
              <w:rPr>
                <w:rFonts w:ascii="宋体" w:hAnsi="宋体" w:eastAsia="宋体" w:cs="宋体"/>
                <w:kern w:val="0"/>
                <w:sz w:val="20"/>
                <w:szCs w:val="20"/>
                <w:highlight w:val="none"/>
              </w:rPr>
            </w:pPr>
            <w:r>
              <w:rPr>
                <w:rFonts w:ascii="宋体" w:hAnsi="宋体" w:eastAsia="宋体" w:cs="宋体"/>
                <w:kern w:val="0"/>
                <w:sz w:val="20"/>
                <w:szCs w:val="20"/>
                <w:highlight w:val="none"/>
              </w:rPr>
              <w:t>8.3</w:t>
            </w:r>
            <w:r>
              <w:rPr>
                <w:rFonts w:hint="eastAsia" w:ascii="宋体" w:hAnsi="宋体" w:eastAsia="宋体" w:cs="宋体"/>
                <w:kern w:val="0"/>
                <w:sz w:val="20"/>
                <w:szCs w:val="20"/>
                <w:highlight w:val="none"/>
              </w:rPr>
              <w:t>设有超温及断偶报警功能</w:t>
            </w:r>
          </w:p>
          <w:p w14:paraId="25CA7BEC">
            <w:pPr>
              <w:rPr>
                <w:rFonts w:ascii="宋体" w:hAnsi="宋体" w:eastAsia="宋体" w:cs="宋体"/>
                <w:kern w:val="0"/>
                <w:sz w:val="20"/>
                <w:szCs w:val="20"/>
                <w:highlight w:val="none"/>
              </w:rPr>
            </w:pPr>
            <w:r>
              <w:rPr>
                <w:rFonts w:ascii="宋体" w:hAnsi="宋体" w:eastAsia="宋体" w:cs="宋体"/>
                <w:kern w:val="0"/>
                <w:sz w:val="20"/>
                <w:szCs w:val="20"/>
                <w:highlight w:val="none"/>
              </w:rPr>
              <w:t>9.真空系统</w:t>
            </w:r>
          </w:p>
          <w:p w14:paraId="5A81C008">
            <w:pPr>
              <w:rPr>
                <w:rFonts w:ascii="宋体" w:hAnsi="宋体" w:eastAsia="宋体" w:cs="宋体"/>
                <w:kern w:val="0"/>
                <w:sz w:val="20"/>
                <w:szCs w:val="20"/>
                <w:highlight w:val="none"/>
              </w:rPr>
            </w:pPr>
            <w:r>
              <w:rPr>
                <w:rFonts w:ascii="宋体" w:hAnsi="宋体" w:eastAsia="宋体" w:cs="宋体"/>
                <w:kern w:val="0"/>
                <w:sz w:val="20"/>
                <w:szCs w:val="20"/>
                <w:highlight w:val="none"/>
              </w:rPr>
              <w:t>9.1配备真空泵·抽气速率：2.2 L/S 电机功率：370W·极限压强：5×10^(-1)Pa（不带负载）</w:t>
            </w:r>
          </w:p>
          <w:p w14:paraId="3D380BDD">
            <w:pPr>
              <w:rPr>
                <w:rFonts w:ascii="宋体" w:hAnsi="宋体" w:eastAsia="宋体" w:cs="宋体"/>
                <w:kern w:val="0"/>
                <w:sz w:val="20"/>
                <w:szCs w:val="20"/>
                <w:highlight w:val="none"/>
              </w:rPr>
            </w:pPr>
            <w:r>
              <w:rPr>
                <w:rFonts w:ascii="宋体" w:hAnsi="宋体" w:eastAsia="宋体" w:cs="宋体"/>
                <w:kern w:val="0"/>
                <w:sz w:val="20"/>
                <w:szCs w:val="20"/>
                <w:highlight w:val="none"/>
              </w:rPr>
              <w:t>真空泵连接配件：KF25 直通法兰+不锈钢波纹管+挡板阀+卡箍</w:t>
            </w:r>
          </w:p>
          <w:p w14:paraId="0E13FA99">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设备外形尺寸</w:t>
            </w:r>
          </w:p>
          <w:p w14:paraId="2694B05E">
            <w:pPr>
              <w:ind w:firstLine="200" w:firstLineChars="100"/>
              <w:rPr>
                <w:rFonts w:ascii="宋体" w:hAnsi="宋体" w:eastAsia="宋体" w:cs="宋体"/>
                <w:kern w:val="0"/>
                <w:sz w:val="20"/>
                <w:szCs w:val="20"/>
                <w:highlight w:val="none"/>
              </w:rPr>
            </w:pPr>
            <w:r>
              <w:rPr>
                <w:rFonts w:hint="eastAsia" w:ascii="宋体" w:hAnsi="宋体" w:eastAsia="宋体" w:cs="宋体"/>
                <w:kern w:val="0"/>
                <w:sz w:val="20"/>
                <w:szCs w:val="20"/>
                <w:highlight w:val="none"/>
              </w:rPr>
              <w:t>关闭时外形尺寸</w:t>
            </w:r>
            <w:r>
              <w:rPr>
                <w:rFonts w:hint="eastAsia" w:ascii="宋体" w:hAnsi="宋体" w:eastAsia="宋体" w:cs="宋体"/>
                <w:kern w:val="0"/>
                <w:sz w:val="20"/>
                <w:szCs w:val="20"/>
                <w:highlight w:val="none"/>
                <w:lang w:val="en-US" w:eastAsia="zh-CN"/>
              </w:rPr>
              <w:t>不小于</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900 L x330 W x 390H mm </w:t>
            </w:r>
          </w:p>
          <w:p w14:paraId="0FF081A0">
            <w:pPr>
              <w:ind w:firstLine="200" w:firstLineChars="100"/>
              <w:rPr>
                <w:rFonts w:ascii="宋体" w:hAnsi="宋体" w:eastAsia="宋体" w:cs="宋体"/>
                <w:kern w:val="0"/>
                <w:sz w:val="20"/>
                <w:szCs w:val="20"/>
                <w:highlight w:val="none"/>
              </w:rPr>
            </w:pPr>
            <w:r>
              <w:rPr>
                <w:rFonts w:hint="eastAsia" w:ascii="宋体" w:hAnsi="宋体" w:eastAsia="宋体" w:cs="宋体"/>
                <w:kern w:val="0"/>
                <w:sz w:val="20"/>
                <w:szCs w:val="20"/>
                <w:highlight w:val="none"/>
              </w:rPr>
              <w:t>开启时外形尺寸</w:t>
            </w:r>
            <w:r>
              <w:rPr>
                <w:rFonts w:hint="eastAsia" w:ascii="宋体" w:hAnsi="宋体" w:eastAsia="宋体" w:cs="宋体"/>
                <w:kern w:val="0"/>
                <w:sz w:val="20"/>
                <w:szCs w:val="20"/>
                <w:highlight w:val="none"/>
                <w:lang w:val="en-US" w:eastAsia="zh-CN"/>
              </w:rPr>
              <w:t>不小于</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900 L x440 W x 540 H mm </w:t>
            </w:r>
          </w:p>
          <w:p w14:paraId="29F59E6D">
            <w:pPr>
              <w:ind w:firstLine="200" w:firstLineChars="100"/>
              <w:rPr>
                <w:rFonts w:ascii="宋体" w:hAnsi="宋体" w:eastAsia="宋体" w:cs="宋体"/>
                <w:kern w:val="0"/>
                <w:sz w:val="20"/>
                <w:szCs w:val="20"/>
                <w:highlight w:val="none"/>
              </w:rPr>
            </w:pPr>
            <w:r>
              <w:rPr>
                <w:rFonts w:hint="eastAsia" w:ascii="宋体" w:hAnsi="宋体" w:eastAsia="宋体" w:cs="宋体"/>
                <w:kern w:val="0"/>
                <w:sz w:val="20"/>
                <w:szCs w:val="20"/>
                <w:highlight w:val="none"/>
              </w:rPr>
              <w:t>尺寸中的长度包含炉管与法兰长度</w:t>
            </w:r>
          </w:p>
          <w:p w14:paraId="24E0B501">
            <w:pPr>
              <w:rPr>
                <w:rFonts w:ascii="宋体" w:hAnsi="宋体" w:eastAsia="宋体" w:cs="宋体"/>
                <w:color w:val="000000"/>
                <w:sz w:val="20"/>
                <w:szCs w:val="20"/>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B135AE2">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23D64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F695174">
            <w:pPr>
              <w:widowControl/>
              <w:jc w:val="center"/>
              <w:textAlignment w:val="center"/>
              <w:rPr>
                <w:rFonts w:ascii="宋体" w:hAnsi="宋体" w:eastAsia="宋体" w:cs="宋体"/>
                <w:color w:val="000000"/>
                <w:kern w:val="0"/>
                <w:sz w:val="20"/>
                <w:szCs w:val="20"/>
                <w:lang w:bidi="ar"/>
              </w:rPr>
            </w:pPr>
          </w:p>
        </w:tc>
      </w:tr>
      <w:tr w14:paraId="17CD1029">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645A8FA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28457F99">
            <w:pPr>
              <w:widowControl/>
              <w:jc w:val="center"/>
              <w:textAlignment w:val="center"/>
              <w:rPr>
                <w:rFonts w:ascii="宋体" w:hAnsi="宋体" w:eastAsia="宋体" w:cs="宋体"/>
                <w:color w:val="000000"/>
                <w:sz w:val="20"/>
                <w:szCs w:val="20"/>
              </w:rPr>
            </w:pPr>
            <w:r>
              <w:rPr>
                <w:rFonts w:hint="eastAsia" w:ascii="宋体" w:hAnsi="宋体" w:eastAsia="宋体" w:cs="宋体"/>
                <w:kern w:val="0"/>
                <w:sz w:val="20"/>
                <w:szCs w:val="20"/>
              </w:rPr>
              <w:t>接触角测量仪</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50C7DE78">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设备主机</w:t>
            </w:r>
          </w:p>
          <w:p w14:paraId="734CA243">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功率：≥</w:t>
            </w:r>
            <w:r>
              <w:rPr>
                <w:rFonts w:ascii="宋体" w:hAnsi="宋体" w:eastAsia="宋体" w:cs="宋体"/>
                <w:kern w:val="0"/>
                <w:sz w:val="20"/>
                <w:szCs w:val="20"/>
                <w:highlight w:val="none"/>
              </w:rPr>
              <w:t>20W</w:t>
            </w:r>
          </w:p>
          <w:p w14:paraId="03D7115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频率：</w:t>
            </w:r>
            <w:r>
              <w:rPr>
                <w:rFonts w:ascii="宋体" w:hAnsi="宋体" w:eastAsia="宋体" w:cs="宋体"/>
                <w:kern w:val="0"/>
                <w:sz w:val="20"/>
                <w:szCs w:val="20"/>
                <w:highlight w:val="none"/>
              </w:rPr>
              <w:t>50/60HZ</w:t>
            </w:r>
          </w:p>
          <w:p w14:paraId="1BBC35E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3</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空间</w:t>
            </w:r>
          </w:p>
          <w:p w14:paraId="5B8DA33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平台尺寸约：</w:t>
            </w:r>
            <w:r>
              <w:rPr>
                <w:rFonts w:ascii="宋体" w:hAnsi="宋体" w:eastAsia="宋体" w:cs="宋体"/>
                <w:kern w:val="0"/>
                <w:sz w:val="20"/>
                <w:szCs w:val="20"/>
                <w:highlight w:val="none"/>
              </w:rPr>
              <w:t>130mm</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150mm </w:t>
            </w:r>
          </w:p>
          <w:p w14:paraId="5E624C7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5</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最大试样：</w:t>
            </w:r>
            <w:r>
              <w:rPr>
                <w:rFonts w:ascii="宋体" w:hAnsi="宋体" w:eastAsia="宋体" w:cs="宋体"/>
                <w:kern w:val="0"/>
                <w:sz w:val="20"/>
                <w:szCs w:val="20"/>
                <w:highlight w:val="none"/>
              </w:rPr>
              <w:t>250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60mm </w:t>
            </w:r>
          </w:p>
          <w:p w14:paraId="0725A93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样品台调节</w:t>
            </w:r>
          </w:p>
          <w:p w14:paraId="3B505DA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三维手动调节（可升级自动）</w:t>
            </w:r>
          </w:p>
          <w:p w14:paraId="30155BCE">
            <w:pPr>
              <w:rPr>
                <w:rFonts w:ascii="宋体" w:hAnsi="宋体" w:eastAsia="宋体" w:cs="宋体"/>
                <w:kern w:val="0"/>
                <w:sz w:val="20"/>
                <w:szCs w:val="20"/>
                <w:highlight w:val="none"/>
              </w:rPr>
            </w:pPr>
            <w:r>
              <w:rPr>
                <w:rFonts w:ascii="宋体" w:hAnsi="宋体" w:eastAsia="宋体" w:cs="宋体"/>
                <w:kern w:val="0"/>
                <w:sz w:val="20"/>
                <w:szCs w:val="20"/>
                <w:highlight w:val="none"/>
              </w:rPr>
              <w:t>6.2</w:t>
            </w:r>
            <w:r>
              <w:rPr>
                <w:rFonts w:hint="eastAsia" w:ascii="宋体" w:hAnsi="宋体" w:eastAsia="宋体" w:cs="宋体"/>
                <w:kern w:val="0"/>
                <w:sz w:val="20"/>
                <w:szCs w:val="20"/>
                <w:highlight w:val="none"/>
              </w:rPr>
              <w:t xml:space="preserve">前后调节：手动，行程≥ </w:t>
            </w:r>
            <w:r>
              <w:rPr>
                <w:rFonts w:ascii="宋体" w:hAnsi="宋体" w:eastAsia="宋体" w:cs="宋体"/>
                <w:kern w:val="0"/>
                <w:sz w:val="20"/>
                <w:szCs w:val="20"/>
                <w:highlight w:val="none"/>
              </w:rPr>
              <w:t>60mm</w:t>
            </w:r>
            <w:r>
              <w:rPr>
                <w:rFonts w:hint="eastAsia" w:ascii="宋体" w:hAnsi="宋体" w:eastAsia="宋体" w:cs="宋体"/>
                <w:kern w:val="0"/>
                <w:sz w:val="20"/>
                <w:szCs w:val="20"/>
                <w:highlight w:val="none"/>
              </w:rPr>
              <w:t xml:space="preserve">，精度 </w:t>
            </w:r>
            <w:r>
              <w:rPr>
                <w:rFonts w:ascii="宋体" w:hAnsi="宋体" w:eastAsia="宋体" w:cs="宋体"/>
                <w:kern w:val="0"/>
                <w:sz w:val="20"/>
                <w:szCs w:val="20"/>
                <w:highlight w:val="none"/>
              </w:rPr>
              <w:t xml:space="preserve">0.1mm </w:t>
            </w:r>
          </w:p>
          <w:p w14:paraId="3777B1B3">
            <w:pPr>
              <w:rPr>
                <w:rFonts w:ascii="宋体" w:hAnsi="宋体" w:eastAsia="宋体" w:cs="宋体"/>
                <w:kern w:val="0"/>
                <w:sz w:val="20"/>
                <w:szCs w:val="20"/>
                <w:highlight w:val="none"/>
              </w:rPr>
            </w:pPr>
            <w:r>
              <w:rPr>
                <w:rFonts w:ascii="宋体" w:hAnsi="宋体" w:eastAsia="宋体" w:cs="宋体"/>
                <w:kern w:val="0"/>
                <w:sz w:val="20"/>
                <w:szCs w:val="20"/>
                <w:highlight w:val="none"/>
              </w:rPr>
              <w:t>6.3</w:t>
            </w:r>
            <w:r>
              <w:rPr>
                <w:rFonts w:hint="eastAsia" w:ascii="宋体" w:hAnsi="宋体" w:eastAsia="宋体" w:cs="宋体"/>
                <w:kern w:val="0"/>
                <w:sz w:val="20"/>
                <w:szCs w:val="20"/>
                <w:highlight w:val="none"/>
              </w:rPr>
              <w:t>左右调节：手动，行程 ≥</w:t>
            </w:r>
            <w:r>
              <w:rPr>
                <w:rFonts w:ascii="宋体" w:hAnsi="宋体" w:eastAsia="宋体" w:cs="宋体"/>
                <w:kern w:val="0"/>
                <w:sz w:val="20"/>
                <w:szCs w:val="20"/>
                <w:highlight w:val="none"/>
              </w:rPr>
              <w:t>35mm</w:t>
            </w:r>
            <w:r>
              <w:rPr>
                <w:rFonts w:hint="eastAsia" w:ascii="宋体" w:hAnsi="宋体" w:eastAsia="宋体" w:cs="宋体"/>
                <w:kern w:val="0"/>
                <w:sz w:val="20"/>
                <w:szCs w:val="20"/>
                <w:highlight w:val="none"/>
              </w:rPr>
              <w:t xml:space="preserve">，精度 </w:t>
            </w:r>
            <w:r>
              <w:rPr>
                <w:rFonts w:ascii="宋体" w:hAnsi="宋体" w:eastAsia="宋体" w:cs="宋体"/>
                <w:kern w:val="0"/>
                <w:sz w:val="20"/>
                <w:szCs w:val="20"/>
                <w:highlight w:val="none"/>
              </w:rPr>
              <w:t xml:space="preserve">0.1mm </w:t>
            </w:r>
          </w:p>
          <w:p w14:paraId="54DDC34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6</w:t>
            </w: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上下调节：手动，行程 ≥</w:t>
            </w:r>
            <w:r>
              <w:rPr>
                <w:rFonts w:ascii="宋体" w:hAnsi="宋体" w:eastAsia="宋体" w:cs="宋体"/>
                <w:kern w:val="0"/>
                <w:sz w:val="20"/>
                <w:szCs w:val="20"/>
                <w:highlight w:val="none"/>
              </w:rPr>
              <w:t>80mm</w:t>
            </w:r>
            <w:r>
              <w:rPr>
                <w:rFonts w:hint="eastAsia" w:ascii="宋体" w:hAnsi="宋体" w:eastAsia="宋体" w:cs="宋体"/>
                <w:kern w:val="0"/>
                <w:sz w:val="20"/>
                <w:szCs w:val="20"/>
                <w:highlight w:val="none"/>
              </w:rPr>
              <w:t xml:space="preserve">，精度 </w:t>
            </w:r>
            <w:r>
              <w:rPr>
                <w:rFonts w:ascii="宋体" w:hAnsi="宋体" w:eastAsia="宋体" w:cs="宋体"/>
                <w:kern w:val="0"/>
                <w:sz w:val="20"/>
                <w:szCs w:val="20"/>
                <w:highlight w:val="none"/>
              </w:rPr>
              <w:t xml:space="preserve">0.1mm </w:t>
            </w:r>
          </w:p>
          <w:p w14:paraId="72A4E29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摄像系统</w:t>
            </w:r>
          </w:p>
          <w:p w14:paraId="5FFD47A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最大图像：≥</w:t>
            </w:r>
            <w:r>
              <w:rPr>
                <w:rFonts w:ascii="宋体" w:hAnsi="宋体" w:eastAsia="宋体" w:cs="宋体"/>
                <w:kern w:val="0"/>
                <w:sz w:val="20"/>
                <w:szCs w:val="20"/>
                <w:highlight w:val="none"/>
              </w:rPr>
              <w:t>4000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H</w:t>
            </w:r>
            <w:r>
              <w:rPr>
                <w:rFonts w:hint="eastAsia" w:ascii="宋体" w:hAnsi="宋体" w:eastAsia="宋体" w:cs="宋体"/>
                <w:kern w:val="0"/>
                <w:sz w:val="20"/>
                <w:szCs w:val="20"/>
                <w:highlight w:val="none"/>
              </w:rPr>
              <w:t xml:space="preserve">）× </w:t>
            </w:r>
            <w:r>
              <w:rPr>
                <w:rFonts w:ascii="宋体" w:hAnsi="宋体" w:eastAsia="宋体" w:cs="宋体"/>
                <w:kern w:val="0"/>
                <w:sz w:val="20"/>
                <w:szCs w:val="20"/>
                <w:highlight w:val="none"/>
              </w:rPr>
              <w:t>3000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V</w:t>
            </w:r>
            <w:r>
              <w:rPr>
                <w:rFonts w:hint="eastAsia" w:ascii="宋体" w:hAnsi="宋体" w:eastAsia="宋体" w:cs="宋体"/>
                <w:kern w:val="0"/>
                <w:sz w:val="20"/>
                <w:szCs w:val="20"/>
                <w:highlight w:val="none"/>
              </w:rPr>
              <w:t>）</w:t>
            </w:r>
          </w:p>
          <w:p w14:paraId="0CE67F56">
            <w:pPr>
              <w:rPr>
                <w:rFonts w:ascii="宋体" w:hAnsi="宋体" w:eastAsia="宋体" w:cs="宋体"/>
                <w:kern w:val="0"/>
                <w:sz w:val="20"/>
                <w:szCs w:val="20"/>
                <w:highlight w:val="none"/>
              </w:rPr>
            </w:pPr>
            <w:r>
              <w:rPr>
                <w:rFonts w:ascii="宋体" w:hAnsi="宋体" w:eastAsia="宋体" w:cs="宋体"/>
                <w:kern w:val="0"/>
                <w:sz w:val="20"/>
                <w:szCs w:val="20"/>
                <w:highlight w:val="none"/>
              </w:rPr>
              <w:t>7.2</w:t>
            </w:r>
            <w:r>
              <w:rPr>
                <w:rFonts w:hint="eastAsia" w:ascii="宋体" w:hAnsi="宋体" w:eastAsia="宋体" w:cs="宋体"/>
                <w:kern w:val="0"/>
                <w:sz w:val="20"/>
                <w:szCs w:val="20"/>
                <w:highlight w:val="none"/>
              </w:rPr>
              <w:t>最高帧率：≥</w:t>
            </w:r>
            <w:r>
              <w:rPr>
                <w:rFonts w:ascii="宋体" w:hAnsi="宋体" w:eastAsia="宋体" w:cs="宋体"/>
                <w:kern w:val="0"/>
                <w:sz w:val="20"/>
                <w:szCs w:val="20"/>
                <w:highlight w:val="none"/>
              </w:rPr>
              <w:t>120fps</w:t>
            </w:r>
            <w:r>
              <w:rPr>
                <w:rFonts w:hint="eastAsia" w:ascii="宋体" w:hAnsi="宋体" w:eastAsia="宋体" w:cs="宋体"/>
                <w:kern w:val="0"/>
                <w:sz w:val="20"/>
                <w:szCs w:val="20"/>
                <w:highlight w:val="none"/>
              </w:rPr>
              <w:t>（可升级更高帧数）</w:t>
            </w:r>
          </w:p>
          <w:p w14:paraId="721A7A5C">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传感器：</w:t>
            </w:r>
            <w:r>
              <w:rPr>
                <w:rFonts w:ascii="宋体" w:hAnsi="宋体" w:eastAsia="宋体" w:cs="宋体"/>
                <w:kern w:val="0"/>
                <w:sz w:val="20"/>
                <w:szCs w:val="20"/>
                <w:highlight w:val="none"/>
              </w:rPr>
              <w:t xml:space="preserve">SONY 1/1.8" </w:t>
            </w:r>
          </w:p>
          <w:p w14:paraId="43358D3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光谱：黑白</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彩色</w:t>
            </w:r>
          </w:p>
          <w:p w14:paraId="68857286">
            <w:pPr>
              <w:rPr>
                <w:rFonts w:ascii="宋体" w:hAnsi="宋体" w:eastAsia="宋体" w:cs="宋体"/>
                <w:kern w:val="0"/>
                <w:sz w:val="20"/>
                <w:szCs w:val="20"/>
                <w:highlight w:val="none"/>
              </w:rPr>
            </w:pPr>
            <w:r>
              <w:rPr>
                <w:rFonts w:ascii="宋体" w:hAnsi="宋体" w:eastAsia="宋体" w:cs="宋体"/>
                <w:kern w:val="0"/>
                <w:sz w:val="20"/>
                <w:szCs w:val="20"/>
                <w:highlight w:val="none"/>
              </w:rPr>
              <w:t>7.5</w:t>
            </w:r>
            <w:r>
              <w:rPr>
                <w:rFonts w:hint="eastAsia" w:ascii="宋体" w:hAnsi="宋体" w:eastAsia="宋体" w:cs="宋体"/>
                <w:kern w:val="0"/>
                <w:sz w:val="20"/>
                <w:szCs w:val="20"/>
                <w:highlight w:val="none"/>
                <w:lang w:val="en-US" w:eastAsia="zh-CN"/>
              </w:rPr>
              <w:t xml:space="preserve"> </w:t>
            </w:r>
            <w:r>
              <w:rPr>
                <w:rFonts w:ascii="宋体" w:hAnsi="宋体" w:eastAsia="宋体" w:cs="宋体"/>
                <w:kern w:val="0"/>
                <w:sz w:val="20"/>
                <w:szCs w:val="20"/>
                <w:highlight w:val="none"/>
              </w:rPr>
              <w:t>ROI</w:t>
            </w:r>
            <w:r>
              <w:rPr>
                <w:rFonts w:hint="eastAsia" w:ascii="宋体" w:hAnsi="宋体" w:eastAsia="宋体" w:cs="宋体"/>
                <w:kern w:val="0"/>
                <w:sz w:val="20"/>
                <w:szCs w:val="20"/>
                <w:highlight w:val="none"/>
              </w:rPr>
              <w:t>：自定义</w:t>
            </w:r>
          </w:p>
          <w:p w14:paraId="406F6AF5">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显示线宽：自定义</w:t>
            </w:r>
          </w:p>
          <w:p w14:paraId="70E6770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.7</w:t>
            </w:r>
            <w:r>
              <w:rPr>
                <w:rFonts w:hint="eastAsia" w:ascii="宋体" w:hAnsi="宋体" w:eastAsia="宋体" w:cs="宋体"/>
                <w:kern w:val="0"/>
                <w:sz w:val="20"/>
                <w:szCs w:val="20"/>
                <w:highlight w:val="none"/>
              </w:rPr>
              <w:t>曝光时间：自定义</w:t>
            </w:r>
          </w:p>
          <w:p w14:paraId="3C0958B8">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.8</w:t>
            </w:r>
            <w:r>
              <w:rPr>
                <w:rFonts w:hint="eastAsia" w:ascii="宋体" w:hAnsi="宋体" w:eastAsia="宋体" w:cs="宋体"/>
                <w:kern w:val="0"/>
                <w:sz w:val="20"/>
                <w:szCs w:val="20"/>
                <w:highlight w:val="none"/>
              </w:rPr>
              <w:t>电源：</w:t>
            </w:r>
            <w:r>
              <w:rPr>
                <w:rFonts w:ascii="宋体" w:hAnsi="宋体" w:eastAsia="宋体" w:cs="宋体"/>
                <w:kern w:val="0"/>
                <w:sz w:val="20"/>
                <w:szCs w:val="20"/>
                <w:highlight w:val="none"/>
              </w:rPr>
              <w:t xml:space="preserve">5 VDC USB </w:t>
            </w:r>
            <w:r>
              <w:rPr>
                <w:rFonts w:hint="eastAsia" w:ascii="宋体" w:hAnsi="宋体" w:eastAsia="宋体" w:cs="宋体"/>
                <w:kern w:val="0"/>
                <w:sz w:val="20"/>
                <w:szCs w:val="20"/>
                <w:highlight w:val="none"/>
              </w:rPr>
              <w:t>接口</w:t>
            </w:r>
          </w:p>
          <w:p w14:paraId="0F4D806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7</w:t>
            </w:r>
            <w:r>
              <w:rPr>
                <w:rFonts w:ascii="宋体" w:hAnsi="宋体" w:eastAsia="宋体" w:cs="宋体"/>
                <w:kern w:val="0"/>
                <w:sz w:val="20"/>
                <w:szCs w:val="20"/>
                <w:highlight w:val="none"/>
              </w:rPr>
              <w:t>.9</w:t>
            </w:r>
            <w:r>
              <w:rPr>
                <w:rFonts w:hint="eastAsia" w:ascii="宋体" w:hAnsi="宋体" w:eastAsia="宋体" w:cs="宋体"/>
                <w:kern w:val="0"/>
                <w:sz w:val="20"/>
                <w:szCs w:val="20"/>
                <w:highlight w:val="none"/>
              </w:rPr>
              <w:t>传输：</w:t>
            </w:r>
            <w:r>
              <w:rPr>
                <w:rFonts w:ascii="宋体" w:hAnsi="宋体" w:eastAsia="宋体" w:cs="宋体"/>
                <w:kern w:val="0"/>
                <w:sz w:val="20"/>
                <w:szCs w:val="20"/>
                <w:highlight w:val="none"/>
              </w:rPr>
              <w:t xml:space="preserve">USB3 Vision </w:t>
            </w:r>
          </w:p>
          <w:p w14:paraId="3C1F8A7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显微镜头</w:t>
            </w:r>
          </w:p>
          <w:p w14:paraId="4E9F8A7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焦距：</w:t>
            </w:r>
            <w:r>
              <w:rPr>
                <w:rFonts w:ascii="宋体" w:hAnsi="宋体" w:eastAsia="宋体" w:cs="宋体"/>
                <w:kern w:val="0"/>
                <w:sz w:val="20"/>
                <w:szCs w:val="20"/>
                <w:highlight w:val="none"/>
              </w:rPr>
              <w:t xml:space="preserve">100mm </w:t>
            </w:r>
            <w:r>
              <w:rPr>
                <w:rFonts w:hint="eastAsia" w:ascii="宋体" w:hAnsi="宋体" w:eastAsia="宋体" w:cs="宋体"/>
                <w:kern w:val="0"/>
                <w:sz w:val="20"/>
                <w:szCs w:val="20"/>
                <w:highlight w:val="none"/>
              </w:rPr>
              <w:t xml:space="preserve">倍率 </w:t>
            </w:r>
            <w:r>
              <w:rPr>
                <w:rFonts w:ascii="宋体" w:hAnsi="宋体" w:eastAsia="宋体" w:cs="宋体"/>
                <w:kern w:val="0"/>
                <w:sz w:val="20"/>
                <w:szCs w:val="20"/>
                <w:highlight w:val="none"/>
              </w:rPr>
              <w:t xml:space="preserve">8 </w:t>
            </w:r>
            <w:r>
              <w:rPr>
                <w:rFonts w:hint="eastAsia" w:ascii="宋体" w:hAnsi="宋体" w:eastAsia="宋体" w:cs="宋体"/>
                <w:kern w:val="0"/>
                <w:sz w:val="20"/>
                <w:szCs w:val="20"/>
                <w:highlight w:val="none"/>
              </w:rPr>
              <w:t>倍</w:t>
            </w:r>
          </w:p>
          <w:p w14:paraId="4CF802B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w:t>
            </w: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分辨率标度：</w:t>
            </w: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12um </w:t>
            </w:r>
          </w:p>
          <w:p w14:paraId="360FB90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光源</w:t>
            </w:r>
          </w:p>
          <w:p w14:paraId="30284D1F">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 xml:space="preserve">类型：单波长 </w:t>
            </w:r>
            <w:r>
              <w:rPr>
                <w:rFonts w:ascii="宋体" w:hAnsi="宋体" w:eastAsia="宋体" w:cs="宋体"/>
                <w:kern w:val="0"/>
                <w:sz w:val="20"/>
                <w:szCs w:val="20"/>
                <w:highlight w:val="none"/>
              </w:rPr>
              <w:t>LED</w:t>
            </w:r>
            <w:r>
              <w:rPr>
                <w:rFonts w:hint="eastAsia" w:ascii="宋体" w:hAnsi="宋体" w:eastAsia="宋体" w:cs="宋体"/>
                <w:kern w:val="0"/>
                <w:sz w:val="20"/>
                <w:szCs w:val="20"/>
                <w:highlight w:val="none"/>
              </w:rPr>
              <w:t>（冷光）</w:t>
            </w:r>
          </w:p>
          <w:p w14:paraId="0EB7B3DC">
            <w:pPr>
              <w:rPr>
                <w:rFonts w:ascii="宋体" w:hAnsi="宋体" w:eastAsia="宋体" w:cs="宋体"/>
                <w:kern w:val="0"/>
                <w:sz w:val="20"/>
                <w:szCs w:val="20"/>
                <w:highlight w:val="none"/>
              </w:rPr>
            </w:pPr>
            <w:r>
              <w:rPr>
                <w:rFonts w:ascii="宋体" w:hAnsi="宋体" w:eastAsia="宋体" w:cs="宋体"/>
                <w:kern w:val="0"/>
                <w:sz w:val="20"/>
                <w:szCs w:val="20"/>
                <w:highlight w:val="none"/>
              </w:rPr>
              <w:t>9.2</w:t>
            </w:r>
            <w:r>
              <w:rPr>
                <w:rFonts w:hint="eastAsia" w:ascii="宋体" w:hAnsi="宋体" w:eastAsia="宋体" w:cs="宋体"/>
                <w:kern w:val="0"/>
                <w:sz w:val="20"/>
                <w:szCs w:val="20"/>
                <w:highlight w:val="none"/>
              </w:rPr>
              <w:t>波长：</w:t>
            </w:r>
            <w:r>
              <w:rPr>
                <w:rFonts w:ascii="宋体" w:hAnsi="宋体" w:eastAsia="宋体" w:cs="宋体"/>
                <w:kern w:val="0"/>
                <w:sz w:val="20"/>
                <w:szCs w:val="20"/>
                <w:highlight w:val="none"/>
              </w:rPr>
              <w:t xml:space="preserve">470nm </w:t>
            </w:r>
          </w:p>
          <w:p w14:paraId="66735B4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光场：Φ</w:t>
            </w:r>
            <w:r>
              <w:rPr>
                <w:rFonts w:ascii="宋体" w:hAnsi="宋体" w:eastAsia="宋体" w:cs="宋体"/>
                <w:kern w:val="0"/>
                <w:sz w:val="20"/>
                <w:szCs w:val="20"/>
                <w:highlight w:val="none"/>
              </w:rPr>
              <w:t xml:space="preserve">50mm </w:t>
            </w:r>
          </w:p>
          <w:p w14:paraId="6D2666A4">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光点：</w:t>
            </w:r>
            <w:r>
              <w:rPr>
                <w:rFonts w:ascii="宋体" w:hAnsi="宋体" w:eastAsia="宋体" w:cs="宋体"/>
                <w:kern w:val="0"/>
                <w:sz w:val="20"/>
                <w:szCs w:val="20"/>
                <w:highlight w:val="none"/>
              </w:rPr>
              <w:t xml:space="preserve">96 </w:t>
            </w:r>
            <w:r>
              <w:rPr>
                <w:rFonts w:hint="eastAsia" w:ascii="宋体" w:hAnsi="宋体" w:eastAsia="宋体" w:cs="宋体"/>
                <w:kern w:val="0"/>
                <w:sz w:val="20"/>
                <w:szCs w:val="20"/>
                <w:highlight w:val="none"/>
              </w:rPr>
              <w:t>粒密集式</w:t>
            </w:r>
          </w:p>
          <w:p w14:paraId="0D4C16B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9</w:t>
            </w:r>
            <w:r>
              <w:rPr>
                <w:rFonts w:ascii="宋体" w:hAnsi="宋体" w:eastAsia="宋体" w:cs="宋体"/>
                <w:kern w:val="0"/>
                <w:sz w:val="20"/>
                <w:szCs w:val="20"/>
                <w:highlight w:val="none"/>
              </w:rPr>
              <w:t>.8</w:t>
            </w:r>
            <w:r>
              <w:rPr>
                <w:rFonts w:hint="eastAsia" w:ascii="宋体" w:hAnsi="宋体" w:eastAsia="宋体" w:cs="宋体"/>
                <w:kern w:val="0"/>
                <w:sz w:val="20"/>
                <w:szCs w:val="20"/>
                <w:highlight w:val="none"/>
              </w:rPr>
              <w:t>寿命：≥</w:t>
            </w:r>
            <w:r>
              <w:rPr>
                <w:rFonts w:ascii="宋体" w:hAnsi="宋体" w:eastAsia="宋体" w:cs="宋体"/>
                <w:kern w:val="0"/>
                <w:sz w:val="20"/>
                <w:szCs w:val="20"/>
                <w:highlight w:val="none"/>
              </w:rPr>
              <w:t>50000</w:t>
            </w:r>
            <w:r>
              <w:rPr>
                <w:rFonts w:hint="eastAsia" w:ascii="宋体" w:hAnsi="宋体" w:eastAsia="宋体" w:cs="宋体"/>
                <w:kern w:val="0"/>
                <w:sz w:val="20"/>
                <w:szCs w:val="20"/>
                <w:highlight w:val="none"/>
              </w:rPr>
              <w:t>小时</w:t>
            </w:r>
            <w:r>
              <w:rPr>
                <w:rFonts w:ascii="宋体" w:hAnsi="宋体" w:eastAsia="宋体" w:cs="宋体"/>
                <w:kern w:val="0"/>
                <w:sz w:val="20"/>
                <w:szCs w:val="20"/>
                <w:highlight w:val="none"/>
              </w:rPr>
              <w:t xml:space="preserve"> </w:t>
            </w:r>
          </w:p>
          <w:p w14:paraId="5A5150B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0.</w:t>
            </w:r>
            <w:r>
              <w:rPr>
                <w:rFonts w:hint="eastAsia" w:ascii="宋体" w:hAnsi="宋体" w:eastAsia="宋体" w:cs="宋体"/>
                <w:kern w:val="0"/>
                <w:sz w:val="20"/>
                <w:szCs w:val="20"/>
                <w:highlight w:val="none"/>
              </w:rPr>
              <w:t>注射系统</w:t>
            </w:r>
          </w:p>
          <w:p w14:paraId="6746823F">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0.1</w:t>
            </w:r>
            <w:r>
              <w:rPr>
                <w:rFonts w:hint="eastAsia" w:ascii="宋体" w:hAnsi="宋体" w:eastAsia="宋体" w:cs="宋体"/>
                <w:kern w:val="0"/>
                <w:sz w:val="20"/>
                <w:szCs w:val="20"/>
                <w:highlight w:val="none"/>
              </w:rPr>
              <w:t>滴液方式：直进式精密微量注射器</w:t>
            </w:r>
          </w:p>
          <w:p w14:paraId="3906FE0E">
            <w:pPr>
              <w:rPr>
                <w:rFonts w:ascii="宋体" w:hAnsi="宋体" w:eastAsia="宋体" w:cs="宋体"/>
                <w:kern w:val="0"/>
                <w:sz w:val="20"/>
                <w:szCs w:val="20"/>
                <w:highlight w:val="none"/>
              </w:rPr>
            </w:pPr>
            <w:r>
              <w:rPr>
                <w:rFonts w:ascii="宋体" w:hAnsi="宋体" w:eastAsia="宋体" w:cs="宋体"/>
                <w:kern w:val="0"/>
                <w:sz w:val="20"/>
                <w:szCs w:val="20"/>
                <w:highlight w:val="none"/>
              </w:rPr>
              <w:t>10.2</w:t>
            </w:r>
            <w:r>
              <w:rPr>
                <w:rFonts w:hint="eastAsia" w:ascii="宋体" w:hAnsi="宋体" w:eastAsia="宋体" w:cs="宋体"/>
                <w:kern w:val="0"/>
                <w:sz w:val="20"/>
                <w:szCs w:val="20"/>
                <w:highlight w:val="none"/>
              </w:rPr>
              <w:t>控制方式：手动控制</w:t>
            </w:r>
          </w:p>
          <w:p w14:paraId="2C8A080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0.3</w:t>
            </w:r>
            <w:r>
              <w:rPr>
                <w:rFonts w:hint="eastAsia" w:ascii="宋体" w:hAnsi="宋体" w:eastAsia="宋体" w:cs="宋体"/>
                <w:kern w:val="0"/>
                <w:sz w:val="20"/>
                <w:szCs w:val="20"/>
                <w:highlight w:val="none"/>
              </w:rPr>
              <w:t>滴液精度：≤</w:t>
            </w:r>
            <w:r>
              <w:rPr>
                <w:rFonts w:ascii="宋体" w:hAnsi="宋体" w:eastAsia="宋体" w:cs="宋体"/>
                <w:kern w:val="0"/>
                <w:sz w:val="20"/>
                <w:szCs w:val="20"/>
                <w:highlight w:val="none"/>
              </w:rPr>
              <w:t>0.1</w:t>
            </w:r>
            <w:r>
              <w:rPr>
                <w:rFonts w:hint="eastAsia" w:ascii="宋体" w:hAnsi="宋体" w:eastAsia="宋体" w:cs="宋体"/>
                <w:kern w:val="0"/>
                <w:sz w:val="20"/>
                <w:szCs w:val="20"/>
                <w:highlight w:val="none"/>
              </w:rPr>
              <w:t>μ</w:t>
            </w:r>
            <w:r>
              <w:rPr>
                <w:rFonts w:ascii="宋体" w:hAnsi="宋体" w:eastAsia="宋体" w:cs="宋体"/>
                <w:kern w:val="0"/>
                <w:sz w:val="20"/>
                <w:szCs w:val="20"/>
                <w:highlight w:val="none"/>
              </w:rPr>
              <w:t>l</w:t>
            </w:r>
          </w:p>
          <w:p w14:paraId="0A57078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0.4</w:t>
            </w:r>
            <w:r>
              <w:rPr>
                <w:rFonts w:hint="eastAsia" w:ascii="宋体" w:hAnsi="宋体" w:eastAsia="宋体" w:cs="宋体"/>
                <w:kern w:val="0"/>
                <w:sz w:val="20"/>
                <w:szCs w:val="20"/>
                <w:highlight w:val="none"/>
              </w:rPr>
              <w:t>注射器：高精密气密性注射器</w:t>
            </w:r>
          </w:p>
          <w:p w14:paraId="7A3AFD99">
            <w:pPr>
              <w:rPr>
                <w:rFonts w:ascii="宋体" w:hAnsi="宋体" w:eastAsia="宋体" w:cs="宋体"/>
                <w:kern w:val="0"/>
                <w:sz w:val="20"/>
                <w:szCs w:val="20"/>
                <w:highlight w:val="none"/>
              </w:rPr>
            </w:pPr>
            <w:r>
              <w:rPr>
                <w:rFonts w:ascii="宋体" w:hAnsi="宋体" w:eastAsia="宋体" w:cs="宋体"/>
                <w:kern w:val="0"/>
                <w:sz w:val="20"/>
                <w:szCs w:val="20"/>
                <w:highlight w:val="none"/>
              </w:rPr>
              <w:t>10.5</w:t>
            </w:r>
            <w:r>
              <w:rPr>
                <w:rFonts w:hint="eastAsia" w:ascii="宋体" w:hAnsi="宋体" w:eastAsia="宋体" w:cs="宋体"/>
                <w:kern w:val="0"/>
                <w:sz w:val="20"/>
                <w:szCs w:val="20"/>
                <w:highlight w:val="none"/>
              </w:rPr>
              <w:t>容量：</w:t>
            </w:r>
            <w:r>
              <w:rPr>
                <w:rFonts w:ascii="宋体" w:hAnsi="宋体" w:eastAsia="宋体" w:cs="宋体"/>
                <w:kern w:val="0"/>
                <w:sz w:val="20"/>
                <w:szCs w:val="20"/>
                <w:highlight w:val="none"/>
              </w:rPr>
              <w:t>1000</w:t>
            </w:r>
            <w:r>
              <w:rPr>
                <w:rFonts w:hint="eastAsia" w:ascii="宋体" w:hAnsi="宋体" w:eastAsia="宋体" w:cs="宋体"/>
                <w:kern w:val="0"/>
                <w:sz w:val="20"/>
                <w:szCs w:val="20"/>
                <w:highlight w:val="none"/>
              </w:rPr>
              <w:t>μ</w:t>
            </w:r>
            <w:r>
              <w:rPr>
                <w:rFonts w:ascii="宋体" w:hAnsi="宋体" w:eastAsia="宋体" w:cs="宋体"/>
                <w:kern w:val="0"/>
                <w:sz w:val="20"/>
                <w:szCs w:val="20"/>
                <w:highlight w:val="none"/>
              </w:rPr>
              <w:t>l</w:t>
            </w:r>
          </w:p>
          <w:p w14:paraId="0DC224CB">
            <w:pPr>
              <w:rPr>
                <w:rFonts w:ascii="宋体" w:hAnsi="宋体" w:eastAsia="宋体" w:cs="宋体"/>
                <w:kern w:val="0"/>
                <w:sz w:val="20"/>
                <w:szCs w:val="20"/>
                <w:highlight w:val="none"/>
              </w:rPr>
            </w:pPr>
            <w:r>
              <w:rPr>
                <w:rFonts w:ascii="宋体" w:hAnsi="宋体" w:eastAsia="宋体" w:cs="宋体"/>
                <w:kern w:val="0"/>
                <w:sz w:val="20"/>
                <w:szCs w:val="20"/>
                <w:highlight w:val="none"/>
              </w:rPr>
              <w:t>10.6</w:t>
            </w:r>
            <w:r>
              <w:rPr>
                <w:rFonts w:hint="eastAsia" w:ascii="宋体" w:hAnsi="宋体" w:eastAsia="宋体" w:cs="宋体"/>
                <w:kern w:val="0"/>
                <w:sz w:val="20"/>
                <w:szCs w:val="20"/>
                <w:highlight w:val="none"/>
              </w:rPr>
              <w:t>针头：</w:t>
            </w:r>
            <w:r>
              <w:rPr>
                <w:rFonts w:ascii="宋体" w:hAnsi="宋体" w:eastAsia="宋体" w:cs="宋体"/>
                <w:kern w:val="0"/>
                <w:sz w:val="20"/>
                <w:szCs w:val="20"/>
                <w:highlight w:val="none"/>
              </w:rPr>
              <w:t xml:space="preserve">0.51mm </w:t>
            </w:r>
            <w:r>
              <w:rPr>
                <w:rFonts w:hint="eastAsia" w:ascii="宋体" w:hAnsi="宋体" w:eastAsia="宋体" w:cs="宋体"/>
                <w:kern w:val="0"/>
                <w:sz w:val="20"/>
                <w:szCs w:val="20"/>
                <w:highlight w:val="none"/>
              </w:rPr>
              <w:t>全不锈钢超疏水针头</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标配</w:t>
            </w:r>
            <w:r>
              <w:rPr>
                <w:rFonts w:ascii="宋体" w:hAnsi="宋体" w:eastAsia="宋体" w:cs="宋体"/>
                <w:kern w:val="0"/>
                <w:sz w:val="20"/>
                <w:szCs w:val="20"/>
                <w:highlight w:val="none"/>
              </w:rPr>
              <w:t>)</w:t>
            </w:r>
          </w:p>
          <w:p w14:paraId="5CCCF3DC">
            <w:pPr>
              <w:rPr>
                <w:rFonts w:ascii="宋体" w:hAnsi="宋体" w:eastAsia="宋体" w:cs="宋体"/>
                <w:kern w:val="0"/>
                <w:sz w:val="20"/>
                <w:szCs w:val="20"/>
                <w:highlight w:val="none"/>
              </w:rPr>
            </w:pPr>
            <w:r>
              <w:rPr>
                <w:rFonts w:ascii="宋体" w:hAnsi="宋体" w:eastAsia="宋体" w:cs="宋体"/>
                <w:kern w:val="0"/>
                <w:sz w:val="20"/>
                <w:szCs w:val="20"/>
                <w:highlight w:val="none"/>
              </w:rPr>
              <w:t>11.</w:t>
            </w:r>
            <w:r>
              <w:rPr>
                <w:rFonts w:hint="eastAsia" w:ascii="宋体" w:hAnsi="宋体" w:eastAsia="宋体" w:cs="宋体"/>
                <w:kern w:val="0"/>
                <w:sz w:val="20"/>
                <w:szCs w:val="20"/>
                <w:highlight w:val="none"/>
              </w:rPr>
              <w:t>软件</w:t>
            </w:r>
          </w:p>
          <w:p w14:paraId="3D7186B5">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1.1</w:t>
            </w:r>
            <w:r>
              <w:rPr>
                <w:rFonts w:hint="eastAsia" w:ascii="宋体" w:hAnsi="宋体" w:eastAsia="宋体" w:cs="宋体"/>
                <w:kern w:val="0"/>
                <w:sz w:val="20"/>
                <w:szCs w:val="20"/>
                <w:highlight w:val="none"/>
              </w:rPr>
              <w:t>接触角范围：</w:t>
            </w:r>
            <w:r>
              <w:rPr>
                <w:rFonts w:ascii="宋体" w:hAnsi="宋体" w:eastAsia="宋体" w:cs="宋体"/>
                <w:kern w:val="0"/>
                <w:sz w:val="20"/>
                <w:szCs w:val="20"/>
                <w:highlight w:val="none"/>
              </w:rPr>
              <w:t>0</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180</w:t>
            </w:r>
            <w:r>
              <w:rPr>
                <w:rFonts w:hint="eastAsia" w:ascii="宋体" w:hAnsi="宋体" w:eastAsia="宋体" w:cs="宋体"/>
                <w:kern w:val="0"/>
                <w:sz w:val="20"/>
                <w:szCs w:val="20"/>
                <w:highlight w:val="none"/>
              </w:rPr>
              <w:t>°</w:t>
            </w:r>
          </w:p>
          <w:p w14:paraId="62E174A7">
            <w:pPr>
              <w:rPr>
                <w:rFonts w:ascii="宋体" w:hAnsi="宋体" w:eastAsia="宋体" w:cs="宋体"/>
                <w:kern w:val="0"/>
                <w:sz w:val="20"/>
                <w:szCs w:val="20"/>
                <w:highlight w:val="none"/>
              </w:rPr>
            </w:pPr>
            <w:r>
              <w:rPr>
                <w:rFonts w:ascii="宋体" w:hAnsi="宋体" w:eastAsia="宋体" w:cs="宋体"/>
                <w:kern w:val="0"/>
                <w:sz w:val="20"/>
                <w:szCs w:val="20"/>
                <w:highlight w:val="none"/>
              </w:rPr>
              <w:t>11.2</w:t>
            </w:r>
            <w:r>
              <w:rPr>
                <w:rFonts w:hint="eastAsia" w:ascii="宋体" w:hAnsi="宋体" w:eastAsia="宋体" w:cs="宋体"/>
                <w:kern w:val="0"/>
                <w:sz w:val="20"/>
                <w:szCs w:val="20"/>
                <w:highlight w:val="none"/>
              </w:rPr>
              <w:t>分辨率：≥</w:t>
            </w:r>
            <w:r>
              <w:rPr>
                <w:rFonts w:ascii="宋体" w:hAnsi="宋体" w:eastAsia="宋体" w:cs="宋体"/>
                <w:kern w:val="0"/>
                <w:sz w:val="20"/>
                <w:szCs w:val="20"/>
                <w:highlight w:val="none"/>
              </w:rPr>
              <w:t>0.01</w:t>
            </w:r>
            <w:r>
              <w:rPr>
                <w:rFonts w:hint="eastAsia" w:ascii="宋体" w:hAnsi="宋体" w:eastAsia="宋体" w:cs="宋体"/>
                <w:kern w:val="0"/>
                <w:sz w:val="20"/>
                <w:szCs w:val="20"/>
                <w:highlight w:val="none"/>
              </w:rPr>
              <w:t>°</w:t>
            </w:r>
          </w:p>
          <w:p w14:paraId="646E6B88">
            <w:pPr>
              <w:rPr>
                <w:rFonts w:ascii="宋体" w:hAnsi="宋体" w:eastAsia="宋体" w:cs="宋体"/>
                <w:kern w:val="0"/>
                <w:sz w:val="20"/>
                <w:szCs w:val="20"/>
                <w:highlight w:val="none"/>
              </w:rPr>
            </w:pPr>
            <w:r>
              <w:rPr>
                <w:rFonts w:ascii="宋体" w:hAnsi="宋体" w:eastAsia="宋体" w:cs="宋体"/>
                <w:kern w:val="0"/>
                <w:sz w:val="22"/>
                <w:highlight w:val="none"/>
              </w:rPr>
              <w:t>11.3</w:t>
            </w:r>
            <w:r>
              <w:rPr>
                <w:rFonts w:hint="eastAsia" w:ascii="宋体" w:hAnsi="宋体" w:eastAsia="宋体" w:cs="宋体"/>
                <w:kern w:val="0"/>
                <w:sz w:val="20"/>
                <w:szCs w:val="20"/>
                <w:highlight w:val="none"/>
              </w:rPr>
              <w:t>接触角测量方式：全自动、半自动、手动</w:t>
            </w:r>
          </w:p>
          <w:p w14:paraId="11ED7773">
            <w:pPr>
              <w:rPr>
                <w:rFonts w:ascii="宋体" w:hAnsi="宋体" w:eastAsia="宋体" w:cs="宋体"/>
                <w:kern w:val="0"/>
                <w:sz w:val="20"/>
                <w:szCs w:val="20"/>
                <w:highlight w:val="none"/>
              </w:rPr>
            </w:pPr>
            <w:r>
              <w:rPr>
                <w:rFonts w:ascii="宋体" w:hAnsi="宋体" w:eastAsia="宋体" w:cs="宋体"/>
                <w:kern w:val="0"/>
                <w:sz w:val="20"/>
                <w:szCs w:val="20"/>
                <w:highlight w:val="none"/>
              </w:rPr>
              <w:t>11.4配滚动角测量平台</w:t>
            </w:r>
          </w:p>
          <w:p w14:paraId="18FE0C1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分析方式：悬滴法、停滴法（</w:t>
            </w:r>
            <w:r>
              <w:rPr>
                <w:rFonts w:ascii="宋体" w:hAnsi="宋体" w:eastAsia="宋体" w:cs="宋体"/>
                <w:kern w:val="0"/>
                <w:sz w:val="20"/>
                <w:szCs w:val="20"/>
                <w:highlight w:val="none"/>
              </w:rPr>
              <w:t xml:space="preserve">2/3 </w:t>
            </w:r>
            <w:r>
              <w:rPr>
                <w:rFonts w:hint="eastAsia" w:ascii="宋体" w:hAnsi="宋体" w:eastAsia="宋体" w:cs="宋体"/>
                <w:kern w:val="0"/>
                <w:sz w:val="20"/>
                <w:szCs w:val="20"/>
                <w:highlight w:val="none"/>
              </w:rPr>
              <w:t>态）、气泡捕获法、座滴法、座针法、插板法等</w:t>
            </w:r>
          </w:p>
          <w:p w14:paraId="76B999F0">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2.1</w:t>
            </w:r>
            <w:r>
              <w:rPr>
                <w:rFonts w:hint="eastAsia" w:ascii="宋体" w:hAnsi="宋体" w:eastAsia="宋体" w:cs="宋体"/>
                <w:kern w:val="0"/>
                <w:sz w:val="20"/>
                <w:szCs w:val="20"/>
                <w:highlight w:val="none"/>
              </w:rPr>
              <w:t>分析方法：静态分析、自动增液缩液动态分析、润湿动态分析、实时分析、双边分析、前进后退角分析等</w:t>
            </w:r>
          </w:p>
          <w:p w14:paraId="245F7633">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2"/>
                <w:highlight w:val="none"/>
              </w:rPr>
              <w:t>12.2</w:t>
            </w:r>
            <w:r>
              <w:rPr>
                <w:rFonts w:hint="eastAsia" w:ascii="宋体" w:hAnsi="宋体" w:eastAsia="宋体" w:cs="宋体"/>
                <w:kern w:val="0"/>
                <w:sz w:val="20"/>
                <w:szCs w:val="20"/>
                <w:highlight w:val="none"/>
              </w:rPr>
              <w:t>测试方法：圆法、椭圆</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斜椭圆法、微分圆</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微分椭圆法、</w:t>
            </w:r>
            <w:r>
              <w:rPr>
                <w:rFonts w:ascii="宋体" w:hAnsi="宋体" w:eastAsia="宋体" w:cs="宋体"/>
                <w:kern w:val="0"/>
                <w:sz w:val="20"/>
                <w:szCs w:val="20"/>
                <w:highlight w:val="none"/>
              </w:rPr>
              <w:t>Young-lapalace</w:t>
            </w:r>
            <w:r>
              <w:rPr>
                <w:rFonts w:hint="eastAsia" w:ascii="宋体" w:hAnsi="宋体" w:eastAsia="宋体" w:cs="宋体"/>
                <w:kern w:val="0"/>
                <w:sz w:val="20"/>
                <w:szCs w:val="20"/>
                <w:highlight w:val="none"/>
              </w:rPr>
              <w:t>、宽高法、切线法、区间法等</w:t>
            </w:r>
          </w:p>
          <w:p w14:paraId="0834E5F9">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2"/>
                <w:highlight w:val="none"/>
              </w:rPr>
              <w:t>12.3</w:t>
            </w:r>
            <w:r>
              <w:rPr>
                <w:rFonts w:hint="eastAsia" w:ascii="宋体" w:hAnsi="宋体" w:eastAsia="宋体" w:cs="宋体"/>
                <w:kern w:val="0"/>
                <w:sz w:val="20"/>
                <w:szCs w:val="20"/>
                <w:highlight w:val="none"/>
              </w:rPr>
              <w:t>表面自由能测试方法：</w:t>
            </w:r>
            <w:r>
              <w:rPr>
                <w:rFonts w:ascii="宋体" w:hAnsi="宋体" w:eastAsia="宋体" w:cs="宋体"/>
                <w:kern w:val="0"/>
                <w:sz w:val="20"/>
                <w:szCs w:val="20"/>
                <w:highlight w:val="none"/>
              </w:rPr>
              <w:t>Zisman</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OWRK</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WU</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WU 2</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Fowkes</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Antonow</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Berthelot</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EOS</w:t>
            </w:r>
            <w:r>
              <w:rPr>
                <w:rFonts w:hint="eastAsia" w:ascii="宋体" w:hAnsi="宋体" w:eastAsia="宋体" w:cs="宋体"/>
                <w:kern w:val="0"/>
                <w:sz w:val="20"/>
                <w:szCs w:val="20"/>
                <w:highlight w:val="none"/>
              </w:rPr>
              <w:t>、粘附功、浸湿功、铺展系数等</w:t>
            </w:r>
          </w:p>
          <w:p w14:paraId="31732A62">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数据处理</w:t>
            </w:r>
          </w:p>
          <w:p w14:paraId="3FDB7061">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3.1</w:t>
            </w:r>
            <w:r>
              <w:rPr>
                <w:rFonts w:hint="eastAsia" w:ascii="宋体" w:hAnsi="宋体" w:eastAsia="宋体" w:cs="宋体"/>
                <w:kern w:val="0"/>
                <w:sz w:val="20"/>
                <w:szCs w:val="20"/>
                <w:highlight w:val="none"/>
              </w:rPr>
              <w:t>输出方式：自动生成，可导出</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 xml:space="preserve">打印 </w:t>
            </w:r>
            <w:r>
              <w:rPr>
                <w:rFonts w:ascii="宋体" w:hAnsi="宋体" w:eastAsia="宋体" w:cs="宋体"/>
                <w:kern w:val="0"/>
                <w:sz w:val="20"/>
                <w:szCs w:val="20"/>
                <w:highlight w:val="none"/>
              </w:rPr>
              <w:t>EXCEL</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Word</w:t>
            </w:r>
            <w:r>
              <w:rPr>
                <w:rFonts w:hint="eastAsia" w:ascii="宋体" w:hAnsi="宋体" w:eastAsia="宋体" w:cs="宋体"/>
                <w:kern w:val="0"/>
                <w:sz w:val="20"/>
                <w:szCs w:val="20"/>
                <w:highlight w:val="none"/>
              </w:rPr>
              <w:t>、谱图等多种报告格式</w:t>
            </w:r>
          </w:p>
          <w:p w14:paraId="4F368FE5">
            <w:pPr>
              <w:rPr>
                <w:rFonts w:ascii="宋体" w:hAnsi="宋体" w:eastAsia="宋体" w:cs="宋体"/>
                <w:kern w:val="0"/>
                <w:sz w:val="20"/>
                <w:szCs w:val="20"/>
              </w:rPr>
            </w:pPr>
            <w:r>
              <w:rPr>
                <w:rFonts w:hint="eastAsia" w:ascii="宋体" w:hAnsi="宋体" w:eastAsia="宋体" w:cs="宋体"/>
                <w:kern w:val="0"/>
                <w:sz w:val="20"/>
                <w:szCs w:val="20"/>
                <w:highlight w:val="none"/>
              </w:rPr>
              <w:t>1</w:t>
            </w:r>
            <w:r>
              <w:rPr>
                <w:rFonts w:ascii="宋体" w:hAnsi="宋体" w:eastAsia="宋体" w:cs="宋体"/>
                <w:kern w:val="0"/>
                <w:sz w:val="20"/>
                <w:szCs w:val="20"/>
                <w:highlight w:val="none"/>
              </w:rPr>
              <w:t>4.配工作站：</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inter300处理器/</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8G内存/</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256GB固态硬盘/</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集成显卡/</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21.5寸显示器</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1920*1080/标配键鼠//配套软件安装及实验人员操作培训</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A571383">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566D75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89EA5F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核心产品</w:t>
            </w:r>
          </w:p>
        </w:tc>
      </w:tr>
      <w:tr w14:paraId="392FF960">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66ED2961">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68D062ED">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酶标仪</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27B5054C">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ascii="宋体" w:hAnsi="宋体" w:eastAsia="宋体" w:cs="宋体"/>
                <w:kern w:val="0"/>
                <w:sz w:val="20"/>
                <w:szCs w:val="20"/>
                <w:highlight w:val="none"/>
              </w:rPr>
              <w:t>1.功能：具有光吸收、荧光顶底读、</w:t>
            </w:r>
            <w:r>
              <w:rPr>
                <w:rFonts w:hint="eastAsia" w:ascii="宋体" w:hAnsi="宋体" w:eastAsia="宋体" w:cs="宋体"/>
                <w:kern w:val="0"/>
                <w:sz w:val="20"/>
                <w:szCs w:val="20"/>
                <w:highlight w:val="none"/>
              </w:rPr>
              <w:t>时间分辨荧光检测、化学发光检测和荧光偏振检测</w:t>
            </w:r>
            <w:r>
              <w:rPr>
                <w:rFonts w:ascii="宋体" w:hAnsi="宋体" w:eastAsia="宋体" w:cs="宋体"/>
                <w:kern w:val="0"/>
                <w:sz w:val="20"/>
                <w:szCs w:val="20"/>
                <w:highlight w:val="none"/>
              </w:rPr>
              <w:t>等功能。</w:t>
            </w:r>
          </w:p>
          <w:p w14:paraId="25F6E6B8">
            <w:pPr>
              <w:rPr>
                <w:rFonts w:ascii="宋体" w:hAnsi="宋体" w:eastAsia="宋体" w:cs="宋体"/>
                <w:kern w:val="0"/>
                <w:sz w:val="20"/>
                <w:szCs w:val="20"/>
                <w:highlight w:val="none"/>
              </w:rPr>
            </w:pPr>
            <w:r>
              <w:rPr>
                <w:rFonts w:ascii="宋体" w:hAnsi="宋体" w:eastAsia="宋体" w:cs="宋体"/>
                <w:kern w:val="0"/>
                <w:sz w:val="20"/>
                <w:szCs w:val="20"/>
                <w:highlight w:val="none"/>
              </w:rPr>
              <w:t>2.硬件设计：功能任意组合；至少包括光吸收、荧光和发光模块光源、光路及检测器等。</w:t>
            </w:r>
          </w:p>
          <w:p w14:paraId="167DB003">
            <w:pPr>
              <w:rPr>
                <w:rFonts w:ascii="宋体" w:hAnsi="宋体" w:eastAsia="宋体" w:cs="宋体"/>
                <w:kern w:val="0"/>
                <w:sz w:val="20"/>
                <w:szCs w:val="20"/>
                <w:highlight w:val="none"/>
              </w:rPr>
            </w:pPr>
            <w:r>
              <w:rPr>
                <w:rFonts w:ascii="宋体" w:hAnsi="宋体" w:eastAsia="宋体" w:cs="宋体"/>
                <w:kern w:val="0"/>
                <w:sz w:val="20"/>
                <w:szCs w:val="20"/>
                <w:highlight w:val="none"/>
              </w:rPr>
              <w:t>3.分光系统：至少具有</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四光栅光路，激发和发射分别大于等于双光栅，杂光率≤0.0005%</w:t>
            </w:r>
            <w:r>
              <w:rPr>
                <w:rFonts w:hint="eastAsia" w:ascii="宋体" w:hAnsi="宋体" w:eastAsia="宋体" w:cs="宋体"/>
                <w:kern w:val="0"/>
                <w:sz w:val="20"/>
                <w:szCs w:val="20"/>
                <w:highlight w:val="none"/>
              </w:rPr>
              <w:t>；或光谱仪与滤光片混合光路系统。</w:t>
            </w:r>
          </w:p>
          <w:p w14:paraId="124A0E8F">
            <w:pPr>
              <w:rPr>
                <w:rFonts w:ascii="宋体" w:hAnsi="宋体" w:eastAsia="宋体" w:cs="宋体"/>
                <w:kern w:val="0"/>
                <w:sz w:val="20"/>
                <w:szCs w:val="20"/>
                <w:highlight w:val="none"/>
              </w:rPr>
            </w:pPr>
            <w:r>
              <w:rPr>
                <w:rFonts w:ascii="宋体" w:hAnsi="宋体" w:eastAsia="宋体" w:cs="宋体"/>
                <w:kern w:val="0"/>
                <w:sz w:val="20"/>
                <w:szCs w:val="20"/>
                <w:highlight w:val="none"/>
              </w:rPr>
              <w:t>4.板型：适用板型96、384孔板，可自动扫描并定义特殊规格板型,至少包含微量检测板，细胞芯片，比色杯。</w:t>
            </w:r>
          </w:p>
          <w:p w14:paraId="230E4518">
            <w:pPr>
              <w:rPr>
                <w:rFonts w:ascii="宋体" w:hAnsi="宋体" w:eastAsia="宋体" w:cs="宋体"/>
                <w:kern w:val="0"/>
                <w:sz w:val="20"/>
                <w:szCs w:val="20"/>
                <w:highlight w:val="none"/>
              </w:rPr>
            </w:pPr>
            <w:r>
              <w:rPr>
                <w:rFonts w:ascii="宋体" w:hAnsi="宋体" w:eastAsia="宋体" w:cs="宋体"/>
                <w:kern w:val="0"/>
                <w:sz w:val="20"/>
                <w:szCs w:val="20"/>
                <w:highlight w:val="none"/>
              </w:rPr>
              <w:t>5.检测光源：光吸收和荧光使用闪烁氙灯，使用寿命≥110次闪烁。</w:t>
            </w:r>
          </w:p>
          <w:p w14:paraId="1415E424">
            <w:pPr>
              <w:rPr>
                <w:rFonts w:ascii="宋体" w:hAnsi="宋体" w:eastAsia="宋体" w:cs="宋体"/>
                <w:kern w:val="0"/>
                <w:sz w:val="20"/>
                <w:szCs w:val="20"/>
                <w:highlight w:val="none"/>
              </w:rPr>
            </w:pPr>
            <w:r>
              <w:rPr>
                <w:rFonts w:ascii="宋体" w:hAnsi="宋体" w:eastAsia="宋体" w:cs="宋体"/>
                <w:kern w:val="0"/>
                <w:sz w:val="20"/>
                <w:szCs w:val="20"/>
                <w:highlight w:val="none"/>
              </w:rPr>
              <w:t>6.检测器：≥</w:t>
            </w:r>
            <w:r>
              <w:rPr>
                <w:rFonts w:hint="eastAsia" w:ascii="宋体" w:hAnsi="宋体" w:eastAsia="宋体" w:cs="宋体"/>
                <w:kern w:val="0"/>
                <w:sz w:val="20"/>
                <w:szCs w:val="20"/>
                <w:highlight w:val="none"/>
              </w:rPr>
              <w:t xml:space="preserve"> 2</w:t>
            </w:r>
            <w:r>
              <w:rPr>
                <w:rFonts w:ascii="宋体" w:hAnsi="宋体" w:eastAsia="宋体" w:cs="宋体"/>
                <w:kern w:val="0"/>
                <w:sz w:val="20"/>
                <w:szCs w:val="20"/>
                <w:highlight w:val="none"/>
              </w:rPr>
              <w:t>个</w:t>
            </w:r>
            <w:r>
              <w:rPr>
                <w:rFonts w:hint="eastAsia" w:ascii="宋体" w:hAnsi="宋体" w:eastAsia="宋体" w:cs="宋体"/>
                <w:kern w:val="0"/>
                <w:sz w:val="20"/>
                <w:szCs w:val="20"/>
                <w:highlight w:val="none"/>
              </w:rPr>
              <w:t>，至少包含光电二极管和</w:t>
            </w:r>
            <w:r>
              <w:rPr>
                <w:rFonts w:ascii="宋体" w:hAnsi="宋体" w:eastAsia="宋体" w:cs="宋体"/>
                <w:kern w:val="0"/>
                <w:sz w:val="20"/>
                <w:szCs w:val="20"/>
                <w:highlight w:val="none"/>
              </w:rPr>
              <w:t>PMT</w:t>
            </w:r>
            <w:r>
              <w:rPr>
                <w:rFonts w:hint="eastAsia" w:ascii="宋体" w:hAnsi="宋体" w:eastAsia="宋体" w:cs="宋体"/>
                <w:kern w:val="0"/>
                <w:sz w:val="20"/>
                <w:szCs w:val="20"/>
                <w:highlight w:val="none"/>
              </w:rPr>
              <w:t>检测器。</w:t>
            </w:r>
          </w:p>
          <w:p w14:paraId="79122E67">
            <w:pPr>
              <w:rPr>
                <w:rFonts w:ascii="宋体" w:hAnsi="宋体" w:eastAsia="宋体" w:cs="宋体"/>
                <w:kern w:val="0"/>
                <w:sz w:val="20"/>
                <w:szCs w:val="20"/>
                <w:highlight w:val="none"/>
              </w:rPr>
            </w:pPr>
            <w:r>
              <w:rPr>
                <w:rFonts w:ascii="宋体" w:hAnsi="宋体" w:eastAsia="宋体" w:cs="宋体"/>
                <w:kern w:val="0"/>
                <w:sz w:val="20"/>
                <w:szCs w:val="20"/>
                <w:highlight w:val="none"/>
              </w:rPr>
              <w:t>7.光吸收波长范围：包含200-1000nm（≤1nm步进）。</w:t>
            </w:r>
          </w:p>
          <w:p w14:paraId="518C8022">
            <w:pPr>
              <w:rPr>
                <w:rFonts w:ascii="宋体" w:hAnsi="宋体" w:eastAsia="宋体" w:cs="宋体"/>
                <w:kern w:val="0"/>
                <w:sz w:val="20"/>
                <w:szCs w:val="20"/>
                <w:highlight w:val="none"/>
              </w:rPr>
            </w:pPr>
            <w:r>
              <w:rPr>
                <w:rFonts w:ascii="宋体" w:hAnsi="宋体" w:eastAsia="宋体" w:cs="宋体"/>
                <w:kern w:val="0"/>
                <w:sz w:val="20"/>
                <w:szCs w:val="20"/>
                <w:highlight w:val="none"/>
              </w:rPr>
              <w:t>8.扫描速度：≤ 6 sec。</w:t>
            </w:r>
          </w:p>
          <w:p w14:paraId="66CC1AA2">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9.荧光波长范围：激发波长: 包含230-880nm; 发射波长: 包含280-900nm，≤1nm可调（四光栅）。</w:t>
            </w:r>
          </w:p>
          <w:p w14:paraId="5283DFC4">
            <w:pPr>
              <w:rPr>
                <w:rFonts w:ascii="宋体" w:hAnsi="宋体" w:eastAsia="宋体" w:cs="宋体"/>
                <w:kern w:val="0"/>
                <w:sz w:val="20"/>
                <w:szCs w:val="20"/>
                <w:highlight w:val="none"/>
              </w:rPr>
            </w:pPr>
            <w:r>
              <w:rPr>
                <w:rFonts w:ascii="宋体" w:hAnsi="宋体" w:eastAsia="宋体" w:cs="宋体"/>
                <w:kern w:val="0"/>
                <w:sz w:val="20"/>
                <w:szCs w:val="20"/>
                <w:highlight w:val="none"/>
              </w:rPr>
              <w:t>10.荧光检测限：≤ 0.5 pM荧光素。</w:t>
            </w:r>
          </w:p>
          <w:p w14:paraId="02FF20AF">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11.时间分辨荧光检测灵敏度：≤</w:t>
            </w:r>
            <w:r>
              <w:rPr>
                <w:rFonts w:hint="eastAsia" w:ascii="宋体" w:hAnsi="宋体" w:eastAsia="宋体" w:cs="宋体"/>
                <w:kern w:val="0"/>
                <w:sz w:val="20"/>
                <w:szCs w:val="20"/>
                <w:highlight w:val="none"/>
              </w:rPr>
              <w:t xml:space="preserve"> </w:t>
            </w:r>
            <w:r>
              <w:rPr>
                <w:rFonts w:hint="eastAsia" w:ascii="宋体" w:hAnsi="宋体" w:eastAsia="宋体" w:cs="宋体"/>
                <w:kern w:val="0"/>
                <w:sz w:val="20"/>
                <w:szCs w:val="20"/>
                <w:highlight w:val="none"/>
                <w:lang w:val="en-US" w:eastAsia="zh-CN"/>
              </w:rPr>
              <w:t>3</w:t>
            </w:r>
            <w:r>
              <w:rPr>
                <w:rFonts w:hint="eastAsia" w:ascii="宋体" w:hAnsi="宋体" w:eastAsia="宋体" w:cs="宋体"/>
                <w:kern w:val="0"/>
                <w:sz w:val="20"/>
                <w:szCs w:val="20"/>
                <w:highlight w:val="none"/>
              </w:rPr>
              <w:t xml:space="preserve"> </w:t>
            </w:r>
            <w:r>
              <w:rPr>
                <w:rFonts w:ascii="宋体" w:hAnsi="宋体" w:eastAsia="宋体" w:cs="宋体"/>
                <w:kern w:val="0"/>
                <w:sz w:val="20"/>
                <w:szCs w:val="20"/>
                <w:highlight w:val="none"/>
              </w:rPr>
              <w:t>amol/孔（100μl体系）。 </w:t>
            </w:r>
          </w:p>
          <w:p w14:paraId="5D914349">
            <w:pPr>
              <w:rPr>
                <w:rFonts w:ascii="宋体" w:hAnsi="宋体" w:eastAsia="宋体" w:cs="宋体"/>
                <w:kern w:val="0"/>
                <w:sz w:val="20"/>
                <w:szCs w:val="20"/>
                <w:highlight w:val="none"/>
              </w:rPr>
            </w:pPr>
            <w:r>
              <w:rPr>
                <w:rFonts w:ascii="宋体" w:hAnsi="宋体" w:eastAsia="宋体" w:cs="宋体"/>
                <w:kern w:val="0"/>
                <w:sz w:val="20"/>
                <w:szCs w:val="20"/>
                <w:highlight w:val="none"/>
              </w:rPr>
              <w:t>12.荧光偏振波长扫描：波长选择范围包含300-850nm，</w:t>
            </w:r>
            <w:r>
              <w:rPr>
                <w:rFonts w:hint="eastAsia" w:ascii="宋体" w:hAnsi="宋体" w:eastAsia="宋体" w:cs="宋体"/>
                <w:kern w:val="0"/>
                <w:sz w:val="20"/>
                <w:szCs w:val="20"/>
                <w:highlight w:val="none"/>
              </w:rPr>
              <w:t>灵敏度</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 xml:space="preserve"> 5 mP SD/孔</w:t>
            </w:r>
            <w:r>
              <w:rPr>
                <w:rFonts w:ascii="宋体" w:hAnsi="宋体" w:eastAsia="宋体" w:cs="宋体"/>
                <w:kern w:val="0"/>
                <w:sz w:val="20"/>
                <w:szCs w:val="20"/>
                <w:highlight w:val="none"/>
              </w:rPr>
              <w:t>。</w:t>
            </w:r>
          </w:p>
          <w:p w14:paraId="3CE2968B">
            <w:pPr>
              <w:rPr>
                <w:rFonts w:ascii="宋体" w:hAnsi="宋体" w:eastAsia="宋体" w:cs="宋体"/>
                <w:kern w:val="0"/>
                <w:sz w:val="20"/>
                <w:szCs w:val="20"/>
                <w:highlight w:val="none"/>
              </w:rPr>
            </w:pPr>
            <w:r>
              <w:rPr>
                <w:rFonts w:ascii="宋体" w:hAnsi="宋体" w:eastAsia="宋体" w:cs="宋体"/>
                <w:kern w:val="0"/>
                <w:sz w:val="20"/>
                <w:szCs w:val="20"/>
                <w:highlight w:val="none"/>
              </w:rPr>
              <w:t>13.化学发光模式线性范围：≥10个数量级。</w:t>
            </w:r>
          </w:p>
          <w:p w14:paraId="525C0F78">
            <w:pPr>
              <w:rPr>
                <w:rFonts w:ascii="宋体" w:hAnsi="宋体" w:eastAsia="宋体" w:cs="宋体"/>
                <w:kern w:val="0"/>
                <w:sz w:val="20"/>
                <w:szCs w:val="20"/>
                <w:highlight w:val="none"/>
              </w:rPr>
            </w:pPr>
            <w:r>
              <w:rPr>
                <w:rFonts w:ascii="宋体" w:hAnsi="宋体" w:eastAsia="宋体" w:cs="宋体"/>
                <w:kern w:val="0"/>
                <w:sz w:val="20"/>
                <w:szCs w:val="20"/>
                <w:highlight w:val="none"/>
              </w:rPr>
              <w:t>14.多色发光检测：</w:t>
            </w:r>
            <w:r>
              <w:rPr>
                <w:rFonts w:hint="eastAsia" w:ascii="宋体" w:hAnsi="宋体" w:eastAsia="宋体" w:cs="宋体"/>
                <w:kern w:val="0"/>
                <w:sz w:val="20"/>
                <w:szCs w:val="20"/>
                <w:highlight w:val="none"/>
              </w:rPr>
              <w:t>波长范围</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370-700nm，可使用滤光片进行高灵敏度的发光扫描，发光检测灵敏度</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 xml:space="preserve"> 50 amol/孔</w:t>
            </w:r>
            <w:r>
              <w:rPr>
                <w:rFonts w:ascii="宋体" w:hAnsi="宋体" w:eastAsia="宋体" w:cs="宋体"/>
                <w:kern w:val="0"/>
                <w:sz w:val="20"/>
                <w:szCs w:val="20"/>
                <w:highlight w:val="none"/>
              </w:rPr>
              <w:t>。</w:t>
            </w:r>
          </w:p>
          <w:p w14:paraId="5597C588">
            <w:pPr>
              <w:rPr>
                <w:rFonts w:ascii="宋体" w:hAnsi="宋体" w:eastAsia="宋体" w:cs="宋体"/>
                <w:kern w:val="0"/>
                <w:sz w:val="20"/>
                <w:szCs w:val="20"/>
                <w:highlight w:val="none"/>
              </w:rPr>
            </w:pPr>
            <w:r>
              <w:rPr>
                <w:rFonts w:ascii="宋体" w:hAnsi="宋体" w:eastAsia="宋体" w:cs="宋体"/>
                <w:kern w:val="0"/>
                <w:sz w:val="20"/>
                <w:szCs w:val="20"/>
                <w:highlight w:val="none"/>
              </w:rPr>
              <w:t>15.数据处理及软件：配置电脑1台，≥10代I7处理器，≥8G独立显卡，≥1T硬盘。数据处理及分析软件，至少可以完成定量、定性分析，比率计算，自动绘制标准曲线，酶动力学测定，计算酶动力学参数，自定义公式</w:t>
            </w:r>
            <w:r>
              <w:rPr>
                <w:rFonts w:hint="eastAsia" w:ascii="宋体" w:hAnsi="宋体" w:eastAsia="宋体" w:cs="宋体"/>
                <w:kern w:val="0"/>
                <w:sz w:val="20"/>
                <w:szCs w:val="20"/>
                <w:highlight w:val="none"/>
              </w:rPr>
              <w:t>。</w:t>
            </w:r>
          </w:p>
          <w:p w14:paraId="33F8D7A9">
            <w:pPr>
              <w:rPr>
                <w:rFonts w:ascii="宋体" w:hAnsi="宋体" w:eastAsia="宋体" w:cs="宋体"/>
                <w:kern w:val="0"/>
                <w:sz w:val="20"/>
                <w:szCs w:val="20"/>
                <w:highlight w:val="none"/>
              </w:rPr>
            </w:pPr>
            <w:r>
              <w:rPr>
                <w:rFonts w:ascii="宋体" w:hAnsi="宋体" w:eastAsia="宋体" w:cs="宋体"/>
                <w:kern w:val="0"/>
                <w:sz w:val="20"/>
                <w:szCs w:val="20"/>
                <w:highlight w:val="none"/>
              </w:rPr>
              <w:t>16.配置清单</w:t>
            </w:r>
          </w:p>
          <w:p w14:paraId="0A324B14">
            <w:pPr>
              <w:rPr>
                <w:rFonts w:eastAsia="宋体" w:cs="Times New Roman"/>
                <w:highlight w:val="none"/>
              </w:rPr>
            </w:pPr>
            <w:r>
              <w:rPr>
                <w:rFonts w:ascii="宋体" w:hAnsi="宋体" w:eastAsia="宋体" w:cs="宋体"/>
                <w:kern w:val="0"/>
                <w:sz w:val="20"/>
                <w:szCs w:val="20"/>
                <w:highlight w:val="none"/>
              </w:rPr>
              <w:t>a)主机1台；</w:t>
            </w:r>
          </w:p>
          <w:p w14:paraId="28700952">
            <w:pPr>
              <w:rPr>
                <w:rFonts w:ascii="宋体" w:hAnsi="宋体" w:eastAsia="宋体" w:cs="宋体"/>
                <w:kern w:val="0"/>
                <w:sz w:val="20"/>
                <w:szCs w:val="20"/>
                <w:highlight w:val="none"/>
              </w:rPr>
            </w:pPr>
            <w:r>
              <w:rPr>
                <w:rFonts w:ascii="宋体" w:hAnsi="宋体" w:eastAsia="宋体" w:cs="宋体"/>
                <w:kern w:val="0"/>
                <w:sz w:val="20"/>
                <w:szCs w:val="20"/>
                <w:highlight w:val="none"/>
              </w:rPr>
              <w:t>b)</w:t>
            </w:r>
            <w:r>
              <w:rPr>
                <w:rFonts w:hint="eastAsia" w:ascii="宋体" w:hAnsi="宋体" w:eastAsia="宋体" w:cs="宋体"/>
                <w:kern w:val="0"/>
                <w:sz w:val="20"/>
                <w:szCs w:val="20"/>
                <w:highlight w:val="none"/>
              </w:rPr>
              <w:t>超微量检测和</w:t>
            </w:r>
            <w:r>
              <w:rPr>
                <w:rFonts w:ascii="宋体" w:hAnsi="宋体" w:eastAsia="宋体" w:cs="宋体"/>
                <w:kern w:val="0"/>
                <w:sz w:val="20"/>
                <w:szCs w:val="20"/>
                <w:highlight w:val="none"/>
              </w:rPr>
              <w:t>卧式比色杯模块 1个；</w:t>
            </w:r>
          </w:p>
          <w:p w14:paraId="60D6B3C8">
            <w:pPr>
              <w:rPr>
                <w:rFonts w:ascii="仿宋_GB2312" w:hAnsi="Calibri" w:eastAsia="仿宋_GB2312" w:cs="仿宋_GB2312"/>
                <w:color w:val="000000"/>
                <w:sz w:val="20"/>
                <w:szCs w:val="20"/>
                <w:highlight w:val="none"/>
              </w:rPr>
            </w:pPr>
            <w:r>
              <w:rPr>
                <w:rFonts w:ascii="宋体" w:hAnsi="宋体" w:eastAsia="宋体" w:cs="宋体"/>
                <w:kern w:val="0"/>
                <w:sz w:val="20"/>
                <w:szCs w:val="20"/>
                <w:highlight w:val="none"/>
              </w:rPr>
              <w:t>c)超高速光吸收模块1个；</w:t>
            </w:r>
          </w:p>
          <w:p w14:paraId="5DFF935C">
            <w:pPr>
              <w:rPr>
                <w:rFonts w:ascii="宋体" w:hAnsi="宋体" w:eastAsia="宋体" w:cs="宋体"/>
                <w:kern w:val="0"/>
                <w:sz w:val="20"/>
                <w:szCs w:val="20"/>
                <w:highlight w:val="none"/>
              </w:rPr>
            </w:pPr>
            <w:r>
              <w:rPr>
                <w:rFonts w:ascii="宋体" w:hAnsi="宋体" w:eastAsia="宋体" w:cs="宋体"/>
                <w:kern w:val="0"/>
                <w:sz w:val="20"/>
                <w:szCs w:val="20"/>
                <w:highlight w:val="none"/>
              </w:rPr>
              <w:t>d)高灵敏度荧光顶读模块1个；</w:t>
            </w:r>
          </w:p>
          <w:p w14:paraId="0F89F0AA">
            <w:pPr>
              <w:rPr>
                <w:rFonts w:ascii="宋体" w:hAnsi="宋体" w:eastAsia="宋体" w:cs="宋体"/>
                <w:kern w:val="0"/>
                <w:sz w:val="20"/>
                <w:szCs w:val="20"/>
                <w:highlight w:val="none"/>
              </w:rPr>
            </w:pPr>
            <w:r>
              <w:rPr>
                <w:rFonts w:ascii="宋体" w:hAnsi="宋体" w:eastAsia="宋体" w:cs="宋体"/>
                <w:kern w:val="0"/>
                <w:sz w:val="20"/>
                <w:szCs w:val="20"/>
                <w:highlight w:val="none"/>
              </w:rPr>
              <w:t>e)四光栅光路1套</w:t>
            </w:r>
            <w:r>
              <w:rPr>
                <w:rFonts w:hint="eastAsia" w:ascii="宋体" w:hAnsi="宋体" w:eastAsia="宋体" w:cs="宋体"/>
                <w:kern w:val="0"/>
                <w:sz w:val="20"/>
                <w:szCs w:val="20"/>
                <w:highlight w:val="none"/>
              </w:rPr>
              <w:t>或光谱仪系统1套</w:t>
            </w:r>
            <w:r>
              <w:rPr>
                <w:rFonts w:ascii="宋体" w:hAnsi="宋体" w:eastAsia="宋体" w:cs="宋体"/>
                <w:kern w:val="0"/>
                <w:sz w:val="20"/>
                <w:szCs w:val="20"/>
                <w:highlight w:val="none"/>
              </w:rPr>
              <w:t>；</w:t>
            </w:r>
          </w:p>
          <w:p w14:paraId="0A8E8983">
            <w:pPr>
              <w:rPr>
                <w:rFonts w:ascii="宋体" w:hAnsi="宋体" w:eastAsia="宋体" w:cs="宋体"/>
                <w:kern w:val="0"/>
                <w:sz w:val="20"/>
                <w:szCs w:val="20"/>
                <w:highlight w:val="none"/>
              </w:rPr>
            </w:pPr>
            <w:r>
              <w:rPr>
                <w:rFonts w:ascii="宋体" w:hAnsi="宋体" w:eastAsia="宋体" w:cs="宋体"/>
                <w:kern w:val="0"/>
                <w:sz w:val="20"/>
                <w:szCs w:val="20"/>
                <w:highlight w:val="none"/>
              </w:rPr>
              <w:t>f)高灵敏度荧光底读模块1个；</w:t>
            </w:r>
          </w:p>
          <w:p w14:paraId="42CD4C01">
            <w:pPr>
              <w:rPr>
                <w:rFonts w:ascii="宋体" w:hAnsi="宋体" w:eastAsia="宋体" w:cs="宋体"/>
                <w:kern w:val="0"/>
                <w:sz w:val="20"/>
                <w:szCs w:val="20"/>
                <w:highlight w:val="none"/>
              </w:rPr>
            </w:pPr>
            <w:r>
              <w:rPr>
                <w:rFonts w:ascii="宋体" w:hAnsi="宋体" w:eastAsia="宋体" w:cs="宋体"/>
                <w:kern w:val="0"/>
                <w:sz w:val="20"/>
                <w:szCs w:val="20"/>
                <w:highlight w:val="none"/>
              </w:rPr>
              <w:t>g)时间分辨荧光检测模</w:t>
            </w:r>
            <w:r>
              <w:rPr>
                <w:rFonts w:hint="eastAsia" w:ascii="宋体" w:hAnsi="宋体" w:eastAsia="宋体" w:cs="宋体"/>
                <w:kern w:val="0"/>
                <w:sz w:val="20"/>
                <w:szCs w:val="20"/>
                <w:highlight w:val="none"/>
              </w:rPr>
              <w:t>块</w:t>
            </w:r>
            <w:r>
              <w:rPr>
                <w:rFonts w:ascii="宋体" w:hAnsi="宋体" w:eastAsia="宋体" w:cs="宋体"/>
                <w:kern w:val="0"/>
                <w:sz w:val="20"/>
                <w:szCs w:val="20"/>
                <w:highlight w:val="none"/>
              </w:rPr>
              <w:t>1个；</w:t>
            </w:r>
          </w:p>
          <w:p w14:paraId="19A461B2">
            <w:pPr>
              <w:rPr>
                <w:rFonts w:ascii="宋体" w:hAnsi="宋体" w:eastAsia="宋体" w:cs="宋体"/>
                <w:kern w:val="0"/>
                <w:sz w:val="20"/>
                <w:szCs w:val="20"/>
                <w:highlight w:val="none"/>
              </w:rPr>
            </w:pPr>
            <w:r>
              <w:rPr>
                <w:rFonts w:ascii="宋体" w:hAnsi="宋体" w:eastAsia="宋体" w:cs="宋体"/>
                <w:kern w:val="0"/>
                <w:sz w:val="20"/>
                <w:szCs w:val="20"/>
                <w:highlight w:val="none"/>
              </w:rPr>
              <w:t>h)高灵敏度化学发光模块1个；</w:t>
            </w:r>
          </w:p>
          <w:p w14:paraId="75A3EC9E">
            <w:pPr>
              <w:rPr>
                <w:rFonts w:ascii="宋体" w:hAnsi="宋体" w:eastAsia="宋体" w:cs="宋体"/>
                <w:kern w:val="0"/>
                <w:sz w:val="20"/>
                <w:szCs w:val="20"/>
                <w:highlight w:val="none"/>
              </w:rPr>
            </w:pPr>
            <w:r>
              <w:rPr>
                <w:rFonts w:ascii="宋体" w:hAnsi="宋体" w:eastAsia="宋体" w:cs="宋体"/>
                <w:kern w:val="0"/>
                <w:sz w:val="20"/>
                <w:szCs w:val="20"/>
                <w:highlight w:val="none"/>
              </w:rPr>
              <w:t>i)</w:t>
            </w:r>
            <w:r>
              <w:rPr>
                <w:rFonts w:hint="eastAsia" w:ascii="宋体" w:hAnsi="宋体" w:eastAsia="宋体" w:cs="宋体"/>
                <w:kern w:val="0"/>
                <w:sz w:val="20"/>
                <w:szCs w:val="20"/>
                <w:highlight w:val="none"/>
              </w:rPr>
              <w:t>荧光偏振检测模块1个；</w:t>
            </w:r>
          </w:p>
          <w:p w14:paraId="7C5BBF8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g)</w:t>
            </w:r>
            <w:r>
              <w:rPr>
                <w:rFonts w:ascii="宋体" w:hAnsi="宋体" w:eastAsia="宋体" w:cs="宋体"/>
                <w:kern w:val="0"/>
                <w:sz w:val="20"/>
                <w:szCs w:val="20"/>
                <w:highlight w:val="none"/>
              </w:rPr>
              <w:t>配工作站：</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 IS-12500 </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 xml:space="preserve">16GB内存 </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256G固态硬盘 集成显卡/P24VG，预装配套软件系统</w:t>
            </w:r>
          </w:p>
          <w:p w14:paraId="6333B8BA">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k</w:t>
            </w:r>
            <w:r>
              <w:rPr>
                <w:rFonts w:ascii="宋体" w:hAnsi="宋体" w:eastAsia="宋体" w:cs="宋体"/>
                <w:kern w:val="0"/>
                <w:sz w:val="20"/>
                <w:szCs w:val="20"/>
                <w:highlight w:val="none"/>
              </w:rPr>
              <w:t>)移液枪30-300μL多通道两套；0.1-2.5μL单通道可调节两套；0.5-10μL单通道可调节两套；10-100μL单通道可调节两套</w:t>
            </w:r>
          </w:p>
          <w:p w14:paraId="1CBE6F6D">
            <w:pPr>
              <w:rPr>
                <w:rFonts w:ascii="宋体" w:hAnsi="宋体" w:eastAsia="宋体" w:cs="宋体"/>
                <w:kern w:val="0"/>
                <w:sz w:val="20"/>
                <w:szCs w:val="20"/>
                <w:highlight w:val="none"/>
              </w:rPr>
            </w:pPr>
            <w:r>
              <w:rPr>
                <w:rFonts w:ascii="宋体" w:hAnsi="宋体" w:eastAsia="宋体" w:cs="宋体"/>
                <w:kern w:val="0"/>
                <w:sz w:val="20"/>
                <w:szCs w:val="20"/>
                <w:highlight w:val="none"/>
              </w:rPr>
              <w:t>17.拓展性：后续可升级功能</w:t>
            </w:r>
            <w:r>
              <w:rPr>
                <w:rFonts w:hint="eastAsia" w:ascii="宋体" w:hAnsi="宋体" w:eastAsia="宋体" w:cs="宋体"/>
                <w:kern w:val="0"/>
                <w:sz w:val="20"/>
                <w:szCs w:val="20"/>
                <w:highlight w:val="none"/>
              </w:rPr>
              <w:t>，并承担接入医院网络相关接口费用</w:t>
            </w:r>
          </w:p>
          <w:p w14:paraId="3238DFB0">
            <w:pPr>
              <w:rPr>
                <w:rFonts w:ascii="宋体" w:hAnsi="宋体" w:eastAsia="宋体" w:cs="宋体"/>
                <w:color w:val="000000"/>
                <w:sz w:val="20"/>
                <w:szCs w:val="20"/>
              </w:rPr>
            </w:pPr>
            <w:r>
              <w:rPr>
                <w:rFonts w:ascii="宋体" w:hAnsi="宋体" w:eastAsia="宋体" w:cs="宋体"/>
                <w:kern w:val="0"/>
                <w:sz w:val="20"/>
                <w:szCs w:val="20"/>
                <w:highlight w:val="none"/>
              </w:rPr>
              <w:t>18.</w:t>
            </w:r>
            <w:r>
              <w:rPr>
                <w:rFonts w:hint="eastAsia" w:ascii="宋体" w:hAnsi="宋体" w:eastAsia="宋体" w:cs="宋体"/>
                <w:kern w:val="0"/>
                <w:sz w:val="20"/>
                <w:szCs w:val="20"/>
                <w:highlight w:val="none"/>
              </w:rPr>
              <w:t>售后服务，服务要求如下</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1.针对所售产品提供安装、调试和操作技术培训，至所有操作人员会用为止，提供具体详细培训方案</w:t>
            </w:r>
            <w:r>
              <w:rPr>
                <w:rFonts w:ascii="宋体" w:hAnsi="宋体" w:eastAsia="宋体" w:cs="宋体"/>
                <w:kern w:val="0"/>
                <w:sz w:val="20"/>
                <w:szCs w:val="20"/>
                <w:highlight w:val="none"/>
              </w:rPr>
              <w:t>；2.配件及仪器质保一年</w:t>
            </w:r>
            <w:r>
              <w:rPr>
                <w:rFonts w:hint="eastAsia" w:ascii="宋体" w:hAnsi="宋体" w:eastAsia="宋体" w:cs="宋体"/>
                <w:kern w:val="0"/>
                <w:sz w:val="20"/>
                <w:szCs w:val="20"/>
                <w:highlight w:val="none"/>
              </w:rPr>
              <w:t>。</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949F710">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664684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AAAAA8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核心产品</w:t>
            </w:r>
          </w:p>
        </w:tc>
      </w:tr>
      <w:tr w14:paraId="4943435F">
        <w:tblPrEx>
          <w:tblCellMar>
            <w:top w:w="0" w:type="dxa"/>
            <w:left w:w="108" w:type="dxa"/>
            <w:bottom w:w="0" w:type="dxa"/>
            <w:right w:w="108" w:type="dxa"/>
          </w:tblCellMar>
        </w:tblPrEx>
        <w:trPr>
          <w:trHeight w:val="83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39514E60">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59476702">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冰箱</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6F5DF7D4">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1.能效等级：一级能效</w:t>
            </w:r>
          </w:p>
          <w:p w14:paraId="013410AA">
            <w:pPr>
              <w:rPr>
                <w:rFonts w:ascii="宋体" w:hAnsi="宋体" w:eastAsia="宋体" w:cs="宋体"/>
                <w:kern w:val="0"/>
                <w:sz w:val="20"/>
                <w:szCs w:val="20"/>
              </w:rPr>
            </w:pPr>
            <w:r>
              <w:rPr>
                <w:rFonts w:hint="eastAsia" w:ascii="宋体" w:hAnsi="宋体" w:eastAsia="宋体" w:cs="宋体"/>
                <w:kern w:val="0"/>
                <w:sz w:val="20"/>
                <w:szCs w:val="20"/>
                <w:highlight w:val="none"/>
              </w:rPr>
              <w:t>2.</w:t>
            </w:r>
            <w:r>
              <w:rPr>
                <w:rFonts w:hint="eastAsia" w:ascii="宋体" w:hAnsi="宋体" w:eastAsia="宋体" w:cs="宋体"/>
                <w:kern w:val="0"/>
                <w:sz w:val="20"/>
                <w:szCs w:val="20"/>
              </w:rPr>
              <w:t>变频/定频：变频</w:t>
            </w:r>
          </w:p>
          <w:p w14:paraId="6964918A">
            <w:pPr>
              <w:rPr>
                <w:rFonts w:hint="eastAsia" w:ascii="宋体" w:hAnsi="宋体" w:eastAsia="宋体" w:cs="宋体"/>
                <w:kern w:val="0"/>
                <w:sz w:val="20"/>
                <w:szCs w:val="20"/>
              </w:rPr>
            </w:pPr>
            <w:r>
              <w:rPr>
                <w:rFonts w:hint="eastAsia" w:ascii="宋体" w:hAnsi="宋体" w:eastAsia="宋体" w:cs="宋体"/>
                <w:kern w:val="0"/>
                <w:sz w:val="20"/>
                <w:szCs w:val="20"/>
              </w:rPr>
              <w:t>3.门款式：十字门，4个</w:t>
            </w:r>
          </w:p>
          <w:p w14:paraId="0833499E">
            <w:pPr>
              <w:rPr>
                <w:rFonts w:ascii="宋体" w:hAnsi="宋体" w:eastAsia="宋体" w:cs="宋体"/>
                <w:kern w:val="0"/>
                <w:sz w:val="20"/>
                <w:szCs w:val="20"/>
              </w:rPr>
            </w:pPr>
            <w:r>
              <w:rPr>
                <w:rFonts w:hint="eastAsia" w:ascii="宋体" w:hAnsi="宋体" w:eastAsia="宋体" w:cs="宋体"/>
                <w:kern w:val="0"/>
                <w:sz w:val="20"/>
                <w:szCs w:val="20"/>
              </w:rPr>
              <w:t>4.控温方式：电脑控温</w:t>
            </w:r>
          </w:p>
          <w:p w14:paraId="467171C1">
            <w:pPr>
              <w:rPr>
                <w:rFonts w:ascii="宋体" w:hAnsi="宋体" w:eastAsia="宋体" w:cs="宋体"/>
                <w:kern w:val="0"/>
                <w:sz w:val="20"/>
                <w:szCs w:val="20"/>
              </w:rPr>
            </w:pPr>
            <w:r>
              <w:rPr>
                <w:rFonts w:hint="eastAsia" w:ascii="宋体" w:hAnsi="宋体" w:eastAsia="宋体" w:cs="宋体"/>
                <w:kern w:val="0"/>
                <w:sz w:val="20"/>
                <w:szCs w:val="20"/>
              </w:rPr>
              <w:t>5.制冷方式：风冷</w:t>
            </w:r>
          </w:p>
          <w:p w14:paraId="73CB7EE7">
            <w:pPr>
              <w:rPr>
                <w:rFonts w:ascii="宋体" w:hAnsi="宋体" w:eastAsia="宋体" w:cs="宋体"/>
                <w:kern w:val="0"/>
                <w:sz w:val="20"/>
                <w:szCs w:val="20"/>
              </w:rPr>
            </w:pPr>
            <w:r>
              <w:rPr>
                <w:rFonts w:hint="eastAsia" w:ascii="宋体" w:hAnsi="宋体" w:eastAsia="宋体" w:cs="宋体"/>
                <w:kern w:val="0"/>
                <w:sz w:val="20"/>
                <w:szCs w:val="20"/>
              </w:rPr>
              <w:t>6.宽度：80-85cm</w:t>
            </w:r>
          </w:p>
          <w:p w14:paraId="4EDD83EB">
            <w:pPr>
              <w:rPr>
                <w:rFonts w:ascii="宋体" w:hAnsi="宋体" w:eastAsia="宋体" w:cs="宋体"/>
                <w:kern w:val="0"/>
                <w:sz w:val="20"/>
                <w:szCs w:val="20"/>
              </w:rPr>
            </w:pPr>
            <w:r>
              <w:rPr>
                <w:rFonts w:hint="eastAsia" w:ascii="宋体" w:hAnsi="宋体" w:eastAsia="宋体" w:cs="宋体"/>
                <w:kern w:val="0"/>
                <w:sz w:val="20"/>
                <w:szCs w:val="20"/>
              </w:rPr>
              <w:t>7.主色系：银色系</w:t>
            </w:r>
          </w:p>
          <w:p w14:paraId="7315DCDC">
            <w:pPr>
              <w:rPr>
                <w:rFonts w:hint="eastAsia" w:ascii="宋体" w:hAnsi="宋体" w:eastAsia="宋体" w:cs="宋体"/>
                <w:kern w:val="0"/>
                <w:sz w:val="20"/>
                <w:szCs w:val="20"/>
              </w:rPr>
            </w:pPr>
            <w:r>
              <w:rPr>
                <w:rFonts w:hint="eastAsia" w:ascii="宋体" w:hAnsi="宋体" w:eastAsia="宋体" w:cs="宋体"/>
                <w:kern w:val="0"/>
                <w:sz w:val="20"/>
                <w:szCs w:val="20"/>
              </w:rPr>
              <w:t>8.面板材质：PCM彩涂板</w:t>
            </w:r>
          </w:p>
          <w:p w14:paraId="7E5AE5BB">
            <w:pPr>
              <w:rPr>
                <w:rFonts w:ascii="宋体" w:hAnsi="宋体" w:eastAsia="宋体" w:cs="宋体"/>
                <w:kern w:val="0"/>
                <w:sz w:val="20"/>
                <w:szCs w:val="20"/>
              </w:rPr>
            </w:pPr>
            <w:r>
              <w:rPr>
                <w:rFonts w:hint="eastAsia" w:ascii="宋体" w:hAnsi="宋体" w:eastAsia="宋体" w:cs="宋体"/>
                <w:kern w:val="0"/>
                <w:sz w:val="20"/>
                <w:szCs w:val="20"/>
              </w:rPr>
              <w:t>9.总容积：500-540L</w:t>
            </w:r>
          </w:p>
          <w:p w14:paraId="2B7A80A0">
            <w:pPr>
              <w:rPr>
                <w:rFonts w:ascii="宋体" w:hAnsi="宋体" w:eastAsia="宋体" w:cs="宋体"/>
                <w:kern w:val="0"/>
                <w:sz w:val="20"/>
                <w:szCs w:val="20"/>
              </w:rPr>
            </w:pPr>
            <w:r>
              <w:rPr>
                <w:rFonts w:hint="eastAsia" w:ascii="宋体" w:hAnsi="宋体" w:eastAsia="宋体" w:cs="宋体"/>
                <w:kern w:val="0"/>
                <w:sz w:val="20"/>
                <w:szCs w:val="20"/>
              </w:rPr>
              <w:t>10.放置方式：独立式</w:t>
            </w:r>
          </w:p>
          <w:p w14:paraId="21DEC7C6">
            <w:pPr>
              <w:rPr>
                <w:rFonts w:ascii="宋体" w:hAnsi="宋体" w:eastAsia="宋体" w:cs="宋体"/>
                <w:kern w:val="0"/>
                <w:sz w:val="20"/>
                <w:szCs w:val="20"/>
              </w:rPr>
            </w:pPr>
            <w:r>
              <w:rPr>
                <w:rFonts w:hint="eastAsia" w:ascii="宋体" w:hAnsi="宋体" w:eastAsia="宋体" w:cs="宋体"/>
                <w:kern w:val="0"/>
                <w:sz w:val="20"/>
                <w:szCs w:val="20"/>
              </w:rPr>
              <w:t>11.高度：180-190cm</w:t>
            </w:r>
          </w:p>
          <w:p w14:paraId="565704FB">
            <w:pPr>
              <w:rPr>
                <w:rFonts w:ascii="宋体" w:hAnsi="宋体" w:eastAsia="宋体" w:cs="宋体"/>
                <w:kern w:val="0"/>
                <w:sz w:val="20"/>
                <w:szCs w:val="20"/>
              </w:rPr>
            </w:pPr>
            <w:r>
              <w:rPr>
                <w:rFonts w:hint="eastAsia" w:ascii="宋体" w:hAnsi="宋体" w:eastAsia="宋体" w:cs="宋体"/>
                <w:kern w:val="0"/>
                <w:sz w:val="20"/>
                <w:szCs w:val="20"/>
              </w:rPr>
              <w:t>12.深度：65-70cm</w:t>
            </w:r>
          </w:p>
          <w:p w14:paraId="33A64D3F">
            <w:pPr>
              <w:rPr>
                <w:rFonts w:ascii="宋体" w:hAnsi="宋体" w:eastAsia="宋体" w:cs="宋体"/>
                <w:kern w:val="0"/>
                <w:sz w:val="20"/>
                <w:szCs w:val="20"/>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F753FBD">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783909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A1B32DE">
            <w:pPr>
              <w:widowControl/>
              <w:jc w:val="center"/>
              <w:textAlignment w:val="center"/>
              <w:rPr>
                <w:rFonts w:ascii="宋体" w:hAnsi="宋体" w:eastAsia="宋体" w:cs="宋体"/>
                <w:color w:val="000000"/>
                <w:kern w:val="0"/>
                <w:sz w:val="20"/>
                <w:szCs w:val="20"/>
                <w:lang w:bidi="ar"/>
              </w:rPr>
            </w:pPr>
          </w:p>
        </w:tc>
      </w:tr>
      <w:tr w14:paraId="658F627D">
        <w:tblPrEx>
          <w:tblCellMar>
            <w:top w:w="0" w:type="dxa"/>
            <w:left w:w="108" w:type="dxa"/>
            <w:bottom w:w="0" w:type="dxa"/>
            <w:right w:w="108" w:type="dxa"/>
          </w:tblCellMar>
        </w:tblPrEx>
        <w:trPr>
          <w:trHeight w:val="418"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14:paraId="5E2AE19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184874C0">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高效液相色谱仪</w:t>
            </w:r>
          </w:p>
        </w:tc>
        <w:tc>
          <w:tcPr>
            <w:tcW w:w="6139" w:type="dxa"/>
            <w:tcBorders>
              <w:top w:val="single" w:color="000000" w:sz="4" w:space="0"/>
              <w:left w:val="single" w:color="000000" w:sz="4" w:space="0"/>
              <w:bottom w:val="single" w:color="000000" w:sz="4" w:space="0"/>
              <w:right w:val="single" w:color="000000" w:sz="4" w:space="0"/>
            </w:tcBorders>
            <w:noWrap/>
            <w:vAlign w:val="center"/>
          </w:tcPr>
          <w:p w14:paraId="66CD65C3">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四元梯度泵</w:t>
            </w:r>
          </w:p>
          <w:p w14:paraId="57F66F16">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.1工作原理：并联双柱塞</w:t>
            </w:r>
          </w:p>
          <w:p w14:paraId="02EDD40A">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.2流量范围：0.0001-10.000 mL/min，步进0.0001 mL/min</w:t>
            </w:r>
          </w:p>
          <w:p w14:paraId="4E0C8797">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.3最大压力：≥10000 psi</w:t>
            </w:r>
          </w:p>
          <w:p w14:paraId="237A9A37">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.4流量准确度：±0.1%</w:t>
            </w:r>
          </w:p>
          <w:p w14:paraId="2FACF42D">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.5流量精密度：</w:t>
            </w:r>
            <w:r>
              <w:rPr>
                <w:rFonts w:hint="eastAsia" w:ascii="宋体" w:hAnsi="宋体" w:eastAsia="宋体" w:cs="宋体"/>
                <w:kern w:val="0"/>
                <w:sz w:val="20"/>
                <w:szCs w:val="20"/>
                <w:highlight w:val="none"/>
                <w:lang w:val="en-US" w:eastAsia="zh-CN"/>
              </w:rPr>
              <w:t>&lt;</w:t>
            </w:r>
            <w:r>
              <w:rPr>
                <w:rFonts w:hint="eastAsia" w:ascii="宋体" w:hAnsi="宋体" w:eastAsia="宋体" w:cs="宋体"/>
                <w:kern w:val="0"/>
                <w:sz w:val="20"/>
                <w:szCs w:val="20"/>
                <w:highlight w:val="none"/>
              </w:rPr>
              <w:t xml:space="preserve">0.05% RSD or </w:t>
            </w:r>
            <w:r>
              <w:rPr>
                <w:rFonts w:hint="eastAsia" w:ascii="宋体" w:hAnsi="宋体" w:eastAsia="宋体" w:cs="宋体"/>
                <w:kern w:val="0"/>
                <w:sz w:val="20"/>
                <w:szCs w:val="20"/>
                <w:highlight w:val="none"/>
                <w:lang w:val="en-US" w:eastAsia="zh-CN"/>
              </w:rPr>
              <w:t>&lt;</w:t>
            </w:r>
            <w:r>
              <w:rPr>
                <w:rFonts w:hint="eastAsia" w:ascii="宋体" w:hAnsi="宋体" w:eastAsia="宋体" w:cs="宋体"/>
                <w:kern w:val="0"/>
                <w:sz w:val="20"/>
                <w:szCs w:val="20"/>
                <w:highlight w:val="none"/>
              </w:rPr>
              <w:t>0.01 min SD</w:t>
            </w:r>
          </w:p>
          <w:p w14:paraId="67C45127">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.6梯度准确度：±0.5%（全流域范围内）</w:t>
            </w:r>
          </w:p>
          <w:p w14:paraId="1F49E703">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.7梯度精密度：</w:t>
            </w:r>
            <w:r>
              <w:rPr>
                <w:rFonts w:hint="eastAsia" w:ascii="宋体" w:hAnsi="宋体" w:eastAsia="宋体" w:cs="宋体"/>
                <w:kern w:val="0"/>
                <w:sz w:val="20"/>
                <w:szCs w:val="20"/>
                <w:highlight w:val="none"/>
                <w:lang w:val="en-US" w:eastAsia="zh-CN"/>
              </w:rPr>
              <w:t>&lt;</w:t>
            </w:r>
            <w:r>
              <w:rPr>
                <w:rFonts w:hint="eastAsia" w:ascii="宋体" w:hAnsi="宋体" w:eastAsia="宋体" w:cs="宋体"/>
                <w:kern w:val="0"/>
                <w:sz w:val="20"/>
                <w:szCs w:val="20"/>
                <w:highlight w:val="none"/>
              </w:rPr>
              <w:t xml:space="preserve"> 0.15%SD</w:t>
            </w:r>
          </w:p>
          <w:p w14:paraId="554F741D">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.8泵清洗系统：主动式单独流路清洗柱塞</w:t>
            </w:r>
          </w:p>
          <w:p w14:paraId="3450EEB4">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.9漏液检测：自动监控泵漏液情况和泵清洗液情况</w:t>
            </w:r>
          </w:p>
          <w:p w14:paraId="18989DF6">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.10 溶剂脱气：内置脱气机</w:t>
            </w:r>
          </w:p>
          <w:p w14:paraId="1BA9E450">
            <w:pPr>
              <w:rPr>
                <w:rFonts w:ascii="宋体" w:hAnsi="宋体" w:eastAsia="宋体" w:cs="宋体"/>
                <w:kern w:val="0"/>
                <w:sz w:val="20"/>
                <w:szCs w:val="20"/>
                <w:highlight w:val="none"/>
              </w:rPr>
            </w:pPr>
            <w:r>
              <w:rPr>
                <w:rFonts w:ascii="宋体" w:hAnsi="宋体" w:eastAsia="宋体" w:cs="宋体"/>
                <w:kern w:val="0"/>
                <w:sz w:val="20"/>
                <w:szCs w:val="20"/>
                <w:highlight w:val="none"/>
              </w:rPr>
              <w:t>1</w:t>
            </w:r>
            <w:r>
              <w:rPr>
                <w:rFonts w:hint="eastAsia" w:ascii="宋体" w:hAnsi="宋体" w:eastAsia="宋体" w:cs="宋体"/>
                <w:kern w:val="0"/>
                <w:sz w:val="20"/>
                <w:szCs w:val="20"/>
                <w:highlight w:val="none"/>
              </w:rPr>
              <w:t xml:space="preserve">.11压缩性补偿：全自动，与流动相组成无关 </w:t>
            </w:r>
          </w:p>
          <w:p w14:paraId="1C822297">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自动进样器：</w:t>
            </w:r>
          </w:p>
          <w:p w14:paraId="23554B15">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.1样品瓶位：≥200个2ml样品位</w:t>
            </w:r>
          </w:p>
          <w:p w14:paraId="23EB4938">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.2进样方式：全量进样模式</w:t>
            </w:r>
          </w:p>
          <w:p w14:paraId="48543451">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.3进样体积：0.01~100μL</w:t>
            </w:r>
          </w:p>
          <w:p w14:paraId="0743D389">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.4进样准确度：±0.5%</w:t>
            </w:r>
          </w:p>
          <w:p w14:paraId="651FFEFB">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.5进样量精度：</w:t>
            </w:r>
            <w:r>
              <w:rPr>
                <w:rFonts w:hint="eastAsia" w:ascii="宋体" w:hAnsi="宋体" w:eastAsia="宋体" w:cs="宋体"/>
                <w:kern w:val="0"/>
                <w:sz w:val="20"/>
                <w:szCs w:val="20"/>
                <w:highlight w:val="none"/>
                <w:lang w:val="en-US" w:eastAsia="zh-CN"/>
              </w:rPr>
              <w:t>&lt;</w:t>
            </w:r>
            <w:r>
              <w:rPr>
                <w:rFonts w:hint="eastAsia" w:ascii="宋体" w:hAnsi="宋体" w:eastAsia="宋体" w:cs="宋体"/>
                <w:kern w:val="0"/>
                <w:sz w:val="20"/>
                <w:szCs w:val="20"/>
                <w:highlight w:val="none"/>
              </w:rPr>
              <w:t>0.25% RSD</w:t>
            </w:r>
          </w:p>
          <w:p w14:paraId="1C03A51E">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.6交叉污染：</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 xml:space="preserve">0.0004% </w:t>
            </w:r>
          </w:p>
          <w:p w14:paraId="471A2D39">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.7最大耐压：≥10000 psi</w:t>
            </w:r>
          </w:p>
          <w:p w14:paraId="0709DEC2">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.8自定义进样，可实现去溶剂效应，在线稀释和在线衍生功能</w:t>
            </w:r>
          </w:p>
          <w:p w14:paraId="0701A07A">
            <w:pPr>
              <w:rPr>
                <w:rFonts w:ascii="宋体" w:hAnsi="宋体" w:eastAsia="宋体" w:cs="宋体"/>
                <w:kern w:val="0"/>
                <w:sz w:val="20"/>
                <w:szCs w:val="20"/>
                <w:highlight w:val="none"/>
              </w:rPr>
            </w:pPr>
            <w:r>
              <w:rPr>
                <w:rFonts w:ascii="宋体" w:hAnsi="宋体" w:eastAsia="宋体" w:cs="宋体"/>
                <w:kern w:val="0"/>
                <w:sz w:val="20"/>
                <w:szCs w:val="20"/>
                <w:highlight w:val="none"/>
              </w:rPr>
              <w:t>2</w:t>
            </w:r>
            <w:r>
              <w:rPr>
                <w:rFonts w:hint="eastAsia" w:ascii="宋体" w:hAnsi="宋体" w:eastAsia="宋体" w:cs="宋体"/>
                <w:kern w:val="0"/>
                <w:sz w:val="20"/>
                <w:szCs w:val="20"/>
                <w:highlight w:val="none"/>
              </w:rPr>
              <w:t>.9进样线性：r＞0.99999（咖啡因水溶液）</w:t>
            </w:r>
          </w:p>
          <w:p w14:paraId="4A17651B">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 xml:space="preserve"> 柱温箱</w:t>
            </w:r>
          </w:p>
          <w:p w14:paraId="58D338DA">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.1安全性能：内置温度、湿度、气体传感器，在线监测漏液情况。</w:t>
            </w:r>
          </w:p>
          <w:p w14:paraId="01AF7060">
            <w:pPr>
              <w:rPr>
                <w:rFonts w:ascii="宋体" w:hAnsi="宋体" w:eastAsia="宋体" w:cs="宋体"/>
                <w:kern w:val="0"/>
                <w:sz w:val="20"/>
                <w:szCs w:val="20"/>
                <w:highlight w:val="none"/>
              </w:rPr>
            </w:pPr>
            <w:r>
              <w:rPr>
                <w:rFonts w:hint="eastAsia" w:ascii="宋体" w:hAnsi="宋体" w:eastAsia="宋体" w:cs="宋体"/>
                <w:color w:val="auto"/>
                <w:sz w:val="24"/>
                <w:highlight w:val="none"/>
              </w:rPr>
              <w:t>▲</w:t>
            </w:r>
            <w:r>
              <w:rPr>
                <w:rFonts w:hint="eastAsia" w:ascii="宋体" w:hAnsi="宋体" w:eastAsia="宋体" w:cs="宋体"/>
                <w:kern w:val="0"/>
                <w:sz w:val="22"/>
                <w:highlight w:val="none"/>
              </w:rPr>
              <w:t xml:space="preserve"> </w:t>
            </w: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.2控温原理：帕尔贴双模式温控或强制空气循环控温方式，可制冷。</w:t>
            </w:r>
          </w:p>
          <w:p w14:paraId="76A16E90">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.3温控范围：5~85℃</w:t>
            </w:r>
          </w:p>
          <w:p w14:paraId="38E692E5">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.4温度准确度：±0.5℃</w:t>
            </w:r>
          </w:p>
          <w:p w14:paraId="5864F4F9">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.5温度稳定性：±0.05℃</w:t>
            </w:r>
          </w:p>
          <w:p w14:paraId="77EF35CD">
            <w:pPr>
              <w:rPr>
                <w:rFonts w:ascii="宋体" w:hAnsi="宋体" w:eastAsia="宋体" w:cs="宋体"/>
                <w:kern w:val="0"/>
                <w:sz w:val="20"/>
                <w:szCs w:val="20"/>
                <w:highlight w:val="none"/>
              </w:rPr>
            </w:pPr>
            <w:r>
              <w:rPr>
                <w:rFonts w:ascii="宋体" w:hAnsi="宋体" w:eastAsia="宋体" w:cs="宋体"/>
                <w:kern w:val="0"/>
                <w:sz w:val="20"/>
                <w:szCs w:val="20"/>
                <w:highlight w:val="none"/>
              </w:rPr>
              <w:t>3</w:t>
            </w:r>
            <w:r>
              <w:rPr>
                <w:rFonts w:hint="eastAsia" w:ascii="宋体" w:hAnsi="宋体" w:eastAsia="宋体" w:cs="宋体"/>
                <w:kern w:val="0"/>
                <w:sz w:val="20"/>
                <w:szCs w:val="20"/>
                <w:highlight w:val="none"/>
              </w:rPr>
              <w:t>.6温度精度：≤0.1℃</w:t>
            </w:r>
          </w:p>
          <w:p w14:paraId="550C4998">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 xml:space="preserve"> 二级管阵列检测器：</w:t>
            </w:r>
          </w:p>
          <w:p w14:paraId="6D4E2EC9">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.1</w:t>
            </w:r>
            <w:r>
              <w:rPr>
                <w:rFonts w:hint="eastAsia" w:ascii="宋体" w:hAnsi="宋体" w:eastAsia="宋体" w:cs="宋体"/>
                <w:kern w:val="0"/>
                <w:sz w:val="20"/>
                <w:szCs w:val="20"/>
                <w:highlight w:val="none"/>
              </w:rPr>
              <w:tab/>
            </w:r>
            <w:r>
              <w:rPr>
                <w:rFonts w:hint="eastAsia" w:ascii="宋体" w:hAnsi="宋体" w:eastAsia="宋体" w:cs="宋体"/>
                <w:kern w:val="0"/>
                <w:sz w:val="20"/>
                <w:szCs w:val="20"/>
                <w:highlight w:val="none"/>
              </w:rPr>
              <w:t>光学设计：全息凹面光栅。</w:t>
            </w:r>
          </w:p>
          <w:p w14:paraId="47C9A03B">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.2 二极管数量：1024单元。</w:t>
            </w:r>
          </w:p>
          <w:p w14:paraId="25603801">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.3 波长验证：采用氧化钬滤光片的内部校准</w:t>
            </w:r>
          </w:p>
          <w:p w14:paraId="4BA2617F">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.4 波长范围：190-750 nm</w:t>
            </w:r>
          </w:p>
          <w:p w14:paraId="6F197078">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 xml:space="preserve">.5 噪音：在230 nm处&lt;±3μAU </w:t>
            </w:r>
          </w:p>
          <w:p w14:paraId="1631EC3E">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.6</w:t>
            </w:r>
            <w:r>
              <w:rPr>
                <w:rFonts w:hint="eastAsia" w:ascii="宋体" w:hAnsi="宋体" w:eastAsia="宋体" w:cs="宋体"/>
                <w:kern w:val="0"/>
                <w:sz w:val="20"/>
                <w:szCs w:val="20"/>
                <w:highlight w:val="none"/>
              </w:rPr>
              <w:tab/>
            </w:r>
            <w:r>
              <w:rPr>
                <w:rFonts w:hint="eastAsia" w:ascii="宋体" w:hAnsi="宋体" w:eastAsia="宋体" w:cs="宋体"/>
                <w:kern w:val="0"/>
                <w:sz w:val="20"/>
                <w:szCs w:val="20"/>
                <w:highlight w:val="none"/>
              </w:rPr>
              <w:t>漂移：在 230 nm 处 &lt;0.5 mAU/ 小时</w:t>
            </w:r>
          </w:p>
          <w:p w14:paraId="78820A7A">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.7</w:t>
            </w:r>
            <w:r>
              <w:rPr>
                <w:rFonts w:hint="eastAsia" w:ascii="宋体" w:hAnsi="宋体" w:eastAsia="宋体" w:cs="宋体"/>
                <w:kern w:val="0"/>
                <w:sz w:val="20"/>
                <w:szCs w:val="20"/>
                <w:highlight w:val="none"/>
              </w:rPr>
              <w:tab/>
            </w:r>
            <w:r>
              <w:rPr>
                <w:rFonts w:hint="eastAsia" w:ascii="宋体" w:hAnsi="宋体" w:eastAsia="宋体" w:cs="宋体"/>
                <w:kern w:val="0"/>
                <w:sz w:val="20"/>
                <w:szCs w:val="20"/>
                <w:highlight w:val="none"/>
              </w:rPr>
              <w:t xml:space="preserve">线性：2.0 AU 时 &lt;5% </w:t>
            </w:r>
          </w:p>
          <w:p w14:paraId="0DF3B6E7">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.8</w:t>
            </w:r>
            <w:r>
              <w:rPr>
                <w:rFonts w:hint="eastAsia" w:ascii="宋体" w:hAnsi="宋体" w:eastAsia="宋体" w:cs="宋体"/>
                <w:kern w:val="0"/>
                <w:sz w:val="20"/>
                <w:szCs w:val="20"/>
                <w:highlight w:val="none"/>
              </w:rPr>
              <w:tab/>
            </w:r>
            <w:r>
              <w:rPr>
                <w:rFonts w:hint="eastAsia" w:ascii="宋体" w:hAnsi="宋体" w:eastAsia="宋体" w:cs="宋体"/>
                <w:kern w:val="0"/>
                <w:sz w:val="20"/>
                <w:szCs w:val="20"/>
                <w:highlight w:val="none"/>
              </w:rPr>
              <w:t>狭缝宽度：可设置：1 nm、2 nm、4 nm、8 nm</w:t>
            </w:r>
          </w:p>
          <w:p w14:paraId="2837B8D2">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.9 光源：氘灯、钨灯</w:t>
            </w:r>
          </w:p>
          <w:p w14:paraId="16AEE702">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.10 信号通道数：10 + 3D</w:t>
            </w:r>
          </w:p>
          <w:p w14:paraId="669641CB">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.11 波长准确度：±1 nm</w:t>
            </w:r>
          </w:p>
          <w:p w14:paraId="2DD20192">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.12 波长可重复性：±0.1 nm</w:t>
            </w:r>
          </w:p>
          <w:p w14:paraId="25270BED">
            <w:pPr>
              <w:rPr>
                <w:rFonts w:ascii="宋体" w:hAnsi="宋体" w:eastAsia="宋体" w:cs="宋体"/>
                <w:kern w:val="0"/>
                <w:sz w:val="20"/>
                <w:szCs w:val="20"/>
                <w:highlight w:val="none"/>
              </w:rPr>
            </w:pPr>
            <w:r>
              <w:rPr>
                <w:rFonts w:ascii="宋体" w:hAnsi="宋体" w:eastAsia="宋体" w:cs="宋体"/>
                <w:kern w:val="0"/>
                <w:sz w:val="20"/>
                <w:szCs w:val="20"/>
                <w:highlight w:val="none"/>
              </w:rPr>
              <w:t>4</w:t>
            </w:r>
            <w:r>
              <w:rPr>
                <w:rFonts w:hint="eastAsia" w:ascii="宋体" w:hAnsi="宋体" w:eastAsia="宋体" w:cs="宋体"/>
                <w:kern w:val="0"/>
                <w:sz w:val="20"/>
                <w:szCs w:val="20"/>
                <w:highlight w:val="none"/>
              </w:rPr>
              <w:t xml:space="preserve">.13波长校准：采用氘灯 D- 阿尔法射线的内部校准 </w:t>
            </w:r>
          </w:p>
          <w:p w14:paraId="3D6A2533">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 xml:space="preserve"> 色谱工作站:</w:t>
            </w:r>
          </w:p>
          <w:p w14:paraId="2807C41B">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.1操作系统: ≥ windows 10</w:t>
            </w:r>
          </w:p>
          <w:p w14:paraId="6EB54F08">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.2色谱控制分析数据库：可编制分析方式和顺序，兼容Oracle、Microsoft SQL Server多种数据库平台。</w:t>
            </w:r>
          </w:p>
          <w:p w14:paraId="5FBDED65">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.3可自动进行快速数据采集和后处理.</w:t>
            </w:r>
          </w:p>
          <w:p w14:paraId="3D3E26ED">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.4可提供适时分析条件参数和分析结果，在线监测和采集泵压力变化数据。</w:t>
            </w:r>
          </w:p>
          <w:p w14:paraId="72BF67C6">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.5具有仪器相关数据与运行状况溯源功能。</w:t>
            </w:r>
          </w:p>
          <w:p w14:paraId="06AA0B22">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.6 可通过升级兼容第三方仪器，操控包括气相色谱，离子色谱等第三方仪器公司仪器</w:t>
            </w:r>
          </w:p>
          <w:p w14:paraId="66DD8562">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.7 可使用PDF、EXCEL等格式输出实验结果。实验数据编辑相关操作为EXCEL式操作。</w:t>
            </w:r>
          </w:p>
          <w:p w14:paraId="044FECDF">
            <w:pPr>
              <w:rPr>
                <w:rFonts w:ascii="宋体" w:hAnsi="宋体" w:eastAsia="宋体" w:cs="宋体"/>
                <w:kern w:val="0"/>
                <w:sz w:val="20"/>
                <w:szCs w:val="20"/>
                <w:highlight w:val="none"/>
              </w:rPr>
            </w:pPr>
            <w:r>
              <w:rPr>
                <w:rFonts w:ascii="宋体" w:hAnsi="宋体" w:eastAsia="宋体" w:cs="宋体"/>
                <w:kern w:val="0"/>
                <w:sz w:val="20"/>
                <w:szCs w:val="20"/>
                <w:highlight w:val="none"/>
              </w:rPr>
              <w:t>5</w:t>
            </w:r>
            <w:r>
              <w:rPr>
                <w:rFonts w:hint="eastAsia" w:ascii="宋体" w:hAnsi="宋体" w:eastAsia="宋体" w:cs="宋体"/>
                <w:kern w:val="0"/>
                <w:sz w:val="20"/>
                <w:szCs w:val="20"/>
                <w:highlight w:val="none"/>
              </w:rPr>
              <w:t>.8 工作站计算机：配置≥Inter i5处理器、16G内存、1TB硬盘、DVD-RW光驱、24寸LCD、Windows 10 Pro 64-bit操作系统， A4激光打印机</w:t>
            </w:r>
          </w:p>
          <w:p w14:paraId="4288F53D">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配置要求</w:t>
            </w:r>
          </w:p>
          <w:p w14:paraId="75A96295">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.1四元梯度泵一套，含溶剂瓶5个</w:t>
            </w:r>
          </w:p>
          <w:p w14:paraId="1116C42A">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.2四通道在线脱气机一套</w:t>
            </w:r>
          </w:p>
          <w:p w14:paraId="58C68F66">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.3 自动进样器一套</w:t>
            </w:r>
          </w:p>
          <w:p w14:paraId="6101BF26">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.4 半导体温控柱箱一套</w:t>
            </w:r>
          </w:p>
          <w:p w14:paraId="22C2BDC7">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.5二极管阵列检测器一套</w:t>
            </w:r>
          </w:p>
          <w:p w14:paraId="08D95FE7">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.6 原厂色谱工作站软件一套</w:t>
            </w:r>
          </w:p>
          <w:p w14:paraId="54859A51">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.7 工作站计算机、打印机一套</w:t>
            </w:r>
          </w:p>
          <w:p w14:paraId="6ADECC2C">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 消耗品</w:t>
            </w:r>
          </w:p>
          <w:p w14:paraId="2263F398">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.8.1 色谱柱 C18 4.6mm X 250mm 5μm 五根，碳载量：18%</w:t>
            </w:r>
          </w:p>
          <w:p w14:paraId="38E63BC3">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.8.2 色谱柱 C18 4.6mm X 250mm 5μm 五根，碳载量：10%</w:t>
            </w:r>
          </w:p>
          <w:p w14:paraId="4F4A1278">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.8.3手性OD-H柱，模式：正相，4.6×250mm,5 μm，类型：手性柱，一根；</w:t>
            </w:r>
          </w:p>
          <w:p w14:paraId="0FBF9858">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.8.4手性OJ-H柱，模式：正相，4.6×250mm,5 μm，类型：手性柱，一根；</w:t>
            </w:r>
          </w:p>
          <w:p w14:paraId="798B1269">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.8.5手性AS-H柱，模式：正相，4.6×250mm,5 μm，类型：手性柱，一根；</w:t>
            </w:r>
          </w:p>
          <w:p w14:paraId="4B95F37A">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.8.6保护柱卡套4套</w:t>
            </w:r>
          </w:p>
          <w:p w14:paraId="2AD4123C">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.8.7保护柱芯4包</w:t>
            </w:r>
          </w:p>
          <w:p w14:paraId="507006B6">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.8.8样品瓶500个</w:t>
            </w:r>
          </w:p>
          <w:p w14:paraId="23F85915">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.8.9 移液枪</w:t>
            </w:r>
            <w:r>
              <w:rPr>
                <w:rFonts w:ascii="宋体" w:hAnsi="宋体" w:eastAsia="宋体" w:cs="宋体"/>
                <w:kern w:val="0"/>
                <w:sz w:val="20"/>
                <w:szCs w:val="20"/>
                <w:highlight w:val="none"/>
              </w:rPr>
              <w:t>10-100μL单通道可调节两套</w:t>
            </w:r>
          </w:p>
          <w:p w14:paraId="57A61527">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.9 测试标样一套</w:t>
            </w:r>
          </w:p>
          <w:p w14:paraId="698833CA">
            <w:pPr>
              <w:rPr>
                <w:rFonts w:ascii="宋体" w:hAnsi="宋体" w:eastAsia="宋体" w:cs="宋体"/>
                <w:kern w:val="0"/>
                <w:sz w:val="20"/>
                <w:szCs w:val="20"/>
                <w:highlight w:val="none"/>
              </w:rPr>
            </w:pPr>
            <w:r>
              <w:rPr>
                <w:rFonts w:ascii="宋体" w:hAnsi="宋体" w:eastAsia="宋体" w:cs="宋体"/>
                <w:kern w:val="0"/>
                <w:sz w:val="20"/>
                <w:szCs w:val="20"/>
                <w:highlight w:val="none"/>
              </w:rPr>
              <w:t>6</w:t>
            </w:r>
            <w:r>
              <w:rPr>
                <w:rFonts w:hint="eastAsia" w:ascii="宋体" w:hAnsi="宋体" w:eastAsia="宋体" w:cs="宋体"/>
                <w:kern w:val="0"/>
                <w:sz w:val="20"/>
                <w:szCs w:val="20"/>
                <w:highlight w:val="none"/>
              </w:rPr>
              <w:t>.</w:t>
            </w:r>
            <w:r>
              <w:rPr>
                <w:rFonts w:ascii="宋体" w:hAnsi="宋体" w:eastAsia="宋体" w:cs="宋体"/>
                <w:kern w:val="0"/>
                <w:sz w:val="20"/>
                <w:szCs w:val="20"/>
                <w:highlight w:val="none"/>
              </w:rPr>
              <w:t>10</w:t>
            </w:r>
            <w:r>
              <w:rPr>
                <w:rFonts w:hint="eastAsia" w:ascii="宋体" w:hAnsi="宋体" w:eastAsia="宋体" w:cs="宋体"/>
                <w:kern w:val="0"/>
                <w:sz w:val="20"/>
                <w:szCs w:val="20"/>
                <w:highlight w:val="none"/>
              </w:rPr>
              <w:t>设备安装、维护所需的必要工具一套</w:t>
            </w:r>
          </w:p>
          <w:p w14:paraId="3191308B">
            <w:pPr>
              <w:rPr>
                <w:rFonts w:ascii="宋体" w:hAnsi="宋体" w:eastAsia="宋体" w:cs="宋体"/>
                <w:kern w:val="0"/>
                <w:sz w:val="20"/>
                <w:szCs w:val="20"/>
                <w:highlight w:val="none"/>
              </w:rPr>
            </w:pPr>
            <w:r>
              <w:rPr>
                <w:rFonts w:ascii="宋体" w:hAnsi="宋体" w:eastAsia="宋体" w:cs="宋体"/>
                <w:kern w:val="0"/>
                <w:sz w:val="20"/>
                <w:szCs w:val="20"/>
                <w:highlight w:val="none"/>
              </w:rPr>
              <w:t>7</w:t>
            </w:r>
            <w:r>
              <w:rPr>
                <w:rFonts w:hint="eastAsia" w:ascii="宋体" w:hAnsi="宋体" w:eastAsia="宋体" w:cs="宋体"/>
                <w:kern w:val="0"/>
                <w:sz w:val="20"/>
                <w:szCs w:val="20"/>
                <w:highlight w:val="none"/>
              </w:rPr>
              <w:t>售后服务</w:t>
            </w:r>
          </w:p>
          <w:p w14:paraId="603FDA27">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8.1供应商必须提供仪器的免费现场安装调试，并同时在现场对用户进行操作及维护培训。</w:t>
            </w:r>
          </w:p>
          <w:p w14:paraId="22D9862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8.2供应商在国内必须设有分析仪器教育中心，为用户提供仪器的基本原理、操作、日常维护及基础分析仪器理论课程和相关的应用培训（至少一次到厂家培训）；</w:t>
            </w:r>
          </w:p>
          <w:p w14:paraId="33A5AD0E">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8.3仪器在调试通过后提供壹年保修服务，在保修期内，所有服务及配件全部免费。保修期外，用户可用人民币结算。并在中国设有备品备件库，能更及时地为用户提供备品备件。</w:t>
            </w:r>
          </w:p>
          <w:p w14:paraId="37847A0D">
            <w:pPr>
              <w:rPr>
                <w:rFonts w:ascii="宋体" w:hAnsi="宋体" w:eastAsia="宋体" w:cs="宋体"/>
                <w:kern w:val="0"/>
                <w:sz w:val="20"/>
                <w:szCs w:val="20"/>
                <w:highlight w:val="none"/>
              </w:rPr>
            </w:pPr>
            <w:r>
              <w:rPr>
                <w:rFonts w:hint="eastAsia" w:ascii="宋体" w:hAnsi="宋体" w:eastAsia="宋体" w:cs="宋体"/>
                <w:kern w:val="0"/>
                <w:sz w:val="20"/>
                <w:szCs w:val="20"/>
                <w:highlight w:val="none"/>
              </w:rPr>
              <w:t>8.4供应商提供800免费电话，为用户提供免费的电话咨询及技术服务。</w:t>
            </w:r>
          </w:p>
          <w:p w14:paraId="3906857B">
            <w:pPr>
              <w:rPr>
                <w:rFonts w:ascii="宋体" w:hAnsi="宋体" w:eastAsia="宋体" w:cs="宋体"/>
                <w:kern w:val="0"/>
                <w:sz w:val="20"/>
                <w:szCs w:val="20"/>
              </w:rPr>
            </w:pPr>
            <w:r>
              <w:rPr>
                <w:rFonts w:hint="eastAsia" w:ascii="宋体" w:hAnsi="宋体" w:eastAsia="宋体" w:cs="宋体"/>
                <w:kern w:val="0"/>
                <w:sz w:val="20"/>
                <w:szCs w:val="20"/>
                <w:highlight w:val="none"/>
              </w:rPr>
              <w:t>8.5供应商在国内必须设有专业的维修站，有专职的液相色谱维修工程师及应用工程师有效保证售后维修的及时、快捷，并负责提供技术支持，24小时响应，48小时到场，保证仪器的正常操作。</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7AC89A3">
            <w:pPr>
              <w:rPr>
                <w:rFonts w:ascii="宋体" w:hAnsi="宋体" w:eastAsia="宋体" w:cs="宋体"/>
                <w:kern w:val="0"/>
                <w:sz w:val="20"/>
                <w:szCs w:val="20"/>
              </w:rPr>
            </w:pPr>
            <w:r>
              <w:rPr>
                <w:rFonts w:hint="eastAsia" w:ascii="宋体" w:hAnsi="宋体" w:eastAsia="宋体" w:cs="宋体"/>
                <w:kern w:val="0"/>
                <w:sz w:val="20"/>
                <w:szCs w:val="20"/>
              </w:rPr>
              <w:t>台</w:t>
            </w:r>
          </w:p>
        </w:tc>
        <w:tc>
          <w:tcPr>
            <w:tcW w:w="753" w:type="dxa"/>
            <w:tcBorders>
              <w:top w:val="single" w:color="000000" w:sz="4" w:space="0"/>
              <w:left w:val="single" w:color="000000" w:sz="4" w:space="0"/>
              <w:bottom w:val="single" w:color="000000" w:sz="4" w:space="0"/>
              <w:right w:val="single" w:color="000000" w:sz="4" w:space="0"/>
            </w:tcBorders>
            <w:noWrap/>
            <w:vAlign w:val="center"/>
          </w:tcPr>
          <w:p w14:paraId="16D782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991DFAC">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核心产品</w:t>
            </w:r>
          </w:p>
        </w:tc>
      </w:tr>
      <w:tr w14:paraId="447C4B49">
        <w:tblPrEx>
          <w:tblCellMar>
            <w:top w:w="0" w:type="dxa"/>
            <w:left w:w="108" w:type="dxa"/>
            <w:bottom w:w="0" w:type="dxa"/>
            <w:right w:w="108" w:type="dxa"/>
          </w:tblCellMar>
        </w:tblPrEx>
        <w:trPr>
          <w:trHeight w:val="805" w:hRule="atLeast"/>
        </w:trPr>
        <w:tc>
          <w:tcPr>
            <w:tcW w:w="10015" w:type="dxa"/>
            <w:gridSpan w:val="6"/>
            <w:tcBorders>
              <w:top w:val="single" w:color="000000" w:sz="4" w:space="0"/>
              <w:left w:val="single" w:color="000000" w:sz="4" w:space="0"/>
              <w:bottom w:val="single" w:color="000000" w:sz="4" w:space="0"/>
              <w:right w:val="single" w:color="000000" w:sz="4" w:space="0"/>
            </w:tcBorders>
            <w:noWrap/>
            <w:vAlign w:val="center"/>
          </w:tcPr>
          <w:p w14:paraId="647F9CB0">
            <w:pPr>
              <w:spacing w:line="360" w:lineRule="auto"/>
              <w:rPr>
                <w:rFonts w:eastAsia="宋体" w:asciiTheme="minorEastAsia" w:hAnsiTheme="minorEastAsia" w:cstheme="minorEastAsia"/>
                <w:b/>
                <w:bCs/>
                <w:sz w:val="20"/>
                <w:szCs w:val="20"/>
              </w:rPr>
            </w:pPr>
            <w:r>
              <w:rPr>
                <w:rFonts w:hint="eastAsia" w:eastAsia="宋体" w:asciiTheme="minorEastAsia" w:hAnsiTheme="minorEastAsia" w:cstheme="minorEastAsia"/>
                <w:b/>
                <w:bCs/>
                <w:sz w:val="20"/>
                <w:szCs w:val="20"/>
              </w:rPr>
              <w:t>注：</w:t>
            </w:r>
          </w:p>
          <w:p w14:paraId="25456F90">
            <w:pPr>
              <w:spacing w:line="360" w:lineRule="auto"/>
              <w:rPr>
                <w:rFonts w:eastAsia="宋体" w:asciiTheme="minorEastAsia" w:hAnsiTheme="minorEastAsia" w:cstheme="minorEastAsia"/>
                <w:b/>
                <w:bCs/>
                <w:sz w:val="20"/>
                <w:szCs w:val="20"/>
              </w:rPr>
            </w:pPr>
            <w:r>
              <w:rPr>
                <w:rFonts w:hint="eastAsia" w:eastAsia="宋体" w:asciiTheme="minorEastAsia" w:hAnsiTheme="minorEastAsia" w:cstheme="minorEastAsia"/>
                <w:b/>
                <w:bCs/>
                <w:sz w:val="20"/>
                <w:szCs w:val="20"/>
              </w:rPr>
              <w:t>投标人在投标时应答的指标必须真实有效，尤其是重点“</w:t>
            </w:r>
            <w:r>
              <w:rPr>
                <w:rFonts w:hint="eastAsia" w:ascii="宋体" w:hAnsi="宋体" w:eastAsia="宋体" w:cs="宋体"/>
                <w:color w:val="auto"/>
                <w:sz w:val="24"/>
                <w:highlight w:val="none"/>
              </w:rPr>
              <w:t>▲</w:t>
            </w:r>
            <w:r>
              <w:rPr>
                <w:rFonts w:hint="eastAsia" w:eastAsia="宋体" w:asciiTheme="minorEastAsia" w:hAnsiTheme="minorEastAsia" w:cstheme="minorEastAsia"/>
                <w:b/>
                <w:bCs/>
                <w:sz w:val="20"/>
                <w:szCs w:val="20"/>
              </w:rPr>
              <w:t>”参数须提供证明技术参数真实性的官方资料证明文件</w:t>
            </w:r>
            <w:r>
              <w:rPr>
                <w:rFonts w:hint="eastAsia" w:asciiTheme="minorEastAsia" w:hAnsiTheme="minorEastAsia" w:cstheme="minorEastAsia"/>
                <w:b/>
                <w:bCs/>
                <w:sz w:val="20"/>
                <w:szCs w:val="20"/>
                <w:lang w:eastAsia="zh-CN"/>
              </w:rPr>
              <w:t>。</w:t>
            </w:r>
            <w:r>
              <w:rPr>
                <w:rFonts w:hint="eastAsia" w:eastAsia="宋体" w:asciiTheme="minorEastAsia" w:hAnsiTheme="minorEastAsia" w:cstheme="minorEastAsia"/>
                <w:b/>
                <w:bCs/>
                <w:sz w:val="20"/>
                <w:szCs w:val="20"/>
              </w:rPr>
              <w:t>用户在签定合同前，有权要求中标公司提供实物样机对应招标文件逐一核对技术参数或是厂商提供权威部门的检测报告，如虚假应标中标，用户单位有权拒签合同并取消成交资格，用户单位保留依法依规追究责任的权利。在仪器验收时如不符合验收技术指标，将视为违约，招标人有权退货，并按合同条款进行处罚</w:t>
            </w:r>
            <w:r>
              <w:rPr>
                <w:rFonts w:hint="eastAsia" w:asciiTheme="minorEastAsia" w:hAnsiTheme="minorEastAsia" w:cstheme="minorEastAsia"/>
                <w:b/>
                <w:bCs/>
                <w:sz w:val="20"/>
                <w:szCs w:val="20"/>
                <w:lang w:eastAsia="zh-CN"/>
              </w:rPr>
              <w:t>，</w:t>
            </w:r>
            <w:r>
              <w:rPr>
                <w:rFonts w:hint="eastAsia" w:eastAsia="宋体" w:asciiTheme="minorEastAsia" w:hAnsiTheme="minorEastAsia" w:cstheme="minorEastAsia"/>
                <w:b/>
                <w:bCs/>
                <w:sz w:val="20"/>
                <w:szCs w:val="20"/>
              </w:rPr>
              <w:t>为了保证产品质量和售后服务质量，须提供制造商家针对本项目的授权资格证书原件和售后服务承诺书原件的扫描件或复印件并加盖投标人公章。</w:t>
            </w:r>
          </w:p>
          <w:p w14:paraId="230E7C1E">
            <w:pPr>
              <w:tabs>
                <w:tab w:val="left" w:pos="1620"/>
              </w:tabs>
              <w:spacing w:line="312" w:lineRule="auto"/>
              <w:rPr>
                <w:rFonts w:eastAsia="宋体" w:asciiTheme="minorEastAsia" w:hAnsiTheme="minorEastAsia" w:cstheme="minorEastAsia"/>
                <w:b/>
                <w:bCs/>
                <w:sz w:val="20"/>
                <w:szCs w:val="20"/>
              </w:rPr>
            </w:pPr>
          </w:p>
          <w:p w14:paraId="1588449F">
            <w:pPr>
              <w:tabs>
                <w:tab w:val="left" w:pos="1620"/>
              </w:tabs>
              <w:spacing w:line="312" w:lineRule="auto"/>
              <w:rPr>
                <w:rFonts w:eastAsia="宋体" w:asciiTheme="minorEastAsia" w:hAnsiTheme="minorEastAsia" w:cstheme="minorEastAsia"/>
                <w:b/>
                <w:bCs/>
                <w:sz w:val="20"/>
                <w:szCs w:val="20"/>
              </w:rPr>
            </w:pPr>
            <w:r>
              <w:rPr>
                <w:rFonts w:hint="eastAsia" w:eastAsia="宋体" w:asciiTheme="minorEastAsia" w:hAnsiTheme="minorEastAsia" w:cstheme="minorEastAsia"/>
                <w:b/>
                <w:bCs/>
                <w:sz w:val="20"/>
                <w:szCs w:val="20"/>
              </w:rPr>
              <w:t>说明：</w:t>
            </w:r>
          </w:p>
          <w:p w14:paraId="23D5434C">
            <w:pPr>
              <w:tabs>
                <w:tab w:val="left" w:pos="1620"/>
              </w:tabs>
              <w:spacing w:line="312" w:lineRule="auto"/>
              <w:ind w:left="-2" w:firstLine="480"/>
              <w:rPr>
                <w:rFonts w:eastAsia="宋体" w:asciiTheme="minorEastAsia" w:hAnsiTheme="minorEastAsia" w:cstheme="minorEastAsia"/>
                <w:b/>
                <w:bCs/>
                <w:sz w:val="20"/>
                <w:szCs w:val="20"/>
              </w:rPr>
            </w:pPr>
            <w:r>
              <w:rPr>
                <w:rFonts w:hint="eastAsia" w:eastAsia="宋体" w:asciiTheme="minorEastAsia" w:hAnsiTheme="minorEastAsia" w:cstheme="minorEastAsia"/>
                <w:b/>
                <w:bCs/>
                <w:sz w:val="20"/>
                <w:szCs w:val="20"/>
              </w:rPr>
              <w:t>（1）如果以上技术参数表述指向某个特定品牌的规格型号，投标人可参照该项目的技术标准选择其他品牌产品替代，并做出说明，原则上不能降低产品性能。</w:t>
            </w:r>
          </w:p>
          <w:p w14:paraId="63DDA77C">
            <w:pPr>
              <w:tabs>
                <w:tab w:val="left" w:pos="1620"/>
              </w:tabs>
              <w:spacing w:line="312" w:lineRule="auto"/>
              <w:ind w:left="-2" w:firstLine="480"/>
              <w:rPr>
                <w:rFonts w:ascii="宋体" w:hAnsi="宋体" w:eastAsia="宋体" w:cs="宋体"/>
                <w:color w:val="000000"/>
                <w:kern w:val="0"/>
                <w:sz w:val="20"/>
                <w:szCs w:val="20"/>
                <w:lang w:bidi="ar"/>
              </w:rPr>
            </w:pPr>
            <w:r>
              <w:rPr>
                <w:rFonts w:hint="eastAsia" w:eastAsia="宋体" w:asciiTheme="minorEastAsia" w:hAnsiTheme="minorEastAsia" w:cstheme="minorEastAsia"/>
                <w:b/>
                <w:bCs/>
                <w:sz w:val="20"/>
                <w:szCs w:val="20"/>
              </w:rPr>
              <w:t>（2）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tc>
      </w:tr>
    </w:tbl>
    <w:p w14:paraId="0BD925CF">
      <w:pPr>
        <w:pStyle w:val="171"/>
        <w:ind w:left="630" w:firstLine="0" w:firstLineChars="0"/>
        <w:rPr>
          <w:rFonts w:hint="eastAsia" w:ascii="宋体" w:hAnsi="宋体" w:eastAsia="宋体" w:cs="宋体"/>
          <w:b/>
          <w:sz w:val="24"/>
          <w:szCs w:val="24"/>
        </w:rPr>
      </w:pPr>
      <w:r>
        <w:rPr>
          <w:rFonts w:hint="eastAsia" w:ascii="宋体" w:hAnsi="宋体" w:eastAsia="宋体" w:cs="宋体"/>
          <w:b/>
          <w:sz w:val="24"/>
          <w:szCs w:val="24"/>
        </w:rPr>
        <w:t>三、交货期</w:t>
      </w:r>
    </w:p>
    <w:p w14:paraId="297D5BEB">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中标人应在采购合同签订后60日内交货并完成安装调试。</w:t>
      </w:r>
    </w:p>
    <w:p w14:paraId="38B3D747">
      <w:pPr>
        <w:pStyle w:val="171"/>
        <w:ind w:left="630" w:firstLine="0" w:firstLineChars="0"/>
        <w:rPr>
          <w:rFonts w:hint="eastAsia" w:ascii="宋体" w:hAnsi="宋体" w:eastAsia="宋体" w:cs="宋体"/>
          <w:b/>
          <w:sz w:val="24"/>
          <w:szCs w:val="24"/>
        </w:rPr>
      </w:pPr>
      <w:r>
        <w:rPr>
          <w:rFonts w:hint="eastAsia" w:ascii="宋体" w:hAnsi="宋体" w:eastAsia="宋体" w:cs="宋体"/>
          <w:b/>
          <w:sz w:val="24"/>
          <w:szCs w:val="24"/>
        </w:rPr>
        <w:t>四、交货地点</w:t>
      </w:r>
    </w:p>
    <w:p w14:paraId="7D557763">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新疆第二医学院中医药教学楼</w:t>
      </w:r>
    </w:p>
    <w:p w14:paraId="61F1DA28">
      <w:pPr>
        <w:pStyle w:val="171"/>
        <w:ind w:left="630" w:firstLine="0" w:firstLineChars="0"/>
        <w:rPr>
          <w:rFonts w:hint="eastAsia" w:ascii="宋体" w:hAnsi="宋体" w:eastAsia="宋体" w:cs="宋体"/>
          <w:b/>
          <w:sz w:val="24"/>
          <w:szCs w:val="24"/>
        </w:rPr>
      </w:pPr>
      <w:r>
        <w:rPr>
          <w:rFonts w:hint="eastAsia" w:ascii="宋体" w:hAnsi="宋体" w:eastAsia="宋体" w:cs="宋体"/>
          <w:b/>
          <w:sz w:val="24"/>
          <w:szCs w:val="24"/>
        </w:rPr>
        <w:t>五、产品质量保证期</w:t>
      </w:r>
    </w:p>
    <w:p w14:paraId="4E232155">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1、投标产品质量保证期1年。</w:t>
      </w:r>
    </w:p>
    <w:p w14:paraId="23CDB57B">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2、投标产品属于国家规定“三包”范围的，其产品质量保证期不得低于“三包”规定。</w:t>
      </w:r>
    </w:p>
    <w:p w14:paraId="0F2600D8">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3、投标人的质量保证期承诺优于国家“三包”规定的，按投标人实际承诺执行。</w:t>
      </w:r>
    </w:p>
    <w:p w14:paraId="4CE0484D">
      <w:pPr>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4、投标产品由制造商（指产品生产制造商，或其负责销售、售后服务机构，以下同）负责标准售后服务的，应当在投标文件中予以明确说明，并附制造商售后服务承诺。</w:t>
      </w:r>
    </w:p>
    <w:p w14:paraId="08B073C8">
      <w:pPr>
        <w:pStyle w:val="171"/>
        <w:ind w:left="630" w:firstLine="0" w:firstLineChars="0"/>
        <w:rPr>
          <w:rFonts w:hint="eastAsia" w:ascii="宋体" w:hAnsi="宋体" w:eastAsia="宋体" w:cs="宋体"/>
          <w:b/>
          <w:sz w:val="24"/>
          <w:szCs w:val="24"/>
        </w:rPr>
      </w:pPr>
      <w:r>
        <w:rPr>
          <w:rFonts w:hint="eastAsia" w:ascii="宋体" w:hAnsi="宋体" w:eastAsia="宋体" w:cs="宋体"/>
          <w:b/>
          <w:sz w:val="24"/>
          <w:szCs w:val="24"/>
        </w:rPr>
        <w:t>六、本项目需达到的其他要求及售后服务内容</w:t>
      </w:r>
    </w:p>
    <w:p w14:paraId="553D7C4D">
      <w:pPr>
        <w:ind w:firstLine="480" w:firstLineChars="200"/>
        <w:jc w:val="left"/>
        <w:rPr>
          <w:rFonts w:hint="eastAsia" w:ascii="宋体" w:hAnsi="宋体" w:eastAsia="宋体" w:cs="宋体"/>
          <w:b/>
          <w:bCs/>
          <w:sz w:val="24"/>
          <w:szCs w:val="24"/>
        </w:rPr>
      </w:pPr>
      <w:r>
        <w:rPr>
          <w:rFonts w:hint="eastAsia" w:ascii="宋体" w:hAnsi="宋体" w:eastAsia="宋体" w:cs="宋体"/>
          <w:b/>
          <w:bCs/>
          <w:sz w:val="24"/>
          <w:szCs w:val="24"/>
        </w:rPr>
        <w:t>1验收方式</w:t>
      </w:r>
    </w:p>
    <w:p w14:paraId="5B1672CE">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1.1货物到达现场后，中标单位应在使用单位人员在场情况下当面开箱，共同清点、检查外观，作出开箱记录，双方签字确认。</w:t>
      </w:r>
    </w:p>
    <w:p w14:paraId="05D7E118">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1.2中标单位应保证货物到达采购人所在地完好无损，如有缺漏、损坏，由中标单位负责调换、补齐或赔偿。</w:t>
      </w:r>
    </w:p>
    <w:p w14:paraId="3BFA9F0D">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1.3中标单位应提供完备的技术资料、装箱单和合格证等，并派遣专业技术人员进行现场安装调试。验收合格条件如下：</w:t>
      </w:r>
    </w:p>
    <w:p w14:paraId="44ACCF5B">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1.3.1设备技术参数与采购合同一致，性能指标达到规定的标准。</w:t>
      </w:r>
    </w:p>
    <w:p w14:paraId="3B2227A0">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1.3.2货物技术资料、装箱单、合格证等资料齐全。</w:t>
      </w:r>
    </w:p>
    <w:p w14:paraId="792EE372">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1.3.3在系统试运行期间所出现的问题得到解决，并运行正常。</w:t>
      </w:r>
    </w:p>
    <w:p w14:paraId="73CE59FC">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1.3.4在规定时间内交货和验收，并经采购人确认。</w:t>
      </w:r>
    </w:p>
    <w:p w14:paraId="0D4E4ABA">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1.3.5产品在安装调试并试运行符合要求后，才作为最终验收。</w:t>
      </w:r>
    </w:p>
    <w:p w14:paraId="042694F3">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1.3.6投标人提供的货物未达到采购文件规定要求，且对采购人造成损失的，由投标人承担一切责任，并赔偿所造成的损失。</w:t>
      </w:r>
    </w:p>
    <w:p w14:paraId="21EAB51B">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1.3.7大型或者复杂的政府采购项目，采购人应当邀请国家认可的质量检测机构参加验收工作。</w:t>
      </w:r>
    </w:p>
    <w:p w14:paraId="664D10BB">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1.3.8采购人需要制造商对中标单位交付的产品（包括质量、技术参数等）进行确认的，制造商应予以配合，并出具书面意见。</w:t>
      </w:r>
    </w:p>
    <w:p w14:paraId="7446CDFB">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1.3.9产品包装材料归采购人所有。</w:t>
      </w:r>
    </w:p>
    <w:p w14:paraId="19695C8E">
      <w:pPr>
        <w:tabs>
          <w:tab w:val="left" w:pos="1620"/>
        </w:tabs>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2质量保修期</w:t>
      </w:r>
    </w:p>
    <w:p w14:paraId="1F929F99">
      <w:pPr>
        <w:ind w:firstLine="480" w:firstLineChars="200"/>
        <w:rPr>
          <w:rFonts w:hint="eastAsia" w:ascii="宋体" w:hAnsi="宋体" w:eastAsia="宋体" w:cs="宋体"/>
          <w:sz w:val="24"/>
          <w:szCs w:val="24"/>
        </w:rPr>
      </w:pPr>
      <w:r>
        <w:rPr>
          <w:rFonts w:hint="eastAsia" w:ascii="宋体" w:hAnsi="宋体" w:eastAsia="宋体" w:cs="宋体"/>
          <w:sz w:val="24"/>
          <w:szCs w:val="24"/>
        </w:rPr>
        <w:t>2.1质量保修期：投标人根据国家、部门、行业有关规定在商务报价一览表中自行承诺质量保修期，但不得低于1年，验收合格签字之日起计，签订合同时，以中标单位承诺的质量保修期为准。已明确质保年限大于1年的仪器设备，执行参数中对应的明确要求；中标单位保证在规定的年限内使用正常，并对此期间发生的质量问题负全部责任。如果采购人需要变更交货期，则采购人应将最后发货的时间以书面形式通知中标单位；如果由于中标单位责任致使货物在质量保修期内不能正常使用，此质量保修期顺延。</w:t>
      </w:r>
    </w:p>
    <w:p w14:paraId="0E8B4A24">
      <w:pPr>
        <w:ind w:firstLine="480" w:firstLineChars="200"/>
        <w:rPr>
          <w:rFonts w:hint="eastAsia" w:ascii="宋体" w:hAnsi="宋体" w:eastAsia="宋体" w:cs="宋体"/>
          <w:sz w:val="24"/>
          <w:szCs w:val="24"/>
        </w:rPr>
      </w:pPr>
      <w:r>
        <w:rPr>
          <w:rFonts w:hint="eastAsia" w:ascii="宋体" w:hAnsi="宋体" w:eastAsia="宋体" w:cs="宋体"/>
          <w:sz w:val="24"/>
          <w:szCs w:val="24"/>
        </w:rPr>
        <w:t>2.2产品属于国家规定“三包”范围的，其产品质量保证期不得低于“三包”规定。</w:t>
      </w:r>
    </w:p>
    <w:p w14:paraId="3E5604D9">
      <w:pPr>
        <w:ind w:firstLine="480" w:firstLineChars="200"/>
        <w:rPr>
          <w:rFonts w:hint="eastAsia" w:ascii="宋体" w:hAnsi="宋体" w:eastAsia="宋体" w:cs="宋体"/>
          <w:sz w:val="24"/>
          <w:szCs w:val="24"/>
        </w:rPr>
      </w:pPr>
      <w:r>
        <w:rPr>
          <w:rFonts w:hint="eastAsia" w:ascii="宋体" w:hAnsi="宋体" w:eastAsia="宋体" w:cs="宋体"/>
          <w:sz w:val="24"/>
          <w:szCs w:val="24"/>
        </w:rPr>
        <w:t>2.3投标人的质量保证期承诺优于国家“三包”规定的，按投标人实际承诺执行。</w:t>
      </w:r>
    </w:p>
    <w:p w14:paraId="1B6C555A">
      <w:pPr>
        <w:ind w:firstLine="480" w:firstLineChars="200"/>
        <w:rPr>
          <w:rFonts w:hint="eastAsia" w:ascii="宋体" w:hAnsi="宋体" w:eastAsia="宋体" w:cs="宋体"/>
          <w:sz w:val="24"/>
          <w:szCs w:val="24"/>
        </w:rPr>
      </w:pPr>
      <w:r>
        <w:rPr>
          <w:rFonts w:hint="eastAsia" w:ascii="宋体" w:hAnsi="宋体" w:eastAsia="宋体" w:cs="宋体"/>
          <w:sz w:val="24"/>
          <w:szCs w:val="24"/>
        </w:rPr>
        <w:t>2.4产品由制造商（指产品生产制造商，或其负责销售、售后服务机构，以下同）负责标准售后服务的，应当在投标文件中予以明确说明，并附制造商售后服务承诺。</w:t>
      </w:r>
    </w:p>
    <w:p w14:paraId="01F617E7">
      <w:pPr>
        <w:ind w:firstLine="480" w:firstLineChars="200"/>
        <w:rPr>
          <w:rFonts w:hint="eastAsia" w:ascii="宋体" w:hAnsi="宋体" w:eastAsia="宋体" w:cs="宋体"/>
          <w:sz w:val="24"/>
          <w:szCs w:val="24"/>
        </w:rPr>
      </w:pPr>
      <w:r>
        <w:rPr>
          <w:rFonts w:hint="eastAsia" w:ascii="宋体" w:hAnsi="宋体" w:eastAsia="宋体" w:cs="宋体"/>
          <w:sz w:val="24"/>
          <w:szCs w:val="24"/>
        </w:rPr>
        <w:t>2.5售后服务内容</w:t>
      </w:r>
    </w:p>
    <w:p w14:paraId="29C4A514">
      <w:pPr>
        <w:ind w:firstLine="480" w:firstLineChars="200"/>
        <w:rPr>
          <w:rFonts w:hint="eastAsia" w:ascii="宋体" w:hAnsi="宋体" w:eastAsia="宋体" w:cs="宋体"/>
          <w:sz w:val="24"/>
          <w:szCs w:val="24"/>
        </w:rPr>
      </w:pPr>
      <w:r>
        <w:rPr>
          <w:rFonts w:hint="eastAsia" w:ascii="宋体" w:hAnsi="宋体" w:eastAsia="宋体" w:cs="宋体"/>
          <w:sz w:val="24"/>
          <w:szCs w:val="24"/>
        </w:rPr>
        <w:t>2.5.1投标人和制造商在质量保证期内应当为采购人提供以下技术支持和服务：</w:t>
      </w:r>
    </w:p>
    <w:p w14:paraId="0E872DA7">
      <w:pPr>
        <w:ind w:firstLine="480" w:firstLineChars="200"/>
        <w:rPr>
          <w:rFonts w:hint="eastAsia" w:ascii="宋体" w:hAnsi="宋体" w:eastAsia="宋体" w:cs="宋体"/>
          <w:sz w:val="24"/>
          <w:szCs w:val="24"/>
        </w:rPr>
      </w:pPr>
      <w:r>
        <w:rPr>
          <w:rFonts w:hint="eastAsia" w:ascii="宋体" w:hAnsi="宋体" w:eastAsia="宋体" w:cs="宋体"/>
          <w:sz w:val="24"/>
          <w:szCs w:val="24"/>
        </w:rPr>
        <w:t>2.5.1.1电话咨询</w:t>
      </w:r>
    </w:p>
    <w:p w14:paraId="21B0E128">
      <w:pPr>
        <w:ind w:firstLine="480" w:firstLineChars="200"/>
        <w:rPr>
          <w:rFonts w:hint="eastAsia" w:ascii="宋体" w:hAnsi="宋体" w:eastAsia="宋体" w:cs="宋体"/>
          <w:sz w:val="24"/>
          <w:szCs w:val="24"/>
        </w:rPr>
      </w:pPr>
      <w:r>
        <w:rPr>
          <w:rFonts w:hint="eastAsia" w:ascii="宋体" w:hAnsi="宋体" w:eastAsia="宋体" w:cs="宋体"/>
          <w:sz w:val="24"/>
          <w:szCs w:val="24"/>
        </w:rPr>
        <w:t>中标单位和制造商应当为采购人提供技术援助电话，解答采购人在使用中遇到的问题，及时为采购人提出解决问题的建议。</w:t>
      </w:r>
    </w:p>
    <w:p w14:paraId="2D69FDA2">
      <w:pPr>
        <w:ind w:firstLine="480" w:firstLineChars="200"/>
        <w:rPr>
          <w:rFonts w:hint="eastAsia" w:ascii="宋体" w:hAnsi="宋体" w:eastAsia="宋体" w:cs="宋体"/>
          <w:sz w:val="24"/>
          <w:szCs w:val="24"/>
        </w:rPr>
      </w:pPr>
      <w:r>
        <w:rPr>
          <w:rFonts w:hint="eastAsia" w:ascii="宋体" w:hAnsi="宋体" w:eastAsia="宋体" w:cs="宋体"/>
          <w:sz w:val="24"/>
          <w:szCs w:val="24"/>
        </w:rPr>
        <w:t>2.5.1.2现场响应</w:t>
      </w:r>
    </w:p>
    <w:p w14:paraId="2E402406">
      <w:pPr>
        <w:ind w:firstLine="480" w:firstLineChars="200"/>
        <w:rPr>
          <w:rFonts w:hint="eastAsia" w:ascii="宋体" w:hAnsi="宋体" w:eastAsia="宋体" w:cs="宋体"/>
          <w:sz w:val="24"/>
          <w:szCs w:val="24"/>
        </w:rPr>
      </w:pPr>
      <w:r>
        <w:rPr>
          <w:rFonts w:hint="eastAsia" w:ascii="宋体" w:hAnsi="宋体" w:eastAsia="宋体" w:cs="宋体"/>
          <w:sz w:val="24"/>
          <w:szCs w:val="24"/>
        </w:rPr>
        <w:t>采购人遇到使用及技术问题，电话咨询不能解决的，中标单位和制造商应在24小时内到达现场进行处理，确保产品正常工作。</w:t>
      </w:r>
    </w:p>
    <w:p w14:paraId="05DA6A74">
      <w:pPr>
        <w:ind w:firstLine="480" w:firstLineChars="200"/>
        <w:rPr>
          <w:rFonts w:hint="eastAsia" w:ascii="宋体" w:hAnsi="宋体" w:eastAsia="宋体" w:cs="宋体"/>
          <w:sz w:val="24"/>
          <w:szCs w:val="24"/>
        </w:rPr>
      </w:pPr>
      <w:r>
        <w:rPr>
          <w:rFonts w:hint="eastAsia" w:ascii="宋体" w:hAnsi="宋体" w:eastAsia="宋体" w:cs="宋体"/>
          <w:sz w:val="24"/>
          <w:szCs w:val="24"/>
        </w:rPr>
        <w:t>2.5.1.3技术升级</w:t>
      </w:r>
    </w:p>
    <w:p w14:paraId="6E442424">
      <w:pPr>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在质保期内，如果中标单位和制造商的产品技术升级，投标人应及时通知采购人，如采购人有相应要求，中标单位和制造商应对采购人购买的产品进行升级服务。</w:t>
      </w:r>
    </w:p>
    <w:p w14:paraId="1CD7A61E">
      <w:pPr>
        <w:ind w:firstLine="480" w:firstLineChars="200"/>
        <w:rPr>
          <w:rFonts w:hint="eastAsia" w:ascii="宋体" w:hAnsi="宋体" w:eastAsia="宋体" w:cs="宋体"/>
          <w:sz w:val="24"/>
          <w:szCs w:val="24"/>
        </w:rPr>
      </w:pPr>
      <w:r>
        <w:rPr>
          <w:rFonts w:hint="eastAsia" w:ascii="宋体" w:hAnsi="宋体" w:eastAsia="宋体" w:cs="宋体"/>
          <w:sz w:val="24"/>
          <w:szCs w:val="24"/>
        </w:rPr>
        <w:t>2.5.2质保期外服务要求</w:t>
      </w:r>
    </w:p>
    <w:p w14:paraId="32CB84D4">
      <w:pPr>
        <w:ind w:firstLine="480" w:firstLineChars="200"/>
        <w:rPr>
          <w:rFonts w:hint="eastAsia" w:ascii="宋体" w:hAnsi="宋体" w:eastAsia="宋体" w:cs="宋体"/>
          <w:sz w:val="24"/>
          <w:szCs w:val="24"/>
        </w:rPr>
      </w:pPr>
      <w:r>
        <w:rPr>
          <w:rFonts w:hint="eastAsia" w:ascii="宋体" w:hAnsi="宋体" w:eastAsia="宋体" w:cs="宋体"/>
          <w:sz w:val="24"/>
          <w:szCs w:val="24"/>
        </w:rPr>
        <w:t>2.5.2.1质量保证期过后，投标人和制造商应同样提供免费电话咨询服务，并应承诺提供产品上门维护服务。</w:t>
      </w:r>
    </w:p>
    <w:p w14:paraId="1956F463">
      <w:pPr>
        <w:ind w:firstLine="480" w:firstLineChars="200"/>
        <w:rPr>
          <w:rFonts w:hint="eastAsia" w:ascii="宋体" w:hAnsi="宋体" w:eastAsia="宋体" w:cs="宋体"/>
          <w:sz w:val="24"/>
          <w:szCs w:val="24"/>
        </w:rPr>
      </w:pPr>
      <w:r>
        <w:rPr>
          <w:rFonts w:hint="eastAsia" w:ascii="宋体" w:hAnsi="宋体" w:eastAsia="宋体" w:cs="宋体"/>
          <w:sz w:val="24"/>
          <w:szCs w:val="24"/>
        </w:rPr>
        <w:t>2.5.2.2质量保证期过后，采购人需要继续由原投标人和制造商提供售后服务的，该投标人和制造商应以优惠价格提供售后服务。</w:t>
      </w:r>
    </w:p>
    <w:p w14:paraId="1BC07EDE">
      <w:pPr>
        <w:ind w:firstLine="480" w:firstLineChars="200"/>
        <w:rPr>
          <w:rFonts w:hint="eastAsia" w:ascii="宋体" w:hAnsi="宋体" w:eastAsia="宋体" w:cs="宋体"/>
          <w:sz w:val="24"/>
          <w:szCs w:val="24"/>
        </w:rPr>
      </w:pPr>
      <w:r>
        <w:rPr>
          <w:rFonts w:hint="eastAsia" w:ascii="宋体" w:hAnsi="宋体" w:eastAsia="宋体" w:cs="宋体"/>
          <w:sz w:val="24"/>
          <w:szCs w:val="24"/>
        </w:rPr>
        <w:t>2.5.3备品备件及易损件</w:t>
      </w:r>
    </w:p>
    <w:p w14:paraId="784A4F70">
      <w:pPr>
        <w:ind w:firstLine="480" w:firstLineChars="200"/>
        <w:rPr>
          <w:rFonts w:hint="eastAsia" w:ascii="宋体" w:hAnsi="宋体" w:eastAsia="宋体" w:cs="宋体"/>
          <w:sz w:val="24"/>
          <w:szCs w:val="24"/>
        </w:rPr>
      </w:pPr>
      <w:r>
        <w:rPr>
          <w:rFonts w:hint="eastAsia" w:ascii="宋体" w:hAnsi="宋体" w:eastAsia="宋体" w:cs="宋体"/>
          <w:sz w:val="24"/>
          <w:szCs w:val="24"/>
        </w:rPr>
        <w:t>中标单位和制造商售后服务中，维修使用的备品备件及易损件应为原厂配件，未经采购人同意不得使用非原厂配件，常用的、容易损坏的备品备件及易损件的价格清单须在投标文件中列出。</w:t>
      </w:r>
    </w:p>
    <w:p w14:paraId="54AFDA41">
      <w:pPr>
        <w:ind w:firstLine="480" w:firstLineChars="200"/>
        <w:rPr>
          <w:rFonts w:hint="eastAsia" w:ascii="宋体" w:hAnsi="宋体" w:eastAsia="宋体" w:cs="宋体"/>
          <w:sz w:val="24"/>
          <w:szCs w:val="24"/>
        </w:rPr>
      </w:pPr>
      <w:r>
        <w:rPr>
          <w:rFonts w:hint="eastAsia" w:ascii="宋体" w:hAnsi="宋体" w:eastAsia="宋体" w:cs="宋体"/>
          <w:sz w:val="24"/>
          <w:szCs w:val="24"/>
        </w:rPr>
        <w:t>3售后服务承诺</w:t>
      </w:r>
    </w:p>
    <w:p w14:paraId="195DCAAD">
      <w:pPr>
        <w:ind w:firstLine="480" w:firstLineChars="200"/>
        <w:rPr>
          <w:rFonts w:hint="eastAsia" w:ascii="宋体" w:hAnsi="宋体" w:eastAsia="宋体" w:cs="宋体"/>
          <w:sz w:val="24"/>
          <w:szCs w:val="24"/>
        </w:rPr>
      </w:pPr>
      <w:r>
        <w:rPr>
          <w:rFonts w:hint="eastAsia" w:ascii="宋体" w:hAnsi="宋体" w:eastAsia="宋体" w:cs="宋体"/>
          <w:sz w:val="24"/>
          <w:szCs w:val="24"/>
        </w:rPr>
        <w:t>3.1在项目验收合格交付使用后，中标单位应对质量保修期及其以后的服务做出承诺，并具有切实可行的服务措施。不能及时兑现服务承诺内容而影响采购人使用，中标单位应怎样给予补偿，在投标文件中均应明确说明。</w:t>
      </w:r>
    </w:p>
    <w:p w14:paraId="48222FD1">
      <w:pPr>
        <w:ind w:firstLine="480" w:firstLineChars="200"/>
        <w:rPr>
          <w:rFonts w:hint="eastAsia" w:ascii="宋体" w:hAnsi="宋体" w:eastAsia="宋体" w:cs="宋体"/>
          <w:sz w:val="24"/>
          <w:szCs w:val="24"/>
        </w:rPr>
      </w:pPr>
      <w:r>
        <w:rPr>
          <w:rFonts w:hint="eastAsia" w:ascii="宋体" w:hAnsi="宋体" w:eastAsia="宋体" w:cs="宋体"/>
          <w:sz w:val="24"/>
          <w:szCs w:val="24"/>
        </w:rPr>
        <w:t>4培训</w:t>
      </w:r>
    </w:p>
    <w:p w14:paraId="73C941BF">
      <w:pPr>
        <w:ind w:firstLine="480" w:firstLineChars="200"/>
        <w:rPr>
          <w:rFonts w:hint="eastAsia" w:ascii="宋体" w:hAnsi="宋体" w:eastAsia="宋体" w:cs="宋体"/>
          <w:sz w:val="24"/>
          <w:szCs w:val="24"/>
        </w:rPr>
      </w:pPr>
      <w:r>
        <w:rPr>
          <w:rFonts w:hint="eastAsia" w:ascii="宋体" w:hAnsi="宋体" w:eastAsia="宋体" w:cs="宋体"/>
          <w:sz w:val="24"/>
          <w:szCs w:val="24"/>
        </w:rPr>
        <w:t>4.1培训内容：设备使用培训</w:t>
      </w:r>
    </w:p>
    <w:p w14:paraId="18A6A33F">
      <w:pPr>
        <w:ind w:firstLine="480" w:firstLineChars="200"/>
        <w:rPr>
          <w:rFonts w:hint="eastAsia" w:ascii="宋体" w:hAnsi="宋体" w:eastAsia="宋体" w:cs="宋体"/>
          <w:sz w:val="24"/>
          <w:szCs w:val="24"/>
        </w:rPr>
      </w:pPr>
      <w:r>
        <w:rPr>
          <w:rFonts w:hint="eastAsia" w:ascii="宋体" w:hAnsi="宋体" w:eastAsia="宋体" w:cs="宋体"/>
          <w:sz w:val="24"/>
          <w:szCs w:val="24"/>
        </w:rPr>
        <w:t>4.2培训要求：具体培训经双方协商决定</w:t>
      </w:r>
    </w:p>
    <w:p w14:paraId="52350F02">
      <w:pPr>
        <w:ind w:firstLine="480" w:firstLineChars="200"/>
        <w:rPr>
          <w:rFonts w:ascii="仿宋" w:hAnsi="仿宋" w:eastAsia="仿宋" w:cs="仿宋"/>
          <w:kern w:val="0"/>
          <w:sz w:val="32"/>
          <w:szCs w:val="32"/>
        </w:rPr>
      </w:pPr>
      <w:r>
        <w:rPr>
          <w:rFonts w:hint="eastAsia" w:ascii="宋体" w:hAnsi="宋体" w:eastAsia="宋体" w:cs="宋体"/>
          <w:sz w:val="24"/>
          <w:szCs w:val="24"/>
        </w:rPr>
        <w:t>4.3培训方式； 交货现场培训和厂家培训</w:t>
      </w:r>
      <w:r>
        <w:rPr>
          <w:rFonts w:hint="eastAsia" w:ascii="宋体" w:hAnsi="宋体" w:eastAsia="宋体" w:cs="宋体"/>
          <w:sz w:val="24"/>
          <w:szCs w:val="24"/>
          <w:lang w:eastAsia="zh-CN"/>
        </w:rPr>
        <w:t>。</w:t>
      </w:r>
      <w:r>
        <w:rPr>
          <w:rFonts w:hint="eastAsia" w:ascii="宋体" w:hAnsi="宋体" w:eastAsia="宋体" w:cs="宋体"/>
          <w:kern w:val="0"/>
          <w:sz w:val="24"/>
          <w:szCs w:val="24"/>
        </w:rPr>
        <w:t xml:space="preserve">  </w:t>
      </w:r>
      <w:r>
        <w:rPr>
          <w:rFonts w:hint="eastAsia" w:ascii="仿宋" w:hAnsi="仿宋" w:eastAsia="仿宋" w:cs="仿宋"/>
          <w:kern w:val="0"/>
          <w:sz w:val="32"/>
          <w:szCs w:val="32"/>
        </w:rPr>
        <w:t xml:space="preserve"> </w:t>
      </w:r>
    </w:p>
    <w:p w14:paraId="40C55F12">
      <w:pPr>
        <w:pStyle w:val="171"/>
        <w:numPr>
          <w:ilvl w:val="0"/>
          <w:numId w:val="0"/>
        </w:numPr>
        <w:spacing w:line="360" w:lineRule="auto"/>
        <w:ind w:leftChars="0"/>
        <w:jc w:val="center"/>
        <w:rPr>
          <w:rFonts w:hint="eastAsia" w:ascii="宋体"/>
          <w:color w:val="auto"/>
          <w:sz w:val="36"/>
          <w:szCs w:val="36"/>
          <w:highlight w:val="none"/>
        </w:rPr>
      </w:pPr>
    </w:p>
    <w:bookmarkEnd w:id="348"/>
    <w:bookmarkEnd w:id="349"/>
    <w:p w14:paraId="50F2160C">
      <w:pPr>
        <w:pStyle w:val="3"/>
        <w:spacing w:line="400" w:lineRule="exact"/>
        <w:jc w:val="center"/>
        <w:rPr>
          <w:rFonts w:hint="eastAsia" w:ascii="宋体" w:hAnsi="宋体" w:eastAsia="宋体" w:cs="宋体"/>
          <w:color w:val="auto"/>
          <w:sz w:val="36"/>
          <w:szCs w:val="36"/>
          <w:highlight w:val="none"/>
        </w:rPr>
        <w:sectPr>
          <w:headerReference r:id="rId4" w:type="first"/>
          <w:headerReference r:id="rId3" w:type="default"/>
          <w:footerReference r:id="rId5" w:type="default"/>
          <w:footerReference r:id="rId6" w:type="even"/>
          <w:pgSz w:w="11906" w:h="16838"/>
          <w:pgMar w:top="1080" w:right="1226" w:bottom="1080" w:left="1440" w:header="907" w:footer="964" w:gutter="0"/>
          <w:cols w:space="720" w:num="1"/>
          <w:rtlGutter w:val="0"/>
          <w:docGrid w:type="linesAndChars" w:linePitch="322" w:charSpace="0"/>
        </w:sectPr>
      </w:pPr>
      <w:bookmarkStart w:id="350" w:name="PO_默认文件内容_32"/>
      <w:bookmarkStart w:id="351" w:name="_Toc94182817"/>
    </w:p>
    <w:p w14:paraId="4665748C">
      <w:pPr>
        <w:pStyle w:val="3"/>
        <w:spacing w:line="400" w:lineRule="exact"/>
        <w:jc w:val="center"/>
        <w:rPr>
          <w:rFonts w:hint="eastAsia" w:ascii="宋体" w:hAnsi="宋体" w:eastAsia="宋体" w:cs="宋体"/>
          <w:color w:val="auto"/>
          <w:sz w:val="36"/>
          <w:szCs w:val="36"/>
          <w:highlight w:val="none"/>
        </w:rPr>
      </w:pPr>
      <w:r>
        <w:rPr>
          <w:rFonts w:hint="eastAsia" w:ascii="宋体"/>
          <w:color w:val="auto"/>
          <w:sz w:val="36"/>
          <w:szCs w:val="36"/>
          <w:highlight w:val="none"/>
        </w:rPr>
        <w:t>第六章</w:t>
      </w:r>
      <w:r>
        <w:rPr>
          <w:rFonts w:hint="eastAsia" w:ascii="宋体"/>
          <w:color w:val="auto"/>
          <w:sz w:val="36"/>
          <w:szCs w:val="36"/>
          <w:highlight w:val="none"/>
          <w:lang w:val="en-US" w:eastAsia="zh-CN"/>
        </w:rPr>
        <w:t xml:space="preserve"> </w:t>
      </w:r>
      <w:r>
        <w:rPr>
          <w:rFonts w:hint="eastAsia" w:ascii="宋体"/>
          <w:color w:val="auto"/>
          <w:sz w:val="36"/>
          <w:szCs w:val="36"/>
          <w:highlight w:val="none"/>
        </w:rPr>
        <w:t xml:space="preserve"> </w:t>
      </w:r>
      <w:r>
        <w:rPr>
          <w:rFonts w:hint="eastAsia" w:ascii="宋体"/>
          <w:color w:val="auto"/>
          <w:sz w:val="36"/>
          <w:szCs w:val="36"/>
          <w:highlight w:val="none"/>
          <w:lang w:eastAsia="zh-CN"/>
        </w:rPr>
        <w:t>拟签订的合同文本</w:t>
      </w:r>
    </w:p>
    <w:bookmarkEnd w:id="350"/>
    <w:bookmarkEnd w:id="351"/>
    <w:p w14:paraId="2107AC8B">
      <w:pPr>
        <w:pStyle w:val="3"/>
        <w:jc w:val="center"/>
        <w:rPr>
          <w:rFonts w:hint="eastAsia" w:ascii="宋体" w:hAnsi="宋体" w:eastAsia="宋体" w:cs="宋体"/>
        </w:rPr>
      </w:pPr>
      <w:r>
        <w:rPr>
          <w:rFonts w:hint="eastAsia" w:ascii="宋体" w:hAnsi="宋体" w:eastAsia="宋体" w:cs="宋体"/>
          <w:lang w:val="en-US" w:eastAsia="zh-CN"/>
        </w:rPr>
        <w:t>【 】</w:t>
      </w:r>
      <w:r>
        <w:rPr>
          <w:rFonts w:hint="eastAsia" w:ascii="宋体" w:hAnsi="宋体" w:eastAsia="宋体" w:cs="宋体"/>
        </w:rPr>
        <w:t>项目</w:t>
      </w:r>
    </w:p>
    <w:p w14:paraId="5C7BC9D9">
      <w:pPr>
        <w:pStyle w:val="3"/>
        <w:jc w:val="center"/>
        <w:rPr>
          <w:rFonts w:hint="eastAsia" w:ascii="宋体" w:hAnsi="宋体" w:eastAsia="宋体" w:cs="宋体"/>
        </w:rPr>
      </w:pPr>
      <w:r>
        <w:rPr>
          <w:rFonts w:hint="eastAsia" w:ascii="宋体" w:hAnsi="宋体" w:eastAsia="宋体" w:cs="宋体"/>
          <w:lang w:val="en-US" w:eastAsia="zh-CN"/>
        </w:rPr>
        <w:t>采购</w:t>
      </w:r>
      <w:r>
        <w:rPr>
          <w:rFonts w:hint="eastAsia" w:ascii="宋体" w:hAnsi="宋体" w:eastAsia="宋体" w:cs="宋体"/>
        </w:rPr>
        <w:t>合同</w:t>
      </w:r>
    </w:p>
    <w:p w14:paraId="62C38DE7">
      <w:pPr>
        <w:spacing w:line="560" w:lineRule="exact"/>
        <w:textAlignment w:val="baseline"/>
        <w:rPr>
          <w:rFonts w:hint="eastAsia" w:ascii="宋体" w:hAnsi="宋体" w:eastAsia="宋体" w:cs="宋体"/>
          <w:b/>
          <w:sz w:val="44"/>
          <w:szCs w:val="44"/>
        </w:rPr>
      </w:pPr>
    </w:p>
    <w:p w14:paraId="3860B51E">
      <w:pPr>
        <w:pStyle w:val="67"/>
        <w:rPr>
          <w:rFonts w:hint="eastAsia" w:ascii="宋体" w:hAnsi="宋体" w:eastAsia="宋体" w:cs="宋体"/>
        </w:rPr>
      </w:pPr>
    </w:p>
    <w:p w14:paraId="5B805CA2">
      <w:pPr>
        <w:pStyle w:val="67"/>
        <w:rPr>
          <w:rFonts w:hint="eastAsia" w:ascii="宋体" w:hAnsi="宋体" w:eastAsia="宋体" w:cs="宋体"/>
        </w:rPr>
      </w:pPr>
    </w:p>
    <w:p w14:paraId="4CB1A120">
      <w:pPr>
        <w:pStyle w:val="67"/>
        <w:rPr>
          <w:rFonts w:hint="eastAsia" w:ascii="宋体" w:hAnsi="宋体" w:eastAsia="宋体" w:cs="宋体"/>
        </w:rPr>
      </w:pPr>
    </w:p>
    <w:p w14:paraId="3F23FBD5">
      <w:pPr>
        <w:pStyle w:val="67"/>
        <w:rPr>
          <w:rFonts w:hint="eastAsia" w:ascii="宋体" w:hAnsi="宋体" w:eastAsia="宋体" w:cs="宋体"/>
        </w:rPr>
      </w:pPr>
    </w:p>
    <w:p w14:paraId="1ED42792">
      <w:pPr>
        <w:spacing w:line="560" w:lineRule="exact"/>
        <w:textAlignment w:val="baseline"/>
        <w:rPr>
          <w:rFonts w:hint="eastAsia" w:ascii="宋体" w:hAnsi="宋体" w:eastAsia="宋体" w:cs="宋体"/>
          <w:b/>
          <w:sz w:val="44"/>
          <w:szCs w:val="44"/>
        </w:rPr>
      </w:pPr>
    </w:p>
    <w:p w14:paraId="757FF1FC">
      <w:pPr>
        <w:pStyle w:val="67"/>
        <w:rPr>
          <w:rFonts w:hint="eastAsia" w:ascii="宋体" w:hAnsi="宋体" w:eastAsia="宋体" w:cs="宋体"/>
        </w:rPr>
      </w:pPr>
    </w:p>
    <w:p w14:paraId="2B31BD64">
      <w:pPr>
        <w:spacing w:line="560" w:lineRule="exact"/>
        <w:jc w:val="both"/>
        <w:textAlignment w:val="baseline"/>
        <w:rPr>
          <w:rFonts w:hint="eastAsia" w:ascii="宋体" w:hAnsi="宋体" w:eastAsia="宋体" w:cs="宋体"/>
          <w:b/>
          <w:sz w:val="32"/>
          <w:szCs w:val="32"/>
        </w:rPr>
      </w:pPr>
    </w:p>
    <w:p w14:paraId="4A2DAA82">
      <w:pPr>
        <w:spacing w:line="360" w:lineRule="auto"/>
        <w:ind w:firstLine="1292" w:firstLineChars="425"/>
        <w:jc w:val="left"/>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甲方（</w:t>
      </w:r>
      <w:r>
        <w:rPr>
          <w:rFonts w:hint="eastAsia" w:ascii="宋体" w:hAnsi="宋体" w:eastAsia="宋体" w:cs="宋体"/>
          <w:sz w:val="30"/>
          <w:szCs w:val="30"/>
        </w:rPr>
        <w:t>买方</w:t>
      </w:r>
      <w:r>
        <w:rPr>
          <w:rFonts w:hint="eastAsia" w:ascii="宋体" w:hAnsi="宋体" w:eastAsia="宋体" w:cs="宋体"/>
          <w:sz w:val="30"/>
          <w:szCs w:val="30"/>
          <w:lang w:eastAsia="zh-CN"/>
        </w:rPr>
        <w:t>）</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14:paraId="357ED54B">
      <w:pPr>
        <w:spacing w:line="360" w:lineRule="auto"/>
        <w:ind w:firstLine="1292" w:firstLineChars="425"/>
        <w:jc w:val="left"/>
        <w:textAlignment w:val="baseline"/>
        <w:rPr>
          <w:rFonts w:hint="eastAsia" w:ascii="宋体" w:hAnsi="宋体" w:eastAsia="宋体" w:cs="宋体"/>
          <w:sz w:val="30"/>
          <w:szCs w:val="30"/>
          <w:lang w:val="en-US" w:eastAsia="zh-CN"/>
        </w:rPr>
      </w:pPr>
    </w:p>
    <w:p w14:paraId="31347CC7">
      <w:pPr>
        <w:spacing w:line="360" w:lineRule="auto"/>
        <w:ind w:firstLine="1292" w:firstLineChars="425"/>
        <w:jc w:val="left"/>
        <w:textAlignment w:val="baseline"/>
        <w:rPr>
          <w:rFonts w:hint="eastAsia" w:ascii="宋体" w:hAnsi="宋体" w:eastAsia="宋体" w:cs="宋体"/>
          <w:sz w:val="30"/>
          <w:szCs w:val="30"/>
        </w:rPr>
      </w:pPr>
      <w:r>
        <w:rPr>
          <w:rFonts w:hint="eastAsia" w:ascii="宋体" w:hAnsi="宋体" w:eastAsia="宋体" w:cs="宋体"/>
          <w:sz w:val="30"/>
          <w:szCs w:val="30"/>
        </w:rPr>
        <w:t>乙方（卖方）：</w:t>
      </w:r>
    </w:p>
    <w:p w14:paraId="15EE16D9">
      <w:pPr>
        <w:spacing w:line="360" w:lineRule="auto"/>
        <w:ind w:firstLine="1292" w:firstLineChars="425"/>
        <w:jc w:val="left"/>
        <w:textAlignment w:val="baseline"/>
        <w:rPr>
          <w:rFonts w:hint="eastAsia" w:ascii="宋体" w:hAnsi="宋体" w:eastAsia="宋体" w:cs="宋体"/>
          <w:sz w:val="30"/>
          <w:szCs w:val="30"/>
        </w:rPr>
      </w:pPr>
    </w:p>
    <w:p w14:paraId="57B6F1E8">
      <w:pPr>
        <w:spacing w:line="360" w:lineRule="auto"/>
        <w:ind w:firstLine="1292" w:firstLineChars="425"/>
        <w:jc w:val="left"/>
        <w:textAlignment w:val="baseline"/>
        <w:rPr>
          <w:rFonts w:hint="eastAsia" w:ascii="宋体" w:hAnsi="宋体" w:eastAsia="宋体" w:cs="宋体"/>
          <w:sz w:val="30"/>
          <w:szCs w:val="30"/>
        </w:rPr>
      </w:pPr>
      <w:r>
        <w:rPr>
          <w:rFonts w:hint="eastAsia" w:ascii="宋体" w:hAnsi="宋体" w:eastAsia="宋体" w:cs="宋体"/>
          <w:sz w:val="30"/>
          <w:szCs w:val="30"/>
        </w:rPr>
        <w:t>签约地点：</w:t>
      </w:r>
    </w:p>
    <w:p w14:paraId="26E32112">
      <w:pPr>
        <w:spacing w:line="360" w:lineRule="auto"/>
        <w:ind w:firstLine="1292" w:firstLineChars="425"/>
        <w:jc w:val="left"/>
        <w:textAlignment w:val="baseline"/>
        <w:rPr>
          <w:rFonts w:hint="eastAsia" w:ascii="宋体" w:hAnsi="宋体" w:eastAsia="宋体" w:cs="宋体"/>
          <w:sz w:val="30"/>
          <w:szCs w:val="30"/>
        </w:rPr>
      </w:pPr>
    </w:p>
    <w:p w14:paraId="4499B1B5">
      <w:pPr>
        <w:spacing w:line="360" w:lineRule="auto"/>
        <w:ind w:firstLine="1292" w:firstLineChars="425"/>
        <w:jc w:val="left"/>
        <w:textAlignment w:val="baseline"/>
        <w:rPr>
          <w:rFonts w:hint="eastAsia" w:ascii="宋体" w:hAnsi="宋体" w:eastAsia="宋体" w:cs="宋体"/>
          <w:sz w:val="30"/>
          <w:szCs w:val="30"/>
        </w:rPr>
      </w:pPr>
      <w:r>
        <w:rPr>
          <w:rFonts w:hint="eastAsia" w:ascii="宋体" w:hAnsi="宋体" w:eastAsia="宋体" w:cs="宋体"/>
          <w:sz w:val="30"/>
          <w:szCs w:val="30"/>
        </w:rPr>
        <w:t>签约日期：    年   月   日</w:t>
      </w:r>
    </w:p>
    <w:p w14:paraId="29C7651F">
      <w:pPr>
        <w:spacing w:line="360" w:lineRule="auto"/>
        <w:textAlignment w:val="baseline"/>
        <w:rPr>
          <w:rFonts w:hint="eastAsia" w:ascii="宋体" w:hAnsi="宋体" w:eastAsia="宋体" w:cs="宋体"/>
          <w:sz w:val="36"/>
          <w:szCs w:val="36"/>
        </w:rPr>
      </w:pPr>
    </w:p>
    <w:p w14:paraId="00D7E557">
      <w:pPr>
        <w:pStyle w:val="67"/>
        <w:rPr>
          <w:rFonts w:hint="eastAsia" w:ascii="宋体" w:hAnsi="宋体" w:eastAsia="宋体" w:cs="宋体"/>
        </w:rPr>
      </w:pPr>
    </w:p>
    <w:p w14:paraId="574D38E9">
      <w:pPr>
        <w:pStyle w:val="67"/>
        <w:rPr>
          <w:rFonts w:hint="eastAsia" w:ascii="宋体" w:hAnsi="宋体" w:eastAsia="宋体" w:cs="宋体"/>
        </w:rPr>
      </w:pPr>
    </w:p>
    <w:p w14:paraId="74E96491">
      <w:pPr>
        <w:pStyle w:val="67"/>
        <w:rPr>
          <w:rFonts w:hint="eastAsia" w:ascii="宋体" w:hAnsi="宋体" w:eastAsia="宋体" w:cs="宋体"/>
        </w:rPr>
      </w:pPr>
    </w:p>
    <w:p w14:paraId="64334483">
      <w:pPr>
        <w:keepNext w:val="0"/>
        <w:keepLines w:val="0"/>
        <w:pageBreakBefore w:val="0"/>
        <w:widowControl w:val="0"/>
        <w:kinsoku/>
        <w:wordWrap/>
        <w:overflowPunct/>
        <w:topLinePunct w:val="0"/>
        <w:autoSpaceDE/>
        <w:autoSpaceDN/>
        <w:bidi w:val="0"/>
        <w:snapToGrid w:val="0"/>
        <w:spacing w:line="5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甲方（买方）：</w:t>
      </w:r>
      <w:r>
        <w:rPr>
          <w:rFonts w:hint="eastAsia" w:ascii="宋体" w:hAnsi="宋体" w:eastAsia="宋体" w:cs="宋体"/>
          <w:sz w:val="24"/>
          <w:szCs w:val="24"/>
          <w:lang w:val="en-US" w:eastAsia="zh-CN"/>
        </w:rPr>
        <w:t xml:space="preserve"> </w:t>
      </w:r>
    </w:p>
    <w:p w14:paraId="573DA1E1">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 </w:t>
      </w:r>
    </w:p>
    <w:p w14:paraId="4DFF973C">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电话：</w:t>
      </w:r>
    </w:p>
    <w:p w14:paraId="1CBBE605">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p w14:paraId="351C5D53">
      <w:pPr>
        <w:pStyle w:val="67"/>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p>
    <w:p w14:paraId="2414E77F">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乙方（卖方）：</w:t>
      </w:r>
    </w:p>
    <w:p w14:paraId="469849B6">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地址： </w:t>
      </w:r>
    </w:p>
    <w:p w14:paraId="3E2F8E4B">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电话：</w:t>
      </w:r>
    </w:p>
    <w:p w14:paraId="2AE6095E">
      <w:pPr>
        <w:keepNext w:val="0"/>
        <w:keepLines w:val="0"/>
        <w:pageBreakBefore w:val="0"/>
        <w:widowControl w:val="0"/>
        <w:kinsoku/>
        <w:wordWrap/>
        <w:overflowPunct/>
        <w:topLinePunct w:val="0"/>
        <w:autoSpaceDE/>
        <w:autoSpaceDN/>
        <w:bidi w:val="0"/>
        <w:snapToGrid w:val="0"/>
        <w:spacing w:line="5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p w14:paraId="545CD755">
      <w:pPr>
        <w:keepNext w:val="0"/>
        <w:keepLines w:val="0"/>
        <w:pageBreakBefore w:val="0"/>
        <w:widowControl w:val="0"/>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sz w:val="24"/>
          <w:szCs w:val="24"/>
          <w:lang w:val="en-US"/>
        </w:rPr>
      </w:pPr>
    </w:p>
    <w:p w14:paraId="25BFDBA4">
      <w:pPr>
        <w:pStyle w:val="46"/>
        <w:keepNext w:val="0"/>
        <w:keepLines w:val="0"/>
        <w:pageBreakBefore w:val="0"/>
        <w:widowControl w:val="0"/>
        <w:kinsoku/>
        <w:wordWrap/>
        <w:overflowPunct/>
        <w:topLinePunct w:val="0"/>
        <w:autoSpaceDE/>
        <w:autoSpaceDN/>
        <w:bidi w:val="0"/>
        <w:adjustRightInd/>
        <w:snapToGrid/>
        <w:ind w:left="0" w:leftChars="0" w:firstLine="488" w:firstLineChars="200"/>
        <w:textAlignment w:val="auto"/>
        <w:rPr>
          <w:rFonts w:hint="eastAsia" w:ascii="宋体" w:hAnsi="宋体" w:eastAsia="宋体" w:cs="宋体"/>
          <w:b/>
          <w:bCs/>
          <w:sz w:val="24"/>
          <w:szCs w:val="24"/>
          <w:u w:val="single" w:color="000000"/>
        </w:rPr>
      </w:pPr>
      <w:r>
        <w:rPr>
          <w:rFonts w:hint="eastAsia" w:ascii="宋体" w:hAnsi="宋体" w:eastAsia="宋体" w:cs="宋体"/>
          <w:kern w:val="2"/>
          <w:sz w:val="24"/>
          <w:szCs w:val="24"/>
          <w:lang w:val="en-US" w:eastAsia="zh-CN" w:bidi="ar-SA"/>
        </w:rPr>
        <w:t>甲乙双方就【】采购事宜，根据</w:t>
      </w:r>
      <w:r>
        <w:rPr>
          <w:rFonts w:hint="eastAsia" w:ascii="宋体" w:hAnsi="宋体" w:eastAsia="宋体" w:cs="宋体"/>
          <w:sz w:val="24"/>
          <w:szCs w:val="24"/>
        </w:rPr>
        <w:t xml:space="preserve">《中华人民共和国民法典》等规定，本着平等、自愿、互利、互惠的原则，经各方协商一致，订立本合同。  </w:t>
      </w:r>
    </w:p>
    <w:p w14:paraId="6B44BBEB">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合同标的</w:t>
      </w:r>
    </w:p>
    <w:p w14:paraId="37D8EF5A">
      <w:pPr>
        <w:keepNext w:val="0"/>
        <w:keepLines w:val="0"/>
        <w:pageBreakBefore w:val="0"/>
        <w:widowControl w:val="0"/>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1、货物</w:t>
      </w:r>
      <w:r>
        <w:rPr>
          <w:rFonts w:hint="eastAsia" w:ascii="宋体" w:hAnsi="宋体" w:eastAsia="宋体" w:cs="宋体"/>
          <w:sz w:val="24"/>
          <w:szCs w:val="24"/>
          <w:lang w:eastAsia="zh-CN"/>
        </w:rPr>
        <w:t>：</w:t>
      </w:r>
      <w:r>
        <w:rPr>
          <w:rFonts w:hint="eastAsia" w:ascii="宋体" w:hAnsi="宋体" w:eastAsia="宋体" w:cs="宋体"/>
          <w:sz w:val="24"/>
          <w:szCs w:val="24"/>
        </w:rPr>
        <w:t>乙方按照甲方提供的采购计划在</w:t>
      </w:r>
      <w:r>
        <w:rPr>
          <w:rFonts w:hint="eastAsia" w:ascii="宋体" w:hAnsi="宋体" w:eastAsia="宋体" w:cs="宋体"/>
          <w:sz w:val="24"/>
          <w:szCs w:val="24"/>
          <w:lang w:val="en-US" w:eastAsia="zh-CN"/>
        </w:rPr>
        <w:t>甲方要求的期限</w:t>
      </w:r>
      <w:r>
        <w:rPr>
          <w:rFonts w:hint="eastAsia" w:ascii="宋体" w:hAnsi="宋体" w:eastAsia="宋体" w:cs="宋体"/>
          <w:sz w:val="24"/>
          <w:szCs w:val="24"/>
        </w:rPr>
        <w:t>内保质、保量、及时组织配送，所供货物的品种、规格、数量、质量、价格、保质期等方面的标准应符合本合同约定的验收标准。</w:t>
      </w:r>
    </w:p>
    <w:p w14:paraId="4DACC062">
      <w:pPr>
        <w:keepNext w:val="0"/>
        <w:keepLines w:val="0"/>
        <w:pageBreakBefore w:val="0"/>
        <w:widowControl w:val="0"/>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2、数量及价格</w:t>
      </w:r>
      <w:r>
        <w:rPr>
          <w:rFonts w:hint="eastAsia" w:ascii="宋体" w:hAnsi="宋体" w:eastAsia="宋体" w:cs="宋体"/>
          <w:sz w:val="24"/>
          <w:szCs w:val="24"/>
          <w:lang w:val="en-US" w:eastAsia="zh-CN"/>
        </w:rPr>
        <w:t>详见附件1《供货清单》；</w:t>
      </w:r>
      <w:r>
        <w:rPr>
          <w:rFonts w:hint="eastAsia" w:ascii="宋体" w:hAnsi="宋体" w:eastAsia="宋体" w:cs="宋体"/>
          <w:sz w:val="24"/>
          <w:szCs w:val="24"/>
        </w:rPr>
        <w:t>详细技术要求见附件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XXX技术参数</w:t>
      </w:r>
      <w:r>
        <w:rPr>
          <w:rFonts w:hint="eastAsia" w:ascii="宋体" w:hAnsi="宋体" w:eastAsia="宋体" w:cs="宋体"/>
          <w:sz w:val="24"/>
          <w:szCs w:val="24"/>
          <w:lang w:eastAsia="zh-CN"/>
        </w:rPr>
        <w:t>》。</w:t>
      </w:r>
    </w:p>
    <w:p w14:paraId="51267CCB">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3、本合同为固定单价，合同总价为¥</w:t>
      </w:r>
      <w:r>
        <w:rPr>
          <w:rFonts w:hint="eastAsia" w:ascii="宋体" w:hAnsi="宋体" w:eastAsia="宋体" w:cs="宋体"/>
          <w:sz w:val="24"/>
          <w:szCs w:val="24"/>
          <w:lang w:val="en-US" w:eastAsia="zh-CN"/>
        </w:rPr>
        <w:t>【】</w:t>
      </w:r>
      <w:r>
        <w:rPr>
          <w:rFonts w:hint="eastAsia" w:ascii="宋体" w:hAnsi="宋体" w:eastAsia="宋体" w:cs="宋体"/>
          <w:sz w:val="24"/>
          <w:szCs w:val="24"/>
        </w:rPr>
        <w:t>元（大写：人民币</w:t>
      </w:r>
      <w:r>
        <w:rPr>
          <w:rFonts w:hint="eastAsia" w:ascii="宋体" w:hAnsi="宋体" w:eastAsia="宋体" w:cs="宋体"/>
          <w:sz w:val="24"/>
          <w:szCs w:val="24"/>
          <w:lang w:val="en-US" w:eastAsia="zh-CN"/>
        </w:rPr>
        <w:t>【】</w:t>
      </w:r>
      <w:r>
        <w:rPr>
          <w:rFonts w:hint="eastAsia" w:ascii="宋体" w:hAnsi="宋体" w:eastAsia="宋体" w:cs="宋体"/>
          <w:sz w:val="24"/>
          <w:szCs w:val="24"/>
        </w:rPr>
        <w:t>元整），包含税费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税率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。合同价格已包括货物供给、货物包装、运输费、安装费、调试、装卸费和保险等的全部费用及相关税费。乙方应保证甲方除支付合同约定货款之外无需再行支付其他任何费用和款项。 </w:t>
      </w:r>
    </w:p>
    <w:p w14:paraId="405C35A4">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附件1《供货清单》</w:t>
      </w:r>
      <w:r>
        <w:rPr>
          <w:rFonts w:hint="eastAsia" w:ascii="宋体" w:hAnsi="宋体" w:eastAsia="宋体" w:cs="宋体"/>
          <w:sz w:val="24"/>
          <w:szCs w:val="24"/>
        </w:rPr>
        <w:t>是基于乙方在完全理解本项目材料所需为前提，同时甲方对清单中的名称、规格、材质及数量等没有校对的义务，乙方在合同</w:t>
      </w:r>
      <w:r>
        <w:rPr>
          <w:rFonts w:hint="eastAsia" w:ascii="宋体" w:hAnsi="宋体" w:eastAsia="宋体" w:cs="宋体"/>
          <w:sz w:val="24"/>
          <w:szCs w:val="24"/>
          <w:lang w:val="en-US" w:eastAsia="zh-CN"/>
        </w:rPr>
        <w:t>履行</w:t>
      </w:r>
      <w:r>
        <w:rPr>
          <w:rFonts w:hint="eastAsia" w:ascii="宋体" w:hAnsi="宋体" w:eastAsia="宋体" w:cs="宋体"/>
          <w:sz w:val="24"/>
          <w:szCs w:val="24"/>
        </w:rPr>
        <w:t>期内不得对清单的综合费用提出任何费用的增加。实际供货数量以双方签字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确认的数量为准。 </w:t>
      </w:r>
    </w:p>
    <w:p w14:paraId="7AC51372">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质量保证</w:t>
      </w:r>
    </w:p>
    <w:p w14:paraId="1EF3D4C5">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44C00931">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2、乙方保证本合同货物是全新的、未使用过的，并符合国家技术规格和国家质量标准的出厂原装合格产品，产品型号、数量、规格及技术、质量标准、售后服务必须满足甲方采购要求。</w:t>
      </w:r>
    </w:p>
    <w:p w14:paraId="37742FC3">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3、乙方提供的</w:t>
      </w:r>
      <w:r>
        <w:rPr>
          <w:rFonts w:hint="eastAsia" w:ascii="宋体" w:hAnsi="宋体" w:eastAsia="宋体" w:cs="宋体"/>
          <w:sz w:val="24"/>
          <w:szCs w:val="24"/>
          <w:lang w:val="en-US" w:eastAsia="zh-CN"/>
        </w:rPr>
        <w:t>货物</w:t>
      </w:r>
      <w:r>
        <w:rPr>
          <w:rFonts w:hint="eastAsia" w:ascii="宋体" w:hAnsi="宋体" w:eastAsia="宋体" w:cs="宋体"/>
          <w:sz w:val="24"/>
          <w:szCs w:val="24"/>
        </w:rPr>
        <w:t>进入甲方后，应接受国家、省、市有关行业主管部门的抽查或检查。由此发生的资质、标识或产品质量问题的罚没事项均由乙方自行承担。</w:t>
      </w:r>
    </w:p>
    <w:p w14:paraId="7E437C14">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4、货物在交货过程中，发生意外事故和故障损失，如撞、刮、裂、损等均由乙方承担责任。</w:t>
      </w:r>
    </w:p>
    <w:p w14:paraId="57EE8305">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5、乙方应保证交付货物不存在侵犯第三人合法权利之情形，否则所有责任由乙方承担。因此给甲方造成损失的，乙方双倍赔偿。</w:t>
      </w:r>
    </w:p>
    <w:p w14:paraId="103534C2">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6、如双方对质量或数量有异议，可以共同委托第三方评估或鉴定。共同委托时由双方对半垫付费用，最终由责任方或者误差较大方承担全部费用。</w:t>
      </w:r>
    </w:p>
    <w:p w14:paraId="590AA2AA">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质量保证期</w:t>
      </w:r>
      <w:r>
        <w:rPr>
          <w:rFonts w:hint="eastAsia" w:ascii="宋体" w:hAnsi="宋体" w:eastAsia="宋体" w:cs="宋体"/>
          <w:b/>
          <w:sz w:val="24"/>
          <w:szCs w:val="24"/>
          <w:lang w:val="en-US" w:eastAsia="zh-CN"/>
        </w:rPr>
        <w:t>及售后服务</w:t>
      </w:r>
    </w:p>
    <w:p w14:paraId="0CD64E49">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1、货物质保期</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年，自</w:t>
      </w:r>
      <w:r>
        <w:rPr>
          <w:rFonts w:hint="eastAsia" w:ascii="宋体" w:hAnsi="宋体" w:eastAsia="宋体" w:cs="宋体"/>
          <w:sz w:val="24"/>
          <w:szCs w:val="24"/>
          <w:highlight w:val="none"/>
          <w:lang w:val="en-US" w:eastAsia="zh-CN"/>
        </w:rPr>
        <w:t>乙方交付全部货物并</w:t>
      </w:r>
      <w:r>
        <w:rPr>
          <w:rFonts w:hint="eastAsia" w:ascii="宋体" w:hAnsi="宋体" w:eastAsia="宋体" w:cs="宋体"/>
          <w:sz w:val="24"/>
          <w:szCs w:val="24"/>
          <w:highlight w:val="none"/>
          <w:lang w:val="en-US" w:eastAsia="zh-Hans"/>
        </w:rPr>
        <w:t>经</w:t>
      </w:r>
      <w:r>
        <w:rPr>
          <w:rFonts w:hint="eastAsia" w:ascii="宋体" w:hAnsi="宋体" w:eastAsia="宋体" w:cs="宋体"/>
          <w:sz w:val="24"/>
          <w:szCs w:val="24"/>
          <w:highlight w:val="none"/>
        </w:rPr>
        <w:t>甲方书面验收合格</w:t>
      </w:r>
      <w:r>
        <w:rPr>
          <w:rFonts w:hint="eastAsia" w:ascii="宋体" w:hAnsi="宋体" w:eastAsia="宋体" w:cs="宋体"/>
          <w:sz w:val="24"/>
          <w:szCs w:val="24"/>
          <w:highlight w:val="none"/>
          <w:lang w:val="en-US" w:eastAsia="zh-CN"/>
        </w:rPr>
        <w:t>之日起</w:t>
      </w:r>
      <w:r>
        <w:rPr>
          <w:rFonts w:hint="eastAsia" w:ascii="宋体" w:hAnsi="宋体" w:eastAsia="宋体" w:cs="宋体"/>
          <w:sz w:val="24"/>
          <w:szCs w:val="24"/>
          <w:highlight w:val="none"/>
        </w:rPr>
        <w:t>计算。</w:t>
      </w:r>
    </w:p>
    <w:p w14:paraId="0D200180">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在质量保证期内，因产品质量出现问题，乙方负责在三天内免费更换，并承担与更换货物相关的运费、安装、调试、保险等一切费用。乙方接到甲方通知后未依照约定时间和要求更换货物的，甲方有权要求乙方赔偿甲方全部损失，</w:t>
      </w:r>
      <w:r>
        <w:rPr>
          <w:rFonts w:hint="eastAsia" w:ascii="宋体" w:hAnsi="宋体" w:eastAsia="宋体" w:cs="宋体"/>
          <w:sz w:val="24"/>
          <w:szCs w:val="24"/>
          <w:highlight w:val="none"/>
          <w:lang w:val="en-US" w:eastAsia="zh-CN"/>
        </w:rPr>
        <w:t>乙方还应</w:t>
      </w:r>
      <w:r>
        <w:rPr>
          <w:rFonts w:hint="eastAsia" w:ascii="宋体" w:hAnsi="宋体" w:eastAsia="宋体" w:cs="宋体"/>
          <w:sz w:val="24"/>
          <w:szCs w:val="24"/>
          <w:highlight w:val="none"/>
        </w:rPr>
        <w:t>按本合同第九条的约定承担相应的违约责任。</w:t>
      </w:r>
    </w:p>
    <w:p w14:paraId="2E9688CA">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w:t>
      </w:r>
      <w:r>
        <w:rPr>
          <w:rFonts w:hint="eastAsia" w:ascii="宋体" w:hAnsi="宋体" w:eastAsia="宋体" w:cs="宋体"/>
          <w:sz w:val="24"/>
          <w:szCs w:val="24"/>
          <w:highlight w:val="none"/>
        </w:rPr>
        <w:t>专门为</w:t>
      </w:r>
      <w:r>
        <w:rPr>
          <w:rFonts w:hint="eastAsia" w:ascii="宋体" w:hAnsi="宋体" w:eastAsia="宋体" w:cs="宋体"/>
          <w:sz w:val="24"/>
          <w:szCs w:val="24"/>
          <w:highlight w:val="none"/>
          <w:lang w:val="en-US" w:eastAsia="zh-CN"/>
        </w:rPr>
        <w:t>甲方项目</w:t>
      </w:r>
      <w:r>
        <w:rPr>
          <w:rFonts w:hint="eastAsia" w:ascii="宋体" w:hAnsi="宋体" w:eastAsia="宋体" w:cs="宋体"/>
          <w:sz w:val="24"/>
          <w:szCs w:val="24"/>
          <w:highlight w:val="none"/>
        </w:rPr>
        <w:t>组建专业的应急维修服务队。应急维修服务队由经验丰富的现场工程师和维修技工组成，电话 24 小时接听，接到应急维修服务咨询后 5 分钟内做出响应，40 分钟内到达服务现场。</w:t>
      </w:r>
    </w:p>
    <w:p w14:paraId="5035E851">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交货时间、地点</w:t>
      </w:r>
    </w:p>
    <w:p w14:paraId="064C7680">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1、乙方于</w:t>
      </w:r>
      <w:r>
        <w:rPr>
          <w:rFonts w:hint="eastAsia" w:ascii="宋体" w:hAnsi="宋体" w:eastAsia="宋体" w:cs="宋体"/>
          <w:sz w:val="24"/>
          <w:szCs w:val="24"/>
          <w:highlight w:val="none"/>
          <w:lang w:val="en-US" w:eastAsia="zh-CN"/>
        </w:rPr>
        <w:t>本合同签订</w:t>
      </w:r>
      <w:r>
        <w:rPr>
          <w:rFonts w:hint="eastAsia" w:ascii="宋体" w:hAnsi="宋体" w:eastAsia="宋体" w:cs="宋体"/>
          <w:sz w:val="24"/>
          <w:szCs w:val="24"/>
          <w:highlight w:val="none"/>
          <w:u w:val="none"/>
        </w:rPr>
        <w:t>后30日内</w:t>
      </w:r>
      <w:r>
        <w:rPr>
          <w:rFonts w:hint="eastAsia" w:ascii="宋体" w:hAnsi="宋体" w:eastAsia="宋体" w:cs="宋体"/>
          <w:sz w:val="24"/>
          <w:szCs w:val="24"/>
          <w:highlight w:val="none"/>
        </w:rPr>
        <w:t>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全部/部分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货物送达（并安装调试完毕）至以下指定地点：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，并确保配合甲方完成验收工作。</w:t>
      </w:r>
      <w:r>
        <w:rPr>
          <w:rFonts w:hint="eastAsia" w:ascii="宋体" w:hAnsi="宋体" w:eastAsia="宋体" w:cs="宋体"/>
          <w:sz w:val="24"/>
          <w:szCs w:val="24"/>
          <w:highlight w:val="none"/>
          <w:lang w:val="en-US" w:eastAsia="zh-CN"/>
        </w:rPr>
        <w:t>剩余货物按照甲方的要求交付。</w:t>
      </w:r>
    </w:p>
    <w:p w14:paraId="4B7A607A">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highlight w:val="none"/>
        </w:rPr>
        <w:t>2、到货地点和接货单位（或接货人）。甲方指定的接货人</w:t>
      </w:r>
      <w:r>
        <w:rPr>
          <w:rFonts w:hint="eastAsia" w:ascii="宋体" w:hAnsi="宋体" w:eastAsia="宋体" w:cs="宋体"/>
          <w:sz w:val="24"/>
          <w:szCs w:val="24"/>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；双方明确，除该指定接货人外，其他任何人员（包括甲方的其他任何工作人员）签署的接货单，甲方均不予认可，因此造成的损失由乙方自行承担。</w:t>
      </w:r>
    </w:p>
    <w:p w14:paraId="0183AE4B">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3、在交付时，乙方必须向甲方提供质量合格证书、技术资料（操作、维修、保养）、保修凭证等一切相关资料及配件，否则，甲方有权不予付款且不承担违约责任。</w:t>
      </w:r>
    </w:p>
    <w:p w14:paraId="0BA2BED4">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4、交货完成前（即货物交付完成且经甲方验收合格前），本合同项下商品的损毁灭失风险由乙方承担，交货完成后（即货物交付完成且经甲方验收合格后），商品的所有权及损毁灭失风险转移至甲方。</w:t>
      </w:r>
    </w:p>
    <w:p w14:paraId="74EA6471">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产品包装及运输</w:t>
      </w:r>
    </w:p>
    <w:p w14:paraId="26257ED9">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１、包装必须与运输方式相适应，包装方式的确定和包装费用均由乙方负责</w:t>
      </w:r>
      <w:r>
        <w:rPr>
          <w:rFonts w:hint="eastAsia" w:ascii="宋体" w:hAnsi="宋体" w:eastAsia="宋体" w:cs="宋体"/>
          <w:bCs/>
          <w:sz w:val="24"/>
          <w:szCs w:val="24"/>
          <w:lang w:eastAsia="zh-CN"/>
        </w:rPr>
        <w:t>；</w:t>
      </w:r>
      <w:r>
        <w:rPr>
          <w:rFonts w:hint="eastAsia" w:ascii="宋体" w:hAnsi="宋体" w:eastAsia="宋体" w:cs="宋体"/>
          <w:bCs/>
          <w:sz w:val="24"/>
          <w:szCs w:val="24"/>
        </w:rPr>
        <w:t>由于不适当的包装而造成的货物有任何的损坏由乙方负责。</w:t>
      </w:r>
    </w:p>
    <w:p w14:paraId="0BD01F56">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２、乙方提供的全部货物必须按照国家规定的相关标准进行包装，包装应适于远距离运输，并有良好的防潮、防震、防锈和防野蛮装卸等保护措施，以确保货物安全运抵现场。乙方应承担因其包装或防护措施不妥而引起货物锈蚀、损坏和丢失的任何损失的责任或费用。</w:t>
      </w:r>
    </w:p>
    <w:p w14:paraId="6FE402C3">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3、包装费、运输费、装卸费和保险费均已包含在合同单价内。</w:t>
      </w:r>
    </w:p>
    <w:p w14:paraId="17380E09">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4、运输途中的货物安全问题均由乙方负责。</w:t>
      </w:r>
    </w:p>
    <w:p w14:paraId="30253AFE">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bCs w:val="0"/>
          <w:sz w:val="24"/>
          <w:szCs w:val="24"/>
        </w:rPr>
      </w:pPr>
      <w:r>
        <w:rPr>
          <w:rFonts w:hint="eastAsia" w:ascii="宋体" w:hAnsi="宋体" w:eastAsia="宋体" w:cs="宋体"/>
          <w:b/>
          <w:sz w:val="24"/>
          <w:szCs w:val="24"/>
        </w:rPr>
        <w:t>验收</w:t>
      </w:r>
    </w:p>
    <w:p w14:paraId="69953D80">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1、在交货前，乙方应确保制造商对货物的有关内在和外观质量、规格、性能、数量和重量进行准确的和全面的检验，并出具货物符合合同</w:t>
      </w:r>
      <w:r>
        <w:rPr>
          <w:rFonts w:hint="eastAsia" w:ascii="宋体" w:hAnsi="宋体" w:eastAsia="宋体" w:cs="宋体"/>
          <w:sz w:val="24"/>
          <w:szCs w:val="24"/>
          <w:lang w:val="en-US" w:eastAsia="zh-CN"/>
        </w:rPr>
        <w:t>约定</w:t>
      </w:r>
      <w:r>
        <w:rPr>
          <w:rFonts w:hint="eastAsia" w:ascii="宋体" w:hAnsi="宋体" w:eastAsia="宋体" w:cs="宋体"/>
          <w:sz w:val="24"/>
          <w:szCs w:val="24"/>
        </w:rPr>
        <w:t>的证书。该证书将作为申请付款单据的必要条件</w:t>
      </w:r>
      <w:r>
        <w:rPr>
          <w:rFonts w:hint="eastAsia" w:ascii="宋体" w:hAnsi="宋体" w:eastAsia="宋体" w:cs="宋体"/>
          <w:sz w:val="24"/>
          <w:szCs w:val="24"/>
          <w:lang w:eastAsia="zh-CN"/>
        </w:rPr>
        <w:t>，</w:t>
      </w:r>
      <w:r>
        <w:rPr>
          <w:rFonts w:hint="eastAsia" w:ascii="宋体" w:hAnsi="宋体" w:eastAsia="宋体" w:cs="宋体"/>
          <w:sz w:val="24"/>
          <w:szCs w:val="24"/>
        </w:rPr>
        <w:t>但不应视为是对质量、规格、性能、数量的最终定论。质量证书应附有写明制造商检验的细节和结果的说明。</w:t>
      </w:r>
    </w:p>
    <w:p w14:paraId="01890615">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2、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14:paraId="39287FBF">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1FD8771F">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货款的支付</w:t>
      </w:r>
    </w:p>
    <w:p w14:paraId="6BC68961">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1、乙方在本合同</w:t>
      </w:r>
      <w:r>
        <w:rPr>
          <w:rFonts w:hint="eastAsia" w:ascii="宋体" w:hAnsi="宋体" w:eastAsia="宋体" w:cs="宋体"/>
          <w:sz w:val="24"/>
          <w:szCs w:val="24"/>
          <w:highlight w:val="none"/>
        </w:rPr>
        <w:t>签订后</w:t>
      </w:r>
      <w:r>
        <w:rPr>
          <w:rFonts w:hint="eastAsia" w:ascii="宋体" w:hAnsi="宋体" w:eastAsia="宋体" w:cs="宋体"/>
          <w:sz w:val="24"/>
          <w:szCs w:val="24"/>
          <w:highlight w:val="none"/>
          <w:lang w:val="en-US" w:eastAsia="zh-CN"/>
        </w:rPr>
        <w:t>【30】日内先完成【 】套货物的交付和安装，经甲方指派专家验收合格后，甲方向乙方支付合同价款的20%，即【 】元；</w:t>
      </w:r>
    </w:p>
    <w:p w14:paraId="7421BAAA">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2、第一批货物验收合格后，乙方在【】日内完成剩余【13】套货物的交付和安装，经甲方指派专家验收合格后，甲方向乙方支付合同总价款的30%，即【】元；</w:t>
      </w:r>
    </w:p>
    <w:p w14:paraId="229D93CE">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使用中无质量问题，且</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履行售后服务承诺，在质保期满1年后的30天内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甲方向乙方支付</w:t>
      </w:r>
      <w:r>
        <w:rPr>
          <w:rFonts w:hint="eastAsia" w:ascii="宋体" w:hAnsi="宋体" w:eastAsia="宋体" w:cs="宋体"/>
          <w:sz w:val="24"/>
          <w:szCs w:val="24"/>
          <w:highlight w:val="none"/>
        </w:rPr>
        <w:t>合同总价</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45%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即【】元；</w:t>
      </w:r>
    </w:p>
    <w:p w14:paraId="17526EA8">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4、剩余</w:t>
      </w:r>
      <w:r>
        <w:rPr>
          <w:rFonts w:hint="eastAsia" w:ascii="宋体" w:hAnsi="宋体" w:eastAsia="宋体" w:cs="宋体"/>
          <w:sz w:val="24"/>
          <w:szCs w:val="24"/>
          <w:highlight w:val="none"/>
        </w:rPr>
        <w:t>合同总价</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即【】元，</w:t>
      </w:r>
      <w:r>
        <w:rPr>
          <w:rFonts w:hint="eastAsia" w:ascii="宋体" w:hAnsi="宋体" w:eastAsia="宋体" w:cs="宋体"/>
          <w:sz w:val="24"/>
          <w:szCs w:val="24"/>
          <w:highlight w:val="none"/>
        </w:rPr>
        <w:t>在产品使用中无质量问题，且履行售后服务承诺，在质保期满2年后的30天内</w:t>
      </w:r>
      <w:r>
        <w:rPr>
          <w:rFonts w:hint="eastAsia" w:ascii="宋体" w:hAnsi="宋体" w:eastAsia="宋体" w:cs="宋体"/>
          <w:sz w:val="24"/>
          <w:szCs w:val="24"/>
          <w:highlight w:val="none"/>
          <w:lang w:val="en-US" w:eastAsia="zh-CN"/>
        </w:rPr>
        <w:t>一次性付清。</w:t>
      </w:r>
    </w:p>
    <w:p w14:paraId="1F0DB3FF">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、甲方支付上述任何一笔款项前，乙方应提供符合甲方财务做账要求的正规发票，否则，甲方有权拒付款项且不承担违约责任。 </w:t>
      </w:r>
    </w:p>
    <w:p w14:paraId="3EFBBFB9">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、甲方将上述款项支付至乙方指定的如下银行账户：</w:t>
      </w:r>
    </w:p>
    <w:p w14:paraId="217D7A78">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开户行：</w:t>
      </w:r>
    </w:p>
    <w:p w14:paraId="4FBC64B3">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账户名称：</w:t>
      </w:r>
    </w:p>
    <w:p w14:paraId="6CBB377A">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银行账号：</w:t>
      </w:r>
    </w:p>
    <w:p w14:paraId="4F6DBE4F">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5746DD97">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违约责任</w:t>
      </w:r>
    </w:p>
    <w:p w14:paraId="29CB4731">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乙方应严格按照合同约定的时间交货，如乙方延迟交货，每逾期一日，</w:t>
      </w:r>
      <w:r>
        <w:rPr>
          <w:rFonts w:hint="eastAsia" w:ascii="宋体" w:hAnsi="宋体" w:eastAsia="宋体" w:cs="宋体"/>
          <w:sz w:val="24"/>
          <w:szCs w:val="24"/>
          <w:lang w:val="en-US" w:eastAsia="zh-Hans"/>
        </w:rPr>
        <w:t>应</w:t>
      </w:r>
      <w:r>
        <w:rPr>
          <w:rFonts w:hint="eastAsia" w:ascii="宋体" w:hAnsi="宋体" w:eastAsia="宋体" w:cs="宋体"/>
          <w:sz w:val="24"/>
          <w:szCs w:val="24"/>
          <w:lang w:val="en-US" w:eastAsia="zh-CN"/>
        </w:rPr>
        <w:t>按未到货部分货款总额的万分之五向甲方支付违约金。</w:t>
      </w:r>
      <w:r>
        <w:rPr>
          <w:rFonts w:hint="eastAsia" w:ascii="宋体" w:hAnsi="宋体" w:eastAsia="宋体" w:cs="宋体"/>
          <w:sz w:val="24"/>
          <w:szCs w:val="24"/>
        </w:rPr>
        <w:t>乙方逾期供货超出十天</w:t>
      </w:r>
      <w:r>
        <w:rPr>
          <w:rFonts w:hint="eastAsia" w:ascii="宋体" w:hAnsi="宋体" w:eastAsia="宋体" w:cs="宋体"/>
          <w:sz w:val="24"/>
          <w:szCs w:val="24"/>
          <w:lang w:eastAsia="zh-CN"/>
        </w:rPr>
        <w:t>（</w:t>
      </w:r>
      <w:r>
        <w:rPr>
          <w:rFonts w:hint="eastAsia" w:ascii="宋体" w:hAnsi="宋体" w:eastAsia="宋体" w:cs="宋体"/>
          <w:sz w:val="24"/>
          <w:szCs w:val="24"/>
        </w:rPr>
        <w:t>含十天</w:t>
      </w:r>
      <w:r>
        <w:rPr>
          <w:rFonts w:hint="eastAsia" w:ascii="宋体" w:hAnsi="宋体" w:eastAsia="宋体" w:cs="宋体"/>
          <w:sz w:val="24"/>
          <w:szCs w:val="24"/>
          <w:lang w:eastAsia="zh-CN"/>
        </w:rPr>
        <w:t>）</w:t>
      </w:r>
      <w:r>
        <w:rPr>
          <w:rFonts w:hint="eastAsia" w:ascii="宋体" w:hAnsi="宋体" w:eastAsia="宋体" w:cs="宋体"/>
          <w:sz w:val="24"/>
          <w:szCs w:val="24"/>
        </w:rPr>
        <w:t>以上的，甲方有权解除</w:t>
      </w:r>
      <w:r>
        <w:rPr>
          <w:rFonts w:hint="eastAsia" w:ascii="宋体" w:hAnsi="宋体" w:eastAsia="宋体" w:cs="宋体"/>
          <w:sz w:val="24"/>
          <w:szCs w:val="24"/>
          <w:lang w:val="en-US" w:eastAsia="zh-CN"/>
        </w:rPr>
        <w:t>本</w:t>
      </w:r>
      <w:r>
        <w:rPr>
          <w:rFonts w:hint="eastAsia" w:ascii="宋体" w:hAnsi="宋体" w:eastAsia="宋体" w:cs="宋体"/>
          <w:sz w:val="24"/>
          <w:szCs w:val="24"/>
        </w:rPr>
        <w:t>合同。</w:t>
      </w:r>
    </w:p>
    <w:p w14:paraId="250B8B45">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乙方必须确保供货的产品与投标的产品一致，如发现供货产品生产厂家、质量和招标时不符的情况，甲方有权立即要求乙方退货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并有权解除本</w:t>
      </w:r>
      <w:r>
        <w:rPr>
          <w:rFonts w:hint="eastAsia" w:ascii="宋体" w:hAnsi="宋体" w:eastAsia="宋体" w:cs="宋体"/>
          <w:sz w:val="24"/>
          <w:szCs w:val="24"/>
        </w:rPr>
        <w:t>合同。</w:t>
      </w:r>
    </w:p>
    <w:p w14:paraId="3F124443">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如果乙方提供的</w:t>
      </w:r>
      <w:r>
        <w:rPr>
          <w:rFonts w:hint="eastAsia" w:ascii="宋体" w:hAnsi="宋体" w:eastAsia="宋体" w:cs="宋体"/>
          <w:sz w:val="24"/>
          <w:szCs w:val="24"/>
          <w:lang w:val="en-US" w:eastAsia="zh-CN"/>
        </w:rPr>
        <w:t>货物</w:t>
      </w:r>
      <w:r>
        <w:rPr>
          <w:rFonts w:hint="eastAsia" w:ascii="宋体" w:hAnsi="宋体" w:eastAsia="宋体" w:cs="宋体"/>
          <w:sz w:val="24"/>
          <w:szCs w:val="24"/>
        </w:rPr>
        <w:t>因质量问题或者设计瑕疵，导致甲方使用过程中发生安全事故等不良后果的，全部责任均由乙方承担，赔偿由此给甲方带来的全部损失，并向甲方承担合同总额10%的违约金。</w:t>
      </w:r>
    </w:p>
    <w:p w14:paraId="6781A043">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销售代表在合同签订及履行过程中，不得实施商业贿赂。如发生乙方向甲方指定人员或与该业务有关的任何工作人员行贿、送礼等行为，或与甲方相关工作人员串通，做出损害甲方利益的任何行为，甲方有权解除合同，乙方每次按合同总金额的10%的数额向甲方承担违约金。</w:t>
      </w:r>
    </w:p>
    <w:p w14:paraId="4827D18A">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本合同签订后，乙方不得以货物市场价格上涨等各种理由断货、中止供货或要求甲方调价，否则，甲方有权解除合同。</w:t>
      </w:r>
    </w:p>
    <w:p w14:paraId="592EBDBD">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甲方</w:t>
      </w:r>
      <w:r>
        <w:rPr>
          <w:rFonts w:hint="eastAsia" w:ascii="宋体" w:hAnsi="宋体" w:eastAsia="宋体" w:cs="宋体"/>
          <w:sz w:val="24"/>
          <w:szCs w:val="24"/>
          <w:lang w:val="en-US" w:eastAsia="zh-CN"/>
        </w:rPr>
        <w:t>无正当理由</w:t>
      </w:r>
      <w:r>
        <w:rPr>
          <w:rFonts w:hint="eastAsia" w:ascii="宋体" w:hAnsi="宋体" w:eastAsia="宋体" w:cs="宋体"/>
          <w:sz w:val="24"/>
          <w:szCs w:val="24"/>
        </w:rPr>
        <w:t>逾期付款</w:t>
      </w:r>
      <w:r>
        <w:rPr>
          <w:rFonts w:hint="eastAsia" w:ascii="宋体" w:hAnsi="宋体" w:eastAsia="宋体" w:cs="宋体"/>
          <w:sz w:val="24"/>
          <w:szCs w:val="24"/>
          <w:lang w:val="en-US" w:eastAsia="zh-CN"/>
        </w:rPr>
        <w:t>超过14日</w:t>
      </w:r>
      <w:r>
        <w:rPr>
          <w:rFonts w:hint="eastAsia" w:ascii="宋体" w:hAnsi="宋体" w:eastAsia="宋体" w:cs="宋体"/>
          <w:sz w:val="24"/>
          <w:szCs w:val="24"/>
        </w:rPr>
        <w:t>，</w:t>
      </w:r>
      <w:r>
        <w:rPr>
          <w:rFonts w:hint="eastAsia" w:ascii="宋体" w:hAnsi="宋体" w:eastAsia="宋体" w:cs="宋体"/>
          <w:sz w:val="24"/>
          <w:szCs w:val="24"/>
          <w:lang w:val="en-US" w:eastAsia="zh-CN"/>
        </w:rPr>
        <w:t>经乙方合理催告后仍未付款的，</w:t>
      </w:r>
      <w:r>
        <w:rPr>
          <w:rFonts w:hint="eastAsia" w:ascii="宋体" w:hAnsi="宋体" w:eastAsia="宋体" w:cs="宋体"/>
          <w:sz w:val="24"/>
          <w:szCs w:val="24"/>
        </w:rPr>
        <w:t>按照合同订立时</w:t>
      </w:r>
      <w:r>
        <w:rPr>
          <w:rFonts w:hint="eastAsia" w:ascii="宋体" w:hAnsi="宋体" w:eastAsia="宋体" w:cs="宋体"/>
          <w:sz w:val="24"/>
          <w:szCs w:val="24"/>
          <w:lang w:val="en-US" w:eastAsia="zh-CN"/>
        </w:rPr>
        <w:t>的</w:t>
      </w:r>
      <w:r>
        <w:rPr>
          <w:rFonts w:hint="eastAsia" w:ascii="宋体" w:hAnsi="宋体" w:eastAsia="宋体" w:cs="宋体"/>
          <w:sz w:val="24"/>
          <w:szCs w:val="24"/>
        </w:rPr>
        <w:t>壹年期贷款市场报价利率向乙方承担违约责任。因不可抗因素（如财务扎账、政府拨款未到位等）导致甲方未及时付款的，不视为甲方违约，付款时间顺延。</w:t>
      </w:r>
    </w:p>
    <w:p w14:paraId="4E0D33BE">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因乙方违约导致本合同解除的，乙方应在3日内退还</w:t>
      </w:r>
      <w:r>
        <w:rPr>
          <w:rFonts w:hint="eastAsia" w:ascii="宋体" w:hAnsi="宋体" w:eastAsia="宋体" w:cs="宋体"/>
          <w:sz w:val="24"/>
          <w:szCs w:val="24"/>
          <w:lang w:val="en-US" w:eastAsia="zh-CN"/>
        </w:rPr>
        <w:t>甲方已付全部款项</w:t>
      </w:r>
      <w:r>
        <w:rPr>
          <w:rFonts w:hint="eastAsia" w:ascii="宋体" w:hAnsi="宋体" w:eastAsia="宋体" w:cs="宋体"/>
          <w:sz w:val="24"/>
          <w:szCs w:val="24"/>
        </w:rPr>
        <w:t>，并另行承担合同总额</w:t>
      </w:r>
      <w:r>
        <w:rPr>
          <w:rFonts w:hint="eastAsia" w:ascii="宋体" w:hAnsi="宋体" w:eastAsia="宋体" w:cs="宋体"/>
          <w:sz w:val="24"/>
          <w:szCs w:val="24"/>
          <w:lang w:val="en-US" w:eastAsia="zh-CN"/>
        </w:rPr>
        <w:t>2</w:t>
      </w:r>
      <w:r>
        <w:rPr>
          <w:rFonts w:hint="eastAsia" w:ascii="宋体" w:hAnsi="宋体" w:eastAsia="宋体" w:cs="宋体"/>
          <w:sz w:val="24"/>
          <w:szCs w:val="24"/>
        </w:rPr>
        <w:t>0%的违约金。如乙方未按时退还</w:t>
      </w:r>
      <w:r>
        <w:rPr>
          <w:rFonts w:hint="eastAsia" w:ascii="宋体" w:hAnsi="宋体" w:eastAsia="宋体" w:cs="宋体"/>
          <w:sz w:val="24"/>
          <w:szCs w:val="24"/>
          <w:lang w:val="en-US" w:eastAsia="zh-CN"/>
        </w:rPr>
        <w:t>甲方已付款项</w:t>
      </w:r>
      <w:r>
        <w:rPr>
          <w:rFonts w:hint="eastAsia" w:ascii="宋体" w:hAnsi="宋体" w:eastAsia="宋体" w:cs="宋体"/>
          <w:sz w:val="24"/>
          <w:szCs w:val="24"/>
        </w:rPr>
        <w:t>的，每逾期一日，按未退款金额的千分之五承担违约金。</w:t>
      </w:r>
    </w:p>
    <w:p w14:paraId="18316AFB">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8、乙</w:t>
      </w:r>
      <w:r>
        <w:rPr>
          <w:rFonts w:hint="eastAsia" w:ascii="宋体" w:hAnsi="宋体" w:eastAsia="宋体" w:cs="宋体"/>
          <w:sz w:val="24"/>
          <w:szCs w:val="24"/>
        </w:rPr>
        <w:t>方违约，还应赔偿</w:t>
      </w:r>
      <w:r>
        <w:rPr>
          <w:rFonts w:hint="eastAsia" w:ascii="宋体" w:hAnsi="宋体" w:eastAsia="宋体" w:cs="宋体"/>
          <w:sz w:val="24"/>
          <w:szCs w:val="24"/>
          <w:lang w:val="en-US" w:eastAsia="zh-CN"/>
        </w:rPr>
        <w:t>甲</w:t>
      </w:r>
      <w:r>
        <w:rPr>
          <w:rFonts w:hint="eastAsia" w:ascii="宋体" w:hAnsi="宋体" w:eastAsia="宋体" w:cs="宋体"/>
          <w:sz w:val="24"/>
          <w:szCs w:val="24"/>
        </w:rPr>
        <w:t>方因此产生的其他全部损失，包括但不限于</w:t>
      </w:r>
      <w:r>
        <w:rPr>
          <w:rFonts w:hint="eastAsia" w:ascii="宋体" w:hAnsi="宋体" w:eastAsia="宋体" w:cs="宋体"/>
          <w:sz w:val="24"/>
          <w:szCs w:val="24"/>
          <w:lang w:val="en-US" w:eastAsia="zh-CN"/>
        </w:rPr>
        <w:t>甲方</w:t>
      </w:r>
      <w:r>
        <w:rPr>
          <w:rFonts w:hint="eastAsia" w:ascii="宋体" w:hAnsi="宋体" w:eastAsia="宋体" w:cs="宋体"/>
          <w:sz w:val="24"/>
          <w:szCs w:val="24"/>
        </w:rPr>
        <w:t>为主张权益所支付的律师费、交通费、保全费、保全担保费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鉴定费、评估费</w:t>
      </w:r>
      <w:r>
        <w:rPr>
          <w:rFonts w:hint="eastAsia" w:ascii="宋体" w:hAnsi="宋体" w:eastAsia="宋体" w:cs="宋体"/>
          <w:sz w:val="24"/>
          <w:szCs w:val="24"/>
        </w:rPr>
        <w:t>等全部费用。</w:t>
      </w:r>
    </w:p>
    <w:p w14:paraId="3B556D83">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争议的解决</w:t>
      </w:r>
    </w:p>
    <w:p w14:paraId="5DACAED6">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本合同如发生纠纷，当事人双方应当及时协商解决，协商不成时，</w:t>
      </w:r>
      <w:r>
        <w:rPr>
          <w:rFonts w:hint="eastAsia" w:ascii="宋体" w:hAnsi="宋体" w:eastAsia="宋体" w:cs="宋体"/>
          <w:kern w:val="0"/>
          <w:sz w:val="24"/>
          <w:szCs w:val="24"/>
        </w:rPr>
        <w:t>可提交甲方所在地法院诉讼解决。</w:t>
      </w:r>
    </w:p>
    <w:p w14:paraId="77E62820">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合同的生效与文本</w:t>
      </w:r>
    </w:p>
    <w:p w14:paraId="529F3834">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1、本合同</w:t>
      </w:r>
      <w:r>
        <w:rPr>
          <w:rFonts w:hint="eastAsia" w:ascii="宋体" w:hAnsi="宋体" w:eastAsia="宋体" w:cs="宋体"/>
          <w:kern w:val="0"/>
          <w:sz w:val="24"/>
          <w:szCs w:val="24"/>
          <w:lang w:val="en-US" w:eastAsia="zh-CN"/>
        </w:rPr>
        <w:t>自</w:t>
      </w:r>
      <w:r>
        <w:rPr>
          <w:rFonts w:hint="eastAsia" w:ascii="宋体" w:hAnsi="宋体" w:eastAsia="宋体" w:cs="宋体"/>
          <w:kern w:val="0"/>
          <w:sz w:val="24"/>
          <w:szCs w:val="24"/>
        </w:rPr>
        <w:t>双方法定代表人</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委托代理人签字或单位盖章</w:t>
      </w:r>
      <w:r>
        <w:rPr>
          <w:rFonts w:hint="eastAsia" w:ascii="宋体" w:hAnsi="宋体" w:eastAsia="宋体" w:cs="宋体"/>
          <w:kern w:val="0"/>
          <w:sz w:val="24"/>
          <w:szCs w:val="24"/>
          <w:lang w:val="en-US" w:eastAsia="zh-CN"/>
        </w:rPr>
        <w:t>之日起</w:t>
      </w:r>
      <w:r>
        <w:rPr>
          <w:rFonts w:hint="eastAsia" w:ascii="宋体" w:hAnsi="宋体" w:eastAsia="宋体" w:cs="宋体"/>
          <w:kern w:val="0"/>
          <w:sz w:val="24"/>
          <w:szCs w:val="24"/>
        </w:rPr>
        <w:t>生效。</w:t>
      </w:r>
    </w:p>
    <w:p w14:paraId="1AE0BE09">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2、本</w:t>
      </w:r>
      <w:r>
        <w:rPr>
          <w:rFonts w:hint="eastAsia" w:ascii="宋体" w:hAnsi="宋体" w:eastAsia="宋体" w:cs="宋体"/>
          <w:sz w:val="24"/>
          <w:szCs w:val="24"/>
        </w:rPr>
        <w:t>合同一式陆份，甲方执叁份，乙方执叁份。</w:t>
      </w:r>
    </w:p>
    <w:p w14:paraId="154F37F2">
      <w:pPr>
        <w:keepNext w:val="0"/>
        <w:keepLines w:val="0"/>
        <w:pageBreakBefore w:val="0"/>
        <w:widowControl w:val="0"/>
        <w:numPr>
          <w:ilvl w:val="0"/>
          <w:numId w:val="31"/>
        </w:numPr>
        <w:kinsoku/>
        <w:wordWrap/>
        <w:overflowPunct/>
        <w:topLinePunct w:val="0"/>
        <w:autoSpaceDE/>
        <w:autoSpaceDN/>
        <w:bidi w:val="0"/>
        <w:snapToGrid w:val="0"/>
        <w:spacing w:line="500" w:lineRule="exact"/>
        <w:ind w:firstLine="488"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其他</w:t>
      </w:r>
    </w:p>
    <w:p w14:paraId="6AF91B80">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1、如因市场、政策调整等原因引起价格变动，甲方有权在</w:t>
      </w:r>
      <w:r>
        <w:rPr>
          <w:rFonts w:hint="eastAsia" w:ascii="宋体" w:hAnsi="宋体" w:eastAsia="宋体" w:cs="宋体"/>
          <w:sz w:val="24"/>
          <w:szCs w:val="24"/>
          <w:lang w:val="en-US" w:eastAsia="zh-CN"/>
        </w:rPr>
        <w:t>履行</w:t>
      </w:r>
      <w:r>
        <w:rPr>
          <w:rFonts w:hint="eastAsia" w:ascii="宋体" w:hAnsi="宋体" w:eastAsia="宋体" w:cs="宋体"/>
          <w:sz w:val="24"/>
          <w:szCs w:val="24"/>
        </w:rPr>
        <w:t>期内再次议价。</w:t>
      </w:r>
    </w:p>
    <w:p w14:paraId="13ABEA9C">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2、本合同所有附件、招标文件、投标响应文件及承诺、中标通知书、磋商文件（含补遗文件及答疑纪要）、各类往来函件</w:t>
      </w:r>
      <w:r>
        <w:rPr>
          <w:rFonts w:hint="eastAsia" w:ascii="宋体" w:hAnsi="宋体" w:eastAsia="宋体" w:cs="宋体"/>
          <w:sz w:val="24"/>
          <w:szCs w:val="24"/>
          <w:lang w:eastAsia="zh-CN"/>
        </w:rPr>
        <w:t>（</w:t>
      </w:r>
      <w:r>
        <w:rPr>
          <w:rFonts w:hint="eastAsia" w:ascii="宋体" w:hAnsi="宋体" w:eastAsia="宋体" w:cs="宋体"/>
          <w:sz w:val="24"/>
          <w:szCs w:val="24"/>
        </w:rPr>
        <w:t>包括传真件、电子邮件</w:t>
      </w:r>
      <w:r>
        <w:rPr>
          <w:rFonts w:hint="eastAsia" w:ascii="宋体" w:hAnsi="宋体" w:eastAsia="宋体" w:cs="宋体"/>
          <w:sz w:val="24"/>
          <w:szCs w:val="24"/>
          <w:lang w:eastAsia="zh-CN"/>
        </w:rPr>
        <w:t>）</w:t>
      </w:r>
      <w:r>
        <w:rPr>
          <w:rFonts w:hint="eastAsia" w:ascii="宋体" w:hAnsi="宋体" w:eastAsia="宋体" w:cs="宋体"/>
          <w:sz w:val="24"/>
          <w:szCs w:val="24"/>
        </w:rPr>
        <w:t>均是本合同不可分割的组成部分，与本合同具有同等法律效力。</w:t>
      </w:r>
    </w:p>
    <w:p w14:paraId="015FF25C">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3、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w:t>
      </w:r>
    </w:p>
    <w:p w14:paraId="4A3FC597">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本合同附件：</w:t>
      </w:r>
    </w:p>
    <w:p w14:paraId="2BB299A6">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附件1《供货清单》</w:t>
      </w:r>
      <w:r>
        <w:rPr>
          <w:rFonts w:hint="eastAsia" w:ascii="宋体" w:hAnsi="宋体" w:eastAsia="宋体" w:cs="宋体"/>
          <w:sz w:val="24"/>
          <w:szCs w:val="24"/>
          <w:lang w:eastAsia="zh-CN"/>
        </w:rPr>
        <w:t>；</w:t>
      </w:r>
    </w:p>
    <w:p w14:paraId="49DF9E7E">
      <w:pPr>
        <w:keepNext w:val="0"/>
        <w:keepLines w:val="0"/>
        <w:pageBreakBefore w:val="0"/>
        <w:widowControl w:val="0"/>
        <w:kinsoku/>
        <w:wordWrap/>
        <w:overflowPunct/>
        <w:topLinePunct w:val="0"/>
        <w:autoSpaceDE/>
        <w:autoSpaceDN/>
        <w:bidi w:val="0"/>
        <w:spacing w:line="500" w:lineRule="exact"/>
        <w:ind w:firstLine="488" w:firstLineChars="200"/>
        <w:textAlignment w:val="baseline"/>
        <w:rPr>
          <w:rFonts w:hint="eastAsia" w:ascii="宋体" w:hAnsi="宋体" w:eastAsia="宋体" w:cs="宋体"/>
          <w:sz w:val="24"/>
          <w:szCs w:val="24"/>
        </w:rPr>
      </w:pPr>
      <w:r>
        <w:rPr>
          <w:rFonts w:hint="eastAsia" w:ascii="宋体" w:hAnsi="宋体" w:eastAsia="宋体" w:cs="宋体"/>
          <w:sz w:val="24"/>
          <w:szCs w:val="24"/>
        </w:rPr>
        <w:t>附件2《</w:t>
      </w:r>
      <w:r>
        <w:rPr>
          <w:rFonts w:hint="eastAsia" w:ascii="宋体" w:hAnsi="宋体" w:eastAsia="宋体" w:cs="宋体"/>
          <w:sz w:val="24"/>
          <w:szCs w:val="24"/>
          <w:lang w:val="en-US" w:eastAsia="zh-CN"/>
        </w:rPr>
        <w:t>XXX</w:t>
      </w:r>
      <w:r>
        <w:rPr>
          <w:rFonts w:hint="eastAsia" w:ascii="宋体" w:hAnsi="宋体" w:eastAsia="宋体" w:cs="宋体"/>
          <w:sz w:val="24"/>
          <w:szCs w:val="24"/>
        </w:rPr>
        <w:t>技术参数》。</w:t>
      </w:r>
    </w:p>
    <w:p w14:paraId="55C39762">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（以下无正文，为本合同签署页）</w:t>
      </w:r>
    </w:p>
    <w:p w14:paraId="519D880A">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p>
    <w:p w14:paraId="71FAE18E">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14:paraId="3A4002AF">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p>
    <w:p w14:paraId="4EB319C9">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0A75E1D8">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委托代理人（签字）：                   委托代理人（签字）：</w:t>
      </w:r>
    </w:p>
    <w:p w14:paraId="004BB671">
      <w:pPr>
        <w:keepNext w:val="0"/>
        <w:keepLines w:val="0"/>
        <w:pageBreakBefore w:val="0"/>
        <w:widowControl w:val="0"/>
        <w:kinsoku/>
        <w:wordWrap/>
        <w:overflowPunct/>
        <w:topLinePunct w:val="0"/>
        <w:autoSpaceDE/>
        <w:autoSpaceDN/>
        <w:bidi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日期：    年    月     日              日期：    年    月    日  </w:t>
      </w:r>
    </w:p>
    <w:p w14:paraId="0EF3D13E">
      <w:pPr>
        <w:pStyle w:val="67"/>
        <w:rPr>
          <w:rFonts w:hint="eastAsia" w:ascii="宋体" w:hAnsi="宋体" w:eastAsia="宋体" w:cs="宋体"/>
          <w:sz w:val="24"/>
        </w:rPr>
      </w:pPr>
    </w:p>
    <w:p w14:paraId="097AED91">
      <w:pPr>
        <w:rPr>
          <w:rFonts w:hint="eastAsia" w:ascii="宋体" w:hAnsi="宋体" w:eastAsia="宋体" w:cs="宋体"/>
          <w:b/>
          <w:sz w:val="28"/>
          <w:szCs w:val="28"/>
        </w:rPr>
      </w:pPr>
    </w:p>
    <w:p w14:paraId="7DCB8298">
      <w:pPr>
        <w:pStyle w:val="67"/>
        <w:rPr>
          <w:rFonts w:hint="eastAsia" w:ascii="宋体" w:hAnsi="宋体" w:eastAsia="宋体" w:cs="宋体"/>
          <w:b/>
          <w:sz w:val="28"/>
          <w:szCs w:val="28"/>
        </w:rPr>
      </w:pPr>
      <w:r>
        <w:rPr>
          <w:rFonts w:hint="eastAsia" w:ascii="宋体" w:hAnsi="宋体" w:eastAsia="宋体" w:cs="宋体"/>
          <w:b/>
          <w:sz w:val="28"/>
          <w:szCs w:val="28"/>
        </w:rPr>
        <w:t>附件1</w:t>
      </w:r>
    </w:p>
    <w:p w14:paraId="4CECDB80">
      <w:pPr>
        <w:pStyle w:val="67"/>
        <w:jc w:val="center"/>
        <w:rPr>
          <w:rFonts w:hint="eastAsia" w:ascii="宋体" w:hAnsi="宋体" w:eastAsia="宋体" w:cs="宋体"/>
          <w:b/>
          <w:bCs/>
          <w:sz w:val="28"/>
          <w:szCs w:val="28"/>
        </w:rPr>
      </w:pPr>
      <w:r>
        <w:rPr>
          <w:rFonts w:hint="eastAsia" w:ascii="宋体" w:hAnsi="宋体" w:eastAsia="宋体" w:cs="宋体"/>
          <w:b/>
          <w:bCs/>
          <w:sz w:val="28"/>
          <w:szCs w:val="28"/>
        </w:rPr>
        <w:t>供货清单</w:t>
      </w:r>
    </w:p>
    <w:p w14:paraId="3CA0E470">
      <w:pPr>
        <w:pStyle w:val="67"/>
        <w:jc w:val="center"/>
        <w:rPr>
          <w:rFonts w:hint="eastAsia" w:ascii="宋体" w:hAnsi="宋体" w:eastAsia="宋体" w:cs="宋体"/>
          <w:b/>
          <w:bCs/>
          <w:sz w:val="28"/>
          <w:szCs w:val="28"/>
        </w:rPr>
      </w:pPr>
    </w:p>
    <w:tbl>
      <w:tblPr>
        <w:tblStyle w:val="8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05"/>
        <w:gridCol w:w="2162"/>
        <w:gridCol w:w="625"/>
        <w:gridCol w:w="680"/>
        <w:gridCol w:w="1076"/>
        <w:gridCol w:w="1121"/>
        <w:gridCol w:w="1337"/>
      </w:tblGrid>
      <w:tr w14:paraId="0AEC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708FCF82">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805" w:type="dxa"/>
            <w:noWrap w:val="0"/>
            <w:vAlign w:val="center"/>
          </w:tcPr>
          <w:p w14:paraId="41098FB8">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设备名称</w:t>
            </w:r>
          </w:p>
        </w:tc>
        <w:tc>
          <w:tcPr>
            <w:tcW w:w="2162" w:type="dxa"/>
            <w:noWrap w:val="0"/>
            <w:vAlign w:val="center"/>
          </w:tcPr>
          <w:p w14:paraId="4FB1290F">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规格型号</w:t>
            </w:r>
          </w:p>
        </w:tc>
        <w:tc>
          <w:tcPr>
            <w:tcW w:w="625" w:type="dxa"/>
            <w:noWrap w:val="0"/>
            <w:vAlign w:val="center"/>
          </w:tcPr>
          <w:p w14:paraId="4DADA14F">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单位</w:t>
            </w:r>
          </w:p>
        </w:tc>
        <w:tc>
          <w:tcPr>
            <w:tcW w:w="680" w:type="dxa"/>
            <w:noWrap w:val="0"/>
            <w:vAlign w:val="center"/>
          </w:tcPr>
          <w:p w14:paraId="41E3DA5C">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076" w:type="dxa"/>
            <w:noWrap w:val="0"/>
            <w:vAlign w:val="center"/>
          </w:tcPr>
          <w:p w14:paraId="1B57CD7D">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单价（元）</w:t>
            </w:r>
          </w:p>
        </w:tc>
        <w:tc>
          <w:tcPr>
            <w:tcW w:w="1121" w:type="dxa"/>
            <w:noWrap w:val="0"/>
            <w:vAlign w:val="center"/>
          </w:tcPr>
          <w:p w14:paraId="06C8AB09">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总价（元）</w:t>
            </w:r>
          </w:p>
        </w:tc>
        <w:tc>
          <w:tcPr>
            <w:tcW w:w="1337" w:type="dxa"/>
            <w:noWrap w:val="0"/>
            <w:vAlign w:val="center"/>
          </w:tcPr>
          <w:p w14:paraId="7745CB36">
            <w:pPr>
              <w:widowControl/>
              <w:adjustRightInd w:val="0"/>
              <w:snapToGrid w:val="0"/>
              <w:ind w:left="-107" w:leftChars="-50" w:right="-107" w:rightChars="-50"/>
              <w:jc w:val="center"/>
              <w:rPr>
                <w:rFonts w:hint="eastAsia" w:ascii="宋体" w:hAnsi="宋体" w:eastAsia="宋体" w:cs="宋体"/>
                <w:b/>
                <w:bCs/>
                <w:kern w:val="0"/>
                <w:sz w:val="24"/>
              </w:rPr>
            </w:pPr>
            <w:r>
              <w:rPr>
                <w:rFonts w:hint="eastAsia" w:ascii="宋体" w:hAnsi="宋体" w:eastAsia="宋体" w:cs="宋体"/>
                <w:b/>
                <w:bCs/>
                <w:kern w:val="0"/>
                <w:sz w:val="24"/>
              </w:rPr>
              <w:t>品牌</w:t>
            </w:r>
          </w:p>
        </w:tc>
      </w:tr>
      <w:tr w14:paraId="3F26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14:paraId="6294D9E0">
            <w:pPr>
              <w:widowControl/>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805" w:type="dxa"/>
            <w:tcBorders>
              <w:top w:val="single" w:color="auto" w:sz="4" w:space="0"/>
              <w:left w:val="single" w:color="auto" w:sz="4" w:space="0"/>
              <w:bottom w:val="single" w:color="auto" w:sz="4" w:space="0"/>
              <w:right w:val="single" w:color="auto" w:sz="4" w:space="0"/>
            </w:tcBorders>
            <w:noWrap w:val="0"/>
            <w:vAlign w:val="center"/>
          </w:tcPr>
          <w:p w14:paraId="24533E28">
            <w:pPr>
              <w:widowControl/>
              <w:jc w:val="center"/>
              <w:textAlignment w:val="center"/>
              <w:rPr>
                <w:rFonts w:hint="eastAsia" w:ascii="宋体" w:hAnsi="宋体" w:eastAsia="宋体" w:cs="宋体"/>
                <w:kern w:val="0"/>
                <w:sz w:val="24"/>
              </w:rPr>
            </w:pPr>
          </w:p>
        </w:tc>
        <w:tc>
          <w:tcPr>
            <w:tcW w:w="2162" w:type="dxa"/>
            <w:noWrap w:val="0"/>
            <w:vAlign w:val="center"/>
          </w:tcPr>
          <w:p w14:paraId="5B396C82">
            <w:pPr>
              <w:widowControl/>
              <w:jc w:val="center"/>
              <w:textAlignment w:val="center"/>
              <w:rPr>
                <w:rFonts w:hint="eastAsia" w:ascii="宋体" w:hAnsi="宋体" w:eastAsia="宋体" w:cs="宋体"/>
                <w:kern w:val="0"/>
                <w:sz w:val="24"/>
              </w:rPr>
            </w:pPr>
          </w:p>
        </w:tc>
        <w:tc>
          <w:tcPr>
            <w:tcW w:w="625" w:type="dxa"/>
            <w:tcBorders>
              <w:top w:val="single" w:color="auto" w:sz="4" w:space="0"/>
              <w:left w:val="single" w:color="auto" w:sz="4" w:space="0"/>
              <w:bottom w:val="single" w:color="auto" w:sz="4" w:space="0"/>
              <w:right w:val="single" w:color="auto" w:sz="4" w:space="0"/>
            </w:tcBorders>
            <w:noWrap w:val="0"/>
            <w:vAlign w:val="center"/>
          </w:tcPr>
          <w:p w14:paraId="4F62BB4F">
            <w:pPr>
              <w:widowControl/>
              <w:jc w:val="center"/>
              <w:textAlignment w:val="center"/>
              <w:rPr>
                <w:rFonts w:hint="eastAsia" w:ascii="宋体" w:hAnsi="宋体" w:eastAsia="宋体" w:cs="宋体"/>
                <w:kern w:val="0"/>
                <w:sz w:val="24"/>
                <w:lang w:val="en-US" w:eastAsia="zh-CN"/>
              </w:rPr>
            </w:pPr>
          </w:p>
        </w:tc>
        <w:tc>
          <w:tcPr>
            <w:tcW w:w="680" w:type="dxa"/>
            <w:tcBorders>
              <w:top w:val="single" w:color="auto" w:sz="4" w:space="0"/>
              <w:left w:val="nil"/>
              <w:bottom w:val="single" w:color="auto" w:sz="4" w:space="0"/>
              <w:right w:val="single" w:color="auto" w:sz="4" w:space="0"/>
            </w:tcBorders>
            <w:noWrap w:val="0"/>
            <w:vAlign w:val="center"/>
          </w:tcPr>
          <w:p w14:paraId="371068FA">
            <w:pPr>
              <w:widowControl/>
              <w:jc w:val="center"/>
              <w:textAlignment w:val="center"/>
              <w:rPr>
                <w:rFonts w:hint="eastAsia" w:ascii="宋体" w:hAnsi="宋体" w:eastAsia="宋体" w:cs="宋体"/>
                <w:kern w:val="0"/>
                <w:sz w:val="24"/>
                <w:lang w:val="en-US" w:eastAsia="zh-CN"/>
              </w:rPr>
            </w:pPr>
          </w:p>
        </w:tc>
        <w:tc>
          <w:tcPr>
            <w:tcW w:w="1076" w:type="dxa"/>
            <w:noWrap w:val="0"/>
            <w:vAlign w:val="center"/>
          </w:tcPr>
          <w:p w14:paraId="6D8A7344">
            <w:pPr>
              <w:widowControl/>
              <w:jc w:val="center"/>
              <w:textAlignment w:val="center"/>
              <w:rPr>
                <w:rFonts w:hint="eastAsia" w:ascii="宋体" w:hAnsi="宋体" w:eastAsia="宋体" w:cs="宋体"/>
                <w:kern w:val="0"/>
                <w:sz w:val="24"/>
                <w:lang w:val="en-US" w:eastAsia="zh-CN"/>
              </w:rPr>
            </w:pPr>
          </w:p>
        </w:tc>
        <w:tc>
          <w:tcPr>
            <w:tcW w:w="1121" w:type="dxa"/>
            <w:noWrap w:val="0"/>
            <w:vAlign w:val="center"/>
          </w:tcPr>
          <w:p w14:paraId="5CD5923E">
            <w:pPr>
              <w:widowControl/>
              <w:jc w:val="center"/>
              <w:textAlignment w:val="center"/>
              <w:rPr>
                <w:rFonts w:hint="eastAsia" w:ascii="宋体" w:hAnsi="宋体" w:eastAsia="宋体" w:cs="宋体"/>
                <w:kern w:val="0"/>
                <w:sz w:val="24"/>
              </w:rPr>
            </w:pPr>
          </w:p>
        </w:tc>
        <w:tc>
          <w:tcPr>
            <w:tcW w:w="1337" w:type="dxa"/>
            <w:noWrap w:val="0"/>
            <w:vAlign w:val="center"/>
          </w:tcPr>
          <w:p w14:paraId="77EA01C8">
            <w:pPr>
              <w:widowControl/>
              <w:jc w:val="center"/>
              <w:textAlignment w:val="center"/>
              <w:rPr>
                <w:rFonts w:hint="eastAsia" w:ascii="宋体" w:hAnsi="宋体" w:eastAsia="宋体" w:cs="宋体"/>
                <w:kern w:val="0"/>
                <w:sz w:val="24"/>
                <w:lang w:val="en-US" w:eastAsia="zh-CN"/>
              </w:rPr>
            </w:pPr>
          </w:p>
        </w:tc>
      </w:tr>
      <w:tr w14:paraId="2841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7" w:type="dxa"/>
            <w:gridSpan w:val="8"/>
            <w:noWrap w:val="0"/>
            <w:vAlign w:val="top"/>
          </w:tcPr>
          <w:p w14:paraId="78A6B3AD">
            <w:pPr>
              <w:pStyle w:val="510"/>
              <w:spacing w:line="460" w:lineRule="exact"/>
              <w:jc w:val="both"/>
              <w:rPr>
                <w:rFonts w:hint="eastAsia" w:ascii="宋体" w:hAnsi="宋体" w:eastAsia="宋体" w:cs="宋体"/>
                <w:lang w:val="en-US" w:eastAsia="zh-CN"/>
              </w:rPr>
            </w:pPr>
            <w:r>
              <w:rPr>
                <w:rFonts w:hint="eastAsia" w:ascii="宋体" w:hAnsi="宋体" w:eastAsia="宋体" w:cs="宋体"/>
              </w:rPr>
              <w:t>合同总价为¥</w:t>
            </w:r>
            <w:r>
              <w:rPr>
                <w:rFonts w:hint="eastAsia" w:ascii="宋体" w:hAnsi="宋体" w:eastAsia="宋体" w:cs="宋体"/>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w:t>
            </w:r>
            <w:r>
              <w:rPr>
                <w:rFonts w:hint="eastAsia" w:ascii="宋体" w:hAnsi="宋体" w:eastAsia="宋体" w:cs="宋体"/>
                <w:lang w:eastAsia="zh-CN"/>
              </w:rPr>
              <w:t>（</w:t>
            </w:r>
            <w:r>
              <w:rPr>
                <w:rFonts w:hint="eastAsia" w:ascii="宋体" w:hAnsi="宋体" w:eastAsia="宋体" w:cs="宋体"/>
              </w:rPr>
              <w:t>大写：人民币</w:t>
            </w:r>
            <w:r>
              <w:rPr>
                <w:rFonts w:hint="eastAsia" w:ascii="宋体" w:hAnsi="宋体" w:eastAsia="宋体" w:cs="宋体"/>
                <w:u w:val="single"/>
                <w:lang w:val="en-US" w:eastAsia="zh-CN"/>
              </w:rPr>
              <w:t xml:space="preserve">    </w:t>
            </w:r>
            <w:r>
              <w:rPr>
                <w:rFonts w:hint="eastAsia" w:ascii="宋体" w:hAnsi="宋体" w:eastAsia="宋体" w:cs="宋体"/>
                <w:u w:val="none"/>
              </w:rPr>
              <w:t>元</w:t>
            </w:r>
            <w:r>
              <w:rPr>
                <w:rFonts w:hint="eastAsia" w:ascii="宋体" w:hAnsi="宋体" w:eastAsia="宋体" w:cs="宋体"/>
              </w:rPr>
              <w:t>整</w:t>
            </w:r>
            <w:r>
              <w:rPr>
                <w:rFonts w:hint="eastAsia" w:ascii="宋体" w:hAnsi="宋体" w:eastAsia="宋体" w:cs="宋体"/>
                <w:lang w:eastAsia="zh-CN"/>
              </w:rPr>
              <w:t>）。</w:t>
            </w:r>
            <w:r>
              <w:rPr>
                <w:rFonts w:hint="eastAsia" w:ascii="宋体" w:hAnsi="宋体" w:eastAsia="宋体" w:cs="宋体"/>
                <w:lang w:val="en-US" w:eastAsia="zh-CN"/>
              </w:rPr>
              <w:t>该总价包含货款、</w:t>
            </w:r>
            <w:r>
              <w:rPr>
                <w:rFonts w:hint="eastAsia" w:ascii="宋体" w:hAnsi="宋体" w:eastAsia="宋体" w:cs="宋体"/>
              </w:rPr>
              <w:t>税费、运输费、</w:t>
            </w:r>
            <w:r>
              <w:rPr>
                <w:rFonts w:hint="eastAsia" w:ascii="宋体" w:hAnsi="宋体" w:eastAsia="宋体" w:cs="宋体"/>
                <w:lang w:val="en-US" w:eastAsia="zh-CN"/>
              </w:rPr>
              <w:t>装卸费、</w:t>
            </w:r>
            <w:r>
              <w:rPr>
                <w:rFonts w:hint="eastAsia" w:ascii="宋体" w:hAnsi="宋体" w:eastAsia="宋体" w:cs="宋体"/>
              </w:rPr>
              <w:t>保险费及所配套的土建、吊装就位，培训、安装、调试等</w:t>
            </w:r>
            <w:r>
              <w:rPr>
                <w:rFonts w:hint="eastAsia" w:ascii="宋体" w:hAnsi="宋体" w:eastAsia="宋体" w:cs="宋体"/>
                <w:lang w:val="en-US" w:eastAsia="zh-CN"/>
              </w:rPr>
              <w:t>乙方提供本合同约定全部货物并经甲方书面验收合格所需支付的全部费用</w:t>
            </w:r>
            <w:r>
              <w:rPr>
                <w:rFonts w:hint="eastAsia" w:ascii="宋体" w:hAnsi="宋体" w:eastAsia="宋体" w:cs="宋体"/>
              </w:rPr>
              <w:t>。</w:t>
            </w:r>
            <w:r>
              <w:rPr>
                <w:rFonts w:hint="eastAsia" w:ascii="宋体" w:hAnsi="宋体" w:eastAsia="宋体" w:cs="宋体"/>
                <w:lang w:val="en-US" w:eastAsia="zh-CN"/>
              </w:rPr>
              <w:t>除该费用外，甲方无需支付任何其他费用。</w:t>
            </w:r>
          </w:p>
        </w:tc>
      </w:tr>
    </w:tbl>
    <w:p w14:paraId="7196A794">
      <w:pPr>
        <w:rPr>
          <w:rFonts w:hint="eastAsia" w:ascii="宋体" w:hAnsi="宋体" w:eastAsia="宋体" w:cs="宋体"/>
          <w:b/>
          <w:bCs/>
          <w:sz w:val="28"/>
          <w:szCs w:val="28"/>
        </w:rPr>
      </w:pPr>
    </w:p>
    <w:p w14:paraId="7F534435">
      <w:pPr>
        <w:rPr>
          <w:rFonts w:hint="eastAsia" w:ascii="宋体" w:hAnsi="宋体" w:eastAsia="宋体" w:cs="宋体"/>
          <w:b/>
          <w:bCs/>
          <w:sz w:val="28"/>
          <w:szCs w:val="28"/>
        </w:rPr>
      </w:pPr>
    </w:p>
    <w:p w14:paraId="350AC57D">
      <w:pPr>
        <w:rPr>
          <w:rFonts w:hint="eastAsia" w:ascii="宋体" w:hAnsi="宋体" w:eastAsia="宋体" w:cs="宋体"/>
          <w:b/>
          <w:bCs/>
          <w:sz w:val="28"/>
          <w:szCs w:val="28"/>
        </w:rPr>
      </w:pPr>
      <w:r>
        <w:rPr>
          <w:rFonts w:hint="eastAsia" w:ascii="宋体" w:hAnsi="宋体" w:eastAsia="宋体" w:cs="宋体"/>
          <w:b/>
          <w:bCs/>
          <w:sz w:val="28"/>
          <w:szCs w:val="28"/>
        </w:rPr>
        <w:br w:type="page"/>
      </w:r>
    </w:p>
    <w:p w14:paraId="1D614CD7">
      <w:pPr>
        <w:rPr>
          <w:rFonts w:hint="eastAsia" w:ascii="宋体" w:hAnsi="宋体" w:eastAsia="宋体" w:cs="宋体"/>
        </w:rPr>
      </w:pPr>
      <w:r>
        <w:rPr>
          <w:rFonts w:hint="eastAsia" w:ascii="宋体" w:hAnsi="宋体" w:eastAsia="宋体" w:cs="宋体"/>
          <w:sz w:val="24"/>
          <w:szCs w:val="24"/>
          <w:lang w:val="en-US" w:eastAsia="zh-CN"/>
        </w:rPr>
        <w:t>附件2:《 XXX技术参数》：</w:t>
      </w:r>
    </w:p>
    <w:p w14:paraId="54E6EE84">
      <w:pPr>
        <w:spacing w:line="400" w:lineRule="exact"/>
        <w:ind w:firstLine="428" w:firstLineChars="200"/>
        <w:rPr>
          <w:rFonts w:hint="eastAsia" w:ascii="宋体" w:hAnsi="宋体" w:eastAsia="宋体" w:cs="宋体"/>
          <w:color w:val="auto"/>
          <w:highlight w:val="none"/>
        </w:rPr>
      </w:pPr>
    </w:p>
    <w:p w14:paraId="79DE0CFA">
      <w:pPr>
        <w:spacing w:line="560" w:lineRule="exact"/>
        <w:ind w:firstLine="601"/>
        <w:jc w:val="left"/>
        <w:rPr>
          <w:rFonts w:ascii="仿宋" w:hAnsi="仿宋" w:eastAsia="仿宋"/>
          <w:b/>
          <w:color w:val="auto"/>
          <w:sz w:val="44"/>
          <w:szCs w:val="44"/>
          <w:highlight w:val="none"/>
        </w:rPr>
      </w:pPr>
    </w:p>
    <w:p w14:paraId="19009FDC">
      <w:pPr>
        <w:pStyle w:val="66"/>
        <w:ind w:left="0" w:leftChars="0" w:firstLine="0" w:firstLineChars="0"/>
        <w:rPr>
          <w:rFonts w:hint="eastAsia" w:eastAsia="宋体"/>
          <w:color w:val="auto"/>
          <w:highlight w:val="none"/>
        </w:rPr>
      </w:pPr>
    </w:p>
    <w:p w14:paraId="57E15CD6">
      <w:pPr>
        <w:pStyle w:val="86"/>
        <w:ind w:firstLine="321"/>
        <w:rPr>
          <w:rFonts w:hAnsi="宋体"/>
          <w:color w:val="auto"/>
          <w:sz w:val="24"/>
          <w:highlight w:val="none"/>
        </w:rPr>
      </w:pPr>
      <w:r>
        <w:rPr>
          <w:rFonts w:hint="eastAsia" w:ascii="仿宋" w:hAnsi="仿宋" w:eastAsia="仿宋" w:cs="仿宋"/>
          <w:b/>
          <w:color w:val="auto"/>
          <w:sz w:val="32"/>
          <w:szCs w:val="32"/>
          <w:highlight w:val="none"/>
        </w:rPr>
        <w:br w:type="page"/>
      </w:r>
    </w:p>
    <w:p w14:paraId="000D3240">
      <w:pPr>
        <w:pStyle w:val="3"/>
        <w:spacing w:before="0" w:after="0" w:line="240" w:lineRule="auto"/>
        <w:jc w:val="center"/>
        <w:rPr>
          <w:rFonts w:hint="eastAsia" w:ascii="宋体"/>
          <w:color w:val="auto"/>
          <w:sz w:val="36"/>
          <w:szCs w:val="36"/>
          <w:highlight w:val="none"/>
        </w:rPr>
      </w:pPr>
      <w:bookmarkStart w:id="352" w:name="_Toc21015"/>
      <w:r>
        <w:rPr>
          <w:rFonts w:hint="eastAsia" w:ascii="宋体"/>
          <w:color w:val="auto"/>
          <w:sz w:val="36"/>
          <w:szCs w:val="36"/>
          <w:highlight w:val="none"/>
        </w:rPr>
        <w:t>第七章  投标文件格式</w:t>
      </w:r>
      <w:bookmarkEnd w:id="352"/>
    </w:p>
    <w:p w14:paraId="4C811B4E">
      <w:pPr>
        <w:jc w:val="left"/>
        <w:rPr>
          <w:rFonts w:hint="eastAsia" w:ascii="宋体"/>
          <w:b/>
          <w:color w:val="auto"/>
          <w:sz w:val="24"/>
          <w:highlight w:val="none"/>
        </w:rPr>
      </w:pPr>
    </w:p>
    <w:p w14:paraId="2B4D2ADE">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65DDB9CC">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7E2DA198">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1B41174A">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3884278E">
      <w:pPr>
        <w:rPr>
          <w:rFonts w:hint="eastAsia" w:ascii="宋体"/>
          <w:b/>
          <w:color w:val="auto"/>
          <w:sz w:val="30"/>
          <w:szCs w:val="30"/>
          <w:highlight w:val="none"/>
        </w:rPr>
      </w:pPr>
    </w:p>
    <w:p w14:paraId="6EFDEC69">
      <w:pPr>
        <w:pStyle w:val="86"/>
        <w:ind w:firstLine="301"/>
        <w:rPr>
          <w:rFonts w:hint="eastAsia"/>
          <w:b/>
          <w:color w:val="auto"/>
          <w:sz w:val="30"/>
          <w:szCs w:val="30"/>
          <w:highlight w:val="none"/>
        </w:rPr>
      </w:pPr>
    </w:p>
    <w:p w14:paraId="0776A32E">
      <w:pPr>
        <w:pStyle w:val="68"/>
        <w:rPr>
          <w:rFonts w:hint="eastAsia" w:ascii="宋体"/>
          <w:b/>
          <w:color w:val="auto"/>
          <w:sz w:val="30"/>
          <w:szCs w:val="30"/>
          <w:highlight w:val="none"/>
        </w:rPr>
      </w:pPr>
    </w:p>
    <w:p w14:paraId="4FA3CEA7">
      <w:pPr>
        <w:rPr>
          <w:rFonts w:hint="eastAsia" w:ascii="宋体"/>
          <w:b/>
          <w:color w:val="auto"/>
          <w:sz w:val="30"/>
          <w:szCs w:val="30"/>
          <w:highlight w:val="none"/>
        </w:rPr>
      </w:pPr>
    </w:p>
    <w:p w14:paraId="08C2DBB1">
      <w:pPr>
        <w:pStyle w:val="86"/>
        <w:ind w:firstLine="301"/>
        <w:rPr>
          <w:rFonts w:hint="eastAsia"/>
          <w:b/>
          <w:color w:val="auto"/>
          <w:sz w:val="30"/>
          <w:szCs w:val="30"/>
          <w:highlight w:val="none"/>
        </w:rPr>
      </w:pPr>
    </w:p>
    <w:p w14:paraId="2B3A9A5F">
      <w:pPr>
        <w:pStyle w:val="68"/>
        <w:rPr>
          <w:rFonts w:hint="eastAsia" w:ascii="宋体"/>
          <w:b/>
          <w:color w:val="auto"/>
          <w:sz w:val="30"/>
          <w:szCs w:val="30"/>
          <w:highlight w:val="none"/>
        </w:rPr>
      </w:pPr>
    </w:p>
    <w:p w14:paraId="7FA93188">
      <w:pPr>
        <w:rPr>
          <w:rFonts w:hint="eastAsia" w:ascii="宋体"/>
          <w:b/>
          <w:color w:val="auto"/>
          <w:sz w:val="30"/>
          <w:szCs w:val="30"/>
          <w:highlight w:val="none"/>
        </w:rPr>
      </w:pPr>
    </w:p>
    <w:p w14:paraId="32FCF5A6">
      <w:pPr>
        <w:pStyle w:val="86"/>
        <w:ind w:firstLine="301"/>
        <w:rPr>
          <w:rFonts w:hint="eastAsia"/>
          <w:b/>
          <w:color w:val="auto"/>
          <w:sz w:val="30"/>
          <w:szCs w:val="30"/>
          <w:highlight w:val="none"/>
        </w:rPr>
      </w:pPr>
    </w:p>
    <w:p w14:paraId="36824AED">
      <w:pPr>
        <w:pStyle w:val="68"/>
        <w:rPr>
          <w:rFonts w:hint="eastAsia" w:ascii="宋体"/>
          <w:b/>
          <w:color w:val="auto"/>
          <w:sz w:val="30"/>
          <w:szCs w:val="30"/>
          <w:highlight w:val="none"/>
        </w:rPr>
      </w:pPr>
    </w:p>
    <w:p w14:paraId="785EE7F8">
      <w:pPr>
        <w:rPr>
          <w:rFonts w:hint="eastAsia" w:ascii="宋体"/>
          <w:b/>
          <w:color w:val="auto"/>
          <w:sz w:val="30"/>
          <w:szCs w:val="30"/>
          <w:highlight w:val="none"/>
        </w:rPr>
      </w:pPr>
    </w:p>
    <w:p w14:paraId="535EABC0">
      <w:pPr>
        <w:pStyle w:val="86"/>
        <w:ind w:firstLine="301"/>
        <w:rPr>
          <w:rFonts w:hint="eastAsia"/>
          <w:b/>
          <w:color w:val="auto"/>
          <w:sz w:val="30"/>
          <w:szCs w:val="30"/>
          <w:highlight w:val="none"/>
        </w:rPr>
      </w:pPr>
    </w:p>
    <w:p w14:paraId="305A7D87">
      <w:pPr>
        <w:pStyle w:val="68"/>
        <w:rPr>
          <w:rFonts w:hint="eastAsia" w:ascii="宋体"/>
          <w:b/>
          <w:color w:val="auto"/>
          <w:sz w:val="30"/>
          <w:szCs w:val="30"/>
          <w:highlight w:val="none"/>
        </w:rPr>
      </w:pPr>
    </w:p>
    <w:p w14:paraId="69226D45">
      <w:pPr>
        <w:rPr>
          <w:rFonts w:hint="eastAsia" w:ascii="宋体"/>
          <w:b/>
          <w:color w:val="auto"/>
          <w:sz w:val="30"/>
          <w:szCs w:val="30"/>
          <w:highlight w:val="none"/>
        </w:rPr>
      </w:pPr>
    </w:p>
    <w:p w14:paraId="02899F22">
      <w:pPr>
        <w:pStyle w:val="86"/>
        <w:ind w:firstLine="301"/>
        <w:rPr>
          <w:rFonts w:hint="eastAsia"/>
          <w:b/>
          <w:color w:val="auto"/>
          <w:sz w:val="30"/>
          <w:szCs w:val="30"/>
          <w:highlight w:val="none"/>
        </w:rPr>
      </w:pPr>
    </w:p>
    <w:p w14:paraId="0D9427B9">
      <w:pPr>
        <w:spacing w:line="360" w:lineRule="auto"/>
        <w:rPr>
          <w:rFonts w:hint="eastAsia" w:ascii="宋体" w:hAnsi="宋体"/>
          <w:b/>
          <w:color w:val="auto"/>
          <w:sz w:val="44"/>
          <w:szCs w:val="44"/>
          <w:highlight w:val="none"/>
        </w:rPr>
      </w:pPr>
    </w:p>
    <w:p w14:paraId="2A4FC947">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投标文件封面</w:t>
      </w:r>
    </w:p>
    <w:p w14:paraId="1FF6D60F">
      <w:pPr>
        <w:spacing w:line="360" w:lineRule="auto"/>
        <w:jc w:val="center"/>
        <w:rPr>
          <w:rFonts w:hint="eastAsia" w:ascii="宋体" w:hAnsi="宋体"/>
          <w:b/>
          <w:color w:val="auto"/>
          <w:sz w:val="44"/>
          <w:szCs w:val="44"/>
          <w:highlight w:val="none"/>
        </w:rPr>
      </w:pPr>
    </w:p>
    <w:p w14:paraId="4A33B2A6">
      <w:pPr>
        <w:spacing w:line="360" w:lineRule="auto"/>
        <w:jc w:val="center"/>
        <w:rPr>
          <w:rFonts w:hint="eastAsia" w:ascii="宋体"/>
          <w:b/>
          <w:color w:val="auto"/>
          <w:sz w:val="44"/>
          <w:highlight w:val="none"/>
        </w:rPr>
      </w:pPr>
      <w:r>
        <w:rPr>
          <w:rFonts w:hint="eastAsia" w:ascii="宋体" w:hAnsi="宋体"/>
          <w:b/>
          <w:color w:val="auto"/>
          <w:sz w:val="44"/>
          <w:szCs w:val="44"/>
          <w:highlight w:val="none"/>
        </w:rPr>
        <w:t>项目名称</w:t>
      </w:r>
    </w:p>
    <w:p w14:paraId="3DF33D57">
      <w:pPr>
        <w:spacing w:line="360" w:lineRule="auto"/>
        <w:jc w:val="center"/>
        <w:rPr>
          <w:rFonts w:hint="eastAsia" w:ascii="宋体"/>
          <w:b/>
          <w:color w:val="auto"/>
          <w:sz w:val="44"/>
          <w:highlight w:val="none"/>
        </w:rPr>
      </w:pPr>
    </w:p>
    <w:p w14:paraId="4BEB266E">
      <w:pPr>
        <w:spacing w:line="360" w:lineRule="auto"/>
        <w:jc w:val="center"/>
        <w:rPr>
          <w:rFonts w:hint="eastAsia" w:ascii="宋体"/>
          <w:b/>
          <w:color w:val="auto"/>
          <w:sz w:val="84"/>
          <w:szCs w:val="84"/>
          <w:highlight w:val="none"/>
        </w:rPr>
      </w:pPr>
      <w:r>
        <w:rPr>
          <w:rFonts w:hint="eastAsia" w:ascii="宋体"/>
          <w:b/>
          <w:color w:val="auto"/>
          <w:sz w:val="84"/>
          <w:szCs w:val="84"/>
          <w:highlight w:val="none"/>
        </w:rPr>
        <w:t>投 标 文 件</w:t>
      </w:r>
    </w:p>
    <w:p w14:paraId="29C13792">
      <w:pPr>
        <w:jc w:val="center"/>
        <w:rPr>
          <w:rFonts w:hint="eastAsia" w:ascii="宋体"/>
          <w:b/>
          <w:color w:val="auto"/>
          <w:sz w:val="30"/>
          <w:szCs w:val="30"/>
          <w:highlight w:val="none"/>
        </w:rPr>
      </w:pPr>
    </w:p>
    <w:p w14:paraId="04D977C9">
      <w:pPr>
        <w:jc w:val="center"/>
        <w:rPr>
          <w:rFonts w:hint="eastAsia" w:ascii="宋体"/>
          <w:b/>
          <w:color w:val="auto"/>
          <w:sz w:val="30"/>
          <w:szCs w:val="30"/>
          <w:highlight w:val="none"/>
        </w:rPr>
      </w:pPr>
      <w:r>
        <w:rPr>
          <w:rFonts w:hint="eastAsia" w:ascii="宋体"/>
          <w:b/>
          <w:color w:val="auto"/>
          <w:sz w:val="30"/>
          <w:szCs w:val="30"/>
          <w:highlight w:val="none"/>
        </w:rPr>
        <w:t>（项目编号：</w:t>
      </w:r>
      <w:r>
        <w:rPr>
          <w:rFonts w:hint="eastAsia" w:ascii="宋体"/>
          <w:b/>
          <w:color w:val="auto"/>
          <w:sz w:val="30"/>
          <w:szCs w:val="30"/>
          <w:highlight w:val="none"/>
          <w:lang w:eastAsia="zh-CN"/>
        </w:rPr>
        <w:t>XYTDZB-2025GK</w:t>
      </w:r>
      <w:r>
        <w:rPr>
          <w:rFonts w:hint="eastAsia" w:ascii="宋体"/>
          <w:b/>
          <w:color w:val="auto"/>
          <w:sz w:val="30"/>
          <w:szCs w:val="30"/>
          <w:highlight w:val="none"/>
          <w:lang w:val="en-US" w:eastAsia="zh-CN"/>
        </w:rPr>
        <w:t>268</w:t>
      </w:r>
      <w:r>
        <w:rPr>
          <w:rFonts w:hint="eastAsia" w:ascii="宋体" w:hAnsi="宋体"/>
          <w:b/>
          <w:color w:val="auto"/>
          <w:sz w:val="30"/>
          <w:szCs w:val="30"/>
          <w:highlight w:val="none"/>
        </w:rPr>
        <w:t>）</w:t>
      </w:r>
    </w:p>
    <w:p w14:paraId="180E323B">
      <w:pPr>
        <w:rPr>
          <w:rFonts w:hint="eastAsia" w:ascii="宋体"/>
          <w:b/>
          <w:color w:val="auto"/>
          <w:sz w:val="30"/>
          <w:szCs w:val="30"/>
          <w:highlight w:val="none"/>
        </w:rPr>
      </w:pPr>
    </w:p>
    <w:p w14:paraId="74BE62E1">
      <w:pPr>
        <w:rPr>
          <w:rFonts w:hint="eastAsia" w:ascii="宋体"/>
          <w:b/>
          <w:color w:val="auto"/>
          <w:sz w:val="30"/>
          <w:szCs w:val="30"/>
          <w:highlight w:val="none"/>
        </w:rPr>
      </w:pPr>
    </w:p>
    <w:p w14:paraId="0C91891F">
      <w:pPr>
        <w:rPr>
          <w:rFonts w:hint="eastAsia" w:ascii="宋体"/>
          <w:b/>
          <w:color w:val="auto"/>
          <w:sz w:val="30"/>
          <w:szCs w:val="30"/>
          <w:highlight w:val="none"/>
        </w:rPr>
      </w:pPr>
    </w:p>
    <w:p w14:paraId="22CAEF4E">
      <w:pPr>
        <w:spacing w:line="600" w:lineRule="auto"/>
        <w:rPr>
          <w:rFonts w:hint="eastAsia" w:ascii="宋体"/>
          <w:b/>
          <w:color w:val="auto"/>
          <w:sz w:val="30"/>
          <w:szCs w:val="30"/>
          <w:highlight w:val="none"/>
        </w:rPr>
      </w:pPr>
      <w:r>
        <w:rPr>
          <w:rFonts w:hint="eastAsia" w:ascii="宋体"/>
          <w:b/>
          <w:color w:val="auto"/>
          <w:sz w:val="30"/>
          <w:szCs w:val="30"/>
          <w:highlight w:val="none"/>
        </w:rPr>
        <w:t>投标单位名称：</w:t>
      </w:r>
      <w:r>
        <w:rPr>
          <w:rFonts w:hint="eastAsia" w:ascii="宋体"/>
          <w:b/>
          <w:color w:val="auto"/>
          <w:sz w:val="30"/>
          <w:szCs w:val="30"/>
          <w:highlight w:val="none"/>
          <w:u w:val="single"/>
        </w:rPr>
        <w:t xml:space="preserve">                                  </w:t>
      </w:r>
      <w:r>
        <w:rPr>
          <w:rFonts w:hint="eastAsia" w:ascii="宋体"/>
          <w:b/>
          <w:color w:val="auto"/>
          <w:sz w:val="30"/>
          <w:szCs w:val="30"/>
          <w:highlight w:val="none"/>
        </w:rPr>
        <w:t>（盖公章）</w:t>
      </w:r>
    </w:p>
    <w:p w14:paraId="4B85BFCC">
      <w:pPr>
        <w:spacing w:line="600" w:lineRule="auto"/>
        <w:rPr>
          <w:rFonts w:hint="eastAsia" w:ascii="宋体"/>
          <w:b/>
          <w:color w:val="auto"/>
          <w:sz w:val="30"/>
          <w:szCs w:val="30"/>
          <w:highlight w:val="none"/>
        </w:rPr>
      </w:pPr>
      <w:r>
        <w:rPr>
          <w:rFonts w:hint="eastAsia" w:ascii="宋体"/>
          <w:b/>
          <w:color w:val="auto"/>
          <w:sz w:val="30"/>
          <w:szCs w:val="30"/>
          <w:highlight w:val="none"/>
        </w:rPr>
        <w:t>法定代表人或委托代理人：</w:t>
      </w:r>
      <w:r>
        <w:rPr>
          <w:rFonts w:hint="eastAsia" w:ascii="宋体"/>
          <w:b/>
          <w:color w:val="auto"/>
          <w:sz w:val="30"/>
          <w:szCs w:val="30"/>
          <w:highlight w:val="none"/>
          <w:u w:val="single"/>
        </w:rPr>
        <w:t xml:space="preserve">                       </w:t>
      </w:r>
      <w:r>
        <w:rPr>
          <w:rFonts w:hint="eastAsia" w:ascii="宋体"/>
          <w:b/>
          <w:color w:val="auto"/>
          <w:sz w:val="30"/>
          <w:szCs w:val="30"/>
          <w:highlight w:val="none"/>
        </w:rPr>
        <w:t>（签字或盖章）</w:t>
      </w:r>
    </w:p>
    <w:p w14:paraId="2A017A3F">
      <w:pPr>
        <w:rPr>
          <w:rFonts w:hint="eastAsia" w:ascii="宋体"/>
          <w:b/>
          <w:color w:val="auto"/>
          <w:sz w:val="30"/>
          <w:szCs w:val="30"/>
          <w:highlight w:val="none"/>
        </w:rPr>
      </w:pPr>
    </w:p>
    <w:p w14:paraId="178B2688">
      <w:pPr>
        <w:jc w:val="center"/>
        <w:rPr>
          <w:rFonts w:hint="eastAsia" w:ascii="宋体"/>
          <w:b/>
          <w:color w:val="auto"/>
          <w:sz w:val="30"/>
          <w:szCs w:val="30"/>
          <w:highlight w:val="none"/>
        </w:rPr>
      </w:pPr>
      <w:r>
        <w:rPr>
          <w:rFonts w:hint="eastAsia" w:ascii="宋体"/>
          <w:b/>
          <w:color w:val="auto"/>
          <w:sz w:val="30"/>
          <w:szCs w:val="30"/>
          <w:highlight w:val="none"/>
        </w:rPr>
        <w:t>年   月   日</w:t>
      </w:r>
    </w:p>
    <w:p w14:paraId="7B92BF79">
      <w:pPr>
        <w:rPr>
          <w:rFonts w:hint="eastAsia" w:ascii="宋体"/>
          <w:b/>
          <w:color w:val="auto"/>
          <w:sz w:val="30"/>
          <w:szCs w:val="30"/>
          <w:highlight w:val="none"/>
        </w:rPr>
      </w:pPr>
      <w:r>
        <w:rPr>
          <w:rFonts w:hint="eastAsia" w:ascii="宋体"/>
          <w:b/>
          <w:color w:val="auto"/>
          <w:sz w:val="30"/>
          <w:szCs w:val="30"/>
          <w:highlight w:val="none"/>
        </w:rPr>
        <w:br w:type="page"/>
      </w:r>
      <w:r>
        <w:rPr>
          <w:rFonts w:hint="eastAsia" w:ascii="宋体"/>
          <w:bCs/>
          <w:color w:val="auto"/>
          <w:sz w:val="30"/>
          <w:szCs w:val="30"/>
          <w:highlight w:val="none"/>
        </w:rPr>
        <w:t xml:space="preserve"> 1</w:t>
      </w:r>
      <w:r>
        <w:rPr>
          <w:rFonts w:hint="eastAsia" w:ascii="宋体"/>
          <w:bCs/>
          <w:color w:val="auto"/>
          <w:sz w:val="30"/>
          <w:szCs w:val="30"/>
          <w:highlight w:val="none"/>
          <w:lang w:val="en-US" w:eastAsia="zh-CN"/>
        </w:rPr>
        <w:t>.</w:t>
      </w:r>
      <w:r>
        <w:rPr>
          <w:rFonts w:hint="eastAsia" w:ascii="宋体"/>
          <w:bCs/>
          <w:color w:val="auto"/>
          <w:sz w:val="30"/>
          <w:szCs w:val="30"/>
          <w:highlight w:val="none"/>
        </w:rPr>
        <w:t>投标书（实质性格式）</w:t>
      </w:r>
      <w:r>
        <w:rPr>
          <w:rFonts w:hint="eastAsia" w:ascii="宋体"/>
          <w:b/>
          <w:color w:val="auto"/>
          <w:sz w:val="30"/>
          <w:szCs w:val="30"/>
          <w:highlight w:val="none"/>
        </w:rPr>
        <w:t xml:space="preserve">                        </w:t>
      </w:r>
    </w:p>
    <w:p w14:paraId="595A32BC">
      <w:pPr>
        <w:spacing w:line="360" w:lineRule="auto"/>
        <w:jc w:val="center"/>
        <w:rPr>
          <w:rFonts w:hint="eastAsia" w:ascii="宋体"/>
          <w:b/>
          <w:color w:val="auto"/>
          <w:sz w:val="36"/>
          <w:szCs w:val="36"/>
          <w:highlight w:val="none"/>
        </w:rPr>
      </w:pPr>
      <w:r>
        <w:rPr>
          <w:rFonts w:hint="eastAsia" w:ascii="宋体"/>
          <w:b/>
          <w:color w:val="auto"/>
          <w:sz w:val="36"/>
          <w:szCs w:val="36"/>
          <w:highlight w:val="none"/>
        </w:rPr>
        <w:t>投 标 书</w:t>
      </w:r>
    </w:p>
    <w:p w14:paraId="4DC61C6B">
      <w:pPr>
        <w:spacing w:line="360" w:lineRule="auto"/>
        <w:ind w:firstLine="488" w:firstLineChars="200"/>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（采购人或采购代理机构）</w:t>
      </w:r>
    </w:p>
    <w:p w14:paraId="5184AA7F">
      <w:pPr>
        <w:spacing w:line="360" w:lineRule="auto"/>
        <w:ind w:firstLine="488" w:firstLineChars="200"/>
        <w:rPr>
          <w:rFonts w:hint="eastAsia" w:ascii="宋体" w:hAnsi="宋体"/>
          <w:color w:val="auto"/>
          <w:sz w:val="24"/>
          <w:highlight w:val="none"/>
        </w:rPr>
      </w:pPr>
      <w:r>
        <w:rPr>
          <w:rFonts w:hint="eastAsia" w:ascii="宋体" w:hAnsi="宋体"/>
          <w:color w:val="auto"/>
          <w:sz w:val="24"/>
          <w:highlight w:val="none"/>
        </w:rPr>
        <w:t xml:space="preserve">我方参加你方就 </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（项目名称、项目编号/包号）组织的招标活动，并对此项目进行投标。</w:t>
      </w:r>
    </w:p>
    <w:p w14:paraId="60B985DF">
      <w:pPr>
        <w:pStyle w:val="86"/>
        <w:spacing w:line="360" w:lineRule="auto"/>
        <w:ind w:left="420" w:firstLine="240"/>
        <w:rPr>
          <w:rFonts w:hint="eastAsia" w:hAnsi="宋体"/>
          <w:color w:val="auto"/>
          <w:sz w:val="24"/>
          <w:highlight w:val="none"/>
          <w:lang w:val="en-US" w:eastAsia="zh-CN"/>
        </w:rPr>
      </w:pPr>
      <w:r>
        <w:rPr>
          <w:rFonts w:hint="eastAsia" w:hAnsi="宋体"/>
          <w:color w:val="auto"/>
          <w:sz w:val="24"/>
          <w:highlight w:val="none"/>
          <w:lang w:val="en-US" w:eastAsia="zh-CN"/>
        </w:rPr>
        <w:t>1、我方已详细审查全部招标文件，自愿参与投标并承诺如下：</w:t>
      </w:r>
    </w:p>
    <w:p w14:paraId="7D03FD3A">
      <w:pPr>
        <w:pStyle w:val="68"/>
        <w:numPr>
          <w:ilvl w:val="0"/>
          <w:numId w:val="32"/>
        </w:numPr>
        <w:spacing w:line="360" w:lineRule="auto"/>
        <w:ind w:left="480" w:leftChars="0"/>
        <w:rPr>
          <w:color w:val="auto"/>
          <w:sz w:val="24"/>
          <w:szCs w:val="20"/>
          <w:highlight w:val="none"/>
        </w:rPr>
      </w:pPr>
      <w:r>
        <w:rPr>
          <w:color w:val="auto"/>
          <w:sz w:val="24"/>
          <w:szCs w:val="20"/>
          <w:highlight w:val="none"/>
        </w:rPr>
        <w:t>本投标有效期为自提交投标文件的截止之日起</w:t>
      </w:r>
      <w:r>
        <w:rPr>
          <w:color w:val="auto"/>
          <w:sz w:val="24"/>
          <w:highlight w:val="none"/>
        </w:rPr>
        <w:t>_____</w:t>
      </w:r>
      <w:r>
        <w:rPr>
          <w:color w:val="auto"/>
          <w:sz w:val="24"/>
          <w:szCs w:val="20"/>
          <w:highlight w:val="none"/>
        </w:rPr>
        <w:t>个日历日。</w:t>
      </w:r>
    </w:p>
    <w:p w14:paraId="10BA5BD1">
      <w:pPr>
        <w:spacing w:line="360" w:lineRule="auto"/>
        <w:rPr>
          <w:rFonts w:hint="eastAsia"/>
          <w:color w:val="auto"/>
          <w:sz w:val="24"/>
          <w:szCs w:val="20"/>
          <w:highlight w:val="none"/>
        </w:rPr>
      </w:pPr>
      <w:r>
        <w:rPr>
          <w:rFonts w:hint="eastAsia"/>
          <w:color w:val="auto"/>
          <w:sz w:val="24"/>
          <w:szCs w:val="20"/>
          <w:highlight w:val="none"/>
        </w:rPr>
        <w:t xml:space="preserve">    （2）除合同条款及采购需求偏离表列出的偏离外，我方响应招标文件的全部要求。</w:t>
      </w:r>
    </w:p>
    <w:p w14:paraId="1ED7A8DB">
      <w:pPr>
        <w:spacing w:line="360" w:lineRule="auto"/>
        <w:rPr>
          <w:rFonts w:hint="eastAsia"/>
          <w:color w:val="auto"/>
          <w:highlight w:val="none"/>
        </w:rPr>
      </w:pPr>
      <w:r>
        <w:rPr>
          <w:rFonts w:hint="eastAsia"/>
          <w:color w:val="auto"/>
          <w:highlight w:val="none"/>
        </w:rPr>
        <w:t xml:space="preserve">     （</w:t>
      </w:r>
      <w:r>
        <w:rPr>
          <w:rFonts w:hint="eastAsia"/>
          <w:color w:val="auto"/>
          <w:sz w:val="24"/>
          <w:highlight w:val="none"/>
        </w:rPr>
        <w:t>3</w:t>
      </w:r>
      <w:r>
        <w:rPr>
          <w:rFonts w:hint="eastAsia"/>
          <w:color w:val="auto"/>
          <w:highlight w:val="none"/>
        </w:rPr>
        <w:t>）我方已提供的全部文件资料是真实、准确的，并对此承担一切法律后果。</w:t>
      </w:r>
    </w:p>
    <w:p w14:paraId="167A4861">
      <w:pPr>
        <w:pStyle w:val="86"/>
        <w:spacing w:line="360" w:lineRule="auto"/>
        <w:ind w:firstLine="210"/>
        <w:rPr>
          <w:rFonts w:hint="eastAsia"/>
          <w:color w:val="auto"/>
          <w:highlight w:val="none"/>
          <w:lang w:val="en-US" w:eastAsia="zh-CN"/>
        </w:rPr>
      </w:pPr>
      <w:r>
        <w:rPr>
          <w:rFonts w:hint="eastAsia"/>
          <w:color w:val="auto"/>
          <w:highlight w:val="none"/>
          <w:lang w:val="en-US" w:eastAsia="zh-CN"/>
        </w:rPr>
        <w:t xml:space="preserve">   （4）如我方中标，我方将在法律规定的期限内与你方签订合同，按照招标文件要求提交履约保证金，并在合同约定的期限内完成合同规定的全部义务。</w:t>
      </w:r>
    </w:p>
    <w:p w14:paraId="12A15A71">
      <w:pPr>
        <w:pStyle w:val="86"/>
        <w:spacing w:line="360" w:lineRule="auto"/>
        <w:ind w:firstLine="210"/>
        <w:rPr>
          <w:rFonts w:hint="eastAsia" w:hAnsi="宋体" w:cs="宋体"/>
          <w:color w:val="auto"/>
          <w:sz w:val="24"/>
          <w:highlight w:val="none"/>
          <w:lang w:val="en-US" w:eastAsia="zh-CN"/>
        </w:rPr>
      </w:pPr>
      <w:r>
        <w:rPr>
          <w:rFonts w:hint="eastAsia"/>
          <w:color w:val="auto"/>
          <w:highlight w:val="none"/>
          <w:lang w:val="en-US" w:eastAsia="zh-CN"/>
        </w:rPr>
        <w:t xml:space="preserve">  </w:t>
      </w:r>
      <w:r>
        <w:rPr>
          <w:rFonts w:hint="eastAsia" w:hAnsi="宋体" w:cs="宋体"/>
          <w:color w:val="auto"/>
          <w:sz w:val="24"/>
          <w:highlight w:val="none"/>
          <w:lang w:val="en-US" w:eastAsia="zh-CN"/>
        </w:rPr>
        <w:t xml:space="preserve"> 2、其他补充条款（如有）：___________。</w:t>
      </w:r>
    </w:p>
    <w:p w14:paraId="158E2310">
      <w:pPr>
        <w:pStyle w:val="68"/>
        <w:spacing w:line="360" w:lineRule="auto"/>
        <w:ind w:left="0" w:leftChars="0" w:firstLine="480"/>
        <w:rPr>
          <w:color w:val="auto"/>
          <w:sz w:val="24"/>
          <w:highlight w:val="none"/>
        </w:rPr>
      </w:pPr>
      <w:r>
        <w:rPr>
          <w:color w:val="auto"/>
          <w:sz w:val="24"/>
          <w:highlight w:val="none"/>
        </w:rPr>
        <w:t>与本投标有关的一切正式往来信函请寄：</w:t>
      </w:r>
    </w:p>
    <w:p w14:paraId="76FB8400">
      <w:pPr>
        <w:ind w:firstLine="480"/>
        <w:rPr>
          <w:color w:val="auto"/>
          <w:highlight w:val="none"/>
        </w:rPr>
      </w:pPr>
    </w:p>
    <w:p w14:paraId="73DFBDC1">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058DB3E8">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3B756305">
      <w:pPr>
        <w:tabs>
          <w:tab w:val="left" w:pos="5580"/>
        </w:tabs>
        <w:spacing w:line="360" w:lineRule="auto"/>
        <w:ind w:left="420"/>
        <w:rPr>
          <w:color w:val="auto"/>
          <w:sz w:val="24"/>
          <w:szCs w:val="20"/>
          <w:highlight w:val="none"/>
        </w:rPr>
      </w:pPr>
    </w:p>
    <w:p w14:paraId="02035A16">
      <w:pPr>
        <w:rPr>
          <w:color w:val="auto"/>
          <w:highlight w:val="none"/>
        </w:rPr>
      </w:pPr>
    </w:p>
    <w:p w14:paraId="7156233A">
      <w:pPr>
        <w:spacing w:line="360" w:lineRule="auto"/>
        <w:ind w:firstLine="488" w:firstLineChars="200"/>
        <w:rPr>
          <w:rFonts w:hint="eastAsia" w:ascii="宋体" w:hAnsi="宋体"/>
          <w:color w:val="auto"/>
          <w:sz w:val="24"/>
          <w:highlight w:val="none"/>
        </w:rPr>
      </w:pPr>
      <w:r>
        <w:rPr>
          <w:rFonts w:hint="eastAsia" w:ascii="宋体" w:hAnsi="宋体"/>
          <w:color w:val="auto"/>
          <w:sz w:val="24"/>
          <w:highlight w:val="none"/>
        </w:rPr>
        <w:t xml:space="preserve">      </w:t>
      </w:r>
    </w:p>
    <w:p w14:paraId="38458087">
      <w:pPr>
        <w:tabs>
          <w:tab w:val="left" w:pos="5580"/>
        </w:tabs>
        <w:spacing w:line="360" w:lineRule="auto"/>
        <w:ind w:left="420"/>
        <w:rPr>
          <w:rFonts w:hint="eastAsia" w:ascii="宋体" w:hAnsi="宋体"/>
          <w:color w:val="auto"/>
          <w:sz w:val="24"/>
          <w:highlight w:val="none"/>
          <w:u w:val="single"/>
        </w:rPr>
      </w:pPr>
      <w:r>
        <w:rPr>
          <w:rFonts w:hint="eastAsia" w:ascii="宋体" w:hAnsi="宋体"/>
          <w:color w:val="auto"/>
          <w:sz w:val="24"/>
          <w:highlight w:val="none"/>
        </w:rPr>
        <w:t xml:space="preserve">                    投标人名称（加盖公章）：</w:t>
      </w:r>
      <w:r>
        <w:rPr>
          <w:color w:val="auto"/>
          <w:sz w:val="24"/>
          <w:szCs w:val="20"/>
          <w:highlight w:val="none"/>
        </w:rPr>
        <w:t>_____________________</w:t>
      </w:r>
      <w:r>
        <w:rPr>
          <w:rFonts w:hint="eastAsia" w:ascii="宋体" w:hAnsi="宋体"/>
          <w:color w:val="auto"/>
          <w:kern w:val="0"/>
          <w:sz w:val="24"/>
          <w:highlight w:val="none"/>
          <w:u w:val="single"/>
        </w:rPr>
        <w:t xml:space="preserve">               </w:t>
      </w:r>
    </w:p>
    <w:p w14:paraId="2C0AEA09">
      <w:pPr>
        <w:spacing w:line="360" w:lineRule="auto"/>
        <w:ind w:firstLine="2684" w:firstLineChars="1100"/>
        <w:rPr>
          <w:rFonts w:hint="eastAsia" w:ascii="宋体" w:hAnsi="宋体"/>
          <w:color w:val="auto"/>
          <w:sz w:val="24"/>
          <w:highlight w:val="none"/>
        </w:rPr>
      </w:pPr>
      <w:r>
        <w:rPr>
          <w:rFonts w:hint="eastAsia" w:ascii="宋体" w:hAnsi="宋体"/>
          <w:color w:val="auto"/>
          <w:kern w:val="0"/>
          <w:sz w:val="24"/>
          <w:highlight w:val="none"/>
        </w:rPr>
        <w:t xml:space="preserve"> 委托代理人（签字）：</w:t>
      </w:r>
      <w:r>
        <w:rPr>
          <w:rFonts w:hint="eastAsia" w:ascii="宋体" w:hAnsi="宋体"/>
          <w:color w:val="auto"/>
          <w:kern w:val="0"/>
          <w:sz w:val="24"/>
          <w:highlight w:val="none"/>
          <w:u w:val="single"/>
          <w:lang w:val="en-US" w:eastAsia="zh-CN"/>
        </w:rPr>
        <w:t xml:space="preserve">1.                        3                       </w:t>
      </w:r>
      <w:r>
        <w:rPr>
          <w:rFonts w:hint="eastAsia"/>
          <w:color w:val="auto"/>
          <w:sz w:val="24"/>
          <w:szCs w:val="20"/>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D9937D0">
      <w:pPr>
        <w:spacing w:line="360" w:lineRule="auto"/>
        <w:jc w:val="center"/>
        <w:rPr>
          <w:rFonts w:hint="eastAsia" w:hAnsi="Arial"/>
          <w:color w:val="auto"/>
          <w:highlight w:val="none"/>
        </w:rPr>
      </w:pPr>
      <w:r>
        <w:rPr>
          <w:rFonts w:hint="eastAsia" w:ascii="宋体" w:hAnsi="宋体"/>
          <w:color w:val="auto"/>
          <w:sz w:val="24"/>
          <w:highlight w:val="none"/>
        </w:rPr>
        <w:t xml:space="preserve">         日    期 ：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 </w:t>
      </w:r>
      <w:r>
        <w:rPr>
          <w:rFonts w:hint="eastAsia" w:hAnsi="Arial"/>
          <w:color w:val="auto"/>
          <w:highlight w:val="none"/>
          <w:u w:val="single"/>
        </w:rPr>
        <w:t xml:space="preserve">                                </w:t>
      </w:r>
      <w:r>
        <w:rPr>
          <w:rFonts w:hint="eastAsia" w:hAnsi="Arial"/>
          <w:color w:val="auto"/>
          <w:highlight w:val="none"/>
        </w:rPr>
        <w:t xml:space="preserve"> </w:t>
      </w:r>
    </w:p>
    <w:p w14:paraId="793DCCBC">
      <w:pPr>
        <w:spacing w:line="360" w:lineRule="auto"/>
        <w:ind w:firstLine="304" w:firstLineChars="100"/>
        <w:rPr>
          <w:rFonts w:hint="eastAsia" w:ascii="宋体"/>
          <w:b/>
          <w:color w:val="auto"/>
          <w:sz w:val="30"/>
          <w:szCs w:val="30"/>
          <w:highlight w:val="none"/>
        </w:rPr>
      </w:pPr>
    </w:p>
    <w:p w14:paraId="6F3ED2D3">
      <w:pPr>
        <w:spacing w:line="360" w:lineRule="auto"/>
        <w:ind w:firstLine="304" w:firstLineChars="100"/>
        <w:rPr>
          <w:rFonts w:hint="eastAsia" w:ascii="宋体"/>
          <w:b/>
          <w:color w:val="auto"/>
          <w:sz w:val="30"/>
          <w:szCs w:val="30"/>
          <w:highlight w:val="none"/>
        </w:rPr>
      </w:pPr>
    </w:p>
    <w:p w14:paraId="1D7D5A5A">
      <w:pPr>
        <w:spacing w:line="360" w:lineRule="auto"/>
        <w:ind w:firstLine="304" w:firstLineChars="100"/>
        <w:rPr>
          <w:rFonts w:hint="eastAsia" w:ascii="宋体"/>
          <w:b/>
          <w:color w:val="auto"/>
          <w:sz w:val="30"/>
          <w:szCs w:val="30"/>
          <w:highlight w:val="none"/>
        </w:rPr>
      </w:pPr>
    </w:p>
    <w:p w14:paraId="71A4205A">
      <w:pPr>
        <w:spacing w:line="360" w:lineRule="auto"/>
        <w:ind w:firstLine="304" w:firstLineChars="100"/>
        <w:rPr>
          <w:rFonts w:hint="eastAsia" w:ascii="宋体"/>
          <w:b/>
          <w:color w:val="auto"/>
          <w:sz w:val="30"/>
          <w:szCs w:val="30"/>
          <w:highlight w:val="none"/>
        </w:rPr>
      </w:pPr>
    </w:p>
    <w:p w14:paraId="6EBF4005">
      <w:pPr>
        <w:spacing w:line="360" w:lineRule="auto"/>
        <w:ind w:firstLine="304" w:firstLineChars="100"/>
        <w:rPr>
          <w:rFonts w:hint="eastAsia" w:ascii="宋体"/>
          <w:b/>
          <w:color w:val="auto"/>
          <w:sz w:val="30"/>
          <w:szCs w:val="30"/>
          <w:highlight w:val="none"/>
        </w:rPr>
      </w:pPr>
    </w:p>
    <w:p w14:paraId="3D62D52C">
      <w:pPr>
        <w:spacing w:line="360" w:lineRule="auto"/>
        <w:jc w:val="left"/>
        <w:rPr>
          <w:rFonts w:hint="eastAsia" w:ascii="宋体"/>
          <w:bCs/>
          <w:color w:val="auto"/>
          <w:sz w:val="30"/>
          <w:szCs w:val="30"/>
          <w:highlight w:val="none"/>
        </w:rPr>
      </w:pPr>
      <w:r>
        <w:rPr>
          <w:rFonts w:hint="eastAsia" w:ascii="宋体"/>
          <w:bCs/>
          <w:color w:val="auto"/>
          <w:sz w:val="30"/>
          <w:szCs w:val="30"/>
          <w:highlight w:val="none"/>
        </w:rPr>
        <w:t>2</w:t>
      </w:r>
      <w:r>
        <w:rPr>
          <w:rFonts w:hint="eastAsia" w:ascii="宋体"/>
          <w:bCs/>
          <w:color w:val="auto"/>
          <w:sz w:val="30"/>
          <w:szCs w:val="30"/>
          <w:highlight w:val="none"/>
          <w:lang w:val="en-US" w:eastAsia="zh-CN"/>
        </w:rPr>
        <w:t>.</w:t>
      </w:r>
      <w:r>
        <w:rPr>
          <w:rFonts w:hint="eastAsia" w:ascii="宋体"/>
          <w:bCs/>
          <w:color w:val="auto"/>
          <w:sz w:val="30"/>
          <w:szCs w:val="30"/>
          <w:highlight w:val="none"/>
        </w:rPr>
        <w:t>授权委托书（实质性格式）</w:t>
      </w:r>
    </w:p>
    <w:p w14:paraId="19CA814C">
      <w:pPr>
        <w:pStyle w:val="86"/>
        <w:ind w:firstLine="210"/>
        <w:rPr>
          <w:rFonts w:hint="eastAsia"/>
          <w:color w:val="auto"/>
          <w:highlight w:val="none"/>
          <w:lang w:val="en-US" w:eastAsia="zh-CN"/>
        </w:rPr>
      </w:pPr>
    </w:p>
    <w:p w14:paraId="3EF24E4E">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32D64AFC">
      <w:pPr>
        <w:spacing w:line="360" w:lineRule="auto"/>
        <w:ind w:firstLine="420"/>
        <w:rPr>
          <w:rFonts w:ascii="宋体" w:hAnsi="宋体"/>
          <w:color w:val="auto"/>
          <w:sz w:val="24"/>
          <w:szCs w:val="20"/>
          <w:highlight w:val="none"/>
        </w:rPr>
      </w:pPr>
    </w:p>
    <w:p w14:paraId="7DE8EFE7">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14:paraId="383D940C">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44FAF76B">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63F8D660">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3EE991C1">
      <w:pPr>
        <w:spacing w:line="360" w:lineRule="auto"/>
        <w:rPr>
          <w:rFonts w:ascii="宋体" w:hAnsi="宋体"/>
          <w:color w:val="auto"/>
          <w:sz w:val="24"/>
          <w:szCs w:val="20"/>
          <w:highlight w:val="none"/>
        </w:rPr>
      </w:pPr>
      <w:r>
        <w:rPr>
          <w:rFonts w:ascii="宋体" w:hAnsi="宋体"/>
          <w:color w:val="auto"/>
          <w:sz w:val="24"/>
          <w:szCs w:val="20"/>
          <w:highlight w:val="none"/>
        </w:rPr>
        <w:t>法定代表人</w:t>
      </w:r>
      <w:r>
        <w:rPr>
          <w:rFonts w:hint="eastAsia" w:ascii="宋体" w:hAnsi="宋体"/>
          <w:color w:val="auto"/>
          <w:sz w:val="24"/>
          <w:szCs w:val="20"/>
          <w:highlight w:val="none"/>
        </w:rPr>
        <w:t>（单位负责人）</w:t>
      </w:r>
      <w:r>
        <w:rPr>
          <w:rFonts w:ascii="宋体" w:hAnsi="宋体"/>
          <w:color w:val="auto"/>
          <w:sz w:val="24"/>
          <w:szCs w:val="20"/>
          <w:highlight w:val="none"/>
        </w:rPr>
        <w:t>（签字</w:t>
      </w:r>
      <w:r>
        <w:rPr>
          <w:rFonts w:hint="eastAsia" w:ascii="宋体" w:hAnsi="宋体"/>
          <w:color w:val="auto"/>
          <w:sz w:val="24"/>
          <w:szCs w:val="20"/>
          <w:highlight w:val="none"/>
        </w:rPr>
        <w:t>）</w:t>
      </w:r>
      <w:r>
        <w:rPr>
          <w:rFonts w:ascii="宋体" w:hAnsi="宋体"/>
          <w:color w:val="auto"/>
          <w:sz w:val="24"/>
          <w:szCs w:val="20"/>
          <w:highlight w:val="none"/>
        </w:rPr>
        <w:t>：</w:t>
      </w:r>
      <w:r>
        <w:rPr>
          <w:rFonts w:ascii="宋体" w:hAnsi="宋体"/>
          <w:color w:val="auto"/>
          <w:sz w:val="24"/>
          <w:highlight w:val="none"/>
          <w:lang w:val="zh-CN"/>
        </w:rPr>
        <w:t>________________</w:t>
      </w:r>
    </w:p>
    <w:p w14:paraId="0162247F">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14:paraId="488BFFF1">
      <w:pPr>
        <w:autoSpaceDE w:val="0"/>
        <w:autoSpaceDN w:val="0"/>
        <w:adjustRightInd w:val="0"/>
        <w:snapToGrid w:val="0"/>
        <w:spacing w:line="360" w:lineRule="auto"/>
        <w:rPr>
          <w:rFonts w:ascii="宋体" w:hAnsi="宋体"/>
          <w:color w:val="auto"/>
          <w:sz w:val="24"/>
          <w:highlight w:val="none"/>
        </w:rPr>
      </w:pPr>
      <w:r>
        <w:rPr>
          <w:rFonts w:ascii="宋体" w:hAnsi="宋体"/>
          <w:color w:val="auto"/>
          <w:sz w:val="24"/>
          <w:highlight w:val="none"/>
        </w:rPr>
        <w:t>日期：_____年______月______日</w:t>
      </w:r>
    </w:p>
    <w:p w14:paraId="284390A9">
      <w:pPr>
        <w:pStyle w:val="86"/>
        <w:ind w:firstLine="210"/>
        <w:rPr>
          <w:color w:val="auto"/>
          <w:highlight w:val="none"/>
          <w:lang w:val="zh-CN"/>
        </w:rPr>
      </w:pPr>
    </w:p>
    <w:p w14:paraId="359220E7">
      <w:pPr>
        <w:pStyle w:val="68"/>
        <w:ind w:left="0" w:leftChars="0"/>
        <w:rPr>
          <w:rFonts w:hint="eastAsia" w:ascii="宋体"/>
          <w:bCs/>
          <w:color w:val="auto"/>
          <w:sz w:val="30"/>
          <w:szCs w:val="30"/>
          <w:highlight w:val="none"/>
        </w:rPr>
      </w:pPr>
      <w:r>
        <w:rPr>
          <w:rFonts w:ascii="宋体" w:hAnsi="宋体"/>
          <w:color w:val="auto"/>
          <w:sz w:val="24"/>
          <w:szCs w:val="20"/>
          <w:highlight w:val="none"/>
        </w:rPr>
        <w:t>法定代表人有效期内的身份证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6D4994FA">
      <w:pPr>
        <w:rPr>
          <w:rFonts w:hint="eastAsia" w:ascii="宋体"/>
          <w:bCs/>
          <w:color w:val="auto"/>
          <w:sz w:val="30"/>
          <w:szCs w:val="30"/>
          <w:highlight w:val="none"/>
        </w:rPr>
      </w:pPr>
      <w:r>
        <w:rPr>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2932430</wp:posOffset>
                </wp:positionH>
                <wp:positionV relativeFrom="paragraph">
                  <wp:posOffset>118745</wp:posOffset>
                </wp:positionV>
                <wp:extent cx="2486025" cy="715645"/>
                <wp:effectExtent l="4445" t="4445" r="11430" b="16510"/>
                <wp:wrapNone/>
                <wp:docPr id="3" name="文本框 17"/>
                <wp:cNvGraphicFramePr/>
                <a:graphic xmlns:a="http://schemas.openxmlformats.org/drawingml/2006/main">
                  <a:graphicData uri="http://schemas.microsoft.com/office/word/2010/wordprocessingShape">
                    <wps:wsp>
                      <wps:cNvSpPr txBox="1"/>
                      <wps:spPr>
                        <a:xfrm>
                          <a:off x="0" y="0"/>
                          <a:ext cx="248602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66D3BC"/>
                        </w:txbxContent>
                      </wps:txbx>
                      <wps:bodyPr vert="horz" wrap="square" anchor="t" anchorCtr="0" upright="1"/>
                    </wps:wsp>
                  </a:graphicData>
                </a:graphic>
              </wp:anchor>
            </w:drawing>
          </mc:Choice>
          <mc:Fallback>
            <w:pict>
              <v:shape id="文本框 17" o:spid="_x0000_s1026" o:spt="202" type="#_x0000_t202" style="position:absolute;left:0pt;margin-left:230.9pt;margin-top:9.35pt;height:56.35pt;width:195.75pt;z-index:251661312;mso-width-relative:page;mso-height-relative:page;" fillcolor="#FFFFFF" filled="t" stroked="t" coordsize="21600,21600" o:gfxdata="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x/c87ZAAAACgEAAA8AAAAAAAAAAQAgAAAAIgAAAGRycy9kb3ducmV2LnhtbFBLAQIU&#10;ABQAAAAIAIdO4kB7igJIKwIAAGoEAAAOAAAAAAAAAAEAIAAAACgBAABkcnMvZTJvRG9jLnhtbFBL&#10;BQYAAAAABgAGAFkBAADFBQAAAAA=&#10;">
                <v:fill on="t" focussize="0,0"/>
                <v:stroke color="#000000" joinstyle="miter"/>
                <v:imagedata o:title=""/>
                <o:lock v:ext="edit" aspectratio="f"/>
                <v:textbox>
                  <w:txbxContent>
                    <w:p w14:paraId="4F66D3BC"/>
                  </w:txbxContent>
                </v:textbox>
              </v:shape>
            </w:pict>
          </mc:Fallback>
        </mc:AlternateContent>
      </w:r>
      <w:r>
        <w:rPr>
          <w:color w:val="auto"/>
          <w:sz w:val="30"/>
          <w:highlight w:val="non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128905</wp:posOffset>
                </wp:positionV>
                <wp:extent cx="2486025" cy="715645"/>
                <wp:effectExtent l="4445" t="4445" r="11430" b="16510"/>
                <wp:wrapNone/>
                <wp:docPr id="2" name="文本框 16"/>
                <wp:cNvGraphicFramePr/>
                <a:graphic xmlns:a="http://schemas.openxmlformats.org/drawingml/2006/main">
                  <a:graphicData uri="http://schemas.microsoft.com/office/word/2010/wordprocessingShape">
                    <wps:wsp>
                      <wps:cNvSpPr txBox="1"/>
                      <wps:spPr>
                        <a:xfrm>
                          <a:off x="0" y="0"/>
                          <a:ext cx="248602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F127C9"/>
                        </w:txbxContent>
                      </wps:txbx>
                      <wps:bodyPr vert="horz" wrap="square" anchor="t" anchorCtr="0" upright="1"/>
                    </wps:wsp>
                  </a:graphicData>
                </a:graphic>
              </wp:anchor>
            </w:drawing>
          </mc:Choice>
          <mc:Fallback>
            <w:pict>
              <v:shape id="文本框 16" o:spid="_x0000_s1026" o:spt="202" type="#_x0000_t202" style="position:absolute;left:0pt;margin-left:-0.1pt;margin-top:10.15pt;height:56.35pt;width:195.75pt;z-index:251660288;mso-width-relative:page;mso-height-relative:page;" fillcolor="#FFFFFF" filled="t" stroked="t" coordsize="21600,21600" o:gfxdata="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cH+knXAAAACAEAAA8AAAAAAAAAAQAgAAAAIgAAAGRycy9kb3ducmV2LnhtbFBLAQIUABQA&#10;AAAIAIdO4kAXpBn9KgIAAGoEAAAOAAAAAAAAAAEAIAAAACYBAABkcnMvZTJvRG9jLnhtbFBLBQYA&#10;AAAABgAGAFkBAADCBQAAAAA=&#10;">
                <v:fill on="t" focussize="0,0"/>
                <v:stroke color="#000000" joinstyle="miter"/>
                <v:imagedata o:title=""/>
                <o:lock v:ext="edit" aspectratio="f"/>
                <v:textbox>
                  <w:txbxContent>
                    <w:p w14:paraId="27F127C9"/>
                  </w:txbxContent>
                </v:textbox>
              </v:shape>
            </w:pict>
          </mc:Fallback>
        </mc:AlternateContent>
      </w:r>
    </w:p>
    <w:p w14:paraId="2CAD9256">
      <w:pPr>
        <w:pStyle w:val="68"/>
        <w:ind w:left="0" w:leftChars="0"/>
        <w:rPr>
          <w:rFonts w:hint="eastAsia" w:ascii="宋体"/>
          <w:bCs/>
          <w:color w:val="auto"/>
          <w:sz w:val="30"/>
          <w:szCs w:val="30"/>
          <w:highlight w:val="none"/>
        </w:rPr>
      </w:pPr>
    </w:p>
    <w:p w14:paraId="285D2EC2">
      <w:pPr>
        <w:tabs>
          <w:tab w:val="left" w:pos="5580"/>
        </w:tabs>
        <w:spacing w:line="360" w:lineRule="auto"/>
        <w:jc w:val="left"/>
        <w:rPr>
          <w:rFonts w:hint="eastAsia" w:ascii="宋体" w:hAnsi="宋体"/>
          <w:color w:val="auto"/>
          <w:sz w:val="24"/>
          <w:szCs w:val="20"/>
          <w:highlight w:val="none"/>
        </w:rPr>
      </w:pPr>
    </w:p>
    <w:p w14:paraId="29FBE29A">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p w14:paraId="2C57A7D5">
      <w:pPr>
        <w:rPr>
          <w:rFonts w:hint="eastAsia" w:ascii="宋体"/>
          <w:bCs/>
          <w:color w:val="auto"/>
          <w:sz w:val="30"/>
          <w:szCs w:val="30"/>
          <w:highlight w:val="none"/>
        </w:rPr>
      </w:pPr>
      <w:r>
        <w:rPr>
          <w:color w:val="auto"/>
          <w:sz w:val="30"/>
          <w:highlight w:val="none"/>
        </w:rPr>
        <mc:AlternateContent>
          <mc:Choice Requires="wps">
            <w:drawing>
              <wp:anchor distT="0" distB="0" distL="114300" distR="114300" simplePos="0" relativeHeight="251663360" behindDoc="0" locked="0" layoutInCell="1" allowOverlap="1">
                <wp:simplePos x="0" y="0"/>
                <wp:positionH relativeFrom="column">
                  <wp:posOffset>2970530</wp:posOffset>
                </wp:positionH>
                <wp:positionV relativeFrom="paragraph">
                  <wp:posOffset>178435</wp:posOffset>
                </wp:positionV>
                <wp:extent cx="2419350" cy="742950"/>
                <wp:effectExtent l="4445" t="4445" r="14605" b="14605"/>
                <wp:wrapNone/>
                <wp:docPr id="5" name="文本框 19"/>
                <wp:cNvGraphicFramePr/>
                <a:graphic xmlns:a="http://schemas.openxmlformats.org/drawingml/2006/main">
                  <a:graphicData uri="http://schemas.microsoft.com/office/word/2010/wordprocessingShape">
                    <wps:wsp>
                      <wps:cNvSpPr txBox="1"/>
                      <wps:spPr>
                        <a:xfrm>
                          <a:off x="0" y="0"/>
                          <a:ext cx="241935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E072E6"/>
                        </w:txbxContent>
                      </wps:txbx>
                      <wps:bodyPr vert="horz" wrap="square" anchor="t" anchorCtr="0" upright="1"/>
                    </wps:wsp>
                  </a:graphicData>
                </a:graphic>
              </wp:anchor>
            </w:drawing>
          </mc:Choice>
          <mc:Fallback>
            <w:pict>
              <v:shape id="文本框 19" o:spid="_x0000_s1026" o:spt="202" type="#_x0000_t202" style="position:absolute;left:0pt;margin-left:233.9pt;margin-top:14.05pt;height:58.5pt;width:190.5pt;z-index:251663360;mso-width-relative:page;mso-height-relative:page;" fillcolor="#FFFFFF" filled="t" stroked="t" coordsize="21600,21600" o:gfxdata="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4Aq1PYAAAACgEAAA8AAAAAAAAAAQAgAAAAIgAAAGRycy9kb3ducmV2LnhtbFBLAQIUABQA&#10;AAAIAIdO4kAQ5e2uKQIAAGoEAAAOAAAAAAAAAAEAIAAAACcBAABkcnMvZTJvRG9jLnhtbFBLBQYA&#10;AAAABgAGAFkBAADCBQAAAAA=&#10;">
                <v:fill on="t" focussize="0,0"/>
                <v:stroke color="#000000" joinstyle="miter"/>
                <v:imagedata o:title=""/>
                <o:lock v:ext="edit" aspectratio="f"/>
                <v:textbox>
                  <w:txbxContent>
                    <w:p w14:paraId="09E072E6"/>
                  </w:txbxContent>
                </v:textbox>
              </v:shape>
            </w:pict>
          </mc:Fallback>
        </mc:AlternateContent>
      </w:r>
      <w:r>
        <w:rPr>
          <w:color w:val="auto"/>
          <w:sz w:val="30"/>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168910</wp:posOffset>
                </wp:positionV>
                <wp:extent cx="2476500" cy="763270"/>
                <wp:effectExtent l="4445" t="4445" r="8255" b="6985"/>
                <wp:wrapNone/>
                <wp:docPr id="4" name="文本框 18"/>
                <wp:cNvGraphicFramePr/>
                <a:graphic xmlns:a="http://schemas.openxmlformats.org/drawingml/2006/main">
                  <a:graphicData uri="http://schemas.microsoft.com/office/word/2010/wordprocessingShape">
                    <wps:wsp>
                      <wps:cNvSpPr txBox="1"/>
                      <wps:spPr>
                        <a:xfrm>
                          <a:off x="0" y="0"/>
                          <a:ext cx="2476500" cy="763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D4B3DC"/>
                        </w:txbxContent>
                      </wps:txbx>
                      <wps:bodyPr vert="horz" wrap="square" anchor="t" anchorCtr="0" upright="1"/>
                    </wps:wsp>
                  </a:graphicData>
                </a:graphic>
              </wp:anchor>
            </w:drawing>
          </mc:Choice>
          <mc:Fallback>
            <w:pict>
              <v:shape id="文本框 18" o:spid="_x0000_s1026" o:spt="202" type="#_x0000_t202" style="position:absolute;left:0pt;margin-left:-0.1pt;margin-top:13.3pt;height:60.1pt;width:195pt;z-index:251662336;mso-width-relative:page;mso-height-relative:page;" fillcolor="#FFFFFF" filled="t" stroked="t" coordsize="21600,21600" o:gfxdata="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EiOrXAAAACAEAAA8AAAAAAAAAAQAgAAAAIgAAAGRycy9kb3ducmV2LnhtbFBLAQIU&#10;ABQAAAAIAIdO4kBj7BjnLQIAAGoEAAAOAAAAAAAAAAEAIAAAACYBAABkcnMvZTJvRG9jLnhtbFBL&#10;BQYAAAAABgAGAFkBAADFBQAAAAA=&#10;">
                <v:fill on="t" focussize="0,0"/>
                <v:stroke color="#000000" joinstyle="miter"/>
                <v:imagedata o:title=""/>
                <o:lock v:ext="edit" aspectratio="f"/>
                <v:textbox>
                  <w:txbxContent>
                    <w:p w14:paraId="17D4B3DC"/>
                  </w:txbxContent>
                </v:textbox>
              </v:shape>
            </w:pict>
          </mc:Fallback>
        </mc:AlternateContent>
      </w:r>
    </w:p>
    <w:p w14:paraId="0A49F619">
      <w:pPr>
        <w:pStyle w:val="68"/>
        <w:ind w:left="0" w:leftChars="0" w:firstLine="0" w:firstLineChars="0"/>
        <w:rPr>
          <w:rFonts w:hint="eastAsia" w:ascii="宋体"/>
          <w:bCs/>
          <w:color w:val="auto"/>
          <w:sz w:val="30"/>
          <w:szCs w:val="30"/>
          <w:highlight w:val="none"/>
        </w:rPr>
      </w:pPr>
    </w:p>
    <w:p w14:paraId="0D70BAC0">
      <w:pPr>
        <w:tabs>
          <w:tab w:val="left" w:pos="5580"/>
        </w:tabs>
        <w:spacing w:line="360" w:lineRule="auto"/>
        <w:jc w:val="left"/>
        <w:rPr>
          <w:rFonts w:hint="eastAsia" w:ascii="宋体" w:hAnsi="宋体"/>
          <w:color w:val="auto"/>
          <w:sz w:val="24"/>
          <w:szCs w:val="20"/>
          <w:highlight w:val="none"/>
        </w:rPr>
      </w:pPr>
    </w:p>
    <w:p w14:paraId="76CC4807">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007E5EE9">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2141AB57">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p>
    <w:p w14:paraId="3274A716">
      <w:pPr>
        <w:spacing w:line="360" w:lineRule="exact"/>
        <w:jc w:val="both"/>
        <w:rPr>
          <w:rFonts w:ascii="宋体" w:hAnsi="宋体"/>
          <w:color w:val="auto"/>
          <w:sz w:val="30"/>
          <w:szCs w:val="3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r>
        <w:rPr>
          <w:rFonts w:ascii="宋体" w:hAnsi="宋体"/>
          <w:color w:val="auto"/>
          <w:sz w:val="30"/>
          <w:szCs w:val="30"/>
          <w:highlight w:val="none"/>
        </w:rPr>
        <w:br w:type="page"/>
      </w:r>
    </w:p>
    <w:p w14:paraId="000BC5CB">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14:paraId="60DCB9FA">
      <w:pPr>
        <w:pStyle w:val="86"/>
        <w:ind w:firstLine="210"/>
        <w:rPr>
          <w:color w:val="auto"/>
          <w:highlight w:val="none"/>
        </w:rPr>
      </w:pPr>
    </w:p>
    <w:p w14:paraId="1D936D82">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14:paraId="24F8F48C">
      <w:pPr>
        <w:pStyle w:val="34"/>
        <w:tabs>
          <w:tab w:val="left" w:pos="567"/>
          <w:tab w:val="left" w:pos="2412"/>
          <w:tab w:val="left" w:pos="3883"/>
          <w:tab w:val="left" w:pos="5352"/>
          <w:tab w:val="left" w:pos="6821"/>
        </w:tabs>
        <w:kinsoku w:val="0"/>
        <w:overflowPunct w:val="0"/>
        <w:spacing w:line="360" w:lineRule="auto"/>
        <w:ind w:firstLine="488" w:firstLineChars="200"/>
        <w:rPr>
          <w:color w:val="auto"/>
          <w:highlight w:val="none"/>
        </w:rPr>
      </w:pPr>
      <w:r>
        <w:rPr>
          <w:rFonts w:hint="eastAsia"/>
          <w:color w:val="auto"/>
          <w:highlight w:val="none"/>
        </w:rPr>
        <w:t>兹证明，</w:t>
      </w:r>
    </w:p>
    <w:p w14:paraId="6B617603">
      <w:pPr>
        <w:pStyle w:val="34"/>
        <w:tabs>
          <w:tab w:val="left" w:pos="567"/>
          <w:tab w:val="left" w:pos="1690"/>
          <w:tab w:val="left" w:pos="3400"/>
          <w:tab w:val="left" w:pos="5110"/>
          <w:tab w:val="left" w:pos="6821"/>
        </w:tabs>
        <w:kinsoku w:val="0"/>
        <w:overflowPunct w:val="0"/>
        <w:spacing w:line="360" w:lineRule="auto"/>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70E2653B">
      <w:pPr>
        <w:pStyle w:val="34"/>
        <w:tabs>
          <w:tab w:val="left" w:pos="567"/>
          <w:tab w:val="left" w:pos="2412"/>
          <w:tab w:val="left" w:pos="3883"/>
          <w:tab w:val="left" w:pos="5352"/>
          <w:tab w:val="left" w:pos="6821"/>
        </w:tabs>
        <w:kinsoku w:val="0"/>
        <w:overflowPunct w:val="0"/>
        <w:spacing w:line="360" w:lineRule="auto"/>
        <w:rPr>
          <w:color w:val="auto"/>
          <w:highlight w:val="none"/>
        </w:rPr>
      </w:pPr>
    </w:p>
    <w:p w14:paraId="2768C132">
      <w:pPr>
        <w:pStyle w:val="34"/>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14:paraId="36A8DE69">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684492FF">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002CEEBE">
      <w:pPr>
        <w:pStyle w:val="34"/>
        <w:tabs>
          <w:tab w:val="left" w:pos="567"/>
          <w:tab w:val="left" w:pos="2412"/>
          <w:tab w:val="left" w:pos="3883"/>
          <w:tab w:val="left" w:pos="5352"/>
          <w:tab w:val="left" w:pos="6821"/>
        </w:tabs>
        <w:kinsoku w:val="0"/>
        <w:overflowPunct w:val="0"/>
        <w:spacing w:line="335" w:lineRule="exact"/>
        <w:rPr>
          <w:color w:val="auto"/>
          <w:highlight w:val="none"/>
        </w:rPr>
      </w:pPr>
    </w:p>
    <w:p w14:paraId="4BB64F04">
      <w:pPr>
        <w:pStyle w:val="34"/>
        <w:tabs>
          <w:tab w:val="left" w:pos="567"/>
        </w:tabs>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8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E32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4" w:hRule="atLeast"/>
        </w:trPr>
        <w:tc>
          <w:tcPr>
            <w:tcW w:w="4673" w:type="dxa"/>
            <w:noWrap w:val="0"/>
            <w:vAlign w:val="top"/>
          </w:tcPr>
          <w:p w14:paraId="7F8BD005">
            <w:pPr>
              <w:tabs>
                <w:tab w:val="left" w:pos="5580"/>
              </w:tabs>
              <w:spacing w:line="360" w:lineRule="auto"/>
              <w:jc w:val="left"/>
              <w:rPr>
                <w:rFonts w:ascii="宋体" w:hAnsi="宋体" w:eastAsia="宋体" w:cs="Times New Roman"/>
                <w:color w:val="auto"/>
                <w:sz w:val="24"/>
                <w:szCs w:val="20"/>
                <w:highlight w:val="none"/>
              </w:rPr>
            </w:pPr>
          </w:p>
          <w:p w14:paraId="129FBB90">
            <w:pPr>
              <w:tabs>
                <w:tab w:val="left" w:pos="5580"/>
              </w:tabs>
              <w:spacing w:line="360" w:lineRule="auto"/>
              <w:jc w:val="left"/>
              <w:rPr>
                <w:rFonts w:ascii="宋体" w:hAnsi="宋体" w:eastAsia="宋体" w:cs="Times New Roman"/>
                <w:color w:val="auto"/>
                <w:sz w:val="24"/>
                <w:szCs w:val="20"/>
                <w:highlight w:val="none"/>
              </w:rPr>
            </w:pPr>
          </w:p>
          <w:p w14:paraId="00C5204D">
            <w:pPr>
              <w:tabs>
                <w:tab w:val="left" w:pos="5580"/>
              </w:tabs>
              <w:spacing w:line="360" w:lineRule="auto"/>
              <w:jc w:val="left"/>
              <w:rPr>
                <w:rFonts w:ascii="宋体" w:hAnsi="宋体" w:eastAsia="宋体" w:cs="Times New Roman"/>
                <w:color w:val="auto"/>
                <w:sz w:val="24"/>
                <w:szCs w:val="20"/>
                <w:highlight w:val="none"/>
              </w:rPr>
            </w:pPr>
          </w:p>
        </w:tc>
        <w:tc>
          <w:tcPr>
            <w:tcW w:w="4536" w:type="dxa"/>
            <w:noWrap w:val="0"/>
            <w:vAlign w:val="top"/>
          </w:tcPr>
          <w:p w14:paraId="157DCFB3">
            <w:pPr>
              <w:tabs>
                <w:tab w:val="left" w:pos="5580"/>
              </w:tabs>
              <w:spacing w:line="360" w:lineRule="auto"/>
              <w:jc w:val="left"/>
              <w:rPr>
                <w:rFonts w:ascii="宋体" w:hAnsi="宋体" w:eastAsia="宋体" w:cs="Times New Roman"/>
                <w:color w:val="auto"/>
                <w:sz w:val="24"/>
                <w:szCs w:val="20"/>
                <w:highlight w:val="none"/>
              </w:rPr>
            </w:pPr>
          </w:p>
          <w:p w14:paraId="01AC790A">
            <w:pPr>
              <w:tabs>
                <w:tab w:val="left" w:pos="5580"/>
              </w:tabs>
              <w:spacing w:line="360" w:lineRule="auto"/>
              <w:jc w:val="left"/>
              <w:rPr>
                <w:rFonts w:ascii="宋体" w:hAnsi="宋体" w:eastAsia="宋体" w:cs="Times New Roman"/>
                <w:color w:val="auto"/>
                <w:sz w:val="24"/>
                <w:szCs w:val="20"/>
                <w:highlight w:val="none"/>
              </w:rPr>
            </w:pPr>
          </w:p>
          <w:p w14:paraId="6BA49C1F">
            <w:pPr>
              <w:tabs>
                <w:tab w:val="left" w:pos="5580"/>
              </w:tabs>
              <w:spacing w:line="360" w:lineRule="auto"/>
              <w:jc w:val="left"/>
              <w:rPr>
                <w:rFonts w:ascii="宋体" w:hAnsi="宋体" w:eastAsia="宋体" w:cs="Times New Roman"/>
                <w:color w:val="auto"/>
                <w:sz w:val="24"/>
                <w:szCs w:val="20"/>
                <w:highlight w:val="none"/>
              </w:rPr>
            </w:pPr>
          </w:p>
        </w:tc>
      </w:tr>
    </w:tbl>
    <w:p w14:paraId="1FBB04C5">
      <w:pPr>
        <w:pStyle w:val="34"/>
        <w:tabs>
          <w:tab w:val="left" w:pos="567"/>
        </w:tabs>
        <w:kinsoku w:val="0"/>
        <w:overflowPunct w:val="0"/>
        <w:spacing w:line="583" w:lineRule="auto"/>
        <w:ind w:right="4305"/>
        <w:rPr>
          <w:color w:val="auto"/>
          <w:spacing w:val="-3"/>
          <w:highlight w:val="none"/>
        </w:rPr>
      </w:pPr>
    </w:p>
    <w:p w14:paraId="159E0E57">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37E62608">
      <w:pPr>
        <w:pStyle w:val="34"/>
        <w:tabs>
          <w:tab w:val="left" w:pos="567"/>
        </w:tabs>
        <w:kinsoku w:val="0"/>
        <w:overflowPunct w:val="0"/>
        <w:spacing w:line="583" w:lineRule="auto"/>
        <w:ind w:right="95"/>
        <w:rPr>
          <w:rFonts w:hAnsi="宋体"/>
          <w:color w:val="auto"/>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）（签字）：_</w:t>
      </w:r>
      <w:r>
        <w:rPr>
          <w:color w:val="auto"/>
          <w:spacing w:val="-3"/>
          <w:highlight w:val="none"/>
        </w:rPr>
        <w:t>______</w:t>
      </w:r>
    </w:p>
    <w:p w14:paraId="0DA27FA2">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64CFA008">
      <w:pPr>
        <w:rPr>
          <w:rFonts w:hint="eastAsia" w:ascii="宋体"/>
          <w:bCs/>
          <w:color w:val="auto"/>
          <w:sz w:val="30"/>
          <w:szCs w:val="30"/>
          <w:highlight w:val="none"/>
        </w:rPr>
      </w:pPr>
    </w:p>
    <w:p w14:paraId="60F4B8AC">
      <w:pPr>
        <w:pStyle w:val="86"/>
        <w:ind w:firstLine="300"/>
        <w:rPr>
          <w:rFonts w:hint="eastAsia"/>
          <w:bCs/>
          <w:color w:val="auto"/>
          <w:sz w:val="30"/>
          <w:szCs w:val="30"/>
          <w:highlight w:val="none"/>
          <w:lang w:val="en-US" w:eastAsia="zh-CN"/>
        </w:rPr>
      </w:pPr>
    </w:p>
    <w:p w14:paraId="5F43A406">
      <w:pPr>
        <w:pStyle w:val="68"/>
        <w:rPr>
          <w:rFonts w:hint="eastAsia" w:ascii="宋体"/>
          <w:bCs/>
          <w:color w:val="auto"/>
          <w:sz w:val="30"/>
          <w:szCs w:val="30"/>
          <w:highlight w:val="none"/>
        </w:rPr>
      </w:pPr>
    </w:p>
    <w:p w14:paraId="734E6C23">
      <w:pPr>
        <w:rPr>
          <w:rFonts w:hint="eastAsia" w:ascii="宋体"/>
          <w:bCs/>
          <w:color w:val="auto"/>
          <w:sz w:val="30"/>
          <w:szCs w:val="30"/>
          <w:highlight w:val="none"/>
        </w:rPr>
      </w:pPr>
    </w:p>
    <w:p w14:paraId="0BCB8E0A">
      <w:pPr>
        <w:pStyle w:val="86"/>
        <w:ind w:firstLine="300"/>
        <w:rPr>
          <w:rFonts w:hint="eastAsia"/>
          <w:bCs/>
          <w:color w:val="auto"/>
          <w:sz w:val="30"/>
          <w:szCs w:val="30"/>
          <w:highlight w:val="none"/>
          <w:lang w:val="en-US" w:eastAsia="zh-CN"/>
        </w:rPr>
      </w:pPr>
    </w:p>
    <w:p w14:paraId="7AB534E8">
      <w:pPr>
        <w:rPr>
          <w:rFonts w:hint="eastAsia" w:ascii="宋体"/>
          <w:bCs/>
          <w:color w:val="auto"/>
          <w:sz w:val="30"/>
          <w:szCs w:val="30"/>
          <w:highlight w:val="none"/>
        </w:rPr>
      </w:pPr>
    </w:p>
    <w:p w14:paraId="5E11FB00">
      <w:pPr>
        <w:pStyle w:val="86"/>
        <w:ind w:firstLine="0" w:firstLineChars="0"/>
        <w:rPr>
          <w:bCs/>
          <w:color w:val="auto"/>
          <w:sz w:val="30"/>
          <w:szCs w:val="30"/>
          <w:highlight w:val="none"/>
          <w:lang w:val="en-US" w:eastAsia="zh-CN"/>
        </w:rPr>
      </w:pPr>
      <w:r>
        <w:rPr>
          <w:rFonts w:hint="eastAsia"/>
          <w:bCs/>
          <w:color w:val="auto"/>
          <w:sz w:val="30"/>
          <w:szCs w:val="30"/>
          <w:highlight w:val="none"/>
          <w:lang w:val="en-US" w:eastAsia="zh-CN"/>
        </w:rPr>
        <w:t>3 开标一览表（实质性格式）</w:t>
      </w:r>
    </w:p>
    <w:p w14:paraId="3D09A5D9">
      <w:pPr>
        <w:pStyle w:val="68"/>
        <w:rPr>
          <w:rFonts w:hint="eastAsia"/>
          <w:color w:val="auto"/>
          <w:highlight w:val="none"/>
        </w:rPr>
      </w:pPr>
    </w:p>
    <w:p w14:paraId="27F148A0">
      <w:pPr>
        <w:pStyle w:val="86"/>
        <w:ind w:firstLine="210"/>
        <w:rPr>
          <w:color w:val="auto"/>
          <w:highlight w:val="none"/>
          <w:lang w:val="en-US" w:eastAsia="zh-CN"/>
        </w:rPr>
      </w:pPr>
    </w:p>
    <w:p w14:paraId="08EE00BE">
      <w:pPr>
        <w:spacing w:line="360" w:lineRule="auto"/>
        <w:jc w:val="center"/>
        <w:rPr>
          <w:rFonts w:hint="eastAsia" w:ascii="宋体"/>
          <w:color w:val="auto"/>
          <w:sz w:val="24"/>
          <w:highlight w:val="none"/>
        </w:rPr>
      </w:pPr>
      <w:r>
        <w:rPr>
          <w:rFonts w:hint="eastAsia" w:ascii="宋体"/>
          <w:b/>
          <w:color w:val="auto"/>
          <w:sz w:val="36"/>
          <w:szCs w:val="36"/>
          <w:highlight w:val="none"/>
        </w:rPr>
        <w:t>开标一览表</w:t>
      </w:r>
      <w:r>
        <w:rPr>
          <w:rFonts w:hint="eastAsia" w:ascii="宋体"/>
          <w:color w:val="auto"/>
          <w:sz w:val="36"/>
          <w:szCs w:val="36"/>
          <w:highlight w:val="none"/>
        </w:rPr>
        <w:t xml:space="preserve">    </w:t>
      </w:r>
      <w:r>
        <w:rPr>
          <w:rFonts w:hint="eastAsia" w:ascii="宋体"/>
          <w:color w:val="auto"/>
          <w:sz w:val="24"/>
          <w:highlight w:val="none"/>
        </w:rPr>
        <w:t xml:space="preserve">          </w:t>
      </w:r>
    </w:p>
    <w:p w14:paraId="62EEB631">
      <w:pPr>
        <w:spacing w:line="360" w:lineRule="auto"/>
        <w:ind w:firstLine="488" w:firstLineChars="200"/>
        <w:rPr>
          <w:rFonts w:ascii="宋体"/>
          <w:color w:val="auto"/>
          <w:sz w:val="24"/>
          <w:highlight w:val="none"/>
          <w:u w:val="single"/>
        </w:rPr>
      </w:pPr>
      <w:r>
        <w:rPr>
          <w:rFonts w:hint="eastAsia" w:ascii="宋体"/>
          <w:color w:val="auto"/>
          <w:sz w:val="24"/>
          <w:highlight w:val="none"/>
        </w:rPr>
        <w:t>项目名称：</w:t>
      </w:r>
      <w:r>
        <w:rPr>
          <w:rFonts w:hint="eastAsia" w:ascii="宋体"/>
          <w:color w:val="auto"/>
          <w:sz w:val="24"/>
          <w:highlight w:val="none"/>
          <w:u w:val="single"/>
        </w:rPr>
        <w:t xml:space="preserve">       </w:t>
      </w:r>
      <w:r>
        <w:rPr>
          <w:rFonts w:hint="eastAsia" w:ascii="宋体"/>
          <w:color w:val="auto"/>
          <w:sz w:val="24"/>
          <w:highlight w:val="none"/>
        </w:rPr>
        <w:t xml:space="preserve">  项目编号：</w:t>
      </w:r>
      <w:r>
        <w:rPr>
          <w:color w:val="auto"/>
          <w:sz w:val="24"/>
          <w:highlight w:val="none"/>
        </w:rPr>
        <w:t>____________</w:t>
      </w:r>
      <w:r>
        <w:rPr>
          <w:rFonts w:hint="eastAsia"/>
          <w:color w:val="auto"/>
          <w:sz w:val="24"/>
          <w:highlight w:val="none"/>
          <w:lang w:val="en-US" w:eastAsia="zh-CN"/>
        </w:rPr>
        <w:t xml:space="preserve">    </w:t>
      </w:r>
      <w:r>
        <w:rPr>
          <w:rFonts w:hint="eastAsia" w:ascii="宋体"/>
          <w:color w:val="auto"/>
          <w:sz w:val="24"/>
          <w:highlight w:val="none"/>
          <w:lang w:val="en-US" w:eastAsia="zh-CN"/>
        </w:rPr>
        <w:t>标项号</w:t>
      </w:r>
      <w:r>
        <w:rPr>
          <w:rFonts w:hint="eastAsia" w:ascii="宋体"/>
          <w:color w:val="auto"/>
          <w:sz w:val="24"/>
          <w:highlight w:val="none"/>
        </w:rPr>
        <w:t>：</w:t>
      </w:r>
      <w:r>
        <w:rPr>
          <w:color w:val="auto"/>
          <w:sz w:val="24"/>
          <w:highlight w:val="none"/>
        </w:rPr>
        <w:t>____________</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u w:val="single"/>
        </w:rPr>
        <w:t xml:space="preserve">      </w:t>
      </w:r>
    </w:p>
    <w:tbl>
      <w:tblPr>
        <w:tblStyle w:val="88"/>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714"/>
        <w:gridCol w:w="1440"/>
        <w:gridCol w:w="1080"/>
        <w:gridCol w:w="1620"/>
        <w:gridCol w:w="1512"/>
      </w:tblGrid>
      <w:tr w14:paraId="623C1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8"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F10B0CA">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4D3613D0">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设备名称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573FC24">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单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7EC2B3">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数 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0FF1CBA">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单  价</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ED0D86C">
            <w:pPr>
              <w:spacing w:line="360" w:lineRule="auto"/>
              <w:jc w:val="center"/>
              <w:rPr>
                <w:rFonts w:hint="eastAsia" w:ascii="宋体" w:eastAsia="宋体" w:cs="Times New Roman"/>
                <w:color w:val="auto"/>
                <w:sz w:val="24"/>
                <w:highlight w:val="none"/>
              </w:rPr>
            </w:pPr>
            <w:r>
              <w:rPr>
                <w:rFonts w:hint="eastAsia" w:ascii="宋体" w:eastAsia="宋体" w:cs="Times New Roman"/>
                <w:color w:val="auto"/>
                <w:sz w:val="24"/>
                <w:highlight w:val="none"/>
              </w:rPr>
              <w:t>合 计</w:t>
            </w:r>
          </w:p>
        </w:tc>
      </w:tr>
      <w:tr w14:paraId="137E6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8F198FC">
            <w:pPr>
              <w:spacing w:line="360" w:lineRule="auto"/>
              <w:ind w:firstLine="488" w:firstLineChars="200"/>
              <w:rPr>
                <w:rFonts w:hint="eastAsia" w:ascii="宋体" w:eastAsia="宋体" w:cs="Times New Roman"/>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center"/>
          </w:tcPr>
          <w:p w14:paraId="4D361EFE">
            <w:pPr>
              <w:spacing w:line="360" w:lineRule="auto"/>
              <w:ind w:firstLine="488" w:firstLineChars="200"/>
              <w:rPr>
                <w:rFonts w:hint="eastAsia" w:ascii="宋体" w:eastAsia="宋体" w:cs="Times New Roman"/>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7B355F5">
            <w:pPr>
              <w:spacing w:line="360" w:lineRule="auto"/>
              <w:ind w:firstLine="488" w:firstLineChars="200"/>
              <w:rPr>
                <w:rFonts w:hint="eastAsia" w:ascii="宋体" w:eastAsia="宋体" w:cs="Times New Roman"/>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58BC84">
            <w:pPr>
              <w:spacing w:line="360" w:lineRule="auto"/>
              <w:ind w:firstLine="488" w:firstLineChars="200"/>
              <w:rPr>
                <w:rFonts w:hint="eastAsia" w:ascii="宋体" w:eastAsia="宋体" w:cs="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8EAB4B">
            <w:pPr>
              <w:spacing w:line="360" w:lineRule="auto"/>
              <w:ind w:firstLine="488" w:firstLineChars="200"/>
              <w:rPr>
                <w:rFonts w:hint="eastAsia" w:ascii="宋体" w:eastAsia="宋体" w:cs="Times New Roman"/>
                <w:color w:val="auto"/>
                <w:sz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6BD46CE">
            <w:pPr>
              <w:spacing w:line="360" w:lineRule="auto"/>
              <w:ind w:firstLine="488" w:firstLineChars="200"/>
              <w:rPr>
                <w:rFonts w:hint="eastAsia" w:ascii="宋体" w:eastAsia="宋体" w:cs="Times New Roman"/>
                <w:color w:val="auto"/>
                <w:sz w:val="24"/>
                <w:highlight w:val="none"/>
              </w:rPr>
            </w:pPr>
          </w:p>
        </w:tc>
      </w:tr>
      <w:tr w14:paraId="47F1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241F80C">
            <w:pPr>
              <w:spacing w:line="360" w:lineRule="auto"/>
              <w:ind w:firstLine="488" w:firstLineChars="200"/>
              <w:rPr>
                <w:rFonts w:hint="eastAsia" w:ascii="宋体" w:eastAsia="宋体" w:cs="Times New Roman"/>
                <w:color w:val="auto"/>
                <w:sz w:val="24"/>
                <w:highlight w:val="none"/>
              </w:rPr>
            </w:pPr>
          </w:p>
        </w:tc>
        <w:tc>
          <w:tcPr>
            <w:tcW w:w="2714" w:type="dxa"/>
            <w:tcBorders>
              <w:top w:val="single" w:color="auto" w:sz="4" w:space="0"/>
              <w:left w:val="single" w:color="auto" w:sz="4" w:space="0"/>
              <w:bottom w:val="single" w:color="auto" w:sz="4" w:space="0"/>
              <w:right w:val="single" w:color="auto" w:sz="4" w:space="0"/>
            </w:tcBorders>
            <w:noWrap w:val="0"/>
            <w:vAlign w:val="center"/>
          </w:tcPr>
          <w:p w14:paraId="2BDAC2E8">
            <w:pPr>
              <w:spacing w:line="360" w:lineRule="auto"/>
              <w:ind w:firstLine="488" w:firstLineChars="200"/>
              <w:rPr>
                <w:rFonts w:hint="eastAsia" w:ascii="宋体" w:eastAsia="宋体" w:cs="Times New Roman"/>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7629FD">
            <w:pPr>
              <w:spacing w:line="360" w:lineRule="auto"/>
              <w:ind w:firstLine="488" w:firstLineChars="200"/>
              <w:rPr>
                <w:rFonts w:hint="eastAsia" w:ascii="宋体" w:eastAsia="宋体" w:cs="Times New Roman"/>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B1AAAD">
            <w:pPr>
              <w:spacing w:line="360" w:lineRule="auto"/>
              <w:ind w:firstLine="488" w:firstLineChars="200"/>
              <w:rPr>
                <w:rFonts w:hint="eastAsia" w:ascii="宋体" w:eastAsia="宋体" w:cs="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DB63138">
            <w:pPr>
              <w:spacing w:line="360" w:lineRule="auto"/>
              <w:ind w:firstLine="488" w:firstLineChars="200"/>
              <w:rPr>
                <w:rFonts w:hint="eastAsia" w:ascii="宋体" w:eastAsia="宋体" w:cs="Times New Roman"/>
                <w:color w:val="auto"/>
                <w:sz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F44C616">
            <w:pPr>
              <w:spacing w:line="360" w:lineRule="auto"/>
              <w:ind w:firstLine="488" w:firstLineChars="200"/>
              <w:rPr>
                <w:rFonts w:hint="eastAsia" w:ascii="宋体" w:eastAsia="宋体" w:cs="Times New Roman"/>
                <w:color w:val="auto"/>
                <w:sz w:val="24"/>
                <w:highlight w:val="none"/>
              </w:rPr>
            </w:pPr>
          </w:p>
        </w:tc>
      </w:tr>
      <w:tr w14:paraId="6B57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9180" w:type="dxa"/>
            <w:gridSpan w:val="6"/>
            <w:tcBorders>
              <w:top w:val="single" w:color="auto" w:sz="4" w:space="0"/>
              <w:left w:val="single" w:color="auto" w:sz="4" w:space="0"/>
              <w:bottom w:val="single" w:color="auto" w:sz="4" w:space="0"/>
              <w:right w:val="single" w:color="auto" w:sz="4" w:space="0"/>
            </w:tcBorders>
            <w:noWrap w:val="0"/>
            <w:vAlign w:val="center"/>
          </w:tcPr>
          <w:p w14:paraId="4D422C69">
            <w:pPr>
              <w:spacing w:line="360" w:lineRule="auto"/>
              <w:ind w:firstLine="488" w:firstLineChars="200"/>
              <w:rPr>
                <w:rFonts w:hint="eastAsia" w:ascii="宋体" w:eastAsia="宋体" w:cs="Times New Roman"/>
                <w:color w:val="auto"/>
                <w:sz w:val="24"/>
                <w:highlight w:val="none"/>
              </w:rPr>
            </w:pPr>
            <w:r>
              <w:rPr>
                <w:rFonts w:hint="eastAsia" w:ascii="宋体" w:eastAsia="宋体" w:cs="Times New Roman"/>
                <w:color w:val="auto"/>
                <w:sz w:val="24"/>
                <w:highlight w:val="none"/>
              </w:rPr>
              <w:t>投标总报价（包含备品备件）：人民币大写：</w:t>
            </w:r>
            <w:r>
              <w:rPr>
                <w:rFonts w:hint="eastAsia" w:ascii="宋体" w:eastAsia="宋体" w:cs="Times New Roman"/>
                <w:color w:val="auto"/>
                <w:sz w:val="24"/>
                <w:highlight w:val="none"/>
                <w:u w:val="single"/>
              </w:rPr>
              <w:t xml:space="preserve">           </w:t>
            </w:r>
            <w:r>
              <w:rPr>
                <w:rFonts w:hint="eastAsia" w:ascii="宋体" w:eastAsia="宋体" w:cs="Times New Roman"/>
                <w:color w:val="auto"/>
                <w:sz w:val="24"/>
                <w:highlight w:val="none"/>
              </w:rPr>
              <w:t>小写：￥</w:t>
            </w:r>
            <w:r>
              <w:rPr>
                <w:rFonts w:hint="eastAsia" w:ascii="宋体" w:eastAsia="宋体" w:cs="Times New Roman"/>
                <w:color w:val="auto"/>
                <w:sz w:val="24"/>
                <w:highlight w:val="none"/>
                <w:u w:val="single"/>
              </w:rPr>
              <w:t xml:space="preserve">           </w:t>
            </w:r>
            <w:r>
              <w:rPr>
                <w:rFonts w:hint="eastAsia" w:ascii="宋体" w:eastAsia="宋体" w:cs="Times New Roman"/>
                <w:color w:val="auto"/>
                <w:sz w:val="24"/>
                <w:highlight w:val="none"/>
              </w:rPr>
              <w:t>元</w:t>
            </w:r>
          </w:p>
          <w:p w14:paraId="4E02420D">
            <w:pPr>
              <w:spacing w:line="360" w:lineRule="auto"/>
              <w:ind w:firstLine="488" w:firstLineChars="200"/>
              <w:rPr>
                <w:rFonts w:hint="eastAsia" w:ascii="宋体" w:eastAsia="宋体" w:cs="Times New Roman"/>
                <w:color w:val="auto"/>
                <w:sz w:val="24"/>
                <w:highlight w:val="none"/>
              </w:rPr>
            </w:pPr>
            <w:r>
              <w:rPr>
                <w:rFonts w:hint="eastAsia" w:ascii="宋体" w:eastAsia="宋体" w:cs="Times New Roman"/>
                <w:color w:val="auto"/>
                <w:sz w:val="24"/>
                <w:highlight w:val="none"/>
                <w:lang w:val="en-US" w:eastAsia="zh-CN"/>
              </w:rPr>
              <w:t>交货</w:t>
            </w:r>
            <w:r>
              <w:rPr>
                <w:rFonts w:hint="eastAsia" w:ascii="宋体" w:eastAsia="宋体" w:cs="Times New Roman"/>
                <w:color w:val="auto"/>
                <w:sz w:val="24"/>
                <w:highlight w:val="none"/>
              </w:rPr>
              <w:t>期：</w:t>
            </w:r>
          </w:p>
          <w:p w14:paraId="1785BA38">
            <w:pPr>
              <w:spacing w:line="360" w:lineRule="auto"/>
              <w:ind w:firstLine="488" w:firstLineChars="200"/>
              <w:rPr>
                <w:rFonts w:hint="default" w:eastAsia="宋体" w:cs="Times New Roman"/>
                <w:lang w:val="en-US" w:eastAsia="zh-CN"/>
              </w:rPr>
            </w:pPr>
            <w:r>
              <w:rPr>
                <w:rFonts w:hint="eastAsia" w:ascii="宋体" w:eastAsia="宋体" w:cs="Times New Roman"/>
                <w:color w:val="auto"/>
                <w:sz w:val="24"/>
                <w:highlight w:val="none"/>
                <w:lang w:eastAsia="zh-CN"/>
              </w:rPr>
              <w:t>质保期：</w:t>
            </w:r>
          </w:p>
        </w:tc>
      </w:tr>
    </w:tbl>
    <w:p w14:paraId="74FE49DA">
      <w:pPr>
        <w:autoSpaceDE w:val="0"/>
        <w:autoSpaceDN w:val="0"/>
        <w:adjustRightInd w:val="0"/>
        <w:jc w:val="left"/>
        <w:rPr>
          <w:color w:val="auto"/>
          <w:sz w:val="24"/>
          <w:szCs w:val="20"/>
          <w:highlight w:val="none"/>
        </w:rPr>
      </w:pPr>
      <w:r>
        <w:rPr>
          <w:color w:val="auto"/>
          <w:kern w:val="0"/>
          <w:sz w:val="24"/>
          <w:highlight w:val="none"/>
        </w:rPr>
        <w:t>注：</w:t>
      </w:r>
      <w:r>
        <w:rPr>
          <w:color w:val="auto"/>
          <w:sz w:val="24"/>
          <w:szCs w:val="20"/>
          <w:highlight w:val="none"/>
        </w:rPr>
        <w:t>此表中投标报价应和《投标分项报价表》中的总价相一致。</w:t>
      </w:r>
    </w:p>
    <w:p w14:paraId="68357F82">
      <w:pPr>
        <w:tabs>
          <w:tab w:val="left" w:pos="5580"/>
        </w:tabs>
        <w:ind w:firstLine="488" w:firstLineChars="200"/>
        <w:rPr>
          <w:color w:val="auto"/>
          <w:sz w:val="24"/>
          <w:szCs w:val="20"/>
          <w:highlight w:val="none"/>
        </w:rPr>
      </w:pPr>
    </w:p>
    <w:p w14:paraId="3B1AB337">
      <w:pPr>
        <w:spacing w:line="360" w:lineRule="auto"/>
        <w:rPr>
          <w:rFonts w:hint="eastAsia" w:ascii="宋体"/>
          <w:color w:val="auto"/>
          <w:sz w:val="24"/>
          <w:highlight w:val="none"/>
        </w:rPr>
      </w:pPr>
    </w:p>
    <w:p w14:paraId="7D73E1EF">
      <w:pPr>
        <w:pStyle w:val="86"/>
        <w:ind w:firstLine="240"/>
        <w:rPr>
          <w:rFonts w:hint="eastAsia"/>
          <w:color w:val="auto"/>
          <w:sz w:val="24"/>
          <w:highlight w:val="none"/>
        </w:rPr>
      </w:pPr>
    </w:p>
    <w:p w14:paraId="307787F4">
      <w:pPr>
        <w:pStyle w:val="68"/>
        <w:rPr>
          <w:rFonts w:hint="eastAsia"/>
          <w:color w:val="auto"/>
          <w:highlight w:val="none"/>
        </w:rPr>
      </w:pPr>
    </w:p>
    <w:p w14:paraId="0F9CA16F">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360963ED">
      <w:pPr>
        <w:autoSpaceDE w:val="0"/>
        <w:autoSpaceDN w:val="0"/>
        <w:adjustRightInd w:val="0"/>
        <w:snapToGrid w:val="0"/>
        <w:spacing w:before="25" w:after="25" w:line="360" w:lineRule="auto"/>
        <w:rPr>
          <w:color w:val="auto"/>
          <w:sz w:val="24"/>
          <w:highlight w:val="none"/>
          <w:lang w:val="zh-CN"/>
        </w:rPr>
      </w:pPr>
      <w:r>
        <w:rPr>
          <w:rFonts w:hint="eastAsia" w:ascii="宋体"/>
          <w:color w:val="auto"/>
          <w:sz w:val="24"/>
          <w:highlight w:val="none"/>
        </w:rPr>
        <w:t>法定代表人（签字）：</w:t>
      </w:r>
      <w:r>
        <w:rPr>
          <w:color w:val="auto"/>
          <w:sz w:val="24"/>
          <w:highlight w:val="none"/>
          <w:lang w:val="zh-CN"/>
        </w:rPr>
        <w:t>____________</w:t>
      </w:r>
    </w:p>
    <w:p w14:paraId="4B08AC8F">
      <w:pPr>
        <w:pStyle w:val="86"/>
        <w:ind w:firstLine="0" w:firstLineChars="0"/>
        <w:rPr>
          <w:color w:val="auto"/>
          <w:highlight w:val="none"/>
          <w:lang w:val="zh-CN"/>
        </w:rPr>
      </w:pPr>
    </w:p>
    <w:p w14:paraId="79C0753A">
      <w:pPr>
        <w:pStyle w:val="80"/>
        <w:rPr>
          <w:rFonts w:hint="eastAsia"/>
          <w:color w:val="auto"/>
          <w:highlight w:val="none"/>
        </w:rPr>
      </w:pPr>
      <w:r>
        <w:rPr>
          <w:color w:val="auto"/>
          <w:sz w:val="24"/>
          <w:szCs w:val="20"/>
          <w:highlight w:val="none"/>
        </w:rPr>
        <w:t xml:space="preserve">日期：_____年______月______日   </w:t>
      </w:r>
    </w:p>
    <w:p w14:paraId="78B2997C">
      <w:pPr>
        <w:spacing w:line="360" w:lineRule="auto"/>
        <w:ind w:firstLine="570"/>
        <w:jc w:val="center"/>
        <w:rPr>
          <w:rFonts w:hint="eastAsia" w:ascii="宋体" w:hAnsi="宋体"/>
          <w:color w:val="auto"/>
          <w:sz w:val="24"/>
          <w:highlight w:val="none"/>
        </w:rPr>
      </w:pPr>
      <w:r>
        <w:rPr>
          <w:rFonts w:hint="eastAsia" w:ascii="宋体"/>
          <w:color w:val="auto"/>
          <w:sz w:val="24"/>
          <w:highlight w:val="none"/>
        </w:rPr>
        <w:t xml:space="preserve">                                     </w:t>
      </w:r>
    </w:p>
    <w:p w14:paraId="7F569A72">
      <w:pPr>
        <w:pStyle w:val="80"/>
        <w:rPr>
          <w:rFonts w:hint="eastAsia"/>
          <w:color w:val="auto"/>
          <w:highlight w:val="none"/>
        </w:rPr>
      </w:pPr>
    </w:p>
    <w:p w14:paraId="316ED9DB">
      <w:pPr>
        <w:spacing w:line="360" w:lineRule="auto"/>
        <w:rPr>
          <w:rFonts w:hint="eastAsia" w:ascii="宋体" w:hAnsi="宋体"/>
          <w:b/>
          <w:color w:val="auto"/>
          <w:sz w:val="30"/>
          <w:szCs w:val="30"/>
          <w:highlight w:val="none"/>
        </w:rPr>
      </w:pPr>
    </w:p>
    <w:p w14:paraId="362794F9">
      <w:pPr>
        <w:spacing w:line="360" w:lineRule="auto"/>
        <w:jc w:val="both"/>
        <w:rPr>
          <w:rFonts w:hint="eastAsia" w:ascii="宋体" w:hAnsi="宋体"/>
          <w:b/>
          <w:color w:val="auto"/>
          <w:sz w:val="30"/>
          <w:szCs w:val="30"/>
          <w:highlight w:val="none"/>
        </w:rPr>
      </w:pPr>
    </w:p>
    <w:p w14:paraId="71D7B6F8">
      <w:pPr>
        <w:spacing w:line="360" w:lineRule="auto"/>
        <w:jc w:val="left"/>
        <w:rPr>
          <w:rFonts w:hint="eastAsia" w:ascii="宋体" w:hAnsi="宋体"/>
          <w:bCs/>
          <w:color w:val="auto"/>
          <w:sz w:val="30"/>
          <w:szCs w:val="30"/>
          <w:highlight w:val="none"/>
        </w:rPr>
      </w:pPr>
    </w:p>
    <w:p w14:paraId="754D3688">
      <w:pPr>
        <w:spacing w:line="360" w:lineRule="auto"/>
        <w:jc w:val="left"/>
        <w:rPr>
          <w:rFonts w:hint="eastAsia" w:ascii="宋体" w:hAnsi="宋体"/>
          <w:bCs/>
          <w:color w:val="auto"/>
          <w:sz w:val="30"/>
          <w:szCs w:val="30"/>
          <w:highlight w:val="none"/>
        </w:rPr>
      </w:pPr>
      <w:r>
        <w:rPr>
          <w:rFonts w:hint="eastAsia" w:ascii="宋体" w:hAnsi="宋体"/>
          <w:bCs/>
          <w:color w:val="auto"/>
          <w:sz w:val="30"/>
          <w:szCs w:val="30"/>
          <w:highlight w:val="none"/>
        </w:rPr>
        <w:br w:type="page"/>
      </w:r>
      <w:r>
        <w:rPr>
          <w:rFonts w:hint="eastAsia" w:ascii="宋体" w:hAnsi="宋体"/>
          <w:bCs/>
          <w:color w:val="auto"/>
          <w:sz w:val="30"/>
          <w:szCs w:val="30"/>
          <w:highlight w:val="none"/>
        </w:rPr>
        <w:t>4 投标分项报价表（实质性格式）</w:t>
      </w:r>
    </w:p>
    <w:p w14:paraId="70E54B26">
      <w:pPr>
        <w:pStyle w:val="86"/>
        <w:ind w:firstLine="361"/>
        <w:jc w:val="center"/>
        <w:rPr>
          <w:rFonts w:hint="eastAsia" w:hAnsi="宋体"/>
          <w:b/>
          <w:color w:val="auto"/>
          <w:sz w:val="36"/>
          <w:szCs w:val="36"/>
          <w:highlight w:val="none"/>
          <w:lang w:val="en-US" w:eastAsia="zh-CN"/>
        </w:rPr>
      </w:pPr>
      <w:r>
        <w:rPr>
          <w:rFonts w:hint="eastAsia" w:hAnsi="宋体"/>
          <w:b/>
          <w:color w:val="auto"/>
          <w:sz w:val="36"/>
          <w:szCs w:val="36"/>
          <w:highlight w:val="none"/>
          <w:lang w:val="en-US" w:eastAsia="zh-CN"/>
        </w:rPr>
        <w:t>投标分项报价表</w:t>
      </w:r>
    </w:p>
    <w:p w14:paraId="169AA4D7">
      <w:pPr>
        <w:pStyle w:val="68"/>
        <w:rPr>
          <w:rFonts w:hint="eastAsia"/>
          <w:color w:val="auto"/>
          <w:highlight w:val="none"/>
        </w:rPr>
      </w:pPr>
    </w:p>
    <w:p w14:paraId="2A065E6C">
      <w:pPr>
        <w:tabs>
          <w:tab w:val="left" w:pos="1800"/>
          <w:tab w:val="left" w:pos="5580"/>
        </w:tabs>
        <w:ind w:left="6720" w:hanging="6832" w:hangingChars="2800"/>
        <w:rPr>
          <w:color w:val="auto"/>
          <w:highlight w:val="none"/>
        </w:rPr>
      </w:pPr>
      <w:r>
        <w:rPr>
          <w:rFonts w:hint="eastAsia" w:ascii="宋体"/>
          <w:color w:val="auto"/>
          <w:sz w:val="24"/>
          <w:highlight w:val="none"/>
        </w:rPr>
        <w:t>项目名称：</w:t>
      </w:r>
      <w:r>
        <w:rPr>
          <w:rFonts w:hint="eastAsia" w:ascii="宋体"/>
          <w:color w:val="auto"/>
          <w:sz w:val="24"/>
          <w:highlight w:val="none"/>
          <w:u w:val="single"/>
        </w:rPr>
        <w:t xml:space="preserve">       </w:t>
      </w:r>
      <w:r>
        <w:rPr>
          <w:rFonts w:hint="eastAsia" w:ascii="宋体"/>
          <w:color w:val="auto"/>
          <w:sz w:val="24"/>
          <w:highlight w:val="none"/>
        </w:rPr>
        <w:t xml:space="preserve">  项目编号：</w:t>
      </w:r>
      <w:r>
        <w:rPr>
          <w:color w:val="auto"/>
          <w:sz w:val="24"/>
          <w:highlight w:val="none"/>
        </w:rPr>
        <w:t>____________</w:t>
      </w:r>
      <w:r>
        <w:rPr>
          <w:rFonts w:hint="eastAsia"/>
          <w:color w:val="auto"/>
          <w:sz w:val="24"/>
          <w:highlight w:val="none"/>
          <w:lang w:val="en-US" w:eastAsia="zh-CN"/>
        </w:rPr>
        <w:t xml:space="preserve">  </w:t>
      </w:r>
      <w:r>
        <w:rPr>
          <w:rFonts w:hint="eastAsia" w:ascii="宋体"/>
          <w:color w:val="auto"/>
          <w:sz w:val="24"/>
          <w:highlight w:val="none"/>
          <w:lang w:val="en-US" w:eastAsia="zh-CN"/>
        </w:rPr>
        <w:t>标项号</w:t>
      </w:r>
      <w:r>
        <w:rPr>
          <w:rFonts w:hint="eastAsia" w:ascii="宋体"/>
          <w:color w:val="auto"/>
          <w:sz w:val="24"/>
          <w:highlight w:val="none"/>
        </w:rPr>
        <w:t>：</w:t>
      </w:r>
      <w:r>
        <w:rPr>
          <w:color w:val="auto"/>
          <w:sz w:val="24"/>
          <w:highlight w:val="none"/>
        </w:rPr>
        <w:t>____________</w:t>
      </w:r>
      <w:r>
        <w:rPr>
          <w:rFonts w:hint="eastAsia"/>
          <w:color w:val="auto"/>
          <w:sz w:val="24"/>
          <w:highlight w:val="none"/>
          <w:lang w:val="en-US" w:eastAsia="zh-CN"/>
        </w:rPr>
        <w:t xml:space="preserve">                                    </w:t>
      </w:r>
      <w:r>
        <w:rPr>
          <w:color w:val="auto"/>
          <w:sz w:val="24"/>
          <w:highlight w:val="none"/>
        </w:rPr>
        <w:t>报价单位：人民币元</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735"/>
        <w:gridCol w:w="1218"/>
        <w:gridCol w:w="879"/>
        <w:gridCol w:w="951"/>
        <w:gridCol w:w="1068"/>
        <w:gridCol w:w="962"/>
        <w:gridCol w:w="816"/>
        <w:gridCol w:w="1151"/>
      </w:tblGrid>
      <w:tr w14:paraId="63EE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246" w:type="pct"/>
            <w:noWrap w:val="0"/>
            <w:vAlign w:val="center"/>
          </w:tcPr>
          <w:p w14:paraId="09D35B12">
            <w:pPr>
              <w:adjustRightInd w:val="0"/>
              <w:snapToGrid w:val="0"/>
              <w:jc w:val="left"/>
              <w:rPr>
                <w:rFonts w:eastAsia="宋体" w:cs="Times New Roman"/>
                <w:b/>
                <w:color w:val="auto"/>
                <w:sz w:val="24"/>
                <w:highlight w:val="none"/>
              </w:rPr>
            </w:pPr>
            <w:r>
              <w:rPr>
                <w:rFonts w:eastAsia="宋体" w:cs="Times New Roman"/>
                <w:b/>
                <w:color w:val="auto"/>
                <w:sz w:val="24"/>
                <w:highlight w:val="none"/>
              </w:rPr>
              <w:t>序号</w:t>
            </w:r>
          </w:p>
        </w:tc>
        <w:tc>
          <w:tcPr>
            <w:tcW w:w="939" w:type="pct"/>
            <w:noWrap w:val="0"/>
            <w:vAlign w:val="center"/>
          </w:tcPr>
          <w:p w14:paraId="6AE8F3C1">
            <w:pPr>
              <w:adjustRightInd w:val="0"/>
              <w:snapToGrid w:val="0"/>
              <w:jc w:val="center"/>
              <w:rPr>
                <w:rFonts w:eastAsia="宋体" w:cs="Times New Roman"/>
                <w:b/>
                <w:color w:val="auto"/>
                <w:sz w:val="24"/>
                <w:highlight w:val="none"/>
              </w:rPr>
            </w:pPr>
            <w:r>
              <w:rPr>
                <w:rFonts w:eastAsia="宋体" w:cs="Times New Roman"/>
                <w:b/>
                <w:color w:val="auto"/>
                <w:sz w:val="24"/>
                <w:highlight w:val="none"/>
              </w:rPr>
              <w:t>分项名称</w:t>
            </w:r>
          </w:p>
        </w:tc>
        <w:tc>
          <w:tcPr>
            <w:tcW w:w="659" w:type="pct"/>
            <w:noWrap w:val="0"/>
            <w:vAlign w:val="center"/>
          </w:tcPr>
          <w:p w14:paraId="45B86A34">
            <w:pPr>
              <w:adjustRightInd w:val="0"/>
              <w:snapToGrid w:val="0"/>
              <w:jc w:val="left"/>
              <w:rPr>
                <w:rFonts w:eastAsia="宋体" w:cs="Times New Roman"/>
                <w:b/>
                <w:color w:val="auto"/>
                <w:sz w:val="24"/>
                <w:highlight w:val="none"/>
              </w:rPr>
            </w:pPr>
            <w:r>
              <w:rPr>
                <w:rFonts w:eastAsia="宋体" w:cs="Times New Roman"/>
                <w:b/>
                <w:color w:val="auto"/>
                <w:sz w:val="24"/>
                <w:highlight w:val="none"/>
              </w:rPr>
              <w:t>制造商/</w:t>
            </w:r>
          </w:p>
          <w:p w14:paraId="4D81C0CF">
            <w:pPr>
              <w:adjustRightInd w:val="0"/>
              <w:snapToGrid w:val="0"/>
              <w:jc w:val="left"/>
              <w:rPr>
                <w:rFonts w:eastAsia="宋体" w:cs="Times New Roman"/>
                <w:b/>
                <w:color w:val="auto"/>
                <w:sz w:val="24"/>
                <w:highlight w:val="none"/>
              </w:rPr>
            </w:pPr>
            <w:r>
              <w:rPr>
                <w:rFonts w:eastAsia="宋体" w:cs="Times New Roman"/>
                <w:b/>
                <w:color w:val="auto"/>
                <w:sz w:val="24"/>
                <w:highlight w:val="none"/>
              </w:rPr>
              <w:t>生产厂家</w:t>
            </w:r>
          </w:p>
        </w:tc>
        <w:tc>
          <w:tcPr>
            <w:tcW w:w="476" w:type="pct"/>
            <w:noWrap w:val="0"/>
            <w:vAlign w:val="center"/>
          </w:tcPr>
          <w:p w14:paraId="655B41A0">
            <w:pPr>
              <w:adjustRightInd w:val="0"/>
              <w:snapToGrid w:val="0"/>
              <w:jc w:val="center"/>
              <w:rPr>
                <w:rFonts w:eastAsia="宋体" w:cs="Times New Roman"/>
                <w:b/>
                <w:color w:val="auto"/>
                <w:sz w:val="24"/>
                <w:highlight w:val="none"/>
              </w:rPr>
            </w:pPr>
            <w:r>
              <w:rPr>
                <w:rFonts w:eastAsia="宋体" w:cs="Times New Roman"/>
                <w:b/>
                <w:color w:val="auto"/>
                <w:sz w:val="24"/>
                <w:highlight w:val="none"/>
              </w:rPr>
              <w:t>产地</w:t>
            </w:r>
          </w:p>
        </w:tc>
        <w:tc>
          <w:tcPr>
            <w:tcW w:w="515" w:type="pct"/>
            <w:noWrap w:val="0"/>
            <w:vAlign w:val="center"/>
          </w:tcPr>
          <w:p w14:paraId="2269A62B">
            <w:pPr>
              <w:adjustRightInd w:val="0"/>
              <w:snapToGrid w:val="0"/>
              <w:jc w:val="center"/>
              <w:rPr>
                <w:rFonts w:eastAsia="宋体" w:cs="Times New Roman"/>
                <w:b/>
                <w:color w:val="auto"/>
                <w:sz w:val="24"/>
                <w:highlight w:val="none"/>
              </w:rPr>
            </w:pPr>
            <w:r>
              <w:rPr>
                <w:rFonts w:eastAsia="宋体" w:cs="Times New Roman"/>
                <w:b/>
                <w:color w:val="auto"/>
                <w:sz w:val="24"/>
                <w:highlight w:val="none"/>
              </w:rPr>
              <w:t>品牌</w:t>
            </w:r>
          </w:p>
        </w:tc>
        <w:tc>
          <w:tcPr>
            <w:tcW w:w="578" w:type="pct"/>
            <w:noWrap w:val="0"/>
            <w:vAlign w:val="center"/>
          </w:tcPr>
          <w:p w14:paraId="2757BE6D">
            <w:pPr>
              <w:adjustRightInd w:val="0"/>
              <w:snapToGrid w:val="0"/>
              <w:jc w:val="left"/>
              <w:rPr>
                <w:rFonts w:eastAsia="宋体" w:cs="Times New Roman"/>
                <w:b/>
                <w:color w:val="auto"/>
                <w:sz w:val="24"/>
                <w:highlight w:val="none"/>
              </w:rPr>
            </w:pPr>
            <w:r>
              <w:rPr>
                <w:rFonts w:eastAsia="宋体" w:cs="Times New Roman"/>
                <w:b/>
                <w:color w:val="auto"/>
                <w:sz w:val="24"/>
                <w:highlight w:val="none"/>
              </w:rPr>
              <w:t>规格、型号</w:t>
            </w:r>
          </w:p>
        </w:tc>
        <w:tc>
          <w:tcPr>
            <w:tcW w:w="521" w:type="pct"/>
            <w:noWrap w:val="0"/>
            <w:vAlign w:val="center"/>
          </w:tcPr>
          <w:p w14:paraId="43760F67">
            <w:pPr>
              <w:adjustRightInd w:val="0"/>
              <w:snapToGrid w:val="0"/>
              <w:jc w:val="center"/>
              <w:rPr>
                <w:rFonts w:eastAsia="宋体" w:cs="Times New Roman"/>
                <w:b/>
                <w:color w:val="auto"/>
                <w:sz w:val="24"/>
                <w:highlight w:val="none"/>
              </w:rPr>
            </w:pPr>
            <w:r>
              <w:rPr>
                <w:rFonts w:eastAsia="宋体" w:cs="Times New Roman"/>
                <w:b/>
                <w:color w:val="auto"/>
                <w:sz w:val="24"/>
                <w:highlight w:val="none"/>
              </w:rPr>
              <w:t>单价（元）</w:t>
            </w:r>
          </w:p>
        </w:tc>
        <w:tc>
          <w:tcPr>
            <w:tcW w:w="438" w:type="pct"/>
            <w:noWrap w:val="0"/>
            <w:vAlign w:val="center"/>
          </w:tcPr>
          <w:p w14:paraId="428F6E55">
            <w:pPr>
              <w:adjustRightInd w:val="0"/>
              <w:snapToGrid w:val="0"/>
              <w:jc w:val="center"/>
              <w:rPr>
                <w:rFonts w:eastAsia="宋体" w:cs="Times New Roman"/>
                <w:b/>
                <w:color w:val="auto"/>
                <w:sz w:val="24"/>
                <w:highlight w:val="none"/>
              </w:rPr>
            </w:pPr>
            <w:r>
              <w:rPr>
                <w:rFonts w:eastAsia="宋体" w:cs="Times New Roman"/>
                <w:b/>
                <w:color w:val="auto"/>
                <w:sz w:val="24"/>
                <w:highlight w:val="none"/>
              </w:rPr>
              <w:t>数量</w:t>
            </w:r>
          </w:p>
        </w:tc>
        <w:tc>
          <w:tcPr>
            <w:tcW w:w="623" w:type="pct"/>
            <w:noWrap w:val="0"/>
            <w:vAlign w:val="center"/>
          </w:tcPr>
          <w:p w14:paraId="295AA0B8">
            <w:pPr>
              <w:adjustRightInd w:val="0"/>
              <w:snapToGrid w:val="0"/>
              <w:jc w:val="center"/>
              <w:rPr>
                <w:rFonts w:eastAsia="宋体" w:cs="Times New Roman"/>
                <w:b/>
                <w:color w:val="auto"/>
                <w:sz w:val="24"/>
                <w:highlight w:val="none"/>
              </w:rPr>
            </w:pPr>
            <w:r>
              <w:rPr>
                <w:rFonts w:eastAsia="宋体" w:cs="Times New Roman"/>
                <w:b/>
                <w:color w:val="auto"/>
                <w:sz w:val="24"/>
                <w:highlight w:val="none"/>
              </w:rPr>
              <w:t>合价（元）</w:t>
            </w:r>
          </w:p>
        </w:tc>
      </w:tr>
      <w:tr w14:paraId="782B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6" w:type="pct"/>
            <w:noWrap w:val="0"/>
            <w:vAlign w:val="center"/>
          </w:tcPr>
          <w:p w14:paraId="64ED15FB">
            <w:pPr>
              <w:adjustRightInd w:val="0"/>
              <w:snapToGrid w:val="0"/>
              <w:jc w:val="left"/>
              <w:rPr>
                <w:rFonts w:eastAsia="宋体" w:cs="Times New Roman"/>
                <w:color w:val="auto"/>
                <w:sz w:val="24"/>
                <w:highlight w:val="none"/>
              </w:rPr>
            </w:pPr>
            <w:r>
              <w:rPr>
                <w:rFonts w:eastAsia="宋体" w:cs="Times New Roman"/>
                <w:color w:val="auto"/>
                <w:sz w:val="24"/>
                <w:highlight w:val="none"/>
              </w:rPr>
              <w:t>1</w:t>
            </w:r>
          </w:p>
        </w:tc>
        <w:tc>
          <w:tcPr>
            <w:tcW w:w="939" w:type="pct"/>
            <w:noWrap w:val="0"/>
            <w:vAlign w:val="center"/>
          </w:tcPr>
          <w:p w14:paraId="7D6B1EAF">
            <w:pPr>
              <w:adjustRightInd w:val="0"/>
              <w:snapToGrid w:val="0"/>
              <w:jc w:val="left"/>
              <w:rPr>
                <w:rFonts w:eastAsia="宋体" w:cs="Times New Roman"/>
                <w:color w:val="auto"/>
                <w:sz w:val="24"/>
                <w:highlight w:val="none"/>
              </w:rPr>
            </w:pPr>
          </w:p>
        </w:tc>
        <w:tc>
          <w:tcPr>
            <w:tcW w:w="659" w:type="pct"/>
            <w:noWrap w:val="0"/>
            <w:vAlign w:val="center"/>
          </w:tcPr>
          <w:p w14:paraId="18E804AD">
            <w:pPr>
              <w:adjustRightInd w:val="0"/>
              <w:snapToGrid w:val="0"/>
              <w:jc w:val="left"/>
              <w:rPr>
                <w:rFonts w:eastAsia="宋体" w:cs="Times New Roman"/>
                <w:color w:val="auto"/>
                <w:sz w:val="24"/>
                <w:highlight w:val="none"/>
              </w:rPr>
            </w:pPr>
          </w:p>
        </w:tc>
        <w:tc>
          <w:tcPr>
            <w:tcW w:w="476" w:type="pct"/>
            <w:noWrap w:val="0"/>
            <w:vAlign w:val="top"/>
          </w:tcPr>
          <w:p w14:paraId="58B2A32C">
            <w:pPr>
              <w:adjustRightInd w:val="0"/>
              <w:snapToGrid w:val="0"/>
              <w:jc w:val="left"/>
              <w:rPr>
                <w:rFonts w:eastAsia="宋体" w:cs="Times New Roman"/>
                <w:color w:val="auto"/>
                <w:sz w:val="24"/>
                <w:highlight w:val="none"/>
              </w:rPr>
            </w:pPr>
          </w:p>
        </w:tc>
        <w:tc>
          <w:tcPr>
            <w:tcW w:w="515" w:type="pct"/>
            <w:noWrap w:val="0"/>
            <w:vAlign w:val="center"/>
          </w:tcPr>
          <w:p w14:paraId="34F86D2A">
            <w:pPr>
              <w:adjustRightInd w:val="0"/>
              <w:snapToGrid w:val="0"/>
              <w:jc w:val="left"/>
              <w:rPr>
                <w:rFonts w:eastAsia="宋体" w:cs="Times New Roman"/>
                <w:color w:val="auto"/>
                <w:sz w:val="24"/>
                <w:highlight w:val="none"/>
              </w:rPr>
            </w:pPr>
          </w:p>
        </w:tc>
        <w:tc>
          <w:tcPr>
            <w:tcW w:w="578" w:type="pct"/>
            <w:noWrap w:val="0"/>
            <w:vAlign w:val="center"/>
          </w:tcPr>
          <w:p w14:paraId="4F7758EA">
            <w:pPr>
              <w:adjustRightInd w:val="0"/>
              <w:snapToGrid w:val="0"/>
              <w:jc w:val="left"/>
              <w:rPr>
                <w:rFonts w:eastAsia="宋体" w:cs="Times New Roman"/>
                <w:color w:val="auto"/>
                <w:sz w:val="24"/>
                <w:highlight w:val="none"/>
              </w:rPr>
            </w:pPr>
          </w:p>
        </w:tc>
        <w:tc>
          <w:tcPr>
            <w:tcW w:w="521" w:type="pct"/>
            <w:noWrap w:val="0"/>
            <w:vAlign w:val="center"/>
          </w:tcPr>
          <w:p w14:paraId="514D6392">
            <w:pPr>
              <w:adjustRightInd w:val="0"/>
              <w:snapToGrid w:val="0"/>
              <w:jc w:val="left"/>
              <w:rPr>
                <w:rFonts w:eastAsia="宋体" w:cs="Times New Roman"/>
                <w:color w:val="auto"/>
                <w:sz w:val="24"/>
                <w:highlight w:val="none"/>
              </w:rPr>
            </w:pPr>
          </w:p>
        </w:tc>
        <w:tc>
          <w:tcPr>
            <w:tcW w:w="438" w:type="pct"/>
            <w:noWrap w:val="0"/>
            <w:vAlign w:val="center"/>
          </w:tcPr>
          <w:p w14:paraId="0EC3A74A">
            <w:pPr>
              <w:adjustRightInd w:val="0"/>
              <w:snapToGrid w:val="0"/>
              <w:jc w:val="left"/>
              <w:rPr>
                <w:rFonts w:eastAsia="宋体" w:cs="Times New Roman"/>
                <w:color w:val="auto"/>
                <w:sz w:val="24"/>
                <w:highlight w:val="none"/>
              </w:rPr>
            </w:pPr>
          </w:p>
        </w:tc>
        <w:tc>
          <w:tcPr>
            <w:tcW w:w="623" w:type="pct"/>
            <w:noWrap w:val="0"/>
            <w:vAlign w:val="center"/>
          </w:tcPr>
          <w:p w14:paraId="75D6BD39">
            <w:pPr>
              <w:adjustRightInd w:val="0"/>
              <w:snapToGrid w:val="0"/>
              <w:jc w:val="left"/>
              <w:rPr>
                <w:rFonts w:eastAsia="宋体" w:cs="Times New Roman"/>
                <w:color w:val="auto"/>
                <w:sz w:val="24"/>
                <w:highlight w:val="none"/>
              </w:rPr>
            </w:pPr>
          </w:p>
        </w:tc>
      </w:tr>
      <w:tr w14:paraId="5079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6" w:type="pct"/>
            <w:noWrap w:val="0"/>
            <w:vAlign w:val="center"/>
          </w:tcPr>
          <w:p w14:paraId="4FCABBC3">
            <w:pPr>
              <w:adjustRightInd w:val="0"/>
              <w:snapToGrid w:val="0"/>
              <w:jc w:val="left"/>
              <w:rPr>
                <w:rFonts w:eastAsia="宋体" w:cs="Times New Roman"/>
                <w:color w:val="auto"/>
                <w:sz w:val="24"/>
                <w:highlight w:val="none"/>
              </w:rPr>
            </w:pPr>
            <w:r>
              <w:rPr>
                <w:rFonts w:eastAsia="宋体" w:cs="Times New Roman"/>
                <w:color w:val="auto"/>
                <w:sz w:val="24"/>
                <w:highlight w:val="none"/>
              </w:rPr>
              <w:t>2</w:t>
            </w:r>
          </w:p>
        </w:tc>
        <w:tc>
          <w:tcPr>
            <w:tcW w:w="939" w:type="pct"/>
            <w:noWrap w:val="0"/>
            <w:vAlign w:val="center"/>
          </w:tcPr>
          <w:p w14:paraId="75064557">
            <w:pPr>
              <w:adjustRightInd w:val="0"/>
              <w:snapToGrid w:val="0"/>
              <w:jc w:val="left"/>
              <w:rPr>
                <w:rFonts w:eastAsia="宋体" w:cs="Times New Roman"/>
                <w:color w:val="auto"/>
                <w:sz w:val="24"/>
                <w:highlight w:val="none"/>
              </w:rPr>
            </w:pPr>
          </w:p>
        </w:tc>
        <w:tc>
          <w:tcPr>
            <w:tcW w:w="659" w:type="pct"/>
            <w:noWrap w:val="0"/>
            <w:vAlign w:val="center"/>
          </w:tcPr>
          <w:p w14:paraId="4953E0EF">
            <w:pPr>
              <w:adjustRightInd w:val="0"/>
              <w:snapToGrid w:val="0"/>
              <w:jc w:val="left"/>
              <w:rPr>
                <w:rFonts w:eastAsia="宋体" w:cs="Times New Roman"/>
                <w:color w:val="auto"/>
                <w:sz w:val="24"/>
                <w:highlight w:val="none"/>
              </w:rPr>
            </w:pPr>
          </w:p>
        </w:tc>
        <w:tc>
          <w:tcPr>
            <w:tcW w:w="476" w:type="pct"/>
            <w:noWrap w:val="0"/>
            <w:vAlign w:val="top"/>
          </w:tcPr>
          <w:p w14:paraId="333B84C3">
            <w:pPr>
              <w:adjustRightInd w:val="0"/>
              <w:snapToGrid w:val="0"/>
              <w:jc w:val="left"/>
              <w:rPr>
                <w:rFonts w:eastAsia="宋体" w:cs="Times New Roman"/>
                <w:color w:val="auto"/>
                <w:sz w:val="24"/>
                <w:highlight w:val="none"/>
              </w:rPr>
            </w:pPr>
          </w:p>
        </w:tc>
        <w:tc>
          <w:tcPr>
            <w:tcW w:w="515" w:type="pct"/>
            <w:noWrap w:val="0"/>
            <w:vAlign w:val="center"/>
          </w:tcPr>
          <w:p w14:paraId="3FE0711F">
            <w:pPr>
              <w:adjustRightInd w:val="0"/>
              <w:snapToGrid w:val="0"/>
              <w:jc w:val="left"/>
              <w:rPr>
                <w:rFonts w:eastAsia="宋体" w:cs="Times New Roman"/>
                <w:color w:val="auto"/>
                <w:sz w:val="24"/>
                <w:highlight w:val="none"/>
              </w:rPr>
            </w:pPr>
          </w:p>
        </w:tc>
        <w:tc>
          <w:tcPr>
            <w:tcW w:w="578" w:type="pct"/>
            <w:noWrap w:val="0"/>
            <w:vAlign w:val="center"/>
          </w:tcPr>
          <w:p w14:paraId="7CB81D5C">
            <w:pPr>
              <w:adjustRightInd w:val="0"/>
              <w:snapToGrid w:val="0"/>
              <w:jc w:val="left"/>
              <w:rPr>
                <w:rFonts w:eastAsia="宋体" w:cs="Times New Roman"/>
                <w:color w:val="auto"/>
                <w:sz w:val="24"/>
                <w:highlight w:val="none"/>
              </w:rPr>
            </w:pPr>
          </w:p>
        </w:tc>
        <w:tc>
          <w:tcPr>
            <w:tcW w:w="521" w:type="pct"/>
            <w:noWrap w:val="0"/>
            <w:vAlign w:val="center"/>
          </w:tcPr>
          <w:p w14:paraId="507861D6">
            <w:pPr>
              <w:adjustRightInd w:val="0"/>
              <w:snapToGrid w:val="0"/>
              <w:jc w:val="left"/>
              <w:rPr>
                <w:rFonts w:eastAsia="宋体" w:cs="Times New Roman"/>
                <w:color w:val="auto"/>
                <w:sz w:val="24"/>
                <w:highlight w:val="none"/>
              </w:rPr>
            </w:pPr>
          </w:p>
        </w:tc>
        <w:tc>
          <w:tcPr>
            <w:tcW w:w="438" w:type="pct"/>
            <w:noWrap w:val="0"/>
            <w:vAlign w:val="center"/>
          </w:tcPr>
          <w:p w14:paraId="067AAFE1">
            <w:pPr>
              <w:adjustRightInd w:val="0"/>
              <w:snapToGrid w:val="0"/>
              <w:jc w:val="left"/>
              <w:rPr>
                <w:rFonts w:eastAsia="宋体" w:cs="Times New Roman"/>
                <w:color w:val="auto"/>
                <w:sz w:val="24"/>
                <w:highlight w:val="none"/>
              </w:rPr>
            </w:pPr>
          </w:p>
        </w:tc>
        <w:tc>
          <w:tcPr>
            <w:tcW w:w="623" w:type="pct"/>
            <w:noWrap w:val="0"/>
            <w:vAlign w:val="center"/>
          </w:tcPr>
          <w:p w14:paraId="189B4F39">
            <w:pPr>
              <w:adjustRightInd w:val="0"/>
              <w:snapToGrid w:val="0"/>
              <w:jc w:val="left"/>
              <w:rPr>
                <w:rFonts w:eastAsia="宋体" w:cs="Times New Roman"/>
                <w:color w:val="auto"/>
                <w:sz w:val="24"/>
                <w:highlight w:val="none"/>
              </w:rPr>
            </w:pPr>
          </w:p>
        </w:tc>
      </w:tr>
      <w:tr w14:paraId="0AA7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46" w:type="pct"/>
            <w:noWrap w:val="0"/>
            <w:vAlign w:val="center"/>
          </w:tcPr>
          <w:p w14:paraId="17841034">
            <w:pPr>
              <w:adjustRightInd w:val="0"/>
              <w:snapToGrid w:val="0"/>
              <w:jc w:val="left"/>
              <w:rPr>
                <w:rFonts w:eastAsia="宋体" w:cs="Times New Roman"/>
                <w:color w:val="auto"/>
                <w:sz w:val="24"/>
                <w:highlight w:val="none"/>
              </w:rPr>
            </w:pPr>
            <w:r>
              <w:rPr>
                <w:rFonts w:eastAsia="宋体" w:cs="Times New Roman"/>
                <w:color w:val="auto"/>
                <w:sz w:val="24"/>
                <w:highlight w:val="none"/>
              </w:rPr>
              <w:t>3</w:t>
            </w:r>
          </w:p>
        </w:tc>
        <w:tc>
          <w:tcPr>
            <w:tcW w:w="939" w:type="pct"/>
            <w:noWrap w:val="0"/>
            <w:vAlign w:val="center"/>
          </w:tcPr>
          <w:p w14:paraId="11DF9BBF">
            <w:pPr>
              <w:adjustRightInd w:val="0"/>
              <w:snapToGrid w:val="0"/>
              <w:jc w:val="left"/>
              <w:rPr>
                <w:rFonts w:eastAsia="宋体" w:cs="Times New Roman"/>
                <w:color w:val="auto"/>
                <w:sz w:val="24"/>
                <w:highlight w:val="none"/>
              </w:rPr>
            </w:pPr>
          </w:p>
        </w:tc>
        <w:tc>
          <w:tcPr>
            <w:tcW w:w="659" w:type="pct"/>
            <w:noWrap w:val="0"/>
            <w:vAlign w:val="center"/>
          </w:tcPr>
          <w:p w14:paraId="50462541">
            <w:pPr>
              <w:adjustRightInd w:val="0"/>
              <w:snapToGrid w:val="0"/>
              <w:jc w:val="left"/>
              <w:rPr>
                <w:rFonts w:eastAsia="宋体" w:cs="Times New Roman"/>
                <w:color w:val="auto"/>
                <w:sz w:val="24"/>
                <w:highlight w:val="none"/>
              </w:rPr>
            </w:pPr>
          </w:p>
        </w:tc>
        <w:tc>
          <w:tcPr>
            <w:tcW w:w="476" w:type="pct"/>
            <w:noWrap w:val="0"/>
            <w:vAlign w:val="top"/>
          </w:tcPr>
          <w:p w14:paraId="0BCA5F57">
            <w:pPr>
              <w:adjustRightInd w:val="0"/>
              <w:snapToGrid w:val="0"/>
              <w:jc w:val="left"/>
              <w:rPr>
                <w:rFonts w:eastAsia="宋体" w:cs="Times New Roman"/>
                <w:color w:val="auto"/>
                <w:sz w:val="24"/>
                <w:highlight w:val="none"/>
              </w:rPr>
            </w:pPr>
          </w:p>
        </w:tc>
        <w:tc>
          <w:tcPr>
            <w:tcW w:w="515" w:type="pct"/>
            <w:noWrap w:val="0"/>
            <w:vAlign w:val="center"/>
          </w:tcPr>
          <w:p w14:paraId="4B3DFA00">
            <w:pPr>
              <w:adjustRightInd w:val="0"/>
              <w:snapToGrid w:val="0"/>
              <w:jc w:val="left"/>
              <w:rPr>
                <w:rFonts w:eastAsia="宋体" w:cs="Times New Roman"/>
                <w:color w:val="auto"/>
                <w:sz w:val="24"/>
                <w:highlight w:val="none"/>
              </w:rPr>
            </w:pPr>
          </w:p>
        </w:tc>
        <w:tc>
          <w:tcPr>
            <w:tcW w:w="578" w:type="pct"/>
            <w:noWrap w:val="0"/>
            <w:vAlign w:val="center"/>
          </w:tcPr>
          <w:p w14:paraId="4F0A3001">
            <w:pPr>
              <w:adjustRightInd w:val="0"/>
              <w:snapToGrid w:val="0"/>
              <w:jc w:val="left"/>
              <w:rPr>
                <w:rFonts w:eastAsia="宋体" w:cs="Times New Roman"/>
                <w:color w:val="auto"/>
                <w:sz w:val="24"/>
                <w:highlight w:val="none"/>
              </w:rPr>
            </w:pPr>
          </w:p>
        </w:tc>
        <w:tc>
          <w:tcPr>
            <w:tcW w:w="521" w:type="pct"/>
            <w:noWrap w:val="0"/>
            <w:vAlign w:val="center"/>
          </w:tcPr>
          <w:p w14:paraId="67B6A87C">
            <w:pPr>
              <w:adjustRightInd w:val="0"/>
              <w:snapToGrid w:val="0"/>
              <w:jc w:val="left"/>
              <w:rPr>
                <w:rFonts w:eastAsia="宋体" w:cs="Times New Roman"/>
                <w:color w:val="auto"/>
                <w:sz w:val="24"/>
                <w:highlight w:val="none"/>
              </w:rPr>
            </w:pPr>
          </w:p>
        </w:tc>
        <w:tc>
          <w:tcPr>
            <w:tcW w:w="438" w:type="pct"/>
            <w:noWrap w:val="0"/>
            <w:vAlign w:val="center"/>
          </w:tcPr>
          <w:p w14:paraId="7E0D4D0F">
            <w:pPr>
              <w:adjustRightInd w:val="0"/>
              <w:snapToGrid w:val="0"/>
              <w:jc w:val="left"/>
              <w:rPr>
                <w:rFonts w:eastAsia="宋体" w:cs="Times New Roman"/>
                <w:color w:val="auto"/>
                <w:sz w:val="24"/>
                <w:highlight w:val="none"/>
              </w:rPr>
            </w:pPr>
          </w:p>
        </w:tc>
        <w:tc>
          <w:tcPr>
            <w:tcW w:w="623" w:type="pct"/>
            <w:noWrap w:val="0"/>
            <w:vAlign w:val="center"/>
          </w:tcPr>
          <w:p w14:paraId="675AB99E">
            <w:pPr>
              <w:adjustRightInd w:val="0"/>
              <w:snapToGrid w:val="0"/>
              <w:jc w:val="left"/>
              <w:rPr>
                <w:rFonts w:eastAsia="宋体" w:cs="Times New Roman"/>
                <w:color w:val="auto"/>
                <w:sz w:val="24"/>
                <w:highlight w:val="none"/>
              </w:rPr>
            </w:pPr>
          </w:p>
        </w:tc>
      </w:tr>
      <w:tr w14:paraId="3199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 w:type="pct"/>
            <w:noWrap w:val="0"/>
            <w:vAlign w:val="center"/>
          </w:tcPr>
          <w:p w14:paraId="479611E8">
            <w:pPr>
              <w:adjustRightInd w:val="0"/>
              <w:snapToGrid w:val="0"/>
              <w:jc w:val="left"/>
              <w:rPr>
                <w:rFonts w:eastAsia="宋体" w:cs="Times New Roman"/>
                <w:color w:val="auto"/>
                <w:sz w:val="24"/>
                <w:highlight w:val="none"/>
              </w:rPr>
            </w:pPr>
            <w:r>
              <w:rPr>
                <w:rFonts w:eastAsia="宋体" w:cs="Times New Roman"/>
                <w:color w:val="auto"/>
                <w:sz w:val="24"/>
                <w:highlight w:val="none"/>
              </w:rPr>
              <w:t>4</w:t>
            </w:r>
          </w:p>
        </w:tc>
        <w:tc>
          <w:tcPr>
            <w:tcW w:w="939" w:type="pct"/>
            <w:noWrap w:val="0"/>
            <w:vAlign w:val="center"/>
          </w:tcPr>
          <w:p w14:paraId="797658E3">
            <w:pPr>
              <w:adjustRightInd w:val="0"/>
              <w:snapToGrid w:val="0"/>
              <w:jc w:val="left"/>
              <w:rPr>
                <w:rFonts w:eastAsia="宋体" w:cs="Times New Roman"/>
                <w:color w:val="auto"/>
                <w:sz w:val="24"/>
                <w:highlight w:val="none"/>
              </w:rPr>
            </w:pPr>
          </w:p>
        </w:tc>
        <w:tc>
          <w:tcPr>
            <w:tcW w:w="659" w:type="pct"/>
            <w:noWrap w:val="0"/>
            <w:vAlign w:val="center"/>
          </w:tcPr>
          <w:p w14:paraId="4E0CB10D">
            <w:pPr>
              <w:adjustRightInd w:val="0"/>
              <w:snapToGrid w:val="0"/>
              <w:jc w:val="left"/>
              <w:rPr>
                <w:rFonts w:eastAsia="宋体" w:cs="Times New Roman"/>
                <w:color w:val="auto"/>
                <w:sz w:val="24"/>
                <w:highlight w:val="none"/>
              </w:rPr>
            </w:pPr>
          </w:p>
        </w:tc>
        <w:tc>
          <w:tcPr>
            <w:tcW w:w="476" w:type="pct"/>
            <w:noWrap w:val="0"/>
            <w:vAlign w:val="top"/>
          </w:tcPr>
          <w:p w14:paraId="053A40F6">
            <w:pPr>
              <w:adjustRightInd w:val="0"/>
              <w:snapToGrid w:val="0"/>
              <w:jc w:val="left"/>
              <w:rPr>
                <w:rFonts w:eastAsia="宋体" w:cs="Times New Roman"/>
                <w:color w:val="auto"/>
                <w:sz w:val="24"/>
                <w:highlight w:val="none"/>
              </w:rPr>
            </w:pPr>
          </w:p>
        </w:tc>
        <w:tc>
          <w:tcPr>
            <w:tcW w:w="515" w:type="pct"/>
            <w:noWrap w:val="0"/>
            <w:vAlign w:val="center"/>
          </w:tcPr>
          <w:p w14:paraId="1EE070E1">
            <w:pPr>
              <w:adjustRightInd w:val="0"/>
              <w:snapToGrid w:val="0"/>
              <w:jc w:val="left"/>
              <w:rPr>
                <w:rFonts w:eastAsia="宋体" w:cs="Times New Roman"/>
                <w:color w:val="auto"/>
                <w:sz w:val="24"/>
                <w:highlight w:val="none"/>
              </w:rPr>
            </w:pPr>
          </w:p>
        </w:tc>
        <w:tc>
          <w:tcPr>
            <w:tcW w:w="578" w:type="pct"/>
            <w:noWrap w:val="0"/>
            <w:vAlign w:val="center"/>
          </w:tcPr>
          <w:p w14:paraId="75034686">
            <w:pPr>
              <w:adjustRightInd w:val="0"/>
              <w:snapToGrid w:val="0"/>
              <w:jc w:val="left"/>
              <w:rPr>
                <w:rFonts w:eastAsia="宋体" w:cs="Times New Roman"/>
                <w:color w:val="auto"/>
                <w:sz w:val="24"/>
                <w:highlight w:val="none"/>
              </w:rPr>
            </w:pPr>
          </w:p>
        </w:tc>
        <w:tc>
          <w:tcPr>
            <w:tcW w:w="521" w:type="pct"/>
            <w:noWrap w:val="0"/>
            <w:vAlign w:val="center"/>
          </w:tcPr>
          <w:p w14:paraId="3F0F8D5D">
            <w:pPr>
              <w:adjustRightInd w:val="0"/>
              <w:snapToGrid w:val="0"/>
              <w:jc w:val="left"/>
              <w:rPr>
                <w:rFonts w:eastAsia="宋体" w:cs="Times New Roman"/>
                <w:color w:val="auto"/>
                <w:sz w:val="24"/>
                <w:highlight w:val="none"/>
              </w:rPr>
            </w:pPr>
          </w:p>
        </w:tc>
        <w:tc>
          <w:tcPr>
            <w:tcW w:w="438" w:type="pct"/>
            <w:noWrap w:val="0"/>
            <w:vAlign w:val="center"/>
          </w:tcPr>
          <w:p w14:paraId="29C191C0">
            <w:pPr>
              <w:adjustRightInd w:val="0"/>
              <w:snapToGrid w:val="0"/>
              <w:jc w:val="left"/>
              <w:rPr>
                <w:rFonts w:eastAsia="宋体" w:cs="Times New Roman"/>
                <w:color w:val="auto"/>
                <w:sz w:val="24"/>
                <w:highlight w:val="none"/>
              </w:rPr>
            </w:pPr>
          </w:p>
        </w:tc>
        <w:tc>
          <w:tcPr>
            <w:tcW w:w="623" w:type="pct"/>
            <w:noWrap w:val="0"/>
            <w:vAlign w:val="center"/>
          </w:tcPr>
          <w:p w14:paraId="273AC218">
            <w:pPr>
              <w:adjustRightInd w:val="0"/>
              <w:snapToGrid w:val="0"/>
              <w:jc w:val="left"/>
              <w:rPr>
                <w:rFonts w:eastAsia="宋体" w:cs="Times New Roman"/>
                <w:color w:val="auto"/>
                <w:sz w:val="24"/>
                <w:highlight w:val="none"/>
              </w:rPr>
            </w:pPr>
          </w:p>
        </w:tc>
      </w:tr>
      <w:tr w14:paraId="1EED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46" w:type="pct"/>
            <w:noWrap w:val="0"/>
            <w:vAlign w:val="center"/>
          </w:tcPr>
          <w:p w14:paraId="74B2D731">
            <w:pPr>
              <w:adjustRightInd w:val="0"/>
              <w:snapToGrid w:val="0"/>
              <w:jc w:val="left"/>
              <w:rPr>
                <w:rFonts w:eastAsia="宋体" w:cs="Times New Roman"/>
                <w:color w:val="auto"/>
                <w:sz w:val="24"/>
                <w:highlight w:val="none"/>
              </w:rPr>
            </w:pPr>
            <w:r>
              <w:rPr>
                <w:rFonts w:eastAsia="宋体" w:cs="Times New Roman"/>
                <w:color w:val="auto"/>
                <w:sz w:val="24"/>
                <w:highlight w:val="none"/>
              </w:rPr>
              <w:t>…</w:t>
            </w:r>
          </w:p>
        </w:tc>
        <w:tc>
          <w:tcPr>
            <w:tcW w:w="939" w:type="pct"/>
            <w:noWrap w:val="0"/>
            <w:vAlign w:val="center"/>
          </w:tcPr>
          <w:p w14:paraId="19F26B1E">
            <w:pPr>
              <w:adjustRightInd w:val="0"/>
              <w:snapToGrid w:val="0"/>
              <w:jc w:val="left"/>
              <w:rPr>
                <w:rFonts w:eastAsia="宋体" w:cs="Times New Roman"/>
                <w:color w:val="auto"/>
                <w:sz w:val="24"/>
                <w:highlight w:val="none"/>
              </w:rPr>
            </w:pPr>
          </w:p>
        </w:tc>
        <w:tc>
          <w:tcPr>
            <w:tcW w:w="659" w:type="pct"/>
            <w:noWrap w:val="0"/>
            <w:vAlign w:val="center"/>
          </w:tcPr>
          <w:p w14:paraId="6D5A3446">
            <w:pPr>
              <w:adjustRightInd w:val="0"/>
              <w:snapToGrid w:val="0"/>
              <w:jc w:val="left"/>
              <w:rPr>
                <w:rFonts w:eastAsia="宋体" w:cs="Times New Roman"/>
                <w:color w:val="auto"/>
                <w:sz w:val="24"/>
                <w:highlight w:val="none"/>
              </w:rPr>
            </w:pPr>
          </w:p>
        </w:tc>
        <w:tc>
          <w:tcPr>
            <w:tcW w:w="476" w:type="pct"/>
            <w:noWrap w:val="0"/>
            <w:vAlign w:val="top"/>
          </w:tcPr>
          <w:p w14:paraId="4CC5762A">
            <w:pPr>
              <w:adjustRightInd w:val="0"/>
              <w:snapToGrid w:val="0"/>
              <w:jc w:val="left"/>
              <w:rPr>
                <w:rFonts w:eastAsia="宋体" w:cs="Times New Roman"/>
                <w:color w:val="auto"/>
                <w:sz w:val="24"/>
                <w:highlight w:val="none"/>
              </w:rPr>
            </w:pPr>
          </w:p>
        </w:tc>
        <w:tc>
          <w:tcPr>
            <w:tcW w:w="515" w:type="pct"/>
            <w:noWrap w:val="0"/>
            <w:vAlign w:val="center"/>
          </w:tcPr>
          <w:p w14:paraId="186FB901">
            <w:pPr>
              <w:adjustRightInd w:val="0"/>
              <w:snapToGrid w:val="0"/>
              <w:jc w:val="left"/>
              <w:rPr>
                <w:rFonts w:eastAsia="宋体" w:cs="Times New Roman"/>
                <w:color w:val="auto"/>
                <w:sz w:val="24"/>
                <w:highlight w:val="none"/>
              </w:rPr>
            </w:pPr>
          </w:p>
        </w:tc>
        <w:tc>
          <w:tcPr>
            <w:tcW w:w="578" w:type="pct"/>
            <w:noWrap w:val="0"/>
            <w:vAlign w:val="center"/>
          </w:tcPr>
          <w:p w14:paraId="4731FC2B">
            <w:pPr>
              <w:adjustRightInd w:val="0"/>
              <w:snapToGrid w:val="0"/>
              <w:jc w:val="left"/>
              <w:rPr>
                <w:rFonts w:eastAsia="宋体" w:cs="Times New Roman"/>
                <w:color w:val="auto"/>
                <w:sz w:val="24"/>
                <w:highlight w:val="none"/>
              </w:rPr>
            </w:pPr>
          </w:p>
        </w:tc>
        <w:tc>
          <w:tcPr>
            <w:tcW w:w="521" w:type="pct"/>
            <w:noWrap w:val="0"/>
            <w:vAlign w:val="center"/>
          </w:tcPr>
          <w:p w14:paraId="45FC11A9">
            <w:pPr>
              <w:adjustRightInd w:val="0"/>
              <w:snapToGrid w:val="0"/>
              <w:jc w:val="left"/>
              <w:rPr>
                <w:rFonts w:eastAsia="宋体" w:cs="Times New Roman"/>
                <w:color w:val="auto"/>
                <w:sz w:val="24"/>
                <w:highlight w:val="none"/>
              </w:rPr>
            </w:pPr>
          </w:p>
        </w:tc>
        <w:tc>
          <w:tcPr>
            <w:tcW w:w="438" w:type="pct"/>
            <w:noWrap w:val="0"/>
            <w:vAlign w:val="center"/>
          </w:tcPr>
          <w:p w14:paraId="19C87145">
            <w:pPr>
              <w:adjustRightInd w:val="0"/>
              <w:snapToGrid w:val="0"/>
              <w:jc w:val="left"/>
              <w:rPr>
                <w:rFonts w:eastAsia="宋体" w:cs="Times New Roman"/>
                <w:color w:val="auto"/>
                <w:sz w:val="24"/>
                <w:highlight w:val="none"/>
              </w:rPr>
            </w:pPr>
          </w:p>
        </w:tc>
        <w:tc>
          <w:tcPr>
            <w:tcW w:w="623" w:type="pct"/>
            <w:noWrap w:val="0"/>
            <w:vAlign w:val="center"/>
          </w:tcPr>
          <w:p w14:paraId="0A32D99B">
            <w:pPr>
              <w:adjustRightInd w:val="0"/>
              <w:snapToGrid w:val="0"/>
              <w:jc w:val="left"/>
              <w:rPr>
                <w:rFonts w:eastAsia="宋体" w:cs="Times New Roman"/>
                <w:color w:val="auto"/>
                <w:sz w:val="24"/>
                <w:highlight w:val="none"/>
              </w:rPr>
            </w:pPr>
          </w:p>
        </w:tc>
      </w:tr>
      <w:tr w14:paraId="2B7D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376" w:type="pct"/>
            <w:gridSpan w:val="8"/>
            <w:noWrap w:val="0"/>
            <w:vAlign w:val="center"/>
          </w:tcPr>
          <w:p w14:paraId="1A4C9E80">
            <w:pPr>
              <w:jc w:val="center"/>
              <w:rPr>
                <w:rFonts w:eastAsia="宋体" w:cs="Times New Roman"/>
                <w:b/>
                <w:color w:val="auto"/>
                <w:sz w:val="24"/>
                <w:highlight w:val="none"/>
              </w:rPr>
            </w:pPr>
            <w:r>
              <w:rPr>
                <w:rFonts w:eastAsia="宋体" w:cs="Times New Roman"/>
                <w:b/>
                <w:color w:val="auto"/>
                <w:sz w:val="24"/>
                <w:highlight w:val="none"/>
              </w:rPr>
              <w:t>总价（元）</w:t>
            </w:r>
          </w:p>
        </w:tc>
        <w:tc>
          <w:tcPr>
            <w:tcW w:w="623" w:type="pct"/>
            <w:noWrap w:val="0"/>
            <w:vAlign w:val="center"/>
          </w:tcPr>
          <w:p w14:paraId="75810F9A">
            <w:pPr>
              <w:adjustRightInd w:val="0"/>
              <w:snapToGrid w:val="0"/>
              <w:jc w:val="left"/>
              <w:rPr>
                <w:rFonts w:eastAsia="宋体" w:cs="Times New Roman"/>
                <w:color w:val="auto"/>
                <w:sz w:val="24"/>
                <w:highlight w:val="none"/>
              </w:rPr>
            </w:pPr>
          </w:p>
        </w:tc>
      </w:tr>
    </w:tbl>
    <w:p w14:paraId="447DB041">
      <w:pPr>
        <w:tabs>
          <w:tab w:val="left" w:pos="1800"/>
          <w:tab w:val="left" w:pos="5580"/>
        </w:tabs>
        <w:ind w:firstLine="488" w:firstLineChars="200"/>
        <w:jc w:val="left"/>
        <w:rPr>
          <w:color w:val="auto"/>
          <w:sz w:val="24"/>
          <w:highlight w:val="none"/>
        </w:rPr>
      </w:pPr>
      <w:r>
        <w:rPr>
          <w:color w:val="auto"/>
          <w:sz w:val="24"/>
          <w:highlight w:val="none"/>
        </w:rPr>
        <w:t>注：1..如果不提供分项报价将视为没有实质性响应招标文件。</w:t>
      </w:r>
    </w:p>
    <w:p w14:paraId="11054D4A">
      <w:pPr>
        <w:tabs>
          <w:tab w:val="left" w:pos="1800"/>
          <w:tab w:val="left" w:pos="5580"/>
        </w:tabs>
        <w:ind w:firstLine="488" w:firstLineChars="200"/>
        <w:jc w:val="left"/>
        <w:rPr>
          <w:color w:val="auto"/>
          <w:sz w:val="24"/>
          <w:highlight w:val="none"/>
        </w:rPr>
      </w:pPr>
      <w:r>
        <w:rPr>
          <w:rFonts w:hint="eastAsia"/>
          <w:color w:val="auto"/>
          <w:sz w:val="24"/>
          <w:highlight w:val="none"/>
          <w:lang w:val="en-US" w:eastAsia="zh-CN"/>
        </w:rPr>
        <w:t>2</w:t>
      </w:r>
      <w:r>
        <w:rPr>
          <w:color w:val="auto"/>
          <w:sz w:val="24"/>
          <w:highlight w:val="none"/>
        </w:rPr>
        <w:t>.上述各项的详细规格（如有），可另页描述。</w:t>
      </w:r>
    </w:p>
    <w:p w14:paraId="20BD7CDC">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C43D000">
      <w:pPr>
        <w:autoSpaceDE w:val="0"/>
        <w:autoSpaceDN w:val="0"/>
        <w:adjustRightInd w:val="0"/>
        <w:snapToGrid w:val="0"/>
        <w:spacing w:before="25" w:after="25" w:line="360" w:lineRule="auto"/>
        <w:rPr>
          <w:color w:val="auto"/>
          <w:sz w:val="24"/>
          <w:highlight w:val="none"/>
        </w:rPr>
      </w:pPr>
    </w:p>
    <w:p w14:paraId="5A2A3E21">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59E7164A">
      <w:pPr>
        <w:autoSpaceDE w:val="0"/>
        <w:autoSpaceDN w:val="0"/>
        <w:adjustRightInd w:val="0"/>
        <w:snapToGrid w:val="0"/>
        <w:spacing w:before="25" w:after="25" w:line="360" w:lineRule="auto"/>
        <w:rPr>
          <w:color w:val="auto"/>
          <w:sz w:val="24"/>
          <w:highlight w:val="none"/>
          <w:lang w:val="zh-CN"/>
        </w:rPr>
      </w:pPr>
      <w:r>
        <w:rPr>
          <w:rFonts w:hint="eastAsia" w:ascii="宋体"/>
          <w:color w:val="auto"/>
          <w:sz w:val="24"/>
          <w:highlight w:val="none"/>
        </w:rPr>
        <w:t>法定代表人（签字）：</w:t>
      </w:r>
      <w:r>
        <w:rPr>
          <w:color w:val="auto"/>
          <w:sz w:val="24"/>
          <w:highlight w:val="none"/>
          <w:lang w:val="zh-CN"/>
        </w:rPr>
        <w:t>____________</w:t>
      </w:r>
    </w:p>
    <w:p w14:paraId="0A5D7C26">
      <w:pPr>
        <w:pStyle w:val="86"/>
        <w:ind w:firstLine="210"/>
        <w:rPr>
          <w:color w:val="auto"/>
          <w:highlight w:val="none"/>
          <w:lang w:val="zh-CN"/>
        </w:rPr>
      </w:pPr>
    </w:p>
    <w:p w14:paraId="06355035">
      <w:pPr>
        <w:pStyle w:val="86"/>
        <w:ind w:firstLine="210"/>
        <w:rPr>
          <w:color w:val="auto"/>
          <w:highlight w:val="none"/>
          <w:lang w:val="zh-CN"/>
        </w:rPr>
      </w:pPr>
    </w:p>
    <w:p w14:paraId="421821CC">
      <w:pPr>
        <w:spacing w:line="360" w:lineRule="auto"/>
        <w:rPr>
          <w:rFonts w:hint="eastAsia" w:ascii="宋体"/>
          <w:b/>
          <w:color w:val="auto"/>
          <w:sz w:val="30"/>
          <w:szCs w:val="30"/>
          <w:highlight w:val="none"/>
        </w:rPr>
      </w:pPr>
      <w:r>
        <w:rPr>
          <w:color w:val="auto"/>
          <w:sz w:val="24"/>
          <w:szCs w:val="20"/>
          <w:highlight w:val="none"/>
        </w:rPr>
        <w:t xml:space="preserve">日期：_____年______月______日  </w:t>
      </w:r>
      <w:r>
        <w:rPr>
          <w:rFonts w:hint="eastAsia" w:ascii="宋体"/>
          <w:b/>
          <w:color w:val="auto"/>
          <w:sz w:val="30"/>
          <w:szCs w:val="30"/>
          <w:highlight w:val="none"/>
        </w:rPr>
        <w:t xml:space="preserve"> </w:t>
      </w:r>
    </w:p>
    <w:p w14:paraId="4C30A972">
      <w:pPr>
        <w:spacing w:line="360" w:lineRule="auto"/>
        <w:rPr>
          <w:rFonts w:ascii="宋体"/>
          <w:b/>
          <w:color w:val="auto"/>
          <w:sz w:val="30"/>
          <w:szCs w:val="30"/>
          <w:highlight w:val="none"/>
        </w:rPr>
      </w:pPr>
      <w:r>
        <w:rPr>
          <w:rFonts w:hint="eastAsia" w:ascii="宋体"/>
          <w:b/>
          <w:color w:val="auto"/>
          <w:sz w:val="30"/>
          <w:szCs w:val="30"/>
          <w:highlight w:val="none"/>
        </w:rPr>
        <w:br w:type="page"/>
      </w:r>
      <w:r>
        <w:rPr>
          <w:rFonts w:hint="eastAsia" w:ascii="宋体"/>
          <w:bCs/>
          <w:color w:val="auto"/>
          <w:sz w:val="30"/>
          <w:szCs w:val="30"/>
          <w:highlight w:val="none"/>
        </w:rPr>
        <w:t xml:space="preserve">5 </w:t>
      </w:r>
      <w:r>
        <w:rPr>
          <w:bCs/>
          <w:color w:val="auto"/>
          <w:sz w:val="30"/>
          <w:szCs w:val="30"/>
          <w:highlight w:val="none"/>
        </w:rPr>
        <w:t>合同条款偏离表（实质性格式）</w:t>
      </w:r>
      <w:r>
        <w:rPr>
          <w:rFonts w:hint="eastAsia" w:ascii="宋体"/>
          <w:b/>
          <w:color w:val="auto"/>
          <w:sz w:val="30"/>
          <w:szCs w:val="30"/>
          <w:highlight w:val="none"/>
        </w:rPr>
        <w:t xml:space="preserve"> </w:t>
      </w:r>
    </w:p>
    <w:p w14:paraId="50FD81D2">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14:paraId="553C8B8B">
      <w:pPr>
        <w:tabs>
          <w:tab w:val="left" w:pos="1800"/>
          <w:tab w:val="left" w:pos="5580"/>
        </w:tabs>
        <w:spacing w:line="360" w:lineRule="auto"/>
        <w:ind w:firstLine="366" w:firstLineChars="150"/>
        <w:jc w:val="left"/>
        <w:rPr>
          <w:rFonts w:hint="eastAsia" w:ascii="宋体"/>
          <w:b/>
          <w:color w:val="auto"/>
          <w:sz w:val="30"/>
          <w:szCs w:val="30"/>
          <w:highlight w:val="none"/>
        </w:rPr>
      </w:pPr>
      <w:r>
        <w:rPr>
          <w:color w:val="auto"/>
          <w:sz w:val="24"/>
          <w:highlight w:val="none"/>
        </w:rPr>
        <w:t>项目名称：_____________________     项目编号/包号：_____________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86"/>
        <w:gridCol w:w="1970"/>
        <w:gridCol w:w="1971"/>
        <w:gridCol w:w="2410"/>
        <w:gridCol w:w="780"/>
      </w:tblGrid>
      <w:tr w14:paraId="617B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6FF3EB89">
            <w:pPr>
              <w:adjustRightInd w:val="0"/>
              <w:snapToGrid w:val="0"/>
              <w:jc w:val="left"/>
              <w:rPr>
                <w:rFonts w:eastAsia="宋体" w:cs="Times New Roman"/>
                <w:b/>
                <w:color w:val="auto"/>
                <w:sz w:val="24"/>
                <w:highlight w:val="none"/>
              </w:rPr>
            </w:pPr>
            <w:r>
              <w:rPr>
                <w:rFonts w:eastAsia="宋体" w:cs="Times New Roman"/>
                <w:b/>
                <w:color w:val="auto"/>
                <w:sz w:val="24"/>
                <w:highlight w:val="none"/>
              </w:rPr>
              <w:t>对本</w:t>
            </w:r>
            <w:r>
              <w:rPr>
                <w:rFonts w:hint="eastAsia" w:eastAsia="宋体" w:cs="Times New Roman"/>
                <w:b/>
                <w:color w:val="auto"/>
                <w:sz w:val="24"/>
                <w:highlight w:val="none"/>
              </w:rPr>
              <w:t>项目</w:t>
            </w:r>
            <w:r>
              <w:rPr>
                <w:rFonts w:eastAsia="宋体" w:cs="Times New Roman"/>
                <w:b/>
                <w:color w:val="auto"/>
                <w:sz w:val="24"/>
                <w:highlight w:val="none"/>
              </w:rPr>
              <w:t>合同条款的偏离情况（请进行勾选）：</w:t>
            </w:r>
          </w:p>
          <w:p w14:paraId="36BA4D95">
            <w:pPr>
              <w:adjustRightInd w:val="0"/>
              <w:snapToGrid w:val="0"/>
              <w:jc w:val="left"/>
              <w:rPr>
                <w:rFonts w:eastAsia="宋体" w:cs="Times New Roman"/>
                <w:b/>
                <w:color w:val="auto"/>
                <w:sz w:val="24"/>
                <w:highlight w:val="none"/>
              </w:rPr>
            </w:pPr>
            <w:r>
              <w:rPr>
                <w:rFonts w:eastAsia="宋体" w:cs="Times New Roman"/>
                <w:b/>
                <w:color w:val="auto"/>
                <w:sz w:val="24"/>
                <w:highlight w:val="none"/>
              </w:rPr>
              <w:t>□无偏离</w:t>
            </w:r>
            <w:r>
              <w:rPr>
                <w:rFonts w:eastAsia="宋体" w:cs="Times New Roman"/>
                <w:color w:val="auto"/>
                <w:sz w:val="24"/>
                <w:highlight w:val="none"/>
              </w:rPr>
              <w:t>（</w:t>
            </w:r>
            <w:r>
              <w:rPr>
                <w:rFonts w:eastAsia="宋体" w:cs="Times New Roman"/>
                <w:color w:val="auto"/>
                <w:sz w:val="24"/>
                <w:szCs w:val="21"/>
                <w:highlight w:val="none"/>
              </w:rPr>
              <w:t>如无偏离，仅勾选无偏离即可</w:t>
            </w:r>
            <w:r>
              <w:rPr>
                <w:rFonts w:eastAsia="宋体" w:cs="Times New Roman"/>
                <w:color w:val="auto"/>
                <w:sz w:val="24"/>
                <w:highlight w:val="none"/>
              </w:rPr>
              <w:t>）</w:t>
            </w:r>
          </w:p>
          <w:p w14:paraId="336303C4">
            <w:pPr>
              <w:adjustRightInd w:val="0"/>
              <w:snapToGrid w:val="0"/>
              <w:jc w:val="left"/>
              <w:rPr>
                <w:rFonts w:eastAsia="宋体" w:cs="Times New Roman"/>
                <w:color w:val="auto"/>
                <w:sz w:val="24"/>
                <w:highlight w:val="none"/>
              </w:rPr>
            </w:pPr>
            <w:r>
              <w:rPr>
                <w:rFonts w:eastAsia="宋体" w:cs="Times New Roman"/>
                <w:b/>
                <w:color w:val="auto"/>
                <w:sz w:val="24"/>
                <w:highlight w:val="none"/>
              </w:rPr>
              <w:t>□有偏离</w:t>
            </w:r>
            <w:r>
              <w:rPr>
                <w:rFonts w:eastAsia="宋体" w:cs="Times New Roman"/>
                <w:color w:val="auto"/>
                <w:sz w:val="24"/>
                <w:highlight w:val="none"/>
              </w:rPr>
              <w:t>（</w:t>
            </w:r>
            <w:r>
              <w:rPr>
                <w:rFonts w:eastAsia="宋体" w:cs="Times New Roman"/>
                <w:color w:val="auto"/>
                <w:sz w:val="24"/>
                <w:szCs w:val="21"/>
                <w:highlight w:val="none"/>
              </w:rPr>
              <w:t>如有偏离，</w:t>
            </w:r>
            <w:r>
              <w:rPr>
                <w:rFonts w:eastAsia="宋体" w:cs="Times New Roman"/>
                <w:color w:val="auto"/>
                <w:sz w:val="24"/>
                <w:highlight w:val="none"/>
              </w:rPr>
              <w:t>则</w:t>
            </w:r>
            <w:r>
              <w:rPr>
                <w:rFonts w:hint="eastAsia" w:eastAsia="宋体" w:cs="Times New Roman"/>
                <w:color w:val="auto"/>
                <w:sz w:val="24"/>
                <w:highlight w:val="none"/>
              </w:rPr>
              <w:t>应</w:t>
            </w:r>
            <w:r>
              <w:rPr>
                <w:rFonts w:eastAsia="宋体" w:cs="Times New Roman"/>
                <w:color w:val="auto"/>
                <w:sz w:val="24"/>
                <w:highlight w:val="none"/>
              </w:rPr>
              <w:t>在本表中对偏离项逐一列明）</w:t>
            </w:r>
          </w:p>
        </w:tc>
      </w:tr>
      <w:tr w14:paraId="789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1CEF10D">
            <w:pPr>
              <w:adjustRightInd w:val="0"/>
              <w:snapToGrid w:val="0"/>
              <w:jc w:val="center"/>
              <w:rPr>
                <w:rFonts w:eastAsia="宋体" w:cs="Times New Roman"/>
                <w:color w:val="auto"/>
                <w:sz w:val="24"/>
                <w:highlight w:val="none"/>
              </w:rPr>
            </w:pPr>
            <w:r>
              <w:rPr>
                <w:rFonts w:eastAsia="宋体" w:cs="Times New Roman"/>
                <w:color w:val="auto"/>
                <w:sz w:val="24"/>
                <w:highlight w:val="none"/>
              </w:rPr>
              <w:t>序号</w:t>
            </w:r>
          </w:p>
        </w:tc>
        <w:tc>
          <w:tcPr>
            <w:tcW w:w="1301" w:type="dxa"/>
            <w:noWrap w:val="0"/>
            <w:vAlign w:val="center"/>
          </w:tcPr>
          <w:p w14:paraId="3DB0D15A">
            <w:pPr>
              <w:adjustRightInd w:val="0"/>
              <w:snapToGrid w:val="0"/>
              <w:jc w:val="center"/>
              <w:rPr>
                <w:rFonts w:eastAsia="宋体" w:cs="Times New Roman"/>
                <w:color w:val="auto"/>
                <w:sz w:val="24"/>
                <w:highlight w:val="none"/>
              </w:rPr>
            </w:pPr>
            <w:r>
              <w:rPr>
                <w:rFonts w:eastAsia="宋体" w:cs="Times New Roman"/>
                <w:color w:val="auto"/>
                <w:sz w:val="24"/>
                <w:szCs w:val="21"/>
                <w:highlight w:val="none"/>
              </w:rPr>
              <w:t>招标文件</w:t>
            </w:r>
            <w:r>
              <w:rPr>
                <w:rFonts w:eastAsia="宋体" w:cs="Times New Roman"/>
                <w:color w:val="auto"/>
                <w:sz w:val="24"/>
                <w:highlight w:val="none"/>
              </w:rPr>
              <w:t>条目号（页码）</w:t>
            </w:r>
          </w:p>
        </w:tc>
        <w:tc>
          <w:tcPr>
            <w:tcW w:w="2007" w:type="dxa"/>
            <w:noWrap w:val="0"/>
            <w:vAlign w:val="center"/>
          </w:tcPr>
          <w:p w14:paraId="0F6347C1">
            <w:pPr>
              <w:adjustRightInd w:val="0"/>
              <w:snapToGrid w:val="0"/>
              <w:jc w:val="center"/>
              <w:rPr>
                <w:rFonts w:eastAsia="宋体" w:cs="Times New Roman"/>
                <w:color w:val="auto"/>
                <w:sz w:val="24"/>
                <w:highlight w:val="none"/>
              </w:rPr>
            </w:pPr>
            <w:r>
              <w:rPr>
                <w:rFonts w:eastAsia="宋体" w:cs="Times New Roman"/>
                <w:color w:val="auto"/>
                <w:sz w:val="24"/>
                <w:szCs w:val="21"/>
                <w:highlight w:val="none"/>
              </w:rPr>
              <w:t>招标文件</w:t>
            </w:r>
            <w:r>
              <w:rPr>
                <w:rFonts w:eastAsia="宋体" w:cs="Times New Roman"/>
                <w:color w:val="auto"/>
                <w:sz w:val="24"/>
                <w:highlight w:val="none"/>
              </w:rPr>
              <w:t>要求</w:t>
            </w:r>
          </w:p>
        </w:tc>
        <w:tc>
          <w:tcPr>
            <w:tcW w:w="2008" w:type="dxa"/>
            <w:noWrap w:val="0"/>
            <w:vAlign w:val="center"/>
          </w:tcPr>
          <w:p w14:paraId="5FE29067">
            <w:pPr>
              <w:adjustRightInd w:val="0"/>
              <w:snapToGrid w:val="0"/>
              <w:jc w:val="center"/>
              <w:rPr>
                <w:rFonts w:eastAsia="宋体" w:cs="Times New Roman"/>
                <w:color w:val="auto"/>
                <w:sz w:val="24"/>
                <w:highlight w:val="none"/>
              </w:rPr>
            </w:pPr>
            <w:r>
              <w:rPr>
                <w:rFonts w:eastAsia="宋体" w:cs="Times New Roman"/>
                <w:color w:val="auto"/>
                <w:sz w:val="24"/>
                <w:highlight w:val="none"/>
              </w:rPr>
              <w:t>投标文件内容</w:t>
            </w:r>
          </w:p>
        </w:tc>
        <w:tc>
          <w:tcPr>
            <w:tcW w:w="2458" w:type="dxa"/>
            <w:noWrap w:val="0"/>
            <w:vAlign w:val="center"/>
          </w:tcPr>
          <w:p w14:paraId="387DF0DA">
            <w:pPr>
              <w:adjustRightInd w:val="0"/>
              <w:snapToGrid w:val="0"/>
              <w:jc w:val="center"/>
              <w:rPr>
                <w:rFonts w:eastAsia="宋体" w:cs="Times New Roman"/>
                <w:color w:val="auto"/>
                <w:sz w:val="24"/>
                <w:highlight w:val="none"/>
              </w:rPr>
            </w:pPr>
            <w:r>
              <w:rPr>
                <w:rFonts w:eastAsia="宋体" w:cs="Times New Roman"/>
                <w:color w:val="auto"/>
                <w:sz w:val="24"/>
                <w:highlight w:val="none"/>
              </w:rPr>
              <w:t>偏离情况</w:t>
            </w:r>
          </w:p>
        </w:tc>
        <w:tc>
          <w:tcPr>
            <w:tcW w:w="788" w:type="dxa"/>
            <w:noWrap w:val="0"/>
            <w:vAlign w:val="center"/>
          </w:tcPr>
          <w:p w14:paraId="3D486B6E">
            <w:pPr>
              <w:adjustRightInd w:val="0"/>
              <w:snapToGrid w:val="0"/>
              <w:jc w:val="center"/>
              <w:rPr>
                <w:rFonts w:eastAsia="宋体" w:cs="Times New Roman"/>
                <w:color w:val="auto"/>
                <w:sz w:val="24"/>
                <w:highlight w:val="none"/>
              </w:rPr>
            </w:pPr>
            <w:r>
              <w:rPr>
                <w:rFonts w:eastAsia="宋体" w:cs="Times New Roman"/>
                <w:color w:val="auto"/>
                <w:sz w:val="24"/>
                <w:highlight w:val="none"/>
              </w:rPr>
              <w:t>说明</w:t>
            </w:r>
          </w:p>
        </w:tc>
      </w:tr>
      <w:tr w14:paraId="7249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A8DBAD5">
            <w:pPr>
              <w:adjustRightInd w:val="0"/>
              <w:snapToGrid w:val="0"/>
              <w:jc w:val="center"/>
              <w:rPr>
                <w:rFonts w:eastAsia="宋体" w:cs="Times New Roman"/>
                <w:color w:val="auto"/>
                <w:sz w:val="24"/>
                <w:highlight w:val="none"/>
              </w:rPr>
            </w:pPr>
          </w:p>
        </w:tc>
        <w:tc>
          <w:tcPr>
            <w:tcW w:w="1301" w:type="dxa"/>
            <w:noWrap w:val="0"/>
            <w:vAlign w:val="center"/>
          </w:tcPr>
          <w:p w14:paraId="204826FF">
            <w:pPr>
              <w:adjustRightInd w:val="0"/>
              <w:snapToGrid w:val="0"/>
              <w:jc w:val="center"/>
              <w:rPr>
                <w:rFonts w:eastAsia="宋体" w:cs="Times New Roman"/>
                <w:color w:val="auto"/>
                <w:sz w:val="24"/>
                <w:highlight w:val="none"/>
              </w:rPr>
            </w:pPr>
          </w:p>
        </w:tc>
        <w:tc>
          <w:tcPr>
            <w:tcW w:w="2007" w:type="dxa"/>
            <w:noWrap w:val="0"/>
            <w:vAlign w:val="center"/>
          </w:tcPr>
          <w:p w14:paraId="497C95CF">
            <w:pPr>
              <w:adjustRightInd w:val="0"/>
              <w:snapToGrid w:val="0"/>
              <w:jc w:val="center"/>
              <w:rPr>
                <w:rFonts w:eastAsia="宋体" w:cs="Times New Roman"/>
                <w:color w:val="auto"/>
                <w:sz w:val="24"/>
                <w:highlight w:val="none"/>
              </w:rPr>
            </w:pPr>
          </w:p>
        </w:tc>
        <w:tc>
          <w:tcPr>
            <w:tcW w:w="2008" w:type="dxa"/>
            <w:noWrap w:val="0"/>
            <w:vAlign w:val="center"/>
          </w:tcPr>
          <w:p w14:paraId="23DD5A39">
            <w:pPr>
              <w:adjustRightInd w:val="0"/>
              <w:snapToGrid w:val="0"/>
              <w:jc w:val="center"/>
              <w:rPr>
                <w:rFonts w:eastAsia="宋体" w:cs="Times New Roman"/>
                <w:color w:val="auto"/>
                <w:sz w:val="24"/>
                <w:highlight w:val="none"/>
              </w:rPr>
            </w:pPr>
          </w:p>
        </w:tc>
        <w:tc>
          <w:tcPr>
            <w:tcW w:w="2458" w:type="dxa"/>
            <w:noWrap w:val="0"/>
            <w:vAlign w:val="center"/>
          </w:tcPr>
          <w:p w14:paraId="1C790F2C">
            <w:pPr>
              <w:adjustRightInd w:val="0"/>
              <w:snapToGrid w:val="0"/>
              <w:jc w:val="center"/>
              <w:rPr>
                <w:rFonts w:eastAsia="宋体" w:cs="Times New Roman"/>
                <w:color w:val="auto"/>
                <w:sz w:val="24"/>
                <w:highlight w:val="none"/>
              </w:rPr>
            </w:pPr>
          </w:p>
        </w:tc>
        <w:tc>
          <w:tcPr>
            <w:tcW w:w="788" w:type="dxa"/>
            <w:noWrap w:val="0"/>
            <w:vAlign w:val="center"/>
          </w:tcPr>
          <w:p w14:paraId="20933559">
            <w:pPr>
              <w:adjustRightInd w:val="0"/>
              <w:snapToGrid w:val="0"/>
              <w:jc w:val="center"/>
              <w:rPr>
                <w:rFonts w:eastAsia="宋体" w:cs="Times New Roman"/>
                <w:color w:val="auto"/>
                <w:sz w:val="24"/>
                <w:highlight w:val="none"/>
              </w:rPr>
            </w:pPr>
          </w:p>
        </w:tc>
      </w:tr>
      <w:tr w14:paraId="4050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9D069E5">
            <w:pPr>
              <w:adjustRightInd w:val="0"/>
              <w:snapToGrid w:val="0"/>
              <w:jc w:val="center"/>
              <w:rPr>
                <w:rFonts w:eastAsia="宋体" w:cs="Times New Roman"/>
                <w:color w:val="auto"/>
                <w:sz w:val="24"/>
                <w:highlight w:val="none"/>
              </w:rPr>
            </w:pPr>
          </w:p>
        </w:tc>
        <w:tc>
          <w:tcPr>
            <w:tcW w:w="1301" w:type="dxa"/>
            <w:noWrap w:val="0"/>
            <w:vAlign w:val="center"/>
          </w:tcPr>
          <w:p w14:paraId="14B0797D">
            <w:pPr>
              <w:adjustRightInd w:val="0"/>
              <w:snapToGrid w:val="0"/>
              <w:jc w:val="center"/>
              <w:rPr>
                <w:rFonts w:eastAsia="宋体" w:cs="Times New Roman"/>
                <w:color w:val="auto"/>
                <w:sz w:val="24"/>
                <w:highlight w:val="none"/>
              </w:rPr>
            </w:pPr>
          </w:p>
        </w:tc>
        <w:tc>
          <w:tcPr>
            <w:tcW w:w="2007" w:type="dxa"/>
            <w:noWrap w:val="0"/>
            <w:vAlign w:val="center"/>
          </w:tcPr>
          <w:p w14:paraId="7DAD318C">
            <w:pPr>
              <w:adjustRightInd w:val="0"/>
              <w:snapToGrid w:val="0"/>
              <w:jc w:val="center"/>
              <w:rPr>
                <w:rFonts w:eastAsia="宋体" w:cs="Times New Roman"/>
                <w:color w:val="auto"/>
                <w:sz w:val="24"/>
                <w:highlight w:val="none"/>
              </w:rPr>
            </w:pPr>
          </w:p>
        </w:tc>
        <w:tc>
          <w:tcPr>
            <w:tcW w:w="2008" w:type="dxa"/>
            <w:noWrap w:val="0"/>
            <w:vAlign w:val="center"/>
          </w:tcPr>
          <w:p w14:paraId="2ABC500E">
            <w:pPr>
              <w:adjustRightInd w:val="0"/>
              <w:snapToGrid w:val="0"/>
              <w:jc w:val="center"/>
              <w:rPr>
                <w:rFonts w:eastAsia="宋体" w:cs="Times New Roman"/>
                <w:color w:val="auto"/>
                <w:sz w:val="24"/>
                <w:highlight w:val="none"/>
              </w:rPr>
            </w:pPr>
          </w:p>
        </w:tc>
        <w:tc>
          <w:tcPr>
            <w:tcW w:w="2458" w:type="dxa"/>
            <w:noWrap w:val="0"/>
            <w:vAlign w:val="center"/>
          </w:tcPr>
          <w:p w14:paraId="695097C2">
            <w:pPr>
              <w:adjustRightInd w:val="0"/>
              <w:snapToGrid w:val="0"/>
              <w:jc w:val="center"/>
              <w:rPr>
                <w:rFonts w:eastAsia="宋体" w:cs="Times New Roman"/>
                <w:color w:val="auto"/>
                <w:sz w:val="24"/>
                <w:highlight w:val="none"/>
              </w:rPr>
            </w:pPr>
          </w:p>
        </w:tc>
        <w:tc>
          <w:tcPr>
            <w:tcW w:w="788" w:type="dxa"/>
            <w:noWrap w:val="0"/>
            <w:vAlign w:val="center"/>
          </w:tcPr>
          <w:p w14:paraId="2F5DA8EB">
            <w:pPr>
              <w:adjustRightInd w:val="0"/>
              <w:snapToGrid w:val="0"/>
              <w:jc w:val="center"/>
              <w:rPr>
                <w:rFonts w:eastAsia="宋体" w:cs="Times New Roman"/>
                <w:color w:val="auto"/>
                <w:sz w:val="24"/>
                <w:highlight w:val="none"/>
              </w:rPr>
            </w:pPr>
          </w:p>
        </w:tc>
      </w:tr>
      <w:tr w14:paraId="7A43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DEFE154">
            <w:pPr>
              <w:adjustRightInd w:val="0"/>
              <w:snapToGrid w:val="0"/>
              <w:jc w:val="center"/>
              <w:rPr>
                <w:rFonts w:eastAsia="宋体" w:cs="Times New Roman"/>
                <w:color w:val="auto"/>
                <w:sz w:val="24"/>
                <w:highlight w:val="none"/>
              </w:rPr>
            </w:pPr>
          </w:p>
        </w:tc>
        <w:tc>
          <w:tcPr>
            <w:tcW w:w="1301" w:type="dxa"/>
            <w:noWrap w:val="0"/>
            <w:vAlign w:val="center"/>
          </w:tcPr>
          <w:p w14:paraId="3CD198F1">
            <w:pPr>
              <w:adjustRightInd w:val="0"/>
              <w:snapToGrid w:val="0"/>
              <w:jc w:val="center"/>
              <w:rPr>
                <w:rFonts w:eastAsia="宋体" w:cs="Times New Roman"/>
                <w:color w:val="auto"/>
                <w:sz w:val="24"/>
                <w:highlight w:val="none"/>
              </w:rPr>
            </w:pPr>
          </w:p>
        </w:tc>
        <w:tc>
          <w:tcPr>
            <w:tcW w:w="2007" w:type="dxa"/>
            <w:noWrap w:val="0"/>
            <w:vAlign w:val="center"/>
          </w:tcPr>
          <w:p w14:paraId="53853F6C">
            <w:pPr>
              <w:adjustRightInd w:val="0"/>
              <w:snapToGrid w:val="0"/>
              <w:jc w:val="center"/>
              <w:rPr>
                <w:rFonts w:eastAsia="宋体" w:cs="Times New Roman"/>
                <w:color w:val="auto"/>
                <w:sz w:val="24"/>
                <w:highlight w:val="none"/>
              </w:rPr>
            </w:pPr>
          </w:p>
        </w:tc>
        <w:tc>
          <w:tcPr>
            <w:tcW w:w="2008" w:type="dxa"/>
            <w:noWrap w:val="0"/>
            <w:vAlign w:val="center"/>
          </w:tcPr>
          <w:p w14:paraId="3122FDEC">
            <w:pPr>
              <w:adjustRightInd w:val="0"/>
              <w:snapToGrid w:val="0"/>
              <w:jc w:val="center"/>
              <w:rPr>
                <w:rFonts w:eastAsia="宋体" w:cs="Times New Roman"/>
                <w:color w:val="auto"/>
                <w:sz w:val="24"/>
                <w:highlight w:val="none"/>
              </w:rPr>
            </w:pPr>
          </w:p>
        </w:tc>
        <w:tc>
          <w:tcPr>
            <w:tcW w:w="2458" w:type="dxa"/>
            <w:noWrap w:val="0"/>
            <w:vAlign w:val="center"/>
          </w:tcPr>
          <w:p w14:paraId="1F9CE8EC">
            <w:pPr>
              <w:adjustRightInd w:val="0"/>
              <w:snapToGrid w:val="0"/>
              <w:jc w:val="center"/>
              <w:rPr>
                <w:rFonts w:eastAsia="宋体" w:cs="Times New Roman"/>
                <w:color w:val="auto"/>
                <w:sz w:val="24"/>
                <w:highlight w:val="none"/>
              </w:rPr>
            </w:pPr>
          </w:p>
        </w:tc>
        <w:tc>
          <w:tcPr>
            <w:tcW w:w="788" w:type="dxa"/>
            <w:noWrap w:val="0"/>
            <w:vAlign w:val="center"/>
          </w:tcPr>
          <w:p w14:paraId="081F87FD">
            <w:pPr>
              <w:adjustRightInd w:val="0"/>
              <w:snapToGrid w:val="0"/>
              <w:jc w:val="center"/>
              <w:rPr>
                <w:rFonts w:eastAsia="宋体" w:cs="Times New Roman"/>
                <w:color w:val="auto"/>
                <w:sz w:val="24"/>
                <w:highlight w:val="none"/>
              </w:rPr>
            </w:pPr>
          </w:p>
        </w:tc>
      </w:tr>
      <w:tr w14:paraId="6E2F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7BB0991F">
            <w:pPr>
              <w:adjustRightInd w:val="0"/>
              <w:snapToGrid w:val="0"/>
              <w:jc w:val="center"/>
              <w:rPr>
                <w:rFonts w:eastAsia="宋体" w:cs="Times New Roman"/>
                <w:color w:val="auto"/>
                <w:sz w:val="24"/>
                <w:highlight w:val="none"/>
              </w:rPr>
            </w:pPr>
          </w:p>
        </w:tc>
        <w:tc>
          <w:tcPr>
            <w:tcW w:w="1301" w:type="dxa"/>
            <w:noWrap w:val="0"/>
            <w:vAlign w:val="center"/>
          </w:tcPr>
          <w:p w14:paraId="3AA59C2B">
            <w:pPr>
              <w:adjustRightInd w:val="0"/>
              <w:snapToGrid w:val="0"/>
              <w:jc w:val="center"/>
              <w:rPr>
                <w:rFonts w:eastAsia="宋体" w:cs="Times New Roman"/>
                <w:color w:val="auto"/>
                <w:sz w:val="24"/>
                <w:highlight w:val="none"/>
              </w:rPr>
            </w:pPr>
          </w:p>
        </w:tc>
        <w:tc>
          <w:tcPr>
            <w:tcW w:w="2007" w:type="dxa"/>
            <w:noWrap w:val="0"/>
            <w:vAlign w:val="center"/>
          </w:tcPr>
          <w:p w14:paraId="67CE25E4">
            <w:pPr>
              <w:adjustRightInd w:val="0"/>
              <w:snapToGrid w:val="0"/>
              <w:jc w:val="center"/>
              <w:rPr>
                <w:rFonts w:eastAsia="宋体" w:cs="Times New Roman"/>
                <w:color w:val="auto"/>
                <w:sz w:val="24"/>
                <w:highlight w:val="none"/>
              </w:rPr>
            </w:pPr>
          </w:p>
        </w:tc>
        <w:tc>
          <w:tcPr>
            <w:tcW w:w="2008" w:type="dxa"/>
            <w:noWrap w:val="0"/>
            <w:vAlign w:val="center"/>
          </w:tcPr>
          <w:p w14:paraId="5F82F977">
            <w:pPr>
              <w:adjustRightInd w:val="0"/>
              <w:snapToGrid w:val="0"/>
              <w:jc w:val="center"/>
              <w:rPr>
                <w:rFonts w:eastAsia="宋体" w:cs="Times New Roman"/>
                <w:color w:val="auto"/>
                <w:sz w:val="24"/>
                <w:highlight w:val="none"/>
              </w:rPr>
            </w:pPr>
          </w:p>
        </w:tc>
        <w:tc>
          <w:tcPr>
            <w:tcW w:w="2458" w:type="dxa"/>
            <w:noWrap w:val="0"/>
            <w:vAlign w:val="center"/>
          </w:tcPr>
          <w:p w14:paraId="0305A169">
            <w:pPr>
              <w:adjustRightInd w:val="0"/>
              <w:snapToGrid w:val="0"/>
              <w:jc w:val="center"/>
              <w:rPr>
                <w:rFonts w:eastAsia="宋体" w:cs="Times New Roman"/>
                <w:color w:val="auto"/>
                <w:sz w:val="24"/>
                <w:highlight w:val="none"/>
              </w:rPr>
            </w:pPr>
          </w:p>
        </w:tc>
        <w:tc>
          <w:tcPr>
            <w:tcW w:w="788" w:type="dxa"/>
            <w:noWrap w:val="0"/>
            <w:vAlign w:val="center"/>
          </w:tcPr>
          <w:p w14:paraId="258482E8">
            <w:pPr>
              <w:adjustRightInd w:val="0"/>
              <w:snapToGrid w:val="0"/>
              <w:jc w:val="center"/>
              <w:rPr>
                <w:rFonts w:eastAsia="宋体" w:cs="Times New Roman"/>
                <w:color w:val="auto"/>
                <w:sz w:val="24"/>
                <w:highlight w:val="none"/>
              </w:rPr>
            </w:pPr>
          </w:p>
        </w:tc>
      </w:tr>
    </w:tbl>
    <w:p w14:paraId="73A95C74">
      <w:pPr>
        <w:tabs>
          <w:tab w:val="left" w:pos="1800"/>
          <w:tab w:val="left" w:pos="5580"/>
        </w:tabs>
        <w:jc w:val="left"/>
        <w:rPr>
          <w:color w:val="auto"/>
          <w:sz w:val="24"/>
          <w:highlight w:val="none"/>
        </w:rPr>
      </w:pPr>
      <w:r>
        <w:rPr>
          <w:color w:val="auto"/>
          <w:sz w:val="24"/>
          <w:highlight w:val="none"/>
        </w:rPr>
        <w:t>注：</w:t>
      </w:r>
    </w:p>
    <w:p w14:paraId="4251B253">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14:paraId="66119299">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w:t>
      </w:r>
      <w:r>
        <w:rPr>
          <w:rFonts w:hint="eastAsia"/>
          <w:color w:val="auto"/>
          <w:sz w:val="24"/>
          <w:highlight w:val="none"/>
          <w:lang w:eastAsia="zh-CN"/>
        </w:rPr>
        <w:t>“正偏离”或“负偏离”或“无偏离”</w:t>
      </w:r>
      <w:r>
        <w:rPr>
          <w:rFonts w:hint="eastAsia"/>
          <w:color w:val="auto"/>
          <w:sz w:val="24"/>
          <w:highlight w:val="none"/>
        </w:rPr>
        <w:t>。</w:t>
      </w:r>
    </w:p>
    <w:p w14:paraId="67458262">
      <w:pPr>
        <w:spacing w:line="360" w:lineRule="auto"/>
        <w:rPr>
          <w:color w:val="auto"/>
          <w:sz w:val="24"/>
          <w:szCs w:val="20"/>
          <w:highlight w:val="none"/>
        </w:rPr>
      </w:pPr>
    </w:p>
    <w:p w14:paraId="6C6C0848">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65212B69">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rFonts w:hint="eastAsia"/>
          <w:color w:val="auto"/>
          <w:sz w:val="24"/>
          <w:highlight w:val="none"/>
        </w:rPr>
        <w:t>：</w:t>
      </w:r>
      <w:r>
        <w:rPr>
          <w:color w:val="auto"/>
          <w:sz w:val="24"/>
          <w:highlight w:val="none"/>
          <w:lang w:val="zh-CN"/>
        </w:rPr>
        <w:t>_____</w:t>
      </w:r>
      <w:r>
        <w:rPr>
          <w:rFonts w:hint="eastAsia"/>
          <w:color w:val="auto"/>
          <w:sz w:val="24"/>
          <w:highlight w:val="none"/>
          <w:u w:val="single"/>
        </w:rPr>
        <w:t xml:space="preserve">          </w:t>
      </w:r>
      <w:r>
        <w:rPr>
          <w:color w:val="auto"/>
          <w:sz w:val="24"/>
          <w:highlight w:val="none"/>
          <w:lang w:val="zh-CN"/>
        </w:rPr>
        <w:t>_____</w:t>
      </w:r>
    </w:p>
    <w:p w14:paraId="507430B5">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0B70B048">
      <w:pPr>
        <w:spacing w:line="360" w:lineRule="auto"/>
        <w:rPr>
          <w:rFonts w:hint="eastAsia" w:ascii="宋体"/>
          <w:b/>
          <w:color w:val="auto"/>
          <w:sz w:val="30"/>
          <w:szCs w:val="30"/>
          <w:highlight w:val="none"/>
        </w:rPr>
      </w:pPr>
    </w:p>
    <w:p w14:paraId="67C66D8B">
      <w:pPr>
        <w:spacing w:line="360" w:lineRule="auto"/>
        <w:rPr>
          <w:rFonts w:hint="eastAsia" w:ascii="宋体"/>
          <w:b/>
          <w:color w:val="auto"/>
          <w:sz w:val="30"/>
          <w:szCs w:val="30"/>
          <w:highlight w:val="none"/>
        </w:rPr>
      </w:pPr>
    </w:p>
    <w:p w14:paraId="1D026ECA">
      <w:pPr>
        <w:spacing w:line="360" w:lineRule="auto"/>
        <w:rPr>
          <w:rFonts w:hint="eastAsia" w:ascii="宋体"/>
          <w:b/>
          <w:color w:val="auto"/>
          <w:sz w:val="30"/>
          <w:szCs w:val="30"/>
          <w:highlight w:val="none"/>
        </w:rPr>
      </w:pPr>
    </w:p>
    <w:p w14:paraId="2E68D4E5">
      <w:pPr>
        <w:spacing w:line="360" w:lineRule="auto"/>
        <w:rPr>
          <w:rFonts w:hint="eastAsia" w:ascii="宋体"/>
          <w:b/>
          <w:color w:val="auto"/>
          <w:sz w:val="30"/>
          <w:szCs w:val="30"/>
          <w:highlight w:val="none"/>
        </w:rPr>
      </w:pPr>
    </w:p>
    <w:p w14:paraId="2DBBC0C4">
      <w:pPr>
        <w:spacing w:line="360" w:lineRule="auto"/>
        <w:rPr>
          <w:rFonts w:hint="eastAsia" w:ascii="宋体"/>
          <w:b/>
          <w:color w:val="auto"/>
          <w:sz w:val="30"/>
          <w:szCs w:val="30"/>
          <w:highlight w:val="none"/>
        </w:rPr>
      </w:pPr>
    </w:p>
    <w:p w14:paraId="6F40E165">
      <w:pPr>
        <w:spacing w:line="360" w:lineRule="auto"/>
        <w:rPr>
          <w:rFonts w:hint="eastAsia" w:ascii="宋体"/>
          <w:b/>
          <w:color w:val="auto"/>
          <w:sz w:val="30"/>
          <w:szCs w:val="30"/>
          <w:highlight w:val="none"/>
        </w:rPr>
      </w:pPr>
    </w:p>
    <w:p w14:paraId="5907927E">
      <w:pPr>
        <w:spacing w:line="360" w:lineRule="auto"/>
        <w:rPr>
          <w:rFonts w:hint="eastAsia" w:ascii="宋体" w:hAnsi="宋体" w:cs="宋体"/>
          <w:color w:val="auto"/>
          <w:sz w:val="30"/>
          <w:szCs w:val="30"/>
          <w:highlight w:val="none"/>
        </w:rPr>
      </w:pPr>
      <w:r>
        <w:rPr>
          <w:rFonts w:hint="eastAsia" w:ascii="宋体" w:hAnsi="宋体" w:cs="宋体"/>
          <w:bCs/>
          <w:color w:val="auto"/>
          <w:sz w:val="30"/>
          <w:szCs w:val="30"/>
          <w:highlight w:val="none"/>
        </w:rPr>
        <w:t>6</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采购需求偏离表（实质性格式）</w:t>
      </w:r>
    </w:p>
    <w:p w14:paraId="1BF9EA38">
      <w:pPr>
        <w:pStyle w:val="86"/>
        <w:ind w:firstLine="210"/>
        <w:rPr>
          <w:rFonts w:hint="eastAsia"/>
          <w:color w:val="auto"/>
          <w:highlight w:val="none"/>
        </w:rPr>
      </w:pPr>
    </w:p>
    <w:p w14:paraId="59F468BE">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14:paraId="03D275EF">
      <w:pPr>
        <w:tabs>
          <w:tab w:val="left" w:pos="1800"/>
          <w:tab w:val="left" w:pos="5580"/>
        </w:tabs>
        <w:spacing w:line="360" w:lineRule="auto"/>
        <w:ind w:firstLine="366" w:firstLineChars="150"/>
        <w:jc w:val="left"/>
        <w:rPr>
          <w:color w:val="auto"/>
          <w:sz w:val="24"/>
          <w:highlight w:val="none"/>
          <w:u w:val="single"/>
        </w:rPr>
      </w:pPr>
      <w:r>
        <w:rPr>
          <w:color w:val="auto"/>
          <w:sz w:val="24"/>
          <w:highlight w:val="none"/>
        </w:rPr>
        <w:t>项目编号/包号：_____________________     项目名称：____________</w:t>
      </w:r>
    </w:p>
    <w:tbl>
      <w:tblPr>
        <w:tblStyle w:val="8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5E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CB4D8D3">
            <w:pPr>
              <w:adjustRightInd w:val="0"/>
              <w:snapToGrid w:val="0"/>
              <w:jc w:val="center"/>
              <w:rPr>
                <w:rFonts w:eastAsia="宋体" w:cs="Times New Roman"/>
                <w:color w:val="auto"/>
                <w:sz w:val="24"/>
                <w:highlight w:val="none"/>
              </w:rPr>
            </w:pPr>
            <w:r>
              <w:rPr>
                <w:rFonts w:eastAsia="宋体" w:cs="Times New Roman"/>
                <w:color w:val="auto"/>
                <w:sz w:val="24"/>
                <w:highlight w:val="none"/>
              </w:rPr>
              <w:t>序号</w:t>
            </w:r>
          </w:p>
        </w:tc>
        <w:tc>
          <w:tcPr>
            <w:tcW w:w="1482" w:type="dxa"/>
            <w:noWrap w:val="0"/>
            <w:vAlign w:val="center"/>
          </w:tcPr>
          <w:p w14:paraId="4B7DA8F2">
            <w:pPr>
              <w:adjustRightInd w:val="0"/>
              <w:snapToGrid w:val="0"/>
              <w:jc w:val="center"/>
              <w:rPr>
                <w:rFonts w:eastAsia="宋体" w:cs="Times New Roman"/>
                <w:color w:val="auto"/>
                <w:sz w:val="24"/>
                <w:highlight w:val="none"/>
              </w:rPr>
            </w:pPr>
            <w:r>
              <w:rPr>
                <w:rFonts w:eastAsia="宋体" w:cs="Times New Roman"/>
                <w:color w:val="auto"/>
                <w:sz w:val="24"/>
                <w:highlight w:val="none"/>
              </w:rPr>
              <w:t>招标文件条目号(页码)</w:t>
            </w:r>
          </w:p>
        </w:tc>
        <w:tc>
          <w:tcPr>
            <w:tcW w:w="2384" w:type="dxa"/>
            <w:noWrap w:val="0"/>
            <w:vAlign w:val="center"/>
          </w:tcPr>
          <w:p w14:paraId="64924E60">
            <w:pPr>
              <w:adjustRightInd w:val="0"/>
              <w:snapToGrid w:val="0"/>
              <w:jc w:val="center"/>
              <w:rPr>
                <w:rFonts w:eastAsia="宋体" w:cs="Times New Roman"/>
                <w:color w:val="auto"/>
                <w:sz w:val="24"/>
                <w:highlight w:val="none"/>
              </w:rPr>
            </w:pPr>
            <w:r>
              <w:rPr>
                <w:rFonts w:eastAsia="宋体" w:cs="Times New Roman"/>
                <w:color w:val="auto"/>
                <w:sz w:val="24"/>
                <w:highlight w:val="none"/>
              </w:rPr>
              <w:t>招标文件要求</w:t>
            </w:r>
          </w:p>
        </w:tc>
        <w:tc>
          <w:tcPr>
            <w:tcW w:w="2126" w:type="dxa"/>
            <w:noWrap w:val="0"/>
            <w:vAlign w:val="center"/>
          </w:tcPr>
          <w:p w14:paraId="4CAF32D0">
            <w:pPr>
              <w:adjustRightInd w:val="0"/>
              <w:snapToGrid w:val="0"/>
              <w:jc w:val="center"/>
              <w:rPr>
                <w:rFonts w:eastAsia="宋体" w:cs="Times New Roman"/>
                <w:color w:val="auto"/>
                <w:sz w:val="24"/>
                <w:highlight w:val="none"/>
              </w:rPr>
            </w:pPr>
            <w:r>
              <w:rPr>
                <w:rFonts w:eastAsia="宋体" w:cs="Times New Roman"/>
                <w:color w:val="auto"/>
                <w:sz w:val="24"/>
                <w:highlight w:val="none"/>
              </w:rPr>
              <w:t>投标响应内容</w:t>
            </w:r>
          </w:p>
        </w:tc>
        <w:tc>
          <w:tcPr>
            <w:tcW w:w="1875" w:type="dxa"/>
            <w:noWrap w:val="0"/>
            <w:vAlign w:val="center"/>
          </w:tcPr>
          <w:p w14:paraId="1A7F7AC0">
            <w:pPr>
              <w:adjustRightInd w:val="0"/>
              <w:snapToGrid w:val="0"/>
              <w:jc w:val="center"/>
              <w:rPr>
                <w:rFonts w:eastAsia="宋体" w:cs="Times New Roman"/>
                <w:color w:val="auto"/>
                <w:sz w:val="24"/>
                <w:highlight w:val="none"/>
              </w:rPr>
            </w:pPr>
            <w:r>
              <w:rPr>
                <w:rFonts w:eastAsia="宋体" w:cs="Times New Roman"/>
                <w:color w:val="auto"/>
                <w:sz w:val="24"/>
                <w:highlight w:val="none"/>
              </w:rPr>
              <w:t>偏离情况</w:t>
            </w:r>
          </w:p>
        </w:tc>
        <w:tc>
          <w:tcPr>
            <w:tcW w:w="1009" w:type="dxa"/>
            <w:noWrap w:val="0"/>
            <w:vAlign w:val="center"/>
          </w:tcPr>
          <w:p w14:paraId="5852AA50">
            <w:pPr>
              <w:adjustRightInd w:val="0"/>
              <w:snapToGrid w:val="0"/>
              <w:jc w:val="center"/>
              <w:rPr>
                <w:rFonts w:eastAsia="宋体" w:cs="Times New Roman"/>
                <w:color w:val="auto"/>
                <w:sz w:val="24"/>
                <w:highlight w:val="none"/>
              </w:rPr>
            </w:pPr>
            <w:r>
              <w:rPr>
                <w:rFonts w:eastAsia="宋体" w:cs="Times New Roman"/>
                <w:color w:val="auto"/>
                <w:sz w:val="24"/>
                <w:highlight w:val="none"/>
              </w:rPr>
              <w:t>说明</w:t>
            </w:r>
          </w:p>
        </w:tc>
      </w:tr>
      <w:tr w14:paraId="1C1E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11F7E45">
            <w:pPr>
              <w:adjustRightInd w:val="0"/>
              <w:snapToGrid w:val="0"/>
              <w:jc w:val="center"/>
              <w:rPr>
                <w:rFonts w:eastAsia="宋体" w:cs="Times New Roman"/>
                <w:color w:val="auto"/>
                <w:sz w:val="24"/>
                <w:highlight w:val="none"/>
              </w:rPr>
            </w:pPr>
          </w:p>
        </w:tc>
        <w:tc>
          <w:tcPr>
            <w:tcW w:w="1482" w:type="dxa"/>
            <w:noWrap w:val="0"/>
            <w:vAlign w:val="center"/>
          </w:tcPr>
          <w:p w14:paraId="2B754BFF">
            <w:pPr>
              <w:adjustRightInd w:val="0"/>
              <w:snapToGrid w:val="0"/>
              <w:jc w:val="center"/>
              <w:rPr>
                <w:rFonts w:eastAsia="宋体" w:cs="Times New Roman"/>
                <w:color w:val="auto"/>
                <w:sz w:val="24"/>
                <w:highlight w:val="none"/>
              </w:rPr>
            </w:pPr>
          </w:p>
        </w:tc>
        <w:tc>
          <w:tcPr>
            <w:tcW w:w="2384" w:type="dxa"/>
            <w:noWrap w:val="0"/>
            <w:vAlign w:val="center"/>
          </w:tcPr>
          <w:p w14:paraId="65CD1578">
            <w:pPr>
              <w:adjustRightInd w:val="0"/>
              <w:snapToGrid w:val="0"/>
              <w:jc w:val="center"/>
              <w:rPr>
                <w:rFonts w:eastAsia="宋体" w:cs="Times New Roman"/>
                <w:color w:val="auto"/>
                <w:sz w:val="24"/>
                <w:highlight w:val="none"/>
              </w:rPr>
            </w:pPr>
          </w:p>
        </w:tc>
        <w:tc>
          <w:tcPr>
            <w:tcW w:w="2126" w:type="dxa"/>
            <w:noWrap w:val="0"/>
            <w:vAlign w:val="center"/>
          </w:tcPr>
          <w:p w14:paraId="03AD0C3A">
            <w:pPr>
              <w:adjustRightInd w:val="0"/>
              <w:snapToGrid w:val="0"/>
              <w:jc w:val="center"/>
              <w:rPr>
                <w:rFonts w:eastAsia="宋体" w:cs="Times New Roman"/>
                <w:color w:val="auto"/>
                <w:sz w:val="24"/>
                <w:highlight w:val="none"/>
              </w:rPr>
            </w:pPr>
          </w:p>
        </w:tc>
        <w:tc>
          <w:tcPr>
            <w:tcW w:w="1875" w:type="dxa"/>
            <w:noWrap w:val="0"/>
            <w:vAlign w:val="center"/>
          </w:tcPr>
          <w:p w14:paraId="48784870">
            <w:pPr>
              <w:adjustRightInd w:val="0"/>
              <w:snapToGrid w:val="0"/>
              <w:jc w:val="center"/>
              <w:rPr>
                <w:rFonts w:eastAsia="宋体" w:cs="Times New Roman"/>
                <w:color w:val="auto"/>
                <w:sz w:val="24"/>
                <w:highlight w:val="none"/>
              </w:rPr>
            </w:pPr>
          </w:p>
        </w:tc>
        <w:tc>
          <w:tcPr>
            <w:tcW w:w="1009" w:type="dxa"/>
            <w:noWrap w:val="0"/>
            <w:vAlign w:val="center"/>
          </w:tcPr>
          <w:p w14:paraId="273412AA">
            <w:pPr>
              <w:adjustRightInd w:val="0"/>
              <w:snapToGrid w:val="0"/>
              <w:jc w:val="center"/>
              <w:rPr>
                <w:rFonts w:eastAsia="宋体" w:cs="Times New Roman"/>
                <w:color w:val="auto"/>
                <w:sz w:val="24"/>
                <w:highlight w:val="none"/>
              </w:rPr>
            </w:pPr>
          </w:p>
        </w:tc>
      </w:tr>
      <w:tr w14:paraId="31B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8F6976F">
            <w:pPr>
              <w:adjustRightInd w:val="0"/>
              <w:snapToGrid w:val="0"/>
              <w:jc w:val="center"/>
              <w:rPr>
                <w:rFonts w:eastAsia="宋体" w:cs="Times New Roman"/>
                <w:color w:val="auto"/>
                <w:sz w:val="24"/>
                <w:highlight w:val="none"/>
              </w:rPr>
            </w:pPr>
          </w:p>
        </w:tc>
        <w:tc>
          <w:tcPr>
            <w:tcW w:w="1482" w:type="dxa"/>
            <w:noWrap w:val="0"/>
            <w:vAlign w:val="center"/>
          </w:tcPr>
          <w:p w14:paraId="28086CB1">
            <w:pPr>
              <w:adjustRightInd w:val="0"/>
              <w:snapToGrid w:val="0"/>
              <w:jc w:val="center"/>
              <w:rPr>
                <w:rFonts w:eastAsia="宋体" w:cs="Times New Roman"/>
                <w:color w:val="auto"/>
                <w:sz w:val="24"/>
                <w:highlight w:val="none"/>
              </w:rPr>
            </w:pPr>
          </w:p>
        </w:tc>
        <w:tc>
          <w:tcPr>
            <w:tcW w:w="2384" w:type="dxa"/>
            <w:noWrap w:val="0"/>
            <w:vAlign w:val="center"/>
          </w:tcPr>
          <w:p w14:paraId="690AAEE0">
            <w:pPr>
              <w:adjustRightInd w:val="0"/>
              <w:snapToGrid w:val="0"/>
              <w:jc w:val="center"/>
              <w:rPr>
                <w:rFonts w:eastAsia="宋体" w:cs="Times New Roman"/>
                <w:color w:val="auto"/>
                <w:sz w:val="24"/>
                <w:highlight w:val="none"/>
              </w:rPr>
            </w:pPr>
          </w:p>
        </w:tc>
        <w:tc>
          <w:tcPr>
            <w:tcW w:w="2126" w:type="dxa"/>
            <w:noWrap w:val="0"/>
            <w:vAlign w:val="center"/>
          </w:tcPr>
          <w:p w14:paraId="06EC9B04">
            <w:pPr>
              <w:adjustRightInd w:val="0"/>
              <w:snapToGrid w:val="0"/>
              <w:jc w:val="center"/>
              <w:rPr>
                <w:rFonts w:eastAsia="宋体" w:cs="Times New Roman"/>
                <w:color w:val="auto"/>
                <w:sz w:val="24"/>
                <w:highlight w:val="none"/>
              </w:rPr>
            </w:pPr>
          </w:p>
        </w:tc>
        <w:tc>
          <w:tcPr>
            <w:tcW w:w="1875" w:type="dxa"/>
            <w:noWrap w:val="0"/>
            <w:vAlign w:val="center"/>
          </w:tcPr>
          <w:p w14:paraId="32A3744D">
            <w:pPr>
              <w:adjustRightInd w:val="0"/>
              <w:snapToGrid w:val="0"/>
              <w:jc w:val="center"/>
              <w:rPr>
                <w:rFonts w:eastAsia="宋体" w:cs="Times New Roman"/>
                <w:color w:val="auto"/>
                <w:sz w:val="24"/>
                <w:highlight w:val="none"/>
              </w:rPr>
            </w:pPr>
          </w:p>
        </w:tc>
        <w:tc>
          <w:tcPr>
            <w:tcW w:w="1009" w:type="dxa"/>
            <w:noWrap w:val="0"/>
            <w:vAlign w:val="center"/>
          </w:tcPr>
          <w:p w14:paraId="7DAD9BF3">
            <w:pPr>
              <w:adjustRightInd w:val="0"/>
              <w:snapToGrid w:val="0"/>
              <w:jc w:val="center"/>
              <w:rPr>
                <w:rFonts w:eastAsia="宋体" w:cs="Times New Roman"/>
                <w:color w:val="auto"/>
                <w:sz w:val="24"/>
                <w:highlight w:val="none"/>
              </w:rPr>
            </w:pPr>
          </w:p>
        </w:tc>
      </w:tr>
      <w:tr w14:paraId="27E7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11F7045">
            <w:pPr>
              <w:adjustRightInd w:val="0"/>
              <w:snapToGrid w:val="0"/>
              <w:jc w:val="center"/>
              <w:rPr>
                <w:rFonts w:eastAsia="宋体" w:cs="Times New Roman"/>
                <w:color w:val="auto"/>
                <w:sz w:val="24"/>
                <w:highlight w:val="none"/>
              </w:rPr>
            </w:pPr>
          </w:p>
        </w:tc>
        <w:tc>
          <w:tcPr>
            <w:tcW w:w="1482" w:type="dxa"/>
            <w:noWrap w:val="0"/>
            <w:vAlign w:val="center"/>
          </w:tcPr>
          <w:p w14:paraId="153FF3A3">
            <w:pPr>
              <w:adjustRightInd w:val="0"/>
              <w:snapToGrid w:val="0"/>
              <w:jc w:val="center"/>
              <w:rPr>
                <w:rFonts w:eastAsia="宋体" w:cs="Times New Roman"/>
                <w:color w:val="auto"/>
                <w:sz w:val="24"/>
                <w:highlight w:val="none"/>
              </w:rPr>
            </w:pPr>
          </w:p>
        </w:tc>
        <w:tc>
          <w:tcPr>
            <w:tcW w:w="2384" w:type="dxa"/>
            <w:noWrap w:val="0"/>
            <w:vAlign w:val="center"/>
          </w:tcPr>
          <w:p w14:paraId="5F9D9D5A">
            <w:pPr>
              <w:adjustRightInd w:val="0"/>
              <w:snapToGrid w:val="0"/>
              <w:jc w:val="center"/>
              <w:rPr>
                <w:rFonts w:eastAsia="宋体" w:cs="Times New Roman"/>
                <w:color w:val="auto"/>
                <w:sz w:val="24"/>
                <w:highlight w:val="none"/>
              </w:rPr>
            </w:pPr>
          </w:p>
        </w:tc>
        <w:tc>
          <w:tcPr>
            <w:tcW w:w="2126" w:type="dxa"/>
            <w:noWrap w:val="0"/>
            <w:vAlign w:val="center"/>
          </w:tcPr>
          <w:p w14:paraId="039F67E2">
            <w:pPr>
              <w:adjustRightInd w:val="0"/>
              <w:snapToGrid w:val="0"/>
              <w:jc w:val="center"/>
              <w:rPr>
                <w:rFonts w:eastAsia="宋体" w:cs="Times New Roman"/>
                <w:color w:val="auto"/>
                <w:sz w:val="24"/>
                <w:highlight w:val="none"/>
              </w:rPr>
            </w:pPr>
          </w:p>
        </w:tc>
        <w:tc>
          <w:tcPr>
            <w:tcW w:w="1875" w:type="dxa"/>
            <w:noWrap w:val="0"/>
            <w:vAlign w:val="center"/>
          </w:tcPr>
          <w:p w14:paraId="4D70EFA2">
            <w:pPr>
              <w:adjustRightInd w:val="0"/>
              <w:snapToGrid w:val="0"/>
              <w:jc w:val="center"/>
              <w:rPr>
                <w:rFonts w:eastAsia="宋体" w:cs="Times New Roman"/>
                <w:color w:val="auto"/>
                <w:sz w:val="24"/>
                <w:highlight w:val="none"/>
              </w:rPr>
            </w:pPr>
          </w:p>
        </w:tc>
        <w:tc>
          <w:tcPr>
            <w:tcW w:w="1009" w:type="dxa"/>
            <w:noWrap w:val="0"/>
            <w:vAlign w:val="center"/>
          </w:tcPr>
          <w:p w14:paraId="1AD4C475">
            <w:pPr>
              <w:adjustRightInd w:val="0"/>
              <w:snapToGrid w:val="0"/>
              <w:jc w:val="center"/>
              <w:rPr>
                <w:rFonts w:eastAsia="宋体" w:cs="Times New Roman"/>
                <w:color w:val="auto"/>
                <w:sz w:val="24"/>
                <w:highlight w:val="none"/>
              </w:rPr>
            </w:pPr>
          </w:p>
        </w:tc>
      </w:tr>
      <w:tr w14:paraId="09A5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DA19A71">
            <w:pPr>
              <w:adjustRightInd w:val="0"/>
              <w:snapToGrid w:val="0"/>
              <w:jc w:val="center"/>
              <w:rPr>
                <w:rFonts w:eastAsia="宋体" w:cs="Times New Roman"/>
                <w:color w:val="auto"/>
                <w:sz w:val="24"/>
                <w:highlight w:val="none"/>
              </w:rPr>
            </w:pPr>
          </w:p>
        </w:tc>
        <w:tc>
          <w:tcPr>
            <w:tcW w:w="1482" w:type="dxa"/>
            <w:noWrap w:val="0"/>
            <w:vAlign w:val="center"/>
          </w:tcPr>
          <w:p w14:paraId="35E45EBE">
            <w:pPr>
              <w:adjustRightInd w:val="0"/>
              <w:snapToGrid w:val="0"/>
              <w:jc w:val="center"/>
              <w:rPr>
                <w:rFonts w:eastAsia="宋体" w:cs="Times New Roman"/>
                <w:color w:val="auto"/>
                <w:sz w:val="24"/>
                <w:highlight w:val="none"/>
              </w:rPr>
            </w:pPr>
          </w:p>
        </w:tc>
        <w:tc>
          <w:tcPr>
            <w:tcW w:w="2384" w:type="dxa"/>
            <w:noWrap w:val="0"/>
            <w:vAlign w:val="center"/>
          </w:tcPr>
          <w:p w14:paraId="6A9139BB">
            <w:pPr>
              <w:adjustRightInd w:val="0"/>
              <w:snapToGrid w:val="0"/>
              <w:jc w:val="center"/>
              <w:rPr>
                <w:rFonts w:eastAsia="宋体" w:cs="Times New Roman"/>
                <w:color w:val="auto"/>
                <w:sz w:val="24"/>
                <w:highlight w:val="none"/>
              </w:rPr>
            </w:pPr>
          </w:p>
        </w:tc>
        <w:tc>
          <w:tcPr>
            <w:tcW w:w="2126" w:type="dxa"/>
            <w:noWrap w:val="0"/>
            <w:vAlign w:val="center"/>
          </w:tcPr>
          <w:p w14:paraId="1813B31D">
            <w:pPr>
              <w:adjustRightInd w:val="0"/>
              <w:snapToGrid w:val="0"/>
              <w:jc w:val="center"/>
              <w:rPr>
                <w:rFonts w:eastAsia="宋体" w:cs="Times New Roman"/>
                <w:color w:val="auto"/>
                <w:sz w:val="24"/>
                <w:highlight w:val="none"/>
              </w:rPr>
            </w:pPr>
          </w:p>
        </w:tc>
        <w:tc>
          <w:tcPr>
            <w:tcW w:w="1875" w:type="dxa"/>
            <w:noWrap w:val="0"/>
            <w:vAlign w:val="center"/>
          </w:tcPr>
          <w:p w14:paraId="258A3C7A">
            <w:pPr>
              <w:adjustRightInd w:val="0"/>
              <w:snapToGrid w:val="0"/>
              <w:jc w:val="center"/>
              <w:rPr>
                <w:rFonts w:eastAsia="宋体" w:cs="Times New Roman"/>
                <w:color w:val="auto"/>
                <w:sz w:val="24"/>
                <w:highlight w:val="none"/>
              </w:rPr>
            </w:pPr>
          </w:p>
        </w:tc>
        <w:tc>
          <w:tcPr>
            <w:tcW w:w="1009" w:type="dxa"/>
            <w:noWrap w:val="0"/>
            <w:vAlign w:val="center"/>
          </w:tcPr>
          <w:p w14:paraId="786E4F4D">
            <w:pPr>
              <w:adjustRightInd w:val="0"/>
              <w:snapToGrid w:val="0"/>
              <w:jc w:val="center"/>
              <w:rPr>
                <w:rFonts w:eastAsia="宋体" w:cs="Times New Roman"/>
                <w:color w:val="auto"/>
                <w:sz w:val="24"/>
                <w:highlight w:val="none"/>
              </w:rPr>
            </w:pPr>
          </w:p>
        </w:tc>
      </w:tr>
      <w:tr w14:paraId="634F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681F6FA">
            <w:pPr>
              <w:adjustRightInd w:val="0"/>
              <w:snapToGrid w:val="0"/>
              <w:jc w:val="center"/>
              <w:rPr>
                <w:rFonts w:eastAsia="宋体" w:cs="Times New Roman"/>
                <w:color w:val="auto"/>
                <w:sz w:val="24"/>
                <w:highlight w:val="none"/>
              </w:rPr>
            </w:pPr>
          </w:p>
        </w:tc>
        <w:tc>
          <w:tcPr>
            <w:tcW w:w="1482" w:type="dxa"/>
            <w:noWrap w:val="0"/>
            <w:vAlign w:val="center"/>
          </w:tcPr>
          <w:p w14:paraId="01FBCFDB">
            <w:pPr>
              <w:adjustRightInd w:val="0"/>
              <w:snapToGrid w:val="0"/>
              <w:jc w:val="center"/>
              <w:rPr>
                <w:rFonts w:eastAsia="宋体" w:cs="Times New Roman"/>
                <w:color w:val="auto"/>
                <w:sz w:val="24"/>
                <w:highlight w:val="none"/>
              </w:rPr>
            </w:pPr>
          </w:p>
        </w:tc>
        <w:tc>
          <w:tcPr>
            <w:tcW w:w="2384" w:type="dxa"/>
            <w:noWrap w:val="0"/>
            <w:vAlign w:val="center"/>
          </w:tcPr>
          <w:p w14:paraId="446BBFD2">
            <w:pPr>
              <w:adjustRightInd w:val="0"/>
              <w:snapToGrid w:val="0"/>
              <w:jc w:val="center"/>
              <w:rPr>
                <w:rFonts w:eastAsia="宋体" w:cs="Times New Roman"/>
                <w:color w:val="auto"/>
                <w:sz w:val="24"/>
                <w:highlight w:val="none"/>
              </w:rPr>
            </w:pPr>
          </w:p>
        </w:tc>
        <w:tc>
          <w:tcPr>
            <w:tcW w:w="2126" w:type="dxa"/>
            <w:noWrap w:val="0"/>
            <w:vAlign w:val="center"/>
          </w:tcPr>
          <w:p w14:paraId="4C648065">
            <w:pPr>
              <w:adjustRightInd w:val="0"/>
              <w:snapToGrid w:val="0"/>
              <w:jc w:val="center"/>
              <w:rPr>
                <w:rFonts w:eastAsia="宋体" w:cs="Times New Roman"/>
                <w:color w:val="auto"/>
                <w:sz w:val="24"/>
                <w:highlight w:val="none"/>
              </w:rPr>
            </w:pPr>
          </w:p>
        </w:tc>
        <w:tc>
          <w:tcPr>
            <w:tcW w:w="1875" w:type="dxa"/>
            <w:noWrap w:val="0"/>
            <w:vAlign w:val="center"/>
          </w:tcPr>
          <w:p w14:paraId="2D027E26">
            <w:pPr>
              <w:adjustRightInd w:val="0"/>
              <w:snapToGrid w:val="0"/>
              <w:jc w:val="center"/>
              <w:rPr>
                <w:rFonts w:eastAsia="宋体" w:cs="Times New Roman"/>
                <w:color w:val="auto"/>
                <w:sz w:val="24"/>
                <w:highlight w:val="none"/>
              </w:rPr>
            </w:pPr>
          </w:p>
        </w:tc>
        <w:tc>
          <w:tcPr>
            <w:tcW w:w="1009" w:type="dxa"/>
            <w:noWrap w:val="0"/>
            <w:vAlign w:val="center"/>
          </w:tcPr>
          <w:p w14:paraId="48DF9759">
            <w:pPr>
              <w:adjustRightInd w:val="0"/>
              <w:snapToGrid w:val="0"/>
              <w:jc w:val="center"/>
              <w:rPr>
                <w:rFonts w:eastAsia="宋体" w:cs="Times New Roman"/>
                <w:color w:val="auto"/>
                <w:sz w:val="24"/>
                <w:highlight w:val="none"/>
              </w:rPr>
            </w:pPr>
          </w:p>
        </w:tc>
      </w:tr>
      <w:tr w14:paraId="083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8427EC">
            <w:pPr>
              <w:adjustRightInd w:val="0"/>
              <w:snapToGrid w:val="0"/>
              <w:jc w:val="center"/>
              <w:rPr>
                <w:rFonts w:eastAsia="宋体" w:cs="Times New Roman"/>
                <w:color w:val="auto"/>
                <w:sz w:val="24"/>
                <w:highlight w:val="none"/>
              </w:rPr>
            </w:pPr>
          </w:p>
        </w:tc>
        <w:tc>
          <w:tcPr>
            <w:tcW w:w="1482" w:type="dxa"/>
            <w:noWrap w:val="0"/>
            <w:vAlign w:val="center"/>
          </w:tcPr>
          <w:p w14:paraId="14D0D0B8">
            <w:pPr>
              <w:adjustRightInd w:val="0"/>
              <w:snapToGrid w:val="0"/>
              <w:jc w:val="center"/>
              <w:rPr>
                <w:rFonts w:eastAsia="宋体" w:cs="Times New Roman"/>
                <w:color w:val="auto"/>
                <w:sz w:val="24"/>
                <w:highlight w:val="none"/>
              </w:rPr>
            </w:pPr>
          </w:p>
        </w:tc>
        <w:tc>
          <w:tcPr>
            <w:tcW w:w="2384" w:type="dxa"/>
            <w:noWrap w:val="0"/>
            <w:vAlign w:val="center"/>
          </w:tcPr>
          <w:p w14:paraId="3A8AC300">
            <w:pPr>
              <w:adjustRightInd w:val="0"/>
              <w:snapToGrid w:val="0"/>
              <w:jc w:val="center"/>
              <w:rPr>
                <w:rFonts w:eastAsia="宋体" w:cs="Times New Roman"/>
                <w:color w:val="auto"/>
                <w:sz w:val="24"/>
                <w:highlight w:val="none"/>
              </w:rPr>
            </w:pPr>
          </w:p>
        </w:tc>
        <w:tc>
          <w:tcPr>
            <w:tcW w:w="2126" w:type="dxa"/>
            <w:noWrap w:val="0"/>
            <w:vAlign w:val="center"/>
          </w:tcPr>
          <w:p w14:paraId="11A694A2">
            <w:pPr>
              <w:adjustRightInd w:val="0"/>
              <w:snapToGrid w:val="0"/>
              <w:jc w:val="center"/>
              <w:rPr>
                <w:rFonts w:eastAsia="宋体" w:cs="Times New Roman"/>
                <w:color w:val="auto"/>
                <w:sz w:val="24"/>
                <w:highlight w:val="none"/>
              </w:rPr>
            </w:pPr>
          </w:p>
        </w:tc>
        <w:tc>
          <w:tcPr>
            <w:tcW w:w="1875" w:type="dxa"/>
            <w:noWrap w:val="0"/>
            <w:vAlign w:val="center"/>
          </w:tcPr>
          <w:p w14:paraId="1B5AA65C">
            <w:pPr>
              <w:adjustRightInd w:val="0"/>
              <w:snapToGrid w:val="0"/>
              <w:jc w:val="center"/>
              <w:rPr>
                <w:rFonts w:eastAsia="宋体" w:cs="Times New Roman"/>
                <w:color w:val="auto"/>
                <w:sz w:val="24"/>
                <w:highlight w:val="none"/>
              </w:rPr>
            </w:pPr>
          </w:p>
        </w:tc>
        <w:tc>
          <w:tcPr>
            <w:tcW w:w="1009" w:type="dxa"/>
            <w:noWrap w:val="0"/>
            <w:vAlign w:val="center"/>
          </w:tcPr>
          <w:p w14:paraId="7FA92245">
            <w:pPr>
              <w:adjustRightInd w:val="0"/>
              <w:snapToGrid w:val="0"/>
              <w:jc w:val="center"/>
              <w:rPr>
                <w:rFonts w:eastAsia="宋体" w:cs="Times New Roman"/>
                <w:color w:val="auto"/>
                <w:sz w:val="24"/>
                <w:highlight w:val="none"/>
              </w:rPr>
            </w:pPr>
          </w:p>
        </w:tc>
      </w:tr>
    </w:tbl>
    <w:p w14:paraId="2C18D57E">
      <w:pPr>
        <w:tabs>
          <w:tab w:val="left" w:pos="1800"/>
          <w:tab w:val="left" w:pos="5580"/>
        </w:tabs>
        <w:jc w:val="left"/>
        <w:rPr>
          <w:color w:val="auto"/>
          <w:sz w:val="24"/>
          <w:highlight w:val="none"/>
        </w:rPr>
      </w:pPr>
      <w:r>
        <w:rPr>
          <w:color w:val="auto"/>
          <w:sz w:val="24"/>
          <w:highlight w:val="none"/>
        </w:rPr>
        <w:t>注：</w:t>
      </w:r>
    </w:p>
    <w:p w14:paraId="3009CDA6">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14:paraId="1788082E">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w:t>
      </w:r>
      <w:r>
        <w:rPr>
          <w:rFonts w:hint="eastAsia"/>
          <w:color w:val="auto"/>
          <w:sz w:val="24"/>
          <w:highlight w:val="none"/>
          <w:lang w:eastAsia="zh-CN"/>
        </w:rPr>
        <w:t>“正偏离”或“负偏离”或“无偏离”</w:t>
      </w:r>
      <w:r>
        <w:rPr>
          <w:rFonts w:hint="eastAsia"/>
          <w:color w:val="auto"/>
          <w:sz w:val="24"/>
          <w:highlight w:val="none"/>
        </w:rPr>
        <w:t>。</w:t>
      </w:r>
    </w:p>
    <w:p w14:paraId="3BAFA526">
      <w:pPr>
        <w:tabs>
          <w:tab w:val="left" w:pos="1800"/>
          <w:tab w:val="left" w:pos="5580"/>
        </w:tabs>
        <w:jc w:val="left"/>
        <w:rPr>
          <w:color w:val="auto"/>
          <w:sz w:val="24"/>
          <w:highlight w:val="none"/>
        </w:rPr>
      </w:pPr>
    </w:p>
    <w:p w14:paraId="34798727">
      <w:pPr>
        <w:tabs>
          <w:tab w:val="left" w:pos="1800"/>
          <w:tab w:val="left" w:pos="5580"/>
        </w:tabs>
        <w:jc w:val="left"/>
        <w:rPr>
          <w:color w:val="auto"/>
          <w:sz w:val="24"/>
          <w:highlight w:val="none"/>
        </w:rPr>
      </w:pPr>
    </w:p>
    <w:p w14:paraId="5B8E34B4">
      <w:pPr>
        <w:rPr>
          <w:color w:val="auto"/>
          <w:sz w:val="24"/>
          <w:szCs w:val="20"/>
          <w:highlight w:val="none"/>
        </w:rPr>
      </w:pPr>
    </w:p>
    <w:p w14:paraId="4352C44E">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5C930665">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rFonts w:hint="eastAsia"/>
          <w:color w:val="auto"/>
          <w:sz w:val="24"/>
          <w:highlight w:val="none"/>
        </w:rPr>
        <w:t>：</w:t>
      </w:r>
      <w:r>
        <w:rPr>
          <w:color w:val="auto"/>
          <w:sz w:val="24"/>
          <w:highlight w:val="none"/>
          <w:lang w:val="zh-CN"/>
        </w:rPr>
        <w:t>____________</w:t>
      </w:r>
    </w:p>
    <w:p w14:paraId="73CA9137">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455DB935">
      <w:pPr>
        <w:spacing w:line="360" w:lineRule="auto"/>
        <w:rPr>
          <w:rFonts w:ascii="宋体"/>
          <w:b/>
          <w:color w:val="auto"/>
          <w:sz w:val="30"/>
          <w:szCs w:val="30"/>
          <w:highlight w:val="none"/>
        </w:rPr>
      </w:pPr>
    </w:p>
    <w:p w14:paraId="22E11AEB">
      <w:pPr>
        <w:spacing w:line="360" w:lineRule="auto"/>
        <w:rPr>
          <w:rFonts w:hint="eastAsia" w:ascii="宋体"/>
          <w:b/>
          <w:color w:val="auto"/>
          <w:sz w:val="30"/>
          <w:szCs w:val="30"/>
          <w:highlight w:val="none"/>
        </w:rPr>
      </w:pPr>
    </w:p>
    <w:p w14:paraId="778F585C">
      <w:pPr>
        <w:spacing w:line="360" w:lineRule="auto"/>
        <w:rPr>
          <w:rFonts w:hint="eastAsia" w:ascii="宋体"/>
          <w:b/>
          <w:color w:val="auto"/>
          <w:sz w:val="30"/>
          <w:szCs w:val="30"/>
          <w:highlight w:val="none"/>
        </w:rPr>
      </w:pPr>
    </w:p>
    <w:p w14:paraId="4DB8A273">
      <w:pPr>
        <w:spacing w:line="360" w:lineRule="auto"/>
        <w:rPr>
          <w:rFonts w:ascii="宋体"/>
          <w:bCs/>
          <w:color w:val="auto"/>
          <w:sz w:val="30"/>
          <w:szCs w:val="30"/>
          <w:highlight w:val="none"/>
        </w:rPr>
      </w:pPr>
      <w:r>
        <w:rPr>
          <w:rFonts w:hint="eastAsia" w:ascii="宋体"/>
          <w:bCs/>
          <w:color w:val="auto"/>
          <w:sz w:val="30"/>
          <w:szCs w:val="30"/>
          <w:highlight w:val="none"/>
        </w:rPr>
        <w:t>7 中小企业声明函</w:t>
      </w:r>
    </w:p>
    <w:p w14:paraId="1CD8A5D0">
      <w:pPr>
        <w:tabs>
          <w:tab w:val="left" w:pos="5580"/>
        </w:tabs>
        <w:spacing w:line="360" w:lineRule="auto"/>
        <w:rPr>
          <w:color w:val="auto"/>
          <w:sz w:val="24"/>
          <w:highlight w:val="none"/>
        </w:rPr>
      </w:pPr>
      <w:r>
        <w:rPr>
          <w:rFonts w:hint="eastAsia"/>
          <w:color w:val="auto"/>
          <w:sz w:val="24"/>
          <w:highlight w:val="none"/>
        </w:rPr>
        <w:t>说明：</w:t>
      </w:r>
    </w:p>
    <w:p w14:paraId="55F802C4">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14:paraId="534A5199">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29618CB">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14:paraId="3400A6AA">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D70FDDF">
      <w:pPr>
        <w:spacing w:line="360" w:lineRule="auto"/>
        <w:rPr>
          <w:rFonts w:hint="eastAsia" w:ascii="宋体"/>
          <w:b/>
          <w:color w:val="auto"/>
          <w:sz w:val="30"/>
          <w:szCs w:val="30"/>
          <w:highlight w:val="none"/>
        </w:rPr>
      </w:pPr>
    </w:p>
    <w:p w14:paraId="3B62761B">
      <w:pPr>
        <w:spacing w:line="360" w:lineRule="auto"/>
        <w:rPr>
          <w:rFonts w:hint="eastAsia" w:ascii="宋体"/>
          <w:b/>
          <w:color w:val="auto"/>
          <w:sz w:val="30"/>
          <w:szCs w:val="30"/>
          <w:highlight w:val="none"/>
        </w:rPr>
      </w:pPr>
    </w:p>
    <w:p w14:paraId="22BDA690">
      <w:pPr>
        <w:spacing w:line="360" w:lineRule="auto"/>
        <w:rPr>
          <w:rFonts w:hint="eastAsia" w:ascii="宋体"/>
          <w:b/>
          <w:color w:val="auto"/>
          <w:sz w:val="30"/>
          <w:szCs w:val="30"/>
          <w:highlight w:val="none"/>
        </w:rPr>
      </w:pPr>
    </w:p>
    <w:p w14:paraId="6887B716">
      <w:pPr>
        <w:spacing w:line="360" w:lineRule="auto"/>
        <w:rPr>
          <w:rFonts w:hint="eastAsia" w:ascii="宋体"/>
          <w:b/>
          <w:color w:val="auto"/>
          <w:sz w:val="30"/>
          <w:szCs w:val="30"/>
          <w:highlight w:val="none"/>
        </w:rPr>
      </w:pPr>
    </w:p>
    <w:p w14:paraId="7A5FC8C5">
      <w:pPr>
        <w:spacing w:line="360" w:lineRule="auto"/>
        <w:rPr>
          <w:rFonts w:hint="eastAsia" w:ascii="宋体"/>
          <w:b/>
          <w:color w:val="auto"/>
          <w:sz w:val="30"/>
          <w:szCs w:val="30"/>
          <w:highlight w:val="none"/>
        </w:rPr>
      </w:pPr>
    </w:p>
    <w:p w14:paraId="6A363CDF">
      <w:pPr>
        <w:spacing w:line="360" w:lineRule="auto"/>
        <w:rPr>
          <w:rFonts w:hint="eastAsia" w:ascii="宋体"/>
          <w:b/>
          <w:color w:val="auto"/>
          <w:sz w:val="30"/>
          <w:szCs w:val="30"/>
          <w:highlight w:val="none"/>
        </w:rPr>
      </w:pPr>
    </w:p>
    <w:p w14:paraId="60C8B0A6">
      <w:pPr>
        <w:spacing w:line="360" w:lineRule="auto"/>
        <w:rPr>
          <w:rFonts w:hint="eastAsia" w:ascii="宋体"/>
          <w:b/>
          <w:color w:val="auto"/>
          <w:sz w:val="30"/>
          <w:szCs w:val="30"/>
          <w:highlight w:val="none"/>
        </w:rPr>
      </w:pPr>
    </w:p>
    <w:p w14:paraId="2E48DCD4">
      <w:pPr>
        <w:spacing w:line="360" w:lineRule="auto"/>
        <w:rPr>
          <w:rFonts w:hint="eastAsia" w:ascii="宋体"/>
          <w:b/>
          <w:color w:val="auto"/>
          <w:sz w:val="30"/>
          <w:szCs w:val="30"/>
          <w:highlight w:val="none"/>
        </w:rPr>
      </w:pPr>
    </w:p>
    <w:p w14:paraId="7E7917A3">
      <w:pPr>
        <w:spacing w:line="360" w:lineRule="auto"/>
        <w:rPr>
          <w:rFonts w:hint="eastAsia" w:ascii="宋体"/>
          <w:b/>
          <w:color w:val="auto"/>
          <w:sz w:val="30"/>
          <w:szCs w:val="30"/>
          <w:highlight w:val="none"/>
        </w:rPr>
      </w:pPr>
    </w:p>
    <w:p w14:paraId="7AC767E6">
      <w:pPr>
        <w:pStyle w:val="86"/>
        <w:ind w:firstLine="301"/>
        <w:rPr>
          <w:rFonts w:hint="eastAsia"/>
          <w:b/>
          <w:color w:val="auto"/>
          <w:sz w:val="30"/>
          <w:szCs w:val="30"/>
          <w:highlight w:val="none"/>
        </w:rPr>
      </w:pPr>
    </w:p>
    <w:p w14:paraId="50A4A27A">
      <w:pPr>
        <w:pStyle w:val="68"/>
        <w:rPr>
          <w:rFonts w:hint="eastAsia" w:ascii="宋体"/>
          <w:b/>
          <w:color w:val="auto"/>
          <w:sz w:val="30"/>
          <w:szCs w:val="30"/>
          <w:highlight w:val="none"/>
        </w:rPr>
      </w:pPr>
    </w:p>
    <w:p w14:paraId="3E16B0C2">
      <w:pPr>
        <w:rPr>
          <w:rFonts w:hint="eastAsia" w:ascii="宋体"/>
          <w:b/>
          <w:color w:val="auto"/>
          <w:sz w:val="30"/>
          <w:szCs w:val="30"/>
          <w:highlight w:val="none"/>
        </w:rPr>
      </w:pPr>
    </w:p>
    <w:p w14:paraId="7EF18BCD">
      <w:pPr>
        <w:pStyle w:val="86"/>
        <w:ind w:firstLine="210"/>
        <w:rPr>
          <w:rFonts w:hint="eastAsia"/>
          <w:color w:val="auto"/>
          <w:highlight w:val="none"/>
        </w:rPr>
      </w:pPr>
    </w:p>
    <w:p w14:paraId="72CBD394">
      <w:pPr>
        <w:spacing w:line="360" w:lineRule="auto"/>
        <w:rPr>
          <w:rFonts w:hint="eastAsia" w:ascii="宋体"/>
          <w:b/>
          <w:color w:val="auto"/>
          <w:sz w:val="30"/>
          <w:szCs w:val="30"/>
          <w:highlight w:val="none"/>
        </w:rPr>
      </w:pPr>
    </w:p>
    <w:p w14:paraId="5BC7717A">
      <w:pPr>
        <w:spacing w:before="312" w:beforeLines="100" w:after="312" w:afterLines="100" w:line="360" w:lineRule="auto"/>
        <w:jc w:val="center"/>
        <w:rPr>
          <w:b/>
          <w:color w:val="auto"/>
          <w:sz w:val="36"/>
          <w:szCs w:val="36"/>
          <w:highlight w:val="none"/>
        </w:rPr>
      </w:pPr>
      <w:r>
        <w:rPr>
          <w:b/>
          <w:bCs/>
          <w:color w:val="auto"/>
          <w:sz w:val="36"/>
          <w:szCs w:val="36"/>
          <w:highlight w:val="none"/>
        </w:rPr>
        <w:t>中小企业声明函（货物）格式</w:t>
      </w:r>
    </w:p>
    <w:p w14:paraId="327509F4">
      <w:pPr>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采购活动，提供的货物全部由符合政策要求的中小企业制造。相关企业（含联合体中的中小企业、签订分包意向协议的中小企业）的具体情况如下：</w:t>
      </w:r>
    </w:p>
    <w:p w14:paraId="7677CA25">
      <w:pPr>
        <w:numPr>
          <w:ilvl w:val="0"/>
          <w:numId w:val="33"/>
        </w:numPr>
        <w:tabs>
          <w:tab w:val="left" w:pos="1183"/>
          <w:tab w:val="left" w:pos="1484"/>
          <w:tab w:val="left" w:pos="4662"/>
          <w:tab w:val="left" w:pos="6903"/>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66B8C54C">
      <w:pPr>
        <w:numPr>
          <w:ilvl w:val="0"/>
          <w:numId w:val="33"/>
        </w:numPr>
        <w:tabs>
          <w:tab w:val="left" w:pos="1165"/>
          <w:tab w:val="left" w:pos="1183"/>
          <w:tab w:val="left" w:pos="4362"/>
          <w:tab w:val="left" w:pos="6577"/>
        </w:tabs>
        <w:autoSpaceDE w:val="0"/>
        <w:autoSpaceDN w:val="0"/>
        <w:spacing w:line="360" w:lineRule="auto"/>
        <w:ind w:right="169" w:firstLine="64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采购文件中明确的所属行业）行业</w:t>
      </w:r>
      <w:r>
        <w:rPr>
          <w:color w:val="auto"/>
          <w:kern w:val="0"/>
          <w:sz w:val="24"/>
          <w:highlight w:val="none"/>
        </w:rPr>
        <w:t>；制造商为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5DA48311">
      <w:pPr>
        <w:autoSpaceDE w:val="0"/>
        <w:autoSpaceDN w:val="0"/>
        <w:spacing w:line="360" w:lineRule="auto"/>
        <w:ind w:left="860"/>
        <w:jc w:val="left"/>
        <w:rPr>
          <w:color w:val="auto"/>
          <w:kern w:val="0"/>
          <w:sz w:val="24"/>
          <w:highlight w:val="none"/>
        </w:rPr>
      </w:pPr>
      <w:r>
        <w:rPr>
          <w:color w:val="auto"/>
          <w:kern w:val="0"/>
          <w:sz w:val="24"/>
          <w:highlight w:val="none"/>
        </w:rPr>
        <w:t>……</w:t>
      </w:r>
    </w:p>
    <w:p w14:paraId="1615B8D5">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64944E26">
      <w:pPr>
        <w:autoSpaceDE w:val="0"/>
        <w:autoSpaceDN w:val="0"/>
        <w:spacing w:line="360" w:lineRule="auto"/>
        <w:ind w:left="220" w:right="372" w:firstLine="645"/>
        <w:jc w:val="left"/>
        <w:rPr>
          <w:color w:val="auto"/>
          <w:kern w:val="0"/>
          <w:sz w:val="24"/>
          <w:highlight w:val="none"/>
        </w:rPr>
      </w:pPr>
      <w:r>
        <w:rPr>
          <w:color w:val="auto"/>
          <w:kern w:val="0"/>
          <w:sz w:val="24"/>
          <w:highlight w:val="none"/>
        </w:rPr>
        <w:t>本企业对上述声明内容的真实性负责。如有虚假，将依法承担相应责任。</w:t>
      </w:r>
    </w:p>
    <w:p w14:paraId="61440E0A">
      <w:pPr>
        <w:spacing w:line="360" w:lineRule="auto"/>
        <w:ind w:firstLine="504"/>
        <w:rPr>
          <w:color w:val="auto"/>
          <w:spacing w:val="6"/>
          <w:sz w:val="24"/>
          <w:highlight w:val="none"/>
        </w:rPr>
      </w:pPr>
    </w:p>
    <w:p w14:paraId="7BD0115C">
      <w:pPr>
        <w:spacing w:line="360" w:lineRule="auto"/>
        <w:ind w:firstLine="504"/>
        <w:rPr>
          <w:color w:val="auto"/>
          <w:spacing w:val="6"/>
          <w:sz w:val="24"/>
          <w:highlight w:val="none"/>
        </w:rPr>
      </w:pPr>
    </w:p>
    <w:p w14:paraId="1014AD7C">
      <w:pPr>
        <w:spacing w:line="360" w:lineRule="auto"/>
        <w:ind w:right="360" w:firstLine="480"/>
        <w:jc w:val="right"/>
        <w:rPr>
          <w:color w:val="auto"/>
          <w:sz w:val="24"/>
          <w:highlight w:val="none"/>
        </w:rPr>
      </w:pPr>
      <w:r>
        <w:rPr>
          <w:color w:val="auto"/>
          <w:sz w:val="24"/>
          <w:highlight w:val="none"/>
        </w:rPr>
        <w:t>企业名称（盖章）：________</w:t>
      </w:r>
    </w:p>
    <w:p w14:paraId="431E3BC4">
      <w:pPr>
        <w:spacing w:line="360" w:lineRule="auto"/>
        <w:ind w:right="360" w:firstLine="480"/>
        <w:jc w:val="right"/>
        <w:rPr>
          <w:color w:val="auto"/>
          <w:sz w:val="24"/>
          <w:highlight w:val="none"/>
        </w:rPr>
      </w:pPr>
      <w:r>
        <w:rPr>
          <w:color w:val="auto"/>
          <w:sz w:val="24"/>
          <w:highlight w:val="none"/>
        </w:rPr>
        <w:t>日 期：________</w:t>
      </w:r>
    </w:p>
    <w:p w14:paraId="426669AC">
      <w:pPr>
        <w:spacing w:line="360" w:lineRule="auto"/>
        <w:ind w:right="360" w:firstLine="480"/>
        <w:jc w:val="right"/>
        <w:rPr>
          <w:color w:val="auto"/>
          <w:sz w:val="24"/>
          <w:highlight w:val="none"/>
        </w:rPr>
      </w:pPr>
    </w:p>
    <w:p w14:paraId="7B483375">
      <w:pPr>
        <w:spacing w:line="360" w:lineRule="auto"/>
        <w:ind w:right="360" w:firstLine="480"/>
        <w:jc w:val="right"/>
        <w:rPr>
          <w:color w:val="auto"/>
          <w:sz w:val="24"/>
          <w:highlight w:val="none"/>
        </w:rPr>
      </w:pPr>
    </w:p>
    <w:p w14:paraId="7CF6B41D">
      <w:pPr>
        <w:spacing w:line="360" w:lineRule="auto"/>
        <w:rPr>
          <w:rFonts w:hint="eastAsia" w:ascii="宋体"/>
          <w:bCs/>
          <w:color w:val="auto"/>
          <w:szCs w:val="21"/>
          <w:highlight w:val="none"/>
        </w:rPr>
      </w:pPr>
      <w:r>
        <w:rPr>
          <w:rFonts w:hint="eastAsia" w:ascii="宋体"/>
          <w:bCs/>
          <w:color w:val="auto"/>
          <w:szCs w:val="21"/>
          <w:highlight w:val="none"/>
        </w:rPr>
        <w:t>从业人员、营业收入，资产总额填报上一年度数据，无上一年度数据的新成立企业可不填报。</w:t>
      </w:r>
    </w:p>
    <w:p w14:paraId="27D32262">
      <w:pPr>
        <w:wordWrap w:val="0"/>
        <w:spacing w:line="360" w:lineRule="auto"/>
        <w:jc w:val="left"/>
        <w:rPr>
          <w:rFonts w:hint="eastAsia" w:ascii="宋体" w:hAnsi="宋体"/>
          <w:color w:val="auto"/>
          <w:sz w:val="24"/>
          <w:highlight w:val="none"/>
        </w:rPr>
      </w:pPr>
    </w:p>
    <w:p w14:paraId="65005DC0">
      <w:pPr>
        <w:pStyle w:val="86"/>
        <w:ind w:firstLine="210"/>
        <w:rPr>
          <w:rFonts w:hint="eastAsia"/>
          <w:color w:val="auto"/>
          <w:highlight w:val="none"/>
        </w:rPr>
      </w:pPr>
    </w:p>
    <w:p w14:paraId="3BDE7992">
      <w:pPr>
        <w:wordWrap w:val="0"/>
        <w:spacing w:line="360" w:lineRule="auto"/>
        <w:jc w:val="left"/>
        <w:rPr>
          <w:rFonts w:hint="eastAsia" w:ascii="宋体" w:hAnsi="宋体"/>
          <w:color w:val="auto"/>
          <w:sz w:val="24"/>
          <w:highlight w:val="none"/>
        </w:rPr>
      </w:pPr>
    </w:p>
    <w:p w14:paraId="64169479">
      <w:pPr>
        <w:wordWrap w:val="0"/>
        <w:spacing w:line="360" w:lineRule="auto"/>
        <w:jc w:val="left"/>
        <w:rPr>
          <w:rFonts w:hint="eastAsia" w:ascii="宋体" w:hAnsi="宋体"/>
          <w:color w:val="auto"/>
          <w:sz w:val="24"/>
          <w:highlight w:val="none"/>
        </w:rPr>
      </w:pPr>
    </w:p>
    <w:p w14:paraId="7B0CB898">
      <w:pPr>
        <w:wordWrap w:val="0"/>
        <w:spacing w:line="360" w:lineRule="auto"/>
        <w:jc w:val="left"/>
        <w:rPr>
          <w:rFonts w:hint="eastAsia" w:ascii="宋体" w:hAnsi="宋体"/>
          <w:color w:val="auto"/>
          <w:sz w:val="24"/>
          <w:highlight w:val="none"/>
        </w:rPr>
      </w:pPr>
    </w:p>
    <w:p w14:paraId="3A69BA7C">
      <w:pPr>
        <w:spacing w:line="480" w:lineRule="auto"/>
        <w:ind w:firstLine="570"/>
        <w:jc w:val="left"/>
        <w:rPr>
          <w:rFonts w:hint="eastAsia" w:ascii="宋体" w:hAnsi="宋体"/>
          <w:color w:val="auto"/>
          <w:sz w:val="24"/>
          <w:highlight w:val="none"/>
        </w:rPr>
      </w:pPr>
      <w:r>
        <w:rPr>
          <w:rFonts w:hint="eastAsia" w:ascii="宋体" w:hAnsi="宋体"/>
          <w:color w:val="auto"/>
          <w:sz w:val="24"/>
          <w:highlight w:val="none"/>
        </w:rPr>
        <w:t xml:space="preserve">                                         </w:t>
      </w:r>
    </w:p>
    <w:p w14:paraId="55848CB4">
      <w:pPr>
        <w:pStyle w:val="86"/>
        <w:ind w:firstLine="210"/>
        <w:rPr>
          <w:rFonts w:hint="eastAsia"/>
          <w:color w:val="auto"/>
          <w:highlight w:val="none"/>
        </w:rPr>
      </w:pPr>
    </w:p>
    <w:p w14:paraId="2B21AC22">
      <w:pPr>
        <w:spacing w:before="312" w:beforeLines="100" w:after="312" w:afterLines="100" w:line="360" w:lineRule="auto"/>
        <w:jc w:val="center"/>
        <w:rPr>
          <w:color w:val="auto"/>
          <w:sz w:val="36"/>
          <w:szCs w:val="36"/>
          <w:highlight w:val="none"/>
        </w:rPr>
      </w:pPr>
      <w:r>
        <w:rPr>
          <w:b/>
          <w:bCs/>
          <w:color w:val="auto"/>
          <w:sz w:val="36"/>
          <w:szCs w:val="36"/>
          <w:highlight w:val="none"/>
        </w:rPr>
        <w:t>残疾人福利性单位声明函格式</w:t>
      </w:r>
      <w:r>
        <w:rPr>
          <w:color w:val="auto"/>
          <w:sz w:val="36"/>
          <w:szCs w:val="36"/>
          <w:highlight w:val="none"/>
        </w:rPr>
        <w:t xml:space="preserve"> </w:t>
      </w:r>
    </w:p>
    <w:p w14:paraId="25B4E78B">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14:paraId="1A525F00">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263B0447">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B7349DC">
      <w:pPr>
        <w:spacing w:line="588" w:lineRule="exact"/>
        <w:ind w:firstLine="512" w:firstLineChars="200"/>
        <w:rPr>
          <w:color w:val="auto"/>
          <w:spacing w:val="6"/>
          <w:sz w:val="24"/>
          <w:highlight w:val="none"/>
        </w:rPr>
      </w:pPr>
      <w:r>
        <w:rPr>
          <w:b/>
          <w:color w:val="auto"/>
          <w:spacing w:val="6"/>
          <w:sz w:val="24"/>
          <w:highlight w:val="none"/>
        </w:rPr>
        <w:t>本单位对上述声明的真实性负责。如有虚假，将依法承担相应责任。</w:t>
      </w:r>
    </w:p>
    <w:p w14:paraId="252664AF">
      <w:pPr>
        <w:spacing w:line="588" w:lineRule="exact"/>
        <w:ind w:firstLine="512" w:firstLineChars="200"/>
        <w:rPr>
          <w:color w:val="auto"/>
          <w:spacing w:val="6"/>
          <w:sz w:val="24"/>
          <w:highlight w:val="none"/>
        </w:rPr>
      </w:pPr>
    </w:p>
    <w:p w14:paraId="78BEE435">
      <w:pPr>
        <w:spacing w:line="588" w:lineRule="exact"/>
        <w:ind w:firstLine="512" w:firstLineChars="200"/>
        <w:rPr>
          <w:color w:val="auto"/>
          <w:spacing w:val="6"/>
          <w:sz w:val="24"/>
          <w:highlight w:val="none"/>
        </w:rPr>
      </w:pPr>
    </w:p>
    <w:p w14:paraId="1DC9B0E5">
      <w:pPr>
        <w:tabs>
          <w:tab w:val="left" w:pos="4860"/>
        </w:tabs>
        <w:spacing w:line="588" w:lineRule="exact"/>
        <w:ind w:right="1560" w:firstLine="512" w:firstLineChars="200"/>
        <w:jc w:val="center"/>
        <w:rPr>
          <w:color w:val="auto"/>
          <w:spacing w:val="6"/>
          <w:sz w:val="24"/>
          <w:highlight w:val="none"/>
        </w:rPr>
      </w:pPr>
      <w:r>
        <w:rPr>
          <w:color w:val="auto"/>
          <w:spacing w:val="6"/>
          <w:sz w:val="24"/>
          <w:highlight w:val="none"/>
        </w:rPr>
        <w:t xml:space="preserve">               单位名称（盖章）：</w:t>
      </w:r>
    </w:p>
    <w:p w14:paraId="7E654665">
      <w:pPr>
        <w:tabs>
          <w:tab w:val="left" w:pos="4860"/>
        </w:tabs>
        <w:spacing w:line="588" w:lineRule="exact"/>
        <w:ind w:right="1560" w:firstLine="512" w:firstLineChars="200"/>
        <w:jc w:val="center"/>
        <w:rPr>
          <w:color w:val="auto"/>
          <w:spacing w:val="6"/>
          <w:sz w:val="24"/>
          <w:highlight w:val="none"/>
        </w:rPr>
      </w:pPr>
      <w:r>
        <w:rPr>
          <w:color w:val="auto"/>
          <w:spacing w:val="6"/>
          <w:sz w:val="24"/>
          <w:highlight w:val="none"/>
        </w:rPr>
        <w:t xml:space="preserve">       日  期：</w:t>
      </w:r>
    </w:p>
    <w:p w14:paraId="0EDAF690">
      <w:pPr>
        <w:spacing w:line="360" w:lineRule="auto"/>
        <w:rPr>
          <w:rFonts w:hint="eastAsia"/>
          <w:color w:val="auto"/>
          <w:szCs w:val="20"/>
          <w:highlight w:val="none"/>
        </w:rPr>
      </w:pPr>
      <w:r>
        <w:rPr>
          <w:color w:val="auto"/>
          <w:szCs w:val="20"/>
          <w:highlight w:val="none"/>
        </w:rPr>
        <w:br w:type="page"/>
      </w:r>
      <w:r>
        <w:rPr>
          <w:rFonts w:hint="eastAsia" w:ascii="宋体" w:hAnsi="宋体" w:cs="宋体"/>
          <w:color w:val="auto"/>
          <w:sz w:val="30"/>
          <w:szCs w:val="30"/>
          <w:highlight w:val="none"/>
        </w:rPr>
        <w:t xml:space="preserve">8业绩一览表（实质性格式） </w:t>
      </w:r>
      <w:r>
        <w:rPr>
          <w:rFonts w:hint="eastAsia" w:ascii="宋体"/>
          <w:color w:val="auto"/>
          <w:sz w:val="24"/>
          <w:highlight w:val="none"/>
          <w:u w:val="single"/>
        </w:rPr>
        <w:t xml:space="preserve">     </w:t>
      </w:r>
    </w:p>
    <w:p w14:paraId="0093A7CB">
      <w:pPr>
        <w:spacing w:line="360" w:lineRule="auto"/>
        <w:rPr>
          <w:color w:val="auto"/>
          <w:szCs w:val="20"/>
          <w:highlight w:val="none"/>
        </w:rPr>
      </w:pPr>
    </w:p>
    <w:p w14:paraId="1F90E4E5">
      <w:pPr>
        <w:pStyle w:val="379"/>
        <w:spacing w:line="360" w:lineRule="auto"/>
        <w:jc w:val="center"/>
        <w:rPr>
          <w:rFonts w:hint="eastAsia" w:ascii="宋体"/>
          <w:color w:val="auto"/>
          <w:sz w:val="24"/>
          <w:highlight w:val="none"/>
        </w:rPr>
      </w:pPr>
      <w:r>
        <w:rPr>
          <w:rFonts w:hint="eastAsia" w:ascii="宋体" w:hAnsi="宋体"/>
          <w:b/>
          <w:color w:val="auto"/>
          <w:sz w:val="36"/>
          <w:szCs w:val="36"/>
          <w:highlight w:val="none"/>
        </w:rPr>
        <w:t>投标人供货业绩一览表</w:t>
      </w:r>
      <w:r>
        <w:rPr>
          <w:rFonts w:hint="eastAsia" w:ascii="宋体"/>
          <w:color w:val="auto"/>
          <w:sz w:val="36"/>
          <w:szCs w:val="36"/>
          <w:highlight w:val="none"/>
          <w:u w:val="singl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p>
    <w:tbl>
      <w:tblPr>
        <w:tblStyle w:val="88"/>
        <w:tblpPr w:leftFromText="180" w:rightFromText="180" w:vertAnchor="text" w:horzAnchor="page" w:tblpX="1117" w:tblpY="27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29"/>
        <w:gridCol w:w="1351"/>
        <w:gridCol w:w="1737"/>
        <w:gridCol w:w="1573"/>
        <w:gridCol w:w="1805"/>
      </w:tblGrid>
      <w:tr w14:paraId="510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46" w:type="pct"/>
            <w:noWrap w:val="0"/>
            <w:vAlign w:val="center"/>
          </w:tcPr>
          <w:p w14:paraId="02D0EB82">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序号</w:t>
            </w:r>
          </w:p>
        </w:tc>
        <w:tc>
          <w:tcPr>
            <w:tcW w:w="1152" w:type="pct"/>
            <w:noWrap w:val="0"/>
            <w:vAlign w:val="center"/>
          </w:tcPr>
          <w:p w14:paraId="6639D8C9">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项目名称</w:t>
            </w:r>
          </w:p>
        </w:tc>
        <w:tc>
          <w:tcPr>
            <w:tcW w:w="731" w:type="pct"/>
            <w:noWrap w:val="0"/>
            <w:vAlign w:val="center"/>
          </w:tcPr>
          <w:p w14:paraId="224E60C2">
            <w:pPr>
              <w:pStyle w:val="384"/>
              <w:spacing w:line="360" w:lineRule="auto"/>
              <w:ind w:left="93" w:leftChars="-329" w:hanging="797" w:hangingChars="327"/>
              <w:jc w:val="center"/>
              <w:rPr>
                <w:rFonts w:hint="eastAsia" w:ascii="宋体" w:eastAsia="宋体" w:cs="Times New Roman"/>
                <w:color w:val="auto"/>
                <w:highlight w:val="none"/>
              </w:rPr>
            </w:pPr>
            <w:r>
              <w:rPr>
                <w:rFonts w:hint="eastAsia" w:ascii="宋体" w:eastAsia="宋体" w:cs="Times New Roman"/>
                <w:color w:val="auto"/>
                <w:highlight w:val="none"/>
              </w:rPr>
              <w:t xml:space="preserve">     合同金额</w:t>
            </w:r>
          </w:p>
        </w:tc>
        <w:tc>
          <w:tcPr>
            <w:tcW w:w="940" w:type="pct"/>
            <w:noWrap w:val="0"/>
            <w:vAlign w:val="center"/>
          </w:tcPr>
          <w:p w14:paraId="5E43FA8E">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供货内容</w:t>
            </w:r>
          </w:p>
        </w:tc>
        <w:tc>
          <w:tcPr>
            <w:tcW w:w="851" w:type="pct"/>
            <w:noWrap w:val="0"/>
            <w:vAlign w:val="center"/>
          </w:tcPr>
          <w:p w14:paraId="47D2D06C">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签约日期</w:t>
            </w:r>
          </w:p>
        </w:tc>
        <w:tc>
          <w:tcPr>
            <w:tcW w:w="976" w:type="pct"/>
            <w:noWrap w:val="0"/>
            <w:vAlign w:val="center"/>
          </w:tcPr>
          <w:p w14:paraId="2C78D894">
            <w:pPr>
              <w:pStyle w:val="384"/>
              <w:spacing w:line="360" w:lineRule="auto"/>
              <w:jc w:val="center"/>
              <w:rPr>
                <w:rFonts w:hint="eastAsia" w:ascii="宋体" w:eastAsia="宋体" w:cs="Times New Roman"/>
                <w:color w:val="auto"/>
                <w:highlight w:val="none"/>
              </w:rPr>
            </w:pPr>
            <w:r>
              <w:rPr>
                <w:rFonts w:hint="eastAsia" w:ascii="宋体" w:eastAsia="宋体" w:cs="Times New Roman"/>
                <w:color w:val="auto"/>
                <w:highlight w:val="none"/>
              </w:rPr>
              <w:t>备注</w:t>
            </w:r>
          </w:p>
        </w:tc>
      </w:tr>
      <w:tr w14:paraId="4B1C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55D8C29D">
            <w:pPr>
              <w:pStyle w:val="384"/>
              <w:spacing w:line="360" w:lineRule="auto"/>
              <w:jc w:val="center"/>
              <w:rPr>
                <w:rFonts w:hint="eastAsia" w:ascii="宋体" w:eastAsia="宋体" w:cs="Times New Roman"/>
                <w:color w:val="auto"/>
                <w:highlight w:val="none"/>
              </w:rPr>
            </w:pPr>
          </w:p>
        </w:tc>
        <w:tc>
          <w:tcPr>
            <w:tcW w:w="1152" w:type="pct"/>
            <w:noWrap w:val="0"/>
            <w:vAlign w:val="center"/>
          </w:tcPr>
          <w:p w14:paraId="1D0ADC27">
            <w:pPr>
              <w:pStyle w:val="384"/>
              <w:spacing w:line="360" w:lineRule="auto"/>
              <w:jc w:val="center"/>
              <w:rPr>
                <w:rFonts w:hint="eastAsia" w:ascii="宋体" w:eastAsia="宋体" w:cs="Times New Roman"/>
                <w:color w:val="auto"/>
                <w:highlight w:val="none"/>
              </w:rPr>
            </w:pPr>
          </w:p>
        </w:tc>
        <w:tc>
          <w:tcPr>
            <w:tcW w:w="731" w:type="pct"/>
            <w:noWrap w:val="0"/>
            <w:vAlign w:val="center"/>
          </w:tcPr>
          <w:p w14:paraId="5ABAD752">
            <w:pPr>
              <w:pStyle w:val="384"/>
              <w:spacing w:line="360" w:lineRule="auto"/>
              <w:jc w:val="center"/>
              <w:rPr>
                <w:rFonts w:hint="eastAsia" w:ascii="宋体" w:eastAsia="宋体" w:cs="Times New Roman"/>
                <w:color w:val="auto"/>
                <w:highlight w:val="none"/>
              </w:rPr>
            </w:pPr>
          </w:p>
        </w:tc>
        <w:tc>
          <w:tcPr>
            <w:tcW w:w="940" w:type="pct"/>
            <w:noWrap w:val="0"/>
            <w:vAlign w:val="top"/>
          </w:tcPr>
          <w:p w14:paraId="627FDD12">
            <w:pPr>
              <w:pStyle w:val="384"/>
              <w:spacing w:line="360" w:lineRule="auto"/>
              <w:jc w:val="center"/>
              <w:rPr>
                <w:rFonts w:hint="eastAsia" w:ascii="宋体" w:eastAsia="宋体" w:cs="Times New Roman"/>
                <w:color w:val="auto"/>
                <w:highlight w:val="none"/>
              </w:rPr>
            </w:pPr>
          </w:p>
        </w:tc>
        <w:tc>
          <w:tcPr>
            <w:tcW w:w="851" w:type="pct"/>
            <w:noWrap w:val="0"/>
            <w:vAlign w:val="center"/>
          </w:tcPr>
          <w:p w14:paraId="6043E91E">
            <w:pPr>
              <w:pStyle w:val="384"/>
              <w:spacing w:line="360" w:lineRule="auto"/>
              <w:jc w:val="center"/>
              <w:rPr>
                <w:rFonts w:hint="eastAsia" w:ascii="宋体" w:eastAsia="宋体" w:cs="Times New Roman"/>
                <w:color w:val="auto"/>
                <w:highlight w:val="none"/>
              </w:rPr>
            </w:pPr>
          </w:p>
        </w:tc>
        <w:tc>
          <w:tcPr>
            <w:tcW w:w="976" w:type="pct"/>
            <w:noWrap w:val="0"/>
            <w:vAlign w:val="center"/>
          </w:tcPr>
          <w:p w14:paraId="6EED56B2">
            <w:pPr>
              <w:pStyle w:val="384"/>
              <w:spacing w:line="360" w:lineRule="auto"/>
              <w:jc w:val="center"/>
              <w:rPr>
                <w:rFonts w:hint="eastAsia" w:ascii="宋体" w:eastAsia="宋体" w:cs="Times New Roman"/>
                <w:color w:val="auto"/>
                <w:highlight w:val="none"/>
              </w:rPr>
            </w:pPr>
          </w:p>
        </w:tc>
      </w:tr>
      <w:tr w14:paraId="2462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4F3C1633">
            <w:pPr>
              <w:pStyle w:val="384"/>
              <w:spacing w:line="360" w:lineRule="auto"/>
              <w:jc w:val="center"/>
              <w:rPr>
                <w:rFonts w:hint="eastAsia" w:ascii="宋体" w:eastAsia="宋体" w:cs="Times New Roman"/>
                <w:color w:val="auto"/>
                <w:highlight w:val="none"/>
              </w:rPr>
            </w:pPr>
          </w:p>
        </w:tc>
        <w:tc>
          <w:tcPr>
            <w:tcW w:w="1152" w:type="pct"/>
            <w:noWrap w:val="0"/>
            <w:vAlign w:val="center"/>
          </w:tcPr>
          <w:p w14:paraId="4A4D5152">
            <w:pPr>
              <w:pStyle w:val="384"/>
              <w:spacing w:line="360" w:lineRule="auto"/>
              <w:jc w:val="center"/>
              <w:rPr>
                <w:rFonts w:hint="eastAsia" w:ascii="宋体" w:eastAsia="宋体" w:cs="Times New Roman"/>
                <w:color w:val="auto"/>
                <w:highlight w:val="none"/>
              </w:rPr>
            </w:pPr>
          </w:p>
        </w:tc>
        <w:tc>
          <w:tcPr>
            <w:tcW w:w="731" w:type="pct"/>
            <w:noWrap w:val="0"/>
            <w:vAlign w:val="center"/>
          </w:tcPr>
          <w:p w14:paraId="6DB67A3E">
            <w:pPr>
              <w:pStyle w:val="384"/>
              <w:spacing w:line="360" w:lineRule="auto"/>
              <w:jc w:val="center"/>
              <w:rPr>
                <w:rFonts w:hint="eastAsia" w:ascii="宋体" w:eastAsia="宋体" w:cs="Times New Roman"/>
                <w:color w:val="auto"/>
                <w:highlight w:val="none"/>
              </w:rPr>
            </w:pPr>
          </w:p>
        </w:tc>
        <w:tc>
          <w:tcPr>
            <w:tcW w:w="940" w:type="pct"/>
            <w:noWrap w:val="0"/>
            <w:vAlign w:val="top"/>
          </w:tcPr>
          <w:p w14:paraId="29290C61">
            <w:pPr>
              <w:pStyle w:val="384"/>
              <w:spacing w:line="360" w:lineRule="auto"/>
              <w:jc w:val="center"/>
              <w:rPr>
                <w:rFonts w:hint="eastAsia" w:ascii="宋体" w:eastAsia="宋体" w:cs="Times New Roman"/>
                <w:color w:val="auto"/>
                <w:highlight w:val="none"/>
              </w:rPr>
            </w:pPr>
          </w:p>
        </w:tc>
        <w:tc>
          <w:tcPr>
            <w:tcW w:w="851" w:type="pct"/>
            <w:noWrap w:val="0"/>
            <w:vAlign w:val="center"/>
          </w:tcPr>
          <w:p w14:paraId="5DECFD9D">
            <w:pPr>
              <w:pStyle w:val="384"/>
              <w:spacing w:line="360" w:lineRule="auto"/>
              <w:jc w:val="center"/>
              <w:rPr>
                <w:rFonts w:hint="eastAsia" w:ascii="宋体" w:eastAsia="宋体" w:cs="Times New Roman"/>
                <w:color w:val="auto"/>
                <w:highlight w:val="none"/>
              </w:rPr>
            </w:pPr>
          </w:p>
        </w:tc>
        <w:tc>
          <w:tcPr>
            <w:tcW w:w="976" w:type="pct"/>
            <w:noWrap w:val="0"/>
            <w:vAlign w:val="center"/>
          </w:tcPr>
          <w:p w14:paraId="07BAEBC5">
            <w:pPr>
              <w:pStyle w:val="384"/>
              <w:spacing w:line="360" w:lineRule="auto"/>
              <w:jc w:val="center"/>
              <w:rPr>
                <w:rFonts w:hint="eastAsia" w:ascii="宋体" w:eastAsia="宋体" w:cs="Times New Roman"/>
                <w:color w:val="auto"/>
                <w:highlight w:val="none"/>
              </w:rPr>
            </w:pPr>
          </w:p>
        </w:tc>
      </w:tr>
      <w:tr w14:paraId="2577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0697BE97">
            <w:pPr>
              <w:pStyle w:val="384"/>
              <w:spacing w:line="360" w:lineRule="auto"/>
              <w:jc w:val="center"/>
              <w:rPr>
                <w:rFonts w:hint="eastAsia" w:ascii="宋体" w:eastAsia="宋体" w:cs="Times New Roman"/>
                <w:color w:val="auto"/>
                <w:highlight w:val="none"/>
              </w:rPr>
            </w:pPr>
          </w:p>
        </w:tc>
        <w:tc>
          <w:tcPr>
            <w:tcW w:w="1152" w:type="pct"/>
            <w:noWrap w:val="0"/>
            <w:vAlign w:val="center"/>
          </w:tcPr>
          <w:p w14:paraId="6B75EED4">
            <w:pPr>
              <w:pStyle w:val="384"/>
              <w:spacing w:line="360" w:lineRule="auto"/>
              <w:jc w:val="center"/>
              <w:rPr>
                <w:rFonts w:hint="eastAsia" w:ascii="宋体" w:eastAsia="宋体" w:cs="Times New Roman"/>
                <w:color w:val="auto"/>
                <w:highlight w:val="none"/>
              </w:rPr>
            </w:pPr>
          </w:p>
        </w:tc>
        <w:tc>
          <w:tcPr>
            <w:tcW w:w="731" w:type="pct"/>
            <w:noWrap w:val="0"/>
            <w:vAlign w:val="center"/>
          </w:tcPr>
          <w:p w14:paraId="56833645">
            <w:pPr>
              <w:pStyle w:val="384"/>
              <w:spacing w:line="360" w:lineRule="auto"/>
              <w:jc w:val="center"/>
              <w:rPr>
                <w:rFonts w:hint="eastAsia" w:ascii="宋体" w:eastAsia="宋体" w:cs="Times New Roman"/>
                <w:color w:val="auto"/>
                <w:highlight w:val="none"/>
              </w:rPr>
            </w:pPr>
          </w:p>
        </w:tc>
        <w:tc>
          <w:tcPr>
            <w:tcW w:w="940" w:type="pct"/>
            <w:noWrap w:val="0"/>
            <w:vAlign w:val="top"/>
          </w:tcPr>
          <w:p w14:paraId="0942A95D">
            <w:pPr>
              <w:pStyle w:val="384"/>
              <w:spacing w:line="360" w:lineRule="auto"/>
              <w:jc w:val="center"/>
              <w:rPr>
                <w:rFonts w:hint="eastAsia" w:ascii="宋体" w:eastAsia="宋体" w:cs="Times New Roman"/>
                <w:color w:val="auto"/>
                <w:highlight w:val="none"/>
              </w:rPr>
            </w:pPr>
          </w:p>
        </w:tc>
        <w:tc>
          <w:tcPr>
            <w:tcW w:w="851" w:type="pct"/>
            <w:noWrap w:val="0"/>
            <w:vAlign w:val="center"/>
          </w:tcPr>
          <w:p w14:paraId="60113449">
            <w:pPr>
              <w:pStyle w:val="384"/>
              <w:spacing w:line="360" w:lineRule="auto"/>
              <w:jc w:val="center"/>
              <w:rPr>
                <w:rFonts w:hint="eastAsia" w:ascii="宋体" w:eastAsia="宋体" w:cs="Times New Roman"/>
                <w:color w:val="auto"/>
                <w:highlight w:val="none"/>
              </w:rPr>
            </w:pPr>
          </w:p>
        </w:tc>
        <w:tc>
          <w:tcPr>
            <w:tcW w:w="976" w:type="pct"/>
            <w:noWrap w:val="0"/>
            <w:vAlign w:val="center"/>
          </w:tcPr>
          <w:p w14:paraId="60D1A194">
            <w:pPr>
              <w:pStyle w:val="384"/>
              <w:spacing w:line="360" w:lineRule="auto"/>
              <w:jc w:val="center"/>
              <w:rPr>
                <w:rFonts w:hint="eastAsia" w:ascii="宋体" w:eastAsia="宋体" w:cs="Times New Roman"/>
                <w:color w:val="auto"/>
                <w:highlight w:val="none"/>
              </w:rPr>
            </w:pPr>
          </w:p>
        </w:tc>
      </w:tr>
      <w:tr w14:paraId="7CF1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2ECA8E0B">
            <w:pPr>
              <w:pStyle w:val="384"/>
              <w:spacing w:line="360" w:lineRule="auto"/>
              <w:jc w:val="center"/>
              <w:rPr>
                <w:rFonts w:hint="eastAsia" w:ascii="宋体" w:eastAsia="宋体" w:cs="Times New Roman"/>
                <w:color w:val="auto"/>
                <w:highlight w:val="none"/>
              </w:rPr>
            </w:pPr>
          </w:p>
        </w:tc>
        <w:tc>
          <w:tcPr>
            <w:tcW w:w="1152" w:type="pct"/>
            <w:noWrap w:val="0"/>
            <w:vAlign w:val="center"/>
          </w:tcPr>
          <w:p w14:paraId="28F039DC">
            <w:pPr>
              <w:pStyle w:val="384"/>
              <w:spacing w:line="360" w:lineRule="auto"/>
              <w:jc w:val="center"/>
              <w:rPr>
                <w:rFonts w:hint="eastAsia" w:ascii="宋体" w:eastAsia="宋体" w:cs="Times New Roman"/>
                <w:color w:val="auto"/>
                <w:highlight w:val="none"/>
              </w:rPr>
            </w:pPr>
          </w:p>
        </w:tc>
        <w:tc>
          <w:tcPr>
            <w:tcW w:w="731" w:type="pct"/>
            <w:noWrap w:val="0"/>
            <w:vAlign w:val="center"/>
          </w:tcPr>
          <w:p w14:paraId="6D2FDAB9">
            <w:pPr>
              <w:pStyle w:val="384"/>
              <w:spacing w:line="360" w:lineRule="auto"/>
              <w:jc w:val="center"/>
              <w:rPr>
                <w:rFonts w:hint="eastAsia" w:ascii="宋体" w:eastAsia="宋体" w:cs="Times New Roman"/>
                <w:color w:val="auto"/>
                <w:highlight w:val="none"/>
              </w:rPr>
            </w:pPr>
          </w:p>
        </w:tc>
        <w:tc>
          <w:tcPr>
            <w:tcW w:w="940" w:type="pct"/>
            <w:noWrap w:val="0"/>
            <w:vAlign w:val="top"/>
          </w:tcPr>
          <w:p w14:paraId="7309ECE5">
            <w:pPr>
              <w:pStyle w:val="384"/>
              <w:spacing w:line="360" w:lineRule="auto"/>
              <w:jc w:val="center"/>
              <w:rPr>
                <w:rFonts w:hint="eastAsia" w:ascii="宋体" w:eastAsia="宋体" w:cs="Times New Roman"/>
                <w:color w:val="auto"/>
                <w:highlight w:val="none"/>
              </w:rPr>
            </w:pPr>
          </w:p>
        </w:tc>
        <w:tc>
          <w:tcPr>
            <w:tcW w:w="851" w:type="pct"/>
            <w:noWrap w:val="0"/>
            <w:vAlign w:val="center"/>
          </w:tcPr>
          <w:p w14:paraId="53229AF2">
            <w:pPr>
              <w:pStyle w:val="384"/>
              <w:spacing w:line="360" w:lineRule="auto"/>
              <w:jc w:val="center"/>
              <w:rPr>
                <w:rFonts w:hint="eastAsia" w:ascii="宋体" w:eastAsia="宋体" w:cs="Times New Roman"/>
                <w:color w:val="auto"/>
                <w:highlight w:val="none"/>
              </w:rPr>
            </w:pPr>
          </w:p>
        </w:tc>
        <w:tc>
          <w:tcPr>
            <w:tcW w:w="976" w:type="pct"/>
            <w:noWrap w:val="0"/>
            <w:vAlign w:val="center"/>
          </w:tcPr>
          <w:p w14:paraId="35333E99">
            <w:pPr>
              <w:pStyle w:val="384"/>
              <w:spacing w:line="360" w:lineRule="auto"/>
              <w:jc w:val="center"/>
              <w:rPr>
                <w:rFonts w:hint="eastAsia" w:ascii="宋体" w:eastAsia="宋体" w:cs="Times New Roman"/>
                <w:color w:val="auto"/>
                <w:highlight w:val="none"/>
              </w:rPr>
            </w:pPr>
          </w:p>
        </w:tc>
      </w:tr>
      <w:tr w14:paraId="20FB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57F89D99">
            <w:pPr>
              <w:pStyle w:val="384"/>
              <w:spacing w:line="360" w:lineRule="auto"/>
              <w:jc w:val="center"/>
              <w:rPr>
                <w:rFonts w:hint="eastAsia" w:ascii="宋体" w:eastAsia="宋体" w:cs="Times New Roman"/>
                <w:color w:val="auto"/>
                <w:highlight w:val="none"/>
              </w:rPr>
            </w:pPr>
          </w:p>
        </w:tc>
        <w:tc>
          <w:tcPr>
            <w:tcW w:w="1152" w:type="pct"/>
            <w:noWrap w:val="0"/>
            <w:vAlign w:val="center"/>
          </w:tcPr>
          <w:p w14:paraId="2F813167">
            <w:pPr>
              <w:pStyle w:val="384"/>
              <w:spacing w:line="360" w:lineRule="auto"/>
              <w:jc w:val="center"/>
              <w:rPr>
                <w:rFonts w:hint="eastAsia" w:ascii="宋体" w:eastAsia="宋体" w:cs="Times New Roman"/>
                <w:color w:val="auto"/>
                <w:highlight w:val="none"/>
              </w:rPr>
            </w:pPr>
          </w:p>
        </w:tc>
        <w:tc>
          <w:tcPr>
            <w:tcW w:w="731" w:type="pct"/>
            <w:noWrap w:val="0"/>
            <w:vAlign w:val="center"/>
          </w:tcPr>
          <w:p w14:paraId="5140BE0F">
            <w:pPr>
              <w:pStyle w:val="384"/>
              <w:spacing w:line="360" w:lineRule="auto"/>
              <w:jc w:val="center"/>
              <w:rPr>
                <w:rFonts w:hint="eastAsia" w:ascii="宋体" w:eastAsia="宋体" w:cs="Times New Roman"/>
                <w:color w:val="auto"/>
                <w:highlight w:val="none"/>
              </w:rPr>
            </w:pPr>
          </w:p>
        </w:tc>
        <w:tc>
          <w:tcPr>
            <w:tcW w:w="940" w:type="pct"/>
            <w:noWrap w:val="0"/>
            <w:vAlign w:val="top"/>
          </w:tcPr>
          <w:p w14:paraId="344A597E">
            <w:pPr>
              <w:pStyle w:val="384"/>
              <w:spacing w:line="360" w:lineRule="auto"/>
              <w:jc w:val="center"/>
              <w:rPr>
                <w:rFonts w:hint="eastAsia" w:ascii="宋体" w:eastAsia="宋体" w:cs="Times New Roman"/>
                <w:color w:val="auto"/>
                <w:highlight w:val="none"/>
              </w:rPr>
            </w:pPr>
          </w:p>
        </w:tc>
        <w:tc>
          <w:tcPr>
            <w:tcW w:w="851" w:type="pct"/>
            <w:noWrap w:val="0"/>
            <w:vAlign w:val="center"/>
          </w:tcPr>
          <w:p w14:paraId="2AFB7C6A">
            <w:pPr>
              <w:pStyle w:val="384"/>
              <w:spacing w:line="360" w:lineRule="auto"/>
              <w:jc w:val="center"/>
              <w:rPr>
                <w:rFonts w:hint="eastAsia" w:ascii="宋体" w:eastAsia="宋体" w:cs="Times New Roman"/>
                <w:color w:val="auto"/>
                <w:highlight w:val="none"/>
              </w:rPr>
            </w:pPr>
          </w:p>
        </w:tc>
        <w:tc>
          <w:tcPr>
            <w:tcW w:w="976" w:type="pct"/>
            <w:noWrap w:val="0"/>
            <w:vAlign w:val="center"/>
          </w:tcPr>
          <w:p w14:paraId="1CFFC2BF">
            <w:pPr>
              <w:pStyle w:val="384"/>
              <w:spacing w:line="360" w:lineRule="auto"/>
              <w:jc w:val="center"/>
              <w:rPr>
                <w:rFonts w:hint="eastAsia" w:ascii="宋体" w:eastAsia="宋体" w:cs="Times New Roman"/>
                <w:color w:val="auto"/>
                <w:highlight w:val="none"/>
              </w:rPr>
            </w:pPr>
          </w:p>
        </w:tc>
      </w:tr>
      <w:tr w14:paraId="6808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2C8C6A66">
            <w:pPr>
              <w:pStyle w:val="384"/>
              <w:spacing w:line="360" w:lineRule="auto"/>
              <w:jc w:val="center"/>
              <w:rPr>
                <w:rFonts w:hint="eastAsia" w:ascii="宋体" w:eastAsia="宋体" w:cs="Times New Roman"/>
                <w:color w:val="auto"/>
                <w:highlight w:val="none"/>
              </w:rPr>
            </w:pPr>
          </w:p>
        </w:tc>
        <w:tc>
          <w:tcPr>
            <w:tcW w:w="1152" w:type="pct"/>
            <w:noWrap w:val="0"/>
            <w:vAlign w:val="center"/>
          </w:tcPr>
          <w:p w14:paraId="4E26BF01">
            <w:pPr>
              <w:pStyle w:val="384"/>
              <w:spacing w:line="360" w:lineRule="auto"/>
              <w:jc w:val="center"/>
              <w:rPr>
                <w:rFonts w:hint="eastAsia" w:ascii="宋体" w:eastAsia="宋体" w:cs="Times New Roman"/>
                <w:color w:val="auto"/>
                <w:highlight w:val="none"/>
              </w:rPr>
            </w:pPr>
          </w:p>
        </w:tc>
        <w:tc>
          <w:tcPr>
            <w:tcW w:w="731" w:type="pct"/>
            <w:noWrap w:val="0"/>
            <w:vAlign w:val="center"/>
          </w:tcPr>
          <w:p w14:paraId="532A4923">
            <w:pPr>
              <w:pStyle w:val="384"/>
              <w:spacing w:line="360" w:lineRule="auto"/>
              <w:jc w:val="center"/>
              <w:rPr>
                <w:rFonts w:hint="eastAsia" w:ascii="宋体" w:eastAsia="宋体" w:cs="Times New Roman"/>
                <w:color w:val="auto"/>
                <w:highlight w:val="none"/>
              </w:rPr>
            </w:pPr>
          </w:p>
        </w:tc>
        <w:tc>
          <w:tcPr>
            <w:tcW w:w="940" w:type="pct"/>
            <w:noWrap w:val="0"/>
            <w:vAlign w:val="top"/>
          </w:tcPr>
          <w:p w14:paraId="7E926971">
            <w:pPr>
              <w:pStyle w:val="384"/>
              <w:spacing w:line="360" w:lineRule="auto"/>
              <w:jc w:val="center"/>
              <w:rPr>
                <w:rFonts w:hint="eastAsia" w:ascii="宋体" w:eastAsia="宋体" w:cs="Times New Roman"/>
                <w:color w:val="auto"/>
                <w:highlight w:val="none"/>
              </w:rPr>
            </w:pPr>
          </w:p>
        </w:tc>
        <w:tc>
          <w:tcPr>
            <w:tcW w:w="851" w:type="pct"/>
            <w:noWrap w:val="0"/>
            <w:vAlign w:val="center"/>
          </w:tcPr>
          <w:p w14:paraId="57A0D856">
            <w:pPr>
              <w:pStyle w:val="384"/>
              <w:spacing w:line="360" w:lineRule="auto"/>
              <w:jc w:val="center"/>
              <w:rPr>
                <w:rFonts w:hint="eastAsia" w:ascii="宋体" w:eastAsia="宋体" w:cs="Times New Roman"/>
                <w:color w:val="auto"/>
                <w:highlight w:val="none"/>
              </w:rPr>
            </w:pPr>
          </w:p>
        </w:tc>
        <w:tc>
          <w:tcPr>
            <w:tcW w:w="976" w:type="pct"/>
            <w:noWrap w:val="0"/>
            <w:vAlign w:val="center"/>
          </w:tcPr>
          <w:p w14:paraId="646252EC">
            <w:pPr>
              <w:pStyle w:val="384"/>
              <w:spacing w:line="360" w:lineRule="auto"/>
              <w:jc w:val="center"/>
              <w:rPr>
                <w:rFonts w:hint="eastAsia" w:ascii="宋体" w:eastAsia="宋体" w:cs="Times New Roman"/>
                <w:color w:val="auto"/>
                <w:highlight w:val="none"/>
              </w:rPr>
            </w:pPr>
          </w:p>
        </w:tc>
      </w:tr>
      <w:tr w14:paraId="73C4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676D7E68">
            <w:pPr>
              <w:pStyle w:val="384"/>
              <w:spacing w:line="360" w:lineRule="auto"/>
              <w:jc w:val="center"/>
              <w:rPr>
                <w:rFonts w:hint="eastAsia" w:ascii="宋体" w:eastAsia="宋体" w:cs="Times New Roman"/>
                <w:color w:val="auto"/>
                <w:highlight w:val="none"/>
              </w:rPr>
            </w:pPr>
          </w:p>
        </w:tc>
        <w:tc>
          <w:tcPr>
            <w:tcW w:w="1152" w:type="pct"/>
            <w:noWrap w:val="0"/>
            <w:vAlign w:val="center"/>
          </w:tcPr>
          <w:p w14:paraId="7B2BBDBA">
            <w:pPr>
              <w:pStyle w:val="384"/>
              <w:spacing w:line="360" w:lineRule="auto"/>
              <w:jc w:val="center"/>
              <w:rPr>
                <w:rFonts w:hint="eastAsia" w:ascii="宋体" w:eastAsia="宋体" w:cs="Times New Roman"/>
                <w:color w:val="auto"/>
                <w:highlight w:val="none"/>
              </w:rPr>
            </w:pPr>
          </w:p>
        </w:tc>
        <w:tc>
          <w:tcPr>
            <w:tcW w:w="731" w:type="pct"/>
            <w:noWrap w:val="0"/>
            <w:vAlign w:val="center"/>
          </w:tcPr>
          <w:p w14:paraId="128BC869">
            <w:pPr>
              <w:pStyle w:val="384"/>
              <w:spacing w:line="360" w:lineRule="auto"/>
              <w:jc w:val="center"/>
              <w:rPr>
                <w:rFonts w:hint="eastAsia" w:ascii="宋体" w:eastAsia="宋体" w:cs="Times New Roman"/>
                <w:color w:val="auto"/>
                <w:highlight w:val="none"/>
              </w:rPr>
            </w:pPr>
          </w:p>
        </w:tc>
        <w:tc>
          <w:tcPr>
            <w:tcW w:w="940" w:type="pct"/>
            <w:noWrap w:val="0"/>
            <w:vAlign w:val="top"/>
          </w:tcPr>
          <w:p w14:paraId="2A9E0795">
            <w:pPr>
              <w:pStyle w:val="384"/>
              <w:spacing w:line="360" w:lineRule="auto"/>
              <w:jc w:val="center"/>
              <w:rPr>
                <w:rFonts w:hint="eastAsia" w:ascii="宋体" w:eastAsia="宋体" w:cs="Times New Roman"/>
                <w:color w:val="auto"/>
                <w:highlight w:val="none"/>
              </w:rPr>
            </w:pPr>
          </w:p>
        </w:tc>
        <w:tc>
          <w:tcPr>
            <w:tcW w:w="851" w:type="pct"/>
            <w:noWrap w:val="0"/>
            <w:vAlign w:val="center"/>
          </w:tcPr>
          <w:p w14:paraId="39EB8540">
            <w:pPr>
              <w:pStyle w:val="384"/>
              <w:spacing w:line="360" w:lineRule="auto"/>
              <w:jc w:val="center"/>
              <w:rPr>
                <w:rFonts w:hint="eastAsia" w:ascii="宋体" w:eastAsia="宋体" w:cs="Times New Roman"/>
                <w:color w:val="auto"/>
                <w:highlight w:val="none"/>
              </w:rPr>
            </w:pPr>
          </w:p>
        </w:tc>
        <w:tc>
          <w:tcPr>
            <w:tcW w:w="976" w:type="pct"/>
            <w:noWrap w:val="0"/>
            <w:vAlign w:val="center"/>
          </w:tcPr>
          <w:p w14:paraId="0DD40CF5">
            <w:pPr>
              <w:pStyle w:val="384"/>
              <w:spacing w:line="360" w:lineRule="auto"/>
              <w:jc w:val="center"/>
              <w:rPr>
                <w:rFonts w:hint="eastAsia" w:ascii="宋体" w:eastAsia="宋体" w:cs="Times New Roman"/>
                <w:color w:val="auto"/>
                <w:highlight w:val="none"/>
              </w:rPr>
            </w:pPr>
          </w:p>
        </w:tc>
      </w:tr>
      <w:tr w14:paraId="2AD5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322EF42B">
            <w:pPr>
              <w:pStyle w:val="384"/>
              <w:spacing w:line="360" w:lineRule="auto"/>
              <w:jc w:val="center"/>
              <w:rPr>
                <w:rFonts w:hint="eastAsia" w:ascii="宋体" w:eastAsia="宋体" w:cs="Times New Roman"/>
                <w:color w:val="auto"/>
                <w:highlight w:val="none"/>
              </w:rPr>
            </w:pPr>
          </w:p>
        </w:tc>
        <w:tc>
          <w:tcPr>
            <w:tcW w:w="1152" w:type="pct"/>
            <w:noWrap w:val="0"/>
            <w:vAlign w:val="center"/>
          </w:tcPr>
          <w:p w14:paraId="11779717">
            <w:pPr>
              <w:pStyle w:val="384"/>
              <w:spacing w:line="360" w:lineRule="auto"/>
              <w:jc w:val="center"/>
              <w:rPr>
                <w:rFonts w:hint="eastAsia" w:ascii="宋体" w:eastAsia="宋体" w:cs="Times New Roman"/>
                <w:color w:val="auto"/>
                <w:highlight w:val="none"/>
              </w:rPr>
            </w:pPr>
          </w:p>
        </w:tc>
        <w:tc>
          <w:tcPr>
            <w:tcW w:w="731" w:type="pct"/>
            <w:noWrap w:val="0"/>
            <w:vAlign w:val="center"/>
          </w:tcPr>
          <w:p w14:paraId="516ED1C5">
            <w:pPr>
              <w:pStyle w:val="384"/>
              <w:spacing w:line="360" w:lineRule="auto"/>
              <w:jc w:val="center"/>
              <w:rPr>
                <w:rFonts w:hint="eastAsia" w:ascii="宋体" w:eastAsia="宋体" w:cs="Times New Roman"/>
                <w:color w:val="auto"/>
                <w:highlight w:val="none"/>
              </w:rPr>
            </w:pPr>
          </w:p>
        </w:tc>
        <w:tc>
          <w:tcPr>
            <w:tcW w:w="940" w:type="pct"/>
            <w:noWrap w:val="0"/>
            <w:vAlign w:val="top"/>
          </w:tcPr>
          <w:p w14:paraId="129B0581">
            <w:pPr>
              <w:pStyle w:val="384"/>
              <w:spacing w:line="360" w:lineRule="auto"/>
              <w:jc w:val="center"/>
              <w:rPr>
                <w:rFonts w:hint="eastAsia" w:ascii="宋体" w:eastAsia="宋体" w:cs="Times New Roman"/>
                <w:color w:val="auto"/>
                <w:highlight w:val="none"/>
              </w:rPr>
            </w:pPr>
          </w:p>
        </w:tc>
        <w:tc>
          <w:tcPr>
            <w:tcW w:w="851" w:type="pct"/>
            <w:noWrap w:val="0"/>
            <w:vAlign w:val="center"/>
          </w:tcPr>
          <w:p w14:paraId="2AAC8B43">
            <w:pPr>
              <w:pStyle w:val="384"/>
              <w:spacing w:line="360" w:lineRule="auto"/>
              <w:jc w:val="center"/>
              <w:rPr>
                <w:rFonts w:hint="eastAsia" w:ascii="宋体" w:eastAsia="宋体" w:cs="Times New Roman"/>
                <w:color w:val="auto"/>
                <w:highlight w:val="none"/>
              </w:rPr>
            </w:pPr>
          </w:p>
        </w:tc>
        <w:tc>
          <w:tcPr>
            <w:tcW w:w="976" w:type="pct"/>
            <w:noWrap w:val="0"/>
            <w:vAlign w:val="center"/>
          </w:tcPr>
          <w:p w14:paraId="66A85957">
            <w:pPr>
              <w:pStyle w:val="384"/>
              <w:spacing w:line="360" w:lineRule="auto"/>
              <w:jc w:val="center"/>
              <w:rPr>
                <w:rFonts w:hint="eastAsia" w:ascii="宋体" w:eastAsia="宋体" w:cs="Times New Roman"/>
                <w:color w:val="auto"/>
                <w:highlight w:val="none"/>
              </w:rPr>
            </w:pPr>
          </w:p>
        </w:tc>
      </w:tr>
      <w:tr w14:paraId="3E45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181B7609">
            <w:pPr>
              <w:pStyle w:val="384"/>
              <w:spacing w:line="360" w:lineRule="auto"/>
              <w:jc w:val="center"/>
              <w:rPr>
                <w:rFonts w:hint="eastAsia" w:ascii="宋体" w:eastAsia="宋体" w:cs="Times New Roman"/>
                <w:color w:val="auto"/>
                <w:highlight w:val="none"/>
              </w:rPr>
            </w:pPr>
          </w:p>
        </w:tc>
        <w:tc>
          <w:tcPr>
            <w:tcW w:w="1152" w:type="pct"/>
            <w:noWrap w:val="0"/>
            <w:vAlign w:val="center"/>
          </w:tcPr>
          <w:p w14:paraId="4A45C436">
            <w:pPr>
              <w:pStyle w:val="384"/>
              <w:spacing w:line="360" w:lineRule="auto"/>
              <w:jc w:val="center"/>
              <w:rPr>
                <w:rFonts w:hint="eastAsia" w:ascii="宋体" w:eastAsia="宋体" w:cs="Times New Roman"/>
                <w:color w:val="auto"/>
                <w:highlight w:val="none"/>
              </w:rPr>
            </w:pPr>
          </w:p>
        </w:tc>
        <w:tc>
          <w:tcPr>
            <w:tcW w:w="731" w:type="pct"/>
            <w:noWrap w:val="0"/>
            <w:vAlign w:val="center"/>
          </w:tcPr>
          <w:p w14:paraId="23648BE6">
            <w:pPr>
              <w:pStyle w:val="384"/>
              <w:spacing w:line="360" w:lineRule="auto"/>
              <w:jc w:val="center"/>
              <w:rPr>
                <w:rFonts w:hint="eastAsia" w:ascii="宋体" w:eastAsia="宋体" w:cs="Times New Roman"/>
                <w:color w:val="auto"/>
                <w:highlight w:val="none"/>
              </w:rPr>
            </w:pPr>
          </w:p>
        </w:tc>
        <w:tc>
          <w:tcPr>
            <w:tcW w:w="940" w:type="pct"/>
            <w:noWrap w:val="0"/>
            <w:vAlign w:val="top"/>
          </w:tcPr>
          <w:p w14:paraId="07B837DA">
            <w:pPr>
              <w:pStyle w:val="384"/>
              <w:spacing w:line="360" w:lineRule="auto"/>
              <w:jc w:val="center"/>
              <w:rPr>
                <w:rFonts w:hint="eastAsia" w:ascii="宋体" w:eastAsia="宋体" w:cs="Times New Roman"/>
                <w:color w:val="auto"/>
                <w:highlight w:val="none"/>
              </w:rPr>
            </w:pPr>
          </w:p>
        </w:tc>
        <w:tc>
          <w:tcPr>
            <w:tcW w:w="851" w:type="pct"/>
            <w:noWrap w:val="0"/>
            <w:vAlign w:val="center"/>
          </w:tcPr>
          <w:p w14:paraId="751BC45A">
            <w:pPr>
              <w:pStyle w:val="384"/>
              <w:spacing w:line="360" w:lineRule="auto"/>
              <w:jc w:val="center"/>
              <w:rPr>
                <w:rFonts w:hint="eastAsia" w:ascii="宋体" w:eastAsia="宋体" w:cs="Times New Roman"/>
                <w:color w:val="auto"/>
                <w:highlight w:val="none"/>
              </w:rPr>
            </w:pPr>
          </w:p>
        </w:tc>
        <w:tc>
          <w:tcPr>
            <w:tcW w:w="976" w:type="pct"/>
            <w:noWrap w:val="0"/>
            <w:vAlign w:val="center"/>
          </w:tcPr>
          <w:p w14:paraId="0894EB85">
            <w:pPr>
              <w:pStyle w:val="384"/>
              <w:spacing w:line="360" w:lineRule="auto"/>
              <w:jc w:val="center"/>
              <w:rPr>
                <w:rFonts w:hint="eastAsia" w:ascii="宋体" w:eastAsia="宋体" w:cs="Times New Roman"/>
                <w:color w:val="auto"/>
                <w:highlight w:val="none"/>
              </w:rPr>
            </w:pPr>
          </w:p>
        </w:tc>
      </w:tr>
      <w:tr w14:paraId="3548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22DD0223">
            <w:pPr>
              <w:pStyle w:val="384"/>
              <w:spacing w:line="360" w:lineRule="auto"/>
              <w:jc w:val="center"/>
              <w:rPr>
                <w:rFonts w:hint="eastAsia" w:ascii="宋体" w:eastAsia="宋体" w:cs="Times New Roman"/>
                <w:color w:val="auto"/>
                <w:highlight w:val="none"/>
              </w:rPr>
            </w:pPr>
          </w:p>
        </w:tc>
        <w:tc>
          <w:tcPr>
            <w:tcW w:w="1152" w:type="pct"/>
            <w:noWrap w:val="0"/>
            <w:vAlign w:val="center"/>
          </w:tcPr>
          <w:p w14:paraId="3E1D08B8">
            <w:pPr>
              <w:pStyle w:val="384"/>
              <w:spacing w:line="360" w:lineRule="auto"/>
              <w:jc w:val="center"/>
              <w:rPr>
                <w:rFonts w:hint="eastAsia" w:ascii="宋体" w:eastAsia="宋体" w:cs="Times New Roman"/>
                <w:color w:val="auto"/>
                <w:highlight w:val="none"/>
              </w:rPr>
            </w:pPr>
          </w:p>
        </w:tc>
        <w:tc>
          <w:tcPr>
            <w:tcW w:w="731" w:type="pct"/>
            <w:noWrap w:val="0"/>
            <w:vAlign w:val="center"/>
          </w:tcPr>
          <w:p w14:paraId="585B2C9F">
            <w:pPr>
              <w:pStyle w:val="384"/>
              <w:spacing w:line="360" w:lineRule="auto"/>
              <w:jc w:val="center"/>
              <w:rPr>
                <w:rFonts w:hint="eastAsia" w:ascii="宋体" w:eastAsia="宋体" w:cs="Times New Roman"/>
                <w:color w:val="auto"/>
                <w:highlight w:val="none"/>
              </w:rPr>
            </w:pPr>
          </w:p>
        </w:tc>
        <w:tc>
          <w:tcPr>
            <w:tcW w:w="940" w:type="pct"/>
            <w:noWrap w:val="0"/>
            <w:vAlign w:val="top"/>
          </w:tcPr>
          <w:p w14:paraId="6BF7701A">
            <w:pPr>
              <w:pStyle w:val="384"/>
              <w:spacing w:line="360" w:lineRule="auto"/>
              <w:jc w:val="center"/>
              <w:rPr>
                <w:rFonts w:hint="eastAsia" w:ascii="宋体" w:eastAsia="宋体" w:cs="Times New Roman"/>
                <w:color w:val="auto"/>
                <w:highlight w:val="none"/>
              </w:rPr>
            </w:pPr>
          </w:p>
        </w:tc>
        <w:tc>
          <w:tcPr>
            <w:tcW w:w="851" w:type="pct"/>
            <w:noWrap w:val="0"/>
            <w:vAlign w:val="center"/>
          </w:tcPr>
          <w:p w14:paraId="7D780BCA">
            <w:pPr>
              <w:pStyle w:val="384"/>
              <w:spacing w:line="360" w:lineRule="auto"/>
              <w:jc w:val="center"/>
              <w:rPr>
                <w:rFonts w:hint="eastAsia" w:ascii="宋体" w:eastAsia="宋体" w:cs="Times New Roman"/>
                <w:color w:val="auto"/>
                <w:highlight w:val="none"/>
              </w:rPr>
            </w:pPr>
          </w:p>
        </w:tc>
        <w:tc>
          <w:tcPr>
            <w:tcW w:w="976" w:type="pct"/>
            <w:noWrap w:val="0"/>
            <w:vAlign w:val="center"/>
          </w:tcPr>
          <w:p w14:paraId="25927F58">
            <w:pPr>
              <w:pStyle w:val="384"/>
              <w:spacing w:line="360" w:lineRule="auto"/>
              <w:jc w:val="center"/>
              <w:rPr>
                <w:rFonts w:hint="eastAsia" w:ascii="宋体" w:eastAsia="宋体" w:cs="Times New Roman"/>
                <w:color w:val="auto"/>
                <w:highlight w:val="none"/>
              </w:rPr>
            </w:pPr>
          </w:p>
        </w:tc>
      </w:tr>
      <w:tr w14:paraId="66F5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6" w:type="pct"/>
            <w:noWrap w:val="0"/>
            <w:vAlign w:val="center"/>
          </w:tcPr>
          <w:p w14:paraId="3A90C0FA">
            <w:pPr>
              <w:pStyle w:val="384"/>
              <w:spacing w:line="360" w:lineRule="auto"/>
              <w:jc w:val="center"/>
              <w:rPr>
                <w:rFonts w:hint="eastAsia" w:ascii="宋体" w:eastAsia="宋体" w:cs="Times New Roman"/>
                <w:color w:val="auto"/>
                <w:highlight w:val="none"/>
              </w:rPr>
            </w:pPr>
          </w:p>
        </w:tc>
        <w:tc>
          <w:tcPr>
            <w:tcW w:w="1152" w:type="pct"/>
            <w:noWrap w:val="0"/>
            <w:vAlign w:val="center"/>
          </w:tcPr>
          <w:p w14:paraId="0D35096B">
            <w:pPr>
              <w:pStyle w:val="384"/>
              <w:spacing w:line="360" w:lineRule="auto"/>
              <w:jc w:val="center"/>
              <w:rPr>
                <w:rFonts w:hint="eastAsia" w:ascii="宋体" w:eastAsia="宋体" w:cs="Times New Roman"/>
                <w:color w:val="auto"/>
                <w:highlight w:val="none"/>
              </w:rPr>
            </w:pPr>
          </w:p>
        </w:tc>
        <w:tc>
          <w:tcPr>
            <w:tcW w:w="731" w:type="pct"/>
            <w:noWrap w:val="0"/>
            <w:vAlign w:val="center"/>
          </w:tcPr>
          <w:p w14:paraId="36A73E69">
            <w:pPr>
              <w:pStyle w:val="384"/>
              <w:spacing w:line="360" w:lineRule="auto"/>
              <w:jc w:val="center"/>
              <w:rPr>
                <w:rFonts w:hint="eastAsia" w:ascii="宋体" w:eastAsia="宋体" w:cs="Times New Roman"/>
                <w:color w:val="auto"/>
                <w:highlight w:val="none"/>
              </w:rPr>
            </w:pPr>
          </w:p>
        </w:tc>
        <w:tc>
          <w:tcPr>
            <w:tcW w:w="940" w:type="pct"/>
            <w:noWrap w:val="0"/>
            <w:vAlign w:val="top"/>
          </w:tcPr>
          <w:p w14:paraId="0777B2B2">
            <w:pPr>
              <w:pStyle w:val="384"/>
              <w:spacing w:line="360" w:lineRule="auto"/>
              <w:jc w:val="center"/>
              <w:rPr>
                <w:rFonts w:hint="eastAsia" w:ascii="宋体" w:eastAsia="宋体" w:cs="Times New Roman"/>
                <w:color w:val="auto"/>
                <w:highlight w:val="none"/>
              </w:rPr>
            </w:pPr>
          </w:p>
        </w:tc>
        <w:tc>
          <w:tcPr>
            <w:tcW w:w="851" w:type="pct"/>
            <w:noWrap w:val="0"/>
            <w:vAlign w:val="center"/>
          </w:tcPr>
          <w:p w14:paraId="43DE4181">
            <w:pPr>
              <w:pStyle w:val="384"/>
              <w:spacing w:line="360" w:lineRule="auto"/>
              <w:jc w:val="center"/>
              <w:rPr>
                <w:rFonts w:hint="eastAsia" w:ascii="宋体" w:eastAsia="宋体" w:cs="Times New Roman"/>
                <w:color w:val="auto"/>
                <w:highlight w:val="none"/>
              </w:rPr>
            </w:pPr>
          </w:p>
        </w:tc>
        <w:tc>
          <w:tcPr>
            <w:tcW w:w="976" w:type="pct"/>
            <w:noWrap w:val="0"/>
            <w:vAlign w:val="center"/>
          </w:tcPr>
          <w:p w14:paraId="304CAFDD">
            <w:pPr>
              <w:pStyle w:val="384"/>
              <w:spacing w:line="360" w:lineRule="auto"/>
              <w:jc w:val="center"/>
              <w:rPr>
                <w:rFonts w:hint="eastAsia" w:ascii="宋体" w:eastAsia="宋体" w:cs="Times New Roman"/>
                <w:color w:val="auto"/>
                <w:highlight w:val="none"/>
              </w:rPr>
            </w:pPr>
          </w:p>
        </w:tc>
      </w:tr>
    </w:tbl>
    <w:p w14:paraId="7B5D7FED">
      <w:pPr>
        <w:snapToGrid w:val="0"/>
        <w:spacing w:line="480" w:lineRule="auto"/>
        <w:ind w:left="506" w:leftChars="114" w:right="357" w:hanging="263" w:hangingChars="108"/>
        <w:rPr>
          <w:rFonts w:hint="eastAsia" w:ascii="宋体" w:hAnsi="宋体" w:cs="宋体"/>
          <w:color w:val="auto"/>
          <w:sz w:val="24"/>
          <w:highlight w:val="none"/>
        </w:rPr>
      </w:pPr>
      <w:r>
        <w:rPr>
          <w:rFonts w:hint="eastAsia" w:ascii="宋体" w:hAnsi="宋体" w:cs="宋体"/>
          <w:color w:val="auto"/>
          <w:sz w:val="24"/>
          <w:highlight w:val="none"/>
        </w:rPr>
        <w:t>注 1. 投标人应如实列出以上情况，如有隐瞒，一经查实将导致其投标被拒绝。</w:t>
      </w:r>
    </w:p>
    <w:p w14:paraId="420962D4">
      <w:pPr>
        <w:pStyle w:val="80"/>
        <w:spacing w:line="480" w:lineRule="auto"/>
        <w:ind w:firstLine="732" w:firstLineChars="300"/>
        <w:rPr>
          <w:color w:val="auto"/>
          <w:highlight w:val="none"/>
        </w:rPr>
      </w:pPr>
      <w:r>
        <w:rPr>
          <w:rFonts w:hint="eastAsia" w:ascii="宋体" w:hAnsi="宋体" w:cs="宋体"/>
          <w:color w:val="auto"/>
          <w:sz w:val="24"/>
          <w:highlight w:val="none"/>
        </w:rPr>
        <w:t>2.</w:t>
      </w:r>
      <w:r>
        <w:rPr>
          <w:rFonts w:ascii="宋体" w:hAnsi="宋体" w:cs="宋体"/>
          <w:color w:val="auto"/>
          <w:sz w:val="24"/>
          <w:szCs w:val="24"/>
          <w:highlight w:val="none"/>
        </w:rPr>
        <w:t>评委保留对上述资料原件审核的权利。</w:t>
      </w:r>
    </w:p>
    <w:p w14:paraId="7D0E8870">
      <w:pPr>
        <w:pStyle w:val="80"/>
        <w:rPr>
          <w:rFonts w:hint="eastAsia"/>
          <w:color w:val="auto"/>
          <w:highlight w:val="none"/>
        </w:rPr>
      </w:pPr>
    </w:p>
    <w:p w14:paraId="183649F2">
      <w:pPr>
        <w:tabs>
          <w:tab w:val="left" w:pos="4860"/>
        </w:tabs>
        <w:spacing w:line="588" w:lineRule="exact"/>
        <w:ind w:right="1560" w:firstLine="512" w:firstLineChars="200"/>
        <w:jc w:val="right"/>
        <w:rPr>
          <w:color w:val="auto"/>
          <w:spacing w:val="6"/>
          <w:sz w:val="24"/>
          <w:highlight w:val="none"/>
        </w:rPr>
      </w:pPr>
      <w:r>
        <w:rPr>
          <w:color w:val="auto"/>
          <w:spacing w:val="6"/>
          <w:sz w:val="24"/>
          <w:highlight w:val="none"/>
        </w:rPr>
        <w:t xml:space="preserve">  单位名称（盖章）：</w:t>
      </w:r>
    </w:p>
    <w:p w14:paraId="7093319C">
      <w:pPr>
        <w:tabs>
          <w:tab w:val="left" w:pos="4860"/>
        </w:tabs>
        <w:spacing w:line="588" w:lineRule="exact"/>
        <w:ind w:right="1560" w:firstLine="4096" w:firstLineChars="1600"/>
        <w:jc w:val="right"/>
        <w:rPr>
          <w:color w:val="auto"/>
          <w:spacing w:val="6"/>
          <w:sz w:val="24"/>
          <w:highlight w:val="none"/>
        </w:rPr>
      </w:pPr>
      <w:r>
        <w:rPr>
          <w:color w:val="auto"/>
          <w:spacing w:val="6"/>
          <w:sz w:val="24"/>
          <w:highlight w:val="none"/>
        </w:rPr>
        <w:t>日  期：</w:t>
      </w:r>
    </w:p>
    <w:p w14:paraId="60DFCEF6">
      <w:pPr>
        <w:spacing w:line="360" w:lineRule="auto"/>
        <w:rPr>
          <w:color w:val="auto"/>
          <w:szCs w:val="20"/>
          <w:highlight w:val="none"/>
        </w:rPr>
      </w:pPr>
    </w:p>
    <w:p w14:paraId="7617262F">
      <w:pPr>
        <w:spacing w:line="360" w:lineRule="auto"/>
        <w:rPr>
          <w:color w:val="auto"/>
          <w:szCs w:val="20"/>
          <w:highlight w:val="none"/>
        </w:rPr>
      </w:pPr>
    </w:p>
    <w:p w14:paraId="779E9E68">
      <w:pPr>
        <w:spacing w:line="360" w:lineRule="auto"/>
        <w:rPr>
          <w:color w:val="auto"/>
          <w:szCs w:val="20"/>
          <w:highlight w:val="none"/>
        </w:rPr>
      </w:pPr>
    </w:p>
    <w:p w14:paraId="50B1A920">
      <w:pPr>
        <w:spacing w:line="360" w:lineRule="auto"/>
        <w:rPr>
          <w:color w:val="auto"/>
          <w:szCs w:val="20"/>
          <w:highlight w:val="none"/>
        </w:rPr>
      </w:pPr>
    </w:p>
    <w:p w14:paraId="2724CFB1">
      <w:pPr>
        <w:spacing w:line="360" w:lineRule="auto"/>
        <w:rPr>
          <w:color w:val="auto"/>
          <w:szCs w:val="20"/>
          <w:highlight w:val="none"/>
        </w:rPr>
      </w:pPr>
    </w:p>
    <w:p w14:paraId="7BD8ED7D">
      <w:pPr>
        <w:spacing w:line="360" w:lineRule="auto"/>
        <w:rPr>
          <w:color w:val="auto"/>
          <w:szCs w:val="20"/>
          <w:highlight w:val="none"/>
        </w:rPr>
      </w:pPr>
    </w:p>
    <w:p w14:paraId="3B21AC70">
      <w:pPr>
        <w:spacing w:line="360" w:lineRule="auto"/>
        <w:rPr>
          <w:color w:val="auto"/>
          <w:szCs w:val="20"/>
          <w:highlight w:val="none"/>
        </w:rPr>
      </w:pPr>
    </w:p>
    <w:p w14:paraId="57467571">
      <w:pPr>
        <w:spacing w:line="360" w:lineRule="auto"/>
        <w:rPr>
          <w:color w:val="auto"/>
          <w:sz w:val="24"/>
          <w:szCs w:val="20"/>
          <w:highlight w:val="none"/>
        </w:rPr>
      </w:pPr>
      <w:r>
        <w:rPr>
          <w:rFonts w:hint="eastAsia" w:ascii="宋体" w:hAnsi="宋体" w:cs="宋体"/>
          <w:color w:val="auto"/>
          <w:sz w:val="30"/>
          <w:szCs w:val="30"/>
          <w:highlight w:val="none"/>
        </w:rPr>
        <w:t>9 招标文件要求提供或投标人认为应附的其他材料</w:t>
      </w:r>
    </w:p>
    <w:p w14:paraId="3D70BA34">
      <w:pPr>
        <w:autoSpaceDE w:val="0"/>
        <w:autoSpaceDN w:val="0"/>
        <w:adjustRightInd w:val="0"/>
        <w:spacing w:line="480" w:lineRule="auto"/>
        <w:jc w:val="center"/>
        <w:rPr>
          <w:rFonts w:ascii="宋体" w:hAnsi="宋体" w:cs="宋体"/>
          <w:color w:val="auto"/>
          <w:sz w:val="24"/>
          <w:highlight w:val="none"/>
        </w:rPr>
      </w:pPr>
    </w:p>
    <w:p w14:paraId="0A641C28">
      <w:pPr>
        <w:spacing w:line="480" w:lineRule="auto"/>
        <w:jc w:val="left"/>
        <w:rPr>
          <w:rFonts w:hint="eastAsia" w:ascii="宋体" w:hAnsi="宋体"/>
          <w:b/>
          <w:color w:val="auto"/>
          <w:sz w:val="30"/>
          <w:szCs w:val="30"/>
          <w:highlight w:val="none"/>
        </w:rPr>
      </w:pPr>
    </w:p>
    <w:p w14:paraId="755C2007">
      <w:pPr>
        <w:pStyle w:val="86"/>
        <w:ind w:firstLine="301"/>
        <w:rPr>
          <w:rFonts w:hint="eastAsia" w:hAnsi="宋体"/>
          <w:b/>
          <w:color w:val="auto"/>
          <w:sz w:val="30"/>
          <w:szCs w:val="30"/>
          <w:highlight w:val="none"/>
        </w:rPr>
      </w:pPr>
    </w:p>
    <w:p w14:paraId="78612040">
      <w:pPr>
        <w:pStyle w:val="68"/>
        <w:rPr>
          <w:rFonts w:hint="eastAsia" w:ascii="宋体" w:hAnsi="宋体"/>
          <w:b/>
          <w:color w:val="auto"/>
          <w:sz w:val="30"/>
          <w:szCs w:val="30"/>
          <w:highlight w:val="none"/>
        </w:rPr>
      </w:pPr>
    </w:p>
    <w:p w14:paraId="25094AB9">
      <w:pPr>
        <w:rPr>
          <w:rFonts w:hint="eastAsia" w:ascii="宋体" w:hAnsi="宋体"/>
          <w:b/>
          <w:color w:val="auto"/>
          <w:sz w:val="30"/>
          <w:szCs w:val="30"/>
          <w:highlight w:val="none"/>
        </w:rPr>
      </w:pPr>
    </w:p>
    <w:p w14:paraId="69F03157">
      <w:pPr>
        <w:pStyle w:val="86"/>
        <w:ind w:firstLine="301"/>
        <w:rPr>
          <w:rFonts w:hint="eastAsia" w:hAnsi="宋体"/>
          <w:b/>
          <w:color w:val="auto"/>
          <w:sz w:val="30"/>
          <w:szCs w:val="30"/>
          <w:highlight w:val="none"/>
        </w:rPr>
      </w:pPr>
    </w:p>
    <w:p w14:paraId="4EF7B3BC">
      <w:pPr>
        <w:pStyle w:val="68"/>
        <w:rPr>
          <w:rFonts w:hint="eastAsia" w:ascii="宋体" w:hAnsi="宋体"/>
          <w:b/>
          <w:color w:val="auto"/>
          <w:sz w:val="30"/>
          <w:szCs w:val="30"/>
          <w:highlight w:val="none"/>
        </w:rPr>
      </w:pPr>
    </w:p>
    <w:p w14:paraId="6B9CD8B3">
      <w:pPr>
        <w:rPr>
          <w:rFonts w:hint="eastAsia" w:ascii="宋体" w:hAnsi="宋体"/>
          <w:b/>
          <w:color w:val="auto"/>
          <w:sz w:val="30"/>
          <w:szCs w:val="30"/>
          <w:highlight w:val="none"/>
        </w:rPr>
      </w:pPr>
    </w:p>
    <w:p w14:paraId="1FBB6EE9">
      <w:pPr>
        <w:pStyle w:val="86"/>
        <w:ind w:firstLine="301"/>
        <w:rPr>
          <w:rFonts w:hint="eastAsia" w:hAnsi="宋体"/>
          <w:b/>
          <w:color w:val="auto"/>
          <w:sz w:val="30"/>
          <w:szCs w:val="30"/>
          <w:highlight w:val="none"/>
        </w:rPr>
      </w:pPr>
    </w:p>
    <w:p w14:paraId="781E30D1">
      <w:pPr>
        <w:pStyle w:val="68"/>
        <w:rPr>
          <w:rFonts w:hint="eastAsia" w:ascii="宋体" w:hAnsi="宋体"/>
          <w:b/>
          <w:color w:val="auto"/>
          <w:sz w:val="30"/>
          <w:szCs w:val="30"/>
          <w:highlight w:val="none"/>
        </w:rPr>
      </w:pPr>
    </w:p>
    <w:p w14:paraId="3C0ACF7B">
      <w:pPr>
        <w:rPr>
          <w:rFonts w:hint="eastAsia" w:ascii="宋体" w:hAnsi="宋体"/>
          <w:b/>
          <w:color w:val="auto"/>
          <w:sz w:val="30"/>
          <w:szCs w:val="30"/>
          <w:highlight w:val="none"/>
        </w:rPr>
      </w:pPr>
    </w:p>
    <w:p w14:paraId="0F67D51A">
      <w:pPr>
        <w:pStyle w:val="86"/>
        <w:ind w:firstLine="301"/>
        <w:rPr>
          <w:rFonts w:hint="eastAsia" w:hAnsi="宋体"/>
          <w:b/>
          <w:color w:val="auto"/>
          <w:sz w:val="30"/>
          <w:szCs w:val="30"/>
          <w:highlight w:val="none"/>
        </w:rPr>
      </w:pPr>
    </w:p>
    <w:p w14:paraId="2431D0BD">
      <w:pPr>
        <w:pStyle w:val="68"/>
        <w:rPr>
          <w:rFonts w:hint="eastAsia" w:ascii="宋体" w:hAnsi="宋体"/>
          <w:b/>
          <w:color w:val="auto"/>
          <w:sz w:val="30"/>
          <w:szCs w:val="30"/>
          <w:highlight w:val="none"/>
        </w:rPr>
      </w:pPr>
    </w:p>
    <w:p w14:paraId="7FE74F3C">
      <w:pPr>
        <w:rPr>
          <w:rFonts w:hint="eastAsia" w:ascii="宋体" w:hAnsi="宋体"/>
          <w:b/>
          <w:color w:val="auto"/>
          <w:sz w:val="30"/>
          <w:szCs w:val="30"/>
          <w:highlight w:val="none"/>
        </w:rPr>
      </w:pPr>
    </w:p>
    <w:p w14:paraId="700ACDBD">
      <w:pPr>
        <w:pStyle w:val="86"/>
        <w:ind w:firstLine="301"/>
        <w:rPr>
          <w:rFonts w:hint="eastAsia" w:hAnsi="宋体"/>
          <w:b/>
          <w:color w:val="auto"/>
          <w:sz w:val="30"/>
          <w:szCs w:val="30"/>
          <w:highlight w:val="none"/>
        </w:rPr>
      </w:pPr>
    </w:p>
    <w:p w14:paraId="7E51014B">
      <w:pPr>
        <w:pStyle w:val="68"/>
        <w:rPr>
          <w:rFonts w:hint="eastAsia" w:ascii="宋体" w:hAnsi="宋体"/>
          <w:b/>
          <w:color w:val="auto"/>
          <w:sz w:val="30"/>
          <w:szCs w:val="30"/>
          <w:highlight w:val="none"/>
        </w:rPr>
      </w:pPr>
    </w:p>
    <w:p w14:paraId="46ABD776">
      <w:pPr>
        <w:rPr>
          <w:rFonts w:hint="eastAsia" w:ascii="宋体" w:hAnsi="宋体"/>
          <w:b/>
          <w:color w:val="auto"/>
          <w:sz w:val="30"/>
          <w:szCs w:val="30"/>
          <w:highlight w:val="none"/>
        </w:rPr>
      </w:pPr>
    </w:p>
    <w:p w14:paraId="71A49FC8">
      <w:pPr>
        <w:pStyle w:val="86"/>
        <w:ind w:firstLine="301"/>
        <w:rPr>
          <w:rFonts w:hint="eastAsia" w:hAnsi="宋体"/>
          <w:b/>
          <w:color w:val="auto"/>
          <w:sz w:val="30"/>
          <w:szCs w:val="30"/>
          <w:highlight w:val="none"/>
        </w:rPr>
      </w:pPr>
    </w:p>
    <w:p w14:paraId="5713223C">
      <w:pPr>
        <w:pStyle w:val="68"/>
        <w:rPr>
          <w:rFonts w:hint="eastAsia" w:ascii="宋体" w:hAnsi="宋体"/>
          <w:b/>
          <w:color w:val="auto"/>
          <w:sz w:val="30"/>
          <w:szCs w:val="30"/>
          <w:highlight w:val="none"/>
        </w:rPr>
      </w:pPr>
    </w:p>
    <w:p w14:paraId="7DEB908B">
      <w:pPr>
        <w:rPr>
          <w:rFonts w:hint="eastAsia"/>
          <w:color w:val="auto"/>
          <w:highlight w:val="none"/>
        </w:rPr>
      </w:pPr>
    </w:p>
    <w:p w14:paraId="4136AC6D">
      <w:pPr>
        <w:spacing w:line="480" w:lineRule="auto"/>
        <w:jc w:val="left"/>
        <w:rPr>
          <w:rFonts w:hint="eastAsia" w:ascii="宋体" w:hAnsi="宋体"/>
          <w:b/>
          <w:color w:val="auto"/>
          <w:sz w:val="30"/>
          <w:szCs w:val="30"/>
          <w:highlight w:val="none"/>
        </w:rPr>
      </w:pPr>
    </w:p>
    <w:p w14:paraId="67BAA96C">
      <w:pPr>
        <w:spacing w:line="48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资格证明文件格式</w:t>
      </w:r>
    </w:p>
    <w:p w14:paraId="0B9A6328">
      <w:pPr>
        <w:spacing w:line="360" w:lineRule="auto"/>
        <w:rPr>
          <w:color w:val="auto"/>
          <w:sz w:val="24"/>
          <w:szCs w:val="20"/>
          <w:highlight w:val="none"/>
        </w:rPr>
      </w:pPr>
      <w:r>
        <w:rPr>
          <w:rFonts w:hint="eastAsia" w:ascii="宋体" w:hAnsi="宋体" w:cs="宋体"/>
          <w:color w:val="auto"/>
          <w:sz w:val="24"/>
          <w:szCs w:val="20"/>
          <w:highlight w:val="none"/>
        </w:rPr>
        <w:t xml:space="preserve">1 </w:t>
      </w:r>
      <w:r>
        <w:rPr>
          <w:color w:val="auto"/>
          <w:sz w:val="24"/>
          <w:highlight w:val="none"/>
        </w:rPr>
        <w:t>满足《中华人民共和国政府采购法》第二十二条规定及法律法规的其他规定</w:t>
      </w:r>
    </w:p>
    <w:p w14:paraId="3772B65B">
      <w:pPr>
        <w:spacing w:line="360" w:lineRule="auto"/>
        <w:rPr>
          <w:color w:val="auto"/>
          <w:sz w:val="24"/>
          <w:szCs w:val="20"/>
          <w:highlight w:val="none"/>
        </w:rPr>
      </w:pPr>
      <w:r>
        <w:rPr>
          <w:rFonts w:hint="eastAsia" w:ascii="宋体" w:hAnsi="宋体" w:cs="宋体"/>
          <w:color w:val="auto"/>
          <w:sz w:val="24"/>
          <w:szCs w:val="20"/>
          <w:highlight w:val="none"/>
        </w:rPr>
        <w:t>1-1</w:t>
      </w:r>
      <w:r>
        <w:rPr>
          <w:color w:val="auto"/>
          <w:sz w:val="24"/>
          <w:szCs w:val="20"/>
          <w:highlight w:val="none"/>
        </w:rPr>
        <w:t>营业执照等证明文件</w:t>
      </w:r>
    </w:p>
    <w:p w14:paraId="26A1629F">
      <w:pPr>
        <w:spacing w:line="360" w:lineRule="auto"/>
        <w:jc w:val="center"/>
        <w:rPr>
          <w:rFonts w:hint="eastAsia" w:ascii="宋体" w:hAnsi="宋体"/>
          <w:b/>
          <w:color w:val="auto"/>
          <w:sz w:val="30"/>
          <w:szCs w:val="30"/>
          <w:highlight w:val="none"/>
        </w:rPr>
      </w:pPr>
    </w:p>
    <w:p w14:paraId="7F32A1EC">
      <w:pPr>
        <w:pStyle w:val="80"/>
        <w:rPr>
          <w:rFonts w:hint="eastAsia" w:ascii="宋体" w:hAnsi="宋体"/>
          <w:b/>
          <w:color w:val="auto"/>
          <w:sz w:val="30"/>
          <w:szCs w:val="30"/>
          <w:highlight w:val="none"/>
        </w:rPr>
      </w:pPr>
    </w:p>
    <w:p w14:paraId="5F9A94CE">
      <w:pPr>
        <w:pStyle w:val="80"/>
        <w:rPr>
          <w:rFonts w:hint="eastAsia" w:ascii="宋体" w:hAnsi="宋体"/>
          <w:b/>
          <w:color w:val="auto"/>
          <w:sz w:val="30"/>
          <w:szCs w:val="30"/>
          <w:highlight w:val="none"/>
        </w:rPr>
      </w:pPr>
    </w:p>
    <w:p w14:paraId="3D7D1939">
      <w:pPr>
        <w:pStyle w:val="80"/>
        <w:rPr>
          <w:rFonts w:hint="eastAsia" w:ascii="宋体" w:hAnsi="宋体"/>
          <w:b/>
          <w:color w:val="auto"/>
          <w:sz w:val="30"/>
          <w:szCs w:val="30"/>
          <w:highlight w:val="none"/>
        </w:rPr>
      </w:pPr>
    </w:p>
    <w:p w14:paraId="1601DF34">
      <w:pPr>
        <w:pStyle w:val="80"/>
        <w:rPr>
          <w:rFonts w:hint="eastAsia" w:ascii="宋体" w:hAnsi="宋体"/>
          <w:b/>
          <w:color w:val="auto"/>
          <w:sz w:val="30"/>
          <w:szCs w:val="30"/>
          <w:highlight w:val="none"/>
        </w:rPr>
      </w:pPr>
    </w:p>
    <w:p w14:paraId="57A0B642">
      <w:pPr>
        <w:pStyle w:val="80"/>
        <w:rPr>
          <w:rFonts w:hint="eastAsia" w:ascii="宋体" w:hAnsi="宋体"/>
          <w:b/>
          <w:color w:val="auto"/>
          <w:sz w:val="30"/>
          <w:szCs w:val="30"/>
          <w:highlight w:val="none"/>
        </w:rPr>
      </w:pPr>
    </w:p>
    <w:p w14:paraId="0CE24CDC">
      <w:pPr>
        <w:pStyle w:val="80"/>
        <w:rPr>
          <w:rFonts w:hint="eastAsia" w:ascii="宋体" w:hAnsi="宋体"/>
          <w:b/>
          <w:color w:val="auto"/>
          <w:sz w:val="30"/>
          <w:szCs w:val="30"/>
          <w:highlight w:val="none"/>
        </w:rPr>
      </w:pPr>
    </w:p>
    <w:p w14:paraId="3A104451">
      <w:pPr>
        <w:pStyle w:val="80"/>
        <w:rPr>
          <w:rFonts w:hint="eastAsia" w:ascii="宋体" w:hAnsi="宋体"/>
          <w:b/>
          <w:color w:val="auto"/>
          <w:sz w:val="30"/>
          <w:szCs w:val="30"/>
          <w:highlight w:val="none"/>
        </w:rPr>
      </w:pPr>
    </w:p>
    <w:p w14:paraId="393A8CFF">
      <w:pPr>
        <w:pStyle w:val="80"/>
        <w:rPr>
          <w:rFonts w:hint="eastAsia" w:ascii="宋体" w:hAnsi="宋体"/>
          <w:b/>
          <w:color w:val="auto"/>
          <w:sz w:val="30"/>
          <w:szCs w:val="30"/>
          <w:highlight w:val="none"/>
        </w:rPr>
      </w:pPr>
    </w:p>
    <w:p w14:paraId="1CCF6670">
      <w:pPr>
        <w:pStyle w:val="80"/>
        <w:rPr>
          <w:rFonts w:hint="eastAsia" w:ascii="宋体" w:hAnsi="宋体"/>
          <w:b/>
          <w:color w:val="auto"/>
          <w:sz w:val="30"/>
          <w:szCs w:val="30"/>
          <w:highlight w:val="none"/>
        </w:rPr>
      </w:pPr>
    </w:p>
    <w:p w14:paraId="1CA90604">
      <w:pPr>
        <w:pStyle w:val="80"/>
        <w:rPr>
          <w:rFonts w:hint="eastAsia" w:ascii="宋体" w:hAnsi="宋体"/>
          <w:b/>
          <w:color w:val="auto"/>
          <w:sz w:val="30"/>
          <w:szCs w:val="30"/>
          <w:highlight w:val="none"/>
        </w:rPr>
      </w:pPr>
    </w:p>
    <w:p w14:paraId="695CA852">
      <w:pPr>
        <w:pStyle w:val="80"/>
        <w:rPr>
          <w:rFonts w:hint="eastAsia" w:ascii="宋体" w:hAnsi="宋体"/>
          <w:b/>
          <w:color w:val="auto"/>
          <w:sz w:val="30"/>
          <w:szCs w:val="30"/>
          <w:highlight w:val="none"/>
        </w:rPr>
      </w:pPr>
    </w:p>
    <w:p w14:paraId="6ADDBD04">
      <w:pPr>
        <w:pStyle w:val="80"/>
        <w:rPr>
          <w:rFonts w:hint="eastAsia" w:ascii="宋体" w:hAnsi="宋体"/>
          <w:b/>
          <w:color w:val="auto"/>
          <w:sz w:val="30"/>
          <w:szCs w:val="30"/>
          <w:highlight w:val="none"/>
        </w:rPr>
      </w:pPr>
    </w:p>
    <w:p w14:paraId="0B38EC03">
      <w:pPr>
        <w:pStyle w:val="80"/>
        <w:rPr>
          <w:rFonts w:hint="eastAsia" w:ascii="宋体" w:hAnsi="宋体"/>
          <w:b/>
          <w:color w:val="auto"/>
          <w:sz w:val="30"/>
          <w:szCs w:val="30"/>
          <w:highlight w:val="none"/>
        </w:rPr>
      </w:pPr>
    </w:p>
    <w:p w14:paraId="0D574F7C">
      <w:pPr>
        <w:pStyle w:val="80"/>
        <w:rPr>
          <w:rFonts w:hint="eastAsia" w:ascii="宋体" w:hAnsi="宋体"/>
          <w:b/>
          <w:color w:val="auto"/>
          <w:sz w:val="30"/>
          <w:szCs w:val="30"/>
          <w:highlight w:val="none"/>
        </w:rPr>
      </w:pPr>
    </w:p>
    <w:p w14:paraId="10AC5151">
      <w:pPr>
        <w:pStyle w:val="80"/>
        <w:rPr>
          <w:rFonts w:hint="eastAsia" w:ascii="宋体" w:hAnsi="宋体"/>
          <w:b/>
          <w:color w:val="auto"/>
          <w:sz w:val="30"/>
          <w:szCs w:val="30"/>
          <w:highlight w:val="none"/>
        </w:rPr>
      </w:pPr>
    </w:p>
    <w:p w14:paraId="4B161854">
      <w:pPr>
        <w:pStyle w:val="80"/>
        <w:rPr>
          <w:rFonts w:hint="eastAsia" w:ascii="宋体" w:hAnsi="宋体"/>
          <w:b/>
          <w:color w:val="auto"/>
          <w:sz w:val="30"/>
          <w:szCs w:val="30"/>
          <w:highlight w:val="none"/>
        </w:rPr>
      </w:pPr>
    </w:p>
    <w:p w14:paraId="757B41E4">
      <w:pPr>
        <w:pStyle w:val="80"/>
        <w:rPr>
          <w:rFonts w:hint="eastAsia" w:ascii="宋体" w:hAnsi="宋体"/>
          <w:b/>
          <w:color w:val="auto"/>
          <w:sz w:val="30"/>
          <w:szCs w:val="30"/>
          <w:highlight w:val="none"/>
        </w:rPr>
      </w:pPr>
    </w:p>
    <w:p w14:paraId="1C8154C4">
      <w:pPr>
        <w:pStyle w:val="80"/>
        <w:rPr>
          <w:rFonts w:hint="eastAsia" w:ascii="宋体" w:hAnsi="宋体"/>
          <w:b/>
          <w:color w:val="auto"/>
          <w:sz w:val="30"/>
          <w:szCs w:val="30"/>
          <w:highlight w:val="none"/>
        </w:rPr>
      </w:pPr>
    </w:p>
    <w:p w14:paraId="086D72AB">
      <w:pPr>
        <w:pStyle w:val="80"/>
        <w:rPr>
          <w:rFonts w:hint="eastAsia" w:ascii="宋体" w:hAnsi="宋体"/>
          <w:b/>
          <w:color w:val="auto"/>
          <w:sz w:val="30"/>
          <w:szCs w:val="30"/>
          <w:highlight w:val="none"/>
        </w:rPr>
      </w:pPr>
    </w:p>
    <w:p w14:paraId="416FD74E">
      <w:pPr>
        <w:spacing w:line="360" w:lineRule="auto"/>
        <w:rPr>
          <w:rFonts w:hint="eastAsia" w:ascii="宋体"/>
          <w:b/>
          <w:color w:val="auto"/>
          <w:sz w:val="24"/>
          <w:highlight w:val="none"/>
        </w:rPr>
      </w:pPr>
    </w:p>
    <w:p w14:paraId="1E44659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 投标人资格声明书（实质性格式）</w:t>
      </w:r>
    </w:p>
    <w:p w14:paraId="441499AA">
      <w:pPr>
        <w:jc w:val="center"/>
        <w:rPr>
          <w:color w:val="auto"/>
          <w:sz w:val="24"/>
          <w:highlight w:val="none"/>
        </w:rPr>
      </w:pPr>
      <w:r>
        <w:rPr>
          <w:rFonts w:hint="eastAsia"/>
          <w:b/>
          <w:color w:val="auto"/>
          <w:sz w:val="36"/>
          <w:szCs w:val="36"/>
          <w:highlight w:val="none"/>
        </w:rPr>
        <w:t>投标人资格声明书</w:t>
      </w:r>
    </w:p>
    <w:p w14:paraId="323070E1">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39EF19CF">
      <w:pPr>
        <w:spacing w:line="360" w:lineRule="auto"/>
        <w:ind w:firstLine="488" w:firstLineChars="200"/>
        <w:rPr>
          <w:color w:val="auto"/>
          <w:sz w:val="24"/>
          <w:highlight w:val="none"/>
        </w:rPr>
      </w:pPr>
      <w:r>
        <w:rPr>
          <w:color w:val="auto"/>
          <w:sz w:val="24"/>
          <w:highlight w:val="none"/>
        </w:rPr>
        <w:t>在参与本次项目投标中，我单位承诺：</w:t>
      </w:r>
    </w:p>
    <w:p w14:paraId="7144240B">
      <w:pPr>
        <w:numPr>
          <w:ilvl w:val="0"/>
          <w:numId w:val="34"/>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1A9794B8">
      <w:pPr>
        <w:numPr>
          <w:ilvl w:val="0"/>
          <w:numId w:val="34"/>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22FABD0B">
      <w:pPr>
        <w:numPr>
          <w:ilvl w:val="0"/>
          <w:numId w:val="34"/>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1C854C19">
      <w:pPr>
        <w:numPr>
          <w:ilvl w:val="0"/>
          <w:numId w:val="34"/>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30BD07">
      <w:pPr>
        <w:numPr>
          <w:ilvl w:val="0"/>
          <w:numId w:val="34"/>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768C3A91">
      <w:pPr>
        <w:numPr>
          <w:ilvl w:val="0"/>
          <w:numId w:val="34"/>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0DE331E6">
      <w:pPr>
        <w:numPr>
          <w:ilvl w:val="0"/>
          <w:numId w:val="34"/>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1C91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3DE0F69">
            <w:pPr>
              <w:jc w:val="center"/>
              <w:rPr>
                <w:rFonts w:eastAsia="宋体" w:cs="Times New Roman"/>
                <w:color w:val="auto"/>
                <w:sz w:val="24"/>
                <w:highlight w:val="none"/>
              </w:rPr>
            </w:pPr>
            <w:r>
              <w:rPr>
                <w:rFonts w:eastAsia="宋体" w:cs="Times New Roman"/>
                <w:color w:val="auto"/>
                <w:sz w:val="24"/>
                <w:highlight w:val="none"/>
              </w:rPr>
              <w:t>序号</w:t>
            </w:r>
          </w:p>
        </w:tc>
        <w:tc>
          <w:tcPr>
            <w:tcW w:w="4574" w:type="dxa"/>
            <w:noWrap w:val="0"/>
            <w:vAlign w:val="center"/>
          </w:tcPr>
          <w:p w14:paraId="37248928">
            <w:pPr>
              <w:jc w:val="center"/>
              <w:rPr>
                <w:rFonts w:eastAsia="宋体" w:cs="Times New Roman"/>
                <w:color w:val="auto"/>
                <w:sz w:val="24"/>
                <w:highlight w:val="none"/>
              </w:rPr>
            </w:pPr>
            <w:r>
              <w:rPr>
                <w:rFonts w:eastAsia="宋体" w:cs="Times New Roman"/>
                <w:color w:val="auto"/>
                <w:sz w:val="24"/>
                <w:highlight w:val="none"/>
              </w:rPr>
              <w:t>单位名称</w:t>
            </w:r>
          </w:p>
        </w:tc>
        <w:tc>
          <w:tcPr>
            <w:tcW w:w="2976" w:type="dxa"/>
            <w:noWrap w:val="0"/>
            <w:vAlign w:val="center"/>
          </w:tcPr>
          <w:p w14:paraId="06A26CCB">
            <w:pPr>
              <w:jc w:val="center"/>
              <w:rPr>
                <w:rFonts w:eastAsia="宋体" w:cs="Times New Roman"/>
                <w:color w:val="auto"/>
                <w:sz w:val="24"/>
                <w:highlight w:val="none"/>
              </w:rPr>
            </w:pPr>
            <w:r>
              <w:rPr>
                <w:rFonts w:eastAsia="宋体" w:cs="Times New Roman"/>
                <w:color w:val="auto"/>
                <w:sz w:val="24"/>
                <w:highlight w:val="none"/>
              </w:rPr>
              <w:t>相互关系</w:t>
            </w:r>
          </w:p>
        </w:tc>
      </w:tr>
      <w:tr w14:paraId="0C48F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21805D6">
            <w:pPr>
              <w:jc w:val="center"/>
              <w:rPr>
                <w:rFonts w:eastAsia="宋体" w:cs="Times New Roman"/>
                <w:color w:val="auto"/>
                <w:sz w:val="24"/>
                <w:highlight w:val="none"/>
              </w:rPr>
            </w:pPr>
            <w:r>
              <w:rPr>
                <w:rFonts w:eastAsia="宋体" w:cs="Times New Roman"/>
                <w:color w:val="auto"/>
                <w:sz w:val="24"/>
                <w:highlight w:val="none"/>
              </w:rPr>
              <w:t>1</w:t>
            </w:r>
          </w:p>
        </w:tc>
        <w:tc>
          <w:tcPr>
            <w:tcW w:w="4574" w:type="dxa"/>
            <w:noWrap w:val="0"/>
            <w:vAlign w:val="center"/>
          </w:tcPr>
          <w:p w14:paraId="37DA7AEE">
            <w:pPr>
              <w:jc w:val="center"/>
              <w:rPr>
                <w:rFonts w:eastAsia="宋体" w:cs="Times New Roman"/>
                <w:color w:val="auto"/>
                <w:sz w:val="24"/>
                <w:highlight w:val="none"/>
              </w:rPr>
            </w:pPr>
          </w:p>
        </w:tc>
        <w:tc>
          <w:tcPr>
            <w:tcW w:w="2976" w:type="dxa"/>
            <w:noWrap w:val="0"/>
            <w:vAlign w:val="center"/>
          </w:tcPr>
          <w:p w14:paraId="37167D0A">
            <w:pPr>
              <w:jc w:val="center"/>
              <w:rPr>
                <w:rFonts w:eastAsia="宋体" w:cs="Times New Roman"/>
                <w:color w:val="auto"/>
                <w:sz w:val="24"/>
                <w:highlight w:val="none"/>
              </w:rPr>
            </w:pPr>
          </w:p>
        </w:tc>
      </w:tr>
      <w:tr w14:paraId="5D9C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752E838">
            <w:pPr>
              <w:jc w:val="center"/>
              <w:rPr>
                <w:rFonts w:eastAsia="宋体" w:cs="Times New Roman"/>
                <w:color w:val="auto"/>
                <w:sz w:val="24"/>
                <w:highlight w:val="none"/>
              </w:rPr>
            </w:pPr>
            <w:r>
              <w:rPr>
                <w:rFonts w:eastAsia="宋体" w:cs="Times New Roman"/>
                <w:color w:val="auto"/>
                <w:sz w:val="24"/>
                <w:highlight w:val="none"/>
              </w:rPr>
              <w:t>2</w:t>
            </w:r>
          </w:p>
        </w:tc>
        <w:tc>
          <w:tcPr>
            <w:tcW w:w="4574" w:type="dxa"/>
            <w:noWrap w:val="0"/>
            <w:vAlign w:val="center"/>
          </w:tcPr>
          <w:p w14:paraId="01907CFA">
            <w:pPr>
              <w:jc w:val="center"/>
              <w:rPr>
                <w:rFonts w:eastAsia="宋体" w:cs="Times New Roman"/>
                <w:color w:val="auto"/>
                <w:sz w:val="24"/>
                <w:highlight w:val="none"/>
              </w:rPr>
            </w:pPr>
          </w:p>
        </w:tc>
        <w:tc>
          <w:tcPr>
            <w:tcW w:w="2976" w:type="dxa"/>
            <w:noWrap w:val="0"/>
            <w:vAlign w:val="center"/>
          </w:tcPr>
          <w:p w14:paraId="2559A0EE">
            <w:pPr>
              <w:jc w:val="center"/>
              <w:rPr>
                <w:rFonts w:eastAsia="宋体" w:cs="Times New Roman"/>
                <w:color w:val="auto"/>
                <w:sz w:val="24"/>
                <w:highlight w:val="none"/>
              </w:rPr>
            </w:pPr>
          </w:p>
        </w:tc>
      </w:tr>
      <w:tr w14:paraId="4A0D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F79179B">
            <w:pPr>
              <w:jc w:val="center"/>
              <w:rPr>
                <w:rFonts w:eastAsia="宋体" w:cs="Times New Roman"/>
                <w:color w:val="auto"/>
                <w:sz w:val="24"/>
                <w:highlight w:val="none"/>
              </w:rPr>
            </w:pPr>
            <w:r>
              <w:rPr>
                <w:rFonts w:eastAsia="宋体" w:cs="Times New Roman"/>
                <w:color w:val="auto"/>
                <w:sz w:val="24"/>
                <w:highlight w:val="none"/>
              </w:rPr>
              <w:t>…</w:t>
            </w:r>
          </w:p>
        </w:tc>
        <w:tc>
          <w:tcPr>
            <w:tcW w:w="4574" w:type="dxa"/>
            <w:noWrap w:val="0"/>
            <w:vAlign w:val="center"/>
          </w:tcPr>
          <w:p w14:paraId="7BEFA800">
            <w:pPr>
              <w:jc w:val="center"/>
              <w:rPr>
                <w:rFonts w:eastAsia="宋体" w:cs="Times New Roman"/>
                <w:color w:val="auto"/>
                <w:sz w:val="24"/>
                <w:highlight w:val="none"/>
              </w:rPr>
            </w:pPr>
          </w:p>
        </w:tc>
        <w:tc>
          <w:tcPr>
            <w:tcW w:w="2976" w:type="dxa"/>
            <w:noWrap w:val="0"/>
            <w:vAlign w:val="center"/>
          </w:tcPr>
          <w:p w14:paraId="3CA9F57E">
            <w:pPr>
              <w:jc w:val="center"/>
              <w:rPr>
                <w:rFonts w:eastAsia="宋体" w:cs="Times New Roman"/>
                <w:color w:val="auto"/>
                <w:sz w:val="24"/>
                <w:highlight w:val="none"/>
              </w:rPr>
            </w:pPr>
          </w:p>
        </w:tc>
      </w:tr>
    </w:tbl>
    <w:p w14:paraId="3EAFC7B0">
      <w:pPr>
        <w:rPr>
          <w:color w:val="auto"/>
          <w:highlight w:val="none"/>
        </w:rPr>
      </w:pPr>
    </w:p>
    <w:p w14:paraId="05481698">
      <w:pPr>
        <w:ind w:firstLine="488" w:firstLineChars="200"/>
        <w:rPr>
          <w:color w:val="auto"/>
          <w:sz w:val="24"/>
          <w:szCs w:val="22"/>
          <w:highlight w:val="none"/>
        </w:rPr>
      </w:pPr>
      <w:r>
        <w:rPr>
          <w:color w:val="auto"/>
          <w:sz w:val="24"/>
          <w:highlight w:val="none"/>
        </w:rPr>
        <w:t>上述声明真实有效，否则我方负全部责任。</w:t>
      </w:r>
    </w:p>
    <w:p w14:paraId="1A566EB3">
      <w:pPr>
        <w:spacing w:line="360" w:lineRule="auto"/>
        <w:rPr>
          <w:color w:val="auto"/>
          <w:sz w:val="24"/>
          <w:highlight w:val="none"/>
        </w:rPr>
      </w:pPr>
    </w:p>
    <w:p w14:paraId="4E1D1686">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0CBB5349">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012B7F45">
      <w:pPr>
        <w:pStyle w:val="21"/>
        <w:ind w:firstLine="480"/>
        <w:rPr>
          <w:rFonts w:hint="eastAsia"/>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p>
    <w:p w14:paraId="1FF97A0E">
      <w:pPr>
        <w:pStyle w:val="21"/>
        <w:ind w:firstLine="480"/>
        <w:rPr>
          <w:rFonts w:hint="eastAsia"/>
          <w:color w:val="auto"/>
          <w:sz w:val="24"/>
          <w:highlight w:val="none"/>
        </w:rPr>
      </w:pPr>
    </w:p>
    <w:p w14:paraId="4BCB304A">
      <w:pPr>
        <w:spacing w:line="480" w:lineRule="auto"/>
        <w:ind w:firstLine="244" w:firstLineChars="100"/>
        <w:rPr>
          <w:rFonts w:hint="eastAsia" w:ascii="宋体" w:eastAsia="宋体"/>
          <w:b/>
          <w:color w:val="auto"/>
          <w:sz w:val="24"/>
          <w:highlight w:val="none"/>
          <w:lang w:eastAsia="zh-CN"/>
        </w:rPr>
      </w:pPr>
      <w:r>
        <w:rPr>
          <w:rFonts w:hint="eastAsia" w:ascii="宋体"/>
          <w:bCs/>
          <w:color w:val="auto"/>
          <w:sz w:val="24"/>
          <w:highlight w:val="none"/>
        </w:rPr>
        <w:t xml:space="preserve">1-3 </w:t>
      </w:r>
      <w:r>
        <w:rPr>
          <w:rFonts w:hint="eastAsia" w:ascii="宋体"/>
          <w:b/>
          <w:color w:val="auto"/>
          <w:sz w:val="24"/>
          <w:highlight w:val="none"/>
        </w:rPr>
        <w:t>供应商须提供会计师事务所出具的</w:t>
      </w:r>
      <w:r>
        <w:rPr>
          <w:rFonts w:hint="eastAsia" w:ascii="宋体"/>
          <w:b/>
          <w:color w:val="auto"/>
          <w:sz w:val="24"/>
          <w:highlight w:val="none"/>
          <w:lang w:eastAsia="zh-CN"/>
        </w:rPr>
        <w:t>2023年度或2024年度财务审计报告复印件或银行在开标日前三个月内开具的资信证明</w:t>
      </w:r>
      <w:r>
        <w:rPr>
          <w:rFonts w:hint="eastAsia" w:ascii="宋体"/>
          <w:b/>
          <w:color w:val="auto"/>
          <w:sz w:val="24"/>
          <w:highlight w:val="none"/>
        </w:rPr>
        <w:t>（新成立公司提供自成立以来的财务报表）</w:t>
      </w:r>
      <w:r>
        <w:rPr>
          <w:rFonts w:hint="eastAsia" w:ascii="宋体"/>
          <w:b/>
          <w:color w:val="auto"/>
          <w:sz w:val="24"/>
          <w:highlight w:val="none"/>
          <w:lang w:eastAsia="zh-CN"/>
        </w:rPr>
        <w:t>，加盖公章</w:t>
      </w:r>
    </w:p>
    <w:p w14:paraId="4544D34E">
      <w:pPr>
        <w:spacing w:line="480" w:lineRule="auto"/>
        <w:rPr>
          <w:rFonts w:hint="eastAsia" w:ascii="宋体"/>
          <w:color w:val="auto"/>
          <w:sz w:val="24"/>
          <w:highlight w:val="none"/>
        </w:rPr>
      </w:pPr>
      <w:r>
        <w:rPr>
          <w:rFonts w:hint="eastAsia" w:ascii="宋体"/>
          <w:color w:val="auto"/>
          <w:sz w:val="24"/>
          <w:highlight w:val="none"/>
        </w:rPr>
        <w:t>说明：1）财务审计报告必须是经会计师事务所出具的完整的财务审计报告。</w:t>
      </w:r>
    </w:p>
    <w:p w14:paraId="2A781DEA">
      <w:pPr>
        <w:spacing w:line="480" w:lineRule="auto"/>
        <w:rPr>
          <w:rFonts w:hint="eastAsia" w:ascii="宋体"/>
          <w:color w:val="auto"/>
          <w:sz w:val="24"/>
          <w:highlight w:val="none"/>
        </w:rPr>
      </w:pPr>
      <w:r>
        <w:rPr>
          <w:rFonts w:hint="eastAsia" w:ascii="宋体"/>
          <w:color w:val="auto"/>
          <w:sz w:val="24"/>
          <w:highlight w:val="none"/>
        </w:rPr>
        <w:t xml:space="preserve">      2）银行资信证明应能说明该投标人与银行之间业务往来正常，企业信誉良好等。银行出具的存款证明不能替代银行资信证明，存款证明无效。</w:t>
      </w:r>
    </w:p>
    <w:p w14:paraId="35235D6B">
      <w:pPr>
        <w:spacing w:line="480" w:lineRule="auto"/>
        <w:rPr>
          <w:rFonts w:hint="eastAsia" w:ascii="宋体"/>
          <w:color w:val="auto"/>
          <w:sz w:val="24"/>
          <w:highlight w:val="none"/>
        </w:rPr>
      </w:pPr>
      <w:r>
        <w:rPr>
          <w:rFonts w:hint="eastAsia" w:ascii="宋体"/>
          <w:color w:val="auto"/>
          <w:sz w:val="24"/>
          <w:highlight w:val="none"/>
        </w:rPr>
        <w:t xml:space="preserve">      3）银行资信证明可提供原件（附在投标文件正本中），也可提供银行在开标日前三个月内开具的资信证明的复印件。若提供的是复印件，采购人保留审核原件的权利。</w:t>
      </w:r>
    </w:p>
    <w:p w14:paraId="6F898103">
      <w:pPr>
        <w:spacing w:line="480" w:lineRule="auto"/>
        <w:ind w:firstLine="480"/>
        <w:rPr>
          <w:rFonts w:hint="eastAsia" w:ascii="宋体" w:hAnsi="宋体" w:cs="仿宋_GB2312"/>
          <w:b/>
          <w:color w:val="auto"/>
          <w:sz w:val="24"/>
          <w:highlight w:val="none"/>
        </w:rPr>
      </w:pPr>
    </w:p>
    <w:p w14:paraId="2AA19377">
      <w:pPr>
        <w:pStyle w:val="39"/>
        <w:rPr>
          <w:rFonts w:hint="eastAsia" w:hAnsi="宋体" w:cs="仿宋_GB2312"/>
          <w:b/>
          <w:color w:val="auto"/>
          <w:sz w:val="24"/>
          <w:highlight w:val="none"/>
        </w:rPr>
      </w:pPr>
    </w:p>
    <w:p w14:paraId="3B7895E5">
      <w:pPr>
        <w:pStyle w:val="39"/>
        <w:rPr>
          <w:rFonts w:hint="eastAsia" w:hAnsi="宋体" w:cs="仿宋_GB2312"/>
          <w:b/>
          <w:color w:val="auto"/>
          <w:sz w:val="24"/>
          <w:highlight w:val="none"/>
        </w:rPr>
      </w:pPr>
    </w:p>
    <w:p w14:paraId="080154E7">
      <w:pPr>
        <w:pStyle w:val="39"/>
        <w:rPr>
          <w:rFonts w:hint="eastAsia" w:hAnsi="宋体" w:cs="仿宋_GB2312"/>
          <w:b/>
          <w:color w:val="auto"/>
          <w:sz w:val="24"/>
          <w:highlight w:val="none"/>
        </w:rPr>
      </w:pPr>
    </w:p>
    <w:p w14:paraId="0332E35E">
      <w:pPr>
        <w:pStyle w:val="39"/>
        <w:rPr>
          <w:rFonts w:hint="eastAsia" w:hAnsi="宋体" w:cs="仿宋_GB2312"/>
          <w:b/>
          <w:color w:val="auto"/>
          <w:sz w:val="24"/>
          <w:highlight w:val="none"/>
        </w:rPr>
      </w:pPr>
    </w:p>
    <w:p w14:paraId="6D0C4989">
      <w:pPr>
        <w:pStyle w:val="39"/>
        <w:rPr>
          <w:rFonts w:hint="eastAsia" w:hAnsi="宋体" w:cs="仿宋_GB2312"/>
          <w:b/>
          <w:color w:val="auto"/>
          <w:sz w:val="24"/>
          <w:highlight w:val="none"/>
        </w:rPr>
      </w:pPr>
    </w:p>
    <w:p w14:paraId="7D8E9224">
      <w:pPr>
        <w:pStyle w:val="39"/>
        <w:rPr>
          <w:rFonts w:hint="eastAsia" w:hAnsi="宋体" w:cs="仿宋_GB2312"/>
          <w:b/>
          <w:color w:val="auto"/>
          <w:sz w:val="24"/>
          <w:highlight w:val="none"/>
        </w:rPr>
      </w:pPr>
    </w:p>
    <w:p w14:paraId="26FAF387">
      <w:pPr>
        <w:spacing w:line="360" w:lineRule="auto"/>
        <w:ind w:firstLine="244" w:firstLineChars="100"/>
        <w:rPr>
          <w:rFonts w:hint="eastAsia" w:ascii="宋体"/>
          <w:b/>
          <w:color w:val="auto"/>
          <w:sz w:val="24"/>
          <w:highlight w:val="none"/>
        </w:rPr>
      </w:pPr>
      <w:r>
        <w:rPr>
          <w:rFonts w:hint="eastAsia" w:ascii="宋体"/>
          <w:bCs/>
          <w:color w:val="auto"/>
          <w:sz w:val="24"/>
          <w:highlight w:val="none"/>
        </w:rPr>
        <w:t>1-4</w:t>
      </w:r>
      <w:r>
        <w:rPr>
          <w:rFonts w:hint="eastAsia" w:ascii="宋体"/>
          <w:b/>
          <w:color w:val="auto"/>
          <w:sz w:val="24"/>
          <w:highlight w:val="none"/>
        </w:rPr>
        <w:t xml:space="preserve"> 具备履行合同所必需的设备和专业技术能力的</w:t>
      </w:r>
      <w:r>
        <w:rPr>
          <w:rFonts w:hint="eastAsia" w:ascii="宋体"/>
          <w:b/>
          <w:color w:val="auto"/>
          <w:sz w:val="24"/>
          <w:highlight w:val="none"/>
          <w:lang w:eastAsia="zh-CN"/>
        </w:rPr>
        <w:t>证明材料或</w:t>
      </w:r>
      <w:r>
        <w:rPr>
          <w:rFonts w:hint="eastAsia" w:ascii="宋体"/>
          <w:b/>
          <w:color w:val="auto"/>
          <w:sz w:val="24"/>
          <w:highlight w:val="none"/>
        </w:rPr>
        <w:t>承诺（格式自拟须加盖</w:t>
      </w:r>
    </w:p>
    <w:p w14:paraId="67763900">
      <w:pPr>
        <w:spacing w:line="360" w:lineRule="auto"/>
        <w:ind w:firstLine="244" w:firstLineChars="100"/>
        <w:rPr>
          <w:rFonts w:hint="eastAsia" w:ascii="宋体"/>
          <w:b/>
          <w:color w:val="auto"/>
          <w:sz w:val="24"/>
          <w:highlight w:val="none"/>
        </w:rPr>
      </w:pPr>
      <w:r>
        <w:rPr>
          <w:rFonts w:hint="eastAsia" w:ascii="宋体"/>
          <w:b/>
          <w:color w:val="auto"/>
          <w:sz w:val="24"/>
          <w:highlight w:val="none"/>
        </w:rPr>
        <w:t>投标人公章）</w:t>
      </w:r>
    </w:p>
    <w:p w14:paraId="1AEB62B8">
      <w:pPr>
        <w:spacing w:line="360" w:lineRule="auto"/>
        <w:ind w:firstLine="244" w:firstLineChars="100"/>
        <w:rPr>
          <w:rFonts w:hint="eastAsia" w:ascii="宋体"/>
          <w:b/>
          <w:color w:val="auto"/>
          <w:sz w:val="24"/>
          <w:highlight w:val="none"/>
        </w:rPr>
      </w:pPr>
    </w:p>
    <w:p w14:paraId="7176AFB7">
      <w:pPr>
        <w:spacing w:line="360" w:lineRule="auto"/>
        <w:rPr>
          <w:rFonts w:hint="eastAsia" w:ascii="宋体"/>
          <w:b/>
          <w:color w:val="auto"/>
          <w:sz w:val="30"/>
          <w:szCs w:val="30"/>
          <w:highlight w:val="none"/>
        </w:rPr>
      </w:pPr>
    </w:p>
    <w:p w14:paraId="2FA9E0CD">
      <w:pPr>
        <w:pStyle w:val="80"/>
        <w:rPr>
          <w:rFonts w:hint="eastAsia" w:ascii="宋体"/>
          <w:b/>
          <w:color w:val="auto"/>
          <w:sz w:val="30"/>
          <w:szCs w:val="30"/>
          <w:highlight w:val="none"/>
        </w:rPr>
      </w:pPr>
    </w:p>
    <w:p w14:paraId="3099DB53">
      <w:pPr>
        <w:pStyle w:val="80"/>
        <w:rPr>
          <w:rFonts w:hint="eastAsia" w:ascii="宋体"/>
          <w:b/>
          <w:color w:val="auto"/>
          <w:sz w:val="30"/>
          <w:szCs w:val="30"/>
          <w:highlight w:val="none"/>
        </w:rPr>
      </w:pPr>
    </w:p>
    <w:p w14:paraId="4E9A0BAE">
      <w:pPr>
        <w:pStyle w:val="80"/>
        <w:rPr>
          <w:rFonts w:hint="eastAsia" w:ascii="宋体"/>
          <w:b/>
          <w:color w:val="auto"/>
          <w:sz w:val="30"/>
          <w:szCs w:val="30"/>
          <w:highlight w:val="none"/>
        </w:rPr>
      </w:pPr>
    </w:p>
    <w:p w14:paraId="1CF06E1E">
      <w:pPr>
        <w:pStyle w:val="80"/>
        <w:rPr>
          <w:rFonts w:hint="eastAsia" w:ascii="宋体"/>
          <w:b/>
          <w:color w:val="auto"/>
          <w:sz w:val="30"/>
          <w:szCs w:val="30"/>
          <w:highlight w:val="none"/>
        </w:rPr>
      </w:pPr>
    </w:p>
    <w:p w14:paraId="6FDDC27C">
      <w:pPr>
        <w:pStyle w:val="80"/>
        <w:rPr>
          <w:rFonts w:hint="eastAsia" w:ascii="宋体"/>
          <w:b/>
          <w:color w:val="auto"/>
          <w:sz w:val="30"/>
          <w:szCs w:val="30"/>
          <w:highlight w:val="none"/>
        </w:rPr>
      </w:pPr>
    </w:p>
    <w:p w14:paraId="7BFEC9AD">
      <w:pPr>
        <w:pStyle w:val="80"/>
        <w:rPr>
          <w:rFonts w:hint="eastAsia" w:ascii="宋体"/>
          <w:b/>
          <w:color w:val="auto"/>
          <w:sz w:val="30"/>
          <w:szCs w:val="30"/>
          <w:highlight w:val="none"/>
        </w:rPr>
      </w:pPr>
    </w:p>
    <w:p w14:paraId="3C422EF3">
      <w:pPr>
        <w:pStyle w:val="80"/>
        <w:rPr>
          <w:rFonts w:hint="eastAsia" w:ascii="宋体"/>
          <w:b/>
          <w:color w:val="auto"/>
          <w:sz w:val="30"/>
          <w:szCs w:val="30"/>
          <w:highlight w:val="none"/>
        </w:rPr>
      </w:pPr>
    </w:p>
    <w:p w14:paraId="6148CB1D">
      <w:pPr>
        <w:spacing w:line="480" w:lineRule="auto"/>
        <w:ind w:firstLine="244" w:firstLineChars="100"/>
        <w:rPr>
          <w:rFonts w:hint="eastAsia" w:ascii="宋体" w:hAnsi="宋体" w:cs="仿宋"/>
          <w:b/>
          <w:color w:val="auto"/>
          <w:sz w:val="24"/>
          <w:highlight w:val="none"/>
        </w:rPr>
      </w:pPr>
      <w:r>
        <w:rPr>
          <w:rFonts w:hint="eastAsia" w:ascii="宋体" w:hAnsi="宋体" w:cs="仿宋_GB2312"/>
          <w:bCs/>
          <w:color w:val="auto"/>
          <w:sz w:val="24"/>
          <w:highlight w:val="none"/>
        </w:rPr>
        <w:t>1-5</w:t>
      </w:r>
      <w:r>
        <w:rPr>
          <w:rFonts w:hint="eastAsia" w:ascii="宋体" w:hAnsi="宋体" w:cs="仿宋_GB2312"/>
          <w:b/>
          <w:color w:val="auto"/>
          <w:sz w:val="24"/>
          <w:highlight w:val="none"/>
        </w:rPr>
        <w:t xml:space="preserve"> </w:t>
      </w:r>
      <w:r>
        <w:rPr>
          <w:rFonts w:hint="eastAsia" w:ascii="宋体" w:hAnsi="宋体" w:cs="仿宋"/>
          <w:b/>
          <w:color w:val="auto"/>
          <w:sz w:val="24"/>
          <w:highlight w:val="none"/>
        </w:rPr>
        <w:t>有依法缴纳税收和社会保障资金的良好记录的证明文件</w:t>
      </w:r>
    </w:p>
    <w:p w14:paraId="741C9673">
      <w:pPr>
        <w:spacing w:line="480" w:lineRule="auto"/>
        <w:ind w:firstLine="800" w:firstLineChars="328"/>
        <w:rPr>
          <w:rFonts w:hint="eastAsia" w:ascii="宋体" w:hAnsi="宋体" w:cs="仿宋"/>
          <w:color w:val="auto"/>
          <w:sz w:val="24"/>
          <w:highlight w:val="none"/>
        </w:rPr>
      </w:pPr>
      <w:r>
        <w:rPr>
          <w:rFonts w:hint="eastAsia" w:ascii="宋体" w:hAnsi="宋体" w:cs="仿宋"/>
          <w:color w:val="auto"/>
          <w:sz w:val="24"/>
          <w:highlight w:val="none"/>
        </w:rPr>
        <w:t>投标人需提供有依法缴纳税收和社会保障资金的良好纪录，提供近一年内任意三个月缴纳社保证明原件或复印件加盖公章。</w:t>
      </w:r>
    </w:p>
    <w:p w14:paraId="7E4625FB">
      <w:pPr>
        <w:spacing w:line="480" w:lineRule="auto"/>
        <w:ind w:firstLine="800" w:firstLineChars="328"/>
        <w:rPr>
          <w:rFonts w:hint="eastAsia" w:ascii="宋体" w:hAnsi="宋体" w:cs="仿宋"/>
          <w:color w:val="auto"/>
          <w:sz w:val="24"/>
          <w:highlight w:val="none"/>
        </w:rPr>
      </w:pPr>
      <w:r>
        <w:rPr>
          <w:rFonts w:hint="eastAsia" w:ascii="宋体" w:hAnsi="宋体" w:cs="仿宋"/>
          <w:color w:val="auto"/>
          <w:sz w:val="24"/>
          <w:highlight w:val="none"/>
        </w:rPr>
        <w:t>依法不需要缴纳社会保障资金的投标人，须提供相应文件证明其依法不需要缴纳社会保障资金（须加盖投标人公章）。</w:t>
      </w:r>
    </w:p>
    <w:p w14:paraId="4647930F">
      <w:pPr>
        <w:spacing w:line="480" w:lineRule="auto"/>
        <w:ind w:firstLine="800" w:firstLineChars="328"/>
        <w:rPr>
          <w:rFonts w:hint="eastAsia" w:ascii="宋体" w:hAnsi="宋体" w:cs="仿宋"/>
          <w:color w:val="auto"/>
          <w:sz w:val="24"/>
          <w:highlight w:val="none"/>
        </w:rPr>
      </w:pPr>
      <w:r>
        <w:rPr>
          <w:rFonts w:hint="eastAsia" w:ascii="宋体" w:hAnsi="宋体" w:cs="仿宋"/>
          <w:color w:val="auto"/>
          <w:sz w:val="24"/>
          <w:highlight w:val="none"/>
        </w:rPr>
        <w:t>依法免税或零报税的投标人，须提供相应文件证明其依法免税证明文件或纳税申报表复印件（须加盖投标人公章）。</w:t>
      </w:r>
    </w:p>
    <w:p w14:paraId="0B710FC1">
      <w:pPr>
        <w:spacing w:line="480" w:lineRule="auto"/>
        <w:ind w:firstLine="800" w:firstLineChars="328"/>
        <w:rPr>
          <w:rFonts w:hint="eastAsia" w:ascii="宋体" w:hAnsi="宋体" w:cs="仿宋"/>
          <w:color w:val="auto"/>
          <w:sz w:val="24"/>
          <w:highlight w:val="none"/>
        </w:rPr>
      </w:pPr>
      <w:r>
        <w:rPr>
          <w:rFonts w:hint="eastAsia" w:ascii="宋体"/>
          <w:color w:val="auto"/>
          <w:sz w:val="24"/>
          <w:highlight w:val="none"/>
        </w:rPr>
        <w:t>公司成立不到三个月的从成立之日起</w:t>
      </w:r>
      <w:r>
        <w:rPr>
          <w:rFonts w:hint="eastAsia" w:ascii="宋体" w:hAnsi="宋体" w:cs="仿宋"/>
          <w:color w:val="auto"/>
          <w:sz w:val="24"/>
          <w:highlight w:val="none"/>
        </w:rPr>
        <w:t>。</w:t>
      </w:r>
    </w:p>
    <w:p w14:paraId="612E7EDE">
      <w:pPr>
        <w:pStyle w:val="80"/>
        <w:spacing w:line="480" w:lineRule="auto"/>
        <w:rPr>
          <w:color w:val="auto"/>
          <w:highlight w:val="none"/>
        </w:rPr>
      </w:pPr>
      <w:r>
        <w:rPr>
          <w:rFonts w:hint="eastAsia" w:ascii="宋体" w:hAnsi="宋体" w:cs="仿宋"/>
          <w:color w:val="auto"/>
          <w:sz w:val="24"/>
          <w:highlight w:val="none"/>
        </w:rPr>
        <w:t xml:space="preserve">  </w:t>
      </w:r>
    </w:p>
    <w:p w14:paraId="049646DC">
      <w:pPr>
        <w:spacing w:line="360" w:lineRule="auto"/>
        <w:ind w:firstLine="480"/>
        <w:rPr>
          <w:rFonts w:hint="eastAsia" w:ascii="仿宋" w:hAnsi="仿宋" w:eastAsia="仿宋" w:cs="仿宋"/>
          <w:color w:val="auto"/>
          <w:sz w:val="24"/>
          <w:highlight w:val="none"/>
        </w:rPr>
      </w:pPr>
    </w:p>
    <w:p w14:paraId="73DA4BA4">
      <w:pPr>
        <w:rPr>
          <w:rFonts w:hint="eastAsia"/>
          <w:color w:val="auto"/>
          <w:highlight w:val="none"/>
        </w:rPr>
      </w:pPr>
    </w:p>
    <w:p w14:paraId="51CE22D1">
      <w:pPr>
        <w:pStyle w:val="379"/>
        <w:ind w:firstLine="480"/>
        <w:rPr>
          <w:rFonts w:hint="eastAsia" w:ascii="仿宋" w:hAnsi="仿宋" w:eastAsia="仿宋" w:cs="仿宋_GB2312"/>
          <w:b/>
          <w:color w:val="auto"/>
          <w:sz w:val="24"/>
          <w:highlight w:val="none"/>
        </w:rPr>
      </w:pPr>
    </w:p>
    <w:p w14:paraId="112537D0">
      <w:pPr>
        <w:pStyle w:val="379"/>
        <w:ind w:firstLine="480"/>
        <w:rPr>
          <w:rFonts w:hint="eastAsia" w:ascii="仿宋" w:hAnsi="仿宋" w:eastAsia="仿宋" w:cs="仿宋_GB2312"/>
          <w:b/>
          <w:color w:val="auto"/>
          <w:sz w:val="24"/>
          <w:highlight w:val="none"/>
        </w:rPr>
      </w:pPr>
    </w:p>
    <w:p w14:paraId="2DA90E82">
      <w:pPr>
        <w:pStyle w:val="379"/>
        <w:ind w:firstLine="480"/>
        <w:rPr>
          <w:rFonts w:hint="eastAsia" w:ascii="仿宋" w:hAnsi="仿宋" w:eastAsia="仿宋" w:cs="仿宋_GB2312"/>
          <w:b/>
          <w:color w:val="auto"/>
          <w:sz w:val="24"/>
          <w:highlight w:val="none"/>
        </w:rPr>
      </w:pPr>
    </w:p>
    <w:p w14:paraId="235FA006">
      <w:pPr>
        <w:pStyle w:val="379"/>
        <w:ind w:firstLine="480"/>
        <w:rPr>
          <w:rFonts w:hint="eastAsia" w:ascii="仿宋" w:hAnsi="仿宋" w:eastAsia="仿宋" w:cs="仿宋_GB2312"/>
          <w:b/>
          <w:color w:val="auto"/>
          <w:sz w:val="24"/>
          <w:highlight w:val="none"/>
        </w:rPr>
      </w:pPr>
    </w:p>
    <w:p w14:paraId="4C663367">
      <w:pPr>
        <w:pStyle w:val="379"/>
        <w:ind w:firstLine="480"/>
        <w:rPr>
          <w:rFonts w:hint="eastAsia" w:ascii="仿宋" w:hAnsi="仿宋" w:eastAsia="仿宋" w:cs="仿宋_GB2312"/>
          <w:b/>
          <w:color w:val="auto"/>
          <w:sz w:val="24"/>
          <w:highlight w:val="none"/>
        </w:rPr>
      </w:pPr>
    </w:p>
    <w:p w14:paraId="2AA4CB1E">
      <w:pPr>
        <w:pStyle w:val="379"/>
        <w:ind w:firstLine="480"/>
        <w:rPr>
          <w:rFonts w:hint="eastAsia" w:ascii="仿宋" w:hAnsi="仿宋" w:eastAsia="仿宋" w:cs="仿宋_GB2312"/>
          <w:b/>
          <w:color w:val="auto"/>
          <w:sz w:val="24"/>
          <w:highlight w:val="none"/>
        </w:rPr>
      </w:pPr>
    </w:p>
    <w:p w14:paraId="7F1230F1">
      <w:pPr>
        <w:pStyle w:val="379"/>
        <w:ind w:firstLine="480"/>
        <w:rPr>
          <w:rFonts w:hint="eastAsia" w:ascii="仿宋" w:hAnsi="仿宋" w:eastAsia="仿宋" w:cs="仿宋_GB2312"/>
          <w:b/>
          <w:color w:val="auto"/>
          <w:sz w:val="24"/>
          <w:highlight w:val="none"/>
        </w:rPr>
      </w:pPr>
    </w:p>
    <w:p w14:paraId="5D9B132F">
      <w:pPr>
        <w:pStyle w:val="379"/>
        <w:ind w:firstLine="480"/>
        <w:rPr>
          <w:rFonts w:hint="eastAsia" w:ascii="仿宋" w:hAnsi="仿宋" w:eastAsia="仿宋" w:cs="仿宋_GB2312"/>
          <w:b/>
          <w:color w:val="auto"/>
          <w:sz w:val="24"/>
          <w:highlight w:val="none"/>
        </w:rPr>
      </w:pPr>
    </w:p>
    <w:p w14:paraId="04D325BE">
      <w:pPr>
        <w:pStyle w:val="379"/>
        <w:ind w:firstLine="480"/>
        <w:rPr>
          <w:rFonts w:hint="eastAsia" w:ascii="仿宋" w:hAnsi="仿宋" w:eastAsia="仿宋" w:cs="仿宋_GB2312"/>
          <w:b/>
          <w:color w:val="auto"/>
          <w:sz w:val="24"/>
          <w:highlight w:val="none"/>
        </w:rPr>
      </w:pPr>
    </w:p>
    <w:p w14:paraId="2D123054">
      <w:pPr>
        <w:pStyle w:val="379"/>
        <w:ind w:firstLine="480"/>
        <w:rPr>
          <w:rFonts w:hint="eastAsia" w:ascii="仿宋" w:hAnsi="仿宋" w:eastAsia="仿宋" w:cs="仿宋_GB2312"/>
          <w:b/>
          <w:color w:val="auto"/>
          <w:sz w:val="24"/>
          <w:highlight w:val="none"/>
        </w:rPr>
      </w:pPr>
    </w:p>
    <w:p w14:paraId="51DC35FB">
      <w:pPr>
        <w:pStyle w:val="379"/>
        <w:ind w:firstLine="480"/>
        <w:rPr>
          <w:rFonts w:hint="eastAsia" w:ascii="仿宋" w:hAnsi="仿宋" w:eastAsia="仿宋" w:cs="仿宋_GB2312"/>
          <w:b/>
          <w:color w:val="auto"/>
          <w:sz w:val="24"/>
          <w:highlight w:val="none"/>
        </w:rPr>
      </w:pPr>
    </w:p>
    <w:p w14:paraId="1C84B2ED">
      <w:pPr>
        <w:pStyle w:val="379"/>
        <w:ind w:firstLine="480"/>
        <w:rPr>
          <w:rFonts w:hint="eastAsia" w:ascii="仿宋" w:hAnsi="仿宋" w:eastAsia="仿宋" w:cs="仿宋_GB2312"/>
          <w:b/>
          <w:color w:val="auto"/>
          <w:sz w:val="24"/>
          <w:highlight w:val="none"/>
        </w:rPr>
      </w:pPr>
    </w:p>
    <w:p w14:paraId="6DEE0EAE">
      <w:pPr>
        <w:pStyle w:val="379"/>
        <w:ind w:firstLine="480"/>
        <w:rPr>
          <w:rFonts w:hint="eastAsia" w:ascii="仿宋" w:hAnsi="仿宋" w:eastAsia="仿宋" w:cs="仿宋_GB2312"/>
          <w:b/>
          <w:color w:val="auto"/>
          <w:sz w:val="24"/>
          <w:highlight w:val="none"/>
        </w:rPr>
      </w:pPr>
    </w:p>
    <w:p w14:paraId="16E339D0">
      <w:pPr>
        <w:pStyle w:val="379"/>
        <w:ind w:firstLine="480"/>
        <w:rPr>
          <w:rFonts w:hint="eastAsia" w:ascii="仿宋" w:hAnsi="仿宋" w:eastAsia="仿宋" w:cs="仿宋_GB2312"/>
          <w:b/>
          <w:color w:val="auto"/>
          <w:sz w:val="24"/>
          <w:highlight w:val="none"/>
        </w:rPr>
      </w:pPr>
    </w:p>
    <w:p w14:paraId="49CFC6E2">
      <w:pPr>
        <w:pStyle w:val="379"/>
        <w:ind w:firstLine="480"/>
        <w:rPr>
          <w:rFonts w:hint="eastAsia" w:ascii="仿宋" w:hAnsi="仿宋" w:eastAsia="仿宋" w:cs="仿宋_GB2312"/>
          <w:b/>
          <w:color w:val="auto"/>
          <w:sz w:val="24"/>
          <w:highlight w:val="none"/>
        </w:rPr>
      </w:pPr>
    </w:p>
    <w:p w14:paraId="4CEE74AF">
      <w:pPr>
        <w:pStyle w:val="379"/>
        <w:ind w:firstLine="480"/>
        <w:rPr>
          <w:rFonts w:hint="eastAsia" w:ascii="仿宋" w:hAnsi="仿宋" w:eastAsia="仿宋" w:cs="仿宋_GB2312"/>
          <w:b/>
          <w:color w:val="auto"/>
          <w:sz w:val="24"/>
          <w:highlight w:val="none"/>
        </w:rPr>
      </w:pPr>
    </w:p>
    <w:p w14:paraId="73EE250E">
      <w:pPr>
        <w:pStyle w:val="379"/>
        <w:ind w:firstLine="480"/>
        <w:rPr>
          <w:rFonts w:hint="eastAsia" w:ascii="仿宋" w:hAnsi="仿宋" w:eastAsia="仿宋" w:cs="仿宋_GB2312"/>
          <w:b/>
          <w:color w:val="auto"/>
          <w:sz w:val="24"/>
          <w:highlight w:val="none"/>
        </w:rPr>
      </w:pPr>
    </w:p>
    <w:p w14:paraId="389FBF40">
      <w:pPr>
        <w:pStyle w:val="379"/>
        <w:rPr>
          <w:rFonts w:hint="eastAsia" w:ascii="仿宋" w:hAnsi="仿宋" w:eastAsia="仿宋" w:cs="仿宋_GB2312"/>
          <w:b/>
          <w:color w:val="auto"/>
          <w:sz w:val="24"/>
          <w:highlight w:val="none"/>
        </w:rPr>
      </w:pPr>
    </w:p>
    <w:p w14:paraId="549EEB0F">
      <w:pPr>
        <w:pStyle w:val="379"/>
        <w:ind w:firstLine="480"/>
        <w:rPr>
          <w:rFonts w:hint="eastAsia" w:ascii="仿宋" w:hAnsi="仿宋" w:eastAsia="仿宋" w:cs="仿宋_GB2312"/>
          <w:b/>
          <w:color w:val="auto"/>
          <w:sz w:val="24"/>
          <w:highlight w:val="none"/>
        </w:rPr>
      </w:pPr>
    </w:p>
    <w:p w14:paraId="65BB0C40">
      <w:pPr>
        <w:spacing w:line="480" w:lineRule="auto"/>
        <w:rPr>
          <w:rFonts w:hint="eastAsia" w:ascii="宋体" w:hAnsi="宋体" w:cs="仿宋"/>
          <w:b/>
          <w:color w:val="auto"/>
          <w:sz w:val="24"/>
          <w:highlight w:val="none"/>
        </w:rPr>
      </w:pPr>
      <w:r>
        <w:rPr>
          <w:rFonts w:hint="eastAsia" w:ascii="宋体" w:hAnsi="宋体" w:cs="仿宋"/>
          <w:bCs/>
          <w:color w:val="auto"/>
          <w:sz w:val="24"/>
          <w:highlight w:val="none"/>
        </w:rPr>
        <w:t>1-6</w:t>
      </w:r>
      <w:r>
        <w:rPr>
          <w:rFonts w:hint="eastAsia" w:ascii="宋体" w:hAnsi="宋体" w:cs="仿宋"/>
          <w:b/>
          <w:color w:val="auto"/>
          <w:sz w:val="24"/>
          <w:highlight w:val="none"/>
        </w:rPr>
        <w:t xml:space="preserve"> 本项目的特定资质要求</w:t>
      </w:r>
    </w:p>
    <w:p w14:paraId="10C7A410">
      <w:pPr>
        <w:spacing w:line="360" w:lineRule="auto"/>
        <w:rPr>
          <w:rFonts w:hint="eastAsia" w:ascii="宋体"/>
          <w:b/>
          <w:color w:val="auto"/>
          <w:sz w:val="30"/>
          <w:szCs w:val="30"/>
          <w:highlight w:val="none"/>
        </w:rPr>
      </w:pPr>
    </w:p>
    <w:p w14:paraId="395293DF">
      <w:pPr>
        <w:rPr>
          <w:rFonts w:hint="eastAsia"/>
          <w:color w:val="auto"/>
          <w:highlight w:val="none"/>
        </w:rPr>
      </w:pPr>
    </w:p>
    <w:p w14:paraId="1D0E9B4F">
      <w:pPr>
        <w:widowControl/>
        <w:spacing w:line="480" w:lineRule="auto"/>
        <w:rPr>
          <w:rFonts w:hint="eastAsia" w:ascii="宋体" w:hAnsi="宋体"/>
          <w:b/>
          <w:color w:val="auto"/>
          <w:sz w:val="30"/>
          <w:szCs w:val="30"/>
          <w:highlight w:val="none"/>
        </w:rPr>
      </w:pPr>
    </w:p>
    <w:sectPr>
      <w:pgSz w:w="11906" w:h="16838"/>
      <w:pgMar w:top="1083" w:right="1440" w:bottom="1083" w:left="1440" w:header="907" w:footer="964" w:gutter="0"/>
      <w:cols w:space="720" w:num="1"/>
      <w:rtlGutter w:val="0"/>
      <w:docGrid w:type="linesAndChars" w:linePitch="32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Geneva">
    <w:altName w:val="Arial"/>
    <w:panose1 w:val="020B0503030404040204"/>
    <w:charset w:val="00"/>
    <w:family w:val="swiss"/>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18030">
    <w:altName w:val="微软雅黑"/>
    <w:panose1 w:val="02010600060001010101"/>
    <w:charset w:val="00"/>
    <w:family w:val="auto"/>
    <w:pitch w:val="default"/>
    <w:sig w:usb0="00000000" w:usb1="00000000" w:usb2="0000001E" w:usb3="00000000" w:csb0="003C0041"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434E4">
    <w:pPr>
      <w:pStyle w:val="5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58B17B">
                          <w:pPr>
                            <w:pStyle w:val="56"/>
                            <w:rPr>
                              <w:rStyle w:val="93"/>
                            </w:rPr>
                          </w:pPr>
                          <w:r>
                            <w:fldChar w:fldCharType="begin"/>
                          </w:r>
                          <w:r>
                            <w:rPr>
                              <w:rStyle w:val="93"/>
                            </w:rPr>
                            <w:instrText xml:space="preserve">PAGE  </w:instrText>
                          </w:r>
                          <w:r>
                            <w:fldChar w:fldCharType="separate"/>
                          </w:r>
                          <w:r>
                            <w:rPr>
                              <w:rStyle w:val="93"/>
                            </w:rPr>
                            <w:t>62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1258B17B">
                    <w:pPr>
                      <w:pStyle w:val="56"/>
                      <w:rPr>
                        <w:rStyle w:val="93"/>
                      </w:rPr>
                    </w:pPr>
                    <w:r>
                      <w:fldChar w:fldCharType="begin"/>
                    </w:r>
                    <w:r>
                      <w:rPr>
                        <w:rStyle w:val="93"/>
                      </w:rPr>
                      <w:instrText xml:space="preserve">PAGE  </w:instrText>
                    </w:r>
                    <w:r>
                      <w:fldChar w:fldCharType="separate"/>
                    </w:r>
                    <w:r>
                      <w:rPr>
                        <w:rStyle w:val="93"/>
                      </w:rP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AE52">
    <w:pPr>
      <w:pStyle w:val="56"/>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14:paraId="2AC9D567">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4160B">
    <w:pPr>
      <w:pStyle w:val="57"/>
      <w:tabs>
        <w:tab w:val="left" w:pos="8250"/>
      </w:tabs>
      <w:ind w:firstLine="5940" w:firstLineChars="3300"/>
      <w:jc w:val="both"/>
      <w:rPr>
        <w:rFonts w:hint="eastAsia" w:ascii="宋体"/>
      </w:rPr>
    </w:pPr>
    <w:r>
      <w:rPr>
        <w:rFonts w:hint="eastAsia" w:ascii="宋体" w:hAnsi="宋体"/>
        <w:i/>
        <w:iCs/>
      </w:rPr>
      <w:t>新疆星耀天都项目管理有限责任公司</w:t>
    </w:r>
    <w:r>
      <w:rPr>
        <w:rFonts w:hint="eastAsia" w:ascii="宋体" w:hAnsi="宋体"/>
        <w:iCs/>
      </w:rPr>
      <w:t xml:space="preserve">                                                       </w:t>
    </w:r>
    <w:r>
      <w:rPr>
        <w:rFonts w:hint="eastAsia" w:ascii="宋体"/>
        <w:iCs/>
      </w:rPr>
      <w:t xml:space="preserve"> </w:t>
    </w: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73D0">
    <w:pPr>
      <w:pStyle w:val="57"/>
      <w:jc w:val="both"/>
    </w:pPr>
    <w:r>
      <w:rPr>
        <w:rFonts w:hint="eastAsia" w:ascii="宋体" w:hAnsi="宋体"/>
        <w:i/>
      </w:rPr>
      <w:t>新疆瑞恒中信工程项目管理有限公司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91AE"/>
    <w:multiLevelType w:val="singleLevel"/>
    <w:tmpl w:val="B2CC91AE"/>
    <w:lvl w:ilvl="0" w:tentative="0">
      <w:start w:val="1"/>
      <w:numFmt w:val="decimal"/>
      <w:lvlText w:val="%1."/>
      <w:lvlJc w:val="left"/>
      <w:pPr>
        <w:ind w:left="635" w:hanging="425"/>
      </w:pPr>
      <w:rPr>
        <w:rFonts w:hint="default"/>
      </w:rPr>
    </w:lvl>
  </w:abstractNum>
  <w:abstractNum w:abstractNumId="1">
    <w:nsid w:val="DEFEDD86"/>
    <w:multiLevelType w:val="singleLevel"/>
    <w:tmpl w:val="DEFEDD86"/>
    <w:lvl w:ilvl="0" w:tentative="0">
      <w:start w:val="1"/>
      <w:numFmt w:val="chineseCounting"/>
      <w:suff w:val="space"/>
      <w:lvlText w:val="第%1条"/>
      <w:lvlJc w:val="left"/>
      <w:rPr>
        <w:rFonts w:hint="eastAsia"/>
      </w:rPr>
    </w:lvl>
  </w:abstractNum>
  <w:abstractNum w:abstractNumId="2">
    <w:nsid w:val="FE30D40F"/>
    <w:multiLevelType w:val="singleLevel"/>
    <w:tmpl w:val="FE30D40F"/>
    <w:lvl w:ilvl="0" w:tentative="0">
      <w:start w:val="1"/>
      <w:numFmt w:val="decimal"/>
      <w:lvlText w:val="%1"/>
      <w:lvlJc w:val="left"/>
      <w:pPr>
        <w:tabs>
          <w:tab w:val="left" w:pos="420"/>
        </w:tabs>
        <w:ind w:left="425" w:hanging="425"/>
      </w:pPr>
      <w:rPr>
        <w:rFonts w:hint="default"/>
      </w:rPr>
    </w:lvl>
  </w:abstractNum>
  <w:abstractNum w:abstractNumId="3">
    <w:nsid w:val="00000002"/>
    <w:multiLevelType w:val="multilevel"/>
    <w:tmpl w:val="00000002"/>
    <w:lvl w:ilvl="0" w:tentative="0">
      <w:start w:val="1"/>
      <w:numFmt w:val="decimal"/>
      <w:pStyle w:val="65"/>
      <w:lvlText w:val="%1."/>
      <w:lvlJc w:val="left"/>
      <w:pPr>
        <w:tabs>
          <w:tab w:val="left" w:pos="2040"/>
        </w:tabs>
        <w:ind w:left="204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decimal"/>
      <w:pStyle w:val="159"/>
      <w:lvlText w:val="%1."/>
      <w:lvlJc w:val="left"/>
      <w:pPr>
        <w:tabs>
          <w:tab w:val="left" w:pos="1620"/>
        </w:tabs>
        <w:ind w:left="162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pStyle w:val="37"/>
      <w:lvlText w:val="%1."/>
      <w:lvlJc w:val="left"/>
      <w:pPr>
        <w:tabs>
          <w:tab w:val="left" w:pos="1200"/>
        </w:tabs>
        <w:ind w:left="1200" w:hanging="360"/>
      </w:p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05"/>
    <w:multiLevelType w:val="multilevel"/>
    <w:tmpl w:val="00000005"/>
    <w:lvl w:ilvl="0" w:tentative="0">
      <w:start w:val="1"/>
      <w:numFmt w:val="decimal"/>
      <w:pStyle w:val="14"/>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6"/>
    <w:multiLevelType w:val="singleLevel"/>
    <w:tmpl w:val="00000006"/>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8">
    <w:nsid w:val="00000007"/>
    <w:multiLevelType w:val="singleLevel"/>
    <w:tmpl w:val="00000007"/>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00000008"/>
    <w:multiLevelType w:val="singleLevel"/>
    <w:tmpl w:val="00000008"/>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0">
    <w:nsid w:val="00000009"/>
    <w:multiLevelType w:val="multilevel"/>
    <w:tmpl w:val="00000009"/>
    <w:lvl w:ilvl="0" w:tentative="0">
      <w:start w:val="1"/>
      <w:numFmt w:val="bullet"/>
      <w:pStyle w:val="42"/>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A"/>
    <w:multiLevelType w:val="singleLevel"/>
    <w:tmpl w:val="0000000A"/>
    <w:lvl w:ilvl="0" w:tentative="0">
      <w:start w:val="1"/>
      <w:numFmt w:val="decimal"/>
      <w:pStyle w:val="20"/>
      <w:lvlText w:val="%1."/>
      <w:lvlJc w:val="left"/>
      <w:pPr>
        <w:tabs>
          <w:tab w:val="left" w:pos="360"/>
        </w:tabs>
        <w:ind w:left="360" w:hanging="360"/>
      </w:pPr>
    </w:lvl>
  </w:abstractNum>
  <w:abstractNum w:abstractNumId="12">
    <w:nsid w:val="0000000D"/>
    <w:multiLevelType w:val="multilevel"/>
    <w:tmpl w:val="0000000D"/>
    <w:lvl w:ilvl="0" w:tentative="0">
      <w:start w:val="1"/>
      <w:numFmt w:val="bullet"/>
      <w:pStyle w:val="32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0000000E"/>
    <w:multiLevelType w:val="multilevel"/>
    <w:tmpl w:val="0000000E"/>
    <w:lvl w:ilvl="0" w:tentative="0">
      <w:start w:val="1"/>
      <w:numFmt w:val="decimal"/>
      <w:pStyle w:val="300"/>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F"/>
    <w:multiLevelType w:val="multilevel"/>
    <w:tmpl w:val="0000000F"/>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00000010"/>
    <w:multiLevelType w:val="multilevel"/>
    <w:tmpl w:val="00000010"/>
    <w:lvl w:ilvl="0" w:tentative="0">
      <w:start w:val="1"/>
      <w:numFmt w:val="bullet"/>
      <w:pStyle w:val="46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8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1"/>
    <w:multiLevelType w:val="multilevel"/>
    <w:tmpl w:val="00000011"/>
    <w:lvl w:ilvl="0" w:tentative="0">
      <w:start w:val="1"/>
      <w:numFmt w:val="decimal"/>
      <w:pStyle w:val="310"/>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multilevel"/>
    <w:tmpl w:val="00000012"/>
    <w:lvl w:ilvl="0" w:tentative="0">
      <w:start w:val="1"/>
      <w:numFmt w:val="bullet"/>
      <w:pStyle w:val="460"/>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18">
    <w:nsid w:val="00000013"/>
    <w:multiLevelType w:val="multilevel"/>
    <w:tmpl w:val="00000013"/>
    <w:lvl w:ilvl="0" w:tentative="0">
      <w:start w:val="1"/>
      <w:numFmt w:val="decimal"/>
      <w:pStyle w:val="33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lvlText w:val="%1）"/>
      <w:lvlJc w:val="left"/>
      <w:pPr>
        <w:tabs>
          <w:tab w:val="left" w:pos="840"/>
        </w:tabs>
        <w:ind w:left="840" w:hanging="420"/>
      </w:pPr>
      <w:rPr>
        <w:rFonts w:hint="eastAsia"/>
      </w:rPr>
    </w:lvl>
    <w:lvl w:ilvl="1" w:tentative="0">
      <w:start w:val="1"/>
      <w:numFmt w:val="decimal"/>
      <w:pStyle w:val="317"/>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5"/>
    <w:multiLevelType w:val="multilevel"/>
    <w:tmpl w:val="00000015"/>
    <w:lvl w:ilvl="0" w:tentative="0">
      <w:start w:val="1"/>
      <w:numFmt w:val="none"/>
      <w:pStyle w:val="449"/>
      <w:suff w:val="nothing"/>
      <w:lvlText w:val=""/>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397"/>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59"/>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1">
    <w:nsid w:val="00000016"/>
    <w:multiLevelType w:val="multilevel"/>
    <w:tmpl w:val="00000016"/>
    <w:lvl w:ilvl="0" w:tentative="0">
      <w:start w:val="1"/>
      <w:numFmt w:val="decimal"/>
      <w:pStyle w:val="418"/>
      <w:lvlText w:val="表 3.%1"/>
      <w:lvlJc w:val="left"/>
      <w:pPr>
        <w:tabs>
          <w:tab w:val="left" w:pos="902"/>
        </w:tabs>
        <w:ind w:left="902" w:hanging="420"/>
      </w:pPr>
      <w:rPr>
        <w:rFonts w:hint="eastAsia"/>
      </w:rPr>
    </w:lvl>
    <w:lvl w:ilvl="1" w:tentative="0">
      <w:start w:val="1"/>
      <w:numFmt w:val="lowerLetter"/>
      <w:pStyle w:val="39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7"/>
    <w:multiLevelType w:val="multilevel"/>
    <w:tmpl w:val="00000017"/>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00000018"/>
    <w:multiLevelType w:val="multilevel"/>
    <w:tmpl w:val="00000018"/>
    <w:lvl w:ilvl="0" w:tentative="0">
      <w:start w:val="1"/>
      <w:numFmt w:val="decimal"/>
      <w:pStyle w:val="409"/>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4">
    <w:nsid w:val="00000019"/>
    <w:multiLevelType w:val="multilevel"/>
    <w:tmpl w:val="00000019"/>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Text w:val="表%1.%2-%3."/>
      <w:lvlJc w:val="left"/>
      <w:pPr>
        <w:tabs>
          <w:tab w:val="left" w:pos="709"/>
        </w:tabs>
        <w:ind w:left="709" w:hanging="709"/>
      </w:pPr>
      <w:rPr>
        <w:rFonts w:hint="eastAsia" w:eastAsia="宋体"/>
        <w:sz w:val="18"/>
      </w:rPr>
    </w:lvl>
    <w:lvl w:ilvl="3" w:tentative="0">
      <w:start w:val="1"/>
      <w:numFmt w:val="decimal"/>
      <w:pStyle w:val="33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A"/>
    <w:multiLevelType w:val="multilevel"/>
    <w:tmpl w:val="0000001A"/>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5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26">
    <w:nsid w:val="0000001B"/>
    <w:multiLevelType w:val="multilevel"/>
    <w:tmpl w:val="0000001B"/>
    <w:lvl w:ilvl="0" w:tentative="0">
      <w:start w:val="1"/>
      <w:numFmt w:val="bullet"/>
      <w:pStyle w:val="322"/>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1C"/>
    <w:multiLevelType w:val="singleLevel"/>
    <w:tmpl w:val="0000001C"/>
    <w:lvl w:ilvl="0" w:tentative="0">
      <w:start w:val="1"/>
      <w:numFmt w:val="lowerLetter"/>
      <w:pStyle w:val="404"/>
      <w:lvlText w:val="(%1)"/>
      <w:lvlJc w:val="left"/>
      <w:pPr>
        <w:tabs>
          <w:tab w:val="left" w:pos="1695"/>
        </w:tabs>
        <w:ind w:left="1695" w:hanging="450"/>
      </w:pPr>
      <w:rPr>
        <w:rFonts w:hint="default"/>
      </w:rPr>
    </w:lvl>
  </w:abstractNum>
  <w:abstractNum w:abstractNumId="28">
    <w:nsid w:val="0000001D"/>
    <w:multiLevelType w:val="multilevel"/>
    <w:tmpl w:val="0000001D"/>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70"/>
      <w:lvlText w:val=""/>
      <w:lvlJc w:val="left"/>
      <w:pPr>
        <w:tabs>
          <w:tab w:val="left" w:pos="420"/>
        </w:tabs>
        <w:ind w:left="839" w:hanging="419"/>
      </w:pPr>
      <w:rPr>
        <w:rFonts w:hint="default"/>
      </w:rPr>
    </w:lvl>
    <w:lvl w:ilvl="2" w:tentative="0">
      <w:start w:val="1"/>
      <w:numFmt w:val="decimal"/>
      <w:pStyle w:val="412"/>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pStyle w:val="298"/>
      <w:lvlText w:val="%5)"/>
      <w:lvlJc w:val="left"/>
      <w:pPr>
        <w:tabs>
          <w:tab w:val="left" w:pos="1259"/>
        </w:tabs>
        <w:ind w:left="1678" w:hanging="419"/>
      </w:pPr>
      <w:rPr>
        <w:rFonts w:hint="eastAsia"/>
      </w:rPr>
    </w:lvl>
    <w:lvl w:ilvl="5" w:tentative="0">
      <w:start w:val="1"/>
      <w:numFmt w:val="bullet"/>
      <w:pStyle w:val="386"/>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isLgl/>
      <w:suff w:val="space"/>
      <w:lvlText w:val="%8"/>
      <w:lvlJc w:val="left"/>
      <w:pPr>
        <w:ind w:left="0" w:firstLine="0"/>
      </w:pPr>
      <w:rPr>
        <w:rFonts w:hint="eastAsia"/>
      </w:rPr>
    </w:lvl>
    <w:lvl w:ilvl="8" w:tentative="0">
      <w:start w:val="1"/>
      <w:numFmt w:val="decimal"/>
      <w:isLgl/>
      <w:suff w:val="space"/>
      <w:lvlText w:val="%9"/>
      <w:lvlJc w:val="left"/>
      <w:pPr>
        <w:ind w:left="0" w:firstLine="0"/>
      </w:pPr>
      <w:rPr>
        <w:rFonts w:hint="eastAsia"/>
      </w:rPr>
    </w:lvl>
  </w:abstractNum>
  <w:abstractNum w:abstractNumId="2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7E15999"/>
    <w:multiLevelType w:val="singleLevel"/>
    <w:tmpl w:val="67E15999"/>
    <w:lvl w:ilvl="0" w:tentative="0">
      <w:start w:val="1"/>
      <w:numFmt w:val="decimal"/>
      <w:suff w:val="nothing"/>
      <w:lvlText w:val="（%1）"/>
      <w:lvlJc w:val="left"/>
    </w:lvl>
  </w:abstractNum>
  <w:num w:numId="1">
    <w:abstractNumId w:val="6"/>
  </w:num>
  <w:num w:numId="2">
    <w:abstractNumId w:val="8"/>
  </w:num>
  <w:num w:numId="3">
    <w:abstractNumId w:val="11"/>
  </w:num>
  <w:num w:numId="4">
    <w:abstractNumId w:val="22"/>
  </w:num>
  <w:num w:numId="5">
    <w:abstractNumId w:val="9"/>
  </w:num>
  <w:num w:numId="6">
    <w:abstractNumId w:val="5"/>
  </w:num>
  <w:num w:numId="7">
    <w:abstractNumId w:val="10"/>
  </w:num>
  <w:num w:numId="8">
    <w:abstractNumId w:val="7"/>
  </w:num>
  <w:num w:numId="9">
    <w:abstractNumId w:val="3"/>
  </w:num>
  <w:num w:numId="10">
    <w:abstractNumId w:val="14"/>
  </w:num>
  <w:num w:numId="11">
    <w:abstractNumId w:val="4"/>
  </w:num>
  <w:num w:numId="12">
    <w:abstractNumId w:val="28"/>
  </w:num>
  <w:num w:numId="13">
    <w:abstractNumId w:val="13"/>
  </w:num>
  <w:num w:numId="14">
    <w:abstractNumId w:val="16"/>
  </w:num>
  <w:num w:numId="15">
    <w:abstractNumId w:val="19"/>
  </w:num>
  <w:num w:numId="16">
    <w:abstractNumId w:val="26"/>
  </w:num>
  <w:num w:numId="17">
    <w:abstractNumId w:val="12"/>
  </w:num>
  <w:num w:numId="18">
    <w:abstractNumId w:val="18"/>
  </w:num>
  <w:num w:numId="19">
    <w:abstractNumId w:val="24"/>
  </w:num>
  <w:num w:numId="20">
    <w:abstractNumId w:val="25"/>
  </w:num>
  <w:num w:numId="21">
    <w:abstractNumId w:val="20"/>
  </w:num>
  <w:num w:numId="22">
    <w:abstractNumId w:val="21"/>
  </w:num>
  <w:num w:numId="23">
    <w:abstractNumId w:val="27"/>
  </w:num>
  <w:num w:numId="24">
    <w:abstractNumId w:val="23"/>
  </w:num>
  <w:num w:numId="25">
    <w:abstractNumId w:val="17"/>
  </w:num>
  <w:num w:numId="26">
    <w:abstractNumId w:val="15"/>
  </w:num>
  <w:num w:numId="27">
    <w:abstractNumId w:val="2"/>
  </w:num>
  <w:num w:numId="28">
    <w:abstractNumId w:val="29"/>
  </w:num>
  <w:num w:numId="29">
    <w:abstractNumId w:val="30"/>
  </w:num>
  <w:num w:numId="30">
    <w:abstractNumId w:val="0"/>
  </w:num>
  <w:num w:numId="31">
    <w:abstractNumId w:val="1"/>
  </w:num>
  <w:num w:numId="32">
    <w:abstractNumId w:val="33"/>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1"/>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OTk4M2E2YTg0NDMyYjkzOTU0ZmIyZGIzODBlOWUifQ=="/>
    <w:docVar w:name="KSO_WPS_MARK_KEY" w:val="4fd906ee-c0c5-43e1-9b5b-ffb1ab9b32fc"/>
  </w:docVars>
  <w:rsids>
    <w:rsidRoot w:val="00172A27"/>
    <w:rsid w:val="00003FE5"/>
    <w:rsid w:val="00004B00"/>
    <w:rsid w:val="000059B4"/>
    <w:rsid w:val="0000637D"/>
    <w:rsid w:val="000063D6"/>
    <w:rsid w:val="00013993"/>
    <w:rsid w:val="00014EBF"/>
    <w:rsid w:val="00015BE5"/>
    <w:rsid w:val="00017508"/>
    <w:rsid w:val="00017DF3"/>
    <w:rsid w:val="000248E5"/>
    <w:rsid w:val="00024C83"/>
    <w:rsid w:val="0002506F"/>
    <w:rsid w:val="00030C3E"/>
    <w:rsid w:val="00032AC9"/>
    <w:rsid w:val="00032CF1"/>
    <w:rsid w:val="00033541"/>
    <w:rsid w:val="00034EC6"/>
    <w:rsid w:val="000357A0"/>
    <w:rsid w:val="00035851"/>
    <w:rsid w:val="00036B15"/>
    <w:rsid w:val="00037D95"/>
    <w:rsid w:val="00041124"/>
    <w:rsid w:val="0004263E"/>
    <w:rsid w:val="00044EC6"/>
    <w:rsid w:val="00047276"/>
    <w:rsid w:val="00047DCB"/>
    <w:rsid w:val="00051948"/>
    <w:rsid w:val="00052D09"/>
    <w:rsid w:val="00053ADC"/>
    <w:rsid w:val="00053F53"/>
    <w:rsid w:val="0005458C"/>
    <w:rsid w:val="00055304"/>
    <w:rsid w:val="00057B2C"/>
    <w:rsid w:val="00060A39"/>
    <w:rsid w:val="0006118C"/>
    <w:rsid w:val="0006477D"/>
    <w:rsid w:val="00066C11"/>
    <w:rsid w:val="00071AB4"/>
    <w:rsid w:val="00072C10"/>
    <w:rsid w:val="000741B1"/>
    <w:rsid w:val="000750BF"/>
    <w:rsid w:val="00075598"/>
    <w:rsid w:val="00080554"/>
    <w:rsid w:val="00081334"/>
    <w:rsid w:val="00081FD5"/>
    <w:rsid w:val="00083DA9"/>
    <w:rsid w:val="00084AAA"/>
    <w:rsid w:val="00084F12"/>
    <w:rsid w:val="00085039"/>
    <w:rsid w:val="00085FD3"/>
    <w:rsid w:val="00087DD5"/>
    <w:rsid w:val="00087F97"/>
    <w:rsid w:val="00091A92"/>
    <w:rsid w:val="00091AEC"/>
    <w:rsid w:val="00092219"/>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C0E5A"/>
    <w:rsid w:val="000C2806"/>
    <w:rsid w:val="000C66B3"/>
    <w:rsid w:val="000D05E5"/>
    <w:rsid w:val="000D0CE7"/>
    <w:rsid w:val="000D1294"/>
    <w:rsid w:val="000D1855"/>
    <w:rsid w:val="000D292D"/>
    <w:rsid w:val="000D2ABA"/>
    <w:rsid w:val="000D2AFA"/>
    <w:rsid w:val="000D3C97"/>
    <w:rsid w:val="000E3F9F"/>
    <w:rsid w:val="000E50BC"/>
    <w:rsid w:val="000E5818"/>
    <w:rsid w:val="000E7B1F"/>
    <w:rsid w:val="000F0902"/>
    <w:rsid w:val="000F2649"/>
    <w:rsid w:val="000F48D1"/>
    <w:rsid w:val="000F6DA7"/>
    <w:rsid w:val="000F7373"/>
    <w:rsid w:val="000F787A"/>
    <w:rsid w:val="00100D05"/>
    <w:rsid w:val="001010B9"/>
    <w:rsid w:val="00102430"/>
    <w:rsid w:val="00105F9E"/>
    <w:rsid w:val="001063BA"/>
    <w:rsid w:val="0010777B"/>
    <w:rsid w:val="0010778F"/>
    <w:rsid w:val="001101BA"/>
    <w:rsid w:val="00110396"/>
    <w:rsid w:val="00113F67"/>
    <w:rsid w:val="00117038"/>
    <w:rsid w:val="0012078B"/>
    <w:rsid w:val="00122970"/>
    <w:rsid w:val="00124741"/>
    <w:rsid w:val="0012575A"/>
    <w:rsid w:val="0012639D"/>
    <w:rsid w:val="001270D0"/>
    <w:rsid w:val="00130568"/>
    <w:rsid w:val="00130E53"/>
    <w:rsid w:val="0013189C"/>
    <w:rsid w:val="00132311"/>
    <w:rsid w:val="0013405C"/>
    <w:rsid w:val="001358AF"/>
    <w:rsid w:val="00135C02"/>
    <w:rsid w:val="0013605D"/>
    <w:rsid w:val="00141D2D"/>
    <w:rsid w:val="00142D46"/>
    <w:rsid w:val="001452BE"/>
    <w:rsid w:val="001506F9"/>
    <w:rsid w:val="00150FD5"/>
    <w:rsid w:val="001512D1"/>
    <w:rsid w:val="0015223C"/>
    <w:rsid w:val="00152CBB"/>
    <w:rsid w:val="00153768"/>
    <w:rsid w:val="0015424A"/>
    <w:rsid w:val="00154A8A"/>
    <w:rsid w:val="00156519"/>
    <w:rsid w:val="001606CE"/>
    <w:rsid w:val="001660AA"/>
    <w:rsid w:val="00166FEE"/>
    <w:rsid w:val="0017041D"/>
    <w:rsid w:val="00171F51"/>
    <w:rsid w:val="00174DE6"/>
    <w:rsid w:val="00174DFD"/>
    <w:rsid w:val="00175998"/>
    <w:rsid w:val="00176D14"/>
    <w:rsid w:val="00180606"/>
    <w:rsid w:val="0018577B"/>
    <w:rsid w:val="00187128"/>
    <w:rsid w:val="00187543"/>
    <w:rsid w:val="001879B0"/>
    <w:rsid w:val="00187B2D"/>
    <w:rsid w:val="001927C5"/>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C5E"/>
    <w:rsid w:val="001B271A"/>
    <w:rsid w:val="001B2FD5"/>
    <w:rsid w:val="001B5B62"/>
    <w:rsid w:val="001B5EE4"/>
    <w:rsid w:val="001B697C"/>
    <w:rsid w:val="001B6FC5"/>
    <w:rsid w:val="001C024E"/>
    <w:rsid w:val="001C2196"/>
    <w:rsid w:val="001C21B0"/>
    <w:rsid w:val="001C2730"/>
    <w:rsid w:val="001C45B3"/>
    <w:rsid w:val="001C47F5"/>
    <w:rsid w:val="001C5A7D"/>
    <w:rsid w:val="001C784C"/>
    <w:rsid w:val="001D0871"/>
    <w:rsid w:val="001D30CD"/>
    <w:rsid w:val="001D466F"/>
    <w:rsid w:val="001D586F"/>
    <w:rsid w:val="001E14DE"/>
    <w:rsid w:val="001E15B3"/>
    <w:rsid w:val="001E252C"/>
    <w:rsid w:val="001E35EA"/>
    <w:rsid w:val="001E379D"/>
    <w:rsid w:val="001E3C46"/>
    <w:rsid w:val="001E5249"/>
    <w:rsid w:val="001E63F7"/>
    <w:rsid w:val="001F0D52"/>
    <w:rsid w:val="001F11ED"/>
    <w:rsid w:val="001F2342"/>
    <w:rsid w:val="00201F48"/>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44EA"/>
    <w:rsid w:val="0023504B"/>
    <w:rsid w:val="00236144"/>
    <w:rsid w:val="0023676C"/>
    <w:rsid w:val="00237F92"/>
    <w:rsid w:val="00240231"/>
    <w:rsid w:val="00240AEE"/>
    <w:rsid w:val="00243025"/>
    <w:rsid w:val="002440B7"/>
    <w:rsid w:val="00244F71"/>
    <w:rsid w:val="00252D8D"/>
    <w:rsid w:val="002530DD"/>
    <w:rsid w:val="00254219"/>
    <w:rsid w:val="00254C0E"/>
    <w:rsid w:val="00255845"/>
    <w:rsid w:val="002564E9"/>
    <w:rsid w:val="002569F0"/>
    <w:rsid w:val="00257040"/>
    <w:rsid w:val="002623B1"/>
    <w:rsid w:val="002649DC"/>
    <w:rsid w:val="002718D8"/>
    <w:rsid w:val="00272C29"/>
    <w:rsid w:val="00272EFC"/>
    <w:rsid w:val="00274D9C"/>
    <w:rsid w:val="00276487"/>
    <w:rsid w:val="00276FE4"/>
    <w:rsid w:val="002775B1"/>
    <w:rsid w:val="00282B00"/>
    <w:rsid w:val="00284879"/>
    <w:rsid w:val="00285534"/>
    <w:rsid w:val="00291EB6"/>
    <w:rsid w:val="002939C7"/>
    <w:rsid w:val="00294089"/>
    <w:rsid w:val="00295E04"/>
    <w:rsid w:val="00297684"/>
    <w:rsid w:val="002A499C"/>
    <w:rsid w:val="002A4AD0"/>
    <w:rsid w:val="002A62E8"/>
    <w:rsid w:val="002A76C2"/>
    <w:rsid w:val="002A7D14"/>
    <w:rsid w:val="002B179C"/>
    <w:rsid w:val="002C199B"/>
    <w:rsid w:val="002D03A8"/>
    <w:rsid w:val="002D37CC"/>
    <w:rsid w:val="002D3A66"/>
    <w:rsid w:val="002D63AA"/>
    <w:rsid w:val="002E04B4"/>
    <w:rsid w:val="002E07EB"/>
    <w:rsid w:val="002E175E"/>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251C"/>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71A60"/>
    <w:rsid w:val="0037776C"/>
    <w:rsid w:val="00380353"/>
    <w:rsid w:val="00381C02"/>
    <w:rsid w:val="00386A73"/>
    <w:rsid w:val="00386D57"/>
    <w:rsid w:val="003901FB"/>
    <w:rsid w:val="0039266D"/>
    <w:rsid w:val="00394BE0"/>
    <w:rsid w:val="003960D9"/>
    <w:rsid w:val="003A1720"/>
    <w:rsid w:val="003A4BAF"/>
    <w:rsid w:val="003A56A4"/>
    <w:rsid w:val="003B1B6F"/>
    <w:rsid w:val="003B29ED"/>
    <w:rsid w:val="003B31CD"/>
    <w:rsid w:val="003C0526"/>
    <w:rsid w:val="003C089A"/>
    <w:rsid w:val="003C3413"/>
    <w:rsid w:val="003C4564"/>
    <w:rsid w:val="003C7863"/>
    <w:rsid w:val="003D1322"/>
    <w:rsid w:val="003D2C2E"/>
    <w:rsid w:val="003D3633"/>
    <w:rsid w:val="003D471A"/>
    <w:rsid w:val="003D4F1A"/>
    <w:rsid w:val="003D530C"/>
    <w:rsid w:val="003D6615"/>
    <w:rsid w:val="003D6EA7"/>
    <w:rsid w:val="003D6FB6"/>
    <w:rsid w:val="003D70CB"/>
    <w:rsid w:val="003E0DEF"/>
    <w:rsid w:val="003E4350"/>
    <w:rsid w:val="003F1E93"/>
    <w:rsid w:val="003F32A0"/>
    <w:rsid w:val="003F3FA5"/>
    <w:rsid w:val="003F47E9"/>
    <w:rsid w:val="003F5041"/>
    <w:rsid w:val="003F5C77"/>
    <w:rsid w:val="003F6DC2"/>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63FD"/>
    <w:rsid w:val="00441F3E"/>
    <w:rsid w:val="00442E6E"/>
    <w:rsid w:val="00443293"/>
    <w:rsid w:val="00444696"/>
    <w:rsid w:val="00444992"/>
    <w:rsid w:val="00447721"/>
    <w:rsid w:val="004477E3"/>
    <w:rsid w:val="00447EBC"/>
    <w:rsid w:val="0045037D"/>
    <w:rsid w:val="00453315"/>
    <w:rsid w:val="00453414"/>
    <w:rsid w:val="00453E68"/>
    <w:rsid w:val="0045518C"/>
    <w:rsid w:val="0045550C"/>
    <w:rsid w:val="004638B4"/>
    <w:rsid w:val="00464662"/>
    <w:rsid w:val="00465B55"/>
    <w:rsid w:val="00467611"/>
    <w:rsid w:val="00471481"/>
    <w:rsid w:val="00473314"/>
    <w:rsid w:val="00476C3F"/>
    <w:rsid w:val="00483A7C"/>
    <w:rsid w:val="00483B3D"/>
    <w:rsid w:val="0048481D"/>
    <w:rsid w:val="00484C69"/>
    <w:rsid w:val="00486C82"/>
    <w:rsid w:val="00492AF8"/>
    <w:rsid w:val="0049313C"/>
    <w:rsid w:val="004936AD"/>
    <w:rsid w:val="00493A8A"/>
    <w:rsid w:val="00495073"/>
    <w:rsid w:val="0049657B"/>
    <w:rsid w:val="00497075"/>
    <w:rsid w:val="004A02E2"/>
    <w:rsid w:val="004A0959"/>
    <w:rsid w:val="004A2132"/>
    <w:rsid w:val="004A2E4C"/>
    <w:rsid w:val="004A408A"/>
    <w:rsid w:val="004A6A09"/>
    <w:rsid w:val="004B08CC"/>
    <w:rsid w:val="004B1B70"/>
    <w:rsid w:val="004B251C"/>
    <w:rsid w:val="004B30E9"/>
    <w:rsid w:val="004B4D5B"/>
    <w:rsid w:val="004C44E5"/>
    <w:rsid w:val="004C4AD9"/>
    <w:rsid w:val="004C5828"/>
    <w:rsid w:val="004C5F2D"/>
    <w:rsid w:val="004C6BCB"/>
    <w:rsid w:val="004C6D32"/>
    <w:rsid w:val="004D28CD"/>
    <w:rsid w:val="004D3FCE"/>
    <w:rsid w:val="004D4A1C"/>
    <w:rsid w:val="004D67C4"/>
    <w:rsid w:val="004D67D5"/>
    <w:rsid w:val="004D7585"/>
    <w:rsid w:val="004E0999"/>
    <w:rsid w:val="004E2DB1"/>
    <w:rsid w:val="004E6FDC"/>
    <w:rsid w:val="004F0785"/>
    <w:rsid w:val="004F2A17"/>
    <w:rsid w:val="004F2F9A"/>
    <w:rsid w:val="004F3D40"/>
    <w:rsid w:val="004F5E07"/>
    <w:rsid w:val="004F751D"/>
    <w:rsid w:val="004F799E"/>
    <w:rsid w:val="00502830"/>
    <w:rsid w:val="00502EA1"/>
    <w:rsid w:val="0050307D"/>
    <w:rsid w:val="00503F6D"/>
    <w:rsid w:val="005050CF"/>
    <w:rsid w:val="00513A94"/>
    <w:rsid w:val="00520251"/>
    <w:rsid w:val="0052132D"/>
    <w:rsid w:val="00521DC9"/>
    <w:rsid w:val="00524459"/>
    <w:rsid w:val="00525C58"/>
    <w:rsid w:val="00525FF9"/>
    <w:rsid w:val="005276CF"/>
    <w:rsid w:val="00527AF1"/>
    <w:rsid w:val="00527B73"/>
    <w:rsid w:val="00530771"/>
    <w:rsid w:val="0053133F"/>
    <w:rsid w:val="00534A4A"/>
    <w:rsid w:val="005358EF"/>
    <w:rsid w:val="00535C38"/>
    <w:rsid w:val="0054719E"/>
    <w:rsid w:val="00554613"/>
    <w:rsid w:val="00554C3D"/>
    <w:rsid w:val="00555949"/>
    <w:rsid w:val="00557010"/>
    <w:rsid w:val="005570D6"/>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5ADA"/>
    <w:rsid w:val="0058787E"/>
    <w:rsid w:val="00590172"/>
    <w:rsid w:val="005905AD"/>
    <w:rsid w:val="00590B94"/>
    <w:rsid w:val="005922C9"/>
    <w:rsid w:val="00594020"/>
    <w:rsid w:val="00596D93"/>
    <w:rsid w:val="005A0169"/>
    <w:rsid w:val="005A1299"/>
    <w:rsid w:val="005A14C1"/>
    <w:rsid w:val="005A5C56"/>
    <w:rsid w:val="005A7104"/>
    <w:rsid w:val="005B1F45"/>
    <w:rsid w:val="005B38CF"/>
    <w:rsid w:val="005C02E8"/>
    <w:rsid w:val="005C0E3A"/>
    <w:rsid w:val="005C2498"/>
    <w:rsid w:val="005C3ABC"/>
    <w:rsid w:val="005C4ECB"/>
    <w:rsid w:val="005C4FFA"/>
    <w:rsid w:val="005C599C"/>
    <w:rsid w:val="005C600B"/>
    <w:rsid w:val="005C73F7"/>
    <w:rsid w:val="005C7AB1"/>
    <w:rsid w:val="005D0067"/>
    <w:rsid w:val="005E0F2A"/>
    <w:rsid w:val="005E1F4A"/>
    <w:rsid w:val="005E46DF"/>
    <w:rsid w:val="005E4C97"/>
    <w:rsid w:val="005E4F03"/>
    <w:rsid w:val="005F1B7B"/>
    <w:rsid w:val="005F248E"/>
    <w:rsid w:val="005F3171"/>
    <w:rsid w:val="005F384B"/>
    <w:rsid w:val="005F6B8F"/>
    <w:rsid w:val="005F74EB"/>
    <w:rsid w:val="00601F3F"/>
    <w:rsid w:val="00603834"/>
    <w:rsid w:val="006043C3"/>
    <w:rsid w:val="0060497F"/>
    <w:rsid w:val="0060682F"/>
    <w:rsid w:val="006068C9"/>
    <w:rsid w:val="0060763F"/>
    <w:rsid w:val="00607E33"/>
    <w:rsid w:val="0061115F"/>
    <w:rsid w:val="006123C1"/>
    <w:rsid w:val="00612471"/>
    <w:rsid w:val="006128B2"/>
    <w:rsid w:val="00615F4A"/>
    <w:rsid w:val="00617360"/>
    <w:rsid w:val="00620970"/>
    <w:rsid w:val="00621A6F"/>
    <w:rsid w:val="00622005"/>
    <w:rsid w:val="006230C1"/>
    <w:rsid w:val="00624704"/>
    <w:rsid w:val="0063000D"/>
    <w:rsid w:val="00630CA3"/>
    <w:rsid w:val="00631C92"/>
    <w:rsid w:val="00634205"/>
    <w:rsid w:val="00634C5E"/>
    <w:rsid w:val="00636AD2"/>
    <w:rsid w:val="006375FC"/>
    <w:rsid w:val="00641A10"/>
    <w:rsid w:val="00641AC3"/>
    <w:rsid w:val="006453A9"/>
    <w:rsid w:val="00645991"/>
    <w:rsid w:val="00652483"/>
    <w:rsid w:val="006536C0"/>
    <w:rsid w:val="00653CD8"/>
    <w:rsid w:val="00654715"/>
    <w:rsid w:val="00655B41"/>
    <w:rsid w:val="00656532"/>
    <w:rsid w:val="00656FD7"/>
    <w:rsid w:val="006578EA"/>
    <w:rsid w:val="00657AEA"/>
    <w:rsid w:val="00660C4D"/>
    <w:rsid w:val="00663C42"/>
    <w:rsid w:val="006642A7"/>
    <w:rsid w:val="00664320"/>
    <w:rsid w:val="00666A47"/>
    <w:rsid w:val="006675E2"/>
    <w:rsid w:val="0067398F"/>
    <w:rsid w:val="00673B28"/>
    <w:rsid w:val="0067487C"/>
    <w:rsid w:val="0067537F"/>
    <w:rsid w:val="0068147D"/>
    <w:rsid w:val="00682069"/>
    <w:rsid w:val="00682FA0"/>
    <w:rsid w:val="006867F3"/>
    <w:rsid w:val="00686B5D"/>
    <w:rsid w:val="00686CD7"/>
    <w:rsid w:val="006872EA"/>
    <w:rsid w:val="00687EAC"/>
    <w:rsid w:val="006900FE"/>
    <w:rsid w:val="006902F7"/>
    <w:rsid w:val="00693314"/>
    <w:rsid w:val="00693A0B"/>
    <w:rsid w:val="00693BAA"/>
    <w:rsid w:val="0069557A"/>
    <w:rsid w:val="006A0175"/>
    <w:rsid w:val="006A048A"/>
    <w:rsid w:val="006A1AA5"/>
    <w:rsid w:val="006A2764"/>
    <w:rsid w:val="006A3F77"/>
    <w:rsid w:val="006A57D4"/>
    <w:rsid w:val="006A7710"/>
    <w:rsid w:val="006A7C0E"/>
    <w:rsid w:val="006B03F6"/>
    <w:rsid w:val="006B344E"/>
    <w:rsid w:val="006B3815"/>
    <w:rsid w:val="006B3CD2"/>
    <w:rsid w:val="006C0A3C"/>
    <w:rsid w:val="006C1820"/>
    <w:rsid w:val="006C2027"/>
    <w:rsid w:val="006C3745"/>
    <w:rsid w:val="006C3F86"/>
    <w:rsid w:val="006C71EF"/>
    <w:rsid w:val="006C7C45"/>
    <w:rsid w:val="006D047B"/>
    <w:rsid w:val="006D0ADD"/>
    <w:rsid w:val="006D218B"/>
    <w:rsid w:val="006D317E"/>
    <w:rsid w:val="006D318D"/>
    <w:rsid w:val="006D545A"/>
    <w:rsid w:val="006D7DF3"/>
    <w:rsid w:val="006E2BC4"/>
    <w:rsid w:val="006E3021"/>
    <w:rsid w:val="006E527A"/>
    <w:rsid w:val="006E691D"/>
    <w:rsid w:val="006E6A82"/>
    <w:rsid w:val="006E7918"/>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CDB"/>
    <w:rsid w:val="007179A7"/>
    <w:rsid w:val="007202EC"/>
    <w:rsid w:val="007204D3"/>
    <w:rsid w:val="00721996"/>
    <w:rsid w:val="00721BBC"/>
    <w:rsid w:val="007222B9"/>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D16"/>
    <w:rsid w:val="00735600"/>
    <w:rsid w:val="00740437"/>
    <w:rsid w:val="00742E99"/>
    <w:rsid w:val="007465D3"/>
    <w:rsid w:val="00747756"/>
    <w:rsid w:val="00750852"/>
    <w:rsid w:val="007562DC"/>
    <w:rsid w:val="00761B88"/>
    <w:rsid w:val="00764D95"/>
    <w:rsid w:val="0076602F"/>
    <w:rsid w:val="00766E13"/>
    <w:rsid w:val="0077131A"/>
    <w:rsid w:val="007721C1"/>
    <w:rsid w:val="00772242"/>
    <w:rsid w:val="00772458"/>
    <w:rsid w:val="0077448E"/>
    <w:rsid w:val="00774F81"/>
    <w:rsid w:val="0077538A"/>
    <w:rsid w:val="00775F6E"/>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20EE"/>
    <w:rsid w:val="007B16CF"/>
    <w:rsid w:val="007B1CD3"/>
    <w:rsid w:val="007B2B3A"/>
    <w:rsid w:val="007B4903"/>
    <w:rsid w:val="007B6E4B"/>
    <w:rsid w:val="007C1AB7"/>
    <w:rsid w:val="007C2339"/>
    <w:rsid w:val="007C5359"/>
    <w:rsid w:val="007C6593"/>
    <w:rsid w:val="007D1286"/>
    <w:rsid w:val="007D3421"/>
    <w:rsid w:val="007D3B21"/>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4514"/>
    <w:rsid w:val="00814CEE"/>
    <w:rsid w:val="00815212"/>
    <w:rsid w:val="008153E8"/>
    <w:rsid w:val="0081720C"/>
    <w:rsid w:val="00817DDA"/>
    <w:rsid w:val="00820912"/>
    <w:rsid w:val="00821995"/>
    <w:rsid w:val="0082280F"/>
    <w:rsid w:val="00823030"/>
    <w:rsid w:val="00824313"/>
    <w:rsid w:val="008277E1"/>
    <w:rsid w:val="008319B5"/>
    <w:rsid w:val="00832943"/>
    <w:rsid w:val="00832AF0"/>
    <w:rsid w:val="00833AB5"/>
    <w:rsid w:val="008347BB"/>
    <w:rsid w:val="008406CE"/>
    <w:rsid w:val="00842F6D"/>
    <w:rsid w:val="008458B1"/>
    <w:rsid w:val="00846E1A"/>
    <w:rsid w:val="00847941"/>
    <w:rsid w:val="008511BD"/>
    <w:rsid w:val="008532EE"/>
    <w:rsid w:val="00853956"/>
    <w:rsid w:val="00853FE4"/>
    <w:rsid w:val="00855120"/>
    <w:rsid w:val="008554BF"/>
    <w:rsid w:val="00856806"/>
    <w:rsid w:val="00856B76"/>
    <w:rsid w:val="008573F8"/>
    <w:rsid w:val="008629A9"/>
    <w:rsid w:val="00862C91"/>
    <w:rsid w:val="00863379"/>
    <w:rsid w:val="00863685"/>
    <w:rsid w:val="008649FD"/>
    <w:rsid w:val="00865A7E"/>
    <w:rsid w:val="008662A5"/>
    <w:rsid w:val="00866A2E"/>
    <w:rsid w:val="00866B7C"/>
    <w:rsid w:val="008703A7"/>
    <w:rsid w:val="00870AEE"/>
    <w:rsid w:val="00871A0A"/>
    <w:rsid w:val="00874A1D"/>
    <w:rsid w:val="00875560"/>
    <w:rsid w:val="00880268"/>
    <w:rsid w:val="00880F74"/>
    <w:rsid w:val="008823BB"/>
    <w:rsid w:val="00882A03"/>
    <w:rsid w:val="00882C4C"/>
    <w:rsid w:val="00884752"/>
    <w:rsid w:val="00886650"/>
    <w:rsid w:val="008913B8"/>
    <w:rsid w:val="0089178C"/>
    <w:rsid w:val="0089443B"/>
    <w:rsid w:val="00894E1A"/>
    <w:rsid w:val="0089673F"/>
    <w:rsid w:val="008A1F40"/>
    <w:rsid w:val="008A2334"/>
    <w:rsid w:val="008A2D91"/>
    <w:rsid w:val="008A53E1"/>
    <w:rsid w:val="008A54AE"/>
    <w:rsid w:val="008A7295"/>
    <w:rsid w:val="008A7B82"/>
    <w:rsid w:val="008B4164"/>
    <w:rsid w:val="008B73C6"/>
    <w:rsid w:val="008B7ADC"/>
    <w:rsid w:val="008C269F"/>
    <w:rsid w:val="008C35ED"/>
    <w:rsid w:val="008C3E5C"/>
    <w:rsid w:val="008C4CEA"/>
    <w:rsid w:val="008C5BDB"/>
    <w:rsid w:val="008C62F5"/>
    <w:rsid w:val="008C6B8B"/>
    <w:rsid w:val="008C772B"/>
    <w:rsid w:val="008D0F1B"/>
    <w:rsid w:val="008D24FC"/>
    <w:rsid w:val="008D27D3"/>
    <w:rsid w:val="008D3E34"/>
    <w:rsid w:val="008D4FA3"/>
    <w:rsid w:val="008D6158"/>
    <w:rsid w:val="008E00DC"/>
    <w:rsid w:val="008E56EC"/>
    <w:rsid w:val="008E6F04"/>
    <w:rsid w:val="008F12CD"/>
    <w:rsid w:val="008F12F1"/>
    <w:rsid w:val="008F2AD4"/>
    <w:rsid w:val="008F4DC2"/>
    <w:rsid w:val="008F4F94"/>
    <w:rsid w:val="008F53D1"/>
    <w:rsid w:val="008F5435"/>
    <w:rsid w:val="008F678B"/>
    <w:rsid w:val="00901C69"/>
    <w:rsid w:val="009043DB"/>
    <w:rsid w:val="00905BC4"/>
    <w:rsid w:val="009062A0"/>
    <w:rsid w:val="00906619"/>
    <w:rsid w:val="00907C6F"/>
    <w:rsid w:val="00907CEA"/>
    <w:rsid w:val="009106DB"/>
    <w:rsid w:val="00911728"/>
    <w:rsid w:val="00911F31"/>
    <w:rsid w:val="00920226"/>
    <w:rsid w:val="00920C1F"/>
    <w:rsid w:val="00920C3F"/>
    <w:rsid w:val="00922660"/>
    <w:rsid w:val="00923427"/>
    <w:rsid w:val="00925806"/>
    <w:rsid w:val="0093139D"/>
    <w:rsid w:val="00931787"/>
    <w:rsid w:val="00931EA4"/>
    <w:rsid w:val="00932AC4"/>
    <w:rsid w:val="00932B4A"/>
    <w:rsid w:val="00933315"/>
    <w:rsid w:val="009339F4"/>
    <w:rsid w:val="00937311"/>
    <w:rsid w:val="00940A77"/>
    <w:rsid w:val="00941273"/>
    <w:rsid w:val="00941B21"/>
    <w:rsid w:val="0094571E"/>
    <w:rsid w:val="0095165B"/>
    <w:rsid w:val="00954084"/>
    <w:rsid w:val="009543F0"/>
    <w:rsid w:val="00955AD1"/>
    <w:rsid w:val="00956ECE"/>
    <w:rsid w:val="00957573"/>
    <w:rsid w:val="009578DE"/>
    <w:rsid w:val="00960625"/>
    <w:rsid w:val="00961494"/>
    <w:rsid w:val="00962A60"/>
    <w:rsid w:val="00963447"/>
    <w:rsid w:val="009638BA"/>
    <w:rsid w:val="00964EA1"/>
    <w:rsid w:val="0096788B"/>
    <w:rsid w:val="00971114"/>
    <w:rsid w:val="00971225"/>
    <w:rsid w:val="00976085"/>
    <w:rsid w:val="00980162"/>
    <w:rsid w:val="009807D5"/>
    <w:rsid w:val="009819ED"/>
    <w:rsid w:val="00984748"/>
    <w:rsid w:val="009854AD"/>
    <w:rsid w:val="0098648E"/>
    <w:rsid w:val="0098666D"/>
    <w:rsid w:val="00987B45"/>
    <w:rsid w:val="0099331C"/>
    <w:rsid w:val="0099391B"/>
    <w:rsid w:val="00993958"/>
    <w:rsid w:val="009952D4"/>
    <w:rsid w:val="00995AAB"/>
    <w:rsid w:val="009A25E2"/>
    <w:rsid w:val="009A2F6E"/>
    <w:rsid w:val="009A37A8"/>
    <w:rsid w:val="009B03E1"/>
    <w:rsid w:val="009B0A59"/>
    <w:rsid w:val="009B6548"/>
    <w:rsid w:val="009B79AF"/>
    <w:rsid w:val="009C112E"/>
    <w:rsid w:val="009C1462"/>
    <w:rsid w:val="009C3A7E"/>
    <w:rsid w:val="009C6D4E"/>
    <w:rsid w:val="009C7993"/>
    <w:rsid w:val="009D046E"/>
    <w:rsid w:val="009D2DF6"/>
    <w:rsid w:val="009D6687"/>
    <w:rsid w:val="009D67F3"/>
    <w:rsid w:val="009D6E58"/>
    <w:rsid w:val="009D744B"/>
    <w:rsid w:val="009D78E2"/>
    <w:rsid w:val="009E3701"/>
    <w:rsid w:val="009E4972"/>
    <w:rsid w:val="009E7857"/>
    <w:rsid w:val="009E7EAA"/>
    <w:rsid w:val="009F13F8"/>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179F"/>
    <w:rsid w:val="00A15E3D"/>
    <w:rsid w:val="00A16509"/>
    <w:rsid w:val="00A2053F"/>
    <w:rsid w:val="00A2115D"/>
    <w:rsid w:val="00A21234"/>
    <w:rsid w:val="00A21961"/>
    <w:rsid w:val="00A21B3D"/>
    <w:rsid w:val="00A22D28"/>
    <w:rsid w:val="00A24A5C"/>
    <w:rsid w:val="00A25910"/>
    <w:rsid w:val="00A26BAB"/>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06D1"/>
    <w:rsid w:val="00A65841"/>
    <w:rsid w:val="00A72432"/>
    <w:rsid w:val="00A75047"/>
    <w:rsid w:val="00A75E30"/>
    <w:rsid w:val="00A77F80"/>
    <w:rsid w:val="00A81EFF"/>
    <w:rsid w:val="00A85D4D"/>
    <w:rsid w:val="00A90161"/>
    <w:rsid w:val="00A901B2"/>
    <w:rsid w:val="00A90297"/>
    <w:rsid w:val="00A96E48"/>
    <w:rsid w:val="00AA20FD"/>
    <w:rsid w:val="00AA2213"/>
    <w:rsid w:val="00AA355B"/>
    <w:rsid w:val="00AA611A"/>
    <w:rsid w:val="00AB0237"/>
    <w:rsid w:val="00AB1D40"/>
    <w:rsid w:val="00AB2037"/>
    <w:rsid w:val="00AB2611"/>
    <w:rsid w:val="00AB3068"/>
    <w:rsid w:val="00AB38B0"/>
    <w:rsid w:val="00AB45B2"/>
    <w:rsid w:val="00AB4B19"/>
    <w:rsid w:val="00AB5CF8"/>
    <w:rsid w:val="00AB63A1"/>
    <w:rsid w:val="00AB6761"/>
    <w:rsid w:val="00AB7BA4"/>
    <w:rsid w:val="00AC1F0F"/>
    <w:rsid w:val="00AC264B"/>
    <w:rsid w:val="00AC2BDD"/>
    <w:rsid w:val="00AC48B0"/>
    <w:rsid w:val="00AC4D66"/>
    <w:rsid w:val="00AC54CA"/>
    <w:rsid w:val="00AC54FF"/>
    <w:rsid w:val="00AC55CD"/>
    <w:rsid w:val="00AC6461"/>
    <w:rsid w:val="00AC6503"/>
    <w:rsid w:val="00AD08AA"/>
    <w:rsid w:val="00AD2E77"/>
    <w:rsid w:val="00AD44AE"/>
    <w:rsid w:val="00AD49BD"/>
    <w:rsid w:val="00AD4CE0"/>
    <w:rsid w:val="00AE1603"/>
    <w:rsid w:val="00AE1CE6"/>
    <w:rsid w:val="00AE4539"/>
    <w:rsid w:val="00AE73A1"/>
    <w:rsid w:val="00AE75B0"/>
    <w:rsid w:val="00AF1A56"/>
    <w:rsid w:val="00AF2F81"/>
    <w:rsid w:val="00AF5A28"/>
    <w:rsid w:val="00AF6F60"/>
    <w:rsid w:val="00AF71E6"/>
    <w:rsid w:val="00B015DE"/>
    <w:rsid w:val="00B0333D"/>
    <w:rsid w:val="00B0463E"/>
    <w:rsid w:val="00B101A1"/>
    <w:rsid w:val="00B13545"/>
    <w:rsid w:val="00B139A8"/>
    <w:rsid w:val="00B13EB3"/>
    <w:rsid w:val="00B14128"/>
    <w:rsid w:val="00B1585F"/>
    <w:rsid w:val="00B16B78"/>
    <w:rsid w:val="00B2044F"/>
    <w:rsid w:val="00B21F1B"/>
    <w:rsid w:val="00B22653"/>
    <w:rsid w:val="00B22BAE"/>
    <w:rsid w:val="00B244B5"/>
    <w:rsid w:val="00B254D1"/>
    <w:rsid w:val="00B25932"/>
    <w:rsid w:val="00B27967"/>
    <w:rsid w:val="00B27BEE"/>
    <w:rsid w:val="00B31548"/>
    <w:rsid w:val="00B32FE5"/>
    <w:rsid w:val="00B363D5"/>
    <w:rsid w:val="00B3771B"/>
    <w:rsid w:val="00B37BA7"/>
    <w:rsid w:val="00B405B1"/>
    <w:rsid w:val="00B4638E"/>
    <w:rsid w:val="00B5031C"/>
    <w:rsid w:val="00B50F78"/>
    <w:rsid w:val="00B52FEB"/>
    <w:rsid w:val="00B5507F"/>
    <w:rsid w:val="00B60324"/>
    <w:rsid w:val="00B60C6A"/>
    <w:rsid w:val="00B60CF5"/>
    <w:rsid w:val="00B61BD8"/>
    <w:rsid w:val="00B62A7A"/>
    <w:rsid w:val="00B62D50"/>
    <w:rsid w:val="00B634AB"/>
    <w:rsid w:val="00B64370"/>
    <w:rsid w:val="00B6668D"/>
    <w:rsid w:val="00B67198"/>
    <w:rsid w:val="00B73238"/>
    <w:rsid w:val="00B734CD"/>
    <w:rsid w:val="00B762DA"/>
    <w:rsid w:val="00B80123"/>
    <w:rsid w:val="00B82737"/>
    <w:rsid w:val="00B84581"/>
    <w:rsid w:val="00B86B9B"/>
    <w:rsid w:val="00B90629"/>
    <w:rsid w:val="00B91F8C"/>
    <w:rsid w:val="00B93611"/>
    <w:rsid w:val="00B93E40"/>
    <w:rsid w:val="00B96608"/>
    <w:rsid w:val="00B96DB4"/>
    <w:rsid w:val="00B97765"/>
    <w:rsid w:val="00BA26B0"/>
    <w:rsid w:val="00BA4304"/>
    <w:rsid w:val="00BA5572"/>
    <w:rsid w:val="00BA5D31"/>
    <w:rsid w:val="00BB1DFD"/>
    <w:rsid w:val="00BB48A0"/>
    <w:rsid w:val="00BB4D63"/>
    <w:rsid w:val="00BB61AC"/>
    <w:rsid w:val="00BB61E1"/>
    <w:rsid w:val="00BB63E0"/>
    <w:rsid w:val="00BB6B43"/>
    <w:rsid w:val="00BB6B53"/>
    <w:rsid w:val="00BB7466"/>
    <w:rsid w:val="00BB7908"/>
    <w:rsid w:val="00BC0C69"/>
    <w:rsid w:val="00BC5EEE"/>
    <w:rsid w:val="00BC65A2"/>
    <w:rsid w:val="00BC65AA"/>
    <w:rsid w:val="00BC66E1"/>
    <w:rsid w:val="00BC6D45"/>
    <w:rsid w:val="00BD0008"/>
    <w:rsid w:val="00BD0EC2"/>
    <w:rsid w:val="00BD2631"/>
    <w:rsid w:val="00BD2A2E"/>
    <w:rsid w:val="00BD5E2D"/>
    <w:rsid w:val="00BD6786"/>
    <w:rsid w:val="00BD716B"/>
    <w:rsid w:val="00BE4D88"/>
    <w:rsid w:val="00BF16CF"/>
    <w:rsid w:val="00BF2D8D"/>
    <w:rsid w:val="00BF327E"/>
    <w:rsid w:val="00BF361A"/>
    <w:rsid w:val="00BF58C7"/>
    <w:rsid w:val="00C009D9"/>
    <w:rsid w:val="00C01028"/>
    <w:rsid w:val="00C01679"/>
    <w:rsid w:val="00C01DC9"/>
    <w:rsid w:val="00C03389"/>
    <w:rsid w:val="00C04DB6"/>
    <w:rsid w:val="00C05227"/>
    <w:rsid w:val="00C05D93"/>
    <w:rsid w:val="00C06B13"/>
    <w:rsid w:val="00C076E2"/>
    <w:rsid w:val="00C12245"/>
    <w:rsid w:val="00C149C5"/>
    <w:rsid w:val="00C159C6"/>
    <w:rsid w:val="00C161C0"/>
    <w:rsid w:val="00C209E2"/>
    <w:rsid w:val="00C2112F"/>
    <w:rsid w:val="00C213C4"/>
    <w:rsid w:val="00C21FB7"/>
    <w:rsid w:val="00C23618"/>
    <w:rsid w:val="00C2464B"/>
    <w:rsid w:val="00C27799"/>
    <w:rsid w:val="00C312DF"/>
    <w:rsid w:val="00C3184A"/>
    <w:rsid w:val="00C337D9"/>
    <w:rsid w:val="00C33E3C"/>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A17"/>
    <w:rsid w:val="00C80A48"/>
    <w:rsid w:val="00C81F9F"/>
    <w:rsid w:val="00C83C82"/>
    <w:rsid w:val="00C85311"/>
    <w:rsid w:val="00C865A9"/>
    <w:rsid w:val="00C8774C"/>
    <w:rsid w:val="00C87D24"/>
    <w:rsid w:val="00C91257"/>
    <w:rsid w:val="00C94F55"/>
    <w:rsid w:val="00CA0F21"/>
    <w:rsid w:val="00CA25EC"/>
    <w:rsid w:val="00CA26C5"/>
    <w:rsid w:val="00CB76F2"/>
    <w:rsid w:val="00CC0545"/>
    <w:rsid w:val="00CC0F01"/>
    <w:rsid w:val="00CC11F4"/>
    <w:rsid w:val="00CC1D8F"/>
    <w:rsid w:val="00CC1EA3"/>
    <w:rsid w:val="00CC3A1C"/>
    <w:rsid w:val="00CC4027"/>
    <w:rsid w:val="00CC49BE"/>
    <w:rsid w:val="00CC5394"/>
    <w:rsid w:val="00CC5840"/>
    <w:rsid w:val="00CC6686"/>
    <w:rsid w:val="00CC6F6C"/>
    <w:rsid w:val="00CD4DFE"/>
    <w:rsid w:val="00CD5BB7"/>
    <w:rsid w:val="00CD6571"/>
    <w:rsid w:val="00CE058D"/>
    <w:rsid w:val="00CE2BA6"/>
    <w:rsid w:val="00CE5B70"/>
    <w:rsid w:val="00CE71BA"/>
    <w:rsid w:val="00CE7235"/>
    <w:rsid w:val="00CF18D0"/>
    <w:rsid w:val="00CF35C9"/>
    <w:rsid w:val="00CF57CE"/>
    <w:rsid w:val="00CF62E5"/>
    <w:rsid w:val="00CF6F0E"/>
    <w:rsid w:val="00CF736E"/>
    <w:rsid w:val="00D00189"/>
    <w:rsid w:val="00D0413D"/>
    <w:rsid w:val="00D07520"/>
    <w:rsid w:val="00D10206"/>
    <w:rsid w:val="00D104CA"/>
    <w:rsid w:val="00D10564"/>
    <w:rsid w:val="00D10830"/>
    <w:rsid w:val="00D10B4E"/>
    <w:rsid w:val="00D11920"/>
    <w:rsid w:val="00D12E8B"/>
    <w:rsid w:val="00D12F36"/>
    <w:rsid w:val="00D13948"/>
    <w:rsid w:val="00D144CE"/>
    <w:rsid w:val="00D16E7A"/>
    <w:rsid w:val="00D21834"/>
    <w:rsid w:val="00D26206"/>
    <w:rsid w:val="00D301C7"/>
    <w:rsid w:val="00D303EE"/>
    <w:rsid w:val="00D3054E"/>
    <w:rsid w:val="00D31037"/>
    <w:rsid w:val="00D317AE"/>
    <w:rsid w:val="00D3285D"/>
    <w:rsid w:val="00D32F30"/>
    <w:rsid w:val="00D332BD"/>
    <w:rsid w:val="00D33422"/>
    <w:rsid w:val="00D341C0"/>
    <w:rsid w:val="00D34883"/>
    <w:rsid w:val="00D3626B"/>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669AB"/>
    <w:rsid w:val="00D701DF"/>
    <w:rsid w:val="00D71322"/>
    <w:rsid w:val="00D7332F"/>
    <w:rsid w:val="00D743FB"/>
    <w:rsid w:val="00D767A2"/>
    <w:rsid w:val="00D81FE2"/>
    <w:rsid w:val="00D82A71"/>
    <w:rsid w:val="00D82A95"/>
    <w:rsid w:val="00D863B6"/>
    <w:rsid w:val="00D864C6"/>
    <w:rsid w:val="00D911FE"/>
    <w:rsid w:val="00D91BB1"/>
    <w:rsid w:val="00D91BBA"/>
    <w:rsid w:val="00D94918"/>
    <w:rsid w:val="00D94959"/>
    <w:rsid w:val="00D967C4"/>
    <w:rsid w:val="00D97FCE"/>
    <w:rsid w:val="00DA0E8D"/>
    <w:rsid w:val="00DA5015"/>
    <w:rsid w:val="00DA5399"/>
    <w:rsid w:val="00DA5792"/>
    <w:rsid w:val="00DA6428"/>
    <w:rsid w:val="00DA742A"/>
    <w:rsid w:val="00DA7615"/>
    <w:rsid w:val="00DB224E"/>
    <w:rsid w:val="00DB5AE5"/>
    <w:rsid w:val="00DB6621"/>
    <w:rsid w:val="00DB7602"/>
    <w:rsid w:val="00DB791C"/>
    <w:rsid w:val="00DC00FD"/>
    <w:rsid w:val="00DC0BCF"/>
    <w:rsid w:val="00DC10C0"/>
    <w:rsid w:val="00DC1176"/>
    <w:rsid w:val="00DC11F5"/>
    <w:rsid w:val="00DC4896"/>
    <w:rsid w:val="00DC6D0F"/>
    <w:rsid w:val="00DD3B55"/>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FA2"/>
    <w:rsid w:val="00E20694"/>
    <w:rsid w:val="00E2194D"/>
    <w:rsid w:val="00E24244"/>
    <w:rsid w:val="00E24643"/>
    <w:rsid w:val="00E26D4D"/>
    <w:rsid w:val="00E27680"/>
    <w:rsid w:val="00E307AD"/>
    <w:rsid w:val="00E30C2E"/>
    <w:rsid w:val="00E32D23"/>
    <w:rsid w:val="00E32DB4"/>
    <w:rsid w:val="00E32FC2"/>
    <w:rsid w:val="00E34D9B"/>
    <w:rsid w:val="00E36C1C"/>
    <w:rsid w:val="00E37BC3"/>
    <w:rsid w:val="00E37F90"/>
    <w:rsid w:val="00E4040E"/>
    <w:rsid w:val="00E42EE0"/>
    <w:rsid w:val="00E567E2"/>
    <w:rsid w:val="00E56C6C"/>
    <w:rsid w:val="00E57295"/>
    <w:rsid w:val="00E618FA"/>
    <w:rsid w:val="00E62188"/>
    <w:rsid w:val="00E62822"/>
    <w:rsid w:val="00E734CD"/>
    <w:rsid w:val="00E746FA"/>
    <w:rsid w:val="00E758B1"/>
    <w:rsid w:val="00E7623C"/>
    <w:rsid w:val="00E77385"/>
    <w:rsid w:val="00E80331"/>
    <w:rsid w:val="00E8072E"/>
    <w:rsid w:val="00E848AE"/>
    <w:rsid w:val="00E86CF1"/>
    <w:rsid w:val="00E8738A"/>
    <w:rsid w:val="00E907CB"/>
    <w:rsid w:val="00E91FD6"/>
    <w:rsid w:val="00E92983"/>
    <w:rsid w:val="00E92D47"/>
    <w:rsid w:val="00E94BA1"/>
    <w:rsid w:val="00E962B2"/>
    <w:rsid w:val="00EA010E"/>
    <w:rsid w:val="00EA0600"/>
    <w:rsid w:val="00EA0F2B"/>
    <w:rsid w:val="00EA0F83"/>
    <w:rsid w:val="00EA454C"/>
    <w:rsid w:val="00EA546D"/>
    <w:rsid w:val="00EA59F1"/>
    <w:rsid w:val="00EB091E"/>
    <w:rsid w:val="00EB0A92"/>
    <w:rsid w:val="00EB2274"/>
    <w:rsid w:val="00EB2C7E"/>
    <w:rsid w:val="00EB3C20"/>
    <w:rsid w:val="00EB4728"/>
    <w:rsid w:val="00EB5622"/>
    <w:rsid w:val="00EB594D"/>
    <w:rsid w:val="00EB6F22"/>
    <w:rsid w:val="00EC222F"/>
    <w:rsid w:val="00EC3D09"/>
    <w:rsid w:val="00EC7166"/>
    <w:rsid w:val="00EC7270"/>
    <w:rsid w:val="00EC7CD0"/>
    <w:rsid w:val="00ED2D5D"/>
    <w:rsid w:val="00ED4CA5"/>
    <w:rsid w:val="00ED5EE3"/>
    <w:rsid w:val="00ED677C"/>
    <w:rsid w:val="00EF038B"/>
    <w:rsid w:val="00EF0725"/>
    <w:rsid w:val="00EF0EFE"/>
    <w:rsid w:val="00EF287A"/>
    <w:rsid w:val="00EF7361"/>
    <w:rsid w:val="00F0478C"/>
    <w:rsid w:val="00F063CE"/>
    <w:rsid w:val="00F12B84"/>
    <w:rsid w:val="00F16A02"/>
    <w:rsid w:val="00F17D20"/>
    <w:rsid w:val="00F20B1A"/>
    <w:rsid w:val="00F213D5"/>
    <w:rsid w:val="00F21FBE"/>
    <w:rsid w:val="00F237D1"/>
    <w:rsid w:val="00F23E7F"/>
    <w:rsid w:val="00F24B47"/>
    <w:rsid w:val="00F26263"/>
    <w:rsid w:val="00F3342F"/>
    <w:rsid w:val="00F35940"/>
    <w:rsid w:val="00F35F88"/>
    <w:rsid w:val="00F3730C"/>
    <w:rsid w:val="00F37BCF"/>
    <w:rsid w:val="00F400AB"/>
    <w:rsid w:val="00F42127"/>
    <w:rsid w:val="00F42D7E"/>
    <w:rsid w:val="00F4614B"/>
    <w:rsid w:val="00F469BF"/>
    <w:rsid w:val="00F47527"/>
    <w:rsid w:val="00F50201"/>
    <w:rsid w:val="00F50719"/>
    <w:rsid w:val="00F538A2"/>
    <w:rsid w:val="00F54FF0"/>
    <w:rsid w:val="00F619FF"/>
    <w:rsid w:val="00F63312"/>
    <w:rsid w:val="00F64265"/>
    <w:rsid w:val="00F643DA"/>
    <w:rsid w:val="00F6441C"/>
    <w:rsid w:val="00F75BBC"/>
    <w:rsid w:val="00F76BA7"/>
    <w:rsid w:val="00F81224"/>
    <w:rsid w:val="00F81F46"/>
    <w:rsid w:val="00F82FC6"/>
    <w:rsid w:val="00F85343"/>
    <w:rsid w:val="00F86019"/>
    <w:rsid w:val="00F93D10"/>
    <w:rsid w:val="00F952EE"/>
    <w:rsid w:val="00F96608"/>
    <w:rsid w:val="00FA0199"/>
    <w:rsid w:val="00FB1133"/>
    <w:rsid w:val="00FB3418"/>
    <w:rsid w:val="00FB3821"/>
    <w:rsid w:val="00FB52CA"/>
    <w:rsid w:val="00FB7A1E"/>
    <w:rsid w:val="00FC2E9D"/>
    <w:rsid w:val="00FC419D"/>
    <w:rsid w:val="00FC53B2"/>
    <w:rsid w:val="00FC60BF"/>
    <w:rsid w:val="00FC61E8"/>
    <w:rsid w:val="00FD0023"/>
    <w:rsid w:val="00FD04F2"/>
    <w:rsid w:val="00FD1E0A"/>
    <w:rsid w:val="00FD546F"/>
    <w:rsid w:val="00FD55ED"/>
    <w:rsid w:val="00FD63D9"/>
    <w:rsid w:val="00FE0110"/>
    <w:rsid w:val="00FE0718"/>
    <w:rsid w:val="00FE35FC"/>
    <w:rsid w:val="00FE4783"/>
    <w:rsid w:val="00FF1494"/>
    <w:rsid w:val="00FF3463"/>
    <w:rsid w:val="00FF410D"/>
    <w:rsid w:val="00FF4E34"/>
    <w:rsid w:val="00FF5B26"/>
    <w:rsid w:val="00FF7C03"/>
    <w:rsid w:val="010258E6"/>
    <w:rsid w:val="01262A11"/>
    <w:rsid w:val="01524546"/>
    <w:rsid w:val="01710365"/>
    <w:rsid w:val="01722C33"/>
    <w:rsid w:val="017A7499"/>
    <w:rsid w:val="019B1002"/>
    <w:rsid w:val="01AD0284"/>
    <w:rsid w:val="01C50A60"/>
    <w:rsid w:val="01CB7206"/>
    <w:rsid w:val="01CC187D"/>
    <w:rsid w:val="01CE3A0A"/>
    <w:rsid w:val="01E02BDF"/>
    <w:rsid w:val="01E518DC"/>
    <w:rsid w:val="01EF3E79"/>
    <w:rsid w:val="020052E3"/>
    <w:rsid w:val="020B3CEA"/>
    <w:rsid w:val="020C3EDC"/>
    <w:rsid w:val="02555ED9"/>
    <w:rsid w:val="026043E7"/>
    <w:rsid w:val="029307AF"/>
    <w:rsid w:val="02C56869"/>
    <w:rsid w:val="02E229F7"/>
    <w:rsid w:val="02E35875"/>
    <w:rsid w:val="02E62FD5"/>
    <w:rsid w:val="031D1EDF"/>
    <w:rsid w:val="032C72CF"/>
    <w:rsid w:val="033D0C2F"/>
    <w:rsid w:val="03507D3F"/>
    <w:rsid w:val="03753A54"/>
    <w:rsid w:val="03867E22"/>
    <w:rsid w:val="03951B32"/>
    <w:rsid w:val="03CE5A28"/>
    <w:rsid w:val="03F70B81"/>
    <w:rsid w:val="03F70E8A"/>
    <w:rsid w:val="040672AE"/>
    <w:rsid w:val="04355770"/>
    <w:rsid w:val="043D6C25"/>
    <w:rsid w:val="04475109"/>
    <w:rsid w:val="044A28B0"/>
    <w:rsid w:val="046161A6"/>
    <w:rsid w:val="047645FF"/>
    <w:rsid w:val="047737F2"/>
    <w:rsid w:val="0481340E"/>
    <w:rsid w:val="04A13783"/>
    <w:rsid w:val="04AB3B6F"/>
    <w:rsid w:val="04B802B2"/>
    <w:rsid w:val="04CD4875"/>
    <w:rsid w:val="04D923B8"/>
    <w:rsid w:val="04D94D70"/>
    <w:rsid w:val="04DD5A3E"/>
    <w:rsid w:val="04F079D4"/>
    <w:rsid w:val="04F163A1"/>
    <w:rsid w:val="051A4677"/>
    <w:rsid w:val="0535135D"/>
    <w:rsid w:val="054D2E98"/>
    <w:rsid w:val="055B2BDE"/>
    <w:rsid w:val="056A0F0E"/>
    <w:rsid w:val="05841700"/>
    <w:rsid w:val="058B3C36"/>
    <w:rsid w:val="058F568C"/>
    <w:rsid w:val="05935113"/>
    <w:rsid w:val="05980C29"/>
    <w:rsid w:val="059A1A6C"/>
    <w:rsid w:val="05B11A90"/>
    <w:rsid w:val="05C11C45"/>
    <w:rsid w:val="05D222F6"/>
    <w:rsid w:val="05D74029"/>
    <w:rsid w:val="05DC0DD7"/>
    <w:rsid w:val="05DC2881"/>
    <w:rsid w:val="05E7387D"/>
    <w:rsid w:val="05EC4FCA"/>
    <w:rsid w:val="05F64927"/>
    <w:rsid w:val="065F10D4"/>
    <w:rsid w:val="06622B79"/>
    <w:rsid w:val="06735A57"/>
    <w:rsid w:val="068B1EC9"/>
    <w:rsid w:val="069D7E4F"/>
    <w:rsid w:val="069F5975"/>
    <w:rsid w:val="06A30B04"/>
    <w:rsid w:val="06B156A8"/>
    <w:rsid w:val="06B371CB"/>
    <w:rsid w:val="06C673A5"/>
    <w:rsid w:val="06EC048E"/>
    <w:rsid w:val="07027CB2"/>
    <w:rsid w:val="07071080"/>
    <w:rsid w:val="07133987"/>
    <w:rsid w:val="072E2EA5"/>
    <w:rsid w:val="073065CD"/>
    <w:rsid w:val="074F1149"/>
    <w:rsid w:val="075B4DA8"/>
    <w:rsid w:val="077C7890"/>
    <w:rsid w:val="077E17E6"/>
    <w:rsid w:val="078367DF"/>
    <w:rsid w:val="0798526C"/>
    <w:rsid w:val="07B6743B"/>
    <w:rsid w:val="07B90CB8"/>
    <w:rsid w:val="07CB711C"/>
    <w:rsid w:val="08052EE4"/>
    <w:rsid w:val="081D6FE5"/>
    <w:rsid w:val="08273E74"/>
    <w:rsid w:val="08402632"/>
    <w:rsid w:val="08437164"/>
    <w:rsid w:val="08534C69"/>
    <w:rsid w:val="085C2B1F"/>
    <w:rsid w:val="086724C2"/>
    <w:rsid w:val="08751806"/>
    <w:rsid w:val="08776D15"/>
    <w:rsid w:val="087F6EAD"/>
    <w:rsid w:val="08964B56"/>
    <w:rsid w:val="08967162"/>
    <w:rsid w:val="08A10FEE"/>
    <w:rsid w:val="08A528C9"/>
    <w:rsid w:val="08A94456"/>
    <w:rsid w:val="08AF0661"/>
    <w:rsid w:val="08D04256"/>
    <w:rsid w:val="08D16FB0"/>
    <w:rsid w:val="08D71976"/>
    <w:rsid w:val="08DD4D56"/>
    <w:rsid w:val="08E81855"/>
    <w:rsid w:val="08F13B72"/>
    <w:rsid w:val="091E2FEC"/>
    <w:rsid w:val="092D0237"/>
    <w:rsid w:val="093E25FC"/>
    <w:rsid w:val="09573A1A"/>
    <w:rsid w:val="095B0F5C"/>
    <w:rsid w:val="095F6407"/>
    <w:rsid w:val="099754A0"/>
    <w:rsid w:val="09C25FDF"/>
    <w:rsid w:val="09DF42DA"/>
    <w:rsid w:val="0A0007F1"/>
    <w:rsid w:val="0A1B0A61"/>
    <w:rsid w:val="0A1B7A08"/>
    <w:rsid w:val="0A291522"/>
    <w:rsid w:val="0A4E4BD2"/>
    <w:rsid w:val="0A586AAE"/>
    <w:rsid w:val="0A5D69CB"/>
    <w:rsid w:val="0A607158"/>
    <w:rsid w:val="0A670F45"/>
    <w:rsid w:val="0A7F5310"/>
    <w:rsid w:val="0A832232"/>
    <w:rsid w:val="0A892929"/>
    <w:rsid w:val="0A892BC4"/>
    <w:rsid w:val="0A8E2DE3"/>
    <w:rsid w:val="0A972DEB"/>
    <w:rsid w:val="0A9732D9"/>
    <w:rsid w:val="0AA90B70"/>
    <w:rsid w:val="0AB87005"/>
    <w:rsid w:val="0ABB4084"/>
    <w:rsid w:val="0AC66E25"/>
    <w:rsid w:val="0AC92C3E"/>
    <w:rsid w:val="0ACC376C"/>
    <w:rsid w:val="0AE866D6"/>
    <w:rsid w:val="0AEA27D9"/>
    <w:rsid w:val="0B217598"/>
    <w:rsid w:val="0B467B2B"/>
    <w:rsid w:val="0B507A38"/>
    <w:rsid w:val="0B88110C"/>
    <w:rsid w:val="0B8E4B2D"/>
    <w:rsid w:val="0BB06CD5"/>
    <w:rsid w:val="0BD70481"/>
    <w:rsid w:val="0BDF6813"/>
    <w:rsid w:val="0BF73665"/>
    <w:rsid w:val="0C653200"/>
    <w:rsid w:val="0C717B0B"/>
    <w:rsid w:val="0CB06269"/>
    <w:rsid w:val="0CB355D9"/>
    <w:rsid w:val="0CF20ED2"/>
    <w:rsid w:val="0CFD389B"/>
    <w:rsid w:val="0D351124"/>
    <w:rsid w:val="0D4A0154"/>
    <w:rsid w:val="0D56502D"/>
    <w:rsid w:val="0D715CDF"/>
    <w:rsid w:val="0D955794"/>
    <w:rsid w:val="0D961154"/>
    <w:rsid w:val="0DA63A8D"/>
    <w:rsid w:val="0DA939CD"/>
    <w:rsid w:val="0DC67D96"/>
    <w:rsid w:val="0DEE338A"/>
    <w:rsid w:val="0DFC36AD"/>
    <w:rsid w:val="0DFF42DB"/>
    <w:rsid w:val="0E026119"/>
    <w:rsid w:val="0E107158"/>
    <w:rsid w:val="0E2449B2"/>
    <w:rsid w:val="0E344BF5"/>
    <w:rsid w:val="0E415846"/>
    <w:rsid w:val="0E420208"/>
    <w:rsid w:val="0E6059EA"/>
    <w:rsid w:val="0E6346D4"/>
    <w:rsid w:val="0E694E77"/>
    <w:rsid w:val="0E952174"/>
    <w:rsid w:val="0ECB3CB1"/>
    <w:rsid w:val="0EEB2F8F"/>
    <w:rsid w:val="0F152C78"/>
    <w:rsid w:val="0F311A88"/>
    <w:rsid w:val="0F352F56"/>
    <w:rsid w:val="0F442DCE"/>
    <w:rsid w:val="0F457191"/>
    <w:rsid w:val="0F47797A"/>
    <w:rsid w:val="0F5117D6"/>
    <w:rsid w:val="0FAB4FAD"/>
    <w:rsid w:val="0FB63AF6"/>
    <w:rsid w:val="0FF024AD"/>
    <w:rsid w:val="0FF356C9"/>
    <w:rsid w:val="10036A83"/>
    <w:rsid w:val="100E04A5"/>
    <w:rsid w:val="100E6912"/>
    <w:rsid w:val="10220EDB"/>
    <w:rsid w:val="103B5476"/>
    <w:rsid w:val="104022F7"/>
    <w:rsid w:val="105C41BD"/>
    <w:rsid w:val="10747245"/>
    <w:rsid w:val="10796280"/>
    <w:rsid w:val="10991687"/>
    <w:rsid w:val="10CE1DC4"/>
    <w:rsid w:val="10EA1EE2"/>
    <w:rsid w:val="10EB5448"/>
    <w:rsid w:val="111C0A10"/>
    <w:rsid w:val="112524BF"/>
    <w:rsid w:val="112B73CC"/>
    <w:rsid w:val="112C24B3"/>
    <w:rsid w:val="112C684D"/>
    <w:rsid w:val="114C54EF"/>
    <w:rsid w:val="117479FE"/>
    <w:rsid w:val="119E6584"/>
    <w:rsid w:val="11A53328"/>
    <w:rsid w:val="11A955E3"/>
    <w:rsid w:val="11BB68E0"/>
    <w:rsid w:val="11CF03A6"/>
    <w:rsid w:val="11D86CF1"/>
    <w:rsid w:val="11DA7008"/>
    <w:rsid w:val="11E85D62"/>
    <w:rsid w:val="11EE155E"/>
    <w:rsid w:val="11FD1476"/>
    <w:rsid w:val="12282CC2"/>
    <w:rsid w:val="122B630F"/>
    <w:rsid w:val="12371157"/>
    <w:rsid w:val="12452765"/>
    <w:rsid w:val="12475BAC"/>
    <w:rsid w:val="127B3870"/>
    <w:rsid w:val="12952491"/>
    <w:rsid w:val="129F2902"/>
    <w:rsid w:val="12A1106E"/>
    <w:rsid w:val="12A667F2"/>
    <w:rsid w:val="12AC726A"/>
    <w:rsid w:val="12AF4946"/>
    <w:rsid w:val="12BA165C"/>
    <w:rsid w:val="12CC5D44"/>
    <w:rsid w:val="12CE73C0"/>
    <w:rsid w:val="12F87246"/>
    <w:rsid w:val="12FC5EFD"/>
    <w:rsid w:val="130A686C"/>
    <w:rsid w:val="132269CF"/>
    <w:rsid w:val="13336CF6"/>
    <w:rsid w:val="136519AE"/>
    <w:rsid w:val="13661C14"/>
    <w:rsid w:val="139044BF"/>
    <w:rsid w:val="13987C4E"/>
    <w:rsid w:val="13A4281C"/>
    <w:rsid w:val="13A97E33"/>
    <w:rsid w:val="13BD4555"/>
    <w:rsid w:val="13D51BD3"/>
    <w:rsid w:val="13E40F27"/>
    <w:rsid w:val="13EA5F4E"/>
    <w:rsid w:val="13FA0506"/>
    <w:rsid w:val="14024A47"/>
    <w:rsid w:val="142723FC"/>
    <w:rsid w:val="14316C52"/>
    <w:rsid w:val="14462912"/>
    <w:rsid w:val="14586327"/>
    <w:rsid w:val="1461070D"/>
    <w:rsid w:val="14625C43"/>
    <w:rsid w:val="14815555"/>
    <w:rsid w:val="14852A00"/>
    <w:rsid w:val="14A360CE"/>
    <w:rsid w:val="14EE1002"/>
    <w:rsid w:val="151D28B7"/>
    <w:rsid w:val="151D5A6C"/>
    <w:rsid w:val="15225A98"/>
    <w:rsid w:val="152C362B"/>
    <w:rsid w:val="15362F72"/>
    <w:rsid w:val="156C736A"/>
    <w:rsid w:val="15846331"/>
    <w:rsid w:val="159F3BE1"/>
    <w:rsid w:val="15BE15BB"/>
    <w:rsid w:val="15D7147E"/>
    <w:rsid w:val="15FB1BFA"/>
    <w:rsid w:val="160617B7"/>
    <w:rsid w:val="16200CA3"/>
    <w:rsid w:val="163316E9"/>
    <w:rsid w:val="1637067E"/>
    <w:rsid w:val="16446300"/>
    <w:rsid w:val="1647748F"/>
    <w:rsid w:val="165027E8"/>
    <w:rsid w:val="16542A1D"/>
    <w:rsid w:val="16601997"/>
    <w:rsid w:val="166461BF"/>
    <w:rsid w:val="167069E6"/>
    <w:rsid w:val="1674659D"/>
    <w:rsid w:val="168F3AB7"/>
    <w:rsid w:val="169935CC"/>
    <w:rsid w:val="16A05662"/>
    <w:rsid w:val="16E01E2C"/>
    <w:rsid w:val="16E328B7"/>
    <w:rsid w:val="16E42F30"/>
    <w:rsid w:val="17012E3C"/>
    <w:rsid w:val="17013AE2"/>
    <w:rsid w:val="17155AED"/>
    <w:rsid w:val="171D549C"/>
    <w:rsid w:val="17266E90"/>
    <w:rsid w:val="172B57F8"/>
    <w:rsid w:val="172C5385"/>
    <w:rsid w:val="172D0D7B"/>
    <w:rsid w:val="173A3FAE"/>
    <w:rsid w:val="17677340"/>
    <w:rsid w:val="176F196A"/>
    <w:rsid w:val="17885D15"/>
    <w:rsid w:val="178F2125"/>
    <w:rsid w:val="17975338"/>
    <w:rsid w:val="17A105FD"/>
    <w:rsid w:val="17D5EAC6"/>
    <w:rsid w:val="17F23AA4"/>
    <w:rsid w:val="182A5193"/>
    <w:rsid w:val="18583BD5"/>
    <w:rsid w:val="18590D07"/>
    <w:rsid w:val="185B733F"/>
    <w:rsid w:val="18631746"/>
    <w:rsid w:val="187C0023"/>
    <w:rsid w:val="1883469D"/>
    <w:rsid w:val="188A404B"/>
    <w:rsid w:val="18B1358A"/>
    <w:rsid w:val="18C66D91"/>
    <w:rsid w:val="18D07C10"/>
    <w:rsid w:val="18F8087E"/>
    <w:rsid w:val="18FB26D4"/>
    <w:rsid w:val="191B028F"/>
    <w:rsid w:val="192078F4"/>
    <w:rsid w:val="1948016A"/>
    <w:rsid w:val="19512494"/>
    <w:rsid w:val="196C5B8A"/>
    <w:rsid w:val="196F5834"/>
    <w:rsid w:val="19777ED5"/>
    <w:rsid w:val="197907DA"/>
    <w:rsid w:val="197C5EDB"/>
    <w:rsid w:val="19822FE5"/>
    <w:rsid w:val="198729C4"/>
    <w:rsid w:val="198829FA"/>
    <w:rsid w:val="198834D0"/>
    <w:rsid w:val="19933FCC"/>
    <w:rsid w:val="199706EC"/>
    <w:rsid w:val="1998289E"/>
    <w:rsid w:val="199D05C1"/>
    <w:rsid w:val="19B906A4"/>
    <w:rsid w:val="19D77233"/>
    <w:rsid w:val="19DA45A3"/>
    <w:rsid w:val="19DB21F8"/>
    <w:rsid w:val="19DD5645"/>
    <w:rsid w:val="19F52E27"/>
    <w:rsid w:val="1A2A17EE"/>
    <w:rsid w:val="1A364661"/>
    <w:rsid w:val="1A536E19"/>
    <w:rsid w:val="1A7B0075"/>
    <w:rsid w:val="1A8B49F2"/>
    <w:rsid w:val="1A8F40D1"/>
    <w:rsid w:val="1A9F1B1F"/>
    <w:rsid w:val="1AA255DC"/>
    <w:rsid w:val="1AAA694D"/>
    <w:rsid w:val="1AAE6582"/>
    <w:rsid w:val="1AB360A8"/>
    <w:rsid w:val="1ACA0B0B"/>
    <w:rsid w:val="1ADF405D"/>
    <w:rsid w:val="1AE23359"/>
    <w:rsid w:val="1AE31E7C"/>
    <w:rsid w:val="1AF05D37"/>
    <w:rsid w:val="1B0F21BB"/>
    <w:rsid w:val="1B146529"/>
    <w:rsid w:val="1B1C3DE6"/>
    <w:rsid w:val="1B1F554D"/>
    <w:rsid w:val="1B4A4F0A"/>
    <w:rsid w:val="1B6034CD"/>
    <w:rsid w:val="1B674A96"/>
    <w:rsid w:val="1B692200"/>
    <w:rsid w:val="1B787B1B"/>
    <w:rsid w:val="1B7F3B26"/>
    <w:rsid w:val="1BB25E5E"/>
    <w:rsid w:val="1BBB0EE8"/>
    <w:rsid w:val="1BC42A1A"/>
    <w:rsid w:val="1BE13EE2"/>
    <w:rsid w:val="1BE26FB4"/>
    <w:rsid w:val="1BF328A2"/>
    <w:rsid w:val="1BFB1448"/>
    <w:rsid w:val="1C001873"/>
    <w:rsid w:val="1C1A54B6"/>
    <w:rsid w:val="1C2F66D2"/>
    <w:rsid w:val="1C38596F"/>
    <w:rsid w:val="1C7C4434"/>
    <w:rsid w:val="1C8306EB"/>
    <w:rsid w:val="1CBD0A07"/>
    <w:rsid w:val="1CBE3535"/>
    <w:rsid w:val="1CD53A47"/>
    <w:rsid w:val="1CD7116E"/>
    <w:rsid w:val="1CE41F63"/>
    <w:rsid w:val="1CE66C80"/>
    <w:rsid w:val="1CED1957"/>
    <w:rsid w:val="1D1A3B4F"/>
    <w:rsid w:val="1D2F5DDB"/>
    <w:rsid w:val="1D35423C"/>
    <w:rsid w:val="1D4202F0"/>
    <w:rsid w:val="1D7D6017"/>
    <w:rsid w:val="1D7E7F9C"/>
    <w:rsid w:val="1D927CE7"/>
    <w:rsid w:val="1D993B0D"/>
    <w:rsid w:val="1DCF1881"/>
    <w:rsid w:val="1DD67B98"/>
    <w:rsid w:val="1DED3012"/>
    <w:rsid w:val="1E0B5C51"/>
    <w:rsid w:val="1E283EAC"/>
    <w:rsid w:val="1E2E78B2"/>
    <w:rsid w:val="1E54567C"/>
    <w:rsid w:val="1E696B3C"/>
    <w:rsid w:val="1E98411C"/>
    <w:rsid w:val="1EAD038F"/>
    <w:rsid w:val="1EFE78C3"/>
    <w:rsid w:val="1F0407B8"/>
    <w:rsid w:val="1F204D21"/>
    <w:rsid w:val="1F2C5E05"/>
    <w:rsid w:val="1F2C64C8"/>
    <w:rsid w:val="1F637CE2"/>
    <w:rsid w:val="1F747C83"/>
    <w:rsid w:val="1F764420"/>
    <w:rsid w:val="1F874141"/>
    <w:rsid w:val="1F931E59"/>
    <w:rsid w:val="1F9A5A2D"/>
    <w:rsid w:val="1F9D7CD1"/>
    <w:rsid w:val="1FB55DAA"/>
    <w:rsid w:val="1FBE6F6A"/>
    <w:rsid w:val="1FD004F5"/>
    <w:rsid w:val="1FD14F87"/>
    <w:rsid w:val="1FD9384E"/>
    <w:rsid w:val="1FE060AE"/>
    <w:rsid w:val="1FE521F3"/>
    <w:rsid w:val="1FEC755D"/>
    <w:rsid w:val="20137A5C"/>
    <w:rsid w:val="201C5FF3"/>
    <w:rsid w:val="202C43AF"/>
    <w:rsid w:val="204A0C66"/>
    <w:rsid w:val="20743B5C"/>
    <w:rsid w:val="208551D3"/>
    <w:rsid w:val="20912542"/>
    <w:rsid w:val="20AA65FB"/>
    <w:rsid w:val="20AD547B"/>
    <w:rsid w:val="20AF2286"/>
    <w:rsid w:val="20BD5921"/>
    <w:rsid w:val="20EC75B1"/>
    <w:rsid w:val="21015B36"/>
    <w:rsid w:val="21035A81"/>
    <w:rsid w:val="21054E11"/>
    <w:rsid w:val="211A5ECC"/>
    <w:rsid w:val="21374756"/>
    <w:rsid w:val="213E25AB"/>
    <w:rsid w:val="215C5FAE"/>
    <w:rsid w:val="215F4227"/>
    <w:rsid w:val="215F7D83"/>
    <w:rsid w:val="218778A7"/>
    <w:rsid w:val="21A55B15"/>
    <w:rsid w:val="21B207FA"/>
    <w:rsid w:val="21D10EFC"/>
    <w:rsid w:val="21DD6EFA"/>
    <w:rsid w:val="220E6500"/>
    <w:rsid w:val="22253FD6"/>
    <w:rsid w:val="22261FE7"/>
    <w:rsid w:val="222709E7"/>
    <w:rsid w:val="22315346"/>
    <w:rsid w:val="22385160"/>
    <w:rsid w:val="224107BA"/>
    <w:rsid w:val="224B6CC8"/>
    <w:rsid w:val="22643BC0"/>
    <w:rsid w:val="227B5FAC"/>
    <w:rsid w:val="229A09FF"/>
    <w:rsid w:val="22A326A6"/>
    <w:rsid w:val="22B7671F"/>
    <w:rsid w:val="22E23E78"/>
    <w:rsid w:val="22F96DE1"/>
    <w:rsid w:val="22FE4DE1"/>
    <w:rsid w:val="230D36D5"/>
    <w:rsid w:val="232851D0"/>
    <w:rsid w:val="232B1D4E"/>
    <w:rsid w:val="234E1B73"/>
    <w:rsid w:val="23533917"/>
    <w:rsid w:val="23703091"/>
    <w:rsid w:val="23AA7947"/>
    <w:rsid w:val="240264F6"/>
    <w:rsid w:val="240C1608"/>
    <w:rsid w:val="240E51C0"/>
    <w:rsid w:val="24170263"/>
    <w:rsid w:val="241B0B05"/>
    <w:rsid w:val="241E57EC"/>
    <w:rsid w:val="242B6642"/>
    <w:rsid w:val="244061E6"/>
    <w:rsid w:val="245308D6"/>
    <w:rsid w:val="245865E6"/>
    <w:rsid w:val="24594C3E"/>
    <w:rsid w:val="245D0DDE"/>
    <w:rsid w:val="247809F1"/>
    <w:rsid w:val="247B3126"/>
    <w:rsid w:val="247F4E11"/>
    <w:rsid w:val="248107A8"/>
    <w:rsid w:val="24822706"/>
    <w:rsid w:val="24C12570"/>
    <w:rsid w:val="24C7424D"/>
    <w:rsid w:val="24E32A79"/>
    <w:rsid w:val="24E44819"/>
    <w:rsid w:val="24EB3F4B"/>
    <w:rsid w:val="25034910"/>
    <w:rsid w:val="252F3F10"/>
    <w:rsid w:val="253D5080"/>
    <w:rsid w:val="253D7DEA"/>
    <w:rsid w:val="2541395F"/>
    <w:rsid w:val="25473008"/>
    <w:rsid w:val="25486290"/>
    <w:rsid w:val="256F08AA"/>
    <w:rsid w:val="257F7258"/>
    <w:rsid w:val="25805D05"/>
    <w:rsid w:val="258263CE"/>
    <w:rsid w:val="258767B4"/>
    <w:rsid w:val="259049AF"/>
    <w:rsid w:val="259D25D1"/>
    <w:rsid w:val="25A71113"/>
    <w:rsid w:val="25B12960"/>
    <w:rsid w:val="25B267A3"/>
    <w:rsid w:val="25BF34E6"/>
    <w:rsid w:val="25CF010B"/>
    <w:rsid w:val="25D80C5E"/>
    <w:rsid w:val="25DB1C90"/>
    <w:rsid w:val="25EE4D65"/>
    <w:rsid w:val="266E3EFE"/>
    <w:rsid w:val="266F6ABF"/>
    <w:rsid w:val="267F6EE2"/>
    <w:rsid w:val="26825EE6"/>
    <w:rsid w:val="268362C1"/>
    <w:rsid w:val="2688703D"/>
    <w:rsid w:val="26AF355A"/>
    <w:rsid w:val="26D1527F"/>
    <w:rsid w:val="26D57B6E"/>
    <w:rsid w:val="26E52AD8"/>
    <w:rsid w:val="26FF4219"/>
    <w:rsid w:val="270F3FF9"/>
    <w:rsid w:val="2719721C"/>
    <w:rsid w:val="273D1A9E"/>
    <w:rsid w:val="27602664"/>
    <w:rsid w:val="276F6AC2"/>
    <w:rsid w:val="277F281B"/>
    <w:rsid w:val="27D355A2"/>
    <w:rsid w:val="27E20350"/>
    <w:rsid w:val="27FC6D98"/>
    <w:rsid w:val="27FF492C"/>
    <w:rsid w:val="283D4CDC"/>
    <w:rsid w:val="284362B1"/>
    <w:rsid w:val="284B16F9"/>
    <w:rsid w:val="285223EF"/>
    <w:rsid w:val="28560797"/>
    <w:rsid w:val="286B275E"/>
    <w:rsid w:val="287E7FC6"/>
    <w:rsid w:val="28B641DF"/>
    <w:rsid w:val="28C16628"/>
    <w:rsid w:val="28E079FB"/>
    <w:rsid w:val="28EE35DA"/>
    <w:rsid w:val="29026788"/>
    <w:rsid w:val="291E02F7"/>
    <w:rsid w:val="293B2E83"/>
    <w:rsid w:val="294F4398"/>
    <w:rsid w:val="299B0BF2"/>
    <w:rsid w:val="29A03A8A"/>
    <w:rsid w:val="29A46C7B"/>
    <w:rsid w:val="29AE26E8"/>
    <w:rsid w:val="29B128B9"/>
    <w:rsid w:val="29B659E6"/>
    <w:rsid w:val="29C72D49"/>
    <w:rsid w:val="29CC221A"/>
    <w:rsid w:val="29FB0865"/>
    <w:rsid w:val="2A195C9B"/>
    <w:rsid w:val="2A1C757A"/>
    <w:rsid w:val="2A2C7F02"/>
    <w:rsid w:val="2A30050E"/>
    <w:rsid w:val="2A30280C"/>
    <w:rsid w:val="2A3B3D9F"/>
    <w:rsid w:val="2A4A5DB7"/>
    <w:rsid w:val="2A5F0DF4"/>
    <w:rsid w:val="2A681F0D"/>
    <w:rsid w:val="2A6C14CA"/>
    <w:rsid w:val="2AA94997"/>
    <w:rsid w:val="2AAB228B"/>
    <w:rsid w:val="2ABB7F5B"/>
    <w:rsid w:val="2AC673DA"/>
    <w:rsid w:val="2AEF7A52"/>
    <w:rsid w:val="2AF5107C"/>
    <w:rsid w:val="2B0944C7"/>
    <w:rsid w:val="2B280569"/>
    <w:rsid w:val="2B34402E"/>
    <w:rsid w:val="2B381D70"/>
    <w:rsid w:val="2B4215F7"/>
    <w:rsid w:val="2B5C5333"/>
    <w:rsid w:val="2B606BD1"/>
    <w:rsid w:val="2B664B38"/>
    <w:rsid w:val="2B830D1E"/>
    <w:rsid w:val="2B8D373E"/>
    <w:rsid w:val="2B932EB6"/>
    <w:rsid w:val="2BA50A88"/>
    <w:rsid w:val="2BB32B9B"/>
    <w:rsid w:val="2BBD46D5"/>
    <w:rsid w:val="2BC91D25"/>
    <w:rsid w:val="2BD01B2E"/>
    <w:rsid w:val="2BD46B53"/>
    <w:rsid w:val="2BF25CC3"/>
    <w:rsid w:val="2C252E34"/>
    <w:rsid w:val="2C40644A"/>
    <w:rsid w:val="2C4A5163"/>
    <w:rsid w:val="2C5542C8"/>
    <w:rsid w:val="2C5E7B90"/>
    <w:rsid w:val="2C602C01"/>
    <w:rsid w:val="2C79652A"/>
    <w:rsid w:val="2C7A27D6"/>
    <w:rsid w:val="2C83526D"/>
    <w:rsid w:val="2CAD7DA3"/>
    <w:rsid w:val="2CF452A6"/>
    <w:rsid w:val="2D1862B6"/>
    <w:rsid w:val="2D345419"/>
    <w:rsid w:val="2D746964"/>
    <w:rsid w:val="2DB80198"/>
    <w:rsid w:val="2DC55411"/>
    <w:rsid w:val="2DD20ACB"/>
    <w:rsid w:val="2DD80BA8"/>
    <w:rsid w:val="2DE45E81"/>
    <w:rsid w:val="2DFA6E35"/>
    <w:rsid w:val="2E0C23DA"/>
    <w:rsid w:val="2E0C2971"/>
    <w:rsid w:val="2E0C7CF6"/>
    <w:rsid w:val="2E103614"/>
    <w:rsid w:val="2E123636"/>
    <w:rsid w:val="2E5439F2"/>
    <w:rsid w:val="2E596A1F"/>
    <w:rsid w:val="2E8777F6"/>
    <w:rsid w:val="2E953036"/>
    <w:rsid w:val="2EBB5C93"/>
    <w:rsid w:val="2EF165E6"/>
    <w:rsid w:val="2EFB3CAB"/>
    <w:rsid w:val="2F140BE5"/>
    <w:rsid w:val="2F307927"/>
    <w:rsid w:val="2F355E53"/>
    <w:rsid w:val="2F4C1926"/>
    <w:rsid w:val="2F625C5D"/>
    <w:rsid w:val="2F756CB7"/>
    <w:rsid w:val="2F831500"/>
    <w:rsid w:val="2F856BFE"/>
    <w:rsid w:val="2F860BD0"/>
    <w:rsid w:val="2F9257C7"/>
    <w:rsid w:val="2F9B5725"/>
    <w:rsid w:val="2FA523D0"/>
    <w:rsid w:val="2FAA78AD"/>
    <w:rsid w:val="2FB44BF4"/>
    <w:rsid w:val="2FB45B96"/>
    <w:rsid w:val="2FC51595"/>
    <w:rsid w:val="2FC558BF"/>
    <w:rsid w:val="2FCE1DB4"/>
    <w:rsid w:val="2FD7142C"/>
    <w:rsid w:val="2FE12C6D"/>
    <w:rsid w:val="2FEB5A06"/>
    <w:rsid w:val="2FFD0D24"/>
    <w:rsid w:val="2FFF7B5B"/>
    <w:rsid w:val="303F6441"/>
    <w:rsid w:val="30757ABD"/>
    <w:rsid w:val="3091377F"/>
    <w:rsid w:val="30BF439A"/>
    <w:rsid w:val="30C31889"/>
    <w:rsid w:val="30EA2141"/>
    <w:rsid w:val="30F304E8"/>
    <w:rsid w:val="31291B85"/>
    <w:rsid w:val="312C245E"/>
    <w:rsid w:val="316469E5"/>
    <w:rsid w:val="31670352"/>
    <w:rsid w:val="31A570F1"/>
    <w:rsid w:val="31D112FC"/>
    <w:rsid w:val="31DA388F"/>
    <w:rsid w:val="31E17474"/>
    <w:rsid w:val="31E83F9C"/>
    <w:rsid w:val="321A060F"/>
    <w:rsid w:val="323860F4"/>
    <w:rsid w:val="325D7F84"/>
    <w:rsid w:val="32786EF6"/>
    <w:rsid w:val="328B3083"/>
    <w:rsid w:val="32A7158A"/>
    <w:rsid w:val="32B44476"/>
    <w:rsid w:val="32B819E9"/>
    <w:rsid w:val="32CB0F77"/>
    <w:rsid w:val="331035D3"/>
    <w:rsid w:val="336C531E"/>
    <w:rsid w:val="33857A69"/>
    <w:rsid w:val="338628A0"/>
    <w:rsid w:val="33AD6EDF"/>
    <w:rsid w:val="33BD1552"/>
    <w:rsid w:val="33C61963"/>
    <w:rsid w:val="33EB57CA"/>
    <w:rsid w:val="33F56325"/>
    <w:rsid w:val="34133255"/>
    <w:rsid w:val="34213ADE"/>
    <w:rsid w:val="344C4565"/>
    <w:rsid w:val="34776E7E"/>
    <w:rsid w:val="34800297"/>
    <w:rsid w:val="34BB1FF1"/>
    <w:rsid w:val="34CA2491"/>
    <w:rsid w:val="34D2413D"/>
    <w:rsid w:val="34D67F04"/>
    <w:rsid w:val="34FA1E45"/>
    <w:rsid w:val="351E7C74"/>
    <w:rsid w:val="353F58BE"/>
    <w:rsid w:val="354D2B95"/>
    <w:rsid w:val="355652B1"/>
    <w:rsid w:val="356C2617"/>
    <w:rsid w:val="35913D8C"/>
    <w:rsid w:val="35944047"/>
    <w:rsid w:val="35951620"/>
    <w:rsid w:val="35954123"/>
    <w:rsid w:val="35D6790D"/>
    <w:rsid w:val="35FA429B"/>
    <w:rsid w:val="35FD6207"/>
    <w:rsid w:val="3606322E"/>
    <w:rsid w:val="361713A1"/>
    <w:rsid w:val="361D629B"/>
    <w:rsid w:val="362A2E87"/>
    <w:rsid w:val="3678200B"/>
    <w:rsid w:val="367A0D0D"/>
    <w:rsid w:val="367D0F7F"/>
    <w:rsid w:val="368041FC"/>
    <w:rsid w:val="368F5504"/>
    <w:rsid w:val="369D4FE5"/>
    <w:rsid w:val="36A04C6E"/>
    <w:rsid w:val="36AB5D5A"/>
    <w:rsid w:val="36BA47CE"/>
    <w:rsid w:val="36CC7811"/>
    <w:rsid w:val="36DB2B14"/>
    <w:rsid w:val="36E77985"/>
    <w:rsid w:val="37061E20"/>
    <w:rsid w:val="3731114C"/>
    <w:rsid w:val="374723F2"/>
    <w:rsid w:val="37885527"/>
    <w:rsid w:val="3790083E"/>
    <w:rsid w:val="37914970"/>
    <w:rsid w:val="37A45FE2"/>
    <w:rsid w:val="37A6224D"/>
    <w:rsid w:val="37AE305B"/>
    <w:rsid w:val="37D036AB"/>
    <w:rsid w:val="3804345D"/>
    <w:rsid w:val="38045A99"/>
    <w:rsid w:val="3811517A"/>
    <w:rsid w:val="38125963"/>
    <w:rsid w:val="38244C66"/>
    <w:rsid w:val="382A705F"/>
    <w:rsid w:val="38477E23"/>
    <w:rsid w:val="38507FCD"/>
    <w:rsid w:val="385B0E4C"/>
    <w:rsid w:val="38613F89"/>
    <w:rsid w:val="38B35BDE"/>
    <w:rsid w:val="38C25E74"/>
    <w:rsid w:val="38CB72DE"/>
    <w:rsid w:val="38DD0DE1"/>
    <w:rsid w:val="391050F5"/>
    <w:rsid w:val="39205BF2"/>
    <w:rsid w:val="394346B0"/>
    <w:rsid w:val="396E6B88"/>
    <w:rsid w:val="39791943"/>
    <w:rsid w:val="397B7FF1"/>
    <w:rsid w:val="39810C1F"/>
    <w:rsid w:val="39885E40"/>
    <w:rsid w:val="39A3140E"/>
    <w:rsid w:val="39B06C31"/>
    <w:rsid w:val="39B10684"/>
    <w:rsid w:val="39E72A77"/>
    <w:rsid w:val="3A232BC3"/>
    <w:rsid w:val="3A4A6E81"/>
    <w:rsid w:val="3A4F63DE"/>
    <w:rsid w:val="3A541FF7"/>
    <w:rsid w:val="3A8909A5"/>
    <w:rsid w:val="3AAF5389"/>
    <w:rsid w:val="3AC058DE"/>
    <w:rsid w:val="3AF87034"/>
    <w:rsid w:val="3B015F4A"/>
    <w:rsid w:val="3B065811"/>
    <w:rsid w:val="3B20012B"/>
    <w:rsid w:val="3B2714BA"/>
    <w:rsid w:val="3B2C6648"/>
    <w:rsid w:val="3B405BA3"/>
    <w:rsid w:val="3B410007"/>
    <w:rsid w:val="3B4D03F8"/>
    <w:rsid w:val="3B767B4F"/>
    <w:rsid w:val="3BCE2C7E"/>
    <w:rsid w:val="3BE12E93"/>
    <w:rsid w:val="3BE1426F"/>
    <w:rsid w:val="3C010CB3"/>
    <w:rsid w:val="3C281AD0"/>
    <w:rsid w:val="3C3342BA"/>
    <w:rsid w:val="3C5F6A31"/>
    <w:rsid w:val="3C7710C7"/>
    <w:rsid w:val="3CA26E71"/>
    <w:rsid w:val="3CB076A6"/>
    <w:rsid w:val="3CB60D47"/>
    <w:rsid w:val="3CC03F7A"/>
    <w:rsid w:val="3CD15B81"/>
    <w:rsid w:val="3D175A04"/>
    <w:rsid w:val="3D45031D"/>
    <w:rsid w:val="3D4D286C"/>
    <w:rsid w:val="3D5662C1"/>
    <w:rsid w:val="3D6F113D"/>
    <w:rsid w:val="3D752FF4"/>
    <w:rsid w:val="3DB32402"/>
    <w:rsid w:val="3DBA4867"/>
    <w:rsid w:val="3DD75419"/>
    <w:rsid w:val="3DEE5033"/>
    <w:rsid w:val="3DF225C2"/>
    <w:rsid w:val="3E0128E4"/>
    <w:rsid w:val="3E88226F"/>
    <w:rsid w:val="3EAC2037"/>
    <w:rsid w:val="3EB35670"/>
    <w:rsid w:val="3EBF5EA2"/>
    <w:rsid w:val="3ECA6D2C"/>
    <w:rsid w:val="3ECB191C"/>
    <w:rsid w:val="3ED40755"/>
    <w:rsid w:val="3EF65F26"/>
    <w:rsid w:val="3EFF1D4F"/>
    <w:rsid w:val="3F0F0BE2"/>
    <w:rsid w:val="3F1B7469"/>
    <w:rsid w:val="3F1E3063"/>
    <w:rsid w:val="3F2569E5"/>
    <w:rsid w:val="3F5A2E3F"/>
    <w:rsid w:val="3F706D19"/>
    <w:rsid w:val="3F792273"/>
    <w:rsid w:val="3F7D0FB8"/>
    <w:rsid w:val="3F830C89"/>
    <w:rsid w:val="3F886640"/>
    <w:rsid w:val="3FBE2135"/>
    <w:rsid w:val="3FC6523A"/>
    <w:rsid w:val="3FDC1F21"/>
    <w:rsid w:val="3FE1257F"/>
    <w:rsid w:val="3FEB51AC"/>
    <w:rsid w:val="3FF42F63"/>
    <w:rsid w:val="3FFE1829"/>
    <w:rsid w:val="401646F6"/>
    <w:rsid w:val="402B2D53"/>
    <w:rsid w:val="402D4438"/>
    <w:rsid w:val="404A4339"/>
    <w:rsid w:val="405E3BCF"/>
    <w:rsid w:val="40622700"/>
    <w:rsid w:val="406D24EA"/>
    <w:rsid w:val="40920E20"/>
    <w:rsid w:val="409B39B4"/>
    <w:rsid w:val="409C60B3"/>
    <w:rsid w:val="40AC3CB8"/>
    <w:rsid w:val="40D479EE"/>
    <w:rsid w:val="40F95903"/>
    <w:rsid w:val="40FB0420"/>
    <w:rsid w:val="41032592"/>
    <w:rsid w:val="411B5154"/>
    <w:rsid w:val="413770F2"/>
    <w:rsid w:val="41485875"/>
    <w:rsid w:val="414E41D4"/>
    <w:rsid w:val="418036D2"/>
    <w:rsid w:val="418900A4"/>
    <w:rsid w:val="418A09F4"/>
    <w:rsid w:val="4192711A"/>
    <w:rsid w:val="41976C1F"/>
    <w:rsid w:val="41AC6998"/>
    <w:rsid w:val="41C22CBA"/>
    <w:rsid w:val="41CF4659"/>
    <w:rsid w:val="41DA65E6"/>
    <w:rsid w:val="41E23FDC"/>
    <w:rsid w:val="41E41548"/>
    <w:rsid w:val="41E910A5"/>
    <w:rsid w:val="420C31B7"/>
    <w:rsid w:val="420E402C"/>
    <w:rsid w:val="421129AA"/>
    <w:rsid w:val="421F09C3"/>
    <w:rsid w:val="422B0CB0"/>
    <w:rsid w:val="423D722F"/>
    <w:rsid w:val="427471C5"/>
    <w:rsid w:val="42907FA7"/>
    <w:rsid w:val="42B07FE6"/>
    <w:rsid w:val="42CC1E3C"/>
    <w:rsid w:val="42F500EF"/>
    <w:rsid w:val="43047077"/>
    <w:rsid w:val="430672B1"/>
    <w:rsid w:val="43094F00"/>
    <w:rsid w:val="430A54D8"/>
    <w:rsid w:val="434A3F97"/>
    <w:rsid w:val="434D5498"/>
    <w:rsid w:val="43650BC5"/>
    <w:rsid w:val="4388613E"/>
    <w:rsid w:val="438970F8"/>
    <w:rsid w:val="43A84653"/>
    <w:rsid w:val="43B61C1B"/>
    <w:rsid w:val="43BD7F7C"/>
    <w:rsid w:val="43C57640"/>
    <w:rsid w:val="43E066A9"/>
    <w:rsid w:val="43E9461E"/>
    <w:rsid w:val="44326FE1"/>
    <w:rsid w:val="44330C01"/>
    <w:rsid w:val="443C4228"/>
    <w:rsid w:val="4451477E"/>
    <w:rsid w:val="4455682A"/>
    <w:rsid w:val="447731F5"/>
    <w:rsid w:val="448766F9"/>
    <w:rsid w:val="44B12B17"/>
    <w:rsid w:val="44E45784"/>
    <w:rsid w:val="4533763C"/>
    <w:rsid w:val="45523861"/>
    <w:rsid w:val="45572B48"/>
    <w:rsid w:val="45592A9F"/>
    <w:rsid w:val="45633AC6"/>
    <w:rsid w:val="456450B8"/>
    <w:rsid w:val="4568674A"/>
    <w:rsid w:val="45BD3146"/>
    <w:rsid w:val="45DE7414"/>
    <w:rsid w:val="45E71F71"/>
    <w:rsid w:val="45F85EF2"/>
    <w:rsid w:val="45FC3BBA"/>
    <w:rsid w:val="46231109"/>
    <w:rsid w:val="46256122"/>
    <w:rsid w:val="464701A3"/>
    <w:rsid w:val="466546F5"/>
    <w:rsid w:val="4666723C"/>
    <w:rsid w:val="466F19AF"/>
    <w:rsid w:val="467422F7"/>
    <w:rsid w:val="46875502"/>
    <w:rsid w:val="469B1FD8"/>
    <w:rsid w:val="46A1697C"/>
    <w:rsid w:val="46B502C1"/>
    <w:rsid w:val="46BE04EF"/>
    <w:rsid w:val="46C36F8C"/>
    <w:rsid w:val="46EF5346"/>
    <w:rsid w:val="46F63C37"/>
    <w:rsid w:val="47275A7F"/>
    <w:rsid w:val="47446DFB"/>
    <w:rsid w:val="4753292B"/>
    <w:rsid w:val="475A2C17"/>
    <w:rsid w:val="476C235F"/>
    <w:rsid w:val="47771D75"/>
    <w:rsid w:val="477C62A7"/>
    <w:rsid w:val="47A7028D"/>
    <w:rsid w:val="47B565FD"/>
    <w:rsid w:val="47C6636F"/>
    <w:rsid w:val="47CB622F"/>
    <w:rsid w:val="480D0CB7"/>
    <w:rsid w:val="481235C1"/>
    <w:rsid w:val="481E1E96"/>
    <w:rsid w:val="48506558"/>
    <w:rsid w:val="487A69FC"/>
    <w:rsid w:val="488121C6"/>
    <w:rsid w:val="489447CC"/>
    <w:rsid w:val="48CA20CF"/>
    <w:rsid w:val="48D47DD7"/>
    <w:rsid w:val="48DF2F46"/>
    <w:rsid w:val="48E8585F"/>
    <w:rsid w:val="48F247F4"/>
    <w:rsid w:val="48F74E06"/>
    <w:rsid w:val="4907292A"/>
    <w:rsid w:val="491874C7"/>
    <w:rsid w:val="4948541D"/>
    <w:rsid w:val="49495BD8"/>
    <w:rsid w:val="496478AA"/>
    <w:rsid w:val="496D6C31"/>
    <w:rsid w:val="49714403"/>
    <w:rsid w:val="499248EA"/>
    <w:rsid w:val="49DD48AE"/>
    <w:rsid w:val="49DF11B1"/>
    <w:rsid w:val="4A1470AD"/>
    <w:rsid w:val="4A286533"/>
    <w:rsid w:val="4A322344"/>
    <w:rsid w:val="4A372512"/>
    <w:rsid w:val="4A485DEB"/>
    <w:rsid w:val="4A571AF5"/>
    <w:rsid w:val="4A6136E7"/>
    <w:rsid w:val="4A7A53CB"/>
    <w:rsid w:val="4A952002"/>
    <w:rsid w:val="4A9561B7"/>
    <w:rsid w:val="4A9F5568"/>
    <w:rsid w:val="4AB368C6"/>
    <w:rsid w:val="4AB96913"/>
    <w:rsid w:val="4ACD1016"/>
    <w:rsid w:val="4ADD3943"/>
    <w:rsid w:val="4AE207CB"/>
    <w:rsid w:val="4AE459C5"/>
    <w:rsid w:val="4AE80864"/>
    <w:rsid w:val="4AF82065"/>
    <w:rsid w:val="4B013AD5"/>
    <w:rsid w:val="4B0C7A46"/>
    <w:rsid w:val="4B196DB3"/>
    <w:rsid w:val="4B22136B"/>
    <w:rsid w:val="4B3316F7"/>
    <w:rsid w:val="4B331800"/>
    <w:rsid w:val="4B447056"/>
    <w:rsid w:val="4B4614E8"/>
    <w:rsid w:val="4B561BFE"/>
    <w:rsid w:val="4B850135"/>
    <w:rsid w:val="4B9C2292"/>
    <w:rsid w:val="4BA15517"/>
    <w:rsid w:val="4BC43176"/>
    <w:rsid w:val="4BD6100E"/>
    <w:rsid w:val="4BD905AE"/>
    <w:rsid w:val="4BF14336"/>
    <w:rsid w:val="4C5E609A"/>
    <w:rsid w:val="4C8D4B8F"/>
    <w:rsid w:val="4C906DC5"/>
    <w:rsid w:val="4CB95429"/>
    <w:rsid w:val="4CDA293F"/>
    <w:rsid w:val="4CE85F51"/>
    <w:rsid w:val="4CF130CF"/>
    <w:rsid w:val="4D0A4797"/>
    <w:rsid w:val="4D0E0101"/>
    <w:rsid w:val="4D0E3CBE"/>
    <w:rsid w:val="4D1B32EB"/>
    <w:rsid w:val="4D1B4BF6"/>
    <w:rsid w:val="4D2F64EB"/>
    <w:rsid w:val="4D4C08B7"/>
    <w:rsid w:val="4D5422B9"/>
    <w:rsid w:val="4D831A5F"/>
    <w:rsid w:val="4DB27D05"/>
    <w:rsid w:val="4DC56CFC"/>
    <w:rsid w:val="4DD54E89"/>
    <w:rsid w:val="4DE35CAD"/>
    <w:rsid w:val="4DED7D72"/>
    <w:rsid w:val="4E0835AA"/>
    <w:rsid w:val="4E1C19EE"/>
    <w:rsid w:val="4E306893"/>
    <w:rsid w:val="4E347341"/>
    <w:rsid w:val="4E4F62F8"/>
    <w:rsid w:val="4E6469F8"/>
    <w:rsid w:val="4E665155"/>
    <w:rsid w:val="4E764A01"/>
    <w:rsid w:val="4E8F383A"/>
    <w:rsid w:val="4EA64C0D"/>
    <w:rsid w:val="4EBC1B0D"/>
    <w:rsid w:val="4ECF2FA4"/>
    <w:rsid w:val="4EFE0E07"/>
    <w:rsid w:val="4F130F08"/>
    <w:rsid w:val="4F151BC9"/>
    <w:rsid w:val="4F1F09CE"/>
    <w:rsid w:val="4F3124AF"/>
    <w:rsid w:val="4F405D22"/>
    <w:rsid w:val="4F675BF2"/>
    <w:rsid w:val="4F69769F"/>
    <w:rsid w:val="4F7436F2"/>
    <w:rsid w:val="4FAB6054"/>
    <w:rsid w:val="4FAF1F81"/>
    <w:rsid w:val="4FDC35B3"/>
    <w:rsid w:val="4FE838E6"/>
    <w:rsid w:val="501D3CE1"/>
    <w:rsid w:val="501F67AB"/>
    <w:rsid w:val="50237F18"/>
    <w:rsid w:val="503128F3"/>
    <w:rsid w:val="504A6795"/>
    <w:rsid w:val="50505CBF"/>
    <w:rsid w:val="507528AC"/>
    <w:rsid w:val="507904F2"/>
    <w:rsid w:val="508235C7"/>
    <w:rsid w:val="50890FCE"/>
    <w:rsid w:val="50B84A9A"/>
    <w:rsid w:val="50C569C4"/>
    <w:rsid w:val="50DB6B76"/>
    <w:rsid w:val="50DE1EEF"/>
    <w:rsid w:val="50E27F05"/>
    <w:rsid w:val="50F631F4"/>
    <w:rsid w:val="50FA4F71"/>
    <w:rsid w:val="5126560C"/>
    <w:rsid w:val="51422D6B"/>
    <w:rsid w:val="515B1066"/>
    <w:rsid w:val="517A400C"/>
    <w:rsid w:val="51826198"/>
    <w:rsid w:val="51AC040F"/>
    <w:rsid w:val="51BE5546"/>
    <w:rsid w:val="521B1F42"/>
    <w:rsid w:val="52496B49"/>
    <w:rsid w:val="525555BB"/>
    <w:rsid w:val="52C13A27"/>
    <w:rsid w:val="52E65221"/>
    <w:rsid w:val="52EC6A32"/>
    <w:rsid w:val="52FD4303"/>
    <w:rsid w:val="52FF09CA"/>
    <w:rsid w:val="53172ADE"/>
    <w:rsid w:val="53336D0B"/>
    <w:rsid w:val="533B4368"/>
    <w:rsid w:val="5375148C"/>
    <w:rsid w:val="538B7520"/>
    <w:rsid w:val="539F257C"/>
    <w:rsid w:val="539F55FF"/>
    <w:rsid w:val="53A70972"/>
    <w:rsid w:val="53C81291"/>
    <w:rsid w:val="53CD3FF3"/>
    <w:rsid w:val="53D77AC9"/>
    <w:rsid w:val="53DC15DC"/>
    <w:rsid w:val="53E30436"/>
    <w:rsid w:val="53F77BF1"/>
    <w:rsid w:val="540378EC"/>
    <w:rsid w:val="54057810"/>
    <w:rsid w:val="54302D35"/>
    <w:rsid w:val="54314E77"/>
    <w:rsid w:val="54424E61"/>
    <w:rsid w:val="54AA38A5"/>
    <w:rsid w:val="54CA318A"/>
    <w:rsid w:val="54DC7FA7"/>
    <w:rsid w:val="54E1466B"/>
    <w:rsid w:val="54EC13E4"/>
    <w:rsid w:val="54EF2BF0"/>
    <w:rsid w:val="54F17FB9"/>
    <w:rsid w:val="54F50104"/>
    <w:rsid w:val="5503044A"/>
    <w:rsid w:val="55097CAF"/>
    <w:rsid w:val="550D12C8"/>
    <w:rsid w:val="550F6DEF"/>
    <w:rsid w:val="551A29E8"/>
    <w:rsid w:val="552337B2"/>
    <w:rsid w:val="5523558A"/>
    <w:rsid w:val="55344AA7"/>
    <w:rsid w:val="554479CA"/>
    <w:rsid w:val="555C16BF"/>
    <w:rsid w:val="555E5384"/>
    <w:rsid w:val="559317CE"/>
    <w:rsid w:val="55C63470"/>
    <w:rsid w:val="55E8349D"/>
    <w:rsid w:val="55F32AF9"/>
    <w:rsid w:val="55FD7DCE"/>
    <w:rsid w:val="55FFE65A"/>
    <w:rsid w:val="5605002B"/>
    <w:rsid w:val="562C03F2"/>
    <w:rsid w:val="562E2E6A"/>
    <w:rsid w:val="565F7879"/>
    <w:rsid w:val="566273F2"/>
    <w:rsid w:val="56746079"/>
    <w:rsid w:val="567A65DE"/>
    <w:rsid w:val="56B924DC"/>
    <w:rsid w:val="56C67788"/>
    <w:rsid w:val="56CB672A"/>
    <w:rsid w:val="56D169A5"/>
    <w:rsid w:val="56E0651C"/>
    <w:rsid w:val="57004867"/>
    <w:rsid w:val="570F7747"/>
    <w:rsid w:val="57246A2D"/>
    <w:rsid w:val="575136EE"/>
    <w:rsid w:val="57526C00"/>
    <w:rsid w:val="576C4A4E"/>
    <w:rsid w:val="57714B49"/>
    <w:rsid w:val="57874D0D"/>
    <w:rsid w:val="57995095"/>
    <w:rsid w:val="57BF7648"/>
    <w:rsid w:val="57F62E0C"/>
    <w:rsid w:val="58003366"/>
    <w:rsid w:val="58073315"/>
    <w:rsid w:val="58102F9C"/>
    <w:rsid w:val="58117322"/>
    <w:rsid w:val="583354EA"/>
    <w:rsid w:val="583E4FC4"/>
    <w:rsid w:val="583F7EB4"/>
    <w:rsid w:val="58421289"/>
    <w:rsid w:val="585C61F7"/>
    <w:rsid w:val="587D4F4A"/>
    <w:rsid w:val="5888407D"/>
    <w:rsid w:val="588A1F15"/>
    <w:rsid w:val="589A62F9"/>
    <w:rsid w:val="58A44DB9"/>
    <w:rsid w:val="58C5625F"/>
    <w:rsid w:val="58C72BC0"/>
    <w:rsid w:val="58D00FA8"/>
    <w:rsid w:val="58D565A1"/>
    <w:rsid w:val="58EF7663"/>
    <w:rsid w:val="58F7376E"/>
    <w:rsid w:val="58FE78A6"/>
    <w:rsid w:val="592B7F6F"/>
    <w:rsid w:val="59945B14"/>
    <w:rsid w:val="599D6464"/>
    <w:rsid w:val="59AB4973"/>
    <w:rsid w:val="59BD7219"/>
    <w:rsid w:val="59C341E6"/>
    <w:rsid w:val="59D533FB"/>
    <w:rsid w:val="59EB238B"/>
    <w:rsid w:val="59ED40B7"/>
    <w:rsid w:val="59F84646"/>
    <w:rsid w:val="59F958BF"/>
    <w:rsid w:val="5A1D5B0A"/>
    <w:rsid w:val="5A20384C"/>
    <w:rsid w:val="5A2C62BE"/>
    <w:rsid w:val="5A362415"/>
    <w:rsid w:val="5A6A48D7"/>
    <w:rsid w:val="5A7C41AD"/>
    <w:rsid w:val="5A7C4F26"/>
    <w:rsid w:val="5A852710"/>
    <w:rsid w:val="5A9D5C31"/>
    <w:rsid w:val="5AC36D40"/>
    <w:rsid w:val="5AE44879"/>
    <w:rsid w:val="5AE50AEE"/>
    <w:rsid w:val="5AFB694F"/>
    <w:rsid w:val="5AFD593B"/>
    <w:rsid w:val="5B2466C0"/>
    <w:rsid w:val="5B2973D4"/>
    <w:rsid w:val="5B2D39DD"/>
    <w:rsid w:val="5BA95A32"/>
    <w:rsid w:val="5BB22BCA"/>
    <w:rsid w:val="5BB835CB"/>
    <w:rsid w:val="5BB9374E"/>
    <w:rsid w:val="5BC86A6F"/>
    <w:rsid w:val="5BD97E2F"/>
    <w:rsid w:val="5BE741F5"/>
    <w:rsid w:val="5BE753ED"/>
    <w:rsid w:val="5BEC1872"/>
    <w:rsid w:val="5C096932"/>
    <w:rsid w:val="5C134751"/>
    <w:rsid w:val="5C2C0286"/>
    <w:rsid w:val="5C431A13"/>
    <w:rsid w:val="5C49708A"/>
    <w:rsid w:val="5C6169CF"/>
    <w:rsid w:val="5C82311E"/>
    <w:rsid w:val="5C843674"/>
    <w:rsid w:val="5C8B2A1B"/>
    <w:rsid w:val="5C962F24"/>
    <w:rsid w:val="5CA220B8"/>
    <w:rsid w:val="5CCB7A9F"/>
    <w:rsid w:val="5CEB1EEF"/>
    <w:rsid w:val="5CFFA0E8"/>
    <w:rsid w:val="5D037506"/>
    <w:rsid w:val="5D166C33"/>
    <w:rsid w:val="5D224533"/>
    <w:rsid w:val="5D446AC4"/>
    <w:rsid w:val="5D4F0B1A"/>
    <w:rsid w:val="5D5958B4"/>
    <w:rsid w:val="5D5E4DB7"/>
    <w:rsid w:val="5D720B40"/>
    <w:rsid w:val="5D7A14C5"/>
    <w:rsid w:val="5D7A51C0"/>
    <w:rsid w:val="5D8D6CE2"/>
    <w:rsid w:val="5D9E51B4"/>
    <w:rsid w:val="5DAF7627"/>
    <w:rsid w:val="5DB838EB"/>
    <w:rsid w:val="5DD06E1A"/>
    <w:rsid w:val="5DD22655"/>
    <w:rsid w:val="5DD36F6B"/>
    <w:rsid w:val="5E382390"/>
    <w:rsid w:val="5E3931AE"/>
    <w:rsid w:val="5E550696"/>
    <w:rsid w:val="5E667610"/>
    <w:rsid w:val="5E6F206C"/>
    <w:rsid w:val="5E6F404D"/>
    <w:rsid w:val="5E6F6A5D"/>
    <w:rsid w:val="5E73187B"/>
    <w:rsid w:val="5E783672"/>
    <w:rsid w:val="5E7C6D2C"/>
    <w:rsid w:val="5E8635BE"/>
    <w:rsid w:val="5E870F86"/>
    <w:rsid w:val="5E9E53C7"/>
    <w:rsid w:val="5EBA1EE5"/>
    <w:rsid w:val="5EC46357"/>
    <w:rsid w:val="5EEB6A2A"/>
    <w:rsid w:val="5EF83850"/>
    <w:rsid w:val="5F0E0D60"/>
    <w:rsid w:val="5F1124E1"/>
    <w:rsid w:val="5F2D2C93"/>
    <w:rsid w:val="5F5D4BFA"/>
    <w:rsid w:val="5F6D75C3"/>
    <w:rsid w:val="5F732881"/>
    <w:rsid w:val="5F7C1524"/>
    <w:rsid w:val="5F8B3350"/>
    <w:rsid w:val="5F922062"/>
    <w:rsid w:val="5FB57945"/>
    <w:rsid w:val="5FE02463"/>
    <w:rsid w:val="5FF96F4F"/>
    <w:rsid w:val="600A4D82"/>
    <w:rsid w:val="600F6E2C"/>
    <w:rsid w:val="604665DE"/>
    <w:rsid w:val="605D4695"/>
    <w:rsid w:val="60627F63"/>
    <w:rsid w:val="608917B4"/>
    <w:rsid w:val="609B36C0"/>
    <w:rsid w:val="60D86A0F"/>
    <w:rsid w:val="60E2790C"/>
    <w:rsid w:val="60E6375A"/>
    <w:rsid w:val="60E96BD3"/>
    <w:rsid w:val="60EB0726"/>
    <w:rsid w:val="61243C22"/>
    <w:rsid w:val="612D7FAB"/>
    <w:rsid w:val="61453B98"/>
    <w:rsid w:val="614C4B7F"/>
    <w:rsid w:val="61552047"/>
    <w:rsid w:val="6167675B"/>
    <w:rsid w:val="61826103"/>
    <w:rsid w:val="618E3E9F"/>
    <w:rsid w:val="619B3581"/>
    <w:rsid w:val="61BC5A96"/>
    <w:rsid w:val="61E3081A"/>
    <w:rsid w:val="61E635CD"/>
    <w:rsid w:val="61FA5794"/>
    <w:rsid w:val="62081145"/>
    <w:rsid w:val="62254EAF"/>
    <w:rsid w:val="625166E3"/>
    <w:rsid w:val="629007CB"/>
    <w:rsid w:val="629E3A45"/>
    <w:rsid w:val="62A057B3"/>
    <w:rsid w:val="62AB128E"/>
    <w:rsid w:val="62BD47B5"/>
    <w:rsid w:val="62D865FA"/>
    <w:rsid w:val="62D90002"/>
    <w:rsid w:val="62DB73CC"/>
    <w:rsid w:val="62EF3BCF"/>
    <w:rsid w:val="62F17C34"/>
    <w:rsid w:val="630E36F2"/>
    <w:rsid w:val="632E3943"/>
    <w:rsid w:val="63462859"/>
    <w:rsid w:val="634B7B8C"/>
    <w:rsid w:val="63555494"/>
    <w:rsid w:val="635D341B"/>
    <w:rsid w:val="635D4A51"/>
    <w:rsid w:val="63934DFA"/>
    <w:rsid w:val="63A66B70"/>
    <w:rsid w:val="63B97653"/>
    <w:rsid w:val="63C80A91"/>
    <w:rsid w:val="63D52190"/>
    <w:rsid w:val="63EB4B5E"/>
    <w:rsid w:val="63EC1D5A"/>
    <w:rsid w:val="63F35EC1"/>
    <w:rsid w:val="640B731B"/>
    <w:rsid w:val="640D4189"/>
    <w:rsid w:val="640E1DDB"/>
    <w:rsid w:val="641C36DD"/>
    <w:rsid w:val="643425CC"/>
    <w:rsid w:val="64362A83"/>
    <w:rsid w:val="64AA1A73"/>
    <w:rsid w:val="64C51278"/>
    <w:rsid w:val="64ED07CF"/>
    <w:rsid w:val="65076481"/>
    <w:rsid w:val="652906CE"/>
    <w:rsid w:val="653E3B3A"/>
    <w:rsid w:val="65AB04CD"/>
    <w:rsid w:val="65BD3F77"/>
    <w:rsid w:val="65C42B4E"/>
    <w:rsid w:val="65FF4B2B"/>
    <w:rsid w:val="6603106E"/>
    <w:rsid w:val="66063A14"/>
    <w:rsid w:val="660F4824"/>
    <w:rsid w:val="66170CA6"/>
    <w:rsid w:val="661F5D4C"/>
    <w:rsid w:val="66264853"/>
    <w:rsid w:val="663353B2"/>
    <w:rsid w:val="6638120E"/>
    <w:rsid w:val="663F2B37"/>
    <w:rsid w:val="66415E12"/>
    <w:rsid w:val="66575B95"/>
    <w:rsid w:val="66877D54"/>
    <w:rsid w:val="6695111E"/>
    <w:rsid w:val="669B0ED4"/>
    <w:rsid w:val="66C154AE"/>
    <w:rsid w:val="66CD2666"/>
    <w:rsid w:val="66E8749F"/>
    <w:rsid w:val="66F978FF"/>
    <w:rsid w:val="670262DD"/>
    <w:rsid w:val="67103436"/>
    <w:rsid w:val="67131CE9"/>
    <w:rsid w:val="6724339D"/>
    <w:rsid w:val="673051D2"/>
    <w:rsid w:val="6735466B"/>
    <w:rsid w:val="67577BE5"/>
    <w:rsid w:val="67634076"/>
    <w:rsid w:val="677610A8"/>
    <w:rsid w:val="677F7147"/>
    <w:rsid w:val="678F3DBF"/>
    <w:rsid w:val="67C972D1"/>
    <w:rsid w:val="67DA3D7C"/>
    <w:rsid w:val="67F835D2"/>
    <w:rsid w:val="6807044F"/>
    <w:rsid w:val="682D180C"/>
    <w:rsid w:val="68401F12"/>
    <w:rsid w:val="68636D64"/>
    <w:rsid w:val="68637725"/>
    <w:rsid w:val="68831B76"/>
    <w:rsid w:val="68B84658"/>
    <w:rsid w:val="68ED211F"/>
    <w:rsid w:val="68FB1E0B"/>
    <w:rsid w:val="692E4922"/>
    <w:rsid w:val="693519BC"/>
    <w:rsid w:val="69466333"/>
    <w:rsid w:val="697B0BEB"/>
    <w:rsid w:val="697B284D"/>
    <w:rsid w:val="69826438"/>
    <w:rsid w:val="69891532"/>
    <w:rsid w:val="69937B96"/>
    <w:rsid w:val="69B135A5"/>
    <w:rsid w:val="69C9180A"/>
    <w:rsid w:val="69D215D7"/>
    <w:rsid w:val="69E04B4A"/>
    <w:rsid w:val="6A044559"/>
    <w:rsid w:val="6A134611"/>
    <w:rsid w:val="6A13593B"/>
    <w:rsid w:val="6A422169"/>
    <w:rsid w:val="6A4D41E9"/>
    <w:rsid w:val="6A575F27"/>
    <w:rsid w:val="6A5C6301"/>
    <w:rsid w:val="6A7D2AFF"/>
    <w:rsid w:val="6A851524"/>
    <w:rsid w:val="6A965EB1"/>
    <w:rsid w:val="6AA06742"/>
    <w:rsid w:val="6AAE14AC"/>
    <w:rsid w:val="6ABA0D09"/>
    <w:rsid w:val="6ABE7F5F"/>
    <w:rsid w:val="6AD62431"/>
    <w:rsid w:val="6ADC25AD"/>
    <w:rsid w:val="6AF91AED"/>
    <w:rsid w:val="6B0D5EAA"/>
    <w:rsid w:val="6B1733DA"/>
    <w:rsid w:val="6B29213D"/>
    <w:rsid w:val="6B543C91"/>
    <w:rsid w:val="6B7C4340"/>
    <w:rsid w:val="6B91303E"/>
    <w:rsid w:val="6BA914C0"/>
    <w:rsid w:val="6BB9765C"/>
    <w:rsid w:val="6BC86629"/>
    <w:rsid w:val="6BCA1F8B"/>
    <w:rsid w:val="6BFA1EDA"/>
    <w:rsid w:val="6C065ED9"/>
    <w:rsid w:val="6C075EB3"/>
    <w:rsid w:val="6C081093"/>
    <w:rsid w:val="6C137AB7"/>
    <w:rsid w:val="6C3C4C57"/>
    <w:rsid w:val="6C3F4A5E"/>
    <w:rsid w:val="6C694751"/>
    <w:rsid w:val="6C6C46CF"/>
    <w:rsid w:val="6C6E1E7B"/>
    <w:rsid w:val="6C9C6C5A"/>
    <w:rsid w:val="6CA16645"/>
    <w:rsid w:val="6CA65E33"/>
    <w:rsid w:val="6CB74297"/>
    <w:rsid w:val="6CBC5656"/>
    <w:rsid w:val="6CCE7137"/>
    <w:rsid w:val="6CEB0CC5"/>
    <w:rsid w:val="6D0B399E"/>
    <w:rsid w:val="6D0C2C61"/>
    <w:rsid w:val="6D0D1276"/>
    <w:rsid w:val="6D314B3F"/>
    <w:rsid w:val="6D512242"/>
    <w:rsid w:val="6D7432CD"/>
    <w:rsid w:val="6DA167D7"/>
    <w:rsid w:val="6DA67E51"/>
    <w:rsid w:val="6DCA5781"/>
    <w:rsid w:val="6DFF1D3F"/>
    <w:rsid w:val="6E14501E"/>
    <w:rsid w:val="6E230DE3"/>
    <w:rsid w:val="6E2B1BE1"/>
    <w:rsid w:val="6E3A2D67"/>
    <w:rsid w:val="6E480F1D"/>
    <w:rsid w:val="6E506D2B"/>
    <w:rsid w:val="6E6525E5"/>
    <w:rsid w:val="6E7173C2"/>
    <w:rsid w:val="6E744080"/>
    <w:rsid w:val="6E783978"/>
    <w:rsid w:val="6E7A7A7F"/>
    <w:rsid w:val="6E7C35A9"/>
    <w:rsid w:val="6EA75E92"/>
    <w:rsid w:val="6EAE5472"/>
    <w:rsid w:val="6ECA41E2"/>
    <w:rsid w:val="6ECB7EFD"/>
    <w:rsid w:val="6ECE341F"/>
    <w:rsid w:val="6ED33E4E"/>
    <w:rsid w:val="6F0F3F1E"/>
    <w:rsid w:val="6F13767C"/>
    <w:rsid w:val="6F387D3F"/>
    <w:rsid w:val="6F414C2C"/>
    <w:rsid w:val="6F432DD1"/>
    <w:rsid w:val="6F4B2CC1"/>
    <w:rsid w:val="6F5E47A3"/>
    <w:rsid w:val="6F631DB9"/>
    <w:rsid w:val="6F7D29C1"/>
    <w:rsid w:val="6F99373A"/>
    <w:rsid w:val="6FB845D0"/>
    <w:rsid w:val="6FC636EF"/>
    <w:rsid w:val="6FDB72C9"/>
    <w:rsid w:val="6FF93F6D"/>
    <w:rsid w:val="70003BEF"/>
    <w:rsid w:val="7027641B"/>
    <w:rsid w:val="7030468F"/>
    <w:rsid w:val="70404239"/>
    <w:rsid w:val="704A2037"/>
    <w:rsid w:val="704D13B2"/>
    <w:rsid w:val="706B2590"/>
    <w:rsid w:val="708674A2"/>
    <w:rsid w:val="709E61CF"/>
    <w:rsid w:val="70C461CA"/>
    <w:rsid w:val="70CC398E"/>
    <w:rsid w:val="70D17BC9"/>
    <w:rsid w:val="70F006EF"/>
    <w:rsid w:val="70F530E8"/>
    <w:rsid w:val="70FA2B9A"/>
    <w:rsid w:val="71136A93"/>
    <w:rsid w:val="71187F2B"/>
    <w:rsid w:val="719C5A56"/>
    <w:rsid w:val="71BE59CD"/>
    <w:rsid w:val="71E13469"/>
    <w:rsid w:val="71F65166"/>
    <w:rsid w:val="71FA2E8C"/>
    <w:rsid w:val="72217B3E"/>
    <w:rsid w:val="724A3704"/>
    <w:rsid w:val="726517A8"/>
    <w:rsid w:val="726C4248"/>
    <w:rsid w:val="727350C6"/>
    <w:rsid w:val="72784747"/>
    <w:rsid w:val="728C55F9"/>
    <w:rsid w:val="728D2D80"/>
    <w:rsid w:val="7290592C"/>
    <w:rsid w:val="72907B1A"/>
    <w:rsid w:val="729A69FA"/>
    <w:rsid w:val="72C33187"/>
    <w:rsid w:val="72E35577"/>
    <w:rsid w:val="72F52E09"/>
    <w:rsid w:val="73143536"/>
    <w:rsid w:val="73260D38"/>
    <w:rsid w:val="73276256"/>
    <w:rsid w:val="73353A6C"/>
    <w:rsid w:val="73376FE2"/>
    <w:rsid w:val="733777E5"/>
    <w:rsid w:val="73476D11"/>
    <w:rsid w:val="73501301"/>
    <w:rsid w:val="735326D4"/>
    <w:rsid w:val="73830C7C"/>
    <w:rsid w:val="738A6EB8"/>
    <w:rsid w:val="73992A4D"/>
    <w:rsid w:val="739979B0"/>
    <w:rsid w:val="739F7823"/>
    <w:rsid w:val="73C12ACB"/>
    <w:rsid w:val="73CB67D8"/>
    <w:rsid w:val="73D37117"/>
    <w:rsid w:val="73EA4857"/>
    <w:rsid w:val="73F92362"/>
    <w:rsid w:val="74041D6B"/>
    <w:rsid w:val="741772A1"/>
    <w:rsid w:val="741F798A"/>
    <w:rsid w:val="743C4107"/>
    <w:rsid w:val="7443040B"/>
    <w:rsid w:val="74525DC1"/>
    <w:rsid w:val="745920FC"/>
    <w:rsid w:val="747212DE"/>
    <w:rsid w:val="74722FBA"/>
    <w:rsid w:val="74AF5617"/>
    <w:rsid w:val="74DC270D"/>
    <w:rsid w:val="74F104D1"/>
    <w:rsid w:val="74F277E5"/>
    <w:rsid w:val="74F6547D"/>
    <w:rsid w:val="74FE0472"/>
    <w:rsid w:val="75052B42"/>
    <w:rsid w:val="7507085E"/>
    <w:rsid w:val="75131D85"/>
    <w:rsid w:val="75192C84"/>
    <w:rsid w:val="753019A7"/>
    <w:rsid w:val="7531048B"/>
    <w:rsid w:val="753D34A0"/>
    <w:rsid w:val="75425721"/>
    <w:rsid w:val="755410A8"/>
    <w:rsid w:val="75547EC6"/>
    <w:rsid w:val="756F42F7"/>
    <w:rsid w:val="757C3BD5"/>
    <w:rsid w:val="75812F99"/>
    <w:rsid w:val="75A35605"/>
    <w:rsid w:val="75A4081B"/>
    <w:rsid w:val="75B720C8"/>
    <w:rsid w:val="75DC59ED"/>
    <w:rsid w:val="75E242E2"/>
    <w:rsid w:val="75E44E88"/>
    <w:rsid w:val="75FD3554"/>
    <w:rsid w:val="7601232C"/>
    <w:rsid w:val="76012DBE"/>
    <w:rsid w:val="76057A9D"/>
    <w:rsid w:val="76152B25"/>
    <w:rsid w:val="761A10BC"/>
    <w:rsid w:val="761D0291"/>
    <w:rsid w:val="76282835"/>
    <w:rsid w:val="76465F91"/>
    <w:rsid w:val="766E26D2"/>
    <w:rsid w:val="76797705"/>
    <w:rsid w:val="76A82F14"/>
    <w:rsid w:val="76AA7081"/>
    <w:rsid w:val="76D4359C"/>
    <w:rsid w:val="77390577"/>
    <w:rsid w:val="77585F59"/>
    <w:rsid w:val="77585F7B"/>
    <w:rsid w:val="776808B4"/>
    <w:rsid w:val="77806931"/>
    <w:rsid w:val="77955421"/>
    <w:rsid w:val="779A2A38"/>
    <w:rsid w:val="77A41CD5"/>
    <w:rsid w:val="77A43397"/>
    <w:rsid w:val="77C1415C"/>
    <w:rsid w:val="77CB43CA"/>
    <w:rsid w:val="77E14C5E"/>
    <w:rsid w:val="77FB994F"/>
    <w:rsid w:val="78030628"/>
    <w:rsid w:val="780F528E"/>
    <w:rsid w:val="7837697C"/>
    <w:rsid w:val="78540221"/>
    <w:rsid w:val="785A5141"/>
    <w:rsid w:val="78665937"/>
    <w:rsid w:val="78C82B58"/>
    <w:rsid w:val="78C930B3"/>
    <w:rsid w:val="78D86ECE"/>
    <w:rsid w:val="78DB46B5"/>
    <w:rsid w:val="78E201E7"/>
    <w:rsid w:val="78E57CE3"/>
    <w:rsid w:val="79050385"/>
    <w:rsid w:val="791445C8"/>
    <w:rsid w:val="792E03A7"/>
    <w:rsid w:val="794F170B"/>
    <w:rsid w:val="794F188E"/>
    <w:rsid w:val="79507900"/>
    <w:rsid w:val="796F61CA"/>
    <w:rsid w:val="79742288"/>
    <w:rsid w:val="798E03E8"/>
    <w:rsid w:val="798E14DF"/>
    <w:rsid w:val="79900E33"/>
    <w:rsid w:val="79A11E5C"/>
    <w:rsid w:val="79AA788B"/>
    <w:rsid w:val="79B52463"/>
    <w:rsid w:val="79CC2ACC"/>
    <w:rsid w:val="79D70516"/>
    <w:rsid w:val="79DA711C"/>
    <w:rsid w:val="79ED0479"/>
    <w:rsid w:val="79F8022D"/>
    <w:rsid w:val="79F851D5"/>
    <w:rsid w:val="7A081747"/>
    <w:rsid w:val="7A0F57DB"/>
    <w:rsid w:val="7A5166CB"/>
    <w:rsid w:val="7A5549F4"/>
    <w:rsid w:val="7A964472"/>
    <w:rsid w:val="7AAC00BD"/>
    <w:rsid w:val="7AAC0EF1"/>
    <w:rsid w:val="7AC17937"/>
    <w:rsid w:val="7AD435D8"/>
    <w:rsid w:val="7AD43623"/>
    <w:rsid w:val="7AF27D19"/>
    <w:rsid w:val="7B051B23"/>
    <w:rsid w:val="7B116B6D"/>
    <w:rsid w:val="7B1413AD"/>
    <w:rsid w:val="7B210D7B"/>
    <w:rsid w:val="7B3765F2"/>
    <w:rsid w:val="7B5D3CC6"/>
    <w:rsid w:val="7B5E3716"/>
    <w:rsid w:val="7B6D6F0B"/>
    <w:rsid w:val="7B722090"/>
    <w:rsid w:val="7B7470FC"/>
    <w:rsid w:val="7B8968C8"/>
    <w:rsid w:val="7BA76C73"/>
    <w:rsid w:val="7BB57E40"/>
    <w:rsid w:val="7BBC73DA"/>
    <w:rsid w:val="7BC017BE"/>
    <w:rsid w:val="7BC05BBE"/>
    <w:rsid w:val="7BC10593"/>
    <w:rsid w:val="7BC22E25"/>
    <w:rsid w:val="7BFD3EBB"/>
    <w:rsid w:val="7C5D034D"/>
    <w:rsid w:val="7C5E457E"/>
    <w:rsid w:val="7C6304A2"/>
    <w:rsid w:val="7C7A60D3"/>
    <w:rsid w:val="7C895885"/>
    <w:rsid w:val="7C9E08D4"/>
    <w:rsid w:val="7C9E1CC9"/>
    <w:rsid w:val="7CB94A59"/>
    <w:rsid w:val="7CBA52BE"/>
    <w:rsid w:val="7CC25270"/>
    <w:rsid w:val="7CCE6CDD"/>
    <w:rsid w:val="7CD81F5A"/>
    <w:rsid w:val="7D0D3CD9"/>
    <w:rsid w:val="7D230DDA"/>
    <w:rsid w:val="7D254379"/>
    <w:rsid w:val="7D2C4132"/>
    <w:rsid w:val="7D325130"/>
    <w:rsid w:val="7D4C6E62"/>
    <w:rsid w:val="7D5273A8"/>
    <w:rsid w:val="7D537911"/>
    <w:rsid w:val="7D586D18"/>
    <w:rsid w:val="7D5D7DDF"/>
    <w:rsid w:val="7D6A4C5A"/>
    <w:rsid w:val="7D911A2A"/>
    <w:rsid w:val="7D916A64"/>
    <w:rsid w:val="7DCB7DA3"/>
    <w:rsid w:val="7DDE63A6"/>
    <w:rsid w:val="7E0309C8"/>
    <w:rsid w:val="7E125F4E"/>
    <w:rsid w:val="7E1D2805"/>
    <w:rsid w:val="7E292420"/>
    <w:rsid w:val="7E3B36F2"/>
    <w:rsid w:val="7E3C0BAB"/>
    <w:rsid w:val="7E3C7D83"/>
    <w:rsid w:val="7E3D5ECB"/>
    <w:rsid w:val="7E470887"/>
    <w:rsid w:val="7E582DF3"/>
    <w:rsid w:val="7E5D576D"/>
    <w:rsid w:val="7E641CB4"/>
    <w:rsid w:val="7E6801DD"/>
    <w:rsid w:val="7E9D5742"/>
    <w:rsid w:val="7EC456A3"/>
    <w:rsid w:val="7EC5740A"/>
    <w:rsid w:val="7EC65CF6"/>
    <w:rsid w:val="7ECD5BE0"/>
    <w:rsid w:val="7F097577"/>
    <w:rsid w:val="7F105197"/>
    <w:rsid w:val="7F266160"/>
    <w:rsid w:val="7F3B28A9"/>
    <w:rsid w:val="7F4E1177"/>
    <w:rsid w:val="7F8941C0"/>
    <w:rsid w:val="7F8A670A"/>
    <w:rsid w:val="7FC22062"/>
    <w:rsid w:val="7FDC6B0A"/>
    <w:rsid w:val="7FEB1B9F"/>
    <w:rsid w:val="7FEE7525"/>
    <w:rsid w:val="7FF11A5D"/>
    <w:rsid w:val="7FFD6B75"/>
    <w:rsid w:val="9BFB4DD4"/>
    <w:rsid w:val="C7DEF7E7"/>
    <w:rsid w:val="CFCFE58C"/>
    <w:rsid w:val="DE9F628A"/>
    <w:rsid w:val="DEFAB353"/>
    <w:rsid w:val="E57D8CAE"/>
    <w:rsid w:val="EEF9D187"/>
    <w:rsid w:val="EF2BFCDC"/>
    <w:rsid w:val="EFBD7797"/>
    <w:rsid w:val="F5EF70BE"/>
    <w:rsid w:val="FDD5A0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0"/>
    <w:qFormat/>
    <w:uiPriority w:val="0"/>
    <w:pPr>
      <w:keepNext/>
      <w:keepLines/>
      <w:widowControl w:val="0"/>
      <w:spacing w:before="340" w:beforeLines="0" w:after="330" w:afterLines="0" w:line="576" w:lineRule="auto"/>
      <w:outlineLvl w:val="0"/>
    </w:pPr>
    <w:rPr>
      <w:b/>
      <w:kern w:val="44"/>
      <w:sz w:val="44"/>
      <w:szCs w:val="20"/>
    </w:rPr>
  </w:style>
  <w:style w:type="paragraph" w:styleId="4">
    <w:name w:val="heading 2"/>
    <w:basedOn w:val="1"/>
    <w:next w:val="1"/>
    <w:link w:val="10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102"/>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6">
    <w:name w:val="heading 4"/>
    <w:basedOn w:val="1"/>
    <w:next w:val="1"/>
    <w:link w:val="103"/>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104"/>
    <w:qFormat/>
    <w:uiPriority w:val="0"/>
    <w:pPr>
      <w:keepNext/>
      <w:keepLines/>
      <w:spacing w:before="280" w:after="290" w:line="376" w:lineRule="auto"/>
      <w:outlineLvl w:val="4"/>
    </w:pPr>
    <w:rPr>
      <w:b/>
      <w:bCs/>
      <w:sz w:val="28"/>
      <w:szCs w:val="28"/>
    </w:rPr>
  </w:style>
  <w:style w:type="paragraph" w:styleId="8">
    <w:name w:val="heading 6"/>
    <w:basedOn w:val="1"/>
    <w:next w:val="1"/>
    <w:link w:val="105"/>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106"/>
    <w:qFormat/>
    <w:uiPriority w:val="0"/>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107"/>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108"/>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qFormat/>
    <w:uiPriority w:val="0"/>
    <w:rPr>
      <w:rFonts w:ascii="Calibri" w:hAnsi="Calibri" w:eastAsia="宋体" w:cs="Times New Roman"/>
    </w:rPr>
  </w:style>
  <w:style w:type="table" w:default="1" w:styleId="8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macro"/>
    <w:link w:val="9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pacing w:line="312" w:lineRule="atLeast"/>
      <w:ind w:left="100" w:leftChars="400" w:hanging="200" w:hangingChars="200"/>
      <w:textAlignment w:val="baseline"/>
    </w:pPr>
    <w:rPr>
      <w:rFonts w:ascii="Calibri" w:hAnsi="Calibri" w:eastAsia="仿宋" w:cs="Times New Roman"/>
      <w:kern w:val="0"/>
      <w:sz w:val="32"/>
      <w:szCs w:val="20"/>
    </w:rPr>
  </w:style>
  <w:style w:type="paragraph" w:styleId="13">
    <w:name w:val="toc 7"/>
    <w:basedOn w:val="1"/>
    <w:next w:val="1"/>
    <w:qFormat/>
    <w:uiPriority w:val="0"/>
    <w:pPr>
      <w:ind w:left="2520" w:leftChars="1200"/>
    </w:pPr>
    <w:rPr>
      <w:rFonts w:ascii="Calibri" w:hAnsi="Calibri" w:eastAsia="宋体" w:cs="Times New Roman"/>
    </w:rPr>
  </w:style>
  <w:style w:type="paragraph" w:styleId="14">
    <w:name w:val="List Number 2"/>
    <w:basedOn w:val="1"/>
    <w:qFormat/>
    <w:uiPriority w:val="0"/>
    <w:pPr>
      <w:numPr>
        <w:ilvl w:val="0"/>
        <w:numId w:val="1"/>
      </w:numPr>
      <w:adjustRightInd w:val="0"/>
      <w:spacing w:line="312" w:lineRule="atLeast"/>
      <w:textAlignment w:val="baseline"/>
    </w:pPr>
    <w:rPr>
      <w:rFonts w:ascii="Calibri" w:hAnsi="Calibri" w:eastAsia="仿宋" w:cs="Times New Roman"/>
      <w:kern w:val="0"/>
      <w:sz w:val="32"/>
      <w:szCs w:val="20"/>
    </w:rPr>
  </w:style>
  <w:style w:type="paragraph" w:styleId="15">
    <w:name w:val="table of authorities"/>
    <w:basedOn w:val="1"/>
    <w:next w:val="1"/>
    <w:qFormat/>
    <w:uiPriority w:val="0"/>
    <w:pPr>
      <w:adjustRightInd w:val="0"/>
      <w:spacing w:line="312" w:lineRule="atLeast"/>
      <w:ind w:left="420" w:leftChars="200"/>
      <w:textAlignment w:val="baseline"/>
    </w:pPr>
    <w:rPr>
      <w:rFonts w:ascii="Calibri" w:hAnsi="Calibri" w:eastAsia="仿宋" w:cs="Times New Roman"/>
      <w:kern w:val="0"/>
      <w:sz w:val="32"/>
      <w:szCs w:val="20"/>
    </w:rPr>
  </w:style>
  <w:style w:type="paragraph" w:styleId="16">
    <w:name w:val="Note Heading"/>
    <w:basedOn w:val="1"/>
    <w:next w:val="1"/>
    <w:link w:val="109"/>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0"/>
    <w:pPr>
      <w:numPr>
        <w:ilvl w:val="0"/>
        <w:numId w:val="2"/>
      </w:numPr>
      <w:adjustRightInd w:val="0"/>
      <w:spacing w:line="312" w:lineRule="atLeast"/>
      <w:textAlignment w:val="baseline"/>
    </w:pPr>
    <w:rPr>
      <w:rFonts w:ascii="Calibri" w:hAnsi="Calibri" w:eastAsia="仿宋" w:cs="Times New Roman"/>
      <w:kern w:val="0"/>
      <w:sz w:val="32"/>
      <w:szCs w:val="20"/>
    </w:rPr>
  </w:style>
  <w:style w:type="paragraph" w:styleId="18">
    <w:name w:val="index 8"/>
    <w:basedOn w:val="1"/>
    <w:next w:val="1"/>
    <w:qFormat/>
    <w:uiPriority w:val="0"/>
    <w:pPr>
      <w:adjustRightInd w:val="0"/>
      <w:spacing w:line="312" w:lineRule="atLeast"/>
      <w:ind w:left="1400" w:leftChars="1400"/>
      <w:textAlignment w:val="baseline"/>
    </w:pPr>
    <w:rPr>
      <w:rFonts w:ascii="Calibri" w:hAnsi="Calibri" w:eastAsia="仿宋" w:cs="Times New Roman"/>
      <w:kern w:val="0"/>
      <w:sz w:val="32"/>
      <w:szCs w:val="20"/>
    </w:rPr>
  </w:style>
  <w:style w:type="paragraph" w:styleId="19">
    <w:name w:val="E-mail Signature"/>
    <w:basedOn w:val="1"/>
    <w:link w:val="110"/>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0"/>
    <w:pPr>
      <w:numPr>
        <w:ilvl w:val="0"/>
        <w:numId w:val="3"/>
      </w:numPr>
      <w:adjustRightInd w:val="0"/>
      <w:spacing w:line="312" w:lineRule="atLeast"/>
      <w:textAlignment w:val="baseline"/>
    </w:pPr>
    <w:rPr>
      <w:rFonts w:ascii="Calibri" w:hAnsi="Calibri" w:eastAsia="仿宋" w:cs="Times New Roman"/>
      <w:kern w:val="0"/>
      <w:sz w:val="32"/>
      <w:szCs w:val="20"/>
    </w:rPr>
  </w:style>
  <w:style w:type="paragraph" w:styleId="21">
    <w:name w:val="Normal Indent"/>
    <w:basedOn w:val="1"/>
    <w:link w:val="111"/>
    <w:qFormat/>
    <w:uiPriority w:val="0"/>
    <w:pPr>
      <w:spacing w:line="300" w:lineRule="auto"/>
      <w:ind w:firstLine="200" w:firstLine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adjustRightInd w:val="0"/>
      <w:spacing w:line="312" w:lineRule="atLeast"/>
      <w:ind w:left="800" w:leftChars="800"/>
      <w:textAlignment w:val="baseline"/>
    </w:pPr>
    <w:rPr>
      <w:rFonts w:ascii="Calibri" w:hAnsi="Calibri" w:eastAsia="仿宋" w:cs="Times New Roman"/>
      <w:kern w:val="0"/>
      <w:sz w:val="32"/>
      <w:szCs w:val="20"/>
    </w:rPr>
  </w:style>
  <w:style w:type="paragraph" w:styleId="24">
    <w:name w:val="List Bullet"/>
    <w:basedOn w:val="1"/>
    <w:qFormat/>
    <w:uiPriority w:val="0"/>
    <w:pPr>
      <w:numPr>
        <w:ilvl w:val="0"/>
        <w:numId w:val="4"/>
      </w:numPr>
      <w:tabs>
        <w:tab w:val="left" w:pos="360"/>
      </w:tabs>
      <w:ind w:left="360" w:hanging="360" w:hangingChars="200"/>
      <w:contextualSpacing/>
    </w:pPr>
    <w:rPr>
      <w:rFonts w:ascii="Calibri" w:hAnsi="Calibri" w:eastAsia="宋体" w:cs="Times New Roman"/>
    </w:r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112"/>
    <w:qFormat/>
    <w:uiPriority w:val="0"/>
    <w:pPr>
      <w:shd w:val="clear" w:color="auto" w:fill="000080"/>
    </w:pPr>
  </w:style>
  <w:style w:type="paragraph" w:styleId="27">
    <w:name w:val="toa heading"/>
    <w:basedOn w:val="1"/>
    <w:next w:val="1"/>
    <w:qFormat/>
    <w:uiPriority w:val="0"/>
    <w:pPr>
      <w:spacing w:before="120"/>
    </w:pPr>
    <w:rPr>
      <w:rFonts w:ascii="Arial" w:hAnsi="Arial" w:eastAsia="仿宋" w:cs="Times New Roman"/>
      <w:sz w:val="24"/>
      <w:szCs w:val="20"/>
    </w:rPr>
  </w:style>
  <w:style w:type="paragraph" w:styleId="28">
    <w:name w:val="annotation text"/>
    <w:basedOn w:val="1"/>
    <w:link w:val="113"/>
    <w:qFormat/>
    <w:uiPriority w:val="0"/>
    <w:pPr>
      <w:jc w:val="left"/>
    </w:pPr>
  </w:style>
  <w:style w:type="paragraph" w:styleId="29">
    <w:name w:val="index 6"/>
    <w:basedOn w:val="1"/>
    <w:next w:val="1"/>
    <w:qFormat/>
    <w:uiPriority w:val="0"/>
    <w:pPr>
      <w:adjustRightInd w:val="0"/>
      <w:spacing w:line="312" w:lineRule="atLeast"/>
      <w:ind w:left="1000" w:leftChars="1000"/>
      <w:textAlignment w:val="baseline"/>
    </w:pPr>
    <w:rPr>
      <w:rFonts w:ascii="Calibri" w:hAnsi="Calibri" w:eastAsia="仿宋" w:cs="Times New Roman"/>
      <w:kern w:val="0"/>
      <w:sz w:val="32"/>
      <w:szCs w:val="20"/>
    </w:rPr>
  </w:style>
  <w:style w:type="paragraph" w:styleId="30">
    <w:name w:val="Salutation"/>
    <w:basedOn w:val="1"/>
    <w:next w:val="1"/>
    <w:link w:val="114"/>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115"/>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116"/>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numPr>
        <w:ilvl w:val="0"/>
        <w:numId w:val="5"/>
      </w:numPr>
      <w:adjustRightInd w:val="0"/>
      <w:spacing w:line="312" w:lineRule="atLeast"/>
      <w:textAlignment w:val="baseline"/>
    </w:pPr>
    <w:rPr>
      <w:rFonts w:ascii="Calibri" w:hAnsi="Calibri" w:eastAsia="仿宋" w:cs="Times New Roman"/>
      <w:kern w:val="0"/>
      <w:sz w:val="32"/>
      <w:szCs w:val="20"/>
    </w:rPr>
  </w:style>
  <w:style w:type="paragraph" w:styleId="34">
    <w:name w:val="Body Text"/>
    <w:basedOn w:val="1"/>
    <w:link w:val="117"/>
    <w:qFormat/>
    <w:uiPriority w:val="0"/>
    <w:pPr>
      <w:jc w:val="left"/>
    </w:pPr>
    <w:rPr>
      <w:rFonts w:ascii="宋体"/>
      <w:sz w:val="24"/>
    </w:rPr>
  </w:style>
  <w:style w:type="paragraph" w:styleId="35">
    <w:name w:val="Body Text Indent"/>
    <w:basedOn w:val="1"/>
    <w:next w:val="36"/>
    <w:link w:val="118"/>
    <w:qFormat/>
    <w:uiPriority w:val="0"/>
    <w:pPr>
      <w:ind w:firstLine="444"/>
    </w:pPr>
    <w:rPr>
      <w:b/>
      <w:sz w:val="24"/>
    </w:rPr>
  </w:style>
  <w:style w:type="paragraph" w:styleId="3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37">
    <w:name w:val="List Number 3"/>
    <w:basedOn w:val="1"/>
    <w:qFormat/>
    <w:uiPriority w:val="0"/>
    <w:pPr>
      <w:numPr>
        <w:ilvl w:val="0"/>
        <w:numId w:val="6"/>
      </w:numPr>
      <w:adjustRightInd w:val="0"/>
      <w:spacing w:line="312" w:lineRule="atLeast"/>
      <w:textAlignment w:val="baseline"/>
    </w:pPr>
    <w:rPr>
      <w:rFonts w:ascii="Calibri" w:hAnsi="Calibri" w:eastAsia="仿宋" w:cs="Times New Roman"/>
      <w:kern w:val="0"/>
      <w:sz w:val="32"/>
      <w:szCs w:val="20"/>
    </w:rPr>
  </w:style>
  <w:style w:type="paragraph" w:styleId="38">
    <w:name w:val="List 2"/>
    <w:basedOn w:val="1"/>
    <w:next w:val="39"/>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39">
    <w:name w:val="Plain Text"/>
    <w:basedOn w:val="1"/>
    <w:link w:val="119"/>
    <w:qFormat/>
    <w:uiPriority w:val="0"/>
    <w:rPr>
      <w:rFonts w:ascii="宋体"/>
      <w:szCs w:val="20"/>
    </w:rPr>
  </w:style>
  <w:style w:type="paragraph" w:styleId="40">
    <w:name w:val="List Continue"/>
    <w:basedOn w:val="1"/>
    <w:qFormat/>
    <w:uiPriority w:val="0"/>
    <w:pPr>
      <w:adjustRightInd w:val="0"/>
      <w:spacing w:after="120" w:line="312" w:lineRule="atLeast"/>
      <w:ind w:left="420" w:leftChars="200"/>
      <w:textAlignment w:val="baseline"/>
    </w:pPr>
    <w:rPr>
      <w:rFonts w:ascii="Calibri" w:hAnsi="Calibri" w:eastAsia="仿宋" w:cs="Times New Roman"/>
      <w:kern w:val="0"/>
      <w:sz w:val="32"/>
      <w:szCs w:val="20"/>
    </w:rPr>
  </w:style>
  <w:style w:type="paragraph" w:styleId="41">
    <w:name w:val="Block Text"/>
    <w:basedOn w:val="1"/>
    <w:qFormat/>
    <w:uiPriority w:val="0"/>
    <w:pPr>
      <w:adjustRightInd w:val="0"/>
      <w:spacing w:after="120" w:line="312" w:lineRule="atLeast"/>
      <w:ind w:left="1440" w:leftChars="700" w:right="1440" w:rightChars="700"/>
      <w:textAlignment w:val="baseline"/>
    </w:pPr>
    <w:rPr>
      <w:rFonts w:ascii="Calibri" w:hAnsi="Calibri" w:eastAsia="仿宋" w:cs="Times New Roman"/>
      <w:kern w:val="0"/>
      <w:sz w:val="32"/>
      <w:szCs w:val="20"/>
    </w:rPr>
  </w:style>
  <w:style w:type="paragraph" w:styleId="42">
    <w:name w:val="List Bullet 2"/>
    <w:basedOn w:val="1"/>
    <w:qFormat/>
    <w:uiPriority w:val="0"/>
    <w:pPr>
      <w:numPr>
        <w:ilvl w:val="0"/>
        <w:numId w:val="7"/>
      </w:numPr>
      <w:adjustRightInd w:val="0"/>
      <w:spacing w:line="312" w:lineRule="atLeast"/>
      <w:textAlignment w:val="baseline"/>
    </w:pPr>
    <w:rPr>
      <w:rFonts w:ascii="Calibri" w:hAnsi="Calibri" w:eastAsia="仿宋" w:cs="Times New Roman"/>
      <w:kern w:val="0"/>
      <w:sz w:val="32"/>
      <w:szCs w:val="20"/>
    </w:rPr>
  </w:style>
  <w:style w:type="paragraph" w:styleId="43">
    <w:name w:val="HTML Address"/>
    <w:basedOn w:val="1"/>
    <w:link w:val="120"/>
    <w:qFormat/>
    <w:uiPriority w:val="0"/>
    <w:pPr>
      <w:adjustRightInd w:val="0"/>
      <w:spacing w:line="312" w:lineRule="atLeast"/>
      <w:textAlignment w:val="baseline"/>
    </w:pPr>
    <w:rPr>
      <w:rFonts w:eastAsia="仿宋"/>
      <w:i/>
      <w:iCs/>
      <w:kern w:val="0"/>
      <w:sz w:val="32"/>
      <w:szCs w:val="20"/>
    </w:rPr>
  </w:style>
  <w:style w:type="paragraph" w:styleId="44">
    <w:name w:val="index 4"/>
    <w:basedOn w:val="1"/>
    <w:next w:val="1"/>
    <w:qFormat/>
    <w:uiPriority w:val="0"/>
    <w:pPr>
      <w:adjustRightInd w:val="0"/>
      <w:spacing w:line="312" w:lineRule="atLeast"/>
      <w:ind w:left="600" w:leftChars="600"/>
      <w:textAlignment w:val="baseline"/>
    </w:pPr>
    <w:rPr>
      <w:rFonts w:ascii="Calibri" w:hAnsi="Calibri" w:eastAsia="仿宋" w:cs="Times New Roman"/>
      <w:kern w:val="0"/>
      <w:sz w:val="32"/>
      <w:szCs w:val="20"/>
    </w:rPr>
  </w:style>
  <w:style w:type="paragraph" w:styleId="45">
    <w:name w:val="toc 5"/>
    <w:basedOn w:val="1"/>
    <w:next w:val="1"/>
    <w:qFormat/>
    <w:uiPriority w:val="0"/>
    <w:pPr>
      <w:ind w:left="1680" w:leftChars="800"/>
    </w:pPr>
    <w:rPr>
      <w:rFonts w:ascii="Calibri" w:hAnsi="Calibri" w:eastAsia="宋体" w:cs="Times New Roman"/>
    </w:rPr>
  </w:style>
  <w:style w:type="paragraph" w:styleId="46">
    <w:name w:val="toc 3"/>
    <w:basedOn w:val="1"/>
    <w:next w:val="1"/>
    <w:qFormat/>
    <w:uiPriority w:val="0"/>
    <w:pPr>
      <w:tabs>
        <w:tab w:val="left" w:pos="900"/>
        <w:tab w:val="right" w:leader="dot" w:pos="8494"/>
      </w:tabs>
      <w:spacing w:line="360" w:lineRule="auto"/>
      <w:ind w:left="539" w:leftChars="86" w:hanging="358" w:hangingChars="149"/>
    </w:pPr>
    <w:rPr>
      <w:rFonts w:ascii="Calibri" w:hAnsi="Calibri" w:eastAsia="宋体" w:cs="Times New Roman"/>
    </w:rPr>
  </w:style>
  <w:style w:type="paragraph" w:styleId="47">
    <w:name w:val="List Bullet 5"/>
    <w:basedOn w:val="1"/>
    <w:qFormat/>
    <w:uiPriority w:val="0"/>
    <w:pPr>
      <w:numPr>
        <w:ilvl w:val="0"/>
        <w:numId w:val="8"/>
      </w:numPr>
      <w:adjustRightInd w:val="0"/>
      <w:spacing w:line="312" w:lineRule="atLeast"/>
      <w:textAlignment w:val="baseline"/>
    </w:pPr>
    <w:rPr>
      <w:rFonts w:ascii="Calibri" w:hAnsi="Calibri" w:eastAsia="仿宋" w:cs="Times New Roman"/>
      <w:kern w:val="0"/>
      <w:sz w:val="32"/>
      <w:szCs w:val="20"/>
    </w:rPr>
  </w:style>
  <w:style w:type="paragraph" w:styleId="48">
    <w:name w:val="List Number 4"/>
    <w:basedOn w:val="1"/>
    <w:qFormat/>
    <w:uiPriority w:val="0"/>
    <w:pPr>
      <w:tabs>
        <w:tab w:val="left" w:pos="1620"/>
      </w:tabs>
      <w:adjustRightInd w:val="0"/>
      <w:spacing w:line="312" w:lineRule="atLeast"/>
      <w:ind w:left="1620" w:leftChars="600" w:hanging="360" w:hangingChars="200"/>
      <w:textAlignment w:val="baseline"/>
    </w:pPr>
    <w:rPr>
      <w:rFonts w:ascii="Calibri" w:hAnsi="Calibri" w:eastAsia="仿宋" w:cs="Times New Roman"/>
      <w:kern w:val="0"/>
      <w:sz w:val="32"/>
      <w:szCs w:val="20"/>
    </w:rPr>
  </w:style>
  <w:style w:type="paragraph" w:styleId="49">
    <w:name w:val="toc 8"/>
    <w:basedOn w:val="1"/>
    <w:next w:val="1"/>
    <w:qFormat/>
    <w:uiPriority w:val="0"/>
    <w:pPr>
      <w:ind w:left="2940" w:leftChars="1400"/>
    </w:pPr>
    <w:rPr>
      <w:rFonts w:ascii="Calibri" w:hAnsi="Calibri" w:eastAsia="宋体" w:cs="Times New Roman"/>
    </w:rPr>
  </w:style>
  <w:style w:type="paragraph" w:styleId="50">
    <w:name w:val="index 3"/>
    <w:basedOn w:val="1"/>
    <w:next w:val="1"/>
    <w:qFormat/>
    <w:uiPriority w:val="0"/>
    <w:pPr>
      <w:adjustRightInd w:val="0"/>
      <w:spacing w:line="312" w:lineRule="atLeast"/>
      <w:ind w:left="400" w:leftChars="400"/>
      <w:textAlignment w:val="baseline"/>
    </w:pPr>
    <w:rPr>
      <w:rFonts w:ascii="Calibri" w:hAnsi="Calibri" w:eastAsia="仿宋" w:cs="Times New Roman"/>
      <w:kern w:val="0"/>
      <w:sz w:val="32"/>
      <w:szCs w:val="20"/>
    </w:rPr>
  </w:style>
  <w:style w:type="paragraph" w:styleId="51">
    <w:name w:val="Date"/>
    <w:basedOn w:val="1"/>
    <w:next w:val="1"/>
    <w:link w:val="121"/>
    <w:qFormat/>
    <w:uiPriority w:val="0"/>
    <w:pPr>
      <w:ind w:left="2500" w:leftChars="2500"/>
    </w:pPr>
    <w:rPr>
      <w:rFonts w:ascii="宋体"/>
      <w:sz w:val="24"/>
    </w:rPr>
  </w:style>
  <w:style w:type="paragraph" w:styleId="52">
    <w:name w:val="Body Text Indent 2"/>
    <w:basedOn w:val="1"/>
    <w:link w:val="122"/>
    <w:qFormat/>
    <w:uiPriority w:val="0"/>
    <w:pPr>
      <w:spacing w:after="120" w:afterLines="0" w:line="480" w:lineRule="auto"/>
      <w:ind w:left="200" w:leftChars="200"/>
    </w:pPr>
  </w:style>
  <w:style w:type="paragraph" w:styleId="53">
    <w:name w:val="endnote text"/>
    <w:basedOn w:val="1"/>
    <w:link w:val="123"/>
    <w:qFormat/>
    <w:uiPriority w:val="0"/>
    <w:pPr>
      <w:snapToGrid w:val="0"/>
      <w:jc w:val="left"/>
    </w:pPr>
  </w:style>
  <w:style w:type="paragraph" w:styleId="54">
    <w:name w:val="List Continue 5"/>
    <w:basedOn w:val="1"/>
    <w:qFormat/>
    <w:uiPriority w:val="0"/>
    <w:pPr>
      <w:adjustRightInd w:val="0"/>
      <w:spacing w:after="120" w:line="312" w:lineRule="atLeast"/>
      <w:ind w:left="2100" w:leftChars="1000"/>
      <w:textAlignment w:val="baseline"/>
    </w:pPr>
    <w:rPr>
      <w:rFonts w:ascii="Calibri" w:hAnsi="Calibri" w:eastAsia="仿宋" w:cs="Times New Roman"/>
      <w:kern w:val="0"/>
      <w:sz w:val="32"/>
      <w:szCs w:val="20"/>
    </w:rPr>
  </w:style>
  <w:style w:type="paragraph" w:styleId="55">
    <w:name w:val="Balloon Text"/>
    <w:basedOn w:val="1"/>
    <w:link w:val="124"/>
    <w:qFormat/>
    <w:uiPriority w:val="0"/>
    <w:rPr>
      <w:sz w:val="18"/>
      <w:szCs w:val="18"/>
    </w:rPr>
  </w:style>
  <w:style w:type="paragraph" w:styleId="56">
    <w:name w:val="footer"/>
    <w:basedOn w:val="1"/>
    <w:link w:val="125"/>
    <w:qFormat/>
    <w:uiPriority w:val="0"/>
    <w:pPr>
      <w:tabs>
        <w:tab w:val="center" w:pos="4153"/>
        <w:tab w:val="right" w:pos="8306"/>
      </w:tabs>
      <w:snapToGrid w:val="0"/>
      <w:jc w:val="left"/>
    </w:pPr>
    <w:rPr>
      <w:sz w:val="18"/>
      <w:szCs w:val="18"/>
    </w:rPr>
  </w:style>
  <w:style w:type="paragraph" w:styleId="5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7"/>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0"/>
    <w:pPr>
      <w:tabs>
        <w:tab w:val="left" w:pos="540"/>
        <w:tab w:val="right" w:leader="dot" w:pos="8460"/>
      </w:tabs>
      <w:spacing w:before="156" w:beforeLines="50" w:after="156" w:afterLines="50" w:line="360" w:lineRule="auto"/>
    </w:pPr>
    <w:rPr>
      <w:rFonts w:ascii="宋体" w:hAnsi="宋体" w:eastAsia="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ascii="Calibri" w:hAnsi="Calibri" w:eastAsia="仿宋" w:cs="Times New Roman"/>
      <w:kern w:val="0"/>
      <w:sz w:val="32"/>
      <w:szCs w:val="20"/>
    </w:rPr>
  </w:style>
  <w:style w:type="paragraph" w:styleId="61">
    <w:name w:val="toc 4"/>
    <w:basedOn w:val="1"/>
    <w:next w:val="1"/>
    <w:qFormat/>
    <w:uiPriority w:val="0"/>
    <w:pPr>
      <w:tabs>
        <w:tab w:val="left" w:pos="1440"/>
        <w:tab w:val="right" w:leader="dot" w:pos="8494"/>
      </w:tabs>
      <w:spacing w:line="360" w:lineRule="auto"/>
      <w:ind w:left="1440" w:leftChars="257" w:hanging="900" w:hangingChars="375"/>
    </w:pPr>
    <w:rPr>
      <w:rFonts w:ascii="Calibri" w:hAnsi="Calibri" w:eastAsia="宋体" w:cs="Times New Roman"/>
    </w:r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ascii="Calibri" w:hAnsi="Calibri" w:eastAsia="仿宋_GB2312" w:cs="Times New Roman"/>
      <w:b/>
      <w:sz w:val="24"/>
      <w:szCs w:val="20"/>
    </w:rPr>
  </w:style>
  <w:style w:type="paragraph" w:styleId="64">
    <w:name w:val="Subtitle"/>
    <w:basedOn w:val="1"/>
    <w:next w:val="1"/>
    <w:link w:val="128"/>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ascii="Calibri" w:hAnsi="Calibri" w:eastAsia="仿宋" w:cs="Times New Roman"/>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ascii="Calibri" w:hAnsi="Calibri" w:eastAsia="仿宋" w:cs="Times New Roman"/>
      <w:kern w:val="0"/>
      <w:sz w:val="32"/>
      <w:szCs w:val="20"/>
    </w:rPr>
  </w:style>
  <w:style w:type="paragraph" w:styleId="67">
    <w:name w:val="footnote text"/>
    <w:basedOn w:val="1"/>
    <w:link w:val="129"/>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0"/>
    <w:pPr>
      <w:ind w:left="2100" w:leftChars="1000"/>
    </w:pPr>
    <w:rPr>
      <w:rFonts w:ascii="Calibri" w:hAnsi="Calibri" w:eastAsia="宋体" w:cs="Times New Roman"/>
    </w:rPr>
  </w:style>
  <w:style w:type="paragraph" w:styleId="69">
    <w:name w:val="List 5"/>
    <w:basedOn w:val="1"/>
    <w:qFormat/>
    <w:uiPriority w:val="0"/>
    <w:pPr>
      <w:adjustRightInd w:val="0"/>
      <w:spacing w:line="312" w:lineRule="atLeast"/>
      <w:ind w:left="100" w:leftChars="800" w:hanging="200" w:hangingChars="200"/>
      <w:textAlignment w:val="baseline"/>
    </w:pPr>
    <w:rPr>
      <w:rFonts w:ascii="Calibri" w:hAnsi="Calibri" w:eastAsia="仿宋" w:cs="Times New Roman"/>
      <w:kern w:val="0"/>
      <w:sz w:val="32"/>
      <w:szCs w:val="20"/>
    </w:rPr>
  </w:style>
  <w:style w:type="paragraph" w:styleId="70">
    <w:name w:val="Body Text Indent 3"/>
    <w:basedOn w:val="1"/>
    <w:link w:val="130"/>
    <w:qFormat/>
    <w:uiPriority w:val="0"/>
    <w:pPr>
      <w:spacing w:line="440" w:lineRule="exact"/>
      <w:ind w:firstLine="200" w:firstLineChars="200"/>
    </w:pPr>
    <w:rPr>
      <w:rFonts w:ascii="宋体"/>
    </w:rPr>
  </w:style>
  <w:style w:type="paragraph" w:styleId="71">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72">
    <w:name w:val="index 9"/>
    <w:basedOn w:val="1"/>
    <w:next w:val="1"/>
    <w:qFormat/>
    <w:uiPriority w:val="0"/>
    <w:pPr>
      <w:adjustRightInd w:val="0"/>
      <w:spacing w:line="312" w:lineRule="atLeast"/>
      <w:ind w:left="1600" w:leftChars="1600"/>
      <w:textAlignment w:val="baseline"/>
    </w:pPr>
    <w:rPr>
      <w:rFonts w:ascii="Calibri" w:hAnsi="Calibri" w:eastAsia="仿宋" w:cs="Times New Roman"/>
      <w:kern w:val="0"/>
      <w:sz w:val="32"/>
      <w:szCs w:val="20"/>
    </w:rPr>
  </w:style>
  <w:style w:type="paragraph" w:styleId="73">
    <w:name w:val="table of figures"/>
    <w:basedOn w:val="1"/>
    <w:next w:val="1"/>
    <w:qFormat/>
    <w:uiPriority w:val="0"/>
    <w:pPr>
      <w:ind w:leftChars="200" w:hanging="200" w:hangingChars="200"/>
    </w:pPr>
    <w:rPr>
      <w:rFonts w:ascii="Calibri" w:hAnsi="Calibri" w:eastAsia="宋体" w:cs="Times New Roman"/>
    </w:r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eastAsia="宋体" w:cs="Times New Roman"/>
      <w:b/>
      <w:smallCaps/>
      <w:sz w:val="24"/>
    </w:rPr>
  </w:style>
  <w:style w:type="paragraph" w:styleId="75">
    <w:name w:val="toc 9"/>
    <w:basedOn w:val="1"/>
    <w:next w:val="1"/>
    <w:qFormat/>
    <w:uiPriority w:val="0"/>
    <w:pPr>
      <w:ind w:left="3360" w:leftChars="1600"/>
    </w:pPr>
    <w:rPr>
      <w:rFonts w:ascii="Calibri" w:hAnsi="Calibri" w:eastAsia="宋体" w:cs="Times New Roman"/>
    </w:rPr>
  </w:style>
  <w:style w:type="paragraph" w:styleId="76">
    <w:name w:val="Body Text 2"/>
    <w:basedOn w:val="1"/>
    <w:link w:val="131"/>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ascii="Calibri" w:hAnsi="Calibri" w:eastAsia="仿宋" w:cs="Times New Roman"/>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ascii="Calibri" w:hAnsi="Calibri" w:eastAsia="仿宋" w:cs="Times New Roman"/>
      <w:kern w:val="0"/>
      <w:sz w:val="32"/>
      <w:szCs w:val="20"/>
    </w:rPr>
  </w:style>
  <w:style w:type="paragraph" w:styleId="79">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hAnsi="Calibri" w:eastAsia="宋体" w:cs="宋体"/>
      <w:kern w:val="0"/>
      <w:sz w:val="24"/>
      <w:lang w:bidi="ar-SA"/>
    </w:rPr>
  </w:style>
  <w:style w:type="paragraph" w:styleId="82">
    <w:name w:val="List Continue 3"/>
    <w:basedOn w:val="1"/>
    <w:qFormat/>
    <w:uiPriority w:val="0"/>
    <w:pPr>
      <w:adjustRightInd w:val="0"/>
      <w:spacing w:after="120" w:line="312" w:lineRule="atLeast"/>
      <w:ind w:left="1260" w:leftChars="600"/>
      <w:textAlignment w:val="baseline"/>
    </w:pPr>
    <w:rPr>
      <w:rFonts w:ascii="Calibri" w:hAnsi="Calibri" w:eastAsia="仿宋" w:cs="Times New Roman"/>
      <w:kern w:val="0"/>
      <w:sz w:val="32"/>
      <w:szCs w:val="20"/>
    </w:rPr>
  </w:style>
  <w:style w:type="paragraph" w:styleId="83">
    <w:name w:val="index 2"/>
    <w:basedOn w:val="1"/>
    <w:next w:val="1"/>
    <w:qFormat/>
    <w:uiPriority w:val="0"/>
    <w:pPr>
      <w:adjustRightInd w:val="0"/>
      <w:spacing w:line="312" w:lineRule="atLeast"/>
      <w:ind w:left="200" w:leftChars="200"/>
      <w:textAlignment w:val="baseline"/>
    </w:pPr>
    <w:rPr>
      <w:rFonts w:ascii="Calibri" w:hAnsi="Calibri" w:eastAsia="仿宋" w:cs="Times New Roman"/>
      <w:kern w:val="0"/>
      <w:sz w:val="32"/>
      <w:szCs w:val="20"/>
    </w:rPr>
  </w:style>
  <w:style w:type="paragraph" w:styleId="84">
    <w:name w:val="Title"/>
    <w:basedOn w:val="1"/>
    <w:next w:val="1"/>
    <w:link w:val="134"/>
    <w:qFormat/>
    <w:uiPriority w:val="0"/>
    <w:pPr>
      <w:spacing w:before="240" w:beforeLines="0" w:after="60" w:afterLines="0"/>
      <w:jc w:val="center"/>
      <w:outlineLvl w:val="0"/>
    </w:pPr>
    <w:rPr>
      <w:rFonts w:ascii="Cambria" w:hAnsi="Cambria"/>
      <w:b/>
      <w:bCs/>
      <w:sz w:val="32"/>
      <w:szCs w:val="32"/>
    </w:rPr>
  </w:style>
  <w:style w:type="paragraph" w:styleId="85">
    <w:name w:val="annotation subject"/>
    <w:basedOn w:val="28"/>
    <w:next w:val="28"/>
    <w:link w:val="135"/>
    <w:qFormat/>
    <w:uiPriority w:val="0"/>
    <w:rPr>
      <w:b/>
      <w:bCs/>
    </w:rPr>
  </w:style>
  <w:style w:type="paragraph" w:styleId="86">
    <w:name w:val="Body Text First Indent"/>
    <w:basedOn w:val="34"/>
    <w:next w:val="68"/>
    <w:link w:val="136"/>
    <w:qFormat/>
    <w:uiPriority w:val="0"/>
    <w:pPr>
      <w:spacing w:after="120"/>
      <w:ind w:firstLine="420" w:firstLineChars="100"/>
      <w:jc w:val="both"/>
    </w:pPr>
    <w:rPr>
      <w:sz w:val="21"/>
    </w:rPr>
  </w:style>
  <w:style w:type="paragraph" w:styleId="87">
    <w:name w:val="Body Text First Indent 2"/>
    <w:basedOn w:val="35"/>
    <w:next w:val="66"/>
    <w:link w:val="137"/>
    <w:qFormat/>
    <w:uiPriority w:val="0"/>
    <w:pPr>
      <w:spacing w:after="120"/>
      <w:ind w:left="420" w:leftChars="200" w:firstLine="420" w:firstLineChars="200"/>
    </w:pPr>
    <w:rPr>
      <w:sz w:val="21"/>
    </w:rPr>
  </w:style>
  <w:style w:type="table" w:styleId="89">
    <w:name w:val="Table Grid"/>
    <w:basedOn w:val="8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rFonts w:ascii="Calibri" w:hAnsi="Calibri" w:eastAsia="宋体" w:cs="Times New Roman"/>
      <w:b/>
      <w:bCs/>
    </w:rPr>
  </w:style>
  <w:style w:type="character" w:styleId="92">
    <w:name w:val="endnote reference"/>
    <w:qFormat/>
    <w:uiPriority w:val="0"/>
    <w:rPr>
      <w:rFonts w:ascii="Calibri" w:hAnsi="Calibri" w:eastAsia="宋体" w:cs="Times New Roman"/>
      <w:vertAlign w:val="superscript"/>
    </w:rPr>
  </w:style>
  <w:style w:type="character" w:styleId="93">
    <w:name w:val="page number"/>
    <w:basedOn w:val="90"/>
    <w:qFormat/>
    <w:uiPriority w:val="0"/>
    <w:rPr>
      <w:rFonts w:ascii="Calibri" w:hAnsi="Calibri" w:eastAsia="宋体" w:cs="Times New Roman"/>
      <w:lang w:bidi="ar-SA"/>
    </w:rPr>
  </w:style>
  <w:style w:type="character" w:styleId="94">
    <w:name w:val="FollowedHyperlink"/>
    <w:qFormat/>
    <w:uiPriority w:val="0"/>
    <w:rPr>
      <w:rFonts w:ascii="Calibri" w:hAnsi="Calibri" w:eastAsia="宋体" w:cs="Times New Roman"/>
      <w:color w:val="800080"/>
      <w:u w:val="single"/>
    </w:rPr>
  </w:style>
  <w:style w:type="character" w:styleId="95">
    <w:name w:val="Emphasis"/>
    <w:qFormat/>
    <w:uiPriority w:val="0"/>
    <w:rPr>
      <w:rFonts w:ascii="Calibri" w:hAnsi="Calibri" w:eastAsia="宋体" w:cs="Times New Roman"/>
      <w:i/>
      <w:iCs/>
    </w:rPr>
  </w:style>
  <w:style w:type="character" w:styleId="96">
    <w:name w:val="Hyperlink"/>
    <w:qFormat/>
    <w:uiPriority w:val="0"/>
    <w:rPr>
      <w:rFonts w:ascii="Calibri" w:hAnsi="Calibri" w:eastAsia="宋体" w:cs="Times New Roman"/>
      <w:color w:val="0000FF"/>
      <w:u w:val="single"/>
    </w:rPr>
  </w:style>
  <w:style w:type="character" w:styleId="97">
    <w:name w:val="annotation reference"/>
    <w:qFormat/>
    <w:uiPriority w:val="0"/>
    <w:rPr>
      <w:rFonts w:ascii="Calibri" w:hAnsi="Calibri" w:eastAsia="宋体" w:cs="Times New Roman"/>
      <w:sz w:val="21"/>
      <w:szCs w:val="21"/>
    </w:rPr>
  </w:style>
  <w:style w:type="character" w:styleId="98">
    <w:name w:val="HTML Sample"/>
    <w:qFormat/>
    <w:uiPriority w:val="0"/>
    <w:rPr>
      <w:rFonts w:ascii="Courier New" w:hAnsi="Courier New" w:eastAsia="宋体" w:cs="Times New Roman"/>
    </w:rPr>
  </w:style>
  <w:style w:type="character" w:customStyle="1" w:styleId="99">
    <w:name w:val="宏文本 Char2"/>
    <w:link w:val="2"/>
    <w:qFormat/>
    <w:uiPriority w:val="0"/>
    <w:rPr>
      <w:rFonts w:ascii="Courier New" w:hAnsi="Courier New"/>
      <w:kern w:val="2"/>
      <w:sz w:val="24"/>
      <w:szCs w:val="24"/>
      <w:lang w:val="en-US" w:eastAsia="zh-CN" w:bidi="ar-SA"/>
    </w:rPr>
  </w:style>
  <w:style w:type="character" w:customStyle="1" w:styleId="100">
    <w:name w:val="标题 1 Char"/>
    <w:link w:val="3"/>
    <w:qFormat/>
    <w:uiPriority w:val="0"/>
    <w:rPr>
      <w:rFonts w:ascii="Calibri" w:hAnsi="Calibri" w:eastAsia="宋体" w:cs="Times New Roman"/>
      <w:b/>
      <w:kern w:val="44"/>
      <w:sz w:val="44"/>
    </w:rPr>
  </w:style>
  <w:style w:type="character" w:customStyle="1" w:styleId="101">
    <w:name w:val="标题 2 Char"/>
    <w:link w:val="4"/>
    <w:qFormat/>
    <w:uiPriority w:val="0"/>
    <w:rPr>
      <w:rFonts w:ascii="Arial" w:hAnsi="Arial" w:eastAsia="黑体" w:cs="Times New Roman"/>
      <w:b/>
      <w:bCs/>
      <w:kern w:val="2"/>
      <w:sz w:val="32"/>
      <w:szCs w:val="32"/>
    </w:rPr>
  </w:style>
  <w:style w:type="character" w:customStyle="1" w:styleId="102">
    <w:name w:val="标题 3 Char"/>
    <w:link w:val="5"/>
    <w:qFormat/>
    <w:uiPriority w:val="0"/>
    <w:rPr>
      <w:rFonts w:ascii="Calibri" w:hAnsi="Calibri" w:eastAsia="宋体" w:cs="Angsana New"/>
      <w:b/>
      <w:bCs/>
      <w:kern w:val="2"/>
      <w:sz w:val="32"/>
      <w:szCs w:val="32"/>
      <w:lang w:bidi="th-TH"/>
    </w:rPr>
  </w:style>
  <w:style w:type="character" w:customStyle="1" w:styleId="103">
    <w:name w:val="标题 4 Char"/>
    <w:link w:val="6"/>
    <w:qFormat/>
    <w:uiPriority w:val="0"/>
    <w:rPr>
      <w:rFonts w:ascii="Arial" w:hAnsi="Arial" w:eastAsia="黑体" w:cs="Times New Roman"/>
      <w:b/>
      <w:bCs/>
      <w:kern w:val="2"/>
      <w:sz w:val="28"/>
      <w:szCs w:val="28"/>
    </w:rPr>
  </w:style>
  <w:style w:type="character" w:customStyle="1" w:styleId="104">
    <w:name w:val="标题 5 Char"/>
    <w:link w:val="7"/>
    <w:qFormat/>
    <w:uiPriority w:val="0"/>
    <w:rPr>
      <w:rFonts w:ascii="Calibri" w:hAnsi="Calibri" w:eastAsia="宋体" w:cs="Times New Roman"/>
      <w:b/>
      <w:bCs/>
      <w:kern w:val="2"/>
      <w:sz w:val="28"/>
      <w:szCs w:val="28"/>
    </w:rPr>
  </w:style>
  <w:style w:type="character" w:customStyle="1" w:styleId="105">
    <w:name w:val="标题 6 Char"/>
    <w:link w:val="8"/>
    <w:qFormat/>
    <w:uiPriority w:val="0"/>
    <w:rPr>
      <w:rFonts w:ascii="Arial" w:hAnsi="Arial" w:eastAsia="黑体" w:cs="Times New Roman"/>
      <w:b/>
      <w:bCs/>
      <w:kern w:val="2"/>
      <w:sz w:val="24"/>
      <w:szCs w:val="24"/>
    </w:rPr>
  </w:style>
  <w:style w:type="character" w:customStyle="1" w:styleId="106">
    <w:name w:val="标题 7 Char"/>
    <w:link w:val="9"/>
    <w:qFormat/>
    <w:uiPriority w:val="0"/>
    <w:rPr>
      <w:rFonts w:ascii="Calibri" w:hAnsi="Calibri" w:eastAsia="宋体" w:cs="Times New Roman"/>
      <w:b/>
      <w:bCs/>
      <w:kern w:val="2"/>
      <w:sz w:val="24"/>
      <w:szCs w:val="24"/>
    </w:rPr>
  </w:style>
  <w:style w:type="character" w:customStyle="1" w:styleId="107">
    <w:name w:val="标题 8 Char"/>
    <w:link w:val="10"/>
    <w:qFormat/>
    <w:uiPriority w:val="0"/>
    <w:rPr>
      <w:rFonts w:ascii="Arial" w:hAnsi="Arial" w:eastAsia="黑体" w:cs="Times New Roman"/>
      <w:kern w:val="2"/>
      <w:sz w:val="24"/>
      <w:szCs w:val="24"/>
    </w:rPr>
  </w:style>
  <w:style w:type="character" w:customStyle="1" w:styleId="108">
    <w:name w:val="标题 9 Char"/>
    <w:link w:val="11"/>
    <w:qFormat/>
    <w:uiPriority w:val="0"/>
    <w:rPr>
      <w:rFonts w:ascii="Arial" w:hAnsi="Arial" w:eastAsia="黑体" w:cs="Times New Roman"/>
      <w:kern w:val="2"/>
      <w:sz w:val="21"/>
      <w:szCs w:val="21"/>
    </w:rPr>
  </w:style>
  <w:style w:type="character" w:customStyle="1" w:styleId="109">
    <w:name w:val="注释标题 Char2"/>
    <w:link w:val="16"/>
    <w:qFormat/>
    <w:uiPriority w:val="0"/>
    <w:rPr>
      <w:rFonts w:ascii="Calibri" w:hAnsi="Calibri" w:eastAsia="仿宋" w:cs="Times New Roman"/>
      <w:sz w:val="32"/>
    </w:rPr>
  </w:style>
  <w:style w:type="character" w:customStyle="1" w:styleId="110">
    <w:name w:val="电子邮件签名 Char2"/>
    <w:link w:val="19"/>
    <w:qFormat/>
    <w:uiPriority w:val="0"/>
    <w:rPr>
      <w:rFonts w:ascii="Calibri" w:hAnsi="Calibri" w:eastAsia="仿宋" w:cs="Times New Roman"/>
      <w:sz w:val="32"/>
    </w:rPr>
  </w:style>
  <w:style w:type="character" w:customStyle="1" w:styleId="111">
    <w:name w:val="正文缩进 Char"/>
    <w:link w:val="21"/>
    <w:qFormat/>
    <w:uiPriority w:val="0"/>
    <w:rPr>
      <w:rFonts w:ascii="Calibri" w:hAnsi="Calibri" w:eastAsia="宋体" w:cs="Times New Roman"/>
      <w:kern w:val="2"/>
      <w:sz w:val="21"/>
      <w:szCs w:val="24"/>
      <w:lang w:val="en-US" w:eastAsia="zh-CN" w:bidi="ar-SA"/>
    </w:rPr>
  </w:style>
  <w:style w:type="character" w:customStyle="1" w:styleId="112">
    <w:name w:val="文档结构图 Char"/>
    <w:link w:val="26"/>
    <w:qFormat/>
    <w:uiPriority w:val="0"/>
    <w:rPr>
      <w:rFonts w:ascii="Calibri" w:hAnsi="Calibri" w:eastAsia="宋体" w:cs="Times New Roman"/>
      <w:kern w:val="2"/>
      <w:sz w:val="21"/>
      <w:szCs w:val="24"/>
      <w:shd w:val="clear" w:color="auto" w:fill="000080"/>
    </w:rPr>
  </w:style>
  <w:style w:type="character" w:customStyle="1" w:styleId="113">
    <w:name w:val="批注文字 Char"/>
    <w:link w:val="28"/>
    <w:qFormat/>
    <w:uiPriority w:val="0"/>
    <w:rPr>
      <w:rFonts w:ascii="Calibri" w:hAnsi="Calibri" w:eastAsia="宋体" w:cs="Times New Roman"/>
      <w:kern w:val="2"/>
      <w:sz w:val="21"/>
      <w:szCs w:val="24"/>
    </w:rPr>
  </w:style>
  <w:style w:type="character" w:customStyle="1" w:styleId="114">
    <w:name w:val="称呼 Char2"/>
    <w:link w:val="30"/>
    <w:qFormat/>
    <w:uiPriority w:val="0"/>
    <w:rPr>
      <w:rFonts w:ascii="Calibri" w:hAnsi="Calibri" w:eastAsia="仿宋" w:cs="Times New Roman"/>
      <w:sz w:val="32"/>
    </w:rPr>
  </w:style>
  <w:style w:type="character" w:customStyle="1" w:styleId="115">
    <w:name w:val="正文文本 3 Char2"/>
    <w:link w:val="31"/>
    <w:qFormat/>
    <w:uiPriority w:val="0"/>
    <w:rPr>
      <w:rFonts w:ascii="Calibri" w:hAnsi="Calibri" w:eastAsia="仿宋" w:cs="Times New Roman"/>
      <w:sz w:val="16"/>
      <w:szCs w:val="16"/>
    </w:rPr>
  </w:style>
  <w:style w:type="character" w:customStyle="1" w:styleId="116">
    <w:name w:val="结束语 Char2"/>
    <w:link w:val="32"/>
    <w:qFormat/>
    <w:uiPriority w:val="0"/>
    <w:rPr>
      <w:rFonts w:ascii="Calibri" w:hAnsi="Calibri" w:eastAsia="仿宋" w:cs="Times New Roman"/>
      <w:sz w:val="32"/>
    </w:rPr>
  </w:style>
  <w:style w:type="character" w:customStyle="1" w:styleId="117">
    <w:name w:val="正文文本 Char"/>
    <w:link w:val="34"/>
    <w:qFormat/>
    <w:uiPriority w:val="0"/>
    <w:rPr>
      <w:rFonts w:ascii="宋体" w:hAnsi="Calibri" w:eastAsia="宋体" w:cs="Times New Roman"/>
      <w:kern w:val="2"/>
      <w:sz w:val="24"/>
      <w:szCs w:val="24"/>
    </w:rPr>
  </w:style>
  <w:style w:type="character" w:customStyle="1" w:styleId="118">
    <w:name w:val="正文文本缩进 Char1"/>
    <w:link w:val="35"/>
    <w:qFormat/>
    <w:uiPriority w:val="0"/>
    <w:rPr>
      <w:rFonts w:ascii="Calibri" w:hAnsi="Calibri" w:eastAsia="宋体" w:cs="Times New Roman"/>
      <w:b/>
      <w:kern w:val="2"/>
      <w:sz w:val="24"/>
      <w:szCs w:val="24"/>
    </w:rPr>
  </w:style>
  <w:style w:type="character" w:customStyle="1" w:styleId="119">
    <w:name w:val="纯文本 Char"/>
    <w:link w:val="39"/>
    <w:qFormat/>
    <w:uiPriority w:val="0"/>
    <w:rPr>
      <w:rFonts w:ascii="宋体" w:hAnsi="Calibri" w:eastAsia="宋体" w:cs="Times New Roman"/>
      <w:kern w:val="2"/>
      <w:sz w:val="21"/>
    </w:rPr>
  </w:style>
  <w:style w:type="character" w:customStyle="1" w:styleId="120">
    <w:name w:val="HTML 地址 Char2"/>
    <w:link w:val="43"/>
    <w:qFormat/>
    <w:uiPriority w:val="0"/>
    <w:rPr>
      <w:rFonts w:ascii="Calibri" w:hAnsi="Calibri" w:eastAsia="仿宋" w:cs="Times New Roman"/>
      <w:i/>
      <w:iCs/>
      <w:sz w:val="32"/>
    </w:rPr>
  </w:style>
  <w:style w:type="character" w:customStyle="1" w:styleId="121">
    <w:name w:val="日期 Char"/>
    <w:link w:val="51"/>
    <w:qFormat/>
    <w:uiPriority w:val="0"/>
    <w:rPr>
      <w:rFonts w:ascii="宋体" w:hAnsi="Calibri" w:eastAsia="宋体" w:cs="Times New Roman"/>
      <w:kern w:val="2"/>
      <w:sz w:val="24"/>
      <w:szCs w:val="24"/>
    </w:rPr>
  </w:style>
  <w:style w:type="character" w:customStyle="1" w:styleId="122">
    <w:name w:val="正文文本缩进 2 Char"/>
    <w:link w:val="52"/>
    <w:qFormat/>
    <w:uiPriority w:val="0"/>
    <w:rPr>
      <w:rFonts w:ascii="Calibri" w:hAnsi="Calibri" w:eastAsia="宋体" w:cs="Times New Roman"/>
      <w:kern w:val="2"/>
      <w:sz w:val="21"/>
      <w:szCs w:val="24"/>
    </w:rPr>
  </w:style>
  <w:style w:type="character" w:customStyle="1" w:styleId="123">
    <w:name w:val="尾注文本 Char"/>
    <w:link w:val="53"/>
    <w:qFormat/>
    <w:uiPriority w:val="0"/>
    <w:rPr>
      <w:rFonts w:ascii="Calibri" w:hAnsi="Calibri" w:eastAsia="宋体" w:cs="Times New Roman"/>
      <w:kern w:val="2"/>
      <w:sz w:val="21"/>
      <w:szCs w:val="24"/>
    </w:rPr>
  </w:style>
  <w:style w:type="character" w:customStyle="1" w:styleId="124">
    <w:name w:val="批注框文本 Char"/>
    <w:link w:val="55"/>
    <w:qFormat/>
    <w:uiPriority w:val="0"/>
    <w:rPr>
      <w:rFonts w:ascii="Calibri" w:hAnsi="Calibri" w:eastAsia="宋体" w:cs="Times New Roman"/>
      <w:kern w:val="2"/>
      <w:sz w:val="18"/>
      <w:szCs w:val="18"/>
    </w:rPr>
  </w:style>
  <w:style w:type="character" w:customStyle="1" w:styleId="125">
    <w:name w:val="页脚 Char"/>
    <w:link w:val="56"/>
    <w:qFormat/>
    <w:uiPriority w:val="0"/>
    <w:rPr>
      <w:rFonts w:ascii="Calibri" w:hAnsi="Calibri" w:eastAsia="宋体" w:cs="Times New Roman"/>
      <w:kern w:val="2"/>
      <w:sz w:val="18"/>
      <w:szCs w:val="18"/>
    </w:rPr>
  </w:style>
  <w:style w:type="character" w:customStyle="1" w:styleId="126">
    <w:name w:val="页眉 Char"/>
    <w:link w:val="57"/>
    <w:qFormat/>
    <w:uiPriority w:val="0"/>
    <w:rPr>
      <w:rFonts w:ascii="Calibri" w:hAnsi="Calibri" w:eastAsia="宋体" w:cs="Times New Roman"/>
      <w:kern w:val="2"/>
      <w:sz w:val="18"/>
      <w:szCs w:val="18"/>
    </w:rPr>
  </w:style>
  <w:style w:type="character" w:customStyle="1" w:styleId="127">
    <w:name w:val="签名 Char2"/>
    <w:link w:val="58"/>
    <w:qFormat/>
    <w:uiPriority w:val="0"/>
    <w:rPr>
      <w:rFonts w:ascii="Calibri" w:hAnsi="Calibri" w:eastAsia="仿宋" w:cs="Times New Roman"/>
      <w:sz w:val="32"/>
    </w:rPr>
  </w:style>
  <w:style w:type="character" w:customStyle="1" w:styleId="128">
    <w:name w:val="副标题 Char"/>
    <w:link w:val="64"/>
    <w:qFormat/>
    <w:uiPriority w:val="0"/>
    <w:rPr>
      <w:rFonts w:ascii="Cambria" w:hAnsi="Cambria" w:eastAsia="宋体" w:cs="Times New Roman"/>
      <w:b/>
      <w:bCs/>
      <w:kern w:val="28"/>
      <w:sz w:val="32"/>
      <w:szCs w:val="32"/>
    </w:rPr>
  </w:style>
  <w:style w:type="character" w:customStyle="1" w:styleId="129">
    <w:name w:val="脚注文本 Char2"/>
    <w:link w:val="67"/>
    <w:qFormat/>
    <w:uiPriority w:val="0"/>
    <w:rPr>
      <w:rFonts w:ascii="Calibri" w:hAnsi="Calibri" w:eastAsia="仿宋" w:cs="Times New Roman"/>
      <w:sz w:val="18"/>
      <w:szCs w:val="18"/>
    </w:rPr>
  </w:style>
  <w:style w:type="character" w:customStyle="1" w:styleId="130">
    <w:name w:val="正文文本缩进 3 Char"/>
    <w:link w:val="70"/>
    <w:qFormat/>
    <w:uiPriority w:val="0"/>
    <w:rPr>
      <w:rFonts w:ascii="宋体" w:hAnsi="Calibri" w:eastAsia="宋体" w:cs="Times New Roman"/>
      <w:kern w:val="2"/>
      <w:sz w:val="21"/>
      <w:szCs w:val="24"/>
    </w:rPr>
  </w:style>
  <w:style w:type="character" w:customStyle="1" w:styleId="131">
    <w:name w:val="正文文本 2 Char"/>
    <w:link w:val="76"/>
    <w:qFormat/>
    <w:uiPriority w:val="0"/>
    <w:rPr>
      <w:rFonts w:ascii="Calibri" w:hAnsi="Calibri" w:eastAsia="宋体" w:cs="Times New Roman"/>
      <w:kern w:val="2"/>
      <w:sz w:val="21"/>
      <w:szCs w:val="24"/>
    </w:rPr>
  </w:style>
  <w:style w:type="character" w:customStyle="1" w:styleId="132">
    <w:name w:val="信息标题 Char2"/>
    <w:link w:val="79"/>
    <w:qFormat/>
    <w:uiPriority w:val="0"/>
    <w:rPr>
      <w:rFonts w:ascii="Arial" w:hAnsi="Arial" w:eastAsia="仿宋" w:cs="Arial"/>
      <w:sz w:val="24"/>
      <w:szCs w:val="24"/>
      <w:shd w:val="pct20" w:color="auto" w:fill="auto"/>
    </w:rPr>
  </w:style>
  <w:style w:type="character" w:customStyle="1" w:styleId="133">
    <w:name w:val="HTML 预设格式 Char"/>
    <w:link w:val="80"/>
    <w:qFormat/>
    <w:uiPriority w:val="0"/>
    <w:rPr>
      <w:rFonts w:ascii="Arial" w:hAnsi="Arial" w:eastAsia="宋体" w:cs="Arial"/>
      <w:sz w:val="28"/>
      <w:szCs w:val="28"/>
    </w:rPr>
  </w:style>
  <w:style w:type="character" w:customStyle="1" w:styleId="134">
    <w:name w:val="标题 Char"/>
    <w:link w:val="84"/>
    <w:qFormat/>
    <w:uiPriority w:val="0"/>
    <w:rPr>
      <w:rFonts w:ascii="Cambria" w:hAnsi="Cambria" w:eastAsia="宋体" w:cs="Times New Roman"/>
      <w:b/>
      <w:bCs/>
      <w:kern w:val="2"/>
      <w:sz w:val="32"/>
      <w:szCs w:val="32"/>
    </w:rPr>
  </w:style>
  <w:style w:type="character" w:customStyle="1" w:styleId="135">
    <w:name w:val="批注主题 Char"/>
    <w:link w:val="85"/>
    <w:qFormat/>
    <w:uiPriority w:val="0"/>
    <w:rPr>
      <w:rFonts w:ascii="Calibri" w:hAnsi="Calibri" w:eastAsia="宋体" w:cs="Times New Roman"/>
      <w:b/>
      <w:bCs/>
      <w:kern w:val="2"/>
      <w:sz w:val="21"/>
      <w:szCs w:val="24"/>
    </w:rPr>
  </w:style>
  <w:style w:type="character" w:customStyle="1" w:styleId="136">
    <w:name w:val="正文首行缩进 Char"/>
    <w:link w:val="86"/>
    <w:qFormat/>
    <w:uiPriority w:val="0"/>
    <w:rPr>
      <w:rFonts w:ascii="宋体" w:hAnsi="Calibri" w:eastAsia="宋体" w:cs="Times New Roman"/>
      <w:kern w:val="2"/>
      <w:sz w:val="21"/>
      <w:szCs w:val="24"/>
    </w:rPr>
  </w:style>
  <w:style w:type="character" w:customStyle="1" w:styleId="137">
    <w:name w:val="正文首行缩进 2 Char"/>
    <w:link w:val="87"/>
    <w:qFormat/>
    <w:uiPriority w:val="0"/>
    <w:rPr>
      <w:rFonts w:ascii="Calibri" w:hAnsi="Calibri" w:eastAsia="宋体" w:cs="Times New Roman"/>
      <w:b/>
      <w:kern w:val="2"/>
      <w:sz w:val="21"/>
      <w:szCs w:val="24"/>
    </w:rPr>
  </w:style>
  <w:style w:type="paragraph" w:customStyle="1" w:styleId="1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9">
    <w:name w:val="正文文本缩进 Char"/>
    <w:qFormat/>
    <w:uiPriority w:val="0"/>
    <w:rPr>
      <w:rFonts w:ascii="Calibri" w:hAnsi="Calibri" w:eastAsia="宋体" w:cs="Times New Roman"/>
      <w:kern w:val="2"/>
      <w:sz w:val="21"/>
      <w:szCs w:val="24"/>
    </w:rPr>
  </w:style>
  <w:style w:type="character" w:customStyle="1" w:styleId="140">
    <w:name w:val="本级2 Char"/>
    <w:link w:val="141"/>
    <w:qFormat/>
    <w:uiPriority w:val="0"/>
    <w:rPr>
      <w:rFonts w:ascii="仿宋_GB2312" w:hAnsi="仿宋" w:eastAsia="仿宋_GB2312" w:cs="Times New Roman"/>
      <w:b/>
      <w:bCs/>
      <w:kern w:val="2"/>
      <w:sz w:val="32"/>
      <w:szCs w:val="24"/>
    </w:rPr>
  </w:style>
  <w:style w:type="paragraph" w:customStyle="1" w:styleId="141">
    <w:name w:val="本级2"/>
    <w:basedOn w:val="4"/>
    <w:link w:val="140"/>
    <w:qFormat/>
    <w:uiPriority w:val="0"/>
    <w:pPr>
      <w:numPr>
        <w:ilvl w:val="1"/>
        <w:numId w:val="0"/>
      </w:numPr>
      <w:tabs>
        <w:tab w:val="left" w:pos="567"/>
      </w:tabs>
      <w:spacing w:before="0" w:after="0" w:line="360" w:lineRule="auto"/>
      <w:ind w:left="567" w:hanging="567"/>
    </w:pPr>
    <w:rPr>
      <w:rFonts w:ascii="仿宋_GB2312" w:hAnsi="仿宋" w:eastAsia="仿宋_GB2312"/>
      <w:szCs w:val="24"/>
    </w:rPr>
  </w:style>
  <w:style w:type="character" w:customStyle="1" w:styleId="142">
    <w:name w:val="本级1 Char"/>
    <w:link w:val="143"/>
    <w:qFormat/>
    <w:uiPriority w:val="0"/>
    <w:rPr>
      <w:rFonts w:ascii="仿宋_GB2312" w:hAnsi="仿宋" w:eastAsia="仿宋_GB2312" w:cs="Times New Roman"/>
      <w:b/>
      <w:kern w:val="44"/>
      <w:sz w:val="32"/>
      <w:szCs w:val="24"/>
    </w:rPr>
  </w:style>
  <w:style w:type="paragraph" w:customStyle="1" w:styleId="143">
    <w:name w:val="本级1"/>
    <w:basedOn w:val="3"/>
    <w:link w:val="142"/>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44">
    <w:name w:val="正文缩进(ALT+Z) Char"/>
    <w:link w:val="145"/>
    <w:qFormat/>
    <w:uiPriority w:val="0"/>
    <w:rPr>
      <w:rFonts w:ascii="Calibri" w:hAnsi="Calibri" w:eastAsia="宋体" w:cs="Times New Roman"/>
      <w:kern w:val="2"/>
      <w:sz w:val="24"/>
      <w:szCs w:val="24"/>
    </w:rPr>
  </w:style>
  <w:style w:type="paragraph" w:customStyle="1" w:styleId="145">
    <w:name w:val="正文缩进(ALT+Z)"/>
    <w:basedOn w:val="1"/>
    <w:link w:val="144"/>
    <w:qFormat/>
    <w:uiPriority w:val="0"/>
    <w:pPr>
      <w:spacing w:line="360" w:lineRule="auto"/>
      <w:ind w:firstLine="200" w:firstLineChars="200"/>
    </w:pPr>
    <w:rPr>
      <w:sz w:val="24"/>
    </w:rPr>
  </w:style>
  <w:style w:type="character" w:customStyle="1" w:styleId="146">
    <w:name w:val="文档结构图 字符"/>
    <w:qFormat/>
    <w:uiPriority w:val="0"/>
    <w:rPr>
      <w:rFonts w:ascii="Times New Roman" w:hAnsi="Times New Roman" w:eastAsia="仿宋" w:cs="Times New Roman"/>
      <w:sz w:val="32"/>
      <w:shd w:val="clear" w:color="auto" w:fill="000080"/>
    </w:rPr>
  </w:style>
  <w:style w:type="character" w:customStyle="1" w:styleId="147">
    <w:name w:val="称呼 Char"/>
    <w:qFormat/>
    <w:uiPriority w:val="0"/>
    <w:rPr>
      <w:rFonts w:ascii="Calibri" w:hAnsi="Calibri" w:eastAsia="宋体" w:cs="Times New Roman"/>
      <w:kern w:val="2"/>
      <w:sz w:val="21"/>
      <w:szCs w:val="24"/>
    </w:rPr>
  </w:style>
  <w:style w:type="character" w:customStyle="1" w:styleId="148">
    <w:name w:val="页眉 字符"/>
    <w:qFormat/>
    <w:uiPriority w:val="0"/>
    <w:rPr>
      <w:rFonts w:ascii="Times New Roman" w:hAnsi="Times New Roman" w:eastAsia="仿宋" w:cs="Times New Roman"/>
      <w:sz w:val="18"/>
      <w:szCs w:val="18"/>
    </w:rPr>
  </w:style>
  <w:style w:type="character" w:customStyle="1" w:styleId="149">
    <w:name w:val="批注主题 字符"/>
    <w:qFormat/>
    <w:uiPriority w:val="0"/>
    <w:rPr>
      <w:rFonts w:ascii="Times New Roman" w:hAnsi="Times New Roman" w:eastAsia="仿宋" w:cs="Times New Roman"/>
      <w:b/>
      <w:bCs/>
      <w:sz w:val="32"/>
    </w:rPr>
  </w:style>
  <w:style w:type="character" w:customStyle="1" w:styleId="150">
    <w:name w:val="apple-converted-space"/>
    <w:qFormat/>
    <w:uiPriority w:val="0"/>
    <w:rPr>
      <w:rFonts w:ascii="Calibri" w:hAnsi="Calibri" w:eastAsia="宋体" w:cs="Times New Roman"/>
    </w:rPr>
  </w:style>
  <w:style w:type="character" w:customStyle="1" w:styleId="151">
    <w:name w:val="信息标题 Char1"/>
    <w:qFormat/>
    <w:uiPriority w:val="0"/>
    <w:rPr>
      <w:rFonts w:ascii="Arial" w:hAnsi="Arial" w:eastAsia="仿宋" w:cs="Times New Roman"/>
      <w:sz w:val="24"/>
      <w:szCs w:val="24"/>
      <w:shd w:val="pct20" w:color="auto" w:fill="auto"/>
    </w:rPr>
  </w:style>
  <w:style w:type="character" w:customStyle="1" w:styleId="152">
    <w:name w:val="纯文本 Char1"/>
    <w:qFormat/>
    <w:uiPriority w:val="0"/>
    <w:rPr>
      <w:rFonts w:ascii="宋体" w:hAnsi="宋体" w:eastAsia="宋体" w:cs="Times New Roman"/>
    </w:rPr>
  </w:style>
  <w:style w:type="character" w:customStyle="1" w:styleId="153">
    <w:name w:val="无间隔 Char"/>
    <w:link w:val="154"/>
    <w:qFormat/>
    <w:uiPriority w:val="0"/>
    <w:rPr>
      <w:rFonts w:ascii="Calibri" w:hAnsi="Calibri"/>
      <w:sz w:val="22"/>
      <w:lang w:val="en-US" w:eastAsia="zh-CN" w:bidi="ar-SA"/>
    </w:rPr>
  </w:style>
  <w:style w:type="paragraph" w:customStyle="1" w:styleId="154">
    <w:name w:val="No Spacing1"/>
    <w:link w:val="153"/>
    <w:qFormat/>
    <w:uiPriority w:val="0"/>
    <w:rPr>
      <w:rFonts w:ascii="Calibri" w:hAnsi="Calibri" w:eastAsia="宋体" w:cs="Times New Roman"/>
      <w:sz w:val="22"/>
      <w:lang w:val="en-US" w:eastAsia="zh-CN" w:bidi="ar-SA"/>
    </w:rPr>
  </w:style>
  <w:style w:type="character" w:customStyle="1" w:styleId="155">
    <w:name w:val="style91"/>
    <w:qFormat/>
    <w:uiPriority w:val="0"/>
    <w:rPr>
      <w:rFonts w:ascii="Calibri" w:hAnsi="Calibri" w:eastAsia="宋体" w:cs="Times New Roman"/>
      <w:color w:val="000000"/>
      <w:lang w:bidi="ar-SA"/>
    </w:rPr>
  </w:style>
  <w:style w:type="character" w:customStyle="1" w:styleId="156">
    <w:name w:val="文档正文 Char"/>
    <w:link w:val="157"/>
    <w:qFormat/>
    <w:uiPriority w:val="0"/>
    <w:rPr>
      <w:rFonts w:ascii="Calibri" w:hAnsi="Calibri" w:eastAsia="仿宋_GB2312" w:cs="Times New Roman"/>
      <w:kern w:val="2"/>
      <w:sz w:val="28"/>
    </w:rPr>
  </w:style>
  <w:style w:type="paragraph" w:customStyle="1" w:styleId="157">
    <w:name w:val="文档正文"/>
    <w:basedOn w:val="1"/>
    <w:link w:val="156"/>
    <w:qFormat/>
    <w:uiPriority w:val="0"/>
    <w:pPr>
      <w:adjustRightInd w:val="0"/>
      <w:spacing w:line="560" w:lineRule="exact"/>
      <w:ind w:firstLine="567"/>
      <w:textAlignment w:val="baseline"/>
    </w:pPr>
    <w:rPr>
      <w:rFonts w:eastAsia="仿宋_GB2312"/>
      <w:sz w:val="28"/>
      <w:szCs w:val="20"/>
    </w:rPr>
  </w:style>
  <w:style w:type="character" w:customStyle="1" w:styleId="158">
    <w:name w:val="GW-标题3 Char Char"/>
    <w:link w:val="159"/>
    <w:qFormat/>
    <w:uiPriority w:val="0"/>
    <w:rPr>
      <w:rFonts w:ascii="仿宋_GB2312" w:hAnsi="Calibri" w:eastAsia="仿宋_GB2312" w:cs="Times New Roman"/>
      <w:bCs/>
      <w:kern w:val="44"/>
      <w:sz w:val="32"/>
    </w:rPr>
  </w:style>
  <w:style w:type="paragraph" w:customStyle="1" w:styleId="159">
    <w:name w:val="GW-标题3"/>
    <w:basedOn w:val="1"/>
    <w:link w:val="158"/>
    <w:qFormat/>
    <w:uiPriority w:val="0"/>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160">
    <w:name w:val="正文文本 字符"/>
    <w:qFormat/>
    <w:uiPriority w:val="0"/>
    <w:rPr>
      <w:rFonts w:ascii="Times New Roman" w:hAnsi="Times New Roman" w:eastAsia="仿宋" w:cs="Times New Roman"/>
      <w:sz w:val="32"/>
    </w:rPr>
  </w:style>
  <w:style w:type="character" w:customStyle="1" w:styleId="161">
    <w:name w:val="标题 1 Char1"/>
    <w:qFormat/>
    <w:uiPriority w:val="0"/>
    <w:rPr>
      <w:rFonts w:ascii="Calibri" w:hAnsi="Calibri" w:eastAsia="宋体" w:cs="Times New Roman"/>
      <w:b/>
      <w:bCs/>
      <w:kern w:val="44"/>
      <w:sz w:val="44"/>
      <w:szCs w:val="44"/>
    </w:rPr>
  </w:style>
  <w:style w:type="character" w:customStyle="1" w:styleId="162">
    <w:name w:val="chanpinname"/>
    <w:qFormat/>
    <w:uiPriority w:val="0"/>
    <w:rPr>
      <w:rFonts w:ascii="Calibri" w:hAnsi="Calibri" w:eastAsia="宋体" w:cs="Times New Roman"/>
    </w:rPr>
  </w:style>
  <w:style w:type="character" w:customStyle="1" w:styleId="163">
    <w:name w:val="prod_content_font_011"/>
    <w:qFormat/>
    <w:uiPriority w:val="0"/>
    <w:rPr>
      <w:rFonts w:hint="default" w:ascii="Verdana" w:hAnsi="Verdana" w:eastAsia="宋体" w:cs="Times New Roman"/>
      <w:color w:val="5E5E5E"/>
      <w:sz w:val="17"/>
      <w:szCs w:val="17"/>
    </w:rPr>
  </w:style>
  <w:style w:type="character" w:customStyle="1" w:styleId="164">
    <w:name w:val="font91"/>
    <w:qFormat/>
    <w:uiPriority w:val="0"/>
    <w:rPr>
      <w:rFonts w:hint="eastAsia" w:ascii="宋体" w:hAnsi="宋体" w:eastAsia="宋体" w:cs="宋体"/>
      <w:color w:val="000000"/>
      <w:sz w:val="21"/>
      <w:szCs w:val="21"/>
      <w:u w:val="none"/>
    </w:rPr>
  </w:style>
  <w:style w:type="character" w:customStyle="1" w:styleId="165">
    <w:name w:val="HTML 地址 Char"/>
    <w:qFormat/>
    <w:uiPriority w:val="0"/>
    <w:rPr>
      <w:rFonts w:ascii="Calibri" w:hAnsi="Calibri" w:eastAsia="宋体" w:cs="Times New Roman"/>
      <w:i/>
      <w:iCs/>
      <w:kern w:val="2"/>
      <w:sz w:val="21"/>
      <w:szCs w:val="24"/>
    </w:rPr>
  </w:style>
  <w:style w:type="character" w:customStyle="1" w:styleId="166">
    <w:name w:val="ca-0"/>
    <w:qFormat/>
    <w:uiPriority w:val="0"/>
    <w:rPr>
      <w:rFonts w:ascii="Calibri" w:hAnsi="Calibri" w:eastAsia="宋体" w:cs="Times New Roman"/>
      <w:lang w:bidi="ar-SA"/>
    </w:rPr>
  </w:style>
  <w:style w:type="character" w:customStyle="1" w:styleId="167">
    <w:name w:val="5a"/>
    <w:qFormat/>
    <w:uiPriority w:val="0"/>
    <w:rPr>
      <w:rFonts w:ascii="Calibri" w:hAnsi="Calibri" w:eastAsia="宋体" w:cs="Times New Roman"/>
    </w:rPr>
  </w:style>
  <w:style w:type="character" w:customStyle="1" w:styleId="168">
    <w:name w:val="正文文本缩进 字符"/>
    <w:qFormat/>
    <w:uiPriority w:val="0"/>
    <w:rPr>
      <w:rFonts w:ascii="楷体_GB2312" w:hAnsi="Times New Roman" w:eastAsia="仿宋" w:cs="Times New Roman"/>
      <w:spacing w:val="12"/>
      <w:sz w:val="24"/>
    </w:rPr>
  </w:style>
  <w:style w:type="character" w:customStyle="1" w:styleId="169">
    <w:name w:val="批注文字 字符"/>
    <w:qFormat/>
    <w:uiPriority w:val="0"/>
    <w:rPr>
      <w:rFonts w:ascii="Times New Roman" w:hAnsi="Times New Roman" w:eastAsia="仿宋" w:cs="Times New Roman"/>
      <w:sz w:val="32"/>
    </w:rPr>
  </w:style>
  <w:style w:type="character" w:customStyle="1" w:styleId="170">
    <w:name w:val="列出段落 Char1"/>
    <w:link w:val="171"/>
    <w:qFormat/>
    <w:uiPriority w:val="0"/>
    <w:rPr>
      <w:rFonts w:ascii="Calibri" w:hAnsi="Calibri" w:eastAsia="宋体" w:cs="Times New Roman"/>
      <w:kern w:val="2"/>
      <w:sz w:val="21"/>
      <w:szCs w:val="22"/>
    </w:rPr>
  </w:style>
  <w:style w:type="paragraph" w:styleId="171">
    <w:name w:val="List Paragraph"/>
    <w:basedOn w:val="1"/>
    <w:link w:val="170"/>
    <w:qFormat/>
    <w:uiPriority w:val="0"/>
    <w:pPr>
      <w:ind w:firstLine="420" w:firstLineChars="200"/>
    </w:pPr>
    <w:rPr>
      <w:szCs w:val="22"/>
    </w:rPr>
  </w:style>
  <w:style w:type="character" w:customStyle="1" w:styleId="172">
    <w:name w:val="标题 8 字符"/>
    <w:qFormat/>
    <w:uiPriority w:val="0"/>
    <w:rPr>
      <w:rFonts w:ascii="Arial" w:hAnsi="Arial" w:eastAsia="黑体" w:cs="Times New Roman"/>
      <w:sz w:val="24"/>
      <w:szCs w:val="24"/>
    </w:rPr>
  </w:style>
  <w:style w:type="character" w:customStyle="1" w:styleId="173">
    <w:name w:val="标题 8 Char1"/>
    <w:qFormat/>
    <w:uiPriority w:val="0"/>
    <w:rPr>
      <w:rFonts w:ascii="Cambria" w:hAnsi="Cambria" w:eastAsia="宋体" w:cs="Times New Roman"/>
      <w:kern w:val="2"/>
      <w:sz w:val="24"/>
      <w:szCs w:val="24"/>
    </w:rPr>
  </w:style>
  <w:style w:type="character" w:customStyle="1" w:styleId="174">
    <w:name w:val="页眉 Char1"/>
    <w:qFormat/>
    <w:uiPriority w:val="0"/>
    <w:rPr>
      <w:rFonts w:ascii="Times New Roman" w:hAnsi="Times New Roman" w:eastAsia="宋体" w:cs="Times New Roman"/>
      <w:kern w:val="2"/>
      <w:sz w:val="18"/>
      <w:szCs w:val="18"/>
    </w:rPr>
  </w:style>
  <w:style w:type="character" w:customStyle="1" w:styleId="175">
    <w:name w:val="txt"/>
    <w:qFormat/>
    <w:uiPriority w:val="0"/>
    <w:rPr>
      <w:rFonts w:ascii="Calibri" w:hAnsi="Calibri" w:eastAsia="宋体" w:cs="Times New Roman"/>
    </w:rPr>
  </w:style>
  <w:style w:type="character" w:customStyle="1" w:styleId="176">
    <w:name w:val="style81"/>
    <w:qFormat/>
    <w:uiPriority w:val="0"/>
    <w:rPr>
      <w:rFonts w:ascii="Calibri" w:hAnsi="Calibri" w:eastAsia="宋体" w:cs="Times New Roman"/>
      <w:sz w:val="21"/>
      <w:szCs w:val="21"/>
      <w:lang w:bidi="ar-SA"/>
    </w:rPr>
  </w:style>
  <w:style w:type="character" w:customStyle="1" w:styleId="177">
    <w:name w:val="标题 5 Char2"/>
    <w:qFormat/>
    <w:uiPriority w:val="0"/>
    <w:rPr>
      <w:rFonts w:ascii="Calibri" w:hAnsi="Calibri" w:eastAsia="宋体" w:cs="Times New Roman"/>
      <w:b/>
      <w:bCs/>
      <w:kern w:val="2"/>
      <w:sz w:val="28"/>
      <w:szCs w:val="28"/>
    </w:rPr>
  </w:style>
  <w:style w:type="character" w:customStyle="1" w:styleId="178">
    <w:name w:val="表格标题(居中) Char"/>
    <w:link w:val="179"/>
    <w:qFormat/>
    <w:uiPriority w:val="0"/>
    <w:rPr>
      <w:rFonts w:ascii="Calibri" w:hAnsi="Calibri" w:eastAsia="黑体" w:cs="Times New Roman"/>
      <w:kern w:val="2"/>
      <w:sz w:val="24"/>
    </w:rPr>
  </w:style>
  <w:style w:type="paragraph" w:customStyle="1" w:styleId="179">
    <w:name w:val="表格标题(居中)"/>
    <w:basedOn w:val="1"/>
    <w:link w:val="178"/>
    <w:qFormat/>
    <w:uiPriority w:val="0"/>
    <w:pPr>
      <w:snapToGrid w:val="0"/>
      <w:spacing w:line="300" w:lineRule="auto"/>
      <w:jc w:val="center"/>
    </w:pPr>
    <w:rPr>
      <w:rFonts w:eastAsia="黑体"/>
      <w:sz w:val="24"/>
      <w:szCs w:val="20"/>
    </w:rPr>
  </w:style>
  <w:style w:type="character" w:customStyle="1" w:styleId="180">
    <w:name w:val="标题 3 Char1"/>
    <w:qFormat/>
    <w:uiPriority w:val="0"/>
    <w:rPr>
      <w:rFonts w:ascii="Calibri" w:hAnsi="Calibri" w:eastAsia="宋体" w:cs="Times New Roman"/>
      <w:b/>
      <w:bCs/>
      <w:kern w:val="2"/>
      <w:sz w:val="32"/>
      <w:szCs w:val="32"/>
    </w:rPr>
  </w:style>
  <w:style w:type="character" w:customStyle="1" w:styleId="181">
    <w:name w:val="正文文本 3 Char"/>
    <w:qFormat/>
    <w:uiPriority w:val="0"/>
    <w:rPr>
      <w:rFonts w:ascii="Calibri" w:hAnsi="Calibri" w:eastAsia="宋体" w:cs="Times New Roman"/>
      <w:kern w:val="2"/>
      <w:sz w:val="16"/>
      <w:szCs w:val="16"/>
    </w:rPr>
  </w:style>
  <w:style w:type="character" w:customStyle="1" w:styleId="182">
    <w:name w:val="标题3 Char"/>
    <w:link w:val="183"/>
    <w:qFormat/>
    <w:uiPriority w:val="0"/>
    <w:rPr>
      <w:rFonts w:ascii="Calibri" w:hAnsi="Calibri" w:eastAsia="宋体" w:cs="Times New Roman"/>
      <w:kern w:val="2"/>
      <w:sz w:val="21"/>
      <w:szCs w:val="24"/>
    </w:rPr>
  </w:style>
  <w:style w:type="paragraph" w:customStyle="1" w:styleId="183">
    <w:name w:val="标题3"/>
    <w:basedOn w:val="1"/>
    <w:link w:val="182"/>
    <w:qFormat/>
    <w:uiPriority w:val="0"/>
  </w:style>
  <w:style w:type="character" w:customStyle="1" w:styleId="184">
    <w:name w:val="btn"/>
    <w:qFormat/>
    <w:uiPriority w:val="0"/>
    <w:rPr>
      <w:rFonts w:ascii="Calibri" w:hAnsi="Calibri" w:eastAsia="宋体" w:cs="Times New Roman"/>
    </w:rPr>
  </w:style>
  <w:style w:type="character" w:customStyle="1" w:styleId="185">
    <w:name w:val="标题 4 字符"/>
    <w:qFormat/>
    <w:uiPriority w:val="0"/>
    <w:rPr>
      <w:rFonts w:ascii="宋体" w:hAnsi="Arial" w:eastAsia="宋体" w:cs="Times New Roman"/>
      <w:b/>
      <w:bCs/>
      <w:sz w:val="24"/>
      <w:szCs w:val="28"/>
    </w:rPr>
  </w:style>
  <w:style w:type="character" w:customStyle="1" w:styleId="186">
    <w:name w:val="Body Text Char"/>
    <w:qFormat/>
    <w:uiPriority w:val="0"/>
    <w:rPr>
      <w:rFonts w:ascii="宋体" w:hAnsi="Calibri" w:eastAsia="宋体" w:cs="Times New Roman"/>
      <w:kern w:val="2"/>
      <w:sz w:val="24"/>
      <w:lang w:val="en-US" w:eastAsia="zh-CN"/>
    </w:rPr>
  </w:style>
  <w:style w:type="character" w:customStyle="1" w:styleId="187">
    <w:name w:val="电子邮件签名 Char"/>
    <w:qFormat/>
    <w:uiPriority w:val="0"/>
    <w:rPr>
      <w:rFonts w:ascii="Calibri" w:hAnsi="Calibri" w:eastAsia="宋体" w:cs="Times New Roman"/>
      <w:kern w:val="2"/>
      <w:sz w:val="21"/>
      <w:szCs w:val="24"/>
    </w:rPr>
  </w:style>
  <w:style w:type="character" w:customStyle="1" w:styleId="188">
    <w:name w:val="ca-21"/>
    <w:qFormat/>
    <w:uiPriority w:val="0"/>
    <w:rPr>
      <w:rFonts w:ascii="宋体-18030" w:hAnsi="Calibri" w:eastAsia="宋体-18030" w:cs="宋体-18030"/>
      <w:sz w:val="24"/>
      <w:szCs w:val="24"/>
      <w:lang w:bidi="ar-SA"/>
    </w:rPr>
  </w:style>
  <w:style w:type="character" w:customStyle="1" w:styleId="189">
    <w:name w:val="ca-4"/>
    <w:qFormat/>
    <w:uiPriority w:val="0"/>
    <w:rPr>
      <w:rFonts w:ascii="Calibri" w:hAnsi="Calibri" w:eastAsia="宋体" w:cs="Times New Roman"/>
      <w:lang w:bidi="ar-SA"/>
    </w:rPr>
  </w:style>
  <w:style w:type="character" w:customStyle="1" w:styleId="190">
    <w:name w:val="标题 9 字符"/>
    <w:qFormat/>
    <w:uiPriority w:val="0"/>
    <w:rPr>
      <w:rFonts w:ascii="Arial" w:hAnsi="Arial" w:eastAsia="黑体" w:cs="Times New Roman"/>
      <w:sz w:val="32"/>
      <w:szCs w:val="21"/>
    </w:rPr>
  </w:style>
  <w:style w:type="character" w:customStyle="1" w:styleId="191">
    <w:name w:val="结束语 Char"/>
    <w:qFormat/>
    <w:uiPriority w:val="0"/>
    <w:rPr>
      <w:rFonts w:ascii="Calibri" w:hAnsi="Calibri" w:eastAsia="宋体" w:cs="Times New Roman"/>
      <w:kern w:val="2"/>
      <w:sz w:val="21"/>
      <w:szCs w:val="24"/>
    </w:rPr>
  </w:style>
  <w:style w:type="character" w:customStyle="1" w:styleId="192">
    <w:name w:val="注释标题 Char1"/>
    <w:qFormat/>
    <w:uiPriority w:val="0"/>
    <w:rPr>
      <w:rFonts w:ascii="Times New Roman" w:hAnsi="Times New Roman" w:eastAsia="仿宋" w:cs="Times New Roman"/>
      <w:sz w:val="32"/>
    </w:rPr>
  </w:style>
  <w:style w:type="character" w:customStyle="1" w:styleId="193">
    <w:name w:val="正文2级 Char"/>
    <w:link w:val="194"/>
    <w:qFormat/>
    <w:uiPriority w:val="0"/>
    <w:rPr>
      <w:rFonts w:ascii="Calibri" w:hAnsi="Calibri"/>
      <w:bCs/>
      <w:kern w:val="44"/>
      <w:sz w:val="24"/>
      <w:szCs w:val="44"/>
      <w:lang w:val="en-US" w:eastAsia="zh-CN" w:bidi="ar-SA"/>
    </w:rPr>
  </w:style>
  <w:style w:type="paragraph" w:customStyle="1" w:styleId="194">
    <w:name w:val="正文2级"/>
    <w:link w:val="193"/>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5">
    <w:name w:val="Table Description Char Char"/>
    <w:link w:val="196"/>
    <w:qFormat/>
    <w:uiPriority w:val="0"/>
    <w:rPr>
      <w:rFonts w:ascii="Arial" w:hAnsi="Arial" w:eastAsia="宋体" w:cs="Arial"/>
      <w:spacing w:val="-4"/>
      <w:kern w:val="2"/>
      <w:sz w:val="21"/>
      <w:szCs w:val="21"/>
    </w:rPr>
  </w:style>
  <w:style w:type="paragraph" w:customStyle="1" w:styleId="196">
    <w:name w:val="Table Description"/>
    <w:basedOn w:val="1"/>
    <w:next w:val="1"/>
    <w:link w:val="195"/>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97">
    <w:name w:val="正文3号仿宋 Char"/>
    <w:link w:val="198"/>
    <w:qFormat/>
    <w:uiPriority w:val="0"/>
    <w:rPr>
      <w:rFonts w:ascii="宋体" w:hAnsi="宋体" w:eastAsia="宋体" w:cs="Times New Roman"/>
      <w:sz w:val="24"/>
      <w:szCs w:val="24"/>
    </w:rPr>
  </w:style>
  <w:style w:type="paragraph" w:customStyle="1" w:styleId="198">
    <w:name w:val="正文3号仿宋"/>
    <w:basedOn w:val="1"/>
    <w:link w:val="197"/>
    <w:qFormat/>
    <w:uiPriority w:val="0"/>
    <w:pPr>
      <w:adjustRightInd w:val="0"/>
      <w:spacing w:line="360" w:lineRule="auto"/>
      <w:ind w:firstLine="480" w:firstLineChars="200"/>
      <w:textAlignment w:val="baseline"/>
    </w:pPr>
    <w:rPr>
      <w:rFonts w:ascii="宋体" w:hAnsi="宋体"/>
      <w:kern w:val="0"/>
      <w:sz w:val="24"/>
    </w:rPr>
  </w:style>
  <w:style w:type="character" w:customStyle="1" w:styleId="199">
    <w:name w:val="textfont1"/>
    <w:qFormat/>
    <w:uiPriority w:val="0"/>
    <w:rPr>
      <w:rFonts w:ascii="Calibri" w:hAnsi="Calibri" w:eastAsia="宋体" w:cs="Times New Roman"/>
      <w:sz w:val="22"/>
      <w:szCs w:val="22"/>
    </w:rPr>
  </w:style>
  <w:style w:type="character" w:customStyle="1" w:styleId="200">
    <w:name w:val="正文首行缩进 字符"/>
    <w:qFormat/>
    <w:uiPriority w:val="0"/>
    <w:rPr>
      <w:rFonts w:ascii="Times New Roman" w:hAnsi="Times New Roman" w:eastAsia="仿宋" w:cs="Times New Roman"/>
      <w:sz w:val="32"/>
    </w:rPr>
  </w:style>
  <w:style w:type="character" w:customStyle="1" w:styleId="201">
    <w:name w:val="称呼 Char1"/>
    <w:qFormat/>
    <w:uiPriority w:val="0"/>
    <w:rPr>
      <w:rFonts w:ascii="Times New Roman" w:hAnsi="Times New Roman" w:eastAsia="仿宋" w:cs="Times New Roman"/>
      <w:sz w:val="32"/>
    </w:rPr>
  </w:style>
  <w:style w:type="character" w:customStyle="1" w:styleId="202">
    <w:name w:val="标题 2 字符"/>
    <w:qFormat/>
    <w:uiPriority w:val="0"/>
    <w:rPr>
      <w:rFonts w:ascii="宋体" w:hAnsi="宋体" w:eastAsia="宋体" w:cs="Times New Roman"/>
      <w:b/>
      <w:spacing w:val="14"/>
      <w:sz w:val="30"/>
      <w:szCs w:val="24"/>
    </w:rPr>
  </w:style>
  <w:style w:type="character" w:customStyle="1" w:styleId="203">
    <w:name w:val="ca-11"/>
    <w:qFormat/>
    <w:uiPriority w:val="0"/>
    <w:rPr>
      <w:rFonts w:ascii="宋体" w:hAnsi="Calibri" w:eastAsia="宋体" w:cs="Times New Roman"/>
      <w:sz w:val="24"/>
      <w:szCs w:val="24"/>
      <w:lang w:bidi="ar-SA"/>
    </w:rPr>
  </w:style>
  <w:style w:type="character" w:customStyle="1" w:styleId="204">
    <w:name w:val="Figure Text Char"/>
    <w:link w:val="205"/>
    <w:qFormat/>
    <w:uiPriority w:val="0"/>
    <w:rPr>
      <w:rFonts w:ascii="Arial" w:hAnsi="Arial" w:cs="Arial"/>
      <w:sz w:val="18"/>
      <w:szCs w:val="18"/>
      <w:lang w:val="en-US" w:eastAsia="en-US" w:bidi="ar-SA"/>
    </w:rPr>
  </w:style>
  <w:style w:type="paragraph" w:customStyle="1" w:styleId="205">
    <w:name w:val="Figure Text"/>
    <w:link w:val="204"/>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06">
    <w:name w:val="宏文本 Char1"/>
    <w:qFormat/>
    <w:uiPriority w:val="0"/>
    <w:rPr>
      <w:rFonts w:ascii="Courier New" w:hAnsi="Courier New" w:eastAsia="宋体" w:cs="Times New Roman"/>
      <w:sz w:val="24"/>
      <w:szCs w:val="24"/>
    </w:rPr>
  </w:style>
  <w:style w:type="character" w:customStyle="1" w:styleId="207">
    <w:name w:val="普通文字1 Char"/>
    <w:qFormat/>
    <w:uiPriority w:val="0"/>
    <w:rPr>
      <w:rFonts w:ascii="宋体" w:hAnsi="Calibri" w:eastAsia="宋体" w:cs="Times New Roman"/>
      <w:kern w:val="2"/>
      <w:sz w:val="21"/>
      <w:lang w:val="en-US" w:eastAsia="zh-CN" w:bidi="ar-SA"/>
    </w:rPr>
  </w:style>
  <w:style w:type="character" w:customStyle="1" w:styleId="208">
    <w:name w:val="正文文本 3 Char1"/>
    <w:qFormat/>
    <w:uiPriority w:val="0"/>
    <w:rPr>
      <w:rFonts w:ascii="Times New Roman" w:hAnsi="Times New Roman" w:eastAsia="仿宋" w:cs="Times New Roman"/>
      <w:sz w:val="16"/>
      <w:szCs w:val="16"/>
    </w:rPr>
  </w:style>
  <w:style w:type="character" w:customStyle="1" w:styleId="209">
    <w:name w:val="info4"/>
    <w:qFormat/>
    <w:uiPriority w:val="0"/>
    <w:rPr>
      <w:rFonts w:ascii="Calibri" w:hAnsi="Calibri" w:eastAsia="宋体" w:cs="Times New Roman"/>
    </w:rPr>
  </w:style>
  <w:style w:type="character" w:customStyle="1" w:styleId="210">
    <w:name w:val="尾注文本 字符"/>
    <w:qFormat/>
    <w:uiPriority w:val="0"/>
    <w:rPr>
      <w:rFonts w:ascii="Times New Roman" w:hAnsi="Times New Roman" w:eastAsia="仿宋" w:cs="Times New Roman"/>
      <w:sz w:val="32"/>
    </w:rPr>
  </w:style>
  <w:style w:type="character" w:customStyle="1" w:styleId="211">
    <w:name w:val="ca-3"/>
    <w:qFormat/>
    <w:uiPriority w:val="0"/>
    <w:rPr>
      <w:rFonts w:ascii="Calibri" w:hAnsi="Calibri" w:eastAsia="宋体" w:cs="Times New Roman"/>
      <w:lang w:bidi="ar-SA"/>
    </w:rPr>
  </w:style>
  <w:style w:type="character" w:customStyle="1" w:styleId="212">
    <w:name w:val="正文文本 2 字符"/>
    <w:qFormat/>
    <w:uiPriority w:val="0"/>
    <w:rPr>
      <w:rFonts w:ascii="Times New Roman" w:hAnsi="Times New Roman" w:eastAsia="仿宋" w:cs="Times New Roman"/>
      <w:sz w:val="32"/>
    </w:rPr>
  </w:style>
  <w:style w:type="character" w:customStyle="1" w:styleId="213">
    <w:name w:val="明显参考1"/>
    <w:qFormat/>
    <w:uiPriority w:val="0"/>
    <w:rPr>
      <w:rFonts w:ascii="Calibri" w:hAnsi="Calibri" w:eastAsia="宋体" w:cs="Times New Roman"/>
      <w:b/>
      <w:bCs/>
      <w:smallCaps/>
      <w:color w:val="DA1F28"/>
      <w:spacing w:val="5"/>
      <w:u w:val="single"/>
    </w:rPr>
  </w:style>
  <w:style w:type="character" w:customStyle="1" w:styleId="214">
    <w:name w:val="标题 5 字符"/>
    <w:qFormat/>
    <w:uiPriority w:val="0"/>
    <w:rPr>
      <w:rFonts w:ascii="Times New Roman" w:hAnsi="Times New Roman" w:eastAsia="仿宋" w:cs="Times New Roman"/>
      <w:b/>
      <w:bCs/>
      <w:sz w:val="28"/>
      <w:szCs w:val="28"/>
    </w:rPr>
  </w:style>
  <w:style w:type="character" w:customStyle="1" w:styleId="215">
    <w:name w:val="HD2 Char"/>
    <w:qFormat/>
    <w:uiPriority w:val="0"/>
    <w:rPr>
      <w:rFonts w:ascii="Arial" w:hAnsi="Arial" w:eastAsia="黑体" w:cs="Times New Roman"/>
      <w:b/>
      <w:bCs/>
      <w:kern w:val="2"/>
      <w:sz w:val="32"/>
      <w:szCs w:val="32"/>
      <w:lang w:val="en-US" w:eastAsia="zh-CN" w:bidi="ar-SA"/>
    </w:rPr>
  </w:style>
  <w:style w:type="character" w:customStyle="1" w:styleId="216">
    <w:name w:val="Table Text Char1"/>
    <w:qFormat/>
    <w:uiPriority w:val="0"/>
    <w:rPr>
      <w:rFonts w:ascii="Arial" w:hAnsi="Arial" w:eastAsia="宋体" w:cs="Arial"/>
      <w:snapToGrid w:val="0"/>
      <w:sz w:val="21"/>
      <w:szCs w:val="21"/>
      <w:lang w:val="en-US" w:eastAsia="zh-CN" w:bidi="ar-SA"/>
    </w:rPr>
  </w:style>
  <w:style w:type="character" w:customStyle="1" w:styleId="217">
    <w:name w:val="标题 6 Char1"/>
    <w:qFormat/>
    <w:uiPriority w:val="0"/>
    <w:rPr>
      <w:rFonts w:ascii="Cambria" w:hAnsi="Cambria" w:eastAsia="宋体" w:cs="Times New Roman"/>
      <w:b/>
      <w:bCs/>
      <w:kern w:val="2"/>
      <w:sz w:val="24"/>
      <w:szCs w:val="24"/>
    </w:rPr>
  </w:style>
  <w:style w:type="character" w:customStyle="1" w:styleId="218">
    <w:name w:val="样式 宋体"/>
    <w:qFormat/>
    <w:uiPriority w:val="0"/>
    <w:rPr>
      <w:rFonts w:ascii="宋体" w:hAnsi="宋体" w:eastAsia="宋体" w:cs="Times New Roman"/>
      <w:sz w:val="24"/>
      <w:szCs w:val="24"/>
    </w:rPr>
  </w:style>
  <w:style w:type="character" w:customStyle="1" w:styleId="219">
    <w:name w:val="注释标题 Char"/>
    <w:qFormat/>
    <w:uiPriority w:val="0"/>
    <w:rPr>
      <w:rFonts w:ascii="Calibri" w:hAnsi="Calibri" w:eastAsia="宋体" w:cs="Times New Roman"/>
      <w:kern w:val="2"/>
      <w:sz w:val="21"/>
      <w:szCs w:val="24"/>
    </w:rPr>
  </w:style>
  <w:style w:type="character" w:customStyle="1" w:styleId="220">
    <w:name w:val="标题 1 字符"/>
    <w:qFormat/>
    <w:uiPriority w:val="0"/>
    <w:rPr>
      <w:rFonts w:ascii="宋体" w:hAnsi="宋体" w:eastAsia="宋体" w:cs="Times New Roman"/>
      <w:b/>
      <w:spacing w:val="14"/>
      <w:kern w:val="44"/>
      <w:sz w:val="44"/>
      <w:szCs w:val="52"/>
    </w:rPr>
  </w:style>
  <w:style w:type="character" w:customStyle="1" w:styleId="221">
    <w:name w:val="页脚 Char1"/>
    <w:qFormat/>
    <w:uiPriority w:val="0"/>
    <w:rPr>
      <w:rFonts w:ascii="Times New Roman" w:hAnsi="Times New Roman" w:eastAsia="宋体" w:cs="Times New Roman"/>
      <w:kern w:val="2"/>
      <w:sz w:val="18"/>
      <w:szCs w:val="18"/>
    </w:rPr>
  </w:style>
  <w:style w:type="character" w:customStyle="1" w:styleId="222">
    <w:name w:val="脚注文本 Char1"/>
    <w:qFormat/>
    <w:uiPriority w:val="0"/>
    <w:rPr>
      <w:rFonts w:ascii="Times New Roman" w:hAnsi="Times New Roman" w:eastAsia="仿宋" w:cs="Times New Roman"/>
      <w:sz w:val="18"/>
      <w:szCs w:val="18"/>
    </w:rPr>
  </w:style>
  <w:style w:type="character" w:customStyle="1" w:styleId="223">
    <w:name w:val="标题 3 字符"/>
    <w:qFormat/>
    <w:uiPriority w:val="0"/>
    <w:rPr>
      <w:rFonts w:ascii="宋体" w:hAnsi="宋体" w:eastAsia="宋体" w:cs="Times New Roman"/>
      <w:b/>
      <w:spacing w:val="14"/>
      <w:sz w:val="28"/>
      <w:szCs w:val="24"/>
    </w:rPr>
  </w:style>
  <w:style w:type="character" w:customStyle="1" w:styleId="224">
    <w:name w:val="HTML 预设格式 字符"/>
    <w:qFormat/>
    <w:uiPriority w:val="0"/>
    <w:rPr>
      <w:rFonts w:ascii="Courier New" w:hAnsi="Courier New" w:eastAsia="仿宋" w:cs="Courier New"/>
    </w:rPr>
  </w:style>
  <w:style w:type="character" w:customStyle="1" w:styleId="225">
    <w:name w:val="shouchang1"/>
    <w:qFormat/>
    <w:uiPriority w:val="0"/>
    <w:rPr>
      <w:rFonts w:ascii="Calibri" w:hAnsi="Calibri" w:eastAsia="宋体" w:cs="Times New Roman"/>
      <w:color w:val="000000"/>
      <w:sz w:val="22"/>
      <w:szCs w:val="22"/>
      <w:u w:val="none"/>
    </w:rPr>
  </w:style>
  <w:style w:type="character" w:customStyle="1" w:styleId="226">
    <w:name w:val="sub_title1"/>
    <w:qFormat/>
    <w:uiPriority w:val="0"/>
    <w:rPr>
      <w:rFonts w:ascii="Calibri" w:hAnsi="Calibri" w:eastAsia="宋体" w:cs="Times New Roman"/>
      <w:lang w:bidi="ar-SA"/>
    </w:rPr>
  </w:style>
  <w:style w:type="character" w:customStyle="1" w:styleId="227">
    <w:name w:val="标题 7 Char1"/>
    <w:qFormat/>
    <w:uiPriority w:val="0"/>
    <w:rPr>
      <w:rFonts w:ascii="Calibri" w:hAnsi="Calibri" w:eastAsia="宋体" w:cs="Times New Roman"/>
      <w:b/>
      <w:bCs/>
      <w:kern w:val="2"/>
      <w:sz w:val="24"/>
      <w:szCs w:val="24"/>
    </w:rPr>
  </w:style>
  <w:style w:type="character" w:customStyle="1" w:styleId="228">
    <w:name w:val="宏文本 Char"/>
    <w:qFormat/>
    <w:uiPriority w:val="0"/>
    <w:rPr>
      <w:rFonts w:ascii="Courier New" w:hAnsi="Courier New" w:eastAsia="宋体" w:cs="Courier New"/>
      <w:kern w:val="2"/>
      <w:sz w:val="24"/>
      <w:szCs w:val="24"/>
    </w:rPr>
  </w:style>
  <w:style w:type="character" w:customStyle="1" w:styleId="229">
    <w:name w:val="Char Char3"/>
    <w:qFormat/>
    <w:uiPriority w:val="0"/>
    <w:rPr>
      <w:rFonts w:ascii="Calibri" w:hAnsi="Calibri" w:eastAsia="宋体" w:cs="Times New Roman"/>
      <w:sz w:val="18"/>
      <w:szCs w:val="18"/>
    </w:rPr>
  </w:style>
  <w:style w:type="character" w:customStyle="1" w:styleId="230">
    <w:name w:val="apple-style-span"/>
    <w:qFormat/>
    <w:uiPriority w:val="0"/>
    <w:rPr>
      <w:rFonts w:ascii="Calibri" w:hAnsi="Calibri" w:eastAsia="宋体" w:cs="Times New Roman"/>
      <w:lang w:bidi="ar-SA"/>
    </w:rPr>
  </w:style>
  <w:style w:type="character" w:customStyle="1" w:styleId="231">
    <w:name w:val="*正文 Char"/>
    <w:link w:val="232"/>
    <w:qFormat/>
    <w:uiPriority w:val="0"/>
    <w:rPr>
      <w:rFonts w:ascii="宋体" w:hAnsi="宋体" w:eastAsia="宋体" w:cs="Times New Roman"/>
      <w:kern w:val="2"/>
      <w:sz w:val="21"/>
      <w:szCs w:val="22"/>
    </w:rPr>
  </w:style>
  <w:style w:type="paragraph" w:customStyle="1" w:styleId="232">
    <w:name w:val="*正文"/>
    <w:basedOn w:val="1"/>
    <w:link w:val="231"/>
    <w:qFormat/>
    <w:uiPriority w:val="0"/>
    <w:pPr>
      <w:ind w:firstLine="480"/>
    </w:pPr>
    <w:rPr>
      <w:rFonts w:ascii="宋体" w:hAnsi="宋体"/>
      <w:szCs w:val="22"/>
    </w:rPr>
  </w:style>
  <w:style w:type="character" w:customStyle="1" w:styleId="233">
    <w:name w:val="正文（缩进） Char"/>
    <w:link w:val="234"/>
    <w:qFormat/>
    <w:uiPriority w:val="0"/>
    <w:rPr>
      <w:rFonts w:ascii="宋体" w:hAnsi="宋体" w:eastAsia="宋体" w:cs="宋体"/>
      <w:sz w:val="24"/>
      <w:szCs w:val="24"/>
    </w:rPr>
  </w:style>
  <w:style w:type="paragraph" w:customStyle="1" w:styleId="234">
    <w:name w:val="正文（缩进）"/>
    <w:basedOn w:val="1"/>
    <w:link w:val="233"/>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35">
    <w:name w:val="日期 字符"/>
    <w:qFormat/>
    <w:uiPriority w:val="0"/>
    <w:rPr>
      <w:rFonts w:ascii="Times New Roman" w:hAnsi="Times New Roman" w:eastAsia="仿宋" w:cs="Times New Roman"/>
      <w:sz w:val="32"/>
    </w:rPr>
  </w:style>
  <w:style w:type="character" w:customStyle="1" w:styleId="236">
    <w:name w:val="标题 字符"/>
    <w:qFormat/>
    <w:uiPriority w:val="0"/>
    <w:rPr>
      <w:rFonts w:ascii="宋体" w:hAnsi="Arial" w:eastAsia="宋体" w:cs="Arial"/>
      <w:b/>
      <w:bCs/>
      <w:sz w:val="44"/>
      <w:szCs w:val="32"/>
    </w:rPr>
  </w:style>
  <w:style w:type="character" w:customStyle="1" w:styleId="237">
    <w:name w:val="标题4 Char"/>
    <w:link w:val="238"/>
    <w:qFormat/>
    <w:uiPriority w:val="0"/>
    <w:rPr>
      <w:rFonts w:ascii="Calibri" w:hAnsi="Calibri" w:eastAsia="仿宋" w:cs="Times New Roman"/>
      <w:b/>
      <w:kern w:val="2"/>
      <w:sz w:val="24"/>
    </w:rPr>
  </w:style>
  <w:style w:type="paragraph" w:customStyle="1" w:styleId="238">
    <w:name w:val="标题4"/>
    <w:basedOn w:val="1"/>
    <w:next w:val="7"/>
    <w:link w:val="237"/>
    <w:qFormat/>
    <w:uiPriority w:val="0"/>
    <w:pPr>
      <w:snapToGrid w:val="0"/>
      <w:spacing w:before="60" w:line="360" w:lineRule="auto"/>
      <w:ind w:firstLine="454"/>
    </w:pPr>
    <w:rPr>
      <w:rFonts w:eastAsia="仿宋"/>
      <w:b/>
      <w:sz w:val="24"/>
      <w:szCs w:val="20"/>
    </w:rPr>
  </w:style>
  <w:style w:type="character" w:customStyle="1" w:styleId="239">
    <w:name w:val="列出段落 Char"/>
    <w:qFormat/>
    <w:uiPriority w:val="0"/>
    <w:rPr>
      <w:rFonts w:ascii="Calibri" w:hAnsi="Calibri" w:eastAsia="宋体" w:cs="Times New Roman"/>
    </w:rPr>
  </w:style>
  <w:style w:type="character" w:customStyle="1" w:styleId="240">
    <w:name w:val="unnamed2"/>
    <w:qFormat/>
    <w:uiPriority w:val="0"/>
    <w:rPr>
      <w:rFonts w:ascii="Calibri" w:hAnsi="Calibri" w:eastAsia="宋体" w:cs="Times New Roman"/>
    </w:rPr>
  </w:style>
  <w:style w:type="character" w:customStyle="1" w:styleId="241">
    <w:name w:val="标题 6 字符"/>
    <w:qFormat/>
    <w:uiPriority w:val="0"/>
    <w:rPr>
      <w:rFonts w:ascii="Arial" w:hAnsi="Arial" w:eastAsia="黑体" w:cs="Times New Roman"/>
      <w:b/>
      <w:bCs/>
      <w:sz w:val="24"/>
      <w:szCs w:val="24"/>
    </w:rPr>
  </w:style>
  <w:style w:type="character" w:customStyle="1" w:styleId="242">
    <w:name w:val="Table Text Char"/>
    <w:link w:val="243"/>
    <w:qFormat/>
    <w:uiPriority w:val="0"/>
    <w:rPr>
      <w:rFonts w:ascii="Arial" w:hAnsi="Arial"/>
      <w:sz w:val="18"/>
      <w:lang w:val="en-US" w:eastAsia="zh-CN" w:bidi="ar-SA"/>
    </w:rPr>
  </w:style>
  <w:style w:type="paragraph" w:customStyle="1" w:styleId="243">
    <w:name w:val="Table Text"/>
    <w:link w:val="242"/>
    <w:qFormat/>
    <w:uiPriority w:val="0"/>
    <w:pPr>
      <w:snapToGrid w:val="0"/>
      <w:spacing w:before="80" w:after="80"/>
    </w:pPr>
    <w:rPr>
      <w:rFonts w:ascii="Arial" w:hAnsi="Arial" w:eastAsia="宋体" w:cs="Times New Roman"/>
      <w:sz w:val="18"/>
      <w:lang w:val="en-US" w:eastAsia="zh-CN" w:bidi="ar-SA"/>
    </w:rPr>
  </w:style>
  <w:style w:type="character" w:customStyle="1" w:styleId="244">
    <w:name w:val="正文文本缩进 2 字符"/>
    <w:qFormat/>
    <w:uiPriority w:val="0"/>
    <w:rPr>
      <w:rFonts w:ascii="Times New Roman" w:hAnsi="Times New Roman" w:eastAsia="仿宋" w:cs="Times New Roman"/>
      <w:sz w:val="32"/>
    </w:rPr>
  </w:style>
  <w:style w:type="character" w:customStyle="1" w:styleId="245">
    <w:name w:val="信息标题 Char"/>
    <w:qFormat/>
    <w:uiPriority w:val="0"/>
    <w:rPr>
      <w:rFonts w:ascii="Cambria" w:hAnsi="Cambria" w:eastAsia="宋体" w:cs="Times New Roman"/>
      <w:kern w:val="2"/>
      <w:sz w:val="24"/>
      <w:szCs w:val="24"/>
      <w:shd w:val="pct20" w:color="auto" w:fill="auto"/>
    </w:rPr>
  </w:style>
  <w:style w:type="character" w:customStyle="1" w:styleId="246">
    <w:name w:val="ca-2"/>
    <w:qFormat/>
    <w:uiPriority w:val="0"/>
    <w:rPr>
      <w:rFonts w:ascii="Calibri" w:hAnsi="Calibri" w:eastAsia="宋体" w:cs="Times New Roman"/>
      <w:lang w:bidi="ar-SA"/>
    </w:rPr>
  </w:style>
  <w:style w:type="character" w:customStyle="1" w:styleId="247">
    <w:name w:val="标题 9 Char1"/>
    <w:qFormat/>
    <w:uiPriority w:val="0"/>
    <w:rPr>
      <w:rFonts w:ascii="Cambria" w:hAnsi="Cambria" w:eastAsia="宋体" w:cs="Times New Roman"/>
      <w:kern w:val="2"/>
      <w:sz w:val="21"/>
      <w:szCs w:val="21"/>
    </w:rPr>
  </w:style>
  <w:style w:type="character" w:customStyle="1" w:styleId="248">
    <w:name w:val="电子邮件签名 Char1"/>
    <w:qFormat/>
    <w:uiPriority w:val="0"/>
    <w:rPr>
      <w:rFonts w:ascii="Times New Roman" w:hAnsi="Times New Roman" w:eastAsia="仿宋" w:cs="Times New Roman"/>
      <w:sz w:val="32"/>
    </w:rPr>
  </w:style>
  <w:style w:type="character" w:customStyle="1" w:styleId="249">
    <w:name w:val="脚注文本 Char"/>
    <w:qFormat/>
    <w:uiPriority w:val="0"/>
    <w:rPr>
      <w:rFonts w:ascii="Calibri" w:hAnsi="Calibri" w:eastAsia="宋体" w:cs="Times New Roman"/>
      <w:kern w:val="2"/>
      <w:sz w:val="18"/>
      <w:szCs w:val="18"/>
    </w:rPr>
  </w:style>
  <w:style w:type="character" w:customStyle="1" w:styleId="250">
    <w:name w:val="font61"/>
    <w:qFormat/>
    <w:uiPriority w:val="0"/>
    <w:rPr>
      <w:rFonts w:hint="eastAsia" w:ascii="宋体" w:hAnsi="宋体" w:eastAsia="宋体" w:cs="宋体"/>
      <w:color w:val="000000"/>
      <w:sz w:val="24"/>
      <w:szCs w:val="24"/>
      <w:u w:val="none"/>
    </w:rPr>
  </w:style>
  <w:style w:type="character" w:customStyle="1" w:styleId="251">
    <w:name w:val="页脚 字符"/>
    <w:qFormat/>
    <w:uiPriority w:val="0"/>
    <w:rPr>
      <w:rFonts w:ascii="Times New Roman" w:hAnsi="Times New Roman" w:eastAsia="仿宋" w:cs="Times New Roman"/>
      <w:sz w:val="18"/>
      <w:szCs w:val="18"/>
    </w:rPr>
  </w:style>
  <w:style w:type="character" w:customStyle="1" w:styleId="252">
    <w:name w:val="签名 Char"/>
    <w:qFormat/>
    <w:uiPriority w:val="0"/>
    <w:rPr>
      <w:rFonts w:ascii="Calibri" w:hAnsi="Calibri" w:eastAsia="宋体" w:cs="Times New Roman"/>
      <w:kern w:val="2"/>
      <w:sz w:val="21"/>
      <w:szCs w:val="24"/>
    </w:rPr>
  </w:style>
  <w:style w:type="character" w:customStyle="1" w:styleId="253">
    <w:name w:val="Table Heading Char"/>
    <w:link w:val="254"/>
    <w:qFormat/>
    <w:uiPriority w:val="0"/>
    <w:rPr>
      <w:rFonts w:ascii="Arial" w:hAnsi="Arial" w:eastAsia="黑体" w:cs="Book Antiqua"/>
      <w:bCs/>
      <w:snapToGrid w:val="0"/>
      <w:sz w:val="21"/>
      <w:szCs w:val="21"/>
    </w:rPr>
  </w:style>
  <w:style w:type="paragraph" w:customStyle="1" w:styleId="254">
    <w:name w:val="Table Heading"/>
    <w:basedOn w:val="1"/>
    <w:link w:val="25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55">
    <w:name w:val="副标题 字符"/>
    <w:qFormat/>
    <w:uiPriority w:val="0"/>
    <w:rPr>
      <w:rFonts w:ascii="Arial" w:hAnsi="Arial" w:eastAsia="仿宋" w:cs="Arial"/>
      <w:b/>
      <w:bCs/>
      <w:kern w:val="28"/>
      <w:sz w:val="32"/>
      <w:szCs w:val="32"/>
    </w:rPr>
  </w:style>
  <w:style w:type="character" w:customStyle="1" w:styleId="256">
    <w:name w:val="font"/>
    <w:qFormat/>
    <w:uiPriority w:val="0"/>
    <w:rPr>
      <w:rFonts w:ascii="Calibri" w:hAnsi="Calibri" w:eastAsia="宋体" w:cs="Times New Roman"/>
    </w:rPr>
  </w:style>
  <w:style w:type="character" w:customStyle="1" w:styleId="257">
    <w:name w:val="dandyren_title1"/>
    <w:qFormat/>
    <w:uiPriority w:val="0"/>
    <w:rPr>
      <w:rFonts w:ascii="Calibri" w:hAnsi="Calibri" w:eastAsia="宋体" w:cs="Times New Roman"/>
      <w:b/>
      <w:bCs/>
      <w:color w:val="FF6633"/>
      <w:sz w:val="18"/>
      <w:szCs w:val="18"/>
    </w:rPr>
  </w:style>
  <w:style w:type="character" w:customStyle="1" w:styleId="258">
    <w:name w:val="段落小标题 Char"/>
    <w:link w:val="259"/>
    <w:qFormat/>
    <w:uiPriority w:val="0"/>
    <w:rPr>
      <w:rFonts w:ascii="仿宋" w:hAnsi="仿宋" w:eastAsia="仿宋" w:cs="Times New Roman"/>
      <w:b/>
      <w:sz w:val="32"/>
      <w:szCs w:val="32"/>
    </w:rPr>
  </w:style>
  <w:style w:type="paragraph" w:customStyle="1" w:styleId="259">
    <w:name w:val="段落小标题"/>
    <w:basedOn w:val="1"/>
    <w:link w:val="258"/>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260">
    <w:name w:val="批注框文本 字符"/>
    <w:qFormat/>
    <w:uiPriority w:val="0"/>
    <w:rPr>
      <w:rFonts w:ascii="Times New Roman" w:hAnsi="Times New Roman" w:eastAsia="仿宋" w:cs="Times New Roman"/>
      <w:sz w:val="18"/>
      <w:szCs w:val="18"/>
    </w:rPr>
  </w:style>
  <w:style w:type="character" w:customStyle="1" w:styleId="261">
    <w:name w:val="结束语 Char1"/>
    <w:qFormat/>
    <w:uiPriority w:val="0"/>
    <w:rPr>
      <w:rFonts w:ascii="Times New Roman" w:hAnsi="Times New Roman" w:eastAsia="仿宋" w:cs="Times New Roman"/>
      <w:sz w:val="32"/>
    </w:rPr>
  </w:style>
  <w:style w:type="character" w:customStyle="1" w:styleId="262">
    <w:name w:val="font71"/>
    <w:qFormat/>
    <w:uiPriority w:val="0"/>
    <w:rPr>
      <w:rFonts w:hint="eastAsia" w:ascii="宋体" w:hAnsi="宋体" w:eastAsia="宋体" w:cs="宋体"/>
      <w:color w:val="000000"/>
      <w:sz w:val="21"/>
      <w:szCs w:val="21"/>
      <w:u w:val="none"/>
    </w:rPr>
  </w:style>
  <w:style w:type="character" w:customStyle="1" w:styleId="263">
    <w:name w:val="普通 (Web) Char"/>
    <w:link w:val="264"/>
    <w:qFormat/>
    <w:uiPriority w:val="0"/>
    <w:rPr>
      <w:rFonts w:ascii="宋体" w:hAnsi="宋体" w:eastAsia="宋体" w:cs="Times New Roman"/>
      <w:sz w:val="24"/>
      <w:szCs w:val="24"/>
    </w:rPr>
  </w:style>
  <w:style w:type="paragraph" w:customStyle="1" w:styleId="264">
    <w:name w:val="普通 (Web)"/>
    <w:basedOn w:val="1"/>
    <w:link w:val="263"/>
    <w:qFormat/>
    <w:uiPriority w:val="0"/>
    <w:pPr>
      <w:widowControl/>
      <w:spacing w:before="100" w:beforeAutospacing="1" w:after="100" w:afterAutospacing="1"/>
      <w:jc w:val="left"/>
    </w:pPr>
    <w:rPr>
      <w:rFonts w:ascii="宋体" w:hAnsi="宋体"/>
      <w:kern w:val="0"/>
      <w:sz w:val="24"/>
    </w:rPr>
  </w:style>
  <w:style w:type="character" w:customStyle="1" w:styleId="265">
    <w:name w:val="正文文本缩进 3 Char1"/>
    <w:qFormat/>
    <w:uiPriority w:val="0"/>
    <w:rPr>
      <w:rFonts w:ascii="Times New Roman" w:hAnsi="Times New Roman" w:eastAsia="宋体" w:cs="Times New Roman"/>
      <w:sz w:val="16"/>
      <w:szCs w:val="16"/>
    </w:rPr>
  </w:style>
  <w:style w:type="character" w:customStyle="1" w:styleId="266">
    <w:name w:val="Date Char"/>
    <w:qFormat/>
    <w:uiPriority w:val="0"/>
    <w:rPr>
      <w:rFonts w:ascii="宋体" w:hAnsi="Calibri" w:eastAsia="宋体" w:cs="Times New Roman"/>
      <w:kern w:val="2"/>
      <w:sz w:val="24"/>
      <w:lang w:val="en-US" w:eastAsia="zh-CN"/>
    </w:rPr>
  </w:style>
  <w:style w:type="character" w:customStyle="1" w:styleId="267">
    <w:name w:val=" Char Char"/>
    <w:qFormat/>
    <w:uiPriority w:val="0"/>
    <w:rPr>
      <w:rFonts w:ascii="Calibri" w:hAnsi="Calibri" w:eastAsia="宋体" w:cs="Times New Roman"/>
      <w:kern w:val="2"/>
      <w:sz w:val="21"/>
      <w:szCs w:val="24"/>
    </w:rPr>
  </w:style>
  <w:style w:type="character" w:customStyle="1" w:styleId="268">
    <w:name w:val="正文文本缩进 3 字符"/>
    <w:qFormat/>
    <w:uiPriority w:val="0"/>
    <w:rPr>
      <w:rFonts w:ascii="Times New Roman" w:hAnsi="Times New Roman" w:eastAsia="仿宋" w:cs="Times New Roman"/>
      <w:sz w:val="16"/>
      <w:szCs w:val="16"/>
    </w:rPr>
  </w:style>
  <w:style w:type="character" w:customStyle="1" w:styleId="269">
    <w:name w:val="标题 4 Char1"/>
    <w:qFormat/>
    <w:uiPriority w:val="0"/>
    <w:rPr>
      <w:rFonts w:ascii="Cambria" w:hAnsi="Cambria" w:eastAsia="宋体" w:cs="Times New Roman"/>
      <w:b/>
      <w:bCs/>
      <w:kern w:val="2"/>
      <w:sz w:val="28"/>
      <w:szCs w:val="28"/>
    </w:rPr>
  </w:style>
  <w:style w:type="character" w:customStyle="1" w:styleId="270">
    <w:name w:val="10f000000"/>
    <w:qFormat/>
    <w:uiPriority w:val="0"/>
    <w:rPr>
      <w:rFonts w:ascii="Calibri" w:hAnsi="Calibri" w:eastAsia="宋体" w:cs="Times New Roman"/>
    </w:rPr>
  </w:style>
  <w:style w:type="character" w:customStyle="1" w:styleId="271">
    <w:name w:val="Char Char1"/>
    <w:qFormat/>
    <w:uiPriority w:val="0"/>
    <w:rPr>
      <w:rFonts w:ascii="Calibri" w:hAnsi="Calibri" w:eastAsia="宋体" w:cs="Times New Roman"/>
      <w:kern w:val="2"/>
      <w:sz w:val="21"/>
      <w:szCs w:val="24"/>
    </w:rPr>
  </w:style>
  <w:style w:type="character" w:customStyle="1" w:styleId="272">
    <w:name w:val="haikang1"/>
    <w:qFormat/>
    <w:uiPriority w:val="0"/>
    <w:rPr>
      <w:rFonts w:hint="default" w:ascii="Calibri" w:hAnsi="Calibri" w:eastAsia="宋体" w:cs="Times New Roman"/>
      <w:color w:val="000000"/>
      <w:sz w:val="18"/>
      <w:szCs w:val="18"/>
      <w:u w:val="none"/>
    </w:rPr>
  </w:style>
  <w:style w:type="character" w:customStyle="1" w:styleId="273">
    <w:name w:val=" Char Char3"/>
    <w:qFormat/>
    <w:uiPriority w:val="0"/>
    <w:rPr>
      <w:rFonts w:ascii="Calibri" w:hAnsi="Calibri" w:eastAsia="宋体" w:cs="Times New Roman"/>
      <w:sz w:val="18"/>
      <w:szCs w:val="18"/>
    </w:rPr>
  </w:style>
  <w:style w:type="character" w:customStyle="1" w:styleId="274">
    <w:name w:val="本级3 Char"/>
    <w:link w:val="275"/>
    <w:qFormat/>
    <w:uiPriority w:val="0"/>
    <w:rPr>
      <w:rFonts w:ascii="Calibri" w:hAnsi="Calibri" w:eastAsia="宋体" w:cs="Times New Roman"/>
      <w:b/>
      <w:bCs/>
      <w:kern w:val="2"/>
      <w:sz w:val="32"/>
      <w:szCs w:val="24"/>
    </w:rPr>
  </w:style>
  <w:style w:type="paragraph" w:customStyle="1" w:styleId="275">
    <w:name w:val="本级3"/>
    <w:basedOn w:val="141"/>
    <w:next w:val="141"/>
    <w:link w:val="274"/>
    <w:qFormat/>
    <w:uiPriority w:val="0"/>
    <w:pPr>
      <w:outlineLvl w:val="2"/>
    </w:pPr>
    <w:rPr>
      <w:rFonts w:ascii="Calibri" w:hAnsi="Calibri" w:eastAsia="宋体"/>
    </w:rPr>
  </w:style>
  <w:style w:type="character" w:customStyle="1" w:styleId="276">
    <w:name w:val="签名 Char1"/>
    <w:qFormat/>
    <w:uiPriority w:val="0"/>
    <w:rPr>
      <w:rFonts w:ascii="Times New Roman" w:hAnsi="Times New Roman" w:eastAsia="仿宋" w:cs="Times New Roman"/>
      <w:sz w:val="32"/>
    </w:rPr>
  </w:style>
  <w:style w:type="character" w:customStyle="1" w:styleId="277">
    <w:name w:val="标题 7 字符"/>
    <w:qFormat/>
    <w:uiPriority w:val="0"/>
    <w:rPr>
      <w:rFonts w:ascii="Times New Roman" w:hAnsi="Times New Roman" w:eastAsia="仿宋" w:cs="Times New Roman"/>
      <w:b/>
      <w:bCs/>
      <w:sz w:val="24"/>
      <w:szCs w:val="24"/>
    </w:rPr>
  </w:style>
  <w:style w:type="character" w:customStyle="1" w:styleId="278">
    <w:name w:val="正文首行缩进 2 字符"/>
    <w:qFormat/>
    <w:uiPriority w:val="0"/>
    <w:rPr>
      <w:rFonts w:ascii="Times New Roman" w:hAnsi="Times New Roman" w:eastAsia="仿宋" w:cs="Times New Roman"/>
      <w:sz w:val="21"/>
    </w:rPr>
  </w:style>
  <w:style w:type="character" w:customStyle="1" w:styleId="279">
    <w:name w:val="HTML 地址 Char1"/>
    <w:qFormat/>
    <w:uiPriority w:val="0"/>
    <w:rPr>
      <w:rFonts w:ascii="Times New Roman" w:hAnsi="Times New Roman" w:eastAsia="仿宋" w:cs="Times New Roman"/>
      <w:i/>
      <w:iCs/>
      <w:sz w:val="32"/>
    </w:rPr>
  </w:style>
  <w:style w:type="character" w:customStyle="1" w:styleId="280">
    <w:name w:val="正文首行缩进2字 Char"/>
    <w:link w:val="281"/>
    <w:qFormat/>
    <w:uiPriority w:val="0"/>
    <w:rPr>
      <w:rFonts w:ascii="Calibri" w:hAnsi="Calibri" w:eastAsia="楷体_GB2312" w:cs="Times New Roman"/>
      <w:sz w:val="28"/>
      <w:szCs w:val="24"/>
    </w:rPr>
  </w:style>
  <w:style w:type="paragraph" w:customStyle="1" w:styleId="281">
    <w:name w:val="正文首行缩进2字"/>
    <w:basedOn w:val="1"/>
    <w:link w:val="280"/>
    <w:qFormat/>
    <w:uiPriority w:val="0"/>
    <w:pPr>
      <w:ind w:firstLine="560" w:firstLineChars="200"/>
    </w:pPr>
    <w:rPr>
      <w:rFonts w:eastAsia="楷体_GB2312"/>
      <w:kern w:val="0"/>
      <w:sz w:val="28"/>
    </w:rPr>
  </w:style>
  <w:style w:type="paragraph" w:customStyle="1" w:styleId="282">
    <w:name w:val="表格内容五号(V1)"/>
    <w:basedOn w:val="1"/>
    <w:qFormat/>
    <w:uiPriority w:val="0"/>
    <w:pPr>
      <w:jc w:val="center"/>
    </w:pPr>
    <w:rPr>
      <w:rFonts w:ascii="Calibri" w:hAnsi="Calibri" w:eastAsia="宋体" w:cs="Arial Unicode MS"/>
      <w:kern w:val="0"/>
      <w:szCs w:val="21"/>
    </w:rPr>
  </w:style>
  <w:style w:type="paragraph" w:customStyle="1" w:styleId="283">
    <w:name w:val="Normal0"/>
    <w:qFormat/>
    <w:uiPriority w:val="0"/>
    <w:rPr>
      <w:rFonts w:ascii="Calibri" w:hAnsi="Calibri" w:eastAsia="宋体" w:cs="Times New Roman"/>
      <w:lang w:val="en-US" w:eastAsia="en-US" w:bidi="ar-SA"/>
    </w:rPr>
  </w:style>
  <w:style w:type="paragraph" w:customStyle="1" w:styleId="284">
    <w:name w:val="xl73"/>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28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86">
    <w:name w:val="说明正文"/>
    <w:basedOn w:val="1"/>
    <w:qFormat/>
    <w:uiPriority w:val="0"/>
    <w:pPr>
      <w:spacing w:line="360" w:lineRule="auto"/>
      <w:ind w:firstLine="480" w:firstLineChars="200"/>
    </w:pPr>
    <w:rPr>
      <w:rFonts w:ascii="宋体" w:hAnsi="宋体" w:eastAsia="宋体" w:cs="Times New Roman"/>
      <w:sz w:val="24"/>
    </w:rPr>
  </w:style>
  <w:style w:type="paragraph" w:customStyle="1" w:styleId="287">
    <w:name w:val="pa-1"/>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288">
    <w:name w:val="Char Char Char"/>
    <w:basedOn w:val="1"/>
    <w:qFormat/>
    <w:uiPriority w:val="0"/>
    <w:pPr>
      <w:jc w:val="center"/>
    </w:pPr>
    <w:rPr>
      <w:rFonts w:ascii="Calibri" w:hAnsi="Calibri" w:eastAsia="宋体" w:cs="Times New Roman"/>
      <w:szCs w:val="20"/>
    </w:rPr>
  </w:style>
  <w:style w:type="paragraph" w:customStyle="1" w:styleId="289">
    <w:name w:val="xl74"/>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290">
    <w:name w:val="默认段落字体 Para Char"/>
    <w:basedOn w:val="1"/>
    <w:qFormat/>
    <w:uiPriority w:val="0"/>
    <w:rPr>
      <w:rFonts w:ascii="Calibri" w:hAnsi="Calibri" w:eastAsia="宋体" w:cs="Arial"/>
    </w:rPr>
  </w:style>
  <w:style w:type="paragraph" w:customStyle="1" w:styleId="291">
    <w:name w:val="xl7869"/>
    <w:basedOn w:val="1"/>
    <w:qFormat/>
    <w:uiPriority w:val="0"/>
    <w:pPr>
      <w:widowControl/>
      <w:spacing w:before="100" w:beforeAutospacing="1" w:after="100" w:afterAutospacing="1"/>
      <w:jc w:val="left"/>
      <w:textAlignment w:val="bottom"/>
    </w:pPr>
    <w:rPr>
      <w:rFonts w:ascii="宋体" w:hAnsi="宋体" w:eastAsia="宋体" w:cs="宋体"/>
      <w:color w:val="000000"/>
      <w:kern w:val="0"/>
      <w:sz w:val="20"/>
      <w:szCs w:val="20"/>
    </w:rPr>
  </w:style>
  <w:style w:type="paragraph" w:customStyle="1" w:styleId="292">
    <w:name w:val="xl70"/>
    <w:basedOn w:val="1"/>
    <w:qFormat/>
    <w:uiPriority w:val="0"/>
    <w:pPr>
      <w:widowControl/>
      <w:spacing w:before="100" w:beforeLines="0" w:beforeAutospacing="1" w:after="100" w:afterLines="0" w:afterAutospacing="1"/>
    </w:pPr>
    <w:rPr>
      <w:rFonts w:ascii="宋体" w:hAnsi="Calibri" w:eastAsia="宋体" w:cs="宋体"/>
      <w:kern w:val="0"/>
      <w:sz w:val="20"/>
      <w:szCs w:val="20"/>
      <w:lang w:bidi="ar-SA"/>
    </w:rPr>
  </w:style>
  <w:style w:type="paragraph" w:customStyle="1" w:styleId="293">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294">
    <w:name w:val="font21"/>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295">
    <w:name w:val="节"/>
    <w:basedOn w:val="4"/>
    <w:qFormat/>
    <w:uiPriority w:val="0"/>
    <w:pPr>
      <w:tabs>
        <w:tab w:val="left" w:pos="780"/>
      </w:tabs>
      <w:spacing w:line="240" w:lineRule="auto"/>
      <w:ind w:left="780" w:hanging="360"/>
    </w:pPr>
    <w:rPr>
      <w:rFonts w:ascii="黑体" w:hAnsi="Calibri" w:eastAsia="宋体" w:cs="Times New Roman"/>
      <w:b w:val="0"/>
      <w:sz w:val="28"/>
      <w:szCs w:val="28"/>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97">
    <w:name w:val="题头内容"/>
    <w:basedOn w:val="1"/>
    <w:qFormat/>
    <w:uiPriority w:val="0"/>
    <w:pPr>
      <w:adjustRightInd w:val="0"/>
      <w:spacing w:before="120" w:after="120" w:line="312" w:lineRule="atLeast"/>
      <w:ind w:right="879" w:firstLine="839"/>
      <w:jc w:val="center"/>
      <w:textAlignment w:val="baseline"/>
    </w:pPr>
    <w:rPr>
      <w:rFonts w:ascii="黑体" w:hAnsi="Calibri" w:eastAsia="黑体" w:cs="Times New Roman"/>
      <w:kern w:val="0"/>
      <w:sz w:val="32"/>
      <w:szCs w:val="21"/>
    </w:rPr>
  </w:style>
  <w:style w:type="paragraph" w:customStyle="1" w:styleId="298">
    <w:name w:val="编号3级"/>
    <w:qFormat/>
    <w:uiPriority w:val="0"/>
    <w:pPr>
      <w:numPr>
        <w:ilvl w:val="4"/>
        <w:numId w:val="12"/>
      </w:numPr>
      <w:spacing w:line="400" w:lineRule="exact"/>
    </w:pPr>
    <w:rPr>
      <w:rFonts w:ascii="Calibri" w:hAnsi="Calibri" w:eastAsia="宋体" w:cs="Times New Roman"/>
      <w:kern w:val="2"/>
      <w:sz w:val="24"/>
      <w:szCs w:val="24"/>
      <w:lang w:val="en-US" w:eastAsia="zh-CN" w:bidi="ar-SA"/>
    </w:rPr>
  </w:style>
  <w:style w:type="paragraph" w:customStyle="1" w:styleId="299">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300">
    <w:name w:val="表2"/>
    <w:basedOn w:val="301"/>
    <w:qFormat/>
    <w:uiPriority w:val="0"/>
    <w:pPr>
      <w:numPr>
        <w:ilvl w:val="0"/>
        <w:numId w:val="13"/>
      </w:numPr>
    </w:pPr>
    <w:rPr>
      <w:rFonts w:ascii="Calibri" w:hAnsi="Calibri" w:eastAsia="宋体" w:cs="Times New Roman"/>
    </w:rPr>
  </w:style>
  <w:style w:type="paragraph" w:customStyle="1" w:styleId="301">
    <w:name w:val="表1"/>
    <w:basedOn w:val="302"/>
    <w:qFormat/>
    <w:uiPriority w:val="0"/>
    <w:rPr>
      <w:rFonts w:ascii="Calibri" w:hAnsi="Calibri" w:eastAsia="宋体" w:cs="Times New Roman"/>
    </w:rPr>
  </w:style>
  <w:style w:type="paragraph" w:customStyle="1" w:styleId="302">
    <w:name w:val="表格样式"/>
    <w:basedOn w:val="1"/>
    <w:qFormat/>
    <w:uiPriority w:val="0"/>
    <w:pPr>
      <w:spacing w:before="156" w:after="156"/>
      <w:jc w:val="center"/>
    </w:pPr>
    <w:rPr>
      <w:rFonts w:ascii="宋体" w:hAnsi="宋体" w:eastAsia="宋体" w:cs="宋体"/>
      <w:b/>
      <w:bCs/>
      <w:kern w:val="0"/>
      <w:szCs w:val="20"/>
    </w:rPr>
  </w:style>
  <w:style w:type="paragraph" w:customStyle="1" w:styleId="303">
    <w:name w:val="标题2"/>
    <w:basedOn w:val="304"/>
    <w:qFormat/>
    <w:uiPriority w:val="0"/>
    <w:rPr>
      <w:rFonts w:ascii="Calibri" w:hAnsi="Calibri" w:eastAsia="宋体" w:cs="Times New Roman"/>
    </w:rPr>
  </w:style>
  <w:style w:type="paragraph" w:customStyle="1" w:styleId="304">
    <w:name w:val="样式 标题 2HD2Heading 2 HiddenHeading 2 CCBSheading 2Titre3H2..."/>
    <w:basedOn w:val="4"/>
    <w:qFormat/>
    <w:uiPriority w:val="0"/>
    <w:pPr>
      <w:spacing w:line="360" w:lineRule="auto"/>
    </w:pPr>
    <w:rPr>
      <w:rFonts w:ascii="宋体" w:hAnsi="Calibri" w:eastAsia="宋体" w:cs="宋体"/>
      <w:sz w:val="24"/>
      <w:lang w:bidi="ar-SA"/>
    </w:rPr>
  </w:style>
  <w:style w:type="paragraph" w:customStyle="1" w:styleId="305">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06">
    <w:name w:val="图表文字"/>
    <w:qFormat/>
    <w:uiPriority w:val="0"/>
    <w:rPr>
      <w:rFonts w:ascii="Calibri" w:hAnsi="Calibri" w:eastAsia="宋体" w:cs="Times New Roman"/>
      <w:sz w:val="21"/>
      <w:szCs w:val="21"/>
      <w:lang w:val="en-US" w:eastAsia="zh-CN" w:bidi="ar-SA"/>
    </w:rPr>
  </w:style>
  <w:style w:type="paragraph" w:customStyle="1" w:styleId="307">
    <w:name w:val="Char1 Char Char Char"/>
    <w:basedOn w:val="1"/>
    <w:qFormat/>
    <w:uiPriority w:val="0"/>
    <w:pPr>
      <w:spacing w:line="360" w:lineRule="auto"/>
      <w:ind w:firstLine="200" w:firstLineChars="200"/>
    </w:pPr>
    <w:rPr>
      <w:rFonts w:ascii="宋体" w:hAnsi="宋体" w:eastAsia="宋体" w:cs="宋体"/>
      <w:sz w:val="24"/>
    </w:rPr>
  </w:style>
  <w:style w:type="paragraph" w:customStyle="1" w:styleId="308">
    <w:name w:val="表格"/>
    <w:basedOn w:val="1"/>
    <w:qFormat/>
    <w:uiPriority w:val="0"/>
    <w:pPr>
      <w:adjustRightInd w:val="0"/>
      <w:spacing w:line="400" w:lineRule="atLeast"/>
      <w:textAlignment w:val="baseline"/>
    </w:pPr>
    <w:rPr>
      <w:rFonts w:ascii="仿宋_GB2312" w:hAnsi="Calibri" w:eastAsia="仿宋_GB2312" w:cs="Times New Roman"/>
      <w:kern w:val="0"/>
      <w:sz w:val="28"/>
      <w:szCs w:val="20"/>
    </w:rPr>
  </w:style>
  <w:style w:type="paragraph" w:customStyle="1" w:styleId="309">
    <w:name w:val="Item Step"/>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10">
    <w:name w:val="手动目录"/>
    <w:basedOn w:val="1"/>
    <w:qFormat/>
    <w:uiPriority w:val="0"/>
    <w:pPr>
      <w:numPr>
        <w:ilvl w:val="0"/>
        <w:numId w:val="14"/>
      </w:numPr>
      <w:tabs>
        <w:tab w:val="clear" w:pos="680"/>
      </w:tabs>
      <w:spacing w:line="360" w:lineRule="auto"/>
    </w:pPr>
    <w:rPr>
      <w:rFonts w:ascii="Calibri" w:hAnsi="Calibri" w:eastAsia="宋体" w:cs="Times New Roman"/>
      <w:sz w:val="24"/>
    </w:rPr>
  </w:style>
  <w:style w:type="paragraph" w:customStyle="1" w:styleId="311">
    <w:name w:val="font1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12">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313">
    <w:name w:val="表号"/>
    <w:basedOn w:val="1"/>
    <w:next w:val="1"/>
    <w:qFormat/>
    <w:uiPriority w:val="0"/>
    <w:pPr>
      <w:spacing w:beforeLines="100" w:afterLines="50"/>
      <w:jc w:val="center"/>
    </w:pPr>
    <w:rPr>
      <w:rFonts w:ascii="Calibri" w:hAnsi="Calibri" w:eastAsia="黑体" w:cs="Times New Roman"/>
    </w:rPr>
  </w:style>
  <w:style w:type="paragraph" w:customStyle="1" w:styleId="314">
    <w:name w:val="List Paragraph11"/>
    <w:basedOn w:val="1"/>
    <w:qFormat/>
    <w:uiPriority w:val="0"/>
    <w:pPr>
      <w:ind w:firstLine="420" w:firstLineChars="200"/>
    </w:pPr>
    <w:rPr>
      <w:rFonts w:ascii="Calibri" w:hAnsi="Calibri" w:eastAsia="宋体" w:cs="Times New Roman"/>
      <w:szCs w:val="22"/>
    </w:rPr>
  </w:style>
  <w:style w:type="paragraph" w:customStyle="1" w:styleId="315">
    <w:name w:val="a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6">
    <w:name w:val="正文1"/>
    <w:basedOn w:val="1"/>
    <w:qFormat/>
    <w:uiPriority w:val="0"/>
    <w:pPr>
      <w:spacing w:line="360" w:lineRule="auto"/>
      <w:ind w:left="428" w:leftChars="428" w:firstLine="199" w:firstLineChars="199"/>
    </w:pPr>
    <w:rPr>
      <w:rFonts w:ascii="宋体" w:hAnsi="Calibri" w:eastAsia="宋体" w:cs="Times New Roman"/>
      <w:color w:val="000000"/>
      <w:sz w:val="24"/>
    </w:rPr>
  </w:style>
  <w:style w:type="paragraph" w:customStyle="1" w:styleId="317">
    <w:name w:val="样式6"/>
    <w:basedOn w:val="1"/>
    <w:qFormat/>
    <w:uiPriority w:val="0"/>
    <w:pPr>
      <w:widowControl/>
      <w:numPr>
        <w:ilvl w:val="1"/>
        <w:numId w:val="15"/>
      </w:numPr>
      <w:tabs>
        <w:tab w:val="left" w:pos="1800"/>
      </w:tabs>
      <w:spacing w:before="156" w:beforeLines="50" w:after="156" w:afterLines="50"/>
      <w:ind w:left="1800" w:firstLine="899" w:firstLineChars="428"/>
    </w:pPr>
    <w:rPr>
      <w:rFonts w:ascii="Calibri" w:hAnsi="Calibri" w:eastAsia="宋体" w:cs="Times New Roman"/>
      <w:kern w:val="0"/>
    </w:rPr>
  </w:style>
  <w:style w:type="paragraph" w:customStyle="1" w:styleId="3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19">
    <w:name w:val="表格内容"/>
    <w:basedOn w:val="1"/>
    <w:qFormat/>
    <w:uiPriority w:val="0"/>
    <w:pPr>
      <w:spacing w:line="360" w:lineRule="auto"/>
      <w:jc w:val="center"/>
    </w:pPr>
    <w:rPr>
      <w:rFonts w:ascii="Calibri" w:hAnsi="Calibri" w:eastAsia="宋体" w:cs="宋体"/>
      <w:sz w:val="18"/>
      <w:szCs w:val="20"/>
    </w:rPr>
  </w:style>
  <w:style w:type="paragraph" w:customStyle="1" w:styleId="320">
    <w:name w:val="xl23"/>
    <w:basedOn w:val="1"/>
    <w:qFormat/>
    <w:uiPriority w:val="0"/>
    <w:pPr>
      <w:widowControl/>
      <w:spacing w:before="100" w:beforeAutospacing="1" w:after="100" w:afterAutospacing="1"/>
    </w:pPr>
    <w:rPr>
      <w:rFonts w:ascii="Arial Unicode MS" w:hAnsi="Arial Unicode MS" w:eastAsia="宋体" w:cs="Times New Roman"/>
      <w:kern w:val="0"/>
      <w:szCs w:val="21"/>
    </w:rPr>
  </w:style>
  <w:style w:type="paragraph" w:customStyle="1" w:styleId="321">
    <w:name w:val="xl75"/>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22">
    <w:name w:val="Item List in Table"/>
    <w:basedOn w:val="1"/>
    <w:qFormat/>
    <w:uiPriority w:val="0"/>
    <w:pPr>
      <w:numPr>
        <w:ilvl w:val="0"/>
        <w:numId w:val="16"/>
      </w:numPr>
      <w:topLinePunct/>
      <w:adjustRightInd w:val="0"/>
      <w:snapToGrid w:val="0"/>
      <w:spacing w:before="80" w:after="80" w:line="240" w:lineRule="atLeast"/>
      <w:jc w:val="left"/>
    </w:pPr>
    <w:rPr>
      <w:rFonts w:ascii="Arial" w:hAnsi="Arial" w:eastAsia="宋体" w:cs="Arial"/>
      <w:kern w:val="0"/>
      <w:szCs w:val="21"/>
    </w:rPr>
  </w:style>
  <w:style w:type="paragraph" w:customStyle="1" w:styleId="323">
    <w:name w:val="Sub Item List"/>
    <w:basedOn w:val="1"/>
    <w:qFormat/>
    <w:uiPriority w:val="0"/>
    <w:pPr>
      <w:widowControl/>
      <w:numPr>
        <w:ilvl w:val="0"/>
        <w:numId w:val="17"/>
      </w:numPr>
      <w:topLinePunct/>
      <w:adjustRightInd w:val="0"/>
      <w:snapToGrid w:val="0"/>
      <w:spacing w:before="80" w:after="80" w:line="240" w:lineRule="atLeast"/>
      <w:jc w:val="left"/>
    </w:pPr>
    <w:rPr>
      <w:rFonts w:ascii="Arial" w:hAnsi="Arial" w:eastAsia="宋体" w:cs="Arial"/>
      <w:szCs w:val="21"/>
    </w:rPr>
  </w:style>
  <w:style w:type="paragraph" w:customStyle="1" w:styleId="324">
    <w:name w:val=" Char Char Char Char Char Char Char Char"/>
    <w:basedOn w:val="1"/>
    <w:qFormat/>
    <w:uiPriority w:val="0"/>
    <w:pPr>
      <w:tabs>
        <w:tab w:val="left" w:pos="360"/>
      </w:tabs>
    </w:pPr>
    <w:rPr>
      <w:rFonts w:ascii="Calibri" w:hAnsi="Calibri" w:eastAsia="宋体" w:cs="Times New Roman"/>
      <w:sz w:val="24"/>
    </w:rPr>
  </w:style>
  <w:style w:type="paragraph" w:customStyle="1" w:styleId="325">
    <w:name w:val="样式1"/>
    <w:basedOn w:val="6"/>
    <w:qFormat/>
    <w:uiPriority w:val="0"/>
    <w:rPr>
      <w:rFonts w:ascii="宋体" w:hAnsi="宋体" w:eastAsia="宋体" w:cs="Times New Roman"/>
      <w:sz w:val="24"/>
      <w:szCs w:val="24"/>
    </w:rPr>
  </w:style>
  <w:style w:type="paragraph" w:customStyle="1" w:styleId="326">
    <w:name w:val="Char Char Char Char"/>
    <w:basedOn w:val="1"/>
    <w:qFormat/>
    <w:uiPriority w:val="0"/>
    <w:pPr>
      <w:tabs>
        <w:tab w:val="left" w:pos="360"/>
      </w:tabs>
      <w:ind w:firstLine="150" w:firstLineChars="150"/>
    </w:pPr>
    <w:rPr>
      <w:rFonts w:ascii="Arial" w:hAnsi="Arial" w:eastAsia="宋体" w:cs="Arial"/>
      <w:sz w:val="20"/>
      <w:szCs w:val="20"/>
      <w:lang w:bidi="ar-SA"/>
    </w:rPr>
  </w:style>
  <w:style w:type="paragraph" w:customStyle="1" w:styleId="327">
    <w:name w:val=" Char Char Char Char"/>
    <w:basedOn w:val="1"/>
    <w:qFormat/>
    <w:uiPriority w:val="0"/>
    <w:pPr>
      <w:widowControl/>
      <w:spacing w:after="160" w:line="240" w:lineRule="exact"/>
      <w:jc w:val="left"/>
    </w:pPr>
    <w:rPr>
      <w:rFonts w:ascii="Verdana" w:hAnsi="Verdana" w:eastAsia="宋体" w:cs="Times New Roman"/>
      <w:kern w:val="0"/>
      <w:szCs w:val="20"/>
    </w:rPr>
  </w:style>
  <w:style w:type="paragraph" w:customStyle="1" w:styleId="328">
    <w:name w:val="font24"/>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29">
    <w:name w:val="font17"/>
    <w:basedOn w:val="1"/>
    <w:qFormat/>
    <w:uiPriority w:val="0"/>
    <w:pPr>
      <w:widowControl/>
      <w:spacing w:before="100" w:beforeLines="0" w:beforeAutospacing="1" w:after="100" w:afterLines="0" w:afterAutospacing="1"/>
      <w:jc w:val="left"/>
    </w:pPr>
    <w:rPr>
      <w:rFonts w:ascii="宋体" w:hAnsi="Calibri" w:eastAsia="宋体" w:cs="宋体"/>
      <w:b/>
      <w:bCs/>
      <w:color w:val="000000"/>
      <w:kern w:val="0"/>
      <w:sz w:val="20"/>
      <w:szCs w:val="20"/>
      <w:lang w:bidi="ar-SA"/>
    </w:rPr>
  </w:style>
  <w:style w:type="paragraph" w:customStyle="1" w:styleId="330">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31">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332">
    <w:name w:val="Figure Description"/>
    <w:next w:val="10"/>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3">
    <w:name w:val="报告正文"/>
    <w:basedOn w:val="1"/>
    <w:qFormat/>
    <w:uiPriority w:val="0"/>
    <w:pPr>
      <w:widowControl/>
      <w:overflowPunct w:val="0"/>
      <w:autoSpaceDE w:val="0"/>
      <w:autoSpaceDN w:val="0"/>
      <w:adjustRightInd w:val="0"/>
      <w:spacing w:after="80" w:line="360" w:lineRule="auto"/>
      <w:ind w:left="570"/>
      <w:textAlignment w:val="baseline"/>
    </w:pPr>
    <w:rPr>
      <w:rFonts w:ascii="Calibri" w:hAnsi="Calibri" w:eastAsia="宋体" w:cs="Times New Roman"/>
      <w:kern w:val="0"/>
      <w:sz w:val="24"/>
      <w:szCs w:val="20"/>
    </w:rPr>
  </w:style>
  <w:style w:type="paragraph" w:customStyle="1" w:styleId="334">
    <w:name w:val="编号1级"/>
    <w:qFormat/>
    <w:uiPriority w:val="0"/>
    <w:pPr>
      <w:spacing w:after="93" w:afterLines="30" w:line="400" w:lineRule="exact"/>
      <w:outlineLvl w:val="8"/>
    </w:pPr>
    <w:rPr>
      <w:rFonts w:ascii="Calibri" w:hAnsi="Calibri" w:eastAsia="宋体" w:cs="Times New Roman"/>
      <w:b/>
      <w:kern w:val="2"/>
      <w:sz w:val="24"/>
      <w:szCs w:val="28"/>
      <w:lang w:val="en-US" w:eastAsia="zh-CN" w:bidi="ar-SA"/>
    </w:rPr>
  </w:style>
  <w:style w:type="paragraph" w:customStyle="1" w:styleId="335">
    <w:name w:val="Heading 2"/>
    <w:basedOn w:val="1"/>
    <w:qFormat/>
    <w:uiPriority w:val="0"/>
    <w:pPr>
      <w:autoSpaceDE w:val="0"/>
      <w:autoSpaceDN w:val="0"/>
      <w:adjustRightInd w:val="0"/>
      <w:spacing w:before="3"/>
      <w:ind w:left="120"/>
      <w:jc w:val="left"/>
      <w:outlineLvl w:val="1"/>
    </w:pPr>
    <w:rPr>
      <w:rFonts w:ascii="宋体" w:hAnsi="Calibri" w:eastAsia="宋体" w:cs="宋体"/>
      <w:b/>
      <w:bCs/>
      <w:kern w:val="0"/>
      <w:sz w:val="24"/>
    </w:rPr>
  </w:style>
  <w:style w:type="paragraph" w:customStyle="1" w:styleId="336">
    <w:name w:val="sanxiang2"/>
    <w:basedOn w:val="1"/>
    <w:qFormat/>
    <w:uiPriority w:val="0"/>
    <w:pPr>
      <w:keepNext/>
      <w:snapToGrid w:val="0"/>
      <w:spacing w:beforeLines="200" w:afterLines="100"/>
      <w:jc w:val="center"/>
      <w:outlineLvl w:val="1"/>
    </w:pPr>
    <w:rPr>
      <w:rFonts w:ascii="宋体" w:hAnsi="宋体" w:eastAsia="宋体" w:cs="Times New Roman"/>
      <w:b/>
      <w:w w:val="120"/>
      <w:szCs w:val="21"/>
    </w:rPr>
  </w:style>
  <w:style w:type="paragraph" w:customStyle="1" w:styleId="33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38">
    <w:name w:val="样式 小四 行距: 1.5 倍行距"/>
    <w:basedOn w:val="1"/>
    <w:qFormat/>
    <w:uiPriority w:val="0"/>
    <w:pPr>
      <w:numPr>
        <w:ilvl w:val="0"/>
        <w:numId w:val="18"/>
      </w:numPr>
    </w:pPr>
    <w:rPr>
      <w:rFonts w:ascii="Calibri" w:hAnsi="Calibri" w:eastAsia="宋体" w:cs="Times New Roman"/>
    </w:rPr>
  </w:style>
  <w:style w:type="paragraph" w:customStyle="1" w:styleId="339">
    <w:name w:val="样式 标题 4Alt+4项h4H41.1.1.1 Heading 4Heading FourHead44bul...1"/>
    <w:basedOn w:val="6"/>
    <w:qFormat/>
    <w:uiPriority w:val="0"/>
    <w:pPr>
      <w:numPr>
        <w:ilvl w:val="3"/>
        <w:numId w:val="19"/>
      </w:numPr>
      <w:tabs>
        <w:tab w:val="left" w:pos="1931"/>
        <w:tab w:val="clear" w:pos="851"/>
      </w:tabs>
      <w:spacing w:before="120" w:after="0" w:line="360" w:lineRule="auto"/>
      <w:ind w:left="1931"/>
      <w:jc w:val="left"/>
    </w:pPr>
    <w:rPr>
      <w:rFonts w:ascii="Times New Roman" w:hAnsi="Times New Roman" w:eastAsia="宋体" w:cs="宋体"/>
      <w:b w:val="0"/>
      <w:bCs w:val="0"/>
      <w:sz w:val="24"/>
      <w:szCs w:val="20"/>
    </w:rPr>
  </w:style>
  <w:style w:type="paragraph" w:customStyle="1" w:styleId="340">
    <w:name w:val="Char Char Char Char Char Char Char Char"/>
    <w:basedOn w:val="1"/>
    <w:qFormat/>
    <w:uiPriority w:val="0"/>
    <w:pPr>
      <w:tabs>
        <w:tab w:val="left" w:pos="360"/>
      </w:tabs>
    </w:pPr>
    <w:rPr>
      <w:rFonts w:ascii="Calibri" w:hAnsi="Calibri" w:eastAsia="宋体" w:cs="Times New Roman"/>
      <w:sz w:val="24"/>
    </w:rPr>
  </w:style>
  <w:style w:type="paragraph" w:customStyle="1" w:styleId="341">
    <w:name w:val="msonormalcxspmiddle"/>
    <w:basedOn w:val="1"/>
    <w:qFormat/>
    <w:uiPriority w:val="0"/>
    <w:pPr>
      <w:widowControl/>
      <w:spacing w:before="100" w:beforeLines="0" w:beforeAutospacing="1" w:after="100" w:afterLines="0" w:afterAutospacing="1"/>
      <w:jc w:val="left"/>
    </w:pPr>
    <w:rPr>
      <w:rFonts w:ascii="宋体" w:hAnsi="Calibri" w:eastAsia="宋体" w:cs="宋体"/>
      <w:kern w:val="0"/>
      <w:sz w:val="24"/>
      <w:lang w:bidi="ar-SA"/>
    </w:rPr>
  </w:style>
  <w:style w:type="paragraph" w:customStyle="1" w:styleId="342">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343">
    <w:name w:val="yd正文"/>
    <w:basedOn w:val="1"/>
    <w:qFormat/>
    <w:uiPriority w:val="0"/>
    <w:pPr>
      <w:widowControl/>
      <w:spacing w:line="360" w:lineRule="auto"/>
      <w:ind w:firstLine="482"/>
    </w:pPr>
    <w:rPr>
      <w:rFonts w:ascii="宋体" w:hAnsi="Arial Unicode MS" w:eastAsia="宋体" w:cs="Times New Roman"/>
      <w:bCs/>
      <w:kern w:val="0"/>
      <w:sz w:val="24"/>
    </w:rPr>
  </w:style>
  <w:style w:type="paragraph" w:customStyle="1" w:styleId="344">
    <w:name w:val="xl7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45">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46">
    <w:name w:val="font10"/>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47">
    <w:name w:val="正文缩进1"/>
    <w:basedOn w:val="1"/>
    <w:qFormat/>
    <w:uiPriority w:val="0"/>
    <w:pPr>
      <w:spacing w:line="360" w:lineRule="auto"/>
      <w:ind w:firstLine="200" w:firstLineChars="200"/>
      <w:jc w:val="left"/>
    </w:pPr>
    <w:rPr>
      <w:rFonts w:ascii="宋体" w:hAnsi="宋体" w:eastAsia="宋体" w:cs="Times New Roman"/>
      <w:sz w:val="24"/>
      <w:szCs w:val="22"/>
    </w:rPr>
  </w:style>
  <w:style w:type="paragraph" w:customStyle="1" w:styleId="348">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eastAsia="宋体" w:cs="Times New Roman"/>
      <w:sz w:val="24"/>
      <w:szCs w:val="20"/>
    </w:rPr>
  </w:style>
  <w:style w:type="paragraph" w:customStyle="1" w:styleId="349">
    <w:name w:val="p15"/>
    <w:basedOn w:val="1"/>
    <w:qFormat/>
    <w:uiPriority w:val="0"/>
    <w:pPr>
      <w:widowControl/>
    </w:pPr>
    <w:rPr>
      <w:rFonts w:ascii="宋体" w:hAnsi="Calibri" w:eastAsia="宋体" w:cs="宋体"/>
      <w:kern w:val="0"/>
      <w:szCs w:val="21"/>
      <w:lang w:bidi="ar-SA"/>
    </w:rPr>
  </w:style>
  <w:style w:type="paragraph" w:customStyle="1" w:styleId="350">
    <w:name w:val="样式3"/>
    <w:basedOn w:val="286"/>
    <w:qFormat/>
    <w:uiPriority w:val="0"/>
    <w:pPr>
      <w:spacing w:line="240" w:lineRule="auto"/>
      <w:ind w:firstLine="0" w:firstLineChars="0"/>
    </w:pPr>
    <w:rPr>
      <w:rFonts w:ascii="Times New Roman" w:hAnsi="Times New Roman" w:eastAsia="宋体" w:cs="Times New Roman"/>
      <w:sz w:val="21"/>
    </w:rPr>
  </w:style>
  <w:style w:type="paragraph" w:customStyle="1" w:styleId="35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52">
    <w:name w:val="表格文字"/>
    <w:basedOn w:val="1"/>
    <w:qFormat/>
    <w:uiPriority w:val="0"/>
    <w:pPr>
      <w:adjustRightInd w:val="0"/>
      <w:spacing w:line="240" w:lineRule="atLeast"/>
      <w:jc w:val="center"/>
      <w:textAlignment w:val="baseline"/>
    </w:pPr>
    <w:rPr>
      <w:rFonts w:ascii="宋体" w:hAnsi="Calibri" w:eastAsia="宋体" w:cs="Times New Roman"/>
      <w:kern w:val="0"/>
      <w:szCs w:val="20"/>
    </w:rPr>
  </w:style>
  <w:style w:type="paragraph" w:customStyle="1" w:styleId="353">
    <w:name w:val="样式5"/>
    <w:basedOn w:val="1"/>
    <w:qFormat/>
    <w:uiPriority w:val="0"/>
    <w:pPr>
      <w:widowControl/>
      <w:numPr>
        <w:ilvl w:val="1"/>
        <w:numId w:val="20"/>
      </w:numPr>
      <w:spacing w:before="156" w:beforeLines="50" w:after="156" w:afterLines="50"/>
    </w:pPr>
    <w:rPr>
      <w:rFonts w:ascii="Calibri" w:hAnsi="Calibri" w:eastAsia="宋体" w:cs="Times New Roman"/>
      <w:kern w:val="0"/>
    </w:rPr>
  </w:style>
  <w:style w:type="paragraph" w:customStyle="1" w:styleId="354">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5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6"/>
      <w:szCs w:val="16"/>
    </w:rPr>
  </w:style>
  <w:style w:type="paragraph" w:customStyle="1" w:styleId="356">
    <w:name w:val="样式 标题 1l1I1heading 1h11st levell1+toc 1Chapter title1He..."/>
    <w:basedOn w:val="3"/>
    <w:qFormat/>
    <w:uiPriority w:val="0"/>
    <w:pPr>
      <w:tabs>
        <w:tab w:val="left" w:pos="525"/>
      </w:tabs>
      <w:spacing w:line="360" w:lineRule="auto"/>
    </w:pPr>
    <w:rPr>
      <w:rFonts w:ascii="Calibri" w:hAnsi="Calibri" w:eastAsia="黑体" w:cs="Times New Roman"/>
      <w:bCs/>
      <w:sz w:val="28"/>
      <w:szCs w:val="32"/>
    </w:rPr>
  </w:style>
  <w:style w:type="paragraph" w:customStyle="1" w:styleId="357">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58">
    <w:name w:val="Char1"/>
    <w:basedOn w:val="1"/>
    <w:qFormat/>
    <w:uiPriority w:val="0"/>
    <w:rPr>
      <w:rFonts w:ascii="Calibri" w:hAnsi="Calibri" w:eastAsia="宋体" w:cs="Times New Roman"/>
    </w:rPr>
  </w:style>
  <w:style w:type="paragraph" w:customStyle="1" w:styleId="359">
    <w:name w:val="Char Char Char Char Char Char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360">
    <w:name w:val="MyPoints"/>
    <w:basedOn w:val="1"/>
    <w:qFormat/>
    <w:uiPriority w:val="0"/>
    <w:pPr>
      <w:widowControl/>
      <w:numPr>
        <w:ilvl w:val="0"/>
        <w:numId w:val="0"/>
      </w:numPr>
      <w:ind w:left="936" w:hanging="360"/>
      <w:jc w:val="left"/>
    </w:pPr>
    <w:rPr>
      <w:rFonts w:ascii="Century Gothic" w:hAnsi="Century Gothic" w:eastAsia="宋体" w:cs="Times New Roman"/>
      <w:kern w:val="0"/>
      <w:sz w:val="20"/>
      <w:szCs w:val="20"/>
      <w:lang w:val="en-GB" w:eastAsia="en-US"/>
    </w:rPr>
  </w:style>
  <w:style w:type="paragraph" w:customStyle="1" w:styleId="361">
    <w:name w:val="默认段落字体 Para Char Char Char Char Char Char Char Char Char1 Char Char Char Char Char Char Char"/>
    <w:basedOn w:val="26"/>
    <w:qFormat/>
    <w:uiPriority w:val="0"/>
    <w:rPr>
      <w:rFonts w:ascii="Tahoma" w:hAnsi="Tahoma" w:eastAsia="宋体" w:cs="Times New Roman"/>
      <w:sz w:val="24"/>
      <w:lang w:val="en-US" w:eastAsia="zh-CN"/>
    </w:rPr>
  </w:style>
  <w:style w:type="paragraph" w:customStyle="1" w:styleId="362">
    <w:name w:val="默认段落字体 Para Char Char Char Char Char Char Char"/>
    <w:basedOn w:val="1"/>
    <w:qFormat/>
    <w:uiPriority w:val="0"/>
    <w:pPr>
      <w:jc w:val="left"/>
    </w:pPr>
    <w:rPr>
      <w:rFonts w:ascii="Tahoma" w:hAnsi="Tahoma" w:eastAsia="宋体" w:cs="Times New Roman"/>
      <w:sz w:val="24"/>
      <w:szCs w:val="20"/>
    </w:rPr>
  </w:style>
  <w:style w:type="paragraph" w:customStyle="1" w:styleId="363">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64">
    <w:name w:val="样式 宋体 小四 行距: 1.5 倍行距"/>
    <w:basedOn w:val="1"/>
    <w:qFormat/>
    <w:uiPriority w:val="0"/>
    <w:pPr>
      <w:spacing w:line="360" w:lineRule="auto"/>
      <w:ind w:firstLine="200" w:firstLineChars="200"/>
    </w:pPr>
    <w:rPr>
      <w:rFonts w:ascii="宋体" w:hAnsi="宋体" w:eastAsia="宋体" w:cs="宋体"/>
      <w:sz w:val="24"/>
      <w:szCs w:val="20"/>
    </w:rPr>
  </w:style>
  <w:style w:type="paragraph" w:customStyle="1" w:styleId="365">
    <w:name w:val="font16"/>
    <w:basedOn w:val="1"/>
    <w:qFormat/>
    <w:uiPriority w:val="0"/>
    <w:pPr>
      <w:widowControl/>
      <w:spacing w:before="100" w:beforeLines="0" w:beforeAutospacing="1" w:after="100" w:afterLines="0" w:afterAutospacing="1"/>
      <w:jc w:val="left"/>
    </w:pPr>
    <w:rPr>
      <w:rFonts w:ascii="宋体" w:hAnsi="Calibri" w:eastAsia="宋体" w:cs="宋体"/>
      <w:color w:val="000000"/>
      <w:kern w:val="0"/>
      <w:sz w:val="20"/>
      <w:szCs w:val="20"/>
      <w:lang w:bidi="ar-SA"/>
    </w:rPr>
  </w:style>
  <w:style w:type="paragraph" w:customStyle="1" w:styleId="366">
    <w:name w:val="Char Char"/>
    <w:basedOn w:val="1"/>
    <w:qFormat/>
    <w:uiPriority w:val="0"/>
    <w:rPr>
      <w:rFonts w:ascii="Tahoma" w:hAnsi="Tahoma" w:eastAsia="宋体" w:cs="Times New Roman"/>
      <w:sz w:val="24"/>
      <w:szCs w:val="20"/>
    </w:rPr>
  </w:style>
  <w:style w:type="paragraph" w:customStyle="1" w:styleId="3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68">
    <w:name w:val=" Char"/>
    <w:basedOn w:val="1"/>
    <w:qFormat/>
    <w:uiPriority w:val="0"/>
    <w:rPr>
      <w:rFonts w:ascii="Calibri" w:hAnsi="Calibri" w:eastAsia="宋体" w:cs="Times New Roman"/>
    </w:rPr>
  </w:style>
  <w:style w:type="paragraph" w:customStyle="1" w:styleId="369">
    <w:name w:val="font20"/>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370">
    <w:name w:val="正文1级"/>
    <w:qFormat/>
    <w:uiPriority w:val="0"/>
    <w:pPr>
      <w:widowControl w:val="0"/>
      <w:numPr>
        <w:ilvl w:val="1"/>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71">
    <w:name w:val="def正文"/>
    <w:basedOn w:val="34"/>
    <w:qFormat/>
    <w:uiPriority w:val="0"/>
    <w:pPr>
      <w:widowControl/>
      <w:spacing w:line="360" w:lineRule="auto"/>
      <w:ind w:firstLine="482"/>
      <w:jc w:val="both"/>
    </w:pPr>
    <w:rPr>
      <w:rFonts w:ascii="Times New Roman" w:hAnsi="Calibri" w:eastAsia="宋体" w:cs="Times New Roman"/>
      <w:b/>
      <w:color w:val="000000"/>
      <w:kern w:val="0"/>
    </w:rPr>
  </w:style>
  <w:style w:type="paragraph" w:customStyle="1" w:styleId="372">
    <w:name w:val="font0"/>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customStyle="1" w:styleId="373">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374">
    <w:name w:val="正文-带编号1)"/>
    <w:basedOn w:val="1"/>
    <w:qFormat/>
    <w:uiPriority w:val="0"/>
    <w:pPr>
      <w:tabs>
        <w:tab w:val="left" w:pos="2409"/>
      </w:tabs>
      <w:spacing w:line="400" w:lineRule="exact"/>
      <w:ind w:left="2410"/>
    </w:pPr>
    <w:rPr>
      <w:rFonts w:ascii="Arial" w:hAnsi="Arial" w:eastAsia="宋体" w:cs="Times New Roman"/>
    </w:rPr>
  </w:style>
  <w:style w:type="paragraph" w:customStyle="1" w:styleId="375">
    <w:name w:val="xl71"/>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376">
    <w:name w:val="font11"/>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377">
    <w:name w:val="xl80"/>
    <w:basedOn w:val="1"/>
    <w:qFormat/>
    <w:uiPriority w:val="0"/>
    <w:pPr>
      <w:widowControl/>
      <w:spacing w:before="100" w:beforeLines="0" w:beforeAutospacing="1" w:after="100" w:afterLines="0" w:afterAutospacing="1"/>
      <w:jc w:val="right"/>
    </w:pPr>
    <w:rPr>
      <w:rFonts w:ascii="宋体" w:hAnsi="Calibri" w:eastAsia="宋体" w:cs="宋体"/>
      <w:b/>
      <w:bCs/>
      <w:kern w:val="0"/>
      <w:sz w:val="20"/>
      <w:szCs w:val="20"/>
      <w:lang w:bidi="ar-SA"/>
    </w:rPr>
  </w:style>
  <w:style w:type="paragraph" w:customStyle="1" w:styleId="378">
    <w:name w:val=" Char1 Char Char Char"/>
    <w:basedOn w:val="1"/>
    <w:qFormat/>
    <w:uiPriority w:val="0"/>
    <w:pPr>
      <w:spacing w:line="360" w:lineRule="auto"/>
      <w:ind w:firstLine="200" w:firstLineChars="200"/>
    </w:pPr>
    <w:rPr>
      <w:rFonts w:ascii="宋体" w:hAnsi="宋体" w:eastAsia="宋体" w:cs="宋体"/>
      <w:sz w:val="24"/>
    </w:rPr>
  </w:style>
  <w:style w:type="paragraph" w:customStyle="1" w:styleId="379">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80">
    <w:name w:val="样式 日期 + 行距: 1.5 倍行距"/>
    <w:basedOn w:val="51"/>
    <w:qFormat/>
    <w:uiPriority w:val="0"/>
    <w:pPr>
      <w:widowControl/>
      <w:spacing w:line="360" w:lineRule="auto"/>
      <w:ind w:left="0" w:leftChars="0" w:firstLine="540"/>
    </w:pPr>
    <w:rPr>
      <w:rFonts w:ascii="Calibri" w:hAnsi="Calibri" w:eastAsia="宋体" w:cs="宋体"/>
      <w:kern w:val="0"/>
      <w:szCs w:val="20"/>
    </w:rPr>
  </w:style>
  <w:style w:type="paragraph" w:customStyle="1" w:styleId="381">
    <w:name w:val="xl77"/>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382">
    <w:name w:val="正文(首行缩进）"/>
    <w:basedOn w:val="1"/>
    <w:qFormat/>
    <w:uiPriority w:val="0"/>
    <w:pPr>
      <w:adjustRightInd w:val="0"/>
      <w:snapToGrid w:val="0"/>
      <w:spacing w:line="288" w:lineRule="auto"/>
      <w:ind w:firstLine="200"/>
      <w:jc w:val="left"/>
      <w:textAlignment w:val="baseline"/>
    </w:pPr>
    <w:rPr>
      <w:rFonts w:ascii="宋体" w:hAnsi="宋体" w:eastAsia="宋体" w:cs="Times New Roman"/>
      <w:kern w:val="0"/>
      <w:sz w:val="24"/>
    </w:rPr>
  </w:style>
  <w:style w:type="paragraph" w:customStyle="1" w:styleId="383">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Calibri" w:eastAsia="宋体" w:cs="宋体"/>
      <w:sz w:val="28"/>
      <w:szCs w:val="20"/>
    </w:rPr>
  </w:style>
  <w:style w:type="paragraph" w:customStyle="1" w:styleId="384">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5">
    <w:name w:val="Char"/>
    <w:basedOn w:val="1"/>
    <w:qFormat/>
    <w:uiPriority w:val="0"/>
    <w:rPr>
      <w:rFonts w:ascii="Calibri" w:hAnsi="Calibri" w:eastAsia="宋体" w:cs="Times New Roman"/>
    </w:rPr>
  </w:style>
  <w:style w:type="paragraph" w:customStyle="1" w:styleId="386">
    <w:name w:val="正文3级"/>
    <w:qFormat/>
    <w:uiPriority w:val="0"/>
    <w:pPr>
      <w:widowControl w:val="0"/>
      <w:numPr>
        <w:ilvl w:val="5"/>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87">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388">
    <w:name w:val="Normal Paragraph"/>
    <w:basedOn w:val="1"/>
    <w:qFormat/>
    <w:uiPriority w:val="0"/>
    <w:pPr>
      <w:spacing w:before="100" w:beforeAutospacing="1" w:after="100" w:afterAutospacing="1" w:line="360" w:lineRule="auto"/>
      <w:ind w:firstLine="425"/>
    </w:pPr>
    <w:rPr>
      <w:rFonts w:ascii="Calibri" w:hAnsi="Calibri" w:eastAsia="宋体" w:cs="Times New Roman"/>
      <w:sz w:val="24"/>
    </w:rPr>
  </w:style>
  <w:style w:type="paragraph" w:customStyle="1" w:styleId="3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390">
    <w:name w:val="表格标题小四"/>
    <w:basedOn w:val="1"/>
    <w:next w:val="1"/>
    <w:qFormat/>
    <w:uiPriority w:val="0"/>
    <w:pPr>
      <w:adjustRightInd w:val="0"/>
      <w:snapToGrid w:val="0"/>
      <w:spacing w:line="288" w:lineRule="auto"/>
      <w:jc w:val="center"/>
    </w:pPr>
    <w:rPr>
      <w:rFonts w:ascii="Calibri" w:hAnsi="Calibri" w:eastAsia="黑体" w:cs="Times New Roman"/>
      <w:bCs/>
      <w:snapToGrid w:val="0"/>
      <w:sz w:val="24"/>
    </w:rPr>
  </w:style>
  <w:style w:type="paragraph" w:customStyle="1" w:styleId="391">
    <w:name w:val="(符号)五标题1.1.1"/>
    <w:basedOn w:val="1"/>
    <w:qFormat/>
    <w:uiPriority w:val="0"/>
    <w:pPr>
      <w:numPr>
        <w:ilvl w:val="2"/>
        <w:numId w:val="0"/>
      </w:numPr>
      <w:tabs>
        <w:tab w:val="left" w:pos="862"/>
      </w:tabs>
      <w:spacing w:line="500" w:lineRule="exact"/>
      <w:ind w:left="862" w:hanging="720"/>
    </w:pPr>
    <w:rPr>
      <w:rFonts w:ascii="宋体" w:hAnsi="宋体" w:eastAsia="宋体" w:cs="宋体"/>
      <w:color w:val="000000"/>
      <w:sz w:val="24"/>
      <w:szCs w:val="20"/>
    </w:rPr>
  </w:style>
  <w:style w:type="paragraph" w:customStyle="1" w:styleId="392">
    <w:name w:val="表格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3">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eastAsia="宋体" w:cs="Times New Roman"/>
      <w:b/>
      <w:bCs/>
      <w:color w:val="800000"/>
      <w:kern w:val="0"/>
      <w:sz w:val="24"/>
    </w:rPr>
  </w:style>
  <w:style w:type="paragraph" w:customStyle="1" w:styleId="39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16"/>
      <w:szCs w:val="16"/>
    </w:rPr>
  </w:style>
  <w:style w:type="paragraph" w:customStyle="1" w:styleId="395">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96">
    <w:name w:val="font2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397">
    <w:name w:val="二级条标题"/>
    <w:basedOn w:val="1"/>
    <w:next w:val="1"/>
    <w:qFormat/>
    <w:uiPriority w:val="0"/>
    <w:pPr>
      <w:widowControl/>
      <w:numPr>
        <w:ilvl w:val="3"/>
        <w:numId w:val="21"/>
      </w:numPr>
      <w:jc w:val="left"/>
      <w:outlineLvl w:val="3"/>
    </w:pPr>
    <w:rPr>
      <w:rFonts w:ascii="Calibri" w:hAnsi="Calibri" w:eastAsia="黑体" w:cs="Times New Roman"/>
      <w:kern w:val="0"/>
      <w:szCs w:val="20"/>
    </w:rPr>
  </w:style>
  <w:style w:type="paragraph" w:customStyle="1" w:styleId="398">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9">
    <w:name w:val="题注5"/>
    <w:basedOn w:val="1"/>
    <w:next w:val="22"/>
    <w:qFormat/>
    <w:uiPriority w:val="0"/>
    <w:pPr>
      <w:numPr>
        <w:ilvl w:val="1"/>
        <w:numId w:val="22"/>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400">
    <w:name w:val=" Char Char2 Char"/>
    <w:basedOn w:val="1"/>
    <w:qFormat/>
    <w:uiPriority w:val="0"/>
    <w:pPr>
      <w:widowControl/>
      <w:spacing w:after="160" w:line="240" w:lineRule="exact"/>
      <w:jc w:val="left"/>
    </w:pPr>
    <w:rPr>
      <w:rFonts w:ascii="Arial" w:hAnsi="Arial" w:eastAsia="宋体" w:cs="Times New Roman"/>
      <w:kern w:val="0"/>
      <w:sz w:val="22"/>
      <w:szCs w:val="22"/>
      <w:lang w:eastAsia="en-US"/>
    </w:rPr>
  </w:style>
  <w:style w:type="paragraph" w:customStyle="1" w:styleId="401">
    <w:name w:val=" Char Char Char Char Char Char1 Char"/>
    <w:basedOn w:val="1"/>
    <w:qFormat/>
    <w:uiPriority w:val="0"/>
    <w:pPr>
      <w:widowControl/>
      <w:spacing w:after="160" w:afterLines="0" w:line="240" w:lineRule="exact"/>
      <w:jc w:val="left"/>
    </w:pPr>
    <w:rPr>
      <w:rFonts w:ascii="Verdana" w:hAnsi="Verdana" w:eastAsia="宋体" w:cs="Times New Roman"/>
      <w:kern w:val="0"/>
      <w:szCs w:val="20"/>
      <w:lang w:eastAsia="en-US"/>
    </w:rPr>
  </w:style>
  <w:style w:type="paragraph" w:customStyle="1" w:styleId="402">
    <w:name w:val="font8"/>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403">
    <w:name w:val="编号4级"/>
    <w:qFormat/>
    <w:uiPriority w:val="0"/>
    <w:pPr>
      <w:numPr>
        <w:ilvl w:val="3"/>
        <w:numId w:val="0"/>
      </w:num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04">
    <w:name w:val="(符号)三标题1."/>
    <w:basedOn w:val="1"/>
    <w:qFormat/>
    <w:uiPriority w:val="0"/>
    <w:pPr>
      <w:numPr>
        <w:ilvl w:val="0"/>
        <w:numId w:val="23"/>
      </w:numPr>
      <w:spacing w:before="140" w:after="140" w:line="500" w:lineRule="exact"/>
      <w:outlineLvl w:val="2"/>
    </w:pPr>
    <w:rPr>
      <w:rFonts w:ascii="楷体_GB2312" w:hAnsi="宋体" w:eastAsia="楷体_GB2312" w:cs="宋体"/>
      <w:b/>
      <w:bCs/>
      <w:sz w:val="28"/>
      <w:szCs w:val="20"/>
    </w:rPr>
  </w:style>
  <w:style w:type="paragraph" w:customStyle="1" w:styleId="405">
    <w:name w:val="表格(五号)"/>
    <w:basedOn w:val="1"/>
    <w:qFormat/>
    <w:uiPriority w:val="0"/>
    <w:pPr>
      <w:adjustRightInd w:val="0"/>
      <w:snapToGrid w:val="0"/>
      <w:spacing w:before="60" w:after="60"/>
      <w:ind w:left="11"/>
      <w:jc w:val="center"/>
    </w:pPr>
    <w:rPr>
      <w:rFonts w:ascii="Calibri" w:hAnsi="Calibri" w:eastAsia="宋体" w:cs="Times New Roman"/>
      <w:kern w:val="0"/>
      <w:szCs w:val="20"/>
    </w:rPr>
  </w:style>
  <w:style w:type="paragraph" w:customStyle="1" w:styleId="406">
    <w:name w:val="Char2"/>
    <w:basedOn w:val="1"/>
    <w:qFormat/>
    <w:uiPriority w:val="0"/>
    <w:rPr>
      <w:rFonts w:ascii="Calibri" w:hAnsi="Calibri" w:eastAsia="宋体" w:cs="Times New Roman"/>
    </w:rPr>
  </w:style>
  <w:style w:type="paragraph" w:customStyle="1" w:styleId="407">
    <w:name w:val="Char Char Char1 Char"/>
    <w:basedOn w:val="1"/>
    <w:qFormat/>
    <w:uiPriority w:val="0"/>
    <w:pPr>
      <w:adjustRightInd w:val="0"/>
      <w:textAlignment w:val="baseline"/>
    </w:pPr>
    <w:rPr>
      <w:rFonts w:ascii="Calibri" w:hAnsi="Calibri" w:eastAsia="宋体" w:cs="Times New Roman"/>
      <w:bCs/>
      <w:kern w:val="0"/>
    </w:rPr>
  </w:style>
  <w:style w:type="paragraph" w:customStyle="1" w:styleId="408">
    <w:name w:val="just"/>
    <w:basedOn w:val="1"/>
    <w:qFormat/>
    <w:uiPriority w:val="0"/>
    <w:pPr>
      <w:widowControl/>
      <w:spacing w:before="100" w:beforeAutospacing="1" w:after="100" w:afterAutospacing="1" w:line="360" w:lineRule="auto"/>
      <w:ind w:firstLine="510"/>
    </w:pPr>
    <w:rPr>
      <w:rFonts w:ascii="Geneva" w:hAnsi="Geneva" w:eastAsia="宋体" w:cs="Times New Roman"/>
      <w:kern w:val="0"/>
      <w:sz w:val="24"/>
    </w:rPr>
  </w:style>
  <w:style w:type="paragraph" w:customStyle="1" w:styleId="409">
    <w:name w:val="样式 标题 1 + 段前: 1 行 段后: 1 行1"/>
    <w:basedOn w:val="3"/>
    <w:qFormat/>
    <w:uiPriority w:val="0"/>
    <w:pPr>
      <w:numPr>
        <w:ilvl w:val="0"/>
        <w:numId w:val="24"/>
      </w:numPr>
      <w:snapToGrid w:val="0"/>
      <w:spacing w:before="100" w:beforeLines="100" w:after="100" w:afterLines="100" w:line="360" w:lineRule="auto"/>
    </w:pPr>
    <w:rPr>
      <w:rFonts w:ascii="Calibri" w:hAnsi="Calibri" w:eastAsia="宋体" w:cs="宋体"/>
      <w:bCs/>
      <w:sz w:val="32"/>
    </w:rPr>
  </w:style>
  <w:style w:type="paragraph" w:customStyle="1" w:styleId="410">
    <w:name w:val="Char Char1 Char Char Char Char Char Char Char"/>
    <w:basedOn w:val="1"/>
    <w:qFormat/>
    <w:uiPriority w:val="0"/>
    <w:rPr>
      <w:rFonts w:ascii="Tahoma" w:hAnsi="Tahoma" w:eastAsia="宋体" w:cs="Times New Roman"/>
      <w:sz w:val="24"/>
      <w:szCs w:val="20"/>
    </w:rPr>
  </w:style>
  <w:style w:type="paragraph" w:customStyle="1" w:styleId="411">
    <w:name w:val="pa-0"/>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12">
    <w:name w:val="样式 标题 3h:33H3Kop 3Vl3Level 3 Headh3sect1.2.3Alt+31.1.1..."/>
    <w:basedOn w:val="5"/>
    <w:qFormat/>
    <w:uiPriority w:val="0"/>
    <w:pPr>
      <w:numPr>
        <w:ilvl w:val="2"/>
        <w:numId w:val="12"/>
      </w:numPr>
      <w:spacing w:before="312" w:after="312"/>
    </w:pPr>
    <w:rPr>
      <w:rFonts w:ascii="Calibri" w:hAnsi="Calibri" w:eastAsia="宋体" w:cs="宋体"/>
      <w:sz w:val="30"/>
      <w:szCs w:val="20"/>
      <w:lang w:bidi="ar-SA"/>
    </w:rPr>
  </w:style>
  <w:style w:type="paragraph" w:customStyle="1" w:styleId="413">
    <w:name w:val="bt1bt1"/>
    <w:basedOn w:val="3"/>
    <w:qFormat/>
    <w:uiPriority w:val="0"/>
    <w:pPr>
      <w:spacing w:line="240" w:lineRule="auto"/>
      <w:jc w:val="center"/>
    </w:pPr>
    <w:rPr>
      <w:rFonts w:ascii="黑体" w:hAnsi="Calibri" w:eastAsia="黑体" w:cs="Times New Roman"/>
      <w:b w:val="0"/>
      <w:bCs/>
      <w:sz w:val="36"/>
      <w:szCs w:val="36"/>
    </w:rPr>
  </w:style>
  <w:style w:type="paragraph" w:customStyle="1" w:styleId="414">
    <w:name w:val="样式 标题 1章H11. heading 1标准章Alt+1h1Huvudrubrikh11h12h13h..."/>
    <w:basedOn w:val="1"/>
    <w:qFormat/>
    <w:uiPriority w:val="0"/>
    <w:rPr>
      <w:rFonts w:ascii="Calibri" w:hAnsi="Calibri" w:eastAsia="宋体" w:cs="Times New Roman"/>
    </w:rPr>
  </w:style>
  <w:style w:type="paragraph" w:customStyle="1" w:styleId="415">
    <w:name w:val="font15"/>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16">
    <w:name w:val="xl786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17">
    <w:name w:val="xl82"/>
    <w:basedOn w:val="1"/>
    <w:qFormat/>
    <w:uiPriority w:val="0"/>
    <w:pPr>
      <w:widowControl/>
      <w:spacing w:before="100" w:beforeLines="0" w:beforeAutospacing="1" w:after="100" w:afterLines="0" w:afterAutospacing="1"/>
    </w:pPr>
    <w:rPr>
      <w:rFonts w:ascii="宋体" w:hAnsi="Calibri" w:eastAsia="宋体" w:cs="宋体"/>
      <w:b/>
      <w:bCs/>
      <w:kern w:val="0"/>
      <w:sz w:val="20"/>
      <w:szCs w:val="20"/>
      <w:lang w:bidi="ar-SA"/>
    </w:rPr>
  </w:style>
  <w:style w:type="paragraph" w:customStyle="1" w:styleId="418">
    <w:name w:val="表3"/>
    <w:basedOn w:val="300"/>
    <w:qFormat/>
    <w:uiPriority w:val="0"/>
    <w:pPr>
      <w:numPr>
        <w:ilvl w:val="0"/>
        <w:numId w:val="22"/>
      </w:numPr>
    </w:pPr>
    <w:rPr>
      <w:rFonts w:ascii="Calibri" w:hAnsi="Calibri" w:eastAsia="宋体" w:cs="Times New Roman"/>
    </w:rPr>
  </w:style>
  <w:style w:type="paragraph" w:customStyle="1" w:styleId="419">
    <w:name w:val="CM19"/>
    <w:basedOn w:val="138"/>
    <w:next w:val="138"/>
    <w:qFormat/>
    <w:uiPriority w:val="0"/>
    <w:pPr>
      <w:spacing w:line="440" w:lineRule="atLeast"/>
    </w:pPr>
    <w:rPr>
      <w:rFonts w:ascii="方正小标宋简体" w:hAnsi="Calibri" w:eastAsia="方正小标宋简体" w:cs="Times New Roman"/>
      <w:color w:val="auto"/>
    </w:rPr>
  </w:style>
  <w:style w:type="paragraph" w:customStyle="1" w:styleId="420">
    <w:name w:val="font5"/>
    <w:basedOn w:val="1"/>
    <w:qFormat/>
    <w:uiPriority w:val="0"/>
    <w:pPr>
      <w:widowControl/>
      <w:spacing w:before="100" w:beforeLines="0" w:beforeAutospacing="1" w:after="100" w:afterLines="0" w:afterAutospacing="1"/>
      <w:jc w:val="left"/>
    </w:pPr>
    <w:rPr>
      <w:rFonts w:ascii="宋体" w:hAnsi="Calibri" w:eastAsia="宋体" w:cs="宋体"/>
      <w:kern w:val="0"/>
      <w:sz w:val="18"/>
      <w:szCs w:val="18"/>
      <w:lang w:bidi="ar-SA"/>
    </w:rPr>
  </w:style>
  <w:style w:type="paragraph" w:customStyle="1" w:styleId="421">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22">
    <w:name w:val="xl81"/>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23">
    <w:name w:val="List Paragraph1"/>
    <w:basedOn w:val="1"/>
    <w:qFormat/>
    <w:uiPriority w:val="34"/>
    <w:pPr>
      <w:ind w:firstLine="420" w:firstLineChars="200"/>
    </w:pPr>
  </w:style>
  <w:style w:type="paragraph" w:customStyle="1" w:styleId="424">
    <w:name w:val="10"/>
    <w:basedOn w:val="1"/>
    <w:qFormat/>
    <w:uiPriority w:val="0"/>
    <w:pPr>
      <w:spacing w:line="360" w:lineRule="auto"/>
      <w:ind w:firstLine="454"/>
    </w:pPr>
    <w:rPr>
      <w:rFonts w:ascii="Tahoma" w:hAnsi="Tahoma" w:eastAsia="宋体" w:cs="Times New Roman"/>
      <w:sz w:val="24"/>
      <w:szCs w:val="20"/>
    </w:rPr>
  </w:style>
  <w:style w:type="paragraph" w:customStyle="1" w:styleId="425">
    <w:name w:val="(符号)四标题1.1"/>
    <w:basedOn w:val="1"/>
    <w:qFormat/>
    <w:uiPriority w:val="0"/>
    <w:pPr>
      <w:numPr>
        <w:ilvl w:val="1"/>
        <w:numId w:val="0"/>
      </w:numPr>
      <w:tabs>
        <w:tab w:val="left" w:pos="576"/>
      </w:tabs>
      <w:spacing w:line="500" w:lineRule="exact"/>
      <w:ind w:left="576" w:hanging="576"/>
    </w:pPr>
    <w:rPr>
      <w:rFonts w:ascii="宋体" w:hAnsi="宋体" w:eastAsia="宋体" w:cs="宋体"/>
      <w:color w:val="000000"/>
      <w:kern w:val="0"/>
      <w:sz w:val="24"/>
      <w:szCs w:val="20"/>
    </w:rPr>
  </w:style>
  <w:style w:type="paragraph" w:customStyle="1" w:styleId="426">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eastAsia="宋体" w:cs="Times New Roman"/>
      <w:b/>
      <w:bCs/>
      <w:color w:val="800000"/>
      <w:kern w:val="0"/>
      <w:sz w:val="24"/>
    </w:rPr>
  </w:style>
  <w:style w:type="paragraph" w:customStyle="1" w:styleId="4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28">
    <w:name w:val="xl6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29">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43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eastAsia="宋体" w:cs="Arial"/>
      <w:snapToGrid w:val="0"/>
      <w:kern w:val="0"/>
      <w:szCs w:val="21"/>
    </w:rPr>
  </w:style>
  <w:style w:type="paragraph" w:customStyle="1" w:styleId="431">
    <w:name w:val="font13"/>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32">
    <w:name w:val="默认段落字体 Para Char Char Char Char Char Char Char Char Char Char Char Char Char Char"/>
    <w:basedOn w:val="26"/>
    <w:qFormat/>
    <w:uiPriority w:val="0"/>
    <w:rPr>
      <w:rFonts w:ascii="Calibri" w:hAnsi="Calibri" w:eastAsia="宋体" w:cs="Times New Roman"/>
    </w:rPr>
  </w:style>
  <w:style w:type="paragraph" w:customStyle="1" w:styleId="433">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4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435">
    <w:name w:val="xl68"/>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36">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43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38">
    <w:name w:val="xl78"/>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4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styleId="44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441">
    <w:name w:val="xl66"/>
    <w:basedOn w:val="1"/>
    <w:qFormat/>
    <w:uiPriority w:val="0"/>
    <w:pPr>
      <w:widowControl/>
      <w:spacing w:before="100" w:beforeLines="0" w:beforeAutospacing="1" w:after="100" w:afterLines="0" w:afterAutospacing="1"/>
      <w:jc w:val="center"/>
    </w:pPr>
    <w:rPr>
      <w:rFonts w:ascii="宋体" w:hAnsi="Calibri" w:eastAsia="宋体" w:cs="宋体"/>
      <w:b/>
      <w:bCs/>
      <w:kern w:val="0"/>
      <w:sz w:val="20"/>
      <w:szCs w:val="20"/>
      <w:lang w:bidi="ar-SA"/>
    </w:rPr>
  </w:style>
  <w:style w:type="paragraph" w:customStyle="1" w:styleId="442">
    <w:name w:val="xl76"/>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43">
    <w:name w:val="font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16"/>
      <w:szCs w:val="16"/>
    </w:rPr>
  </w:style>
  <w:style w:type="paragraph" w:customStyle="1" w:styleId="44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6">
    <w:name w:val="列出段落1"/>
    <w:basedOn w:val="1"/>
    <w:qFormat/>
    <w:uiPriority w:val="0"/>
    <w:pPr>
      <w:ind w:firstLine="420" w:firstLineChars="200"/>
    </w:pPr>
    <w:rPr>
      <w:rFonts w:ascii="Calibri" w:hAnsi="Calibri" w:eastAsia="宋体" w:cs="Times New Roman"/>
      <w:szCs w:val="22"/>
    </w:rPr>
  </w:style>
  <w:style w:type="paragraph" w:customStyle="1" w:styleId="447">
    <w:name w:val="6"/>
    <w:next w:val="1"/>
    <w:qFormat/>
    <w:uiPriority w:val="0"/>
    <w:pPr>
      <w:widowControl w:val="0"/>
      <w:adjustRightInd w:val="0"/>
      <w:spacing w:line="312" w:lineRule="atLeast"/>
      <w:jc w:val="both"/>
      <w:textAlignment w:val="baseline"/>
    </w:pPr>
    <w:rPr>
      <w:rFonts w:ascii="Calibri" w:hAnsi="Calibri" w:eastAsia="仿宋" w:cs="Times New Roman"/>
      <w:sz w:val="32"/>
      <w:lang w:val="en-US" w:eastAsia="zh-CN" w:bidi="ar-SA"/>
    </w:rPr>
  </w:style>
  <w:style w:type="paragraph" w:customStyle="1" w:styleId="448">
    <w:name w:val="表格正文（5号）"/>
    <w:basedOn w:val="1"/>
    <w:qFormat/>
    <w:uiPriority w:val="0"/>
    <w:pPr>
      <w:adjustRightInd w:val="0"/>
      <w:snapToGrid w:val="0"/>
      <w:spacing w:line="264" w:lineRule="auto"/>
      <w:jc w:val="center"/>
      <w:textAlignment w:val="baseline"/>
    </w:pPr>
    <w:rPr>
      <w:rFonts w:ascii="Calibri" w:hAnsi="Calibri" w:eastAsia="宋体" w:cs="Times New Roman"/>
      <w:snapToGrid w:val="0"/>
      <w:kern w:val="0"/>
      <w:sz w:val="24"/>
      <w:szCs w:val="20"/>
    </w:rPr>
  </w:style>
  <w:style w:type="paragraph" w:customStyle="1" w:styleId="449">
    <w:name w:val="图1"/>
    <w:basedOn w:val="1"/>
    <w:next w:val="1"/>
    <w:qFormat/>
    <w:uiPriority w:val="0"/>
    <w:pPr>
      <w:numPr>
        <w:ilvl w:val="0"/>
        <w:numId w:val="21"/>
      </w:numPr>
      <w:spacing w:beforeLines="50" w:afterLines="100" w:line="360" w:lineRule="auto"/>
      <w:ind w:left="2210" w:hanging="748"/>
      <w:jc w:val="center"/>
    </w:pPr>
    <w:rPr>
      <w:rFonts w:ascii="Calibri" w:hAnsi="Calibri" w:eastAsia="宋体" w:cs="Times New Roman"/>
      <w:kern w:val="0"/>
      <w:sz w:val="24"/>
    </w:rPr>
  </w:style>
  <w:style w:type="paragraph" w:customStyle="1" w:styleId="450">
    <w:name w:val="pa-2"/>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51">
    <w:name w:val="xl7876"/>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452">
    <w:name w:val="样式 首行缩进:  0.85 厘米 段前: 2.5 磅 段后: 6 磅 行距: 1.5 倍行距"/>
    <w:basedOn w:val="1"/>
    <w:qFormat/>
    <w:uiPriority w:val="0"/>
    <w:pPr>
      <w:spacing w:before="50" w:after="120" w:line="360" w:lineRule="auto"/>
      <w:ind w:firstLine="480"/>
    </w:pPr>
    <w:rPr>
      <w:rFonts w:ascii="Calibri" w:hAnsi="Calibri" w:eastAsia="宋体" w:cs="宋体"/>
      <w:sz w:val="24"/>
      <w:szCs w:val="20"/>
    </w:rPr>
  </w:style>
  <w:style w:type="paragraph" w:customStyle="1" w:styleId="453">
    <w:name w:val="font12"/>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54">
    <w:name w:val="自由格式"/>
    <w:qFormat/>
    <w:uiPriority w:val="0"/>
    <w:rPr>
      <w:rFonts w:ascii="Helvetica" w:hAnsi="Helvetica" w:eastAsia="ヒラギノ角ゴ Pro W3" w:cs="Times New Roman"/>
      <w:color w:val="000000"/>
      <w:sz w:val="24"/>
      <w:lang w:val="en-US" w:eastAsia="zh-CN" w:bidi="ar-SA"/>
    </w:rPr>
  </w:style>
  <w:style w:type="paragraph" w:customStyle="1" w:styleId="455">
    <w:name w:val="È±Ê¡ÎÄ±¾"/>
    <w:basedOn w:val="1"/>
    <w:qFormat/>
    <w:uiPriority w:val="0"/>
    <w:pPr>
      <w:widowControl/>
      <w:overflowPunct w:val="0"/>
      <w:autoSpaceDE w:val="0"/>
      <w:autoSpaceDN w:val="0"/>
      <w:adjustRightInd w:val="0"/>
      <w:jc w:val="left"/>
      <w:textAlignment w:val="baseline"/>
    </w:pPr>
    <w:rPr>
      <w:rFonts w:ascii="Calibri" w:hAnsi="Calibri" w:eastAsia="宋体" w:cs="Times New Roman"/>
      <w:kern w:val="0"/>
      <w:sz w:val="24"/>
      <w:szCs w:val="20"/>
    </w:rPr>
  </w:style>
  <w:style w:type="paragraph" w:customStyle="1" w:styleId="456">
    <w:name w:val="样式 小四 首行缩进:  2 字符"/>
    <w:basedOn w:val="1"/>
    <w:qFormat/>
    <w:uiPriority w:val="0"/>
    <w:pPr>
      <w:spacing w:line="300" w:lineRule="auto"/>
      <w:ind w:firstLine="480" w:firstLineChars="200"/>
    </w:pPr>
    <w:rPr>
      <w:rFonts w:ascii="Calibri" w:hAnsi="Calibri" w:eastAsia="宋体" w:cs="Times New Roman"/>
      <w:sz w:val="24"/>
      <w:szCs w:val="20"/>
    </w:rPr>
  </w:style>
  <w:style w:type="paragraph" w:customStyle="1" w:styleId="457">
    <w:name w:val="p0"/>
    <w:basedOn w:val="1"/>
    <w:qFormat/>
    <w:uiPriority w:val="0"/>
    <w:pPr>
      <w:widowControl/>
    </w:pPr>
    <w:rPr>
      <w:rFonts w:ascii="Courier New" w:hAnsi="Courier New" w:eastAsia="宋体" w:cs="Courier New"/>
      <w:kern w:val="0"/>
      <w:szCs w:val="21"/>
      <w:lang w:bidi="ar-SA"/>
    </w:rPr>
  </w:style>
  <w:style w:type="paragraph" w:customStyle="1" w:styleId="458">
    <w:name w:val="xl67"/>
    <w:basedOn w:val="1"/>
    <w:qFormat/>
    <w:uiPriority w:val="0"/>
    <w:pPr>
      <w:widowControl/>
      <w:spacing w:before="100" w:beforeLines="0" w:beforeAutospacing="1" w:after="100" w:afterLines="0" w:afterAutospacing="1"/>
      <w:jc w:val="center"/>
    </w:pPr>
    <w:rPr>
      <w:rFonts w:ascii="宋体" w:hAnsi="Calibri" w:eastAsia="宋体" w:cs="宋体"/>
      <w:kern w:val="0"/>
      <w:sz w:val="20"/>
      <w:szCs w:val="20"/>
      <w:lang w:bidi="ar-SA"/>
    </w:rPr>
  </w:style>
  <w:style w:type="paragraph" w:customStyle="1" w:styleId="459">
    <w:name w:val="三级条标题"/>
    <w:basedOn w:val="397"/>
    <w:next w:val="1"/>
    <w:qFormat/>
    <w:uiPriority w:val="0"/>
    <w:pPr>
      <w:numPr>
        <w:ilvl w:val="4"/>
        <w:numId w:val="21"/>
      </w:numPr>
      <w:tabs>
        <w:tab w:val="left" w:pos="360"/>
      </w:tabs>
      <w:outlineLvl w:val="4"/>
    </w:pPr>
    <w:rPr>
      <w:rFonts w:ascii="Calibri" w:hAnsi="Calibri" w:eastAsia="宋体" w:cs="Times New Roman"/>
    </w:rPr>
  </w:style>
  <w:style w:type="paragraph" w:customStyle="1" w:styleId="460">
    <w:name w:val="样式 样式 样式 左侧:  2 字符1 + 首行缩进:  2 字符1 + 首行缩进:  2 字符"/>
    <w:basedOn w:val="1"/>
    <w:qFormat/>
    <w:uiPriority w:val="0"/>
    <w:pPr>
      <w:widowControl/>
      <w:numPr>
        <w:ilvl w:val="0"/>
        <w:numId w:val="25"/>
      </w:numPr>
      <w:adjustRightInd w:val="0"/>
      <w:spacing w:before="60" w:after="120" w:line="440" w:lineRule="atLeast"/>
      <w:ind w:left="0" w:firstLine="480"/>
      <w:textAlignment w:val="baseline"/>
    </w:pPr>
    <w:rPr>
      <w:rFonts w:ascii="Calibri" w:hAnsi="Calibri" w:eastAsia="宋体" w:cs="Times New Roman"/>
      <w:sz w:val="24"/>
      <w:szCs w:val="20"/>
    </w:rPr>
  </w:style>
  <w:style w:type="paragraph" w:customStyle="1" w:styleId="461">
    <w:name w:val="Notes Text List in Table"/>
    <w:qFormat/>
    <w:uiPriority w:val="0"/>
    <w:pPr>
      <w:numPr>
        <w:ilvl w:val="0"/>
        <w:numId w:val="26"/>
      </w:numPr>
      <w:spacing w:before="40" w:after="80" w:line="200" w:lineRule="atLeast"/>
      <w:jc w:val="both"/>
    </w:pPr>
    <w:rPr>
      <w:rFonts w:ascii="Arial" w:hAnsi="Arial" w:eastAsia="楷体_GB2312" w:cs="楷体_GB2312"/>
      <w:sz w:val="18"/>
      <w:szCs w:val="18"/>
      <w:lang w:val="en-US" w:eastAsia="zh-CN" w:bidi="ar-SA"/>
    </w:rPr>
  </w:style>
  <w:style w:type="paragraph" w:customStyle="1" w:styleId="462">
    <w:name w:val="pa-3"/>
    <w:basedOn w:val="1"/>
    <w:qFormat/>
    <w:uiPriority w:val="0"/>
    <w:pPr>
      <w:widowControl/>
      <w:spacing w:before="150" w:beforeLines="0" w:after="150" w:afterLines="0"/>
      <w:jc w:val="left"/>
    </w:pPr>
    <w:rPr>
      <w:rFonts w:ascii="宋体" w:hAnsi="Calibri" w:eastAsia="宋体" w:cs="宋体"/>
      <w:kern w:val="0"/>
      <w:sz w:val="24"/>
      <w:lang w:bidi="ar-SA"/>
    </w:rPr>
  </w:style>
  <w:style w:type="paragraph" w:customStyle="1" w:styleId="463">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eastAsia="宋体" w:cs="宋体"/>
      <w:b/>
      <w:bCs/>
      <w:color w:val="000000"/>
      <w:kern w:val="0"/>
      <w:sz w:val="20"/>
      <w:szCs w:val="20"/>
    </w:rPr>
  </w:style>
  <w:style w:type="paragraph" w:customStyle="1" w:styleId="464">
    <w:name w:val=" Char Char Char Char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465">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eastAsia="宋体" w:cs="Times New Roman"/>
      <w:color w:val="000000"/>
      <w:kern w:val="0"/>
      <w:sz w:val="24"/>
    </w:rPr>
  </w:style>
  <w:style w:type="paragraph" w:customStyle="1" w:styleId="466">
    <w:name w:val="haikang"/>
    <w:basedOn w:val="1"/>
    <w:qFormat/>
    <w:uiPriority w:val="0"/>
    <w:pPr>
      <w:widowControl/>
      <w:spacing w:before="100" w:beforeAutospacing="1" w:after="100" w:afterAutospacing="1"/>
      <w:jc w:val="left"/>
    </w:pPr>
    <w:rPr>
      <w:rFonts w:ascii="Calibri" w:hAnsi="Calibri" w:eastAsia="仿宋" w:cs="Times New Roman"/>
      <w:color w:val="000000"/>
      <w:kern w:val="0"/>
      <w:sz w:val="18"/>
      <w:szCs w:val="18"/>
    </w:rPr>
  </w:style>
  <w:style w:type="paragraph" w:customStyle="1" w:styleId="467">
    <w:name w:val="封面中部"/>
    <w:basedOn w:val="1"/>
    <w:qFormat/>
    <w:uiPriority w:val="0"/>
    <w:pPr>
      <w:tabs>
        <w:tab w:val="left" w:pos="5040"/>
      </w:tabs>
      <w:adjustRightInd w:val="0"/>
      <w:spacing w:line="300" w:lineRule="auto"/>
      <w:ind w:firstLine="899" w:firstLineChars="281"/>
      <w:textAlignment w:val="baseline"/>
    </w:pPr>
    <w:rPr>
      <w:rFonts w:ascii="黑体" w:hAnsi="Calibri" w:eastAsia="黑体" w:cs="Times New Roman"/>
      <w:kern w:val="0"/>
      <w:sz w:val="32"/>
      <w:szCs w:val="32"/>
    </w:rPr>
  </w:style>
  <w:style w:type="paragraph" w:customStyle="1" w:styleId="468">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469">
    <w:name w:val="xl79"/>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70">
    <w:name w:val="font18"/>
    <w:basedOn w:val="1"/>
    <w:qFormat/>
    <w:uiPriority w:val="0"/>
    <w:pPr>
      <w:widowControl/>
      <w:spacing w:before="100" w:beforeLines="0" w:beforeAutospacing="1" w:after="100" w:afterLines="0" w:afterAutospacing="1"/>
      <w:jc w:val="left"/>
    </w:pPr>
    <w:rPr>
      <w:rFonts w:ascii="宋体" w:hAnsi="Calibri" w:eastAsia="宋体" w:cs="宋体"/>
      <w:b/>
      <w:bCs/>
      <w:color w:val="000000"/>
      <w:kern w:val="0"/>
      <w:sz w:val="20"/>
      <w:szCs w:val="20"/>
      <w:lang w:bidi="ar-SA"/>
    </w:rPr>
  </w:style>
  <w:style w:type="paragraph" w:customStyle="1" w:styleId="471">
    <w:name w:val="_Style 470"/>
    <w:basedOn w:val="3"/>
    <w:next w:val="1"/>
    <w:qFormat/>
    <w:uiPriority w:val="0"/>
    <w:pPr>
      <w:spacing w:line="578" w:lineRule="auto"/>
      <w:outlineLvl w:val="9"/>
    </w:pPr>
    <w:rPr>
      <w:rFonts w:ascii="Calibri" w:hAnsi="Calibri" w:eastAsia="宋体" w:cs="Times New Roman"/>
      <w:bCs/>
      <w:szCs w:val="44"/>
      <w:lang w:val="en-US" w:eastAsia="zh-CN"/>
    </w:rPr>
  </w:style>
  <w:style w:type="paragraph" w:customStyle="1" w:styleId="472">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473">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6"/>
      <w:szCs w:val="16"/>
    </w:rPr>
  </w:style>
  <w:style w:type="paragraph" w:customStyle="1" w:styleId="474">
    <w:name w:val="font7"/>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75">
    <w:name w:val="Char Char2 Char"/>
    <w:basedOn w:val="1"/>
    <w:qFormat/>
    <w:uiPriority w:val="0"/>
    <w:pPr>
      <w:widowControl/>
      <w:spacing w:after="160" w:line="240" w:lineRule="exact"/>
      <w:jc w:val="left"/>
    </w:pPr>
    <w:rPr>
      <w:rFonts w:ascii="Arial" w:hAnsi="Arial" w:eastAsia="宋体" w:cs="Times New Roman"/>
      <w:kern w:val="0"/>
      <w:sz w:val="22"/>
      <w:szCs w:val="22"/>
      <w:lang w:eastAsia="en-US"/>
    </w:rPr>
  </w:style>
  <w:style w:type="paragraph" w:customStyle="1" w:styleId="476">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7">
    <w:name w:val="xl787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8">
    <w:name w:val="Char Char Char Char1"/>
    <w:basedOn w:val="1"/>
    <w:qFormat/>
    <w:uiPriority w:val="0"/>
    <w:pPr>
      <w:tabs>
        <w:tab w:val="left" w:pos="360"/>
      </w:tabs>
      <w:ind w:firstLine="150" w:firstLineChars="150"/>
    </w:pPr>
    <w:rPr>
      <w:rFonts w:ascii="Arial" w:hAnsi="Arial" w:eastAsia="宋体" w:cs="Arial"/>
      <w:sz w:val="20"/>
      <w:szCs w:val="20"/>
      <w:lang w:bidi="ar-SA"/>
    </w:rPr>
  </w:style>
  <w:style w:type="paragraph" w:customStyle="1" w:styleId="479">
    <w:name w:val="编号2级"/>
    <w:qFormat/>
    <w:uiPriority w:val="0"/>
    <w:pPr>
      <w:spacing w:after="20" w:afterLines="20" w:line="400" w:lineRule="exact"/>
    </w:pPr>
    <w:rPr>
      <w:rFonts w:ascii="Calibri" w:hAnsi="Calibri" w:eastAsia="Times New Roman" w:cs="Times New Roman"/>
      <w:kern w:val="2"/>
      <w:sz w:val="24"/>
      <w:szCs w:val="24"/>
      <w:lang w:val="en-US" w:eastAsia="zh-CN" w:bidi="ar-SA"/>
    </w:rPr>
  </w:style>
  <w:style w:type="paragraph" w:customStyle="1" w:styleId="4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48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rPr>
  </w:style>
  <w:style w:type="paragraph" w:customStyle="1" w:styleId="482">
    <w:name w:val="CM64"/>
    <w:basedOn w:val="138"/>
    <w:next w:val="138"/>
    <w:qFormat/>
    <w:uiPriority w:val="0"/>
    <w:pPr>
      <w:spacing w:after="415"/>
    </w:pPr>
    <w:rPr>
      <w:rFonts w:ascii="黑体" w:hAnsi="Calibri" w:eastAsia="黑体" w:cs="Times New Roman"/>
      <w:color w:val="auto"/>
    </w:rPr>
  </w:style>
  <w:style w:type="paragraph" w:customStyle="1" w:styleId="483">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cs="Times New Roman"/>
      <w:b/>
      <w:bCs/>
      <w:kern w:val="0"/>
      <w:sz w:val="24"/>
    </w:rPr>
  </w:style>
  <w:style w:type="paragraph" w:customStyle="1" w:styleId="484">
    <w:name w:val="font14"/>
    <w:basedOn w:val="1"/>
    <w:qFormat/>
    <w:uiPriority w:val="0"/>
    <w:pPr>
      <w:widowControl/>
      <w:spacing w:before="100" w:beforeLines="0" w:beforeAutospacing="1" w:after="100" w:afterLines="0" w:afterAutospacing="1"/>
      <w:jc w:val="left"/>
    </w:pPr>
    <w:rPr>
      <w:rFonts w:ascii="宋体" w:hAnsi="Calibri" w:eastAsia="宋体" w:cs="宋体"/>
      <w:kern w:val="0"/>
      <w:sz w:val="20"/>
      <w:szCs w:val="20"/>
      <w:lang w:bidi="ar-SA"/>
    </w:rPr>
  </w:style>
  <w:style w:type="paragraph" w:customStyle="1" w:styleId="485">
    <w:name w:val="样式 标题 2 + 宋体 小三 段前: 0 磅 段后: 12 磅 行距: 1.5 倍行距"/>
    <w:basedOn w:val="4"/>
    <w:qFormat/>
    <w:uiPriority w:val="0"/>
    <w:pPr>
      <w:numPr>
        <w:ilvl w:val="1"/>
        <w:numId w:val="26"/>
      </w:numPr>
      <w:spacing w:before="0" w:after="240" w:afterLines="100" w:line="360" w:lineRule="auto"/>
    </w:pPr>
    <w:rPr>
      <w:rFonts w:ascii="宋体" w:hAnsi="宋体" w:eastAsia="宋体" w:cs="宋体"/>
      <w:sz w:val="30"/>
      <w:szCs w:val="20"/>
    </w:rPr>
  </w:style>
  <w:style w:type="paragraph" w:customStyle="1" w:styleId="486">
    <w:name w:val="样式 标题 3标题 3 Char Char Char Char(A-3)sect1.2.3h3H3 + 加粗 段前:..."/>
    <w:basedOn w:val="5"/>
    <w:qFormat/>
    <w:uiPriority w:val="0"/>
    <w:pPr>
      <w:keepNext w:val="0"/>
      <w:tabs>
        <w:tab w:val="left" w:pos="1080"/>
      </w:tabs>
      <w:spacing w:before="120" w:after="0"/>
    </w:pPr>
    <w:rPr>
      <w:rFonts w:ascii="Calibri" w:hAnsi="Calibri" w:eastAsia="黑体" w:cs="宋体"/>
      <w:b w:val="0"/>
      <w:sz w:val="24"/>
      <w:szCs w:val="20"/>
      <w:lang w:bidi="ar-SA"/>
    </w:rPr>
  </w:style>
  <w:style w:type="paragraph" w:customStyle="1" w:styleId="487">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宋体"/>
      <w:b/>
      <w:bCs/>
      <w:kern w:val="0"/>
      <w:sz w:val="16"/>
      <w:szCs w:val="16"/>
    </w:rPr>
  </w:style>
  <w:style w:type="paragraph" w:customStyle="1" w:styleId="488">
    <w:name w:val="font23"/>
    <w:basedOn w:val="1"/>
    <w:qFormat/>
    <w:uiPriority w:val="0"/>
    <w:pPr>
      <w:widowControl/>
      <w:spacing w:before="100" w:beforeLines="0" w:beforeAutospacing="1" w:after="100" w:afterLines="0" w:afterAutospacing="1"/>
      <w:jc w:val="left"/>
    </w:pPr>
    <w:rPr>
      <w:rFonts w:ascii="宋体" w:hAnsi="Calibri" w:eastAsia="宋体" w:cs="宋体"/>
      <w:color w:val="000000"/>
      <w:kern w:val="0"/>
      <w:sz w:val="20"/>
      <w:szCs w:val="20"/>
      <w:lang w:bidi="ar-SA"/>
    </w:rPr>
  </w:style>
  <w:style w:type="paragraph" w:customStyle="1" w:styleId="489">
    <w:name w:val="正文文本 21"/>
    <w:basedOn w:val="1"/>
    <w:qFormat/>
    <w:uiPriority w:val="0"/>
    <w:pPr>
      <w:autoSpaceDE w:val="0"/>
      <w:autoSpaceDN w:val="0"/>
      <w:adjustRightInd w:val="0"/>
      <w:spacing w:line="360" w:lineRule="atLeast"/>
      <w:textAlignment w:val="baseline"/>
    </w:pPr>
    <w:rPr>
      <w:rFonts w:ascii="Calibri" w:hAnsi="Calibri" w:eastAsia="宋体" w:cs="Times New Roman"/>
      <w:kern w:val="0"/>
      <w:sz w:val="24"/>
      <w:szCs w:val="20"/>
    </w:rPr>
  </w:style>
  <w:style w:type="paragraph" w:customStyle="1" w:styleId="490">
    <w:name w:val="font6"/>
    <w:basedOn w:val="1"/>
    <w:qFormat/>
    <w:uiPriority w:val="0"/>
    <w:pPr>
      <w:widowControl/>
      <w:spacing w:before="100" w:beforeLines="0" w:beforeAutospacing="1" w:after="100" w:afterLines="0" w:afterAutospacing="1"/>
      <w:jc w:val="left"/>
    </w:pPr>
    <w:rPr>
      <w:rFonts w:ascii="宋体" w:hAnsi="Calibri" w:eastAsia="宋体" w:cs="宋体"/>
      <w:b/>
      <w:bCs/>
      <w:kern w:val="0"/>
      <w:sz w:val="20"/>
      <w:szCs w:val="20"/>
      <w:lang w:bidi="ar-SA"/>
    </w:rPr>
  </w:style>
  <w:style w:type="paragraph" w:customStyle="1" w:styleId="491">
    <w:name w:val="样式2"/>
    <w:basedOn w:val="1"/>
    <w:qFormat/>
    <w:uiPriority w:val="0"/>
    <w:pPr>
      <w:spacing w:line="360" w:lineRule="auto"/>
      <w:ind w:firstLine="200" w:firstLineChars="200"/>
    </w:pPr>
    <w:rPr>
      <w:rFonts w:ascii="宋体" w:hAnsi="宋体" w:eastAsia="宋体" w:cs="Times New Roman"/>
      <w:sz w:val="24"/>
    </w:rPr>
  </w:style>
  <w:style w:type="table" w:customStyle="1" w:styleId="492">
    <w:name w:val="网格型1"/>
    <w:basedOn w:val="8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答复表头"/>
    <w:basedOn w:val="494"/>
    <w:next w:val="1"/>
    <w:qFormat/>
    <w:uiPriority w:val="0"/>
    <w:pPr>
      <w:tabs>
        <w:tab w:val="left" w:pos="480"/>
      </w:tabs>
    </w:pPr>
    <w:rPr>
      <w:b/>
    </w:rPr>
  </w:style>
  <w:style w:type="paragraph" w:customStyle="1" w:styleId="49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95">
    <w:name w:val="NormalCharacter"/>
    <w:qFormat/>
    <w:uiPriority w:val="0"/>
  </w:style>
  <w:style w:type="paragraph" w:customStyle="1" w:styleId="496">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character" w:customStyle="1" w:styleId="497">
    <w:name w:val="font31"/>
    <w:basedOn w:val="90"/>
    <w:qFormat/>
    <w:uiPriority w:val="0"/>
    <w:rPr>
      <w:rFonts w:hint="eastAsia" w:ascii="仿宋" w:hAnsi="仿宋" w:eastAsia="仿宋" w:cs="仿宋"/>
      <w:b/>
      <w:bCs/>
      <w:color w:val="000000"/>
      <w:sz w:val="22"/>
      <w:szCs w:val="22"/>
      <w:u w:val="none"/>
    </w:rPr>
  </w:style>
  <w:style w:type="character" w:customStyle="1" w:styleId="498">
    <w:name w:val="font41"/>
    <w:qFormat/>
    <w:uiPriority w:val="0"/>
    <w:rPr>
      <w:rFonts w:hint="eastAsia" w:ascii="仿宋" w:hAnsi="仿宋" w:eastAsia="仿宋" w:cs="仿宋"/>
      <w:color w:val="000000"/>
      <w:sz w:val="22"/>
      <w:szCs w:val="22"/>
      <w:u w:val="none"/>
    </w:rPr>
  </w:style>
  <w:style w:type="character" w:customStyle="1" w:styleId="499">
    <w:name w:val="font51"/>
    <w:qFormat/>
    <w:uiPriority w:val="0"/>
    <w:rPr>
      <w:rFonts w:hint="eastAsia" w:ascii="仿宋" w:hAnsi="仿宋" w:eastAsia="仿宋" w:cs="仿宋"/>
      <w:color w:val="000000"/>
      <w:sz w:val="24"/>
      <w:szCs w:val="24"/>
      <w:u w:val="none"/>
    </w:rPr>
  </w:style>
  <w:style w:type="character" w:customStyle="1" w:styleId="500">
    <w:name w:val="font81"/>
    <w:qFormat/>
    <w:uiPriority w:val="0"/>
    <w:rPr>
      <w:rFonts w:hint="eastAsia" w:ascii="仿宋" w:hAnsi="仿宋" w:eastAsia="仿宋" w:cs="仿宋"/>
      <w:color w:val="000000"/>
      <w:sz w:val="24"/>
      <w:szCs w:val="24"/>
      <w:u w:val="none"/>
    </w:rPr>
  </w:style>
  <w:style w:type="paragraph" w:customStyle="1" w:styleId="501">
    <w:name w:val="WPSOffice手动目录 1"/>
    <w:qFormat/>
    <w:uiPriority w:val="0"/>
    <w:rPr>
      <w:rFonts w:ascii="Times New Roman" w:hAnsi="Times New Roman" w:eastAsia="宋体" w:cs="Times New Roman"/>
      <w:lang w:val="en-US" w:eastAsia="zh-CN" w:bidi="ar-SA"/>
    </w:rPr>
  </w:style>
  <w:style w:type="paragraph" w:customStyle="1" w:styleId="502">
    <w:name w:val="列出段落2"/>
    <w:basedOn w:val="1"/>
    <w:unhideWhenUsed/>
    <w:qFormat/>
    <w:uiPriority w:val="0"/>
    <w:pPr>
      <w:ind w:firstLine="420" w:firstLineChars="200"/>
    </w:pPr>
  </w:style>
  <w:style w:type="paragraph" w:customStyle="1" w:styleId="503">
    <w:name w:val="标书正文"/>
    <w:basedOn w:val="1"/>
    <w:qFormat/>
    <w:uiPriority w:val="0"/>
    <w:pPr>
      <w:spacing w:line="560" w:lineRule="exact"/>
      <w:ind w:firstLine="723" w:firstLineChars="200"/>
      <w:jc w:val="center"/>
    </w:pPr>
    <w:rPr>
      <w:rFonts w:ascii="仿宋_GB2312" w:hAnsi="Calibri" w:eastAsia="仿宋_GB2312"/>
      <w:b/>
      <w:sz w:val="36"/>
      <w:szCs w:val="20"/>
    </w:rPr>
  </w:style>
  <w:style w:type="paragraph" w:customStyle="1" w:styleId="504">
    <w:name w:val="样式 首行缩进:  2 字符"/>
    <w:basedOn w:val="1"/>
    <w:qFormat/>
    <w:uiPriority w:val="0"/>
    <w:pPr>
      <w:spacing w:line="400" w:lineRule="exact"/>
      <w:ind w:firstLine="200" w:firstLineChars="200"/>
    </w:pPr>
    <w:rPr>
      <w:rFonts w:cs="宋体"/>
      <w:sz w:val="24"/>
    </w:rPr>
  </w:style>
  <w:style w:type="paragraph" w:customStyle="1" w:styleId="505">
    <w:name w:val="msolistparagraph"/>
    <w:basedOn w:val="1"/>
    <w:qFormat/>
    <w:uiPriority w:val="0"/>
    <w:pPr>
      <w:keepNext w:val="0"/>
      <w:keepLines w:val="0"/>
      <w:widowControl w:val="0"/>
      <w:suppressLineNumbers w:val="0"/>
      <w:spacing w:before="0" w:beforeAutospacing="0" w:after="0" w:afterAutospacing="0"/>
      <w:ind w:left="990" w:right="0" w:hanging="402"/>
      <w:jc w:val="both"/>
    </w:pPr>
    <w:rPr>
      <w:rFonts w:hint="eastAsia" w:ascii="PMingLiU" w:hAnsi="PMingLiU" w:eastAsia="PMingLiU" w:cs="PMingLiU"/>
      <w:kern w:val="2"/>
      <w:sz w:val="21"/>
      <w:szCs w:val="24"/>
      <w:lang w:val="en-US" w:eastAsia="zh-CN" w:bidi="ar"/>
    </w:rPr>
  </w:style>
  <w:style w:type="paragraph" w:customStyle="1" w:styleId="506">
    <w:name w:val="列表段落1"/>
    <w:basedOn w:val="1"/>
    <w:unhideWhenUsed/>
    <w:qFormat/>
    <w:uiPriority w:val="99"/>
    <w:pPr>
      <w:ind w:firstLine="420" w:firstLineChars="200"/>
    </w:pPr>
    <w:rPr>
      <w:rFonts w:ascii="Times New Roman" w:hAnsi="Times New Roman" w:eastAsia="宋体" w:cs="Times New Roman"/>
      <w:szCs w:val="20"/>
    </w:rPr>
  </w:style>
  <w:style w:type="paragraph" w:customStyle="1" w:styleId="507">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508">
    <w:name w:val="节标题"/>
    <w:basedOn w:val="509"/>
    <w:next w:val="509"/>
    <w:qFormat/>
    <w:uiPriority w:val="0"/>
    <w:pPr>
      <w:spacing w:before="50" w:beforeLines="50" w:after="50" w:afterLines="50" w:line="240" w:lineRule="auto"/>
      <w:ind w:firstLine="0" w:firstLineChars="0"/>
      <w:jc w:val="left"/>
      <w:outlineLvl w:val="1"/>
    </w:pPr>
    <w:rPr>
      <w:rFonts w:eastAsia="黑体"/>
      <w:b/>
      <w:sz w:val="28"/>
    </w:rPr>
  </w:style>
  <w:style w:type="paragraph" w:customStyle="1" w:styleId="509">
    <w:name w:val="北航正文"/>
    <w:basedOn w:val="1"/>
    <w:qFormat/>
    <w:uiPriority w:val="0"/>
    <w:pPr>
      <w:spacing w:line="360" w:lineRule="auto"/>
      <w:ind w:firstLine="200" w:firstLineChars="200"/>
      <w:contextualSpacing/>
    </w:pPr>
    <w:rPr>
      <w:rFonts w:ascii="Times New Roman" w:hAnsi="Times New Roman" w:eastAsia="宋体"/>
      <w:bCs/>
      <w:sz w:val="24"/>
      <w:szCs w:val="21"/>
    </w:rPr>
  </w:style>
  <w:style w:type="paragraph" w:customStyle="1" w:styleId="51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12732</Words>
  <Characters>13783</Characters>
  <Lines>259</Lines>
  <Paragraphs>72</Paragraphs>
  <TotalTime>27</TotalTime>
  <ScaleCrop>false</ScaleCrop>
  <LinksUpToDate>false</LinksUpToDate>
  <CharactersWithSpaces>13946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2022-03-28T17:58:00Z</dcterms:created>
  <dc:creator>hp</dc:creator>
  <cp:lastModifiedBy>星耀天都2</cp:lastModifiedBy>
  <cp:lastPrinted>2024-05-31T15:48:00Z</cp:lastPrinted>
  <dcterms:modified xsi:type="dcterms:W3CDTF">2025-06-27T09:54:07Z</dcterms:modified>
  <dc:title>乌鲁木齐市公安局重点路段卡口系统采购项目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01FB9FB0B8BA4C71A0F41AE7FFE3C724_13</vt:lpwstr>
  </property>
  <property fmtid="{D5CDD505-2E9C-101B-9397-08002B2CF9AE}" pid="4" name="commondata">
    <vt:lpwstr>eyJoZGlkIjoiMTJiNzZhMjQ5MWY2NWYxZjNjN2I1YzE3Nzc4YTNhZDgifQ==</vt:lpwstr>
  </property>
  <property fmtid="{D5CDD505-2E9C-101B-9397-08002B2CF9AE}" pid="5" name="KSOTemplateDocerSaveRecord">
    <vt:lpwstr>eyJoZGlkIjoiNTAzNDhmZDg3Y2UyZmEzOTc5ZGNhMWFjNWFmYWI3NTMiLCJ1c2VySWQiOiI1MDU5MTQzNzMifQ==</vt:lpwstr>
  </property>
</Properties>
</file>