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
          <w:tab w:val="left" w:pos="5481"/>
          <w:tab w:val="left" w:pos="5859"/>
        </w:tabs>
        <w:jc w:val="center"/>
        <w:rPr>
          <w:rFonts w:ascii="仿宋" w:hAnsi="仿宋" w:eastAsia="仿宋" w:cs="仿宋"/>
          <w:b/>
          <w:color w:val="auto"/>
          <w:sz w:val="48"/>
          <w:szCs w:val="21"/>
          <w:highlight w:val="none"/>
        </w:rPr>
      </w:pPr>
    </w:p>
    <w:p>
      <w:pPr>
        <w:tabs>
          <w:tab w:val="left" w:pos="1134"/>
          <w:tab w:val="left" w:pos="5481"/>
          <w:tab w:val="left" w:pos="5859"/>
        </w:tabs>
        <w:jc w:val="center"/>
        <w:rPr>
          <w:rFonts w:ascii="仿宋" w:hAnsi="仿宋" w:eastAsia="仿宋" w:cs="仿宋"/>
          <w:b/>
          <w:color w:val="auto"/>
          <w:sz w:val="56"/>
          <w:szCs w:val="24"/>
          <w:highlight w:val="none"/>
        </w:rPr>
      </w:pPr>
      <w:r>
        <w:rPr>
          <w:rFonts w:hint="eastAsia" w:ascii="仿宋" w:hAnsi="仿宋" w:eastAsia="仿宋" w:cs="仿宋"/>
          <w:b/>
          <w:color w:val="auto"/>
          <w:sz w:val="52"/>
          <w:highlight w:val="none"/>
        </w:rPr>
        <w:t>石河子大学会泽食府餐厅二楼装饰装修工程总承包</w:t>
      </w:r>
    </w:p>
    <w:p>
      <w:pPr>
        <w:tabs>
          <w:tab w:val="left" w:pos="1134"/>
          <w:tab w:val="left" w:pos="5481"/>
          <w:tab w:val="left" w:pos="5859"/>
        </w:tabs>
        <w:jc w:val="center"/>
        <w:rPr>
          <w:rFonts w:ascii="仿宋" w:hAnsi="仿宋" w:eastAsia="仿宋" w:cs="仿宋"/>
          <w:b/>
          <w:color w:val="auto"/>
          <w:sz w:val="52"/>
          <w:highlight w:val="none"/>
        </w:rPr>
      </w:pPr>
    </w:p>
    <w:p>
      <w:pPr>
        <w:tabs>
          <w:tab w:val="left" w:pos="1134"/>
          <w:tab w:val="left" w:pos="5481"/>
          <w:tab w:val="left" w:pos="5859"/>
        </w:tabs>
        <w:jc w:val="center"/>
        <w:rPr>
          <w:rFonts w:ascii="仿宋" w:hAnsi="仿宋" w:eastAsia="仿宋" w:cs="仿宋"/>
          <w:b/>
          <w:color w:val="auto"/>
          <w:sz w:val="36"/>
          <w:szCs w:val="36"/>
          <w:highlight w:val="none"/>
        </w:rPr>
      </w:pPr>
      <w:r>
        <w:rPr>
          <w:rFonts w:hint="eastAsia" w:ascii="仿宋" w:hAnsi="仿宋" w:eastAsia="仿宋" w:cs="仿宋"/>
          <w:b/>
          <w:bCs/>
          <w:color w:val="auto"/>
          <w:sz w:val="72"/>
          <w:szCs w:val="72"/>
          <w:highlight w:val="none"/>
        </w:rPr>
        <w:t>竞争性磋商文件</w:t>
      </w:r>
    </w:p>
    <w:p>
      <w:pPr>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 </w:t>
      </w:r>
    </w:p>
    <w:p>
      <w:pPr>
        <w:jc w:val="center"/>
        <w:rPr>
          <w:rFonts w:ascii="仿宋" w:hAnsi="仿宋" w:eastAsia="仿宋" w:cs="仿宋"/>
          <w:color w:val="auto"/>
          <w:highlight w:val="none"/>
        </w:rPr>
      </w:pPr>
    </w:p>
    <w:p>
      <w:pPr>
        <w:jc w:val="center"/>
        <w:rPr>
          <w:rFonts w:ascii="仿宋" w:hAnsi="仿宋" w:eastAsia="仿宋" w:cs="仿宋"/>
          <w:color w:val="auto"/>
          <w:highlight w:val="none"/>
        </w:rPr>
      </w:pPr>
    </w:p>
    <w:p>
      <w:pPr>
        <w:jc w:val="center"/>
        <w:rPr>
          <w:rFonts w:ascii="仿宋" w:hAnsi="仿宋" w:eastAsia="仿宋" w:cs="仿宋"/>
          <w:color w:val="auto"/>
          <w:highlight w:val="none"/>
        </w:rPr>
      </w:pPr>
    </w:p>
    <w:p>
      <w:pPr>
        <w:pStyle w:val="16"/>
        <w:ind w:left="420" w:hanging="420"/>
        <w:rPr>
          <w:rFonts w:ascii="仿宋" w:hAnsi="仿宋" w:eastAsia="仿宋" w:cs="仿宋"/>
          <w:color w:val="auto"/>
          <w:highlight w:val="none"/>
        </w:rPr>
      </w:pPr>
    </w:p>
    <w:p>
      <w:pPr>
        <w:pStyle w:val="16"/>
        <w:ind w:left="420" w:hanging="420"/>
        <w:rPr>
          <w:rFonts w:ascii="仿宋" w:hAnsi="仿宋" w:eastAsia="仿宋" w:cs="仿宋"/>
          <w:color w:val="auto"/>
          <w:highlight w:val="none"/>
        </w:rPr>
      </w:pPr>
    </w:p>
    <w:p>
      <w:pPr>
        <w:pStyle w:val="16"/>
        <w:ind w:left="420" w:hanging="420"/>
        <w:rPr>
          <w:rFonts w:ascii="仿宋" w:hAnsi="仿宋" w:eastAsia="仿宋" w:cs="仿宋"/>
          <w:color w:val="auto"/>
          <w:highlight w:val="none"/>
        </w:rPr>
      </w:pPr>
    </w:p>
    <w:p>
      <w:pPr>
        <w:pStyle w:val="16"/>
        <w:ind w:left="420" w:hanging="420"/>
        <w:rPr>
          <w:rFonts w:ascii="仿宋" w:hAnsi="仿宋" w:eastAsia="仿宋" w:cs="仿宋"/>
          <w:color w:val="auto"/>
          <w:highlight w:val="none"/>
        </w:rPr>
      </w:pPr>
    </w:p>
    <w:p>
      <w:pPr>
        <w:tabs>
          <w:tab w:val="left" w:pos="1134"/>
          <w:tab w:val="left" w:pos="5481"/>
          <w:tab w:val="left" w:pos="5859"/>
        </w:tabs>
        <w:spacing w:line="480" w:lineRule="auto"/>
        <w:jc w:val="center"/>
        <w:rPr>
          <w:rFonts w:ascii="仿宋" w:hAnsi="仿宋" w:eastAsia="仿宋" w:cs="仿宋"/>
          <w:b/>
          <w:color w:val="auto"/>
          <w:sz w:val="28"/>
          <w:szCs w:val="28"/>
          <w:highlight w:val="none"/>
        </w:rPr>
      </w:pPr>
    </w:p>
    <w:p>
      <w:pPr>
        <w:pStyle w:val="9"/>
        <w:spacing w:line="480" w:lineRule="auto"/>
        <w:ind w:left="3339" w:leftChars="304" w:right="-307" w:rightChars="-146" w:hanging="2701" w:hangingChars="961"/>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项目名称：石河子大学会泽食府餐厅二楼装饰装修工程总承包</w:t>
      </w:r>
    </w:p>
    <w:p>
      <w:pPr>
        <w:pStyle w:val="9"/>
        <w:spacing w:line="480" w:lineRule="auto"/>
        <w:ind w:left="3339" w:leftChars="304" w:right="-307" w:rightChars="-146" w:hanging="2701" w:hangingChars="961"/>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采 购 人：石河子大学（盖章）</w:t>
      </w:r>
    </w:p>
    <w:p>
      <w:pPr>
        <w:pStyle w:val="9"/>
        <w:spacing w:line="480" w:lineRule="auto"/>
        <w:ind w:left="3339" w:leftChars="304" w:right="-307" w:rightChars="-146" w:hanging="2701" w:hangingChars="961"/>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联 系 人：赵丽</w:t>
      </w:r>
    </w:p>
    <w:p>
      <w:pPr>
        <w:pStyle w:val="9"/>
        <w:spacing w:line="480" w:lineRule="auto"/>
        <w:ind w:left="3339" w:leftChars="304" w:right="-307" w:rightChars="-146" w:hanging="2701" w:hangingChars="961"/>
        <w:rPr>
          <w:rFonts w:ascii="仿宋" w:hAnsi="仿宋" w:eastAsia="仿宋" w:cs="仿宋"/>
          <w:b/>
          <w:color w:val="auto"/>
          <w:sz w:val="28"/>
          <w:szCs w:val="28"/>
          <w:highlight w:val="none"/>
        </w:rPr>
      </w:pPr>
    </w:p>
    <w:p>
      <w:pPr>
        <w:pStyle w:val="9"/>
        <w:spacing w:line="480" w:lineRule="auto"/>
        <w:ind w:left="3339" w:leftChars="304" w:hanging="2701" w:hangingChars="961"/>
        <w:rPr>
          <w:rFonts w:ascii="仿宋" w:hAnsi="仿宋" w:eastAsia="仿宋" w:cs="仿宋"/>
          <w:b/>
          <w:color w:val="auto"/>
          <w:sz w:val="28"/>
          <w:szCs w:val="28"/>
          <w:highlight w:val="none"/>
          <w:u w:val="single"/>
        </w:rPr>
      </w:pPr>
      <w:r>
        <w:rPr>
          <w:rFonts w:hint="eastAsia" w:ascii="仿宋" w:hAnsi="仿宋" w:eastAsia="仿宋" w:cs="仿宋"/>
          <w:b/>
          <w:color w:val="auto"/>
          <w:sz w:val="28"/>
          <w:szCs w:val="28"/>
          <w:highlight w:val="none"/>
        </w:rPr>
        <w:t>采购代理机构：</w:t>
      </w:r>
      <w:bookmarkStart w:id="0" w:name="EBdbdcadd372c24be79749dcab348032b6"/>
      <w:r>
        <w:rPr>
          <w:rFonts w:hint="eastAsia" w:ascii="仿宋" w:hAnsi="仿宋" w:eastAsia="仿宋" w:cs="仿宋"/>
          <w:b/>
          <w:color w:val="auto"/>
          <w:sz w:val="28"/>
          <w:szCs w:val="28"/>
          <w:highlight w:val="none"/>
        </w:rPr>
        <w:t>新疆华通方圆工程管理咨询有限公司</w:t>
      </w:r>
      <w:bookmarkEnd w:id="0"/>
      <w:r>
        <w:rPr>
          <w:rFonts w:hint="eastAsia" w:ascii="仿宋" w:hAnsi="仿宋" w:eastAsia="仿宋" w:cs="仿宋"/>
          <w:b/>
          <w:color w:val="auto"/>
          <w:sz w:val="28"/>
          <w:szCs w:val="28"/>
          <w:highlight w:val="none"/>
        </w:rPr>
        <w:t>（盖章）</w:t>
      </w:r>
    </w:p>
    <w:p>
      <w:pPr>
        <w:pStyle w:val="9"/>
        <w:spacing w:line="480" w:lineRule="auto"/>
        <w:ind w:left="3339" w:leftChars="304" w:hanging="2701" w:hangingChars="961"/>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联  系  人：代欧莉                   </w:t>
      </w:r>
    </w:p>
    <w:p>
      <w:pPr>
        <w:pStyle w:val="9"/>
        <w:spacing w:line="480" w:lineRule="auto"/>
        <w:ind w:left="3339" w:leftChars="304" w:hanging="2701" w:hangingChars="961"/>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日期：</w:t>
      </w:r>
      <w:bookmarkStart w:id="1" w:name="EB111f2327f0a4481db50634b1e102f346"/>
      <w:r>
        <w:rPr>
          <w:rFonts w:hint="eastAsia" w:ascii="仿宋" w:hAnsi="仿宋" w:eastAsia="仿宋" w:cs="仿宋"/>
          <w:b/>
          <w:color w:val="auto"/>
          <w:sz w:val="28"/>
          <w:szCs w:val="28"/>
          <w:highlight w:val="none"/>
        </w:rPr>
        <w:t>2022年</w:t>
      </w:r>
      <w:r>
        <w:rPr>
          <w:rFonts w:hint="eastAsia" w:ascii="仿宋" w:hAnsi="仿宋" w:eastAsia="仿宋" w:cs="仿宋"/>
          <w:b/>
          <w:color w:val="auto"/>
          <w:sz w:val="28"/>
          <w:szCs w:val="28"/>
          <w:highlight w:val="none"/>
          <w:lang w:val="en-US" w:eastAsia="zh-CN"/>
        </w:rPr>
        <w:t>11</w:t>
      </w:r>
      <w:r>
        <w:rPr>
          <w:rFonts w:hint="eastAsia" w:ascii="仿宋" w:hAnsi="仿宋" w:eastAsia="仿宋" w:cs="仿宋"/>
          <w:b/>
          <w:color w:val="auto"/>
          <w:sz w:val="28"/>
          <w:szCs w:val="28"/>
          <w:highlight w:val="none"/>
        </w:rPr>
        <w:t>月</w:t>
      </w:r>
      <w:r>
        <w:rPr>
          <w:rFonts w:hint="eastAsia" w:ascii="仿宋" w:hAnsi="仿宋" w:eastAsia="仿宋" w:cs="仿宋"/>
          <w:b/>
          <w:color w:val="auto"/>
          <w:sz w:val="28"/>
          <w:szCs w:val="28"/>
          <w:highlight w:val="none"/>
          <w:lang w:val="en-US" w:eastAsia="zh-CN"/>
        </w:rPr>
        <w:t>24</w:t>
      </w:r>
      <w:r>
        <w:rPr>
          <w:rFonts w:hint="eastAsia" w:ascii="仿宋" w:hAnsi="仿宋" w:eastAsia="仿宋" w:cs="仿宋"/>
          <w:b/>
          <w:color w:val="auto"/>
          <w:sz w:val="28"/>
          <w:szCs w:val="28"/>
          <w:highlight w:val="none"/>
        </w:rPr>
        <w:t>日</w:t>
      </w:r>
      <w:bookmarkEnd w:id="1"/>
    </w:p>
    <w:p>
      <w:pPr>
        <w:rPr>
          <w:rFonts w:ascii="仿宋" w:hAnsi="仿宋" w:eastAsia="仿宋" w:cs="仿宋"/>
          <w:color w:val="auto"/>
          <w:highlight w:val="none"/>
        </w:rPr>
      </w:pPr>
      <w:r>
        <w:rPr>
          <w:rFonts w:hint="eastAsia" w:ascii="仿宋" w:hAnsi="仿宋" w:eastAsia="仿宋" w:cs="仿宋"/>
          <w:color w:val="auto"/>
          <w:sz w:val="72"/>
          <w:szCs w:val="72"/>
          <w:highlight w:val="none"/>
        </w:rPr>
        <w:br w:type="page"/>
      </w:r>
    </w:p>
    <w:sdt>
      <w:sdtPr>
        <w:rPr>
          <w:rFonts w:hint="eastAsia" w:ascii="仿宋" w:hAnsi="仿宋" w:eastAsia="仿宋" w:cs="仿宋"/>
          <w:color w:val="auto"/>
          <w:sz w:val="28"/>
          <w:szCs w:val="32"/>
          <w:highlight w:val="none"/>
        </w:rPr>
        <w:id w:val="147461802"/>
        <w:docPartObj>
          <w:docPartGallery w:val="Table of Contents"/>
          <w:docPartUnique/>
        </w:docPartObj>
      </w:sdtPr>
      <w:sdtEndPr>
        <w:rPr>
          <w:rFonts w:hint="eastAsia" w:ascii="仿宋" w:hAnsi="仿宋" w:eastAsia="仿宋" w:cs="仿宋"/>
          <w:color w:val="auto"/>
          <w:sz w:val="21"/>
          <w:szCs w:val="22"/>
          <w:highlight w:val="none"/>
        </w:rPr>
      </w:sdtEndPr>
      <w:sdtContent>
        <w:p>
          <w:pPr>
            <w:jc w:val="center"/>
            <w:rPr>
              <w:rFonts w:hint="eastAsia" w:ascii="仿宋" w:hAnsi="仿宋" w:eastAsia="仿宋" w:cs="仿宋"/>
              <w:color w:val="auto"/>
              <w:sz w:val="28"/>
              <w:szCs w:val="32"/>
              <w:highlight w:val="none"/>
            </w:rPr>
          </w:pPr>
        </w:p>
        <w:p>
          <w:pPr>
            <w:rPr>
              <w:rFonts w:hint="eastAsia" w:ascii="仿宋" w:hAnsi="仿宋" w:eastAsia="仿宋" w:cs="仿宋"/>
              <w:color w:val="auto"/>
              <w:sz w:val="28"/>
              <w:szCs w:val="32"/>
              <w:highlight w:val="none"/>
            </w:rPr>
          </w:pPr>
          <w:r>
            <w:rPr>
              <w:rFonts w:hint="eastAsia" w:ascii="仿宋" w:hAnsi="仿宋" w:eastAsia="仿宋" w:cs="仿宋"/>
              <w:color w:val="auto"/>
              <w:sz w:val="28"/>
              <w:szCs w:val="32"/>
              <w:highlight w:val="none"/>
            </w:rPr>
            <w:br w:type="page"/>
          </w:r>
        </w:p>
        <w:p>
          <w:pPr>
            <w:jc w:val="center"/>
            <w:rPr>
              <w:rFonts w:ascii="仿宋" w:hAnsi="仿宋" w:eastAsia="仿宋" w:cs="仿宋"/>
              <w:color w:val="auto"/>
              <w:sz w:val="28"/>
              <w:szCs w:val="32"/>
              <w:highlight w:val="none"/>
            </w:rPr>
          </w:pPr>
          <w:r>
            <w:rPr>
              <w:rFonts w:hint="eastAsia" w:ascii="仿宋" w:hAnsi="仿宋" w:eastAsia="仿宋" w:cs="仿宋"/>
              <w:color w:val="auto"/>
              <w:sz w:val="28"/>
              <w:szCs w:val="32"/>
              <w:highlight w:val="none"/>
            </w:rPr>
            <w:t>目录</w:t>
          </w:r>
        </w:p>
        <w:p>
          <w:pPr>
            <w:pStyle w:val="152"/>
            <w:tabs>
              <w:tab w:val="right" w:leader="dot" w:pos="8312"/>
            </w:tabs>
            <w:rPr>
              <w:rFonts w:ascii="仿宋" w:hAnsi="仿宋" w:eastAsia="仿宋" w:cs="仿宋"/>
              <w:color w:val="auto"/>
              <w:sz w:val="28"/>
              <w:szCs w:val="28"/>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TOC \o "1-3" \h \u </w:instrText>
          </w:r>
          <w:r>
            <w:rPr>
              <w:rFonts w:hint="eastAsia" w:ascii="仿宋" w:hAnsi="仿宋" w:eastAsia="仿宋" w:cs="仿宋"/>
              <w:color w:val="auto"/>
              <w:highlight w:val="none"/>
            </w:rPr>
            <w:fldChar w:fldCharType="separate"/>
          </w:r>
          <w:r>
            <w:rPr>
              <w:color w:val="auto"/>
              <w:highlight w:val="none"/>
            </w:rPr>
            <w:fldChar w:fldCharType="begin"/>
          </w:r>
          <w:r>
            <w:rPr>
              <w:color w:val="auto"/>
              <w:highlight w:val="none"/>
            </w:rPr>
            <w:instrText xml:space="preserve"> HYPERLINK \l "_Toc15555" </w:instrText>
          </w:r>
          <w:r>
            <w:rPr>
              <w:color w:val="auto"/>
              <w:highlight w:val="none"/>
            </w:rPr>
            <w:fldChar w:fldCharType="separate"/>
          </w:r>
          <w:r>
            <w:rPr>
              <w:rFonts w:hint="eastAsia" w:ascii="仿宋" w:hAnsi="仿宋" w:eastAsia="仿宋" w:cs="仿宋"/>
              <w:color w:val="auto"/>
              <w:sz w:val="28"/>
              <w:szCs w:val="28"/>
              <w:highlight w:val="none"/>
            </w:rPr>
            <w:t>第一部分  招标公告</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_Toc15555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152"/>
            <w:tabs>
              <w:tab w:val="right" w:leader="dot" w:pos="8312"/>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"_Toc9422" </w:instrText>
          </w:r>
          <w:r>
            <w:rPr>
              <w:color w:val="auto"/>
              <w:highlight w:val="none"/>
            </w:rPr>
            <w:fldChar w:fldCharType="separate"/>
          </w:r>
          <w:r>
            <w:rPr>
              <w:rFonts w:hint="eastAsia" w:ascii="仿宋" w:hAnsi="仿宋" w:eastAsia="仿宋" w:cs="仿宋"/>
              <w:color w:val="auto"/>
              <w:sz w:val="28"/>
              <w:szCs w:val="28"/>
              <w:highlight w:val="none"/>
            </w:rPr>
            <w:t>第二部分  投标人须知</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_Toc9422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7</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152"/>
            <w:tabs>
              <w:tab w:val="right" w:leader="dot" w:pos="8312"/>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"_Toc7624" </w:instrText>
          </w:r>
          <w:r>
            <w:rPr>
              <w:color w:val="auto"/>
              <w:highlight w:val="none"/>
            </w:rPr>
            <w:fldChar w:fldCharType="separate"/>
          </w:r>
          <w:r>
            <w:rPr>
              <w:rFonts w:hint="eastAsia" w:ascii="仿宋" w:hAnsi="仿宋" w:eastAsia="仿宋" w:cs="仿宋"/>
              <w:color w:val="auto"/>
              <w:sz w:val="28"/>
              <w:szCs w:val="28"/>
              <w:highlight w:val="none"/>
            </w:rPr>
            <w:t>第三部分  采购需求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_Toc7624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44</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152"/>
            <w:tabs>
              <w:tab w:val="right" w:leader="dot" w:pos="8312"/>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"_Toc26834" </w:instrText>
          </w:r>
          <w:r>
            <w:rPr>
              <w:color w:val="auto"/>
              <w:highlight w:val="none"/>
            </w:rPr>
            <w:fldChar w:fldCharType="separate"/>
          </w:r>
          <w:r>
            <w:rPr>
              <w:rFonts w:hint="eastAsia" w:ascii="仿宋" w:hAnsi="仿宋" w:eastAsia="仿宋" w:cs="仿宋"/>
              <w:color w:val="auto"/>
              <w:sz w:val="28"/>
              <w:szCs w:val="28"/>
              <w:highlight w:val="none"/>
            </w:rPr>
            <w:t>第四部分   评审方法（综合评分法）</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_Toc26834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53</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152"/>
            <w:tabs>
              <w:tab w:val="right" w:leader="dot" w:pos="8312"/>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"_Toc16045" </w:instrText>
          </w:r>
          <w:r>
            <w:rPr>
              <w:color w:val="auto"/>
              <w:highlight w:val="none"/>
            </w:rPr>
            <w:fldChar w:fldCharType="separate"/>
          </w:r>
          <w:r>
            <w:rPr>
              <w:rFonts w:hint="eastAsia" w:ascii="仿宋" w:hAnsi="仿宋" w:eastAsia="仿宋" w:cs="仿宋"/>
              <w:color w:val="auto"/>
              <w:sz w:val="28"/>
              <w:szCs w:val="28"/>
              <w:highlight w:val="none"/>
            </w:rPr>
            <w:t>第五部分   政府采购合同</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_Toc16045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59</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152"/>
            <w:tabs>
              <w:tab w:val="right" w:leader="dot" w:pos="8312"/>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"_Toc32599" </w:instrText>
          </w:r>
          <w:r>
            <w:rPr>
              <w:color w:val="auto"/>
              <w:highlight w:val="none"/>
            </w:rPr>
            <w:fldChar w:fldCharType="separate"/>
          </w:r>
          <w:r>
            <w:rPr>
              <w:rFonts w:hint="eastAsia" w:ascii="仿宋" w:hAnsi="仿宋" w:eastAsia="仿宋" w:cs="仿宋"/>
              <w:color w:val="auto"/>
              <w:sz w:val="28"/>
              <w:szCs w:val="28"/>
              <w:highlight w:val="none"/>
            </w:rPr>
            <w:t>第六部分   投标文件格式</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_Toc32599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163</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152"/>
            <w:tabs>
              <w:tab w:val="right" w:leader="dot" w:pos="8312"/>
            </w:tabs>
            <w:rPr>
              <w:rFonts w:ascii="仿宋" w:hAnsi="仿宋" w:eastAsia="仿宋" w:cs="仿宋"/>
              <w:color w:val="auto"/>
              <w:highlight w:val="none"/>
            </w:rPr>
          </w:pPr>
        </w:p>
        <w:p>
          <w:pPr>
            <w:rPr>
              <w:rFonts w:ascii="仿宋" w:hAnsi="仿宋" w:eastAsia="仿宋" w:cs="仿宋"/>
              <w:color w:val="auto"/>
              <w:highlight w:val="none"/>
            </w:rPr>
          </w:pPr>
          <w:r>
            <w:rPr>
              <w:rFonts w:hint="eastAsia" w:ascii="仿宋" w:hAnsi="仿宋" w:eastAsia="仿宋" w:cs="仿宋"/>
              <w:color w:val="auto"/>
              <w:highlight w:val="none"/>
            </w:rPr>
            <w:fldChar w:fldCharType="end"/>
          </w:r>
        </w:p>
      </w:sdtContent>
    </w:sdt>
    <w:p>
      <w:pPr>
        <w:pStyle w:val="9"/>
        <w:tabs>
          <w:tab w:val="left" w:pos="0"/>
        </w:tabs>
        <w:spacing w:line="240" w:lineRule="auto"/>
        <w:ind w:left="0" w:leftChars="0" w:firstLine="0" w:firstLineChars="0"/>
        <w:jc w:val="center"/>
        <w:rPr>
          <w:rFonts w:ascii="仿宋" w:hAnsi="仿宋" w:eastAsia="仿宋" w:cs="仿宋"/>
          <w:b/>
          <w:color w:val="auto"/>
          <w:sz w:val="36"/>
          <w:highlight w:val="none"/>
        </w:rPr>
        <w:sectPr>
          <w:headerReference r:id="rId5" w:type="first"/>
          <w:headerReference r:id="rId3" w:type="default"/>
          <w:headerReference r:id="rId4" w:type="even"/>
          <w:pgSz w:w="11906" w:h="16838"/>
          <w:pgMar w:top="1440" w:right="1797" w:bottom="1440" w:left="1797" w:header="851" w:footer="992" w:gutter="0"/>
          <w:pgNumType w:start="0"/>
          <w:cols w:space="720" w:num="1"/>
          <w:titlePg/>
          <w:docGrid w:type="lines" w:linePitch="312" w:charSpace="0"/>
        </w:sectPr>
      </w:pPr>
      <w:bookmarkStart w:id="2" w:name="_Toc256000000"/>
      <w:bookmarkStart w:id="3" w:name="_Toc503463616"/>
    </w:p>
    <w:p>
      <w:pPr>
        <w:rPr>
          <w:rFonts w:hint="eastAsia" w:ascii="仿宋" w:hAnsi="仿宋" w:eastAsia="仿宋" w:cs="仿宋"/>
          <w:b/>
          <w:color w:val="auto"/>
          <w:sz w:val="36"/>
          <w:szCs w:val="36"/>
          <w:highlight w:val="none"/>
        </w:rPr>
      </w:pPr>
      <w:bookmarkStart w:id="4" w:name="_Toc15555"/>
      <w:r>
        <w:rPr>
          <w:rFonts w:hint="eastAsia" w:ascii="仿宋" w:hAnsi="仿宋" w:eastAsia="仿宋" w:cs="仿宋"/>
          <w:b/>
          <w:color w:val="auto"/>
          <w:sz w:val="36"/>
          <w:szCs w:val="36"/>
          <w:highlight w:val="none"/>
        </w:rPr>
        <w:br w:type="page"/>
      </w:r>
      <w:bookmarkStart w:id="629" w:name="_GoBack"/>
      <w:bookmarkEnd w:id="629"/>
    </w:p>
    <w:p>
      <w:pPr>
        <w:pStyle w:val="34"/>
        <w:spacing w:line="360" w:lineRule="auto"/>
        <w:ind w:right="-307" w:rightChars="-146"/>
        <w:jc w:val="center"/>
        <w:outlineLvl w:val="1"/>
        <w:rPr>
          <w:rFonts w:ascii="仿宋" w:hAnsi="仿宋" w:eastAsia="仿宋" w:cs="仿宋"/>
          <w:b/>
          <w:bCs/>
          <w:color w:val="auto"/>
          <w:sz w:val="28"/>
          <w:szCs w:val="28"/>
          <w:highlight w:val="none"/>
        </w:rPr>
      </w:pPr>
      <w:r>
        <w:rPr>
          <w:rFonts w:hint="eastAsia" w:ascii="仿宋" w:hAnsi="仿宋" w:eastAsia="仿宋" w:cs="仿宋"/>
          <w:b/>
          <w:color w:val="auto"/>
          <w:sz w:val="36"/>
          <w:szCs w:val="36"/>
          <w:highlight w:val="none"/>
        </w:rPr>
        <w:t xml:space="preserve">第一部分 </w:t>
      </w:r>
      <w:bookmarkEnd w:id="2"/>
      <w:bookmarkEnd w:id="3"/>
      <w:bookmarkEnd w:id="4"/>
      <w:bookmarkStart w:id="5" w:name="EBbcab609e0bf6445cb7952b8c7da88b0a"/>
      <w:r>
        <w:rPr>
          <w:rFonts w:hint="eastAsia" w:ascii="仿宋" w:hAnsi="仿宋" w:eastAsia="仿宋" w:cs="仿宋"/>
          <w:b/>
          <w:color w:val="auto"/>
          <w:sz w:val="36"/>
          <w:szCs w:val="36"/>
          <w:highlight w:val="none"/>
        </w:rPr>
        <w:t>竞争性磋商公告</w:t>
      </w:r>
    </w:p>
    <w:p>
      <w:pPr>
        <w:pStyle w:val="9"/>
        <w:tabs>
          <w:tab w:val="left" w:pos="0"/>
        </w:tabs>
        <w:spacing w:line="400" w:lineRule="exact"/>
        <w:ind w:left="0" w:leftChars="0" w:firstLine="0" w:firstLineChars="0"/>
        <w:jc w:val="center"/>
        <w:outlineLvl w:val="0"/>
        <w:rPr>
          <w:rFonts w:ascii="仿宋" w:hAnsi="仿宋" w:eastAsia="仿宋" w:cs="仿宋"/>
          <w:color w:val="auto"/>
          <w:szCs w:val="24"/>
          <w:highlight w:val="none"/>
        </w:rPr>
      </w:pPr>
    </w:p>
    <w:p>
      <w:pPr>
        <w:pStyle w:val="34"/>
        <w:spacing w:line="360" w:lineRule="auto"/>
        <w:ind w:right="-307" w:rightChars="-146"/>
        <w:jc w:val="center"/>
        <w:outlineLvl w:val="1"/>
        <w:rPr>
          <w:rFonts w:ascii="仿宋" w:hAnsi="仿宋" w:eastAsia="仿宋" w:cs="仿宋"/>
          <w:b/>
          <w:bCs/>
          <w:color w:val="auto"/>
          <w:sz w:val="28"/>
          <w:szCs w:val="28"/>
          <w:highlight w:val="none"/>
        </w:rPr>
      </w:pPr>
      <w:bookmarkStart w:id="6" w:name="_Toc28359095"/>
      <w:bookmarkStart w:id="7" w:name="_Toc35393636"/>
      <w:bookmarkStart w:id="8" w:name="_Toc28359018"/>
      <w:bookmarkStart w:id="9" w:name="_Toc35393805"/>
      <w:r>
        <w:rPr>
          <w:rFonts w:hint="eastAsia" w:ascii="仿宋" w:hAnsi="仿宋" w:eastAsia="仿宋" w:cs="仿宋"/>
          <w:b/>
          <w:bCs/>
          <w:color w:val="auto"/>
          <w:sz w:val="28"/>
          <w:szCs w:val="28"/>
          <w:highlight w:val="none"/>
        </w:rPr>
        <w:t>石河子大学会泽食府餐厅二楼装饰装修工程总承包</w:t>
      </w:r>
    </w:p>
    <w:p>
      <w:pPr>
        <w:pStyle w:val="34"/>
        <w:spacing w:line="360" w:lineRule="auto"/>
        <w:ind w:right="-307" w:rightChars="-146"/>
        <w:jc w:val="center"/>
        <w:outlineLvl w:val="1"/>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竞争性磋商公告</w:t>
      </w:r>
    </w:p>
    <w:p>
      <w:pPr>
        <w:pStyle w:val="21"/>
        <w:pBdr>
          <w:top w:val="single" w:color="auto" w:sz="4" w:space="1"/>
          <w:left w:val="single" w:color="auto" w:sz="4" w:space="4"/>
          <w:bottom w:val="single" w:color="auto" w:sz="4" w:space="1"/>
          <w:right w:val="single" w:color="auto" w:sz="4" w:space="4"/>
        </w:pBdr>
        <w:spacing w:line="360" w:lineRule="auto"/>
        <w:ind w:right="-307" w:rightChars="-146"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项目概况</w:t>
      </w:r>
    </w:p>
    <w:p>
      <w:pPr>
        <w:pStyle w:val="21"/>
        <w:pBdr>
          <w:top w:val="single" w:color="auto" w:sz="4" w:space="1"/>
          <w:left w:val="single" w:color="auto" w:sz="4" w:space="4"/>
          <w:bottom w:val="single" w:color="auto" w:sz="4" w:space="1"/>
          <w:right w:val="single" w:color="auto" w:sz="4" w:space="4"/>
        </w:pBdr>
        <w:spacing w:line="360" w:lineRule="auto"/>
        <w:ind w:right="-307" w:rightChars="-146"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rPr>
        <w:t>石河子大学会泽食府餐厅二楼装饰装修工程总承包</w:t>
      </w:r>
      <w:r>
        <w:rPr>
          <w:rFonts w:hint="eastAsia" w:ascii="仿宋" w:hAnsi="仿宋" w:eastAsia="仿宋" w:cs="仿宋"/>
          <w:color w:val="auto"/>
          <w:sz w:val="28"/>
          <w:szCs w:val="28"/>
          <w:highlight w:val="none"/>
        </w:rPr>
        <w:t>的潜在供应商应在兵团政府采购网政采云平台（https://login.zcygov.cn/user-login/#/login）登录后，进行下载获取采购文件，并于</w:t>
      </w:r>
      <w:r>
        <w:rPr>
          <w:rFonts w:hint="eastAsia" w:ascii="仿宋" w:hAnsi="仿宋" w:eastAsia="仿宋" w:cs="仿宋"/>
          <w:b/>
          <w:bCs/>
          <w:color w:val="auto"/>
          <w:sz w:val="28"/>
          <w:szCs w:val="28"/>
          <w:highlight w:val="none"/>
          <w:u w:val="single"/>
          <w:lang w:eastAsia="zh-CN"/>
        </w:rPr>
        <w:t>2022年1</w:t>
      </w:r>
      <w:r>
        <w:rPr>
          <w:rFonts w:hint="eastAsia" w:ascii="仿宋" w:hAnsi="仿宋" w:eastAsia="仿宋" w:cs="仿宋"/>
          <w:b/>
          <w:bCs/>
          <w:color w:val="auto"/>
          <w:sz w:val="28"/>
          <w:szCs w:val="28"/>
          <w:highlight w:val="none"/>
          <w:u w:val="single"/>
          <w:lang w:val="en-US" w:eastAsia="zh-CN"/>
        </w:rPr>
        <w:t>2</w:t>
      </w:r>
      <w:r>
        <w:rPr>
          <w:rFonts w:hint="eastAsia" w:ascii="仿宋" w:hAnsi="仿宋" w:eastAsia="仿宋" w:cs="仿宋"/>
          <w:b/>
          <w:bCs/>
          <w:color w:val="auto"/>
          <w:sz w:val="28"/>
          <w:szCs w:val="28"/>
          <w:highlight w:val="none"/>
          <w:u w:val="single"/>
          <w:lang w:eastAsia="zh-CN"/>
        </w:rPr>
        <w:t>月</w:t>
      </w:r>
      <w:r>
        <w:rPr>
          <w:rFonts w:hint="eastAsia" w:ascii="仿宋" w:hAnsi="仿宋" w:eastAsia="仿宋" w:cs="仿宋"/>
          <w:b/>
          <w:bCs/>
          <w:color w:val="auto"/>
          <w:sz w:val="28"/>
          <w:szCs w:val="28"/>
          <w:highlight w:val="none"/>
          <w:u w:val="single"/>
          <w:lang w:val="en-US" w:eastAsia="zh-CN"/>
        </w:rPr>
        <w:t>5</w:t>
      </w:r>
      <w:r>
        <w:rPr>
          <w:rFonts w:hint="eastAsia" w:ascii="仿宋" w:hAnsi="仿宋" w:eastAsia="仿宋" w:cs="仿宋"/>
          <w:b/>
          <w:bCs/>
          <w:color w:val="auto"/>
          <w:sz w:val="28"/>
          <w:szCs w:val="28"/>
          <w:highlight w:val="none"/>
          <w:u w:val="single"/>
          <w:lang w:eastAsia="zh-CN"/>
        </w:rPr>
        <w:t>日10时30分</w:t>
      </w:r>
      <w:r>
        <w:rPr>
          <w:rFonts w:hint="eastAsia" w:ascii="仿宋" w:hAnsi="仿宋" w:eastAsia="仿宋" w:cs="仿宋"/>
          <w:bCs/>
          <w:color w:val="auto"/>
          <w:sz w:val="28"/>
          <w:szCs w:val="28"/>
          <w:highlight w:val="none"/>
        </w:rPr>
        <w:t>（北京时间）前上传电子加密投标文件。</w:t>
      </w:r>
    </w:p>
    <w:p>
      <w:pPr>
        <w:pStyle w:val="21"/>
        <w:spacing w:line="360" w:lineRule="auto"/>
        <w:ind w:right="-512" w:rightChars="-244"/>
        <w:jc w:val="both"/>
        <w:rPr>
          <w:rFonts w:ascii="仿宋" w:hAnsi="仿宋" w:eastAsia="仿宋" w:cs="仿宋"/>
          <w:b/>
          <w:bCs/>
          <w:color w:val="auto"/>
          <w:sz w:val="28"/>
          <w:szCs w:val="28"/>
          <w:highlight w:val="none"/>
        </w:rPr>
      </w:pPr>
      <w:bookmarkStart w:id="10" w:name="_Toc25732"/>
      <w:bookmarkStart w:id="11" w:name="_Toc35393798"/>
      <w:bookmarkStart w:id="12" w:name="_Toc28359089"/>
      <w:bookmarkStart w:id="13" w:name="_Toc35393629"/>
      <w:bookmarkStart w:id="14" w:name="_Toc3271"/>
      <w:bookmarkStart w:id="15" w:name="_Toc28359012"/>
      <w:r>
        <w:rPr>
          <w:rFonts w:hint="eastAsia" w:ascii="仿宋" w:hAnsi="仿宋" w:eastAsia="仿宋" w:cs="仿宋"/>
          <w:b/>
          <w:bCs/>
          <w:color w:val="auto"/>
          <w:sz w:val="28"/>
          <w:szCs w:val="28"/>
          <w:highlight w:val="none"/>
        </w:rPr>
        <w:t>一、项目基本情况</w:t>
      </w:r>
      <w:bookmarkEnd w:id="10"/>
      <w:bookmarkEnd w:id="11"/>
      <w:bookmarkEnd w:id="12"/>
      <w:bookmarkEnd w:id="13"/>
      <w:bookmarkEnd w:id="14"/>
      <w:bookmarkEnd w:id="15"/>
    </w:p>
    <w:p>
      <w:pPr>
        <w:pStyle w:val="21"/>
        <w:spacing w:line="360" w:lineRule="auto"/>
        <w:ind w:right="-512" w:rightChars="-244"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项目编号：XJBTBJ[2022]1718号</w:t>
      </w:r>
      <w:r>
        <w:rPr>
          <w:rFonts w:hint="eastAsia" w:ascii="仿宋" w:hAnsi="仿宋" w:eastAsia="仿宋" w:cs="仿宋"/>
          <w:color w:val="auto"/>
          <w:sz w:val="28"/>
          <w:szCs w:val="28"/>
          <w:highlight w:val="none"/>
          <w:lang w:val="en-US" w:eastAsia="zh-CN"/>
        </w:rPr>
        <w:t>-02</w:t>
      </w:r>
      <w:r>
        <w:rPr>
          <w:rFonts w:hint="eastAsia" w:ascii="仿宋" w:hAnsi="仿宋" w:eastAsia="仿宋" w:cs="仿宋"/>
          <w:color w:val="auto"/>
          <w:sz w:val="28"/>
          <w:szCs w:val="28"/>
          <w:highlight w:val="none"/>
        </w:rPr>
        <w:t xml:space="preserve"> </w:t>
      </w:r>
    </w:p>
    <w:p>
      <w:pPr>
        <w:pStyle w:val="21"/>
        <w:spacing w:line="360" w:lineRule="auto"/>
        <w:ind w:left="559" w:leftChars="266" w:right="-512" w:rightChars="-244"/>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项目名称：石河子大学会泽食府餐厅二楼装饰装修工程总承包</w:t>
      </w:r>
    </w:p>
    <w:p>
      <w:pPr>
        <w:pStyle w:val="21"/>
        <w:spacing w:line="360" w:lineRule="auto"/>
        <w:ind w:left="559" w:leftChars="266" w:right="-512" w:rightChars="-244"/>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采购方式：竞争性磋商 </w:t>
      </w:r>
    </w:p>
    <w:p>
      <w:pPr>
        <w:pStyle w:val="21"/>
        <w:spacing w:line="360" w:lineRule="auto"/>
        <w:ind w:right="-512" w:rightChars="-244"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预算金额：250.00万元</w:t>
      </w:r>
    </w:p>
    <w:p>
      <w:pPr>
        <w:pStyle w:val="21"/>
        <w:spacing w:line="360" w:lineRule="auto"/>
        <w:ind w:right="-512" w:rightChars="-244"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最高限价：</w:t>
      </w:r>
      <w:bookmarkStart w:id="16" w:name="_Toc3114"/>
      <w:r>
        <w:rPr>
          <w:rFonts w:hint="eastAsia" w:ascii="仿宋" w:hAnsi="仿宋" w:eastAsia="仿宋" w:cs="仿宋"/>
          <w:color w:val="auto"/>
          <w:sz w:val="28"/>
          <w:szCs w:val="28"/>
          <w:highlight w:val="none"/>
        </w:rPr>
        <w:t>250.00万元</w:t>
      </w:r>
    </w:p>
    <w:p>
      <w:pPr>
        <w:pStyle w:val="21"/>
        <w:spacing w:line="360" w:lineRule="auto"/>
        <w:ind w:right="-512" w:rightChars="-244" w:firstLine="560" w:firstLineChars="200"/>
        <w:jc w:val="both"/>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采购需求：</w:t>
      </w:r>
      <w:bookmarkEnd w:id="16"/>
      <w:bookmarkStart w:id="17" w:name="_Toc3819"/>
      <w:bookmarkStart w:id="18" w:name="_Toc28359014"/>
      <w:bookmarkStart w:id="19" w:name="_Toc28359091"/>
      <w:bookmarkStart w:id="20" w:name="_Toc35393800"/>
      <w:bookmarkStart w:id="21" w:name="_Toc35393631"/>
      <w:r>
        <w:rPr>
          <w:rFonts w:hint="eastAsia" w:ascii="仿宋" w:hAnsi="仿宋" w:eastAsia="仿宋" w:cs="仿宋"/>
          <w:color w:val="auto"/>
          <w:sz w:val="28"/>
          <w:szCs w:val="28"/>
          <w:highlight w:val="none"/>
        </w:rPr>
        <w:t>根据建设方项目方案和投资，对本工程装饰设计、采购、施工等阶段实行总承包。对装饰设计、采购、施工及工程质量、安全、工期进度和造价等全面负总责，为交钥匙工程</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负责设计、采购、工程施工、缺陷责任期工程修复工作，配合项目业主完成部门协调、竣工验收及项目审计、资料归档等工作，具体内容如下：</w:t>
      </w:r>
    </w:p>
    <w:p>
      <w:pPr>
        <w:pStyle w:val="21"/>
        <w:spacing w:line="360" w:lineRule="auto"/>
        <w:ind w:right="-512" w:rightChars="-244"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1）设计工作内容：施工图设计、施工图预算和施工全过程的限额设计服务，施工图须经招标人确定并通过审查机构审查合格的施工图；施工图预算须招标人委托的工程造价咨询机构进行审查。</w:t>
      </w:r>
    </w:p>
    <w:p>
      <w:pPr>
        <w:pStyle w:val="21"/>
        <w:spacing w:line="360" w:lineRule="auto"/>
        <w:ind w:right="-512" w:rightChars="-244"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2）施工范围包括：施工图设计范围内的全部工程施工内容及保修期工程修复工作。</w:t>
      </w:r>
    </w:p>
    <w:p>
      <w:pPr>
        <w:pStyle w:val="21"/>
        <w:spacing w:line="360" w:lineRule="auto"/>
        <w:ind w:right="-512" w:rightChars="-244"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3）采购范围包括：与工程项目（施工图载明的）所有建筑材料、设备采购、运输、安装、验收保管等全部采购内容。</w:t>
      </w:r>
    </w:p>
    <w:p>
      <w:pPr>
        <w:pStyle w:val="21"/>
        <w:spacing w:line="360" w:lineRule="auto"/>
        <w:ind w:right="-512" w:rightChars="-244"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具体采购需求详见竞争性磋商文件第三章采购需求。</w:t>
      </w:r>
    </w:p>
    <w:p>
      <w:pPr>
        <w:pStyle w:val="21"/>
        <w:spacing w:line="360" w:lineRule="auto"/>
        <w:ind w:right="-512" w:rightChars="-244" w:firstLine="560" w:firstLineChars="200"/>
        <w:jc w:val="both"/>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合同履行期限：</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2023年8月10日前交付</w:t>
      </w:r>
      <w:r>
        <w:rPr>
          <w:rFonts w:hint="eastAsia" w:ascii="仿宋" w:hAnsi="仿宋" w:eastAsia="仿宋" w:cs="仿宋"/>
          <w:color w:val="auto"/>
          <w:sz w:val="28"/>
          <w:szCs w:val="28"/>
          <w:highlight w:val="none"/>
          <w:lang w:eastAsia="zh-CN"/>
        </w:rPr>
        <w:t>。</w:t>
      </w:r>
    </w:p>
    <w:p>
      <w:pPr>
        <w:pStyle w:val="21"/>
        <w:spacing w:line="360" w:lineRule="auto"/>
        <w:ind w:right="-512" w:rightChars="-244" w:firstLine="560" w:firstLineChars="200"/>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本项目（是/否）接受联合体投标：是</w:t>
      </w:r>
    </w:p>
    <w:p>
      <w:pPr>
        <w:pStyle w:val="21"/>
        <w:spacing w:line="360" w:lineRule="auto"/>
        <w:ind w:right="-512" w:rightChars="-244"/>
        <w:jc w:val="both"/>
        <w:rPr>
          <w:rFonts w:ascii="仿宋" w:hAnsi="仿宋" w:eastAsia="仿宋" w:cs="仿宋"/>
          <w:b/>
          <w:bCs/>
          <w:color w:val="auto"/>
          <w:sz w:val="28"/>
          <w:szCs w:val="28"/>
          <w:highlight w:val="none"/>
        </w:rPr>
      </w:pPr>
      <w:bookmarkStart w:id="22" w:name="_Toc5463"/>
      <w:r>
        <w:rPr>
          <w:rFonts w:hint="eastAsia" w:ascii="仿宋" w:hAnsi="仿宋" w:eastAsia="仿宋" w:cs="仿宋"/>
          <w:b/>
          <w:bCs/>
          <w:color w:val="auto"/>
          <w:sz w:val="28"/>
          <w:szCs w:val="28"/>
          <w:highlight w:val="none"/>
        </w:rPr>
        <w:t>二、申请人的资格要求：</w:t>
      </w:r>
      <w:bookmarkEnd w:id="22"/>
    </w:p>
    <w:p>
      <w:pPr>
        <w:pStyle w:val="21"/>
        <w:spacing w:line="360" w:lineRule="auto"/>
        <w:ind w:right="-512" w:rightChars="-244"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1.满足《中华人民共和国政府采购法》第二十二条规定；</w:t>
      </w:r>
    </w:p>
    <w:p>
      <w:pPr>
        <w:pStyle w:val="21"/>
        <w:spacing w:line="360" w:lineRule="auto"/>
        <w:ind w:right="-512" w:rightChars="-244"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落实政府采购政策需满足的资格要求：《国务院办公厅关于建立政府强制采购节能产品制度的通知》（国办发[2007]51号）；《关于调整优化节能产品、环境标志产品政府采购执行机制的通知》（财库[2019]9号）；财政部、工业和信息化部《关于印发〈政府采购促进中小企业发展暂行办法〉的通知》（财库[2020]46号文）；关于转发《政府采购促进中小企业发展管理办法》的通知（兵财库〔2021〕7号）；财政部《关于进一步加大政府采购支持中小企业力度的通知》（财库〔2022〕19号）；财政部、司法部《关于政府采购支持监狱企业发展有关问题的通知》（财库[2014]68号文）；《关于促进残疾人就业政府采购政策的通知》（财库〔2017〕141号）；财政部《关于运用政府采购政策支持脱贫攻坚的通知》（财库【2019】27号文）。财政部、生态环境部和国家邮政局关于印发《商品包装政府采购需求标准（试行）》、《快递包装政府采购需求标准（试行）》的通知(财办库〔2020〕123号文)。 </w:t>
      </w:r>
    </w:p>
    <w:p>
      <w:pPr>
        <w:pStyle w:val="21"/>
        <w:spacing w:line="360" w:lineRule="auto"/>
        <w:ind w:right="-512" w:rightChars="-244" w:firstLine="560" w:firstLineChars="200"/>
        <w:jc w:val="both"/>
        <w:rPr>
          <w:rFonts w:ascii="仿宋" w:hAnsi="仿宋" w:eastAsia="仿宋" w:cs="仿宋"/>
          <w:color w:val="auto"/>
          <w:sz w:val="28"/>
          <w:szCs w:val="28"/>
          <w:highlight w:val="none"/>
        </w:rPr>
      </w:pPr>
      <w:bookmarkStart w:id="23" w:name="_Toc32030"/>
      <w:bookmarkStart w:id="24" w:name="_Toc13780"/>
      <w:r>
        <w:rPr>
          <w:rFonts w:hint="eastAsia" w:ascii="仿宋" w:hAnsi="仿宋" w:eastAsia="仿宋" w:cs="仿宋"/>
          <w:color w:val="auto"/>
          <w:sz w:val="28"/>
          <w:szCs w:val="28"/>
          <w:highlight w:val="none"/>
        </w:rPr>
        <w:t>3.本项目的特定资格要求：</w:t>
      </w:r>
      <w:bookmarkEnd w:id="23"/>
      <w:bookmarkEnd w:id="24"/>
    </w:p>
    <w:p>
      <w:pPr>
        <w:pStyle w:val="21"/>
        <w:spacing w:line="360" w:lineRule="auto"/>
        <w:ind w:right="-512" w:rightChars="-244" w:firstLine="560" w:firstLineChars="200"/>
        <w:jc w:val="both"/>
        <w:rPr>
          <w:rFonts w:ascii="仿宋" w:hAnsi="仿宋" w:eastAsia="仿宋" w:cs="仿宋"/>
          <w:color w:val="auto"/>
          <w:sz w:val="28"/>
          <w:szCs w:val="28"/>
          <w:highlight w:val="none"/>
        </w:rPr>
      </w:pPr>
      <w:bookmarkStart w:id="25" w:name="_Toc994"/>
      <w:r>
        <w:rPr>
          <w:rFonts w:hint="eastAsia" w:ascii="仿宋" w:hAnsi="仿宋" w:eastAsia="仿宋" w:cs="仿宋"/>
          <w:color w:val="auto"/>
          <w:sz w:val="28"/>
          <w:szCs w:val="28"/>
          <w:highlight w:val="none"/>
        </w:rPr>
        <w:t>3.1本次招标要求投标人须同时具有建筑装修装饰工程专业</w:t>
      </w:r>
      <w:r>
        <w:rPr>
          <w:rFonts w:hint="eastAsia" w:ascii="仿宋" w:hAnsi="仿宋" w:eastAsia="仿宋" w:cs="仿宋"/>
          <w:color w:val="auto"/>
          <w:sz w:val="28"/>
          <w:szCs w:val="28"/>
          <w:highlight w:val="none"/>
          <w:lang w:eastAsia="zh-CN"/>
        </w:rPr>
        <w:t>承包二级以上（含二级）</w:t>
      </w:r>
      <w:r>
        <w:rPr>
          <w:rFonts w:hint="eastAsia" w:ascii="仿宋" w:hAnsi="仿宋" w:eastAsia="仿宋" w:cs="仿宋"/>
          <w:color w:val="auto"/>
          <w:sz w:val="28"/>
          <w:szCs w:val="28"/>
          <w:highlight w:val="none"/>
        </w:rPr>
        <w:t>资质、具有有效的施工企业安全生产许可证、建筑装饰工程设计乙级以上（含乙级）资质；或具有相应资质的设计单位和施工单位组成联合体。</w:t>
      </w:r>
    </w:p>
    <w:p>
      <w:pPr>
        <w:pStyle w:val="21"/>
        <w:spacing w:line="360" w:lineRule="auto"/>
        <w:ind w:right="-512" w:rightChars="-244"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自治区外建筑企业应按照《关于进一步推动自治区建筑 市场统一开放的通知》（新建建〔2018〕10号）要求进行信息登记。</w:t>
      </w:r>
    </w:p>
    <w:p>
      <w:pPr>
        <w:pStyle w:val="21"/>
        <w:spacing w:line="360" w:lineRule="auto"/>
        <w:ind w:right="-512" w:rightChars="-244"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主要负责人要求：</w:t>
      </w:r>
    </w:p>
    <w:p>
      <w:pPr>
        <w:pStyle w:val="21"/>
        <w:spacing w:line="360" w:lineRule="auto"/>
        <w:ind w:right="-512" w:rightChars="-244"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项目总负责人须具备建筑工程专业注册二级建造师执业资格或者注册建筑师、勘察设计注册工程师、注册建造师或者注册监理工程师等；未实施注册执业资格的，取得高级专业技术职称；若设计负责人、施工负责人符合项目总负责人资格要求的，允许兼任项目总负责人；不得同时在两个或者两个以上工程项目担任工程总承包项目经理、施工项目负责人。</w:t>
      </w:r>
    </w:p>
    <w:p>
      <w:pPr>
        <w:pStyle w:val="21"/>
        <w:spacing w:line="360" w:lineRule="auto"/>
        <w:ind w:right="-512" w:rightChars="-244"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（2）项目设计负责人：具有注册建筑师或具有相关专业中级以上技术职称；</w:t>
      </w:r>
    </w:p>
    <w:p>
      <w:pPr>
        <w:pStyle w:val="21"/>
        <w:spacing w:line="360" w:lineRule="auto"/>
        <w:ind w:right="-512" w:rightChars="-244"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（3）项目施工负责人须具备：建筑工程专业注册二级建造师执业资格，具备有效的安全生产考核合格证书，且未担任其他在建建设工程项目的项目经理。</w:t>
      </w:r>
    </w:p>
    <w:p>
      <w:pPr>
        <w:pStyle w:val="21"/>
        <w:spacing w:line="360" w:lineRule="auto"/>
        <w:ind w:right="-512" w:rightChars="-244"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本次招标 </w:t>
      </w:r>
      <w:r>
        <w:rPr>
          <w:rFonts w:hint="eastAsia" w:ascii="仿宋" w:hAnsi="仿宋" w:eastAsia="仿宋" w:cs="仿宋"/>
          <w:color w:val="auto"/>
          <w:sz w:val="28"/>
          <w:szCs w:val="28"/>
          <w:highlight w:val="none"/>
          <w:u w:val="single"/>
        </w:rPr>
        <w:t xml:space="preserve">接受 </w:t>
      </w:r>
      <w:r>
        <w:rPr>
          <w:rFonts w:hint="eastAsia" w:ascii="仿宋" w:hAnsi="仿宋" w:eastAsia="仿宋" w:cs="仿宋"/>
          <w:color w:val="auto"/>
          <w:sz w:val="28"/>
          <w:szCs w:val="28"/>
          <w:highlight w:val="none"/>
        </w:rPr>
        <w:t>联合体投标。</w:t>
      </w:r>
    </w:p>
    <w:p>
      <w:pPr>
        <w:pStyle w:val="21"/>
        <w:spacing w:line="360" w:lineRule="auto"/>
        <w:ind w:right="-512" w:rightChars="-244"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联合体投标的，应满足下列要求 ：</w:t>
      </w:r>
    </w:p>
    <w:p>
      <w:pPr>
        <w:pStyle w:val="21"/>
        <w:spacing w:line="360" w:lineRule="auto"/>
        <w:ind w:right="-512" w:rightChars="-244"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（1）联合体所有成员数量不得超过 2 家；</w:t>
      </w:r>
    </w:p>
    <w:p>
      <w:pPr>
        <w:pStyle w:val="21"/>
        <w:spacing w:line="360" w:lineRule="auto"/>
        <w:ind w:right="-512" w:rightChars="-244"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联合体牵头人应根据本项目特点和复杂程度，合理明确牵头单位及各自责任分工和权利，联合体各方应签订共同投标协议，联合体双方需满足各自专业在本项目中的资质要求，联合体各方不得再以自己名义单独参与或参加其他联合体在本招标项目中的投标。</w:t>
      </w:r>
    </w:p>
    <w:p>
      <w:pPr>
        <w:pStyle w:val="21"/>
        <w:spacing w:line="360" w:lineRule="auto"/>
        <w:ind w:right="-512" w:rightChars="-244"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3.2受托为本采购项目提供整体设计、规范编制或者项目管理、监理、检测等服务的供应商，不得再参加该采购项目的其他采购活动；</w:t>
      </w:r>
    </w:p>
    <w:p>
      <w:pPr>
        <w:pStyle w:val="21"/>
        <w:spacing w:line="360" w:lineRule="auto"/>
        <w:ind w:right="-512" w:rightChars="-244" w:firstLine="560" w:firstLineChars="200"/>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3.3</w:t>
      </w:r>
      <w:r>
        <w:rPr>
          <w:rFonts w:hint="eastAsia" w:ascii="仿宋" w:hAnsi="仿宋" w:eastAsia="仿宋" w:cs="仿宋"/>
          <w:color w:val="auto"/>
          <w:sz w:val="28"/>
          <w:szCs w:val="28"/>
          <w:highlight w:val="none"/>
        </w:rPr>
        <w:t>本项目为专门面向中小企业采购，不再执行价格评审优惠的扶持政策，参与投标的供应商须出具《中小企业声明函》。</w:t>
      </w:r>
    </w:p>
    <w:p>
      <w:pPr>
        <w:pStyle w:val="21"/>
        <w:spacing w:line="360" w:lineRule="auto"/>
        <w:ind w:right="-512" w:rightChars="-244"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根据《关于在政府采购活动中查询及使用信用记录有关问题的通知》（财库〔2016〕125 号）的要求，采购代理机构将通过“信用中国”网站（www.creditchina.gov.cn）、“中国政府采购网”网站（www.ccgp.gov.cn）等渠道查询供应商在开标当日之前的信用信息记录并保存信用记录结果网页截图，拒绝列入失信被执行人、重大税收违法案件当事人名单、政府采购严重违法失信行为记录名单及其他不符合规定条件的投标人；</w:t>
      </w:r>
    </w:p>
    <w:p>
      <w:pPr>
        <w:pStyle w:val="21"/>
        <w:spacing w:line="360" w:lineRule="auto"/>
        <w:ind w:right="-512" w:rightChars="-244"/>
        <w:jc w:val="both"/>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三、获取采购文件</w:t>
      </w:r>
      <w:bookmarkEnd w:id="17"/>
      <w:bookmarkEnd w:id="18"/>
      <w:bookmarkEnd w:id="19"/>
      <w:bookmarkEnd w:id="20"/>
      <w:bookmarkEnd w:id="21"/>
      <w:bookmarkEnd w:id="25"/>
    </w:p>
    <w:p>
      <w:pPr>
        <w:pStyle w:val="21"/>
        <w:spacing w:line="360" w:lineRule="auto"/>
        <w:ind w:right="-512" w:rightChars="-244" w:firstLine="560" w:firstLineChars="200"/>
        <w:jc w:val="both"/>
        <w:rPr>
          <w:rFonts w:ascii="仿宋" w:hAnsi="仿宋" w:eastAsia="仿宋" w:cs="仿宋"/>
          <w:color w:val="auto"/>
          <w:sz w:val="28"/>
          <w:szCs w:val="28"/>
          <w:highlight w:val="none"/>
        </w:rPr>
      </w:pPr>
      <w:bookmarkStart w:id="26" w:name="_Toc35393632"/>
      <w:bookmarkStart w:id="27" w:name="_Toc35393801"/>
      <w:bookmarkStart w:id="28" w:name="_Toc28359015"/>
      <w:bookmarkStart w:id="29" w:name="_Toc28359092"/>
      <w:r>
        <w:rPr>
          <w:rFonts w:hint="eastAsia" w:ascii="仿宋" w:hAnsi="仿宋" w:eastAsia="仿宋" w:cs="仿宋"/>
          <w:color w:val="auto"/>
          <w:sz w:val="28"/>
          <w:szCs w:val="28"/>
          <w:highlight w:val="none"/>
        </w:rPr>
        <w:t>时间：</w:t>
      </w:r>
      <w:r>
        <w:rPr>
          <w:rFonts w:hint="eastAsia" w:ascii="仿宋" w:hAnsi="仿宋" w:eastAsia="仿宋" w:cs="仿宋"/>
          <w:b/>
          <w:bCs/>
          <w:color w:val="auto"/>
          <w:sz w:val="28"/>
          <w:szCs w:val="28"/>
          <w:highlight w:val="none"/>
        </w:rPr>
        <w:t>2022年</w:t>
      </w:r>
      <w:r>
        <w:rPr>
          <w:rFonts w:hint="eastAsia" w:ascii="仿宋" w:hAnsi="仿宋" w:eastAsia="仿宋" w:cs="仿宋"/>
          <w:b/>
          <w:bCs/>
          <w:color w:val="auto"/>
          <w:sz w:val="28"/>
          <w:szCs w:val="28"/>
          <w:highlight w:val="none"/>
          <w:lang w:val="en-US" w:eastAsia="zh-CN"/>
        </w:rPr>
        <w:t>11</w:t>
      </w:r>
      <w:r>
        <w:rPr>
          <w:rFonts w:hint="eastAsia" w:ascii="仿宋" w:hAnsi="仿宋" w:eastAsia="仿宋" w:cs="仿宋"/>
          <w:b/>
          <w:bCs/>
          <w:color w:val="auto"/>
          <w:sz w:val="28"/>
          <w:szCs w:val="28"/>
          <w:highlight w:val="none"/>
        </w:rPr>
        <w:t>月</w:t>
      </w:r>
      <w:r>
        <w:rPr>
          <w:rFonts w:hint="eastAsia" w:ascii="仿宋" w:hAnsi="仿宋" w:eastAsia="仿宋" w:cs="仿宋"/>
          <w:b/>
          <w:bCs/>
          <w:color w:val="auto"/>
          <w:sz w:val="28"/>
          <w:szCs w:val="28"/>
          <w:highlight w:val="none"/>
          <w:lang w:val="en-US" w:eastAsia="zh-CN"/>
        </w:rPr>
        <w:t>25</w:t>
      </w:r>
      <w:r>
        <w:rPr>
          <w:rFonts w:hint="eastAsia" w:ascii="仿宋" w:hAnsi="仿宋" w:eastAsia="仿宋" w:cs="仿宋"/>
          <w:b/>
          <w:bCs/>
          <w:color w:val="auto"/>
          <w:sz w:val="28"/>
          <w:szCs w:val="28"/>
          <w:highlight w:val="none"/>
        </w:rPr>
        <w:t>日00时00分至2022年</w:t>
      </w:r>
      <w:r>
        <w:rPr>
          <w:rFonts w:hint="eastAsia" w:ascii="仿宋" w:hAnsi="仿宋" w:eastAsia="仿宋" w:cs="仿宋"/>
          <w:b/>
          <w:bCs/>
          <w:color w:val="auto"/>
          <w:sz w:val="28"/>
          <w:szCs w:val="28"/>
          <w:highlight w:val="none"/>
          <w:lang w:val="en-US" w:eastAsia="zh-CN"/>
        </w:rPr>
        <w:t>12</w:t>
      </w:r>
      <w:r>
        <w:rPr>
          <w:rFonts w:hint="eastAsia" w:ascii="仿宋" w:hAnsi="仿宋" w:eastAsia="仿宋" w:cs="仿宋"/>
          <w:b/>
          <w:bCs/>
          <w:color w:val="auto"/>
          <w:sz w:val="28"/>
          <w:szCs w:val="28"/>
          <w:highlight w:val="none"/>
        </w:rPr>
        <w:t>月</w:t>
      </w:r>
      <w:r>
        <w:rPr>
          <w:rFonts w:hint="eastAsia" w:ascii="仿宋" w:hAnsi="仿宋" w:eastAsia="仿宋" w:cs="仿宋"/>
          <w:b/>
          <w:bCs/>
          <w:color w:val="auto"/>
          <w:sz w:val="28"/>
          <w:szCs w:val="28"/>
          <w:highlight w:val="none"/>
          <w:lang w:val="en-US" w:eastAsia="zh-CN"/>
        </w:rPr>
        <w:t>2</w:t>
      </w:r>
      <w:r>
        <w:rPr>
          <w:rFonts w:hint="eastAsia" w:ascii="仿宋" w:hAnsi="仿宋" w:eastAsia="仿宋" w:cs="仿宋"/>
          <w:b/>
          <w:bCs/>
          <w:color w:val="auto"/>
          <w:sz w:val="28"/>
          <w:szCs w:val="28"/>
          <w:highlight w:val="none"/>
        </w:rPr>
        <w:t>日</w:t>
      </w:r>
      <w:r>
        <w:rPr>
          <w:rFonts w:hint="eastAsia" w:ascii="仿宋" w:hAnsi="仿宋" w:eastAsia="仿宋" w:cs="仿宋"/>
          <w:b/>
          <w:bCs/>
          <w:color w:val="auto"/>
          <w:sz w:val="28"/>
          <w:szCs w:val="28"/>
          <w:highlight w:val="none"/>
          <w:lang w:val="en-US" w:eastAsia="zh-CN"/>
        </w:rPr>
        <w:t>23</w:t>
      </w:r>
      <w:r>
        <w:rPr>
          <w:rFonts w:hint="eastAsia" w:ascii="仿宋" w:hAnsi="仿宋" w:eastAsia="仿宋" w:cs="仿宋"/>
          <w:b/>
          <w:bCs/>
          <w:color w:val="auto"/>
          <w:sz w:val="28"/>
          <w:szCs w:val="28"/>
          <w:highlight w:val="none"/>
        </w:rPr>
        <w:t>时</w:t>
      </w:r>
      <w:r>
        <w:rPr>
          <w:rFonts w:hint="eastAsia" w:ascii="仿宋" w:hAnsi="仿宋" w:eastAsia="仿宋" w:cs="仿宋"/>
          <w:b/>
          <w:bCs/>
          <w:color w:val="auto"/>
          <w:sz w:val="28"/>
          <w:szCs w:val="28"/>
          <w:highlight w:val="none"/>
          <w:lang w:val="en-US" w:eastAsia="zh-CN"/>
        </w:rPr>
        <w:t>59</w:t>
      </w:r>
      <w:r>
        <w:rPr>
          <w:rFonts w:hint="eastAsia" w:ascii="仿宋" w:hAnsi="仿宋" w:eastAsia="仿宋" w:cs="仿宋"/>
          <w:b/>
          <w:bCs/>
          <w:color w:val="auto"/>
          <w:sz w:val="28"/>
          <w:szCs w:val="28"/>
          <w:highlight w:val="none"/>
        </w:rPr>
        <w:t>分</w:t>
      </w:r>
      <w:r>
        <w:rPr>
          <w:rFonts w:hint="eastAsia" w:ascii="仿宋" w:hAnsi="仿宋" w:eastAsia="仿宋" w:cs="仿宋"/>
          <w:color w:val="auto"/>
          <w:sz w:val="28"/>
          <w:szCs w:val="28"/>
          <w:highlight w:val="none"/>
        </w:rPr>
        <w:t>（磋商文件的发售期限自开始之日起不得少于5个工作日）；</w:t>
      </w:r>
    </w:p>
    <w:p>
      <w:pPr>
        <w:pStyle w:val="21"/>
        <w:spacing w:line="360" w:lineRule="auto"/>
        <w:ind w:right="-512" w:rightChars="-244"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地点：兵团政府采购网政采云平台：https://login.zcygov.cn/user-login/#/login </w:t>
      </w:r>
    </w:p>
    <w:p>
      <w:pPr>
        <w:pStyle w:val="21"/>
        <w:spacing w:line="360" w:lineRule="auto"/>
        <w:ind w:right="-512" w:rightChars="-244" w:firstLine="560" w:firstLineChars="200"/>
        <w:jc w:val="lef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方式：供应商登录政采云平台https://login.zcygov.cn/user-login/#/login在线申请获取采购文件（进入“项目采购”应用，在获取采购文件菜单中选择项目，申请获取采购文件） </w:t>
      </w:r>
    </w:p>
    <w:p>
      <w:pPr>
        <w:pStyle w:val="21"/>
        <w:spacing w:line="360" w:lineRule="auto"/>
        <w:ind w:right="-512" w:rightChars="-244"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售价：0元</w:t>
      </w:r>
    </w:p>
    <w:bookmarkEnd w:id="26"/>
    <w:bookmarkEnd w:id="27"/>
    <w:bookmarkEnd w:id="28"/>
    <w:bookmarkEnd w:id="29"/>
    <w:p>
      <w:pPr>
        <w:pStyle w:val="21"/>
        <w:spacing w:line="360" w:lineRule="auto"/>
        <w:ind w:right="-512" w:rightChars="-244"/>
        <w:jc w:val="both"/>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四、响应文件提交</w:t>
      </w:r>
    </w:p>
    <w:p>
      <w:pPr>
        <w:pStyle w:val="21"/>
        <w:spacing w:line="360" w:lineRule="auto"/>
        <w:ind w:right="-512" w:rightChars="-244" w:firstLine="560" w:firstLineChars="200"/>
        <w:jc w:val="both"/>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截止时间：</w:t>
      </w:r>
      <w:r>
        <w:rPr>
          <w:rFonts w:hint="eastAsia" w:ascii="仿宋" w:hAnsi="仿宋" w:eastAsia="仿宋" w:cs="仿宋"/>
          <w:b/>
          <w:bCs/>
          <w:color w:val="auto"/>
          <w:sz w:val="28"/>
          <w:szCs w:val="28"/>
          <w:highlight w:val="none"/>
          <w:u w:val="single"/>
          <w:lang w:eastAsia="zh-CN"/>
        </w:rPr>
        <w:t>2022年1</w:t>
      </w:r>
      <w:r>
        <w:rPr>
          <w:rFonts w:hint="eastAsia" w:ascii="仿宋" w:hAnsi="仿宋" w:eastAsia="仿宋" w:cs="仿宋"/>
          <w:b/>
          <w:bCs/>
          <w:color w:val="auto"/>
          <w:sz w:val="28"/>
          <w:szCs w:val="28"/>
          <w:highlight w:val="none"/>
          <w:u w:val="single"/>
          <w:lang w:val="en-US" w:eastAsia="zh-CN"/>
        </w:rPr>
        <w:t>2</w:t>
      </w:r>
      <w:r>
        <w:rPr>
          <w:rFonts w:hint="eastAsia" w:ascii="仿宋" w:hAnsi="仿宋" w:eastAsia="仿宋" w:cs="仿宋"/>
          <w:b/>
          <w:bCs/>
          <w:color w:val="auto"/>
          <w:sz w:val="28"/>
          <w:szCs w:val="28"/>
          <w:highlight w:val="none"/>
          <w:u w:val="single"/>
          <w:lang w:eastAsia="zh-CN"/>
        </w:rPr>
        <w:t>月</w:t>
      </w:r>
      <w:r>
        <w:rPr>
          <w:rFonts w:hint="eastAsia" w:ascii="仿宋" w:hAnsi="仿宋" w:eastAsia="仿宋" w:cs="仿宋"/>
          <w:b/>
          <w:bCs/>
          <w:color w:val="auto"/>
          <w:sz w:val="28"/>
          <w:szCs w:val="28"/>
          <w:highlight w:val="none"/>
          <w:u w:val="single"/>
          <w:lang w:val="en-US" w:eastAsia="zh-CN"/>
        </w:rPr>
        <w:t>5</w:t>
      </w:r>
      <w:r>
        <w:rPr>
          <w:rFonts w:hint="eastAsia" w:ascii="仿宋" w:hAnsi="仿宋" w:eastAsia="仿宋" w:cs="仿宋"/>
          <w:b/>
          <w:bCs/>
          <w:color w:val="auto"/>
          <w:sz w:val="28"/>
          <w:szCs w:val="28"/>
          <w:highlight w:val="none"/>
          <w:u w:val="single"/>
          <w:lang w:eastAsia="zh-CN"/>
        </w:rPr>
        <w:t>日10时30分</w:t>
      </w:r>
      <w:r>
        <w:rPr>
          <w:rFonts w:hint="eastAsia" w:ascii="仿宋" w:hAnsi="仿宋" w:eastAsia="仿宋" w:cs="仿宋"/>
          <w:bCs/>
          <w:color w:val="auto"/>
          <w:sz w:val="28"/>
          <w:szCs w:val="28"/>
          <w:highlight w:val="none"/>
        </w:rPr>
        <w:t>（北京时间）</w:t>
      </w:r>
    </w:p>
    <w:p>
      <w:pPr>
        <w:pStyle w:val="21"/>
        <w:spacing w:line="360" w:lineRule="auto"/>
        <w:ind w:right="-512" w:rightChars="-244" w:firstLine="560" w:firstLineChars="200"/>
        <w:jc w:val="left"/>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 xml:space="preserve">地点：兵团政府采购网政采云平台(https://login.zcygov.cn/user-login/#/login) </w:t>
      </w:r>
    </w:p>
    <w:p>
      <w:pPr>
        <w:pStyle w:val="21"/>
        <w:numPr>
          <w:ilvl w:val="0"/>
          <w:numId w:val="10"/>
        </w:numPr>
        <w:spacing w:line="360" w:lineRule="auto"/>
        <w:ind w:right="-512" w:rightChars="-244"/>
        <w:jc w:val="both"/>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开启</w:t>
      </w:r>
    </w:p>
    <w:p>
      <w:pPr>
        <w:pStyle w:val="21"/>
        <w:spacing w:line="360" w:lineRule="auto"/>
        <w:ind w:right="-512" w:rightChars="-244" w:firstLine="560" w:firstLineChars="200"/>
        <w:jc w:val="both"/>
        <w:rPr>
          <w:rFonts w:hint="eastAsia" w:ascii="仿宋" w:hAnsi="仿宋" w:eastAsia="仿宋" w:cs="仿宋"/>
          <w:b/>
          <w:bCs/>
          <w:color w:val="auto"/>
          <w:sz w:val="28"/>
          <w:szCs w:val="28"/>
          <w:highlight w:val="none"/>
          <w:u w:val="single"/>
        </w:rPr>
      </w:pPr>
      <w:r>
        <w:rPr>
          <w:rFonts w:hint="eastAsia" w:ascii="仿宋" w:hAnsi="仿宋" w:eastAsia="仿宋" w:cs="仿宋"/>
          <w:color w:val="auto"/>
          <w:sz w:val="28"/>
          <w:szCs w:val="28"/>
          <w:highlight w:val="none"/>
        </w:rPr>
        <w:t>时间：</w:t>
      </w:r>
      <w:r>
        <w:rPr>
          <w:rFonts w:hint="eastAsia" w:ascii="仿宋" w:hAnsi="仿宋" w:eastAsia="仿宋" w:cs="仿宋"/>
          <w:b/>
          <w:bCs/>
          <w:color w:val="auto"/>
          <w:sz w:val="28"/>
          <w:szCs w:val="28"/>
          <w:highlight w:val="none"/>
          <w:u w:val="single"/>
          <w:lang w:eastAsia="zh-CN"/>
        </w:rPr>
        <w:t>2022年1</w:t>
      </w:r>
      <w:r>
        <w:rPr>
          <w:rFonts w:hint="eastAsia" w:ascii="仿宋" w:hAnsi="仿宋" w:eastAsia="仿宋" w:cs="仿宋"/>
          <w:b/>
          <w:bCs/>
          <w:color w:val="auto"/>
          <w:sz w:val="28"/>
          <w:szCs w:val="28"/>
          <w:highlight w:val="none"/>
          <w:u w:val="single"/>
          <w:lang w:val="en-US" w:eastAsia="zh-CN"/>
        </w:rPr>
        <w:t>2</w:t>
      </w:r>
      <w:r>
        <w:rPr>
          <w:rFonts w:hint="eastAsia" w:ascii="仿宋" w:hAnsi="仿宋" w:eastAsia="仿宋" w:cs="仿宋"/>
          <w:b/>
          <w:bCs/>
          <w:color w:val="auto"/>
          <w:sz w:val="28"/>
          <w:szCs w:val="28"/>
          <w:highlight w:val="none"/>
          <w:u w:val="single"/>
          <w:lang w:eastAsia="zh-CN"/>
        </w:rPr>
        <w:t>月</w:t>
      </w:r>
      <w:r>
        <w:rPr>
          <w:rFonts w:hint="eastAsia" w:ascii="仿宋" w:hAnsi="仿宋" w:eastAsia="仿宋" w:cs="仿宋"/>
          <w:b/>
          <w:bCs/>
          <w:color w:val="auto"/>
          <w:sz w:val="28"/>
          <w:szCs w:val="28"/>
          <w:highlight w:val="none"/>
          <w:u w:val="single"/>
          <w:lang w:val="en-US" w:eastAsia="zh-CN"/>
        </w:rPr>
        <w:t>5</w:t>
      </w:r>
      <w:r>
        <w:rPr>
          <w:rFonts w:hint="eastAsia" w:ascii="仿宋" w:hAnsi="仿宋" w:eastAsia="仿宋" w:cs="仿宋"/>
          <w:b/>
          <w:bCs/>
          <w:color w:val="auto"/>
          <w:sz w:val="28"/>
          <w:szCs w:val="28"/>
          <w:highlight w:val="none"/>
          <w:u w:val="single"/>
          <w:lang w:eastAsia="zh-CN"/>
        </w:rPr>
        <w:t>日10时30分</w:t>
      </w:r>
      <w:r>
        <w:rPr>
          <w:rFonts w:hint="eastAsia" w:ascii="仿宋" w:hAnsi="仿宋" w:eastAsia="仿宋" w:cs="仿宋"/>
          <w:b/>
          <w:bCs/>
          <w:color w:val="auto"/>
          <w:sz w:val="28"/>
          <w:szCs w:val="28"/>
          <w:highlight w:val="none"/>
          <w:u w:val="single"/>
        </w:rPr>
        <w:t>（北京时间）</w:t>
      </w:r>
    </w:p>
    <w:p>
      <w:pPr>
        <w:pStyle w:val="21"/>
        <w:spacing w:line="360" w:lineRule="auto"/>
        <w:ind w:right="-512" w:rightChars="-244" w:firstLine="560" w:firstLineChars="200"/>
        <w:jc w:val="both"/>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地点：石河子市北三路爱派国际写字楼22楼（兵团政采云平台https://www.zcygov.cn/政采云不见面开标大厅）</w:t>
      </w:r>
    </w:p>
    <w:p>
      <w:pPr>
        <w:pStyle w:val="21"/>
        <w:spacing w:line="360" w:lineRule="auto"/>
        <w:ind w:right="-512" w:rightChars="-244" w:firstLine="560" w:firstLineChars="200"/>
        <w:jc w:val="both"/>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开标方式：不见面开标，供应商不需要到达现场。</w:t>
      </w:r>
    </w:p>
    <w:p>
      <w:pPr>
        <w:pStyle w:val="21"/>
        <w:spacing w:line="360" w:lineRule="auto"/>
        <w:ind w:right="-512" w:rightChars="-244"/>
        <w:jc w:val="both"/>
        <w:outlineLvl w:val="1"/>
        <w:rPr>
          <w:rFonts w:ascii="仿宋" w:hAnsi="仿宋" w:eastAsia="仿宋" w:cs="仿宋"/>
          <w:b/>
          <w:bCs/>
          <w:color w:val="auto"/>
          <w:sz w:val="28"/>
          <w:szCs w:val="28"/>
          <w:highlight w:val="none"/>
        </w:rPr>
      </w:pPr>
      <w:bookmarkStart w:id="30" w:name="_Toc35393803"/>
      <w:bookmarkStart w:id="31" w:name="_Toc27800"/>
      <w:bookmarkStart w:id="32" w:name="_Toc35393634"/>
      <w:bookmarkStart w:id="33" w:name="_Toc23301"/>
      <w:bookmarkStart w:id="34" w:name="_Toc28359017"/>
      <w:bookmarkStart w:id="35" w:name="_Toc28359094"/>
      <w:bookmarkStart w:id="36" w:name="_Toc21069"/>
      <w:r>
        <w:rPr>
          <w:rFonts w:hint="eastAsia" w:ascii="仿宋" w:hAnsi="仿宋" w:eastAsia="仿宋" w:cs="仿宋"/>
          <w:b/>
          <w:bCs/>
          <w:color w:val="auto"/>
          <w:sz w:val="28"/>
          <w:szCs w:val="28"/>
          <w:highlight w:val="none"/>
        </w:rPr>
        <w:t>六、公告期限</w:t>
      </w:r>
      <w:bookmarkEnd w:id="30"/>
      <w:bookmarkEnd w:id="31"/>
      <w:bookmarkEnd w:id="32"/>
      <w:bookmarkEnd w:id="33"/>
      <w:bookmarkEnd w:id="34"/>
      <w:bookmarkEnd w:id="35"/>
      <w:bookmarkEnd w:id="36"/>
    </w:p>
    <w:p>
      <w:pPr>
        <w:pStyle w:val="21"/>
        <w:spacing w:line="360" w:lineRule="auto"/>
        <w:ind w:right="-512" w:rightChars="-244"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自本公告发布之日起3个工作日。</w:t>
      </w:r>
    </w:p>
    <w:p>
      <w:pPr>
        <w:pStyle w:val="21"/>
        <w:spacing w:line="360" w:lineRule="auto"/>
        <w:ind w:right="-512" w:rightChars="-244"/>
        <w:jc w:val="both"/>
        <w:outlineLvl w:val="1"/>
        <w:rPr>
          <w:rFonts w:ascii="仿宋" w:hAnsi="仿宋" w:eastAsia="仿宋" w:cs="仿宋"/>
          <w:b/>
          <w:bCs/>
          <w:color w:val="auto"/>
          <w:kern w:val="0"/>
          <w:sz w:val="28"/>
          <w:szCs w:val="28"/>
          <w:highlight w:val="none"/>
        </w:rPr>
      </w:pPr>
      <w:bookmarkStart w:id="37" w:name="_Toc21153"/>
      <w:bookmarkStart w:id="38" w:name="_Toc28575"/>
      <w:bookmarkStart w:id="39" w:name="_Toc31205"/>
      <w:r>
        <w:rPr>
          <w:rFonts w:hint="eastAsia" w:ascii="仿宋" w:hAnsi="仿宋" w:eastAsia="仿宋" w:cs="仿宋"/>
          <w:b/>
          <w:bCs/>
          <w:color w:val="auto"/>
          <w:kern w:val="0"/>
          <w:sz w:val="28"/>
          <w:szCs w:val="28"/>
          <w:highlight w:val="none"/>
        </w:rPr>
        <w:t>七、公告媒介：</w:t>
      </w:r>
      <w:bookmarkEnd w:id="37"/>
      <w:bookmarkEnd w:id="38"/>
      <w:bookmarkEnd w:id="39"/>
    </w:p>
    <w:p>
      <w:pPr>
        <w:pStyle w:val="39"/>
        <w:tabs>
          <w:tab w:val="left" w:pos="919"/>
        </w:tabs>
        <w:spacing w:line="360" w:lineRule="auto"/>
        <w:ind w:right="-512" w:rightChars="-244" w:firstLine="638" w:firstLineChars="228"/>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兵团政府采购网（ccgp-bingtuan.gov.cn）、石河子大学网</w:t>
      </w:r>
    </w:p>
    <w:p>
      <w:pPr>
        <w:pStyle w:val="19"/>
        <w:spacing w:line="360" w:lineRule="auto"/>
        <w:ind w:right="-512" w:rightChars="-244" w:firstLine="0" w:firstLineChars="0"/>
        <w:jc w:val="both"/>
        <w:outlineLvl w:val="1"/>
        <w:rPr>
          <w:rFonts w:ascii="仿宋" w:hAnsi="仿宋" w:eastAsia="仿宋" w:cs="仿宋"/>
          <w:b/>
          <w:bCs/>
          <w:color w:val="auto"/>
          <w:sz w:val="28"/>
          <w:szCs w:val="28"/>
          <w:highlight w:val="none"/>
        </w:rPr>
      </w:pPr>
      <w:bookmarkStart w:id="40" w:name="_Toc7227"/>
      <w:bookmarkStart w:id="41" w:name="_Toc16712"/>
      <w:bookmarkStart w:id="42" w:name="_Toc10404"/>
      <w:r>
        <w:rPr>
          <w:rFonts w:hint="eastAsia" w:ascii="仿宋" w:hAnsi="仿宋" w:eastAsia="仿宋" w:cs="仿宋"/>
          <w:b/>
          <w:bCs/>
          <w:color w:val="auto"/>
          <w:sz w:val="28"/>
          <w:szCs w:val="28"/>
          <w:highlight w:val="none"/>
        </w:rPr>
        <w:t>八、其他补充事宜</w:t>
      </w:r>
      <w:bookmarkEnd w:id="40"/>
      <w:bookmarkEnd w:id="41"/>
      <w:bookmarkEnd w:id="42"/>
    </w:p>
    <w:p>
      <w:pPr>
        <w:pStyle w:val="19"/>
        <w:spacing w:line="360" w:lineRule="auto"/>
        <w:ind w:right="-512" w:rightChars="-244" w:firstLine="638" w:firstLineChars="228"/>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1、本项目实行网上投标，采用电子投标文件；</w:t>
      </w:r>
    </w:p>
    <w:p>
      <w:pPr>
        <w:pStyle w:val="19"/>
        <w:spacing w:line="360" w:lineRule="auto"/>
        <w:ind w:right="-512" w:rightChars="-244" w:firstLine="638" w:firstLineChars="228"/>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各供应商应在开标前应确保成为政采云平台供应商，并完成CA数字证书（符合国密标准）申领。因未注册入库、未办理CA数字证书等原因造成无法投标或投标失败等后果由供应商自行承担。有意向参与兵团区域电子开评标的供应商，可访问新疆数字证书认证中心官方网站（https://www.xjca.com.cn/）或下载“新疆政务通”APP自行进行申领。如需咨询，请联系新疆CA服务热线0991-2819290；</w:t>
      </w:r>
    </w:p>
    <w:p>
      <w:pPr>
        <w:pStyle w:val="19"/>
        <w:spacing w:line="360" w:lineRule="auto"/>
        <w:ind w:right="-512" w:rightChars="-244" w:firstLine="638" w:firstLineChars="228"/>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供应商将政采云电子交易客户端下载、安装完成后，可通过账号密码或CA登录客户端进行投标文件的制作。在使用政采云投标客户端时，建议使用WIN7（64位）及以上操作系统。客户端请至兵团政府采购网（http://ccgp-bingtuan.gov.cn/）下载专区查看，如有问题可拨打政采云客户服务热线400-881-7190进行咨询。如因供应商自身原因导致在规定时间内无法正常解密的（如：浏览器故障、未安装相关驱动、网络故障、加密CA与解密CA不一致等），采购中心/代理机构不予异常处理，视为供应商自动弃标。</w:t>
      </w:r>
    </w:p>
    <w:p>
      <w:pPr>
        <w:pStyle w:val="19"/>
        <w:spacing w:line="420" w:lineRule="exact"/>
        <w:ind w:right="-512" w:rightChars="-244" w:firstLine="0" w:firstLineChars="0"/>
        <w:jc w:val="both"/>
        <w:rPr>
          <w:rFonts w:ascii="仿宋" w:hAnsi="仿宋" w:eastAsia="仿宋" w:cs="仿宋"/>
          <w:b/>
          <w:bCs/>
          <w:color w:val="auto"/>
          <w:sz w:val="28"/>
          <w:szCs w:val="28"/>
          <w:highlight w:val="none"/>
        </w:rPr>
      </w:pPr>
      <w:bookmarkStart w:id="43" w:name="_Toc4593"/>
      <w:bookmarkStart w:id="44" w:name="_Toc6096"/>
      <w:bookmarkStart w:id="45" w:name="_Toc26337"/>
      <w:r>
        <w:rPr>
          <w:rFonts w:hint="eastAsia" w:ascii="仿宋" w:hAnsi="仿宋" w:eastAsia="仿宋" w:cs="仿宋"/>
          <w:b/>
          <w:bCs/>
          <w:color w:val="auto"/>
          <w:sz w:val="28"/>
          <w:szCs w:val="28"/>
          <w:highlight w:val="none"/>
        </w:rPr>
        <w:t>九、凡对本次采购提出询问，请按以下方式联系。</w:t>
      </w:r>
      <w:bookmarkEnd w:id="43"/>
      <w:bookmarkEnd w:id="44"/>
      <w:bookmarkEnd w:id="45"/>
    </w:p>
    <w:bookmarkEnd w:id="6"/>
    <w:bookmarkEnd w:id="7"/>
    <w:bookmarkEnd w:id="8"/>
    <w:bookmarkEnd w:id="9"/>
    <w:p>
      <w:pPr>
        <w:pStyle w:val="35"/>
        <w:numPr>
          <w:ilvl w:val="0"/>
          <w:numId w:val="0"/>
        </w:numPr>
        <w:spacing w:line="400" w:lineRule="exact"/>
        <w:ind w:left="-229" w:right="-512" w:rightChars="-244"/>
        <w:jc w:val="both"/>
        <w:rPr>
          <w:rFonts w:ascii="仿宋" w:hAnsi="仿宋" w:eastAsia="仿宋" w:cs="仿宋"/>
          <w:b w:val="0"/>
          <w:color w:val="auto"/>
          <w:sz w:val="28"/>
          <w:szCs w:val="28"/>
          <w:highlight w:val="none"/>
        </w:rPr>
      </w:pPr>
      <w:bookmarkStart w:id="46" w:name="_Toc32154"/>
      <w:bookmarkStart w:id="47" w:name="_Toc35393637"/>
      <w:bookmarkStart w:id="48" w:name="_Toc35393806"/>
      <w:bookmarkStart w:id="49" w:name="_Toc28359096"/>
      <w:bookmarkStart w:id="50" w:name="_Toc256000021"/>
      <w:bookmarkStart w:id="51" w:name="_Toc28359019"/>
      <w:r>
        <w:rPr>
          <w:rFonts w:hint="eastAsia" w:ascii="仿宋" w:hAnsi="仿宋" w:eastAsia="仿宋" w:cs="仿宋"/>
          <w:b w:val="0"/>
          <w:color w:val="auto"/>
          <w:sz w:val="28"/>
          <w:szCs w:val="28"/>
          <w:highlight w:val="none"/>
        </w:rPr>
        <w:t>1.采购人信息</w:t>
      </w:r>
      <w:bookmarkEnd w:id="46"/>
      <w:bookmarkEnd w:id="47"/>
      <w:bookmarkEnd w:id="48"/>
      <w:bookmarkEnd w:id="49"/>
      <w:bookmarkEnd w:id="50"/>
      <w:bookmarkEnd w:id="51"/>
    </w:p>
    <w:p>
      <w:pPr>
        <w:pStyle w:val="21"/>
        <w:spacing w:line="400" w:lineRule="exact"/>
        <w:ind w:left="1129" w:leftChars="371" w:right="-512" w:rightChars="-244" w:hanging="350" w:hangingChars="125"/>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名    称：</w:t>
      </w:r>
      <w:r>
        <w:rPr>
          <w:rFonts w:hint="eastAsia" w:ascii="仿宋" w:hAnsi="仿宋" w:eastAsia="仿宋" w:cs="仿宋"/>
          <w:color w:val="auto"/>
          <w:sz w:val="28"/>
          <w:szCs w:val="28"/>
          <w:highlight w:val="none"/>
          <w:u w:val="single"/>
        </w:rPr>
        <w:t xml:space="preserve">石河子大学               </w:t>
      </w:r>
    </w:p>
    <w:p>
      <w:pPr>
        <w:pStyle w:val="21"/>
        <w:spacing w:line="400" w:lineRule="exact"/>
        <w:ind w:left="1129" w:leftChars="371" w:right="-512" w:rightChars="-244" w:hanging="350" w:hangingChars="125"/>
        <w:jc w:val="both"/>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地    址：</w:t>
      </w:r>
      <w:r>
        <w:rPr>
          <w:rFonts w:hint="eastAsia" w:ascii="仿宋" w:hAnsi="仿宋" w:eastAsia="仿宋" w:cs="仿宋"/>
          <w:color w:val="auto"/>
          <w:sz w:val="28"/>
          <w:szCs w:val="28"/>
          <w:highlight w:val="none"/>
          <w:u w:val="single"/>
        </w:rPr>
        <w:t xml:space="preserve">石河子市北四路221号      </w:t>
      </w:r>
    </w:p>
    <w:p>
      <w:pPr>
        <w:pStyle w:val="21"/>
        <w:spacing w:line="400" w:lineRule="exact"/>
        <w:ind w:left="1129" w:leftChars="371" w:right="-512" w:rightChars="-244" w:hanging="350" w:hangingChars="125"/>
        <w:jc w:val="both"/>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联 系 人：</w:t>
      </w:r>
      <w:r>
        <w:rPr>
          <w:rFonts w:hint="eastAsia" w:ascii="仿宋" w:hAnsi="仿宋" w:eastAsia="仿宋" w:cs="仿宋"/>
          <w:color w:val="auto"/>
          <w:sz w:val="28"/>
          <w:szCs w:val="28"/>
          <w:highlight w:val="none"/>
          <w:u w:val="single"/>
        </w:rPr>
        <w:t xml:space="preserve">赵丽       </w:t>
      </w:r>
    </w:p>
    <w:p>
      <w:pPr>
        <w:pStyle w:val="21"/>
        <w:spacing w:line="400" w:lineRule="exact"/>
        <w:ind w:left="1129" w:leftChars="371" w:right="-512" w:rightChars="-244" w:hanging="350" w:hangingChars="125"/>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联系方式：</w:t>
      </w:r>
      <w:r>
        <w:rPr>
          <w:rFonts w:hint="eastAsia" w:ascii="仿宋" w:hAnsi="仿宋" w:eastAsia="仿宋" w:cs="仿宋"/>
          <w:color w:val="auto"/>
          <w:sz w:val="28"/>
          <w:szCs w:val="28"/>
          <w:highlight w:val="none"/>
          <w:u w:val="single"/>
        </w:rPr>
        <w:t xml:space="preserve">0993-2055886 　　         </w:t>
      </w:r>
    </w:p>
    <w:p>
      <w:pPr>
        <w:pStyle w:val="35"/>
        <w:numPr>
          <w:ilvl w:val="0"/>
          <w:numId w:val="0"/>
        </w:numPr>
        <w:spacing w:line="400" w:lineRule="exact"/>
        <w:ind w:left="-229" w:right="-512" w:rightChars="-244"/>
        <w:jc w:val="both"/>
        <w:rPr>
          <w:rFonts w:ascii="仿宋" w:hAnsi="仿宋" w:eastAsia="仿宋" w:cs="仿宋"/>
          <w:b w:val="0"/>
          <w:color w:val="auto"/>
          <w:sz w:val="28"/>
          <w:szCs w:val="28"/>
          <w:highlight w:val="none"/>
        </w:rPr>
      </w:pPr>
      <w:bookmarkStart w:id="52" w:name="_Toc18827"/>
      <w:bookmarkStart w:id="53" w:name="_Toc256000022"/>
      <w:bookmarkStart w:id="54" w:name="_Toc28359020"/>
      <w:bookmarkStart w:id="55" w:name="_Toc35393807"/>
      <w:bookmarkStart w:id="56" w:name="_Toc35393638"/>
      <w:bookmarkStart w:id="57" w:name="_Toc28359097"/>
      <w:r>
        <w:rPr>
          <w:rFonts w:hint="eastAsia" w:ascii="仿宋" w:hAnsi="仿宋" w:eastAsia="仿宋" w:cs="仿宋"/>
          <w:b w:val="0"/>
          <w:color w:val="auto"/>
          <w:sz w:val="28"/>
          <w:szCs w:val="28"/>
          <w:highlight w:val="none"/>
        </w:rPr>
        <w:t>2.采购代理机构信息</w:t>
      </w:r>
      <w:bookmarkEnd w:id="52"/>
      <w:bookmarkEnd w:id="53"/>
      <w:bookmarkEnd w:id="54"/>
      <w:bookmarkEnd w:id="55"/>
      <w:bookmarkEnd w:id="56"/>
      <w:bookmarkEnd w:id="57"/>
    </w:p>
    <w:p>
      <w:pPr>
        <w:pStyle w:val="21"/>
        <w:spacing w:line="400" w:lineRule="exact"/>
        <w:ind w:right="-512" w:rightChars="-244" w:firstLine="840" w:firstLineChars="3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名    称：</w:t>
      </w:r>
      <w:r>
        <w:rPr>
          <w:rFonts w:hint="eastAsia" w:ascii="仿宋" w:hAnsi="仿宋" w:eastAsia="仿宋" w:cs="仿宋"/>
          <w:color w:val="auto"/>
          <w:sz w:val="28"/>
          <w:szCs w:val="28"/>
          <w:highlight w:val="none"/>
          <w:u w:val="single"/>
        </w:rPr>
        <w:t xml:space="preserve">新疆华通方圆工程管理咨询有限公司 </w:t>
      </w:r>
    </w:p>
    <w:p>
      <w:pPr>
        <w:pStyle w:val="21"/>
        <w:spacing w:line="400" w:lineRule="exact"/>
        <w:ind w:right="-512" w:rightChars="-244" w:firstLine="840" w:firstLineChars="300"/>
        <w:jc w:val="both"/>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地　　址：</w:t>
      </w:r>
      <w:r>
        <w:rPr>
          <w:rFonts w:hint="eastAsia" w:ascii="仿宋" w:hAnsi="仿宋" w:eastAsia="仿宋" w:cs="仿宋"/>
          <w:color w:val="auto"/>
          <w:sz w:val="28"/>
          <w:szCs w:val="28"/>
          <w:highlight w:val="none"/>
          <w:u w:val="single"/>
        </w:rPr>
        <w:t>石河子市北三路爱派国际写字楼22楼</w:t>
      </w:r>
    </w:p>
    <w:p>
      <w:pPr>
        <w:pStyle w:val="21"/>
        <w:spacing w:line="400" w:lineRule="exact"/>
        <w:ind w:right="-512" w:rightChars="-244" w:firstLine="840" w:firstLineChars="3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联 系 人：</w:t>
      </w:r>
      <w:r>
        <w:rPr>
          <w:rFonts w:hint="eastAsia" w:ascii="仿宋" w:hAnsi="仿宋" w:eastAsia="仿宋" w:cs="仿宋"/>
          <w:color w:val="auto"/>
          <w:sz w:val="28"/>
          <w:szCs w:val="28"/>
          <w:highlight w:val="none"/>
          <w:u w:val="single"/>
        </w:rPr>
        <w:t xml:space="preserve">代欧莉      </w:t>
      </w:r>
    </w:p>
    <w:p>
      <w:pPr>
        <w:pStyle w:val="21"/>
        <w:spacing w:line="400" w:lineRule="exact"/>
        <w:ind w:right="-512" w:rightChars="-244" w:firstLine="840" w:firstLineChars="300"/>
        <w:jc w:val="both"/>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联系电话：</w:t>
      </w:r>
      <w:r>
        <w:rPr>
          <w:rFonts w:hint="eastAsia" w:ascii="仿宋" w:hAnsi="仿宋" w:eastAsia="仿宋" w:cs="仿宋"/>
          <w:color w:val="auto"/>
          <w:sz w:val="28"/>
          <w:szCs w:val="28"/>
          <w:highlight w:val="none"/>
          <w:u w:val="single"/>
        </w:rPr>
        <w:t>0993-2611431　</w:t>
      </w:r>
    </w:p>
    <w:p>
      <w:pPr>
        <w:pStyle w:val="35"/>
        <w:numPr>
          <w:ilvl w:val="0"/>
          <w:numId w:val="0"/>
        </w:numPr>
        <w:spacing w:line="400" w:lineRule="exact"/>
        <w:ind w:left="-229" w:right="-512" w:rightChars="-244"/>
        <w:jc w:val="both"/>
        <w:rPr>
          <w:rFonts w:ascii="仿宋" w:hAnsi="仿宋" w:eastAsia="仿宋" w:cs="仿宋"/>
          <w:b w:val="0"/>
          <w:color w:val="auto"/>
          <w:sz w:val="28"/>
          <w:szCs w:val="28"/>
          <w:highlight w:val="none"/>
        </w:rPr>
      </w:pPr>
      <w:bookmarkStart w:id="58" w:name="_Toc35393639"/>
      <w:bookmarkStart w:id="59" w:name="_Toc27324"/>
      <w:bookmarkStart w:id="60" w:name="_Toc35393808"/>
      <w:bookmarkStart w:id="61" w:name="_Toc28359098"/>
      <w:bookmarkStart w:id="62" w:name="_Toc256000023"/>
      <w:bookmarkStart w:id="63" w:name="_Toc28359021"/>
      <w:r>
        <w:rPr>
          <w:rFonts w:hint="eastAsia" w:ascii="仿宋" w:hAnsi="仿宋" w:eastAsia="仿宋" w:cs="仿宋"/>
          <w:b w:val="0"/>
          <w:color w:val="auto"/>
          <w:sz w:val="28"/>
          <w:szCs w:val="28"/>
          <w:highlight w:val="none"/>
        </w:rPr>
        <w:t>3.项目联系方式</w:t>
      </w:r>
      <w:bookmarkEnd w:id="58"/>
      <w:bookmarkEnd w:id="59"/>
      <w:bookmarkEnd w:id="60"/>
      <w:bookmarkEnd w:id="61"/>
      <w:bookmarkEnd w:id="62"/>
      <w:bookmarkEnd w:id="63"/>
    </w:p>
    <w:p>
      <w:pPr>
        <w:pStyle w:val="40"/>
        <w:spacing w:line="400" w:lineRule="exact"/>
        <w:ind w:right="-512" w:rightChars="-244" w:firstLine="840" w:firstLineChars="3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项目联系人：</w:t>
      </w:r>
      <w:r>
        <w:rPr>
          <w:rFonts w:hint="eastAsia" w:ascii="仿宋" w:hAnsi="仿宋" w:eastAsia="仿宋" w:cs="仿宋"/>
          <w:color w:val="auto"/>
          <w:sz w:val="28"/>
          <w:szCs w:val="28"/>
          <w:highlight w:val="none"/>
          <w:u w:val="single"/>
        </w:rPr>
        <w:t xml:space="preserve">代欧莉  </w:t>
      </w:r>
    </w:p>
    <w:p>
      <w:pPr>
        <w:pStyle w:val="21"/>
        <w:spacing w:line="400" w:lineRule="exact"/>
        <w:ind w:right="-512" w:rightChars="-244" w:firstLine="840" w:firstLineChars="300"/>
        <w:jc w:val="both"/>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电　　 话：</w:t>
      </w:r>
      <w:r>
        <w:rPr>
          <w:rFonts w:hint="eastAsia" w:ascii="仿宋" w:hAnsi="仿宋" w:eastAsia="仿宋" w:cs="仿宋"/>
          <w:color w:val="auto"/>
          <w:sz w:val="28"/>
          <w:szCs w:val="28"/>
          <w:highlight w:val="none"/>
          <w:u w:val="single"/>
        </w:rPr>
        <w:t>0993-2611431　</w:t>
      </w:r>
    </w:p>
    <w:bookmarkEnd w:id="5"/>
    <w:p>
      <w:pPr>
        <w:pStyle w:val="9"/>
        <w:tabs>
          <w:tab w:val="left" w:pos="0"/>
        </w:tabs>
        <w:spacing w:line="240" w:lineRule="auto"/>
        <w:ind w:left="0" w:leftChars="0" w:right="-512" w:rightChars="-244" w:firstLine="0" w:firstLineChars="0"/>
        <w:jc w:val="center"/>
        <w:outlineLvl w:val="0"/>
        <w:rPr>
          <w:rFonts w:ascii="仿宋" w:hAnsi="仿宋" w:eastAsia="仿宋" w:cs="仿宋"/>
          <w:b/>
          <w:color w:val="auto"/>
          <w:sz w:val="32"/>
          <w:szCs w:val="32"/>
          <w:highlight w:val="none"/>
        </w:rPr>
      </w:pPr>
      <w:bookmarkStart w:id="64" w:name="_Toc503463617"/>
      <w:bookmarkStart w:id="65" w:name="_Toc256000024"/>
      <w:r>
        <w:rPr>
          <w:rFonts w:hint="eastAsia" w:ascii="仿宋" w:hAnsi="仿宋" w:eastAsia="仿宋" w:cs="仿宋"/>
          <w:b/>
          <w:color w:val="auto"/>
          <w:szCs w:val="24"/>
          <w:highlight w:val="none"/>
        </w:rPr>
        <w:br w:type="page"/>
      </w:r>
      <w:bookmarkStart w:id="66" w:name="_Toc9422"/>
      <w:r>
        <w:rPr>
          <w:rFonts w:hint="eastAsia" w:ascii="仿宋" w:hAnsi="仿宋" w:eastAsia="仿宋" w:cs="仿宋"/>
          <w:b/>
          <w:color w:val="auto"/>
          <w:sz w:val="32"/>
          <w:szCs w:val="32"/>
          <w:highlight w:val="none"/>
        </w:rPr>
        <w:t>第二部分  投标人须知</w:t>
      </w:r>
      <w:bookmarkEnd w:id="64"/>
      <w:bookmarkEnd w:id="65"/>
      <w:bookmarkEnd w:id="66"/>
    </w:p>
    <w:p>
      <w:pPr>
        <w:rPr>
          <w:rFonts w:ascii="仿宋" w:hAnsi="仿宋" w:eastAsia="仿宋" w:cs="仿宋"/>
          <w:color w:val="auto"/>
          <w:sz w:val="24"/>
          <w:szCs w:val="24"/>
          <w:highlight w:val="none"/>
        </w:rPr>
      </w:pPr>
      <w:bookmarkStart w:id="67" w:name="EBa8d2f72bef714875b4f7f1dcbc2ec5b5"/>
    </w:p>
    <w:p>
      <w:pPr>
        <w:pStyle w:val="27"/>
        <w:spacing w:after="200" w:line="340" w:lineRule="exact"/>
        <w:outlineLvl w:val="1"/>
        <w:rPr>
          <w:rFonts w:ascii="仿宋" w:hAnsi="仿宋" w:eastAsia="仿宋" w:cs="仿宋"/>
          <w:b/>
          <w:color w:val="auto"/>
          <w:sz w:val="28"/>
          <w:szCs w:val="28"/>
          <w:highlight w:val="none"/>
        </w:rPr>
      </w:pPr>
      <w:bookmarkStart w:id="68" w:name="_Toc32760"/>
      <w:bookmarkStart w:id="69" w:name="_Toc29141"/>
      <w:bookmarkStart w:id="70" w:name="_Toc256000002"/>
      <w:bookmarkStart w:id="71" w:name="_Toc519111258"/>
      <w:bookmarkStart w:id="72" w:name="_Toc256000025"/>
      <w:bookmarkStart w:id="73" w:name="_Toc256000003"/>
      <w:bookmarkStart w:id="74" w:name="_Toc11886"/>
      <w:bookmarkStart w:id="75" w:name="_Toc519111259"/>
      <w:bookmarkStart w:id="76" w:name="_Toc256000027"/>
      <w:r>
        <w:rPr>
          <w:rFonts w:hint="eastAsia" w:ascii="仿宋" w:hAnsi="仿宋" w:eastAsia="仿宋" w:cs="仿宋"/>
          <w:b/>
          <w:color w:val="auto"/>
          <w:sz w:val="28"/>
          <w:szCs w:val="28"/>
          <w:highlight w:val="none"/>
        </w:rPr>
        <w:t>投标人须知前附表</w:t>
      </w:r>
      <w:bookmarkEnd w:id="68"/>
      <w:bookmarkEnd w:id="69"/>
      <w:bookmarkEnd w:id="70"/>
      <w:bookmarkEnd w:id="71"/>
      <w:bookmarkEnd w:id="72"/>
    </w:p>
    <w:tbl>
      <w:tblPr>
        <w:tblStyle w:val="23"/>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604"/>
        <w:gridCol w:w="853"/>
        <w:gridCol w:w="6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序号</w:t>
            </w:r>
          </w:p>
        </w:tc>
        <w:tc>
          <w:tcPr>
            <w:tcW w:w="2457" w:type="dxa"/>
            <w:gridSpan w:val="2"/>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内容</w:t>
            </w:r>
          </w:p>
        </w:tc>
        <w:tc>
          <w:tcPr>
            <w:tcW w:w="6410" w:type="dxa"/>
            <w:vAlign w:val="center"/>
          </w:tcPr>
          <w:p>
            <w:pPr>
              <w:pStyle w:val="179"/>
              <w:keepNext w:val="0"/>
              <w:keepLines w:val="0"/>
              <w:numPr>
                <w:ilvl w:val="0"/>
                <w:numId w:val="0"/>
              </w:numPr>
              <w:spacing w:before="0" w:after="0" w:line="340" w:lineRule="exact"/>
              <w:jc w:val="center"/>
              <w:outlineLvl w:val="9"/>
              <w:rPr>
                <w:rFonts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w:t>
            </w:r>
          </w:p>
        </w:tc>
        <w:tc>
          <w:tcPr>
            <w:tcW w:w="2457" w:type="dxa"/>
            <w:gridSpan w:val="2"/>
            <w:vAlign w:val="center"/>
          </w:tcPr>
          <w:p>
            <w:pPr>
              <w:pStyle w:val="179"/>
              <w:keepNext w:val="0"/>
              <w:keepLines w:val="0"/>
              <w:numPr>
                <w:ilvl w:val="0"/>
                <w:numId w:val="0"/>
              </w:numPr>
              <w:spacing w:before="0" w:after="0" w:line="340" w:lineRule="exact"/>
              <w:jc w:val="center"/>
              <w:outlineLvl w:val="9"/>
              <w:rPr>
                <w:rFonts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项目名称</w:t>
            </w:r>
          </w:p>
        </w:tc>
        <w:tc>
          <w:tcPr>
            <w:tcW w:w="6410" w:type="dxa"/>
            <w:vAlign w:val="center"/>
          </w:tcPr>
          <w:p>
            <w:pPr>
              <w:pStyle w:val="27"/>
              <w:spacing w:after="200" w:line="34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石河子大学会泽食府餐厅二楼装饰装修工程总承包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2</w:t>
            </w:r>
          </w:p>
        </w:tc>
        <w:tc>
          <w:tcPr>
            <w:tcW w:w="2457" w:type="dxa"/>
            <w:gridSpan w:val="2"/>
            <w:vAlign w:val="center"/>
          </w:tcPr>
          <w:p>
            <w:pPr>
              <w:pStyle w:val="179"/>
              <w:keepNext w:val="0"/>
              <w:keepLines w:val="0"/>
              <w:numPr>
                <w:ilvl w:val="0"/>
                <w:numId w:val="0"/>
              </w:numPr>
              <w:spacing w:before="0" w:after="0" w:line="340" w:lineRule="exact"/>
              <w:jc w:val="center"/>
              <w:outlineLvl w:val="9"/>
              <w:rPr>
                <w:rFonts w:ascii="仿宋" w:hAnsi="仿宋" w:eastAsia="仿宋" w:cs="仿宋"/>
                <w:bCs w:val="0"/>
                <w:color w:val="auto"/>
                <w:sz w:val="24"/>
                <w:szCs w:val="24"/>
                <w:highlight w:val="none"/>
              </w:rPr>
            </w:pPr>
            <w:r>
              <w:rPr>
                <w:rFonts w:hint="eastAsia" w:ascii="仿宋" w:hAnsi="仿宋" w:eastAsia="仿宋" w:cs="仿宋"/>
                <w:bCs w:val="0"/>
                <w:color w:val="auto"/>
                <w:sz w:val="24"/>
                <w:szCs w:val="24"/>
                <w:highlight w:val="none"/>
              </w:rPr>
              <w:t>采购人</w:t>
            </w:r>
          </w:p>
        </w:tc>
        <w:tc>
          <w:tcPr>
            <w:tcW w:w="6410" w:type="dxa"/>
            <w:vAlign w:val="center"/>
          </w:tcPr>
          <w:p>
            <w:pPr>
              <w:pStyle w:val="45"/>
              <w:widowControl/>
              <w:spacing w:after="200"/>
              <w:ind w:right="73" w:rightChars="3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名    称：石河子大学 </w:t>
            </w:r>
          </w:p>
          <w:p>
            <w:pPr>
              <w:pStyle w:val="45"/>
              <w:widowControl/>
              <w:spacing w:after="200"/>
              <w:ind w:right="73" w:rightChars="3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地    址：新疆石河子市北四路</w:t>
            </w:r>
          </w:p>
          <w:p>
            <w:pPr>
              <w:pStyle w:val="45"/>
              <w:widowControl/>
              <w:spacing w:after="200"/>
              <w:ind w:right="73" w:rightChars="3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联  系人：赵丽   </w:t>
            </w:r>
          </w:p>
          <w:p>
            <w:pPr>
              <w:pStyle w:val="27"/>
              <w:spacing w:after="200"/>
              <w:rPr>
                <w:rFonts w:ascii="仿宋" w:hAnsi="仿宋" w:eastAsia="仿宋" w:cs="仿宋"/>
                <w:color w:val="auto"/>
                <w:kern w:val="0"/>
                <w:sz w:val="24"/>
                <w:highlight w:val="none"/>
                <w:u w:val="single"/>
              </w:rPr>
            </w:pPr>
            <w:r>
              <w:rPr>
                <w:rFonts w:hint="eastAsia" w:ascii="仿宋" w:hAnsi="仿宋" w:eastAsia="仿宋" w:cs="仿宋"/>
                <w:color w:val="auto"/>
                <w:sz w:val="24"/>
                <w:highlight w:val="none"/>
              </w:rPr>
              <w:t xml:space="preserve">联系电话：0993-2055886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3</w:t>
            </w:r>
          </w:p>
        </w:tc>
        <w:tc>
          <w:tcPr>
            <w:tcW w:w="2457" w:type="dxa"/>
            <w:gridSpan w:val="2"/>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采购代理机构</w:t>
            </w:r>
          </w:p>
        </w:tc>
        <w:tc>
          <w:tcPr>
            <w:tcW w:w="6410" w:type="dxa"/>
            <w:vAlign w:val="center"/>
          </w:tcPr>
          <w:p>
            <w:pPr>
              <w:pStyle w:val="45"/>
              <w:widowControl/>
              <w:spacing w:after="200"/>
              <w:ind w:right="73" w:rightChars="3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名  称：新疆华通方圆工程管理咨询有限公司</w:t>
            </w:r>
          </w:p>
          <w:p>
            <w:pPr>
              <w:pStyle w:val="45"/>
              <w:widowControl/>
              <w:spacing w:after="200"/>
              <w:ind w:right="73" w:rightChars="3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地  址：石河子市北三路爱派国际写字楼22楼</w:t>
            </w:r>
          </w:p>
          <w:p>
            <w:pPr>
              <w:pStyle w:val="45"/>
              <w:widowControl/>
              <w:spacing w:after="200"/>
              <w:ind w:right="73" w:rightChars="35"/>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电  话：0993-2611431、13639941345</w:t>
            </w:r>
          </w:p>
          <w:p>
            <w:pPr>
              <w:pStyle w:val="27"/>
              <w:widowControl/>
              <w:spacing w:after="200"/>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联系人：代欧莉</w:t>
            </w:r>
            <w:bookmarkStart w:id="77" w:name="EB2bf09ca90e574ecf80a4e008c98ede32"/>
            <w:bookmarkEnd w:id="77"/>
            <w:r>
              <w:rPr>
                <w:rFonts w:hint="eastAsia" w:ascii="仿宋" w:hAnsi="仿宋" w:eastAsia="仿宋" w:cs="仿宋"/>
                <w:color w:val="auto"/>
                <w:sz w:val="24"/>
                <w:highlight w:val="none"/>
              </w:rPr>
              <w:t>、李妙婷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4</w:t>
            </w:r>
          </w:p>
        </w:tc>
        <w:tc>
          <w:tcPr>
            <w:tcW w:w="2457" w:type="dxa"/>
            <w:gridSpan w:val="2"/>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监督部门</w:t>
            </w:r>
          </w:p>
        </w:tc>
        <w:tc>
          <w:tcPr>
            <w:tcW w:w="6410" w:type="dxa"/>
            <w:vAlign w:val="center"/>
          </w:tcPr>
          <w:p>
            <w:pPr>
              <w:pStyle w:val="27"/>
              <w:widowControl/>
              <w:spacing w:after="200"/>
              <w:rPr>
                <w:rFonts w:ascii="仿宋" w:hAnsi="仿宋" w:eastAsia="仿宋" w:cs="仿宋"/>
                <w:color w:val="auto"/>
                <w:sz w:val="24"/>
                <w:highlight w:val="none"/>
              </w:rPr>
            </w:pPr>
            <w:r>
              <w:rPr>
                <w:rFonts w:hint="eastAsia" w:ascii="仿宋" w:hAnsi="仿宋" w:eastAsia="仿宋" w:cs="仿宋"/>
                <w:color w:val="auto"/>
                <w:sz w:val="24"/>
                <w:highlight w:val="none"/>
              </w:rPr>
              <w:t>名称：兵团财政局</w:t>
            </w:r>
          </w:p>
          <w:p>
            <w:pPr>
              <w:pStyle w:val="27"/>
              <w:widowControl/>
              <w:spacing w:after="200"/>
              <w:rPr>
                <w:rFonts w:ascii="仿宋" w:hAnsi="仿宋" w:eastAsia="仿宋" w:cs="仿宋"/>
                <w:color w:val="auto"/>
                <w:sz w:val="24"/>
                <w:highlight w:val="none"/>
              </w:rPr>
            </w:pPr>
            <w:r>
              <w:rPr>
                <w:rFonts w:hint="eastAsia" w:ascii="仿宋" w:hAnsi="仿宋" w:eastAsia="仿宋" w:cs="仿宋"/>
                <w:color w:val="auto"/>
                <w:sz w:val="24"/>
                <w:highlight w:val="none"/>
              </w:rPr>
              <w:t>联系人：方晓</w:t>
            </w:r>
          </w:p>
          <w:p>
            <w:pPr>
              <w:pStyle w:val="27"/>
              <w:widowControl/>
              <w:spacing w:after="200"/>
              <w:rPr>
                <w:rFonts w:ascii="仿宋" w:hAnsi="仿宋" w:eastAsia="仿宋" w:cs="仿宋"/>
                <w:color w:val="auto"/>
                <w:sz w:val="24"/>
                <w:highlight w:val="none"/>
              </w:rPr>
            </w:pPr>
            <w:r>
              <w:rPr>
                <w:rFonts w:hint="eastAsia" w:ascii="仿宋" w:hAnsi="仿宋" w:eastAsia="仿宋" w:cs="仿宋"/>
                <w:color w:val="auto"/>
                <w:sz w:val="24"/>
                <w:highlight w:val="none"/>
              </w:rPr>
              <w:t>联系电话：0991-2890148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ascii="仿宋" w:hAnsi="仿宋" w:eastAsia="仿宋" w:cs="仿宋"/>
                <w:b/>
                <w:color w:val="auto"/>
                <w:kern w:val="0"/>
                <w:sz w:val="24"/>
                <w:highlight w:val="none"/>
              </w:rPr>
              <w:t>5</w:t>
            </w:r>
          </w:p>
        </w:tc>
        <w:tc>
          <w:tcPr>
            <w:tcW w:w="2457" w:type="dxa"/>
            <w:gridSpan w:val="2"/>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采购内容</w:t>
            </w:r>
          </w:p>
        </w:tc>
        <w:tc>
          <w:tcPr>
            <w:tcW w:w="6410" w:type="dxa"/>
            <w:vAlign w:val="center"/>
          </w:tcPr>
          <w:p>
            <w:pPr>
              <w:pStyle w:val="27"/>
              <w:widowControl/>
              <w:spacing w:after="200"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根据建设方项目方案和投资，对本工程装饰设计、采购、施工等阶段实行总承包。对装饰设计、采购、施工及工程质量、安全、工期进度和造价等全面负总责，为交钥匙工程。负责设计、采购、工程施工、缺陷责任期工程修复工作，配合项目业主完成部门协调、项目审计及竣工验收及资料归档等工作，具体内容如下：</w:t>
            </w:r>
          </w:p>
          <w:p>
            <w:pPr>
              <w:pStyle w:val="27"/>
              <w:widowControl/>
              <w:spacing w:after="200"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1）设计工作内容：施工图设计、施工图预算和施工全过程的限额设计服务，施工图须经招标人确定并通过施工图审查机构审查合格；施工图预算须招标人委托的工程造价咨询机构进行审查。</w:t>
            </w:r>
          </w:p>
          <w:p>
            <w:pPr>
              <w:pStyle w:val="27"/>
              <w:widowControl/>
              <w:spacing w:after="200"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2）施工范围包括：施工图设计范围内的全部工程施工内容及保修期工程修复工作。</w:t>
            </w:r>
          </w:p>
          <w:p>
            <w:pPr>
              <w:pStyle w:val="27"/>
              <w:widowControl/>
              <w:spacing w:after="200"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3）采购范围包括：与工程项目（施工图载明的）所有建筑材料、设备采购、运输、安装、验收保管等全部采购内容。具体详见竞争性磋商文件第三部分 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ascii="仿宋" w:hAnsi="仿宋" w:eastAsia="仿宋" w:cs="仿宋"/>
                <w:b/>
                <w:color w:val="auto"/>
                <w:kern w:val="0"/>
                <w:sz w:val="24"/>
                <w:highlight w:val="none"/>
              </w:rPr>
              <w:t>6</w:t>
            </w:r>
          </w:p>
        </w:tc>
        <w:tc>
          <w:tcPr>
            <w:tcW w:w="2457" w:type="dxa"/>
            <w:gridSpan w:val="2"/>
            <w:vAlign w:val="center"/>
          </w:tcPr>
          <w:p>
            <w:pPr>
              <w:pStyle w:val="27"/>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lang w:val="zh-TW" w:eastAsia="zh-TW"/>
              </w:rPr>
              <w:t>★</w:t>
            </w:r>
            <w:r>
              <w:rPr>
                <w:rFonts w:hint="eastAsia" w:ascii="仿宋" w:hAnsi="仿宋" w:eastAsia="仿宋" w:cs="仿宋"/>
                <w:b/>
                <w:color w:val="auto"/>
                <w:sz w:val="24"/>
                <w:highlight w:val="none"/>
              </w:rPr>
              <w:t>交付日期</w:t>
            </w:r>
          </w:p>
        </w:tc>
        <w:tc>
          <w:tcPr>
            <w:tcW w:w="6410" w:type="dxa"/>
            <w:vAlign w:val="center"/>
          </w:tcPr>
          <w:p>
            <w:pPr>
              <w:pStyle w:val="27"/>
              <w:widowControl/>
              <w:spacing w:after="200" w:line="340" w:lineRule="exact"/>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计划竣工日期：</w:t>
            </w:r>
            <w:r>
              <w:rPr>
                <w:rFonts w:hint="eastAsia" w:ascii="仿宋" w:hAnsi="仿宋" w:eastAsia="仿宋" w:cs="仿宋"/>
                <w:color w:val="auto"/>
                <w:sz w:val="24"/>
                <w:highlight w:val="none"/>
                <w:lang w:eastAsia="zh-CN"/>
              </w:rPr>
              <w:t>分两阶段交付</w:t>
            </w:r>
            <w:r>
              <w:rPr>
                <w:rFonts w:hint="eastAsia" w:ascii="仿宋" w:hAnsi="仿宋" w:eastAsia="仿宋" w:cs="仿宋"/>
                <w:color w:val="auto"/>
                <w:sz w:val="24"/>
                <w:highlight w:val="none"/>
                <w:lang w:val="en-US" w:eastAsia="zh-CN"/>
              </w:rPr>
              <w:t>。</w:t>
            </w:r>
          </w:p>
          <w:p>
            <w:pPr>
              <w:pStyle w:val="202"/>
              <w:spacing w:after="120"/>
              <w:ind w:right="92" w:rightChars="44"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第一阶段在2023年2月26日前必需完成暖气、电路等改造；</w:t>
            </w:r>
          </w:p>
          <w:p>
            <w:pPr>
              <w:pStyle w:val="202"/>
              <w:spacing w:after="120"/>
              <w:ind w:right="92" w:rightChars="44"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lang w:eastAsia="zh-CN"/>
              </w:rPr>
              <w:t>第二阶段在 2023年 8 月10日完成其他内容的全部建设内容并通过竣工验收合格。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7</w:t>
            </w:r>
          </w:p>
        </w:tc>
        <w:tc>
          <w:tcPr>
            <w:tcW w:w="2457" w:type="dxa"/>
            <w:gridSpan w:val="2"/>
            <w:vAlign w:val="center"/>
          </w:tcPr>
          <w:p>
            <w:pPr>
              <w:pStyle w:val="27"/>
              <w:spacing w:line="360" w:lineRule="auto"/>
              <w:jc w:val="center"/>
              <w:rPr>
                <w:rFonts w:ascii="仿宋" w:hAnsi="仿宋" w:eastAsia="仿宋" w:cs="仿宋"/>
                <w:b/>
                <w:color w:val="auto"/>
                <w:sz w:val="24"/>
                <w:highlight w:val="none"/>
                <w:lang w:val="zh-TW"/>
              </w:rPr>
            </w:pPr>
            <w:r>
              <w:rPr>
                <w:rFonts w:hint="eastAsia" w:ascii="仿宋" w:hAnsi="仿宋" w:eastAsia="仿宋" w:cs="仿宋"/>
                <w:b/>
                <w:color w:val="auto"/>
                <w:sz w:val="24"/>
                <w:highlight w:val="none"/>
                <w:lang w:val="zh-TW"/>
              </w:rPr>
              <w:t>质量标准</w:t>
            </w:r>
          </w:p>
        </w:tc>
        <w:tc>
          <w:tcPr>
            <w:tcW w:w="6410" w:type="dxa"/>
            <w:vAlign w:val="center"/>
          </w:tcPr>
          <w:p>
            <w:pPr>
              <w:pStyle w:val="27"/>
              <w:widowControl/>
              <w:spacing w:after="200"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设计要求的质量标准：符合国家、地方和行业现行的规范要求，设计深度达到国家 自治区现行的技术规范、标准及条文。符合经审批的设计文件要求，满足工程质量、耐久和安全的强制性标准和相关规定；</w:t>
            </w:r>
          </w:p>
          <w:p>
            <w:pPr>
              <w:pStyle w:val="27"/>
              <w:widowControl/>
              <w:spacing w:after="200"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施工要求的质量标准：</w:t>
            </w:r>
            <w:r>
              <w:rPr>
                <w:rFonts w:hint="eastAsia" w:ascii="仿宋" w:hAnsi="仿宋" w:eastAsia="仿宋" w:cs="仿宋"/>
                <w:b/>
                <w:bCs/>
                <w:color w:val="auto"/>
                <w:sz w:val="24"/>
                <w:highlight w:val="none"/>
                <w:u w:val="single"/>
              </w:rPr>
              <w:t xml:space="preserve">  合格  </w:t>
            </w:r>
            <w:r>
              <w:rPr>
                <w:rFonts w:hint="eastAsia" w:ascii="仿宋" w:hAnsi="仿宋" w:eastAsia="仿宋" w:cs="仿宋"/>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8</w:t>
            </w:r>
          </w:p>
        </w:tc>
        <w:tc>
          <w:tcPr>
            <w:tcW w:w="2457" w:type="dxa"/>
            <w:gridSpan w:val="2"/>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32"/>
                <w:szCs w:val="28"/>
                <w:highlight w:val="none"/>
              </w:rPr>
              <w:t>★</w:t>
            </w:r>
            <w:r>
              <w:rPr>
                <w:rFonts w:hint="eastAsia" w:ascii="仿宋" w:hAnsi="仿宋" w:eastAsia="仿宋" w:cs="仿宋"/>
                <w:b/>
                <w:color w:val="auto"/>
                <w:kern w:val="0"/>
                <w:sz w:val="24"/>
                <w:highlight w:val="none"/>
              </w:rPr>
              <w:t>投标人资格要求</w:t>
            </w:r>
          </w:p>
        </w:tc>
        <w:tc>
          <w:tcPr>
            <w:tcW w:w="6410" w:type="dxa"/>
            <w:vAlign w:val="center"/>
          </w:tcPr>
          <w:p>
            <w:pPr>
              <w:pStyle w:val="27"/>
              <w:widowControl/>
              <w:spacing w:after="200" w:line="340" w:lineRule="exact"/>
              <w:jc w:val="left"/>
              <w:rPr>
                <w:rFonts w:ascii="仿宋" w:hAnsi="仿宋" w:eastAsia="仿宋" w:cs="仿宋"/>
                <w:color w:val="auto"/>
                <w:sz w:val="24"/>
                <w:highlight w:val="none"/>
              </w:rPr>
            </w:pPr>
            <w:bookmarkStart w:id="78" w:name="EB7907836f74a6455bb75d2ff8b438afad"/>
            <w:bookmarkEnd w:id="78"/>
            <w:r>
              <w:rPr>
                <w:rFonts w:hint="eastAsia" w:ascii="仿宋" w:hAnsi="仿宋" w:eastAsia="仿宋" w:cs="仿宋"/>
                <w:color w:val="auto"/>
                <w:sz w:val="24"/>
                <w:highlight w:val="none"/>
              </w:rPr>
              <w:t>1.投标人应当具备《中华人民共和国政府采购法》第二十二条规定的条件；</w:t>
            </w:r>
          </w:p>
          <w:p>
            <w:pPr>
              <w:pStyle w:val="27"/>
              <w:widowControl/>
              <w:spacing w:after="200"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（一）具有独立承担民事责任的能力；</w:t>
            </w:r>
          </w:p>
          <w:p>
            <w:pPr>
              <w:pStyle w:val="27"/>
              <w:widowControl/>
              <w:spacing w:after="200"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（二）具有良好的商业信誉和健全的财务会计制度：</w:t>
            </w:r>
          </w:p>
          <w:p>
            <w:pPr>
              <w:pStyle w:val="27"/>
              <w:widowControl/>
              <w:spacing w:after="200"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（三）具有履行合同所必需的设备和专业技术能力；</w:t>
            </w:r>
          </w:p>
          <w:p>
            <w:pPr>
              <w:pStyle w:val="27"/>
              <w:widowControl/>
              <w:spacing w:after="200"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（四）有依法缴纳税收和社会保障资金的良好记录；</w:t>
            </w:r>
          </w:p>
          <w:p>
            <w:pPr>
              <w:pStyle w:val="27"/>
              <w:widowControl/>
              <w:spacing w:after="200"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（五）参加政府采购活动前三年内，在经营活动中没有重大违法记录；</w:t>
            </w:r>
          </w:p>
          <w:p>
            <w:pPr>
              <w:pStyle w:val="27"/>
              <w:widowControl/>
              <w:spacing w:after="200"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（六）法律、行政法规规定的其他条件。</w:t>
            </w:r>
          </w:p>
          <w:p>
            <w:pPr>
              <w:pStyle w:val="27"/>
              <w:widowControl/>
              <w:spacing w:after="200"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2.本项目的特定资格要求:</w:t>
            </w:r>
          </w:p>
          <w:p>
            <w:pPr>
              <w:pStyle w:val="27"/>
              <w:widowControl/>
              <w:spacing w:after="200"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2.1本次招标要求投标人须同时具有建筑装修装饰工程专业承包二级以上（含二级）资质、具有有效的施工企业安全生产许可证、建筑装饰工程设计乙级以上（含乙级）资质；或具有相应资质的设计单位和施工单位组成联合体。</w:t>
            </w:r>
          </w:p>
          <w:p>
            <w:pPr>
              <w:pStyle w:val="27"/>
              <w:widowControl/>
              <w:spacing w:after="200"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自治区外建筑企业应按照《关于进一步推动自治区建筑 市场统一开放的通知》（新建建〔2018〕10号）要求进行信息登记。</w:t>
            </w:r>
          </w:p>
          <w:p>
            <w:pPr>
              <w:pStyle w:val="27"/>
              <w:widowControl/>
              <w:spacing w:after="200"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主要负责人要求：</w:t>
            </w:r>
          </w:p>
          <w:p>
            <w:pPr>
              <w:pStyle w:val="27"/>
              <w:widowControl/>
              <w:spacing w:after="200"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项目总负责人须具备建筑工程专业注册二级建造师执业资格或者注册建筑师、勘察设计注册工程师、注册建造师或者注册监理工程师等；未实施注册执业资格的，取得高级专业技术职称；若设计负责人、施工负责人符合项目总负责人资格要求的，允许兼任项目总负责人；不得同时在两个或者两个以上工程项目担任工程总承包项目经理、施工项目负责人。</w:t>
            </w:r>
          </w:p>
          <w:p>
            <w:pPr>
              <w:pStyle w:val="27"/>
              <w:widowControl/>
              <w:spacing w:after="200"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（2）项目设计负责人：具有注册建筑师或具有相关专业中级以上技术职称；</w:t>
            </w:r>
          </w:p>
          <w:p>
            <w:pPr>
              <w:pStyle w:val="27"/>
              <w:widowControl/>
              <w:spacing w:after="200"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（3）项目施工负责人须具备：建筑工程专业注册二级建造师执业资格，具备有效的安全生产考核合格证书，且未担任其他在建建设工程项目的项目经理。</w:t>
            </w:r>
          </w:p>
          <w:p>
            <w:pPr>
              <w:pStyle w:val="27"/>
              <w:widowControl/>
              <w:spacing w:after="200"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本次招标 接受 联合体投标。联合体投标的，应满足下列要求 ：</w:t>
            </w:r>
          </w:p>
          <w:p>
            <w:pPr>
              <w:pStyle w:val="27"/>
              <w:widowControl/>
              <w:spacing w:after="200"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（1）联合体所有成员数量不得超过 2 家；</w:t>
            </w:r>
          </w:p>
          <w:p>
            <w:pPr>
              <w:pStyle w:val="27"/>
              <w:widowControl/>
              <w:spacing w:after="200"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联合体牵头人应根据本项目特点和复杂程度，合理明确牵头单位及各自责任分工和权利，联合体各方应签订共同投标协议，联合体双方需满足各自专业在本项目中的资质要求，联合体各方不得再以自己名义单独参与或参加其他联合体在本招标项目中的投标。</w:t>
            </w:r>
          </w:p>
          <w:p>
            <w:pPr>
              <w:pStyle w:val="27"/>
              <w:widowControl/>
              <w:spacing w:after="200"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2.2受托为本采购项目提供整体设计、规范编制或者项目管理、监理、检测等服务的供应商，不得再参加该采购项目的其他采购活动；</w:t>
            </w:r>
          </w:p>
          <w:p>
            <w:pPr>
              <w:pStyle w:val="27"/>
              <w:widowControl/>
              <w:spacing w:after="200" w:line="34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2.3</w:t>
            </w:r>
            <w:r>
              <w:rPr>
                <w:rFonts w:hint="eastAsia" w:ascii="仿宋" w:hAnsi="仿宋" w:eastAsia="仿宋" w:cs="仿宋"/>
                <w:b/>
                <w:bCs/>
                <w:color w:val="auto"/>
                <w:sz w:val="24"/>
                <w:highlight w:val="none"/>
              </w:rPr>
              <w:t>本项目为专门面向中小企业采购，不再执行价格评审优惠的扶持政策，参与投标的供应商须出具《中小企业声明函》。</w:t>
            </w:r>
          </w:p>
          <w:p>
            <w:pPr>
              <w:pStyle w:val="27"/>
              <w:widowControl/>
              <w:spacing w:after="200" w:line="340" w:lineRule="exact"/>
              <w:jc w:val="left"/>
              <w:rPr>
                <w:rFonts w:ascii="仿宋" w:hAnsi="仿宋" w:eastAsia="仿宋" w:cs="仿宋"/>
                <w:b/>
                <w:bCs/>
                <w:color w:val="auto"/>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根据《关于在政府采购活动中查询及使用信用记录有关问题的通知》（财库〔2016〕125 号）的要求，采购代理机构将通过“信用中国”网站（www.creditchina.gov.cn）、“中国政府采购网”网站（www.ccgp.gov.cn）等渠道查询供应商在开标当日之前的信用信息记录并保存信用记录结果网页截图，拒绝列入失信被执行人、重大税收违法案件当事人名单、政府采购严重违法失信行为记录名单及其他不符合规定条件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732" w:type="dxa"/>
            <w:vMerge w:val="restart"/>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9</w:t>
            </w:r>
          </w:p>
        </w:tc>
        <w:tc>
          <w:tcPr>
            <w:tcW w:w="1604" w:type="dxa"/>
            <w:vMerge w:val="restart"/>
            <w:vAlign w:val="center"/>
          </w:tcPr>
          <w:p>
            <w:pPr>
              <w:pStyle w:val="27"/>
              <w:spacing w:after="200" w:line="340" w:lineRule="exact"/>
              <w:jc w:val="center"/>
              <w:rPr>
                <w:rFonts w:ascii="仿宋" w:hAnsi="仿宋" w:eastAsia="仿宋" w:cs="仿宋"/>
                <w:color w:val="auto"/>
                <w:sz w:val="24"/>
                <w:highlight w:val="none"/>
              </w:rPr>
            </w:pPr>
            <w:r>
              <w:rPr>
                <w:rFonts w:hint="eastAsia" w:ascii="仿宋" w:hAnsi="仿宋" w:eastAsia="仿宋" w:cs="仿宋"/>
                <w:b/>
                <w:color w:val="auto"/>
                <w:kern w:val="0"/>
                <w:sz w:val="24"/>
                <w:highlight w:val="none"/>
              </w:rPr>
              <w:t>投标文件的组成部分</w:t>
            </w:r>
          </w:p>
        </w:tc>
        <w:tc>
          <w:tcPr>
            <w:tcW w:w="853" w:type="dxa"/>
            <w:vAlign w:val="center"/>
          </w:tcPr>
          <w:p>
            <w:pPr>
              <w:pStyle w:val="181"/>
              <w:adjustRightInd w:val="0"/>
              <w:spacing w:after="200" w:line="340" w:lineRule="exact"/>
              <w:ind w:left="-199" w:leftChars="-95" w:right="-166" w:rightChars="-79"/>
              <w:jc w:val="center"/>
              <w:outlineLvl w:val="3"/>
              <w:rPr>
                <w:rFonts w:ascii="仿宋" w:hAnsi="仿宋" w:eastAsia="仿宋" w:cs="仿宋"/>
                <w:color w:val="auto"/>
                <w:kern w:val="0"/>
                <w:highlight w:val="none"/>
              </w:rPr>
            </w:pPr>
            <w:r>
              <w:rPr>
                <w:rFonts w:hint="eastAsia" w:ascii="仿宋" w:hAnsi="仿宋" w:eastAsia="仿宋" w:cs="仿宋"/>
                <w:b/>
                <w:bCs/>
                <w:color w:val="auto"/>
                <w:kern w:val="0"/>
                <w:highlight w:val="none"/>
              </w:rPr>
              <w:t>封面</w:t>
            </w:r>
          </w:p>
        </w:tc>
        <w:tc>
          <w:tcPr>
            <w:tcW w:w="6410" w:type="dxa"/>
            <w:vAlign w:val="center"/>
          </w:tcPr>
          <w:p>
            <w:pPr>
              <w:pStyle w:val="45"/>
              <w:spacing w:after="200" w:line="340" w:lineRule="exact"/>
              <w:ind w:right="10" w:rightChars="5"/>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（1）投标文件封面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732" w:type="dxa"/>
            <w:vMerge w:val="continue"/>
            <w:vAlign w:val="center"/>
          </w:tcPr>
          <w:p>
            <w:pPr>
              <w:pStyle w:val="27"/>
              <w:spacing w:after="200" w:line="340" w:lineRule="exact"/>
              <w:jc w:val="center"/>
              <w:rPr>
                <w:rFonts w:ascii="仿宋" w:hAnsi="仿宋" w:eastAsia="仿宋" w:cs="仿宋"/>
                <w:b/>
                <w:color w:val="auto"/>
                <w:kern w:val="0"/>
                <w:sz w:val="24"/>
                <w:highlight w:val="none"/>
              </w:rPr>
            </w:pPr>
          </w:p>
        </w:tc>
        <w:tc>
          <w:tcPr>
            <w:tcW w:w="1604" w:type="dxa"/>
            <w:vMerge w:val="continue"/>
            <w:vAlign w:val="center"/>
          </w:tcPr>
          <w:p>
            <w:pPr>
              <w:pStyle w:val="27"/>
              <w:spacing w:after="200" w:line="340" w:lineRule="exact"/>
              <w:jc w:val="center"/>
              <w:rPr>
                <w:rFonts w:ascii="仿宋" w:hAnsi="仿宋" w:eastAsia="仿宋" w:cs="仿宋"/>
                <w:b/>
                <w:color w:val="auto"/>
                <w:kern w:val="0"/>
                <w:sz w:val="24"/>
                <w:highlight w:val="none"/>
              </w:rPr>
            </w:pPr>
          </w:p>
        </w:tc>
        <w:tc>
          <w:tcPr>
            <w:tcW w:w="853" w:type="dxa"/>
            <w:vAlign w:val="center"/>
          </w:tcPr>
          <w:p>
            <w:pPr>
              <w:pStyle w:val="181"/>
              <w:adjustRightInd w:val="0"/>
              <w:spacing w:after="200" w:line="340" w:lineRule="exact"/>
              <w:ind w:left="-199" w:leftChars="-95" w:right="-166" w:rightChars="-79"/>
              <w:jc w:val="center"/>
              <w:outlineLvl w:val="3"/>
              <w:rPr>
                <w:rFonts w:ascii="仿宋" w:hAnsi="仿宋" w:eastAsia="仿宋" w:cs="仿宋"/>
                <w:color w:val="auto"/>
                <w:kern w:val="0"/>
                <w:szCs w:val="22"/>
                <w:highlight w:val="none"/>
              </w:rPr>
            </w:pPr>
            <w:r>
              <w:rPr>
                <w:rFonts w:hint="eastAsia" w:ascii="仿宋" w:hAnsi="仿宋" w:eastAsia="仿宋" w:cs="仿宋"/>
                <w:color w:val="auto"/>
                <w:kern w:val="0"/>
                <w:szCs w:val="22"/>
                <w:highlight w:val="none"/>
              </w:rPr>
              <w:t>资格</w:t>
            </w:r>
          </w:p>
          <w:p>
            <w:pPr>
              <w:pStyle w:val="181"/>
              <w:adjustRightInd w:val="0"/>
              <w:spacing w:after="200" w:line="340" w:lineRule="exact"/>
              <w:ind w:left="-199" w:leftChars="-95" w:right="-166" w:rightChars="-79"/>
              <w:jc w:val="center"/>
              <w:outlineLvl w:val="3"/>
              <w:rPr>
                <w:rFonts w:ascii="仿宋" w:hAnsi="仿宋" w:eastAsia="仿宋" w:cs="仿宋"/>
                <w:color w:val="auto"/>
                <w:kern w:val="0"/>
                <w:szCs w:val="22"/>
                <w:highlight w:val="none"/>
              </w:rPr>
            </w:pPr>
            <w:r>
              <w:rPr>
                <w:rFonts w:hint="eastAsia" w:ascii="仿宋" w:hAnsi="仿宋" w:eastAsia="仿宋" w:cs="仿宋"/>
                <w:color w:val="auto"/>
                <w:kern w:val="0"/>
                <w:szCs w:val="22"/>
                <w:highlight w:val="none"/>
              </w:rPr>
              <w:t>审查</w:t>
            </w:r>
          </w:p>
          <w:p>
            <w:pPr>
              <w:pStyle w:val="181"/>
              <w:adjustRightInd w:val="0"/>
              <w:spacing w:after="200" w:line="340" w:lineRule="exact"/>
              <w:ind w:left="-199" w:leftChars="-95" w:right="-166" w:rightChars="-79"/>
              <w:jc w:val="center"/>
              <w:outlineLvl w:val="3"/>
              <w:rPr>
                <w:rFonts w:ascii="仿宋" w:hAnsi="仿宋" w:eastAsia="仿宋" w:cs="仿宋"/>
                <w:color w:val="auto"/>
                <w:kern w:val="0"/>
                <w:szCs w:val="22"/>
                <w:highlight w:val="none"/>
              </w:rPr>
            </w:pPr>
            <w:r>
              <w:rPr>
                <w:rFonts w:hint="eastAsia" w:ascii="仿宋" w:hAnsi="仿宋" w:eastAsia="仿宋" w:cs="仿宋"/>
                <w:color w:val="auto"/>
                <w:kern w:val="0"/>
                <w:szCs w:val="22"/>
                <w:highlight w:val="none"/>
              </w:rPr>
              <w:t>材料</w:t>
            </w:r>
          </w:p>
        </w:tc>
        <w:tc>
          <w:tcPr>
            <w:tcW w:w="6410" w:type="dxa"/>
            <w:vAlign w:val="center"/>
          </w:tcPr>
          <w:p>
            <w:pPr>
              <w:pStyle w:val="45"/>
              <w:spacing w:after="200" w:line="340" w:lineRule="exact"/>
              <w:ind w:right="10" w:rightChars="5"/>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★（2）《中华人民共和国政府采购法》第二十二条应当具备的条件；并在投标文件中提供下列材料：</w:t>
            </w:r>
          </w:p>
          <w:p>
            <w:pPr>
              <w:pStyle w:val="45"/>
              <w:spacing w:after="200" w:line="340" w:lineRule="exact"/>
              <w:ind w:right="10" w:rightChars="5"/>
              <w:jc w:val="left"/>
              <w:rPr>
                <w:rFonts w:ascii="仿宋" w:hAnsi="仿宋" w:eastAsia="仿宋" w:cs="仿宋"/>
                <w:color w:val="auto"/>
                <w:kern w:val="0"/>
                <w:sz w:val="24"/>
                <w:highlight w:val="none"/>
              </w:rPr>
            </w:pPr>
            <w:r>
              <w:rPr>
                <w:rFonts w:hint="eastAsia" w:ascii="仿宋" w:hAnsi="仿宋" w:eastAsia="仿宋" w:cs="仿宋"/>
                <w:b/>
                <w:bCs/>
                <w:color w:val="auto"/>
                <w:sz w:val="24"/>
                <w:highlight w:val="none"/>
              </w:rPr>
              <w:t>①</w:t>
            </w:r>
            <w:r>
              <w:rPr>
                <w:rFonts w:hint="eastAsia" w:ascii="仿宋" w:hAnsi="仿宋" w:eastAsia="仿宋" w:cs="仿宋"/>
                <w:b/>
                <w:bCs/>
                <w:color w:val="auto"/>
                <w:kern w:val="0"/>
                <w:sz w:val="24"/>
                <w:highlight w:val="none"/>
              </w:rPr>
              <w:t>具有独立承担民事责任的能力证明材料：</w:t>
            </w:r>
            <w:r>
              <w:rPr>
                <w:rFonts w:hint="eastAsia" w:ascii="仿宋" w:hAnsi="仿宋" w:eastAsia="仿宋" w:cs="仿宋"/>
                <w:color w:val="auto"/>
                <w:kern w:val="0"/>
                <w:sz w:val="24"/>
                <w:highlight w:val="none"/>
              </w:rPr>
              <w:t>提供法人或者其他组织的营业执照等证明文件，自然人的身份证明；</w:t>
            </w:r>
          </w:p>
          <w:p>
            <w:pPr>
              <w:pStyle w:val="45"/>
              <w:spacing w:after="200" w:line="340" w:lineRule="exact"/>
              <w:ind w:right="10" w:rightChars="5"/>
              <w:jc w:val="left"/>
              <w:rPr>
                <w:rFonts w:ascii="仿宋" w:hAnsi="仿宋" w:eastAsia="仿宋" w:cs="仿宋"/>
                <w:color w:val="auto"/>
                <w:sz w:val="24"/>
                <w:highlight w:val="none"/>
              </w:rPr>
            </w:pPr>
            <w:r>
              <w:rPr>
                <w:rFonts w:hint="eastAsia" w:ascii="仿宋" w:hAnsi="仿宋" w:eastAsia="仿宋" w:cs="仿宋"/>
                <w:b/>
                <w:bCs/>
                <w:color w:val="auto"/>
                <w:sz w:val="24"/>
                <w:highlight w:val="none"/>
              </w:rPr>
              <w:t>②具有良好的商业信誉和健全的财务会计制度：</w:t>
            </w:r>
            <w:r>
              <w:rPr>
                <w:rFonts w:hint="eastAsia" w:ascii="仿宋" w:hAnsi="仿宋" w:eastAsia="仿宋" w:cs="仿宋"/>
                <w:color w:val="auto"/>
                <w:sz w:val="24"/>
                <w:highlight w:val="none"/>
              </w:rPr>
              <w:t>供应商是法人组织的应提供经审计的上一年度完整的财务报告（例：2022年参加投标，需提供2021年包含资产负债表、现金流量表、利润表、财务报表附注的财务审计报告完整版）。（要求：提供的财务审计报告内容必须完整，并加盖有第三方审计公司的印章。若审计报告内容不完整、提供的财务审计报告未加盖第三方审计公司印章、印章不能清晰可见的均视为无效材料。）供应商是法人组织的，且成立不足一年的提供截止开标前近3个月的财务报表和其截止开标前1个月的基本开户银行出具的资信证明（资信证明内容须包含商业信誉良好的相关内容）；其他组织、事业单位或自然人，没有经审计的财务报告，应当提供投标截止时间前一个月内基本开户银行出具的资信证明（资信证明内容须包含商业信誉良好的相关内容）。</w:t>
            </w:r>
          </w:p>
          <w:p>
            <w:pPr>
              <w:pStyle w:val="54"/>
              <w:spacing w:line="340" w:lineRule="exact"/>
              <w:outlineLvl w:val="2"/>
              <w:rPr>
                <w:rFonts w:ascii="仿宋" w:hAnsi="仿宋" w:eastAsia="仿宋" w:cs="仿宋"/>
                <w:b/>
                <w:bCs/>
                <w:color w:val="auto"/>
                <w:sz w:val="24"/>
                <w:highlight w:val="none"/>
              </w:rPr>
            </w:pPr>
            <w:r>
              <w:rPr>
                <w:rFonts w:hint="eastAsia" w:ascii="仿宋" w:hAnsi="仿宋" w:eastAsia="仿宋" w:cs="仿宋"/>
                <w:b/>
                <w:bCs/>
                <w:color w:val="auto"/>
                <w:sz w:val="24"/>
                <w:highlight w:val="none"/>
              </w:rPr>
              <w:fldChar w:fldCharType="begin"/>
            </w:r>
            <w:r>
              <w:rPr>
                <w:rFonts w:hint="eastAsia" w:ascii="仿宋" w:hAnsi="仿宋" w:eastAsia="仿宋" w:cs="仿宋"/>
                <w:b/>
                <w:bCs/>
                <w:color w:val="auto"/>
                <w:sz w:val="24"/>
                <w:highlight w:val="none"/>
              </w:rPr>
              <w:instrText xml:space="preserve"> = 3 \* GB3 </w:instrText>
            </w:r>
            <w:r>
              <w:rPr>
                <w:rFonts w:hint="eastAsia" w:ascii="仿宋" w:hAnsi="仿宋" w:eastAsia="仿宋" w:cs="仿宋"/>
                <w:b/>
                <w:bCs/>
                <w:color w:val="auto"/>
                <w:sz w:val="24"/>
                <w:highlight w:val="none"/>
              </w:rPr>
              <w:fldChar w:fldCharType="separate"/>
            </w:r>
            <w:bookmarkStart w:id="79" w:name="_Toc256000043"/>
            <w:r>
              <w:rPr>
                <w:rFonts w:hint="eastAsia" w:ascii="仿宋" w:hAnsi="仿宋" w:eastAsia="仿宋" w:cs="仿宋"/>
                <w:b/>
                <w:bCs/>
                <w:color w:val="auto"/>
                <w:sz w:val="24"/>
                <w:highlight w:val="none"/>
              </w:rPr>
              <w:t>③</w:t>
            </w:r>
            <w:r>
              <w:rPr>
                <w:rFonts w:hint="eastAsia" w:ascii="仿宋" w:hAnsi="仿宋" w:eastAsia="仿宋" w:cs="仿宋"/>
                <w:b/>
                <w:color w:val="auto"/>
                <w:sz w:val="24"/>
                <w:highlight w:val="none"/>
              </w:rPr>
              <w:fldChar w:fldCharType="end"/>
            </w:r>
            <w:r>
              <w:rPr>
                <w:rFonts w:hint="eastAsia" w:ascii="仿宋" w:hAnsi="仿宋" w:eastAsia="仿宋" w:cs="仿宋"/>
                <w:b/>
                <w:bCs/>
                <w:color w:val="auto"/>
                <w:sz w:val="24"/>
                <w:highlight w:val="none"/>
              </w:rPr>
              <w:t>具有履行合同所必需的设备和专业技术能力</w:t>
            </w:r>
            <w:bookmarkEnd w:id="79"/>
            <w:r>
              <w:rPr>
                <w:rFonts w:hint="eastAsia" w:ascii="仿宋" w:hAnsi="仿宋" w:eastAsia="仿宋" w:cs="仿宋"/>
                <w:b/>
                <w:bCs/>
                <w:color w:val="auto"/>
                <w:sz w:val="24"/>
                <w:highlight w:val="none"/>
              </w:rPr>
              <w:t>：</w:t>
            </w:r>
            <w:r>
              <w:rPr>
                <w:rFonts w:hint="eastAsia" w:ascii="仿宋" w:hAnsi="仿宋" w:eastAsia="仿宋" w:cs="仿宋"/>
                <w:color w:val="auto"/>
                <w:sz w:val="24"/>
                <w:highlight w:val="none"/>
              </w:rPr>
              <w:t>提供具备履行合同所必需的设备和专业技术能力的承诺书</w:t>
            </w:r>
          </w:p>
          <w:p>
            <w:pPr>
              <w:pStyle w:val="161"/>
              <w:tabs>
                <w:tab w:val="left" w:pos="3060"/>
                <w:tab w:val="left" w:pos="5580"/>
              </w:tabs>
              <w:spacing w:line="340" w:lineRule="exact"/>
              <w:outlineLvl w:val="1"/>
              <w:rPr>
                <w:rFonts w:ascii="仿宋" w:hAnsi="仿宋" w:eastAsia="仿宋" w:cs="仿宋"/>
                <w:color w:val="auto"/>
                <w:sz w:val="24"/>
                <w:szCs w:val="24"/>
                <w:highlight w:val="none"/>
              </w:rPr>
            </w:pPr>
            <w:r>
              <w:rPr>
                <w:rFonts w:hint="eastAsia" w:ascii="仿宋" w:hAnsi="仿宋" w:eastAsia="仿宋" w:cs="仿宋"/>
                <w:b/>
                <w:bCs/>
                <w:color w:val="auto"/>
                <w:sz w:val="24"/>
                <w:highlight w:val="none"/>
              </w:rPr>
              <w:fldChar w:fldCharType="begin"/>
            </w:r>
            <w:r>
              <w:rPr>
                <w:rFonts w:hint="eastAsia" w:ascii="仿宋" w:hAnsi="仿宋" w:eastAsia="仿宋" w:cs="仿宋"/>
                <w:b/>
                <w:bCs/>
                <w:color w:val="auto"/>
                <w:sz w:val="24"/>
                <w:highlight w:val="none"/>
              </w:rPr>
              <w:instrText xml:space="preserve"> = 4 \* GB3 </w:instrText>
            </w:r>
            <w:r>
              <w:rPr>
                <w:rFonts w:hint="eastAsia" w:ascii="仿宋" w:hAnsi="仿宋" w:eastAsia="仿宋" w:cs="仿宋"/>
                <w:b/>
                <w:bCs/>
                <w:color w:val="auto"/>
                <w:sz w:val="24"/>
                <w:highlight w:val="none"/>
              </w:rPr>
              <w:fldChar w:fldCharType="separate"/>
            </w:r>
            <w:r>
              <w:rPr>
                <w:rFonts w:hint="eastAsia" w:ascii="仿宋" w:hAnsi="仿宋" w:eastAsia="仿宋" w:cs="仿宋"/>
                <w:b/>
                <w:bCs/>
                <w:color w:val="auto"/>
                <w:sz w:val="24"/>
                <w:highlight w:val="none"/>
              </w:rPr>
              <w:t>④</w:t>
            </w:r>
            <w:r>
              <w:rPr>
                <w:rFonts w:hint="eastAsia" w:ascii="仿宋" w:hAnsi="仿宋" w:eastAsia="仿宋" w:cs="仿宋"/>
                <w:b/>
                <w:color w:val="auto"/>
                <w:sz w:val="24"/>
                <w:highlight w:val="none"/>
              </w:rPr>
              <w:fldChar w:fldCharType="end"/>
            </w:r>
            <w:r>
              <w:rPr>
                <w:rFonts w:hint="eastAsia" w:ascii="仿宋" w:hAnsi="仿宋" w:eastAsia="仿宋" w:cs="仿宋"/>
                <w:b/>
                <w:bCs/>
                <w:color w:val="auto"/>
                <w:sz w:val="24"/>
                <w:highlight w:val="none"/>
              </w:rPr>
              <w:t>有依法缴纳税收和社会保障资金的良好记录：</w:t>
            </w:r>
            <w:r>
              <w:rPr>
                <w:rFonts w:hint="eastAsia" w:ascii="仿宋" w:hAnsi="仿宋" w:eastAsia="仿宋" w:cs="仿宋"/>
                <w:color w:val="auto"/>
                <w:sz w:val="24"/>
                <w:szCs w:val="24"/>
                <w:highlight w:val="none"/>
              </w:rPr>
              <w:t>提供近半年(指投标截止日前)任三个月的已完成缴纳税收证明资料(申报表、征集单、银行的缴纳回执单不予认可)，其他无需纳税或免税的必须提供税收部门相应证明材料。（所有证明材料需加盖出具机关印章,必须写明税款/费款所属期。）</w:t>
            </w:r>
          </w:p>
          <w:p>
            <w:pPr>
              <w:pStyle w:val="45"/>
              <w:spacing w:after="200" w:line="340" w:lineRule="exact"/>
              <w:ind w:right="10" w:rightChars="5"/>
              <w:jc w:val="left"/>
              <w:rPr>
                <w:rFonts w:ascii="仿宋" w:hAnsi="仿宋" w:eastAsia="仿宋" w:cs="仿宋"/>
                <w:color w:val="auto"/>
                <w:sz w:val="24"/>
                <w:highlight w:val="none"/>
              </w:rPr>
            </w:pPr>
            <w:r>
              <w:rPr>
                <w:rFonts w:hint="eastAsia" w:ascii="仿宋" w:hAnsi="仿宋" w:eastAsia="仿宋" w:cs="仿宋"/>
                <w:color w:val="auto"/>
                <w:sz w:val="24"/>
                <w:szCs w:val="24"/>
                <w:highlight w:val="none"/>
              </w:rPr>
              <w:t>提供社保机构或税务机构出具的已完成社保缴纳证明（近半年至投标截止日)任三个月，必须提供社保机构或税务机构出具的缴纳证明，申报表、征集单、银行的缴纳回执单等不予认可，通过其他有权机构代缴代扣的，还需同时提供代缴代扣协议，其中应明确写明第三方为供应商代缴其社会保险，否则不予认可，其他组织和自然人也需提供上述证明。（所有证明材料需加盖出具机关印章,必须写明税款/费款所属期。）</w:t>
            </w:r>
          </w:p>
          <w:p>
            <w:pPr>
              <w:pStyle w:val="54"/>
              <w:spacing w:line="340" w:lineRule="exact"/>
              <w:outlineLvl w:val="2"/>
              <w:rPr>
                <w:rFonts w:ascii="仿宋" w:hAnsi="仿宋" w:eastAsia="仿宋" w:cs="仿宋"/>
                <w:color w:val="auto"/>
                <w:sz w:val="24"/>
                <w:highlight w:val="none"/>
              </w:rPr>
            </w:pPr>
            <w:r>
              <w:rPr>
                <w:rFonts w:hint="eastAsia" w:ascii="仿宋" w:hAnsi="仿宋" w:eastAsia="仿宋" w:cs="仿宋"/>
                <w:b/>
                <w:bCs/>
                <w:color w:val="auto"/>
                <w:sz w:val="24"/>
                <w:highlight w:val="none"/>
              </w:rPr>
              <w:t>⑤参加政府采购活动前三年内，在经营活动中没有重大违法记录：</w:t>
            </w:r>
            <w:r>
              <w:rPr>
                <w:rFonts w:hint="eastAsia" w:ascii="仿宋" w:hAnsi="仿宋" w:eastAsia="仿宋" w:cs="仿宋"/>
                <w:color w:val="auto"/>
                <w:sz w:val="24"/>
                <w:highlight w:val="none"/>
              </w:rPr>
              <w:t>提供参加政府采购活动前三年内，在经营活动中没有重大违法记录声明书</w:t>
            </w:r>
          </w:p>
          <w:p>
            <w:pPr>
              <w:pStyle w:val="54"/>
              <w:tabs>
                <w:tab w:val="left" w:pos="1429"/>
              </w:tabs>
              <w:spacing w:line="340" w:lineRule="exact"/>
              <w:rPr>
                <w:rFonts w:ascii="仿宋" w:hAnsi="仿宋" w:eastAsia="仿宋" w:cs="仿宋"/>
                <w:color w:val="auto"/>
                <w:kern w:val="0"/>
                <w:sz w:val="24"/>
                <w:highlight w:val="none"/>
              </w:rPr>
            </w:pPr>
            <w:r>
              <w:rPr>
                <w:rFonts w:hint="eastAsia" w:ascii="仿宋" w:hAnsi="仿宋" w:eastAsia="仿宋" w:cs="仿宋"/>
                <w:b/>
                <w:color w:val="auto"/>
                <w:sz w:val="24"/>
                <w:highlight w:val="none"/>
              </w:rPr>
              <w:t>⑥法律、行政法规规定的其他条件;</w:t>
            </w:r>
            <w:r>
              <w:rPr>
                <w:rFonts w:hint="eastAsia" w:ascii="仿宋" w:hAnsi="仿宋" w:eastAsia="仿宋" w:cs="仿宋"/>
                <w:color w:val="auto"/>
                <w:kern w:val="0"/>
                <w:sz w:val="24"/>
                <w:highlight w:val="none"/>
              </w:rPr>
              <w:t xml:space="preserve">                         </w:t>
            </w:r>
          </w:p>
          <w:p>
            <w:pPr>
              <w:pStyle w:val="45"/>
              <w:spacing w:after="200" w:line="340" w:lineRule="exact"/>
              <w:ind w:right="10" w:rightChars="5"/>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★（3）投标保证金；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32" w:type="dxa"/>
            <w:vMerge w:val="continue"/>
            <w:vAlign w:val="center"/>
          </w:tcPr>
          <w:p>
            <w:pPr>
              <w:pStyle w:val="27"/>
              <w:spacing w:after="200" w:line="340" w:lineRule="exact"/>
              <w:jc w:val="center"/>
              <w:rPr>
                <w:rFonts w:ascii="仿宋" w:hAnsi="仿宋" w:eastAsia="仿宋" w:cs="仿宋"/>
                <w:b/>
                <w:color w:val="auto"/>
                <w:kern w:val="0"/>
                <w:sz w:val="24"/>
                <w:highlight w:val="none"/>
              </w:rPr>
            </w:pPr>
          </w:p>
        </w:tc>
        <w:tc>
          <w:tcPr>
            <w:tcW w:w="1604" w:type="dxa"/>
            <w:vMerge w:val="continue"/>
            <w:vAlign w:val="center"/>
          </w:tcPr>
          <w:p>
            <w:pPr>
              <w:pStyle w:val="27"/>
              <w:spacing w:after="200" w:line="340" w:lineRule="exact"/>
              <w:jc w:val="center"/>
              <w:rPr>
                <w:rFonts w:ascii="仿宋" w:hAnsi="仿宋" w:eastAsia="仿宋" w:cs="仿宋"/>
                <w:b/>
                <w:color w:val="auto"/>
                <w:kern w:val="0"/>
                <w:sz w:val="24"/>
                <w:highlight w:val="none"/>
              </w:rPr>
            </w:pPr>
          </w:p>
        </w:tc>
        <w:tc>
          <w:tcPr>
            <w:tcW w:w="853" w:type="dxa"/>
            <w:vAlign w:val="center"/>
          </w:tcPr>
          <w:p>
            <w:pPr>
              <w:pStyle w:val="181"/>
              <w:adjustRightInd w:val="0"/>
              <w:spacing w:after="200" w:line="340" w:lineRule="exact"/>
              <w:ind w:left="-199" w:leftChars="-95" w:right="-166" w:rightChars="-79"/>
              <w:jc w:val="center"/>
              <w:outlineLvl w:val="3"/>
              <w:rPr>
                <w:rFonts w:ascii="仿宋" w:hAnsi="仿宋" w:eastAsia="仿宋" w:cs="仿宋"/>
                <w:color w:val="auto"/>
                <w:kern w:val="0"/>
                <w:szCs w:val="22"/>
                <w:highlight w:val="none"/>
              </w:rPr>
            </w:pPr>
            <w:r>
              <w:rPr>
                <w:rFonts w:hint="eastAsia" w:ascii="仿宋" w:hAnsi="仿宋" w:eastAsia="仿宋" w:cs="仿宋"/>
                <w:color w:val="auto"/>
                <w:kern w:val="0"/>
                <w:szCs w:val="22"/>
                <w:highlight w:val="none"/>
              </w:rPr>
              <w:t>商务</w:t>
            </w:r>
          </w:p>
          <w:p>
            <w:pPr>
              <w:pStyle w:val="181"/>
              <w:adjustRightInd w:val="0"/>
              <w:spacing w:after="200" w:line="340" w:lineRule="exact"/>
              <w:ind w:left="-199" w:leftChars="-95" w:right="-166" w:rightChars="-79"/>
              <w:jc w:val="center"/>
              <w:outlineLvl w:val="3"/>
              <w:rPr>
                <w:rFonts w:ascii="仿宋" w:hAnsi="仿宋" w:eastAsia="仿宋" w:cs="仿宋"/>
                <w:color w:val="auto"/>
                <w:kern w:val="0"/>
                <w:szCs w:val="22"/>
                <w:highlight w:val="none"/>
              </w:rPr>
            </w:pPr>
            <w:r>
              <w:rPr>
                <w:rFonts w:hint="eastAsia" w:ascii="仿宋" w:hAnsi="仿宋" w:eastAsia="仿宋" w:cs="仿宋"/>
                <w:color w:val="auto"/>
                <w:kern w:val="0"/>
                <w:szCs w:val="22"/>
                <w:highlight w:val="none"/>
              </w:rPr>
              <w:t>技术</w:t>
            </w:r>
          </w:p>
          <w:p>
            <w:pPr>
              <w:pStyle w:val="181"/>
              <w:adjustRightInd w:val="0"/>
              <w:spacing w:after="200" w:line="340" w:lineRule="exact"/>
              <w:ind w:left="-199" w:leftChars="-95" w:right="-166" w:rightChars="-79"/>
              <w:jc w:val="center"/>
              <w:outlineLvl w:val="3"/>
              <w:rPr>
                <w:rFonts w:ascii="仿宋" w:hAnsi="仿宋" w:eastAsia="仿宋" w:cs="仿宋"/>
                <w:color w:val="auto"/>
                <w:kern w:val="0"/>
                <w:szCs w:val="22"/>
                <w:highlight w:val="none"/>
              </w:rPr>
            </w:pPr>
            <w:r>
              <w:rPr>
                <w:rFonts w:hint="eastAsia" w:ascii="仿宋" w:hAnsi="仿宋" w:eastAsia="仿宋" w:cs="仿宋"/>
                <w:color w:val="auto"/>
                <w:kern w:val="0"/>
                <w:szCs w:val="22"/>
                <w:highlight w:val="none"/>
              </w:rPr>
              <w:t>响应</w:t>
            </w:r>
          </w:p>
          <w:p>
            <w:pPr>
              <w:pStyle w:val="27"/>
              <w:spacing w:after="200" w:line="340" w:lineRule="exact"/>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文件</w:t>
            </w:r>
          </w:p>
        </w:tc>
        <w:tc>
          <w:tcPr>
            <w:tcW w:w="6410" w:type="dxa"/>
            <w:vAlign w:val="center"/>
          </w:tcPr>
          <w:p>
            <w:pPr>
              <w:pStyle w:val="42"/>
              <w:spacing w:after="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1、类似项目业绩表</w:t>
            </w:r>
          </w:p>
          <w:p>
            <w:pPr>
              <w:pStyle w:val="42"/>
              <w:spacing w:after="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2、其他声明及文件材料</w:t>
            </w:r>
          </w:p>
          <w:p>
            <w:pPr>
              <w:pStyle w:val="42"/>
              <w:spacing w:after="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3、不参与围标串标承诺书</w:t>
            </w:r>
          </w:p>
          <w:p>
            <w:pPr>
              <w:pStyle w:val="42"/>
              <w:spacing w:after="200"/>
              <w:rPr>
                <w:rFonts w:ascii="仿宋" w:hAnsi="仿宋" w:eastAsia="仿宋" w:cs="仿宋"/>
                <w:color w:val="auto"/>
                <w:sz w:val="24"/>
                <w:highlight w:val="none"/>
              </w:rPr>
            </w:pPr>
            <w:r>
              <w:rPr>
                <w:rFonts w:hint="eastAsia" w:ascii="仿宋" w:hAnsi="仿宋" w:eastAsia="仿宋" w:cs="仿宋"/>
                <w:color w:val="auto"/>
                <w:sz w:val="24"/>
                <w:szCs w:val="24"/>
                <w:highlight w:val="none"/>
              </w:rPr>
              <w:t>4、投标人自行编写的技术文件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732" w:type="dxa"/>
            <w:vMerge w:val="continue"/>
            <w:vAlign w:val="center"/>
          </w:tcPr>
          <w:p>
            <w:pPr>
              <w:pStyle w:val="27"/>
              <w:spacing w:after="200" w:line="340" w:lineRule="exact"/>
              <w:jc w:val="center"/>
              <w:rPr>
                <w:rFonts w:ascii="仿宋" w:hAnsi="仿宋" w:eastAsia="仿宋" w:cs="仿宋"/>
                <w:b/>
                <w:color w:val="auto"/>
                <w:kern w:val="0"/>
                <w:sz w:val="24"/>
                <w:highlight w:val="none"/>
              </w:rPr>
            </w:pPr>
          </w:p>
        </w:tc>
        <w:tc>
          <w:tcPr>
            <w:tcW w:w="1604" w:type="dxa"/>
            <w:vMerge w:val="continue"/>
            <w:vAlign w:val="center"/>
          </w:tcPr>
          <w:p>
            <w:pPr>
              <w:pStyle w:val="27"/>
              <w:spacing w:after="200" w:line="340" w:lineRule="exact"/>
              <w:jc w:val="center"/>
              <w:rPr>
                <w:rFonts w:ascii="仿宋" w:hAnsi="仿宋" w:eastAsia="仿宋" w:cs="仿宋"/>
                <w:color w:val="auto"/>
                <w:sz w:val="24"/>
                <w:highlight w:val="none"/>
              </w:rPr>
            </w:pPr>
          </w:p>
        </w:tc>
        <w:tc>
          <w:tcPr>
            <w:tcW w:w="853" w:type="dxa"/>
            <w:vAlign w:val="center"/>
          </w:tcPr>
          <w:p>
            <w:pPr>
              <w:pStyle w:val="27"/>
              <w:spacing w:after="200" w:line="340" w:lineRule="exact"/>
              <w:ind w:right="-199" w:rightChars="-95"/>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报价</w:t>
            </w:r>
          </w:p>
          <w:p>
            <w:pPr>
              <w:pStyle w:val="27"/>
              <w:spacing w:after="200" w:line="34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要求</w:t>
            </w:r>
          </w:p>
          <w:p>
            <w:pPr>
              <w:pStyle w:val="27"/>
              <w:spacing w:after="200" w:line="34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响应</w:t>
            </w:r>
          </w:p>
          <w:p>
            <w:pPr>
              <w:pStyle w:val="27"/>
              <w:spacing w:after="200" w:line="34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文件</w:t>
            </w:r>
          </w:p>
        </w:tc>
        <w:tc>
          <w:tcPr>
            <w:tcW w:w="6410" w:type="dxa"/>
            <w:vAlign w:val="center"/>
          </w:tcPr>
          <w:p>
            <w:pPr>
              <w:pStyle w:val="42"/>
              <w:spacing w:after="200"/>
              <w:rPr>
                <w:rFonts w:ascii="仿宋" w:hAnsi="仿宋" w:eastAsia="仿宋" w:cs="仿宋"/>
                <w:color w:val="auto"/>
                <w:sz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highlight w:val="none"/>
              </w:rPr>
              <w:t>1、投标函</w:t>
            </w:r>
          </w:p>
          <w:p>
            <w:pPr>
              <w:pStyle w:val="42"/>
              <w:spacing w:after="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★2、开标一览表</w:t>
            </w:r>
          </w:p>
          <w:p>
            <w:pPr>
              <w:pStyle w:val="42"/>
              <w:spacing w:after="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★3、报价明细表</w:t>
            </w:r>
          </w:p>
          <w:p>
            <w:pPr>
              <w:pStyle w:val="42"/>
              <w:spacing w:after="200"/>
              <w:rPr>
                <w:color w:val="auto"/>
                <w:highlight w:val="none"/>
              </w:rPr>
            </w:pPr>
            <w:r>
              <w:rPr>
                <w:rFonts w:hint="eastAsia" w:ascii="仿宋" w:hAnsi="仿宋" w:eastAsia="仿宋" w:cs="仿宋"/>
                <w:color w:val="auto"/>
                <w:sz w:val="24"/>
                <w:szCs w:val="24"/>
                <w:highlight w:val="none"/>
              </w:rPr>
              <w:t xml:space="preserve">★4、中、小微企业声明函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10</w:t>
            </w:r>
          </w:p>
        </w:tc>
        <w:tc>
          <w:tcPr>
            <w:tcW w:w="2457" w:type="dxa"/>
            <w:gridSpan w:val="2"/>
            <w:vAlign w:val="center"/>
          </w:tcPr>
          <w:p>
            <w:pPr>
              <w:pStyle w:val="27"/>
              <w:spacing w:after="200" w:line="34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是否允许联合体投标</w:t>
            </w:r>
          </w:p>
        </w:tc>
        <w:tc>
          <w:tcPr>
            <w:tcW w:w="6410" w:type="dxa"/>
            <w:vAlign w:val="center"/>
          </w:tcPr>
          <w:p>
            <w:pPr>
              <w:pStyle w:val="27"/>
              <w:autoSpaceDE w:val="0"/>
              <w:autoSpaceDN w:val="0"/>
              <w:adjustRightInd w:val="0"/>
              <w:spacing w:after="200"/>
              <w:rPr>
                <w:rFonts w:ascii="仿宋" w:hAnsi="仿宋" w:eastAsia="仿宋" w:cs="仿宋"/>
                <w:color w:val="auto"/>
                <w:kern w:val="0"/>
                <w:sz w:val="24"/>
                <w:highlight w:val="none"/>
              </w:rPr>
            </w:pPr>
            <w:bookmarkStart w:id="80" w:name="EBc6ac0877da194e1ead2e51743a97925a"/>
            <w:bookmarkEnd w:id="80"/>
            <w:r>
              <w:rPr>
                <w:rFonts w:hint="eastAsia" w:ascii="仿宋" w:hAnsi="仿宋" w:eastAsia="仿宋" w:cs="仿宋"/>
                <w:color w:val="auto"/>
                <w:kern w:val="0"/>
                <w:sz w:val="24"/>
                <w:highlight w:val="none"/>
              </w:rPr>
              <w:t>□不接受</w:t>
            </w:r>
          </w:p>
          <w:p>
            <w:pPr>
              <w:pStyle w:val="27"/>
              <w:autoSpaceDE w:val="0"/>
              <w:autoSpaceDN w:val="0"/>
              <w:adjustRightInd w:val="0"/>
              <w:spacing w:after="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☑接受，应满足下列要求：</w:t>
            </w:r>
          </w:p>
          <w:p>
            <w:pPr>
              <w:pStyle w:val="27"/>
              <w:autoSpaceDE w:val="0"/>
              <w:autoSpaceDN w:val="0"/>
              <w:adjustRightInd w:val="0"/>
              <w:spacing w:after="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（1）联合体所有成员数量不得超过 2 家；</w:t>
            </w:r>
          </w:p>
          <w:p>
            <w:pPr>
              <w:pStyle w:val="27"/>
              <w:autoSpaceDE w:val="0"/>
              <w:autoSpaceDN w:val="0"/>
              <w:adjustRightInd w:val="0"/>
              <w:spacing w:after="200" w:line="340" w:lineRule="exact"/>
              <w:rPr>
                <w:rFonts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2）联合体牵头人应根据本项目特点和复杂程度，合理明确牵头单位及各自责任分工和权利，联合体各方应签订共同投标协议，联合体双方需满足各自专业在本项目中的资质要求，联合体各方不得再以自己名义单独参与或参加其他联合体在本招标项目中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ascii="仿宋" w:hAnsi="仿宋" w:eastAsia="仿宋" w:cs="仿宋"/>
                <w:b/>
                <w:color w:val="auto"/>
                <w:kern w:val="0"/>
                <w:sz w:val="24"/>
                <w:highlight w:val="none"/>
              </w:rPr>
              <w:t>1</w:t>
            </w:r>
            <w:r>
              <w:rPr>
                <w:rFonts w:hint="eastAsia" w:ascii="仿宋" w:hAnsi="仿宋" w:eastAsia="仿宋" w:cs="仿宋"/>
                <w:b/>
                <w:color w:val="auto"/>
                <w:kern w:val="0"/>
                <w:sz w:val="24"/>
                <w:highlight w:val="none"/>
              </w:rPr>
              <w:t>1</w:t>
            </w:r>
          </w:p>
        </w:tc>
        <w:tc>
          <w:tcPr>
            <w:tcW w:w="2457" w:type="dxa"/>
            <w:gridSpan w:val="2"/>
            <w:vAlign w:val="center"/>
          </w:tcPr>
          <w:p>
            <w:pPr>
              <w:pStyle w:val="27"/>
              <w:spacing w:after="20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是否允许投报</w:t>
            </w:r>
          </w:p>
          <w:p>
            <w:pPr>
              <w:pStyle w:val="27"/>
              <w:spacing w:after="20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进口产品</w:t>
            </w:r>
          </w:p>
        </w:tc>
        <w:tc>
          <w:tcPr>
            <w:tcW w:w="6410" w:type="dxa"/>
            <w:vAlign w:val="center"/>
          </w:tcPr>
          <w:p>
            <w:pPr>
              <w:pStyle w:val="27"/>
              <w:autoSpaceDE w:val="0"/>
              <w:autoSpaceDN w:val="0"/>
              <w:adjustRightInd w:val="0"/>
              <w:spacing w:after="200"/>
              <w:rPr>
                <w:rFonts w:ascii="仿宋" w:hAnsi="仿宋" w:eastAsia="仿宋" w:cs="仿宋"/>
                <w:color w:val="auto"/>
                <w:kern w:val="0"/>
                <w:sz w:val="24"/>
                <w:highlight w:val="none"/>
              </w:rPr>
            </w:pPr>
            <w:bookmarkStart w:id="81" w:name="EB7401d5a3a7c54a98b25d14a9dd4d0afa"/>
            <w:bookmarkEnd w:id="81"/>
            <w:r>
              <w:rPr>
                <w:rFonts w:hint="eastAsia" w:ascii="仿宋" w:hAnsi="仿宋" w:eastAsia="仿宋" w:cs="仿宋"/>
                <w:color w:val="auto"/>
                <w:kern w:val="0"/>
                <w:sz w:val="24"/>
                <w:highlight w:val="none"/>
              </w:rPr>
              <w:t xml:space="preserve">□是。              </w:t>
            </w:r>
          </w:p>
          <w:p>
            <w:pPr>
              <w:pStyle w:val="27"/>
              <w:autoSpaceDE w:val="0"/>
              <w:autoSpaceDN w:val="0"/>
              <w:adjustRightInd w:val="0"/>
              <w:spacing w:after="200"/>
              <w:rPr>
                <w:rFonts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ascii="仿宋" w:hAnsi="仿宋" w:eastAsia="仿宋" w:cs="仿宋"/>
                <w:b/>
                <w:color w:val="auto"/>
                <w:kern w:val="0"/>
                <w:sz w:val="24"/>
                <w:highlight w:val="none"/>
              </w:rPr>
              <w:t>1</w:t>
            </w:r>
            <w:r>
              <w:rPr>
                <w:rFonts w:hint="eastAsia" w:ascii="仿宋" w:hAnsi="仿宋" w:eastAsia="仿宋" w:cs="仿宋"/>
                <w:b/>
                <w:color w:val="auto"/>
                <w:kern w:val="0"/>
                <w:sz w:val="24"/>
                <w:highlight w:val="none"/>
              </w:rPr>
              <w:t>2</w:t>
            </w:r>
          </w:p>
        </w:tc>
        <w:tc>
          <w:tcPr>
            <w:tcW w:w="2457" w:type="dxa"/>
            <w:gridSpan w:val="2"/>
            <w:vAlign w:val="center"/>
          </w:tcPr>
          <w:p>
            <w:pPr>
              <w:pStyle w:val="27"/>
              <w:spacing w:after="200" w:line="34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是否允许投标人将项目非主体、非关键性工作交由他人完成</w:t>
            </w:r>
          </w:p>
        </w:tc>
        <w:tc>
          <w:tcPr>
            <w:tcW w:w="6410" w:type="dxa"/>
            <w:vAlign w:val="center"/>
          </w:tcPr>
          <w:p>
            <w:pPr>
              <w:pStyle w:val="27"/>
              <w:spacing w:after="200" w:line="340" w:lineRule="exact"/>
              <w:rPr>
                <w:rFonts w:ascii="仿宋" w:hAnsi="仿宋" w:eastAsia="仿宋" w:cs="仿宋"/>
                <w:color w:val="auto"/>
                <w:kern w:val="0"/>
                <w:sz w:val="24"/>
                <w:highlight w:val="none"/>
              </w:rPr>
            </w:pPr>
            <w:bookmarkStart w:id="82" w:name="EB7f9a2183097e49ed95bd12c9f3aa7860"/>
            <w:bookmarkEnd w:id="82"/>
            <w:r>
              <w:rPr>
                <w:rFonts w:hint="eastAsia" w:ascii="仿宋" w:hAnsi="仿宋" w:eastAsia="仿宋" w:cs="仿宋"/>
                <w:color w:val="auto"/>
                <w:kern w:val="0"/>
                <w:sz w:val="24"/>
                <w:highlight w:val="none"/>
              </w:rPr>
              <w:t>☑否。</w:t>
            </w:r>
          </w:p>
          <w:p>
            <w:pPr>
              <w:pStyle w:val="27"/>
              <w:spacing w:after="200" w:line="34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□是。中标人按照合同约定或者经采购人同意，可以将项目非主体、非关键性工作分包交由他人完成。此时，接受分包的人应当具备相应的资格条件，并不得再次分包。</w:t>
            </w:r>
          </w:p>
          <w:p>
            <w:pPr>
              <w:pStyle w:val="27"/>
              <w:spacing w:after="200" w:line="340" w:lineRule="exact"/>
              <w:rPr>
                <w:rFonts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分包内容要求：</w:t>
            </w:r>
            <w:bookmarkStart w:id="83" w:name="EB114dadb1fbea4d6bb5ee4c9c12eddd86"/>
            <w:bookmarkEnd w:id="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13</w:t>
            </w:r>
          </w:p>
        </w:tc>
        <w:tc>
          <w:tcPr>
            <w:tcW w:w="2457" w:type="dxa"/>
            <w:gridSpan w:val="2"/>
            <w:vAlign w:val="center"/>
          </w:tcPr>
          <w:p>
            <w:pPr>
              <w:pStyle w:val="27"/>
              <w:spacing w:line="360" w:lineRule="auto"/>
              <w:jc w:val="center"/>
              <w:rPr>
                <w:rFonts w:ascii="仿宋" w:hAnsi="仿宋" w:eastAsia="仿宋" w:cs="仿宋"/>
                <w:b/>
                <w:color w:val="auto"/>
                <w:kern w:val="0"/>
                <w:sz w:val="28"/>
                <w:szCs w:val="28"/>
                <w:highlight w:val="none"/>
              </w:rPr>
            </w:pPr>
            <w:r>
              <w:rPr>
                <w:rFonts w:hint="eastAsia" w:ascii="仿宋" w:hAnsi="仿宋" w:eastAsia="仿宋" w:cs="仿宋"/>
                <w:b/>
                <w:color w:val="auto"/>
                <w:sz w:val="24"/>
                <w:highlight w:val="none"/>
              </w:rPr>
              <w:t>交付地点</w:t>
            </w:r>
          </w:p>
        </w:tc>
        <w:tc>
          <w:tcPr>
            <w:tcW w:w="6410" w:type="dxa"/>
            <w:vAlign w:val="center"/>
          </w:tcPr>
          <w:p>
            <w:pPr>
              <w:pStyle w:val="27"/>
              <w:spacing w:line="360" w:lineRule="auto"/>
              <w:rPr>
                <w:rFonts w:ascii="仿宋" w:hAnsi="仿宋" w:eastAsia="仿宋" w:cs="仿宋"/>
                <w:color w:val="auto"/>
                <w:sz w:val="28"/>
                <w:szCs w:val="28"/>
                <w:highlight w:val="none"/>
              </w:rPr>
            </w:pPr>
            <w:r>
              <w:rPr>
                <w:rFonts w:hint="eastAsia" w:ascii="仿宋" w:hAnsi="仿宋" w:eastAsia="仿宋" w:cs="仿宋"/>
                <w:color w:val="auto"/>
                <w:sz w:val="24"/>
                <w:highlight w:val="none"/>
              </w:rPr>
              <w:t>详见第三章采购需求“商务要求”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14</w:t>
            </w:r>
          </w:p>
        </w:tc>
        <w:tc>
          <w:tcPr>
            <w:tcW w:w="2457" w:type="dxa"/>
            <w:gridSpan w:val="2"/>
            <w:vAlign w:val="center"/>
          </w:tcPr>
          <w:p>
            <w:pPr>
              <w:pStyle w:val="27"/>
              <w:spacing w:after="200"/>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踏勘现场</w:t>
            </w:r>
          </w:p>
        </w:tc>
        <w:tc>
          <w:tcPr>
            <w:tcW w:w="6410" w:type="dxa"/>
            <w:vAlign w:val="center"/>
          </w:tcPr>
          <w:p>
            <w:pPr>
              <w:pStyle w:val="27"/>
              <w:autoSpaceDE w:val="0"/>
              <w:autoSpaceDN w:val="0"/>
              <w:adjustRightInd w:val="0"/>
              <w:spacing w:after="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☑自行踏勘。</w:t>
            </w:r>
          </w:p>
          <w:p>
            <w:pPr>
              <w:pStyle w:val="27"/>
              <w:autoSpaceDE w:val="0"/>
              <w:autoSpaceDN w:val="0"/>
              <w:adjustRightInd w:val="0"/>
              <w:spacing w:after="200"/>
              <w:rPr>
                <w:rFonts w:ascii="仿宋" w:hAnsi="仿宋" w:eastAsia="仿宋" w:cs="仿宋"/>
                <w:color w:val="auto"/>
                <w:kern w:val="0"/>
                <w:sz w:val="24"/>
                <w:highlight w:val="none"/>
                <w:u w:val="single"/>
              </w:rPr>
            </w:pPr>
            <w:r>
              <w:rPr>
                <w:rFonts w:hint="eastAsia" w:ascii="仿宋" w:hAnsi="仿宋" w:eastAsia="仿宋" w:cs="仿宋"/>
                <w:color w:val="auto"/>
                <w:kern w:val="0"/>
                <w:sz w:val="24"/>
                <w:highlight w:val="none"/>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15</w:t>
            </w:r>
          </w:p>
        </w:tc>
        <w:tc>
          <w:tcPr>
            <w:tcW w:w="2457" w:type="dxa"/>
            <w:gridSpan w:val="2"/>
            <w:vAlign w:val="center"/>
          </w:tcPr>
          <w:p>
            <w:pPr>
              <w:pStyle w:val="27"/>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lang w:val="zh-TW" w:eastAsia="zh-TW"/>
              </w:rPr>
              <w:t>★</w:t>
            </w:r>
            <w:r>
              <w:rPr>
                <w:rFonts w:hint="eastAsia" w:ascii="仿宋" w:hAnsi="仿宋" w:eastAsia="仿宋" w:cs="仿宋"/>
                <w:b/>
                <w:color w:val="auto"/>
                <w:sz w:val="24"/>
                <w:highlight w:val="none"/>
              </w:rPr>
              <w:t>质保期</w:t>
            </w:r>
          </w:p>
        </w:tc>
        <w:tc>
          <w:tcPr>
            <w:tcW w:w="6410" w:type="dxa"/>
            <w:vAlign w:val="center"/>
          </w:tcPr>
          <w:p>
            <w:pPr>
              <w:pStyle w:val="27"/>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详见第三章采购需求“商务要求”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16</w:t>
            </w:r>
          </w:p>
        </w:tc>
        <w:tc>
          <w:tcPr>
            <w:tcW w:w="2457" w:type="dxa"/>
            <w:gridSpan w:val="2"/>
            <w:vAlign w:val="center"/>
          </w:tcPr>
          <w:p>
            <w:pPr>
              <w:pStyle w:val="27"/>
              <w:spacing w:after="200" w:line="34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投标人要求澄清的</w:t>
            </w:r>
          </w:p>
          <w:p>
            <w:pPr>
              <w:pStyle w:val="27"/>
              <w:spacing w:after="200" w:line="34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截止时间</w:t>
            </w:r>
          </w:p>
        </w:tc>
        <w:tc>
          <w:tcPr>
            <w:tcW w:w="6410" w:type="dxa"/>
            <w:vAlign w:val="center"/>
          </w:tcPr>
          <w:p>
            <w:pPr>
              <w:pStyle w:val="27"/>
              <w:spacing w:after="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在提交首次响应文件截止时间</w:t>
            </w:r>
            <w:r>
              <w:rPr>
                <w:rFonts w:hint="eastAsia" w:ascii="仿宋" w:hAnsi="仿宋" w:eastAsia="仿宋" w:cs="仿宋"/>
                <w:b/>
                <w:bCs/>
                <w:color w:val="auto"/>
                <w:kern w:val="0"/>
                <w:sz w:val="24"/>
                <w:highlight w:val="none"/>
              </w:rPr>
              <w:t>5</w:t>
            </w:r>
            <w:r>
              <w:rPr>
                <w:rFonts w:hint="eastAsia" w:ascii="仿宋" w:hAnsi="仿宋" w:eastAsia="仿宋" w:cs="仿宋"/>
                <w:color w:val="auto"/>
                <w:kern w:val="0"/>
                <w:sz w:val="24"/>
                <w:highlight w:val="none"/>
              </w:rPr>
              <w:t>日前接受投标人疑问或澄清要求（逾期视为理解和接受）</w:t>
            </w:r>
          </w:p>
          <w:p>
            <w:pPr>
              <w:pStyle w:val="27"/>
              <w:spacing w:after="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联系人：代欧莉、李妙婷</w:t>
            </w:r>
          </w:p>
          <w:p>
            <w:pPr>
              <w:pStyle w:val="27"/>
              <w:spacing w:after="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联系电话：0993-2611431</w:t>
            </w:r>
          </w:p>
          <w:p>
            <w:pPr>
              <w:pStyle w:val="27"/>
              <w:spacing w:after="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通讯地址：石河子市北三路爱派国际写字楼22楼</w:t>
            </w:r>
          </w:p>
          <w:p>
            <w:pPr>
              <w:pStyle w:val="27"/>
              <w:spacing w:after="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提交方式：以加盖供应商公章的书面形式</w:t>
            </w:r>
          </w:p>
          <w:p>
            <w:pPr>
              <w:pStyle w:val="27"/>
              <w:spacing w:after="200" w:line="340" w:lineRule="exact"/>
              <w:rPr>
                <w:rFonts w:ascii="仿宋" w:hAnsi="仿宋" w:eastAsia="仿宋" w:cs="仿宋"/>
                <w:b/>
                <w:bCs/>
                <w:color w:val="auto"/>
                <w:sz w:val="24"/>
                <w:highlight w:val="none"/>
              </w:rPr>
            </w:pPr>
            <w:r>
              <w:rPr>
                <w:rFonts w:hint="eastAsia" w:ascii="仿宋" w:hAnsi="仿宋" w:eastAsia="仿宋" w:cs="仿宋"/>
                <w:color w:val="auto"/>
                <w:kern w:val="0"/>
                <w:sz w:val="24"/>
                <w:highlight w:val="none"/>
              </w:rPr>
              <w:t>注：澄清、修改文件发出后，投标人必须使用最新的澄清文件制作电子投标文件，否则将无法完成上传。</w:t>
            </w:r>
            <w:r>
              <w:rPr>
                <w:rFonts w:hint="eastAsia" w:ascii="仿宋" w:hAnsi="仿宋" w:eastAsia="仿宋" w:cs="仿宋"/>
                <w:bCs/>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17</w:t>
            </w:r>
          </w:p>
        </w:tc>
        <w:tc>
          <w:tcPr>
            <w:tcW w:w="2457" w:type="dxa"/>
            <w:gridSpan w:val="2"/>
            <w:vAlign w:val="center"/>
          </w:tcPr>
          <w:p>
            <w:pPr>
              <w:pStyle w:val="27"/>
              <w:spacing w:after="200" w:line="34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投标有效期</w:t>
            </w:r>
          </w:p>
        </w:tc>
        <w:tc>
          <w:tcPr>
            <w:tcW w:w="6410" w:type="dxa"/>
            <w:vAlign w:val="center"/>
          </w:tcPr>
          <w:p>
            <w:pPr>
              <w:pStyle w:val="27"/>
              <w:spacing w:after="200" w:line="340" w:lineRule="exact"/>
              <w:rPr>
                <w:rFonts w:ascii="仿宋" w:hAnsi="仿宋" w:eastAsia="仿宋" w:cs="仿宋"/>
                <w:color w:val="auto"/>
                <w:sz w:val="24"/>
                <w:highlight w:val="none"/>
              </w:rPr>
            </w:pPr>
            <w:r>
              <w:rPr>
                <w:rFonts w:hint="eastAsia" w:ascii="仿宋" w:hAnsi="仿宋" w:eastAsia="仿宋" w:cs="仿宋"/>
                <w:color w:val="auto"/>
                <w:sz w:val="24"/>
                <w:highlight w:val="none"/>
                <w:lang w:val="zh-CN"/>
              </w:rPr>
              <w:t>自投标截止之日起</w:t>
            </w:r>
            <w:r>
              <w:rPr>
                <w:rFonts w:hint="eastAsia" w:ascii="仿宋" w:hAnsi="仿宋" w:eastAsia="仿宋" w:cs="仿宋"/>
                <w:color w:val="auto"/>
                <w:sz w:val="24"/>
                <w:highlight w:val="none"/>
                <w:u w:val="single"/>
              </w:rPr>
              <w:t xml:space="preserve"> 90 </w:t>
            </w:r>
            <w:r>
              <w:rPr>
                <w:rFonts w:hint="eastAsia" w:ascii="仿宋" w:hAnsi="仿宋" w:eastAsia="仿宋" w:cs="仿宋"/>
                <w:color w:val="auto"/>
                <w:sz w:val="24"/>
                <w:highlight w:val="none"/>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18</w:t>
            </w:r>
          </w:p>
        </w:tc>
        <w:tc>
          <w:tcPr>
            <w:tcW w:w="2457" w:type="dxa"/>
            <w:gridSpan w:val="2"/>
            <w:vAlign w:val="center"/>
          </w:tcPr>
          <w:p>
            <w:pPr>
              <w:pStyle w:val="27"/>
              <w:spacing w:after="200"/>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投标截止时间</w:t>
            </w:r>
          </w:p>
        </w:tc>
        <w:tc>
          <w:tcPr>
            <w:tcW w:w="6410" w:type="dxa"/>
            <w:vAlign w:val="center"/>
          </w:tcPr>
          <w:p>
            <w:pPr>
              <w:pStyle w:val="27"/>
              <w:spacing w:after="200" w:line="340" w:lineRule="exact"/>
              <w:rPr>
                <w:rFonts w:ascii="仿宋" w:hAnsi="仿宋" w:eastAsia="仿宋" w:cs="仿宋"/>
                <w:color w:val="auto"/>
                <w:sz w:val="24"/>
                <w:highlight w:val="none"/>
              </w:rPr>
            </w:pPr>
            <w:r>
              <w:rPr>
                <w:rFonts w:hint="eastAsia" w:ascii="仿宋" w:hAnsi="仿宋" w:eastAsia="仿宋" w:cs="仿宋"/>
                <w:color w:val="auto"/>
                <w:sz w:val="24"/>
                <w:highlight w:val="none"/>
              </w:rPr>
              <w:t>截止时间：</w:t>
            </w:r>
            <w:r>
              <w:rPr>
                <w:rFonts w:hint="eastAsia" w:ascii="仿宋" w:hAnsi="仿宋" w:eastAsia="仿宋" w:cs="仿宋"/>
                <w:b/>
                <w:bCs/>
                <w:color w:val="auto"/>
                <w:sz w:val="28"/>
                <w:szCs w:val="28"/>
                <w:highlight w:val="none"/>
                <w:u w:val="single"/>
                <w:lang w:eastAsia="zh-CN"/>
              </w:rPr>
              <w:t>2022年1</w:t>
            </w:r>
            <w:r>
              <w:rPr>
                <w:rFonts w:hint="eastAsia" w:ascii="仿宋" w:hAnsi="仿宋" w:eastAsia="仿宋" w:cs="仿宋"/>
                <w:b/>
                <w:bCs/>
                <w:color w:val="auto"/>
                <w:sz w:val="28"/>
                <w:szCs w:val="28"/>
                <w:highlight w:val="none"/>
                <w:u w:val="single"/>
                <w:lang w:val="en-US" w:eastAsia="zh-CN"/>
              </w:rPr>
              <w:t>2</w:t>
            </w:r>
            <w:r>
              <w:rPr>
                <w:rFonts w:hint="eastAsia" w:ascii="仿宋" w:hAnsi="仿宋" w:eastAsia="仿宋" w:cs="仿宋"/>
                <w:b/>
                <w:bCs/>
                <w:color w:val="auto"/>
                <w:sz w:val="28"/>
                <w:szCs w:val="28"/>
                <w:highlight w:val="none"/>
                <w:u w:val="single"/>
                <w:lang w:eastAsia="zh-CN"/>
              </w:rPr>
              <w:t>月</w:t>
            </w:r>
            <w:r>
              <w:rPr>
                <w:rFonts w:hint="eastAsia" w:ascii="仿宋" w:hAnsi="仿宋" w:eastAsia="仿宋" w:cs="仿宋"/>
                <w:b/>
                <w:bCs/>
                <w:color w:val="auto"/>
                <w:sz w:val="28"/>
                <w:szCs w:val="28"/>
                <w:highlight w:val="none"/>
                <w:u w:val="single"/>
                <w:lang w:val="en-US" w:eastAsia="zh-CN"/>
              </w:rPr>
              <w:t>5</w:t>
            </w:r>
            <w:r>
              <w:rPr>
                <w:rFonts w:hint="eastAsia" w:ascii="仿宋" w:hAnsi="仿宋" w:eastAsia="仿宋" w:cs="仿宋"/>
                <w:b/>
                <w:bCs/>
                <w:color w:val="auto"/>
                <w:sz w:val="28"/>
                <w:szCs w:val="28"/>
                <w:highlight w:val="none"/>
                <w:u w:val="single"/>
                <w:lang w:eastAsia="zh-CN"/>
              </w:rPr>
              <w:t>日10时30分</w:t>
            </w:r>
            <w:r>
              <w:rPr>
                <w:rFonts w:hint="eastAsia" w:ascii="仿宋" w:hAnsi="仿宋" w:eastAsia="仿宋" w:cs="仿宋"/>
                <w:color w:val="auto"/>
                <w:sz w:val="24"/>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19</w:t>
            </w:r>
          </w:p>
        </w:tc>
        <w:tc>
          <w:tcPr>
            <w:tcW w:w="2457" w:type="dxa"/>
            <w:gridSpan w:val="2"/>
            <w:vAlign w:val="center"/>
          </w:tcPr>
          <w:p>
            <w:pPr>
              <w:pStyle w:val="27"/>
              <w:spacing w:after="200"/>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投标人在投标截止</w:t>
            </w:r>
          </w:p>
          <w:p>
            <w:pPr>
              <w:pStyle w:val="27"/>
              <w:spacing w:after="200"/>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时间前提交的文件</w:t>
            </w:r>
          </w:p>
        </w:tc>
        <w:tc>
          <w:tcPr>
            <w:tcW w:w="6410" w:type="dxa"/>
            <w:vAlign w:val="center"/>
          </w:tcPr>
          <w:p>
            <w:pPr>
              <w:pStyle w:val="27"/>
              <w:spacing w:after="200" w:line="340" w:lineRule="exact"/>
              <w:rPr>
                <w:rFonts w:ascii="仿宋" w:hAnsi="仿宋" w:eastAsia="仿宋" w:cs="仿宋"/>
                <w:color w:val="auto"/>
                <w:kern w:val="0"/>
                <w:sz w:val="24"/>
                <w:highlight w:val="none"/>
              </w:rPr>
            </w:pPr>
            <w:r>
              <w:rPr>
                <w:rFonts w:hint="eastAsia" w:ascii="仿宋" w:hAnsi="仿宋" w:eastAsia="仿宋" w:cs="仿宋"/>
                <w:color w:val="auto"/>
                <w:sz w:val="24"/>
                <w:highlight w:val="none"/>
              </w:rPr>
              <w:t>投标文件（具体要求见本表第20项）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20</w:t>
            </w:r>
          </w:p>
        </w:tc>
        <w:tc>
          <w:tcPr>
            <w:tcW w:w="2457" w:type="dxa"/>
            <w:gridSpan w:val="2"/>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投标文件份数</w:t>
            </w:r>
          </w:p>
        </w:tc>
        <w:tc>
          <w:tcPr>
            <w:tcW w:w="6410" w:type="dxa"/>
            <w:vAlign w:val="center"/>
          </w:tcPr>
          <w:p>
            <w:pPr>
              <w:pStyle w:val="42"/>
              <w:autoSpaceDE w:val="0"/>
              <w:autoSpaceDN w:val="0"/>
              <w:spacing w:after="200" w:line="340" w:lineRule="exact"/>
              <w:rPr>
                <w:rFonts w:ascii="仿宋" w:hAnsi="仿宋" w:eastAsia="仿宋" w:cs="仿宋"/>
                <w:b/>
                <w:bCs/>
                <w:color w:val="auto"/>
                <w:kern w:val="2"/>
                <w:sz w:val="24"/>
                <w:szCs w:val="24"/>
                <w:highlight w:val="none"/>
              </w:rPr>
            </w:pPr>
            <w:bookmarkStart w:id="84" w:name="EBbb43714198e3424880ac7b30e46e04ef"/>
            <w:bookmarkEnd w:id="84"/>
            <w:r>
              <w:rPr>
                <w:rFonts w:hint="eastAsia" w:ascii="仿宋" w:hAnsi="仿宋" w:eastAsia="仿宋" w:cs="仿宋"/>
                <w:b/>
                <w:bCs/>
                <w:color w:val="auto"/>
                <w:kern w:val="2"/>
                <w:sz w:val="24"/>
                <w:szCs w:val="24"/>
                <w:highlight w:val="none"/>
              </w:rPr>
              <w:t>☑采用不见面开标：</w:t>
            </w:r>
          </w:p>
          <w:p>
            <w:pPr>
              <w:pStyle w:val="42"/>
              <w:spacing w:after="200" w:line="340" w:lineRule="exact"/>
              <w:rPr>
                <w:rFonts w:ascii="仿宋" w:hAnsi="仿宋" w:eastAsia="仿宋" w:cs="仿宋"/>
                <w:b/>
                <w:bCs/>
                <w:color w:val="auto"/>
                <w:kern w:val="2"/>
                <w:sz w:val="24"/>
                <w:szCs w:val="24"/>
                <w:highlight w:val="none"/>
              </w:rPr>
            </w:pPr>
            <w:r>
              <w:rPr>
                <w:rFonts w:hint="eastAsia" w:ascii="仿宋" w:hAnsi="仿宋" w:eastAsia="仿宋" w:cs="仿宋"/>
                <w:b/>
                <w:bCs/>
                <w:color w:val="auto"/>
                <w:kern w:val="2"/>
                <w:sz w:val="24"/>
                <w:szCs w:val="24"/>
                <w:highlight w:val="none"/>
              </w:rPr>
              <w:t>1．本项目采用不见面开标、投标人需要递交电子投标文件，加密的电子投标文件，在投标截止时间前通过登录兵团政府采购网政采云平台（https://login.zcygov.cn/user-login/#/login）上传到指定位置。无需递交纸质文件。</w:t>
            </w:r>
          </w:p>
          <w:p>
            <w:pPr>
              <w:pStyle w:val="27"/>
              <w:spacing w:after="200" w:line="340" w:lineRule="exact"/>
              <w:rPr>
                <w:rFonts w:ascii="仿宋" w:hAnsi="仿宋" w:eastAsia="仿宋" w:cs="仿宋"/>
                <w:color w:val="auto"/>
                <w:sz w:val="24"/>
                <w:highlight w:val="none"/>
              </w:rPr>
            </w:pPr>
            <w:r>
              <w:rPr>
                <w:rFonts w:hint="eastAsia" w:ascii="仿宋" w:hAnsi="仿宋" w:eastAsia="仿宋" w:cs="仿宋"/>
                <w:b/>
                <w:bCs/>
                <w:color w:val="auto"/>
                <w:sz w:val="24"/>
                <w:highlight w:val="none"/>
              </w:rPr>
              <w:t>2.本项目采用远程不见面交易的模式。开标当日，投标人无需到达开标现场，仅需在任意地点通过兵团政府采购网政采云平台（https://login.zcygov.cn/user-login/#/login）政采云远程开标大厅完成远程解密、提疑澄清、开标唱标、结果公布等交互环节。投标人必须使用能正确解密投标文件的“CA锁”在规定的时间内完成远程解密，因投标人原因未能解密、解密失败或解密超时，视为投标人撤销其投标文件，系统内投标文件将被退回；因采购人原因或网上招投标平台发生故障，导致无法按时完成投标文件解密或开、评标工作无法进行的，可根据实际情况相应延迟解密时间或调整开、评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21</w:t>
            </w:r>
          </w:p>
        </w:tc>
        <w:tc>
          <w:tcPr>
            <w:tcW w:w="2457" w:type="dxa"/>
            <w:gridSpan w:val="2"/>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开标时间及地点</w:t>
            </w:r>
          </w:p>
        </w:tc>
        <w:tc>
          <w:tcPr>
            <w:tcW w:w="6410" w:type="dxa"/>
            <w:vAlign w:val="center"/>
          </w:tcPr>
          <w:p>
            <w:pPr>
              <w:pStyle w:val="27"/>
              <w:widowControl/>
              <w:spacing w:after="200" w:line="340" w:lineRule="exact"/>
              <w:rPr>
                <w:rFonts w:ascii="仿宋" w:hAnsi="仿宋" w:eastAsia="仿宋" w:cs="仿宋"/>
                <w:b/>
                <w:bCs/>
                <w:color w:val="auto"/>
                <w:kern w:val="0"/>
                <w:sz w:val="24"/>
                <w:highlight w:val="none"/>
              </w:rPr>
            </w:pPr>
            <w:r>
              <w:rPr>
                <w:rFonts w:hint="eastAsia" w:ascii="仿宋" w:hAnsi="仿宋" w:eastAsia="仿宋" w:cs="仿宋"/>
                <w:color w:val="auto"/>
                <w:kern w:val="0"/>
                <w:sz w:val="24"/>
                <w:highlight w:val="none"/>
              </w:rPr>
              <w:t>☑</w:t>
            </w:r>
            <w:r>
              <w:rPr>
                <w:rFonts w:hint="eastAsia" w:ascii="仿宋" w:hAnsi="仿宋" w:eastAsia="仿宋" w:cs="仿宋"/>
                <w:b/>
                <w:bCs/>
                <w:color w:val="auto"/>
                <w:sz w:val="24"/>
                <w:highlight w:val="none"/>
              </w:rPr>
              <w:t>采用</w:t>
            </w:r>
            <w:r>
              <w:rPr>
                <w:rFonts w:hint="eastAsia" w:ascii="仿宋" w:hAnsi="仿宋" w:eastAsia="仿宋" w:cs="仿宋"/>
                <w:b/>
                <w:bCs/>
                <w:color w:val="auto"/>
                <w:kern w:val="0"/>
                <w:sz w:val="24"/>
                <w:highlight w:val="none"/>
              </w:rPr>
              <w:t>不见面开标：</w:t>
            </w:r>
          </w:p>
          <w:p>
            <w:pPr>
              <w:pStyle w:val="27"/>
              <w:spacing w:after="200" w:line="340" w:lineRule="exact"/>
              <w:ind w:leftChars="-1" w:hanging="2" w:hangingChars="1"/>
              <w:rPr>
                <w:rFonts w:ascii="仿宋" w:hAnsi="仿宋" w:eastAsia="仿宋" w:cs="仿宋"/>
                <w:color w:val="auto"/>
                <w:sz w:val="24"/>
                <w:highlight w:val="none"/>
              </w:rPr>
            </w:pPr>
            <w:r>
              <w:rPr>
                <w:rFonts w:hint="eastAsia" w:ascii="仿宋" w:hAnsi="仿宋" w:eastAsia="仿宋" w:cs="仿宋"/>
                <w:b/>
                <w:bCs/>
                <w:color w:val="auto"/>
                <w:kern w:val="0"/>
                <w:sz w:val="24"/>
                <w:highlight w:val="none"/>
              </w:rPr>
              <w:t>开标时间</w:t>
            </w:r>
            <w:r>
              <w:rPr>
                <w:rFonts w:hint="eastAsia" w:ascii="仿宋" w:hAnsi="仿宋" w:eastAsia="仿宋" w:cs="仿宋"/>
                <w:color w:val="auto"/>
                <w:kern w:val="0"/>
                <w:sz w:val="24"/>
                <w:highlight w:val="none"/>
              </w:rPr>
              <w:t>：</w:t>
            </w:r>
            <w:r>
              <w:rPr>
                <w:rFonts w:hint="eastAsia" w:ascii="仿宋" w:hAnsi="仿宋" w:eastAsia="仿宋" w:cs="仿宋"/>
                <w:b/>
                <w:bCs/>
                <w:color w:val="auto"/>
                <w:sz w:val="28"/>
                <w:szCs w:val="28"/>
                <w:highlight w:val="none"/>
                <w:u w:val="single"/>
                <w:lang w:eastAsia="zh-CN"/>
              </w:rPr>
              <w:t>2022年1</w:t>
            </w:r>
            <w:r>
              <w:rPr>
                <w:rFonts w:hint="eastAsia" w:ascii="仿宋" w:hAnsi="仿宋" w:eastAsia="仿宋" w:cs="仿宋"/>
                <w:b/>
                <w:bCs/>
                <w:color w:val="auto"/>
                <w:sz w:val="28"/>
                <w:szCs w:val="28"/>
                <w:highlight w:val="none"/>
                <w:u w:val="single"/>
                <w:lang w:val="en-US" w:eastAsia="zh-CN"/>
              </w:rPr>
              <w:t>2</w:t>
            </w:r>
            <w:r>
              <w:rPr>
                <w:rFonts w:hint="eastAsia" w:ascii="仿宋" w:hAnsi="仿宋" w:eastAsia="仿宋" w:cs="仿宋"/>
                <w:b/>
                <w:bCs/>
                <w:color w:val="auto"/>
                <w:sz w:val="28"/>
                <w:szCs w:val="28"/>
                <w:highlight w:val="none"/>
                <w:u w:val="single"/>
                <w:lang w:eastAsia="zh-CN"/>
              </w:rPr>
              <w:t>月</w:t>
            </w:r>
            <w:r>
              <w:rPr>
                <w:rFonts w:hint="eastAsia" w:ascii="仿宋" w:hAnsi="仿宋" w:eastAsia="仿宋" w:cs="仿宋"/>
                <w:b/>
                <w:bCs/>
                <w:color w:val="auto"/>
                <w:sz w:val="28"/>
                <w:szCs w:val="28"/>
                <w:highlight w:val="none"/>
                <w:u w:val="single"/>
                <w:lang w:val="en-US" w:eastAsia="zh-CN"/>
              </w:rPr>
              <w:t>5</w:t>
            </w:r>
            <w:r>
              <w:rPr>
                <w:rFonts w:hint="eastAsia" w:ascii="仿宋" w:hAnsi="仿宋" w:eastAsia="仿宋" w:cs="仿宋"/>
                <w:b/>
                <w:bCs/>
                <w:color w:val="auto"/>
                <w:sz w:val="28"/>
                <w:szCs w:val="28"/>
                <w:highlight w:val="none"/>
                <w:u w:val="single"/>
                <w:lang w:eastAsia="zh-CN"/>
              </w:rPr>
              <w:t>日10时30分</w:t>
            </w:r>
            <w:r>
              <w:rPr>
                <w:rFonts w:hint="eastAsia" w:ascii="仿宋" w:hAnsi="仿宋" w:eastAsia="仿宋" w:cs="仿宋"/>
                <w:color w:val="auto"/>
                <w:sz w:val="24"/>
                <w:highlight w:val="none"/>
              </w:rPr>
              <w:t>（北京时间）</w:t>
            </w:r>
          </w:p>
          <w:p>
            <w:pPr>
              <w:pStyle w:val="27"/>
              <w:spacing w:after="200" w:line="340" w:lineRule="exact"/>
              <w:rPr>
                <w:rFonts w:ascii="仿宋" w:hAnsi="仿宋" w:eastAsia="仿宋" w:cs="仿宋"/>
                <w:b/>
                <w:bCs/>
                <w:color w:val="auto"/>
                <w:kern w:val="0"/>
                <w:sz w:val="24"/>
                <w:highlight w:val="none"/>
              </w:rPr>
            </w:pPr>
            <w:r>
              <w:rPr>
                <w:rFonts w:hint="eastAsia" w:ascii="仿宋" w:hAnsi="仿宋" w:eastAsia="仿宋" w:cs="仿宋"/>
                <w:color w:val="auto"/>
                <w:kern w:val="0"/>
                <w:sz w:val="24"/>
                <w:highlight w:val="none"/>
              </w:rPr>
              <w:t>开标地点：石河子市北三路爱派国际写字楼22楼（兵团政采云平台https://www.zcygov.cn/政采云不见面开标大厅）</w:t>
            </w:r>
          </w:p>
          <w:p>
            <w:pPr>
              <w:pStyle w:val="27"/>
              <w:spacing w:after="200" w:line="340" w:lineRule="exact"/>
              <w:rPr>
                <w:rFonts w:ascii="仿宋" w:hAnsi="仿宋" w:eastAsia="仿宋" w:cs="仿宋"/>
                <w:color w:val="auto"/>
                <w:sz w:val="24"/>
                <w:highlight w:val="none"/>
              </w:rPr>
            </w:pPr>
            <w:r>
              <w:rPr>
                <w:rFonts w:hint="eastAsia" w:ascii="仿宋" w:hAnsi="仿宋" w:eastAsia="仿宋" w:cs="仿宋"/>
                <w:color w:val="auto"/>
                <w:sz w:val="24"/>
                <w:highlight w:val="none"/>
              </w:rPr>
              <w:t>不见面开标默认解密时长：</w:t>
            </w:r>
            <w:r>
              <w:rPr>
                <w:rFonts w:hint="eastAsia" w:ascii="仿宋" w:hAnsi="仿宋" w:eastAsia="仿宋" w:cs="仿宋"/>
                <w:bCs/>
                <w:color w:val="auto"/>
                <w:sz w:val="24"/>
                <w:highlight w:val="none"/>
                <w:u w:val="single"/>
              </w:rPr>
              <w:t xml:space="preserve">  20分钟     </w:t>
            </w:r>
          </w:p>
          <w:p>
            <w:pPr>
              <w:pStyle w:val="27"/>
              <w:spacing w:after="200" w:line="34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除因交易平台发生故障导致投标（响应）文件无法按时解密外，投标（响应）文件未按时解密的，视为未按规定提交投标（响应）文件。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22</w:t>
            </w:r>
          </w:p>
        </w:tc>
        <w:tc>
          <w:tcPr>
            <w:tcW w:w="2457" w:type="dxa"/>
            <w:gridSpan w:val="2"/>
            <w:vAlign w:val="center"/>
          </w:tcPr>
          <w:p>
            <w:pPr>
              <w:pStyle w:val="27"/>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rPr>
              <w:t>是否需要提交样品</w:t>
            </w:r>
          </w:p>
        </w:tc>
        <w:tc>
          <w:tcPr>
            <w:tcW w:w="6410" w:type="dxa"/>
            <w:vAlign w:val="center"/>
          </w:tcPr>
          <w:p>
            <w:pPr>
              <w:pStyle w:val="27"/>
              <w:autoSpaceDE w:val="0"/>
              <w:autoSpaceDN w:val="0"/>
              <w:adjustRightInd w:val="0"/>
              <w:spacing w:line="360" w:lineRule="auto"/>
              <w:ind w:left="360" w:hanging="360"/>
              <w:rPr>
                <w:rFonts w:ascii="仿宋" w:hAnsi="仿宋" w:eastAsia="仿宋" w:cs="仿宋"/>
                <w:color w:val="auto"/>
                <w:sz w:val="24"/>
                <w:highlight w:val="none"/>
              </w:rPr>
            </w:pPr>
            <w:bookmarkStart w:id="85" w:name="EBcc65ac7201d245c29c488553475d3e35"/>
            <w:bookmarkEnd w:id="85"/>
            <w:r>
              <w:rPr>
                <w:rFonts w:hint="eastAsia" w:ascii="仿宋" w:hAnsi="仿宋" w:eastAsia="仿宋" w:cs="仿宋"/>
                <w:color w:val="auto"/>
                <w:sz w:val="24"/>
                <w:highlight w:val="none"/>
              </w:rPr>
              <w:t>☑不需要</w:t>
            </w:r>
          </w:p>
          <w:p>
            <w:pPr>
              <w:pStyle w:val="27"/>
              <w:autoSpaceDE w:val="0"/>
              <w:autoSpaceDN w:val="0"/>
              <w:adjustRightInd w:val="0"/>
              <w:spacing w:line="360" w:lineRule="auto"/>
              <w:ind w:left="360" w:hanging="360"/>
              <w:rPr>
                <w:rFonts w:ascii="仿宋" w:hAnsi="仿宋" w:eastAsia="仿宋" w:cs="仿宋"/>
                <w:color w:val="auto"/>
                <w:sz w:val="24"/>
                <w:highlight w:val="none"/>
              </w:rPr>
            </w:pPr>
            <w:r>
              <w:rPr>
                <w:rFonts w:hint="eastAsia" w:ascii="仿宋" w:hAnsi="仿宋" w:eastAsia="仿宋" w:cs="仿宋"/>
                <w:color w:val="auto"/>
                <w:sz w:val="24"/>
                <w:highlight w:val="none"/>
              </w:rPr>
              <w:t>□需要，样品要求如下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23</w:t>
            </w:r>
          </w:p>
        </w:tc>
        <w:tc>
          <w:tcPr>
            <w:tcW w:w="2457" w:type="dxa"/>
            <w:gridSpan w:val="2"/>
            <w:vAlign w:val="center"/>
          </w:tcPr>
          <w:p>
            <w:pPr>
              <w:pStyle w:val="27"/>
              <w:autoSpaceDE w:val="0"/>
              <w:autoSpaceDN w:val="0"/>
              <w:adjustRightInd w:val="0"/>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rPr>
              <w:t>现场陈述</w:t>
            </w:r>
          </w:p>
        </w:tc>
        <w:tc>
          <w:tcPr>
            <w:tcW w:w="6410" w:type="dxa"/>
            <w:vAlign w:val="center"/>
          </w:tcPr>
          <w:p>
            <w:pPr>
              <w:pStyle w:val="27"/>
              <w:autoSpaceDE w:val="0"/>
              <w:autoSpaceDN w:val="0"/>
              <w:adjustRightInd w:val="0"/>
              <w:spacing w:line="360" w:lineRule="auto"/>
              <w:ind w:left="360" w:hanging="360"/>
              <w:rPr>
                <w:rFonts w:ascii="仿宋" w:hAnsi="仿宋" w:eastAsia="仿宋" w:cs="仿宋"/>
                <w:color w:val="auto"/>
                <w:sz w:val="24"/>
                <w:highlight w:val="none"/>
              </w:rPr>
            </w:pPr>
            <w:r>
              <w:rPr>
                <w:rFonts w:hint="eastAsia" w:ascii="仿宋" w:hAnsi="仿宋" w:eastAsia="仿宋" w:cs="仿宋"/>
                <w:color w:val="auto"/>
                <w:sz w:val="24"/>
                <w:highlight w:val="none"/>
              </w:rPr>
              <w:t xml:space="preserve">☑不需要 </w:t>
            </w:r>
          </w:p>
          <w:p>
            <w:pPr>
              <w:pStyle w:val="27"/>
              <w:autoSpaceDE w:val="0"/>
              <w:autoSpaceDN w:val="0"/>
              <w:adjustRightInd w:val="0"/>
              <w:spacing w:line="360" w:lineRule="auto"/>
              <w:ind w:left="360" w:hanging="360"/>
              <w:rPr>
                <w:rFonts w:ascii="仿宋" w:hAnsi="仿宋" w:eastAsia="仿宋" w:cs="仿宋"/>
                <w:color w:val="auto"/>
                <w:sz w:val="24"/>
                <w:highlight w:val="none"/>
              </w:rPr>
            </w:pPr>
            <w:r>
              <w:rPr>
                <w:rFonts w:hint="eastAsia" w:ascii="仿宋" w:hAnsi="仿宋" w:eastAsia="仿宋" w:cs="仿宋"/>
                <w:color w:val="auto"/>
                <w:sz w:val="24"/>
                <w:highlight w:val="none"/>
              </w:rPr>
              <w:t>□需要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24</w:t>
            </w:r>
          </w:p>
        </w:tc>
        <w:tc>
          <w:tcPr>
            <w:tcW w:w="2457" w:type="dxa"/>
            <w:gridSpan w:val="2"/>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投标保证金</w:t>
            </w:r>
          </w:p>
        </w:tc>
        <w:tc>
          <w:tcPr>
            <w:tcW w:w="6410" w:type="dxa"/>
            <w:vAlign w:val="center"/>
          </w:tcPr>
          <w:p>
            <w:pPr>
              <w:pStyle w:val="27"/>
              <w:spacing w:after="200" w:line="340" w:lineRule="exac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缴纳方式：电汇、网银转账</w:t>
            </w:r>
            <w:r>
              <w:rPr>
                <w:rFonts w:hint="eastAsia" w:ascii="仿宋" w:hAnsi="仿宋" w:eastAsia="仿宋" w:cs="仿宋"/>
                <w:color w:val="auto"/>
                <w:sz w:val="24"/>
                <w:highlight w:val="none"/>
                <w:lang w:val="en-US" w:eastAsia="zh-CN"/>
              </w:rPr>
              <w:t>或电子保函</w:t>
            </w:r>
          </w:p>
          <w:p>
            <w:pPr>
              <w:pStyle w:val="27"/>
              <w:spacing w:after="200" w:line="34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金额（小写）:50000元</w:t>
            </w:r>
          </w:p>
          <w:p>
            <w:pPr>
              <w:pStyle w:val="27"/>
              <w:spacing w:after="200" w:line="34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金额（大写）：伍万元整</w:t>
            </w:r>
          </w:p>
          <w:p>
            <w:pPr>
              <w:pStyle w:val="27"/>
              <w:spacing w:after="200" w:line="34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收款单位：新疆华通方圆工程管理咨询有限公司</w:t>
            </w:r>
          </w:p>
          <w:p>
            <w:pPr>
              <w:pStyle w:val="27"/>
              <w:spacing w:after="200" w:line="34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开户银行：工行乌鲁木齐红山路支行</w:t>
            </w:r>
          </w:p>
          <w:p>
            <w:pPr>
              <w:pStyle w:val="27"/>
              <w:spacing w:after="200" w:line="34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银行账号：3002016519200025620</w:t>
            </w:r>
          </w:p>
          <w:p>
            <w:pPr>
              <w:pStyle w:val="27"/>
              <w:spacing w:after="200" w:line="340" w:lineRule="exact"/>
              <w:rPr>
                <w:rFonts w:ascii="仿宋" w:hAnsi="仿宋" w:eastAsia="仿宋" w:cs="仿宋"/>
                <w:color w:val="auto"/>
                <w:sz w:val="24"/>
                <w:highlight w:val="none"/>
              </w:rPr>
            </w:pPr>
            <w:r>
              <w:rPr>
                <w:rFonts w:hint="eastAsia" w:ascii="仿宋" w:hAnsi="仿宋" w:eastAsia="仿宋" w:cs="仿宋"/>
                <w:color w:val="auto"/>
                <w:sz w:val="24"/>
                <w:highlight w:val="none"/>
              </w:rPr>
              <w:t>(1)投标保证金应以网银转账、电汇等非现金形式由投标人的企业基本账户汇出；</w:t>
            </w:r>
          </w:p>
          <w:p>
            <w:pPr>
              <w:pStyle w:val="27"/>
              <w:spacing w:after="200" w:line="340" w:lineRule="exact"/>
              <w:rPr>
                <w:rFonts w:ascii="仿宋" w:hAnsi="仿宋" w:eastAsia="仿宋" w:cs="仿宋"/>
                <w:color w:val="auto"/>
                <w:sz w:val="24"/>
                <w:highlight w:val="none"/>
              </w:rPr>
            </w:pPr>
            <w:r>
              <w:rPr>
                <w:rFonts w:hint="eastAsia" w:ascii="仿宋" w:hAnsi="仿宋" w:eastAsia="仿宋" w:cs="仿宋"/>
                <w:color w:val="auto"/>
                <w:sz w:val="24"/>
                <w:highlight w:val="none"/>
              </w:rPr>
              <w:t>(2)投标保证金必须在投标截止时间（响应文件提交时间）前缴纳至招标公司账户，投标人需自行评估因异地、跨行、公休日等因素造成的投标保证金到账延迟风险，并承担相应责任。</w:t>
            </w:r>
          </w:p>
          <w:p>
            <w:pPr>
              <w:pStyle w:val="27"/>
              <w:spacing w:after="200" w:line="3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(3)投标保证金的提交以招标公司账户到账时间为准。</w:t>
            </w:r>
          </w:p>
          <w:p>
            <w:pPr>
              <w:pStyle w:val="27"/>
              <w:spacing w:after="200" w:line="3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电子保函业务办理方式：</w:t>
            </w:r>
          </w:p>
          <w:p>
            <w:pPr>
              <w:pStyle w:val="27"/>
              <w:spacing w:after="200" w:line="340" w:lineRule="exact"/>
              <w:rPr>
                <w:rFonts w:ascii="仿宋" w:hAnsi="仿宋" w:eastAsia="仿宋" w:cs="仿宋"/>
                <w:color w:val="auto"/>
                <w:sz w:val="24"/>
                <w:highlight w:val="none"/>
              </w:rPr>
            </w:pPr>
            <w:r>
              <w:rPr>
                <w:rFonts w:hint="eastAsia" w:ascii="仿宋" w:hAnsi="仿宋" w:eastAsia="仿宋" w:cs="仿宋"/>
                <w:color w:val="auto"/>
                <w:sz w:val="24"/>
                <w:highlight w:val="none"/>
              </w:rPr>
              <w:t>进入兵团政府采购网-兵团政府采购信用融资服务平台-保险保函模块办理相关业务。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32" w:type="dxa"/>
            <w:vAlign w:val="center"/>
          </w:tcPr>
          <w:p>
            <w:pPr>
              <w:pStyle w:val="27"/>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rPr>
              <w:t>25</w:t>
            </w:r>
          </w:p>
        </w:tc>
        <w:tc>
          <w:tcPr>
            <w:tcW w:w="2457" w:type="dxa"/>
            <w:gridSpan w:val="2"/>
            <w:vAlign w:val="center"/>
          </w:tcPr>
          <w:p>
            <w:pPr>
              <w:pStyle w:val="27"/>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rPr>
              <w:t>节能、环保要求</w:t>
            </w:r>
          </w:p>
        </w:tc>
        <w:tc>
          <w:tcPr>
            <w:tcW w:w="6410" w:type="dxa"/>
            <w:vAlign w:val="center"/>
          </w:tcPr>
          <w:p>
            <w:pPr>
              <w:pStyle w:val="47"/>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按国家有关节能环保政策执行：</w:t>
            </w:r>
          </w:p>
          <w:p>
            <w:pPr>
              <w:pStyle w:val="47"/>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☑采用综合评分法，加分幅度：</w:t>
            </w:r>
          </w:p>
          <w:p>
            <w:pPr>
              <w:pStyle w:val="47"/>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产品为节能产品和环境标志产品参照财政部、国家发展改革委、生态环境部、市场监管总局《关于调整优化节能产品、环境标志产品政府采购执行机制的通知》（财库[2019]9号文）；财政部、生态环境部《关于印发环境标志产品政府采购品目清单的通知》（财库[2019]18号文）；财政部、发展改革委《关于印发节能产品政府采购品目清单的通知》（财库[2019]19号文）规定的品目范围内且符合标准（需提供证明材料），在投标报价时必须对此类产品单独分项报价，计算出小计及占合同包总金额的百分比，并提供属于品目内产品的证明资料，未单独分项报价且未提供属于品目内且符合标准产品的证明资料的不给予加分。</w:t>
            </w:r>
          </w:p>
          <w:p>
            <w:pPr>
              <w:pStyle w:val="27"/>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□采用最低评标价法，加分幅度：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32" w:type="dxa"/>
            <w:vAlign w:val="center"/>
          </w:tcPr>
          <w:p>
            <w:pPr>
              <w:pStyle w:val="27"/>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26</w:t>
            </w:r>
          </w:p>
        </w:tc>
        <w:tc>
          <w:tcPr>
            <w:tcW w:w="2457" w:type="dxa"/>
            <w:gridSpan w:val="2"/>
            <w:vAlign w:val="center"/>
          </w:tcPr>
          <w:p>
            <w:pPr>
              <w:pStyle w:val="27"/>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中小微型企业</w:t>
            </w:r>
          </w:p>
          <w:p>
            <w:pPr>
              <w:pStyle w:val="27"/>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rPr>
              <w:t>有关政策</w:t>
            </w:r>
          </w:p>
        </w:tc>
        <w:tc>
          <w:tcPr>
            <w:tcW w:w="6410" w:type="dxa"/>
            <w:vAlign w:val="center"/>
          </w:tcPr>
          <w:p>
            <w:pPr>
              <w:pStyle w:val="27"/>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 根据《政府采购促进中小企业展暂行办法》（财库【2020】46号文）、关于转发《政府采购促进中小企业发展管理办法》的通知（兵财库〔2021〕7号文）；财政部《关于进一步加大政府采购支持中小企业力度的通知》（财库〔2022〕19号）的规定执行；</w:t>
            </w:r>
          </w:p>
          <w:p>
            <w:pPr>
              <w:pStyle w:val="27"/>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(2)根据工信部等部委发布的《关于印发中小企业划型标准规定的通知》（工信部联企业[2011]300号）规定执行；本项目采购标的对应的中小企业划分标准所属行业为</w:t>
            </w:r>
            <w:r>
              <w:rPr>
                <w:rFonts w:hint="eastAsia" w:ascii="仿宋" w:hAnsi="仿宋" w:eastAsia="仿宋" w:cs="仿宋"/>
                <w:b/>
                <w:bCs/>
                <w:color w:val="auto"/>
                <w:sz w:val="24"/>
                <w:highlight w:val="none"/>
                <w:u w:val="single"/>
              </w:rPr>
              <w:t>建筑业</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rPr>
              <w:t xml:space="preserve"> </w:t>
            </w:r>
          </w:p>
          <w:p>
            <w:pPr>
              <w:pStyle w:val="66"/>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★本项目为专门面向中小企业采购，不再执行价格评审优惠的扶持政策，参与投标的供应商须出具《中小企业声明函》。</w:t>
            </w:r>
          </w:p>
          <w:p>
            <w:pPr>
              <w:pStyle w:val="66"/>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若所投标产品为进口产品的，不适用《政府采购促进中小企业发展暂行办法》。</w:t>
            </w:r>
          </w:p>
          <w:p>
            <w:pPr>
              <w:pStyle w:val="66"/>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根据中华人民共和国财政部、中华人民共和国民政部、中国残疾人联合会《关于促进残疾人就业政府采购政策的通知》（（财库〔2017〕141号）文件的规定：残疾人福利性单位视同中、小企业。</w:t>
            </w:r>
          </w:p>
          <w:p>
            <w:pPr>
              <w:pStyle w:val="66"/>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根据财政部、司法部《关于政府采购支持监狱企业发展有关问题的通知》(财库【2014】68号)文件的规定：在政府采购活动中，监狱企业视同中、小企业。</w:t>
            </w:r>
          </w:p>
          <w:p>
            <w:pPr>
              <w:pStyle w:val="66"/>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供应商若为残疾人福利性单位，须在投标文件中提供《残疾人福利性单位声明函》，否则将不给予价格扣除。供应商须对其声明的真实性负责，若与事实不符的，将依照《政府采购法》第七十七条第一款的规定追究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732" w:type="dxa"/>
            <w:vAlign w:val="center"/>
          </w:tcPr>
          <w:p>
            <w:pPr>
              <w:pStyle w:val="27"/>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rPr>
              <w:t>27</w:t>
            </w:r>
          </w:p>
        </w:tc>
        <w:tc>
          <w:tcPr>
            <w:tcW w:w="2457" w:type="dxa"/>
            <w:gridSpan w:val="2"/>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评标委员会的组成</w:t>
            </w:r>
          </w:p>
        </w:tc>
        <w:tc>
          <w:tcPr>
            <w:tcW w:w="6410" w:type="dxa"/>
            <w:vAlign w:val="center"/>
          </w:tcPr>
          <w:p>
            <w:pPr>
              <w:pStyle w:val="27"/>
              <w:spacing w:after="200" w:line="34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评标委员会构成</w:t>
            </w:r>
            <w:r>
              <w:rPr>
                <w:rFonts w:hint="eastAsia" w:ascii="仿宋" w:hAnsi="仿宋" w:eastAsia="仿宋" w:cs="仿宋"/>
                <w:b/>
                <w:color w:val="auto"/>
                <w:sz w:val="24"/>
                <w:highlight w:val="none"/>
              </w:rPr>
              <w:t>：</w:t>
            </w:r>
            <w:r>
              <w:rPr>
                <w:rFonts w:hint="eastAsia" w:ascii="仿宋" w:hAnsi="仿宋" w:eastAsia="仿宋" w:cs="仿宋"/>
                <w:b/>
                <w:color w:val="auto"/>
                <w:sz w:val="24"/>
                <w:highlight w:val="none"/>
                <w:u w:val="single"/>
              </w:rPr>
              <w:t xml:space="preserve">  </w:t>
            </w:r>
            <w:r>
              <w:rPr>
                <w:rFonts w:hint="eastAsia" w:ascii="仿宋" w:hAnsi="仿宋" w:eastAsia="仿宋" w:cs="仿宋"/>
                <w:b/>
                <w:color w:val="auto"/>
                <w:sz w:val="24"/>
                <w:highlight w:val="none"/>
                <w:u w:val="single"/>
                <w:lang w:val="en-US" w:eastAsia="zh-CN"/>
              </w:rPr>
              <w:t>5</w:t>
            </w:r>
            <w:r>
              <w:rPr>
                <w:rFonts w:hint="eastAsia" w:ascii="仿宋" w:hAnsi="仿宋" w:eastAsia="仿宋" w:cs="仿宋"/>
                <w:b/>
                <w:color w:val="auto"/>
                <w:sz w:val="24"/>
                <w:highlight w:val="none"/>
                <w:u w:val="single"/>
              </w:rPr>
              <w:t xml:space="preserve">  </w:t>
            </w:r>
            <w:r>
              <w:rPr>
                <w:rFonts w:hint="eastAsia" w:ascii="仿宋" w:hAnsi="仿宋" w:eastAsia="仿宋" w:cs="仿宋"/>
                <w:color w:val="auto"/>
                <w:sz w:val="24"/>
                <w:highlight w:val="none"/>
              </w:rPr>
              <w:t>人，其中采购人代表人</w:t>
            </w:r>
            <w:r>
              <w:rPr>
                <w:rFonts w:hint="eastAsia" w:ascii="仿宋" w:hAnsi="仿宋" w:eastAsia="仿宋" w:cs="仿宋"/>
                <w:color w:val="auto"/>
                <w:sz w:val="24"/>
                <w:highlight w:val="none"/>
                <w:u w:val="single"/>
              </w:rPr>
              <w:t xml:space="preserve"> 1 人</w:t>
            </w:r>
          </w:p>
          <w:p>
            <w:pPr>
              <w:pStyle w:val="27"/>
              <w:spacing w:after="200" w:line="340" w:lineRule="exact"/>
              <w:rPr>
                <w:rFonts w:ascii="仿宋" w:hAnsi="仿宋" w:eastAsia="仿宋" w:cs="仿宋"/>
                <w:b/>
                <w:color w:val="auto"/>
                <w:sz w:val="24"/>
                <w:highlight w:val="none"/>
              </w:rPr>
            </w:pPr>
            <w:r>
              <w:rPr>
                <w:rFonts w:hint="eastAsia" w:ascii="仿宋" w:hAnsi="仿宋" w:eastAsia="仿宋" w:cs="仿宋"/>
                <w:color w:val="auto"/>
                <w:sz w:val="24"/>
                <w:highlight w:val="none"/>
              </w:rPr>
              <w:t>评委确定方式：兵团政府采购网专家库中计算机随机抽取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732" w:type="dxa"/>
            <w:vAlign w:val="center"/>
          </w:tcPr>
          <w:p>
            <w:pPr>
              <w:pStyle w:val="27"/>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28</w:t>
            </w:r>
          </w:p>
        </w:tc>
        <w:tc>
          <w:tcPr>
            <w:tcW w:w="2457" w:type="dxa"/>
            <w:gridSpan w:val="2"/>
            <w:vAlign w:val="center"/>
          </w:tcPr>
          <w:p>
            <w:pPr>
              <w:pStyle w:val="27"/>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技术部分是否采用</w:t>
            </w:r>
          </w:p>
          <w:p>
            <w:pPr>
              <w:pStyle w:val="27"/>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rPr>
              <w:t>“暗标”评审方式</w:t>
            </w:r>
          </w:p>
        </w:tc>
        <w:tc>
          <w:tcPr>
            <w:tcW w:w="6410" w:type="dxa"/>
            <w:vAlign w:val="center"/>
          </w:tcPr>
          <w:p>
            <w:pPr>
              <w:pStyle w:val="27"/>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□是 </w:t>
            </w:r>
          </w:p>
          <w:p>
            <w:pPr>
              <w:pStyle w:val="27"/>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jc w:val="center"/>
        </w:trPr>
        <w:tc>
          <w:tcPr>
            <w:tcW w:w="732" w:type="dxa"/>
            <w:vAlign w:val="center"/>
          </w:tcPr>
          <w:p>
            <w:pPr>
              <w:pStyle w:val="27"/>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29</w:t>
            </w:r>
          </w:p>
        </w:tc>
        <w:tc>
          <w:tcPr>
            <w:tcW w:w="2457" w:type="dxa"/>
            <w:gridSpan w:val="2"/>
            <w:vAlign w:val="center"/>
          </w:tcPr>
          <w:p>
            <w:pPr>
              <w:pStyle w:val="27"/>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rPr>
              <w:t>评审方法</w:t>
            </w:r>
          </w:p>
        </w:tc>
        <w:tc>
          <w:tcPr>
            <w:tcW w:w="6410" w:type="dxa"/>
            <w:vAlign w:val="center"/>
          </w:tcPr>
          <w:p>
            <w:pPr>
              <w:pStyle w:val="27"/>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☑资格后审         □资格预审</w:t>
            </w:r>
          </w:p>
          <w:p>
            <w:pPr>
              <w:pStyle w:val="27"/>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☑综合评分法      □最低评标价法</w:t>
            </w:r>
          </w:p>
          <w:p>
            <w:pPr>
              <w:pStyle w:val="27"/>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注：</w:t>
            </w:r>
          </w:p>
          <w:p>
            <w:pPr>
              <w:pStyle w:val="27"/>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最低评标价法，是指以价格为主要因素确定中标供应商的评标方法，即在全部满足竞争性磋商文件实质性要求前提下，依据统一的价格要素评定最低报价，以提出最低报价的投标人作为中标候选供应商或者中标供应商的评标方法。投标报价相同的，按技术指标优劣顺序排列，技术指标较优的一方为中标人。</w:t>
            </w:r>
          </w:p>
          <w:p>
            <w:pPr>
              <w:pStyle w:val="27"/>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综合评分法是指在最大限度地满足竞争性磋商文件实质性要求前提下，按照竞争性磋商文件中规定的评分细则评审后，以评标最终得分最高的投标人作为中标人的评标方法。每一投标人的最终得分为所有评委评分的算术平均值。得分相同的，报价较低的一方为中标人。得分且投标报价相同的，技术指标较优的一方为中标人。</w:t>
            </w:r>
          </w:p>
          <w:p>
            <w:pPr>
              <w:pStyle w:val="27"/>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使用综合评分法的采购项目，提供相同品牌产品且通过资格审查、符合性审查的不同投标人参加同一合同项下投标的（部分产品品牌相同的以核心产品为准），按一家投标人计算，评审后得分最高的同品牌投标人获得中标人推荐资格；评审得分相同的，由采购人或者采购人委托评标委员会按照竞争性磋商文件规定的方式确定一个投标人获得中标人推荐资格，竞争性磋商文件未规定的采取随机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732" w:type="dxa"/>
            <w:vAlign w:val="center"/>
          </w:tcPr>
          <w:p>
            <w:pPr>
              <w:pStyle w:val="27"/>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rPr>
              <w:t>30</w:t>
            </w:r>
          </w:p>
        </w:tc>
        <w:tc>
          <w:tcPr>
            <w:tcW w:w="2457" w:type="dxa"/>
            <w:gridSpan w:val="2"/>
            <w:vAlign w:val="center"/>
          </w:tcPr>
          <w:p>
            <w:pPr>
              <w:pStyle w:val="27"/>
              <w:spacing w:after="200" w:line="340" w:lineRule="exact"/>
              <w:jc w:val="center"/>
              <w:rPr>
                <w:rFonts w:ascii="仿宋" w:hAnsi="仿宋" w:eastAsia="仿宋" w:cs="仿宋"/>
                <w:b/>
                <w:color w:val="auto"/>
                <w:sz w:val="24"/>
                <w:highlight w:val="none"/>
              </w:rPr>
            </w:pPr>
            <w:r>
              <w:rPr>
                <w:rFonts w:hint="eastAsia" w:ascii="仿宋" w:hAnsi="仿宋" w:eastAsia="仿宋" w:cs="仿宋"/>
                <w:b/>
                <w:color w:val="auto"/>
                <w:kern w:val="0"/>
                <w:sz w:val="24"/>
                <w:highlight w:val="none"/>
              </w:rPr>
              <w:t>推荐中标候选人</w:t>
            </w:r>
          </w:p>
        </w:tc>
        <w:tc>
          <w:tcPr>
            <w:tcW w:w="6410" w:type="dxa"/>
            <w:vAlign w:val="center"/>
          </w:tcPr>
          <w:p>
            <w:pPr>
              <w:pStyle w:val="27"/>
              <w:spacing w:after="200" w:line="340" w:lineRule="exact"/>
              <w:rPr>
                <w:rFonts w:ascii="仿宋" w:hAnsi="仿宋" w:eastAsia="仿宋" w:cs="仿宋"/>
                <w:color w:val="auto"/>
                <w:sz w:val="24"/>
                <w:highlight w:val="none"/>
              </w:rPr>
            </w:pPr>
            <w:r>
              <w:rPr>
                <w:rFonts w:hint="eastAsia" w:ascii="仿宋" w:hAnsi="仿宋" w:eastAsia="仿宋" w:cs="仿宋"/>
                <w:color w:val="auto"/>
                <w:sz w:val="24"/>
                <w:highlight w:val="none"/>
              </w:rPr>
              <w:t>推荐的中标候选人数：</w:t>
            </w:r>
            <w:r>
              <w:rPr>
                <w:rFonts w:hint="eastAsia" w:ascii="仿宋" w:hAnsi="仿宋" w:eastAsia="仿宋" w:cs="仿宋"/>
                <w:b/>
                <w:bCs/>
                <w:color w:val="auto"/>
                <w:sz w:val="24"/>
                <w:highlight w:val="none"/>
              </w:rPr>
              <w:t xml:space="preserve">3 </w:t>
            </w:r>
            <w:r>
              <w:rPr>
                <w:rFonts w:hint="eastAsia" w:ascii="仿宋" w:hAnsi="仿宋" w:eastAsia="仿宋" w:cs="仿宋"/>
                <w:color w:val="auto"/>
                <w:sz w:val="24"/>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32" w:type="dxa"/>
            <w:vAlign w:val="center"/>
          </w:tcPr>
          <w:p>
            <w:pPr>
              <w:pStyle w:val="27"/>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rPr>
              <w:t>31</w:t>
            </w:r>
          </w:p>
        </w:tc>
        <w:tc>
          <w:tcPr>
            <w:tcW w:w="2457" w:type="dxa"/>
            <w:gridSpan w:val="2"/>
            <w:vAlign w:val="center"/>
          </w:tcPr>
          <w:p>
            <w:pPr>
              <w:pStyle w:val="27"/>
              <w:spacing w:line="360" w:lineRule="auto"/>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确定中标供应商的</w:t>
            </w:r>
          </w:p>
          <w:p>
            <w:pPr>
              <w:pStyle w:val="27"/>
              <w:spacing w:line="360" w:lineRule="auto"/>
              <w:jc w:val="center"/>
              <w:rPr>
                <w:rFonts w:ascii="仿宋" w:hAnsi="仿宋" w:eastAsia="仿宋" w:cs="仿宋"/>
                <w:b/>
                <w:color w:val="auto"/>
                <w:kern w:val="0"/>
                <w:sz w:val="24"/>
                <w:highlight w:val="none"/>
              </w:rPr>
            </w:pPr>
            <w:r>
              <w:rPr>
                <w:rFonts w:hint="eastAsia" w:ascii="仿宋" w:hAnsi="仿宋" w:eastAsia="仿宋" w:cs="仿宋"/>
                <w:b/>
                <w:bCs/>
                <w:color w:val="auto"/>
                <w:sz w:val="24"/>
                <w:highlight w:val="none"/>
              </w:rPr>
              <w:t>方法</w:t>
            </w:r>
          </w:p>
        </w:tc>
        <w:tc>
          <w:tcPr>
            <w:tcW w:w="6410" w:type="dxa"/>
            <w:vAlign w:val="center"/>
          </w:tcPr>
          <w:p>
            <w:pPr>
              <w:pStyle w:val="27"/>
              <w:spacing w:line="360" w:lineRule="auto"/>
              <w:rPr>
                <w:rFonts w:hint="eastAsia" w:ascii="仿宋" w:hAnsi="仿宋" w:eastAsia="仿宋" w:cs="仿宋"/>
                <w:color w:val="auto"/>
                <w:sz w:val="24"/>
                <w:highlight w:val="none"/>
                <w:lang w:eastAsia="zh-CN"/>
              </w:rPr>
            </w:pPr>
            <w:bookmarkStart w:id="86" w:name="EB6479c32eb2ce45839a2e1507d7cdac93"/>
            <w:bookmarkEnd w:id="86"/>
            <w:r>
              <w:rPr>
                <w:rFonts w:hint="eastAsia" w:ascii="仿宋" w:hAnsi="仿宋" w:eastAsia="仿宋" w:cs="仿宋"/>
                <w:color w:val="auto"/>
                <w:sz w:val="24"/>
                <w:highlight w:val="none"/>
              </w:rPr>
              <w:t>□委托本项目评审小组负责。</w:t>
            </w:r>
          </w:p>
          <w:p>
            <w:pPr>
              <w:pStyle w:val="27"/>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☑采购单位另行研究决定。</w:t>
            </w:r>
          </w:p>
          <w:p>
            <w:pPr>
              <w:pStyle w:val="27"/>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□由采购单位所派代表工作单位现场负责。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32" w:type="dxa"/>
            <w:vAlign w:val="center"/>
          </w:tcPr>
          <w:p>
            <w:pPr>
              <w:pStyle w:val="27"/>
              <w:spacing w:after="200" w:line="34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32</w:t>
            </w:r>
          </w:p>
        </w:tc>
        <w:tc>
          <w:tcPr>
            <w:tcW w:w="2457" w:type="dxa"/>
            <w:gridSpan w:val="2"/>
            <w:vAlign w:val="center"/>
          </w:tcPr>
          <w:p>
            <w:pPr>
              <w:pStyle w:val="43"/>
              <w:spacing w:line="360" w:lineRule="exact"/>
              <w:ind w:right="-109" w:rightChars="-52"/>
              <w:jc w:val="center"/>
              <w:rPr>
                <w:rFonts w:ascii="仿宋" w:hAnsi="仿宋" w:eastAsia="仿宋" w:cs="仿宋"/>
                <w:strike w:val="0"/>
                <w:dstrike w:val="0"/>
                <w:color w:val="auto"/>
                <w:sz w:val="24"/>
                <w:highlight w:val="none"/>
              </w:rPr>
            </w:pPr>
            <w:r>
              <w:rPr>
                <w:rFonts w:hint="eastAsia" w:ascii="仿宋" w:hAnsi="仿宋" w:eastAsia="仿宋" w:cs="仿宋"/>
                <w:strike w:val="0"/>
                <w:dstrike w:val="0"/>
                <w:color w:val="auto"/>
                <w:kern w:val="2"/>
                <w:sz w:val="24"/>
                <w:highlight w:val="none"/>
              </w:rPr>
              <w:t>履约担保</w:t>
            </w:r>
          </w:p>
        </w:tc>
        <w:tc>
          <w:tcPr>
            <w:tcW w:w="6410" w:type="dxa"/>
            <w:vAlign w:val="center"/>
          </w:tcPr>
          <w:p>
            <w:pPr>
              <w:pStyle w:val="27"/>
              <w:spacing w:line="360" w:lineRule="auto"/>
              <w:rPr>
                <w:rFonts w:ascii="仿宋" w:hAnsi="仿宋" w:eastAsia="仿宋" w:cs="仿宋"/>
                <w:strike w:val="0"/>
                <w:dstrike w:val="0"/>
                <w:color w:val="auto"/>
                <w:sz w:val="24"/>
                <w:highlight w:val="none"/>
              </w:rPr>
            </w:pPr>
            <w:r>
              <w:rPr>
                <w:rFonts w:hint="eastAsia" w:ascii="仿宋" w:hAnsi="仿宋" w:eastAsia="仿宋" w:cs="仿宋"/>
                <w:strike w:val="0"/>
                <w:dstrike w:val="0"/>
                <w:color w:val="auto"/>
                <w:sz w:val="24"/>
                <w:highlight w:val="none"/>
              </w:rPr>
              <w:t>是否要求中标人提交履约保证金：</w:t>
            </w:r>
          </w:p>
          <w:p>
            <w:pPr>
              <w:pStyle w:val="27"/>
              <w:spacing w:line="360" w:lineRule="auto"/>
              <w:rPr>
                <w:rFonts w:ascii="仿宋" w:hAnsi="仿宋" w:eastAsia="仿宋" w:cs="仿宋"/>
                <w:b/>
                <w:bCs/>
                <w:strike w:val="0"/>
                <w:dstrike w:val="0"/>
                <w:color w:val="auto"/>
                <w:sz w:val="24"/>
                <w:highlight w:val="none"/>
              </w:rPr>
            </w:pPr>
            <w:r>
              <w:rPr>
                <w:rFonts w:hint="eastAsia" w:ascii="仿宋" w:hAnsi="仿宋" w:eastAsia="仿宋" w:cs="仿宋"/>
                <w:b/>
                <w:bCs/>
                <w:strike w:val="0"/>
                <w:dstrike w:val="0"/>
                <w:color w:val="auto"/>
                <w:sz w:val="24"/>
                <w:highlight w:val="none"/>
                <w:lang w:eastAsia="zh-CN"/>
              </w:rPr>
              <w:t>□</w:t>
            </w:r>
            <w:r>
              <w:rPr>
                <w:rFonts w:hint="eastAsia" w:ascii="仿宋" w:hAnsi="仿宋" w:eastAsia="仿宋" w:cs="仿宋"/>
                <w:b/>
                <w:bCs/>
                <w:strike w:val="0"/>
                <w:dstrike w:val="0"/>
                <w:color w:val="auto"/>
                <w:sz w:val="24"/>
                <w:highlight w:val="none"/>
              </w:rPr>
              <w:t>要求</w:t>
            </w:r>
          </w:p>
          <w:p>
            <w:pPr>
              <w:pStyle w:val="177"/>
              <w:topLinePunct/>
              <w:spacing w:line="360" w:lineRule="exact"/>
              <w:ind w:right="-109" w:rightChars="-52"/>
              <w:rPr>
                <w:rFonts w:ascii="仿宋" w:hAnsi="仿宋" w:eastAsia="仿宋" w:cs="仿宋"/>
                <w:strike w:val="0"/>
                <w:dstrike w:val="0"/>
                <w:color w:val="auto"/>
                <w:kern w:val="2"/>
                <w:szCs w:val="24"/>
                <w:highlight w:val="none"/>
              </w:rPr>
            </w:pPr>
            <w:r>
              <w:rPr>
                <w:rFonts w:hint="eastAsia" w:ascii="仿宋" w:hAnsi="仿宋" w:eastAsia="仿宋" w:cs="仿宋"/>
                <w:b w:val="0"/>
                <w:bCs/>
                <w:strike w:val="0"/>
                <w:dstrike w:val="0"/>
                <w:color w:val="auto"/>
                <w:sz w:val="32"/>
                <w:highlight w:val="none"/>
                <w:lang w:eastAsia="zh-CN"/>
              </w:rPr>
              <w:t>☑</w:t>
            </w:r>
            <w:r>
              <w:rPr>
                <w:rFonts w:hint="eastAsia" w:ascii="仿宋" w:hAnsi="仿宋" w:eastAsia="仿宋" w:cs="仿宋"/>
                <w:b w:val="0"/>
                <w:bCs/>
                <w:strike w:val="0"/>
                <w:dstrike w:val="0"/>
                <w:color w:val="auto"/>
                <w:sz w:val="21"/>
                <w:szCs w:val="21"/>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32" w:type="dxa"/>
            <w:vAlign w:val="center"/>
          </w:tcPr>
          <w:p>
            <w:pPr>
              <w:pStyle w:val="27"/>
              <w:spacing w:after="200" w:line="34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33</w:t>
            </w:r>
          </w:p>
        </w:tc>
        <w:tc>
          <w:tcPr>
            <w:tcW w:w="2457" w:type="dxa"/>
            <w:gridSpan w:val="2"/>
            <w:vAlign w:val="center"/>
          </w:tcPr>
          <w:p>
            <w:pPr>
              <w:pStyle w:val="27"/>
              <w:spacing w:line="360" w:lineRule="auto"/>
              <w:ind w:left="1592" w:hanging="1592"/>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lang w:val="zh-TW" w:eastAsia="zh-TW"/>
              </w:rPr>
              <w:t>★</w:t>
            </w:r>
            <w:r>
              <w:rPr>
                <w:rFonts w:hint="eastAsia" w:ascii="仿宋" w:hAnsi="仿宋" w:eastAsia="仿宋" w:cs="仿宋"/>
                <w:b/>
                <w:color w:val="auto"/>
                <w:sz w:val="24"/>
                <w:highlight w:val="none"/>
              </w:rPr>
              <w:t>付款方式</w:t>
            </w:r>
          </w:p>
        </w:tc>
        <w:tc>
          <w:tcPr>
            <w:tcW w:w="6410" w:type="dxa"/>
            <w:vAlign w:val="center"/>
          </w:tcPr>
          <w:p>
            <w:pPr>
              <w:pStyle w:val="69"/>
              <w:spacing w:line="360" w:lineRule="auto"/>
              <w:ind w:right="-105" w:rightChars="-50" w:firstLine="240" w:firstLineChars="100"/>
              <w:jc w:val="left"/>
              <w:rPr>
                <w:rFonts w:hint="eastAsia" w:ascii="仿宋" w:hAnsi="仿宋" w:eastAsia="仿宋" w:cs="仿宋"/>
                <w:bCs/>
                <w:color w:val="auto"/>
                <w:sz w:val="24"/>
                <w:highlight w:val="none"/>
                <w:lang w:val="en-US" w:eastAsia="zh-CN"/>
              </w:rPr>
            </w:pPr>
            <w:r>
              <w:rPr>
                <w:rFonts w:hint="eastAsia" w:ascii="仿宋" w:hAnsi="仿宋" w:eastAsia="仿宋" w:cs="仿宋"/>
                <w:color w:val="auto"/>
                <w:sz w:val="24"/>
                <w:highlight w:val="none"/>
              </w:rPr>
              <w:t>设计费支付方式</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①合同签订后，按合同价款的20%支付定金(合同结算时，定金抵作设计费) ;②完成设计方案发包人评审通过，最终设计成果取得政府有关部门审图合格证,支付至合同价款的85%;③工程竣工验收合格,支付至合同价款的100%。</w:t>
            </w:r>
          </w:p>
          <w:p>
            <w:pPr>
              <w:snapToGrid w:val="0"/>
              <w:spacing w:line="4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eastAsia="zh-CN"/>
              </w:rPr>
              <w:t>建安费支付方式：</w:t>
            </w:r>
            <w:r>
              <w:rPr>
                <w:rFonts w:hint="eastAsia" w:ascii="仿宋" w:hAnsi="仿宋" w:eastAsia="仿宋" w:cs="仿宋"/>
                <w:color w:val="auto"/>
                <w:sz w:val="24"/>
                <w:highlight w:val="none"/>
              </w:rPr>
              <w:t>合同签订后按照工程进度支付进度款，工程竣工验收合格后，承包人提交付款申请，发包方15个工作日内完成支付合同金额的80%。承包人在工程竣工验收合格后20天内提交完整的结算资料进行审计。承包人根据审计结果开具相应发票并缴纳审定金额的3%作为保修金，发包方收到发票后15个工作日内向承包人支付剩余工程款。质量保修期内未发生质量问题的，由发包人在质量保修期满后15个工作日内将保修金无息支付给承包人。</w:t>
            </w:r>
            <w:r>
              <w:rPr>
                <w:rFonts w:hint="eastAsia" w:ascii="仿宋" w:hAnsi="仿宋" w:eastAsia="仿宋" w:cs="仿宋"/>
                <w:b/>
                <w:bCs/>
                <w:color w:val="auto"/>
                <w:sz w:val="24"/>
                <w:highlight w:val="none"/>
              </w:rPr>
              <w:t>本工程为交钥匙工程。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32" w:type="dxa"/>
            <w:vAlign w:val="center"/>
          </w:tcPr>
          <w:p>
            <w:pPr>
              <w:pStyle w:val="27"/>
              <w:spacing w:after="200" w:line="34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34</w:t>
            </w:r>
          </w:p>
        </w:tc>
        <w:tc>
          <w:tcPr>
            <w:tcW w:w="2457" w:type="dxa"/>
            <w:gridSpan w:val="2"/>
            <w:vAlign w:val="center"/>
          </w:tcPr>
          <w:p>
            <w:pPr>
              <w:pStyle w:val="27"/>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rPr>
              <w:t>场地服务费</w:t>
            </w:r>
          </w:p>
        </w:tc>
        <w:tc>
          <w:tcPr>
            <w:tcW w:w="6410" w:type="dxa"/>
            <w:vAlign w:val="center"/>
          </w:tcPr>
          <w:p>
            <w:pPr>
              <w:pStyle w:val="27"/>
              <w:autoSpaceDE w:val="0"/>
              <w:autoSpaceDN w:val="0"/>
              <w:adjustRightIn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☑不交纳 </w:t>
            </w:r>
          </w:p>
          <w:p>
            <w:pPr>
              <w:pStyle w:val="27"/>
              <w:autoSpaceDE w:val="0"/>
              <w:autoSpaceDN w:val="0"/>
              <w:adjustRightIn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32" w:type="dxa"/>
            <w:vAlign w:val="center"/>
          </w:tcPr>
          <w:p>
            <w:pPr>
              <w:pStyle w:val="27"/>
              <w:spacing w:after="200" w:line="34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35</w:t>
            </w:r>
          </w:p>
        </w:tc>
        <w:tc>
          <w:tcPr>
            <w:tcW w:w="2457" w:type="dxa"/>
            <w:gridSpan w:val="2"/>
            <w:vAlign w:val="center"/>
          </w:tcPr>
          <w:p>
            <w:pPr>
              <w:pStyle w:val="27"/>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rPr>
              <w:t>公证费</w:t>
            </w:r>
          </w:p>
        </w:tc>
        <w:tc>
          <w:tcPr>
            <w:tcW w:w="6410" w:type="dxa"/>
            <w:vAlign w:val="center"/>
          </w:tcPr>
          <w:p>
            <w:pPr>
              <w:pStyle w:val="69"/>
              <w:spacing w:line="360" w:lineRule="auto"/>
              <w:ind w:right="-105" w:rightChars="-50"/>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eastAsia="zh-CN"/>
              </w:rPr>
              <w:t>☑</w:t>
            </w:r>
            <w:r>
              <w:rPr>
                <w:rFonts w:hint="eastAsia" w:ascii="仿宋" w:hAnsi="仿宋" w:eastAsia="仿宋" w:cs="仿宋"/>
                <w:color w:val="auto"/>
                <w:sz w:val="24"/>
                <w:highlight w:val="none"/>
              </w:rPr>
              <w:t xml:space="preserve">不交纳 </w:t>
            </w:r>
          </w:p>
          <w:p>
            <w:pPr>
              <w:pStyle w:val="27"/>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交纳</w:t>
            </w:r>
          </w:p>
          <w:p>
            <w:pPr>
              <w:pStyle w:val="27"/>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金额：元</w:t>
            </w:r>
          </w:p>
          <w:p>
            <w:pPr>
              <w:pStyle w:val="27"/>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中标人于获取中标通知书前向公证处交纳。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32" w:type="dxa"/>
            <w:vAlign w:val="center"/>
          </w:tcPr>
          <w:p>
            <w:pPr>
              <w:pStyle w:val="27"/>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rPr>
              <w:t>36</w:t>
            </w:r>
          </w:p>
        </w:tc>
        <w:tc>
          <w:tcPr>
            <w:tcW w:w="2457" w:type="dxa"/>
            <w:gridSpan w:val="2"/>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代理服务费</w:t>
            </w:r>
          </w:p>
        </w:tc>
        <w:tc>
          <w:tcPr>
            <w:tcW w:w="6410" w:type="dxa"/>
            <w:vAlign w:val="center"/>
          </w:tcPr>
          <w:p>
            <w:pPr>
              <w:pStyle w:val="27"/>
              <w:autoSpaceDE w:val="0"/>
              <w:autoSpaceDN w:val="0"/>
              <w:adjustRightInd w:val="0"/>
              <w:spacing w:after="200" w:line="340" w:lineRule="exac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□不交纳。</w:t>
            </w:r>
          </w:p>
          <w:p>
            <w:pPr>
              <w:pStyle w:val="27"/>
              <w:spacing w:after="200" w:line="340" w:lineRule="exact"/>
              <w:rPr>
                <w:rFonts w:ascii="仿宋" w:hAnsi="仿宋" w:eastAsia="仿宋" w:cs="仿宋"/>
                <w:b/>
                <w:color w:val="auto"/>
                <w:sz w:val="24"/>
                <w:highlight w:val="none"/>
              </w:rPr>
            </w:pPr>
            <w:r>
              <w:rPr>
                <w:rFonts w:hint="eastAsia" w:ascii="仿宋" w:hAnsi="仿宋" w:eastAsia="仿宋" w:cs="仿宋"/>
                <w:color w:val="auto"/>
                <w:kern w:val="0"/>
                <w:sz w:val="24"/>
                <w:highlight w:val="none"/>
              </w:rPr>
              <w:t>☑交纳。</w:t>
            </w:r>
          </w:p>
          <w:p>
            <w:pPr>
              <w:pStyle w:val="27"/>
              <w:spacing w:after="200" w:line="340" w:lineRule="exact"/>
              <w:rPr>
                <w:rFonts w:ascii="仿宋" w:hAnsi="仿宋" w:eastAsia="仿宋" w:cs="仿宋"/>
                <w:color w:val="auto"/>
                <w:sz w:val="24"/>
                <w:highlight w:val="none"/>
              </w:rPr>
            </w:pPr>
            <w:r>
              <w:rPr>
                <w:rFonts w:hint="eastAsia" w:ascii="仿宋" w:hAnsi="仿宋" w:eastAsia="仿宋" w:cs="仿宋"/>
                <w:color w:val="auto"/>
                <w:kern w:val="0"/>
                <w:sz w:val="24"/>
                <w:highlight w:val="none"/>
              </w:rPr>
              <w:t>中标人须交纳中标服务费（按国家发展计划委员会文件《计价格〔2002〕1980号》的规定计算）下浮10%，领取中标通知书时支付给代理机构</w:t>
            </w: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32" w:type="dxa"/>
            <w:vAlign w:val="center"/>
          </w:tcPr>
          <w:p>
            <w:pPr>
              <w:pStyle w:val="27"/>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rPr>
              <w:t>37</w:t>
            </w:r>
          </w:p>
        </w:tc>
        <w:tc>
          <w:tcPr>
            <w:tcW w:w="2457" w:type="dxa"/>
            <w:gridSpan w:val="2"/>
            <w:vAlign w:val="center"/>
          </w:tcPr>
          <w:p>
            <w:pPr>
              <w:pStyle w:val="27"/>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rPr>
              <w:t>付款途径</w:t>
            </w:r>
          </w:p>
        </w:tc>
        <w:tc>
          <w:tcPr>
            <w:tcW w:w="6410" w:type="dxa"/>
            <w:vAlign w:val="center"/>
          </w:tcPr>
          <w:p>
            <w:pPr>
              <w:pStyle w:val="27"/>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电汇或网银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2" w:type="dxa"/>
            <w:vAlign w:val="center"/>
          </w:tcPr>
          <w:p>
            <w:pPr>
              <w:pStyle w:val="27"/>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rPr>
              <w:t>38</w:t>
            </w:r>
          </w:p>
        </w:tc>
        <w:tc>
          <w:tcPr>
            <w:tcW w:w="2457" w:type="dxa"/>
            <w:gridSpan w:val="2"/>
            <w:vAlign w:val="center"/>
          </w:tcPr>
          <w:p>
            <w:pPr>
              <w:pStyle w:val="27"/>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rPr>
              <w:t>争议的解决</w:t>
            </w:r>
          </w:p>
        </w:tc>
        <w:tc>
          <w:tcPr>
            <w:tcW w:w="6410" w:type="dxa"/>
            <w:vAlign w:val="center"/>
          </w:tcPr>
          <w:p>
            <w:pPr>
              <w:pStyle w:val="27"/>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若甲、乙双方发生纠纷，应首先友好协商解决，如不能达成一致意见，可向石河子市人民法院提起诉讼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32" w:type="dxa"/>
            <w:vAlign w:val="center"/>
          </w:tcPr>
          <w:p>
            <w:pPr>
              <w:pStyle w:val="27"/>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rPr>
              <w:t>39</w:t>
            </w:r>
          </w:p>
        </w:tc>
        <w:tc>
          <w:tcPr>
            <w:tcW w:w="2457" w:type="dxa"/>
            <w:gridSpan w:val="2"/>
            <w:vAlign w:val="center"/>
          </w:tcPr>
          <w:p>
            <w:pPr>
              <w:pStyle w:val="42"/>
              <w:spacing w:line="360" w:lineRule="exact"/>
              <w:ind w:right="-109" w:rightChars="-52"/>
              <w:jc w:val="center"/>
              <w:rPr>
                <w:rFonts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最高投标限价或其计算方法</w:t>
            </w:r>
          </w:p>
        </w:tc>
        <w:tc>
          <w:tcPr>
            <w:tcW w:w="6410" w:type="dxa"/>
            <w:vAlign w:val="center"/>
          </w:tcPr>
          <w:p>
            <w:pPr>
              <w:pStyle w:val="27"/>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□不设最高限价</w:t>
            </w:r>
          </w:p>
          <w:p>
            <w:pPr>
              <w:pStyle w:val="27"/>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设最高限价，</w:t>
            </w:r>
          </w:p>
          <w:p>
            <w:pPr>
              <w:pStyle w:val="27"/>
              <w:spacing w:line="360" w:lineRule="auto"/>
              <w:rPr>
                <w:rFonts w:hint="eastAsia" w:ascii="仿宋" w:hAnsi="仿宋" w:eastAsia="仿宋" w:cs="仿宋"/>
                <w:b/>
                <w:bCs/>
                <w:color w:val="auto"/>
                <w:sz w:val="24"/>
                <w:highlight w:val="none"/>
                <w:lang w:eastAsia="zh-CN"/>
              </w:rPr>
            </w:pPr>
            <w:r>
              <w:rPr>
                <w:rFonts w:hint="eastAsia" w:ascii="仿宋" w:hAnsi="仿宋" w:eastAsia="仿宋" w:cs="仿宋"/>
                <w:color w:val="auto"/>
                <w:sz w:val="24"/>
                <w:highlight w:val="none"/>
              </w:rPr>
              <w:t>本项目工程总承包</w:t>
            </w:r>
            <w:r>
              <w:rPr>
                <w:rFonts w:hint="eastAsia" w:ascii="仿宋" w:hAnsi="仿宋" w:eastAsia="仿宋" w:cs="仿宋"/>
                <w:b/>
                <w:bCs/>
                <w:color w:val="auto"/>
                <w:sz w:val="24"/>
                <w:highlight w:val="none"/>
              </w:rPr>
              <w:t>最高限价为：250万元</w:t>
            </w:r>
            <w:r>
              <w:rPr>
                <w:rFonts w:hint="eastAsia" w:ascii="仿宋" w:hAnsi="仿宋" w:eastAsia="仿宋" w:cs="仿宋"/>
                <w:b/>
                <w:bCs/>
                <w:color w:val="auto"/>
                <w:sz w:val="24"/>
                <w:highlight w:val="none"/>
                <w:lang w:eastAsia="zh-CN"/>
              </w:rPr>
              <w:t>。</w:t>
            </w:r>
          </w:p>
          <w:p>
            <w:pPr>
              <w:pStyle w:val="27"/>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注：1、投标人的投标报价不得超出本项目招标控制价，超出该控制价的报价为无效投标报价，按重大偏差处理。</w:t>
            </w:r>
          </w:p>
          <w:p>
            <w:pPr>
              <w:pStyle w:val="27"/>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2、必须备注设计费（含竣工图编制费）的设计费率；建筑安装工程费的下浮率。</w:t>
            </w:r>
          </w:p>
          <w:p>
            <w:pPr>
              <w:pStyle w:val="27"/>
              <w:spacing w:line="360" w:lineRule="auto"/>
              <w:rPr>
                <w:rFonts w:ascii="仿宋" w:hAnsi="仿宋" w:eastAsia="仿宋" w:cs="仿宋"/>
                <w:color w:val="auto"/>
                <w:sz w:val="24"/>
                <w:highlight w:val="none"/>
              </w:rPr>
            </w:pPr>
            <w:r>
              <w:rPr>
                <w:rFonts w:hint="eastAsia" w:ascii="仿宋" w:hAnsi="仿宋" w:eastAsia="仿宋" w:cs="仿宋"/>
                <w:b/>
                <w:bCs/>
                <w:color w:val="auto"/>
                <w:sz w:val="24"/>
                <w:highlight w:val="none"/>
              </w:rPr>
              <w:t xml:space="preserve">投标总报价=〔建筑安装工程费*（1-建安费下浮率）+建筑安装工程费*设计报价费率〕万元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jc w:val="center"/>
        </w:trPr>
        <w:tc>
          <w:tcPr>
            <w:tcW w:w="732" w:type="dxa"/>
            <w:vAlign w:val="center"/>
          </w:tcPr>
          <w:p>
            <w:pPr>
              <w:pStyle w:val="27"/>
              <w:spacing w:line="360" w:lineRule="auto"/>
              <w:jc w:val="center"/>
              <w:rPr>
                <w:rFonts w:ascii="仿宋" w:hAnsi="仿宋" w:eastAsia="仿宋" w:cs="仿宋"/>
                <w:b/>
                <w:color w:val="auto"/>
                <w:kern w:val="0"/>
                <w:sz w:val="24"/>
                <w:highlight w:val="none"/>
              </w:rPr>
            </w:pPr>
            <w:r>
              <w:rPr>
                <w:rFonts w:hint="eastAsia" w:ascii="仿宋" w:hAnsi="仿宋" w:eastAsia="仿宋" w:cs="仿宋"/>
                <w:b/>
                <w:color w:val="auto"/>
                <w:sz w:val="24"/>
                <w:highlight w:val="none"/>
              </w:rPr>
              <w:t>40</w:t>
            </w:r>
          </w:p>
        </w:tc>
        <w:tc>
          <w:tcPr>
            <w:tcW w:w="2457" w:type="dxa"/>
            <w:gridSpan w:val="2"/>
            <w:vAlign w:val="center"/>
          </w:tcPr>
          <w:p>
            <w:pPr>
              <w:pStyle w:val="27"/>
              <w:autoSpaceDE w:val="0"/>
              <w:autoSpaceDN w:val="0"/>
              <w:adjustRightInd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410" w:type="dxa"/>
            <w:vAlign w:val="center"/>
          </w:tcPr>
          <w:p>
            <w:pPr>
              <w:pStyle w:val="27"/>
              <w:autoSpaceDE w:val="0"/>
              <w:autoSpaceDN w:val="0"/>
              <w:adjustRightInd w:val="0"/>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最后报价要求：</w:t>
            </w:r>
          </w:p>
          <w:p>
            <w:pPr>
              <w:pStyle w:val="27"/>
              <w:autoSpaceDE w:val="0"/>
              <w:autoSpaceDN w:val="0"/>
              <w:adjustRightInd w:val="0"/>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1、报价轮数:两轮报价，由各供应商使用 CA 锁在政采云平台进行最终报价。最终报价需同时上传“竞争性磋商最终报价明细表”附件，未按要求填报、未上传附件的，造成无法进行投标报价得分计算的，由供应商自行承担。</w:t>
            </w:r>
          </w:p>
          <w:p>
            <w:pPr>
              <w:pStyle w:val="27"/>
              <w:autoSpaceDE w:val="0"/>
              <w:autoSpaceDN w:val="0"/>
              <w:adjustRightInd w:val="0"/>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2、报价时长：20分钟，在磋商小组发起轮次报价时，系统进入20分钟倒计时，已提交响应文件的供应商，若未按规定时间提交最后报价，视为退出磋商。（注：任何由于投标供应商自身原因如：中途离开、无法联系上等造成的超出时限无法报价的后果由各投标供应商自行承担）</w:t>
            </w:r>
          </w:p>
          <w:p>
            <w:pPr>
              <w:pStyle w:val="27"/>
              <w:autoSpaceDE w:val="0"/>
              <w:autoSpaceDN w:val="0"/>
              <w:adjustRightInd w:val="0"/>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3、由磋商小组对提交最后报价的供应商进行综合评分。</w:t>
            </w:r>
          </w:p>
          <w:p>
            <w:pPr>
              <w:pStyle w:val="27"/>
              <w:autoSpaceDE w:val="0"/>
              <w:autoSpaceDN w:val="0"/>
              <w:adjustRightInd w:val="0"/>
              <w:spacing w:line="360" w:lineRule="auto"/>
              <w:rPr>
                <w:rFonts w:ascii="仿宋" w:hAnsi="仿宋" w:eastAsia="仿宋" w:cs="仿宋"/>
                <w:b/>
                <w:bCs/>
                <w:color w:val="auto"/>
                <w:sz w:val="24"/>
                <w:highlight w:val="none"/>
              </w:rPr>
            </w:pPr>
            <w:r>
              <w:rPr>
                <w:rFonts w:hint="eastAsia" w:ascii="仿宋" w:hAnsi="仿宋" w:eastAsia="仿宋" w:cs="仿宋"/>
                <w:b/>
                <w:bCs/>
                <w:color w:val="auto"/>
                <w:sz w:val="24"/>
                <w:highlight w:val="none"/>
              </w:rPr>
              <w:t>4、投标时建安工程费报价与建筑安装工程费下浮率计算不一致时以下浮率为准，设计费报价与设计费费率计算不一致时以设计费费率为准 。</w:t>
            </w:r>
          </w:p>
          <w:p>
            <w:pPr>
              <w:pStyle w:val="27"/>
              <w:autoSpaceDE w:val="0"/>
              <w:autoSpaceDN w:val="0"/>
              <w:adjustRightInd w:val="0"/>
              <w:spacing w:line="360"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5、开标一览表总价为：建筑安装工程费*（1-建安费下浮率）+建筑安装工程费*设计报价费率。</w:t>
            </w:r>
          </w:p>
          <w:p>
            <w:pPr>
              <w:pStyle w:val="27"/>
              <w:autoSpaceDE w:val="0"/>
              <w:autoSpaceDN w:val="0"/>
              <w:adjustRightInd w:val="0"/>
              <w:spacing w:line="360" w:lineRule="auto"/>
              <w:rPr>
                <w:rFonts w:hint="eastAsia" w:ascii="仿宋" w:hAnsi="仿宋" w:eastAsia="仿宋" w:cs="仿宋"/>
                <w:b/>
                <w:bCs/>
                <w:color w:val="auto"/>
                <w:sz w:val="24"/>
                <w:highlight w:val="none"/>
                <w:lang w:val="zh-CN"/>
              </w:rPr>
            </w:pPr>
            <w:r>
              <w:rPr>
                <w:rFonts w:hint="eastAsia" w:ascii="仿宋" w:hAnsi="仿宋" w:eastAsia="仿宋" w:cs="仿宋"/>
                <w:b/>
                <w:bCs/>
                <w:color w:val="auto"/>
                <w:sz w:val="24"/>
                <w:highlight w:val="none"/>
              </w:rPr>
              <w:t>6、建筑安装工程费下浮率及设计费费率，必需在“竞争性磋商最终报价明细表”写明，未按要求填写造成的后果由投标单位承担。（设计费率及建安费下浮率由联合体单位在投标文件明确）</w:t>
            </w:r>
          </w:p>
          <w:p>
            <w:pPr>
              <w:pStyle w:val="27"/>
              <w:autoSpaceDE w:val="0"/>
              <w:autoSpaceDN w:val="0"/>
              <w:adjustRightInd w:val="0"/>
              <w:spacing w:line="360" w:lineRule="auto"/>
              <w:rPr>
                <w:rFonts w:ascii="仿宋" w:hAnsi="仿宋" w:eastAsia="仿宋" w:cs="仿宋"/>
                <w:color w:val="auto"/>
                <w:sz w:val="24"/>
                <w:highlight w:val="none"/>
                <w:lang w:val="zh-CN"/>
              </w:rPr>
            </w:pPr>
            <w:r>
              <w:rPr>
                <w:rFonts w:hint="eastAsia" w:ascii="仿宋" w:hAnsi="仿宋" w:eastAsia="仿宋" w:cs="仿宋"/>
                <w:color w:val="auto"/>
                <w:sz w:val="24"/>
                <w:highlight w:val="none"/>
              </w:rPr>
              <w:t>7</w:t>
            </w:r>
            <w:r>
              <w:rPr>
                <w:rFonts w:hint="eastAsia" w:ascii="仿宋" w:hAnsi="仿宋" w:eastAsia="仿宋" w:cs="仿宋"/>
                <w:color w:val="auto"/>
                <w:sz w:val="24"/>
                <w:highlight w:val="none"/>
                <w:lang w:val="zh-CN"/>
              </w:rPr>
              <w:t>、本项目不接受任何可调整的报价及备选方案。</w:t>
            </w:r>
          </w:p>
          <w:p>
            <w:pPr>
              <w:pStyle w:val="27"/>
              <w:autoSpaceDE w:val="0"/>
              <w:autoSpaceDN w:val="0"/>
              <w:adjustRightIn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、投标报价具有唯一性，未超过采购项目预算，本项目不接受选择性报价。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41</w:t>
            </w:r>
          </w:p>
        </w:tc>
        <w:tc>
          <w:tcPr>
            <w:tcW w:w="2457" w:type="dxa"/>
            <w:gridSpan w:val="2"/>
            <w:vAlign w:val="center"/>
          </w:tcPr>
          <w:p>
            <w:pPr>
              <w:pStyle w:val="27"/>
              <w:autoSpaceDE w:val="0"/>
              <w:autoSpaceDN w:val="0"/>
              <w:adjustRightIn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招标人补充的其他</w:t>
            </w:r>
          </w:p>
          <w:p>
            <w:pPr>
              <w:pStyle w:val="27"/>
              <w:autoSpaceDE w:val="0"/>
              <w:autoSpaceDN w:val="0"/>
              <w:adjustRightIn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内容</w:t>
            </w:r>
          </w:p>
        </w:tc>
        <w:tc>
          <w:tcPr>
            <w:tcW w:w="6410" w:type="dxa"/>
            <w:vAlign w:val="center"/>
          </w:tcPr>
          <w:p>
            <w:pPr>
              <w:pStyle w:val="27"/>
              <w:autoSpaceDE w:val="0"/>
              <w:autoSpaceDN w:val="0"/>
              <w:adjustRightIn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本项目采用不见面开标，投标人的法定代表人或其委托代理人无需到达开标现场，仅需在任意地点通过政采云平台（https://www.zcygov.cn/），使用CA密钥完成远程解密、提疑澄清、开标唱标、结果公布等交互环节。</w:t>
            </w:r>
          </w:p>
          <w:p>
            <w:pPr>
              <w:pStyle w:val="27"/>
              <w:autoSpaceDE w:val="0"/>
              <w:autoSpaceDN w:val="0"/>
              <w:adjustRightIn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法定代表人或法定代表人授权委托人参与远程交互，中途不得更换，在废标、澄清、提疑、传送文件等特殊情况下需要交互时，投标人一端参与交互的人员将均被视为是投标人的授权委托人或法人代表，投标人不得以不承认交互人员的资格或身份等为借口推脱，投标人自行承担随意更换人员所导致的一切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42</w:t>
            </w:r>
          </w:p>
        </w:tc>
        <w:tc>
          <w:tcPr>
            <w:tcW w:w="2457" w:type="dxa"/>
            <w:gridSpan w:val="2"/>
            <w:vAlign w:val="center"/>
          </w:tcPr>
          <w:p>
            <w:pPr>
              <w:pStyle w:val="21"/>
              <w:adjustRightInd w:val="0"/>
              <w:snapToGrid w:val="0"/>
              <w:spacing w:beforeLines="50" w:line="360" w:lineRule="auto"/>
              <w:jc w:val="center"/>
              <w:rPr>
                <w:rFonts w:ascii="仿宋" w:hAnsi="仿宋" w:eastAsia="仿宋" w:cs="仿宋"/>
                <w:b/>
                <w:color w:val="auto"/>
                <w:kern w:val="0"/>
                <w:sz w:val="24"/>
                <w:highlight w:val="none"/>
              </w:rPr>
            </w:pPr>
            <w:r>
              <w:rPr>
                <w:rFonts w:hint="eastAsia" w:ascii="仿宋" w:hAnsi="仿宋" w:eastAsia="仿宋" w:cs="仿宋"/>
                <w:bCs/>
                <w:color w:val="auto"/>
                <w:sz w:val="24"/>
                <w:highlight w:val="none"/>
              </w:rPr>
              <w:t>信息公告媒体</w:t>
            </w:r>
          </w:p>
        </w:tc>
        <w:tc>
          <w:tcPr>
            <w:tcW w:w="6410" w:type="dxa"/>
            <w:vAlign w:val="center"/>
          </w:tcPr>
          <w:p>
            <w:pPr>
              <w:pStyle w:val="21"/>
              <w:adjustRightInd w:val="0"/>
              <w:snapToGrid w:val="0"/>
              <w:spacing w:beforeLines="50"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兵团政府采购网、石河子大学网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43</w:t>
            </w:r>
          </w:p>
        </w:tc>
        <w:tc>
          <w:tcPr>
            <w:tcW w:w="2457" w:type="dxa"/>
            <w:gridSpan w:val="2"/>
            <w:vAlign w:val="center"/>
          </w:tcPr>
          <w:p>
            <w:pPr>
              <w:pStyle w:val="21"/>
              <w:adjustRightInd w:val="0"/>
              <w:snapToGrid w:val="0"/>
              <w:spacing w:beforeLines="50" w:line="360" w:lineRule="auto"/>
              <w:jc w:val="center"/>
              <w:rPr>
                <w:rFonts w:ascii="仿宋" w:hAnsi="仿宋" w:eastAsia="仿宋" w:cs="仿宋"/>
                <w:b/>
                <w:color w:val="auto"/>
                <w:kern w:val="0"/>
                <w:sz w:val="24"/>
                <w:highlight w:val="none"/>
              </w:rPr>
            </w:pPr>
            <w:r>
              <w:rPr>
                <w:rFonts w:hint="eastAsia" w:ascii="仿宋" w:hAnsi="仿宋" w:eastAsia="仿宋" w:cs="仿宋"/>
                <w:bCs/>
                <w:color w:val="auto"/>
                <w:sz w:val="24"/>
                <w:highlight w:val="none"/>
              </w:rPr>
              <w:t>无效标条款</w:t>
            </w:r>
          </w:p>
        </w:tc>
        <w:tc>
          <w:tcPr>
            <w:tcW w:w="6410" w:type="dxa"/>
            <w:vAlign w:val="center"/>
          </w:tcPr>
          <w:p>
            <w:pPr>
              <w:pStyle w:val="21"/>
              <w:adjustRightInd w:val="0"/>
              <w:snapToGrid w:val="0"/>
              <w:spacing w:beforeLines="50"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有下列情况之一的，其投标视为响应无效：</w:t>
            </w:r>
          </w:p>
          <w:p>
            <w:pPr>
              <w:pStyle w:val="27"/>
              <w:spacing w:line="360" w:lineRule="auto"/>
              <w:ind w:right="-10"/>
              <w:rPr>
                <w:rFonts w:ascii="仿宋" w:hAnsi="仿宋" w:eastAsia="仿宋" w:cs="仿宋"/>
                <w:bCs/>
                <w:color w:val="auto"/>
                <w:sz w:val="24"/>
                <w:highlight w:val="none"/>
              </w:rPr>
            </w:pPr>
            <w:r>
              <w:rPr>
                <w:rFonts w:hint="eastAsia" w:ascii="仿宋" w:hAnsi="仿宋" w:eastAsia="仿宋" w:cs="仿宋"/>
                <w:bCs/>
                <w:color w:val="auto"/>
                <w:sz w:val="24"/>
                <w:highlight w:val="none"/>
              </w:rPr>
              <w:t>1.投标人不具备《中华人民共和国政府采购法》第二十二条规定条件；</w:t>
            </w:r>
          </w:p>
          <w:p>
            <w:pPr>
              <w:pStyle w:val="27"/>
              <w:spacing w:line="360" w:lineRule="auto"/>
              <w:ind w:right="-10"/>
              <w:rPr>
                <w:rFonts w:ascii="仿宋" w:hAnsi="仿宋" w:eastAsia="仿宋" w:cs="仿宋"/>
                <w:bCs/>
                <w:color w:val="auto"/>
                <w:sz w:val="24"/>
                <w:highlight w:val="none"/>
              </w:rPr>
            </w:pPr>
            <w:r>
              <w:rPr>
                <w:rFonts w:hint="eastAsia" w:ascii="仿宋" w:hAnsi="仿宋" w:eastAsia="仿宋" w:cs="仿宋"/>
                <w:bCs/>
                <w:color w:val="auto"/>
                <w:sz w:val="24"/>
                <w:highlight w:val="none"/>
              </w:rPr>
              <w:t>2.响应文件没有按采购文件的要求盖章或签名；</w:t>
            </w:r>
          </w:p>
          <w:p>
            <w:pPr>
              <w:pStyle w:val="27"/>
              <w:spacing w:line="360" w:lineRule="auto"/>
              <w:ind w:right="-10"/>
              <w:rPr>
                <w:rFonts w:ascii="仿宋" w:hAnsi="仿宋" w:eastAsia="仿宋" w:cs="仿宋"/>
                <w:bCs/>
                <w:color w:val="auto"/>
                <w:sz w:val="24"/>
                <w:highlight w:val="none"/>
              </w:rPr>
            </w:pPr>
            <w:r>
              <w:rPr>
                <w:rFonts w:hint="eastAsia" w:ascii="仿宋" w:hAnsi="仿宋" w:eastAsia="仿宋" w:cs="仿宋"/>
                <w:bCs/>
                <w:color w:val="auto"/>
                <w:sz w:val="24"/>
                <w:highlight w:val="none"/>
              </w:rPr>
              <w:t>3.投标人不符合资格条件；</w:t>
            </w:r>
          </w:p>
          <w:p>
            <w:pPr>
              <w:pStyle w:val="27"/>
              <w:spacing w:line="360" w:lineRule="auto"/>
              <w:ind w:right="-10"/>
              <w:rPr>
                <w:rFonts w:ascii="仿宋" w:hAnsi="仿宋" w:eastAsia="仿宋" w:cs="仿宋"/>
                <w:bCs/>
                <w:color w:val="auto"/>
                <w:sz w:val="24"/>
                <w:highlight w:val="none"/>
              </w:rPr>
            </w:pPr>
            <w:r>
              <w:rPr>
                <w:rFonts w:hint="eastAsia" w:ascii="仿宋" w:hAnsi="仿宋" w:eastAsia="仿宋" w:cs="仿宋"/>
                <w:bCs/>
                <w:color w:val="auto"/>
                <w:sz w:val="24"/>
                <w:highlight w:val="none"/>
              </w:rPr>
              <w:t>4.响应文件提供虚假材料；</w:t>
            </w:r>
          </w:p>
          <w:p>
            <w:pPr>
              <w:pStyle w:val="27"/>
              <w:spacing w:line="360" w:lineRule="auto"/>
              <w:ind w:right="-10"/>
              <w:rPr>
                <w:rFonts w:ascii="仿宋" w:hAnsi="仿宋" w:eastAsia="仿宋" w:cs="仿宋"/>
                <w:bCs/>
                <w:color w:val="auto"/>
                <w:sz w:val="24"/>
                <w:highlight w:val="none"/>
              </w:rPr>
            </w:pPr>
            <w:r>
              <w:rPr>
                <w:rFonts w:hint="eastAsia" w:ascii="仿宋" w:hAnsi="仿宋" w:eastAsia="仿宋" w:cs="仿宋"/>
                <w:bCs/>
                <w:color w:val="auto"/>
                <w:sz w:val="24"/>
                <w:highlight w:val="none"/>
              </w:rPr>
              <w:t>5.响应文件未完全满足采购文件中带“★”号的实质性条款或指标；</w:t>
            </w:r>
          </w:p>
          <w:p>
            <w:pPr>
              <w:pStyle w:val="27"/>
              <w:spacing w:line="360" w:lineRule="auto"/>
              <w:ind w:right="-10"/>
              <w:rPr>
                <w:rFonts w:ascii="仿宋" w:hAnsi="仿宋" w:eastAsia="仿宋" w:cs="仿宋"/>
                <w:bCs/>
                <w:color w:val="auto"/>
                <w:sz w:val="24"/>
                <w:highlight w:val="none"/>
              </w:rPr>
            </w:pPr>
            <w:r>
              <w:rPr>
                <w:rFonts w:hint="eastAsia" w:ascii="仿宋" w:hAnsi="仿宋" w:eastAsia="仿宋" w:cs="仿宋"/>
                <w:bCs/>
                <w:color w:val="auto"/>
                <w:sz w:val="24"/>
                <w:highlight w:val="none"/>
              </w:rPr>
              <w:t>6.投标人报价不确定或超过采购文件中列出的采购预算(最高限价)；</w:t>
            </w:r>
          </w:p>
          <w:p>
            <w:pPr>
              <w:pStyle w:val="27"/>
              <w:spacing w:line="360" w:lineRule="auto"/>
              <w:ind w:right="-10"/>
              <w:rPr>
                <w:rFonts w:ascii="仿宋" w:hAnsi="仿宋" w:eastAsia="仿宋" w:cs="仿宋"/>
                <w:bCs/>
                <w:color w:val="auto"/>
                <w:sz w:val="24"/>
                <w:highlight w:val="none"/>
              </w:rPr>
            </w:pPr>
            <w:r>
              <w:rPr>
                <w:rFonts w:hint="eastAsia" w:ascii="仿宋" w:hAnsi="仿宋" w:eastAsia="仿宋" w:cs="仿宋"/>
                <w:bCs/>
                <w:color w:val="auto"/>
                <w:sz w:val="24"/>
                <w:highlight w:val="none"/>
              </w:rPr>
              <w:t>7.联合体的投标人未提交各方共同签署的协议；</w:t>
            </w:r>
          </w:p>
          <w:p>
            <w:pPr>
              <w:pStyle w:val="27"/>
              <w:spacing w:line="360" w:lineRule="auto"/>
              <w:ind w:right="-10"/>
              <w:rPr>
                <w:rFonts w:ascii="仿宋" w:hAnsi="仿宋" w:eastAsia="仿宋" w:cs="仿宋"/>
                <w:bCs/>
                <w:color w:val="auto"/>
                <w:sz w:val="24"/>
                <w:highlight w:val="none"/>
              </w:rPr>
            </w:pPr>
            <w:r>
              <w:rPr>
                <w:rFonts w:hint="eastAsia" w:ascii="仿宋" w:hAnsi="仿宋" w:eastAsia="仿宋" w:cs="仿宋"/>
                <w:bCs/>
                <w:color w:val="auto"/>
                <w:sz w:val="24"/>
                <w:highlight w:val="none"/>
              </w:rPr>
              <w:t>8.投标人未按采购文件要求交纳投标保证金；</w:t>
            </w:r>
          </w:p>
          <w:p>
            <w:pPr>
              <w:pStyle w:val="53"/>
              <w:spacing w:line="360" w:lineRule="auto"/>
              <w:rPr>
                <w:rFonts w:ascii="仿宋" w:hAnsi="仿宋" w:eastAsia="仿宋" w:cs="仿宋"/>
                <w:b/>
                <w:color w:val="auto"/>
                <w:sz w:val="24"/>
                <w:highlight w:val="none"/>
              </w:rPr>
            </w:pPr>
            <w:r>
              <w:rPr>
                <w:rFonts w:hint="eastAsia" w:ascii="仿宋" w:hAnsi="仿宋" w:eastAsia="仿宋" w:cs="仿宋"/>
                <w:color w:val="auto"/>
                <w:sz w:val="24"/>
                <w:highlight w:val="none"/>
              </w:rPr>
              <w:t>9.投标人提供可调整的投标方案和报价</w:t>
            </w:r>
            <w:r>
              <w:rPr>
                <w:rFonts w:hint="eastAsia" w:ascii="仿宋" w:hAnsi="仿宋" w:eastAsia="仿宋" w:cs="仿宋"/>
                <w:bCs/>
                <w:color w:val="auto"/>
                <w:sz w:val="24"/>
                <w:highlight w:val="none"/>
              </w:rPr>
              <w:t>；</w:t>
            </w:r>
          </w:p>
          <w:p>
            <w:pPr>
              <w:pStyle w:val="53"/>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10.投标人投标文件填报的内容不详，或没有提供竞争性磋商文件中所要求的全部资料及数据的</w:t>
            </w:r>
            <w:r>
              <w:rPr>
                <w:rFonts w:hint="eastAsia" w:ascii="仿宋" w:hAnsi="仿宋" w:eastAsia="仿宋" w:cs="仿宋"/>
                <w:bCs/>
                <w:color w:val="auto"/>
                <w:sz w:val="24"/>
                <w:highlight w:val="none"/>
              </w:rPr>
              <w:t>；</w:t>
            </w:r>
          </w:p>
          <w:p>
            <w:pPr>
              <w:pStyle w:val="53"/>
              <w:spacing w:line="360" w:lineRule="auto"/>
              <w:rPr>
                <w:rFonts w:ascii="仿宋" w:hAnsi="仿宋" w:eastAsia="仿宋" w:cs="仿宋"/>
                <w:b/>
                <w:color w:val="auto"/>
                <w:sz w:val="24"/>
                <w:highlight w:val="none"/>
              </w:rPr>
            </w:pPr>
            <w:r>
              <w:rPr>
                <w:rFonts w:hint="eastAsia" w:ascii="仿宋" w:hAnsi="仿宋" w:eastAsia="仿宋" w:cs="仿宋"/>
                <w:color w:val="auto"/>
                <w:sz w:val="24"/>
                <w:highlight w:val="none"/>
              </w:rPr>
              <w:t>11.投标文件须严格按照竞争性磋商文件第六部分规定的格式提交，并按规定的统一格式逐项填写，不准有空项；无相应内容可填的项，应填写“无”、“未测试”、“没有相应指标”等明确的回答文字。由于编排混乱导致投标文件被误读或查找不到，其责任由投标人承担。投标文件未按规定提交或留有空项，将被视为不完整响应的投标文件，其投标有可能被拒绝</w:t>
            </w:r>
            <w:r>
              <w:rPr>
                <w:rFonts w:hint="eastAsia" w:ascii="仿宋" w:hAnsi="仿宋" w:eastAsia="仿宋" w:cs="仿宋"/>
                <w:bCs/>
                <w:color w:val="auto"/>
                <w:sz w:val="24"/>
                <w:highlight w:val="none"/>
              </w:rPr>
              <w:t>；</w:t>
            </w:r>
          </w:p>
          <w:p>
            <w:pPr>
              <w:pStyle w:val="27"/>
              <w:spacing w:line="360" w:lineRule="auto"/>
              <w:ind w:right="-10"/>
              <w:rPr>
                <w:rFonts w:ascii="仿宋" w:hAnsi="仿宋" w:eastAsia="仿宋" w:cs="仿宋"/>
                <w:bCs/>
                <w:color w:val="auto"/>
                <w:sz w:val="24"/>
                <w:highlight w:val="none"/>
              </w:rPr>
            </w:pPr>
            <w:r>
              <w:rPr>
                <w:rFonts w:hint="eastAsia" w:ascii="仿宋" w:hAnsi="仿宋" w:eastAsia="仿宋" w:cs="仿宋"/>
                <w:bCs/>
                <w:color w:val="auto"/>
                <w:sz w:val="24"/>
                <w:highlight w:val="none"/>
              </w:rPr>
              <w:t>12.评审期间，投标人没有按评标委员会的要求提交经授权代表签字的澄清、说明、补正或改变了采购响应文件的实质性内容；</w:t>
            </w:r>
          </w:p>
          <w:p>
            <w:pPr>
              <w:pStyle w:val="27"/>
              <w:spacing w:line="360" w:lineRule="auto"/>
              <w:ind w:right="-10"/>
              <w:rPr>
                <w:rFonts w:ascii="仿宋" w:hAnsi="仿宋" w:eastAsia="仿宋" w:cs="仿宋"/>
                <w:bCs/>
                <w:color w:val="auto"/>
                <w:sz w:val="24"/>
                <w:highlight w:val="none"/>
              </w:rPr>
            </w:pPr>
            <w:r>
              <w:rPr>
                <w:rFonts w:hint="eastAsia" w:ascii="仿宋" w:hAnsi="仿宋" w:eastAsia="仿宋" w:cs="仿宋"/>
                <w:bCs/>
                <w:color w:val="auto"/>
                <w:sz w:val="24"/>
                <w:highlight w:val="none"/>
              </w:rPr>
              <w:t>13.投标人对采购人、采购代理机构、评标委员会及其工作人员施加影响，有碍公平、公正；</w:t>
            </w:r>
          </w:p>
          <w:p>
            <w:pPr>
              <w:pStyle w:val="27"/>
              <w:spacing w:line="360" w:lineRule="auto"/>
              <w:ind w:right="-10"/>
              <w:rPr>
                <w:rFonts w:ascii="仿宋" w:hAnsi="仿宋" w:eastAsia="仿宋" w:cs="仿宋"/>
                <w:bCs/>
                <w:color w:val="auto"/>
                <w:sz w:val="24"/>
                <w:highlight w:val="none"/>
              </w:rPr>
            </w:pPr>
            <w:r>
              <w:rPr>
                <w:rFonts w:hint="eastAsia" w:ascii="仿宋" w:hAnsi="仿宋" w:eastAsia="仿宋" w:cs="仿宋"/>
                <w:bCs/>
                <w:color w:val="auto"/>
                <w:sz w:val="24"/>
                <w:highlight w:val="none"/>
              </w:rPr>
              <w:t>14.经评审委员会认定投标文件技术参数及要求复制、粘贴采购文件的；</w:t>
            </w:r>
          </w:p>
          <w:p>
            <w:pPr>
              <w:pStyle w:val="21"/>
              <w:adjustRightInd w:val="0"/>
              <w:snapToGrid w:val="0"/>
              <w:spacing w:beforeLines="50" w:line="360" w:lineRule="auto"/>
              <w:rPr>
                <w:rFonts w:ascii="仿宋" w:hAnsi="仿宋" w:eastAsia="仿宋" w:cs="仿宋"/>
                <w:color w:val="auto"/>
                <w:sz w:val="24"/>
                <w:highlight w:val="none"/>
              </w:rPr>
            </w:pPr>
            <w:r>
              <w:rPr>
                <w:rFonts w:hint="eastAsia" w:ascii="仿宋" w:hAnsi="仿宋" w:eastAsia="仿宋" w:cs="仿宋"/>
                <w:bCs/>
                <w:color w:val="auto"/>
                <w:sz w:val="24"/>
                <w:szCs w:val="22"/>
                <w:highlight w:val="none"/>
              </w:rPr>
              <w:t>15.法律、法规、规章及竞争性磋商文件中规定属于响应无效的其他情形。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44</w:t>
            </w:r>
          </w:p>
        </w:tc>
        <w:tc>
          <w:tcPr>
            <w:tcW w:w="2457" w:type="dxa"/>
            <w:gridSpan w:val="2"/>
            <w:vAlign w:val="center"/>
          </w:tcPr>
          <w:p>
            <w:pPr>
              <w:pStyle w:val="27"/>
              <w:autoSpaceDE w:val="0"/>
              <w:autoSpaceDN w:val="0"/>
              <w:adjustRightInd w:val="0"/>
              <w:spacing w:after="200" w:line="340" w:lineRule="exact"/>
              <w:jc w:val="center"/>
              <w:rPr>
                <w:rFonts w:ascii="仿宋" w:hAnsi="仿宋" w:eastAsia="仿宋" w:cs="仿宋"/>
                <w:color w:val="auto"/>
                <w:kern w:val="0"/>
                <w:sz w:val="24"/>
                <w:highlight w:val="none"/>
              </w:rPr>
            </w:pPr>
            <w:r>
              <w:rPr>
                <w:rFonts w:hint="eastAsia" w:ascii="仿宋" w:hAnsi="仿宋" w:eastAsia="仿宋" w:cs="仿宋"/>
                <w:b/>
                <w:bCs/>
                <w:color w:val="auto"/>
                <w:kern w:val="0"/>
                <w:sz w:val="24"/>
                <w:highlight w:val="none"/>
              </w:rPr>
              <w:t>质疑的提出</w:t>
            </w:r>
          </w:p>
        </w:tc>
        <w:tc>
          <w:tcPr>
            <w:tcW w:w="6410" w:type="dxa"/>
            <w:vAlign w:val="center"/>
          </w:tcPr>
          <w:p>
            <w:pPr>
              <w:pStyle w:val="27"/>
              <w:autoSpaceDE w:val="0"/>
              <w:autoSpaceDN w:val="0"/>
              <w:adjustRightInd w:val="0"/>
              <w:spacing w:after="200" w:line="340" w:lineRule="exact"/>
              <w:rPr>
                <w:rFonts w:ascii="仿宋" w:hAnsi="仿宋" w:eastAsia="仿宋" w:cs="仿宋"/>
                <w:color w:val="auto"/>
                <w:sz w:val="24"/>
                <w:highlight w:val="none"/>
                <w:u w:val="single"/>
              </w:rPr>
            </w:pPr>
            <w:r>
              <w:rPr>
                <w:rFonts w:hint="eastAsia" w:ascii="仿宋" w:hAnsi="仿宋" w:eastAsia="仿宋" w:cs="仿宋"/>
                <w:b/>
                <w:bCs/>
                <w:color w:val="auto"/>
                <w:sz w:val="24"/>
                <w:highlight w:val="none"/>
              </w:rPr>
              <w:t>供应商应在法定质疑期内一次性提出针对同一采购程序环节的质疑。逾期未提出的视同理解和接受。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32" w:type="dxa"/>
            <w:vAlign w:val="center"/>
          </w:tcPr>
          <w:p>
            <w:pPr>
              <w:pStyle w:val="27"/>
              <w:spacing w:after="200" w:line="340" w:lineRule="exact"/>
              <w:jc w:val="center"/>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45</w:t>
            </w:r>
          </w:p>
        </w:tc>
        <w:tc>
          <w:tcPr>
            <w:tcW w:w="2457" w:type="dxa"/>
            <w:gridSpan w:val="2"/>
            <w:vAlign w:val="center"/>
          </w:tcPr>
          <w:p>
            <w:pPr>
              <w:pStyle w:val="159"/>
              <w:spacing w:line="340" w:lineRule="exact"/>
              <w:ind w:left="1259" w:leftChars="370" w:hanging="482" w:hangingChars="200"/>
              <w:contextualSpacing/>
              <w:rPr>
                <w:rFonts w:ascii="仿宋" w:hAnsi="仿宋" w:eastAsia="仿宋" w:cs="仿宋"/>
                <w:color w:val="auto"/>
                <w:sz w:val="24"/>
                <w:highlight w:val="none"/>
              </w:rPr>
            </w:pPr>
            <w:r>
              <w:rPr>
                <w:rFonts w:hint="eastAsia" w:ascii="仿宋" w:hAnsi="仿宋" w:eastAsia="仿宋" w:cs="仿宋"/>
                <w:b/>
                <w:bCs/>
                <w:color w:val="auto"/>
                <w:kern w:val="2"/>
                <w:sz w:val="24"/>
                <w:szCs w:val="24"/>
                <w:highlight w:val="none"/>
              </w:rPr>
              <w:t>注意事项</w:t>
            </w:r>
          </w:p>
        </w:tc>
        <w:tc>
          <w:tcPr>
            <w:tcW w:w="6410" w:type="dxa"/>
            <w:vAlign w:val="center"/>
          </w:tcPr>
          <w:p>
            <w:pPr>
              <w:pStyle w:val="159"/>
              <w:adjustRightInd w:val="0"/>
              <w:snapToGrid w:val="0"/>
              <w:spacing w:line="340" w:lineRule="exact"/>
              <w:ind w:firstLine="0" w:firstLineChars="0"/>
              <w:contextualSpacing/>
              <w:rPr>
                <w:rFonts w:hint="default" w:ascii="仿宋" w:hAnsi="仿宋" w:eastAsia="仿宋" w:cs="仿宋"/>
                <w:color w:val="auto"/>
                <w:kern w:val="2"/>
                <w:sz w:val="24"/>
                <w:szCs w:val="24"/>
                <w:highlight w:val="none"/>
                <w:lang w:val="en-US"/>
              </w:rPr>
            </w:pPr>
            <w:r>
              <w:rPr>
                <w:rFonts w:hint="eastAsia" w:ascii="仿宋" w:hAnsi="仿宋" w:eastAsia="仿宋" w:cs="仿宋"/>
                <w:color w:val="auto"/>
                <w:kern w:val="2"/>
                <w:sz w:val="24"/>
                <w:szCs w:val="24"/>
                <w:highlight w:val="none"/>
              </w:rPr>
              <w:t>1、第六部分投标文件格式文件要求盖单位章和（或）签字的地方，供应商均应使用CA数字证书加盖供应商的单位电子印章和（或）法定代表人的个人电子印章或电子签名章</w:t>
            </w:r>
            <w:r>
              <w:rPr>
                <w:rFonts w:hint="eastAsia" w:ascii="仿宋" w:hAnsi="仿宋" w:eastAsia="仿宋" w:cs="仿宋"/>
                <w:color w:val="auto"/>
                <w:kern w:val="2"/>
                <w:sz w:val="24"/>
                <w:szCs w:val="24"/>
                <w:highlight w:val="none"/>
                <w:lang w:eastAsia="zh-CN"/>
              </w:rPr>
              <w:t>，</w:t>
            </w:r>
            <w:r>
              <w:rPr>
                <w:rFonts w:hint="eastAsia" w:ascii="仿宋" w:hAnsi="仿宋" w:eastAsia="仿宋" w:cs="仿宋"/>
                <w:color w:val="auto"/>
                <w:kern w:val="2"/>
                <w:sz w:val="24"/>
                <w:szCs w:val="24"/>
                <w:highlight w:val="none"/>
                <w:lang w:val="en-US" w:eastAsia="zh-CN"/>
              </w:rPr>
              <w:t>授权委托代理人可使用签名或盖章，联合体成员单位公章可使用电子签章或盖章，法定代表人处可使用签字或盖章。</w:t>
            </w:r>
          </w:p>
          <w:p>
            <w:pPr>
              <w:pStyle w:val="159"/>
              <w:adjustRightInd w:val="0"/>
              <w:snapToGrid w:val="0"/>
              <w:spacing w:line="340" w:lineRule="exact"/>
              <w:ind w:firstLine="0" w:firstLineChars="0"/>
              <w:contextualSpacing/>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2、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的同时不得耽误本项目供货。</w:t>
            </w:r>
          </w:p>
          <w:p>
            <w:pPr>
              <w:pStyle w:val="159"/>
              <w:adjustRightInd w:val="0"/>
              <w:snapToGrid w:val="0"/>
              <w:spacing w:line="340" w:lineRule="exact"/>
              <w:ind w:firstLine="0" w:firstLineChars="0"/>
              <w:contextualSpacing/>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投标文件中有弄虚作假的内容，其投标文件视为无效。（如假证书、假业绩、隐瞒不良行为记录、夸大荣誉、使用非本单位在职员工的相关证件及不符合竞争性磋商文件规定的条款等）；在签订合同之前，采购人如发现投标人的投标文件有弄虚作假内容，采购人可拒绝与其签订合同。并将其列入政府采购黑名单库。</w:t>
            </w:r>
          </w:p>
          <w:p>
            <w:pPr>
              <w:pStyle w:val="159"/>
              <w:adjustRightInd w:val="0"/>
              <w:snapToGrid w:val="0"/>
              <w:spacing w:line="340" w:lineRule="exact"/>
              <w:ind w:firstLine="0" w:firstLineChars="0"/>
              <w:contextualSpacing/>
              <w:rPr>
                <w:rFonts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4、投标人须按采购文件第二部分“供应商须知前附表”中规定的内容提交资格审查资料、商务文件、技术文件和报价响应文件。并根据第六章“投标文件格式”中的全部内容进行响应文件的编制，在评标过程中若发现供应商的响应文件内容未按照采购文件编制，编制内容存在缺失或提供无效资料的，将导致投标被拒绝。所有资料均不允许在投标截止时间后补正。</w:t>
            </w:r>
          </w:p>
        </w:tc>
      </w:tr>
    </w:tbl>
    <w:p>
      <w:pPr>
        <w:pStyle w:val="182"/>
        <w:spacing w:line="340" w:lineRule="exact"/>
        <w:ind w:right="-86" w:rightChars="-41"/>
        <w:jc w:val="left"/>
        <w:rPr>
          <w:rFonts w:ascii="仿宋" w:hAnsi="仿宋" w:eastAsia="仿宋" w:cs="仿宋"/>
          <w:color w:val="auto"/>
          <w:sz w:val="24"/>
          <w:highlight w:val="none"/>
        </w:rPr>
      </w:pPr>
      <w:bookmarkStart w:id="87" w:name="EB61dc4c9ac9c04154b29a6c247670320a"/>
      <w:bookmarkEnd w:id="87"/>
    </w:p>
    <w:p>
      <w:pPr>
        <w:pStyle w:val="182"/>
        <w:spacing w:line="360" w:lineRule="auto"/>
        <w:ind w:right="-86" w:rightChars="-41"/>
        <w:jc w:val="left"/>
        <w:rPr>
          <w:rFonts w:ascii="仿宋" w:hAnsi="仿宋" w:eastAsia="仿宋" w:cs="仿宋"/>
          <w:color w:val="auto"/>
          <w:sz w:val="24"/>
          <w:highlight w:val="none"/>
        </w:rPr>
      </w:pPr>
      <w:r>
        <w:rPr>
          <w:rFonts w:hint="eastAsia" w:ascii="仿宋" w:hAnsi="仿宋" w:eastAsia="仿宋" w:cs="仿宋"/>
          <w:color w:val="auto"/>
          <w:sz w:val="24"/>
          <w:highlight w:val="none"/>
        </w:rPr>
        <w:t>注：1、本表中加</w:t>
      </w:r>
      <w:r>
        <w:rPr>
          <w:rFonts w:hint="eastAsia" w:ascii="仿宋" w:hAnsi="仿宋" w:eastAsia="仿宋" w:cs="仿宋"/>
          <w:color w:val="auto"/>
          <w:szCs w:val="21"/>
          <w:highlight w:val="none"/>
          <w:lang w:val="zh-TW" w:eastAsia="zh-TW"/>
        </w:rPr>
        <w:t>★</w:t>
      </w:r>
      <w:r>
        <w:rPr>
          <w:rFonts w:hint="eastAsia" w:ascii="仿宋" w:hAnsi="仿宋" w:eastAsia="仿宋" w:cs="仿宋"/>
          <w:color w:val="auto"/>
          <w:sz w:val="24"/>
          <w:highlight w:val="none"/>
        </w:rPr>
        <w:t>项目若有缺失或无效，将导致投标无效且不允许在开标后补正；</w:t>
      </w:r>
    </w:p>
    <w:p>
      <w:pPr>
        <w:pStyle w:val="182"/>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2、本表内容与竞争性磋商文件其它内容不一致的，应当以本表内容为准；</w:t>
      </w:r>
    </w:p>
    <w:p>
      <w:pPr>
        <w:pStyle w:val="27"/>
        <w:spacing w:after="200" w:line="276" w:lineRule="auto"/>
        <w:jc w:val="center"/>
        <w:rPr>
          <w:rFonts w:ascii="仿宋" w:hAnsi="仿宋" w:eastAsia="仿宋" w:cs="仿宋"/>
          <w:b/>
          <w:color w:val="auto"/>
          <w:sz w:val="28"/>
          <w:szCs w:val="28"/>
          <w:highlight w:val="none"/>
        </w:rPr>
      </w:pPr>
      <w:r>
        <w:rPr>
          <w:rFonts w:hint="eastAsia" w:ascii="仿宋" w:hAnsi="仿宋" w:eastAsia="仿宋" w:cs="仿宋"/>
          <w:color w:val="auto"/>
          <w:sz w:val="24"/>
          <w:highlight w:val="none"/>
        </w:rPr>
        <w:t>3、本表中“</w:t>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eq \o\ac(□,√)</w:instrTex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”标示选择使用该项，“□”标示不选择使用该项。</w:t>
      </w:r>
      <w:r>
        <w:rPr>
          <w:rFonts w:hint="eastAsia" w:ascii="仿宋" w:hAnsi="仿宋" w:eastAsia="仿宋" w:cs="仿宋"/>
          <w:b/>
          <w:color w:val="auto"/>
          <w:sz w:val="28"/>
          <w:szCs w:val="28"/>
          <w:highlight w:val="none"/>
        </w:rPr>
        <w:br w:type="page"/>
      </w:r>
      <w:bookmarkEnd w:id="73"/>
      <w:bookmarkEnd w:id="74"/>
      <w:bookmarkEnd w:id="75"/>
      <w:bookmarkEnd w:id="76"/>
      <w:r>
        <w:rPr>
          <w:rFonts w:hint="eastAsia" w:ascii="仿宋" w:hAnsi="仿宋" w:eastAsia="仿宋" w:cs="仿宋"/>
          <w:b/>
          <w:color w:val="auto"/>
          <w:sz w:val="28"/>
          <w:szCs w:val="28"/>
          <w:highlight w:val="none"/>
        </w:rPr>
        <w:t>投标人须知正文部分</w:t>
      </w:r>
      <w:bookmarkStart w:id="88" w:name="_Toc4906"/>
      <w:bookmarkStart w:id="89" w:name="_Toc5882"/>
      <w:bookmarkStart w:id="90" w:name="_Toc256000005"/>
    </w:p>
    <w:p>
      <w:pPr>
        <w:pStyle w:val="27"/>
        <w:spacing w:after="200" w:line="276" w:lineRule="auto"/>
        <w:ind w:right="-313" w:rightChars="-149"/>
        <w:jc w:val="both"/>
        <w:rPr>
          <w:rFonts w:ascii="仿宋" w:hAnsi="仿宋" w:eastAsia="仿宋" w:cs="仿宋"/>
          <w:b/>
          <w:color w:val="auto"/>
          <w:sz w:val="32"/>
          <w:szCs w:val="28"/>
          <w:highlight w:val="none"/>
        </w:rPr>
      </w:pPr>
      <w:r>
        <w:rPr>
          <w:rFonts w:hint="eastAsia" w:ascii="仿宋" w:hAnsi="仿宋" w:eastAsia="仿宋" w:cs="仿宋"/>
          <w:b/>
          <w:color w:val="auto"/>
          <w:sz w:val="32"/>
          <w:szCs w:val="28"/>
          <w:highlight w:val="none"/>
        </w:rPr>
        <w:t>一、 说明</w:t>
      </w:r>
      <w:bookmarkEnd w:id="88"/>
      <w:bookmarkEnd w:id="89"/>
      <w:bookmarkEnd w:id="90"/>
    </w:p>
    <w:p>
      <w:pPr>
        <w:pStyle w:val="182"/>
        <w:spacing w:line="600" w:lineRule="exact"/>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1.1适用范围</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 .1本磋商文件仅适用于本磋商邀请函中所述项目的货物及相关服务的采购。</w:t>
      </w:r>
    </w:p>
    <w:p>
      <w:pPr>
        <w:pStyle w:val="182"/>
        <w:spacing w:line="600" w:lineRule="exact"/>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1.2定义</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1.2.1“采购人”是指：详见供应商须知前附表.</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1.2.2“采购代理机构”是指：详见供应商须知前附表.</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1.2.3“监管部门”是指：详见供应商须知前附表.</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1.2.4 “供应商”是指：响应磋商文件要求并且符合磋商文件规定资格条件和参加竞争性磋商的法人、其他组织或者自然人。</w:t>
      </w:r>
    </w:p>
    <w:p>
      <w:pPr>
        <w:pStyle w:val="27"/>
        <w:spacing w:after="200" w:line="360" w:lineRule="auto"/>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1.2.5“电子响应文件”指登录政采云平台-【政采云投标客户端】-【投标响应文件编制】制作生成的电子加密标书。</w:t>
      </w:r>
    </w:p>
    <w:p>
      <w:pPr>
        <w:pStyle w:val="182"/>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1.2.6“成交供应商”是指: 经磋商小组评审，授予合同的供应商。</w:t>
      </w:r>
    </w:p>
    <w:p>
      <w:pPr>
        <w:pStyle w:val="182"/>
        <w:adjustRightInd w:val="0"/>
        <w:snapToGrid w:val="0"/>
        <w:spacing w:beforeLines="50" w:afterLines="50" w:line="360" w:lineRule="auto"/>
        <w:ind w:left="561" w:leftChars="267" w:right="-313" w:rightChars="-149"/>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1.2.7采购人和采购代理机构统称为招标采购单位。</w:t>
      </w: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1.3、货物和服务</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1.3.1“货物”是指：供应商制造或组织符合磋商文件要求的货物，包括原材料、燃料、设备、产品等。磋商文件中没有提及招标货物来源地的，根据《政府采购法》的相关规定均应是本国货物，另有规定的除外。</w:t>
      </w:r>
      <w:r>
        <w:rPr>
          <w:rFonts w:hint="eastAsia" w:ascii="仿宋" w:hAnsi="仿宋" w:eastAsia="仿宋" w:cs="仿宋"/>
          <w:snapToGrid w:val="0"/>
          <w:color w:val="auto"/>
          <w:kern w:val="0"/>
          <w:sz w:val="28"/>
          <w:szCs w:val="28"/>
          <w:highlight w:val="none"/>
        </w:rPr>
        <w:t>提供的货物必须是其合法生产的符合国家有关标准要求的货物，并能够按照合同规定的品牌、产地、质量、价格和有效期等履约。</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1.3.2“服务”是指：除货物和工程以外的其他政府采购对象。包括：政府自身需要的服务和政府向社会公众提供的公共服务。</w:t>
      </w: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1.4、磋商费用</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1.4.1供应商应承担所有与准备和参加竞争性磋商有关的费用。不论磋商的结果如何，采购单位均无义务和责任承担这些费用。</w:t>
      </w:r>
      <w:bookmarkStart w:id="91" w:name="_Toc21571"/>
      <w:bookmarkStart w:id="92" w:name="_Toc293736054"/>
      <w:bookmarkStart w:id="93" w:name="_Toc256000006"/>
      <w:bookmarkStart w:id="94" w:name="_Toc293738992"/>
      <w:bookmarkStart w:id="95" w:name="_Toc293736011"/>
      <w:bookmarkStart w:id="96" w:name="_Toc446599311"/>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1.5.合格供应商的条件</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1.5.1 具有本项目生产、制造、供应或实施能力，符合、承认并承诺履行本文件各项规定的国内法人、其他组织或自然人均可参加投标。</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1.5.2 遵守有关的国家法律、法规和条例，具备《中华人民共和国政府采购法》和本文件中规定的条件：</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1)具有独立承担民事责任的能力； </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2)具有良好的商业信誉和健全的财务会计制度；</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3)具有履行合同所必需的设备和专业技术能力；</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4)具有依法缴纳税收和社会保障资金的良好记录；</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5)参加政府采购活动前三年内，在经营活动中没有重大违法记录；</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6)法律、行政法规规定的其他条件；</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7)具有本磋商文件第二部分“供应商须知前附表”中规定的资格条件。</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1.5.3 供应商之间如果存在下列情形之一的，不得同时参加同一包（标段）或者不分包（标段）的同一项目投标：</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1）法定代表人为同一个人的两个及两个以上法人；</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2）母公司、全资子公司及其控股公司；</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3）参加投标的其他组织之间存在特殊的利害关系的；</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4）法律和行政法规规定的其他情形。</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1.5.4 供应商在兵团政府采购网（ccgp-bingtuan.gov.cn）平台内针对本项目下载了电子采购文件。</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1.5.5 供应商按时足额交纳投标保证金</w:t>
      </w: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1.6 纪律</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1.6.1供应商的投标行为应遵守中国的有关法律、法规和规章。</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1.6.2供应商不得相互串通投标报价，不得妨碍其他供应商的公平竞争，不得损害采购人或其他供应商的合法权益，供应商不得以向采购人、评标委员会成员行贿或者采取其他不正当手段谋取中标。</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1.6.3有下列情形之一的，属于供应商相互串通投标：</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1.6.4供应商之间协商投标报价等投标文件的实质性内容；</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1.6.5供应商之间约定中标人；</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1.6.6供应商之间约定部分供应商放弃投标或者中标；</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1.6.7属于同一集团、协会、商会等组织成员的供应商按照该组织要求协同投标；</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1.6.8供应商之间为谋取中标或者排斥特定供应商而采取的其他联合行动。</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1.6.7有下列情形之一的，视为供应商相互串通投标：</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1.6.8不同供应商的投标文件由同一单位或者个人编制；</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1.6.9不同供应商委托同一单位或者个人办理投标事宜，或制作电子投标文件的文件制作机器码（mac地址）一致，或制作电子投标文件的文件创建标识码一致；</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1.6.10不同供应商的投标文件载明的项目管理成员为同一人；</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1.6.11不同供应商的投标文件异常一致或者投标报价呈规律性差异；</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1.6.12不同供应商的投标文件相互混装；</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1.6.13不同供应商的投标保证金从同一单位或者个人的账户转出。</w:t>
      </w: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1.7通知</w:t>
      </w:r>
    </w:p>
    <w:p>
      <w:pPr>
        <w:pStyle w:val="27"/>
        <w:spacing w:after="200" w:line="360" w:lineRule="auto"/>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1.7.1对与本项目有关的通知，采购代理机构将以书面（包括书面材料、信函、传真等，下同）或在本次招标公告刊登的媒体上发布公告并在兵团政府采购网政采云平台（ccgp-bingtuan.gov.cn）内发送变更通知及/或答疑文件的形式，向潜在供应商发出，由潜在供应商自行下载查看。</w:t>
      </w: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1.8踏勘现场</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1.8.1本项目是否统一组织供应商踏勘现场见磋商文件第二部分“供应商须知前附表”中的规定。无论是否统一组织，供应商应对供货现场和周围环境进行勘察，以获取编制投标文件所需的资料。</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1.8.2踏勘现场所发生的费用由供应商自行承担。采购人向供应商提供的有关供货现场的资料和数据，是采购人现有的能使供应商利用的资料。采购人对供应商由此而做出的推论、理解和结论概不负责。供应商未到供货现场实地踏勘的，中标后签订合同时和履约过程中，不得以不完全了解现场情况为由，提出任何形式的增加合同价款或索赔的要求。</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1.8.3除非有特殊要求，磋商文件不单独提供供货使用地的自然环境、气候条件、公用设施等情况，供应商被视为熟悉上述与履行合同有关的一切情况。</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1.8.4除采购人原因外，供应商自行负责在踏勘现场中所发生的人员伤亡和财产损失。</w:t>
      </w:r>
    </w:p>
    <w:p>
      <w:pPr>
        <w:pStyle w:val="32"/>
        <w:ind w:right="-313" w:rightChars="-149" w:firstLine="210"/>
        <w:jc w:val="both"/>
        <w:rPr>
          <w:color w:val="auto"/>
          <w:highlight w:val="none"/>
        </w:rPr>
      </w:pPr>
    </w:p>
    <w:p>
      <w:pPr>
        <w:pStyle w:val="27"/>
        <w:spacing w:after="200" w:line="276" w:lineRule="auto"/>
        <w:ind w:right="-313" w:rightChars="-149"/>
        <w:jc w:val="both"/>
        <w:rPr>
          <w:rFonts w:ascii="仿宋" w:hAnsi="仿宋" w:eastAsia="仿宋" w:cs="仿宋"/>
          <w:b/>
          <w:color w:val="auto"/>
          <w:sz w:val="32"/>
          <w:szCs w:val="28"/>
          <w:highlight w:val="none"/>
        </w:rPr>
      </w:pPr>
      <w:r>
        <w:rPr>
          <w:rFonts w:hint="eastAsia" w:ascii="仿宋" w:hAnsi="仿宋" w:eastAsia="仿宋" w:cs="仿宋"/>
          <w:b/>
          <w:color w:val="auto"/>
          <w:sz w:val="32"/>
          <w:szCs w:val="28"/>
          <w:highlight w:val="none"/>
        </w:rPr>
        <w:t>二、磋商文件</w:t>
      </w:r>
      <w:bookmarkEnd w:id="91"/>
      <w:bookmarkEnd w:id="92"/>
      <w:bookmarkEnd w:id="93"/>
      <w:bookmarkEnd w:id="94"/>
      <w:bookmarkEnd w:id="95"/>
      <w:bookmarkEnd w:id="96"/>
    </w:p>
    <w:p>
      <w:pPr>
        <w:pStyle w:val="182"/>
        <w:ind w:right="-313" w:rightChars="-149"/>
        <w:contextualSpacing/>
        <w:jc w:val="both"/>
        <w:rPr>
          <w:rFonts w:ascii="仿宋" w:hAnsi="仿宋" w:eastAsia="仿宋" w:cs="仿宋"/>
          <w:b/>
          <w:color w:val="auto"/>
          <w:sz w:val="28"/>
          <w:szCs w:val="28"/>
          <w:highlight w:val="none"/>
        </w:rPr>
      </w:pP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2.1.磋商文件的构成</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2.1.1磋商文件由下列文件以及在采购过程中发出的修正和补充文件组成：</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(1)磋商邀请函；</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(2)供应商须知；</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(3)采购项目技术规格、参数及相关服务要求；</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(4)评审方法、步骤、标准；</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(5)合同格式及合同条款；</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(6)响应文件格式；</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(7)在磋商过程中由采购单位发出的澄清和补充文件等。</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2.1.2供应商应认真阅读磋商文件中所有的事项、格式、条款和技术规范、参数及相关要求等。供应商没有按照磋商文件要求提交全部资料，或者没有对磋商文件在各方面都做出实质性响应是供应商的风险，有可能导致被拒绝，或被按照无效文件处理或被确定为无效文件。</w:t>
      </w: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2.2. 磋商文件的澄清</w:t>
      </w:r>
    </w:p>
    <w:p>
      <w:pPr>
        <w:pStyle w:val="27"/>
        <w:spacing w:after="200" w:line="360" w:lineRule="auto"/>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2.2.1供应商应仔细阅读和检查磋商文件的全部内容。供应商若对磋商文件有任何疑问，均应在响应文件递交截止时间</w:t>
      </w:r>
      <w:r>
        <w:rPr>
          <w:rFonts w:hint="eastAsia" w:ascii="仿宋" w:hAnsi="仿宋" w:eastAsia="仿宋" w:cs="仿宋"/>
          <w:b/>
          <w:bCs/>
          <w:color w:val="auto"/>
          <w:sz w:val="28"/>
          <w:szCs w:val="28"/>
          <w:highlight w:val="none"/>
        </w:rPr>
        <w:t>5日前</w:t>
      </w:r>
      <w:r>
        <w:rPr>
          <w:rFonts w:hint="eastAsia" w:ascii="仿宋" w:hAnsi="仿宋" w:eastAsia="仿宋" w:cs="仿宋"/>
          <w:color w:val="auto"/>
          <w:sz w:val="28"/>
          <w:szCs w:val="28"/>
          <w:highlight w:val="none"/>
        </w:rPr>
        <w:t>向采购代理机构提出，提出后，请供应商及时通过政采云平台查看</w:t>
      </w:r>
      <w:r>
        <w:rPr>
          <w:rFonts w:hint="eastAsia" w:ascii="仿宋" w:hAnsi="仿宋" w:eastAsia="仿宋" w:cs="仿宋"/>
          <w:color w:val="auto"/>
          <w:sz w:val="24"/>
          <w:highlight w:val="none"/>
        </w:rPr>
        <w:t>。</w:t>
      </w:r>
      <w:r>
        <w:rPr>
          <w:rFonts w:hint="eastAsia" w:ascii="仿宋" w:hAnsi="仿宋" w:eastAsia="仿宋" w:cs="仿宋"/>
          <w:color w:val="auto"/>
          <w:sz w:val="28"/>
          <w:szCs w:val="28"/>
          <w:highlight w:val="none"/>
        </w:rPr>
        <w:t>采购单位对供应商所要求澄清的内容均予以答复（答复中不包括问题的来源）。并在兵团政府采购网政采云平台（ccgp-bingtuan.gov.cn）向所有供应商公布，供应商可在对应栏目下载澄清文件。澄清文件作为磋商文件的组成部分，对供应商具有同等约束作用。</w:t>
      </w:r>
    </w:p>
    <w:p>
      <w:pPr>
        <w:pStyle w:val="27"/>
        <w:spacing w:after="200" w:line="360" w:lineRule="auto"/>
        <w:ind w:right="-313" w:rightChars="-149" w:firstLine="536" w:firstLineChars="200"/>
        <w:jc w:val="both"/>
        <w:rPr>
          <w:rFonts w:ascii="仿宋" w:hAnsi="仿宋" w:eastAsia="仿宋" w:cs="仿宋"/>
          <w:color w:val="auto"/>
          <w:sz w:val="28"/>
          <w:szCs w:val="28"/>
          <w:highlight w:val="none"/>
        </w:rPr>
      </w:pPr>
      <w:r>
        <w:rPr>
          <w:rFonts w:hint="eastAsia" w:ascii="仿宋" w:hAnsi="仿宋" w:eastAsia="仿宋" w:cs="仿宋"/>
          <w:color w:val="auto"/>
          <w:spacing w:val="-6"/>
          <w:sz w:val="28"/>
          <w:szCs w:val="28"/>
          <w:highlight w:val="none"/>
        </w:rPr>
        <w:t>2.2.2</w:t>
      </w:r>
      <w:r>
        <w:rPr>
          <w:rFonts w:hint="eastAsia" w:ascii="仿宋" w:hAnsi="仿宋" w:eastAsia="仿宋" w:cs="仿宋"/>
          <w:color w:val="auto"/>
          <w:sz w:val="28"/>
          <w:szCs w:val="28"/>
          <w:highlight w:val="none"/>
        </w:rPr>
        <w:t>供应商在本项目采购公告期限届满之日起5个工作日内未对磋商文件提出异议的，采购单位将视其为同意。在规定的时间后就磋商文件内容提出的质疑将不予受理。</w:t>
      </w: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2.3. 磋商文件的修改</w:t>
      </w:r>
    </w:p>
    <w:p>
      <w:pPr>
        <w:pStyle w:val="182"/>
        <w:spacing w:line="500" w:lineRule="exact"/>
        <w:ind w:right="-313" w:rightChars="-149" w:firstLine="541" w:firstLineChars="202"/>
        <w:jc w:val="both"/>
        <w:rPr>
          <w:rFonts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2.3.1采购单位可以对已发出的磋商文件进行必要的澄清或者修改。</w:t>
      </w:r>
      <w:r>
        <w:rPr>
          <w:rFonts w:hint="eastAsia" w:ascii="仿宋" w:hAnsi="仿宋" w:eastAsia="仿宋" w:cs="仿宋"/>
          <w:color w:val="auto"/>
          <w:sz w:val="28"/>
          <w:szCs w:val="28"/>
          <w:highlight w:val="none"/>
        </w:rPr>
        <w:t xml:space="preserve">澄清或者修改的内容可能影响响应文件编制的，采购单位将在响应文件递交截止时间五日前在兵团政府采购网政采云平台（ccgp-bingtuan.gov.cn）发布更正公告。 </w:t>
      </w:r>
    </w:p>
    <w:p>
      <w:pPr>
        <w:pStyle w:val="182"/>
        <w:spacing w:line="500" w:lineRule="exact"/>
        <w:ind w:right="-313" w:rightChars="-149" w:firstLine="541" w:firstLineChars="202"/>
        <w:jc w:val="both"/>
        <w:rPr>
          <w:rFonts w:ascii="仿宋" w:hAnsi="仿宋" w:eastAsia="仿宋" w:cs="仿宋"/>
          <w:color w:val="auto"/>
          <w:sz w:val="28"/>
          <w:szCs w:val="28"/>
          <w:highlight w:val="none"/>
        </w:rPr>
      </w:pPr>
      <w:r>
        <w:rPr>
          <w:rFonts w:hint="eastAsia" w:ascii="仿宋" w:hAnsi="仿宋" w:eastAsia="仿宋" w:cs="仿宋"/>
          <w:color w:val="auto"/>
          <w:spacing w:val="-6"/>
          <w:sz w:val="28"/>
          <w:szCs w:val="28"/>
          <w:highlight w:val="none"/>
        </w:rPr>
        <w:t>2.3.2澄清或者修改的内容是磋商文件的组成部分，将在</w:t>
      </w:r>
      <w:r>
        <w:rPr>
          <w:rFonts w:hint="eastAsia" w:ascii="仿宋" w:hAnsi="仿宋" w:eastAsia="仿宋" w:cs="仿宋"/>
          <w:color w:val="auto"/>
          <w:sz w:val="28"/>
          <w:szCs w:val="28"/>
          <w:highlight w:val="none"/>
        </w:rPr>
        <w:t>在兵团政府采购网政采云平台（ccgp-bingtuan.gov.cn）</w:t>
      </w:r>
      <w:r>
        <w:rPr>
          <w:rFonts w:hint="eastAsia" w:ascii="仿宋" w:hAnsi="仿宋" w:eastAsia="仿宋" w:cs="仿宋"/>
          <w:color w:val="auto"/>
          <w:spacing w:val="-6"/>
          <w:sz w:val="28"/>
          <w:szCs w:val="28"/>
          <w:highlight w:val="none"/>
        </w:rPr>
        <w:t>向所有供应商公布，并对供应商具</w:t>
      </w:r>
      <w:r>
        <w:rPr>
          <w:rFonts w:hint="eastAsia" w:ascii="仿宋" w:hAnsi="仿宋" w:eastAsia="仿宋" w:cs="仿宋"/>
          <w:color w:val="auto"/>
          <w:sz w:val="28"/>
          <w:szCs w:val="28"/>
          <w:highlight w:val="none"/>
        </w:rPr>
        <w:t>有约束力。</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2.3.3为使供应商有充足的时间对磋商文件的修改部分进行研究，采购单位可适当推迟响应文件截止期，并</w:t>
      </w:r>
      <w:r>
        <w:rPr>
          <w:rFonts w:hint="eastAsia" w:ascii="仿宋" w:hAnsi="仿宋" w:eastAsia="仿宋" w:cs="仿宋"/>
          <w:color w:val="auto"/>
          <w:spacing w:val="-6"/>
          <w:sz w:val="28"/>
          <w:szCs w:val="28"/>
          <w:highlight w:val="none"/>
        </w:rPr>
        <w:t>通过在</w:t>
      </w:r>
      <w:r>
        <w:rPr>
          <w:rFonts w:hint="eastAsia" w:ascii="仿宋" w:hAnsi="仿宋" w:eastAsia="仿宋" w:cs="仿宋"/>
          <w:color w:val="auto"/>
          <w:sz w:val="28"/>
          <w:szCs w:val="28"/>
          <w:highlight w:val="none"/>
        </w:rPr>
        <w:t>在兵团政府采购网政采云平台（ccgp-bingtuan.gov.cn）</w:t>
      </w:r>
      <w:r>
        <w:rPr>
          <w:rFonts w:hint="eastAsia" w:ascii="仿宋" w:hAnsi="仿宋" w:eastAsia="仿宋" w:cs="仿宋"/>
          <w:color w:val="auto"/>
          <w:spacing w:val="-6"/>
          <w:sz w:val="28"/>
          <w:szCs w:val="28"/>
          <w:highlight w:val="none"/>
        </w:rPr>
        <w:t>发布公告方式通知所有下载磋商</w:t>
      </w:r>
      <w:r>
        <w:rPr>
          <w:rFonts w:hint="eastAsia" w:ascii="仿宋" w:hAnsi="仿宋" w:eastAsia="仿宋" w:cs="仿宋"/>
          <w:color w:val="auto"/>
          <w:sz w:val="28"/>
          <w:szCs w:val="28"/>
          <w:highlight w:val="none"/>
        </w:rPr>
        <w:t>文件的供应商。</w:t>
      </w:r>
    </w:p>
    <w:p>
      <w:pPr>
        <w:pStyle w:val="182"/>
        <w:spacing w:line="500" w:lineRule="exact"/>
        <w:ind w:right="-313" w:rightChars="-149" w:firstLine="541" w:firstLineChars="202"/>
        <w:jc w:val="both"/>
        <w:rPr>
          <w:rFonts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2.3.4供应商应注意及时浏览网上发布的澄清或修改通知并下载，因供应商原因未及时获知澄清、修改或补充内容而导致的任何后果将由供应商自行承担。</w:t>
      </w:r>
      <w:bookmarkStart w:id="97" w:name="_Toc256000007"/>
      <w:bookmarkStart w:id="98" w:name="_Toc256000004"/>
    </w:p>
    <w:p>
      <w:pPr>
        <w:pStyle w:val="27"/>
        <w:spacing w:after="200" w:line="276" w:lineRule="auto"/>
        <w:ind w:right="-313" w:rightChars="-149"/>
        <w:jc w:val="both"/>
        <w:rPr>
          <w:rFonts w:ascii="仿宋" w:hAnsi="仿宋" w:eastAsia="仿宋" w:cs="仿宋"/>
          <w:b/>
          <w:color w:val="auto"/>
          <w:sz w:val="32"/>
          <w:szCs w:val="28"/>
          <w:highlight w:val="none"/>
        </w:rPr>
      </w:pPr>
      <w:r>
        <w:rPr>
          <w:rFonts w:hint="eastAsia" w:ascii="仿宋" w:hAnsi="仿宋" w:eastAsia="仿宋" w:cs="仿宋"/>
          <w:b/>
          <w:color w:val="auto"/>
          <w:sz w:val="32"/>
          <w:szCs w:val="28"/>
          <w:highlight w:val="none"/>
        </w:rPr>
        <w:t>三、响应文件的编制和数量</w:t>
      </w:r>
      <w:bookmarkEnd w:id="97"/>
      <w:bookmarkEnd w:id="98"/>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3.1．响应文件的语言</w:t>
      </w:r>
    </w:p>
    <w:p>
      <w:pPr>
        <w:pStyle w:val="182"/>
        <w:spacing w:line="500" w:lineRule="exact"/>
        <w:ind w:right="-313" w:rightChars="-149" w:firstLine="541" w:firstLineChars="202"/>
        <w:jc w:val="both"/>
        <w:rPr>
          <w:rFonts w:ascii="仿宋" w:hAnsi="仿宋" w:eastAsia="仿宋" w:cs="仿宋"/>
          <w:color w:val="auto"/>
          <w:spacing w:val="-6"/>
          <w:sz w:val="28"/>
          <w:szCs w:val="28"/>
          <w:highlight w:val="none"/>
        </w:rPr>
      </w:pPr>
      <w:r>
        <w:rPr>
          <w:rFonts w:hint="eastAsia" w:ascii="仿宋" w:hAnsi="仿宋" w:eastAsia="仿宋" w:cs="仿宋"/>
          <w:color w:val="auto"/>
          <w:spacing w:val="-6"/>
          <w:sz w:val="28"/>
          <w:szCs w:val="28"/>
          <w:highlight w:val="none"/>
        </w:rPr>
        <w:t>3.1.1供应商提交的响应文件以及供应商与采购单位就有关磋商的所有来往函电均应使用中文。供应商提交的支持文件或印刷的文献可以用另一种语言，但相应内容应附有中文翻译本，在解释响应文件的修改内容时以中文翻译本为准。</w:t>
      </w: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3.2响应文件的构成</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3.2.1供应商编制的响应文件应包括但不少于下列内容：</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（1)资格审查文件</w:t>
      </w:r>
    </w:p>
    <w:p>
      <w:pPr>
        <w:pStyle w:val="182"/>
        <w:spacing w:line="360" w:lineRule="auto"/>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pacing w:val="-6"/>
          <w:sz w:val="28"/>
          <w:szCs w:val="28"/>
          <w:highlight w:val="none"/>
        </w:rPr>
        <w:t>商务技术</w:t>
      </w:r>
      <w:r>
        <w:rPr>
          <w:rFonts w:hint="eastAsia" w:ascii="仿宋" w:hAnsi="仿宋" w:eastAsia="仿宋" w:cs="仿宋"/>
          <w:color w:val="auto"/>
          <w:sz w:val="28"/>
          <w:szCs w:val="28"/>
          <w:highlight w:val="none"/>
        </w:rPr>
        <w:t>文件</w:t>
      </w:r>
    </w:p>
    <w:p>
      <w:pPr>
        <w:pStyle w:val="182"/>
        <w:spacing w:line="360" w:lineRule="auto"/>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（3）报价要求响应文件</w:t>
      </w: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3.3响应文件编制</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3.3.1</w:t>
      </w:r>
      <w:r>
        <w:rPr>
          <w:rFonts w:hint="eastAsia" w:ascii="仿宋" w:hAnsi="仿宋" w:eastAsia="仿宋" w:cs="仿宋"/>
          <w:color w:val="auto"/>
          <w:spacing w:val="-6"/>
          <w:sz w:val="28"/>
          <w:szCs w:val="28"/>
          <w:highlight w:val="none"/>
        </w:rPr>
        <w:t>电子</w:t>
      </w:r>
      <w:r>
        <w:rPr>
          <w:rFonts w:hint="eastAsia" w:ascii="仿宋" w:hAnsi="仿宋" w:eastAsia="仿宋" w:cs="仿宋"/>
          <w:color w:val="auto"/>
          <w:kern w:val="0"/>
          <w:sz w:val="28"/>
          <w:szCs w:val="28"/>
          <w:highlight w:val="none"/>
        </w:rPr>
        <w:t>响应文件制作时，应按照磋商文件中明确的响应文件目录和投标</w:t>
      </w:r>
      <w:r>
        <w:rPr>
          <w:rFonts w:hint="eastAsia" w:ascii="仿宋" w:hAnsi="仿宋" w:eastAsia="仿宋" w:cs="仿宋"/>
          <w:color w:val="auto"/>
          <w:sz w:val="28"/>
          <w:szCs w:val="28"/>
          <w:highlight w:val="none"/>
        </w:rPr>
        <w:t>技术规格、参数及相关要求</w:t>
      </w:r>
      <w:r>
        <w:rPr>
          <w:rFonts w:hint="eastAsia" w:ascii="仿宋" w:hAnsi="仿宋" w:eastAsia="仿宋" w:cs="仿宋"/>
          <w:color w:val="auto"/>
          <w:kern w:val="0"/>
          <w:sz w:val="28"/>
          <w:szCs w:val="28"/>
          <w:highlight w:val="none"/>
        </w:rPr>
        <w:t>格式进行编制，保证目录清晰、内容完整。</w:t>
      </w:r>
      <w:r>
        <w:rPr>
          <w:rFonts w:hint="eastAsia" w:ascii="仿宋" w:hAnsi="仿宋" w:eastAsia="仿宋" w:cs="仿宋"/>
          <w:b/>
          <w:bCs/>
          <w:color w:val="auto"/>
          <w:kern w:val="0"/>
          <w:sz w:val="28"/>
          <w:szCs w:val="28"/>
          <w:highlight w:val="none"/>
        </w:rPr>
        <w:t>应当对磋商文件有关采购范围、投标有效期、工期、质量标准、发包人要求等实质性内容作出响应。</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xml:space="preserve">3.3.2供应商因自身原因导致电子响应文件无法导入电子评标系统的，该响应文件视为无效文件。 </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xml:space="preserve">3.3.3电子响应文件具有法律效力,与其他形式的响应文件在内容和格式上等同，若响应文件与磋商文件要求不一致，其内容影响成交结果时，责任由供应商自行承担。 </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3.3.4为了保证</w:t>
      </w:r>
      <w:r>
        <w:rPr>
          <w:rFonts w:hint="eastAsia" w:ascii="仿宋" w:hAnsi="仿宋" w:eastAsia="仿宋" w:cs="仿宋"/>
          <w:color w:val="auto"/>
          <w:spacing w:val="-6"/>
          <w:sz w:val="28"/>
          <w:szCs w:val="28"/>
          <w:highlight w:val="none"/>
        </w:rPr>
        <w:t>电子</w:t>
      </w:r>
      <w:r>
        <w:rPr>
          <w:rFonts w:hint="eastAsia" w:ascii="仿宋" w:hAnsi="仿宋" w:eastAsia="仿宋" w:cs="仿宋"/>
          <w:color w:val="auto"/>
          <w:kern w:val="0"/>
          <w:sz w:val="28"/>
          <w:szCs w:val="28"/>
          <w:highlight w:val="none"/>
        </w:rPr>
        <w:t>标书的合法性、安全性和完整性，电子响应文件应在规定区域加盖单位和法定代表人CA电子印章。电子响应文件若无 CA电子签章，则视为无效文件。</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3.3.5供应商应完整地</w:t>
      </w:r>
      <w:r>
        <w:rPr>
          <w:rFonts w:hint="eastAsia" w:ascii="仿宋" w:hAnsi="仿宋" w:eastAsia="仿宋" w:cs="仿宋"/>
          <w:color w:val="auto"/>
          <w:spacing w:val="-6"/>
          <w:sz w:val="28"/>
          <w:szCs w:val="28"/>
          <w:highlight w:val="none"/>
        </w:rPr>
        <w:t>填写</w:t>
      </w:r>
      <w:r>
        <w:rPr>
          <w:rFonts w:hint="eastAsia" w:ascii="仿宋" w:hAnsi="仿宋" w:eastAsia="仿宋" w:cs="仿宋"/>
          <w:color w:val="auto"/>
          <w:kern w:val="0"/>
          <w:sz w:val="28"/>
          <w:szCs w:val="28"/>
          <w:highlight w:val="none"/>
        </w:rPr>
        <w:t xml:space="preserve">磋商文件中提供的《竞争性磋商函》、《开标一览表》、《竞争性磋商报价明细表》等磋商文件中规定的所有内容。 </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xml:space="preserve">3.3.6供应商必须保证响应文件所提供的全部资料真实可靠，并接受采购单位对其中任何资料进一步核实的要求。 </w:t>
      </w:r>
    </w:p>
    <w:p>
      <w:pPr>
        <w:pStyle w:val="182"/>
        <w:ind w:right="-313" w:rightChars="-149"/>
        <w:contextualSpacing/>
        <w:jc w:val="both"/>
        <w:rPr>
          <w:rFonts w:hint="eastAsia" w:ascii="仿宋" w:hAnsi="仿宋" w:eastAsia="仿宋" w:cs="仿宋"/>
          <w:b/>
          <w:color w:val="auto"/>
          <w:sz w:val="28"/>
          <w:szCs w:val="28"/>
          <w:highlight w:val="none"/>
        </w:rPr>
      </w:pPr>
    </w:p>
    <w:p>
      <w:pPr>
        <w:pStyle w:val="182"/>
        <w:ind w:right="-313" w:rightChars="-149"/>
        <w:contextualSpacing/>
        <w:jc w:val="both"/>
        <w:rPr>
          <w:rFonts w:hint="eastAsia" w:ascii="仿宋" w:hAnsi="仿宋" w:eastAsia="仿宋" w:cs="仿宋"/>
          <w:b/>
          <w:color w:val="auto"/>
          <w:sz w:val="28"/>
          <w:szCs w:val="28"/>
          <w:highlight w:val="none"/>
        </w:rPr>
      </w:pP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3.4. 磋商报价要求</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3.4.1供应商所提供的货物和服务均以人民币报价。</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3.4.2供应商应按照“第三章 采购需求”规定的货物、服务内容、责任范围以及合同条款进行报价。并按《开标一览表》和《竞争性磋商报价明细表》确定的格式报出分项价格和总价。</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磋商报价应为优惠后的报价，报价应被视为已经包含了但并不限于各项购买货物及其运送、安装、调试、验收、保险和相关服务等的费用和所需缴纳的所有价格、税、费。任何报价上的优惠应体现在各分项报价中，国家规定的各项税费不得优惠。磋商报价中不得包含磋商文件要求以外的内容，否则，在评审时不予核减。磋商报价中也不得缺漏磋商文件所要求的内容，否则，在评审时将被视为已包含在磋商报价中。由于分项报价填报不完整、不清楚或存在其他任何失误，所导致的任何不利后果均应当由供应商自行承担。</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3.4.3《竞争性磋商报价明细表》填写时应响应下列要求：</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（1）对于报价免费的项目应标明“免费”；</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（2）所有根据合同或其它原因应由供应商支付的税款和其它应交纳的费用都要包括在供应商提交的磋商总价中；</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（3）应包含货物运至最终目的地的运输、保险和伴随货物服务的有关费用。</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3.4.5每一种规格的货物、服务只允许有一个报价，否则将被视为无效投标。</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3.4.6供应商所报的总价在合同执行过程中是固定不变的，不得以任何理由予以变更。</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3.4.7供应商的最后磋商报价超过项目采购预算的为无效报价。</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3.4.8供应商须严格按照报价明细表规定的内容填写货物单价以及其他事项。</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3.4.9对于有配件、耗材、选件、备件和特殊工具的货物，还应填报投标货物配件、耗材、选件表和备件及特殊工具清单，注明品牌、型号、产地、功能、单价、批量折扣等内容，该表格格式由供应商自行设计。供应商按照上述要求分类报价，其目的是便于评标，但在任何情况下并不限制采购人以其他条款签订合同的权利。</w:t>
      </w:r>
    </w:p>
    <w:p>
      <w:pPr>
        <w:pStyle w:val="182"/>
        <w:ind w:right="-313" w:rightChars="-149"/>
        <w:contextualSpacing/>
        <w:jc w:val="both"/>
        <w:rPr>
          <w:rFonts w:ascii="仿宋" w:hAnsi="仿宋" w:eastAsia="仿宋" w:cs="仿宋"/>
          <w:b/>
          <w:color w:val="auto"/>
          <w:sz w:val="28"/>
          <w:szCs w:val="28"/>
          <w:highlight w:val="none"/>
        </w:rPr>
      </w:pP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3.5最低报价不能作为中标的保证。</w:t>
      </w:r>
    </w:p>
    <w:p>
      <w:pPr>
        <w:pStyle w:val="182"/>
        <w:ind w:right="-313" w:rightChars="-149"/>
        <w:contextualSpacing/>
        <w:jc w:val="both"/>
        <w:rPr>
          <w:rFonts w:ascii="仿宋" w:hAnsi="仿宋" w:eastAsia="仿宋" w:cs="仿宋"/>
          <w:b/>
          <w:color w:val="auto"/>
          <w:sz w:val="28"/>
          <w:szCs w:val="28"/>
          <w:highlight w:val="none"/>
        </w:rPr>
      </w:pP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3.6投标内容填写说明</w:t>
      </w:r>
    </w:p>
    <w:p>
      <w:pPr>
        <w:pStyle w:val="27"/>
        <w:spacing w:after="200" w:line="360" w:lineRule="auto"/>
        <w:ind w:right="-313" w:rightChars="-149" w:firstLine="560" w:firstLineChars="200"/>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3.6.1供应商应详细阅读磋商文件的全部内容。投标文件须对磋商文件中的内容作出实质性和完整的响应，如果投标文件填报的内容不详，或没有提供磋商文件中所要求的全部资料及数据，将可能导致投标被拒绝。</w:t>
      </w:r>
    </w:p>
    <w:p>
      <w:pPr>
        <w:pStyle w:val="27"/>
        <w:spacing w:after="200" w:line="360" w:lineRule="auto"/>
        <w:ind w:right="-313" w:rightChars="-149" w:firstLine="560" w:firstLineChars="200"/>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3.6.2投标文件须严格按照磋商文件第六部分规定的格式提交，并按规定的统一格式逐项填写，不准有空项；无相应内容可填的项，应填写“无”、“未测试”、“没有相应指标”等明确的回答文字。由于编排混乱导致投标文件被误读或查找不到，其责任由供应商承担。投标文件未按规定提交或留有空项，将被视为不完整响应的投标文件，其投标有可能被拒绝。</w:t>
      </w:r>
    </w:p>
    <w:p>
      <w:pPr>
        <w:pStyle w:val="27"/>
        <w:spacing w:after="200" w:line="360" w:lineRule="auto"/>
        <w:ind w:right="-313" w:rightChars="-149" w:firstLine="560" w:firstLineChars="200"/>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3.6.3开标一览表按要求按格式统一填写，不得自行增减内容。</w:t>
      </w:r>
    </w:p>
    <w:p>
      <w:pPr>
        <w:pStyle w:val="27"/>
        <w:spacing w:after="200" w:line="360" w:lineRule="auto"/>
        <w:ind w:right="-313" w:rightChars="-149" w:firstLine="560" w:firstLineChars="200"/>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3.6.4供应商须注意：为合理节约政府采购评审成本，提倡诚实信用的投标行为，特别要求供应商应本着诚信精神，在本次投标文件的偏离表中，均以审慎的态度明确、清楚地披露各项偏离。若供应商对某一事项是否存在或是否属于偏离不能确定，亦必须在偏离表中清楚地表明该偏离事项，并可以注明不能确定的字样。任何情况下，对于供应商没有在偏离表中明确、清楚地披露的事项，包括可能属于被供应商在偏离表中遗漏披露的事项，一旦在评审中被发现存在偏离或被认定为属于偏离，则评标委员会有权视具体情形评审时予以处理，乃至对该投标予以拒绝。</w:t>
      </w:r>
    </w:p>
    <w:p>
      <w:pPr>
        <w:pStyle w:val="27"/>
        <w:spacing w:after="200" w:line="360" w:lineRule="auto"/>
        <w:ind w:right="-313" w:rightChars="-149" w:firstLine="560" w:firstLineChars="200"/>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3.6.5供应商必须保证投标文件所提供的全部资料真实可靠，并接受采购代理机构或评标委员会对其中任何资料进一步审查的要求。</w:t>
      </w:r>
    </w:p>
    <w:p>
      <w:pPr>
        <w:pStyle w:val="27"/>
        <w:spacing w:after="200" w:line="360" w:lineRule="auto"/>
        <w:ind w:right="-313" w:rightChars="-149" w:firstLine="560" w:firstLineChars="200"/>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3.6.6供应商在投标文件及相关文件的签订、履行、通知等事项的文件中的单位盖章、印章、公章等处均指与当事人全称相一致的电子签章或标准公章，不得使用其他形式（如带有“专用章”等字样的印章）。不符合本条规定的按无效投标处理。</w:t>
      </w: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3.7. 供应商资格证明文件</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3.7.1供应商应提交证明其有资格参加磋商和成交后有能力履行合同的文件，并作为其响应文件的一部分。</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3.7.2资格证明文件必须真实可靠、不得伪造。</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3.7.3供应商相关资格证明文件：</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（1）法人或者其他组织的营业执照等证明文件，自然人的身份证明；</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（2）财务状况报告，依法缴纳税收和社会保障资金的相关材料；</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（3）具备履行合同所必需的设备和专业技术能力的证明材料；</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（4）参加政府采购活动前3年内在经营活动中没有重大违法记录的书面声明；</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（5）具备法律、行政法规规定的其他条件的证明材料；</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（6）采购项目有特殊要求的，供应商还应当提供其符合特殊要求的证明材料或者情况说明；</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（7）信用信息查询记录；</w:t>
      </w:r>
    </w:p>
    <w:p>
      <w:pPr>
        <w:pStyle w:val="182"/>
        <w:spacing w:line="500" w:lineRule="exact"/>
        <w:ind w:right="-313" w:rightChars="-149"/>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3.7.4磋商文件要求或供应商认为需提供的其它相关资格证明材料：</w:t>
      </w:r>
    </w:p>
    <w:p>
      <w:pPr>
        <w:pStyle w:val="182"/>
        <w:spacing w:line="500" w:lineRule="exact"/>
        <w:ind w:right="-313" w:rightChars="-149" w:firstLine="560" w:firstLineChars="200"/>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近年完成的类似设计施工总承包项目情况表”应附中标通知书和合同协议书、工程接收证书（工程竣工验收证书）复印件；或“近年完成的类似工程设计项目情况表”应附中标通知书和合同协议书、发包人出具的证明文件；“近年完成的类似施工项目情况表”应附中标通知书和合同协议书、工程接收证书（工程竣工验收证书）复印件。每张表格只填写一个项目，并标明序号。</w:t>
      </w:r>
    </w:p>
    <w:p>
      <w:pPr>
        <w:pStyle w:val="182"/>
        <w:spacing w:line="500" w:lineRule="exact"/>
        <w:ind w:right="-313" w:rightChars="-149" w:firstLine="560" w:firstLineChars="200"/>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（2）“正在实施和新承接的项目情况表”应附中标通知书和合同协议书复印件。每张表格只填写一个项目，并标明序号。</w:t>
      </w:r>
    </w:p>
    <w:p>
      <w:pPr>
        <w:pStyle w:val="182"/>
        <w:spacing w:line="500" w:lineRule="exact"/>
        <w:ind w:right="-313" w:rightChars="-149" w:firstLine="560" w:firstLineChars="200"/>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（3）“近年发生的重大诉讼及仲裁情况”应说明相关情况，并附法院或仲裁机构作出的判决、裁决等有关法律文书复印件。</w:t>
      </w:r>
    </w:p>
    <w:p>
      <w:pPr>
        <w:pStyle w:val="182"/>
        <w:spacing w:line="500" w:lineRule="exact"/>
        <w:ind w:right="-313" w:rightChars="-149" w:firstLine="560" w:firstLineChars="200"/>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 投标人须知前附表规定接受联合体投标的，本章第3.7.3 项至第3.7.4 项规定的表格和资料应包括联合体各方相关情况。</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3.7.5 证明投标货物、服务的合格性和符合磋商文件规定的文件。</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3.8. 磋商保证金</w:t>
      </w:r>
    </w:p>
    <w:p>
      <w:pPr>
        <w:pStyle w:val="182"/>
        <w:spacing w:line="500" w:lineRule="exact"/>
        <w:ind w:right="-313" w:rightChars="-149" w:firstLine="565" w:firstLineChars="202"/>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3.8.1供应商应在响应文件截止时间之前，按须知前附表规定缴纳保证金。保证金缴纳时间以该项目所对应的保证金收取账号中显示的到账时间为准。</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3.8.2供应商未按照磋商文件要求提交磋商保证金的，响应无效。</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3.8.3未成交供应</w:t>
      </w:r>
      <w:r>
        <w:rPr>
          <w:rFonts w:hint="eastAsia" w:ascii="仿宋" w:hAnsi="仿宋" w:eastAsia="仿宋" w:cs="仿宋"/>
          <w:color w:val="auto"/>
          <w:kern w:val="0"/>
          <w:sz w:val="28"/>
          <w:szCs w:val="28"/>
          <w:highlight w:val="none"/>
          <w:lang w:eastAsia="zh-CN"/>
        </w:rPr>
        <w:t>商</w:t>
      </w:r>
      <w:r>
        <w:rPr>
          <w:rFonts w:hint="eastAsia" w:ascii="仿宋" w:hAnsi="仿宋" w:eastAsia="仿宋" w:cs="仿宋"/>
          <w:color w:val="auto"/>
          <w:kern w:val="0"/>
          <w:sz w:val="28"/>
          <w:szCs w:val="28"/>
          <w:highlight w:val="none"/>
        </w:rPr>
        <w:t>其保证金自中标通知书发出之日起5个工作日内，按照保证金的来款渠道原路退还至供应商缴纳保证金的企业银行账户内。如有质疑或投诉，政府采购代理机构将在质疑和投诉处理完毕后5个工作日内，按照保证金的来款渠道原路退还至供应商缴纳保证金的企业银行账户内。</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3.8.4成交供应</w:t>
      </w:r>
      <w:r>
        <w:rPr>
          <w:rFonts w:hint="eastAsia" w:ascii="仿宋" w:hAnsi="仿宋" w:eastAsia="仿宋" w:cs="仿宋"/>
          <w:color w:val="auto"/>
          <w:kern w:val="0"/>
          <w:sz w:val="28"/>
          <w:szCs w:val="28"/>
          <w:highlight w:val="none"/>
          <w:lang w:eastAsia="zh-CN"/>
        </w:rPr>
        <w:t>商</w:t>
      </w:r>
      <w:r>
        <w:rPr>
          <w:rFonts w:hint="eastAsia" w:ascii="仿宋" w:hAnsi="仿宋" w:eastAsia="仿宋" w:cs="仿宋"/>
          <w:color w:val="auto"/>
          <w:kern w:val="0"/>
          <w:sz w:val="28"/>
          <w:szCs w:val="28"/>
          <w:highlight w:val="none"/>
        </w:rPr>
        <w:t>其保证金自采购合同签订之日起，并将合同报采购代理机构后5个工作日内，按照保证金的来款渠道原路退还至供应商缴纳保证金的企业银行账户内。</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3.8.5有下列情形之一的，保证金将被没收：</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（1）供应商在响应文件中提供虚假资料的；</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（2）除因不可抗力或磋商文件认可的情形以外，成交供应商不与采购人签订合同的；</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（3）供应商与采购人、其他供应商或者采购代理机构恶意串通的；</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（4）磋商文件规定的其他情形。</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3.8.6如开标时供应商对本单位投标保证金缴纳情况有疑义，供应商应在开标结束前向招标人提交书面申请核实保证金缴纳情况。由银行或保险公司核实后出具书面材料予以答复。</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3.8.7开标结束后，转账、电汇、网银形式缴纳的保证金由招标代理或招标人统一办理中标人和未中标人的保证金退还事宜。如本项目招标中遇质疑，投诉，复议等特殊情况，保证金退还时间按相关规定执行。银行电子保函、保险电子保函等形式缴纳的投标保证金按协议执行，无需办理退款手续。</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3.8.8电子招投标的应急措施</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电子开标、评标如出现下列原因，导致系统无法正常运行或无法正常评标时，应采取应急措施。</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（1）系统服务器发生故障，无法访问或无法使用系统；</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（2）系统的软件或数据库出现错误，不能进行正常操作；</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（3）系统发现有安全漏洞，有潜在的泄密危险；</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（4）病毒发作或受到外来病毒的攻击；</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（5）出现其他不可抗拒的客观原因造成开评标系统无法正常使用。</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出现上述情况时，应对未开标的暂停开标。已在系统内开标、评标的立即停止。采取应急措施时，必须对原有资料及信息作出妥善保密处理。</w:t>
      </w:r>
    </w:p>
    <w:p>
      <w:pPr>
        <w:pStyle w:val="182"/>
        <w:ind w:right="-313" w:rightChars="-149"/>
        <w:contextualSpacing/>
        <w:jc w:val="both"/>
        <w:rPr>
          <w:rFonts w:ascii="仿宋" w:hAnsi="仿宋" w:eastAsia="仿宋" w:cs="仿宋"/>
          <w:b/>
          <w:color w:val="auto"/>
          <w:sz w:val="28"/>
          <w:szCs w:val="28"/>
          <w:highlight w:val="none"/>
        </w:rPr>
      </w:pP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3.9. 磋商的有效期</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3.9.1磋商有效期详见供应商须知前附表。供应商响应文件中有效期不足的将被视为无效文件。</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3.9.2 有效期内供应商未经采购结果确认谈判达成一致不得改变其磋商最后报价及承诺的全部义务。</w:t>
      </w:r>
      <w:bookmarkStart w:id="99" w:name="_Toc256000008"/>
      <w:bookmarkStart w:id="100" w:name="_Toc293736013"/>
      <w:bookmarkStart w:id="101" w:name="_Toc293738994"/>
      <w:bookmarkStart w:id="102" w:name="_Toc446599313"/>
      <w:bookmarkStart w:id="103" w:name="_Toc293736056"/>
    </w:p>
    <w:p>
      <w:pPr>
        <w:pStyle w:val="182"/>
        <w:spacing w:line="500" w:lineRule="exact"/>
        <w:ind w:right="-313" w:rightChars="-149" w:firstLine="649" w:firstLineChars="202"/>
        <w:jc w:val="both"/>
        <w:rPr>
          <w:rFonts w:ascii="仿宋" w:hAnsi="仿宋" w:eastAsia="仿宋" w:cs="仿宋"/>
          <w:b/>
          <w:color w:val="auto"/>
          <w:sz w:val="32"/>
          <w:szCs w:val="28"/>
          <w:highlight w:val="none"/>
        </w:rPr>
      </w:pPr>
    </w:p>
    <w:p>
      <w:pPr>
        <w:pStyle w:val="27"/>
        <w:spacing w:after="200" w:line="276" w:lineRule="auto"/>
        <w:ind w:right="-313" w:rightChars="-149"/>
        <w:jc w:val="both"/>
        <w:rPr>
          <w:rFonts w:ascii="仿宋" w:hAnsi="仿宋" w:eastAsia="仿宋" w:cs="仿宋"/>
          <w:b/>
          <w:color w:val="auto"/>
          <w:sz w:val="32"/>
          <w:szCs w:val="28"/>
          <w:highlight w:val="none"/>
        </w:rPr>
      </w:pPr>
      <w:r>
        <w:rPr>
          <w:rFonts w:hint="eastAsia" w:ascii="仿宋" w:hAnsi="仿宋" w:eastAsia="仿宋" w:cs="仿宋"/>
          <w:b/>
          <w:color w:val="auto"/>
          <w:sz w:val="32"/>
          <w:szCs w:val="28"/>
          <w:highlight w:val="none"/>
        </w:rPr>
        <w:t>四、响应文件的递交</w:t>
      </w:r>
      <w:bookmarkEnd w:id="99"/>
      <w:bookmarkEnd w:id="100"/>
      <w:bookmarkEnd w:id="101"/>
      <w:bookmarkEnd w:id="102"/>
      <w:bookmarkEnd w:id="103"/>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4.1 响应文件的密封和标记</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4.1 .1供应商应通过电子投标文件制作工具严格按磋商文件要求制作投标文件，在投标截止时间前完成上传经过数字证书电子签章并加密的投标文件。供应商在投标截止时间前，可以对其所递交的投标文件进行修改并重新上传，但以投标截止时间前最后一次上传的投标文件为有效投标文件。</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投标截止时间以兵团政府采购网（ccgp-bingtuan.gov.cn）平台显示的时间为准，逾期系统将自动关闭，未完成上传的投标文件视为逾期送达，将被拒绝。</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4.1.2是否采用不见面开标方式详见供应商须知前附表，若本项目采用不见面开标，无需提供电子投标文件U盘、纸质投标文件。</w:t>
      </w:r>
    </w:p>
    <w:p>
      <w:pPr>
        <w:pStyle w:val="182"/>
        <w:ind w:right="-313" w:rightChars="-149"/>
        <w:contextualSpacing/>
        <w:jc w:val="both"/>
        <w:rPr>
          <w:rFonts w:ascii="仿宋" w:hAnsi="仿宋" w:eastAsia="仿宋" w:cs="仿宋"/>
          <w:b/>
          <w:color w:val="auto"/>
          <w:sz w:val="28"/>
          <w:szCs w:val="28"/>
          <w:highlight w:val="none"/>
        </w:rPr>
      </w:pP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4.2响应文件的递交</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4.2.1供应商应在磋商文件规定的响应文件递交截止时间前将电子响应文件上传到指定网站的指定栏目。未在响应文件递交截止时间前完成上传的电子响应文件视为逾期送达。逾期上传或未按规定方式上传的电子响应文件，采购单位不予受理。</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4.2.2是否采用不见面开标详见供应商须知前附表，若项目采用不见面开标。只需将加密电子投标文件在投标截止时间前通过兵团政府采购网（ccgp-bingtuan.gov.cn）平台上传完成。逾期上传的或者未上传到平台的投标文件，采购人不予受理。</w:t>
      </w:r>
    </w:p>
    <w:p>
      <w:pPr>
        <w:pStyle w:val="182"/>
        <w:ind w:right="-313" w:rightChars="-149"/>
        <w:contextualSpacing/>
        <w:jc w:val="both"/>
        <w:rPr>
          <w:rFonts w:ascii="仿宋" w:hAnsi="仿宋" w:eastAsia="仿宋" w:cs="仿宋"/>
          <w:b/>
          <w:color w:val="auto"/>
          <w:sz w:val="28"/>
          <w:szCs w:val="28"/>
          <w:highlight w:val="none"/>
        </w:rPr>
      </w:pP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4.3迟交的响应文件</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4.3</w:t>
      </w:r>
      <w:r>
        <w:rPr>
          <w:rFonts w:hint="eastAsia" w:ascii="仿宋" w:hAnsi="仿宋" w:eastAsia="仿宋" w:cs="仿宋"/>
          <w:color w:val="auto"/>
          <w:sz w:val="28"/>
          <w:szCs w:val="28"/>
          <w:highlight w:val="none"/>
        </w:rPr>
        <w:t>.1采购</w:t>
      </w:r>
      <w:r>
        <w:rPr>
          <w:rFonts w:hint="eastAsia" w:ascii="仿宋" w:hAnsi="仿宋" w:eastAsia="仿宋" w:cs="仿宋"/>
          <w:color w:val="auto"/>
          <w:kern w:val="0"/>
          <w:sz w:val="28"/>
          <w:szCs w:val="28"/>
          <w:highlight w:val="none"/>
        </w:rPr>
        <w:t>单位将拒绝并原封退回在规定的响应文件递交截止期后送达的任何响应文件。由于对网上招标操作不熟悉或自身电脑、网络的原因导致不能在响应文件递交截止时间之前上传响应文件，由供应商自行承担。建议于开标前1个工作日完成响应文件的制作与上传。</w:t>
      </w:r>
    </w:p>
    <w:p>
      <w:pPr>
        <w:pStyle w:val="182"/>
        <w:ind w:right="-313" w:rightChars="-149"/>
        <w:contextualSpacing/>
        <w:jc w:val="both"/>
        <w:rPr>
          <w:rFonts w:ascii="仿宋" w:hAnsi="仿宋" w:eastAsia="仿宋" w:cs="仿宋"/>
          <w:b/>
          <w:color w:val="auto"/>
          <w:sz w:val="28"/>
          <w:szCs w:val="28"/>
          <w:highlight w:val="none"/>
        </w:rPr>
      </w:pP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4.4响应文件的修改和撤回</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4.4.1供应商在磋商文件规定的响应文件递交截止时间前，可以撤回已上传的响应文件。如要修改，必须在撤回并修改后在规定的响应文件递交截止时间之前将修改后的响应文件再重新上传。在响应文件递交截止时间之后，供应商不得对上传的响应文件撤销或修改。</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4.4.2供应商所提交的响应文件在评审结束后，无论中标与否都不退还。</w:t>
      </w:r>
    </w:p>
    <w:p>
      <w:pPr>
        <w:pStyle w:val="27"/>
        <w:spacing w:after="200" w:line="276" w:lineRule="auto"/>
        <w:ind w:right="-313" w:rightChars="-149"/>
        <w:jc w:val="both"/>
        <w:rPr>
          <w:rFonts w:ascii="仿宋" w:hAnsi="仿宋" w:eastAsia="仿宋" w:cs="仿宋"/>
          <w:b/>
          <w:color w:val="auto"/>
          <w:sz w:val="32"/>
          <w:szCs w:val="28"/>
          <w:highlight w:val="none"/>
        </w:rPr>
      </w:pPr>
      <w:bookmarkStart w:id="104" w:name="_Toc293736014"/>
      <w:bookmarkStart w:id="105" w:name="_Toc446599314"/>
      <w:bookmarkStart w:id="106" w:name="_Toc293738995"/>
      <w:bookmarkStart w:id="107" w:name="_Toc293736057"/>
      <w:bookmarkStart w:id="108" w:name="_Toc5596"/>
      <w:bookmarkStart w:id="109" w:name="_Toc256000009"/>
      <w:bookmarkStart w:id="110" w:name="_Toc31106"/>
      <w:r>
        <w:rPr>
          <w:rFonts w:hint="eastAsia" w:ascii="仿宋" w:hAnsi="仿宋" w:eastAsia="仿宋" w:cs="仿宋"/>
          <w:b/>
          <w:color w:val="auto"/>
          <w:sz w:val="32"/>
          <w:szCs w:val="28"/>
          <w:highlight w:val="none"/>
        </w:rPr>
        <w:t>五、</w:t>
      </w:r>
      <w:bookmarkEnd w:id="104"/>
      <w:bookmarkEnd w:id="105"/>
      <w:bookmarkEnd w:id="106"/>
      <w:bookmarkEnd w:id="107"/>
      <w:r>
        <w:rPr>
          <w:rFonts w:hint="eastAsia" w:ascii="仿宋" w:hAnsi="仿宋" w:eastAsia="仿宋" w:cs="仿宋"/>
          <w:b/>
          <w:color w:val="auto"/>
          <w:sz w:val="32"/>
          <w:szCs w:val="28"/>
          <w:highlight w:val="none"/>
        </w:rPr>
        <w:t>竞争性磋商程序</w:t>
      </w:r>
      <w:bookmarkEnd w:id="108"/>
      <w:bookmarkEnd w:id="109"/>
      <w:bookmarkEnd w:id="110"/>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5.1磋商小组的组成</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5.1.1评审由采购单位依法组建的磋商小组负责。磋商小组由采购人代表和有关技术、经济等方面的专家组成。全面负责对响应文件的审查、评审、磋商、打分等全部评审工作。磋商小组人数以及技术、经济方面的专家组成见</w:t>
      </w:r>
      <w:r>
        <w:rPr>
          <w:color w:val="auto"/>
          <w:highlight w:val="none"/>
        </w:rPr>
        <w:fldChar w:fldCharType="begin"/>
      </w:r>
      <w:r>
        <w:rPr>
          <w:color w:val="auto"/>
          <w:highlight w:val="none"/>
        </w:rPr>
        <w:instrText xml:space="preserve"> HYPERLINK "file:///C:\\WordForm\\e944b4b1-01b6-4e42-b170-f783fcf7903a.doc" \l "_评标委员会" </w:instrText>
      </w:r>
      <w:r>
        <w:rPr>
          <w:color w:val="auto"/>
          <w:highlight w:val="none"/>
        </w:rPr>
        <w:fldChar w:fldCharType="separate"/>
      </w:r>
      <w:r>
        <w:rPr>
          <w:rFonts w:hint="eastAsia" w:ascii="仿宋" w:hAnsi="仿宋" w:eastAsia="仿宋" w:cs="仿宋"/>
          <w:color w:val="auto"/>
          <w:kern w:val="0"/>
          <w:sz w:val="28"/>
          <w:szCs w:val="28"/>
          <w:highlight w:val="none"/>
        </w:rPr>
        <w:t>供应商须知前附表</w:t>
      </w:r>
      <w:r>
        <w:rPr>
          <w:rFonts w:hint="eastAsia" w:ascii="仿宋" w:hAnsi="仿宋" w:eastAsia="仿宋" w:cs="仿宋"/>
          <w:color w:val="auto"/>
          <w:kern w:val="0"/>
          <w:sz w:val="28"/>
          <w:szCs w:val="28"/>
          <w:highlight w:val="none"/>
        </w:rPr>
        <w:fldChar w:fldCharType="end"/>
      </w:r>
      <w:r>
        <w:rPr>
          <w:rFonts w:hint="eastAsia" w:ascii="仿宋" w:hAnsi="仿宋" w:eastAsia="仿宋" w:cs="仿宋"/>
          <w:color w:val="auto"/>
          <w:kern w:val="0"/>
          <w:sz w:val="28"/>
          <w:szCs w:val="28"/>
          <w:highlight w:val="none"/>
        </w:rPr>
        <w:t>。</w:t>
      </w:r>
    </w:p>
    <w:p>
      <w:pPr>
        <w:pStyle w:val="182"/>
        <w:ind w:right="-313" w:rightChars="-149"/>
        <w:contextualSpacing/>
        <w:jc w:val="both"/>
        <w:rPr>
          <w:rFonts w:ascii="仿宋" w:hAnsi="仿宋" w:eastAsia="仿宋" w:cs="仿宋"/>
          <w:b/>
          <w:color w:val="auto"/>
          <w:sz w:val="28"/>
          <w:szCs w:val="28"/>
          <w:highlight w:val="none"/>
        </w:rPr>
      </w:pP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5.2磋商方法</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5.2.1磋商小组将按照磋商文件确定的评审方法进行评审。磋商小组对响应文件的评审分为响应文件初审、澄清有关问题、比较与评价响应文件、推荐中标候选人名单。</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5.2.1项目评审方法详见磋商文件“第四章 评审方法、步骤及标准”。</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5.2.3 磋商小组依法独立评审，严格遵守评审工作纪律。对需要共同认定的事项存在争议的，按照少数服从多数的原则作出评审结论。持不同意见的评标委员会成员应当在评标报告上签署不同意见并说明理由，不签署不同意见的视为同意。</w:t>
      </w:r>
    </w:p>
    <w:p>
      <w:pPr>
        <w:pStyle w:val="182"/>
        <w:ind w:right="-313" w:rightChars="-149"/>
        <w:contextualSpacing/>
        <w:jc w:val="both"/>
        <w:rPr>
          <w:rFonts w:ascii="仿宋" w:hAnsi="仿宋" w:eastAsia="仿宋" w:cs="仿宋"/>
          <w:b/>
          <w:color w:val="auto"/>
          <w:sz w:val="28"/>
          <w:szCs w:val="28"/>
          <w:highlight w:val="none"/>
        </w:rPr>
      </w:pP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5.3响应文件的初审</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初审分为资格性检查和符合性检查。</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5.3.1资格性检查</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（1）磋商小组根据评审办法前附表规定的评审因素和评审标准，对供应商的响应文件进行资格评审。资格性检查不合格的供应商的响应文件作无效文件处理。</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（2）磋商小组在进行资格检查时，不得改变磋商文件中已载明的资格条件、标准和办法。资格性检查不合格的供应商的响应文件作无效文件处理。</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（3）供应商在递交响应文件的同时，应逐项对照上述资格性检查要求提交相应的资格证明文件供磋商小组核查，否则评委将不予采信。</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（4）磋商小组在评审中必要时可按供应商提供的联系方式就有关问题进行查询核实，或要求供应商做出书面澄清，查询及澄清结果将作为审查的依据。</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（5）通过全部资格性检查条件合格的供应商才能通过资格检查，其响应文件方可进入下一个检查阶段。</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5.3.2符合性检查</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磋商小组根据评审办法前附表规定的评审因素和评审标准，对供应商的响应文件进行符合性检查。符合性检查不合格的供应商的响应文件作无效文件处理。</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5.3.3评标委员会审查投标文件是否实质上响应磋商文件的要求。</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1）实质上响应的投标是指与磋商文件上的条款、条件和规格相符，没有重大偏离或保留，否则将视为无效投标。</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重大偏离或保留系指投标货物的质量、数量和交付日期等明显不能满足磋商文件的要求，或者实质上与磋商文件不一致，纠正这些偏离或保留将对其他实质上响应要求的供应商的竞争地位产生不公正的影响。包括但不限于：</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A、磋商文件第二部分“供应商须知前附表” “投标文件组成”部分；</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B、投标文件未按磋商文件的规定签章的；</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C、未按投标文件份数要求提交投标文件的；</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D、磋商文件带“★”号部分任意一款不满足要求的；</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E、报价超过项目预算或经评标委员会认定低于成本的；</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F、投标有效期不足的；</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G、联合体投标文件未附联合体投标协议书的；</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H、不符合磋商文件中有关分包规定的；</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I、有串通投标或弄虚作假或有其他违法行为的；</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J、供应商递交的加密电子投标文件无法满足正常开标、评标使用功能的；</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K、供应商名称或组织结构与领取采购文件时不一致且无有效变更证明的；</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L、不符合磋商文件中规定的其他实质性要求。</w:t>
      </w:r>
    </w:p>
    <w:p>
      <w:pPr>
        <w:pStyle w:val="182"/>
        <w:ind w:right="-313" w:rightChars="-149"/>
        <w:contextualSpacing/>
        <w:jc w:val="both"/>
        <w:rPr>
          <w:rFonts w:ascii="仿宋" w:hAnsi="仿宋" w:eastAsia="仿宋" w:cs="仿宋"/>
          <w:b/>
          <w:color w:val="auto"/>
          <w:sz w:val="28"/>
          <w:szCs w:val="28"/>
          <w:highlight w:val="none"/>
        </w:rPr>
      </w:pP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5.4违法违规行为 </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5.4.1在评审过程中，磋商小组发现供应商有下列情形之一的，作无效文件处理：</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（1）属于同一集团、协会、商会等组织成员的供应商按照该组织要求协同投标；</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（2）不同供应商的响应文件由同一单位或者个人编制；</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（3）不同供应商委托同一单位或者个人办理投标事宜；</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（4）不同供应商的响应文件载明的项目管理成员为同一人；</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（5）不同供应商的响应文件异常一致或者投标报价呈规律性差异；</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（6）不同供应商的响应文件相互混装；</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（7）不同供应商的投标保证金从同一单位或者个人的账户转出；</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（8）使用伪造、变造的行政许可证件；</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（9）提供虚假的财务状况或者业绩；</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（10）提供虚假的项目负责人或者主要技术人员简历、劳动关系证明；</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（11）提供虚假的信用状况；</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（12）其他弄虚作假的行为。</w:t>
      </w:r>
    </w:p>
    <w:p>
      <w:pPr>
        <w:pStyle w:val="182"/>
        <w:ind w:right="-313" w:rightChars="-149"/>
        <w:contextualSpacing/>
        <w:jc w:val="both"/>
        <w:rPr>
          <w:rFonts w:ascii="仿宋" w:hAnsi="仿宋" w:eastAsia="仿宋" w:cs="仿宋"/>
          <w:b/>
          <w:color w:val="auto"/>
          <w:sz w:val="28"/>
          <w:szCs w:val="28"/>
          <w:highlight w:val="none"/>
        </w:rPr>
      </w:pP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5.5 磋商小组审查响应文件是否完整、有无计算上的错误等。</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5.5.1 响应文件的修正及澄清</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（1）磋商小组对确定为实质上响应磋商文件要求的响应文件进行校核，看其是否有计算或表达上的错误，算术错误将按以下方法更正：</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响应文件的大写金额和小写金额不一致的，以大写金额为准；总价金额与单价汇总金额不一致的，以单价汇总金额计算结果为准；单价金额小数点有明显错位的，应以总价为准，并修改单价。提交最终报价时，如果供应商不接受对其错误的更正，其响应文件将被视为无效文件。</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5.5.2评审之前，磋商小组要审查每份响应文件是否实质上响应了磋商文件的要求。实质上响应的响应文件应该是与磋商文件要求的关键条款、条件和规格相符没有重大偏离的响应文件。对关键条款的偏离或反对将被认定为是实质上的不响应。磋商小组决定响应文件的响应性只根据响应文件本身的真实无误的内容，而不依据外部的证据。但响应文件有不真实不正确的内容的除外。</w:t>
      </w:r>
    </w:p>
    <w:p>
      <w:pPr>
        <w:pStyle w:val="182"/>
        <w:spacing w:line="500" w:lineRule="exact"/>
        <w:ind w:right="-313" w:rightChars="-149" w:firstLine="565" w:firstLineChars="202"/>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5.5.3实质上没有响应磋商文件要求的响应文件将被视为无效文件。供应商不得通过修正或撤销不合要求的偏离从而使其成为实质上响应的文件。</w:t>
      </w:r>
    </w:p>
    <w:p>
      <w:pPr>
        <w:pStyle w:val="182"/>
        <w:spacing w:line="600" w:lineRule="exact"/>
        <w:ind w:right="-313" w:rightChars="-149" w:firstLine="562" w:firstLineChars="201"/>
        <w:contextualSpacing/>
        <w:jc w:val="both"/>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5.5.4评审期间，磋商小组有权要求供应商对其响应文件中含义不明确、同类问题表述不一致或者有明显文字和计算错误的内容等作必要的澄清、说明或者补正。供应商必须按照磋商小组要求的澄清内容和时间做出澄清。除按本磋商文件规定改正算术错误外，供应商对响应文件的澄清不得超出响应文件的范围或者改变响应文件的实质性内容。在评审期间,磋商小组可要求供应商对其响应文件进行澄清，但不得寻求、提供或允许供应商对投标报价等实质性内容做任何更改。有关澄清的答复均应由供应商的法定代表人或授权代表以书面形式作出并签字。</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rPr>
        <w:t>5.5.5供应商的澄清文件是其响应文件</w:t>
      </w:r>
      <w:r>
        <w:rPr>
          <w:rFonts w:hint="eastAsia" w:ascii="仿宋" w:hAnsi="仿宋" w:eastAsia="仿宋" w:cs="仿宋"/>
          <w:color w:val="auto"/>
          <w:sz w:val="28"/>
          <w:szCs w:val="28"/>
          <w:highlight w:val="none"/>
        </w:rPr>
        <w:t>的组成部分。</w:t>
      </w:r>
    </w:p>
    <w:p>
      <w:pPr>
        <w:pStyle w:val="182"/>
        <w:ind w:right="-313" w:rightChars="-149"/>
        <w:contextualSpacing/>
        <w:jc w:val="both"/>
        <w:rPr>
          <w:rFonts w:ascii="仿宋" w:hAnsi="仿宋" w:eastAsia="仿宋" w:cs="仿宋"/>
          <w:b/>
          <w:color w:val="auto"/>
          <w:sz w:val="28"/>
          <w:szCs w:val="28"/>
          <w:highlight w:val="none"/>
        </w:rPr>
      </w:pP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5.6磋商</w:t>
      </w:r>
    </w:p>
    <w:p>
      <w:pPr>
        <w:pStyle w:val="182"/>
        <w:spacing w:line="500" w:lineRule="exact"/>
        <w:ind w:right="-313" w:rightChars="-149"/>
        <w:jc w:val="both"/>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A．采用见面开标方式</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5.6.1磋商小组所有成员应当集中与单一供应商分别进行磋商，并给予所有参加磋商的供应商平等的磋商机会。</w:t>
      </w:r>
    </w:p>
    <w:p>
      <w:pPr>
        <w:pStyle w:val="182"/>
        <w:spacing w:line="500" w:lineRule="exact"/>
        <w:ind w:right="-313" w:rightChars="-149" w:firstLine="565" w:firstLineChars="202"/>
        <w:jc w:val="both"/>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5.6.2在磋商过程中，磋商小组可以根据磋商文件和磋商情况实质性变动采购需求中的技术、服务要求以及合同草案条款，但不得变动磋商文件中的其他内容。实质性变动的内容，须经采购人代表确认。</w:t>
      </w:r>
    </w:p>
    <w:p>
      <w:pPr>
        <w:pStyle w:val="182"/>
        <w:spacing w:line="500" w:lineRule="exact"/>
        <w:ind w:right="-313" w:rightChars="-149" w:firstLine="565" w:firstLineChars="202"/>
        <w:jc w:val="both"/>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　　5.6.3对磋商文件作出的实质性变动是磋商文件的有效组成部分，磋商小组应当及时以书面形式同时通知所有参加磋商的供应商。</w:t>
      </w:r>
    </w:p>
    <w:p>
      <w:pPr>
        <w:pStyle w:val="182"/>
        <w:spacing w:line="500" w:lineRule="exact"/>
        <w:ind w:right="-313" w:rightChars="-149" w:firstLine="565" w:firstLineChars="202"/>
        <w:jc w:val="both"/>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　　5.6.4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5.6.5磋商文件能够详细列明采购标的的技术、服务要求的，磋商结束后，磋商小组应当要求所有实质性响应的供应商在规定时间内提交最后报价，提交最后报价的供应商不得少于2家。</w:t>
      </w:r>
    </w:p>
    <w:p>
      <w:pPr>
        <w:pStyle w:val="182"/>
        <w:spacing w:line="500" w:lineRule="exact"/>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5.5.6磋商文件不能详细列明采购标的的技术、服务要求，需经磋商由供应商提供最终设计方案或解决方案的，磋商结束后，磋商小组应当按照少数服从多数的原则投票推荐2家以上供应商的设计方案或者解决方案，并要求其在规定时间内提交最后报价。</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5.6.7已提交响应文件的供应商，在提交最后报价之前，可以根据磋商情况退出磋商。其磋商保证金将予以退还。</w:t>
      </w:r>
    </w:p>
    <w:p>
      <w:pPr>
        <w:pStyle w:val="182"/>
        <w:widowControl/>
        <w:spacing w:line="520" w:lineRule="atLeast"/>
        <w:ind w:right="-313" w:rightChars="-149" w:firstLine="560" w:firstLineChars="200"/>
        <w:jc w:val="both"/>
        <w:textAlignment w:val="baseline"/>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5.6.8最后报价是供应商响应文件的有效组成部分。符合本办法第三条第四项情形的，提交最后报价的供应商可以为2家。</w:t>
      </w:r>
    </w:p>
    <w:p>
      <w:pPr>
        <w:pStyle w:val="182"/>
        <w:spacing w:line="500" w:lineRule="exact"/>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5.6.9经磋商确定最终采购需求和提交最后报价的供应商后，由磋商小组采用综合评分法对提交最后报价的供应商的响应文件和最后报价进行综合评分。</w:t>
      </w:r>
    </w:p>
    <w:p>
      <w:pPr>
        <w:pStyle w:val="182"/>
        <w:spacing w:line="500" w:lineRule="exact"/>
        <w:ind w:right="-313" w:rightChars="-149"/>
        <w:jc w:val="both"/>
        <w:rPr>
          <w:rFonts w:ascii="仿宋" w:hAnsi="仿宋" w:eastAsia="仿宋" w:cs="仿宋"/>
          <w:color w:val="auto"/>
          <w:sz w:val="28"/>
          <w:szCs w:val="28"/>
          <w:highlight w:val="none"/>
        </w:rPr>
      </w:pPr>
      <w:r>
        <w:rPr>
          <w:rFonts w:hint="eastAsia" w:ascii="仿宋" w:hAnsi="仿宋" w:eastAsia="仿宋" w:cs="仿宋"/>
          <w:b/>
          <w:color w:val="auto"/>
          <w:sz w:val="28"/>
          <w:szCs w:val="28"/>
          <w:highlight w:val="none"/>
        </w:rPr>
        <w:t>B．采用不见面开标方式</w:t>
      </w:r>
      <w:r>
        <w:rPr>
          <w:rFonts w:hint="eastAsia" w:ascii="仿宋" w:hAnsi="仿宋" w:eastAsia="仿宋" w:cs="仿宋"/>
          <w:color w:val="auto"/>
          <w:sz w:val="28"/>
          <w:szCs w:val="28"/>
          <w:highlight w:val="none"/>
        </w:rPr>
        <w:t>（是否采用详见供应商须知前附表）</w:t>
      </w:r>
    </w:p>
    <w:p>
      <w:pPr>
        <w:pStyle w:val="182"/>
        <w:spacing w:line="500" w:lineRule="exact"/>
        <w:ind w:right="-313" w:rightChars="-149" w:firstLine="562" w:firstLineChars="200"/>
        <w:jc w:val="both"/>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招标人在规定的投标截止时间（开标时间）和供应商须知前附表规定的地点开标。供应商的法定代表人或其委托代理人无需到达开标现场，仅需在任意地点通过兵团政府采购网政采云远程开标大厅，使用CA密钥完成远程解密、提疑澄清、开标唱标、结果公布等交互环节。</w:t>
      </w:r>
    </w:p>
    <w:p>
      <w:pPr>
        <w:pStyle w:val="182"/>
        <w:spacing w:line="500" w:lineRule="exact"/>
        <w:ind w:right="-313" w:rightChars="-149" w:firstLine="562" w:firstLineChars="200"/>
        <w:jc w:val="both"/>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法定代表人或法定代表人授权委托人参与远程交互，中途不得更换，在废标、澄清、提疑、传送文件等特殊情况下需要交互时，供应商一端参与交互的人员将均被视为是供应商的授权委托人或法人代表，供应商不得以不承认交互人员的资格或身份等为借口推脱，供应商自行承担随意更换人员所导致的一切后果。</w:t>
      </w:r>
    </w:p>
    <w:p>
      <w:pPr>
        <w:pStyle w:val="182"/>
        <w:spacing w:line="500" w:lineRule="exact"/>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5.6.10采购结果确认</w:t>
      </w:r>
    </w:p>
    <w:p>
      <w:pPr>
        <w:pStyle w:val="182"/>
        <w:spacing w:line="500" w:lineRule="exact"/>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磋商小组按照磋商文件确定的评标方法、步骤、标准，对响应文件进行评审。按评审后得分由高到底顺序排列。得分相同的，按供应商报价由低到高的顺序排列。得分且报价相同的，按技术指标优劣顺序排列。磋商小组依据对各响应文件的评审结果，按各供应商的得分由高到低的顺序向采购人推荐成交候选供应商。</w:t>
      </w:r>
    </w:p>
    <w:p>
      <w:pPr>
        <w:pStyle w:val="182"/>
        <w:ind w:right="-313" w:rightChars="-149"/>
        <w:contextualSpacing/>
        <w:jc w:val="both"/>
        <w:rPr>
          <w:rFonts w:ascii="仿宋" w:hAnsi="仿宋" w:eastAsia="仿宋" w:cs="仿宋"/>
          <w:b/>
          <w:color w:val="auto"/>
          <w:sz w:val="28"/>
          <w:szCs w:val="28"/>
          <w:highlight w:val="none"/>
        </w:rPr>
      </w:pP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5.7.公示或公告</w:t>
      </w:r>
    </w:p>
    <w:p>
      <w:pPr>
        <w:pStyle w:val="182"/>
        <w:tabs>
          <w:tab w:val="left" w:pos="1875"/>
        </w:tabs>
        <w:adjustRightInd w:val="0"/>
        <w:snapToGrid w:val="0"/>
        <w:spacing w:line="500" w:lineRule="exact"/>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5.7.1成交供应商确定后，采购代理机构将在政府采购监管部门指定的媒体上发布成交公告，同时向成交供应商发出《成交通知书》。《成交通知书》是合同的组成部分,对成交供应商和采购人具有同等法律效力。</w:t>
      </w:r>
    </w:p>
    <w:p>
      <w:pPr>
        <w:pStyle w:val="182"/>
        <w:ind w:right="-313" w:rightChars="-149"/>
        <w:contextualSpacing/>
        <w:jc w:val="both"/>
        <w:rPr>
          <w:rFonts w:ascii="仿宋" w:hAnsi="仿宋" w:eastAsia="仿宋" w:cs="仿宋"/>
          <w:b/>
          <w:color w:val="auto"/>
          <w:sz w:val="28"/>
          <w:szCs w:val="28"/>
          <w:highlight w:val="none"/>
        </w:rPr>
      </w:pPr>
      <w:bookmarkStart w:id="111" w:name="_Toc256000010"/>
      <w:bookmarkStart w:id="112" w:name="_Toc293736058"/>
      <w:bookmarkStart w:id="113" w:name="_Toc293736015"/>
      <w:bookmarkStart w:id="114" w:name="_Toc446599315"/>
      <w:bookmarkStart w:id="115" w:name="_Toc293738996"/>
      <w:bookmarkStart w:id="116" w:name="_Toc31594"/>
      <w:r>
        <w:rPr>
          <w:rFonts w:hint="eastAsia" w:ascii="仿宋" w:hAnsi="仿宋" w:eastAsia="仿宋" w:cs="仿宋"/>
          <w:b/>
          <w:color w:val="auto"/>
          <w:sz w:val="28"/>
          <w:szCs w:val="28"/>
          <w:highlight w:val="none"/>
        </w:rPr>
        <w:t>5.8履约担保</w:t>
      </w:r>
    </w:p>
    <w:p>
      <w:pPr>
        <w:pStyle w:val="182"/>
        <w:tabs>
          <w:tab w:val="left" w:pos="1875"/>
        </w:tabs>
        <w:adjustRightInd w:val="0"/>
        <w:snapToGrid w:val="0"/>
        <w:spacing w:line="500" w:lineRule="exact"/>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5.8.1 在签订合同前，中标人应按投标人须知前附表规定的担保形式和磋商文件第五部分“合同条款及格式”规定的或者事先经过采购人书面认可的履约担保格式向采购人提交履约担保。除投标人须知前附表另有规定外，履约担保金额为中标合同金额的5%。联合体中标的，其履约担保由联合体各方或者联合体中牵头人的名义提交。</w:t>
      </w:r>
    </w:p>
    <w:p>
      <w:pPr>
        <w:pStyle w:val="182"/>
        <w:keepNext/>
        <w:keepLines/>
        <w:adjustRightInd w:val="0"/>
        <w:snapToGrid w:val="0"/>
        <w:spacing w:before="260" w:after="260" w:line="500" w:lineRule="exact"/>
        <w:ind w:left="-88" w:leftChars="-42" w:right="-313" w:rightChars="-149" w:firstLine="560" w:firstLineChars="200"/>
        <w:contextualSpacing/>
        <w:jc w:val="both"/>
        <w:outlineLvl w:val="1"/>
        <w:rPr>
          <w:rFonts w:ascii="仿宋" w:hAnsi="仿宋" w:eastAsia="仿宋" w:cs="仿宋"/>
          <w:b/>
          <w:color w:val="auto"/>
          <w:sz w:val="32"/>
          <w:szCs w:val="28"/>
          <w:highlight w:val="none"/>
        </w:rPr>
      </w:pPr>
      <w:r>
        <w:rPr>
          <w:rFonts w:hint="eastAsia" w:ascii="仿宋" w:hAnsi="仿宋" w:eastAsia="仿宋" w:cs="仿宋"/>
          <w:color w:val="auto"/>
          <w:sz w:val="28"/>
          <w:szCs w:val="28"/>
          <w:highlight w:val="none"/>
        </w:rPr>
        <w:t>5.8.2 中标人不能按本章第6.3.1项要求提交履约担保的，视为放弃中标，其投标保证金不予退还，给招标人造成的损失超过投标保证金数额的，中标人还应当对超过部分予以赔偿。</w:t>
      </w:r>
    </w:p>
    <w:p>
      <w:pPr>
        <w:pStyle w:val="27"/>
        <w:spacing w:after="200" w:line="276" w:lineRule="auto"/>
        <w:ind w:right="-313" w:rightChars="-149"/>
        <w:jc w:val="both"/>
        <w:rPr>
          <w:rFonts w:ascii="仿宋" w:hAnsi="仿宋" w:eastAsia="仿宋" w:cs="仿宋"/>
          <w:b/>
          <w:color w:val="auto"/>
          <w:sz w:val="32"/>
          <w:szCs w:val="28"/>
          <w:highlight w:val="none"/>
        </w:rPr>
      </w:pPr>
      <w:bookmarkStart w:id="117" w:name="_Toc13122"/>
      <w:r>
        <w:rPr>
          <w:rFonts w:hint="eastAsia" w:ascii="仿宋" w:hAnsi="仿宋" w:eastAsia="仿宋" w:cs="仿宋"/>
          <w:b/>
          <w:color w:val="auto"/>
          <w:sz w:val="32"/>
          <w:szCs w:val="28"/>
          <w:highlight w:val="none"/>
        </w:rPr>
        <w:t>六、 授予合同</w:t>
      </w:r>
      <w:bookmarkEnd w:id="111"/>
      <w:bookmarkEnd w:id="112"/>
      <w:bookmarkEnd w:id="113"/>
      <w:bookmarkEnd w:id="114"/>
      <w:bookmarkEnd w:id="115"/>
      <w:bookmarkEnd w:id="116"/>
      <w:bookmarkEnd w:id="117"/>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6.1 签订合同</w:t>
      </w:r>
    </w:p>
    <w:p>
      <w:pPr>
        <w:pStyle w:val="182"/>
        <w:tabs>
          <w:tab w:val="left" w:pos="1875"/>
        </w:tabs>
        <w:adjustRightInd w:val="0"/>
        <w:snapToGrid w:val="0"/>
        <w:spacing w:line="500" w:lineRule="exact"/>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6.1.1采购人应按磋商文件要求和中标人的响应文件承诺订立书面合同，不得超出磋商文件和中标人响应文件的范围，也不得再另行订立背离合同实质性内容的其他协议。</w:t>
      </w:r>
    </w:p>
    <w:p>
      <w:pPr>
        <w:pStyle w:val="182"/>
        <w:tabs>
          <w:tab w:val="left" w:pos="1875"/>
        </w:tabs>
        <w:adjustRightInd w:val="0"/>
        <w:snapToGrid w:val="0"/>
        <w:spacing w:line="500" w:lineRule="exact"/>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6.1.2采购人应在《成交通知书》发出之日起30天内与成交供应商签订政府采购合同。签订政府采购合同后7个工作日内，采购人应将政府采购合同副本报政府采购监管部门和政府采购代理机构备案。</w:t>
      </w:r>
    </w:p>
    <w:p>
      <w:pPr>
        <w:pStyle w:val="182"/>
        <w:tabs>
          <w:tab w:val="left" w:pos="1875"/>
        </w:tabs>
        <w:adjustRightInd w:val="0"/>
        <w:snapToGrid w:val="0"/>
        <w:spacing w:line="500" w:lineRule="exact"/>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6.1.3 采购人如需追加与合同标的相同的货物，在不改变合同其他条款的前提下，提交追加合同的申请报经同级财政部门、经同级财政部门审核后，可与中标人签订补充合同，但所有补充合同的采购金额不得超过原合同金额的百分之十。</w:t>
      </w:r>
    </w:p>
    <w:p>
      <w:pPr>
        <w:pStyle w:val="182"/>
        <w:tabs>
          <w:tab w:val="left" w:pos="1875"/>
        </w:tabs>
        <w:adjustRightInd w:val="0"/>
        <w:snapToGrid w:val="0"/>
        <w:spacing w:line="500" w:lineRule="exact"/>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6.1.4中标人一旦中标及签订合同后，不得转包，亦不得将合同全部及任何权利、义务向第三方转让。</w:t>
      </w:r>
    </w:p>
    <w:p>
      <w:pPr>
        <w:pStyle w:val="182"/>
        <w:tabs>
          <w:tab w:val="left" w:pos="1875"/>
        </w:tabs>
        <w:adjustRightInd w:val="0"/>
        <w:snapToGrid w:val="0"/>
        <w:spacing w:line="500" w:lineRule="exact"/>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6.1.5 中标人不履行合同的，采购人可在报经同级人民政府财政部门核准后，与排位在中标人之后的第一位中标候选供应商签订合同，以此类推；或在报经同级人民政府财政部门核准后重新组织采购。</w:t>
      </w:r>
    </w:p>
    <w:p>
      <w:pPr>
        <w:pStyle w:val="182"/>
        <w:adjustRightInd w:val="0"/>
        <w:snapToGrid w:val="0"/>
        <w:ind w:right="-313" w:rightChars="-149"/>
        <w:jc w:val="both"/>
        <w:rPr>
          <w:rFonts w:ascii="仿宋" w:hAnsi="仿宋" w:eastAsia="仿宋" w:cs="仿宋"/>
          <w:color w:val="auto"/>
          <w:sz w:val="28"/>
          <w:szCs w:val="28"/>
          <w:highlight w:val="none"/>
        </w:rPr>
      </w:pPr>
    </w:p>
    <w:p>
      <w:pPr>
        <w:pStyle w:val="182"/>
        <w:adjustRightInd w:val="0"/>
        <w:snapToGrid w:val="0"/>
        <w:ind w:right="-313" w:rightChars="-149"/>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6.2合同公示</w:t>
      </w:r>
    </w:p>
    <w:p>
      <w:pPr>
        <w:pStyle w:val="182"/>
        <w:tabs>
          <w:tab w:val="left" w:pos="1875"/>
        </w:tabs>
        <w:adjustRightInd w:val="0"/>
        <w:snapToGrid w:val="0"/>
        <w:spacing w:line="500" w:lineRule="exact"/>
        <w:ind w:right="-313" w:rightChars="-149" w:firstLine="560" w:firstLineChars="200"/>
        <w:jc w:val="both"/>
        <w:rPr>
          <w:rFonts w:ascii="仿宋" w:hAnsi="仿宋" w:eastAsia="仿宋" w:cs="仿宋"/>
          <w:color w:val="auto"/>
          <w:sz w:val="28"/>
          <w:szCs w:val="28"/>
          <w:highlight w:val="none"/>
        </w:rPr>
      </w:pPr>
      <w:r>
        <w:rPr>
          <w:rFonts w:ascii="仿宋" w:hAnsi="仿宋" w:eastAsia="仿宋" w:cs="仿宋"/>
          <w:color w:val="auto"/>
          <w:sz w:val="28"/>
          <w:szCs w:val="28"/>
          <w:highlight w:val="none"/>
        </w:rPr>
        <w:t>采购人应当自政府采购合同签订之日起2个工作日内，将政府采购合同在省级以上人民政府财政部门指定的媒体上公告，但政府采购合同中涉及国家秘密、商业秘密的内容除外。</w:t>
      </w:r>
    </w:p>
    <w:p>
      <w:pPr>
        <w:pStyle w:val="27"/>
        <w:spacing w:after="200" w:line="276" w:lineRule="auto"/>
        <w:ind w:right="-313" w:rightChars="-149"/>
        <w:jc w:val="both"/>
        <w:rPr>
          <w:rFonts w:ascii="仿宋" w:hAnsi="仿宋" w:eastAsia="仿宋" w:cs="仿宋"/>
          <w:b/>
          <w:color w:val="auto"/>
          <w:sz w:val="32"/>
          <w:szCs w:val="28"/>
          <w:highlight w:val="none"/>
        </w:rPr>
      </w:pPr>
      <w:bookmarkStart w:id="118" w:name="_Toc17116"/>
      <w:bookmarkStart w:id="119" w:name="_Toc293736016"/>
      <w:bookmarkStart w:id="120" w:name="_Toc293736059"/>
      <w:bookmarkStart w:id="121" w:name="_Toc446599316"/>
      <w:bookmarkStart w:id="122" w:name="_Toc293738997"/>
      <w:bookmarkStart w:id="123" w:name="_Toc15955"/>
      <w:bookmarkStart w:id="124" w:name="_Toc256000011"/>
    </w:p>
    <w:p>
      <w:pPr>
        <w:pStyle w:val="27"/>
        <w:spacing w:after="200" w:line="276" w:lineRule="auto"/>
        <w:ind w:right="-313" w:rightChars="-149"/>
        <w:jc w:val="both"/>
        <w:rPr>
          <w:rFonts w:ascii="仿宋" w:hAnsi="仿宋" w:eastAsia="仿宋" w:cs="仿宋"/>
          <w:b/>
          <w:color w:val="auto"/>
          <w:sz w:val="32"/>
          <w:szCs w:val="28"/>
          <w:highlight w:val="none"/>
        </w:rPr>
      </w:pPr>
      <w:r>
        <w:rPr>
          <w:rFonts w:hint="eastAsia" w:ascii="仿宋" w:hAnsi="仿宋" w:eastAsia="仿宋" w:cs="仿宋"/>
          <w:b/>
          <w:color w:val="auto"/>
          <w:sz w:val="32"/>
          <w:szCs w:val="28"/>
          <w:highlight w:val="none"/>
        </w:rPr>
        <w:t>七、处罚、询问和质疑</w:t>
      </w:r>
      <w:bookmarkEnd w:id="118"/>
      <w:r>
        <w:rPr>
          <w:rFonts w:hint="eastAsia" w:ascii="仿宋" w:hAnsi="仿宋" w:eastAsia="仿宋" w:cs="仿宋"/>
          <w:b/>
          <w:color w:val="auto"/>
          <w:sz w:val="32"/>
          <w:szCs w:val="28"/>
          <w:highlight w:val="none"/>
        </w:rPr>
        <w:t xml:space="preserve"> </w:t>
      </w:r>
    </w:p>
    <w:p>
      <w:pPr>
        <w:pStyle w:val="182"/>
        <w:ind w:right="-313" w:rightChars="-149"/>
        <w:contextualSpacing/>
        <w:jc w:val="both"/>
        <w:rPr>
          <w:rFonts w:ascii="仿宋" w:hAnsi="仿宋" w:eastAsia="仿宋" w:cs="仿宋"/>
          <w:b/>
          <w:color w:val="auto"/>
          <w:sz w:val="28"/>
          <w:szCs w:val="28"/>
          <w:highlight w:val="none"/>
        </w:rPr>
      </w:pPr>
      <w:bookmarkStart w:id="125" w:name="_Toc5102"/>
      <w:r>
        <w:rPr>
          <w:rFonts w:hint="eastAsia" w:ascii="仿宋" w:hAnsi="仿宋" w:eastAsia="仿宋" w:cs="仿宋"/>
          <w:b/>
          <w:color w:val="auto"/>
          <w:sz w:val="28"/>
          <w:szCs w:val="28"/>
          <w:highlight w:val="none"/>
        </w:rPr>
        <w:t>7.1处罚</w:t>
      </w:r>
      <w:bookmarkEnd w:id="125"/>
    </w:p>
    <w:p>
      <w:pPr>
        <w:pStyle w:val="182"/>
        <w:tabs>
          <w:tab w:val="left" w:pos="1875"/>
        </w:tabs>
        <w:adjustRightInd w:val="0"/>
        <w:snapToGrid w:val="0"/>
        <w:spacing w:line="500" w:lineRule="exact"/>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7.1.1发生下列情况之一，供应商的保证金不予退还；情节严重的将其列入不良记录名单。</w:t>
      </w:r>
    </w:p>
    <w:p>
      <w:pPr>
        <w:pStyle w:val="182"/>
        <w:tabs>
          <w:tab w:val="left" w:pos="1875"/>
        </w:tabs>
        <w:adjustRightInd w:val="0"/>
        <w:snapToGrid w:val="0"/>
        <w:spacing w:line="500" w:lineRule="exact"/>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1）开标后在投标有效期内，供应商撤回其投标；</w:t>
      </w:r>
    </w:p>
    <w:p>
      <w:pPr>
        <w:pStyle w:val="182"/>
        <w:tabs>
          <w:tab w:val="left" w:pos="1875"/>
        </w:tabs>
        <w:adjustRightInd w:val="0"/>
        <w:snapToGrid w:val="0"/>
        <w:spacing w:line="500" w:lineRule="exact"/>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2）中标后无正当理由不与采购人签订合同的；</w:t>
      </w:r>
    </w:p>
    <w:p>
      <w:pPr>
        <w:pStyle w:val="182"/>
        <w:tabs>
          <w:tab w:val="left" w:pos="1875"/>
        </w:tabs>
        <w:adjustRightInd w:val="0"/>
        <w:snapToGrid w:val="0"/>
        <w:spacing w:line="500" w:lineRule="exact"/>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3）中标人与采购人订立背离合同实质性内容的其他协议；</w:t>
      </w:r>
    </w:p>
    <w:p>
      <w:pPr>
        <w:pStyle w:val="182"/>
        <w:tabs>
          <w:tab w:val="left" w:pos="1875"/>
        </w:tabs>
        <w:adjustRightInd w:val="0"/>
        <w:snapToGrid w:val="0"/>
        <w:spacing w:line="500" w:lineRule="exact"/>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4）将中标项目转让给他人，或者在投标文件中未说明，且未经采购人同意，将中标项目分包给他人的；</w:t>
      </w:r>
    </w:p>
    <w:p>
      <w:pPr>
        <w:pStyle w:val="182"/>
        <w:tabs>
          <w:tab w:val="left" w:pos="1875"/>
        </w:tabs>
        <w:adjustRightInd w:val="0"/>
        <w:snapToGrid w:val="0"/>
        <w:spacing w:line="500" w:lineRule="exact"/>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5）存在串通投标行为的；</w:t>
      </w:r>
    </w:p>
    <w:p>
      <w:pPr>
        <w:pStyle w:val="182"/>
        <w:tabs>
          <w:tab w:val="left" w:pos="1875"/>
        </w:tabs>
        <w:adjustRightInd w:val="0"/>
        <w:snapToGrid w:val="0"/>
        <w:spacing w:line="500" w:lineRule="exact"/>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6）存在弄虚作假或提供虚假材料谋取中标的；</w:t>
      </w:r>
    </w:p>
    <w:p>
      <w:pPr>
        <w:pStyle w:val="182"/>
        <w:tabs>
          <w:tab w:val="left" w:pos="1875"/>
        </w:tabs>
        <w:adjustRightInd w:val="0"/>
        <w:snapToGrid w:val="0"/>
        <w:spacing w:line="500" w:lineRule="exact"/>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7）供应商其他未按磋商文件规定和合同约定履行义务的行为。</w:t>
      </w: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7.2．询问</w:t>
      </w:r>
    </w:p>
    <w:p>
      <w:pPr>
        <w:pStyle w:val="27"/>
        <w:spacing w:after="200" w:line="360" w:lineRule="auto"/>
        <w:ind w:right="-313" w:rightChars="-149" w:firstLine="560" w:firstLineChars="200"/>
        <w:jc w:val="both"/>
        <w:rPr>
          <w:rFonts w:ascii="仿宋" w:hAnsi="仿宋" w:eastAsia="仿宋" w:cs="仿宋"/>
          <w:b/>
          <w:color w:val="auto"/>
          <w:sz w:val="32"/>
          <w:szCs w:val="28"/>
          <w:highlight w:val="none"/>
        </w:rPr>
      </w:pPr>
      <w:r>
        <w:rPr>
          <w:rFonts w:hint="eastAsia" w:ascii="仿宋" w:hAnsi="仿宋" w:eastAsia="仿宋" w:cs="仿宋"/>
          <w:color w:val="auto"/>
          <w:sz w:val="28"/>
          <w:szCs w:val="28"/>
          <w:highlight w:val="none"/>
        </w:rPr>
        <w:t>7.2.1供应商对采购事项有疑问的，可以向采购人或采购代理机构提出询问。</w:t>
      </w:r>
    </w:p>
    <w:p>
      <w:pPr>
        <w:pStyle w:val="182"/>
        <w:ind w:right="-313" w:rightChars="-149"/>
        <w:contextualSpacing/>
        <w:jc w:val="both"/>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7.3.质疑</w:t>
      </w:r>
    </w:p>
    <w:p>
      <w:pPr>
        <w:pStyle w:val="27"/>
        <w:spacing w:after="200" w:line="360" w:lineRule="auto"/>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7.3.1供应商认为磋商文件、采购过程和成交结果使自已的权益受到损害的，可以在知道或者应知其权益受到损害之日起7个工作日内，以书面形式提出质疑。</w:t>
      </w:r>
    </w:p>
    <w:p>
      <w:pPr>
        <w:pStyle w:val="27"/>
        <w:spacing w:after="200" w:line="360" w:lineRule="auto"/>
        <w:ind w:right="-313" w:rightChars="-149" w:firstLine="562" w:firstLineChars="200"/>
        <w:jc w:val="both"/>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供应商应在法定质疑期内一次性提出针对同一采购程序环节的质疑。</w:t>
      </w:r>
    </w:p>
    <w:p>
      <w:pPr>
        <w:pStyle w:val="27"/>
        <w:spacing w:after="200" w:line="360" w:lineRule="auto"/>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7.3.2质疑应当按照《中华人民共和国政府采购法》、《中华人民共和国政府采购法实施条例》、《政府采购质疑和投诉办法》等法律法规的相关规定，以书面形式向采购代理机构提出。</w:t>
      </w:r>
    </w:p>
    <w:p>
      <w:pPr>
        <w:pStyle w:val="27"/>
        <w:spacing w:after="200" w:line="360" w:lineRule="auto"/>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7.3.3质疑书应当附上相关证明材料，否则质疑将视为无有效证据支持，将被予以驳回，并不得以上述理由要求延长质疑有效期。未递交投标文件的供应商，其未参加后续采购活动，不得对递交投标文件截止后的采购过程、采购结果提出质疑。</w:t>
      </w:r>
    </w:p>
    <w:p>
      <w:pPr>
        <w:pStyle w:val="27"/>
        <w:spacing w:after="200"/>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供应商提出质疑应当提交质疑函和必要的证明材料。质疑函应当包括下列内容：</w:t>
      </w:r>
    </w:p>
    <w:p>
      <w:pPr>
        <w:pStyle w:val="27"/>
        <w:spacing w:after="200"/>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（一）供应商的姓名或者名称、地址、邮编、联系人及联系电话；</w:t>
      </w:r>
    </w:p>
    <w:p>
      <w:pPr>
        <w:pStyle w:val="27"/>
        <w:spacing w:after="200"/>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（二）质疑项目的名称、编号；</w:t>
      </w:r>
    </w:p>
    <w:p>
      <w:pPr>
        <w:pStyle w:val="27"/>
        <w:spacing w:after="200"/>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（三）具体、明确的质疑事项和与质疑事项相关的请求；</w:t>
      </w:r>
    </w:p>
    <w:p>
      <w:pPr>
        <w:pStyle w:val="27"/>
        <w:spacing w:after="200"/>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（四）事实依据；</w:t>
      </w:r>
    </w:p>
    <w:p>
      <w:pPr>
        <w:pStyle w:val="27"/>
        <w:spacing w:after="200"/>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（五）必要的法律依据；</w:t>
      </w:r>
    </w:p>
    <w:p>
      <w:pPr>
        <w:pStyle w:val="27"/>
        <w:spacing w:after="200"/>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（六）提出质疑的日期。</w:t>
      </w:r>
    </w:p>
    <w:p>
      <w:pPr>
        <w:pStyle w:val="27"/>
        <w:spacing w:after="200" w:line="360" w:lineRule="auto"/>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供应商为自然人的，应当由本人签字；供应商为法人或者其他组织的，应当由法定代表人、主要负责人，或者其授权代表签字或者盖章，并加盖公章。</w:t>
      </w:r>
    </w:p>
    <w:p>
      <w:pPr>
        <w:pStyle w:val="27"/>
        <w:spacing w:after="200" w:line="360" w:lineRule="auto"/>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7.3.4质疑人可以采取直接送达或者邮寄方式提交质疑书。采购代理机构收到质疑书后，对质疑书进行审查，对符合质疑条件的将办理签收手续，自签收质疑书之日起即为受理。</w:t>
      </w:r>
    </w:p>
    <w:p>
      <w:pPr>
        <w:pStyle w:val="27"/>
        <w:spacing w:after="200" w:line="360" w:lineRule="auto"/>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7.3.5采购代理机构将在受理书面质疑后7个工作日内审查质疑事项，作出答复或相关处理决定，并以书面形式通知质疑人和其他相关供应商，但答复的内容不涉及商业秘密。</w:t>
      </w:r>
    </w:p>
    <w:p>
      <w:pPr>
        <w:pStyle w:val="27"/>
        <w:spacing w:after="200" w:line="360" w:lineRule="auto"/>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7.3.6供应商进行虚假和恶意质疑的，采购代理机构将提请有关部门将其列入不良记录名单，在一至三年内禁止参加政府采购活动，并将处理决定在相关政府采购媒体上公布。</w:t>
      </w:r>
    </w:p>
    <w:p>
      <w:pPr>
        <w:pStyle w:val="27"/>
        <w:spacing w:after="200" w:line="360" w:lineRule="auto"/>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7.3.7质疑人对答复不满意以及采购代理机构未在规定的时间内作出答复的，可以在答复期满后15个工作日内向财政部门投拆。</w:t>
      </w:r>
    </w:p>
    <w:bookmarkEnd w:id="119"/>
    <w:bookmarkEnd w:id="120"/>
    <w:bookmarkEnd w:id="121"/>
    <w:bookmarkEnd w:id="122"/>
    <w:bookmarkEnd w:id="123"/>
    <w:bookmarkEnd w:id="124"/>
    <w:p>
      <w:pPr>
        <w:pStyle w:val="27"/>
        <w:spacing w:after="200" w:line="276" w:lineRule="auto"/>
        <w:ind w:right="-313" w:rightChars="-149"/>
        <w:jc w:val="both"/>
        <w:rPr>
          <w:rFonts w:ascii="仿宋" w:hAnsi="仿宋" w:eastAsia="仿宋" w:cs="仿宋"/>
          <w:b/>
          <w:color w:val="auto"/>
          <w:sz w:val="32"/>
          <w:szCs w:val="28"/>
          <w:highlight w:val="none"/>
        </w:rPr>
      </w:pPr>
      <w:bookmarkStart w:id="126" w:name="_Toc25355"/>
      <w:bookmarkStart w:id="127" w:name="_Toc446599317"/>
      <w:bookmarkStart w:id="128" w:name="_Toc293738998"/>
      <w:bookmarkStart w:id="129" w:name="_Toc293736017"/>
      <w:bookmarkStart w:id="130" w:name="_Toc256000012"/>
      <w:bookmarkStart w:id="131" w:name="_Toc293736060"/>
      <w:bookmarkStart w:id="132" w:name="_Toc294515577"/>
      <w:bookmarkStart w:id="133" w:name="_Toc15817"/>
      <w:r>
        <w:rPr>
          <w:rFonts w:hint="eastAsia" w:ascii="仿宋" w:hAnsi="仿宋" w:eastAsia="仿宋" w:cs="仿宋"/>
          <w:b/>
          <w:color w:val="auto"/>
          <w:sz w:val="32"/>
          <w:szCs w:val="28"/>
          <w:highlight w:val="none"/>
        </w:rPr>
        <w:t>八、项目验收</w:t>
      </w:r>
      <w:bookmarkEnd w:id="126"/>
      <w:bookmarkEnd w:id="127"/>
      <w:bookmarkEnd w:id="128"/>
      <w:bookmarkEnd w:id="129"/>
      <w:bookmarkEnd w:id="130"/>
      <w:bookmarkEnd w:id="131"/>
      <w:bookmarkEnd w:id="132"/>
      <w:bookmarkEnd w:id="133"/>
    </w:p>
    <w:p>
      <w:pPr>
        <w:pStyle w:val="27"/>
        <w:spacing w:after="200" w:line="360" w:lineRule="auto"/>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8.1采购单位按照政府采购合同规定的技术、服务、安全标准对供应商履约情况进行验收，并出具验收书。验收书包括每一项技术、服务、安全标准的履约情况。</w:t>
      </w:r>
    </w:p>
    <w:p>
      <w:pPr>
        <w:pStyle w:val="27"/>
        <w:spacing w:after="200" w:line="360" w:lineRule="auto"/>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8.2验收标准:磋商文件、响应文件、政府采购合同规定的标准。</w:t>
      </w:r>
    </w:p>
    <w:p>
      <w:pPr>
        <w:pStyle w:val="27"/>
        <w:spacing w:after="200" w:line="276" w:lineRule="auto"/>
        <w:ind w:right="-313" w:rightChars="-149"/>
        <w:jc w:val="both"/>
        <w:rPr>
          <w:rFonts w:ascii="仿宋" w:hAnsi="仿宋" w:eastAsia="仿宋" w:cs="仿宋"/>
          <w:b/>
          <w:color w:val="auto"/>
          <w:sz w:val="32"/>
          <w:szCs w:val="28"/>
          <w:highlight w:val="none"/>
        </w:rPr>
      </w:pPr>
      <w:bookmarkStart w:id="134" w:name="_Toc293736061"/>
      <w:bookmarkStart w:id="135" w:name="_Toc5115"/>
      <w:bookmarkStart w:id="136" w:name="_Toc293736018"/>
      <w:bookmarkStart w:id="137" w:name="_Toc293738999"/>
      <w:bookmarkStart w:id="138" w:name="_Toc21235"/>
      <w:bookmarkStart w:id="139" w:name="_Toc256000013"/>
      <w:bookmarkStart w:id="140" w:name="_Toc446599318"/>
      <w:r>
        <w:rPr>
          <w:rFonts w:hint="eastAsia" w:ascii="仿宋" w:hAnsi="仿宋" w:eastAsia="仿宋" w:cs="仿宋"/>
          <w:b/>
          <w:color w:val="auto"/>
          <w:sz w:val="32"/>
          <w:szCs w:val="28"/>
          <w:highlight w:val="none"/>
        </w:rPr>
        <w:t>九、适用法律</w:t>
      </w:r>
      <w:bookmarkEnd w:id="134"/>
      <w:bookmarkEnd w:id="135"/>
      <w:bookmarkEnd w:id="136"/>
      <w:bookmarkEnd w:id="137"/>
      <w:bookmarkEnd w:id="138"/>
      <w:bookmarkEnd w:id="139"/>
      <w:bookmarkEnd w:id="140"/>
    </w:p>
    <w:p>
      <w:pPr>
        <w:pStyle w:val="182"/>
        <w:wordWrap w:val="0"/>
        <w:topLinePunct/>
        <w:spacing w:line="420" w:lineRule="exact"/>
        <w:ind w:right="-313" w:rightChars="-149"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9.1招标采购单位和供应商的一切招标投标活动均适用于《政府采购法》、《政府采购实施条例》、《政府采购竞争性磋商采购方式管理办法》等相关规定。</w:t>
      </w:r>
    </w:p>
    <w:p>
      <w:pPr>
        <w:pStyle w:val="182"/>
        <w:autoSpaceDE w:val="0"/>
        <w:autoSpaceDN w:val="0"/>
        <w:spacing w:line="500" w:lineRule="exact"/>
        <w:ind w:left="560" w:right="-313" w:rightChars="-149" w:hanging="560" w:hangingChars="200"/>
        <w:contextualSpacing/>
        <w:jc w:val="both"/>
        <w:rPr>
          <w:rFonts w:ascii="仿宋" w:hAnsi="仿宋" w:eastAsia="仿宋" w:cs="仿宋"/>
          <w:color w:val="auto"/>
          <w:sz w:val="28"/>
          <w:szCs w:val="28"/>
          <w:highlight w:val="none"/>
        </w:rPr>
      </w:pPr>
    </w:p>
    <w:p>
      <w:pPr>
        <w:pStyle w:val="27"/>
        <w:spacing w:after="200" w:line="276" w:lineRule="auto"/>
        <w:ind w:right="-313" w:rightChars="-149"/>
        <w:jc w:val="both"/>
        <w:rPr>
          <w:rFonts w:ascii="仿宋" w:hAnsi="仿宋" w:eastAsia="仿宋" w:cs="仿宋"/>
          <w:b/>
          <w:color w:val="auto"/>
          <w:sz w:val="32"/>
          <w:szCs w:val="28"/>
          <w:highlight w:val="none"/>
        </w:rPr>
      </w:pPr>
      <w:bookmarkStart w:id="141" w:name="_Toc437611460"/>
      <w:bookmarkStart w:id="142" w:name="_Toc272247702"/>
      <w:bookmarkStart w:id="143" w:name="_Toc256000014"/>
      <w:bookmarkStart w:id="144" w:name="_Toc278891599"/>
      <w:bookmarkStart w:id="145" w:name="_Toc23925"/>
      <w:bookmarkStart w:id="146" w:name="_Toc11671"/>
      <w:bookmarkStart w:id="147" w:name="_Toc446599319"/>
      <w:r>
        <w:rPr>
          <w:rFonts w:hint="eastAsia" w:ascii="仿宋" w:hAnsi="仿宋" w:eastAsia="仿宋" w:cs="仿宋"/>
          <w:b/>
          <w:color w:val="auto"/>
          <w:sz w:val="32"/>
          <w:szCs w:val="28"/>
          <w:highlight w:val="none"/>
        </w:rPr>
        <w:t>十、磋商文件的解释权</w:t>
      </w:r>
      <w:bookmarkEnd w:id="141"/>
      <w:bookmarkEnd w:id="142"/>
      <w:bookmarkEnd w:id="143"/>
      <w:bookmarkEnd w:id="144"/>
      <w:bookmarkEnd w:id="145"/>
      <w:bookmarkEnd w:id="146"/>
      <w:bookmarkEnd w:id="147"/>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10.1本项目磋商文件的最终解释权为采购单位所有。</w:t>
      </w:r>
    </w:p>
    <w:p>
      <w:pPr>
        <w:pStyle w:val="27"/>
        <w:spacing w:after="200" w:line="276" w:lineRule="auto"/>
        <w:ind w:right="-313" w:rightChars="-149"/>
        <w:jc w:val="both"/>
        <w:rPr>
          <w:rFonts w:ascii="仿宋" w:hAnsi="仿宋" w:eastAsia="仿宋" w:cs="仿宋"/>
          <w:b/>
          <w:color w:val="auto"/>
          <w:sz w:val="32"/>
          <w:szCs w:val="28"/>
          <w:highlight w:val="none"/>
        </w:rPr>
      </w:pPr>
      <w:bookmarkStart w:id="148" w:name="_Toc32366"/>
      <w:bookmarkStart w:id="149" w:name="_Toc446599320"/>
      <w:bookmarkStart w:id="150" w:name="_Toc256000015"/>
      <w:bookmarkStart w:id="151" w:name="_Toc437611461"/>
      <w:bookmarkStart w:id="152" w:name="_Toc6496"/>
      <w:r>
        <w:rPr>
          <w:rFonts w:hint="eastAsia" w:ascii="仿宋" w:hAnsi="仿宋" w:eastAsia="仿宋" w:cs="仿宋"/>
          <w:b/>
          <w:color w:val="auto"/>
          <w:sz w:val="32"/>
          <w:szCs w:val="28"/>
          <w:highlight w:val="none"/>
        </w:rPr>
        <w:t>十一、其他注意事项</w:t>
      </w:r>
      <w:bookmarkEnd w:id="148"/>
      <w:bookmarkEnd w:id="149"/>
      <w:bookmarkEnd w:id="150"/>
      <w:bookmarkEnd w:id="151"/>
      <w:bookmarkEnd w:id="152"/>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11.1单位负责人为同一人或者存在直接控股、管理关系的不同供应商，不得参加同一合同项下的政府采购活动。</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11.2供应商为采购项目提供整体设计、规范编制或者项目管理、监理、检测等服务的供应商，不得再参加该采购项目的其他采购活动。</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11.3政府采购法第二十二条第一款第五项所称重大违法记录，是指供应商因违法经营受到刑事处罚或者责令停产停业、吊销许可证或者执照、较大数额罚款等行政处罚。</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11.4按照财政部《关于规范政府采购行政处罚有关问题的通知》的规定，各级人民政府财政部门依法对参加政府采购活动的供应商作出的禁止参加政府采购活动等行政处罚决定在全国范围内生效。</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11.5供应商在参加政府采购活动前3年内因违法经营被禁止在一定期限内参加政府采购活动，期限届满的，可以参加政府采购活动。</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11.6出现下列情形之一的，采购人或者采购代理机构应当终止竞争性磋商采购活动，发布项目终止公告并说明原因，重新开展采购活动：</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（一）因情况变化，不再符合规定的竞争性磋商采购方式适用情形的；</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（二）出现影响采购公正的违法、违规行为的；</w:t>
      </w:r>
    </w:p>
    <w:p>
      <w:pPr>
        <w:pStyle w:val="182"/>
        <w:spacing w:line="500" w:lineRule="exact"/>
        <w:ind w:right="-313" w:rightChars="-149" w:firstLine="565" w:firstLineChars="202"/>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（三）除政府采购竞争性磋商采购方式管理暂行办法第二十一条第三款规定的情形外，在采购过程中符合要求的供应商或者报价未超过采购预算的供应商不足3家的。</w:t>
      </w:r>
    </w:p>
    <w:p>
      <w:pPr>
        <w:pStyle w:val="182"/>
        <w:spacing w:line="360" w:lineRule="auto"/>
        <w:ind w:right="-313" w:rightChars="-149"/>
        <w:jc w:val="both"/>
        <w:rPr>
          <w:rFonts w:ascii="仿宋" w:hAnsi="仿宋" w:eastAsia="仿宋" w:cs="仿宋"/>
          <w:color w:val="auto"/>
          <w:highlight w:val="none"/>
        </w:rPr>
      </w:pPr>
      <w:r>
        <w:rPr>
          <w:rFonts w:hint="eastAsia" w:ascii="仿宋" w:hAnsi="仿宋" w:eastAsia="仿宋" w:cs="仿宋"/>
          <w:color w:val="auto"/>
          <w:sz w:val="28"/>
          <w:szCs w:val="28"/>
          <w:highlight w:val="none"/>
        </w:rPr>
        <w:t>在采购活动中因重大变故，采购任务取消的，采购人或者采购代理机构应当终止采购活动，通知所有参加采购活动的供应商，并将项目实施情况和采购任务取消原因报送本级财政部门。</w:t>
      </w:r>
    </w:p>
    <w:p>
      <w:pPr>
        <w:pStyle w:val="53"/>
        <w:spacing w:after="200" w:line="360" w:lineRule="auto"/>
        <w:ind w:right="-313" w:rightChars="-149"/>
        <w:jc w:val="both"/>
        <w:rPr>
          <w:rFonts w:ascii="仿宋" w:hAnsi="仿宋" w:eastAsia="仿宋" w:cs="仿宋"/>
          <w:color w:val="auto"/>
          <w:sz w:val="24"/>
          <w:szCs w:val="24"/>
          <w:highlight w:val="none"/>
        </w:rPr>
      </w:pPr>
    </w:p>
    <w:bookmarkEnd w:id="67"/>
    <w:p>
      <w:pPr>
        <w:ind w:right="-313" w:rightChars="-149"/>
        <w:jc w:val="both"/>
        <w:rPr>
          <w:rFonts w:ascii="仿宋" w:hAnsi="仿宋" w:eastAsia="仿宋" w:cs="仿宋"/>
          <w:b/>
          <w:color w:val="auto"/>
          <w:sz w:val="24"/>
          <w:szCs w:val="24"/>
          <w:highlight w:val="none"/>
        </w:rPr>
      </w:pPr>
      <w:bookmarkStart w:id="153" w:name="_Toc256000041"/>
      <w:bookmarkStart w:id="154" w:name="_Toc7624"/>
      <w:r>
        <w:rPr>
          <w:rFonts w:hint="eastAsia" w:ascii="仿宋" w:hAnsi="仿宋" w:eastAsia="仿宋" w:cs="仿宋"/>
          <w:b/>
          <w:color w:val="auto"/>
          <w:sz w:val="24"/>
          <w:szCs w:val="24"/>
          <w:highlight w:val="none"/>
        </w:rPr>
        <w:br w:type="page"/>
      </w:r>
    </w:p>
    <w:p>
      <w:pPr>
        <w:ind w:right="-313" w:rightChars="-149"/>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第三部分  采购需求</w:t>
      </w:r>
      <w:bookmarkEnd w:id="153"/>
      <w:bookmarkEnd w:id="154"/>
    </w:p>
    <w:p>
      <w:pPr>
        <w:ind w:right="-313" w:rightChars="-149"/>
        <w:jc w:val="both"/>
        <w:rPr>
          <w:rFonts w:ascii="仿宋" w:hAnsi="仿宋" w:eastAsia="仿宋" w:cs="仿宋"/>
          <w:color w:val="auto"/>
          <w:sz w:val="24"/>
          <w:szCs w:val="24"/>
          <w:highlight w:val="none"/>
        </w:rPr>
      </w:pPr>
      <w:bookmarkStart w:id="155" w:name="EBcc1e85494f644b18a0cfdeea10c8765e"/>
    </w:p>
    <w:p>
      <w:pPr>
        <w:pStyle w:val="55"/>
        <w:spacing w:line="360" w:lineRule="auto"/>
        <w:ind w:right="-313" w:rightChars="-149" w:firstLine="0" w:firstLineChars="0"/>
        <w:jc w:val="both"/>
        <w:outlineLvl w:val="1"/>
        <w:rPr>
          <w:rFonts w:ascii="仿宋" w:hAnsi="仿宋" w:eastAsia="仿宋" w:cs="仿宋"/>
          <w:b/>
          <w:bCs/>
          <w:color w:val="auto"/>
          <w:sz w:val="24"/>
          <w:szCs w:val="24"/>
          <w:highlight w:val="none"/>
        </w:rPr>
      </w:pPr>
      <w:bookmarkStart w:id="156" w:name="_Toc27655"/>
      <w:r>
        <w:rPr>
          <w:rFonts w:hint="eastAsia" w:ascii="仿宋" w:hAnsi="仿宋" w:eastAsia="仿宋" w:cs="仿宋"/>
          <w:b/>
          <w:bCs/>
          <w:color w:val="auto"/>
          <w:sz w:val="24"/>
          <w:szCs w:val="24"/>
          <w:highlight w:val="none"/>
        </w:rPr>
        <w:t>一、商务要求</w:t>
      </w:r>
      <w:bookmarkEnd w:id="156"/>
    </w:p>
    <w:p>
      <w:pPr>
        <w:pStyle w:val="69"/>
        <w:spacing w:line="360" w:lineRule="auto"/>
        <w:ind w:right="-313" w:rightChars="-149" w:firstLine="480" w:firstLineChars="200"/>
        <w:jc w:val="both"/>
        <w:rPr>
          <w:rFonts w:ascii="仿宋" w:hAnsi="仿宋" w:eastAsia="仿宋" w:cs="仿宋"/>
          <w:bCs/>
          <w:color w:val="auto"/>
          <w:sz w:val="24"/>
          <w:highlight w:val="none"/>
        </w:rPr>
      </w:pPr>
      <w:r>
        <w:rPr>
          <w:rFonts w:hint="eastAsia" w:ascii="仿宋" w:hAnsi="仿宋" w:eastAsia="仿宋" w:cs="仿宋"/>
          <w:bCs/>
          <w:color w:val="auto"/>
          <w:sz w:val="24"/>
          <w:highlight w:val="none"/>
        </w:rPr>
        <w:t>1、项目名称：石河子大学会泽食府餐厅二楼装饰装修工程总承包</w:t>
      </w:r>
    </w:p>
    <w:p>
      <w:pPr>
        <w:pStyle w:val="69"/>
        <w:spacing w:line="360" w:lineRule="auto"/>
        <w:ind w:right="-313" w:rightChars="-149" w:firstLine="480" w:firstLineChars="200"/>
        <w:jc w:val="both"/>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2、采购范围：根据建设方项目方案和投资，对本建设项目改造工程整体方案设计、采购、工程施工等阶段实行工程总承包内容。对工程设计、采购、施工及工程质量、卫生、安全、工期进度和造价等全面负总责，为交钥匙工程，本工程未尽事宜，均包含在本次报价中。</w:t>
      </w:r>
    </w:p>
    <w:p>
      <w:pPr>
        <w:pStyle w:val="69"/>
        <w:spacing w:line="360" w:lineRule="auto"/>
        <w:ind w:right="-313" w:rightChars="-149" w:firstLine="480" w:firstLineChars="200"/>
        <w:jc w:val="both"/>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投标人负责设计、采购、工程施工、缺陷责任期工程修复工作，配合项目业主完成部门协调、项目审计及竣工验收等工作。</w:t>
      </w:r>
    </w:p>
    <w:p>
      <w:pPr>
        <w:pStyle w:val="69"/>
        <w:spacing w:line="360" w:lineRule="auto"/>
        <w:ind w:right="-313" w:rightChars="-149" w:firstLine="480" w:firstLineChars="200"/>
        <w:jc w:val="both"/>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具体内容如下：</w:t>
      </w:r>
    </w:p>
    <w:p>
      <w:pPr>
        <w:pStyle w:val="69"/>
        <w:spacing w:line="360" w:lineRule="auto"/>
        <w:ind w:right="-313" w:rightChars="-149" w:firstLine="480" w:firstLineChars="200"/>
        <w:jc w:val="both"/>
        <w:rPr>
          <w:rFonts w:ascii="仿宋" w:hAnsi="仿宋" w:eastAsia="仿宋" w:cs="仿宋"/>
          <w:bCs/>
          <w:color w:val="auto"/>
          <w:sz w:val="24"/>
          <w:highlight w:val="none"/>
        </w:rPr>
      </w:pPr>
      <w:r>
        <w:rPr>
          <w:rFonts w:hint="eastAsia" w:ascii="仿宋" w:hAnsi="仿宋" w:eastAsia="仿宋" w:cs="仿宋"/>
          <w:bCs/>
          <w:color w:val="auto"/>
          <w:sz w:val="24"/>
          <w:highlight w:val="none"/>
        </w:rPr>
        <w:t>（1）设计工作内容：方案深化、施工图设计、施工图预算和施工全过程的设计服务，施工图须经招标人确定并通过施工图审查机构审查合格；满足消防要求。施工图预算须招标人委托的工程造价咨询机构进行审查。</w:t>
      </w:r>
    </w:p>
    <w:p>
      <w:pPr>
        <w:pStyle w:val="69"/>
        <w:spacing w:line="360" w:lineRule="auto"/>
        <w:ind w:right="-313" w:rightChars="-149" w:firstLine="480" w:firstLineChars="200"/>
        <w:jc w:val="both"/>
        <w:rPr>
          <w:rFonts w:ascii="仿宋" w:hAnsi="仿宋" w:eastAsia="仿宋" w:cs="仿宋"/>
          <w:bCs/>
          <w:color w:val="auto"/>
          <w:sz w:val="24"/>
          <w:highlight w:val="none"/>
        </w:rPr>
      </w:pPr>
      <w:r>
        <w:rPr>
          <w:rFonts w:hint="eastAsia" w:ascii="仿宋" w:hAnsi="仿宋" w:eastAsia="仿宋" w:cs="仿宋"/>
          <w:bCs/>
          <w:color w:val="auto"/>
          <w:sz w:val="24"/>
          <w:highlight w:val="none"/>
        </w:rPr>
        <w:t>（2）施工范围包括：施工图设计范围内的全部工程施工内容及缺陷责任期工程修复工作。</w:t>
      </w:r>
    </w:p>
    <w:p>
      <w:pPr>
        <w:pStyle w:val="69"/>
        <w:spacing w:line="360" w:lineRule="auto"/>
        <w:ind w:right="-313" w:rightChars="-149" w:firstLine="480" w:firstLineChars="200"/>
        <w:jc w:val="both"/>
        <w:rPr>
          <w:rFonts w:ascii="仿宋" w:hAnsi="仿宋" w:eastAsia="仿宋" w:cs="仿宋"/>
          <w:bCs/>
          <w:color w:val="auto"/>
          <w:sz w:val="24"/>
          <w:highlight w:val="none"/>
        </w:rPr>
      </w:pPr>
      <w:r>
        <w:rPr>
          <w:rFonts w:hint="eastAsia" w:ascii="仿宋" w:hAnsi="仿宋" w:eastAsia="仿宋" w:cs="仿宋"/>
          <w:bCs/>
          <w:color w:val="auto"/>
          <w:sz w:val="24"/>
          <w:highlight w:val="none"/>
        </w:rPr>
        <w:t>（3）采购范围包括：与工程项目（施工图载明的）所有建筑材料、设备采购、运输、安装、验收保管等全部采购内容。</w:t>
      </w:r>
    </w:p>
    <w:p>
      <w:pPr>
        <w:pStyle w:val="27"/>
        <w:widowControl/>
        <w:spacing w:after="200" w:line="340" w:lineRule="exact"/>
        <w:ind w:right="-313" w:rightChars="-149" w:firstLine="480" w:firstLineChars="200"/>
        <w:jc w:val="both"/>
        <w:rPr>
          <w:rFonts w:hint="eastAsia" w:ascii="仿宋" w:hAnsi="仿宋" w:eastAsia="仿宋" w:cs="仿宋"/>
          <w:color w:val="auto"/>
          <w:sz w:val="24"/>
          <w:highlight w:val="none"/>
          <w:lang w:val="en-US" w:eastAsia="zh-CN"/>
        </w:rPr>
      </w:pPr>
      <w:r>
        <w:rPr>
          <w:rFonts w:hint="eastAsia" w:ascii="仿宋" w:hAnsi="仿宋" w:eastAsia="仿宋" w:cs="仿宋"/>
          <w:bCs/>
          <w:color w:val="auto"/>
          <w:sz w:val="24"/>
          <w:szCs w:val="24"/>
          <w:highlight w:val="none"/>
        </w:rPr>
        <w:t>3、</w:t>
      </w:r>
      <w:r>
        <w:rPr>
          <w:rFonts w:hint="eastAsia" w:ascii="仿宋" w:hAnsi="仿宋" w:eastAsia="仿宋" w:cs="仿宋"/>
          <w:bCs/>
          <w:color w:val="auto"/>
          <w:sz w:val="24"/>
          <w:szCs w:val="24"/>
          <w:highlight w:val="none"/>
          <w:lang w:val="zh-TW"/>
        </w:rPr>
        <w:t>工期：</w:t>
      </w:r>
      <w:r>
        <w:rPr>
          <w:rFonts w:hint="eastAsia" w:ascii="仿宋" w:hAnsi="仿宋" w:eastAsia="仿宋" w:cs="仿宋"/>
          <w:color w:val="auto"/>
          <w:sz w:val="24"/>
          <w:highlight w:val="none"/>
          <w:lang w:eastAsia="zh-CN"/>
        </w:rPr>
        <w:t>分两阶段交付</w:t>
      </w:r>
      <w:r>
        <w:rPr>
          <w:rFonts w:hint="eastAsia" w:ascii="仿宋" w:hAnsi="仿宋" w:eastAsia="仿宋" w:cs="仿宋"/>
          <w:color w:val="auto"/>
          <w:sz w:val="24"/>
          <w:highlight w:val="none"/>
          <w:lang w:val="en-US" w:eastAsia="zh-CN"/>
        </w:rPr>
        <w:t>。</w:t>
      </w:r>
    </w:p>
    <w:p>
      <w:pPr>
        <w:pStyle w:val="55"/>
        <w:spacing w:line="360" w:lineRule="auto"/>
        <w:ind w:right="-313" w:rightChars="-149" w:firstLine="480" w:firstLineChars="200"/>
        <w:jc w:val="both"/>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第一阶段在2023年2月26日前必需完成暖气、电路等改造；第二阶段在 2023年 8 月10日完成其他内容的全部建设内容并通过竣工验收合格。</w:t>
      </w:r>
    </w:p>
    <w:p>
      <w:pPr>
        <w:pStyle w:val="69"/>
        <w:spacing w:line="360" w:lineRule="auto"/>
        <w:ind w:right="-313" w:rightChars="-149" w:firstLine="480" w:firstLineChars="200"/>
        <w:jc w:val="both"/>
        <w:rPr>
          <w:rFonts w:ascii="仿宋" w:hAnsi="仿宋" w:eastAsia="仿宋" w:cs="仿宋"/>
          <w:bCs/>
          <w:color w:val="auto"/>
          <w:sz w:val="24"/>
          <w:highlight w:val="none"/>
          <w:lang w:val="zh-TW"/>
        </w:rPr>
      </w:pPr>
      <w:r>
        <w:rPr>
          <w:rFonts w:hint="eastAsia" w:ascii="仿宋" w:hAnsi="仿宋" w:eastAsia="仿宋" w:cs="仿宋"/>
          <w:bCs/>
          <w:color w:val="auto"/>
          <w:sz w:val="24"/>
          <w:highlight w:val="none"/>
        </w:rPr>
        <w:t>4、</w:t>
      </w:r>
      <w:r>
        <w:rPr>
          <w:rFonts w:hint="eastAsia" w:ascii="仿宋" w:hAnsi="仿宋" w:eastAsia="仿宋" w:cs="仿宋"/>
          <w:bCs/>
          <w:color w:val="auto"/>
          <w:sz w:val="24"/>
          <w:highlight w:val="none"/>
          <w:lang w:val="zh-TW"/>
        </w:rPr>
        <w:t>建设地点：石河子大学</w:t>
      </w:r>
    </w:p>
    <w:p>
      <w:pPr>
        <w:pStyle w:val="69"/>
        <w:spacing w:line="360" w:lineRule="auto"/>
        <w:ind w:right="-313" w:rightChars="-149" w:firstLine="480" w:firstLineChars="200"/>
        <w:jc w:val="both"/>
        <w:rPr>
          <w:rFonts w:hint="eastAsia" w:ascii="仿宋" w:hAnsi="仿宋" w:eastAsia="仿宋" w:cs="仿宋"/>
          <w:bCs/>
          <w:color w:val="auto"/>
          <w:sz w:val="24"/>
          <w:highlight w:val="none"/>
          <w:lang w:val="zh-TW"/>
        </w:rPr>
      </w:pPr>
      <w:r>
        <w:rPr>
          <w:rFonts w:hint="eastAsia" w:ascii="仿宋" w:hAnsi="仿宋" w:eastAsia="仿宋" w:cs="仿宋"/>
          <w:bCs/>
          <w:color w:val="auto"/>
          <w:sz w:val="24"/>
          <w:highlight w:val="none"/>
        </w:rPr>
        <w:t>5、</w:t>
      </w:r>
      <w:r>
        <w:rPr>
          <w:rFonts w:hint="eastAsia" w:ascii="仿宋" w:hAnsi="仿宋" w:eastAsia="仿宋" w:cs="仿宋"/>
          <w:bCs/>
          <w:color w:val="auto"/>
          <w:sz w:val="24"/>
          <w:highlight w:val="none"/>
          <w:lang w:val="zh-TW" w:eastAsia="zh-TW"/>
        </w:rPr>
        <w:t>釆购预算</w:t>
      </w:r>
      <w:r>
        <w:rPr>
          <w:rFonts w:hint="eastAsia" w:ascii="仿宋" w:hAnsi="仿宋" w:eastAsia="仿宋" w:cs="仿宋"/>
          <w:bCs/>
          <w:color w:val="auto"/>
          <w:sz w:val="24"/>
          <w:highlight w:val="none"/>
          <w:lang w:val="zh-TW"/>
        </w:rPr>
        <w:t>：</w:t>
      </w:r>
      <w:r>
        <w:rPr>
          <w:rFonts w:hint="eastAsia" w:ascii="仿宋" w:hAnsi="仿宋" w:eastAsia="仿宋" w:cs="仿宋"/>
          <w:b/>
          <w:color w:val="auto"/>
          <w:sz w:val="24"/>
          <w:highlight w:val="none"/>
        </w:rPr>
        <w:t>本次招标金额为250万元</w:t>
      </w:r>
      <w:r>
        <w:rPr>
          <w:rFonts w:hint="eastAsia" w:ascii="仿宋" w:hAnsi="仿宋" w:eastAsia="仿宋" w:cs="仿宋"/>
          <w:bCs/>
          <w:color w:val="auto"/>
          <w:sz w:val="24"/>
          <w:highlight w:val="none"/>
          <w:lang w:val="zh-TW"/>
        </w:rPr>
        <w:t>。</w:t>
      </w:r>
    </w:p>
    <w:p>
      <w:pPr>
        <w:pStyle w:val="69"/>
        <w:spacing w:line="360" w:lineRule="auto"/>
        <w:ind w:right="-313" w:rightChars="-149" w:firstLine="480" w:firstLineChars="200"/>
        <w:jc w:val="both"/>
        <w:rPr>
          <w:rFonts w:ascii="仿宋" w:hAnsi="仿宋" w:eastAsia="仿宋" w:cs="仿宋"/>
          <w:bCs/>
          <w:color w:val="auto"/>
          <w:sz w:val="24"/>
          <w:highlight w:val="none"/>
        </w:rPr>
      </w:pPr>
      <w:r>
        <w:rPr>
          <w:rFonts w:hint="eastAsia" w:ascii="仿宋" w:hAnsi="仿宋" w:eastAsia="仿宋" w:cs="仿宋"/>
          <w:bCs/>
          <w:color w:val="auto"/>
          <w:sz w:val="24"/>
          <w:highlight w:val="none"/>
        </w:rPr>
        <w:t xml:space="preserve">6、质量标准：设计要求的质量标准：符合国家、地方和行业现行的规范要求，设计深度达到国家、自治区现行的技术规范、标准及条文。符合经审批的设计文件要求，满足工程质量、耐久和安全的强制性标准和相关规定；施工要求的质量标准：合格   </w:t>
      </w:r>
    </w:p>
    <w:p>
      <w:pPr>
        <w:pStyle w:val="69"/>
        <w:spacing w:line="360" w:lineRule="auto"/>
        <w:ind w:right="-313" w:rightChars="-149" w:firstLine="480" w:firstLineChars="200"/>
        <w:jc w:val="both"/>
        <w:rPr>
          <w:rFonts w:ascii="仿宋" w:hAnsi="仿宋" w:eastAsia="仿宋" w:cs="仿宋"/>
          <w:bCs/>
          <w:color w:val="auto"/>
          <w:sz w:val="24"/>
          <w:highlight w:val="none"/>
        </w:rPr>
      </w:pPr>
      <w:r>
        <w:rPr>
          <w:rFonts w:hint="eastAsia" w:ascii="仿宋" w:hAnsi="仿宋" w:eastAsia="仿宋" w:cs="仿宋"/>
          <w:bCs/>
          <w:color w:val="auto"/>
          <w:sz w:val="24"/>
          <w:highlight w:val="none"/>
        </w:rPr>
        <w:t>7、验收标准：符合国家竣工验收规范要求。</w:t>
      </w:r>
    </w:p>
    <w:p>
      <w:pPr>
        <w:pStyle w:val="202"/>
        <w:spacing w:after="120"/>
        <w:ind w:right="-313" w:rightChars="-149" w:firstLine="480" w:firstLineChars="200"/>
        <w:jc w:val="both"/>
        <w:rPr>
          <w:rFonts w:hint="eastAsia" w:ascii="仿宋" w:hAnsi="仿宋" w:eastAsia="仿宋" w:cs="仿宋"/>
          <w:color w:val="auto"/>
          <w:sz w:val="24"/>
          <w:szCs w:val="24"/>
          <w:highlight w:val="none"/>
          <w:lang w:eastAsia="zh-CN"/>
        </w:rPr>
      </w:pPr>
      <w:r>
        <w:rPr>
          <w:rFonts w:hint="eastAsia" w:ascii="仿宋" w:hAnsi="仿宋" w:eastAsia="仿宋" w:cs="仿宋"/>
          <w:bCs/>
          <w:color w:val="auto"/>
          <w:sz w:val="24"/>
          <w:highlight w:val="none"/>
        </w:rPr>
        <w:t>8、质保期</w:t>
      </w:r>
      <w:r>
        <w:rPr>
          <w:rFonts w:hint="eastAsia" w:ascii="仿宋" w:hAnsi="仿宋" w:eastAsia="仿宋" w:cs="仿宋"/>
          <w:bCs/>
          <w:color w:val="auto"/>
          <w:kern w:val="2"/>
          <w:sz w:val="24"/>
          <w:szCs w:val="24"/>
          <w:highlight w:val="none"/>
          <w:lang w:val="en-US" w:eastAsia="zh-CN" w:bidi="ar-SA"/>
        </w:rPr>
        <w:t>：按工程质量保修书；缺陷责任期。见施工合同约定。</w:t>
      </w:r>
    </w:p>
    <w:p>
      <w:pPr>
        <w:pStyle w:val="69"/>
        <w:spacing w:line="360" w:lineRule="auto"/>
        <w:ind w:right="-313" w:rightChars="-149" w:firstLine="480" w:firstLineChars="200"/>
        <w:jc w:val="both"/>
        <w:rPr>
          <w:rFonts w:ascii="仿宋" w:hAnsi="仿宋" w:eastAsia="仿宋" w:cs="仿宋"/>
          <w:bCs/>
          <w:color w:val="auto"/>
          <w:sz w:val="24"/>
          <w:highlight w:val="none"/>
        </w:rPr>
      </w:pPr>
      <w:r>
        <w:rPr>
          <w:rFonts w:hint="eastAsia" w:ascii="仿宋" w:hAnsi="仿宋" w:eastAsia="仿宋" w:cs="仿宋"/>
          <w:bCs/>
          <w:color w:val="auto"/>
          <w:sz w:val="24"/>
          <w:highlight w:val="none"/>
        </w:rPr>
        <w:t>9、售后服务：设计成果包括全套设计内容，满足评审、审图要求;向发包人提交8套纸版+2套电子版审图合格的全套文件。</w:t>
      </w:r>
    </w:p>
    <w:p>
      <w:pPr>
        <w:pStyle w:val="69"/>
        <w:spacing w:line="360" w:lineRule="auto"/>
        <w:ind w:right="-313" w:rightChars="-149" w:firstLine="480" w:firstLineChars="200"/>
        <w:jc w:val="both"/>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10、付款方式：设计费支付方式①合同签订后，按合同价款的20%支付定金(合同结算时，定金抵作设计费) ;②完成设计方案发包人评审通过，最终设计成果取得政府有关部门审图合格证,支付至合同价款的85%;③工程竣工验收合格,支付至合同价款的100%。</w:t>
      </w:r>
    </w:p>
    <w:p>
      <w:pPr>
        <w:pStyle w:val="69"/>
        <w:spacing w:line="360" w:lineRule="auto"/>
        <w:ind w:right="-313" w:rightChars="-149" w:firstLine="480" w:firstLineChars="200"/>
        <w:jc w:val="both"/>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建安费支付方式：合同签订后按照工程进度支付进度款，工程竣工验收合格后，承包人提交付款申请，发包方15个工作日内完成支付合同金额的80%。承包人在工程竣工验收合格后20天内提交完整的结算资料进行审计。承包人根据审计结果开具相应发票并缴纳审定金额的3%作为保修金，发包方收到发票后15个工作日内向承包人支付剩余工程款。质量保修期内未发生质量问题的，由发包人在质量保修期满后15个工作日内将保修金无息支付给承包人。</w:t>
      </w:r>
      <w:r>
        <w:rPr>
          <w:rFonts w:hint="eastAsia" w:ascii="仿宋" w:hAnsi="仿宋" w:eastAsia="仿宋" w:cs="仿宋"/>
          <w:b/>
          <w:bCs w:val="0"/>
          <w:color w:val="auto"/>
          <w:sz w:val="24"/>
          <w:highlight w:val="none"/>
        </w:rPr>
        <w:t>本工程为交钥匙工程。</w:t>
      </w:r>
    </w:p>
    <w:p>
      <w:pPr>
        <w:pStyle w:val="69"/>
        <w:spacing w:line="360" w:lineRule="auto"/>
        <w:ind w:right="-313" w:rightChars="-149" w:firstLine="480" w:firstLineChars="200"/>
        <w:jc w:val="both"/>
        <w:rPr>
          <w:rFonts w:hint="default" w:eastAsia="仿宋"/>
          <w:color w:val="auto"/>
          <w:highlight w:val="none"/>
          <w:lang w:val="en-US" w:eastAsia="zh-CN"/>
        </w:rPr>
      </w:pPr>
      <w:r>
        <w:rPr>
          <w:rFonts w:hint="eastAsia" w:ascii="仿宋" w:hAnsi="仿宋" w:eastAsia="仿宋" w:cs="仿宋"/>
          <w:bCs/>
          <w:color w:val="auto"/>
          <w:sz w:val="24"/>
          <w:highlight w:val="none"/>
          <w:lang w:val="en-US" w:eastAsia="zh-CN"/>
        </w:rPr>
        <w:t xml:space="preserve">  11、本工程包括改造部分的全部拆除及垃圾要外运至市政府指定的垃圾场。</w:t>
      </w:r>
    </w:p>
    <w:p>
      <w:pPr>
        <w:pStyle w:val="69"/>
        <w:spacing w:line="360" w:lineRule="auto"/>
        <w:ind w:right="-313" w:rightChars="-149"/>
        <w:jc w:val="both"/>
        <w:rPr>
          <w:rFonts w:ascii="仿宋" w:hAnsi="仿宋" w:eastAsia="仿宋" w:cs="仿宋"/>
          <w:b/>
          <w:color w:val="auto"/>
          <w:sz w:val="24"/>
          <w:highlight w:val="none"/>
        </w:rPr>
      </w:pPr>
    </w:p>
    <w:p>
      <w:pPr>
        <w:pStyle w:val="69"/>
        <w:spacing w:line="360" w:lineRule="auto"/>
        <w:ind w:right="-313" w:rightChars="-149"/>
        <w:jc w:val="both"/>
        <w:rPr>
          <w:rFonts w:ascii="仿宋" w:hAnsi="仿宋" w:eastAsia="仿宋" w:cs="仿宋"/>
          <w:b/>
          <w:color w:val="auto"/>
          <w:sz w:val="24"/>
          <w:highlight w:val="none"/>
        </w:rPr>
      </w:pPr>
      <w:r>
        <w:rPr>
          <w:rFonts w:hint="eastAsia" w:ascii="仿宋" w:hAnsi="仿宋" w:eastAsia="仿宋" w:cs="仿宋"/>
          <w:b/>
          <w:color w:val="auto"/>
          <w:sz w:val="24"/>
          <w:highlight w:val="none"/>
        </w:rPr>
        <w:t>二、技术要求</w:t>
      </w:r>
    </w:p>
    <w:p>
      <w:pPr>
        <w:pStyle w:val="55"/>
        <w:spacing w:line="360" w:lineRule="auto"/>
        <w:ind w:right="-313" w:rightChars="-149" w:firstLine="480" w:firstLineChars="200"/>
        <w:jc w:val="both"/>
        <w:rPr>
          <w:rFonts w:hint="eastAsia" w:ascii="仿宋" w:hAnsi="仿宋" w:eastAsia="仿宋" w:cs="仿宋"/>
          <w:b w:val="0"/>
          <w:bCs/>
          <w:color w:val="auto"/>
          <w:kern w:val="2"/>
          <w:sz w:val="24"/>
          <w:szCs w:val="24"/>
          <w:highlight w:val="none"/>
        </w:rPr>
      </w:pPr>
      <w:r>
        <w:rPr>
          <w:rFonts w:hint="eastAsia" w:ascii="仿宋" w:hAnsi="仿宋" w:eastAsia="仿宋" w:cs="仿宋"/>
          <w:b w:val="0"/>
          <w:bCs/>
          <w:color w:val="auto"/>
          <w:kern w:val="2"/>
          <w:sz w:val="24"/>
          <w:szCs w:val="24"/>
          <w:highlight w:val="none"/>
        </w:rPr>
        <w:t>1、对会泽食府二楼进行功能优化，满足学生生活、学习、学术交流用餐等功能，综合提升餐厅品质和空间效果。</w:t>
      </w:r>
    </w:p>
    <w:p>
      <w:pPr>
        <w:pStyle w:val="55"/>
        <w:spacing w:line="360" w:lineRule="auto"/>
        <w:ind w:right="-313" w:rightChars="-149" w:firstLine="480" w:firstLineChars="200"/>
        <w:jc w:val="both"/>
        <w:rPr>
          <w:rFonts w:hint="eastAsia" w:ascii="仿宋" w:hAnsi="仿宋" w:eastAsia="仿宋" w:cs="仿宋"/>
          <w:b w:val="0"/>
          <w:bCs/>
          <w:color w:val="auto"/>
          <w:kern w:val="2"/>
          <w:sz w:val="24"/>
          <w:szCs w:val="24"/>
          <w:highlight w:val="none"/>
        </w:rPr>
      </w:pPr>
      <w:r>
        <w:rPr>
          <w:rFonts w:hint="eastAsia" w:ascii="仿宋" w:hAnsi="仿宋" w:eastAsia="仿宋" w:cs="仿宋"/>
          <w:b w:val="0"/>
          <w:bCs/>
          <w:color w:val="auto"/>
          <w:kern w:val="2"/>
          <w:sz w:val="24"/>
          <w:szCs w:val="24"/>
          <w:highlight w:val="none"/>
        </w:rPr>
        <w:t>2、整体设计应强调多样化，结合不同装修设计风格。以不同色彩和材料，表现出不同的特色。主要以工业风格栅吊顶配备与师生就餐环境相适应的新颖灯具、墙面造型、桌椅（含就餐区桌椅全部更换）等设计元素区分用餐区域，打造一个多功能多风格的高端用餐环境。要求大厅通透，不设立隔断。</w:t>
      </w:r>
    </w:p>
    <w:p>
      <w:pPr>
        <w:pStyle w:val="55"/>
        <w:spacing w:line="360" w:lineRule="auto"/>
        <w:ind w:right="-313" w:rightChars="-149" w:firstLine="480" w:firstLineChars="200"/>
        <w:jc w:val="both"/>
        <w:rPr>
          <w:rFonts w:hint="eastAsia" w:ascii="仿宋" w:hAnsi="仿宋" w:eastAsia="仿宋" w:cs="仿宋"/>
          <w:b w:val="0"/>
          <w:bCs/>
          <w:color w:val="auto"/>
          <w:kern w:val="2"/>
          <w:sz w:val="24"/>
          <w:szCs w:val="24"/>
          <w:highlight w:val="none"/>
        </w:rPr>
      </w:pPr>
      <w:r>
        <w:rPr>
          <w:rFonts w:hint="eastAsia" w:ascii="仿宋" w:hAnsi="仿宋" w:eastAsia="仿宋" w:cs="仿宋"/>
          <w:b w:val="0"/>
          <w:bCs/>
          <w:color w:val="auto"/>
          <w:kern w:val="2"/>
          <w:sz w:val="24"/>
          <w:szCs w:val="24"/>
          <w:highlight w:val="none"/>
        </w:rPr>
        <w:t>3、就餐区桌椅全部更换，满足1200人就餐，桌椅的颜色及款式满足使用方的要求。更换的旧桌椅搬到用户方指定的位置。</w:t>
      </w:r>
    </w:p>
    <w:p>
      <w:pPr>
        <w:pStyle w:val="55"/>
        <w:spacing w:line="360" w:lineRule="auto"/>
        <w:ind w:right="-313" w:rightChars="-149" w:firstLine="480" w:firstLineChars="200"/>
        <w:jc w:val="both"/>
        <w:rPr>
          <w:rFonts w:hint="eastAsia" w:ascii="仿宋" w:hAnsi="仿宋" w:eastAsia="仿宋" w:cs="仿宋"/>
          <w:b w:val="0"/>
          <w:bCs/>
          <w:color w:val="auto"/>
          <w:kern w:val="2"/>
          <w:sz w:val="24"/>
          <w:szCs w:val="24"/>
          <w:highlight w:val="none"/>
        </w:rPr>
      </w:pPr>
      <w:r>
        <w:rPr>
          <w:rFonts w:hint="eastAsia" w:ascii="仿宋" w:hAnsi="仿宋" w:eastAsia="仿宋" w:cs="仿宋"/>
          <w:b w:val="0"/>
          <w:bCs/>
          <w:color w:val="auto"/>
          <w:kern w:val="2"/>
          <w:sz w:val="24"/>
          <w:szCs w:val="24"/>
          <w:highlight w:val="none"/>
        </w:rPr>
        <w:t>4、更换老旧线路，强弱电综合布线，满足监控、卡机、照明、中央空调要求等，所有线路走防火桥架，更换中央空调排水管。后堂用电改造方案（甲方提供的电路施工仅作参考），工程费用约60万元，含在概算中。从面食广场北侧箱变引电缆进会泽食府地下室配电室中，新增4组双面GGD低压电柜带表计和万能式断路器带锁可锁住表计，预留每个GGD柜带6个预留回路，从地下室引入二楼，防火桥架敷设，所有电路引到用电设备口，满足使用方要求，线路敷设满足规范要求。</w:t>
      </w:r>
    </w:p>
    <w:p>
      <w:pPr>
        <w:pStyle w:val="55"/>
        <w:spacing w:line="360" w:lineRule="auto"/>
        <w:ind w:right="-313" w:rightChars="-149" w:firstLine="480" w:firstLineChars="200"/>
        <w:jc w:val="both"/>
        <w:rPr>
          <w:rFonts w:hint="eastAsia" w:ascii="仿宋" w:hAnsi="仿宋" w:eastAsia="仿宋" w:cs="仿宋"/>
          <w:b w:val="0"/>
          <w:bCs/>
          <w:color w:val="auto"/>
          <w:kern w:val="2"/>
          <w:sz w:val="24"/>
          <w:szCs w:val="24"/>
          <w:highlight w:val="none"/>
        </w:rPr>
      </w:pPr>
      <w:r>
        <w:rPr>
          <w:rFonts w:hint="eastAsia" w:ascii="仿宋" w:hAnsi="仿宋" w:eastAsia="仿宋" w:cs="仿宋"/>
          <w:b w:val="0"/>
          <w:bCs/>
          <w:color w:val="auto"/>
          <w:kern w:val="2"/>
          <w:sz w:val="24"/>
          <w:szCs w:val="24"/>
          <w:highlight w:val="none"/>
        </w:rPr>
        <w:t>5、一、二楼窗户全部拆除更换成75系列断桥铝材质，窗户使用二层LOW-E钢化玻璃，双扇平开窗，开启扇外带金刚网纱窗，窗边抹灰，带抗渗防油的石英石窗台板。</w:t>
      </w:r>
    </w:p>
    <w:p>
      <w:pPr>
        <w:pStyle w:val="55"/>
        <w:spacing w:line="360" w:lineRule="auto"/>
        <w:ind w:right="-313" w:rightChars="-149" w:firstLine="480" w:firstLineChars="200"/>
        <w:jc w:val="both"/>
        <w:rPr>
          <w:rFonts w:hint="eastAsia" w:ascii="仿宋" w:hAnsi="仿宋" w:eastAsia="仿宋" w:cs="仿宋"/>
          <w:b w:val="0"/>
          <w:bCs/>
          <w:color w:val="auto"/>
          <w:kern w:val="2"/>
          <w:sz w:val="24"/>
          <w:szCs w:val="24"/>
          <w:highlight w:val="none"/>
        </w:rPr>
      </w:pPr>
      <w:r>
        <w:rPr>
          <w:rFonts w:hint="eastAsia" w:ascii="仿宋" w:hAnsi="仿宋" w:eastAsia="仿宋" w:cs="仿宋"/>
          <w:b w:val="0"/>
          <w:bCs/>
          <w:color w:val="auto"/>
          <w:kern w:val="2"/>
          <w:sz w:val="24"/>
          <w:szCs w:val="24"/>
          <w:highlight w:val="none"/>
        </w:rPr>
        <w:t>6、现有墙面全部铲除，粉刷环保乳胶漆，并进行墙面美化装饰，利用大厅立柱及天井玻璃幕墙、从一楼上二楼的楼梯过道的文化设计，使高校文化与兵团精神相融合，（墙面文化内容设计具体方案需使用方确认）。所有进场材料采购要求使用A级防火、环保、绿色材料。</w:t>
      </w:r>
    </w:p>
    <w:p>
      <w:pPr>
        <w:pStyle w:val="55"/>
        <w:spacing w:line="360" w:lineRule="auto"/>
        <w:ind w:right="-313" w:rightChars="-149" w:firstLine="480" w:firstLineChars="200"/>
        <w:jc w:val="both"/>
        <w:rPr>
          <w:rFonts w:hint="eastAsia" w:ascii="仿宋" w:hAnsi="仿宋" w:eastAsia="仿宋" w:cs="仿宋"/>
          <w:b w:val="0"/>
          <w:bCs/>
          <w:color w:val="auto"/>
          <w:kern w:val="2"/>
          <w:sz w:val="24"/>
          <w:szCs w:val="24"/>
          <w:highlight w:val="none"/>
        </w:rPr>
      </w:pPr>
      <w:r>
        <w:rPr>
          <w:rFonts w:hint="eastAsia" w:ascii="仿宋" w:hAnsi="仿宋" w:eastAsia="仿宋" w:cs="仿宋"/>
          <w:b w:val="0"/>
          <w:bCs/>
          <w:color w:val="auto"/>
          <w:kern w:val="2"/>
          <w:sz w:val="24"/>
          <w:szCs w:val="24"/>
          <w:highlight w:val="none"/>
        </w:rPr>
        <w:t>7、对灯光照明，指引牌，楼梯指示牌、应急灯以及墙面装饰、空间美化、地面材质和颜色进行综合设计，采购及安装。灯光亮化及照度符合要求。</w:t>
      </w:r>
    </w:p>
    <w:p>
      <w:pPr>
        <w:pStyle w:val="55"/>
        <w:spacing w:line="360" w:lineRule="auto"/>
        <w:ind w:right="-313" w:rightChars="-149" w:firstLine="480" w:firstLineChars="200"/>
        <w:jc w:val="both"/>
        <w:rPr>
          <w:rFonts w:hint="eastAsia" w:ascii="仿宋" w:hAnsi="仿宋" w:eastAsia="仿宋" w:cs="仿宋"/>
          <w:b w:val="0"/>
          <w:bCs/>
          <w:color w:val="auto"/>
          <w:kern w:val="2"/>
          <w:sz w:val="24"/>
          <w:szCs w:val="24"/>
          <w:highlight w:val="none"/>
        </w:rPr>
      </w:pPr>
      <w:r>
        <w:rPr>
          <w:rFonts w:hint="eastAsia" w:ascii="仿宋" w:hAnsi="仿宋" w:eastAsia="仿宋" w:cs="仿宋"/>
          <w:b w:val="0"/>
          <w:bCs/>
          <w:color w:val="auto"/>
          <w:kern w:val="2"/>
          <w:sz w:val="24"/>
          <w:szCs w:val="24"/>
          <w:highlight w:val="none"/>
        </w:rPr>
        <w:t>8、售卖区玻璃隔断上方的灯箱（35米*1米）采用超薄显示屏，功能：一是展示校园文化，二是显示售卖饭菜品种及价格。</w:t>
      </w:r>
    </w:p>
    <w:p>
      <w:pPr>
        <w:pStyle w:val="55"/>
        <w:spacing w:line="360" w:lineRule="auto"/>
        <w:ind w:right="-313" w:rightChars="-149" w:firstLine="480" w:firstLineChars="200"/>
        <w:jc w:val="both"/>
        <w:rPr>
          <w:rFonts w:hint="eastAsia" w:ascii="仿宋" w:hAnsi="仿宋" w:eastAsia="仿宋" w:cs="仿宋"/>
          <w:b w:val="0"/>
          <w:bCs/>
          <w:color w:val="auto"/>
          <w:kern w:val="2"/>
          <w:sz w:val="24"/>
          <w:szCs w:val="24"/>
          <w:highlight w:val="none"/>
        </w:rPr>
      </w:pPr>
      <w:r>
        <w:rPr>
          <w:rFonts w:hint="eastAsia" w:ascii="仿宋" w:hAnsi="仿宋" w:eastAsia="仿宋" w:cs="仿宋"/>
          <w:b w:val="0"/>
          <w:bCs/>
          <w:color w:val="auto"/>
          <w:kern w:val="2"/>
          <w:sz w:val="24"/>
          <w:szCs w:val="24"/>
          <w:highlight w:val="none"/>
        </w:rPr>
        <w:t>9、综合考虑餐厅东北角援疆干部、银龄计划教授就餐区域特点装修改造等。</w:t>
      </w:r>
    </w:p>
    <w:p>
      <w:pPr>
        <w:pStyle w:val="55"/>
        <w:spacing w:line="360" w:lineRule="auto"/>
        <w:ind w:right="-313" w:rightChars="-149" w:firstLine="480" w:firstLineChars="200"/>
        <w:jc w:val="both"/>
        <w:rPr>
          <w:rFonts w:hint="eastAsia" w:ascii="仿宋" w:hAnsi="仿宋" w:eastAsia="仿宋" w:cs="仿宋"/>
          <w:b w:val="0"/>
          <w:bCs/>
          <w:color w:val="auto"/>
          <w:kern w:val="2"/>
          <w:sz w:val="24"/>
          <w:szCs w:val="24"/>
          <w:highlight w:val="none"/>
        </w:rPr>
      </w:pPr>
      <w:r>
        <w:rPr>
          <w:rFonts w:hint="eastAsia" w:ascii="仿宋" w:hAnsi="仿宋" w:eastAsia="仿宋" w:cs="仿宋"/>
          <w:b w:val="0"/>
          <w:bCs/>
          <w:color w:val="auto"/>
          <w:kern w:val="2"/>
          <w:sz w:val="24"/>
          <w:szCs w:val="24"/>
          <w:highlight w:val="none"/>
        </w:rPr>
        <w:t>10、现有商超位置设置为自选区（水果、糕点、预包装食品、饮料等),满足自选需求。</w:t>
      </w:r>
    </w:p>
    <w:p>
      <w:pPr>
        <w:pStyle w:val="55"/>
        <w:spacing w:line="360" w:lineRule="auto"/>
        <w:ind w:right="-313" w:rightChars="-149" w:firstLine="480" w:firstLineChars="200"/>
        <w:jc w:val="both"/>
        <w:rPr>
          <w:rFonts w:hint="eastAsia" w:ascii="仿宋" w:hAnsi="仿宋" w:eastAsia="仿宋" w:cs="仿宋"/>
          <w:b w:val="0"/>
          <w:bCs/>
          <w:color w:val="auto"/>
          <w:kern w:val="2"/>
          <w:sz w:val="24"/>
          <w:szCs w:val="24"/>
          <w:highlight w:val="none"/>
        </w:rPr>
      </w:pPr>
      <w:r>
        <w:rPr>
          <w:rFonts w:hint="eastAsia" w:ascii="仿宋" w:hAnsi="仿宋" w:eastAsia="仿宋" w:cs="仿宋"/>
          <w:b w:val="0"/>
          <w:bCs/>
          <w:color w:val="auto"/>
          <w:kern w:val="2"/>
          <w:sz w:val="24"/>
          <w:szCs w:val="24"/>
          <w:highlight w:val="none"/>
        </w:rPr>
        <w:t>11、二楼大厅东北角4个洗手池（不锈钢，尺寸总长不超过6米）、镜子、镜前灯、洗工具池（304不锈钢，尺寸总长不超过6米）、5个感应带盖垃圾桶等设计改造、采购、安装满足多元化需求。需有上下水，上水用国标不锈钢管，下水用PE管，电熔套连接。</w:t>
      </w:r>
    </w:p>
    <w:p>
      <w:pPr>
        <w:pStyle w:val="55"/>
        <w:spacing w:line="360" w:lineRule="auto"/>
        <w:ind w:right="-313" w:rightChars="-149" w:firstLine="480" w:firstLineChars="200"/>
        <w:jc w:val="both"/>
        <w:rPr>
          <w:rFonts w:hint="eastAsia" w:ascii="仿宋" w:hAnsi="仿宋" w:eastAsia="仿宋" w:cs="仿宋"/>
          <w:b w:val="0"/>
          <w:bCs/>
          <w:color w:val="auto"/>
          <w:kern w:val="2"/>
          <w:sz w:val="24"/>
          <w:szCs w:val="24"/>
          <w:highlight w:val="none"/>
        </w:rPr>
      </w:pPr>
      <w:r>
        <w:rPr>
          <w:rFonts w:hint="eastAsia" w:ascii="仿宋" w:hAnsi="仿宋" w:eastAsia="仿宋" w:cs="仿宋"/>
          <w:b w:val="0"/>
          <w:bCs/>
          <w:color w:val="auto"/>
          <w:kern w:val="2"/>
          <w:sz w:val="24"/>
          <w:szCs w:val="24"/>
          <w:highlight w:val="none"/>
        </w:rPr>
        <w:t>12、二楼暖气整体设计拆除更换，使用白色铸铁暖气片，铜芯铜阀，含配件，后堂部分用国标热水用的热熔管连接，大厅部分用国标热镀锌管连接，满足采暖需求，可自行踏勘现场，自行考虑报价。</w:t>
      </w:r>
    </w:p>
    <w:p>
      <w:pPr>
        <w:pStyle w:val="55"/>
        <w:spacing w:line="360" w:lineRule="auto"/>
        <w:ind w:right="-313" w:rightChars="-149" w:firstLine="480" w:firstLineChars="200"/>
        <w:jc w:val="both"/>
        <w:rPr>
          <w:rFonts w:hint="eastAsia" w:ascii="仿宋" w:hAnsi="仿宋" w:eastAsia="仿宋" w:cs="仿宋"/>
          <w:b w:val="0"/>
          <w:bCs/>
          <w:color w:val="auto"/>
          <w:kern w:val="2"/>
          <w:sz w:val="24"/>
          <w:szCs w:val="24"/>
          <w:highlight w:val="none"/>
        </w:rPr>
      </w:pPr>
      <w:r>
        <w:rPr>
          <w:rFonts w:hint="eastAsia" w:ascii="仿宋" w:hAnsi="仿宋" w:eastAsia="仿宋" w:cs="仿宋"/>
          <w:b w:val="0"/>
          <w:bCs/>
          <w:color w:val="auto"/>
          <w:kern w:val="2"/>
          <w:sz w:val="24"/>
          <w:szCs w:val="24"/>
          <w:highlight w:val="none"/>
        </w:rPr>
        <w:t>13、就餐大厅根据需求设置不同的功能区域，可以根据师生就餐设置具有开放、新颖多样的功能区域，包括但不限于如西式快餐、茶饮咖啡休闲区（桌椅不少于50套）、学术沙龙交流等满足200人左右多元化功能区，需采购5部75寸电视、一套投影、一套音响及安装等，满足用户方的需求。</w:t>
      </w:r>
    </w:p>
    <w:p>
      <w:pPr>
        <w:pStyle w:val="55"/>
        <w:spacing w:line="360" w:lineRule="auto"/>
        <w:ind w:right="-313" w:rightChars="-149" w:firstLine="480" w:firstLineChars="200"/>
        <w:jc w:val="both"/>
        <w:rPr>
          <w:rFonts w:hint="eastAsia" w:ascii="仿宋" w:hAnsi="仿宋" w:eastAsia="仿宋" w:cs="仿宋"/>
          <w:b w:val="0"/>
          <w:bCs/>
          <w:color w:val="auto"/>
          <w:kern w:val="2"/>
          <w:sz w:val="24"/>
          <w:szCs w:val="24"/>
          <w:highlight w:val="none"/>
        </w:rPr>
      </w:pPr>
      <w:r>
        <w:rPr>
          <w:rFonts w:hint="eastAsia" w:ascii="仿宋" w:hAnsi="仿宋" w:eastAsia="仿宋" w:cs="仿宋"/>
          <w:b w:val="0"/>
          <w:bCs/>
          <w:color w:val="auto"/>
          <w:kern w:val="2"/>
          <w:sz w:val="24"/>
          <w:szCs w:val="24"/>
          <w:highlight w:val="none"/>
        </w:rPr>
        <w:t>14、灯具线路分16条区域分区管控。可用的线路及管道重新走防火桥架固定。</w:t>
      </w:r>
    </w:p>
    <w:p>
      <w:pPr>
        <w:pStyle w:val="55"/>
        <w:spacing w:line="360" w:lineRule="auto"/>
        <w:ind w:right="-313" w:rightChars="-149" w:firstLine="480" w:firstLineChars="200"/>
        <w:jc w:val="both"/>
        <w:rPr>
          <w:rFonts w:hint="eastAsia" w:ascii="仿宋" w:hAnsi="仿宋" w:eastAsia="仿宋" w:cs="仿宋"/>
          <w:b w:val="0"/>
          <w:bCs/>
          <w:color w:val="auto"/>
          <w:kern w:val="2"/>
          <w:sz w:val="24"/>
          <w:szCs w:val="24"/>
          <w:highlight w:val="none"/>
        </w:rPr>
      </w:pPr>
      <w:r>
        <w:rPr>
          <w:rFonts w:hint="eastAsia" w:ascii="仿宋" w:hAnsi="仿宋" w:eastAsia="仿宋" w:cs="仿宋"/>
          <w:b w:val="0"/>
          <w:bCs/>
          <w:color w:val="auto"/>
          <w:kern w:val="2"/>
          <w:sz w:val="24"/>
          <w:szCs w:val="24"/>
          <w:highlight w:val="none"/>
        </w:rPr>
        <w:t>15、消防要求，维护维修现有的消防设施。</w:t>
      </w:r>
    </w:p>
    <w:p>
      <w:pPr>
        <w:pStyle w:val="55"/>
        <w:spacing w:line="360" w:lineRule="auto"/>
        <w:ind w:right="-313" w:rightChars="-149" w:firstLine="480" w:firstLineChars="200"/>
        <w:jc w:val="both"/>
        <w:rPr>
          <w:rFonts w:hint="default" w:ascii="仿宋" w:hAnsi="仿宋" w:eastAsia="仿宋" w:cs="仿宋"/>
          <w:b w:val="0"/>
          <w:bCs/>
          <w:color w:val="auto"/>
          <w:kern w:val="2"/>
          <w:sz w:val="24"/>
          <w:szCs w:val="24"/>
          <w:highlight w:val="none"/>
          <w:lang w:val="en-US" w:eastAsia="zh-CN"/>
        </w:rPr>
      </w:pPr>
      <w:r>
        <w:rPr>
          <w:rFonts w:hint="eastAsia" w:ascii="仿宋" w:hAnsi="仿宋" w:eastAsia="仿宋" w:cs="仿宋"/>
          <w:b w:val="0"/>
          <w:bCs/>
          <w:color w:val="auto"/>
          <w:kern w:val="2"/>
          <w:sz w:val="24"/>
          <w:szCs w:val="24"/>
          <w:highlight w:val="none"/>
          <w:lang w:val="en-US" w:eastAsia="zh-CN"/>
        </w:rPr>
        <w:t>16、设计及施工图纸由用户方审核通过即可。</w:t>
      </w:r>
    </w:p>
    <w:p>
      <w:pPr>
        <w:pStyle w:val="55"/>
        <w:spacing w:line="360" w:lineRule="auto"/>
        <w:ind w:right="-313" w:rightChars="-149" w:firstLine="482" w:firstLineChars="200"/>
        <w:jc w:val="both"/>
        <w:rPr>
          <w:rFonts w:hint="eastAsia" w:ascii="仿宋" w:hAnsi="仿宋" w:eastAsia="仿宋" w:cs="仿宋"/>
          <w:b/>
          <w:color w:val="auto"/>
          <w:kern w:val="2"/>
          <w:sz w:val="24"/>
          <w:szCs w:val="24"/>
          <w:highlight w:val="none"/>
        </w:rPr>
      </w:pPr>
      <w:r>
        <w:rPr>
          <w:rFonts w:hint="eastAsia" w:ascii="仿宋" w:hAnsi="仿宋" w:eastAsia="仿宋" w:cs="仿宋"/>
          <w:b/>
          <w:color w:val="auto"/>
          <w:kern w:val="2"/>
          <w:sz w:val="24"/>
          <w:szCs w:val="24"/>
          <w:highlight w:val="none"/>
        </w:rPr>
        <w:t>1</w:t>
      </w:r>
      <w:r>
        <w:rPr>
          <w:rFonts w:hint="eastAsia" w:ascii="仿宋" w:hAnsi="仿宋" w:eastAsia="仿宋" w:cs="仿宋"/>
          <w:b/>
          <w:color w:val="auto"/>
          <w:kern w:val="2"/>
          <w:sz w:val="24"/>
          <w:szCs w:val="24"/>
          <w:highlight w:val="none"/>
          <w:lang w:val="en-US" w:eastAsia="zh-CN"/>
        </w:rPr>
        <w:t>7</w:t>
      </w:r>
      <w:r>
        <w:rPr>
          <w:rFonts w:hint="eastAsia" w:ascii="仿宋" w:hAnsi="仿宋" w:eastAsia="仿宋" w:cs="仿宋"/>
          <w:b/>
          <w:color w:val="auto"/>
          <w:kern w:val="2"/>
          <w:sz w:val="24"/>
          <w:szCs w:val="24"/>
          <w:highlight w:val="none"/>
        </w:rPr>
        <w:t>、其他要求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方案阶段：投标方中标后，优化出更好的装饰装修方案，具备可行性、合理性、前瞻性，要结合大学的特点，优化方案完成后，经使用方、建设方审核签字确认后，方可进行施工图的设计及施工，方案设计必须有相关的计算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（2）施工图阶段：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施工方案包括：在中标方案的基础上进行优化，包括效果图、平面图、施工做法及装饰材料说明、施工预算。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对确认的施工优化方案进行深化设计，施工图内应包括（但不限于）目录、说明、装饰材料表、平面图、剖面图、做法详图；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根据国家有关规定，对需要相关部门审核的图纸，按规定送交审核和解决审核时提出的问题，审图合格通过后，方可作为施工图使用。设计图纸必须章证齐全，并满足现行有关规范、法规和当地政府的有关要求。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（3）对承包人的主要人员资格要求。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（4）相关审批、核准和备案手续的办理。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1）按照石河子地区规定，承包人应协助发包人完成规划部门、建设管理部门、水电气经营管理部门前期相关手续的办理和协调。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2）承包人须完成本项目施工范围内水电气暖与市政管网系统并网接入手续办理，保证入网验收合格正常运行。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（5）对项目业主人员的操作培训。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（6）分包。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（7）设备供应商。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（8）缺陷责任期的服务要求。</w:t>
      </w:r>
    </w:p>
    <w:p>
      <w:pPr>
        <w:pStyle w:val="202"/>
        <w:spacing w:line="440" w:lineRule="exact"/>
        <w:ind w:right="-313" w:rightChars="-149"/>
        <w:jc w:val="both"/>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  商务报价要求</w:t>
      </w:r>
    </w:p>
    <w:p>
      <w:pPr>
        <w:pStyle w:val="207"/>
        <w:numPr>
          <w:ilvl w:val="0"/>
          <w:numId w:val="0"/>
        </w:numPr>
        <w:spacing w:line="440" w:lineRule="exact"/>
        <w:ind w:right="-313" w:rightChars="-149" w:firstLine="482" w:firstLineChars="200"/>
        <w:jc w:val="both"/>
        <w:rPr>
          <w:rFonts w:hint="eastAsia" w:ascii="仿宋" w:hAnsi="仿宋" w:eastAsia="仿宋" w:cs="仿宋"/>
          <w:b/>
          <w:bCs/>
          <w:color w:val="auto"/>
          <w:sz w:val="24"/>
          <w:szCs w:val="24"/>
          <w:highlight w:val="none"/>
          <w:u w:val="single"/>
          <w:lang w:eastAsia="zh-CN"/>
        </w:rPr>
      </w:pPr>
      <w:r>
        <w:rPr>
          <w:rFonts w:hint="eastAsia" w:ascii="仿宋" w:hAnsi="仿宋" w:eastAsia="仿宋" w:cs="仿宋"/>
          <w:b/>
          <w:bCs/>
          <w:color w:val="auto"/>
          <w:sz w:val="24"/>
          <w:szCs w:val="24"/>
          <w:highlight w:val="none"/>
        </w:rPr>
        <w:t>（一）</w:t>
      </w:r>
      <w:r>
        <w:rPr>
          <w:rFonts w:hint="eastAsia" w:ascii="仿宋" w:hAnsi="仿宋" w:eastAsia="仿宋" w:cs="仿宋"/>
          <w:color w:val="auto"/>
          <w:sz w:val="24"/>
          <w:szCs w:val="24"/>
          <w:highlight w:val="none"/>
        </w:rPr>
        <w:t>本项目招标控制价:</w:t>
      </w:r>
      <w:r>
        <w:rPr>
          <w:rFonts w:hint="eastAsia" w:ascii="仿宋" w:hAnsi="仿宋" w:eastAsia="仿宋" w:cs="仿宋"/>
          <w:b/>
          <w:bCs/>
          <w:color w:val="auto"/>
          <w:sz w:val="24"/>
          <w:szCs w:val="24"/>
          <w:highlight w:val="none"/>
          <w:u w:val="none"/>
        </w:rPr>
        <w:t>本项目工程招标最高限价总价为</w:t>
      </w:r>
      <w:r>
        <w:rPr>
          <w:rFonts w:hint="eastAsia" w:ascii="仿宋" w:hAnsi="仿宋" w:eastAsia="仿宋" w:cs="仿宋"/>
          <w:b/>
          <w:bCs/>
          <w:color w:val="auto"/>
          <w:sz w:val="24"/>
          <w:szCs w:val="24"/>
          <w:highlight w:val="none"/>
          <w:u w:val="single"/>
        </w:rPr>
        <w:t>:</w:t>
      </w:r>
      <w:r>
        <w:rPr>
          <w:rFonts w:hint="eastAsia" w:ascii="仿宋" w:hAnsi="仿宋" w:eastAsia="仿宋" w:cs="仿宋"/>
          <w:b/>
          <w:bCs/>
          <w:color w:val="auto"/>
          <w:sz w:val="24"/>
          <w:szCs w:val="24"/>
          <w:highlight w:val="none"/>
          <w:u w:val="single"/>
          <w:lang w:val="en-US" w:eastAsia="zh-CN"/>
        </w:rPr>
        <w:t xml:space="preserve"> </w:t>
      </w:r>
      <w:r>
        <w:rPr>
          <w:rFonts w:hint="eastAsia" w:ascii="仿宋" w:hAnsi="仿宋" w:eastAsia="仿宋" w:cs="仿宋"/>
          <w:b/>
          <w:bCs/>
          <w:color w:val="auto"/>
          <w:sz w:val="24"/>
          <w:szCs w:val="24"/>
          <w:highlight w:val="none"/>
          <w:u w:val="single"/>
        </w:rPr>
        <w:t>250万元</w:t>
      </w:r>
      <w:r>
        <w:rPr>
          <w:rFonts w:hint="eastAsia" w:ascii="仿宋" w:hAnsi="仿宋" w:eastAsia="仿宋" w:cs="仿宋"/>
          <w:b/>
          <w:bCs/>
          <w:color w:val="auto"/>
          <w:sz w:val="24"/>
          <w:szCs w:val="24"/>
          <w:highlight w:val="none"/>
          <w:u w:val="single"/>
          <w:lang w:eastAsia="zh-CN"/>
        </w:rPr>
        <w:t>。</w:t>
      </w:r>
    </w:p>
    <w:p>
      <w:pPr>
        <w:pStyle w:val="202"/>
        <w:spacing w:line="440" w:lineRule="exact"/>
        <w:ind w:right="-313" w:rightChars="-149" w:firstLine="482" w:firstLineChars="200"/>
        <w:jc w:val="both"/>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（二）本工程总投标报价包括:不仅限于以下内容</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1、设计费(竣工图编制费) :投标单位在限额内设计并完成本项目施工图设计(含施工图预算)和竣工图编制费，施工全过程的设计服务。施工图审查费及业主所提出重大设计变更、服务、承诺等为完成本项目设计的所有工作内容等。</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建筑安装工程费：用于完成建设项目发生的建筑工程和安装工程所需的费用；包括从设计开始报建的全部前期费用、报审费用、远征费用、智能化工地建设费、疫情防护费(口罩、酒精、消毒水、手套、体温检测器等)、总承包的其他费用均包括在报价内。</w:t>
      </w:r>
    </w:p>
    <w:p>
      <w:pPr>
        <w:pStyle w:val="203"/>
        <w:ind w:right="-313" w:rightChars="-149" w:firstLine="480" w:firstLineChars="200"/>
        <w:jc w:val="both"/>
        <w:rPr>
          <w:rFonts w:ascii="仿宋" w:hAnsi="仿宋" w:eastAsia="仿宋" w:cs="仿宋"/>
          <w:color w:val="auto"/>
          <w:highlight w:val="none"/>
        </w:rPr>
      </w:pPr>
      <w:r>
        <w:rPr>
          <w:rFonts w:hint="eastAsia" w:ascii="仿宋" w:hAnsi="仿宋" w:eastAsia="仿宋" w:cs="仿宋"/>
          <w:color w:val="auto"/>
          <w:sz w:val="24"/>
          <w:highlight w:val="none"/>
        </w:rPr>
        <w:t>3、设备采购费。</w:t>
      </w:r>
    </w:p>
    <w:p>
      <w:pPr>
        <w:pStyle w:val="208"/>
        <w:spacing w:line="400" w:lineRule="exact"/>
        <w:ind w:right="-313" w:rightChars="-149" w:firstLine="422" w:firstLineChars="175"/>
        <w:jc w:val="both"/>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（三）报价方式为下浮率</w:t>
      </w:r>
    </w:p>
    <w:p>
      <w:pPr>
        <w:pStyle w:val="208"/>
        <w:spacing w:line="400" w:lineRule="exact"/>
        <w:ind w:right="-313" w:rightChars="-149" w:firstLine="422" w:firstLineChars="175"/>
        <w:jc w:val="both"/>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投标单位根据发包方控价总额，结合企业自身情况按工程总价报下浮率</w:t>
      </w:r>
      <w:r>
        <w:rPr>
          <w:rFonts w:hint="eastAsia" w:ascii="仿宋" w:hAnsi="仿宋" w:eastAsia="仿宋" w:cs="仿宋"/>
          <w:color w:val="auto"/>
          <w:sz w:val="24"/>
          <w:szCs w:val="24"/>
          <w:highlight w:val="none"/>
        </w:rPr>
        <w:t xml:space="preserve">:  </w:t>
      </w:r>
    </w:p>
    <w:p>
      <w:pPr>
        <w:pStyle w:val="208"/>
        <w:spacing w:line="400" w:lineRule="exact"/>
        <w:ind w:right="-313" w:rightChars="-149" w:firstLine="482" w:firstLineChars="200"/>
        <w:jc w:val="both"/>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总价下浮率为:</w:t>
      </w:r>
      <w:r>
        <w:rPr>
          <w:rFonts w:hint="eastAsia" w:ascii="仿宋" w:hAnsi="仿宋" w:eastAsia="仿宋" w:cs="仿宋"/>
          <w:b/>
          <w:bCs/>
          <w:color w:val="auto"/>
          <w:sz w:val="24"/>
          <w:szCs w:val="24"/>
          <w:highlight w:val="none"/>
          <w:u w:val="single"/>
        </w:rPr>
        <w:t xml:space="preserve">   </w:t>
      </w:r>
      <w:r>
        <w:rPr>
          <w:rFonts w:hint="eastAsia" w:ascii="仿宋" w:hAnsi="仿宋" w:eastAsia="仿宋" w:cs="仿宋"/>
          <w:b/>
          <w:bCs/>
          <w:color w:val="auto"/>
          <w:sz w:val="24"/>
          <w:szCs w:val="24"/>
          <w:highlight w:val="none"/>
        </w:rPr>
        <w:t>%;（其中建安费下浮率为:</w:t>
      </w:r>
      <w:r>
        <w:rPr>
          <w:rFonts w:hint="eastAsia" w:ascii="仿宋" w:hAnsi="仿宋" w:eastAsia="仿宋" w:cs="仿宋"/>
          <w:b/>
          <w:bCs/>
          <w:color w:val="auto"/>
          <w:sz w:val="24"/>
          <w:szCs w:val="24"/>
          <w:highlight w:val="none"/>
          <w:u w:val="single"/>
        </w:rPr>
        <w:t xml:space="preserve">   </w:t>
      </w:r>
      <w:r>
        <w:rPr>
          <w:rFonts w:hint="eastAsia" w:ascii="仿宋" w:hAnsi="仿宋" w:eastAsia="仿宋" w:cs="仿宋"/>
          <w:b/>
          <w:bCs/>
          <w:color w:val="auto"/>
          <w:sz w:val="24"/>
          <w:szCs w:val="24"/>
          <w:highlight w:val="none"/>
        </w:rPr>
        <w:t>%; 设计费率为：</w:t>
      </w:r>
      <w:r>
        <w:rPr>
          <w:rFonts w:hint="eastAsia" w:ascii="仿宋" w:hAnsi="仿宋" w:eastAsia="仿宋" w:cs="仿宋"/>
          <w:b/>
          <w:bCs/>
          <w:color w:val="auto"/>
          <w:sz w:val="24"/>
          <w:szCs w:val="24"/>
          <w:highlight w:val="none"/>
          <w:u w:val="single"/>
        </w:rPr>
        <w:t xml:space="preserve">  </w:t>
      </w:r>
      <w:r>
        <w:rPr>
          <w:rFonts w:hint="eastAsia"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lang w:val="en-US" w:eastAsia="zh-CN"/>
        </w:rPr>
        <w:t>)</w:t>
      </w:r>
    </w:p>
    <w:p>
      <w:pPr>
        <w:pStyle w:val="208"/>
        <w:spacing w:line="400" w:lineRule="exact"/>
        <w:ind w:right="-313" w:rightChars="-149" w:firstLine="482" w:firstLineChars="200"/>
        <w:jc w:val="both"/>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建筑安装工程竣工结算时执行中标时的让利下浮率。（规费、安全文明费(不含临时设施费)、扬尘污染防治措施增加费、增值税销项税额、智能化工地建设费、疫情防疫防控费、通过招标的无信息价的材料设备、通过招标的专业工程均不下浮)。</w:t>
      </w:r>
    </w:p>
    <w:p>
      <w:pPr>
        <w:pStyle w:val="208"/>
        <w:spacing w:line="400" w:lineRule="exact"/>
        <w:ind w:right="-313" w:rightChars="-149" w:firstLine="482" w:firstLineChars="200"/>
        <w:jc w:val="both"/>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设计费以相关部门审定的建筑安装工程结算价为基础，按中标设计费费率结算。</w:t>
      </w:r>
    </w:p>
    <w:p>
      <w:pPr>
        <w:pStyle w:val="208"/>
        <w:spacing w:line="400" w:lineRule="exact"/>
        <w:ind w:right="-313" w:rightChars="-149" w:firstLine="482" w:firstLineChars="200"/>
        <w:jc w:val="both"/>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投标人的投标报价不得超出本项目总招标控制价，超出该控制价的报价为无效投标报价，按重大偏差处理。</w:t>
      </w:r>
    </w:p>
    <w:p>
      <w:pPr>
        <w:pStyle w:val="208"/>
        <w:spacing w:line="400" w:lineRule="exact"/>
        <w:ind w:right="-313" w:rightChars="-149" w:firstLine="422" w:firstLineChars="175"/>
        <w:jc w:val="both"/>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（四）工程造价要求及其他</w:t>
      </w:r>
    </w:p>
    <w:p>
      <w:pPr>
        <w:pStyle w:val="205"/>
        <w:spacing w:after="200" w:line="440" w:lineRule="exact"/>
        <w:ind w:right="-313" w:rightChars="-149" w:firstLine="482" w:firstLineChars="200"/>
        <w:jc w:val="both"/>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项且投资控制目标:投资控制有力，工程建设各阶段费用支出有计划，有控制，项且投资控制在项目投资设计概算范围之内。</w:t>
      </w:r>
    </w:p>
    <w:p>
      <w:pPr>
        <w:pStyle w:val="205"/>
        <w:spacing w:after="200"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中标单位施工图设计完成后编制施工图预算(工程量清单计价)，建筑安装工程费由第三方造价咨询机构审核后报（计财）部门审定，施工图预算不能超过设计概算，建筑安装工程费预算不能超过建筑安装工程费预算，如超过建筑安装工程费预算则中标单位自行无偿调整施工图设计，同时施工图设计需通过建设主管部门审核。</w:t>
      </w:r>
    </w:p>
    <w:p>
      <w:pPr>
        <w:pStyle w:val="205"/>
        <w:spacing w:after="200"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2、变更签证引起的造价费用的调整需由中标单位编制预算由第三方造价咨询机构审核后报财政部门审定，并按照变更的审批流程审批后，方可实施。</w:t>
      </w:r>
    </w:p>
    <w:p>
      <w:pPr>
        <w:pStyle w:val="205"/>
        <w:spacing w:after="200" w:line="440" w:lineRule="exact"/>
        <w:ind w:right="-313" w:rightChars="-149" w:firstLine="651" w:firstLineChars="270"/>
        <w:jc w:val="both"/>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(五）施工图预算工程量清单计价编制要求</w:t>
      </w:r>
    </w:p>
    <w:p>
      <w:pPr>
        <w:pStyle w:val="205"/>
        <w:spacing w:after="200" w:line="440" w:lineRule="exact"/>
        <w:ind w:right="-313" w:rightChars="-149" w:firstLine="651" w:firstLineChars="270"/>
        <w:jc w:val="both"/>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1、计价依据：</w:t>
      </w:r>
      <w:r>
        <w:rPr>
          <w:rFonts w:hint="eastAsia" w:ascii="仿宋" w:hAnsi="仿宋" w:eastAsia="仿宋" w:cs="仿宋"/>
          <w:color w:val="auto"/>
          <w:sz w:val="24"/>
          <w:szCs w:val="24"/>
          <w:highlight w:val="none"/>
        </w:rPr>
        <w:t xml:space="preserve">土建工程套价执行《新疆建筑工程消耗量定额石河子地区计价表》（2010） 《新疆建安补充消耗量定额石河子地区估价表》（2015）； </w:t>
      </w:r>
    </w:p>
    <w:p>
      <w:pPr>
        <w:pStyle w:val="205"/>
        <w:spacing w:after="200"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装修工程套价执行《全统装饰装修工程消耗量定额石河子地区单位估价表》 （2010）； 安装工程套价执行 2010 年《新疆安装工程定额乌鲁木齐地区单位估价汇总表》。</w:t>
      </w:r>
    </w:p>
    <w:p>
      <w:pPr>
        <w:pStyle w:val="205"/>
        <w:spacing w:after="200"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2、工程量的计算:按国家相关的计量规范，依据审查合格的施工图计算。</w:t>
      </w:r>
    </w:p>
    <w:p>
      <w:pPr>
        <w:pStyle w:val="205"/>
        <w:spacing w:after="200"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3.价格的计算依据:</w:t>
      </w:r>
    </w:p>
    <w:p>
      <w:pPr>
        <w:pStyle w:val="205"/>
        <w:spacing w:after="200"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3.1企业管理费、利润有区间费率按各费率的中间值计取。</w:t>
      </w:r>
    </w:p>
    <w:p>
      <w:pPr>
        <w:pStyle w:val="205"/>
        <w:spacing w:after="200"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3.2关于基准价格的约定:</w:t>
      </w:r>
      <w:r>
        <w:rPr>
          <w:rFonts w:hint="eastAsia" w:ascii="仿宋" w:hAnsi="仿宋" w:eastAsia="仿宋" w:cs="仿宋"/>
          <w:b/>
          <w:bCs/>
          <w:color w:val="auto"/>
          <w:sz w:val="24"/>
          <w:szCs w:val="24"/>
          <w:highlight w:val="none"/>
        </w:rPr>
        <w:t>材料差价调整执行石河子地区施工同期建设工程的材料信息价。</w:t>
      </w:r>
    </w:p>
    <w:p>
      <w:pPr>
        <w:pStyle w:val="205"/>
        <w:spacing w:after="200" w:line="440" w:lineRule="exact"/>
        <w:ind w:right="-313" w:rightChars="-149" w:firstLine="648" w:firstLineChars="270"/>
        <w:jc w:val="both"/>
        <w:rPr>
          <w:rFonts w:ascii="仿宋" w:hAnsi="仿宋" w:eastAsia="仿宋" w:cs="仿宋"/>
          <w:b/>
          <w:bCs/>
          <w:strike/>
          <w:color w:val="auto"/>
          <w:sz w:val="24"/>
          <w:szCs w:val="24"/>
          <w:highlight w:val="none"/>
        </w:rPr>
      </w:pPr>
      <w:r>
        <w:rPr>
          <w:rFonts w:hint="eastAsia" w:ascii="仿宋" w:hAnsi="仿宋" w:eastAsia="仿宋" w:cs="仿宋"/>
          <w:color w:val="auto"/>
          <w:sz w:val="24"/>
          <w:szCs w:val="24"/>
          <w:highlight w:val="none"/>
        </w:rPr>
        <w:t>3.3</w:t>
      </w:r>
      <w:r>
        <w:rPr>
          <w:rFonts w:hint="eastAsia" w:ascii="仿宋" w:hAnsi="仿宋" w:eastAsia="仿宋" w:cs="仿宋"/>
          <w:b/>
          <w:bCs/>
          <w:color w:val="auto"/>
          <w:sz w:val="24"/>
          <w:szCs w:val="24"/>
          <w:highlight w:val="none"/>
        </w:rPr>
        <w:t>项目工程结算审核时执行中标时的报价下浮率。</w:t>
      </w:r>
    </w:p>
    <w:p>
      <w:pPr>
        <w:pStyle w:val="205"/>
        <w:spacing w:after="200" w:line="440" w:lineRule="exact"/>
        <w:ind w:right="-313" w:rightChars="-149" w:firstLine="651" w:firstLineChars="270"/>
        <w:jc w:val="both"/>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（六）结算价款</w:t>
      </w:r>
    </w:p>
    <w:p>
      <w:pPr>
        <w:pStyle w:val="205"/>
        <w:spacing w:after="200" w:line="440" w:lineRule="exact"/>
        <w:ind w:right="-313" w:rightChars="-149" w:firstLine="651" w:firstLineChars="270"/>
        <w:jc w:val="both"/>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总则:在项目批复范围内，项目投资控制不得超过控制价:承包人结算报审额不得突破中标价。在项目批复范围内，非承包人造成的投资额增加，不得突破总投资概算。施工图预算不得超过初步设计概算，超过的，修正及调整费用发包人不另行支付。</w:t>
      </w:r>
    </w:p>
    <w:p>
      <w:pPr>
        <w:pStyle w:val="211"/>
        <w:spacing w:after="200" w:line="400" w:lineRule="exact"/>
        <w:ind w:right="-313" w:rightChars="-149" w:firstLine="420" w:firstLineChars="175"/>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b/>
          <w:bCs/>
          <w:color w:val="auto"/>
          <w:sz w:val="24"/>
          <w:szCs w:val="24"/>
          <w:highlight w:val="none"/>
        </w:rPr>
        <w:t>设计费(含施工图设计、竣工图编制费)。设计费以相关部门审定的建筑安装工程结算价为基础，按中标设计费率结算。</w:t>
      </w:r>
    </w:p>
    <w:p>
      <w:pPr>
        <w:pStyle w:val="205"/>
        <w:spacing w:after="200" w:line="440" w:lineRule="exact"/>
        <w:ind w:right="-313" w:rightChars="-149" w:firstLine="648" w:firstLineChars="270"/>
        <w:jc w:val="both"/>
        <w:rPr>
          <w:rFonts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b/>
          <w:bCs/>
          <w:color w:val="auto"/>
          <w:sz w:val="24"/>
          <w:szCs w:val="24"/>
          <w:highlight w:val="none"/>
        </w:rPr>
        <w:t>建筑安装工程费。以最终发包人确定的施工图及变更、签证等有效隐蔽资料进行结算，执行投标时报价下浮率结算。工程量的计算:按国家相关的计量规范。综合单价由第三方造价咨询机构审核确定，企业管理费、利润有区间费率按各费率的中间值计取。材料差价调整执行石河子地区施工同期建设工程的材料信息价，材料价格时点以实际实施进度为准;无信息价的以甲乙双方确认的价格计入。工程结算由第三方造价咨询机构审核确定后，报审计部门核定作为结算的依据。</w:t>
      </w:r>
    </w:p>
    <w:p>
      <w:pPr>
        <w:pStyle w:val="202"/>
        <w:spacing w:line="440" w:lineRule="exact"/>
        <w:ind w:right="-313" w:rightChars="-149" w:firstLine="651" w:firstLineChars="270"/>
        <w:jc w:val="both"/>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十三其他要求</w:t>
      </w:r>
    </w:p>
    <w:p>
      <w:pPr>
        <w:pStyle w:val="202"/>
        <w:spacing w:after="120"/>
        <w:ind w:right="-313" w:rightChars="-149" w:firstLine="600"/>
        <w:jc w:val="both"/>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(一)施工图设计必须按相关规定，报有关部门审核通过。</w:t>
      </w:r>
    </w:p>
    <w:p>
      <w:pPr>
        <w:pStyle w:val="202"/>
        <w:spacing w:line="440" w:lineRule="exact"/>
        <w:ind w:right="-313" w:rightChars="-149" w:firstLine="651" w:firstLineChars="270"/>
        <w:jc w:val="both"/>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工程总承包项目开工前，中标人应完成项目相关手续办理后方可施工。工程竣工验收合格之日起15日内中标方协助招标人完成竣工备案手续。</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(二)设计变更流程:</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1、施工单位提出变更申请</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施工单位提出变更申请报总监理工程师;所有设计变更必须以书面形式提出，并应当注明变更理由。</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总监理工程师审核技术是否可行、第三方造价咨询机构核算造价影响，报建设单位工程管理部门审核;</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2、建设单位提出变更申请</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建设单位工程师组织设计单位、总监理工程师、第三方造价咨询机构论证变更是否技术可行、造价影响;</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建设单位工程管理部门同意后，通知设计单位工程师，设计单位工程师认可变更方案，进行设计变更， 出变更图纸或变更说明;</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3、设计单位发出变更</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设计单位发出设计变更:</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变更图纸或变更说明由总监理工程师审核后报建设单位批准，由总监理工程师发施工单位。</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4、设计变更要求</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所有设计变更必须以书面形式提出，并应当注明变更理由。</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由工程勘察、设计单位、施工单位等有关单位的过错引起的工程设计变更并造成损失的，有关单位应当承担相应的费用和责任。</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所有设计变更必须由建设单位、监理公司、设计公司和施工单位四方进行确认，由设计单位修改报建设单位工程管理部门审批，最终由监理公司向施工单位签发“设计变更通知单”方为有效。</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“图纸会审纪要”、“ 设计变更通知单”等技术文件，都要有详细文字记录并由5方责任主体单位签字盖章确认后一并归档， 作为施工和竣工结算的依据。</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(三)中标人应接受政府主管部门的监管，保证安全文明施工;不拖欠农民工工资，若造成上访等，由中标人自行承担后果。</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(四)若中标人不能履行工程质量保修期责任，招标人有权在支付中标人的价款中扣减完成质量保修所盖的必要费用。</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五)在项目实施过程中执行《建设项目工程总承包管理规范》、《中华人民共和国建筑法》、《中华人民共和国招标投标法》《建筑工程工程勘察设计管理条例》、《建筑工程质量管理条例》、《建筑工程施工质量验收统一标准》《消防设计规范》、《消防验收规范施工及质量验收标准》、《建筑工程安全生产管理条例》、《危险性较大的分部分项工程安全管理规定》、《房屋建筑和市政基础设施项目工程总承包管理办法》等国家现行法律、法规。</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(六)中标单位在项目实施过程中严格执行国家及地方有关设计-采购-施工(EPC)工程总承包等相关管理规定。</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（七)中标单位须按住房和城乡建设部令第37号《危险性较大的分部分项工程安全管理规定》的规定列出重大危险源清单，并在施工过程中，严格落实补充完善的危大工程清单、做好安全管理措施。</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（八）施工图设计</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(1)承包人在进行施工图设计时，不得提高或降低经相关部门审核批准后的初步设计标准。承包人提高标准的，按提高后标准实施，增加的费用发包人不另行支付:承包人不得自行降低标准。</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承包人在进行施工图设计时，应充分体现初步设计及发包人的要求，其成果文件应得到发包人认可。</w:t>
      </w:r>
    </w:p>
    <w:p>
      <w:pPr>
        <w:pStyle w:val="202"/>
        <w:spacing w:line="440" w:lineRule="exact"/>
        <w:ind w:right="-313" w:rightChars="-149" w:firstLine="480" w:firstLineChars="20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（2）承包人提供的施工图设计应标明主要材料、设备的技术参数、规格。</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承包人应负责工程设计的组织、协调、进度控制等所有相关设计工作，并负责对该工程的所有设计工作进行审查，对所有相关设计文件的正确性承担责任。并按合同中承包人文件的有关要求，提供全部的承包人设计文件最终版。</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（九)、材料与设备采购</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(1)除合同另有约定外，承包人提供的材料和设备均由承包人负责采购、运输和保管。承包人应对其采购的材料和设备负责。</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应按合同约定，将各项材料和设备的供货人及品种、技术要求、规格、品牌、价格、数量和供货时间等报送发包人批准。承包人应向发包人提交其负责提供的材料和设备的质量证明文件，产品使用档次按中档以上水平，并满足合同约定的质量标准。承包人应按照合同约定的品牌、规格选择材料和设备，若需更换，应报发包人核准。合同中未约定品牌的，需按发包人同意的品牌和质量标准采购。如果承包人擅自选用其他品牌及规格，承包人必须进行更换，并承担由此造成的返工等一切损失。</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(3)发包人视工程具体情况，可以要求承包人在施工过程中更换相关材料或设备，对更换部分的价格变化按合同约定的有关规定执行。</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对承包人提供的材料和设备，承包人应会同发包人进行检验和交货验收，查验材料合格证明和产品合格证书，并按合同约定和发包人指示，进行材料的抽样检验和设备的检验测试，检验和测试结果应提交发包人，所盖费用由承包人承担。</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（10)、计价风险</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承包人按招标文件及初步设计内容审核发包人的要求，发现错误的，应及时书面通知发包人。发包人根据自身需求及时作相应修改。承包人未发现发包人要求中存在错误的，承包人自行承担由此增加的费用和(或)延误的工期，合同另有约定的除外。</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(2)承包人文件中出现的错误、遗漏、含糊、不-致、不适当或其他缺陷，即使发包人做出了同意或批准，承包人仍应进行整改，并承担相应费用。</w:t>
      </w:r>
    </w:p>
    <w:p>
      <w:pPr>
        <w:pStyle w:val="202"/>
        <w:spacing w:line="440" w:lineRule="exact"/>
        <w:ind w:right="-313" w:rightChars="-149" w:firstLine="648" w:firstLineChars="270"/>
        <w:jc w:val="both"/>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(3)除合同另有约定外，合同价款包括承包人完成全部义务所发生的费用，以及为工程设计、实施和修补任何缺陷所需的全部费用。</w:t>
      </w:r>
    </w:p>
    <w:p>
      <w:pPr>
        <w:pStyle w:val="202"/>
        <w:spacing w:line="440" w:lineRule="exact"/>
        <w:ind w:right="-313" w:rightChars="-149" w:firstLine="648" w:firstLineChars="270"/>
        <w:jc w:val="both"/>
        <w:rPr>
          <w:rFonts w:ascii="仿宋" w:hAnsi="仿宋" w:eastAsia="仿宋" w:cs="仿宋"/>
          <w:color w:val="auto"/>
          <w:highlight w:val="none"/>
        </w:rPr>
      </w:pPr>
      <w:r>
        <w:rPr>
          <w:rFonts w:hint="eastAsia" w:ascii="仿宋" w:hAnsi="仿宋" w:eastAsia="仿宋" w:cs="仿宋"/>
          <w:color w:val="auto"/>
          <w:sz w:val="24"/>
          <w:szCs w:val="24"/>
          <w:highlight w:val="none"/>
        </w:rPr>
        <w:t>(4)除合同另有约定外，承包人应视为承担任何风险意外所产生的费用。</w:t>
      </w:r>
    </w:p>
    <w:p>
      <w:pPr>
        <w:pStyle w:val="69"/>
        <w:spacing w:line="360" w:lineRule="auto"/>
        <w:ind w:right="-313" w:rightChars="-149"/>
        <w:jc w:val="both"/>
        <w:rPr>
          <w:rFonts w:ascii="仿宋" w:hAnsi="仿宋" w:eastAsia="仿宋" w:cs="仿宋"/>
          <w:b/>
          <w:color w:val="auto"/>
          <w:sz w:val="24"/>
          <w:highlight w:val="none"/>
        </w:rPr>
      </w:pPr>
      <w:r>
        <w:rPr>
          <w:rFonts w:hint="eastAsia" w:ascii="仿宋" w:hAnsi="仿宋" w:eastAsia="仿宋" w:cs="仿宋"/>
          <w:color w:val="auto"/>
          <w:sz w:val="20"/>
          <w:highlight w:val="none"/>
        </w:rPr>
        <w:t xml:space="preserve"> </w:t>
      </w:r>
    </w:p>
    <w:p>
      <w:pPr>
        <w:pStyle w:val="69"/>
        <w:spacing w:line="360" w:lineRule="auto"/>
        <w:ind w:right="-313" w:rightChars="-149"/>
        <w:jc w:val="both"/>
        <w:rPr>
          <w:rFonts w:ascii="仿宋" w:hAnsi="仿宋" w:eastAsia="仿宋" w:cs="仿宋"/>
          <w:b/>
          <w:color w:val="auto"/>
          <w:sz w:val="24"/>
          <w:highlight w:val="none"/>
        </w:rPr>
      </w:pPr>
      <w:r>
        <w:rPr>
          <w:rFonts w:hint="eastAsia" w:ascii="仿宋" w:hAnsi="仿宋" w:eastAsia="仿宋" w:cs="仿宋"/>
          <w:b/>
          <w:color w:val="auto"/>
          <w:sz w:val="24"/>
          <w:highlight w:val="none"/>
        </w:rPr>
        <w:t>四、其他要求：</w:t>
      </w:r>
    </w:p>
    <w:p>
      <w:pPr>
        <w:pStyle w:val="69"/>
        <w:spacing w:line="360" w:lineRule="auto"/>
        <w:ind w:right="-313" w:rightChars="-149" w:firstLine="480" w:firstLineChars="200"/>
        <w:jc w:val="both"/>
        <w:rPr>
          <w:rFonts w:ascii="仿宋" w:hAnsi="仿宋" w:eastAsia="仿宋" w:cs="仿宋"/>
          <w:color w:val="auto"/>
          <w:sz w:val="24"/>
          <w:highlight w:val="none"/>
        </w:rPr>
      </w:pPr>
      <w:r>
        <w:rPr>
          <w:rFonts w:hint="eastAsia" w:ascii="仿宋" w:hAnsi="仿宋" w:eastAsia="仿宋" w:cs="仿宋"/>
          <w:bCs/>
          <w:color w:val="auto"/>
          <w:sz w:val="24"/>
          <w:highlight w:val="none"/>
        </w:rPr>
        <w:t>1、</w:t>
      </w:r>
      <w:r>
        <w:rPr>
          <w:rFonts w:hint="eastAsia" w:ascii="仿宋" w:hAnsi="仿宋" w:eastAsia="仿宋" w:cs="仿宋"/>
          <w:color w:val="auto"/>
          <w:sz w:val="24"/>
          <w:highlight w:val="none"/>
        </w:rPr>
        <w:t>中标人必须确保整体通过用户方及有关主管部门验收，所发生的验收费用由中标人承担；投标人应踏勘现场，如投标人因未及时踏勘现场而导致的报价缺项漏项废标、或中标后无法完工，投标人自行承担一切后果；</w:t>
      </w:r>
      <w:r>
        <w:rPr>
          <w:rFonts w:hint="eastAsia" w:ascii="仿宋" w:hAnsi="仿宋" w:eastAsia="仿宋" w:cs="仿宋"/>
          <w:color w:val="auto"/>
          <w:sz w:val="24"/>
          <w:highlight w:val="none"/>
        </w:rPr>
        <w:cr/>
      </w:r>
      <w:r>
        <w:rPr>
          <w:rFonts w:hint="eastAsia" w:ascii="仿宋" w:hAnsi="仿宋" w:eastAsia="仿宋" w:cs="仿宋"/>
          <w:color w:val="auto"/>
          <w:sz w:val="24"/>
          <w:highlight w:val="none"/>
        </w:rPr>
        <w:t xml:space="preserve">    2.如对本竞争性磋商文件有任何疑问或要求澄清，请按本文件须知前附表规定的时间提出，否则视同理解和接受。</w:t>
      </w:r>
    </w:p>
    <w:bookmarkEnd w:id="155"/>
    <w:p>
      <w:pPr>
        <w:ind w:right="-313" w:rightChars="-149"/>
        <w:jc w:val="both"/>
        <w:rPr>
          <w:rFonts w:ascii="仿宋" w:hAnsi="仿宋" w:eastAsia="仿宋" w:cs="仿宋"/>
          <w:b/>
          <w:color w:val="auto"/>
          <w:sz w:val="36"/>
          <w:szCs w:val="36"/>
          <w:highlight w:val="none"/>
        </w:rPr>
      </w:pPr>
      <w:bookmarkStart w:id="157" w:name="_Toc503463633"/>
      <w:bookmarkStart w:id="158" w:name="_Toc26834"/>
      <w:bookmarkStart w:id="159" w:name="_Toc256000085"/>
      <w:r>
        <w:rPr>
          <w:rFonts w:hint="eastAsia" w:ascii="仿宋" w:hAnsi="仿宋" w:eastAsia="仿宋" w:cs="仿宋"/>
          <w:b/>
          <w:color w:val="auto"/>
          <w:sz w:val="36"/>
          <w:szCs w:val="36"/>
          <w:highlight w:val="none"/>
        </w:rPr>
        <w:br w:type="page"/>
      </w:r>
    </w:p>
    <w:p>
      <w:pPr>
        <w:pStyle w:val="9"/>
        <w:tabs>
          <w:tab w:val="left" w:pos="0"/>
        </w:tabs>
        <w:spacing w:line="240" w:lineRule="auto"/>
        <w:ind w:left="0" w:leftChars="0" w:firstLine="0" w:firstLineChars="0"/>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第四部分   评审方法（综合评分法）</w:t>
      </w:r>
      <w:bookmarkEnd w:id="157"/>
      <w:bookmarkEnd w:id="158"/>
      <w:bookmarkEnd w:id="159"/>
    </w:p>
    <w:tbl>
      <w:tblPr>
        <w:tblStyle w:val="23"/>
        <w:tblpPr w:leftFromText="180" w:rightFromText="180" w:vertAnchor="text" w:horzAnchor="page" w:tblpXSpec="center" w:tblpY="930"/>
        <w:tblOverlap w:val="never"/>
        <w:tblW w:w="6169" w:type="pct"/>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589"/>
        <w:gridCol w:w="1140"/>
        <w:gridCol w:w="2201"/>
        <w:gridCol w:w="5170"/>
        <w:gridCol w:w="572"/>
        <w:gridCol w:w="59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69" w:hRule="atLeast"/>
          <w:jc w:val="center"/>
        </w:trPr>
        <w:tc>
          <w:tcPr>
            <w:tcW w:w="842" w:type="pct"/>
            <w:gridSpan w:val="2"/>
            <w:vMerge w:val="restart"/>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评分因素</w:t>
            </w:r>
          </w:p>
        </w:tc>
        <w:tc>
          <w:tcPr>
            <w:tcW w:w="1071" w:type="pct"/>
            <w:vMerge w:val="restart"/>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评分点</w:t>
            </w:r>
          </w:p>
        </w:tc>
        <w:tc>
          <w:tcPr>
            <w:tcW w:w="2517" w:type="pct"/>
            <w:vMerge w:val="restart"/>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评分标准</w:t>
            </w:r>
          </w:p>
        </w:tc>
        <w:tc>
          <w:tcPr>
            <w:tcW w:w="568" w:type="pct"/>
            <w:gridSpan w:val="2"/>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评审意见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69" w:hRule="atLeast"/>
          <w:jc w:val="center"/>
        </w:trPr>
        <w:tc>
          <w:tcPr>
            <w:tcW w:w="842" w:type="pct"/>
            <w:gridSpan w:val="2"/>
            <w:vMerge w:val="continue"/>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vMerge w:val="continue"/>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2517" w:type="pct"/>
            <w:vMerge w:val="continue"/>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278" w:type="pct"/>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是</w:t>
            </w:r>
          </w:p>
        </w:tc>
        <w:tc>
          <w:tcPr>
            <w:tcW w:w="290" w:type="pct"/>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94" w:hRule="atLeast"/>
          <w:jc w:val="center"/>
        </w:trPr>
        <w:tc>
          <w:tcPr>
            <w:tcW w:w="286" w:type="pct"/>
            <w:vMerge w:val="restart"/>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初步</w:t>
            </w:r>
          </w:p>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评审</w:t>
            </w:r>
          </w:p>
        </w:tc>
        <w:tc>
          <w:tcPr>
            <w:tcW w:w="555" w:type="pct"/>
            <w:vMerge w:val="restart"/>
            <w:tcBorders>
              <w:top w:val="outset" w:color="auto" w:sz="6" w:space="0"/>
              <w:left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资格检查</w:t>
            </w:r>
          </w:p>
        </w:tc>
        <w:tc>
          <w:tcPr>
            <w:tcW w:w="1071" w:type="pct"/>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具有独立承担民事责任的能力</w:t>
            </w:r>
          </w:p>
        </w:tc>
        <w:tc>
          <w:tcPr>
            <w:tcW w:w="2517"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提供法人或者其他组织的营业执照等证明文件，自然人的身份证明；</w:t>
            </w:r>
          </w:p>
        </w:tc>
        <w:tc>
          <w:tcPr>
            <w:tcW w:w="278"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c>
          <w:tcPr>
            <w:tcW w:w="290"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44" w:hRule="atLeast"/>
          <w:jc w:val="center"/>
        </w:trPr>
        <w:tc>
          <w:tcPr>
            <w:tcW w:w="286" w:type="pct"/>
            <w:vMerge w:val="continue"/>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left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outset" w:color="auto" w:sz="6" w:space="0"/>
              <w:left w:val="outset" w:color="auto" w:sz="6" w:space="0"/>
              <w:bottom w:val="outset" w:color="auto" w:sz="6" w:space="0"/>
              <w:right w:val="outset" w:color="auto" w:sz="6" w:space="0"/>
            </w:tcBorders>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信用中国”网站和</w:t>
            </w:r>
          </w:p>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“中国政府采购网”</w:t>
            </w:r>
          </w:p>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查询结果</w:t>
            </w:r>
          </w:p>
        </w:tc>
        <w:tc>
          <w:tcPr>
            <w:tcW w:w="2517" w:type="pct"/>
            <w:tcBorders>
              <w:top w:val="outset" w:color="auto" w:sz="6" w:space="0"/>
              <w:left w:val="outset" w:color="auto" w:sz="6" w:space="0"/>
              <w:bottom w:val="outset" w:color="auto" w:sz="6" w:space="0"/>
              <w:right w:val="outset" w:color="auto" w:sz="6" w:space="0"/>
            </w:tcBorders>
            <w:noWrap/>
            <w:vAlign w:val="center"/>
          </w:tcPr>
          <w:p>
            <w:pPr>
              <w:spacing w:line="40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开标时查询 1、被列入失信被执行人； 2、重大税收违法案件当事人名单； 3、列入政府采购严重违法失信行为记录名单；是否无以上不良记录。</w:t>
            </w:r>
          </w:p>
        </w:tc>
        <w:tc>
          <w:tcPr>
            <w:tcW w:w="278"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c>
          <w:tcPr>
            <w:tcW w:w="290"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86" w:type="pct"/>
            <w:vMerge w:val="continue"/>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left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outset" w:color="auto" w:sz="6" w:space="0"/>
              <w:left w:val="outset" w:color="auto" w:sz="6" w:space="0"/>
              <w:bottom w:val="outset" w:color="auto" w:sz="6" w:space="0"/>
              <w:right w:val="outset" w:color="auto" w:sz="6" w:space="0"/>
            </w:tcBorders>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健全的财务会计</w:t>
            </w:r>
          </w:p>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制度</w:t>
            </w:r>
          </w:p>
        </w:tc>
        <w:tc>
          <w:tcPr>
            <w:tcW w:w="2517" w:type="pct"/>
            <w:tcBorders>
              <w:top w:val="outset" w:color="auto" w:sz="6" w:space="0"/>
              <w:left w:val="outset" w:color="auto" w:sz="6" w:space="0"/>
              <w:bottom w:val="outset" w:color="auto" w:sz="6" w:space="0"/>
              <w:right w:val="outset" w:color="auto" w:sz="6" w:space="0"/>
            </w:tcBorders>
            <w:noWrap/>
            <w:vAlign w:val="center"/>
          </w:tcPr>
          <w:p>
            <w:pPr>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是法人的应提供经审计的上一年度的完整财务报告，成立不足一年的提供近期的财务报表和投标截止前近半个月其基本开户银行出具的资信证明；部分其他组织或自然人，没有经审计的财务报告，可以提供投标截止前近半个月银行出具的资信证明。</w:t>
            </w:r>
          </w:p>
        </w:tc>
        <w:tc>
          <w:tcPr>
            <w:tcW w:w="278"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c>
          <w:tcPr>
            <w:tcW w:w="290"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69" w:hRule="atLeast"/>
          <w:jc w:val="center"/>
        </w:trPr>
        <w:tc>
          <w:tcPr>
            <w:tcW w:w="286" w:type="pct"/>
            <w:vMerge w:val="continue"/>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left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outset" w:color="auto" w:sz="6" w:space="0"/>
              <w:left w:val="outset" w:color="auto" w:sz="6" w:space="0"/>
              <w:bottom w:val="outset" w:color="auto" w:sz="6" w:space="0"/>
              <w:right w:val="outset" w:color="auto" w:sz="6" w:space="0"/>
            </w:tcBorders>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具有履行合同所必需的设备和专业技术能力</w:t>
            </w:r>
          </w:p>
        </w:tc>
        <w:tc>
          <w:tcPr>
            <w:tcW w:w="2517" w:type="pct"/>
            <w:tcBorders>
              <w:top w:val="outset" w:color="auto" w:sz="6" w:space="0"/>
              <w:left w:val="outset" w:color="auto" w:sz="6" w:space="0"/>
              <w:bottom w:val="outset" w:color="auto" w:sz="6" w:space="0"/>
              <w:right w:val="outset" w:color="auto" w:sz="6" w:space="0"/>
            </w:tcBorders>
            <w:noWrap/>
            <w:vAlign w:val="center"/>
          </w:tcPr>
          <w:p>
            <w:pPr>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提供具有履行合同所必需的设备和专业技术能力相关证明材料或声明；</w:t>
            </w:r>
          </w:p>
        </w:tc>
        <w:tc>
          <w:tcPr>
            <w:tcW w:w="278"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c>
          <w:tcPr>
            <w:tcW w:w="290"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86" w:type="pct"/>
            <w:vMerge w:val="continue"/>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left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outset" w:color="auto" w:sz="6" w:space="0"/>
              <w:left w:val="outset" w:color="auto" w:sz="6" w:space="0"/>
              <w:bottom w:val="outset" w:color="auto" w:sz="6" w:space="0"/>
              <w:right w:val="outset" w:color="auto" w:sz="6" w:space="0"/>
            </w:tcBorders>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有依法缴纳税收和</w:t>
            </w:r>
          </w:p>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社会保障资金的良好记录</w:t>
            </w:r>
          </w:p>
        </w:tc>
        <w:tc>
          <w:tcPr>
            <w:tcW w:w="2517" w:type="pct"/>
            <w:tcBorders>
              <w:top w:val="outset" w:color="auto" w:sz="6" w:space="0"/>
              <w:left w:val="outset" w:color="auto" w:sz="6" w:space="0"/>
              <w:bottom w:val="outset" w:color="auto" w:sz="6" w:space="0"/>
              <w:right w:val="outset" w:color="auto" w:sz="6" w:space="0"/>
            </w:tcBorders>
            <w:noWrap/>
            <w:vAlign w:val="center"/>
          </w:tcPr>
          <w:p>
            <w:pPr>
              <w:numPr>
                <w:ilvl w:val="0"/>
                <w:numId w:val="11"/>
              </w:num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提供近半年(指投标截止日前)任三个月的已完成缴纳税收证明资料(银行的缴纳回执单不予认可)，无需纳税或免税的也需提供相应证明材料。</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提供社保机构或税务机构出具的已完成社保缴纳证明（近半年至投标截止日)任三个月，必须提供社保机构或税务机构出具的缴纳证明，银行的缴纳回执单等不予认可，通过其他有权机构代缴代扣的，还需提供代缴代扣协议，其他组织和自然人也需提供上述证明。</w:t>
            </w:r>
          </w:p>
        </w:tc>
        <w:tc>
          <w:tcPr>
            <w:tcW w:w="278"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c>
          <w:tcPr>
            <w:tcW w:w="290"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69" w:hRule="atLeast"/>
          <w:jc w:val="center"/>
        </w:trPr>
        <w:tc>
          <w:tcPr>
            <w:tcW w:w="286" w:type="pct"/>
            <w:vMerge w:val="continue"/>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left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outset" w:color="auto" w:sz="6" w:space="0"/>
              <w:left w:val="outset" w:color="auto" w:sz="6" w:space="0"/>
              <w:bottom w:val="outset" w:color="auto" w:sz="6" w:space="0"/>
              <w:right w:val="outset" w:color="auto" w:sz="6" w:space="0"/>
            </w:tcBorders>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在经营活动中没有重大违法记录的书面声明</w:t>
            </w:r>
          </w:p>
        </w:tc>
        <w:tc>
          <w:tcPr>
            <w:tcW w:w="2517" w:type="pct"/>
            <w:tcBorders>
              <w:top w:val="outset" w:color="auto" w:sz="6" w:space="0"/>
              <w:left w:val="outset" w:color="auto" w:sz="6" w:space="0"/>
              <w:bottom w:val="outset" w:color="auto" w:sz="6" w:space="0"/>
              <w:right w:val="outset" w:color="auto" w:sz="6" w:space="0"/>
            </w:tcBorders>
            <w:noWrap/>
            <w:vAlign w:val="center"/>
          </w:tcPr>
          <w:p>
            <w:pPr>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提供参加政府采购活动近三年无重大违法记录声明书；</w:t>
            </w:r>
          </w:p>
        </w:tc>
        <w:tc>
          <w:tcPr>
            <w:tcW w:w="278"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c>
          <w:tcPr>
            <w:tcW w:w="290"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69" w:hRule="atLeast"/>
          <w:jc w:val="center"/>
        </w:trPr>
        <w:tc>
          <w:tcPr>
            <w:tcW w:w="286" w:type="pct"/>
            <w:vMerge w:val="continue"/>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left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outset" w:color="auto" w:sz="6" w:space="0"/>
              <w:left w:val="outset" w:color="auto" w:sz="6" w:space="0"/>
              <w:bottom w:val="outset" w:color="auto" w:sz="6" w:space="0"/>
              <w:right w:val="outset" w:color="auto" w:sz="6" w:space="0"/>
            </w:tcBorders>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资质等级</w:t>
            </w:r>
          </w:p>
        </w:tc>
        <w:tc>
          <w:tcPr>
            <w:tcW w:w="2517" w:type="pct"/>
            <w:tcBorders>
              <w:top w:val="outset" w:color="auto" w:sz="6" w:space="0"/>
              <w:left w:val="outset" w:color="auto" w:sz="6" w:space="0"/>
              <w:bottom w:val="outset" w:color="auto" w:sz="6" w:space="0"/>
              <w:right w:val="outset" w:color="auto" w:sz="6" w:space="0"/>
            </w:tcBorders>
            <w:noWrap/>
            <w:vAlign w:val="center"/>
          </w:tcPr>
          <w:p>
            <w:pPr>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是否投标人须知前附表第8项规定</w:t>
            </w:r>
          </w:p>
        </w:tc>
        <w:tc>
          <w:tcPr>
            <w:tcW w:w="278"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c>
          <w:tcPr>
            <w:tcW w:w="290"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69" w:hRule="atLeast"/>
          <w:jc w:val="center"/>
        </w:trPr>
        <w:tc>
          <w:tcPr>
            <w:tcW w:w="286" w:type="pct"/>
            <w:vMerge w:val="continue"/>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left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outset" w:color="auto" w:sz="6" w:space="0"/>
              <w:left w:val="outset" w:color="auto" w:sz="6" w:space="0"/>
              <w:bottom w:val="outset" w:color="auto" w:sz="6" w:space="0"/>
              <w:right w:val="outset" w:color="auto" w:sz="6" w:space="0"/>
            </w:tcBorders>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项目负责人 </w:t>
            </w:r>
          </w:p>
        </w:tc>
        <w:tc>
          <w:tcPr>
            <w:tcW w:w="2517" w:type="pct"/>
            <w:tcBorders>
              <w:top w:val="outset" w:color="auto" w:sz="6" w:space="0"/>
              <w:left w:val="outset" w:color="auto" w:sz="6" w:space="0"/>
              <w:bottom w:val="outset" w:color="auto" w:sz="6" w:space="0"/>
              <w:right w:val="outset" w:color="auto" w:sz="6" w:space="0"/>
            </w:tcBorders>
            <w:noWrap/>
            <w:vAlign w:val="center"/>
          </w:tcPr>
          <w:p>
            <w:pPr>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是否投标人须知前附表第8项规定</w:t>
            </w:r>
          </w:p>
        </w:tc>
        <w:tc>
          <w:tcPr>
            <w:tcW w:w="278"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c>
          <w:tcPr>
            <w:tcW w:w="290"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69" w:hRule="atLeast"/>
          <w:jc w:val="center"/>
        </w:trPr>
        <w:tc>
          <w:tcPr>
            <w:tcW w:w="286" w:type="pct"/>
            <w:vMerge w:val="continue"/>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left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outset" w:color="auto" w:sz="6" w:space="0"/>
              <w:left w:val="outset" w:color="auto" w:sz="6" w:space="0"/>
              <w:bottom w:val="outset" w:color="auto" w:sz="6" w:space="0"/>
              <w:right w:val="outset" w:color="auto" w:sz="6" w:space="0"/>
            </w:tcBorders>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联合体</w:t>
            </w:r>
          </w:p>
        </w:tc>
        <w:tc>
          <w:tcPr>
            <w:tcW w:w="2517" w:type="pct"/>
            <w:tcBorders>
              <w:top w:val="outset" w:color="auto" w:sz="6" w:space="0"/>
              <w:left w:val="outset" w:color="auto" w:sz="6" w:space="0"/>
              <w:bottom w:val="outset" w:color="auto" w:sz="6" w:space="0"/>
              <w:right w:val="outset" w:color="auto" w:sz="6" w:space="0"/>
            </w:tcBorders>
            <w:noWrap/>
            <w:vAlign w:val="center"/>
          </w:tcPr>
          <w:p>
            <w:pPr>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是否投标人须知前附表第8项规定</w:t>
            </w:r>
          </w:p>
        </w:tc>
        <w:tc>
          <w:tcPr>
            <w:tcW w:w="278"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c>
          <w:tcPr>
            <w:tcW w:w="290"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69" w:hRule="atLeast"/>
          <w:jc w:val="center"/>
        </w:trPr>
        <w:tc>
          <w:tcPr>
            <w:tcW w:w="286" w:type="pct"/>
            <w:vMerge w:val="continue"/>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left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outset" w:color="auto" w:sz="6" w:space="0"/>
              <w:left w:val="outset" w:color="auto" w:sz="6" w:space="0"/>
              <w:bottom w:val="outset" w:color="auto" w:sz="6" w:space="0"/>
              <w:right w:val="outset" w:color="auto" w:sz="6" w:space="0"/>
            </w:tcBorders>
            <w:noWrap/>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中小企业声明函  </w:t>
            </w:r>
          </w:p>
        </w:tc>
        <w:tc>
          <w:tcPr>
            <w:tcW w:w="2517" w:type="pct"/>
            <w:tcBorders>
              <w:top w:val="outset" w:color="auto" w:sz="6" w:space="0"/>
              <w:left w:val="outset" w:color="auto" w:sz="6" w:space="0"/>
              <w:bottom w:val="outset" w:color="auto" w:sz="6" w:space="0"/>
              <w:right w:val="outset" w:color="auto" w:sz="6" w:space="0"/>
            </w:tcBorders>
            <w:noWrap/>
            <w:vAlign w:val="center"/>
          </w:tcPr>
          <w:p>
            <w:pPr>
              <w:spacing w:line="4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是否按竞争性磋商文件</w:t>
            </w:r>
            <w:r>
              <w:rPr>
                <w:rFonts w:hint="eastAsia" w:ascii="仿宋" w:hAnsi="仿宋" w:eastAsia="仿宋" w:cs="仿宋"/>
                <w:color w:val="auto"/>
                <w:sz w:val="24"/>
                <w:szCs w:val="24"/>
                <w:highlight w:val="none"/>
                <w:lang w:val="en-US" w:eastAsia="zh-CN"/>
              </w:rPr>
              <w:t>要求</w:t>
            </w:r>
            <w:r>
              <w:rPr>
                <w:rFonts w:hint="eastAsia" w:ascii="仿宋" w:hAnsi="仿宋" w:eastAsia="仿宋" w:cs="仿宋"/>
                <w:color w:val="auto"/>
                <w:sz w:val="24"/>
                <w:szCs w:val="24"/>
                <w:highlight w:val="none"/>
                <w:lang w:eastAsia="zh-CN"/>
              </w:rPr>
              <w:t>出具《</w:t>
            </w:r>
            <w:r>
              <w:rPr>
                <w:rFonts w:hint="eastAsia" w:ascii="仿宋" w:hAnsi="仿宋" w:eastAsia="仿宋" w:cs="仿宋"/>
                <w:color w:val="auto"/>
                <w:sz w:val="24"/>
                <w:szCs w:val="24"/>
                <w:highlight w:val="none"/>
              </w:rPr>
              <w:t>中小企业声明函</w:t>
            </w:r>
            <w:r>
              <w:rPr>
                <w:rFonts w:hint="eastAsia" w:ascii="仿宋" w:hAnsi="仿宋" w:eastAsia="仿宋" w:cs="仿宋"/>
                <w:color w:val="auto"/>
                <w:sz w:val="24"/>
                <w:szCs w:val="24"/>
                <w:highlight w:val="none"/>
                <w:lang w:eastAsia="zh-CN"/>
              </w:rPr>
              <w:t>》</w:t>
            </w:r>
          </w:p>
        </w:tc>
        <w:tc>
          <w:tcPr>
            <w:tcW w:w="278"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c>
          <w:tcPr>
            <w:tcW w:w="290"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69" w:hRule="atLeast"/>
          <w:jc w:val="center"/>
        </w:trPr>
        <w:tc>
          <w:tcPr>
            <w:tcW w:w="286" w:type="pct"/>
            <w:vMerge w:val="continue"/>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left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outset" w:color="auto" w:sz="6" w:space="0"/>
              <w:left w:val="outset" w:color="auto" w:sz="6" w:space="0"/>
              <w:bottom w:val="outset" w:color="auto" w:sz="6" w:space="0"/>
              <w:right w:val="outset" w:color="auto" w:sz="6" w:space="0"/>
            </w:tcBorders>
            <w:noWrap/>
            <w:vAlign w:val="center"/>
          </w:tcPr>
          <w:p>
            <w:pPr>
              <w:spacing w:line="4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投标保证金</w:t>
            </w:r>
          </w:p>
        </w:tc>
        <w:tc>
          <w:tcPr>
            <w:tcW w:w="2517" w:type="pct"/>
            <w:tcBorders>
              <w:top w:val="outset" w:color="auto" w:sz="6" w:space="0"/>
              <w:left w:val="outset" w:color="auto" w:sz="6" w:space="0"/>
              <w:bottom w:val="outset" w:color="auto" w:sz="6" w:space="0"/>
              <w:right w:val="outset" w:color="auto" w:sz="6" w:space="0"/>
            </w:tcBorders>
            <w:noWrap/>
            <w:vAlign w:val="center"/>
          </w:tcPr>
          <w:p>
            <w:pPr>
              <w:spacing w:line="40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符合供应商须知前附表的规定</w:t>
            </w:r>
          </w:p>
        </w:tc>
        <w:tc>
          <w:tcPr>
            <w:tcW w:w="278"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c>
          <w:tcPr>
            <w:tcW w:w="290"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52" w:hRule="atLeast"/>
          <w:jc w:val="center"/>
        </w:trPr>
        <w:tc>
          <w:tcPr>
            <w:tcW w:w="286" w:type="pct"/>
            <w:vMerge w:val="continue"/>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restart"/>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符合性检查</w:t>
            </w:r>
          </w:p>
        </w:tc>
        <w:tc>
          <w:tcPr>
            <w:tcW w:w="1071" w:type="pct"/>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投标人名称</w:t>
            </w:r>
          </w:p>
        </w:tc>
        <w:tc>
          <w:tcPr>
            <w:tcW w:w="2517"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是否与营业执照、资质证书等一致</w:t>
            </w:r>
          </w:p>
        </w:tc>
        <w:tc>
          <w:tcPr>
            <w:tcW w:w="278"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c>
          <w:tcPr>
            <w:tcW w:w="290"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36" w:hRule="atLeast"/>
          <w:jc w:val="center"/>
        </w:trPr>
        <w:tc>
          <w:tcPr>
            <w:tcW w:w="286" w:type="pct"/>
            <w:vMerge w:val="continue"/>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投标文件盖章</w:t>
            </w:r>
          </w:p>
        </w:tc>
        <w:tc>
          <w:tcPr>
            <w:tcW w:w="2517"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是否按照竞争性磋商文件规定要求盖章</w:t>
            </w:r>
          </w:p>
        </w:tc>
        <w:tc>
          <w:tcPr>
            <w:tcW w:w="278"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c>
          <w:tcPr>
            <w:tcW w:w="290"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00" w:hRule="atLeast"/>
          <w:jc w:val="center"/>
        </w:trPr>
        <w:tc>
          <w:tcPr>
            <w:tcW w:w="286" w:type="pct"/>
            <w:vMerge w:val="continue"/>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投标有效期</w:t>
            </w:r>
          </w:p>
        </w:tc>
        <w:tc>
          <w:tcPr>
            <w:tcW w:w="2517"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投标有效期是否满足竞争性磋商文件要求的</w:t>
            </w:r>
          </w:p>
        </w:tc>
        <w:tc>
          <w:tcPr>
            <w:tcW w:w="278"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c>
          <w:tcPr>
            <w:tcW w:w="290"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286" w:type="pct"/>
            <w:vMerge w:val="continue"/>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报价唯一</w:t>
            </w:r>
          </w:p>
        </w:tc>
        <w:tc>
          <w:tcPr>
            <w:tcW w:w="2517"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投标报价是否固定或投标价是唯一的、且未超出最高限价的；</w:t>
            </w:r>
          </w:p>
        </w:tc>
        <w:tc>
          <w:tcPr>
            <w:tcW w:w="278"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c>
          <w:tcPr>
            <w:tcW w:w="290"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78" w:hRule="atLeast"/>
          <w:jc w:val="center"/>
        </w:trPr>
        <w:tc>
          <w:tcPr>
            <w:tcW w:w="286" w:type="pct"/>
            <w:vMerge w:val="continue"/>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工期</w:t>
            </w:r>
          </w:p>
        </w:tc>
        <w:tc>
          <w:tcPr>
            <w:tcW w:w="2517"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工期是否满足竞争性磋商文件要求的</w:t>
            </w:r>
          </w:p>
        </w:tc>
        <w:tc>
          <w:tcPr>
            <w:tcW w:w="278"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c>
          <w:tcPr>
            <w:tcW w:w="290" w:type="pct"/>
            <w:tcBorders>
              <w:top w:val="outset" w:color="auto" w:sz="6" w:space="0"/>
              <w:left w:val="outset" w:color="auto" w:sz="6" w:space="0"/>
              <w:bottom w:val="outset" w:color="auto" w:sz="6" w:space="0"/>
              <w:right w:val="outset" w:color="auto" w:sz="6" w:space="0"/>
            </w:tcBorders>
            <w:noWrap/>
            <w:vAlign w:val="center"/>
          </w:tcPr>
          <w:p>
            <w:pPr>
              <w:jc w:val="left"/>
              <w:rPr>
                <w:rFonts w:ascii="仿宋" w:hAnsi="仿宋" w:eastAsia="仿宋" w:cs="仿宋"/>
                <w:color w:val="auto"/>
                <w:sz w:val="24"/>
                <w:szCs w:val="24"/>
                <w:highlight w:val="none"/>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000" w:type="pct"/>
            <w:gridSpan w:val="6"/>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kern w:val="2"/>
                <w:sz w:val="28"/>
                <w:szCs w:val="32"/>
                <w:highlight w:val="none"/>
                <w:lang w:val="en-US" w:eastAsia="zh-CN"/>
              </w:rPr>
              <w:t>实质性响应一览表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842" w:type="pct"/>
            <w:gridSpan w:val="2"/>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highlight w:val="none"/>
                <w:lang w:eastAsia="zh-CN"/>
              </w:rPr>
              <w:t>序号</w:t>
            </w:r>
          </w:p>
        </w:tc>
        <w:tc>
          <w:tcPr>
            <w:tcW w:w="3588" w:type="pct"/>
            <w:gridSpan w:val="2"/>
            <w:tcBorders>
              <w:top w:val="outset" w:color="auto" w:sz="6" w:space="0"/>
              <w:left w:val="outset" w:color="auto" w:sz="6" w:space="0"/>
              <w:bottom w:val="outset" w:color="auto" w:sz="6" w:space="0"/>
              <w:right w:val="outset" w:color="auto" w:sz="6" w:space="0"/>
            </w:tcBorders>
            <w:noWrap/>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8"/>
                <w:highlight w:val="none"/>
                <w:lang w:eastAsia="zh-CN"/>
              </w:rPr>
              <w:t>实质性响应项目及参数</w:t>
            </w:r>
          </w:p>
        </w:tc>
        <w:tc>
          <w:tcPr>
            <w:tcW w:w="568" w:type="pct"/>
            <w:gridSpan w:val="2"/>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highlight w:val="none"/>
                <w:lang w:eastAsia="zh-CN"/>
              </w:rPr>
              <w:t>备注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33" w:hRule="atLeast"/>
          <w:jc w:val="center"/>
        </w:trPr>
        <w:tc>
          <w:tcPr>
            <w:tcW w:w="842" w:type="pct"/>
            <w:gridSpan w:val="2"/>
            <w:tcBorders>
              <w:top w:val="outset" w:color="auto" w:sz="6" w:space="0"/>
              <w:left w:val="outset" w:color="auto" w:sz="6" w:space="0"/>
              <w:bottom w:val="outset" w:color="auto" w:sz="6" w:space="0"/>
              <w:right w:val="outset" w:color="auto" w:sz="6" w:space="0"/>
            </w:tcBorders>
            <w:noWrap/>
            <w:vAlign w:val="center"/>
          </w:tcPr>
          <w:p>
            <w:pPr>
              <w:jc w:val="center"/>
              <w:rPr>
                <w:rFonts w:hint="default"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1</w:t>
            </w:r>
          </w:p>
        </w:tc>
        <w:tc>
          <w:tcPr>
            <w:tcW w:w="3588" w:type="pct"/>
            <w:gridSpan w:val="2"/>
            <w:tcBorders>
              <w:top w:val="outset" w:color="auto" w:sz="6" w:space="0"/>
              <w:left w:val="outset" w:color="auto" w:sz="6" w:space="0"/>
              <w:bottom w:val="outset" w:color="auto" w:sz="6" w:space="0"/>
              <w:right w:val="outset" w:color="auto" w:sz="6" w:space="0"/>
            </w:tcBorders>
            <w:noWrap/>
            <w:vAlign w:val="center"/>
          </w:tcPr>
          <w:p>
            <w:pPr>
              <w:keepNext w:val="0"/>
              <w:keepLines w:val="0"/>
              <w:pageBreakBefore w:val="0"/>
              <w:widowControl/>
              <w:kinsoku/>
              <w:wordWrap/>
              <w:overflowPunct/>
              <w:topLinePunct w:val="0"/>
              <w:autoSpaceDE/>
              <w:autoSpaceDN/>
              <w:bidi w:val="0"/>
              <w:spacing w:line="280" w:lineRule="exact"/>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highlight w:val="none"/>
                <w:lang w:val="en-US" w:eastAsia="zh-CN"/>
              </w:rPr>
              <w:t>★</w:t>
            </w:r>
            <w:r>
              <w:rPr>
                <w:rFonts w:hint="eastAsia" w:ascii="仿宋" w:hAnsi="仿宋" w:eastAsia="仿宋" w:cs="仿宋"/>
                <w:color w:val="auto"/>
                <w:kern w:val="0"/>
                <w:sz w:val="24"/>
                <w:szCs w:val="24"/>
                <w:highlight w:val="none"/>
                <w:lang w:val="en-US" w:eastAsia="zh-CN" w:bidi="ar-SA"/>
              </w:rPr>
              <w:t>资格要求：1.供应商应符合《中华人民共和国政府采购法》第二十二条规定；</w:t>
            </w:r>
          </w:p>
          <w:p>
            <w:pPr>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2.本项目的特定资格要求:</w:t>
            </w:r>
          </w:p>
          <w:p>
            <w:pPr>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2.1本次招标要求投标人须同时具有建筑装修装饰工程专业承包二级以上（含二级）资质、具有有效的施工企业安全生产许可证、建筑装饰工程设计乙级以上（含乙级）资质；或具有相应资质的设计单位和施工单位组成联合体。</w:t>
            </w:r>
          </w:p>
          <w:p>
            <w:pPr>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自治区外建筑企业应按照《关于进一步推动自治区建筑 市场统一开放的通知》（新建建〔2018〕10号）要求进行信息登记。</w:t>
            </w:r>
          </w:p>
          <w:p>
            <w:pPr>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主要负责人要求：</w:t>
            </w:r>
          </w:p>
          <w:p>
            <w:pPr>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项目总负责人须具备建筑工程专业注册二级建造师执业资格或者注册建筑师、勘察设计注册工程师、注册建造师或者注册监理工程师等；未实施注册执业资格的，取得高级专业技术职称；若设计负责人、施工负责人符合项目总负责人资格要求的，允许兼任项目总负责人；不得同时在两个或者两个以上工程项目担任工程总承包项目经理、施工项目负责人。</w:t>
            </w:r>
          </w:p>
          <w:p>
            <w:pPr>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（2）项目设计负责人：具有注册建筑师或具有相关专业中级以上技术职称；</w:t>
            </w:r>
          </w:p>
          <w:p>
            <w:pPr>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（3）项目施工负责人须具备：建筑工程专业注册二级建造师执业资格，具备有效的安全生产考核合格证书，且未担任其他在建建设工程项目的项目经理。</w:t>
            </w:r>
          </w:p>
          <w:p>
            <w:pPr>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本次招标 接受 联合体投标。联合体投标的，应满足下列要求 ：</w:t>
            </w:r>
          </w:p>
          <w:p>
            <w:pPr>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（1）联合体所有成员数量不得超过 2 家；</w:t>
            </w:r>
          </w:p>
          <w:p>
            <w:pPr>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联合体牵头人应根据本项目特点和复杂程度，合理明确牵头单位及各自责任分工和权利，联合体各方应签订共同投标协议，联合体双方需满足各自专业在本项目中的资质要求，联合体各方不得再以自己名义单独参与或参加其他联合体在本招标项目中的投标。</w:t>
            </w:r>
          </w:p>
          <w:p>
            <w:pPr>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2.2受托为本采购项目提供整体设计、规范编制或者项目管理、监理、检测等服务的供应商，不得再参加该采购项目的其他采购活动；</w:t>
            </w:r>
          </w:p>
          <w:p>
            <w:pPr>
              <w:jc w:val="left"/>
              <w:rPr>
                <w:rFonts w:hint="eastAsia" w:ascii="仿宋" w:hAnsi="仿宋" w:eastAsia="仿宋" w:cs="仿宋"/>
                <w:b/>
                <w:bCs/>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2.3本项目为专门面向中小企业采购，不再执行价格评审优惠的扶持政策，参与投标的供应商须出具《中小企业声明函》。</w:t>
            </w:r>
          </w:p>
          <w:p>
            <w:pPr>
              <w:jc w:val="left"/>
              <w:rPr>
                <w:rFonts w:hint="eastAsia" w:ascii="仿宋" w:hAnsi="仿宋" w:eastAsia="仿宋" w:cs="仿宋"/>
                <w:color w:val="auto"/>
                <w:highlight w:val="none"/>
                <w:lang w:eastAsia="zh-CN"/>
              </w:rPr>
            </w:pPr>
            <w:r>
              <w:rPr>
                <w:rFonts w:hint="eastAsia" w:ascii="仿宋" w:hAnsi="仿宋" w:eastAsia="仿宋" w:cs="仿宋"/>
                <w:color w:val="auto"/>
                <w:kern w:val="0"/>
                <w:sz w:val="24"/>
                <w:szCs w:val="24"/>
                <w:highlight w:val="none"/>
                <w:lang w:val="en-US" w:eastAsia="zh-CN" w:bidi="ar-SA"/>
              </w:rPr>
              <w:t>2.4根据《关于在政府采购活动中查询及使用信用记录有关问题的通知》（财库〔2016〕125 号）的要求，采购代理机构将通过“信用中国”网站（www.creditchina.gov.cn）、“中国政府采购网”网站（www.ccgp.gov.cn）等渠道查询供应商在开标当日之前的信用信息记录并保存信用记录结果网页截图，拒绝列入失信被执行人、重大税收违法案件当事人名单、政府采购严重违法失信行为记录名单及其他不符合规定条件的投标人；</w:t>
            </w:r>
          </w:p>
        </w:tc>
        <w:tc>
          <w:tcPr>
            <w:tcW w:w="568" w:type="pct"/>
            <w:gridSpan w:val="2"/>
            <w:tcBorders>
              <w:top w:val="outset" w:color="auto" w:sz="6" w:space="0"/>
              <w:left w:val="outset" w:color="auto" w:sz="6" w:space="0"/>
              <w:bottom w:val="outset" w:color="auto" w:sz="6" w:space="0"/>
              <w:right w:val="outset" w:color="auto" w:sz="6" w:space="0"/>
            </w:tcBorders>
            <w:noWrap/>
            <w:vAlign w:val="center"/>
          </w:tcPr>
          <w:p>
            <w:pPr>
              <w:pStyle w:val="8"/>
              <w:rPr>
                <w:rFonts w:hint="eastAsia"/>
                <w:color w:val="auto"/>
                <w:highlight w:val="none"/>
                <w:lang w:eastAsia="zh-CN"/>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14" w:hRule="atLeast"/>
          <w:jc w:val="center"/>
        </w:trPr>
        <w:tc>
          <w:tcPr>
            <w:tcW w:w="842" w:type="pct"/>
            <w:gridSpan w:val="2"/>
            <w:tcBorders>
              <w:top w:val="outset" w:color="auto" w:sz="6" w:space="0"/>
              <w:left w:val="outset" w:color="auto" w:sz="6" w:space="0"/>
              <w:bottom w:val="outset" w:color="auto" w:sz="6" w:space="0"/>
              <w:right w:val="outset" w:color="auto" w:sz="6" w:space="0"/>
            </w:tcBorders>
            <w:noWrap/>
            <w:vAlign w:val="center"/>
          </w:tcPr>
          <w:p>
            <w:pPr>
              <w:pStyle w:val="213"/>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highlight w:val="none"/>
                <w:lang w:val="en-US" w:eastAsia="zh-CN"/>
              </w:rPr>
              <w:t>2</w:t>
            </w:r>
          </w:p>
        </w:tc>
        <w:tc>
          <w:tcPr>
            <w:tcW w:w="3588" w:type="pct"/>
            <w:gridSpan w:val="2"/>
            <w:tcBorders>
              <w:top w:val="outset" w:color="auto" w:sz="6" w:space="0"/>
              <w:left w:val="outset" w:color="auto" w:sz="6" w:space="0"/>
              <w:bottom w:val="outset" w:color="auto" w:sz="6" w:space="0"/>
              <w:right w:val="outset" w:color="auto" w:sz="6" w:space="0"/>
            </w:tcBorders>
            <w:noWrap/>
            <w:vAlign w:val="center"/>
          </w:tcPr>
          <w:p>
            <w:pPr>
              <w:pStyle w:val="213"/>
              <w:keepNext w:val="0"/>
              <w:keepLines w:val="0"/>
              <w:pageBreakBefore w:val="0"/>
              <w:kinsoku/>
              <w:wordWrap/>
              <w:overflowPunct/>
              <w:topLinePunct w:val="0"/>
              <w:autoSpaceDE/>
              <w:autoSpaceDN/>
              <w:bidi w:val="0"/>
              <w:adjustRightInd w:val="0"/>
              <w:snapToGrid w:val="0"/>
              <w:spacing w:line="280" w:lineRule="exac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highlight w:val="none"/>
                <w:lang w:val="en-US" w:eastAsia="zh-CN"/>
              </w:rPr>
              <w:t>★投标保证金缴纳证明</w:t>
            </w:r>
          </w:p>
        </w:tc>
        <w:tc>
          <w:tcPr>
            <w:tcW w:w="568" w:type="pct"/>
            <w:gridSpan w:val="2"/>
            <w:tcBorders>
              <w:top w:val="outset" w:color="auto" w:sz="6" w:space="0"/>
              <w:left w:val="outset" w:color="auto" w:sz="6" w:space="0"/>
              <w:bottom w:val="outset" w:color="auto" w:sz="6" w:space="0"/>
              <w:right w:val="outset" w:color="auto" w:sz="6" w:space="0"/>
            </w:tcBorders>
            <w:noWrap/>
            <w:vAlign w:val="center"/>
          </w:tcPr>
          <w:p>
            <w:pPr>
              <w:jc w:val="center"/>
              <w:rPr>
                <w:rFonts w:hint="eastAsia" w:ascii="仿宋" w:hAnsi="仿宋" w:eastAsia="仿宋" w:cs="仿宋"/>
                <w:color w:val="auto"/>
                <w:highlight w:val="none"/>
                <w:lang w:eastAsia="zh-CN"/>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61" w:hRule="atLeast"/>
          <w:jc w:val="center"/>
        </w:trPr>
        <w:tc>
          <w:tcPr>
            <w:tcW w:w="842" w:type="pct"/>
            <w:gridSpan w:val="2"/>
            <w:tcBorders>
              <w:top w:val="outset" w:color="auto" w:sz="6" w:space="0"/>
              <w:left w:val="outset" w:color="auto" w:sz="6" w:space="0"/>
              <w:bottom w:val="outset" w:color="auto" w:sz="6" w:space="0"/>
              <w:right w:val="outset" w:color="auto" w:sz="6" w:space="0"/>
            </w:tcBorders>
            <w:noWrap/>
            <w:vAlign w:val="center"/>
          </w:tcPr>
          <w:p>
            <w:pPr>
              <w:pStyle w:val="213"/>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highlight w:val="none"/>
                <w:lang w:val="en-US" w:eastAsia="zh-CN"/>
              </w:rPr>
              <w:t>3</w:t>
            </w:r>
          </w:p>
        </w:tc>
        <w:tc>
          <w:tcPr>
            <w:tcW w:w="3588" w:type="pct"/>
            <w:gridSpan w:val="2"/>
            <w:tcBorders>
              <w:top w:val="outset" w:color="auto" w:sz="6" w:space="0"/>
              <w:left w:val="outset" w:color="auto" w:sz="6" w:space="0"/>
              <w:bottom w:val="outset" w:color="auto" w:sz="6" w:space="0"/>
              <w:right w:val="outset" w:color="auto" w:sz="6" w:space="0"/>
            </w:tcBorders>
            <w:noWrap/>
            <w:vAlign w:val="center"/>
          </w:tcPr>
          <w:p>
            <w:pPr>
              <w:pStyle w:val="213"/>
              <w:keepNext w:val="0"/>
              <w:keepLines w:val="0"/>
              <w:pageBreakBefore w:val="0"/>
              <w:kinsoku/>
              <w:wordWrap/>
              <w:overflowPunct/>
              <w:topLinePunct w:val="0"/>
              <w:autoSpaceDE/>
              <w:autoSpaceDN/>
              <w:bidi w:val="0"/>
              <w:adjustRightInd w:val="0"/>
              <w:snapToGrid w:val="0"/>
              <w:spacing w:line="280" w:lineRule="exact"/>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highlight w:val="none"/>
                <w:lang w:val="en-US" w:eastAsia="zh-CN"/>
              </w:rPr>
              <w:t>★投标函</w:t>
            </w:r>
          </w:p>
        </w:tc>
        <w:tc>
          <w:tcPr>
            <w:tcW w:w="568" w:type="pct"/>
            <w:gridSpan w:val="2"/>
            <w:tcBorders>
              <w:top w:val="outset" w:color="auto" w:sz="6" w:space="0"/>
              <w:left w:val="outset" w:color="auto" w:sz="6" w:space="0"/>
              <w:bottom w:val="outset" w:color="auto" w:sz="6" w:space="0"/>
              <w:right w:val="outset" w:color="auto" w:sz="6" w:space="0"/>
            </w:tcBorders>
            <w:noWrap/>
            <w:vAlign w:val="center"/>
          </w:tcPr>
          <w:p>
            <w:pPr>
              <w:jc w:val="center"/>
              <w:rPr>
                <w:rFonts w:hint="eastAsia" w:ascii="仿宋" w:hAnsi="仿宋" w:eastAsia="仿宋" w:cs="仿宋"/>
                <w:color w:val="auto"/>
                <w:highlight w:val="none"/>
                <w:lang w:eastAsia="zh-CN"/>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842" w:type="pct"/>
            <w:gridSpan w:val="2"/>
            <w:tcBorders>
              <w:top w:val="outset" w:color="auto" w:sz="6" w:space="0"/>
              <w:left w:val="outset" w:color="auto" w:sz="6" w:space="0"/>
              <w:bottom w:val="outset" w:color="auto" w:sz="6" w:space="0"/>
              <w:right w:val="outset" w:color="auto" w:sz="6" w:space="0"/>
            </w:tcBorders>
            <w:noWrap/>
            <w:vAlign w:val="center"/>
          </w:tcPr>
          <w:p>
            <w:pPr>
              <w:pStyle w:val="213"/>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highlight w:val="none"/>
                <w:lang w:val="en-US" w:eastAsia="zh-CN"/>
              </w:rPr>
              <w:t>4</w:t>
            </w:r>
          </w:p>
        </w:tc>
        <w:tc>
          <w:tcPr>
            <w:tcW w:w="3588" w:type="pct"/>
            <w:gridSpan w:val="2"/>
            <w:tcBorders>
              <w:top w:val="outset" w:color="auto" w:sz="6" w:space="0"/>
              <w:left w:val="outset" w:color="auto" w:sz="6" w:space="0"/>
              <w:bottom w:val="outset" w:color="auto" w:sz="6" w:space="0"/>
              <w:right w:val="outset" w:color="auto" w:sz="6" w:space="0"/>
            </w:tcBorders>
            <w:noWrap/>
            <w:vAlign w:val="center"/>
          </w:tcPr>
          <w:p>
            <w:pPr>
              <w:keepNext w:val="0"/>
              <w:keepLines w:val="0"/>
              <w:pageBreakBefore w:val="0"/>
              <w:widowControl/>
              <w:kinsoku/>
              <w:wordWrap/>
              <w:overflowPunct/>
              <w:topLinePunct w:val="0"/>
              <w:autoSpaceDE/>
              <w:autoSpaceDN/>
              <w:bidi w:val="0"/>
              <w:spacing w:line="280" w:lineRule="exact"/>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★开标一览表</w:t>
            </w:r>
          </w:p>
        </w:tc>
        <w:tc>
          <w:tcPr>
            <w:tcW w:w="568" w:type="pct"/>
            <w:gridSpan w:val="2"/>
            <w:tcBorders>
              <w:top w:val="outset" w:color="auto" w:sz="6" w:space="0"/>
              <w:left w:val="outset" w:color="auto" w:sz="6" w:space="0"/>
              <w:bottom w:val="outset" w:color="auto" w:sz="6" w:space="0"/>
              <w:right w:val="outset" w:color="auto" w:sz="6" w:space="0"/>
            </w:tcBorders>
            <w:noWrap/>
            <w:vAlign w:val="center"/>
          </w:tcPr>
          <w:p>
            <w:pPr>
              <w:jc w:val="center"/>
              <w:rPr>
                <w:rFonts w:hint="eastAsia" w:ascii="仿宋" w:hAnsi="仿宋" w:eastAsia="仿宋" w:cs="仿宋"/>
                <w:color w:val="auto"/>
                <w:highlight w:val="none"/>
                <w:lang w:eastAsia="zh-CN"/>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23" w:hRule="atLeast"/>
          <w:jc w:val="center"/>
        </w:trPr>
        <w:tc>
          <w:tcPr>
            <w:tcW w:w="842" w:type="pct"/>
            <w:gridSpan w:val="2"/>
            <w:tcBorders>
              <w:top w:val="outset" w:color="auto" w:sz="6" w:space="0"/>
              <w:left w:val="outset" w:color="auto" w:sz="6" w:space="0"/>
              <w:bottom w:val="outset" w:color="auto" w:sz="6" w:space="0"/>
              <w:right w:val="outset" w:color="auto" w:sz="6" w:space="0"/>
            </w:tcBorders>
            <w:noWrap/>
            <w:vAlign w:val="center"/>
          </w:tcPr>
          <w:p>
            <w:pPr>
              <w:pStyle w:val="213"/>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highlight w:val="none"/>
                <w:lang w:val="en-US" w:eastAsia="zh-CN"/>
              </w:rPr>
              <w:t>5</w:t>
            </w:r>
          </w:p>
        </w:tc>
        <w:tc>
          <w:tcPr>
            <w:tcW w:w="3588" w:type="pct"/>
            <w:gridSpan w:val="2"/>
            <w:tcBorders>
              <w:top w:val="outset" w:color="auto" w:sz="6" w:space="0"/>
              <w:left w:val="outset" w:color="auto" w:sz="6" w:space="0"/>
              <w:bottom w:val="outset" w:color="auto" w:sz="6" w:space="0"/>
              <w:right w:val="outset" w:color="auto" w:sz="6" w:space="0"/>
            </w:tcBorders>
            <w:noWrap/>
            <w:vAlign w:val="center"/>
          </w:tcPr>
          <w:p>
            <w:pPr>
              <w:keepNext w:val="0"/>
              <w:keepLines w:val="0"/>
              <w:pageBreakBefore w:val="0"/>
              <w:widowControl/>
              <w:kinsoku/>
              <w:wordWrap/>
              <w:overflowPunct/>
              <w:topLinePunct w:val="0"/>
              <w:autoSpaceDE/>
              <w:autoSpaceDN/>
              <w:bidi w:val="0"/>
              <w:spacing w:line="280" w:lineRule="exact"/>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rPr>
              <w:t>★投标报价明细表</w:t>
            </w:r>
          </w:p>
        </w:tc>
        <w:tc>
          <w:tcPr>
            <w:tcW w:w="568" w:type="pct"/>
            <w:gridSpan w:val="2"/>
            <w:tcBorders>
              <w:top w:val="outset" w:color="auto" w:sz="6" w:space="0"/>
              <w:left w:val="outset" w:color="auto" w:sz="6" w:space="0"/>
              <w:bottom w:val="outset" w:color="auto" w:sz="6" w:space="0"/>
              <w:right w:val="outset" w:color="auto" w:sz="6" w:space="0"/>
            </w:tcBorders>
            <w:noWrap/>
            <w:vAlign w:val="center"/>
          </w:tcPr>
          <w:p>
            <w:pPr>
              <w:jc w:val="center"/>
              <w:rPr>
                <w:rFonts w:hint="eastAsia" w:ascii="仿宋" w:hAnsi="仿宋" w:eastAsia="仿宋" w:cs="仿宋"/>
                <w:color w:val="auto"/>
                <w:highlight w:val="none"/>
                <w:lang w:eastAsia="zh-CN"/>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62" w:hRule="atLeast"/>
          <w:jc w:val="center"/>
        </w:trPr>
        <w:tc>
          <w:tcPr>
            <w:tcW w:w="842" w:type="pct"/>
            <w:gridSpan w:val="2"/>
            <w:tcBorders>
              <w:top w:val="outset" w:color="auto" w:sz="6" w:space="0"/>
              <w:left w:val="outset" w:color="auto" w:sz="6" w:space="0"/>
              <w:bottom w:val="outset" w:color="auto" w:sz="6" w:space="0"/>
              <w:right w:val="outset" w:color="auto" w:sz="6" w:space="0"/>
            </w:tcBorders>
            <w:noWrap/>
            <w:vAlign w:val="center"/>
          </w:tcPr>
          <w:p>
            <w:pPr>
              <w:pStyle w:val="213"/>
              <w:keepNext w:val="0"/>
              <w:keepLines w:val="0"/>
              <w:pageBreakBefore w:val="0"/>
              <w:kinsoku/>
              <w:wordWrap/>
              <w:overflowPunct/>
              <w:topLinePunct w:val="0"/>
              <w:autoSpaceDE/>
              <w:autoSpaceDN/>
              <w:bidi w:val="0"/>
              <w:adjustRightInd w:val="0"/>
              <w:snapToGrid w:val="0"/>
              <w:spacing w:line="280" w:lineRule="exact"/>
              <w:jc w:val="center"/>
              <w:textAlignment w:val="auto"/>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highlight w:val="none"/>
                <w:lang w:val="en-US" w:eastAsia="zh-CN"/>
              </w:rPr>
              <w:t>6</w:t>
            </w:r>
          </w:p>
        </w:tc>
        <w:tc>
          <w:tcPr>
            <w:tcW w:w="3588" w:type="pct"/>
            <w:gridSpan w:val="2"/>
            <w:tcBorders>
              <w:top w:val="outset" w:color="auto" w:sz="6" w:space="0"/>
              <w:left w:val="outset" w:color="auto" w:sz="6" w:space="0"/>
              <w:bottom w:val="outset" w:color="auto" w:sz="6" w:space="0"/>
              <w:right w:val="outset" w:color="auto" w:sz="6" w:space="0"/>
            </w:tcBorders>
            <w:noWrap/>
            <w:vAlign w:val="center"/>
          </w:tcPr>
          <w:p>
            <w:pPr>
              <w:keepNext w:val="0"/>
              <w:keepLines w:val="0"/>
              <w:pageBreakBefore w:val="0"/>
              <w:widowControl/>
              <w:kinsoku/>
              <w:wordWrap/>
              <w:overflowPunct/>
              <w:topLinePunct w:val="0"/>
              <w:autoSpaceDE/>
              <w:autoSpaceDN/>
              <w:bidi w:val="0"/>
              <w:spacing w:line="280" w:lineRule="exact"/>
              <w:textAlignment w:val="auto"/>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 xml:space="preserve">★中小企业声明函  </w:t>
            </w:r>
          </w:p>
        </w:tc>
        <w:tc>
          <w:tcPr>
            <w:tcW w:w="568" w:type="pct"/>
            <w:gridSpan w:val="2"/>
            <w:tcBorders>
              <w:top w:val="outset" w:color="auto" w:sz="6" w:space="0"/>
              <w:left w:val="outset" w:color="auto" w:sz="6" w:space="0"/>
              <w:bottom w:val="outset" w:color="auto" w:sz="6" w:space="0"/>
              <w:right w:val="outset" w:color="auto" w:sz="6" w:space="0"/>
            </w:tcBorders>
            <w:noWrap/>
            <w:vAlign w:val="center"/>
          </w:tcPr>
          <w:p>
            <w:pPr>
              <w:jc w:val="center"/>
              <w:rPr>
                <w:rFonts w:hint="eastAsia" w:ascii="仿宋" w:hAnsi="仿宋" w:eastAsia="仿宋" w:cs="仿宋"/>
                <w:color w:val="auto"/>
                <w:highlight w:val="none"/>
                <w:lang w:eastAsia="zh-CN"/>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61" w:hRule="atLeast"/>
          <w:jc w:val="center"/>
        </w:trPr>
        <w:tc>
          <w:tcPr>
            <w:tcW w:w="842" w:type="pct"/>
            <w:gridSpan w:val="2"/>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评分因素</w:t>
            </w:r>
          </w:p>
        </w:tc>
        <w:tc>
          <w:tcPr>
            <w:tcW w:w="1071" w:type="pct"/>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评分点</w:t>
            </w:r>
          </w:p>
        </w:tc>
        <w:tc>
          <w:tcPr>
            <w:tcW w:w="2517" w:type="pct"/>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评分标准</w:t>
            </w:r>
          </w:p>
        </w:tc>
        <w:tc>
          <w:tcPr>
            <w:tcW w:w="568" w:type="pct"/>
            <w:gridSpan w:val="2"/>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分值分配</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86" w:type="pct"/>
            <w:vMerge w:val="restart"/>
            <w:tcBorders>
              <w:top w:val="outset" w:color="auto" w:sz="6" w:space="0"/>
              <w:left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详细</w:t>
            </w:r>
          </w:p>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评审</w:t>
            </w:r>
          </w:p>
        </w:tc>
        <w:tc>
          <w:tcPr>
            <w:tcW w:w="555" w:type="pct"/>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价格评审</w:t>
            </w:r>
          </w:p>
        </w:tc>
        <w:tc>
          <w:tcPr>
            <w:tcW w:w="1071" w:type="pct"/>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投标报价（30分）</w:t>
            </w:r>
          </w:p>
        </w:tc>
        <w:tc>
          <w:tcPr>
            <w:tcW w:w="2517" w:type="pct"/>
            <w:tcBorders>
              <w:top w:val="outset" w:color="auto" w:sz="6" w:space="0"/>
              <w:left w:val="outset" w:color="auto" w:sz="6" w:space="0"/>
              <w:bottom w:val="outset" w:color="auto" w:sz="6" w:space="0"/>
              <w:right w:val="outset" w:color="auto" w:sz="6" w:space="0"/>
            </w:tcBorders>
            <w:noWrap/>
            <w:vAlign w:val="center"/>
          </w:tcPr>
          <w:p>
            <w:pPr>
              <w:ind w:left="17" w:hanging="16" w:hangingChars="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评标基准价=有效投标报价的最低值，有效投标报价等于基准值的得满分，投标报价得分=（评标基准价/投标报价）×</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。有效投标报价为通过初步审查的供应商报价。</w:t>
            </w:r>
          </w:p>
        </w:tc>
        <w:tc>
          <w:tcPr>
            <w:tcW w:w="568" w:type="pct"/>
            <w:gridSpan w:val="2"/>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30.00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72" w:hRule="atLeast"/>
          <w:jc w:val="center"/>
        </w:trPr>
        <w:tc>
          <w:tcPr>
            <w:tcW w:w="286" w:type="pct"/>
            <w:vMerge w:val="continue"/>
            <w:tcBorders>
              <w:left w:val="outset" w:color="auto" w:sz="6" w:space="0"/>
              <w:bottom w:val="single" w:color="auto" w:sz="4"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restart"/>
            <w:tcBorders>
              <w:top w:val="outset" w:color="auto" w:sz="6" w:space="0"/>
              <w:left w:val="outset" w:color="auto" w:sz="6" w:space="0"/>
              <w:right w:val="outset" w:color="auto" w:sz="6" w:space="0"/>
            </w:tcBorders>
            <w:noWrap/>
            <w:vAlign w:val="center"/>
          </w:tcPr>
          <w:p>
            <w:pPr>
              <w:jc w:val="center"/>
              <w:rPr>
                <w:rFonts w:hint="eastAsia" w:ascii="仿宋" w:hAnsi="仿宋" w:eastAsia="仿宋" w:cs="仿宋"/>
                <w:color w:val="auto"/>
                <w:sz w:val="24"/>
                <w:szCs w:val="24"/>
                <w:highlight w:val="none"/>
              </w:rPr>
            </w:pPr>
          </w:p>
          <w:p>
            <w:pPr>
              <w:jc w:val="center"/>
              <w:rPr>
                <w:rFonts w:hint="eastAsia" w:ascii="仿宋" w:hAnsi="仿宋" w:eastAsia="仿宋" w:cs="仿宋"/>
                <w:color w:val="auto"/>
                <w:sz w:val="24"/>
                <w:szCs w:val="24"/>
                <w:highlight w:val="none"/>
              </w:rPr>
            </w:pPr>
          </w:p>
          <w:p>
            <w:pPr>
              <w:jc w:val="center"/>
              <w:rPr>
                <w:rFonts w:hint="eastAsia" w:ascii="仿宋" w:hAnsi="仿宋" w:eastAsia="仿宋" w:cs="仿宋"/>
                <w:color w:val="auto"/>
                <w:sz w:val="24"/>
                <w:szCs w:val="24"/>
                <w:highlight w:val="none"/>
              </w:rPr>
            </w:pPr>
          </w:p>
          <w:p>
            <w:pPr>
              <w:jc w:val="center"/>
              <w:rPr>
                <w:rFonts w:hint="eastAsia" w:ascii="仿宋" w:hAnsi="仿宋" w:eastAsia="仿宋" w:cs="仿宋"/>
                <w:color w:val="auto"/>
                <w:sz w:val="24"/>
                <w:szCs w:val="24"/>
                <w:highlight w:val="none"/>
              </w:rPr>
            </w:pPr>
          </w:p>
          <w:p>
            <w:pPr>
              <w:jc w:val="center"/>
              <w:rPr>
                <w:rFonts w:hint="eastAsia" w:ascii="仿宋" w:hAnsi="仿宋" w:eastAsia="仿宋" w:cs="仿宋"/>
                <w:color w:val="auto"/>
                <w:sz w:val="24"/>
                <w:szCs w:val="24"/>
                <w:highlight w:val="none"/>
              </w:rPr>
            </w:pPr>
          </w:p>
          <w:p>
            <w:pPr>
              <w:jc w:val="center"/>
              <w:rPr>
                <w:rFonts w:hint="eastAsia" w:ascii="仿宋" w:hAnsi="仿宋" w:eastAsia="仿宋" w:cs="仿宋"/>
                <w:color w:val="auto"/>
                <w:sz w:val="24"/>
                <w:szCs w:val="24"/>
                <w:highlight w:val="none"/>
              </w:rPr>
            </w:pPr>
          </w:p>
          <w:p>
            <w:pPr>
              <w:jc w:val="center"/>
              <w:rPr>
                <w:rFonts w:hint="eastAsia" w:ascii="仿宋" w:hAnsi="仿宋" w:eastAsia="仿宋" w:cs="仿宋"/>
                <w:color w:val="auto"/>
                <w:sz w:val="24"/>
                <w:szCs w:val="24"/>
                <w:highlight w:val="none"/>
              </w:rPr>
            </w:pPr>
          </w:p>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商务技术评审标准</w:t>
            </w:r>
          </w:p>
          <w:p>
            <w:pPr>
              <w:pStyle w:val="8"/>
              <w:rPr>
                <w:color w:val="auto"/>
                <w:highlight w:val="none"/>
              </w:rPr>
            </w:pPr>
          </w:p>
        </w:tc>
        <w:tc>
          <w:tcPr>
            <w:tcW w:w="1071" w:type="pct"/>
            <w:tcBorders>
              <w:top w:val="outset" w:color="auto" w:sz="6" w:space="0"/>
              <w:left w:val="outset" w:color="auto" w:sz="6" w:space="0"/>
              <w:bottom w:val="single" w:color="auto" w:sz="4"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履约信誉（ </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2517" w:type="pct"/>
            <w:tcBorders>
              <w:top w:val="outset" w:color="auto" w:sz="6" w:space="0"/>
              <w:left w:val="outset" w:color="auto" w:sz="6" w:space="0"/>
              <w:bottom w:val="single" w:color="auto" w:sz="4" w:space="0"/>
              <w:right w:val="outset" w:color="auto" w:sz="6" w:space="0"/>
            </w:tcBorders>
            <w:noWrap/>
            <w:vAlign w:val="center"/>
          </w:tcPr>
          <w:p>
            <w:pPr>
              <w:ind w:left="17" w:hanging="16" w:hangingChars="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自201</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年1月1日至本项目招标公告发布之日，获得国家级奖项或省部级奖项的，每项1分，最多得2分；</w:t>
            </w:r>
          </w:p>
        </w:tc>
        <w:tc>
          <w:tcPr>
            <w:tcW w:w="568" w:type="pct"/>
            <w:gridSpan w:val="2"/>
            <w:tcBorders>
              <w:top w:val="outset" w:color="auto" w:sz="6" w:space="0"/>
              <w:left w:val="outset" w:color="auto" w:sz="6" w:space="0"/>
              <w:bottom w:val="single" w:color="auto" w:sz="4"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899" w:hRule="atLeast"/>
          <w:jc w:val="center"/>
        </w:trPr>
        <w:tc>
          <w:tcPr>
            <w:tcW w:w="286" w:type="pct"/>
            <w:vMerge w:val="continue"/>
            <w:tcBorders>
              <w:top w:val="single" w:color="auto" w:sz="4" w:space="0"/>
              <w:left w:val="outset" w:color="auto" w:sz="6" w:space="0"/>
              <w:bottom w:val="single" w:color="auto" w:sz="4"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left w:val="outset" w:color="auto" w:sz="6" w:space="0"/>
              <w:right w:val="outset" w:color="auto" w:sz="6" w:space="0"/>
            </w:tcBorders>
            <w:noWrap/>
            <w:vAlign w:val="center"/>
          </w:tcPr>
          <w:p>
            <w:pPr>
              <w:pStyle w:val="8"/>
              <w:rPr>
                <w:color w:val="auto"/>
                <w:highlight w:val="none"/>
              </w:rPr>
            </w:pPr>
          </w:p>
        </w:tc>
        <w:tc>
          <w:tcPr>
            <w:tcW w:w="1071" w:type="pct"/>
            <w:tcBorders>
              <w:top w:val="single" w:color="auto" w:sz="4" w:space="0"/>
              <w:left w:val="outset" w:color="auto" w:sz="6" w:space="0"/>
              <w:bottom w:val="single" w:color="auto" w:sz="4" w:space="0"/>
              <w:right w:val="outset" w:color="auto" w:sz="6" w:space="0"/>
            </w:tcBorders>
            <w:noWrap/>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类似项目业绩</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p>
        </w:tc>
        <w:tc>
          <w:tcPr>
            <w:tcW w:w="2517" w:type="pct"/>
            <w:tcBorders>
              <w:top w:val="single" w:color="auto" w:sz="4" w:space="0"/>
              <w:left w:val="outset" w:color="auto" w:sz="6" w:space="0"/>
              <w:bottom w:val="single" w:color="auto" w:sz="4" w:space="0"/>
              <w:right w:val="outset" w:color="auto" w:sz="6" w:space="0"/>
            </w:tcBorders>
            <w:noWrap/>
            <w:vAlign w:val="center"/>
          </w:tcPr>
          <w:p>
            <w:pPr>
              <w:ind w:left="17" w:hanging="16" w:hangingChars="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1、投标人自201</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年1月1日至本项目招标公告发布之日以来，有类似建筑装修装饰工程设计施工工程总承包的业绩，每有一项得2分；</w:t>
            </w:r>
          </w:p>
          <w:p>
            <w:pPr>
              <w:ind w:left="17" w:hanging="16" w:hangingChars="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2、投标人自201</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年1月1日至本项目招标公告发布之日以来，类似建筑装修装饰工程设计或施工总承包的业绩，每有一项得1分；</w:t>
            </w:r>
          </w:p>
          <w:p>
            <w:pPr>
              <w:ind w:left="17" w:hanging="16" w:hangingChars="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以上2项业绩可累加，</w:t>
            </w:r>
            <w:r>
              <w:rPr>
                <w:rFonts w:hint="eastAsia" w:ascii="仿宋" w:hAnsi="仿宋" w:eastAsia="仿宋" w:cs="仿宋"/>
                <w:b/>
                <w:bCs/>
                <w:color w:val="auto"/>
                <w:sz w:val="24"/>
                <w:szCs w:val="24"/>
                <w:highlight w:val="none"/>
              </w:rPr>
              <w:t>最高得3分</w:t>
            </w:r>
            <w:r>
              <w:rPr>
                <w:rFonts w:hint="eastAsia" w:ascii="仿宋" w:hAnsi="仿宋" w:eastAsia="仿宋" w:cs="仿宋"/>
                <w:color w:val="auto"/>
                <w:sz w:val="24"/>
                <w:szCs w:val="24"/>
                <w:highlight w:val="none"/>
              </w:rPr>
              <w:t>。</w:t>
            </w:r>
          </w:p>
          <w:p>
            <w:pPr>
              <w:ind w:left="16" w:leftChars="0" w:hanging="16" w:hangingChars="7"/>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（以上业绩提供按磋商文件须知正文第3.7.4要求进行证明并在投标文件中提供相应的复印件，时间以合同签订时间为准）。</w:t>
            </w:r>
          </w:p>
        </w:tc>
        <w:tc>
          <w:tcPr>
            <w:tcW w:w="568" w:type="pct"/>
            <w:gridSpan w:val="2"/>
            <w:tcBorders>
              <w:top w:val="single" w:color="auto" w:sz="4" w:space="0"/>
              <w:left w:val="outset" w:color="auto" w:sz="6" w:space="0"/>
              <w:bottom w:val="single" w:color="auto" w:sz="4" w:space="0"/>
              <w:right w:val="outset" w:color="auto" w:sz="6" w:space="0"/>
            </w:tcBorders>
            <w:noWrap/>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3.00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170" w:hRule="atLeast"/>
          <w:jc w:val="center"/>
        </w:trPr>
        <w:tc>
          <w:tcPr>
            <w:tcW w:w="286" w:type="pct"/>
            <w:vMerge w:val="continue"/>
            <w:tcBorders>
              <w:top w:val="single" w:color="auto" w:sz="4" w:space="0"/>
              <w:left w:val="outset" w:color="auto" w:sz="6" w:space="0"/>
              <w:bottom w:val="single" w:color="auto" w:sz="4"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left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single" w:color="auto" w:sz="4" w:space="0"/>
              <w:left w:val="outset" w:color="auto" w:sz="6" w:space="0"/>
              <w:bottom w:val="single" w:color="auto" w:sz="4" w:space="0"/>
              <w:right w:val="outset" w:color="auto" w:sz="6" w:space="0"/>
            </w:tcBorders>
            <w:noWrap/>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项目负责人业绩</w:t>
            </w:r>
          </w:p>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4分</w:t>
            </w:r>
            <w:r>
              <w:rPr>
                <w:rFonts w:hint="eastAsia" w:ascii="仿宋" w:hAnsi="仿宋" w:eastAsia="仿宋" w:cs="仿宋"/>
                <w:color w:val="auto"/>
                <w:sz w:val="24"/>
                <w:szCs w:val="24"/>
                <w:highlight w:val="none"/>
                <w:lang w:eastAsia="zh-CN"/>
              </w:rPr>
              <w:t>）</w:t>
            </w:r>
          </w:p>
        </w:tc>
        <w:tc>
          <w:tcPr>
            <w:tcW w:w="2517" w:type="pct"/>
            <w:tcBorders>
              <w:top w:val="single" w:color="auto" w:sz="4" w:space="0"/>
              <w:left w:val="outset" w:color="auto" w:sz="6" w:space="0"/>
              <w:bottom w:val="single" w:color="auto" w:sz="4" w:space="0"/>
              <w:right w:val="outset" w:color="auto" w:sz="6" w:space="0"/>
            </w:tcBorders>
            <w:noWrap/>
            <w:vAlign w:val="center"/>
          </w:tcPr>
          <w:p>
            <w:pPr>
              <w:ind w:left="17" w:hanging="16" w:hangingChars="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有类似或近三年合同金额不少于人民币200万元的建筑装修装饰工程施工每项业绩得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分，或设计施工工程总承包（EPC）业绩，每一项得2分；</w:t>
            </w:r>
          </w:p>
          <w:p>
            <w:pPr>
              <w:ind w:left="16" w:leftChars="0" w:hanging="16" w:hangingChars="7"/>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本项最高</w:t>
            </w:r>
            <w:r>
              <w:rPr>
                <w:rFonts w:hint="eastAsia" w:ascii="仿宋" w:hAnsi="仿宋" w:eastAsia="仿宋" w:cs="仿宋"/>
                <w:b/>
                <w:bCs/>
                <w:color w:val="auto"/>
                <w:sz w:val="24"/>
                <w:szCs w:val="24"/>
                <w:highlight w:val="none"/>
              </w:rPr>
              <w:t>得</w:t>
            </w: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分</w:t>
            </w:r>
            <w:r>
              <w:rPr>
                <w:rFonts w:hint="eastAsia" w:ascii="仿宋" w:hAnsi="仿宋" w:eastAsia="仿宋" w:cs="仿宋"/>
                <w:color w:val="auto"/>
                <w:sz w:val="24"/>
                <w:szCs w:val="24"/>
                <w:highlight w:val="none"/>
              </w:rPr>
              <w:t>；</w:t>
            </w:r>
          </w:p>
        </w:tc>
        <w:tc>
          <w:tcPr>
            <w:tcW w:w="568" w:type="pct"/>
            <w:gridSpan w:val="2"/>
            <w:tcBorders>
              <w:top w:val="single" w:color="auto" w:sz="4" w:space="0"/>
              <w:left w:val="outset" w:color="auto" w:sz="6" w:space="0"/>
              <w:bottom w:val="single" w:color="auto" w:sz="4" w:space="0"/>
              <w:right w:val="outset" w:color="auto" w:sz="6" w:space="0"/>
            </w:tcBorders>
            <w:noWrap/>
            <w:vAlign w:val="center"/>
          </w:tcPr>
          <w:p>
            <w:pPr>
              <w:jc w:val="center"/>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41" w:hRule="atLeast"/>
          <w:jc w:val="center"/>
        </w:trPr>
        <w:tc>
          <w:tcPr>
            <w:tcW w:w="286" w:type="pct"/>
            <w:vMerge w:val="continue"/>
            <w:tcBorders>
              <w:top w:val="single" w:color="auto" w:sz="4" w:space="0"/>
              <w:left w:val="outset" w:color="auto" w:sz="6" w:space="0"/>
              <w:bottom w:val="single" w:color="auto" w:sz="4"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left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single" w:color="auto" w:sz="4" w:space="0"/>
              <w:left w:val="outset" w:color="auto" w:sz="6" w:space="0"/>
              <w:bottom w:val="single" w:color="auto" w:sz="4" w:space="0"/>
              <w:right w:val="outset" w:color="auto" w:sz="6" w:space="0"/>
            </w:tcBorders>
            <w:noWrap/>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设计负责人业绩</w:t>
            </w:r>
          </w:p>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2分</w:t>
            </w:r>
            <w:r>
              <w:rPr>
                <w:rFonts w:hint="eastAsia" w:ascii="仿宋" w:hAnsi="仿宋" w:eastAsia="仿宋" w:cs="仿宋"/>
                <w:color w:val="auto"/>
                <w:sz w:val="24"/>
                <w:szCs w:val="24"/>
                <w:highlight w:val="none"/>
                <w:lang w:eastAsia="zh-CN"/>
              </w:rPr>
              <w:t>）</w:t>
            </w:r>
          </w:p>
        </w:tc>
        <w:tc>
          <w:tcPr>
            <w:tcW w:w="2517" w:type="pct"/>
            <w:tcBorders>
              <w:top w:val="single" w:color="auto" w:sz="4" w:space="0"/>
              <w:left w:val="outset" w:color="auto" w:sz="6" w:space="0"/>
              <w:bottom w:val="single" w:color="auto" w:sz="4" w:space="0"/>
              <w:right w:val="outset" w:color="auto" w:sz="6" w:space="0"/>
            </w:tcBorders>
            <w:noWrap/>
            <w:vAlign w:val="center"/>
          </w:tcPr>
          <w:p>
            <w:pPr>
              <w:ind w:left="16" w:leftChars="0" w:hanging="16" w:hangingChars="7"/>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有类似的建筑装修装饰工程设计每项业绩得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分，最多</w:t>
            </w:r>
            <w:r>
              <w:rPr>
                <w:rFonts w:hint="eastAsia" w:ascii="仿宋" w:hAnsi="仿宋" w:eastAsia="仿宋" w:cs="仿宋"/>
                <w:b/>
                <w:bCs/>
                <w:color w:val="auto"/>
                <w:sz w:val="24"/>
                <w:szCs w:val="24"/>
                <w:highlight w:val="none"/>
              </w:rPr>
              <w:t>得</w:t>
            </w: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分</w:t>
            </w:r>
            <w:r>
              <w:rPr>
                <w:rFonts w:hint="eastAsia" w:ascii="仿宋" w:hAnsi="仿宋" w:eastAsia="仿宋" w:cs="仿宋"/>
                <w:color w:val="auto"/>
                <w:sz w:val="24"/>
                <w:szCs w:val="24"/>
                <w:highlight w:val="none"/>
              </w:rPr>
              <w:t>；</w:t>
            </w:r>
          </w:p>
        </w:tc>
        <w:tc>
          <w:tcPr>
            <w:tcW w:w="568" w:type="pct"/>
            <w:gridSpan w:val="2"/>
            <w:tcBorders>
              <w:top w:val="single" w:color="auto" w:sz="4" w:space="0"/>
              <w:left w:val="outset" w:color="auto" w:sz="6" w:space="0"/>
              <w:bottom w:val="single" w:color="auto" w:sz="4" w:space="0"/>
              <w:right w:val="outset" w:color="auto" w:sz="6" w:space="0"/>
            </w:tcBorders>
            <w:noWrap/>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893" w:hRule="atLeast"/>
          <w:jc w:val="center"/>
        </w:trPr>
        <w:tc>
          <w:tcPr>
            <w:tcW w:w="286" w:type="pct"/>
            <w:vMerge w:val="continue"/>
            <w:tcBorders>
              <w:top w:val="single" w:color="auto" w:sz="4" w:space="0"/>
              <w:left w:val="outset" w:color="auto" w:sz="6" w:space="0"/>
              <w:bottom w:val="single" w:color="auto" w:sz="4"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left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single" w:color="auto" w:sz="4" w:space="0"/>
              <w:left w:val="outset" w:color="auto" w:sz="6" w:space="0"/>
              <w:bottom w:val="single" w:color="auto" w:sz="4" w:space="0"/>
              <w:right w:val="outset" w:color="auto" w:sz="6" w:space="0"/>
            </w:tcBorders>
            <w:noWrap/>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施工负责人</w:t>
            </w:r>
          </w:p>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2分</w:t>
            </w:r>
            <w:r>
              <w:rPr>
                <w:rFonts w:hint="eastAsia" w:ascii="仿宋" w:hAnsi="仿宋" w:eastAsia="仿宋" w:cs="仿宋"/>
                <w:color w:val="auto"/>
                <w:sz w:val="24"/>
                <w:szCs w:val="24"/>
                <w:highlight w:val="none"/>
                <w:lang w:eastAsia="zh-CN"/>
              </w:rPr>
              <w:t>）</w:t>
            </w:r>
          </w:p>
        </w:tc>
        <w:tc>
          <w:tcPr>
            <w:tcW w:w="2517" w:type="pct"/>
            <w:tcBorders>
              <w:top w:val="single" w:color="auto" w:sz="4" w:space="0"/>
              <w:left w:val="outset" w:color="auto" w:sz="6" w:space="0"/>
              <w:bottom w:val="single" w:color="auto" w:sz="4" w:space="0"/>
              <w:right w:val="outset" w:color="auto" w:sz="6" w:space="0"/>
            </w:tcBorders>
            <w:noWrap/>
            <w:vAlign w:val="center"/>
          </w:tcPr>
          <w:p>
            <w:pPr>
              <w:ind w:left="17" w:hanging="16" w:hangingChars="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有类似工程施工或近三年合同金额不少于人民币200万元的建筑装修装饰工程施工每项业绩得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分，最多</w:t>
            </w:r>
            <w:r>
              <w:rPr>
                <w:rFonts w:hint="eastAsia" w:ascii="仿宋" w:hAnsi="仿宋" w:eastAsia="仿宋" w:cs="仿宋"/>
                <w:b/>
                <w:bCs/>
                <w:color w:val="auto"/>
                <w:sz w:val="24"/>
                <w:szCs w:val="24"/>
                <w:highlight w:val="none"/>
              </w:rPr>
              <w:t>得</w:t>
            </w: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分</w:t>
            </w:r>
            <w:r>
              <w:rPr>
                <w:rFonts w:hint="eastAsia" w:ascii="仿宋" w:hAnsi="仿宋" w:eastAsia="仿宋" w:cs="仿宋"/>
                <w:color w:val="auto"/>
                <w:sz w:val="24"/>
                <w:szCs w:val="24"/>
                <w:highlight w:val="none"/>
              </w:rPr>
              <w:t>；</w:t>
            </w:r>
          </w:p>
          <w:p>
            <w:pPr>
              <w:ind w:left="16" w:leftChars="0" w:hanging="16" w:hangingChars="7"/>
              <w:rPr>
                <w:rFonts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（如果与项目经理为同一人，业绩可以累加，但项目不得重复）</w:t>
            </w:r>
          </w:p>
        </w:tc>
        <w:tc>
          <w:tcPr>
            <w:tcW w:w="568" w:type="pct"/>
            <w:gridSpan w:val="2"/>
            <w:tcBorders>
              <w:top w:val="single" w:color="auto" w:sz="4" w:space="0"/>
              <w:left w:val="outset" w:color="auto" w:sz="6" w:space="0"/>
              <w:bottom w:val="single" w:color="auto" w:sz="4" w:space="0"/>
              <w:right w:val="outset" w:color="auto" w:sz="6" w:space="0"/>
            </w:tcBorders>
            <w:noWrap/>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446" w:hRule="atLeast"/>
          <w:jc w:val="center"/>
        </w:trPr>
        <w:tc>
          <w:tcPr>
            <w:tcW w:w="286" w:type="pct"/>
            <w:vMerge w:val="continue"/>
            <w:tcBorders>
              <w:top w:val="single" w:color="auto" w:sz="4" w:space="0"/>
              <w:left w:val="outset" w:color="auto" w:sz="6" w:space="0"/>
              <w:bottom w:val="single" w:color="auto" w:sz="4"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restart"/>
            <w:tcBorders>
              <w:top w:val="single" w:color="auto" w:sz="4" w:space="0"/>
              <w:left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技术要求评审标准</w:t>
            </w:r>
          </w:p>
        </w:tc>
        <w:tc>
          <w:tcPr>
            <w:tcW w:w="1071" w:type="pct"/>
            <w:tcBorders>
              <w:top w:val="single" w:color="auto" w:sz="4" w:space="0"/>
              <w:left w:val="outset" w:color="auto" w:sz="6" w:space="0"/>
              <w:bottom w:val="outset" w:color="auto" w:sz="6" w:space="0"/>
              <w:right w:val="outset" w:color="auto" w:sz="6" w:space="0"/>
            </w:tcBorders>
            <w:noWrap/>
            <w:vAlign w:val="center"/>
          </w:tcPr>
          <w:p>
            <w:pPr>
              <w:pStyle w:val="91"/>
              <w:jc w:val="center"/>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工程详细说明</w:t>
            </w:r>
          </w:p>
          <w:p>
            <w:pPr>
              <w:pStyle w:val="91"/>
              <w:jc w:val="center"/>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（2分）</w:t>
            </w:r>
          </w:p>
        </w:tc>
        <w:tc>
          <w:tcPr>
            <w:tcW w:w="2517" w:type="pct"/>
            <w:tcBorders>
              <w:top w:val="outset" w:color="auto" w:sz="6" w:space="0"/>
              <w:left w:val="outset" w:color="auto" w:sz="6" w:space="0"/>
              <w:bottom w:val="outset" w:color="auto" w:sz="6" w:space="0"/>
              <w:right w:val="outset" w:color="auto" w:sz="6" w:space="0"/>
            </w:tcBorders>
            <w:noWrap/>
            <w:vAlign w:val="center"/>
          </w:tcPr>
          <w:p>
            <w:pPr>
              <w:pStyle w:val="91"/>
              <w:jc w:val="both"/>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工程说明内容详细准确、全面、重点突出、施工要素布置合理完全满足工程需求，</w:t>
            </w:r>
            <w:r>
              <w:rPr>
                <w:rFonts w:hint="eastAsia" w:ascii="仿宋" w:hAnsi="仿宋" w:eastAsia="仿宋" w:cs="仿宋"/>
                <w:color w:val="auto"/>
                <w:sz w:val="24"/>
                <w:highlight w:val="none"/>
              </w:rPr>
              <w:t>得2分</w:t>
            </w:r>
            <w:r>
              <w:rPr>
                <w:rFonts w:hint="eastAsia" w:ascii="仿宋" w:hAnsi="仿宋" w:eastAsia="仿宋" w:cs="仿宋"/>
                <w:b w:val="0"/>
                <w:bCs/>
                <w:color w:val="auto"/>
                <w:sz w:val="24"/>
                <w:highlight w:val="none"/>
              </w:rPr>
              <w:t>；工程说明内容较为准确、施工要素布置较为合理得1分。</w:t>
            </w:r>
          </w:p>
        </w:tc>
        <w:tc>
          <w:tcPr>
            <w:tcW w:w="568" w:type="pct"/>
            <w:gridSpan w:val="2"/>
            <w:tcBorders>
              <w:top w:val="outset" w:color="auto" w:sz="6" w:space="0"/>
              <w:left w:val="outset" w:color="auto" w:sz="6" w:space="0"/>
              <w:bottom w:val="single" w:color="auto" w:sz="4"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552" w:hRule="atLeast"/>
          <w:jc w:val="center"/>
        </w:trPr>
        <w:tc>
          <w:tcPr>
            <w:tcW w:w="286" w:type="pct"/>
            <w:vMerge w:val="continue"/>
            <w:tcBorders>
              <w:top w:val="single" w:color="auto" w:sz="4" w:space="0"/>
              <w:left w:val="outset" w:color="auto" w:sz="6" w:space="0"/>
              <w:bottom w:val="single" w:color="auto" w:sz="4"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left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outset" w:color="auto" w:sz="6" w:space="0"/>
              <w:left w:val="outset" w:color="auto" w:sz="6" w:space="0"/>
              <w:bottom w:val="outset" w:color="auto" w:sz="6" w:space="0"/>
              <w:right w:val="outset" w:color="auto" w:sz="6" w:space="0"/>
            </w:tcBorders>
            <w:noWrap/>
            <w:vAlign w:val="center"/>
          </w:tcPr>
          <w:p>
            <w:pPr>
              <w:pStyle w:val="91"/>
              <w:jc w:val="center"/>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项目管理组织方案</w:t>
            </w:r>
          </w:p>
          <w:p>
            <w:pPr>
              <w:pStyle w:val="91"/>
              <w:jc w:val="center"/>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（10分）</w:t>
            </w:r>
          </w:p>
        </w:tc>
        <w:tc>
          <w:tcPr>
            <w:tcW w:w="2517" w:type="pct"/>
            <w:tcBorders>
              <w:top w:val="outset" w:color="auto" w:sz="6" w:space="0"/>
              <w:left w:val="outset" w:color="auto" w:sz="6" w:space="0"/>
              <w:bottom w:val="outset" w:color="auto" w:sz="6" w:space="0"/>
              <w:right w:val="outset" w:color="auto" w:sz="6" w:space="0"/>
            </w:tcBorders>
            <w:noWrap/>
            <w:vAlign w:val="center"/>
          </w:tcPr>
          <w:p>
            <w:pPr>
              <w:pStyle w:val="91"/>
              <w:jc w:val="both"/>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1、项目施工组织设计、建立和运行全面、科学、先进，施工方案、方法与技术措施合理，重点内容突出得1-2分。</w:t>
            </w:r>
          </w:p>
          <w:p>
            <w:pPr>
              <w:pStyle w:val="91"/>
              <w:jc w:val="both"/>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2、工程项目管理任务的组织机构健全，规章制度岗位、层次、责任和权力明确得1-2分。</w:t>
            </w:r>
          </w:p>
          <w:p>
            <w:pPr>
              <w:pStyle w:val="91"/>
              <w:jc w:val="both"/>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3、有具体可行的项目质量管理与控制保证措施，有具体的违约责任，质量管理机构、质量管理制度健全，措施得力得1-2分。</w:t>
            </w:r>
          </w:p>
          <w:p>
            <w:pPr>
              <w:pStyle w:val="91"/>
              <w:jc w:val="both"/>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4、安全生产管理体系及保证措施、 质量控制、文档管理措施完善，有降低成本、减轻劳动强度提高进度提案者得1-2分。</w:t>
            </w:r>
          </w:p>
          <w:p>
            <w:pPr>
              <w:pStyle w:val="91"/>
              <w:jc w:val="both"/>
              <w:rPr>
                <w:rFonts w:ascii="仿宋" w:hAnsi="仿宋" w:eastAsia="仿宋" w:cs="仿宋"/>
                <w:b w:val="0"/>
                <w:bCs/>
                <w:color w:val="auto"/>
                <w:sz w:val="24"/>
                <w:highlight w:val="none"/>
              </w:rPr>
            </w:pPr>
            <w:r>
              <w:rPr>
                <w:rFonts w:hint="eastAsia" w:ascii="仿宋" w:hAnsi="仿宋" w:eastAsia="仿宋" w:cs="仿宋"/>
                <w:b w:val="0"/>
                <w:bCs/>
                <w:color w:val="auto"/>
                <w:sz w:val="24"/>
                <w:highlight w:val="none"/>
              </w:rPr>
              <w:t>5、项目风险预测与防范，事故应急预案，体系健全，保证措施完整、详实、具体、切实可行得1-2分。</w:t>
            </w:r>
          </w:p>
        </w:tc>
        <w:tc>
          <w:tcPr>
            <w:tcW w:w="568" w:type="pct"/>
            <w:gridSpan w:val="2"/>
            <w:tcBorders>
              <w:top w:val="single" w:color="auto" w:sz="4" w:space="0"/>
              <w:left w:val="outset" w:color="auto" w:sz="6" w:space="0"/>
              <w:bottom w:val="single" w:color="auto" w:sz="4"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919" w:hRule="atLeast"/>
          <w:jc w:val="center"/>
        </w:trPr>
        <w:tc>
          <w:tcPr>
            <w:tcW w:w="286" w:type="pct"/>
            <w:vMerge w:val="continue"/>
            <w:tcBorders>
              <w:top w:val="single" w:color="auto" w:sz="4" w:space="0"/>
              <w:left w:val="outset" w:color="auto" w:sz="6" w:space="0"/>
              <w:bottom w:val="single" w:color="auto" w:sz="4"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left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outset" w:color="auto" w:sz="6" w:space="0"/>
              <w:left w:val="outset" w:color="auto" w:sz="6" w:space="0"/>
              <w:bottom w:val="outset" w:color="auto" w:sz="6" w:space="0"/>
              <w:right w:val="outset" w:color="auto" w:sz="6" w:space="0"/>
            </w:tcBorders>
            <w:noWrap/>
            <w:vAlign w:val="center"/>
          </w:tcPr>
          <w:p>
            <w:pPr>
              <w:pStyle w:val="91"/>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设计方案</w:t>
            </w:r>
          </w:p>
          <w:p>
            <w:pPr>
              <w:pStyle w:val="91"/>
              <w:jc w:val="center"/>
              <w:rPr>
                <w:rFonts w:hint="eastAsia" w:ascii="仿宋" w:hAnsi="仿宋" w:eastAsia="仿宋" w:cs="仿宋"/>
                <w:b w:val="0"/>
                <w:bCs/>
                <w:color w:val="auto"/>
                <w:sz w:val="24"/>
                <w:highlight w:val="none"/>
                <w:lang w:eastAsia="zh-CN"/>
              </w:rPr>
            </w:pP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lang w:val="en-US" w:eastAsia="zh-CN"/>
              </w:rPr>
              <w:t>17分</w:t>
            </w:r>
            <w:r>
              <w:rPr>
                <w:rFonts w:hint="eastAsia" w:ascii="仿宋" w:hAnsi="仿宋" w:eastAsia="仿宋" w:cs="仿宋"/>
                <w:b w:val="0"/>
                <w:bCs/>
                <w:color w:val="auto"/>
                <w:sz w:val="24"/>
                <w:highlight w:val="none"/>
                <w:lang w:eastAsia="zh-CN"/>
              </w:rPr>
              <w:t>）</w:t>
            </w:r>
          </w:p>
        </w:tc>
        <w:tc>
          <w:tcPr>
            <w:tcW w:w="2517" w:type="pct"/>
            <w:tcBorders>
              <w:top w:val="outset" w:color="auto" w:sz="6" w:space="0"/>
              <w:left w:val="outset" w:color="auto" w:sz="6" w:space="0"/>
              <w:bottom w:val="outset" w:color="auto" w:sz="6" w:space="0"/>
              <w:right w:val="outset" w:color="auto" w:sz="6" w:space="0"/>
            </w:tcBorders>
            <w:noWrap/>
            <w:vAlign w:val="center"/>
          </w:tcPr>
          <w:p>
            <w:pPr>
              <w:numPr>
                <w:ilvl w:val="0"/>
                <w:numId w:val="12"/>
              </w:numPr>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设计方案能突出大学校园文化，根据磋商文件第三部分采购需求 “二、技术要求”的第2条-第1</w:t>
            </w: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rPr>
              <w:t>条的内容逐条对应做出设计方案，</w:t>
            </w:r>
            <w:r>
              <w:rPr>
                <w:rFonts w:hint="eastAsia" w:ascii="仿宋" w:hAnsi="仿宋" w:eastAsia="仿宋" w:cs="仿宋"/>
                <w:bCs/>
                <w:color w:val="auto"/>
                <w:sz w:val="24"/>
                <w:szCs w:val="24"/>
                <w:highlight w:val="none"/>
                <w:lang w:eastAsia="zh-CN"/>
              </w:rPr>
              <w:t>方案内容明确具体，</w:t>
            </w:r>
            <w:r>
              <w:rPr>
                <w:rFonts w:hint="eastAsia" w:ascii="仿宋" w:hAnsi="仿宋" w:eastAsia="仿宋" w:cs="仿宋"/>
                <w:b/>
                <w:color w:val="auto"/>
                <w:sz w:val="24"/>
                <w:szCs w:val="24"/>
                <w:highlight w:val="none"/>
              </w:rPr>
              <w:t>得</w:t>
            </w:r>
            <w:r>
              <w:rPr>
                <w:rFonts w:hint="eastAsia" w:ascii="仿宋" w:hAnsi="仿宋" w:eastAsia="仿宋" w:cs="仿宋"/>
                <w:b/>
                <w:color w:val="auto"/>
                <w:sz w:val="24"/>
                <w:szCs w:val="24"/>
                <w:highlight w:val="none"/>
                <w:lang w:val="en-US" w:eastAsia="zh-CN"/>
              </w:rPr>
              <w:t>1</w:t>
            </w:r>
            <w:r>
              <w:rPr>
                <w:rFonts w:hint="eastAsia" w:ascii="仿宋" w:hAnsi="仿宋" w:eastAsia="仿宋" w:cs="仿宋"/>
                <w:b/>
                <w:color w:val="auto"/>
                <w:sz w:val="24"/>
                <w:szCs w:val="24"/>
                <w:highlight w:val="none"/>
              </w:rPr>
              <w:t>2分。</w:t>
            </w:r>
            <w:r>
              <w:rPr>
                <w:rFonts w:hint="eastAsia" w:ascii="仿宋" w:hAnsi="仿宋" w:eastAsia="仿宋" w:cs="仿宋"/>
                <w:bCs/>
                <w:color w:val="auto"/>
                <w:sz w:val="24"/>
                <w:szCs w:val="24"/>
                <w:highlight w:val="none"/>
              </w:rPr>
              <w:t>每有1条设计方案对应不明确，含糊不清扣</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分，扣完为止。</w:t>
            </w:r>
          </w:p>
          <w:p>
            <w:pPr>
              <w:pStyle w:val="8"/>
              <w:numPr>
                <w:ilvl w:val="0"/>
                <w:numId w:val="12"/>
              </w:numPr>
              <w:rPr>
                <w:rFonts w:ascii="仿宋" w:hAnsi="仿宋" w:eastAsia="仿宋" w:cs="仿宋"/>
                <w:bCs/>
                <w:color w:val="auto"/>
                <w:sz w:val="24"/>
                <w:highlight w:val="none"/>
              </w:rPr>
            </w:pPr>
            <w:r>
              <w:rPr>
                <w:rFonts w:hint="eastAsia" w:ascii="仿宋" w:hAnsi="仿宋" w:eastAsia="仿宋" w:cs="仿宋"/>
                <w:bCs/>
                <w:color w:val="auto"/>
                <w:sz w:val="24"/>
                <w:highlight w:val="none"/>
              </w:rPr>
              <w:t>效果图展示与设计方案内容相符，每条方案效果图不少于2幅，得</w:t>
            </w:r>
            <w:r>
              <w:rPr>
                <w:rFonts w:hint="eastAsia" w:ascii="仿宋" w:hAnsi="仿宋" w:eastAsia="仿宋" w:cs="仿宋"/>
                <w:bCs/>
                <w:color w:val="auto"/>
                <w:sz w:val="24"/>
                <w:highlight w:val="none"/>
                <w:lang w:val="en-US" w:eastAsia="zh-CN"/>
              </w:rPr>
              <w:t>1</w:t>
            </w:r>
            <w:r>
              <w:rPr>
                <w:rFonts w:hint="eastAsia" w:ascii="仿宋" w:hAnsi="仿宋" w:eastAsia="仿宋" w:cs="仿宋"/>
                <w:bCs/>
                <w:color w:val="auto"/>
                <w:sz w:val="24"/>
                <w:highlight w:val="none"/>
              </w:rPr>
              <w:t>分，</w:t>
            </w:r>
            <w:r>
              <w:rPr>
                <w:rFonts w:hint="eastAsia" w:ascii="仿宋" w:hAnsi="仿宋" w:eastAsia="仿宋" w:cs="仿宋"/>
                <w:b/>
                <w:color w:val="auto"/>
                <w:sz w:val="24"/>
                <w:highlight w:val="none"/>
              </w:rPr>
              <w:t>满分</w:t>
            </w:r>
            <w:r>
              <w:rPr>
                <w:rFonts w:hint="eastAsia" w:ascii="仿宋" w:hAnsi="仿宋" w:eastAsia="仿宋" w:cs="仿宋"/>
                <w:b/>
                <w:color w:val="auto"/>
                <w:sz w:val="24"/>
                <w:highlight w:val="none"/>
                <w:lang w:val="en-US" w:eastAsia="zh-CN"/>
              </w:rPr>
              <w:t>5</w:t>
            </w:r>
            <w:r>
              <w:rPr>
                <w:rFonts w:hint="eastAsia" w:ascii="仿宋" w:hAnsi="仿宋" w:eastAsia="仿宋" w:cs="仿宋"/>
                <w:b/>
                <w:color w:val="auto"/>
                <w:sz w:val="24"/>
                <w:highlight w:val="none"/>
              </w:rPr>
              <w:t>分。</w:t>
            </w:r>
            <w:r>
              <w:rPr>
                <w:rFonts w:hint="eastAsia" w:ascii="仿宋" w:hAnsi="仿宋" w:eastAsia="仿宋" w:cs="仿宋"/>
                <w:bCs/>
                <w:color w:val="auto"/>
                <w:sz w:val="24"/>
                <w:highlight w:val="none"/>
              </w:rPr>
              <w:t>未完全响应每条扣1分，扣完为止；不提供不得分。</w:t>
            </w:r>
          </w:p>
          <w:p>
            <w:pPr>
              <w:pStyle w:val="8"/>
              <w:ind w:firstLine="240" w:firstLineChars="100"/>
              <w:rPr>
                <w:rFonts w:ascii="仿宋" w:hAnsi="仿宋" w:eastAsia="仿宋" w:cs="仿宋"/>
                <w:bCs/>
                <w:color w:val="auto"/>
                <w:sz w:val="24"/>
                <w:highlight w:val="none"/>
              </w:rPr>
            </w:pPr>
            <w:r>
              <w:rPr>
                <w:rFonts w:hint="eastAsia" w:ascii="仿宋" w:hAnsi="仿宋" w:eastAsia="仿宋" w:cs="仿宋"/>
                <w:bCs/>
                <w:color w:val="auto"/>
                <w:kern w:val="0"/>
                <w:sz w:val="24"/>
                <w:highlight w:val="none"/>
              </w:rPr>
              <w:t>注：投标人须对本上述要求内容进行点对点应答，必须在引用本磋商文件的基础上,进行逐条逐项答复、说明和解释,特别对有具体参数要求的指标。</w:t>
            </w:r>
          </w:p>
        </w:tc>
        <w:tc>
          <w:tcPr>
            <w:tcW w:w="568" w:type="pct"/>
            <w:gridSpan w:val="2"/>
            <w:tcBorders>
              <w:top w:val="single" w:color="auto" w:sz="4" w:space="0"/>
              <w:left w:val="outset" w:color="auto" w:sz="6" w:space="0"/>
              <w:bottom w:val="single" w:color="auto" w:sz="4"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17</w:t>
            </w:r>
            <w:r>
              <w:rPr>
                <w:rFonts w:hint="eastAsia" w:ascii="仿宋" w:hAnsi="仿宋" w:eastAsia="仿宋" w:cs="仿宋"/>
                <w:color w:val="auto"/>
                <w:sz w:val="24"/>
                <w:szCs w:val="24"/>
                <w:highlight w:val="none"/>
              </w:rPr>
              <w:t>.00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69" w:hRule="atLeast"/>
          <w:jc w:val="center"/>
        </w:trPr>
        <w:tc>
          <w:tcPr>
            <w:tcW w:w="286" w:type="pct"/>
            <w:vMerge w:val="continue"/>
            <w:tcBorders>
              <w:top w:val="single" w:color="auto" w:sz="4" w:space="0"/>
              <w:left w:val="outset" w:color="auto" w:sz="6" w:space="0"/>
              <w:bottom w:val="single" w:color="auto" w:sz="4"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left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outset" w:color="auto" w:sz="6" w:space="0"/>
              <w:left w:val="outset" w:color="auto" w:sz="6" w:space="0"/>
              <w:bottom w:val="outset" w:color="auto" w:sz="6" w:space="0"/>
              <w:right w:val="outset" w:color="auto" w:sz="6" w:space="0"/>
            </w:tcBorders>
            <w:noWrap/>
            <w:vAlign w:val="center"/>
          </w:tcPr>
          <w:p>
            <w:pPr>
              <w:pStyle w:val="91"/>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rPr>
              <w:t>设备采购方案</w:t>
            </w:r>
          </w:p>
          <w:p>
            <w:pPr>
              <w:pStyle w:val="91"/>
              <w:jc w:val="center"/>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eastAsia="zh-CN"/>
              </w:rPr>
              <w:t>（</w:t>
            </w:r>
            <w:r>
              <w:rPr>
                <w:rFonts w:hint="eastAsia" w:ascii="仿宋" w:hAnsi="仿宋" w:eastAsia="仿宋" w:cs="仿宋"/>
                <w:b w:val="0"/>
                <w:bCs/>
                <w:color w:val="auto"/>
                <w:sz w:val="24"/>
                <w:highlight w:val="none"/>
              </w:rPr>
              <w:t>4分</w:t>
            </w:r>
            <w:r>
              <w:rPr>
                <w:rFonts w:hint="eastAsia" w:ascii="仿宋" w:hAnsi="仿宋" w:eastAsia="仿宋" w:cs="仿宋"/>
                <w:b w:val="0"/>
                <w:bCs/>
                <w:color w:val="auto"/>
                <w:sz w:val="24"/>
                <w:highlight w:val="none"/>
                <w:lang w:eastAsia="zh-CN"/>
              </w:rPr>
              <w:t>）</w:t>
            </w:r>
          </w:p>
        </w:tc>
        <w:tc>
          <w:tcPr>
            <w:tcW w:w="2517" w:type="pct"/>
            <w:tcBorders>
              <w:top w:val="outset" w:color="auto" w:sz="6" w:space="0"/>
              <w:left w:val="outset" w:color="auto" w:sz="6" w:space="0"/>
              <w:bottom w:val="outset" w:color="auto" w:sz="6" w:space="0"/>
              <w:right w:val="outset" w:color="auto" w:sz="6" w:space="0"/>
            </w:tcBorders>
            <w:noWrap/>
            <w:vAlign w:val="center"/>
          </w:tcPr>
          <w:p>
            <w:pPr>
              <w:pStyle w:val="91"/>
              <w:jc w:val="both"/>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val="en-US" w:eastAsia="zh-CN"/>
              </w:rPr>
              <w:t>1、</w:t>
            </w:r>
            <w:r>
              <w:rPr>
                <w:rFonts w:hint="eastAsia" w:ascii="仿宋" w:hAnsi="仿宋" w:eastAsia="仿宋" w:cs="仿宋"/>
                <w:b w:val="0"/>
                <w:bCs/>
                <w:color w:val="auto"/>
                <w:sz w:val="24"/>
                <w:highlight w:val="none"/>
              </w:rPr>
              <w:t>设备采购的总体安排与资源和施工进度计划相呼应且完全满足施工进度需要，材料与主体搭配周全合理，设备采购招标、谈判管理制度健全合理</w:t>
            </w:r>
            <w:r>
              <w:rPr>
                <w:rFonts w:hint="eastAsia" w:ascii="仿宋" w:hAnsi="仿宋" w:eastAsia="仿宋" w:cs="仿宋"/>
                <w:b/>
                <w:bCs w:val="0"/>
                <w:color w:val="auto"/>
                <w:sz w:val="24"/>
                <w:highlight w:val="none"/>
              </w:rPr>
              <w:t>得</w:t>
            </w:r>
            <w:r>
              <w:rPr>
                <w:rFonts w:hint="eastAsia" w:ascii="仿宋" w:hAnsi="仿宋" w:eastAsia="仿宋" w:cs="仿宋"/>
                <w:b/>
                <w:bCs w:val="0"/>
                <w:color w:val="auto"/>
                <w:sz w:val="24"/>
                <w:highlight w:val="none"/>
                <w:lang w:val="en-US" w:eastAsia="zh-CN"/>
              </w:rPr>
              <w:t>1-2</w:t>
            </w:r>
            <w:r>
              <w:rPr>
                <w:rFonts w:hint="eastAsia" w:ascii="仿宋" w:hAnsi="仿宋" w:eastAsia="仿宋" w:cs="仿宋"/>
                <w:b/>
                <w:bCs w:val="0"/>
                <w:color w:val="auto"/>
                <w:sz w:val="24"/>
                <w:highlight w:val="none"/>
              </w:rPr>
              <w:t>分</w:t>
            </w:r>
            <w:r>
              <w:rPr>
                <w:rFonts w:hint="eastAsia" w:ascii="仿宋" w:hAnsi="仿宋" w:eastAsia="仿宋" w:cs="仿宋"/>
                <w:b w:val="0"/>
                <w:bCs/>
                <w:color w:val="auto"/>
                <w:sz w:val="24"/>
                <w:highlight w:val="none"/>
              </w:rPr>
              <w:t>；</w:t>
            </w:r>
          </w:p>
          <w:p>
            <w:pPr>
              <w:pStyle w:val="91"/>
              <w:jc w:val="both"/>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val="en-US" w:eastAsia="zh-CN"/>
              </w:rPr>
              <w:t>2、</w:t>
            </w:r>
            <w:r>
              <w:rPr>
                <w:rFonts w:hint="eastAsia" w:ascii="仿宋" w:hAnsi="仿宋" w:eastAsia="仿宋" w:cs="仿宋"/>
                <w:b w:val="0"/>
                <w:bCs/>
                <w:color w:val="auto"/>
                <w:sz w:val="24"/>
                <w:highlight w:val="none"/>
              </w:rPr>
              <w:t>总体安排与资源和施工进度计划满足进度需要，材料与主体搭配较合理，设备采购招标、谈判管理制度较健全</w:t>
            </w:r>
            <w:r>
              <w:rPr>
                <w:rFonts w:hint="eastAsia" w:ascii="仿宋" w:hAnsi="仿宋" w:eastAsia="仿宋" w:cs="仿宋"/>
                <w:b/>
                <w:bCs w:val="0"/>
                <w:color w:val="auto"/>
                <w:sz w:val="24"/>
                <w:highlight w:val="none"/>
              </w:rPr>
              <w:t>得</w:t>
            </w:r>
            <w:r>
              <w:rPr>
                <w:rFonts w:hint="eastAsia" w:ascii="仿宋" w:hAnsi="仿宋" w:eastAsia="仿宋" w:cs="仿宋"/>
                <w:b/>
                <w:bCs w:val="0"/>
                <w:color w:val="auto"/>
                <w:sz w:val="24"/>
                <w:highlight w:val="none"/>
                <w:lang w:val="en-US" w:eastAsia="zh-CN"/>
              </w:rPr>
              <w:t>1</w:t>
            </w:r>
            <w:r>
              <w:rPr>
                <w:rFonts w:hint="eastAsia" w:ascii="仿宋" w:hAnsi="仿宋" w:eastAsia="仿宋" w:cs="仿宋"/>
                <w:b/>
                <w:bCs w:val="0"/>
                <w:color w:val="auto"/>
                <w:sz w:val="24"/>
                <w:highlight w:val="none"/>
              </w:rPr>
              <w:t>分</w:t>
            </w:r>
            <w:r>
              <w:rPr>
                <w:rFonts w:hint="eastAsia" w:ascii="仿宋" w:hAnsi="仿宋" w:eastAsia="仿宋" w:cs="仿宋"/>
                <w:b w:val="0"/>
                <w:bCs/>
                <w:color w:val="auto"/>
                <w:sz w:val="24"/>
                <w:highlight w:val="none"/>
              </w:rPr>
              <w:t>；</w:t>
            </w:r>
          </w:p>
          <w:p>
            <w:pPr>
              <w:pStyle w:val="91"/>
              <w:jc w:val="both"/>
              <w:rPr>
                <w:rFonts w:hint="eastAsia" w:ascii="仿宋" w:hAnsi="仿宋" w:eastAsia="仿宋" w:cs="仿宋"/>
                <w:b w:val="0"/>
                <w:bCs/>
                <w:color w:val="auto"/>
                <w:sz w:val="24"/>
                <w:highlight w:val="none"/>
              </w:rPr>
            </w:pPr>
            <w:r>
              <w:rPr>
                <w:rFonts w:hint="eastAsia" w:ascii="仿宋" w:hAnsi="仿宋" w:eastAsia="仿宋" w:cs="仿宋"/>
                <w:b w:val="0"/>
                <w:bCs/>
                <w:color w:val="auto"/>
                <w:sz w:val="24"/>
                <w:highlight w:val="none"/>
                <w:lang w:val="en-US" w:eastAsia="zh-CN"/>
              </w:rPr>
              <w:t>3、</w:t>
            </w:r>
            <w:r>
              <w:rPr>
                <w:rFonts w:hint="eastAsia" w:ascii="仿宋" w:hAnsi="仿宋" w:eastAsia="仿宋" w:cs="仿宋"/>
                <w:b w:val="0"/>
                <w:bCs/>
                <w:color w:val="auto"/>
                <w:sz w:val="24"/>
                <w:highlight w:val="none"/>
              </w:rPr>
              <w:t>设备采购方案及制度基本合理</w:t>
            </w:r>
            <w:r>
              <w:rPr>
                <w:rFonts w:hint="eastAsia" w:ascii="仿宋" w:hAnsi="仿宋" w:eastAsia="仿宋" w:cs="仿宋"/>
                <w:b w:val="0"/>
                <w:bCs/>
                <w:color w:val="auto"/>
                <w:sz w:val="24"/>
                <w:highlight w:val="none"/>
                <w:lang w:eastAsia="zh-CN"/>
              </w:rPr>
              <w:t>，</w:t>
            </w:r>
            <w:r>
              <w:rPr>
                <w:rFonts w:hint="eastAsia" w:ascii="仿宋" w:hAnsi="仿宋" w:eastAsia="仿宋" w:cs="仿宋"/>
                <w:b/>
                <w:bCs w:val="0"/>
                <w:color w:val="auto"/>
                <w:sz w:val="24"/>
                <w:highlight w:val="none"/>
              </w:rPr>
              <w:t>得1分</w:t>
            </w:r>
            <w:r>
              <w:rPr>
                <w:rFonts w:hint="eastAsia" w:ascii="仿宋" w:hAnsi="仿宋" w:eastAsia="仿宋" w:cs="仿宋"/>
                <w:b w:val="0"/>
                <w:bCs/>
                <w:color w:val="auto"/>
                <w:sz w:val="24"/>
                <w:highlight w:val="none"/>
              </w:rPr>
              <w:t>。</w:t>
            </w:r>
          </w:p>
          <w:p>
            <w:pPr>
              <w:pStyle w:val="92"/>
              <w:ind w:left="0" w:leftChars="0" w:firstLine="0" w:firstLineChars="0"/>
              <w:rPr>
                <w:rFonts w:hint="eastAsia"/>
                <w:color w:val="auto"/>
                <w:highlight w:val="none"/>
              </w:rPr>
            </w:pPr>
            <w:r>
              <w:rPr>
                <w:rFonts w:hint="eastAsia" w:ascii="仿宋" w:hAnsi="仿宋" w:eastAsia="仿宋" w:cs="仿宋"/>
                <w:b w:val="0"/>
                <w:bCs/>
                <w:color w:val="auto"/>
                <w:sz w:val="24"/>
                <w:szCs w:val="24"/>
                <w:highlight w:val="none"/>
                <w:lang w:val="en-US" w:eastAsia="zh-CN" w:bidi="ar-SA"/>
              </w:rPr>
              <w:t>每有1项方案不明确或含糊不清扣1分，扣完为止；</w:t>
            </w:r>
          </w:p>
        </w:tc>
        <w:tc>
          <w:tcPr>
            <w:tcW w:w="568" w:type="pct"/>
            <w:gridSpan w:val="2"/>
            <w:tcBorders>
              <w:top w:val="single" w:color="auto" w:sz="4" w:space="0"/>
              <w:left w:val="outset" w:color="auto" w:sz="6" w:space="0"/>
              <w:bottom w:val="single" w:color="auto" w:sz="4" w:space="0"/>
              <w:right w:val="outset" w:color="auto" w:sz="6" w:space="0"/>
            </w:tcBorders>
            <w:noWrap/>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69" w:hRule="atLeast"/>
          <w:jc w:val="center"/>
        </w:trPr>
        <w:tc>
          <w:tcPr>
            <w:tcW w:w="286" w:type="pct"/>
            <w:vMerge w:val="continue"/>
            <w:tcBorders>
              <w:top w:val="single" w:color="auto" w:sz="4" w:space="0"/>
              <w:left w:val="outset" w:color="auto" w:sz="6" w:space="0"/>
              <w:bottom w:val="single" w:color="auto" w:sz="4"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left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outset" w:color="auto" w:sz="6" w:space="0"/>
              <w:left w:val="outset" w:color="auto" w:sz="6" w:space="0"/>
              <w:bottom w:val="outset" w:color="auto" w:sz="6" w:space="0"/>
              <w:right w:val="outset" w:color="auto" w:sz="6" w:space="0"/>
            </w:tcBorders>
            <w:noWrap/>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施工组织设计</w:t>
            </w:r>
          </w:p>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p>
        </w:tc>
        <w:tc>
          <w:tcPr>
            <w:tcW w:w="2517" w:type="pct"/>
            <w:tcBorders>
              <w:top w:val="outset" w:color="auto" w:sz="6" w:space="0"/>
              <w:left w:val="outset" w:color="auto" w:sz="6" w:space="0"/>
              <w:bottom w:val="outset" w:color="auto" w:sz="6" w:space="0"/>
              <w:right w:val="outset" w:color="auto" w:sz="6" w:space="0"/>
            </w:tcBorders>
            <w:noWrap/>
            <w:vAlign w:val="center"/>
          </w:tcPr>
          <w:p>
            <w:pPr>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1、工程进度计划与保证措施：施工进度计划内容全面</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在确保工程质量安全前提下缩短工期，进度计划及时间节点明确具体，每提前1天竣工得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分，最多</w:t>
            </w:r>
            <w:r>
              <w:rPr>
                <w:rFonts w:hint="eastAsia" w:ascii="仿宋" w:hAnsi="仿宋" w:eastAsia="仿宋" w:cs="仿宋"/>
                <w:b/>
                <w:bCs/>
                <w:color w:val="auto"/>
                <w:sz w:val="24"/>
                <w:szCs w:val="24"/>
                <w:highlight w:val="none"/>
                <w:lang w:eastAsia="zh-CN"/>
              </w:rPr>
              <w:t>得</w:t>
            </w:r>
            <w:r>
              <w:rPr>
                <w:rFonts w:hint="eastAsia" w:ascii="仿宋" w:hAnsi="仿宋" w:eastAsia="仿宋" w:cs="仿宋"/>
                <w:b/>
                <w:bCs/>
                <w:color w:val="auto"/>
                <w:sz w:val="24"/>
                <w:szCs w:val="24"/>
                <w:highlight w:val="none"/>
              </w:rPr>
              <w:t>5分</w:t>
            </w:r>
            <w:r>
              <w:rPr>
                <w:rFonts w:hint="eastAsia" w:ascii="仿宋" w:hAnsi="仿宋" w:eastAsia="仿宋" w:cs="仿宋"/>
                <w:color w:val="auto"/>
                <w:sz w:val="24"/>
                <w:szCs w:val="24"/>
                <w:highlight w:val="none"/>
              </w:rPr>
              <w:t>。未提供或进度计划不明确不得分</w:t>
            </w:r>
            <w:r>
              <w:rPr>
                <w:rFonts w:hint="eastAsia" w:ascii="仿宋" w:hAnsi="仿宋" w:eastAsia="仿宋" w:cs="仿宋"/>
                <w:color w:val="auto"/>
                <w:sz w:val="24"/>
                <w:szCs w:val="24"/>
                <w:highlight w:val="none"/>
                <w:lang w:eastAsia="zh-CN"/>
              </w:rPr>
              <w:t>；</w:t>
            </w:r>
          </w:p>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2、施工方案与技术措施</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对项目总体概况表述是否清晰、完整</w:t>
            </w:r>
            <w:r>
              <w:rPr>
                <w:rFonts w:hint="eastAsia" w:ascii="仿宋" w:hAnsi="仿宋" w:eastAsia="仿宋" w:cs="仿宋"/>
                <w:color w:val="auto"/>
                <w:sz w:val="24"/>
                <w:szCs w:val="24"/>
                <w:highlight w:val="none"/>
                <w:lang w:eastAsia="zh-CN"/>
              </w:rPr>
              <w:t>得</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部署及措施是否先进、可靠</w:t>
            </w:r>
            <w:r>
              <w:rPr>
                <w:rFonts w:hint="eastAsia" w:ascii="仿宋" w:hAnsi="仿宋" w:eastAsia="仿宋" w:cs="仿宋"/>
                <w:b/>
                <w:bCs/>
                <w:color w:val="auto"/>
                <w:sz w:val="24"/>
                <w:szCs w:val="24"/>
                <w:highlight w:val="none"/>
                <w:lang w:eastAsia="zh-CN"/>
              </w:rPr>
              <w:t>得</w:t>
            </w:r>
            <w:r>
              <w:rPr>
                <w:rFonts w:hint="eastAsia" w:ascii="仿宋" w:hAnsi="仿宋" w:eastAsia="仿宋" w:cs="仿宋"/>
                <w:b/>
                <w:bCs/>
                <w:color w:val="auto"/>
                <w:sz w:val="24"/>
                <w:szCs w:val="24"/>
                <w:highlight w:val="none"/>
                <w:lang w:val="en-US" w:eastAsia="zh-CN"/>
              </w:rPr>
              <w:t>2分</w:t>
            </w:r>
            <w:r>
              <w:rPr>
                <w:rFonts w:hint="eastAsia" w:ascii="仿宋" w:hAnsi="仿宋" w:eastAsia="仿宋" w:cs="仿宋"/>
                <w:color w:val="auto"/>
                <w:sz w:val="24"/>
                <w:szCs w:val="24"/>
                <w:highlight w:val="none"/>
              </w:rPr>
              <w:t>；</w:t>
            </w:r>
          </w:p>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针对项目的重点、难点分析是否透彻，解决方案是否切实可行</w:t>
            </w:r>
            <w:r>
              <w:rPr>
                <w:rFonts w:hint="eastAsia" w:ascii="仿宋" w:hAnsi="仿宋" w:eastAsia="仿宋" w:cs="仿宋"/>
                <w:b/>
                <w:bCs/>
                <w:color w:val="auto"/>
                <w:sz w:val="24"/>
                <w:szCs w:val="24"/>
                <w:highlight w:val="none"/>
                <w:lang w:eastAsia="zh-CN"/>
              </w:rPr>
              <w:t>得</w:t>
            </w:r>
            <w:r>
              <w:rPr>
                <w:rFonts w:hint="eastAsia" w:ascii="仿宋" w:hAnsi="仿宋" w:eastAsia="仿宋" w:cs="仿宋"/>
                <w:b/>
                <w:bCs/>
                <w:color w:val="auto"/>
                <w:sz w:val="24"/>
                <w:szCs w:val="24"/>
                <w:highlight w:val="none"/>
                <w:lang w:val="en-US" w:eastAsia="zh-CN"/>
              </w:rPr>
              <w:t>2分</w:t>
            </w:r>
            <w:r>
              <w:rPr>
                <w:rFonts w:hint="eastAsia" w:ascii="仿宋" w:hAnsi="仿宋" w:eastAsia="仿宋" w:cs="仿宋"/>
                <w:color w:val="auto"/>
                <w:sz w:val="24"/>
                <w:szCs w:val="24"/>
                <w:highlight w:val="none"/>
              </w:rPr>
              <w:t>；</w:t>
            </w:r>
          </w:p>
          <w:p>
            <w:pPr>
              <w:jc w:val="left"/>
              <w:rPr>
                <w:rFonts w:hint="eastAsia" w:ascii="仿宋" w:hAnsi="仿宋" w:eastAsia="仿宋" w:cs="仿宋"/>
                <w:b/>
                <w:bCs/>
                <w:color w:val="auto"/>
                <w:sz w:val="24"/>
                <w:szCs w:val="24"/>
                <w:highlight w:val="none"/>
                <w:lang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施工平面布置是否有针对性、合理，较好满足施工需要，是否符合安全、文明生产要求等</w:t>
            </w:r>
            <w:r>
              <w:rPr>
                <w:rFonts w:hint="eastAsia" w:ascii="仿宋" w:hAnsi="仿宋" w:eastAsia="仿宋" w:cs="仿宋"/>
                <w:b/>
                <w:bCs/>
                <w:color w:val="auto"/>
                <w:sz w:val="24"/>
                <w:szCs w:val="24"/>
                <w:highlight w:val="none"/>
                <w:lang w:eastAsia="zh-CN"/>
              </w:rPr>
              <w:t>得</w:t>
            </w:r>
            <w:r>
              <w:rPr>
                <w:rFonts w:hint="eastAsia" w:ascii="仿宋" w:hAnsi="仿宋" w:eastAsia="仿宋" w:cs="仿宋"/>
                <w:b/>
                <w:bCs/>
                <w:color w:val="auto"/>
                <w:sz w:val="24"/>
                <w:szCs w:val="24"/>
                <w:highlight w:val="none"/>
                <w:lang w:val="en-US" w:eastAsia="zh-CN"/>
              </w:rPr>
              <w:t>2分</w:t>
            </w:r>
            <w:r>
              <w:rPr>
                <w:rFonts w:hint="eastAsia" w:ascii="仿宋" w:hAnsi="仿宋" w:eastAsia="仿宋" w:cs="仿宋"/>
                <w:b/>
                <w:bCs/>
                <w:color w:val="auto"/>
                <w:sz w:val="24"/>
                <w:szCs w:val="24"/>
                <w:highlight w:val="none"/>
                <w:lang w:eastAsia="zh-CN"/>
              </w:rPr>
              <w:t>；</w:t>
            </w:r>
          </w:p>
          <w:p>
            <w:pPr>
              <w:jc w:val="left"/>
              <w:rPr>
                <w:rFonts w:hint="eastAsia" w:ascii="仿宋" w:hAnsi="仿宋" w:eastAsia="仿宋" w:cs="仿宋"/>
                <w:b/>
                <w:bCs/>
                <w:color w:val="auto"/>
                <w:sz w:val="24"/>
                <w:szCs w:val="24"/>
                <w:highlight w:val="none"/>
                <w:lang w:eastAsia="zh-CN"/>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.质量管理体系与措施：质量目标是否明确，管理机构是否健全，职责分工是否明确</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管理制度是否齐全</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实施与监控措施是否全面、有效等</w:t>
            </w:r>
            <w:r>
              <w:rPr>
                <w:rFonts w:hint="eastAsia" w:ascii="仿宋" w:hAnsi="仿宋" w:eastAsia="仿宋" w:cs="仿宋"/>
                <w:b/>
                <w:bCs/>
                <w:color w:val="auto"/>
                <w:sz w:val="24"/>
                <w:szCs w:val="24"/>
                <w:highlight w:val="none"/>
              </w:rPr>
              <w:t>得</w:t>
            </w: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分</w:t>
            </w:r>
            <w:r>
              <w:rPr>
                <w:rFonts w:hint="eastAsia" w:ascii="仿宋" w:hAnsi="仿宋" w:eastAsia="仿宋" w:cs="仿宋"/>
                <w:b/>
                <w:bCs/>
                <w:color w:val="auto"/>
                <w:sz w:val="24"/>
                <w:szCs w:val="24"/>
                <w:highlight w:val="none"/>
                <w:lang w:eastAsia="zh-CN"/>
              </w:rPr>
              <w:t>；</w:t>
            </w:r>
          </w:p>
          <w:p>
            <w:pPr>
              <w:jc w:val="left"/>
              <w:rPr>
                <w:rFonts w:hint="eastAsia"/>
                <w:color w:val="auto"/>
                <w:highlight w:val="none"/>
                <w:lang w:val="en-US" w:eastAsia="zh-CN"/>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安全管理体系与措施：安全目标是否明确，管理机构是否健全，职责分工是否明确</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实施与监控措施是否全面、有效</w:t>
            </w:r>
            <w:r>
              <w:rPr>
                <w:rFonts w:hint="eastAsia" w:ascii="仿宋" w:hAnsi="仿宋" w:eastAsia="仿宋" w:cs="仿宋"/>
                <w:b/>
                <w:bCs/>
                <w:color w:val="auto"/>
                <w:sz w:val="24"/>
                <w:szCs w:val="24"/>
                <w:highlight w:val="none"/>
                <w:lang w:eastAsia="zh-CN"/>
              </w:rPr>
              <w:t>得</w:t>
            </w: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以上</w:t>
            </w:r>
            <w:r>
              <w:rPr>
                <w:rFonts w:hint="eastAsia" w:ascii="仿宋" w:hAnsi="仿宋" w:eastAsia="仿宋" w:cs="仿宋"/>
                <w:b w:val="0"/>
                <w:bCs/>
                <w:color w:val="auto"/>
                <w:sz w:val="24"/>
                <w:szCs w:val="24"/>
                <w:highlight w:val="none"/>
                <w:lang w:val="en-US" w:eastAsia="zh-CN" w:bidi="ar-SA"/>
              </w:rPr>
              <w:t>每有1项措施方案不明确或含糊不清扣1分，扣完为止。</w:t>
            </w:r>
          </w:p>
        </w:tc>
        <w:tc>
          <w:tcPr>
            <w:tcW w:w="568" w:type="pct"/>
            <w:gridSpan w:val="2"/>
            <w:tcBorders>
              <w:top w:val="single" w:color="auto" w:sz="4" w:space="0"/>
              <w:left w:val="outset" w:color="auto" w:sz="6" w:space="0"/>
              <w:bottom w:val="single" w:color="auto" w:sz="4" w:space="0"/>
              <w:right w:val="outset" w:color="auto" w:sz="6" w:space="0"/>
            </w:tcBorders>
            <w:noWrap/>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5.00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030" w:hRule="atLeast"/>
          <w:jc w:val="center"/>
        </w:trPr>
        <w:tc>
          <w:tcPr>
            <w:tcW w:w="286" w:type="pct"/>
            <w:vMerge w:val="continue"/>
            <w:tcBorders>
              <w:top w:val="single" w:color="auto" w:sz="4" w:space="0"/>
              <w:left w:val="outset" w:color="auto" w:sz="6" w:space="0"/>
              <w:bottom w:val="single" w:color="auto" w:sz="4"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left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outset" w:color="auto" w:sz="6" w:space="0"/>
              <w:left w:val="outset" w:color="auto" w:sz="6" w:space="0"/>
              <w:bottom w:val="outset" w:color="auto" w:sz="6" w:space="0"/>
              <w:right w:val="outset" w:color="auto" w:sz="6" w:space="0"/>
            </w:tcBorders>
            <w:noWrap/>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竣工验收管理</w:t>
            </w:r>
          </w:p>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4分</w:t>
            </w:r>
            <w:r>
              <w:rPr>
                <w:rFonts w:hint="eastAsia" w:ascii="仿宋" w:hAnsi="仿宋" w:eastAsia="仿宋" w:cs="仿宋"/>
                <w:color w:val="auto"/>
                <w:sz w:val="24"/>
                <w:szCs w:val="24"/>
                <w:highlight w:val="none"/>
                <w:lang w:eastAsia="zh-CN"/>
              </w:rPr>
              <w:t>）</w:t>
            </w:r>
          </w:p>
        </w:tc>
        <w:tc>
          <w:tcPr>
            <w:tcW w:w="2517" w:type="pct"/>
            <w:tcBorders>
              <w:top w:val="outset" w:color="auto" w:sz="6" w:space="0"/>
              <w:left w:val="outset" w:color="auto" w:sz="6" w:space="0"/>
              <w:bottom w:val="outset" w:color="auto" w:sz="6" w:space="0"/>
              <w:right w:val="outset" w:color="auto" w:sz="6" w:space="0"/>
            </w:tcBorders>
            <w:noWrap/>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工程竣工验收管理完全符合现行工程验收规定及管理措施得3-4分；</w:t>
            </w:r>
          </w:p>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工程竣工验收管理较符合现行工程验收规定及管理措施得2-3分；</w:t>
            </w:r>
          </w:p>
          <w:p>
            <w:pPr>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工程竣工验收管理基本符合规定及管理措施得1-2分。</w:t>
            </w:r>
          </w:p>
        </w:tc>
        <w:tc>
          <w:tcPr>
            <w:tcW w:w="568" w:type="pct"/>
            <w:gridSpan w:val="2"/>
            <w:tcBorders>
              <w:top w:val="single" w:color="auto" w:sz="4" w:space="0"/>
              <w:left w:val="outset" w:color="auto" w:sz="6" w:space="0"/>
              <w:bottom w:val="single" w:color="auto" w:sz="4" w:space="0"/>
              <w:right w:val="outset" w:color="auto" w:sz="6" w:space="0"/>
            </w:tcBorders>
            <w:noWrap/>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86" w:type="pct"/>
            <w:vMerge w:val="continue"/>
            <w:tcBorders>
              <w:top w:val="single" w:color="auto" w:sz="4" w:space="0"/>
              <w:left w:val="outset" w:color="auto" w:sz="6" w:space="0"/>
              <w:bottom w:val="single" w:color="auto" w:sz="4"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left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outset" w:color="auto" w:sz="6" w:space="0"/>
              <w:left w:val="outset" w:color="auto" w:sz="6" w:space="0"/>
              <w:bottom w:val="outset" w:color="auto" w:sz="6" w:space="0"/>
              <w:right w:val="outset" w:color="auto" w:sz="6" w:space="0"/>
            </w:tcBorders>
            <w:noWrap/>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工程结算移交</w:t>
            </w:r>
          </w:p>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3分</w:t>
            </w:r>
            <w:r>
              <w:rPr>
                <w:rFonts w:hint="eastAsia" w:ascii="仿宋" w:hAnsi="仿宋" w:eastAsia="仿宋" w:cs="仿宋"/>
                <w:color w:val="auto"/>
                <w:sz w:val="24"/>
                <w:szCs w:val="24"/>
                <w:highlight w:val="none"/>
                <w:lang w:eastAsia="zh-CN"/>
              </w:rPr>
              <w:t>）</w:t>
            </w:r>
          </w:p>
        </w:tc>
        <w:tc>
          <w:tcPr>
            <w:tcW w:w="2517" w:type="pct"/>
            <w:tcBorders>
              <w:top w:val="outset" w:color="auto" w:sz="6" w:space="0"/>
              <w:left w:val="outset" w:color="auto" w:sz="6" w:space="0"/>
              <w:bottom w:val="single" w:color="auto" w:sz="4" w:space="0"/>
              <w:right w:val="outset" w:color="auto" w:sz="6" w:space="0"/>
            </w:tcBorders>
            <w:noWrap/>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工程结算资料移交方案完整、及时，科学合理完全符合相关规定得2-3分；</w:t>
            </w:r>
          </w:p>
          <w:p>
            <w:pPr>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工程结算资料移交方案较完整、及时、合理符合相关规定得1-2分；</w:t>
            </w:r>
          </w:p>
        </w:tc>
        <w:tc>
          <w:tcPr>
            <w:tcW w:w="568" w:type="pct"/>
            <w:gridSpan w:val="2"/>
            <w:tcBorders>
              <w:top w:val="single" w:color="auto" w:sz="4" w:space="0"/>
              <w:left w:val="outset" w:color="auto" w:sz="6" w:space="0"/>
              <w:bottom w:val="single" w:color="auto" w:sz="4"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757" w:hRule="atLeast"/>
          <w:jc w:val="center"/>
        </w:trPr>
        <w:tc>
          <w:tcPr>
            <w:tcW w:w="286" w:type="pct"/>
            <w:vMerge w:val="continue"/>
            <w:tcBorders>
              <w:top w:val="single" w:color="auto" w:sz="4" w:space="0"/>
              <w:left w:val="outset" w:color="auto" w:sz="6" w:space="0"/>
              <w:bottom w:val="single" w:color="auto" w:sz="4"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vMerge w:val="continue"/>
            <w:tcBorders>
              <w:left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1071" w:type="pct"/>
            <w:tcBorders>
              <w:top w:val="outset" w:color="auto" w:sz="6" w:space="0"/>
              <w:left w:val="outset" w:color="auto" w:sz="6" w:space="0"/>
              <w:bottom w:val="outset" w:color="auto" w:sz="6" w:space="0"/>
              <w:right w:val="outset" w:color="auto" w:sz="6" w:space="0"/>
            </w:tcBorders>
            <w:noWrap/>
            <w:vAlign w:val="center"/>
          </w:tcPr>
          <w:p>
            <w:pPr>
              <w:ind w:left="218" w:leftChars="104"/>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环保和节能</w:t>
            </w:r>
          </w:p>
          <w:p>
            <w:pPr>
              <w:ind w:left="218" w:leftChars="104"/>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（2分）</w:t>
            </w:r>
          </w:p>
        </w:tc>
        <w:tc>
          <w:tcPr>
            <w:tcW w:w="2517" w:type="pct"/>
            <w:tcBorders>
              <w:top w:val="outset" w:color="auto" w:sz="6" w:space="0"/>
              <w:left w:val="outset" w:color="auto" w:sz="6" w:space="0"/>
              <w:bottom w:val="single" w:color="auto" w:sz="4" w:space="0"/>
              <w:right w:val="outset" w:color="auto" w:sz="6" w:space="0"/>
            </w:tcBorders>
            <w:noWrap/>
            <w:vAlign w:val="center"/>
          </w:tcPr>
          <w:p>
            <w:pPr>
              <w:ind w:left="17" w:hanging="16" w:hangingChars="7"/>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投标产品同时具有环保认证和节能认证书的，得2分； 具有1项认证的，得1分；未提供不得分。</w:t>
            </w:r>
          </w:p>
          <w:p>
            <w:pPr>
              <w:ind w:firstLine="240" w:firstLineChars="1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依据国家确定的认证机构出具的、处于有效期之内的节能产品、环境标志产品认证证书，对获得证书的产品给予加分。</w:t>
            </w:r>
          </w:p>
        </w:tc>
        <w:tc>
          <w:tcPr>
            <w:tcW w:w="568" w:type="pct"/>
            <w:gridSpan w:val="2"/>
            <w:tcBorders>
              <w:top w:val="single" w:color="auto" w:sz="4" w:space="0"/>
              <w:left w:val="outset" w:color="auto" w:sz="6" w:space="0"/>
              <w:bottom w:val="single" w:color="auto" w:sz="4"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39" w:hRule="atLeast"/>
          <w:jc w:val="center"/>
        </w:trPr>
        <w:tc>
          <w:tcPr>
            <w:tcW w:w="286" w:type="pct"/>
            <w:vMerge w:val="restart"/>
            <w:tcBorders>
              <w:top w:val="single" w:color="auto" w:sz="4" w:space="0"/>
              <w:left w:val="outset" w:color="auto" w:sz="6" w:space="0"/>
              <w:bottom w:val="single" w:color="auto" w:sz="4" w:space="0"/>
              <w:right w:val="outset" w:color="auto" w:sz="6" w:space="0"/>
            </w:tcBorders>
            <w:noWrap/>
            <w:vAlign w:val="center"/>
          </w:tcPr>
          <w:p>
            <w:pPr>
              <w:jc w:val="center"/>
              <w:rPr>
                <w:rFonts w:ascii="仿宋" w:hAnsi="仿宋" w:eastAsia="仿宋" w:cs="仿宋"/>
                <w:color w:val="auto"/>
                <w:sz w:val="24"/>
                <w:szCs w:val="24"/>
                <w:highlight w:val="none"/>
              </w:rPr>
            </w:pPr>
          </w:p>
        </w:tc>
        <w:tc>
          <w:tcPr>
            <w:tcW w:w="555" w:type="pct"/>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合计</w:t>
            </w:r>
          </w:p>
        </w:tc>
        <w:tc>
          <w:tcPr>
            <w:tcW w:w="1071" w:type="pct"/>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2517" w:type="pct"/>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p>
        </w:tc>
        <w:tc>
          <w:tcPr>
            <w:tcW w:w="568" w:type="pct"/>
            <w:gridSpan w:val="2"/>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100%</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496" w:hRule="atLeast"/>
          <w:jc w:val="center"/>
        </w:trPr>
        <w:tc>
          <w:tcPr>
            <w:tcW w:w="286" w:type="pct"/>
            <w:vMerge w:val="continue"/>
            <w:tcBorders>
              <w:top w:val="single" w:color="auto" w:sz="4" w:space="0"/>
              <w:left w:val="outset" w:color="auto" w:sz="6" w:space="0"/>
              <w:bottom w:val="single" w:color="auto" w:sz="4" w:space="0"/>
              <w:right w:val="outset" w:color="auto" w:sz="6" w:space="0"/>
            </w:tcBorders>
            <w:noWrap/>
            <w:vAlign w:val="center"/>
          </w:tcPr>
          <w:p>
            <w:pPr>
              <w:jc w:val="center"/>
              <w:rPr>
                <w:rFonts w:ascii="仿宋" w:hAnsi="仿宋" w:eastAsia="仿宋" w:cs="仿宋"/>
                <w:color w:val="auto"/>
                <w:sz w:val="24"/>
                <w:szCs w:val="24"/>
                <w:highlight w:val="none"/>
              </w:rPr>
            </w:pPr>
          </w:p>
        </w:tc>
        <w:tc>
          <w:tcPr>
            <w:tcW w:w="4713" w:type="pct"/>
            <w:gridSpan w:val="5"/>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注：评分分值计算保留小数点后两位，小数点后第三位“四舍五入”</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281" w:hRule="atLeast"/>
          <w:jc w:val="center"/>
        </w:trPr>
        <w:tc>
          <w:tcPr>
            <w:tcW w:w="842" w:type="pct"/>
            <w:gridSpan w:val="2"/>
            <w:tcBorders>
              <w:top w:val="outset" w:color="auto" w:sz="6" w:space="0"/>
              <w:left w:val="outset" w:color="auto" w:sz="6" w:space="0"/>
              <w:bottom w:val="outset" w:color="auto" w:sz="6" w:space="0"/>
              <w:right w:val="outset" w:color="auto" w:sz="6" w:space="0"/>
            </w:tcBorders>
            <w:noWrap/>
            <w:vAlign w:val="center"/>
          </w:tcPr>
          <w:p>
            <w:pPr>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废标条款</w:t>
            </w:r>
          </w:p>
        </w:tc>
        <w:tc>
          <w:tcPr>
            <w:tcW w:w="4157" w:type="pct"/>
            <w:gridSpan w:val="4"/>
            <w:tcBorders>
              <w:top w:val="outset" w:color="auto" w:sz="6" w:space="0"/>
              <w:left w:val="outset" w:color="auto" w:sz="6" w:space="0"/>
              <w:bottom w:val="outset" w:color="auto" w:sz="6" w:space="0"/>
              <w:right w:val="outset" w:color="auto" w:sz="6" w:space="0"/>
            </w:tcBorders>
            <w:noWrap/>
            <w:vAlign w:val="center"/>
          </w:tcPr>
          <w:p>
            <w:pPr>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 未按照竞争性磋商文件的规定提交投标保证金的</w:t>
            </w:r>
          </w:p>
          <w:p>
            <w:pPr>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 投标文件未按竞争性磋商文件要求签署、盖章的</w:t>
            </w:r>
          </w:p>
          <w:p>
            <w:pPr>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(3) 不具备竞争性磋商文件中规定的资格要求</w:t>
            </w:r>
          </w:p>
          <w:p>
            <w:pPr>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(4) 报价超过竞争性磋商文件中规定的预算金额或者最高限价的</w:t>
            </w:r>
          </w:p>
          <w:p>
            <w:pPr>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(5) 投标文件含有采购人不能接受的附加条件的</w:t>
            </w:r>
          </w:p>
          <w:p>
            <w:pPr>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 法律、法规和竞争性磋商文件规定的其他无效情形</w:t>
            </w:r>
          </w:p>
        </w:tc>
      </w:tr>
    </w:tbl>
    <w:p>
      <w:pPr>
        <w:spacing w:line="360" w:lineRule="auto"/>
        <w:ind w:firstLine="480" w:firstLineChars="200"/>
        <w:rPr>
          <w:rFonts w:ascii="仿宋" w:hAnsi="仿宋" w:eastAsia="仿宋" w:cs="仿宋"/>
          <w:color w:val="auto"/>
          <w:sz w:val="24"/>
          <w:szCs w:val="24"/>
          <w:highlight w:val="none"/>
        </w:rPr>
      </w:pPr>
    </w:p>
    <w:p>
      <w:pPr>
        <w:spacing w:line="360" w:lineRule="auto"/>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本项目评审方法见竞争性磋商文件第二部分“投标人须知前附表”中项的规定。</w:t>
      </w:r>
      <w:r>
        <w:rPr>
          <w:rFonts w:hint="eastAsia" w:ascii="仿宋" w:hAnsi="仿宋" w:eastAsia="仿宋" w:cs="仿宋"/>
          <w:color w:val="auto"/>
          <w:kern w:val="0"/>
          <w:sz w:val="24"/>
          <w:szCs w:val="24"/>
          <w:highlight w:val="none"/>
        </w:rPr>
        <w:t>如果采用综合评分法，评分细则如下：</w:t>
      </w:r>
    </w:p>
    <w:p>
      <w:pPr>
        <w:spacing w:line="360" w:lineRule="auto"/>
        <w:ind w:firstLine="480" w:firstLineChars="200"/>
        <w:rPr>
          <w:rFonts w:ascii="仿宋" w:hAnsi="仿宋" w:eastAsia="仿宋" w:cs="仿宋"/>
          <w:color w:val="auto"/>
          <w:sz w:val="24"/>
          <w:szCs w:val="24"/>
          <w:highlight w:val="none"/>
        </w:rPr>
      </w:pPr>
      <w:bookmarkStart w:id="160" w:name="EBa48645eff2ee4582a36f886367fb689c"/>
      <w:bookmarkEnd w:id="160"/>
      <w:r>
        <w:rPr>
          <w:rFonts w:hint="eastAsia" w:ascii="仿宋" w:hAnsi="仿宋" w:eastAsia="仿宋" w:cs="仿宋"/>
          <w:color w:val="auto"/>
          <w:sz w:val="24"/>
          <w:szCs w:val="24"/>
          <w:highlight w:val="none"/>
        </w:rPr>
        <w:t>1、经评标委员会认可小、微企业产品和产品报价后，以价格扣除后的投标人报价作为评审依据；</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评标委员会应当执行连续评标的原则完成全部评标工作。只有发生不可抗力导致评标工作无法继续时，评标活动方可暂停。发生评标暂停情况时，评标委员会应当封存全部投标文件和评标记录，待不可抗力的影响结束且具备继续评标的条件时，由原评标委员会继续评标；</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除非发生下列情况之一，评标委员会成员不得在评标中途更换：(1)因不可抗拒的客观原因，不能到场或需在评标中途退出评标活动；(2)根据法律法规规定，某个或某几个评标委员会成员需要回避。退出评标的评标委员会成员，其已完成的评标行为无效。根据本竞争性磋商文件规定的评标委员会成员产生方式另行确定替代者进行评标；</w:t>
      </w:r>
    </w:p>
    <w:p>
      <w:pPr>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4、在任何评标环节中，需评标委员会就某项评审结论做出表决的，由评标委员会全体成员按照少数服从多数的原则，以记名投票方式表决。</w:t>
      </w:r>
    </w:p>
    <w:p>
      <w:pPr>
        <w:rPr>
          <w:rFonts w:ascii="仿宋" w:hAnsi="仿宋" w:eastAsia="仿宋" w:cs="仿宋"/>
          <w:color w:val="auto"/>
          <w:sz w:val="24"/>
          <w:szCs w:val="24"/>
          <w:highlight w:val="none"/>
        </w:rPr>
      </w:pPr>
      <w:bookmarkStart w:id="161" w:name="EBeba6c8bebe3f4c21be55c1d97db8c8aa"/>
      <w:bookmarkEnd w:id="161"/>
      <w:bookmarkStart w:id="162" w:name="EB4893741502564d04b2d404c47c5fa523"/>
      <w:bookmarkEnd w:id="162"/>
    </w:p>
    <w:p>
      <w:pPr>
        <w:rPr>
          <w:rFonts w:ascii="仿宋" w:hAnsi="仿宋" w:eastAsia="仿宋" w:cs="仿宋"/>
          <w:color w:val="auto"/>
          <w:sz w:val="24"/>
          <w:szCs w:val="24"/>
          <w:highlight w:val="none"/>
        </w:rPr>
      </w:pPr>
      <w:bookmarkStart w:id="163" w:name="EBd94eec444fd142b58a162bbb861e5405"/>
      <w:bookmarkEnd w:id="163"/>
    </w:p>
    <w:p>
      <w:pPr>
        <w:pStyle w:val="9"/>
        <w:tabs>
          <w:tab w:val="left" w:pos="0"/>
        </w:tabs>
        <w:spacing w:line="360" w:lineRule="auto"/>
        <w:ind w:left="0" w:leftChars="0" w:firstLine="0" w:firstLineChars="0"/>
        <w:jc w:val="center"/>
        <w:outlineLvl w:val="0"/>
        <w:rPr>
          <w:rFonts w:ascii="仿宋" w:hAnsi="仿宋" w:eastAsia="仿宋" w:cs="仿宋"/>
          <w:b/>
          <w:color w:val="auto"/>
          <w:szCs w:val="24"/>
          <w:highlight w:val="none"/>
        </w:rPr>
      </w:pPr>
      <w:r>
        <w:rPr>
          <w:rFonts w:hint="eastAsia" w:ascii="仿宋" w:hAnsi="仿宋" w:eastAsia="仿宋" w:cs="仿宋"/>
          <w:color w:val="auto"/>
          <w:szCs w:val="24"/>
          <w:highlight w:val="none"/>
        </w:rPr>
        <w:br w:type="page"/>
      </w:r>
      <w:bookmarkStart w:id="164" w:name="_Toc256000086"/>
      <w:bookmarkStart w:id="165" w:name="_Toc16045"/>
      <w:bookmarkStart w:id="166" w:name="_Toc503463635"/>
      <w:r>
        <w:rPr>
          <w:rFonts w:hint="eastAsia" w:ascii="仿宋" w:hAnsi="仿宋" w:eastAsia="仿宋" w:cs="仿宋"/>
          <w:b/>
          <w:color w:val="auto"/>
          <w:sz w:val="36"/>
          <w:szCs w:val="36"/>
          <w:highlight w:val="none"/>
        </w:rPr>
        <w:t>第五部分   政府采购合同</w:t>
      </w:r>
      <w:bookmarkEnd w:id="164"/>
      <w:bookmarkEnd w:id="165"/>
      <w:bookmarkEnd w:id="166"/>
    </w:p>
    <w:p>
      <w:pPr>
        <w:rPr>
          <w:rFonts w:ascii="仿宋" w:hAnsi="仿宋" w:eastAsia="仿宋" w:cs="仿宋"/>
          <w:color w:val="auto"/>
          <w:sz w:val="24"/>
          <w:szCs w:val="24"/>
          <w:highlight w:val="none"/>
        </w:rPr>
      </w:pPr>
      <w:bookmarkStart w:id="167" w:name="EB835308aa585640bcbdb7859c5d572516"/>
    </w:p>
    <w:bookmarkEnd w:id="167"/>
    <w:p>
      <w:pPr>
        <w:pStyle w:val="183"/>
        <w:keepNext w:val="0"/>
        <w:keepLines w:val="0"/>
        <w:widowControl/>
        <w:adjustRightInd w:val="0"/>
        <w:snapToGrid w:val="0"/>
        <w:spacing w:before="0" w:after="50" w:line="360" w:lineRule="auto"/>
        <w:ind w:right="-512" w:rightChars="-244"/>
        <w:jc w:val="center"/>
        <w:outlineLvl w:val="1"/>
        <w:rPr>
          <w:rFonts w:ascii="仿宋" w:hAnsi="仿宋" w:eastAsia="仿宋" w:cs="仿宋"/>
          <w:color w:val="auto"/>
          <w:highlight w:val="none"/>
        </w:rPr>
      </w:pPr>
      <w:bookmarkStart w:id="168" w:name="_Toc30041_WPSOffice_Level2"/>
      <w:bookmarkStart w:id="169" w:name="_Toc22646"/>
      <w:bookmarkStart w:id="170" w:name="_Toc20171709"/>
      <w:r>
        <w:rPr>
          <w:rFonts w:hint="eastAsia" w:ascii="仿宋" w:hAnsi="仿宋" w:eastAsia="仿宋" w:cs="仿宋"/>
          <w:color w:val="auto"/>
          <w:highlight w:val="none"/>
        </w:rPr>
        <w:t>合同条款及格式</w:t>
      </w:r>
    </w:p>
    <w:p>
      <w:pPr>
        <w:pStyle w:val="183"/>
        <w:keepNext w:val="0"/>
        <w:keepLines w:val="0"/>
        <w:widowControl/>
        <w:adjustRightInd w:val="0"/>
        <w:snapToGrid w:val="0"/>
        <w:spacing w:before="0" w:after="50" w:line="360" w:lineRule="auto"/>
        <w:ind w:right="-512" w:rightChars="-244"/>
        <w:jc w:val="center"/>
        <w:outlineLvl w:val="1"/>
        <w:rPr>
          <w:rFonts w:ascii="仿宋" w:hAnsi="仿宋" w:eastAsia="仿宋" w:cs="仿宋"/>
          <w:color w:val="auto"/>
          <w:highlight w:val="none"/>
        </w:rPr>
      </w:pPr>
      <w:r>
        <w:rPr>
          <w:rFonts w:hint="eastAsia" w:ascii="仿宋" w:hAnsi="仿宋" w:eastAsia="仿宋" w:cs="仿宋"/>
          <w:color w:val="auto"/>
          <w:highlight w:val="none"/>
        </w:rPr>
        <w:t>第一部分 合同协议书</w:t>
      </w:r>
      <w:bookmarkEnd w:id="168"/>
      <w:bookmarkEnd w:id="169"/>
      <w:bookmarkEnd w:id="170"/>
    </w:p>
    <w:p>
      <w:pPr>
        <w:spacing w:after="120"/>
        <w:ind w:right="-512" w:rightChars="-244" w:firstLine="60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发包人（全称）：</w:t>
      </w:r>
      <w:r>
        <w:rPr>
          <w:rFonts w:hint="eastAsia" w:ascii="仿宋" w:hAnsi="仿宋" w:eastAsia="仿宋" w:cs="仿宋"/>
          <w:color w:val="auto"/>
          <w:sz w:val="24"/>
          <w:szCs w:val="24"/>
          <w:highlight w:val="none"/>
          <w:u w:val="single"/>
        </w:rPr>
        <w:t xml:space="preserve"> 石河子大学           </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承包人（全称）：</w:t>
      </w:r>
      <w:r>
        <w:rPr>
          <w:rFonts w:hint="eastAsia" w:ascii="仿宋" w:hAnsi="仿宋" w:eastAsia="仿宋" w:cs="仿宋"/>
          <w:color w:val="auto"/>
          <w:sz w:val="24"/>
          <w:szCs w:val="24"/>
          <w:highlight w:val="none"/>
          <w:u w:val="single"/>
        </w:rPr>
        <w:t xml:space="preserve">                                    </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根据《中华人民共和国民法典》、《中华人民共和国建筑法》及有关法律规定，遵循平等、自愿、公平和诚实信用的原则，双方就</w:t>
      </w:r>
      <w:r>
        <w:rPr>
          <w:rFonts w:hint="eastAsia" w:ascii="仿宋" w:hAnsi="仿宋" w:eastAsia="仿宋" w:cs="仿宋"/>
          <w:color w:val="auto"/>
          <w:sz w:val="24"/>
          <w:szCs w:val="24"/>
          <w:highlight w:val="none"/>
          <w:u w:val="single"/>
        </w:rPr>
        <w:t xml:space="preserve"> 石河子大学会泽食府餐厅二楼装饰装修工程总承包 </w:t>
      </w:r>
      <w:r>
        <w:rPr>
          <w:rFonts w:hint="eastAsia" w:ascii="仿宋" w:hAnsi="仿宋" w:eastAsia="仿宋" w:cs="仿宋"/>
          <w:color w:val="auto"/>
          <w:sz w:val="24"/>
          <w:szCs w:val="24"/>
          <w:highlight w:val="none"/>
        </w:rPr>
        <w:t>项目的工程总承包及有关事项协商一致，共同达成如下协议：</w:t>
      </w:r>
    </w:p>
    <w:p>
      <w:pPr>
        <w:pStyle w:val="185"/>
        <w:spacing w:after="120"/>
        <w:ind w:right="-512" w:rightChars="-244"/>
        <w:rPr>
          <w:rFonts w:ascii="仿宋" w:hAnsi="仿宋" w:eastAsia="仿宋" w:cs="仿宋"/>
          <w:b w:val="0"/>
          <w:color w:val="auto"/>
          <w:szCs w:val="24"/>
          <w:highlight w:val="none"/>
        </w:rPr>
      </w:pPr>
      <w:bookmarkStart w:id="171" w:name="_Toc16301_WPSOffice_Level3"/>
      <w:bookmarkStart w:id="172" w:name="_Toc20171710"/>
      <w:bookmarkStart w:id="173" w:name="_Toc19422"/>
      <w:r>
        <w:rPr>
          <w:rFonts w:hint="eastAsia" w:ascii="仿宋" w:hAnsi="仿宋" w:eastAsia="仿宋" w:cs="仿宋"/>
          <w:b w:val="0"/>
          <w:color w:val="auto"/>
          <w:szCs w:val="24"/>
          <w:highlight w:val="none"/>
        </w:rPr>
        <w:t>工程概况</w:t>
      </w:r>
      <w:bookmarkEnd w:id="171"/>
      <w:bookmarkEnd w:id="172"/>
      <w:bookmarkEnd w:id="173"/>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 工程名称：</w:t>
      </w:r>
      <w:r>
        <w:rPr>
          <w:rFonts w:hint="eastAsia" w:ascii="仿宋" w:hAnsi="仿宋" w:eastAsia="仿宋" w:cs="仿宋"/>
          <w:color w:val="auto"/>
          <w:sz w:val="24"/>
          <w:szCs w:val="24"/>
          <w:highlight w:val="none"/>
          <w:u w:val="single"/>
        </w:rPr>
        <w:t xml:space="preserve"> 石河子大学会泽食府餐厅二楼装饰装修工程总承包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 工程地点：</w:t>
      </w:r>
      <w:r>
        <w:rPr>
          <w:rFonts w:hint="eastAsia" w:ascii="仿宋" w:hAnsi="仿宋" w:eastAsia="仿宋" w:cs="仿宋"/>
          <w:color w:val="auto"/>
          <w:sz w:val="24"/>
          <w:szCs w:val="24"/>
          <w:highlight w:val="none"/>
          <w:u w:val="single"/>
        </w:rPr>
        <w:t xml:space="preserve"> 石河子大学会泽食府二楼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 工程审批、核准或备案文号：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 资金来源：</w:t>
      </w:r>
      <w:r>
        <w:rPr>
          <w:rFonts w:hint="eastAsia" w:ascii="仿宋" w:hAnsi="仿宋" w:eastAsia="仿宋" w:cs="仿宋"/>
          <w:color w:val="auto"/>
          <w:sz w:val="24"/>
          <w:szCs w:val="24"/>
          <w:highlight w:val="none"/>
          <w:u w:val="single"/>
        </w:rPr>
        <w:t xml:space="preserve"> 饮食中心自筹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 工程内容及规模：</w:t>
      </w:r>
      <w:r>
        <w:rPr>
          <w:rFonts w:hint="eastAsia" w:ascii="仿宋" w:hAnsi="仿宋" w:eastAsia="仿宋" w:cs="仿宋"/>
          <w:color w:val="auto"/>
          <w:sz w:val="24"/>
          <w:szCs w:val="24"/>
          <w:highlight w:val="none"/>
          <w:u w:val="single"/>
        </w:rPr>
        <w:t xml:space="preserve">  会泽食府二楼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 工程承包范围：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pStyle w:val="185"/>
        <w:spacing w:after="120"/>
        <w:ind w:left="0" w:right="-512" w:rightChars="-244"/>
        <w:rPr>
          <w:rFonts w:ascii="仿宋" w:hAnsi="仿宋" w:eastAsia="仿宋" w:cs="仿宋"/>
          <w:b w:val="0"/>
          <w:color w:val="auto"/>
          <w:szCs w:val="24"/>
          <w:highlight w:val="none"/>
        </w:rPr>
      </w:pPr>
      <w:bookmarkStart w:id="174" w:name="_Toc20171711"/>
      <w:bookmarkStart w:id="175" w:name="_Toc15362_WPSOffice_Level3"/>
      <w:bookmarkStart w:id="176" w:name="_Toc11864"/>
      <w:r>
        <w:rPr>
          <w:rFonts w:hint="eastAsia" w:ascii="仿宋" w:hAnsi="仿宋" w:eastAsia="仿宋" w:cs="仿宋"/>
          <w:b w:val="0"/>
          <w:color w:val="auto"/>
          <w:szCs w:val="24"/>
          <w:highlight w:val="none"/>
        </w:rPr>
        <w:t>合同工期</w:t>
      </w:r>
      <w:bookmarkEnd w:id="174"/>
      <w:bookmarkEnd w:id="175"/>
      <w:bookmarkEnd w:id="176"/>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计划开始工作日期：</w:t>
      </w:r>
      <w:r>
        <w:rPr>
          <w:rFonts w:hint="eastAsia" w:ascii="仿宋" w:hAnsi="仿宋" w:eastAsia="仿宋" w:cs="仿宋"/>
          <w:color w:val="auto"/>
          <w:sz w:val="24"/>
          <w:szCs w:val="24"/>
          <w:highlight w:val="none"/>
          <w:u w:val="single"/>
        </w:rPr>
        <w:t xml:space="preserve">2022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计划开始施工日期：</w:t>
      </w:r>
      <w:r>
        <w:rPr>
          <w:rFonts w:hint="eastAsia" w:ascii="仿宋" w:hAnsi="仿宋" w:eastAsia="仿宋" w:cs="仿宋"/>
          <w:color w:val="auto"/>
          <w:sz w:val="24"/>
          <w:szCs w:val="24"/>
          <w:highlight w:val="none"/>
          <w:u w:val="single"/>
        </w:rPr>
        <w:t xml:space="preserve">2022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工期总日历天数：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天，工期总日历天数与根据前述计划日期计算的工期天数不一致的，以工期总日历天数为准。</w:t>
      </w:r>
    </w:p>
    <w:p>
      <w:pPr>
        <w:pStyle w:val="185"/>
        <w:spacing w:after="120"/>
        <w:ind w:left="0" w:right="-512" w:rightChars="-244"/>
        <w:rPr>
          <w:rFonts w:ascii="仿宋" w:hAnsi="仿宋" w:eastAsia="仿宋" w:cs="仿宋"/>
          <w:b w:val="0"/>
          <w:color w:val="auto"/>
          <w:szCs w:val="24"/>
          <w:highlight w:val="none"/>
        </w:rPr>
      </w:pPr>
      <w:bookmarkStart w:id="177" w:name="_Toc29314_WPSOffice_Level3"/>
      <w:bookmarkStart w:id="178" w:name="_Toc20171712"/>
      <w:bookmarkStart w:id="179" w:name="_Toc12360"/>
      <w:r>
        <w:rPr>
          <w:rFonts w:hint="eastAsia" w:ascii="仿宋" w:hAnsi="仿宋" w:eastAsia="仿宋" w:cs="仿宋"/>
          <w:b w:val="0"/>
          <w:color w:val="auto"/>
          <w:szCs w:val="24"/>
          <w:highlight w:val="none"/>
        </w:rPr>
        <w:t>质量标准</w:t>
      </w:r>
      <w:bookmarkEnd w:id="177"/>
      <w:bookmarkEnd w:id="178"/>
      <w:bookmarkEnd w:id="179"/>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工程质量标准：</w:t>
      </w:r>
      <w:r>
        <w:rPr>
          <w:rFonts w:hint="eastAsia" w:ascii="仿宋" w:hAnsi="仿宋" w:eastAsia="仿宋" w:cs="仿宋"/>
          <w:color w:val="auto"/>
          <w:sz w:val="24"/>
          <w:szCs w:val="24"/>
          <w:highlight w:val="none"/>
          <w:u w:val="single"/>
        </w:rPr>
        <w:t xml:space="preserve">   合格           </w:t>
      </w:r>
      <w:r>
        <w:rPr>
          <w:rFonts w:hint="eastAsia" w:ascii="仿宋" w:hAnsi="仿宋" w:eastAsia="仿宋" w:cs="仿宋"/>
          <w:color w:val="auto"/>
          <w:sz w:val="24"/>
          <w:szCs w:val="24"/>
          <w:highlight w:val="none"/>
        </w:rPr>
        <w:t>。</w:t>
      </w:r>
    </w:p>
    <w:p>
      <w:pPr>
        <w:pStyle w:val="185"/>
        <w:spacing w:after="120"/>
        <w:ind w:left="0" w:right="-512" w:rightChars="-244"/>
        <w:rPr>
          <w:rFonts w:ascii="仿宋" w:hAnsi="仿宋" w:eastAsia="仿宋" w:cs="仿宋"/>
          <w:b w:val="0"/>
          <w:color w:val="auto"/>
          <w:szCs w:val="24"/>
          <w:highlight w:val="none"/>
        </w:rPr>
      </w:pPr>
      <w:bookmarkStart w:id="180" w:name="_Toc20497"/>
      <w:bookmarkStart w:id="181" w:name="_Toc20171713"/>
      <w:bookmarkStart w:id="182" w:name="_Toc21559_WPSOffice_Level3"/>
      <w:r>
        <w:rPr>
          <w:rFonts w:hint="eastAsia" w:ascii="仿宋" w:hAnsi="仿宋" w:eastAsia="仿宋" w:cs="仿宋"/>
          <w:b w:val="0"/>
          <w:color w:val="auto"/>
          <w:szCs w:val="24"/>
          <w:highlight w:val="none"/>
        </w:rPr>
        <w:t>签约合同价与合同价格形式</w:t>
      </w:r>
      <w:bookmarkEnd w:id="180"/>
      <w:bookmarkEnd w:id="181"/>
      <w:bookmarkEnd w:id="182"/>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 签约合同价（含税）为：</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人民币（大写)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具体构成详见价格清单。其中： </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（1）设计费（含税）：</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人民币（大写)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元）；适用税率：</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%，税金为人民币（大写)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元）； </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（2）设备购置费（含税）：</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人民币（大写)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元）；适用税率：</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%，税金为人民币（大写)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元）； </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（3）建筑安装工程费（含税）：</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人民币（大写)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元）；适用税率：</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%，税金为人民币（大写)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元）； </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（4）暂估价（含税）：</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人民币（大写)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（5）暂列金额（含税）：</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人民币（大写)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（6）双方约定的其他费用（含税）：</w:t>
      </w:r>
    </w:p>
    <w:p>
      <w:pPr>
        <w:spacing w:after="120"/>
        <w:ind w:right="-512" w:rightChars="-244" w:firstLine="6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人民币（大写)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元）；适用税率：</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%，税金为人民币（大写)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 合同价格形式：</w:t>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合同价格形式为总价合同，除根据合同约定的在工程实施过程中需进行增减的款项外，合同价格不予调整，但合同当事人另有约定的除外。</w:t>
      </w:r>
    </w:p>
    <w:p>
      <w:pPr>
        <w:kinsoku w:val="0"/>
        <w:spacing w:after="120"/>
        <w:ind w:left="263" w:leftChars="125" w:right="-512" w:rightChars="-244" w:firstLine="240" w:firstLineChars="1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合同当事人对合同价格形式的其他约定：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pStyle w:val="185"/>
        <w:spacing w:after="120"/>
        <w:ind w:left="0" w:right="-512" w:rightChars="-244"/>
        <w:rPr>
          <w:rFonts w:ascii="仿宋" w:hAnsi="仿宋" w:eastAsia="仿宋" w:cs="仿宋"/>
          <w:b w:val="0"/>
          <w:color w:val="auto"/>
          <w:szCs w:val="24"/>
          <w:highlight w:val="none"/>
        </w:rPr>
      </w:pPr>
      <w:bookmarkStart w:id="183" w:name="_Toc23256"/>
      <w:bookmarkStart w:id="184" w:name="_Toc18538_WPSOffice_Level3"/>
      <w:bookmarkStart w:id="185" w:name="_Toc20171714"/>
      <w:r>
        <w:rPr>
          <w:rFonts w:hint="eastAsia" w:ascii="仿宋" w:hAnsi="仿宋" w:eastAsia="仿宋" w:cs="仿宋"/>
          <w:b w:val="0"/>
          <w:color w:val="auto"/>
          <w:szCs w:val="24"/>
          <w:highlight w:val="none"/>
        </w:rPr>
        <w:t>工程总承包项目经理</w:t>
      </w:r>
      <w:bookmarkEnd w:id="183"/>
      <w:bookmarkEnd w:id="184"/>
      <w:bookmarkEnd w:id="185"/>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工程总承包项目经理：</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pStyle w:val="185"/>
        <w:spacing w:after="120"/>
        <w:ind w:left="0" w:right="-512" w:rightChars="-244"/>
        <w:rPr>
          <w:rFonts w:ascii="仿宋" w:hAnsi="仿宋" w:eastAsia="仿宋" w:cs="仿宋"/>
          <w:b w:val="0"/>
          <w:color w:val="auto"/>
          <w:szCs w:val="24"/>
          <w:highlight w:val="none"/>
        </w:rPr>
      </w:pPr>
      <w:bookmarkStart w:id="186" w:name="_Toc25873_WPSOffice_Level3"/>
      <w:bookmarkStart w:id="187" w:name="_Toc20171715"/>
      <w:bookmarkStart w:id="188" w:name="_Toc11086"/>
      <w:r>
        <w:rPr>
          <w:rFonts w:hint="eastAsia" w:ascii="仿宋" w:hAnsi="仿宋" w:eastAsia="仿宋" w:cs="仿宋"/>
          <w:b w:val="0"/>
          <w:color w:val="auto"/>
          <w:szCs w:val="24"/>
          <w:highlight w:val="none"/>
        </w:rPr>
        <w:t>合同文件构成</w:t>
      </w:r>
      <w:bookmarkEnd w:id="186"/>
      <w:bookmarkEnd w:id="187"/>
      <w:bookmarkEnd w:id="188"/>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本协议书与下列文件一起构成合同文件： </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（1）中标通知书（如果有）；</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（2）投标函及投标函附录（如果有）；</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（3）专用合同条件及其附件；</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（4）通用合同条件；</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（5）《发包人要求》；</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（6）承包人建议书； </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（7）价格清单；</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（8）双方约定的其他合同文件。</w:t>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上述各项合同文件包括双方就该项合同文件所作出的补充和修改，属于同一类内容的合同文件应以最新签署的为准。专用合同条件及其附件须经合同当事人签字或盖章。</w:t>
      </w:r>
    </w:p>
    <w:p>
      <w:pPr>
        <w:pStyle w:val="185"/>
        <w:spacing w:after="120"/>
        <w:ind w:left="0" w:right="-512" w:rightChars="-244"/>
        <w:rPr>
          <w:rFonts w:ascii="仿宋" w:hAnsi="仿宋" w:eastAsia="仿宋" w:cs="仿宋"/>
          <w:b w:val="0"/>
          <w:color w:val="auto"/>
          <w:szCs w:val="24"/>
          <w:highlight w:val="none"/>
        </w:rPr>
      </w:pPr>
      <w:bookmarkStart w:id="189" w:name="_Toc6654"/>
      <w:bookmarkStart w:id="190" w:name="_Toc20171716"/>
      <w:bookmarkStart w:id="191" w:name="_Toc5063_WPSOffice_Level3"/>
      <w:r>
        <w:rPr>
          <w:rFonts w:hint="eastAsia" w:ascii="仿宋" w:hAnsi="仿宋" w:eastAsia="仿宋" w:cs="仿宋"/>
          <w:b w:val="0"/>
          <w:color w:val="auto"/>
          <w:szCs w:val="24"/>
          <w:highlight w:val="none"/>
        </w:rPr>
        <w:t>承诺</w:t>
      </w:r>
      <w:bookmarkEnd w:id="189"/>
      <w:bookmarkEnd w:id="190"/>
      <w:bookmarkEnd w:id="191"/>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 发包人承诺按照法律规定履行项目审批手续、筹集工程建设资金并按照合同约定的期限和方式支付合同价款。</w:t>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 承包人承诺按照法律规定及合同约定组织完成工程的设计、采购和施工等工作，确保工程质量和安全，不进行转包及违法分包，并在缺陷责任期及保修期内承担相应的工程维修责任。</w:t>
      </w:r>
    </w:p>
    <w:p>
      <w:pPr>
        <w:pStyle w:val="185"/>
        <w:spacing w:after="120"/>
        <w:ind w:left="0" w:right="-512" w:rightChars="-244"/>
        <w:rPr>
          <w:rFonts w:ascii="仿宋" w:hAnsi="仿宋" w:eastAsia="仿宋" w:cs="仿宋"/>
          <w:b w:val="0"/>
          <w:color w:val="auto"/>
          <w:szCs w:val="24"/>
          <w:highlight w:val="none"/>
        </w:rPr>
      </w:pPr>
      <w:bookmarkStart w:id="192" w:name="_Toc22119"/>
      <w:bookmarkStart w:id="193" w:name="_Toc26707_WPSOffice_Level3"/>
      <w:bookmarkStart w:id="194" w:name="_Toc20171717"/>
      <w:r>
        <w:rPr>
          <w:rFonts w:hint="eastAsia" w:ascii="仿宋" w:hAnsi="仿宋" w:eastAsia="仿宋" w:cs="仿宋"/>
          <w:b w:val="0"/>
          <w:color w:val="auto"/>
          <w:szCs w:val="24"/>
          <w:highlight w:val="none"/>
        </w:rPr>
        <w:t>签订时间</w:t>
      </w:r>
      <w:bookmarkEnd w:id="192"/>
      <w:bookmarkEnd w:id="193"/>
      <w:bookmarkEnd w:id="194"/>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日签订。</w:t>
      </w:r>
    </w:p>
    <w:p>
      <w:pPr>
        <w:pStyle w:val="185"/>
        <w:spacing w:after="120"/>
        <w:ind w:left="0" w:right="-512" w:rightChars="-244"/>
        <w:rPr>
          <w:rFonts w:ascii="仿宋" w:hAnsi="仿宋" w:eastAsia="仿宋" w:cs="仿宋"/>
          <w:b w:val="0"/>
          <w:color w:val="auto"/>
          <w:szCs w:val="24"/>
          <w:highlight w:val="none"/>
        </w:rPr>
      </w:pPr>
      <w:bookmarkStart w:id="195" w:name="_Toc15514_WPSOffice_Level3"/>
      <w:bookmarkStart w:id="196" w:name="_Toc20171718"/>
      <w:bookmarkStart w:id="197" w:name="_Toc19890"/>
      <w:r>
        <w:rPr>
          <w:rFonts w:hint="eastAsia" w:ascii="仿宋" w:hAnsi="仿宋" w:eastAsia="仿宋" w:cs="仿宋"/>
          <w:b w:val="0"/>
          <w:color w:val="auto"/>
          <w:szCs w:val="24"/>
          <w:highlight w:val="none"/>
        </w:rPr>
        <w:t>签订地点</w:t>
      </w:r>
      <w:bookmarkEnd w:id="195"/>
      <w:bookmarkEnd w:id="196"/>
      <w:bookmarkEnd w:id="197"/>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本合同在</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签订。</w:t>
      </w:r>
    </w:p>
    <w:p>
      <w:pPr>
        <w:pStyle w:val="185"/>
        <w:spacing w:after="120"/>
        <w:ind w:left="0" w:right="-512" w:rightChars="-244"/>
        <w:rPr>
          <w:rFonts w:ascii="仿宋" w:hAnsi="仿宋" w:eastAsia="仿宋" w:cs="仿宋"/>
          <w:b w:val="0"/>
          <w:color w:val="auto"/>
          <w:szCs w:val="24"/>
          <w:highlight w:val="none"/>
        </w:rPr>
      </w:pPr>
      <w:bookmarkStart w:id="198" w:name="_Toc20591"/>
      <w:bookmarkStart w:id="199" w:name="_Toc11827_WPSOffice_Level3"/>
      <w:bookmarkStart w:id="200" w:name="_Toc20171719"/>
      <w:r>
        <w:rPr>
          <w:rFonts w:hint="eastAsia" w:ascii="仿宋" w:hAnsi="仿宋" w:eastAsia="仿宋" w:cs="仿宋"/>
          <w:b w:val="0"/>
          <w:color w:val="auto"/>
          <w:szCs w:val="24"/>
          <w:highlight w:val="none"/>
        </w:rPr>
        <w:t>合同生效</w:t>
      </w:r>
      <w:bookmarkEnd w:id="198"/>
      <w:bookmarkEnd w:id="199"/>
      <w:bookmarkEnd w:id="200"/>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本合同经双方签字或盖章后成立，并自</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生效。</w:t>
      </w:r>
    </w:p>
    <w:p>
      <w:pPr>
        <w:pStyle w:val="185"/>
        <w:spacing w:after="120"/>
        <w:ind w:left="0" w:right="-512" w:rightChars="-244"/>
        <w:rPr>
          <w:rFonts w:ascii="仿宋" w:hAnsi="仿宋" w:eastAsia="仿宋" w:cs="仿宋"/>
          <w:b w:val="0"/>
          <w:color w:val="auto"/>
          <w:szCs w:val="24"/>
          <w:highlight w:val="none"/>
        </w:rPr>
      </w:pPr>
      <w:bookmarkStart w:id="201" w:name="_Toc20171720"/>
      <w:bookmarkStart w:id="202" w:name="_Toc8590_WPSOffice_Level3"/>
      <w:bookmarkStart w:id="203" w:name="_Toc5804"/>
      <w:r>
        <w:rPr>
          <w:rFonts w:hint="eastAsia" w:ascii="仿宋" w:hAnsi="仿宋" w:eastAsia="仿宋" w:cs="仿宋"/>
          <w:b w:val="0"/>
          <w:color w:val="auto"/>
          <w:szCs w:val="24"/>
          <w:highlight w:val="none"/>
        </w:rPr>
        <w:t>合同份数</w:t>
      </w:r>
      <w:bookmarkEnd w:id="201"/>
      <w:bookmarkEnd w:id="202"/>
      <w:bookmarkEnd w:id="203"/>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本合同一式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份，均具有同等法律效力，发包人执</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份，承包人执</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w:t>
      </w:r>
    </w:p>
    <w:p>
      <w:pPr>
        <w:spacing w:after="120"/>
        <w:ind w:right="-512" w:rightChars="-244" w:firstLine="600"/>
        <w:rPr>
          <w:rFonts w:ascii="仿宋" w:hAnsi="仿宋" w:eastAsia="仿宋" w:cs="仿宋"/>
          <w:color w:val="auto"/>
          <w:sz w:val="24"/>
          <w:szCs w:val="24"/>
          <w:highlight w:val="none"/>
        </w:rPr>
      </w:pPr>
    </w:p>
    <w:p>
      <w:pPr>
        <w:spacing w:after="120"/>
        <w:ind w:right="-512" w:rightChars="-244" w:firstLine="600"/>
        <w:rPr>
          <w:rFonts w:ascii="仿宋" w:hAnsi="仿宋" w:eastAsia="仿宋" w:cs="仿宋"/>
          <w:color w:val="auto"/>
          <w:sz w:val="24"/>
          <w:szCs w:val="24"/>
          <w:highlight w:val="none"/>
        </w:rPr>
      </w:pPr>
    </w:p>
    <w:tbl>
      <w:tblPr>
        <w:tblStyle w:val="24"/>
        <w:tblpPr w:leftFromText="180" w:rightFromText="180" w:vertAnchor="text" w:horzAnchor="page" w:tblpX="1702" w:tblpY="1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07"/>
        <w:gridCol w:w="4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5" w:hRule="atLeast"/>
        </w:trPr>
        <w:tc>
          <w:tcPr>
            <w:tcW w:w="4507" w:type="dxa"/>
          </w:tcPr>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发包人：（公章）</w:t>
            </w:r>
          </w:p>
        </w:tc>
        <w:tc>
          <w:tcPr>
            <w:tcW w:w="4565" w:type="dxa"/>
          </w:tcPr>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承包人：（公章）</w:t>
            </w: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07" w:type="dxa"/>
          </w:tcPr>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法定代表人或其委托代理人：</w:t>
            </w: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（签字）</w:t>
            </w: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p>
        </w:tc>
        <w:tc>
          <w:tcPr>
            <w:tcW w:w="4565" w:type="dxa"/>
          </w:tcPr>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法定代表人或其委托代理人：</w:t>
            </w: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（签字）</w:t>
            </w: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07" w:type="dxa"/>
          </w:tcPr>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统一社会信用代码：</w:t>
            </w:r>
            <w:r>
              <w:rPr>
                <w:rFonts w:hint="eastAsia" w:ascii="仿宋" w:hAnsi="仿宋" w:eastAsia="仿宋" w:cs="仿宋"/>
                <w:color w:val="auto"/>
                <w:kern w:val="0"/>
                <w:szCs w:val="24"/>
                <w:highlight w:val="none"/>
                <w:u w:val="single"/>
              </w:rPr>
              <w:t xml:space="preserve">            </w:t>
            </w: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地址：</w:t>
            </w:r>
            <w:r>
              <w:rPr>
                <w:rFonts w:hint="eastAsia" w:ascii="仿宋" w:hAnsi="仿宋" w:eastAsia="仿宋" w:cs="仿宋"/>
                <w:color w:val="auto"/>
                <w:kern w:val="0"/>
                <w:szCs w:val="24"/>
                <w:highlight w:val="none"/>
                <w:u w:val="single"/>
              </w:rPr>
              <w:t xml:space="preserve">                       </w:t>
            </w: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邮政编码：</w:t>
            </w:r>
            <w:r>
              <w:rPr>
                <w:rFonts w:hint="eastAsia" w:ascii="仿宋" w:hAnsi="仿宋" w:eastAsia="仿宋" w:cs="仿宋"/>
                <w:color w:val="auto"/>
                <w:kern w:val="0"/>
                <w:szCs w:val="24"/>
                <w:highlight w:val="none"/>
                <w:u w:val="single"/>
              </w:rPr>
              <w:t xml:space="preserve">                      </w:t>
            </w: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法定代表人：</w:t>
            </w:r>
            <w:r>
              <w:rPr>
                <w:rFonts w:hint="eastAsia" w:ascii="仿宋" w:hAnsi="仿宋" w:eastAsia="仿宋" w:cs="仿宋"/>
                <w:color w:val="auto"/>
                <w:kern w:val="0"/>
                <w:szCs w:val="24"/>
                <w:highlight w:val="none"/>
                <w:u w:val="single"/>
              </w:rPr>
              <w:t xml:space="preserve">                 </w:t>
            </w: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委托代理人：</w:t>
            </w:r>
            <w:r>
              <w:rPr>
                <w:rFonts w:hint="eastAsia" w:ascii="仿宋" w:hAnsi="仿宋" w:eastAsia="仿宋" w:cs="仿宋"/>
                <w:color w:val="auto"/>
                <w:kern w:val="0"/>
                <w:szCs w:val="24"/>
                <w:highlight w:val="none"/>
                <w:u w:val="single"/>
              </w:rPr>
              <w:t xml:space="preserve">                 </w:t>
            </w: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电话：</w:t>
            </w:r>
            <w:r>
              <w:rPr>
                <w:rFonts w:hint="eastAsia" w:ascii="仿宋" w:hAnsi="仿宋" w:eastAsia="仿宋" w:cs="仿宋"/>
                <w:color w:val="auto"/>
                <w:kern w:val="0"/>
                <w:szCs w:val="24"/>
                <w:highlight w:val="none"/>
                <w:u w:val="single"/>
              </w:rPr>
              <w:t xml:space="preserve">                       </w:t>
            </w: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传真： </w:t>
            </w:r>
            <w:r>
              <w:rPr>
                <w:rFonts w:hint="eastAsia" w:ascii="仿宋" w:hAnsi="仿宋" w:eastAsia="仿宋" w:cs="仿宋"/>
                <w:color w:val="auto"/>
                <w:kern w:val="0"/>
                <w:szCs w:val="24"/>
                <w:highlight w:val="none"/>
                <w:u w:val="single"/>
              </w:rPr>
              <w:t xml:space="preserve">                      </w:t>
            </w: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电子信箱：</w:t>
            </w:r>
            <w:r>
              <w:rPr>
                <w:rFonts w:hint="eastAsia" w:ascii="仿宋" w:hAnsi="仿宋" w:eastAsia="仿宋" w:cs="仿宋"/>
                <w:color w:val="auto"/>
                <w:kern w:val="0"/>
                <w:szCs w:val="24"/>
                <w:highlight w:val="none"/>
                <w:u w:val="single"/>
              </w:rPr>
              <w:t xml:space="preserve">                    </w:t>
            </w: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开户银行：</w:t>
            </w:r>
            <w:r>
              <w:rPr>
                <w:rFonts w:hint="eastAsia" w:ascii="仿宋" w:hAnsi="仿宋" w:eastAsia="仿宋" w:cs="仿宋"/>
                <w:color w:val="auto"/>
                <w:kern w:val="0"/>
                <w:szCs w:val="24"/>
                <w:highlight w:val="none"/>
                <w:u w:val="single"/>
              </w:rPr>
              <w:t xml:space="preserve">                   </w:t>
            </w: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账号：</w:t>
            </w:r>
            <w:r>
              <w:rPr>
                <w:rFonts w:hint="eastAsia" w:ascii="仿宋" w:hAnsi="仿宋" w:eastAsia="仿宋" w:cs="仿宋"/>
                <w:color w:val="auto"/>
                <w:kern w:val="0"/>
                <w:szCs w:val="24"/>
                <w:highlight w:val="none"/>
                <w:u w:val="single"/>
              </w:rPr>
              <w:t xml:space="preserve">                       </w:t>
            </w:r>
          </w:p>
        </w:tc>
        <w:tc>
          <w:tcPr>
            <w:tcW w:w="4565" w:type="dxa"/>
          </w:tcPr>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统一社会信用代码：</w:t>
            </w:r>
            <w:r>
              <w:rPr>
                <w:rFonts w:hint="eastAsia" w:ascii="仿宋" w:hAnsi="仿宋" w:eastAsia="仿宋" w:cs="仿宋"/>
                <w:color w:val="auto"/>
                <w:kern w:val="0"/>
                <w:szCs w:val="24"/>
                <w:highlight w:val="none"/>
                <w:u w:val="single"/>
              </w:rPr>
              <w:t xml:space="preserve">            </w:t>
            </w: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地址：</w:t>
            </w:r>
            <w:r>
              <w:rPr>
                <w:rFonts w:hint="eastAsia" w:ascii="仿宋" w:hAnsi="仿宋" w:eastAsia="仿宋" w:cs="仿宋"/>
                <w:color w:val="auto"/>
                <w:kern w:val="0"/>
                <w:szCs w:val="24"/>
                <w:highlight w:val="none"/>
                <w:u w:val="single"/>
              </w:rPr>
              <w:t xml:space="preserve">                        </w:t>
            </w: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邮政编码：</w:t>
            </w:r>
            <w:r>
              <w:rPr>
                <w:rFonts w:hint="eastAsia" w:ascii="仿宋" w:hAnsi="仿宋" w:eastAsia="仿宋" w:cs="仿宋"/>
                <w:color w:val="auto"/>
                <w:kern w:val="0"/>
                <w:szCs w:val="24"/>
                <w:highlight w:val="none"/>
                <w:u w:val="single"/>
              </w:rPr>
              <w:t xml:space="preserve">                      </w:t>
            </w: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法定代表人：</w:t>
            </w:r>
            <w:r>
              <w:rPr>
                <w:rFonts w:hint="eastAsia" w:ascii="仿宋" w:hAnsi="仿宋" w:eastAsia="仿宋" w:cs="仿宋"/>
                <w:color w:val="auto"/>
                <w:kern w:val="0"/>
                <w:szCs w:val="24"/>
                <w:highlight w:val="none"/>
                <w:u w:val="single"/>
              </w:rPr>
              <w:t xml:space="preserve">                  </w:t>
            </w: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委托代理人：</w:t>
            </w:r>
            <w:r>
              <w:rPr>
                <w:rFonts w:hint="eastAsia" w:ascii="仿宋" w:hAnsi="仿宋" w:eastAsia="仿宋" w:cs="仿宋"/>
                <w:color w:val="auto"/>
                <w:kern w:val="0"/>
                <w:szCs w:val="24"/>
                <w:highlight w:val="none"/>
                <w:u w:val="single"/>
              </w:rPr>
              <w:t xml:space="preserve">                 </w:t>
            </w: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电话：</w:t>
            </w:r>
            <w:r>
              <w:rPr>
                <w:rFonts w:hint="eastAsia" w:ascii="仿宋" w:hAnsi="仿宋" w:eastAsia="仿宋" w:cs="仿宋"/>
                <w:color w:val="auto"/>
                <w:kern w:val="0"/>
                <w:szCs w:val="24"/>
                <w:highlight w:val="none"/>
                <w:u w:val="single"/>
              </w:rPr>
              <w:t xml:space="preserve">                       </w:t>
            </w: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传真：</w:t>
            </w:r>
            <w:r>
              <w:rPr>
                <w:rFonts w:hint="eastAsia" w:ascii="仿宋" w:hAnsi="仿宋" w:eastAsia="仿宋" w:cs="仿宋"/>
                <w:color w:val="auto"/>
                <w:kern w:val="0"/>
                <w:szCs w:val="24"/>
                <w:highlight w:val="none"/>
                <w:u w:val="single"/>
              </w:rPr>
              <w:t xml:space="preserve">                       </w:t>
            </w: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电子信箱：</w:t>
            </w:r>
            <w:r>
              <w:rPr>
                <w:rFonts w:hint="eastAsia" w:ascii="仿宋" w:hAnsi="仿宋" w:eastAsia="仿宋" w:cs="仿宋"/>
                <w:color w:val="auto"/>
                <w:kern w:val="0"/>
                <w:szCs w:val="24"/>
                <w:highlight w:val="none"/>
                <w:u w:val="single"/>
              </w:rPr>
              <w:t xml:space="preserve">                   </w:t>
            </w: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开户银行：</w:t>
            </w:r>
            <w:r>
              <w:rPr>
                <w:rFonts w:hint="eastAsia" w:ascii="仿宋" w:hAnsi="仿宋" w:eastAsia="仿宋" w:cs="仿宋"/>
                <w:color w:val="auto"/>
                <w:kern w:val="0"/>
                <w:szCs w:val="24"/>
                <w:highlight w:val="none"/>
                <w:u w:val="single"/>
              </w:rPr>
              <w:t xml:space="preserve">                   </w:t>
            </w:r>
          </w:p>
          <w:p>
            <w:pPr>
              <w:pStyle w:val="187"/>
              <w:framePr w:hSpace="0" w:wrap="auto" w:vAnchor="margin" w:hAnchor="text" w:yAlign="inline"/>
              <w:spacing w:after="50" w:line="360" w:lineRule="auto"/>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账号：</w:t>
            </w:r>
            <w:r>
              <w:rPr>
                <w:rFonts w:hint="eastAsia" w:ascii="仿宋" w:hAnsi="仿宋" w:eastAsia="仿宋" w:cs="仿宋"/>
                <w:color w:val="auto"/>
                <w:szCs w:val="24"/>
                <w:highlight w:val="none"/>
                <w:u w:val="single"/>
              </w:rPr>
              <w:t xml:space="preserve">                       </w:t>
            </w:r>
          </w:p>
        </w:tc>
      </w:tr>
    </w:tbl>
    <w:p>
      <w:pPr>
        <w:spacing w:after="120"/>
        <w:ind w:right="-512" w:rightChars="-244"/>
        <w:rPr>
          <w:rFonts w:ascii="仿宋" w:hAnsi="仿宋" w:eastAsia="仿宋" w:cs="仿宋"/>
          <w:color w:val="auto"/>
          <w:szCs w:val="16"/>
          <w:highlight w:val="none"/>
        </w:rPr>
        <w:sectPr>
          <w:footerReference r:id="rId6" w:type="default"/>
          <w:pgSz w:w="11906" w:h="16838"/>
          <w:pgMar w:top="1440" w:right="1800" w:bottom="1440" w:left="1800" w:header="720" w:footer="850" w:gutter="0"/>
          <w:pgNumType w:fmt="decimal" w:start="1"/>
          <w:cols w:space="720" w:num="1"/>
          <w:docGrid w:linePitch="326" w:charSpace="0"/>
        </w:sectPr>
      </w:pPr>
      <w:r>
        <w:rPr>
          <w:rFonts w:hint="eastAsia" w:ascii="仿宋" w:hAnsi="仿宋" w:eastAsia="仿宋" w:cs="仿宋"/>
          <w:color w:val="auto"/>
          <w:szCs w:val="16"/>
          <w:highlight w:val="none"/>
        </w:rPr>
        <w:tab/>
      </w:r>
    </w:p>
    <w:p>
      <w:pPr>
        <w:pStyle w:val="183"/>
        <w:keepNext w:val="0"/>
        <w:keepLines w:val="0"/>
        <w:widowControl/>
        <w:adjustRightInd w:val="0"/>
        <w:snapToGrid w:val="0"/>
        <w:spacing w:before="0" w:after="50" w:line="360" w:lineRule="auto"/>
        <w:ind w:right="-512" w:rightChars="-244"/>
        <w:jc w:val="center"/>
        <w:outlineLvl w:val="1"/>
        <w:rPr>
          <w:rFonts w:ascii="仿宋" w:hAnsi="仿宋" w:eastAsia="仿宋" w:cs="仿宋"/>
          <w:color w:val="auto"/>
          <w:highlight w:val="none"/>
        </w:rPr>
      </w:pPr>
      <w:bookmarkStart w:id="204" w:name="_Toc20171721"/>
      <w:bookmarkStart w:id="205" w:name="_Toc29882_WPSOffice_Level2"/>
      <w:bookmarkStart w:id="206" w:name="_Toc30749"/>
      <w:r>
        <w:rPr>
          <w:rFonts w:hint="eastAsia" w:ascii="仿宋" w:hAnsi="仿宋" w:eastAsia="仿宋" w:cs="仿宋"/>
          <w:color w:val="auto"/>
          <w:highlight w:val="none"/>
        </w:rPr>
        <w:t>第二部分 通用合同条件</w:t>
      </w:r>
      <w:bookmarkEnd w:id="204"/>
      <w:bookmarkEnd w:id="205"/>
      <w:bookmarkEnd w:id="206"/>
    </w:p>
    <w:p>
      <w:pPr>
        <w:pStyle w:val="188"/>
        <w:spacing w:after="120"/>
        <w:ind w:right="-512" w:rightChars="-244"/>
        <w:rPr>
          <w:rFonts w:ascii="仿宋" w:hAnsi="仿宋" w:eastAsia="仿宋" w:cs="仿宋"/>
          <w:b w:val="0"/>
          <w:color w:val="auto"/>
          <w:sz w:val="24"/>
          <w:szCs w:val="24"/>
          <w:highlight w:val="none"/>
        </w:rPr>
      </w:pPr>
      <w:bookmarkStart w:id="207" w:name="_Ref508893699"/>
      <w:bookmarkStart w:id="208" w:name="_Toc20171722"/>
      <w:bookmarkStart w:id="209" w:name="_Toc8811_WPSOffice_Level3"/>
      <w:bookmarkStart w:id="210" w:name="_Toc25274"/>
      <w:bookmarkStart w:id="211" w:name="_Ref509040826"/>
      <w:bookmarkStart w:id="212" w:name="_Ref509040831"/>
      <w:bookmarkStart w:id="213" w:name="_Ref531952761"/>
      <w:bookmarkStart w:id="214" w:name="_Ref531952756"/>
      <w:r>
        <w:rPr>
          <w:rFonts w:hint="eastAsia" w:ascii="仿宋" w:hAnsi="仿宋" w:eastAsia="仿宋" w:cs="仿宋"/>
          <w:b w:val="0"/>
          <w:color w:val="auto"/>
          <w:sz w:val="24"/>
          <w:szCs w:val="24"/>
          <w:highlight w:val="none"/>
        </w:rPr>
        <w:t>一般约定</w:t>
      </w:r>
      <w:bookmarkEnd w:id="207"/>
      <w:bookmarkEnd w:id="208"/>
      <w:bookmarkEnd w:id="209"/>
      <w:bookmarkEnd w:id="210"/>
    </w:p>
    <w:p>
      <w:pPr>
        <w:pStyle w:val="189"/>
        <w:widowControl/>
        <w:numPr>
          <w:ilvl w:val="1"/>
          <w:numId w:val="13"/>
        </w:numPr>
        <w:spacing w:after="120"/>
        <w:ind w:left="0" w:right="-512" w:rightChars="-244"/>
        <w:rPr>
          <w:rFonts w:ascii="仿宋" w:hAnsi="仿宋" w:eastAsia="仿宋" w:cs="仿宋"/>
          <w:b w:val="0"/>
          <w:bCs/>
          <w:color w:val="auto"/>
          <w:highlight w:val="none"/>
        </w:rPr>
      </w:pPr>
      <w:bookmarkStart w:id="215" w:name="_Toc22254_WPSOffice_Level3"/>
      <w:bookmarkStart w:id="216" w:name="_Ref523741471"/>
      <w:bookmarkStart w:id="217" w:name="_Ref523741474"/>
      <w:bookmarkStart w:id="218" w:name="_Toc20171723"/>
      <w:r>
        <w:rPr>
          <w:rFonts w:hint="eastAsia" w:ascii="仿宋" w:hAnsi="仿宋" w:eastAsia="仿宋" w:cs="仿宋"/>
          <w:b w:val="0"/>
          <w:bCs/>
          <w:color w:val="auto"/>
          <w:highlight w:val="none"/>
        </w:rPr>
        <w:t>词语定义和解释</w:t>
      </w:r>
      <w:bookmarkEnd w:id="211"/>
      <w:bookmarkEnd w:id="212"/>
      <w:bookmarkEnd w:id="215"/>
      <w:bookmarkEnd w:id="216"/>
      <w:bookmarkEnd w:id="217"/>
      <w:bookmarkEnd w:id="218"/>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合同协议书、通用合同条件、专用合同条件中的下列词语应具有本款所赋予的含义：</w:t>
      </w:r>
    </w:p>
    <w:p>
      <w:pPr>
        <w:pStyle w:val="190"/>
        <w:spacing w:after="120"/>
        <w:ind w:left="0" w:right="-512" w:rightChars="-244"/>
        <w:rPr>
          <w:rFonts w:ascii="仿宋" w:hAnsi="仿宋" w:eastAsia="仿宋" w:cs="仿宋"/>
          <w:color w:val="auto"/>
          <w:szCs w:val="24"/>
          <w:highlight w:val="none"/>
        </w:rPr>
      </w:pPr>
      <w:bookmarkStart w:id="219" w:name="_Ref4757289"/>
      <w:bookmarkStart w:id="220" w:name="_Ref521288340"/>
      <w:r>
        <w:rPr>
          <w:rFonts w:hint="eastAsia" w:ascii="仿宋" w:hAnsi="仿宋" w:eastAsia="仿宋" w:cs="仿宋"/>
          <w:color w:val="auto"/>
          <w:szCs w:val="24"/>
          <w:highlight w:val="none"/>
        </w:rPr>
        <w:t>合同</w:t>
      </w:r>
      <w:bookmarkEnd w:id="219"/>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合同：是指根据法律规定和合同当事人约定具有约束力的文件，构成合同的文件包括合同协议书、中标通知书（如果有）、投标函及其附录（如果有）、专用合同条件及其附件、通用合同条件、《发包人要求》、承包人建议书、价格清单以及双方约定的其他合同文件。</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合同协议书：是指构成合同的由发包人和承包人共同签署的称为“合同协议书”的书面文件。</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中标通知书：是指构成合同的由发包人通知承包人中标的书面文件。中标通知书随附的澄清、说明、补正事项纪要等，是中标通知书的组成部分。</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投标函：是指构成合同的由承包人填写并签署的用于投标的称为“投标函”的文件。</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投标函附录：是指构成合同的附在投标函后的称为“投标函附录”的文件。</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《发包人要求》：指构成合同文件组成部分的名为《发包人要求》的文件，其中列明工程的目的、范围、设计与其他技术标准和要求，以及合同双方当事人约定对其所作的修改或补充。</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项目清单：是指发包人提供的载明工程总承包项目勘察费、设计费、建筑安装工程费、设备购置费、暂估价、暂列金额和双方约定的其他费用的名称和相应数量等内容的项目明细。</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价格清单：指构成合同文件组成部分的由承包人按发包人提供的项目清单规定的格式和要求填写并标明价格的清单。</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承包人建议书：指构成合同文件组成部分的名为承包人建议书的文件。承包人建议书由承包人随投标函一起提交。</w:t>
      </w:r>
    </w:p>
    <w:p>
      <w:pPr>
        <w:pStyle w:val="191"/>
        <w:widowControl/>
        <w:spacing w:after="120"/>
        <w:ind w:right="-512" w:rightChars="-244"/>
        <w:rPr>
          <w:rFonts w:ascii="仿宋" w:hAnsi="仿宋" w:eastAsia="仿宋" w:cs="仿宋"/>
          <w:color w:val="auto"/>
          <w:szCs w:val="24"/>
          <w:highlight w:val="none"/>
        </w:rPr>
      </w:pPr>
      <w:bookmarkStart w:id="221" w:name="_Ref4415300"/>
      <w:r>
        <w:rPr>
          <w:rFonts w:hint="eastAsia" w:ascii="仿宋" w:hAnsi="仿宋" w:eastAsia="仿宋" w:cs="仿宋"/>
          <w:color w:val="auto"/>
          <w:szCs w:val="24"/>
          <w:highlight w:val="none"/>
        </w:rPr>
        <w:t>其他合同文件：是指经合同当事人约定的与工程实施有关的具有合同约束力的文件或书面协议。合同当事人可以在专用合同条件中进行约定。</w:t>
      </w:r>
      <w:bookmarkEnd w:id="221"/>
    </w:p>
    <w:p>
      <w:pPr>
        <w:pStyle w:val="190"/>
        <w:spacing w:after="120"/>
        <w:ind w:left="0" w:right="-512" w:rightChars="-244"/>
        <w:rPr>
          <w:rFonts w:ascii="仿宋" w:hAnsi="仿宋" w:eastAsia="仿宋" w:cs="仿宋"/>
          <w:color w:val="auto"/>
          <w:szCs w:val="24"/>
          <w:highlight w:val="none"/>
        </w:rPr>
      </w:pPr>
      <w:bookmarkStart w:id="222" w:name="_Ref4757418"/>
      <w:r>
        <w:rPr>
          <w:rFonts w:hint="eastAsia" w:ascii="仿宋" w:hAnsi="仿宋" w:eastAsia="仿宋" w:cs="仿宋"/>
          <w:color w:val="auto"/>
          <w:szCs w:val="24"/>
          <w:highlight w:val="none"/>
        </w:rPr>
        <w:t>合同当事人及其他相关方</w:t>
      </w:r>
      <w:bookmarkEnd w:id="222"/>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合同当事人：是指发包人和（或）承包人。</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发包人：是指与承包人签订合同协议书的当事人及取得该当事人资格的合法继受人。本合同中“因发包人原因”里的“发包人”是指所有发包人人员的原因。</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承包人：是指与发包人签订合同协议书的当事人及取得该当事人资格的合法继受人。</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联合体：是指经发包人同意由两个或两个以上法人或者其他组织组成的，作为承包人的临时机构。</w:t>
      </w:r>
    </w:p>
    <w:p>
      <w:pPr>
        <w:pStyle w:val="191"/>
        <w:widowControl/>
        <w:spacing w:after="120"/>
        <w:ind w:right="-512" w:rightChars="-244"/>
        <w:rPr>
          <w:rFonts w:ascii="仿宋" w:hAnsi="仿宋" w:eastAsia="仿宋" w:cs="仿宋"/>
          <w:color w:val="auto"/>
          <w:szCs w:val="24"/>
          <w:highlight w:val="none"/>
        </w:rPr>
      </w:pPr>
      <w:bookmarkStart w:id="223" w:name="_Ref4420046"/>
      <w:r>
        <w:rPr>
          <w:rFonts w:hint="eastAsia" w:ascii="仿宋" w:hAnsi="仿宋" w:eastAsia="仿宋" w:cs="仿宋"/>
          <w:color w:val="auto"/>
          <w:szCs w:val="24"/>
          <w:highlight w:val="none"/>
        </w:rPr>
        <w:t>发包人代表：是指由发包人任命并派驻施工现场，在发包人授权范围内行使发包人权利和履行发包人义务的人。</w:t>
      </w:r>
    </w:p>
    <w:p>
      <w:pPr>
        <w:pStyle w:val="191"/>
        <w:widowControl/>
        <w:spacing w:after="120"/>
        <w:ind w:right="-512" w:rightChars="-244"/>
        <w:rPr>
          <w:rFonts w:ascii="仿宋" w:hAnsi="仿宋" w:eastAsia="仿宋" w:cs="仿宋"/>
          <w:color w:val="auto"/>
          <w:szCs w:val="24"/>
          <w:highlight w:val="none"/>
        </w:rPr>
      </w:pPr>
      <w:bookmarkStart w:id="224" w:name="_Ref4756982"/>
      <w:r>
        <w:rPr>
          <w:rFonts w:hint="eastAsia" w:ascii="仿宋" w:hAnsi="仿宋" w:eastAsia="仿宋" w:cs="仿宋"/>
          <w:color w:val="auto"/>
          <w:szCs w:val="24"/>
          <w:highlight w:val="none"/>
        </w:rPr>
        <w:t>工程师：是指在专用合同条件中指明的，受发包人委托按照法律规定和发包人的授权进行合同履行管理、工程监督管理等工作的法人或其他组织；该法人或其他组织应雇用一名具有相应执业资格和职业能力的自然人作为工程师代表，并授予其根据本合同代表工程师行事的权利。</w:t>
      </w:r>
      <w:bookmarkEnd w:id="223"/>
      <w:bookmarkEnd w:id="224"/>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工程总承包项目经理：是指由承包人任命的，在承包人授权范围内负责合同履行的管理，且按照法律规定具有相应资格的项目负责人。</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设计负责人：是指承包人指定负责组织、指导、协调设计工作并具有相应资格的人员。</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采购负责人：是指承包人指定负责组织、指导、协调采购工作的人员。</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施工负责人：是指承包人指定负责组织、指导、协调施工工作并具有相应资格的人员。</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分包人：是指按照法律规定和合同约定，分包部分工程或工作，并与承包人签订分包合同的具有相应资质的法人或其他组织。</w:t>
      </w:r>
    </w:p>
    <w:p>
      <w:pPr>
        <w:pStyle w:val="190"/>
        <w:spacing w:after="120"/>
        <w:ind w:left="0" w:right="-512" w:rightChars="-244"/>
        <w:rPr>
          <w:rFonts w:ascii="仿宋" w:hAnsi="仿宋" w:eastAsia="仿宋" w:cs="仿宋"/>
          <w:color w:val="auto"/>
          <w:szCs w:val="24"/>
          <w:highlight w:val="none"/>
        </w:rPr>
      </w:pPr>
      <w:bookmarkStart w:id="225" w:name="_Ref4758319"/>
      <w:r>
        <w:rPr>
          <w:rFonts w:hint="eastAsia" w:ascii="仿宋" w:hAnsi="仿宋" w:eastAsia="仿宋" w:cs="仿宋"/>
          <w:color w:val="auto"/>
          <w:szCs w:val="24"/>
          <w:highlight w:val="none"/>
        </w:rPr>
        <w:t>工程和设备</w:t>
      </w:r>
      <w:bookmarkEnd w:id="225"/>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工程：是指与合同协议书中工程承包范围对应的永久工程和（或）临时工程。</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工程实施：是指进行工程的设计、采购、施工和竣工以及对工程任何缺陷的修复。</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永久工程：是指按合同约定建造并移交给发包人的工程，包括工程设备。</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临时工程：是指为完成合同约定的永久工程所修建的各类临时性工程，不包括施工设备。</w:t>
      </w:r>
    </w:p>
    <w:p>
      <w:pPr>
        <w:pStyle w:val="191"/>
        <w:widowControl/>
        <w:spacing w:after="120"/>
        <w:ind w:right="-512" w:rightChars="-244"/>
        <w:rPr>
          <w:rFonts w:ascii="仿宋" w:hAnsi="仿宋" w:eastAsia="仿宋" w:cs="仿宋"/>
          <w:color w:val="auto"/>
          <w:szCs w:val="24"/>
          <w:highlight w:val="none"/>
        </w:rPr>
      </w:pPr>
      <w:bookmarkStart w:id="226" w:name="_Ref4419825"/>
      <w:r>
        <w:rPr>
          <w:rFonts w:hint="eastAsia" w:ascii="仿宋" w:hAnsi="仿宋" w:eastAsia="仿宋" w:cs="仿宋"/>
          <w:color w:val="auto"/>
          <w:szCs w:val="24"/>
          <w:highlight w:val="none"/>
        </w:rPr>
        <w:t>单位/区段工程：是指在专用合同条件中指明特定范围的，能单独接收并使用的永久工程。</w:t>
      </w:r>
      <w:bookmarkEnd w:id="226"/>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工程设备：指构成永久工程的机电设备、仪器装置、运载工具及其他类似的设备和装置，包括其配件及备品、备件、易损易耗件等。</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施工设备：指为完成合同约定的各项工作所需的设备、器具和其他物品，不包括临时工程和材料。</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临时设施：指为完成合同约定的各项工作所服务的临时性生产和生活设施。</w:t>
      </w:r>
    </w:p>
    <w:p>
      <w:pPr>
        <w:pStyle w:val="191"/>
        <w:widowControl/>
        <w:spacing w:after="120"/>
        <w:ind w:right="-512" w:rightChars="-244"/>
        <w:rPr>
          <w:rFonts w:ascii="仿宋" w:hAnsi="仿宋" w:eastAsia="仿宋" w:cs="仿宋"/>
          <w:color w:val="auto"/>
          <w:szCs w:val="24"/>
          <w:highlight w:val="none"/>
        </w:rPr>
      </w:pPr>
      <w:bookmarkStart w:id="227" w:name="_Ref4420577"/>
      <w:r>
        <w:rPr>
          <w:rFonts w:hint="eastAsia" w:ascii="仿宋" w:hAnsi="仿宋" w:eastAsia="仿宋" w:cs="仿宋"/>
          <w:color w:val="auto"/>
          <w:szCs w:val="24"/>
          <w:highlight w:val="none"/>
        </w:rPr>
        <w:t>施工现场：是指用于工程施工的场所，以及在专用合同条件中指明作为施工场所组成部分的其他场所，包括永久占地和临时占地。</w:t>
      </w:r>
      <w:bookmarkEnd w:id="227"/>
    </w:p>
    <w:p>
      <w:pPr>
        <w:pStyle w:val="191"/>
        <w:widowControl/>
        <w:spacing w:after="120"/>
        <w:ind w:right="-512" w:rightChars="-244"/>
        <w:rPr>
          <w:rFonts w:ascii="仿宋" w:hAnsi="仿宋" w:eastAsia="仿宋" w:cs="仿宋"/>
          <w:color w:val="auto"/>
          <w:szCs w:val="24"/>
          <w:highlight w:val="none"/>
        </w:rPr>
      </w:pPr>
      <w:bookmarkStart w:id="228" w:name="_Ref4420746"/>
      <w:r>
        <w:rPr>
          <w:rFonts w:hint="eastAsia" w:ascii="仿宋" w:hAnsi="仿宋" w:eastAsia="仿宋" w:cs="仿宋"/>
          <w:color w:val="auto"/>
          <w:szCs w:val="24"/>
          <w:highlight w:val="none"/>
        </w:rPr>
        <w:t>永久占地：是指专用合同条件中指明为实施工程需永久占用的土地。</w:t>
      </w:r>
      <w:bookmarkEnd w:id="228"/>
    </w:p>
    <w:p>
      <w:pPr>
        <w:pStyle w:val="191"/>
        <w:widowControl/>
        <w:spacing w:after="120"/>
        <w:ind w:right="-512" w:rightChars="-244"/>
        <w:rPr>
          <w:rFonts w:ascii="仿宋" w:hAnsi="仿宋" w:eastAsia="仿宋" w:cs="仿宋"/>
          <w:color w:val="auto"/>
          <w:szCs w:val="24"/>
          <w:highlight w:val="none"/>
        </w:rPr>
      </w:pPr>
      <w:bookmarkStart w:id="229" w:name="_Ref4420821"/>
      <w:r>
        <w:rPr>
          <w:rFonts w:hint="eastAsia" w:ascii="仿宋" w:hAnsi="仿宋" w:eastAsia="仿宋" w:cs="仿宋"/>
          <w:color w:val="auto"/>
          <w:szCs w:val="24"/>
          <w:highlight w:val="none"/>
        </w:rPr>
        <w:t>临时占地：是指专用合同条件中指明为实施工程需临时占用的土地。</w:t>
      </w:r>
      <w:bookmarkEnd w:id="229"/>
    </w:p>
    <w:p>
      <w:pPr>
        <w:pStyle w:val="190"/>
        <w:spacing w:after="120"/>
        <w:ind w:left="0"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日期和期限</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开始工作通知：指工程师按第</w:t>
      </w:r>
      <w:r>
        <w:rPr>
          <w:color w:val="auto"/>
          <w:highlight w:val="none"/>
        </w:rPr>
        <w:fldChar w:fldCharType="begin"/>
      </w:r>
      <w:r>
        <w:rPr>
          <w:color w:val="auto"/>
          <w:highlight w:val="none"/>
        </w:rPr>
        <w:instrText xml:space="preserve"> REF _Ref536790534 \r \h  \* MERGEFORMAT </w:instrText>
      </w:r>
      <w:r>
        <w:rPr>
          <w:color w:val="auto"/>
          <w:highlight w:val="none"/>
        </w:rPr>
        <w:fldChar w:fldCharType="separate"/>
      </w:r>
      <w:r>
        <w:rPr>
          <w:rFonts w:hint="eastAsia" w:ascii="仿宋" w:hAnsi="仿宋" w:eastAsia="仿宋" w:cs="仿宋"/>
          <w:color w:val="auto"/>
          <w:szCs w:val="24"/>
          <w:highlight w:val="none"/>
        </w:rPr>
        <w:t>8.1.2</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项［</w:t>
      </w:r>
      <w:r>
        <w:rPr>
          <w:color w:val="auto"/>
          <w:highlight w:val="none"/>
        </w:rPr>
        <w:fldChar w:fldCharType="begin"/>
      </w:r>
      <w:r>
        <w:rPr>
          <w:color w:val="auto"/>
          <w:highlight w:val="none"/>
        </w:rPr>
        <w:instrText xml:space="preserve"> REF _Ref536790534 \h  \* MERGEFORMAT </w:instrText>
      </w:r>
      <w:r>
        <w:rPr>
          <w:color w:val="auto"/>
          <w:highlight w:val="none"/>
        </w:rPr>
        <w:fldChar w:fldCharType="separate"/>
      </w:r>
      <w:r>
        <w:rPr>
          <w:rFonts w:hint="eastAsia" w:ascii="仿宋" w:hAnsi="仿宋" w:eastAsia="仿宋" w:cs="仿宋"/>
          <w:color w:val="auto"/>
          <w:szCs w:val="24"/>
          <w:highlight w:val="none"/>
        </w:rPr>
        <w:t>开始工作通知</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］的约定通知承包人开始工作的函件。</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开始工作日期：包括计划开始工作日期和实际开始工作日期。计划开始工作日期是指合同协议书约定的开始工作日期；实际开始工作日期是指工程师按照第</w:t>
      </w:r>
      <w:r>
        <w:rPr>
          <w:color w:val="auto"/>
          <w:highlight w:val="none"/>
        </w:rPr>
        <w:fldChar w:fldCharType="begin"/>
      </w:r>
      <w:r>
        <w:rPr>
          <w:color w:val="auto"/>
          <w:highlight w:val="none"/>
        </w:rPr>
        <w:instrText xml:space="preserve"> REF _Ref532362774 \r \h  \* MERGEFORMAT </w:instrText>
      </w:r>
      <w:r>
        <w:rPr>
          <w:color w:val="auto"/>
          <w:highlight w:val="none"/>
        </w:rPr>
        <w:fldChar w:fldCharType="separate"/>
      </w:r>
      <w:r>
        <w:rPr>
          <w:rFonts w:hint="eastAsia" w:ascii="仿宋" w:hAnsi="仿宋" w:eastAsia="仿宋" w:cs="仿宋"/>
          <w:color w:val="auto"/>
          <w:szCs w:val="24"/>
          <w:highlight w:val="none"/>
        </w:rPr>
        <w:t>8.1</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款［</w:t>
      </w:r>
      <w:r>
        <w:rPr>
          <w:color w:val="auto"/>
          <w:highlight w:val="none"/>
        </w:rPr>
        <w:fldChar w:fldCharType="begin"/>
      </w:r>
      <w:r>
        <w:rPr>
          <w:color w:val="auto"/>
          <w:highlight w:val="none"/>
        </w:rPr>
        <w:instrText xml:space="preserve"> REF _Ref532362777 \h  \* MERGEFORMAT </w:instrText>
      </w:r>
      <w:r>
        <w:rPr>
          <w:color w:val="auto"/>
          <w:highlight w:val="none"/>
        </w:rPr>
        <w:fldChar w:fldCharType="separate"/>
      </w:r>
      <w:r>
        <w:rPr>
          <w:rFonts w:hint="eastAsia" w:ascii="仿宋" w:hAnsi="仿宋" w:eastAsia="仿宋" w:cs="仿宋"/>
          <w:color w:val="auto"/>
          <w:szCs w:val="24"/>
          <w:highlight w:val="none"/>
        </w:rPr>
        <w:t>开始工作</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］约定发出的符合法律规定的开始工作通知中载明的开始工作日期。</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竣工日期：包括计划竣工日期和实际竣工日期。计划竣工日期是指合同协议书约定的竣工日期；实际竣工日期按照第</w:t>
      </w:r>
      <w:r>
        <w:rPr>
          <w:color w:val="auto"/>
          <w:highlight w:val="none"/>
        </w:rPr>
        <w:fldChar w:fldCharType="begin"/>
      </w:r>
      <w:r>
        <w:rPr>
          <w:color w:val="auto"/>
          <w:highlight w:val="none"/>
        </w:rPr>
        <w:instrText xml:space="preserve"> REF _Ref532362124 \r \h  \* MERGEFORMAT </w:instrText>
      </w:r>
      <w:r>
        <w:rPr>
          <w:color w:val="auto"/>
          <w:highlight w:val="none"/>
        </w:rPr>
        <w:fldChar w:fldCharType="separate"/>
      </w:r>
      <w:r>
        <w:rPr>
          <w:rFonts w:hint="eastAsia" w:ascii="仿宋" w:hAnsi="仿宋" w:eastAsia="仿宋" w:cs="仿宋"/>
          <w:color w:val="auto"/>
          <w:szCs w:val="24"/>
          <w:highlight w:val="none"/>
        </w:rPr>
        <w:t>8.2</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款［</w:t>
      </w:r>
      <w:r>
        <w:rPr>
          <w:color w:val="auto"/>
          <w:highlight w:val="none"/>
        </w:rPr>
        <w:fldChar w:fldCharType="begin"/>
      </w:r>
      <w:r>
        <w:rPr>
          <w:color w:val="auto"/>
          <w:highlight w:val="none"/>
        </w:rPr>
        <w:instrText xml:space="preserve"> REF _Ref532362124 \h  \* MERGEFORMAT </w:instrText>
      </w:r>
      <w:r>
        <w:rPr>
          <w:color w:val="auto"/>
          <w:highlight w:val="none"/>
        </w:rPr>
        <w:fldChar w:fldCharType="separate"/>
      </w:r>
      <w:r>
        <w:rPr>
          <w:rFonts w:hint="eastAsia" w:ascii="仿宋" w:hAnsi="仿宋" w:eastAsia="仿宋" w:cs="仿宋"/>
          <w:color w:val="auto"/>
          <w:szCs w:val="24"/>
          <w:highlight w:val="none"/>
        </w:rPr>
        <w:t>竣工日期</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］的约定确定。</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工期：是指在合同协议书约定的承包人完成合同工作所需的期限，包括按照合同约定所作的期限变更及按合同约定承包人有权取得的工期延长。</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缺陷责任期：是指第</w:t>
      </w:r>
      <w:r>
        <w:rPr>
          <w:color w:val="auto"/>
          <w:highlight w:val="none"/>
        </w:rPr>
        <w:fldChar w:fldCharType="begin"/>
      </w:r>
      <w:r>
        <w:rPr>
          <w:color w:val="auto"/>
          <w:highlight w:val="none"/>
        </w:rPr>
        <w:instrText xml:space="preserve"> REF _Ref4430062 \r \h  \* MERGEFORMAT </w:instrText>
      </w:r>
      <w:r>
        <w:rPr>
          <w:color w:val="auto"/>
          <w:highlight w:val="none"/>
        </w:rPr>
        <w:fldChar w:fldCharType="separate"/>
      </w:r>
      <w:r>
        <w:rPr>
          <w:rFonts w:hint="eastAsia" w:ascii="仿宋" w:hAnsi="仿宋" w:eastAsia="仿宋" w:cs="仿宋"/>
          <w:color w:val="auto"/>
          <w:szCs w:val="24"/>
          <w:highlight w:val="none"/>
        </w:rPr>
        <w:t>11.2</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款［</w:t>
      </w:r>
      <w:r>
        <w:rPr>
          <w:color w:val="auto"/>
          <w:highlight w:val="none"/>
        </w:rPr>
        <w:fldChar w:fldCharType="begin"/>
      </w:r>
      <w:r>
        <w:rPr>
          <w:color w:val="auto"/>
          <w:highlight w:val="none"/>
        </w:rPr>
        <w:instrText xml:space="preserve"> REF _Ref4430062 \h  \* MERGEFORMAT </w:instrText>
      </w:r>
      <w:r>
        <w:rPr>
          <w:color w:val="auto"/>
          <w:highlight w:val="none"/>
        </w:rPr>
        <w:fldChar w:fldCharType="separate"/>
      </w:r>
      <w:r>
        <w:rPr>
          <w:rFonts w:hint="eastAsia" w:ascii="仿宋" w:hAnsi="仿宋" w:eastAsia="仿宋" w:cs="仿宋"/>
          <w:color w:val="auto"/>
          <w:szCs w:val="24"/>
          <w:highlight w:val="none"/>
        </w:rPr>
        <w:t>缺陷责任期</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］所约定的，承包人履行第</w:t>
      </w:r>
      <w:r>
        <w:rPr>
          <w:color w:val="auto"/>
          <w:highlight w:val="none"/>
        </w:rPr>
        <w:fldChar w:fldCharType="begin"/>
      </w:r>
      <w:r>
        <w:rPr>
          <w:color w:val="auto"/>
          <w:highlight w:val="none"/>
        </w:rPr>
        <w:instrText xml:space="preserve"> REF _Ref532662486 \r \h  \* MERGEFORMAT </w:instrText>
      </w:r>
      <w:r>
        <w:rPr>
          <w:color w:val="auto"/>
          <w:highlight w:val="none"/>
        </w:rPr>
        <w:fldChar w:fldCharType="separate"/>
      </w:r>
      <w:r>
        <w:rPr>
          <w:rFonts w:hint="eastAsia" w:ascii="仿宋" w:hAnsi="仿宋" w:eastAsia="仿宋" w:cs="仿宋"/>
          <w:color w:val="auto"/>
          <w:szCs w:val="24"/>
          <w:highlight w:val="none"/>
        </w:rPr>
        <w:t>11.3</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款［</w:t>
      </w:r>
      <w:r>
        <w:rPr>
          <w:color w:val="auto"/>
          <w:highlight w:val="none"/>
        </w:rPr>
        <w:fldChar w:fldCharType="begin"/>
      </w:r>
      <w:r>
        <w:rPr>
          <w:color w:val="auto"/>
          <w:highlight w:val="none"/>
        </w:rPr>
        <w:instrText xml:space="preserve"> REF _Ref532662486 \h  \* MERGEFORMAT </w:instrText>
      </w:r>
      <w:r>
        <w:rPr>
          <w:color w:val="auto"/>
          <w:highlight w:val="none"/>
        </w:rPr>
        <w:fldChar w:fldCharType="separate"/>
      </w:r>
      <w:r>
        <w:rPr>
          <w:rFonts w:hint="eastAsia" w:ascii="仿宋" w:hAnsi="仿宋" w:eastAsia="仿宋" w:cs="仿宋"/>
          <w:color w:val="auto"/>
          <w:szCs w:val="24"/>
          <w:highlight w:val="none"/>
        </w:rPr>
        <w:t>缺陷责任</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］下质量缺陷责任的期限，包括根据合同约定进行的延长。</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保修期：是指承包人按照合同约定和法律规定对工程质量缺陷责任承担保修责任的期限，该期限自缺陷责任期起算之日起计算。</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基准日期：招标发包的工程以投标截止日前28天的日期为基准日期，直接发包的工程以合同签订日前28天的日期为基准日期。</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天：除特别指明外，均指日历天。合同中按天计算时间的，开始当天不计入，从次日开始计算。期限最后一天的截止时间为当天24:00。</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竣工试验：是指在工程竣工验收前，根据</w:t>
      </w:r>
      <w:r>
        <w:rPr>
          <w:color w:val="auto"/>
          <w:highlight w:val="none"/>
        </w:rPr>
        <w:fldChar w:fldCharType="begin"/>
      </w:r>
      <w:r>
        <w:rPr>
          <w:color w:val="auto"/>
          <w:highlight w:val="none"/>
        </w:rPr>
        <w:instrText xml:space="preserve"> REF _Ref4621029 \r \h  \* MERGEFORMAT </w:instrText>
      </w:r>
      <w:r>
        <w:rPr>
          <w:color w:val="auto"/>
          <w:highlight w:val="none"/>
        </w:rPr>
        <w:fldChar w:fldCharType="separate"/>
      </w:r>
      <w:r>
        <w:rPr>
          <w:rFonts w:hint="eastAsia" w:ascii="仿宋" w:hAnsi="仿宋" w:eastAsia="仿宋" w:cs="仿宋"/>
          <w:color w:val="auto"/>
          <w:szCs w:val="24"/>
          <w:highlight w:val="none"/>
        </w:rPr>
        <w:t>第9条</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w:t>
      </w:r>
      <w:r>
        <w:rPr>
          <w:color w:val="auto"/>
          <w:highlight w:val="none"/>
        </w:rPr>
        <w:fldChar w:fldCharType="begin"/>
      </w:r>
      <w:r>
        <w:rPr>
          <w:color w:val="auto"/>
          <w:highlight w:val="none"/>
        </w:rPr>
        <w:instrText xml:space="preserve"> REF _Ref4621029 \h  \* MERGEFORMAT </w:instrText>
      </w:r>
      <w:r>
        <w:rPr>
          <w:color w:val="auto"/>
          <w:highlight w:val="none"/>
        </w:rPr>
        <w:fldChar w:fldCharType="separate"/>
      </w:r>
      <w:r>
        <w:rPr>
          <w:rFonts w:hint="eastAsia" w:ascii="仿宋" w:hAnsi="仿宋" w:eastAsia="仿宋" w:cs="仿宋"/>
          <w:color w:val="auto"/>
          <w:szCs w:val="24"/>
          <w:highlight w:val="none"/>
        </w:rPr>
        <w:t>竣工试验</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］要求进行的试验。</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竣工验收：是指承包人完成了合同约定的各项内容后，发包人按合同要求进行的验收。</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竣工后试验：是指在工程竣工验收后，根据</w:t>
      </w:r>
      <w:r>
        <w:rPr>
          <w:color w:val="auto"/>
          <w:highlight w:val="none"/>
        </w:rPr>
        <w:fldChar w:fldCharType="begin"/>
      </w:r>
      <w:r>
        <w:rPr>
          <w:color w:val="auto"/>
          <w:highlight w:val="none"/>
        </w:rPr>
        <w:instrText xml:space="preserve"> REF _Ref4621057 \r \h  \* MERGEFORMAT </w:instrText>
      </w:r>
      <w:r>
        <w:rPr>
          <w:color w:val="auto"/>
          <w:highlight w:val="none"/>
        </w:rPr>
        <w:fldChar w:fldCharType="separate"/>
      </w:r>
      <w:r>
        <w:rPr>
          <w:rFonts w:hint="eastAsia" w:ascii="仿宋" w:hAnsi="仿宋" w:eastAsia="仿宋" w:cs="仿宋"/>
          <w:color w:val="auto"/>
          <w:szCs w:val="24"/>
          <w:highlight w:val="none"/>
        </w:rPr>
        <w:t>第12条</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w:t>
      </w:r>
      <w:r>
        <w:rPr>
          <w:color w:val="auto"/>
          <w:highlight w:val="none"/>
        </w:rPr>
        <w:fldChar w:fldCharType="begin"/>
      </w:r>
      <w:r>
        <w:rPr>
          <w:color w:val="auto"/>
          <w:highlight w:val="none"/>
        </w:rPr>
        <w:instrText xml:space="preserve"> REF _Ref4621057 \h  \* MERGEFORMAT </w:instrText>
      </w:r>
      <w:r>
        <w:rPr>
          <w:color w:val="auto"/>
          <w:highlight w:val="none"/>
        </w:rPr>
        <w:fldChar w:fldCharType="separate"/>
      </w:r>
      <w:r>
        <w:rPr>
          <w:rFonts w:hint="eastAsia" w:ascii="仿宋" w:hAnsi="仿宋" w:eastAsia="仿宋" w:cs="仿宋"/>
          <w:color w:val="auto"/>
          <w:szCs w:val="24"/>
          <w:highlight w:val="none"/>
        </w:rPr>
        <w:t>竣工后试验</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］约定进行的试验。</w:t>
      </w:r>
    </w:p>
    <w:p>
      <w:pPr>
        <w:pStyle w:val="190"/>
        <w:spacing w:after="120"/>
        <w:ind w:left="0"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合同价格和费用</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签约合同价：是指发包人和承包人在合同协议书中确定的总金额，包括暂估价及暂列金额等。</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合同价格：是指发包人用于支付承包人按照合同约定完成承包范围内全部工作的金额，包括合同履行过程中按合同约定发生的价格变化。</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费用：是指为履行合同所发生的或将要发生的所有合理开支，包括管理费和应分摊的其他费用，但不包括利润。</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暂估价：</w:t>
      </w:r>
      <w:bookmarkStart w:id="230" w:name="_Hlk18973781"/>
      <w:r>
        <w:rPr>
          <w:rFonts w:hint="eastAsia" w:ascii="仿宋" w:hAnsi="仿宋" w:eastAsia="仿宋" w:cs="仿宋"/>
          <w:color w:val="auto"/>
          <w:szCs w:val="24"/>
          <w:highlight w:val="none"/>
        </w:rPr>
        <w:t>是指发包人在项目清单中给定的，用于支付必然发生但暂时不能确定价格的专业服务、材料、设备、专业工程的金额。</w:t>
      </w:r>
      <w:bookmarkEnd w:id="230"/>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暂列金额：是指发包人在项目清单中给定的，用于在签订协议书时尚未确定或不可预见变更的设计、施工及其所需材料、工程设备、服务等的金额，包括以计日工方式支付的金额。</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计日工：是指合同履行过程中，承包人完成发包人提出的零星工作或需要采用计日工计价的变更工作时，按合同中约定的单价计价的一种方式。</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质量保证金：是指按第</w:t>
      </w:r>
      <w:r>
        <w:rPr>
          <w:color w:val="auto"/>
          <w:highlight w:val="none"/>
        </w:rPr>
        <w:fldChar w:fldCharType="begin"/>
      </w:r>
      <w:r>
        <w:rPr>
          <w:color w:val="auto"/>
          <w:highlight w:val="none"/>
        </w:rPr>
        <w:instrText xml:space="preserve"> REF _Ref4571100 \r \h  \* MERGEFORMAT </w:instrText>
      </w:r>
      <w:r>
        <w:rPr>
          <w:color w:val="auto"/>
          <w:highlight w:val="none"/>
        </w:rPr>
        <w:fldChar w:fldCharType="separate"/>
      </w:r>
      <w:r>
        <w:rPr>
          <w:rFonts w:hint="eastAsia" w:ascii="仿宋" w:hAnsi="仿宋" w:eastAsia="仿宋" w:cs="仿宋"/>
          <w:color w:val="auto"/>
          <w:szCs w:val="24"/>
          <w:highlight w:val="none"/>
        </w:rPr>
        <w:t>14.6</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款［</w:t>
      </w:r>
      <w:r>
        <w:rPr>
          <w:color w:val="auto"/>
          <w:highlight w:val="none"/>
        </w:rPr>
        <w:fldChar w:fldCharType="begin"/>
      </w:r>
      <w:r>
        <w:rPr>
          <w:color w:val="auto"/>
          <w:highlight w:val="none"/>
        </w:rPr>
        <w:instrText xml:space="preserve"> REF _Ref15395020 \h  \* MERGEFORMAT </w:instrText>
      </w:r>
      <w:r>
        <w:rPr>
          <w:color w:val="auto"/>
          <w:highlight w:val="none"/>
        </w:rPr>
        <w:fldChar w:fldCharType="separate"/>
      </w:r>
      <w:r>
        <w:rPr>
          <w:rFonts w:hint="eastAsia" w:ascii="仿宋" w:hAnsi="仿宋" w:eastAsia="仿宋" w:cs="仿宋"/>
          <w:color w:val="auto"/>
          <w:szCs w:val="24"/>
          <w:highlight w:val="none"/>
        </w:rPr>
        <w:t>质量保证金</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］约定承包人用于保证其在缺陷责任期内履行缺陷修复义务的担保。</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成本：指承包人在现场内外履行合同过程中所发生（或将发生）的所有合理开支，包括税金、管理费用及类似的支出，但不包括利润。</w:t>
      </w:r>
    </w:p>
    <w:p>
      <w:pPr>
        <w:pStyle w:val="190"/>
        <w:spacing w:after="120"/>
        <w:ind w:left="0"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利润：系指专用合同条件中所列的适用的利润百分比（如未列出，则为百分之五（5%））。如承包人根据本合同的任何条款有权就成本加利润获得支付，则利润应以该部分成本作为基数计算。</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书面形式：指合同文件、信函、电报、传真、数据电文、电子邮件、会议纪要等可以有形地表现所载内容的形式。</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承包人文件：指由承包人根据合同约定应提交的所有图纸、手册、模型、计算书、软件、函件、洽商性文件和其他技术性文件。</w:t>
      </w:r>
    </w:p>
    <w:p>
      <w:pPr>
        <w:pStyle w:val="191"/>
        <w:widowControl/>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变更：指根据</w:t>
      </w:r>
      <w:r>
        <w:rPr>
          <w:color w:val="auto"/>
          <w:highlight w:val="none"/>
        </w:rPr>
        <w:fldChar w:fldCharType="begin"/>
      </w:r>
      <w:r>
        <w:rPr>
          <w:color w:val="auto"/>
          <w:highlight w:val="none"/>
        </w:rPr>
        <w:instrText xml:space="preserve"> REF _Ref4415801 \r \h  \* MERGEFORMAT </w:instrText>
      </w:r>
      <w:r>
        <w:rPr>
          <w:color w:val="auto"/>
          <w:highlight w:val="none"/>
        </w:rPr>
        <w:fldChar w:fldCharType="separate"/>
      </w:r>
      <w:r>
        <w:rPr>
          <w:rFonts w:hint="eastAsia" w:ascii="仿宋" w:hAnsi="仿宋" w:eastAsia="仿宋" w:cs="仿宋"/>
          <w:color w:val="auto"/>
          <w:szCs w:val="24"/>
          <w:highlight w:val="none"/>
        </w:rPr>
        <w:t>第13条</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w:t>
      </w:r>
      <w:r>
        <w:rPr>
          <w:color w:val="auto"/>
          <w:highlight w:val="none"/>
        </w:rPr>
        <w:fldChar w:fldCharType="begin"/>
      </w:r>
      <w:r>
        <w:rPr>
          <w:color w:val="auto"/>
          <w:highlight w:val="none"/>
        </w:rPr>
        <w:instrText xml:space="preserve"> REF _Ref4415801 \h  \* MERGEFORMAT </w:instrText>
      </w:r>
      <w:r>
        <w:rPr>
          <w:color w:val="auto"/>
          <w:highlight w:val="none"/>
        </w:rPr>
        <w:fldChar w:fldCharType="separate"/>
      </w:r>
      <w:r>
        <w:rPr>
          <w:rFonts w:hint="eastAsia" w:ascii="仿宋" w:hAnsi="仿宋" w:eastAsia="仿宋" w:cs="仿宋"/>
          <w:color w:val="auto"/>
          <w:szCs w:val="24"/>
          <w:highlight w:val="none"/>
        </w:rPr>
        <w:t>变更与调整</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］的约定，经指示或批准对《发包人要求》或工程所做的改变。</w:t>
      </w:r>
    </w:p>
    <w:bookmarkEnd w:id="220"/>
    <w:p>
      <w:pPr>
        <w:pStyle w:val="189"/>
        <w:widowControl/>
        <w:numPr>
          <w:ilvl w:val="1"/>
          <w:numId w:val="13"/>
        </w:numPr>
        <w:spacing w:after="120"/>
        <w:ind w:left="0" w:right="-512" w:rightChars="-244"/>
        <w:rPr>
          <w:rFonts w:ascii="仿宋" w:hAnsi="仿宋" w:eastAsia="仿宋" w:cs="仿宋"/>
          <w:b w:val="0"/>
          <w:bCs/>
          <w:color w:val="auto"/>
          <w:highlight w:val="none"/>
        </w:rPr>
      </w:pPr>
      <w:bookmarkStart w:id="231" w:name="_Toc20171724"/>
      <w:bookmarkStart w:id="232" w:name="_Ref509042104"/>
      <w:bookmarkStart w:id="233" w:name="_Toc10001_WPSOffice_Level3"/>
      <w:bookmarkStart w:id="234" w:name="_Ref509042101"/>
      <w:bookmarkStart w:id="235" w:name="_Ref522730349"/>
      <w:bookmarkStart w:id="236" w:name="_Ref522730353"/>
      <w:r>
        <w:rPr>
          <w:rFonts w:hint="eastAsia" w:ascii="仿宋" w:hAnsi="仿宋" w:eastAsia="仿宋" w:cs="仿宋"/>
          <w:b w:val="0"/>
          <w:bCs/>
          <w:color w:val="auto"/>
          <w:highlight w:val="none"/>
        </w:rPr>
        <w:t>语言文字</w:t>
      </w:r>
      <w:bookmarkEnd w:id="231"/>
      <w:bookmarkEnd w:id="232"/>
      <w:bookmarkEnd w:id="233"/>
      <w:bookmarkEnd w:id="234"/>
      <w:r>
        <w:rPr>
          <w:rFonts w:hint="eastAsia" w:ascii="仿宋" w:hAnsi="仿宋" w:eastAsia="仿宋" w:cs="仿宋"/>
          <w:b w:val="0"/>
          <w:bCs/>
          <w:color w:val="auto"/>
          <w:highlight w:val="none"/>
        </w:rPr>
        <w:t xml:space="preserve"> </w:t>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合同文件以中国的汉语简体语言文字编写、解释和说明。专用术语使用外文的，应附有中文注释。合同当事人在专用合同条件约定使用两种及以上语言时，汉语为优先解释和说明合同的语言。</w:t>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与合同有关的联络应使用专用合同条件约定的语言。如没有约定，则应使用中国的汉语简体语言文字。</w:t>
      </w:r>
    </w:p>
    <w:p>
      <w:pPr>
        <w:pStyle w:val="189"/>
        <w:widowControl/>
        <w:numPr>
          <w:ilvl w:val="1"/>
          <w:numId w:val="13"/>
        </w:numPr>
        <w:spacing w:after="120"/>
        <w:ind w:left="0" w:right="-512" w:rightChars="-244"/>
        <w:rPr>
          <w:rFonts w:ascii="仿宋" w:hAnsi="仿宋" w:eastAsia="仿宋" w:cs="仿宋"/>
          <w:b w:val="0"/>
          <w:bCs/>
          <w:color w:val="auto"/>
          <w:highlight w:val="none"/>
        </w:rPr>
      </w:pPr>
      <w:bookmarkStart w:id="237" w:name="_Toc14933_WPSOffice_Level3"/>
      <w:bookmarkStart w:id="238" w:name="_Ref531949543"/>
      <w:bookmarkStart w:id="239" w:name="_Ref531949539"/>
      <w:bookmarkStart w:id="240" w:name="_Toc20171725"/>
      <w:r>
        <w:rPr>
          <w:rFonts w:hint="eastAsia" w:ascii="仿宋" w:hAnsi="仿宋" w:eastAsia="仿宋" w:cs="仿宋"/>
          <w:b w:val="0"/>
          <w:bCs/>
          <w:color w:val="auto"/>
          <w:highlight w:val="none"/>
        </w:rPr>
        <w:t>法律</w:t>
      </w:r>
      <w:bookmarkEnd w:id="237"/>
      <w:bookmarkEnd w:id="238"/>
      <w:bookmarkEnd w:id="239"/>
      <w:bookmarkEnd w:id="240"/>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合同所称法律是指中华人民共和国法律、行政法规、部门规章，以及工程所在地的地方法规、自治条例、单行条例和地方政府规章等。</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合同当事人可以在专用合同条件中约定合同适用的其他规范性文件。</w:t>
      </w:r>
    </w:p>
    <w:p>
      <w:pPr>
        <w:pStyle w:val="189"/>
        <w:widowControl/>
        <w:numPr>
          <w:ilvl w:val="1"/>
          <w:numId w:val="13"/>
        </w:numPr>
        <w:spacing w:after="120"/>
        <w:ind w:left="0" w:right="-512" w:rightChars="-244"/>
        <w:rPr>
          <w:rFonts w:ascii="仿宋" w:hAnsi="仿宋" w:eastAsia="仿宋" w:cs="仿宋"/>
          <w:b w:val="0"/>
          <w:bCs/>
          <w:color w:val="auto"/>
          <w:highlight w:val="none"/>
        </w:rPr>
      </w:pPr>
      <w:bookmarkStart w:id="241" w:name="_Ref531949589"/>
      <w:bookmarkStart w:id="242" w:name="_Toc20171726"/>
      <w:bookmarkStart w:id="243" w:name="_Toc20336_WPSOffice_Level3"/>
      <w:bookmarkStart w:id="244" w:name="_Ref531949594"/>
      <w:r>
        <w:rPr>
          <w:rFonts w:hint="eastAsia" w:ascii="仿宋" w:hAnsi="仿宋" w:eastAsia="仿宋" w:cs="仿宋"/>
          <w:b w:val="0"/>
          <w:bCs/>
          <w:color w:val="auto"/>
          <w:highlight w:val="none"/>
        </w:rPr>
        <w:t>标准和规范</w:t>
      </w:r>
      <w:bookmarkEnd w:id="241"/>
      <w:bookmarkEnd w:id="242"/>
      <w:bookmarkEnd w:id="243"/>
      <w:bookmarkEnd w:id="244"/>
    </w:p>
    <w:p>
      <w:pPr>
        <w:pStyle w:val="190"/>
        <w:spacing w:after="120"/>
        <w:ind w:left="0" w:right="-512" w:rightChars="-244"/>
        <w:rPr>
          <w:rFonts w:ascii="仿宋" w:hAnsi="仿宋" w:eastAsia="仿宋" w:cs="仿宋"/>
          <w:color w:val="auto"/>
          <w:szCs w:val="24"/>
          <w:highlight w:val="none"/>
        </w:rPr>
      </w:pPr>
      <w:bookmarkStart w:id="245" w:name="_Ref4420991"/>
      <w:r>
        <w:rPr>
          <w:rFonts w:hint="eastAsia" w:ascii="仿宋" w:hAnsi="仿宋" w:eastAsia="仿宋" w:cs="仿宋"/>
          <w:color w:val="auto"/>
          <w:szCs w:val="24"/>
          <w:highlight w:val="none"/>
        </w:rPr>
        <w:t>适用于工程的国家标准、行业标准、工程所在地的地方性标准，以及相应的规范、规程等，合同当事人有特别要求的，应在专用合同条件中约定。</w:t>
      </w:r>
      <w:bookmarkEnd w:id="245"/>
    </w:p>
    <w:p>
      <w:pPr>
        <w:pStyle w:val="190"/>
        <w:spacing w:after="120"/>
        <w:ind w:left="0" w:right="-512" w:rightChars="-244"/>
        <w:rPr>
          <w:rFonts w:ascii="仿宋" w:hAnsi="仿宋" w:eastAsia="仿宋" w:cs="仿宋"/>
          <w:color w:val="auto"/>
          <w:szCs w:val="24"/>
          <w:highlight w:val="none"/>
        </w:rPr>
      </w:pPr>
      <w:bookmarkStart w:id="246" w:name="_Ref531949642"/>
      <w:r>
        <w:rPr>
          <w:rFonts w:hint="eastAsia" w:ascii="仿宋" w:hAnsi="仿宋" w:eastAsia="仿宋" w:cs="仿宋"/>
          <w:color w:val="auto"/>
          <w:szCs w:val="24"/>
          <w:highlight w:val="none"/>
        </w:rPr>
        <w:t>发包人要求使用国外标准、规范的，发包人负责提供原文版本和中文译本，并在专用合同条件中约定提供标准规范的名称、份数和时间。</w:t>
      </w:r>
      <w:bookmarkEnd w:id="246"/>
    </w:p>
    <w:p>
      <w:pPr>
        <w:pStyle w:val="190"/>
        <w:spacing w:after="120"/>
        <w:ind w:left="0" w:right="-512" w:rightChars="-244"/>
        <w:rPr>
          <w:rFonts w:ascii="仿宋" w:hAnsi="仿宋" w:eastAsia="仿宋" w:cs="仿宋"/>
          <w:color w:val="auto"/>
          <w:szCs w:val="24"/>
          <w:highlight w:val="none"/>
        </w:rPr>
      </w:pPr>
      <w:bookmarkStart w:id="247" w:name="_Ref531949657"/>
      <w:r>
        <w:rPr>
          <w:rFonts w:hint="eastAsia" w:ascii="仿宋" w:hAnsi="仿宋" w:eastAsia="仿宋" w:cs="仿宋"/>
          <w:color w:val="auto"/>
          <w:szCs w:val="24"/>
          <w:highlight w:val="none"/>
        </w:rPr>
        <w:t>没有相应成文规定的标准、规范时，由发包人在专用合同条件中约定的时间向承包人列明技术要求，承包人按约定的时间和技术要求提出实施方法，经发包人认可后执行。承包人需要对实施方法进行研发试验的，或须对项目人员进行特殊培训的，除签约合同价已包含此项费用外，双方应另行签订协议作为合同附件，其费用由发包人承担。</w:t>
      </w:r>
      <w:bookmarkEnd w:id="247"/>
    </w:p>
    <w:p>
      <w:pPr>
        <w:pStyle w:val="190"/>
        <w:spacing w:after="120"/>
        <w:ind w:left="0" w:right="-512" w:rightChars="-244"/>
        <w:rPr>
          <w:rFonts w:ascii="仿宋" w:hAnsi="仿宋" w:eastAsia="仿宋" w:cs="仿宋"/>
          <w:color w:val="auto"/>
          <w:szCs w:val="24"/>
          <w:highlight w:val="none"/>
        </w:rPr>
      </w:pPr>
      <w:bookmarkStart w:id="248" w:name="_Ref4421272"/>
      <w:r>
        <w:rPr>
          <w:rFonts w:hint="eastAsia" w:ascii="仿宋" w:hAnsi="仿宋" w:eastAsia="仿宋" w:cs="仿宋"/>
          <w:color w:val="auto"/>
          <w:szCs w:val="24"/>
          <w:highlight w:val="none"/>
        </w:rPr>
        <w:t>发包人对于工程的技术标准、功能要求高于或严于现行国家、行业或地方标准的，应当在《发包人要求》中予以明确。除专用合同条件另有约定外，应视为承包人在签订合同前已充分预见前述技术标准和功能要求的复杂程度，签约合同价中已包含由此产生的费用。</w:t>
      </w:r>
      <w:bookmarkEnd w:id="248"/>
    </w:p>
    <w:p>
      <w:pPr>
        <w:pStyle w:val="189"/>
        <w:widowControl/>
        <w:numPr>
          <w:ilvl w:val="1"/>
          <w:numId w:val="13"/>
        </w:numPr>
        <w:spacing w:after="120"/>
        <w:ind w:left="0" w:right="-512" w:rightChars="-244"/>
        <w:rPr>
          <w:rFonts w:ascii="仿宋" w:hAnsi="仿宋" w:eastAsia="仿宋" w:cs="仿宋"/>
          <w:b w:val="0"/>
          <w:bCs/>
          <w:color w:val="auto"/>
          <w:highlight w:val="none"/>
        </w:rPr>
      </w:pPr>
      <w:bookmarkStart w:id="249" w:name="_Toc21916_WPSOffice_Level3"/>
      <w:bookmarkStart w:id="250" w:name="_Ref4421717"/>
      <w:bookmarkStart w:id="251" w:name="_Toc20171727"/>
      <w:r>
        <w:rPr>
          <w:rFonts w:hint="eastAsia" w:ascii="仿宋" w:hAnsi="仿宋" w:eastAsia="仿宋" w:cs="仿宋"/>
          <w:b w:val="0"/>
          <w:bCs/>
          <w:color w:val="auto"/>
          <w:highlight w:val="none"/>
        </w:rPr>
        <w:t>合同文件的优先顺序</w:t>
      </w:r>
      <w:bookmarkEnd w:id="235"/>
      <w:bookmarkEnd w:id="236"/>
      <w:bookmarkEnd w:id="249"/>
      <w:bookmarkEnd w:id="250"/>
      <w:bookmarkEnd w:id="251"/>
    </w:p>
    <w:p>
      <w:pPr>
        <w:spacing w:after="120"/>
        <w:ind w:right="-512" w:rightChars="-244" w:firstLine="600"/>
        <w:rPr>
          <w:rFonts w:ascii="仿宋" w:hAnsi="仿宋" w:eastAsia="仿宋" w:cs="仿宋"/>
          <w:color w:val="auto"/>
          <w:sz w:val="24"/>
          <w:szCs w:val="24"/>
          <w:highlight w:val="none"/>
        </w:rPr>
      </w:pPr>
      <w:bookmarkStart w:id="252" w:name="_Ref531948776"/>
      <w:r>
        <w:rPr>
          <w:rFonts w:hint="eastAsia" w:ascii="仿宋" w:hAnsi="仿宋" w:eastAsia="仿宋" w:cs="仿宋"/>
          <w:color w:val="auto"/>
          <w:sz w:val="24"/>
          <w:szCs w:val="24"/>
          <w:highlight w:val="none"/>
        </w:rPr>
        <w:t>组成合同的各项文件应互相解释，互为说明。除专用合同条件另有约定外，</w:t>
      </w:r>
      <w:bookmarkEnd w:id="252"/>
      <w:r>
        <w:rPr>
          <w:rFonts w:hint="eastAsia" w:ascii="仿宋" w:hAnsi="仿宋" w:eastAsia="仿宋" w:cs="仿宋"/>
          <w:color w:val="auto"/>
          <w:sz w:val="24"/>
          <w:szCs w:val="24"/>
          <w:highlight w:val="none"/>
        </w:rPr>
        <w:t>解释合同文件的优先顺序如下：</w:t>
      </w:r>
    </w:p>
    <w:p>
      <w:pPr>
        <w:pStyle w:val="192"/>
        <w:spacing w:after="120"/>
        <w:ind w:right="-512" w:rightChars="-244" w:firstLine="426"/>
        <w:rPr>
          <w:rFonts w:ascii="仿宋" w:hAnsi="仿宋" w:eastAsia="仿宋" w:cs="仿宋"/>
          <w:color w:val="auto"/>
          <w:sz w:val="24"/>
          <w:highlight w:val="none"/>
        </w:rPr>
      </w:pPr>
      <w:r>
        <w:rPr>
          <w:rFonts w:hint="eastAsia" w:ascii="仿宋" w:hAnsi="仿宋" w:eastAsia="仿宋" w:cs="仿宋"/>
          <w:color w:val="auto"/>
          <w:sz w:val="24"/>
          <w:highlight w:val="none"/>
        </w:rPr>
        <w:t>合同协议书；</w:t>
      </w:r>
    </w:p>
    <w:p>
      <w:pPr>
        <w:pStyle w:val="192"/>
        <w:spacing w:after="120"/>
        <w:ind w:right="-512" w:rightChars="-244" w:firstLine="426"/>
        <w:rPr>
          <w:rFonts w:ascii="仿宋" w:hAnsi="仿宋" w:eastAsia="仿宋" w:cs="仿宋"/>
          <w:color w:val="auto"/>
          <w:sz w:val="24"/>
          <w:highlight w:val="none"/>
        </w:rPr>
      </w:pPr>
      <w:r>
        <w:rPr>
          <w:rFonts w:hint="eastAsia" w:ascii="仿宋" w:hAnsi="仿宋" w:eastAsia="仿宋" w:cs="仿宋"/>
          <w:color w:val="auto"/>
          <w:sz w:val="24"/>
          <w:highlight w:val="none"/>
        </w:rPr>
        <w:t>中标通知书（如果有）；</w:t>
      </w:r>
    </w:p>
    <w:p>
      <w:pPr>
        <w:pStyle w:val="192"/>
        <w:spacing w:after="120"/>
        <w:ind w:right="-512" w:rightChars="-244" w:firstLine="426"/>
        <w:rPr>
          <w:rFonts w:ascii="仿宋" w:hAnsi="仿宋" w:eastAsia="仿宋" w:cs="仿宋"/>
          <w:color w:val="auto"/>
          <w:sz w:val="24"/>
          <w:highlight w:val="none"/>
        </w:rPr>
      </w:pPr>
      <w:r>
        <w:rPr>
          <w:rFonts w:hint="eastAsia" w:ascii="仿宋" w:hAnsi="仿宋" w:eastAsia="仿宋" w:cs="仿宋"/>
          <w:color w:val="auto"/>
          <w:sz w:val="24"/>
          <w:highlight w:val="none"/>
        </w:rPr>
        <w:t>投标函及投标函附录（如果有）；</w:t>
      </w:r>
    </w:p>
    <w:p>
      <w:pPr>
        <w:pStyle w:val="192"/>
        <w:spacing w:after="120"/>
        <w:ind w:right="-512" w:rightChars="-244" w:firstLine="426"/>
        <w:rPr>
          <w:rFonts w:ascii="仿宋" w:hAnsi="仿宋" w:eastAsia="仿宋" w:cs="仿宋"/>
          <w:color w:val="auto"/>
          <w:sz w:val="24"/>
          <w:highlight w:val="none"/>
        </w:rPr>
      </w:pPr>
      <w:r>
        <w:rPr>
          <w:rFonts w:hint="eastAsia" w:ascii="仿宋" w:hAnsi="仿宋" w:eastAsia="仿宋" w:cs="仿宋"/>
          <w:color w:val="auto"/>
          <w:sz w:val="24"/>
          <w:highlight w:val="none"/>
        </w:rPr>
        <w:t>专用合同条件及其附件；</w:t>
      </w:r>
    </w:p>
    <w:p>
      <w:pPr>
        <w:pStyle w:val="192"/>
        <w:spacing w:after="120"/>
        <w:ind w:right="-512" w:rightChars="-244" w:firstLine="426"/>
        <w:rPr>
          <w:rFonts w:ascii="仿宋" w:hAnsi="仿宋" w:eastAsia="仿宋" w:cs="仿宋"/>
          <w:color w:val="auto"/>
          <w:sz w:val="24"/>
          <w:highlight w:val="none"/>
        </w:rPr>
      </w:pPr>
      <w:r>
        <w:rPr>
          <w:rFonts w:hint="eastAsia" w:ascii="仿宋" w:hAnsi="仿宋" w:eastAsia="仿宋" w:cs="仿宋"/>
          <w:color w:val="auto"/>
          <w:sz w:val="24"/>
          <w:highlight w:val="none"/>
        </w:rPr>
        <w:t>通用合同条件；</w:t>
      </w:r>
    </w:p>
    <w:p>
      <w:pPr>
        <w:pStyle w:val="192"/>
        <w:spacing w:after="120"/>
        <w:ind w:right="-512" w:rightChars="-244" w:firstLine="426"/>
        <w:rPr>
          <w:rFonts w:ascii="仿宋" w:hAnsi="仿宋" w:eastAsia="仿宋" w:cs="仿宋"/>
          <w:color w:val="auto"/>
          <w:sz w:val="24"/>
          <w:highlight w:val="none"/>
        </w:rPr>
      </w:pPr>
      <w:r>
        <w:rPr>
          <w:rFonts w:hint="eastAsia" w:ascii="仿宋" w:hAnsi="仿宋" w:eastAsia="仿宋" w:cs="仿宋"/>
          <w:color w:val="auto"/>
          <w:sz w:val="24"/>
          <w:highlight w:val="none"/>
        </w:rPr>
        <w:t>《发包人要求》；</w:t>
      </w:r>
    </w:p>
    <w:p>
      <w:pPr>
        <w:pStyle w:val="192"/>
        <w:spacing w:after="120"/>
        <w:ind w:right="-512" w:rightChars="-244" w:firstLine="426"/>
        <w:rPr>
          <w:rFonts w:ascii="仿宋" w:hAnsi="仿宋" w:eastAsia="仿宋" w:cs="仿宋"/>
          <w:color w:val="auto"/>
          <w:sz w:val="24"/>
          <w:highlight w:val="none"/>
        </w:rPr>
      </w:pPr>
      <w:r>
        <w:rPr>
          <w:rFonts w:hint="eastAsia" w:ascii="仿宋" w:hAnsi="仿宋" w:eastAsia="仿宋" w:cs="仿宋"/>
          <w:color w:val="auto"/>
          <w:sz w:val="24"/>
          <w:highlight w:val="none"/>
        </w:rPr>
        <w:t xml:space="preserve">承包人建议书； </w:t>
      </w:r>
    </w:p>
    <w:p>
      <w:pPr>
        <w:pStyle w:val="192"/>
        <w:spacing w:after="120"/>
        <w:ind w:right="-512" w:rightChars="-244" w:firstLine="426"/>
        <w:rPr>
          <w:rFonts w:ascii="仿宋" w:hAnsi="仿宋" w:eastAsia="仿宋" w:cs="仿宋"/>
          <w:color w:val="auto"/>
          <w:sz w:val="24"/>
          <w:highlight w:val="none"/>
        </w:rPr>
      </w:pPr>
      <w:r>
        <w:rPr>
          <w:rFonts w:hint="eastAsia" w:ascii="仿宋" w:hAnsi="仿宋" w:eastAsia="仿宋" w:cs="仿宋"/>
          <w:color w:val="auto"/>
          <w:sz w:val="24"/>
          <w:highlight w:val="none"/>
        </w:rPr>
        <w:t>价格清单；</w:t>
      </w:r>
    </w:p>
    <w:p>
      <w:pPr>
        <w:pStyle w:val="192"/>
        <w:spacing w:after="120"/>
        <w:ind w:right="-512" w:rightChars="-244" w:firstLine="426"/>
        <w:rPr>
          <w:rFonts w:ascii="仿宋" w:hAnsi="仿宋" w:eastAsia="仿宋" w:cs="仿宋"/>
          <w:color w:val="auto"/>
          <w:sz w:val="24"/>
          <w:highlight w:val="none"/>
        </w:rPr>
      </w:pPr>
      <w:r>
        <w:rPr>
          <w:rFonts w:hint="eastAsia" w:ascii="仿宋" w:hAnsi="仿宋" w:eastAsia="仿宋" w:cs="仿宋"/>
          <w:color w:val="auto"/>
          <w:sz w:val="24"/>
          <w:highlight w:val="none"/>
        </w:rPr>
        <w:t>双方约定的其他合同文件。</w:t>
      </w:r>
    </w:p>
    <w:p>
      <w:pPr>
        <w:spacing w:after="120"/>
        <w:ind w:right="-512" w:rightChars="-244" w:firstLine="600"/>
        <w:rPr>
          <w:rFonts w:ascii="仿宋" w:hAnsi="仿宋" w:eastAsia="仿宋" w:cs="仿宋"/>
          <w:color w:val="auto"/>
          <w:sz w:val="24"/>
          <w:szCs w:val="24"/>
          <w:highlight w:val="none"/>
        </w:rPr>
      </w:pPr>
      <w:bookmarkStart w:id="253" w:name="_Hlk18951547"/>
      <w:r>
        <w:rPr>
          <w:rFonts w:hint="eastAsia" w:ascii="仿宋" w:hAnsi="仿宋" w:eastAsia="仿宋" w:cs="仿宋"/>
          <w:color w:val="auto"/>
          <w:sz w:val="24"/>
          <w:szCs w:val="24"/>
          <w:highlight w:val="none"/>
        </w:rPr>
        <w:t>上述各项合同文件包括合同当事人就该项合同文件所作出的补充和修改，属于同一类内容的文件，应以最新签署的为准</w:t>
      </w:r>
      <w:bookmarkEnd w:id="253"/>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在合同订立及履行过程中形成的与合同有关的文件均构成合同文件组成部分，并根据其性质确定优先解释顺序。</w:t>
      </w:r>
    </w:p>
    <w:p>
      <w:pPr>
        <w:pStyle w:val="189"/>
        <w:widowControl/>
        <w:numPr>
          <w:ilvl w:val="1"/>
          <w:numId w:val="13"/>
        </w:numPr>
        <w:spacing w:after="120"/>
        <w:ind w:left="0" w:right="-512" w:rightChars="-244"/>
        <w:rPr>
          <w:rFonts w:ascii="仿宋" w:hAnsi="仿宋" w:eastAsia="仿宋" w:cs="仿宋"/>
          <w:b w:val="0"/>
          <w:bCs/>
          <w:color w:val="auto"/>
          <w:highlight w:val="none"/>
        </w:rPr>
      </w:pPr>
      <w:bookmarkStart w:id="254" w:name="_Ref4422060"/>
      <w:bookmarkStart w:id="255" w:name="_Toc20171728"/>
      <w:bookmarkStart w:id="256" w:name="_Ref11917818"/>
      <w:bookmarkStart w:id="257" w:name="_Toc7189_WPSOffice_Level3"/>
      <w:bookmarkStart w:id="258" w:name="_Ref531949822"/>
      <w:bookmarkStart w:id="259" w:name="_Ref531949807"/>
      <w:bookmarkStart w:id="260" w:name="_Ref531949803"/>
      <w:bookmarkStart w:id="261" w:name="_Ref523403776"/>
      <w:bookmarkStart w:id="262" w:name="_Ref523403409"/>
      <w:r>
        <w:rPr>
          <w:rFonts w:hint="eastAsia" w:ascii="仿宋" w:hAnsi="仿宋" w:eastAsia="仿宋" w:cs="仿宋"/>
          <w:b w:val="0"/>
          <w:bCs/>
          <w:color w:val="auto"/>
          <w:highlight w:val="none"/>
        </w:rPr>
        <w:t>文件的提供和</w:t>
      </w:r>
      <w:bookmarkEnd w:id="254"/>
      <w:r>
        <w:rPr>
          <w:rFonts w:hint="eastAsia" w:ascii="仿宋" w:hAnsi="仿宋" w:eastAsia="仿宋" w:cs="仿宋"/>
          <w:b w:val="0"/>
          <w:bCs/>
          <w:color w:val="auto"/>
          <w:highlight w:val="none"/>
        </w:rPr>
        <w:t>照管</w:t>
      </w:r>
      <w:bookmarkEnd w:id="255"/>
      <w:bookmarkEnd w:id="256"/>
      <w:bookmarkEnd w:id="257"/>
    </w:p>
    <w:p>
      <w:pPr>
        <w:pStyle w:val="190"/>
        <w:spacing w:after="120"/>
        <w:ind w:left="0" w:right="-512" w:rightChars="-244"/>
        <w:rPr>
          <w:rFonts w:ascii="仿宋" w:hAnsi="仿宋" w:eastAsia="仿宋" w:cs="仿宋"/>
          <w:color w:val="auto"/>
          <w:szCs w:val="24"/>
          <w:highlight w:val="none"/>
        </w:rPr>
      </w:pPr>
      <w:bookmarkStart w:id="263" w:name="_Ref4421991"/>
      <w:r>
        <w:rPr>
          <w:rFonts w:hint="eastAsia" w:ascii="仿宋" w:hAnsi="仿宋" w:eastAsia="仿宋" w:cs="仿宋"/>
          <w:color w:val="auto"/>
          <w:szCs w:val="24"/>
          <w:highlight w:val="none"/>
        </w:rPr>
        <w:t>发包人文件的提供</w:t>
      </w:r>
      <w:bookmarkEnd w:id="263"/>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按照专用合同条件约定的期限、数量和形式向承包人免费提供前期工作相关资料、环境保护、气象水文、地质条件进行工程设计、现场施工等工程实施所需的文件。因发包人未按合同约定提供文件造成工期延误的，按照第</w:t>
      </w:r>
      <w:r>
        <w:rPr>
          <w:color w:val="auto"/>
          <w:highlight w:val="none"/>
        </w:rPr>
        <w:fldChar w:fldCharType="begin"/>
      </w:r>
      <w:r>
        <w:rPr>
          <w:color w:val="auto"/>
          <w:highlight w:val="none"/>
        </w:rPr>
        <w:instrText xml:space="preserve"> REF _Ref4796050 \r \h  \* MERGEFORMAT </w:instrText>
      </w:r>
      <w:r>
        <w:rPr>
          <w:color w:val="auto"/>
          <w:highlight w:val="none"/>
        </w:rPr>
        <w:fldChar w:fldCharType="separate"/>
      </w:r>
      <w:r>
        <w:rPr>
          <w:rFonts w:hint="eastAsia" w:ascii="仿宋" w:hAnsi="仿宋" w:eastAsia="仿宋" w:cs="仿宋"/>
          <w:color w:val="auto"/>
          <w:sz w:val="24"/>
          <w:szCs w:val="24"/>
          <w:highlight w:val="none"/>
        </w:rPr>
        <w:t>8.7.1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项［</w:t>
      </w:r>
      <w:r>
        <w:rPr>
          <w:color w:val="auto"/>
          <w:highlight w:val="none"/>
        </w:rPr>
        <w:fldChar w:fldCharType="begin"/>
      </w:r>
      <w:r>
        <w:rPr>
          <w:color w:val="auto"/>
          <w:highlight w:val="none"/>
        </w:rPr>
        <w:instrText xml:space="preserve"> REF _Ref4796050 \h  \* MERGEFORMAT </w:instrText>
      </w:r>
      <w:r>
        <w:rPr>
          <w:color w:val="auto"/>
          <w:highlight w:val="none"/>
        </w:rPr>
        <w:fldChar w:fldCharType="separate"/>
      </w:r>
      <w:r>
        <w:rPr>
          <w:rFonts w:hint="eastAsia" w:ascii="仿宋" w:hAnsi="仿宋" w:eastAsia="仿宋" w:cs="仿宋"/>
          <w:color w:val="auto"/>
          <w:sz w:val="24"/>
          <w:szCs w:val="24"/>
          <w:highlight w:val="none"/>
        </w:rPr>
        <w:t>因发包人原因导致工期延误</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］约定办理。</w:t>
      </w:r>
    </w:p>
    <w:p>
      <w:pPr>
        <w:pStyle w:val="190"/>
        <w:spacing w:after="120"/>
        <w:ind w:left="0" w:right="-512" w:rightChars="-244"/>
        <w:rPr>
          <w:rFonts w:ascii="仿宋" w:hAnsi="仿宋" w:eastAsia="仿宋" w:cs="仿宋"/>
          <w:color w:val="auto"/>
          <w:szCs w:val="24"/>
          <w:highlight w:val="none"/>
        </w:rPr>
      </w:pPr>
      <w:bookmarkStart w:id="264" w:name="_Ref4422317"/>
      <w:r>
        <w:rPr>
          <w:rFonts w:hint="eastAsia" w:ascii="仿宋" w:hAnsi="仿宋" w:eastAsia="仿宋" w:cs="仿宋"/>
          <w:color w:val="auto"/>
          <w:szCs w:val="24"/>
          <w:highlight w:val="none"/>
        </w:rPr>
        <w:t>承包人文件的提供</w:t>
      </w:r>
      <w:bookmarkEnd w:id="264"/>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除非专用合同条件另有约定，承包人文件应包含下列内容，并用第</w:t>
      </w:r>
      <w:r>
        <w:rPr>
          <w:color w:val="auto"/>
          <w:highlight w:val="none"/>
        </w:rPr>
        <w:fldChar w:fldCharType="begin"/>
      </w:r>
      <w:r>
        <w:rPr>
          <w:color w:val="auto"/>
          <w:highlight w:val="none"/>
        </w:rPr>
        <w:instrText xml:space="preserve"> REF _Ref509042101 \r \h  \* MERGEFORMAT </w:instrText>
      </w:r>
      <w:r>
        <w:rPr>
          <w:color w:val="auto"/>
          <w:highlight w:val="none"/>
        </w:rPr>
        <w:fldChar w:fldCharType="separate"/>
      </w:r>
      <w:r>
        <w:rPr>
          <w:rFonts w:hint="eastAsia" w:ascii="仿宋" w:hAnsi="仿宋" w:eastAsia="仿宋" w:cs="仿宋"/>
          <w:color w:val="auto"/>
          <w:sz w:val="24"/>
          <w:szCs w:val="24"/>
          <w:highlight w:val="none"/>
        </w:rPr>
        <w:t>1.2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款［</w:t>
      </w:r>
      <w:r>
        <w:rPr>
          <w:color w:val="auto"/>
          <w:highlight w:val="none"/>
        </w:rPr>
        <w:fldChar w:fldCharType="begin"/>
      </w:r>
      <w:r>
        <w:rPr>
          <w:color w:val="auto"/>
          <w:highlight w:val="none"/>
        </w:rPr>
        <w:instrText xml:space="preserve"> REF _Ref509042101 \h  \* MERGEFORMAT </w:instrText>
      </w:r>
      <w:r>
        <w:rPr>
          <w:color w:val="auto"/>
          <w:highlight w:val="none"/>
        </w:rPr>
        <w:fldChar w:fldCharType="separate"/>
      </w:r>
      <w:r>
        <w:rPr>
          <w:rFonts w:hint="eastAsia" w:ascii="仿宋" w:hAnsi="仿宋" w:eastAsia="仿宋" w:cs="仿宋"/>
          <w:color w:val="auto"/>
          <w:sz w:val="24"/>
          <w:szCs w:val="24"/>
          <w:highlight w:val="none"/>
        </w:rPr>
        <w:t>语言文字</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］约定的语言制作：</w:t>
      </w:r>
    </w:p>
    <w:p>
      <w:pPr>
        <w:pStyle w:val="192"/>
        <w:spacing w:after="120"/>
        <w:ind w:right="-512" w:rightChars="-244" w:firstLine="426"/>
        <w:rPr>
          <w:rFonts w:ascii="仿宋" w:hAnsi="仿宋" w:eastAsia="仿宋" w:cs="仿宋"/>
          <w:color w:val="auto"/>
          <w:sz w:val="24"/>
          <w:highlight w:val="none"/>
        </w:rPr>
      </w:pPr>
      <w:r>
        <w:rPr>
          <w:rFonts w:hint="eastAsia" w:ascii="仿宋" w:hAnsi="仿宋" w:eastAsia="仿宋" w:cs="仿宋"/>
          <w:color w:val="auto"/>
          <w:sz w:val="24"/>
          <w:highlight w:val="none"/>
        </w:rPr>
        <w:t>《发包人要求》中规定的相关文件；</w:t>
      </w:r>
    </w:p>
    <w:p>
      <w:pPr>
        <w:pStyle w:val="192"/>
        <w:spacing w:after="120"/>
        <w:ind w:right="-512" w:rightChars="-244" w:firstLine="426"/>
        <w:rPr>
          <w:rFonts w:ascii="仿宋" w:hAnsi="仿宋" w:eastAsia="仿宋" w:cs="仿宋"/>
          <w:color w:val="auto"/>
          <w:sz w:val="24"/>
          <w:highlight w:val="none"/>
        </w:rPr>
      </w:pPr>
      <w:r>
        <w:rPr>
          <w:rFonts w:hint="eastAsia" w:ascii="仿宋" w:hAnsi="仿宋" w:eastAsia="仿宋" w:cs="仿宋"/>
          <w:color w:val="auto"/>
          <w:sz w:val="24"/>
          <w:highlight w:val="none"/>
        </w:rPr>
        <w:t>满足工程相关行政审批手续所必须的应由承包人负责的相关文件；</w:t>
      </w:r>
    </w:p>
    <w:p>
      <w:pPr>
        <w:pStyle w:val="192"/>
        <w:spacing w:after="120"/>
        <w:ind w:right="-512" w:rightChars="-244" w:firstLine="426"/>
        <w:rPr>
          <w:rFonts w:ascii="仿宋" w:hAnsi="仿宋" w:eastAsia="仿宋" w:cs="仿宋"/>
          <w:color w:val="auto"/>
          <w:sz w:val="24"/>
          <w:highlight w:val="none"/>
        </w:rPr>
      </w:pPr>
      <w:r>
        <w:rPr>
          <w:rFonts w:hint="eastAsia" w:ascii="仿宋" w:hAnsi="仿宋" w:eastAsia="仿宋" w:cs="仿宋"/>
          <w:color w:val="auto"/>
          <w:sz w:val="24"/>
          <w:highlight w:val="none"/>
        </w:rPr>
        <w:t>第</w:t>
      </w:r>
      <w:r>
        <w:rPr>
          <w:color w:val="auto"/>
          <w:highlight w:val="none"/>
        </w:rPr>
        <w:fldChar w:fldCharType="begin"/>
      </w:r>
      <w:r>
        <w:rPr>
          <w:color w:val="auto"/>
          <w:highlight w:val="none"/>
        </w:rPr>
        <w:instrText xml:space="preserve"> REF _Ref531953105 \r \h  \* MERGEFORMAT </w:instrText>
      </w:r>
      <w:r>
        <w:rPr>
          <w:color w:val="auto"/>
          <w:highlight w:val="none"/>
        </w:rPr>
        <w:fldChar w:fldCharType="separate"/>
      </w:r>
      <w:r>
        <w:rPr>
          <w:rFonts w:hint="eastAsia" w:ascii="仿宋" w:hAnsi="仿宋" w:eastAsia="仿宋" w:cs="仿宋"/>
          <w:color w:val="auto"/>
          <w:sz w:val="24"/>
          <w:highlight w:val="none"/>
        </w:rPr>
        <w:t>5.4</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款［</w:t>
      </w:r>
      <w:r>
        <w:rPr>
          <w:color w:val="auto"/>
          <w:highlight w:val="none"/>
        </w:rPr>
        <w:fldChar w:fldCharType="begin"/>
      </w:r>
      <w:r>
        <w:rPr>
          <w:color w:val="auto"/>
          <w:highlight w:val="none"/>
        </w:rPr>
        <w:instrText xml:space="preserve"> REF _Ref531953105 \h  \* MERGEFORMAT </w:instrText>
      </w:r>
      <w:r>
        <w:rPr>
          <w:color w:val="auto"/>
          <w:highlight w:val="none"/>
        </w:rPr>
        <w:fldChar w:fldCharType="separate"/>
      </w:r>
      <w:r>
        <w:rPr>
          <w:rFonts w:hint="eastAsia" w:ascii="仿宋" w:hAnsi="仿宋" w:eastAsia="仿宋" w:cs="仿宋"/>
          <w:color w:val="auto"/>
          <w:sz w:val="24"/>
          <w:highlight w:val="none"/>
        </w:rPr>
        <w:t>竣工文件</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］与第</w:t>
      </w:r>
      <w:r>
        <w:rPr>
          <w:color w:val="auto"/>
          <w:highlight w:val="none"/>
        </w:rPr>
        <w:fldChar w:fldCharType="begin"/>
      </w:r>
      <w:r>
        <w:rPr>
          <w:color w:val="auto"/>
          <w:highlight w:val="none"/>
        </w:rPr>
        <w:instrText xml:space="preserve"> REF _Ref531953117 \r \h  \* MERGEFORMAT </w:instrText>
      </w:r>
      <w:r>
        <w:rPr>
          <w:color w:val="auto"/>
          <w:highlight w:val="none"/>
        </w:rPr>
        <w:fldChar w:fldCharType="separate"/>
      </w:r>
      <w:r>
        <w:rPr>
          <w:rFonts w:hint="eastAsia" w:ascii="仿宋" w:hAnsi="仿宋" w:eastAsia="仿宋" w:cs="仿宋"/>
          <w:color w:val="auto"/>
          <w:sz w:val="24"/>
          <w:highlight w:val="none"/>
        </w:rPr>
        <w:t>5.5</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款［</w:t>
      </w:r>
      <w:r>
        <w:rPr>
          <w:color w:val="auto"/>
          <w:highlight w:val="none"/>
        </w:rPr>
        <w:fldChar w:fldCharType="begin"/>
      </w:r>
      <w:r>
        <w:rPr>
          <w:color w:val="auto"/>
          <w:highlight w:val="none"/>
        </w:rPr>
        <w:instrText xml:space="preserve"> REF _Ref531953117 \h  \* MERGEFORMAT </w:instrText>
      </w:r>
      <w:r>
        <w:rPr>
          <w:color w:val="auto"/>
          <w:highlight w:val="none"/>
        </w:rPr>
        <w:fldChar w:fldCharType="separate"/>
      </w:r>
      <w:r>
        <w:rPr>
          <w:rFonts w:hint="eastAsia" w:ascii="仿宋" w:hAnsi="仿宋" w:eastAsia="仿宋" w:cs="仿宋"/>
          <w:color w:val="auto"/>
          <w:sz w:val="24"/>
          <w:highlight w:val="none"/>
        </w:rPr>
        <w:t>操作和维修手册</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］中要求的相关文件。</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按照专用合同条件约定的期限、数量和形式向工程师提供应当由承包人编制的与工程设计、现场施工等工程实施有关的承包人文件。工程师对承包人文件有异议的，承包人应予以修改，并重新报送工程师。合同约定承包人文件应经审查的，工程师应在合同约定的期限内审查完毕，但工程师的审查并不减轻或免除承包人根据合同约定应当承担的责任。承包人文件的提供和审查还应遵守第</w:t>
      </w:r>
      <w:r>
        <w:rPr>
          <w:color w:val="auto"/>
          <w:highlight w:val="none"/>
        </w:rPr>
        <w:fldChar w:fldCharType="begin"/>
      </w:r>
      <w:r>
        <w:rPr>
          <w:color w:val="auto"/>
          <w:highlight w:val="none"/>
        </w:rPr>
        <w:instrText xml:space="preserve"> REF _Ref531953051 \r \h  \* MERGEFORMAT </w:instrText>
      </w:r>
      <w:r>
        <w:rPr>
          <w:color w:val="auto"/>
          <w:highlight w:val="none"/>
        </w:rPr>
        <w:fldChar w:fldCharType="separate"/>
      </w:r>
      <w:r>
        <w:rPr>
          <w:rFonts w:hint="eastAsia" w:ascii="仿宋" w:hAnsi="仿宋" w:eastAsia="仿宋" w:cs="仿宋"/>
          <w:color w:val="auto"/>
          <w:sz w:val="24"/>
          <w:szCs w:val="24"/>
          <w:highlight w:val="none"/>
        </w:rPr>
        <w:t>5.2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款［</w:t>
      </w:r>
      <w:r>
        <w:rPr>
          <w:color w:val="auto"/>
          <w:highlight w:val="none"/>
        </w:rPr>
        <w:fldChar w:fldCharType="begin"/>
      </w:r>
      <w:r>
        <w:rPr>
          <w:color w:val="auto"/>
          <w:highlight w:val="none"/>
        </w:rPr>
        <w:instrText xml:space="preserve"> REF _Ref531953051 \h  \* MERGEFORMAT </w:instrText>
      </w:r>
      <w:r>
        <w:rPr>
          <w:color w:val="auto"/>
          <w:highlight w:val="none"/>
        </w:rPr>
        <w:fldChar w:fldCharType="separate"/>
      </w:r>
      <w:r>
        <w:rPr>
          <w:rFonts w:hint="eastAsia" w:ascii="仿宋" w:hAnsi="仿宋" w:eastAsia="仿宋" w:cs="仿宋"/>
          <w:color w:val="auto"/>
          <w:sz w:val="24"/>
          <w:szCs w:val="24"/>
          <w:highlight w:val="none"/>
        </w:rPr>
        <w:t>设计审查</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］和第</w:t>
      </w:r>
      <w:r>
        <w:rPr>
          <w:color w:val="auto"/>
          <w:highlight w:val="none"/>
        </w:rPr>
        <w:fldChar w:fldCharType="begin"/>
      </w:r>
      <w:r>
        <w:rPr>
          <w:color w:val="auto"/>
          <w:highlight w:val="none"/>
        </w:rPr>
        <w:instrText xml:space="preserve"> REF _Ref531953105 \r \h  \* MERGEFORMAT </w:instrText>
      </w:r>
      <w:r>
        <w:rPr>
          <w:color w:val="auto"/>
          <w:highlight w:val="none"/>
        </w:rPr>
        <w:fldChar w:fldCharType="separate"/>
      </w:r>
      <w:r>
        <w:rPr>
          <w:rFonts w:hint="eastAsia" w:ascii="仿宋" w:hAnsi="仿宋" w:eastAsia="仿宋" w:cs="仿宋"/>
          <w:color w:val="auto"/>
          <w:sz w:val="24"/>
          <w:szCs w:val="24"/>
          <w:highlight w:val="none"/>
        </w:rPr>
        <w:t>5.4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款［</w:t>
      </w:r>
      <w:r>
        <w:rPr>
          <w:color w:val="auto"/>
          <w:highlight w:val="none"/>
        </w:rPr>
        <w:fldChar w:fldCharType="begin"/>
      </w:r>
      <w:r>
        <w:rPr>
          <w:color w:val="auto"/>
          <w:highlight w:val="none"/>
        </w:rPr>
        <w:instrText xml:space="preserve"> REF _Ref531953105 \h  \* MERGEFORMAT </w:instrText>
      </w:r>
      <w:r>
        <w:rPr>
          <w:color w:val="auto"/>
          <w:highlight w:val="none"/>
        </w:rPr>
        <w:fldChar w:fldCharType="separate"/>
      </w:r>
      <w:r>
        <w:rPr>
          <w:rFonts w:hint="eastAsia" w:ascii="仿宋" w:hAnsi="仿宋" w:eastAsia="仿宋" w:cs="仿宋"/>
          <w:color w:val="auto"/>
          <w:sz w:val="24"/>
          <w:szCs w:val="24"/>
          <w:highlight w:val="none"/>
        </w:rPr>
        <w:t>竣工文件</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］的约定。</w:t>
      </w:r>
    </w:p>
    <w:p>
      <w:pPr>
        <w:pStyle w:val="190"/>
        <w:spacing w:after="120"/>
        <w:ind w:left="0"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文件错误的通知</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任何一方发现文件中存在明显的错误或疏忽，应及时通知另一方。</w:t>
      </w:r>
    </w:p>
    <w:p>
      <w:pPr>
        <w:pStyle w:val="190"/>
        <w:spacing w:after="120"/>
        <w:ind w:left="0" w:right="-512" w:rightChars="-244"/>
        <w:rPr>
          <w:rFonts w:ascii="仿宋" w:hAnsi="仿宋" w:eastAsia="仿宋" w:cs="仿宋"/>
          <w:color w:val="auto"/>
          <w:szCs w:val="24"/>
          <w:highlight w:val="none"/>
        </w:rPr>
      </w:pPr>
      <w:bookmarkStart w:id="265" w:name="_Ref4678410"/>
      <w:bookmarkStart w:id="266" w:name="_Ref11957673"/>
      <w:r>
        <w:rPr>
          <w:rFonts w:hint="eastAsia" w:ascii="仿宋" w:hAnsi="仿宋" w:eastAsia="仿宋" w:cs="仿宋"/>
          <w:color w:val="auto"/>
          <w:szCs w:val="24"/>
          <w:highlight w:val="none"/>
        </w:rPr>
        <w:t>文件的</w:t>
      </w:r>
      <w:bookmarkEnd w:id="265"/>
      <w:r>
        <w:rPr>
          <w:rFonts w:hint="eastAsia" w:ascii="仿宋" w:hAnsi="仿宋" w:eastAsia="仿宋" w:cs="仿宋"/>
          <w:color w:val="auto"/>
          <w:szCs w:val="24"/>
          <w:highlight w:val="none"/>
        </w:rPr>
        <w:t>照管</w:t>
      </w:r>
      <w:bookmarkEnd w:id="266"/>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除专用合同条件另有约定外，承包人应在现场保留一份合同、《发包人要求》中列出的所有文件、承包人文件、变更以及其他根据合同收发的往来信函。发包人和工程师有权在任何合理的时间查阅和使用上述所有文件。</w:t>
      </w:r>
    </w:p>
    <w:p>
      <w:pPr>
        <w:pStyle w:val="189"/>
        <w:widowControl/>
        <w:numPr>
          <w:ilvl w:val="1"/>
          <w:numId w:val="13"/>
        </w:numPr>
        <w:spacing w:after="120"/>
        <w:ind w:left="0" w:right="-512" w:rightChars="-244"/>
        <w:rPr>
          <w:rFonts w:ascii="仿宋" w:hAnsi="仿宋" w:eastAsia="仿宋" w:cs="仿宋"/>
          <w:b w:val="0"/>
          <w:bCs/>
          <w:color w:val="auto"/>
          <w:highlight w:val="none"/>
        </w:rPr>
      </w:pPr>
      <w:bookmarkStart w:id="267" w:name="_Toc20171729"/>
      <w:bookmarkStart w:id="268" w:name="_Toc353_WPSOffice_Level3"/>
      <w:bookmarkStart w:id="269" w:name="_Ref4415170"/>
      <w:r>
        <w:rPr>
          <w:rFonts w:hint="eastAsia" w:ascii="仿宋" w:hAnsi="仿宋" w:eastAsia="仿宋" w:cs="仿宋"/>
          <w:b w:val="0"/>
          <w:bCs/>
          <w:color w:val="auto"/>
          <w:highlight w:val="none"/>
        </w:rPr>
        <w:t>联络</w:t>
      </w:r>
      <w:bookmarkEnd w:id="267"/>
      <w:bookmarkEnd w:id="268"/>
      <w:bookmarkEnd w:id="269"/>
    </w:p>
    <w:p>
      <w:pPr>
        <w:pStyle w:val="190"/>
        <w:spacing w:after="120"/>
        <w:ind w:left="0"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与合同有关的通知、批准、证明、证书、指示、指令、要求、请求、同意、意见、确定和决定等，均应采用书面形式，并应在合同约定的期限内（如无约定，应在合理期限内）通过特快专递或专人、挂号信、传真或双方商定的电子传输方式送达收件地址。</w:t>
      </w:r>
    </w:p>
    <w:p>
      <w:pPr>
        <w:pStyle w:val="190"/>
        <w:spacing w:after="120"/>
        <w:ind w:left="0" w:right="-512" w:rightChars="-244"/>
        <w:rPr>
          <w:rFonts w:ascii="仿宋" w:hAnsi="仿宋" w:eastAsia="仿宋" w:cs="仿宋"/>
          <w:color w:val="auto"/>
          <w:szCs w:val="24"/>
          <w:highlight w:val="none"/>
        </w:rPr>
      </w:pPr>
      <w:bookmarkStart w:id="270" w:name="_Ref531949897"/>
      <w:r>
        <w:rPr>
          <w:rFonts w:hint="eastAsia" w:ascii="仿宋" w:hAnsi="仿宋" w:eastAsia="仿宋" w:cs="仿宋"/>
          <w:color w:val="auto"/>
          <w:szCs w:val="24"/>
          <w:highlight w:val="none"/>
        </w:rPr>
        <w:t>发包人和承包人应在专用合同条件中约定各自的送达方式和收件地址。任何一方合同当事人指定的送达方式或收件地址发生变动的，应提前3天以书面形式通知对方。</w:t>
      </w:r>
      <w:bookmarkEnd w:id="270"/>
    </w:p>
    <w:p>
      <w:pPr>
        <w:pStyle w:val="190"/>
        <w:spacing w:after="120"/>
        <w:ind w:left="0"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发包人和承包人应当及时签收另一方通过约定的送达方式送达至收件地址的来往文件。拒不签收的，由此增加的费用和（或）延误的工期由拒绝接收一方承担。</w:t>
      </w:r>
    </w:p>
    <w:p>
      <w:pPr>
        <w:pStyle w:val="190"/>
        <w:spacing w:after="120"/>
        <w:ind w:left="0"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对于工程师向承包人发出的任何通知，均应以书面形式由工程师或其代表签认后送交承包人实施，并抄送发包人；对于合同一方向另一方发出的任何通知，均应抄送工程师。对于由工程师审查后报发包人批准的事项，应由工程师向承包人出具经发包人签认的批准文件。</w:t>
      </w:r>
    </w:p>
    <w:p>
      <w:pPr>
        <w:pStyle w:val="189"/>
        <w:widowControl/>
        <w:numPr>
          <w:ilvl w:val="1"/>
          <w:numId w:val="13"/>
        </w:numPr>
        <w:spacing w:after="120"/>
        <w:ind w:left="0" w:right="-512" w:rightChars="-244"/>
        <w:rPr>
          <w:rFonts w:ascii="仿宋" w:hAnsi="仿宋" w:eastAsia="仿宋" w:cs="仿宋"/>
          <w:b w:val="0"/>
          <w:bCs/>
          <w:color w:val="auto"/>
          <w:highlight w:val="none"/>
        </w:rPr>
      </w:pPr>
      <w:bookmarkStart w:id="271" w:name="_Toc7236_WPSOffice_Level3"/>
      <w:bookmarkStart w:id="272" w:name="_Toc20171730"/>
      <w:r>
        <w:rPr>
          <w:rFonts w:hint="eastAsia" w:ascii="仿宋" w:hAnsi="仿宋" w:eastAsia="仿宋" w:cs="仿宋"/>
          <w:b w:val="0"/>
          <w:bCs/>
          <w:color w:val="auto"/>
          <w:highlight w:val="none"/>
        </w:rPr>
        <w:t>严禁贿赂</w:t>
      </w:r>
      <w:bookmarkEnd w:id="258"/>
      <w:bookmarkEnd w:id="259"/>
      <w:bookmarkEnd w:id="260"/>
      <w:bookmarkEnd w:id="271"/>
      <w:bookmarkEnd w:id="272"/>
    </w:p>
    <w:p>
      <w:pPr>
        <w:pStyle w:val="190"/>
        <w:spacing w:after="120"/>
        <w:ind w:left="0"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合同当事人不得以贿赂或变相贿赂的方式，谋取非法利益或损害对方权益。因一方合同当事人的贿赂造成对方损失的，应赔偿损失，并承担相应的法律责任。</w:t>
      </w:r>
    </w:p>
    <w:p>
      <w:pPr>
        <w:pStyle w:val="190"/>
        <w:spacing w:after="120"/>
        <w:ind w:left="0"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承包人不得与工程师或发包人聘请的第三方串通损害发包人利益。未经发包人书面同意，承包人不得为工程师提供合同约定以外的通讯设备、交通工具及其他任何形式的利益，不得向工程师支付报酬。</w:t>
      </w:r>
    </w:p>
    <w:p>
      <w:pPr>
        <w:pStyle w:val="189"/>
        <w:widowControl/>
        <w:numPr>
          <w:ilvl w:val="1"/>
          <w:numId w:val="13"/>
        </w:numPr>
        <w:spacing w:after="120"/>
        <w:ind w:left="0" w:right="-512" w:rightChars="-244"/>
        <w:rPr>
          <w:rFonts w:ascii="仿宋" w:hAnsi="仿宋" w:eastAsia="仿宋" w:cs="仿宋"/>
          <w:b w:val="0"/>
          <w:bCs/>
          <w:color w:val="auto"/>
          <w:highlight w:val="none"/>
        </w:rPr>
      </w:pPr>
      <w:bookmarkStart w:id="273" w:name="_Toc20171731"/>
      <w:bookmarkStart w:id="274" w:name="_Toc19577_WPSOffice_Level3"/>
      <w:r>
        <w:rPr>
          <w:rFonts w:hint="eastAsia" w:ascii="仿宋" w:hAnsi="仿宋" w:eastAsia="仿宋" w:cs="仿宋"/>
          <w:b w:val="0"/>
          <w:bCs/>
          <w:color w:val="auto"/>
          <w:highlight w:val="none"/>
        </w:rPr>
        <w:t>化石、文物</w:t>
      </w:r>
      <w:bookmarkEnd w:id="273"/>
      <w:bookmarkEnd w:id="274"/>
    </w:p>
    <w:p>
      <w:pPr>
        <w:pStyle w:val="190"/>
        <w:spacing w:after="120"/>
        <w:ind w:left="0"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工程师。</w:t>
      </w:r>
    </w:p>
    <w:p>
      <w:pPr>
        <w:pStyle w:val="190"/>
        <w:spacing w:after="120"/>
        <w:ind w:left="0"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发包人、工程师和承包人应按有关政府行政管理部门要求采取妥善的保护措施，由此增加的费用和（或）延误的工期由发包人承担。</w:t>
      </w:r>
    </w:p>
    <w:p>
      <w:pPr>
        <w:pStyle w:val="190"/>
        <w:spacing w:after="120"/>
        <w:ind w:left="0"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承包人发现文物后不及时报告或隐瞒不报，致使文物丢失或损坏的，应赔偿损失，并承担相应的法律责任。</w:t>
      </w:r>
    </w:p>
    <w:p>
      <w:pPr>
        <w:pStyle w:val="189"/>
        <w:widowControl/>
        <w:numPr>
          <w:ilvl w:val="1"/>
          <w:numId w:val="13"/>
        </w:numPr>
        <w:spacing w:after="120"/>
        <w:ind w:left="0" w:right="-512" w:rightChars="-244"/>
        <w:rPr>
          <w:rFonts w:ascii="仿宋" w:hAnsi="仿宋" w:eastAsia="仿宋" w:cs="仿宋"/>
          <w:b w:val="0"/>
          <w:bCs/>
          <w:color w:val="auto"/>
          <w:highlight w:val="none"/>
        </w:rPr>
      </w:pPr>
      <w:bookmarkStart w:id="275" w:name="_Toc21940_WPSOffice_Level3"/>
      <w:bookmarkStart w:id="276" w:name="_Toc20171732"/>
      <w:bookmarkStart w:id="277" w:name="_Ref531949766"/>
      <w:bookmarkStart w:id="278" w:name="_Ref531949770"/>
      <w:bookmarkStart w:id="279" w:name="_Ref4423426"/>
      <w:bookmarkStart w:id="280" w:name="_Ref531949826"/>
      <w:bookmarkStart w:id="281" w:name="_Ref531949855"/>
      <w:bookmarkStart w:id="282" w:name="_Ref531949841"/>
      <w:r>
        <w:rPr>
          <w:rFonts w:hint="eastAsia" w:ascii="仿宋" w:hAnsi="仿宋" w:eastAsia="仿宋" w:cs="仿宋"/>
          <w:b w:val="0"/>
          <w:bCs/>
          <w:color w:val="auto"/>
          <w:highlight w:val="none"/>
        </w:rPr>
        <w:t>知识产权</w:t>
      </w:r>
      <w:bookmarkEnd w:id="275"/>
      <w:bookmarkEnd w:id="276"/>
      <w:bookmarkEnd w:id="277"/>
      <w:bookmarkEnd w:id="278"/>
      <w:bookmarkEnd w:id="279"/>
      <w:r>
        <w:rPr>
          <w:rFonts w:hint="eastAsia" w:ascii="仿宋" w:hAnsi="仿宋" w:eastAsia="仿宋" w:cs="仿宋"/>
          <w:b w:val="0"/>
          <w:bCs/>
          <w:color w:val="auto"/>
          <w:highlight w:val="none"/>
        </w:rPr>
        <w:t xml:space="preserve"> </w:t>
      </w:r>
    </w:p>
    <w:p>
      <w:pPr>
        <w:pStyle w:val="190"/>
        <w:spacing w:after="120"/>
        <w:ind w:left="0" w:right="-512" w:rightChars="-244"/>
        <w:rPr>
          <w:rFonts w:ascii="仿宋" w:hAnsi="仿宋" w:eastAsia="仿宋" w:cs="仿宋"/>
          <w:color w:val="auto"/>
          <w:szCs w:val="24"/>
          <w:highlight w:val="none"/>
        </w:rPr>
      </w:pPr>
      <w:bookmarkStart w:id="283" w:name="_Ref4423563"/>
      <w:r>
        <w:rPr>
          <w:rFonts w:hint="eastAsia" w:ascii="仿宋" w:hAnsi="仿宋" w:eastAsia="仿宋" w:cs="仿宋"/>
          <w:color w:val="auto"/>
          <w:szCs w:val="24"/>
          <w:highlight w:val="none"/>
        </w:rPr>
        <w:t>除专用合同条件另有约定外，由发包人（或以发包人名义）编制的《发包人要求》和其他文件，就合同当事人之间而言，其著作权和其他知识产权应归发包人所有。承包人可以为实现合同目的而复制、使用此类文件，但不能用于与合同无关的其他事项。未经发包人书面同意，承包人不得为了合同以外的目的而复制、使用上述文件或将之提供给任何第三方。</w:t>
      </w:r>
      <w:bookmarkEnd w:id="283"/>
    </w:p>
    <w:p>
      <w:pPr>
        <w:pStyle w:val="190"/>
        <w:spacing w:after="120"/>
        <w:ind w:left="0" w:right="-512" w:rightChars="-244"/>
        <w:rPr>
          <w:rFonts w:ascii="仿宋" w:hAnsi="仿宋" w:eastAsia="仿宋" w:cs="仿宋"/>
          <w:color w:val="auto"/>
          <w:szCs w:val="24"/>
          <w:highlight w:val="none"/>
        </w:rPr>
      </w:pPr>
      <w:bookmarkStart w:id="284" w:name="_Ref4423604"/>
      <w:r>
        <w:rPr>
          <w:rFonts w:hint="eastAsia" w:ascii="仿宋" w:hAnsi="仿宋" w:eastAsia="仿宋" w:cs="仿宋"/>
          <w:color w:val="auto"/>
          <w:szCs w:val="24"/>
          <w:highlight w:val="none"/>
        </w:rPr>
        <w:t>除专用合同条件另有约定外，由承包人（或以承包人名义）为实施工程所编制的文件、承包人完成的设计工作成果和建造完成的建筑物，就合同当事人之间而言，其著作权和其他知识产权应归承包人享有。发包人可因实施工程的运行、调试、维修、改造等目的而复制、使用此类文件，但不能用于与合同无关的其他事项。未经承包人书面同意，发包人不得为了合同以外的目的而复制、使用上述文件或将之提供给任何第三方。</w:t>
      </w:r>
      <w:bookmarkEnd w:id="284"/>
    </w:p>
    <w:p>
      <w:pPr>
        <w:pStyle w:val="190"/>
        <w:spacing w:after="120"/>
        <w:ind w:left="0"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pStyle w:val="190"/>
        <w:spacing w:after="120"/>
        <w:ind w:left="0" w:right="-512" w:rightChars="-244"/>
        <w:rPr>
          <w:rFonts w:ascii="仿宋" w:hAnsi="仿宋" w:eastAsia="仿宋" w:cs="仿宋"/>
          <w:color w:val="auto"/>
          <w:szCs w:val="24"/>
          <w:highlight w:val="none"/>
        </w:rPr>
      </w:pPr>
      <w:bookmarkStart w:id="285" w:name="_Ref4423695"/>
      <w:r>
        <w:rPr>
          <w:rFonts w:hint="eastAsia" w:ascii="仿宋" w:hAnsi="仿宋" w:eastAsia="仿宋" w:cs="仿宋"/>
          <w:color w:val="auto"/>
          <w:szCs w:val="24"/>
          <w:highlight w:val="none"/>
        </w:rPr>
        <w:t>除专用合同条件另有约定外，承包人在投标文件中采用的专利、专有技术、技术秘密的使用费已包含在签约合同价中。</w:t>
      </w:r>
      <w:bookmarkEnd w:id="285"/>
    </w:p>
    <w:p>
      <w:pPr>
        <w:pStyle w:val="190"/>
        <w:spacing w:after="120"/>
        <w:ind w:left="0"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合同当事人可就本合同涉及的合同一方、或合同双方（含一方或双方相关的专利商或第三方设计单位)的技术专利、建筑设计方案、专有技术、设计文件著作权等知识产权，签订知识产权及保密协议，作为本合同的组成部分。</w:t>
      </w:r>
    </w:p>
    <w:p>
      <w:pPr>
        <w:pStyle w:val="189"/>
        <w:widowControl/>
        <w:numPr>
          <w:ilvl w:val="1"/>
          <w:numId w:val="13"/>
        </w:numPr>
        <w:spacing w:after="120"/>
        <w:ind w:left="0" w:right="-512" w:rightChars="-244"/>
        <w:rPr>
          <w:rFonts w:ascii="仿宋" w:hAnsi="仿宋" w:eastAsia="仿宋" w:cs="仿宋"/>
          <w:b w:val="0"/>
          <w:bCs/>
          <w:color w:val="auto"/>
          <w:highlight w:val="none"/>
        </w:rPr>
      </w:pPr>
      <w:bookmarkStart w:id="286" w:name="_Toc22304_WPSOffice_Level3"/>
      <w:bookmarkStart w:id="287" w:name="_Ref4423898"/>
      <w:bookmarkStart w:id="288" w:name="_Toc20171733"/>
      <w:bookmarkStart w:id="289" w:name="_Ref4423873"/>
      <w:r>
        <w:rPr>
          <w:rFonts w:hint="eastAsia" w:ascii="仿宋" w:hAnsi="仿宋" w:eastAsia="仿宋" w:cs="仿宋"/>
          <w:b w:val="0"/>
          <w:bCs/>
          <w:color w:val="auto"/>
          <w:highlight w:val="none"/>
        </w:rPr>
        <w:t>保密</w:t>
      </w:r>
      <w:bookmarkEnd w:id="280"/>
      <w:bookmarkEnd w:id="281"/>
      <w:bookmarkEnd w:id="282"/>
      <w:bookmarkEnd w:id="286"/>
      <w:bookmarkEnd w:id="287"/>
      <w:bookmarkEnd w:id="288"/>
      <w:bookmarkEnd w:id="289"/>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合同当事人一方对在订立和履行合同过程中知悉的另一方的商业秘密、技术秘密，以及任何一方明确要求保密的其它信息，负有保密责任。</w:t>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除法律规定或合同另有约定外，未经对方同意，任何一方当事人不得将对方提供的文件、技术秘密以及声明需要保密的资料信息等商业秘密泄露给第三方。</w:t>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方泄露或者在本合同以外使用该商业秘密、技术秘密等保密信息给另一方造成损失的，应承担损害赔偿责任。当事人为履行合同所需要的信息，另一方应予以提供。当事人认为必要时，可签订保密协议，作为合同附件。</w:t>
      </w:r>
    </w:p>
    <w:p>
      <w:pPr>
        <w:pStyle w:val="189"/>
        <w:widowControl/>
        <w:numPr>
          <w:ilvl w:val="1"/>
          <w:numId w:val="13"/>
        </w:numPr>
        <w:spacing w:after="120"/>
        <w:ind w:left="0" w:right="-512" w:rightChars="-244"/>
        <w:rPr>
          <w:rFonts w:ascii="仿宋" w:hAnsi="仿宋" w:eastAsia="仿宋" w:cs="仿宋"/>
          <w:b w:val="0"/>
          <w:bCs/>
          <w:color w:val="auto"/>
          <w:highlight w:val="none"/>
        </w:rPr>
      </w:pPr>
      <w:bookmarkStart w:id="290" w:name="_Ref532336812"/>
      <w:bookmarkStart w:id="291" w:name="_Toc20171734"/>
      <w:bookmarkStart w:id="292" w:name="_Toc31600_WPSOffice_Level3"/>
      <w:r>
        <w:rPr>
          <w:rFonts w:hint="eastAsia" w:ascii="仿宋" w:hAnsi="仿宋" w:eastAsia="仿宋" w:cs="仿宋"/>
          <w:b w:val="0"/>
          <w:bCs/>
          <w:color w:val="auto"/>
          <w:highlight w:val="none"/>
        </w:rPr>
        <w:t>《发包人要求》和基础资料中的错误</w:t>
      </w:r>
      <w:bookmarkEnd w:id="290"/>
      <w:bookmarkEnd w:id="291"/>
      <w:bookmarkEnd w:id="292"/>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承包人应认真阅读、复核《发包人要求》以及其提供的基础资料，发现错误的，应及时书面通知发包人。发包人作相应修改的，按照</w:t>
      </w:r>
      <w:r>
        <w:rPr>
          <w:color w:val="auto"/>
          <w:highlight w:val="none"/>
        </w:rPr>
        <w:fldChar w:fldCharType="begin"/>
      </w:r>
      <w:r>
        <w:rPr>
          <w:color w:val="auto"/>
          <w:highlight w:val="none"/>
        </w:rPr>
        <w:instrText xml:space="preserve"> REF _Ref4415801 \r \h  \* MERGEFORMAT </w:instrText>
      </w:r>
      <w:r>
        <w:rPr>
          <w:color w:val="auto"/>
          <w:highlight w:val="none"/>
        </w:rPr>
        <w:fldChar w:fldCharType="separate"/>
      </w:r>
      <w:r>
        <w:rPr>
          <w:rFonts w:hint="eastAsia" w:ascii="仿宋" w:hAnsi="仿宋" w:eastAsia="仿宋" w:cs="仿宋"/>
          <w:color w:val="auto"/>
          <w:sz w:val="24"/>
          <w:szCs w:val="24"/>
          <w:highlight w:val="none"/>
        </w:rPr>
        <w:t>第13条</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w:t>
      </w:r>
      <w:r>
        <w:rPr>
          <w:color w:val="auto"/>
          <w:highlight w:val="none"/>
        </w:rPr>
        <w:fldChar w:fldCharType="begin"/>
      </w:r>
      <w:r>
        <w:rPr>
          <w:color w:val="auto"/>
          <w:highlight w:val="none"/>
        </w:rPr>
        <w:instrText xml:space="preserve"> REF _Ref4415801 \h  \* MERGEFORMAT </w:instrText>
      </w:r>
      <w:r>
        <w:rPr>
          <w:color w:val="auto"/>
          <w:highlight w:val="none"/>
        </w:rPr>
        <w:fldChar w:fldCharType="separate"/>
      </w:r>
      <w:r>
        <w:rPr>
          <w:rFonts w:hint="eastAsia" w:ascii="仿宋" w:hAnsi="仿宋" w:eastAsia="仿宋" w:cs="仿宋"/>
          <w:color w:val="auto"/>
          <w:sz w:val="24"/>
          <w:szCs w:val="24"/>
          <w:highlight w:val="none"/>
        </w:rPr>
        <w:t>变更与调整</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］的约定处理。</w:t>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《发包人要求》或其提供的基础资料中的错误导致承包人增加费用和（或）工期延误的，发包人应承担由此增加的费用和（或）工期延误，并向承包人支付合理利润。</w:t>
      </w:r>
    </w:p>
    <w:bookmarkEnd w:id="261"/>
    <w:bookmarkEnd w:id="262"/>
    <w:p>
      <w:pPr>
        <w:pStyle w:val="189"/>
        <w:widowControl/>
        <w:numPr>
          <w:ilvl w:val="1"/>
          <w:numId w:val="13"/>
        </w:numPr>
        <w:spacing w:after="120"/>
        <w:ind w:left="0" w:right="-512" w:rightChars="-244"/>
        <w:rPr>
          <w:rFonts w:ascii="仿宋" w:hAnsi="仿宋" w:eastAsia="仿宋" w:cs="仿宋"/>
          <w:b w:val="0"/>
          <w:bCs/>
          <w:color w:val="auto"/>
          <w:highlight w:val="none"/>
        </w:rPr>
      </w:pPr>
      <w:bookmarkStart w:id="293" w:name="_Ref531949937"/>
      <w:bookmarkStart w:id="294" w:name="_Toc20171735"/>
      <w:bookmarkStart w:id="295" w:name="_Ref531949933"/>
      <w:bookmarkStart w:id="296" w:name="_Toc21754_WPSOffice_Level3"/>
      <w:r>
        <w:rPr>
          <w:rFonts w:hint="eastAsia" w:ascii="仿宋" w:hAnsi="仿宋" w:eastAsia="仿宋" w:cs="仿宋"/>
          <w:b w:val="0"/>
          <w:bCs/>
          <w:color w:val="auto"/>
          <w:highlight w:val="none"/>
        </w:rPr>
        <w:t>责任限制</w:t>
      </w:r>
      <w:bookmarkEnd w:id="293"/>
      <w:bookmarkEnd w:id="294"/>
      <w:bookmarkEnd w:id="295"/>
      <w:bookmarkEnd w:id="296"/>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对发包人的赔偿责任不应超过专用合同条件约定的赔偿最高限额。若专用合同条件未约定，则承包人对发包人的赔偿责任不应超过签约合同价。但对于因欺诈、犯罪、故意、重大过失、人身伤害等不当行为造成的损失，赔偿的责任限度不受上述最高限额的限制。</w:t>
      </w:r>
    </w:p>
    <w:p>
      <w:pPr>
        <w:pStyle w:val="189"/>
        <w:widowControl/>
        <w:numPr>
          <w:ilvl w:val="1"/>
          <w:numId w:val="13"/>
        </w:numPr>
        <w:spacing w:after="120"/>
        <w:ind w:left="0" w:right="-512" w:rightChars="-244"/>
        <w:rPr>
          <w:rFonts w:ascii="仿宋" w:hAnsi="仿宋" w:eastAsia="仿宋" w:cs="仿宋"/>
          <w:b w:val="0"/>
          <w:bCs/>
          <w:color w:val="auto"/>
          <w:highlight w:val="none"/>
        </w:rPr>
      </w:pPr>
      <w:bookmarkStart w:id="297" w:name="_Toc29792_WPSOffice_Level3"/>
      <w:r>
        <w:rPr>
          <w:rFonts w:hint="eastAsia" w:ascii="仿宋" w:hAnsi="仿宋" w:eastAsia="仿宋" w:cs="仿宋"/>
          <w:b w:val="0"/>
          <w:bCs/>
          <w:color w:val="auto"/>
          <w:highlight w:val="none"/>
        </w:rPr>
        <w:t>建筑信息模型技术的应用</w:t>
      </w:r>
      <w:bookmarkEnd w:id="297"/>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如果项目中拟采用建筑信息模型技术，合同双方应遵守国家现行相关标准的规定，并符合项目所在地的相关地方标准或指南。合同双方应在专用合同条件中就建筑信息模型的开发、使用、存储与传输等相关内容进行约定。除专用合同条件另有约定外，承包人应负责与本项目中其他使用方协商。</w:t>
      </w:r>
    </w:p>
    <w:p>
      <w:pPr>
        <w:pStyle w:val="188"/>
        <w:spacing w:after="120"/>
        <w:ind w:right="-512" w:rightChars="-244"/>
        <w:rPr>
          <w:rFonts w:ascii="仿宋" w:hAnsi="仿宋" w:eastAsia="仿宋" w:cs="仿宋"/>
          <w:b w:val="0"/>
          <w:color w:val="auto"/>
          <w:sz w:val="24"/>
          <w:szCs w:val="24"/>
          <w:highlight w:val="none"/>
        </w:rPr>
      </w:pPr>
      <w:bookmarkStart w:id="298" w:name="_Toc20171736"/>
      <w:bookmarkStart w:id="299" w:name="_Toc7814"/>
      <w:bookmarkStart w:id="300" w:name="_Ref4796511"/>
      <w:bookmarkStart w:id="301" w:name="_Toc21454_WPSOffice_Level3"/>
      <w:r>
        <w:rPr>
          <w:rFonts w:hint="eastAsia" w:ascii="仿宋" w:hAnsi="仿宋" w:eastAsia="仿宋" w:cs="仿宋"/>
          <w:b w:val="0"/>
          <w:color w:val="auto"/>
          <w:sz w:val="24"/>
          <w:szCs w:val="24"/>
          <w:highlight w:val="none"/>
        </w:rPr>
        <w:t>发包人</w:t>
      </w:r>
      <w:bookmarkEnd w:id="298"/>
      <w:bookmarkEnd w:id="299"/>
      <w:bookmarkEnd w:id="300"/>
      <w:bookmarkEnd w:id="301"/>
      <w:bookmarkStart w:id="302" w:name="_Toc20171737"/>
    </w:p>
    <w:p>
      <w:pPr>
        <w:pStyle w:val="188"/>
        <w:numPr>
          <w:ilvl w:val="1"/>
          <w:numId w:val="14"/>
        </w:numPr>
        <w:spacing w:after="120"/>
        <w:ind w:right="-512" w:rightChars="-244"/>
        <w:rPr>
          <w:rFonts w:ascii="仿宋" w:hAnsi="仿宋" w:eastAsia="仿宋" w:cs="仿宋"/>
          <w:b w:val="0"/>
          <w:color w:val="auto"/>
          <w:sz w:val="24"/>
          <w:szCs w:val="24"/>
          <w:highlight w:val="none"/>
        </w:rPr>
      </w:pPr>
      <w:bookmarkStart w:id="303" w:name="_Toc16109"/>
      <w:bookmarkStart w:id="304" w:name="_Toc30606_WPSOffice_Level3"/>
      <w:r>
        <w:rPr>
          <w:rFonts w:hint="eastAsia" w:ascii="仿宋" w:hAnsi="仿宋" w:eastAsia="仿宋" w:cs="仿宋"/>
          <w:b w:val="0"/>
          <w:color w:val="auto"/>
          <w:sz w:val="24"/>
          <w:szCs w:val="24"/>
          <w:highlight w:val="none"/>
        </w:rPr>
        <w:t>遵守法律</w:t>
      </w:r>
      <w:bookmarkEnd w:id="302"/>
      <w:bookmarkEnd w:id="303"/>
      <w:bookmarkEnd w:id="304"/>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在履行合同过程中应遵守法律，并承担因发包人违反法律给承包人造成的任何费用和损失。发包人不得以任何理由，要求承包人在工程实施过程中违反法律、行政法规以及建设工程质量、安全标准，降低工程质量。</w:t>
      </w:r>
    </w:p>
    <w:p>
      <w:pPr>
        <w:pStyle w:val="188"/>
        <w:numPr>
          <w:ilvl w:val="1"/>
          <w:numId w:val="14"/>
        </w:numPr>
        <w:spacing w:after="120"/>
        <w:ind w:right="-512" w:rightChars="-244"/>
        <w:rPr>
          <w:rFonts w:ascii="仿宋" w:hAnsi="仿宋" w:eastAsia="仿宋" w:cs="仿宋"/>
          <w:b w:val="0"/>
          <w:color w:val="auto"/>
          <w:sz w:val="24"/>
          <w:szCs w:val="24"/>
          <w:highlight w:val="none"/>
        </w:rPr>
      </w:pPr>
      <w:bookmarkStart w:id="305" w:name="_Toc5472_WPSOffice_Level3"/>
      <w:bookmarkStart w:id="306" w:name="_Ref11917977"/>
      <w:bookmarkStart w:id="307" w:name="_Toc20040"/>
      <w:bookmarkStart w:id="308" w:name="_Toc20171738"/>
      <w:bookmarkStart w:id="309" w:name="_Ref11917995"/>
      <w:r>
        <w:rPr>
          <w:rFonts w:hint="eastAsia" w:ascii="仿宋" w:hAnsi="仿宋" w:eastAsia="仿宋" w:cs="仿宋"/>
          <w:b w:val="0"/>
          <w:color w:val="auto"/>
          <w:sz w:val="24"/>
          <w:szCs w:val="24"/>
          <w:highlight w:val="none"/>
        </w:rPr>
        <w:t>提供施工现场和工作条件</w:t>
      </w:r>
      <w:bookmarkEnd w:id="305"/>
      <w:bookmarkEnd w:id="306"/>
      <w:bookmarkEnd w:id="307"/>
      <w:bookmarkEnd w:id="308"/>
      <w:bookmarkEnd w:id="309"/>
    </w:p>
    <w:p>
      <w:pPr>
        <w:pStyle w:val="193"/>
        <w:numPr>
          <w:ilvl w:val="0"/>
          <w:numId w:val="15"/>
        </w:numPr>
        <w:tabs>
          <w:tab w:val="left" w:pos="851"/>
          <w:tab w:val="clear" w:pos="993"/>
        </w:tabs>
        <w:spacing w:after="120"/>
        <w:ind w:right="-512" w:rightChars="-244"/>
        <w:outlineLvl w:val="2"/>
        <w:rPr>
          <w:rFonts w:ascii="仿宋" w:hAnsi="仿宋" w:eastAsia="仿宋" w:cs="仿宋"/>
          <w:b/>
          <w:vanish/>
          <w:color w:val="auto"/>
          <w:szCs w:val="21"/>
          <w:highlight w:val="none"/>
        </w:rPr>
      </w:pPr>
      <w:bookmarkStart w:id="310" w:name="_Ref531950085"/>
    </w:p>
    <w:p>
      <w:pPr>
        <w:pStyle w:val="193"/>
        <w:numPr>
          <w:ilvl w:val="1"/>
          <w:numId w:val="15"/>
        </w:numPr>
        <w:tabs>
          <w:tab w:val="left" w:pos="851"/>
          <w:tab w:val="clear" w:pos="993"/>
        </w:tabs>
        <w:spacing w:after="120"/>
        <w:ind w:right="-512" w:rightChars="-244"/>
        <w:outlineLvl w:val="2"/>
        <w:rPr>
          <w:rFonts w:ascii="仿宋" w:hAnsi="仿宋" w:eastAsia="仿宋" w:cs="仿宋"/>
          <w:b/>
          <w:vanish/>
          <w:color w:val="auto"/>
          <w:szCs w:val="21"/>
          <w:highlight w:val="none"/>
        </w:rPr>
      </w:pPr>
    </w:p>
    <w:p>
      <w:pPr>
        <w:pStyle w:val="193"/>
        <w:numPr>
          <w:ilvl w:val="1"/>
          <w:numId w:val="15"/>
        </w:numPr>
        <w:tabs>
          <w:tab w:val="left" w:pos="851"/>
          <w:tab w:val="clear" w:pos="993"/>
        </w:tabs>
        <w:spacing w:after="120"/>
        <w:ind w:right="-512" w:rightChars="-244"/>
        <w:outlineLvl w:val="2"/>
        <w:rPr>
          <w:rFonts w:ascii="仿宋" w:hAnsi="仿宋" w:eastAsia="仿宋" w:cs="仿宋"/>
          <w:b/>
          <w:vanish/>
          <w:color w:val="auto"/>
          <w:szCs w:val="21"/>
          <w:highlight w:val="none"/>
        </w:rPr>
      </w:pPr>
    </w:p>
    <w:p>
      <w:pPr>
        <w:pStyle w:val="190"/>
        <w:numPr>
          <w:ilvl w:val="2"/>
          <w:numId w:val="16"/>
        </w:numPr>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提供施工</w:t>
      </w:r>
      <w:bookmarkEnd w:id="310"/>
      <w:r>
        <w:rPr>
          <w:rFonts w:hint="eastAsia" w:ascii="仿宋" w:hAnsi="仿宋" w:eastAsia="仿宋" w:cs="仿宋"/>
          <w:color w:val="auto"/>
          <w:szCs w:val="24"/>
          <w:highlight w:val="none"/>
        </w:rPr>
        <w:t>现场</w:t>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按专用合同条件约定向承包人移交施工现场，给承包人进入和占用施工现场各部分的权利，并明确与承包人的交接界面，上述进入和占用权可不为承包人独享。如专用合同条件没有约定移交时间的，则发包人应最迟于计划开始施工日期7天前向承包人移交施工现场，但承包人未能按照第4.2款[履约担保]提供履约担保的除外。</w:t>
      </w:r>
    </w:p>
    <w:p>
      <w:pPr>
        <w:pStyle w:val="190"/>
        <w:numPr>
          <w:ilvl w:val="2"/>
          <w:numId w:val="16"/>
        </w:numPr>
        <w:spacing w:after="120"/>
        <w:ind w:right="-512" w:rightChars="-244"/>
        <w:rPr>
          <w:rFonts w:ascii="仿宋" w:hAnsi="仿宋" w:eastAsia="仿宋" w:cs="仿宋"/>
          <w:color w:val="auto"/>
          <w:szCs w:val="24"/>
          <w:highlight w:val="none"/>
        </w:rPr>
      </w:pPr>
      <w:bookmarkStart w:id="311" w:name="_Ref531950101"/>
      <w:r>
        <w:rPr>
          <w:rFonts w:hint="eastAsia" w:ascii="仿宋" w:hAnsi="仿宋" w:eastAsia="仿宋" w:cs="仿宋"/>
          <w:color w:val="auto"/>
          <w:szCs w:val="24"/>
          <w:highlight w:val="none"/>
        </w:rPr>
        <w:t>提供工作条件</w:t>
      </w:r>
      <w:bookmarkEnd w:id="311"/>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发包人应按专用合同条件约定向承包人提供工作条件。专用合同条件对此没有约定的，发包人应负责提供开展本合同相关工作所需要的条件，包括：</w:t>
      </w:r>
    </w:p>
    <w:p>
      <w:pPr>
        <w:pStyle w:val="192"/>
        <w:spacing w:after="120" w:line="360" w:lineRule="auto"/>
        <w:ind w:right="-512" w:rightChars="-244" w:firstLine="426"/>
        <w:jc w:val="both"/>
        <w:rPr>
          <w:rFonts w:ascii="仿宋" w:hAnsi="仿宋" w:eastAsia="仿宋" w:cs="仿宋"/>
          <w:color w:val="auto"/>
          <w:sz w:val="24"/>
          <w:highlight w:val="none"/>
        </w:rPr>
      </w:pPr>
      <w:r>
        <w:rPr>
          <w:rFonts w:hint="eastAsia" w:ascii="仿宋" w:hAnsi="仿宋" w:eastAsia="仿宋" w:cs="仿宋"/>
          <w:color w:val="auto"/>
          <w:sz w:val="24"/>
          <w:highlight w:val="none"/>
        </w:rPr>
        <w:t>将施工用水、电力、通讯线路等施工所必需的条件接至施工现场内；</w:t>
      </w:r>
    </w:p>
    <w:p>
      <w:pPr>
        <w:pStyle w:val="192"/>
        <w:spacing w:after="120" w:line="360" w:lineRule="auto"/>
        <w:ind w:right="-512" w:rightChars="-244" w:firstLine="426"/>
        <w:jc w:val="both"/>
        <w:rPr>
          <w:rFonts w:ascii="仿宋" w:hAnsi="仿宋" w:eastAsia="仿宋" w:cs="仿宋"/>
          <w:color w:val="auto"/>
          <w:sz w:val="24"/>
          <w:highlight w:val="none"/>
        </w:rPr>
      </w:pPr>
      <w:r>
        <w:rPr>
          <w:rFonts w:hint="eastAsia" w:ascii="仿宋" w:hAnsi="仿宋" w:eastAsia="仿宋" w:cs="仿宋"/>
          <w:color w:val="auto"/>
          <w:sz w:val="24"/>
          <w:highlight w:val="none"/>
        </w:rPr>
        <w:t>保证向承包人提供正常施工所需要的进入施工现场的交通条件；</w:t>
      </w:r>
    </w:p>
    <w:p>
      <w:pPr>
        <w:pStyle w:val="192"/>
        <w:spacing w:after="120" w:line="360" w:lineRule="auto"/>
        <w:ind w:right="-512" w:rightChars="-244" w:firstLine="426"/>
        <w:jc w:val="both"/>
        <w:rPr>
          <w:rFonts w:ascii="仿宋" w:hAnsi="仿宋" w:eastAsia="仿宋" w:cs="仿宋"/>
          <w:color w:val="auto"/>
          <w:sz w:val="24"/>
          <w:highlight w:val="none"/>
        </w:rPr>
      </w:pPr>
      <w:r>
        <w:rPr>
          <w:rFonts w:hint="eastAsia" w:ascii="仿宋" w:hAnsi="仿宋" w:eastAsia="仿宋" w:cs="仿宋"/>
          <w:color w:val="auto"/>
          <w:sz w:val="24"/>
          <w:highlight w:val="none"/>
        </w:rPr>
        <w:t>协调处理施工现场周围地下管线和邻近建筑物、构筑物、古树名木、文物、化石及坟墓等的保护工作，并承担相关费用；</w:t>
      </w:r>
    </w:p>
    <w:p>
      <w:pPr>
        <w:pStyle w:val="192"/>
        <w:spacing w:after="120" w:line="360" w:lineRule="auto"/>
        <w:ind w:right="-512" w:rightChars="-244" w:firstLine="400" w:firstLineChars="0"/>
        <w:jc w:val="both"/>
        <w:rPr>
          <w:rFonts w:ascii="仿宋" w:hAnsi="仿宋" w:eastAsia="仿宋" w:cs="仿宋"/>
          <w:color w:val="auto"/>
          <w:sz w:val="24"/>
          <w:highlight w:val="none"/>
        </w:rPr>
      </w:pPr>
      <w:r>
        <w:rPr>
          <w:rFonts w:hint="eastAsia" w:ascii="仿宋" w:hAnsi="仿宋" w:eastAsia="仿宋" w:cs="仿宋"/>
          <w:color w:val="auto"/>
          <w:sz w:val="24"/>
          <w:highlight w:val="none"/>
        </w:rPr>
        <w:t>对工程现场临近发包人正在使用、运行、或由发包人用于生产的建筑物、构筑物、生产装置、设施、设备等，设置隔离设施，竖立禁止入内、禁止动火的明显标志， 并以书面形式通知承包人须遵守的安全规定和位置范围；</w:t>
      </w:r>
    </w:p>
    <w:p>
      <w:pPr>
        <w:pStyle w:val="192"/>
        <w:spacing w:after="120" w:line="360" w:lineRule="auto"/>
        <w:ind w:right="-512" w:rightChars="-244" w:firstLine="426"/>
        <w:jc w:val="both"/>
        <w:rPr>
          <w:rFonts w:ascii="仿宋" w:hAnsi="仿宋" w:eastAsia="仿宋" w:cs="仿宋"/>
          <w:color w:val="auto"/>
          <w:sz w:val="24"/>
          <w:highlight w:val="none"/>
        </w:rPr>
      </w:pPr>
      <w:r>
        <w:rPr>
          <w:rFonts w:hint="eastAsia" w:ascii="仿宋" w:hAnsi="仿宋" w:eastAsia="仿宋" w:cs="仿宋"/>
          <w:color w:val="auto"/>
          <w:sz w:val="24"/>
          <w:highlight w:val="none"/>
        </w:rPr>
        <w:t>按照专用合同条件约定应提供的其他设施和条件。</w:t>
      </w:r>
    </w:p>
    <w:p>
      <w:pPr>
        <w:pStyle w:val="190"/>
        <w:numPr>
          <w:ilvl w:val="2"/>
          <w:numId w:val="16"/>
        </w:numPr>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逾期提供的责任</w:t>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因发包人原因未能按合同约定及时向承包人提供施工现场和施工条件的，由发包人承担由此增加的费用和（或）延误的工期。</w:t>
      </w:r>
    </w:p>
    <w:p>
      <w:pPr>
        <w:pStyle w:val="188"/>
        <w:numPr>
          <w:ilvl w:val="1"/>
          <w:numId w:val="14"/>
        </w:numPr>
        <w:spacing w:after="120"/>
        <w:ind w:right="-512" w:rightChars="-244"/>
        <w:rPr>
          <w:rFonts w:ascii="仿宋" w:hAnsi="仿宋" w:eastAsia="仿宋" w:cs="仿宋"/>
          <w:b w:val="0"/>
          <w:color w:val="auto"/>
          <w:sz w:val="24"/>
          <w:szCs w:val="24"/>
          <w:highlight w:val="none"/>
        </w:rPr>
      </w:pPr>
      <w:bookmarkStart w:id="312" w:name="_Ref11956654"/>
      <w:bookmarkStart w:id="313" w:name="_Ref11956647"/>
      <w:bookmarkStart w:id="314" w:name="_Toc20171739"/>
      <w:bookmarkStart w:id="315" w:name="_Ref11918025"/>
      <w:bookmarkStart w:id="316" w:name="_Ref11918036"/>
      <w:bookmarkStart w:id="317" w:name="_Toc29477_WPSOffice_Level3"/>
      <w:bookmarkStart w:id="318" w:name="_Toc19123"/>
      <w:r>
        <w:rPr>
          <w:rFonts w:hint="eastAsia" w:ascii="仿宋" w:hAnsi="仿宋" w:eastAsia="仿宋" w:cs="仿宋"/>
          <w:b w:val="0"/>
          <w:color w:val="auto"/>
          <w:sz w:val="24"/>
          <w:szCs w:val="24"/>
          <w:highlight w:val="none"/>
        </w:rPr>
        <w:t>提供基础资料</w:t>
      </w:r>
      <w:bookmarkEnd w:id="312"/>
      <w:bookmarkEnd w:id="313"/>
      <w:bookmarkEnd w:id="314"/>
      <w:bookmarkEnd w:id="315"/>
      <w:bookmarkEnd w:id="316"/>
      <w:bookmarkEnd w:id="317"/>
      <w:bookmarkEnd w:id="318"/>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按专用合同条件向承包人提供施工现场及工程实施所必需的毗邻区域内的供水、排水、供电、供气、供热、通信、广播电视等地下管线资料、气象和水文观测资料，地质勘察资料，相邻建筑物、构筑物和地下工程等有关基础资料，并根据第</w:t>
      </w:r>
      <w:r>
        <w:rPr>
          <w:color w:val="auto"/>
          <w:highlight w:val="none"/>
        </w:rPr>
        <w:fldChar w:fldCharType="begin"/>
      </w:r>
      <w:r>
        <w:rPr>
          <w:color w:val="auto"/>
          <w:highlight w:val="none"/>
        </w:rPr>
        <w:instrText xml:space="preserve"> REF _Ref532336812 \r \h  \* MERGEFORMAT </w:instrText>
      </w:r>
      <w:r>
        <w:rPr>
          <w:color w:val="auto"/>
          <w:highlight w:val="none"/>
        </w:rPr>
        <w:fldChar w:fldCharType="separate"/>
      </w:r>
      <w:r>
        <w:rPr>
          <w:rFonts w:hint="eastAsia" w:ascii="仿宋" w:hAnsi="仿宋" w:eastAsia="仿宋" w:cs="仿宋"/>
          <w:color w:val="auto"/>
          <w:sz w:val="24"/>
          <w:szCs w:val="24"/>
          <w:highlight w:val="none"/>
        </w:rPr>
        <w:t>1.12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款［《</w:t>
      </w:r>
      <w:r>
        <w:rPr>
          <w:color w:val="auto"/>
          <w:highlight w:val="none"/>
        </w:rPr>
        <w:fldChar w:fldCharType="begin"/>
      </w:r>
      <w:r>
        <w:rPr>
          <w:color w:val="auto"/>
          <w:highlight w:val="none"/>
        </w:rPr>
        <w:instrText xml:space="preserve"> REF _Ref532336812 \h  \* MERGEFORMAT </w:instrText>
      </w:r>
      <w:r>
        <w:rPr>
          <w:color w:val="auto"/>
          <w:highlight w:val="none"/>
        </w:rPr>
        <w:fldChar w:fldCharType="separate"/>
      </w:r>
      <w:r>
        <w:rPr>
          <w:rFonts w:hint="eastAsia" w:ascii="仿宋" w:hAnsi="仿宋" w:eastAsia="仿宋" w:cs="仿宋"/>
          <w:color w:val="auto"/>
          <w:sz w:val="24"/>
          <w:szCs w:val="24"/>
          <w:highlight w:val="none"/>
        </w:rPr>
        <w:t>发包人要求》和基础资料中的错误</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承担基础资料错误造成的责任，双方在专用合同条件中另有约定的除外。按照法律规定确需在开工后方能提供的基础资料，发包人应尽其努力及时地在相应工程实施前的合理期限内提供，合理期限应以不影响承包人的正常履约为限。</w:t>
      </w:r>
    </w:p>
    <w:p>
      <w:pPr>
        <w:pStyle w:val="188"/>
        <w:numPr>
          <w:ilvl w:val="1"/>
          <w:numId w:val="14"/>
        </w:numPr>
        <w:spacing w:after="120"/>
        <w:ind w:right="-512" w:rightChars="-244"/>
        <w:rPr>
          <w:rFonts w:ascii="仿宋" w:hAnsi="仿宋" w:eastAsia="仿宋" w:cs="仿宋"/>
          <w:b w:val="0"/>
          <w:color w:val="auto"/>
          <w:sz w:val="24"/>
          <w:szCs w:val="24"/>
          <w:highlight w:val="none"/>
        </w:rPr>
      </w:pPr>
      <w:bookmarkStart w:id="319" w:name="_Toc31959_WPSOffice_Level3"/>
      <w:bookmarkStart w:id="320" w:name="_Ref531950041"/>
      <w:bookmarkStart w:id="321" w:name="_Ref531950045"/>
      <w:bookmarkStart w:id="322" w:name="_Toc20171740"/>
      <w:bookmarkStart w:id="323" w:name="_Toc8556"/>
      <w:r>
        <w:rPr>
          <w:rFonts w:hint="eastAsia" w:ascii="仿宋" w:hAnsi="仿宋" w:eastAsia="仿宋" w:cs="仿宋"/>
          <w:b w:val="0"/>
          <w:color w:val="auto"/>
          <w:sz w:val="24"/>
          <w:szCs w:val="24"/>
          <w:highlight w:val="none"/>
        </w:rPr>
        <w:t>办理许可和批准</w:t>
      </w:r>
      <w:bookmarkEnd w:id="319"/>
      <w:bookmarkEnd w:id="320"/>
      <w:bookmarkEnd w:id="321"/>
      <w:bookmarkEnd w:id="322"/>
      <w:bookmarkEnd w:id="323"/>
    </w:p>
    <w:p>
      <w:pPr>
        <w:pStyle w:val="190"/>
        <w:numPr>
          <w:ilvl w:val="2"/>
          <w:numId w:val="16"/>
        </w:numPr>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发包人在履行合同过程中应遵守法律，并办理法律规定或合同约定由其办理的许可、批准或备案，包括但不限于建设用地规划许可证、建设工程规划许可证、建设工程施工许可证等许可和批准。对于法律规定或合同约定由承包人负责的有关设计、施工证件、批件或备案，发包人应给予必要的协助。</w:t>
      </w:r>
    </w:p>
    <w:p>
      <w:pPr>
        <w:pStyle w:val="190"/>
        <w:numPr>
          <w:ilvl w:val="2"/>
          <w:numId w:val="16"/>
        </w:numPr>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因发包人原因未能及时办理完毕前述许可、批准或备案，由发包人承担由此增加的费用和（或）延误的工期，并支付承包人合理的利润。</w:t>
      </w:r>
    </w:p>
    <w:p>
      <w:pPr>
        <w:pStyle w:val="188"/>
        <w:numPr>
          <w:ilvl w:val="1"/>
          <w:numId w:val="14"/>
        </w:numPr>
        <w:spacing w:after="120"/>
        <w:ind w:right="-512" w:rightChars="-244"/>
        <w:rPr>
          <w:rFonts w:ascii="仿宋" w:hAnsi="仿宋" w:eastAsia="仿宋" w:cs="仿宋"/>
          <w:b w:val="0"/>
          <w:color w:val="auto"/>
          <w:sz w:val="24"/>
          <w:szCs w:val="24"/>
          <w:highlight w:val="none"/>
        </w:rPr>
      </w:pPr>
      <w:bookmarkStart w:id="324" w:name="_Ref11918060"/>
      <w:bookmarkStart w:id="325" w:name="_Toc5886"/>
      <w:bookmarkStart w:id="326" w:name="_Ref11918070"/>
      <w:bookmarkStart w:id="327" w:name="_Toc20171741"/>
      <w:bookmarkStart w:id="328" w:name="_Ref11956533"/>
      <w:bookmarkStart w:id="329" w:name="_Ref11956525"/>
      <w:bookmarkStart w:id="330" w:name="_Toc23727_WPSOffice_Level3"/>
      <w:r>
        <w:rPr>
          <w:rFonts w:hint="eastAsia" w:ascii="仿宋" w:hAnsi="仿宋" w:eastAsia="仿宋" w:cs="仿宋"/>
          <w:b w:val="0"/>
          <w:color w:val="auto"/>
          <w:sz w:val="24"/>
          <w:szCs w:val="24"/>
          <w:highlight w:val="none"/>
        </w:rPr>
        <w:t>支付合同价款</w:t>
      </w:r>
      <w:bookmarkEnd w:id="324"/>
      <w:bookmarkEnd w:id="325"/>
      <w:bookmarkEnd w:id="326"/>
      <w:bookmarkEnd w:id="327"/>
      <w:bookmarkEnd w:id="328"/>
      <w:bookmarkEnd w:id="329"/>
      <w:bookmarkEnd w:id="330"/>
    </w:p>
    <w:p>
      <w:pPr>
        <w:pStyle w:val="190"/>
        <w:numPr>
          <w:ilvl w:val="2"/>
          <w:numId w:val="16"/>
        </w:numPr>
        <w:spacing w:after="120"/>
        <w:ind w:right="-512" w:rightChars="-244"/>
        <w:rPr>
          <w:rFonts w:ascii="仿宋" w:hAnsi="仿宋" w:eastAsia="仿宋" w:cs="仿宋"/>
          <w:color w:val="auto"/>
          <w:szCs w:val="24"/>
          <w:highlight w:val="none"/>
        </w:rPr>
      </w:pPr>
      <w:bookmarkStart w:id="331" w:name="_Ref531950147"/>
      <w:r>
        <w:rPr>
          <w:rFonts w:hint="eastAsia" w:ascii="仿宋" w:hAnsi="仿宋" w:eastAsia="仿宋" w:cs="仿宋"/>
          <w:color w:val="auto"/>
          <w:szCs w:val="24"/>
          <w:highlight w:val="none"/>
        </w:rPr>
        <w:t>发包人应按合同约定向承包人及时支付合同价款。</w:t>
      </w:r>
    </w:p>
    <w:bookmarkEnd w:id="331"/>
    <w:p>
      <w:pPr>
        <w:pStyle w:val="190"/>
        <w:numPr>
          <w:ilvl w:val="2"/>
          <w:numId w:val="16"/>
        </w:numPr>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发包人应当制定资金安排计划，除专用合同条件另有约定外，如发包人拟对资金安排做任何重要变更，应将变更的详细情况通知承包人。如发生承包人收到价格大于签约合同价10%的变更指示或累计变更的总价超过签约合同价30%；或承包人未能根据</w:t>
      </w:r>
      <w:r>
        <w:rPr>
          <w:color w:val="auto"/>
          <w:highlight w:val="none"/>
        </w:rPr>
        <w:fldChar w:fldCharType="begin"/>
      </w:r>
      <w:r>
        <w:rPr>
          <w:color w:val="auto"/>
          <w:highlight w:val="none"/>
        </w:rPr>
        <w:instrText xml:space="preserve"> REF _Ref531955880 \r \h  \* MERGEFORMAT </w:instrText>
      </w:r>
      <w:r>
        <w:rPr>
          <w:color w:val="auto"/>
          <w:highlight w:val="none"/>
        </w:rPr>
        <w:fldChar w:fldCharType="separate"/>
      </w:r>
      <w:r>
        <w:rPr>
          <w:rFonts w:hint="eastAsia" w:ascii="仿宋" w:hAnsi="仿宋" w:eastAsia="仿宋" w:cs="仿宋"/>
          <w:color w:val="auto"/>
          <w:szCs w:val="24"/>
          <w:highlight w:val="none"/>
        </w:rPr>
        <w:t>第14条</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w:t>
      </w:r>
      <w:r>
        <w:rPr>
          <w:color w:val="auto"/>
          <w:highlight w:val="none"/>
        </w:rPr>
        <w:fldChar w:fldCharType="begin"/>
      </w:r>
      <w:r>
        <w:rPr>
          <w:color w:val="auto"/>
          <w:highlight w:val="none"/>
        </w:rPr>
        <w:instrText xml:space="preserve"> REF _Ref531955880 \h  \* MERGEFORMAT </w:instrText>
      </w:r>
      <w:r>
        <w:rPr>
          <w:color w:val="auto"/>
          <w:highlight w:val="none"/>
        </w:rPr>
        <w:fldChar w:fldCharType="separate"/>
      </w:r>
      <w:r>
        <w:rPr>
          <w:rFonts w:hint="eastAsia" w:ascii="仿宋" w:hAnsi="仿宋" w:eastAsia="仿宋" w:cs="仿宋"/>
          <w:color w:val="auto"/>
          <w:szCs w:val="24"/>
          <w:highlight w:val="none"/>
        </w:rPr>
        <w:t>合同价格与支付</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］收到付款，或承包人得知发包人的资金安排发生重要变更但并未收到发包人上述重要变更通知的情况，则承包人可随时要求发包人在28天内补充提供能够按照合同约定支付合同价款的相应资金来源证明。</w:t>
      </w:r>
    </w:p>
    <w:p>
      <w:pPr>
        <w:pStyle w:val="190"/>
        <w:numPr>
          <w:ilvl w:val="2"/>
          <w:numId w:val="16"/>
        </w:numPr>
        <w:spacing w:after="120"/>
        <w:ind w:right="-512" w:rightChars="-244"/>
        <w:rPr>
          <w:rFonts w:ascii="仿宋" w:hAnsi="仿宋" w:eastAsia="仿宋" w:cs="仿宋"/>
          <w:color w:val="auto"/>
          <w:szCs w:val="24"/>
          <w:highlight w:val="none"/>
        </w:rPr>
      </w:pPr>
      <w:bookmarkStart w:id="332" w:name="_Ref531950161"/>
      <w:r>
        <w:rPr>
          <w:rFonts w:hint="eastAsia" w:ascii="仿宋" w:hAnsi="仿宋" w:eastAsia="仿宋" w:cs="仿宋"/>
          <w:color w:val="auto"/>
          <w:szCs w:val="24"/>
          <w:highlight w:val="none"/>
        </w:rPr>
        <w:t>发包人应当向承包人提供支付担保。支付担保可以采用银行保函或担保公司担保等形式，具体由合同当事人在专用合同条件中约定。</w:t>
      </w:r>
      <w:bookmarkEnd w:id="332"/>
    </w:p>
    <w:p>
      <w:pPr>
        <w:pStyle w:val="188"/>
        <w:numPr>
          <w:ilvl w:val="1"/>
          <w:numId w:val="14"/>
        </w:numPr>
        <w:spacing w:after="120"/>
        <w:ind w:right="-512" w:rightChars="-244"/>
        <w:rPr>
          <w:rFonts w:ascii="仿宋" w:hAnsi="仿宋" w:eastAsia="仿宋" w:cs="仿宋"/>
          <w:b w:val="0"/>
          <w:color w:val="auto"/>
          <w:sz w:val="24"/>
          <w:szCs w:val="24"/>
          <w:highlight w:val="none"/>
        </w:rPr>
      </w:pPr>
      <w:bookmarkStart w:id="333" w:name="_Toc21646_WPSOffice_Level3"/>
      <w:bookmarkStart w:id="334" w:name="_Toc28673"/>
      <w:bookmarkStart w:id="335" w:name="_Toc20171742"/>
      <w:r>
        <w:rPr>
          <w:rFonts w:hint="eastAsia" w:ascii="仿宋" w:hAnsi="仿宋" w:eastAsia="仿宋" w:cs="仿宋"/>
          <w:b w:val="0"/>
          <w:color w:val="auto"/>
          <w:sz w:val="24"/>
          <w:szCs w:val="24"/>
          <w:highlight w:val="none"/>
        </w:rPr>
        <w:t>现场管理配合</w:t>
      </w:r>
      <w:bookmarkEnd w:id="333"/>
      <w:bookmarkEnd w:id="334"/>
      <w:bookmarkEnd w:id="335"/>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发包人应负责保证在现场或现场附近的发包人人员和发包人的其他承包人（如有）：</w:t>
      </w:r>
    </w:p>
    <w:p>
      <w:pPr>
        <w:pStyle w:val="192"/>
        <w:spacing w:after="120"/>
        <w:ind w:right="-512" w:rightChars="-244" w:firstLine="426"/>
        <w:rPr>
          <w:rFonts w:ascii="仿宋" w:hAnsi="仿宋" w:eastAsia="仿宋" w:cs="仿宋"/>
          <w:color w:val="auto"/>
          <w:sz w:val="24"/>
          <w:highlight w:val="none"/>
        </w:rPr>
      </w:pPr>
      <w:r>
        <w:rPr>
          <w:rFonts w:hint="eastAsia" w:ascii="仿宋" w:hAnsi="仿宋" w:eastAsia="仿宋" w:cs="仿宋"/>
          <w:color w:val="auto"/>
          <w:sz w:val="24"/>
          <w:highlight w:val="none"/>
        </w:rPr>
        <w:t>根据第</w:t>
      </w:r>
      <w:r>
        <w:rPr>
          <w:color w:val="auto"/>
          <w:highlight w:val="none"/>
        </w:rPr>
        <w:fldChar w:fldCharType="begin"/>
      </w:r>
      <w:r>
        <w:rPr>
          <w:color w:val="auto"/>
          <w:highlight w:val="none"/>
        </w:rPr>
        <w:instrText xml:space="preserve"> REF _Ref11874352 \r \h  \* MERGEFORMAT </w:instrText>
      </w:r>
      <w:r>
        <w:rPr>
          <w:color w:val="auto"/>
          <w:highlight w:val="none"/>
        </w:rPr>
        <w:fldChar w:fldCharType="separate"/>
      </w:r>
      <w:r>
        <w:rPr>
          <w:rFonts w:hint="eastAsia" w:ascii="仿宋" w:hAnsi="仿宋" w:eastAsia="仿宋" w:cs="仿宋"/>
          <w:color w:val="auto"/>
          <w:sz w:val="24"/>
          <w:highlight w:val="none"/>
        </w:rPr>
        <w:t>7.3</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款［</w:t>
      </w:r>
      <w:r>
        <w:rPr>
          <w:color w:val="auto"/>
          <w:highlight w:val="none"/>
        </w:rPr>
        <w:fldChar w:fldCharType="begin"/>
      </w:r>
      <w:r>
        <w:rPr>
          <w:color w:val="auto"/>
          <w:highlight w:val="none"/>
        </w:rPr>
        <w:instrText xml:space="preserve"> REF _Ref11874352 \h  \* MERGEFORMAT </w:instrText>
      </w:r>
      <w:r>
        <w:rPr>
          <w:color w:val="auto"/>
          <w:highlight w:val="none"/>
        </w:rPr>
        <w:fldChar w:fldCharType="separate"/>
      </w:r>
      <w:r>
        <w:rPr>
          <w:rFonts w:hint="eastAsia" w:ascii="仿宋" w:hAnsi="仿宋" w:eastAsia="仿宋" w:cs="仿宋"/>
          <w:color w:val="auto"/>
          <w:sz w:val="24"/>
          <w:highlight w:val="none"/>
        </w:rPr>
        <w:t>现场合作</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］的约定，与承包人进行合作；</w:t>
      </w:r>
    </w:p>
    <w:p>
      <w:pPr>
        <w:pStyle w:val="192"/>
        <w:spacing w:after="120"/>
        <w:ind w:right="-512" w:rightChars="-244" w:firstLine="426"/>
        <w:rPr>
          <w:rFonts w:ascii="仿宋" w:hAnsi="仿宋" w:eastAsia="仿宋" w:cs="仿宋"/>
          <w:color w:val="auto"/>
          <w:sz w:val="24"/>
          <w:highlight w:val="none"/>
        </w:rPr>
      </w:pPr>
      <w:r>
        <w:rPr>
          <w:rFonts w:hint="eastAsia" w:ascii="仿宋" w:hAnsi="仿宋" w:eastAsia="仿宋" w:cs="仿宋"/>
          <w:color w:val="auto"/>
          <w:sz w:val="24"/>
          <w:highlight w:val="none"/>
        </w:rPr>
        <w:t>遵守第</w:t>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REF _Ref41554059 \r \h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7.6</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款［</w:t>
      </w:r>
      <w:r>
        <w:rPr>
          <w:color w:val="auto"/>
          <w:highlight w:val="none"/>
        </w:rPr>
        <w:fldChar w:fldCharType="begin"/>
      </w:r>
      <w:r>
        <w:rPr>
          <w:color w:val="auto"/>
          <w:highlight w:val="none"/>
        </w:rPr>
        <w:instrText xml:space="preserve"> REF _Ref531954323 \h  \* MERGEFORMAT </w:instrText>
      </w:r>
      <w:r>
        <w:rPr>
          <w:color w:val="auto"/>
          <w:highlight w:val="none"/>
        </w:rPr>
        <w:fldChar w:fldCharType="separate"/>
      </w:r>
      <w:r>
        <w:rPr>
          <w:rFonts w:hint="eastAsia" w:ascii="仿宋" w:hAnsi="仿宋" w:eastAsia="仿宋" w:cs="仿宋"/>
          <w:color w:val="auto"/>
          <w:sz w:val="24"/>
          <w:highlight w:val="none"/>
        </w:rPr>
        <w:t>安全文明施工</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］、第</w:t>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REF _Ref41554069 \r \h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7.7</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款［</w:t>
      </w:r>
      <w:r>
        <w:rPr>
          <w:color w:val="auto"/>
          <w:highlight w:val="none"/>
        </w:rPr>
        <w:fldChar w:fldCharType="begin"/>
      </w:r>
      <w:r>
        <w:rPr>
          <w:color w:val="auto"/>
          <w:highlight w:val="none"/>
        </w:rPr>
        <w:instrText xml:space="preserve"> REF _Ref11874562 \h  \* MERGEFORMAT </w:instrText>
      </w:r>
      <w:r>
        <w:rPr>
          <w:color w:val="auto"/>
          <w:highlight w:val="none"/>
        </w:rPr>
        <w:fldChar w:fldCharType="separate"/>
      </w:r>
      <w:r>
        <w:rPr>
          <w:rFonts w:hint="eastAsia" w:ascii="仿宋" w:hAnsi="仿宋" w:eastAsia="仿宋" w:cs="仿宋"/>
          <w:color w:val="auto"/>
          <w:sz w:val="24"/>
          <w:highlight w:val="none"/>
        </w:rPr>
        <w:t>职业健康</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］和第</w:t>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REF _Ref11874570 \r \h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7.8</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款［</w:t>
      </w:r>
      <w:r>
        <w:rPr>
          <w:color w:val="auto"/>
          <w:highlight w:val="none"/>
        </w:rPr>
        <w:fldChar w:fldCharType="begin"/>
      </w:r>
      <w:r>
        <w:rPr>
          <w:color w:val="auto"/>
          <w:highlight w:val="none"/>
        </w:rPr>
        <w:instrText xml:space="preserve"> REF _Ref11874570 \h  \* MERGEFORMAT </w:instrText>
      </w:r>
      <w:r>
        <w:rPr>
          <w:color w:val="auto"/>
          <w:highlight w:val="none"/>
        </w:rPr>
        <w:fldChar w:fldCharType="separate"/>
      </w:r>
      <w:r>
        <w:rPr>
          <w:rFonts w:hint="eastAsia" w:ascii="仿宋" w:hAnsi="仿宋" w:eastAsia="仿宋" w:cs="仿宋"/>
          <w:color w:val="auto"/>
          <w:sz w:val="24"/>
          <w:highlight w:val="none"/>
        </w:rPr>
        <w:t>环境保护</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］的相关约定。</w:t>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发包人应与承包人、由发包人直接发包的其他承包人（如有）签订施工现场统一管理协议，明确各方的权利义务。</w:t>
      </w:r>
    </w:p>
    <w:p>
      <w:pPr>
        <w:pStyle w:val="188"/>
        <w:numPr>
          <w:ilvl w:val="1"/>
          <w:numId w:val="14"/>
        </w:numPr>
        <w:spacing w:after="120"/>
        <w:ind w:right="-512" w:rightChars="-244"/>
        <w:rPr>
          <w:rFonts w:ascii="仿宋" w:hAnsi="仿宋" w:eastAsia="仿宋" w:cs="仿宋"/>
          <w:b w:val="0"/>
          <w:color w:val="auto"/>
          <w:sz w:val="24"/>
          <w:szCs w:val="24"/>
          <w:highlight w:val="none"/>
        </w:rPr>
      </w:pPr>
      <w:bookmarkStart w:id="336" w:name="_Ref11959372"/>
      <w:bookmarkStart w:id="337" w:name="_Toc20171743"/>
      <w:bookmarkStart w:id="338" w:name="_Ref11959376"/>
      <w:bookmarkStart w:id="339" w:name="_Toc766"/>
      <w:bookmarkStart w:id="340" w:name="_Toc15406_WPSOffice_Level3"/>
      <w:r>
        <w:rPr>
          <w:rFonts w:hint="eastAsia" w:ascii="仿宋" w:hAnsi="仿宋" w:eastAsia="仿宋" w:cs="仿宋"/>
          <w:b w:val="0"/>
          <w:color w:val="auto"/>
          <w:sz w:val="24"/>
          <w:szCs w:val="24"/>
          <w:highlight w:val="none"/>
        </w:rPr>
        <w:t>其他义务</w:t>
      </w:r>
      <w:bookmarkEnd w:id="336"/>
      <w:bookmarkEnd w:id="337"/>
      <w:bookmarkEnd w:id="338"/>
      <w:bookmarkEnd w:id="339"/>
      <w:bookmarkEnd w:id="340"/>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发包人应履行合同约定的其他义务，双方可在专用合同条件内对发包人应履行的其他义务进行补充约定。</w:t>
      </w:r>
    </w:p>
    <w:bookmarkEnd w:id="213"/>
    <w:bookmarkEnd w:id="214"/>
    <w:p>
      <w:pPr>
        <w:pStyle w:val="188"/>
        <w:numPr>
          <w:ilvl w:val="0"/>
          <w:numId w:val="17"/>
        </w:numPr>
        <w:spacing w:after="120"/>
        <w:ind w:right="-512" w:rightChars="-244"/>
        <w:rPr>
          <w:rFonts w:ascii="仿宋" w:hAnsi="仿宋" w:eastAsia="仿宋" w:cs="仿宋"/>
          <w:b w:val="0"/>
          <w:color w:val="auto"/>
          <w:sz w:val="24"/>
          <w:szCs w:val="18"/>
          <w:highlight w:val="none"/>
        </w:rPr>
      </w:pPr>
      <w:bookmarkStart w:id="341" w:name="_Toc5959_WPSOffice_Level3"/>
      <w:bookmarkStart w:id="342" w:name="_Ref531952791"/>
      <w:bookmarkStart w:id="343" w:name="_Toc20073"/>
      <w:bookmarkStart w:id="344" w:name="_Toc20171744"/>
      <w:r>
        <w:rPr>
          <w:rFonts w:hint="eastAsia" w:ascii="仿宋" w:hAnsi="仿宋" w:eastAsia="仿宋" w:cs="仿宋"/>
          <w:b w:val="0"/>
          <w:color w:val="auto"/>
          <w:sz w:val="24"/>
          <w:szCs w:val="18"/>
          <w:highlight w:val="none"/>
        </w:rPr>
        <w:t>发包人的管理</w:t>
      </w:r>
      <w:bookmarkEnd w:id="341"/>
      <w:bookmarkEnd w:id="342"/>
      <w:bookmarkEnd w:id="343"/>
      <w:bookmarkEnd w:id="344"/>
    </w:p>
    <w:p>
      <w:pPr>
        <w:pStyle w:val="189"/>
        <w:widowControl/>
        <w:numPr>
          <w:ilvl w:val="1"/>
          <w:numId w:val="16"/>
        </w:numPr>
        <w:spacing w:after="120"/>
        <w:ind w:right="-512" w:rightChars="-244"/>
        <w:rPr>
          <w:rFonts w:ascii="仿宋" w:hAnsi="仿宋" w:eastAsia="仿宋" w:cs="仿宋"/>
          <w:b w:val="0"/>
          <w:bCs/>
          <w:color w:val="auto"/>
          <w:highlight w:val="none"/>
        </w:rPr>
      </w:pPr>
      <w:bookmarkStart w:id="345" w:name="_Ref522810094"/>
      <w:bookmarkStart w:id="346" w:name="_Ref522810097"/>
      <w:bookmarkStart w:id="347" w:name="_Ref531951538"/>
      <w:bookmarkStart w:id="348" w:name="_Toc20171745"/>
      <w:bookmarkStart w:id="349" w:name="_Ref531951533"/>
      <w:bookmarkStart w:id="350" w:name="_Toc4347_WPSOffice_Level3"/>
      <w:r>
        <w:rPr>
          <w:rFonts w:hint="eastAsia" w:ascii="仿宋" w:hAnsi="仿宋" w:eastAsia="仿宋" w:cs="仿宋"/>
          <w:b w:val="0"/>
          <w:bCs/>
          <w:color w:val="auto"/>
          <w:highlight w:val="none"/>
        </w:rPr>
        <w:t>发包人</w:t>
      </w:r>
      <w:bookmarkEnd w:id="345"/>
      <w:bookmarkEnd w:id="346"/>
      <w:r>
        <w:rPr>
          <w:rFonts w:hint="eastAsia" w:ascii="仿宋" w:hAnsi="仿宋" w:eastAsia="仿宋" w:cs="仿宋"/>
          <w:b w:val="0"/>
          <w:bCs/>
          <w:color w:val="auto"/>
          <w:highlight w:val="none"/>
        </w:rPr>
        <w:t>代表</w:t>
      </w:r>
      <w:bookmarkEnd w:id="347"/>
      <w:bookmarkEnd w:id="348"/>
      <w:bookmarkEnd w:id="349"/>
      <w:bookmarkEnd w:id="350"/>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任命发包人代表，并在专用合同条件中明确发包人代表的姓名、职务、联系方式及授权范围等事项。发包人代表应在发包人的授权范围内，负责处理合同履行过程中与发包人有关的具体事宜。发包人代表在授权范围内的行为由发包人承担法律责任。</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除非发包人另行通知承包人，发包人代表应被授予并且被认为具有发包人根据合同约定享有的全部权利，涉及第</w:t>
      </w:r>
      <w:r>
        <w:rPr>
          <w:color w:val="auto"/>
          <w:highlight w:val="none"/>
        </w:rPr>
        <w:fldChar w:fldCharType="begin"/>
      </w:r>
      <w:r>
        <w:rPr>
          <w:color w:val="auto"/>
          <w:highlight w:val="none"/>
        </w:rPr>
        <w:instrText xml:space="preserve"> REF _Ref531958499 \r \h  \* MERGEFORMAT </w:instrText>
      </w:r>
      <w:r>
        <w:rPr>
          <w:color w:val="auto"/>
          <w:highlight w:val="none"/>
        </w:rPr>
        <w:fldChar w:fldCharType="separate"/>
      </w:r>
      <w:r>
        <w:rPr>
          <w:rFonts w:hint="eastAsia" w:ascii="仿宋" w:hAnsi="仿宋" w:eastAsia="仿宋" w:cs="仿宋"/>
          <w:color w:val="auto"/>
          <w:sz w:val="24"/>
          <w:szCs w:val="24"/>
          <w:highlight w:val="none"/>
        </w:rPr>
        <w:t>16.1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款［</w:t>
      </w:r>
      <w:r>
        <w:rPr>
          <w:color w:val="auto"/>
          <w:highlight w:val="none"/>
        </w:rPr>
        <w:fldChar w:fldCharType="begin"/>
      </w:r>
      <w:r>
        <w:rPr>
          <w:color w:val="auto"/>
          <w:highlight w:val="none"/>
        </w:rPr>
        <w:instrText xml:space="preserve"> REF _Ref531958499 \h  \* MERGEFORMAT </w:instrText>
      </w:r>
      <w:r>
        <w:rPr>
          <w:color w:val="auto"/>
          <w:highlight w:val="none"/>
        </w:rPr>
        <w:fldChar w:fldCharType="separate"/>
      </w:r>
      <w:r>
        <w:rPr>
          <w:rFonts w:hint="eastAsia" w:ascii="仿宋" w:hAnsi="仿宋" w:eastAsia="仿宋" w:cs="仿宋"/>
          <w:color w:val="auto"/>
          <w:sz w:val="24"/>
          <w:szCs w:val="24"/>
          <w:highlight w:val="none"/>
        </w:rPr>
        <w:t>由发包人解除合同</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］的权利除外。</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发包人代表（或者在其为法人的情况下，被任命代表其行事的自然人）应：</w:t>
      </w:r>
    </w:p>
    <w:p>
      <w:pPr>
        <w:pStyle w:val="192"/>
        <w:spacing w:after="120"/>
        <w:ind w:right="-512" w:rightChars="-244" w:firstLine="426"/>
        <w:rPr>
          <w:rFonts w:ascii="仿宋" w:hAnsi="仿宋" w:eastAsia="仿宋" w:cs="仿宋"/>
          <w:color w:val="auto"/>
          <w:sz w:val="24"/>
          <w:highlight w:val="none"/>
        </w:rPr>
      </w:pPr>
      <w:r>
        <w:rPr>
          <w:rFonts w:hint="eastAsia" w:ascii="仿宋" w:hAnsi="仿宋" w:eastAsia="仿宋" w:cs="仿宋"/>
          <w:color w:val="auto"/>
          <w:sz w:val="24"/>
          <w:highlight w:val="none"/>
        </w:rPr>
        <w:t>履行指派给其的职责，行使发包人托付给的权利；</w:t>
      </w:r>
    </w:p>
    <w:p>
      <w:pPr>
        <w:pStyle w:val="192"/>
        <w:spacing w:after="120"/>
        <w:ind w:right="-512" w:rightChars="-244" w:firstLine="426"/>
        <w:rPr>
          <w:rFonts w:ascii="仿宋" w:hAnsi="仿宋" w:eastAsia="仿宋" w:cs="仿宋"/>
          <w:color w:val="auto"/>
          <w:sz w:val="24"/>
          <w:highlight w:val="none"/>
        </w:rPr>
      </w:pPr>
      <w:r>
        <w:rPr>
          <w:rFonts w:hint="eastAsia" w:ascii="仿宋" w:hAnsi="仿宋" w:eastAsia="仿宋" w:cs="仿宋"/>
          <w:color w:val="auto"/>
          <w:sz w:val="24"/>
          <w:highlight w:val="none"/>
        </w:rPr>
        <w:t>具备履行这些职责、行使这些权利的能力；</w:t>
      </w:r>
    </w:p>
    <w:p>
      <w:pPr>
        <w:pStyle w:val="192"/>
        <w:spacing w:after="120"/>
        <w:ind w:right="-512" w:rightChars="-244" w:firstLine="426"/>
        <w:rPr>
          <w:rFonts w:ascii="仿宋" w:hAnsi="仿宋" w:eastAsia="仿宋" w:cs="仿宋"/>
          <w:color w:val="auto"/>
          <w:sz w:val="24"/>
          <w:highlight w:val="none"/>
        </w:rPr>
      </w:pPr>
      <w:r>
        <w:rPr>
          <w:rFonts w:hint="eastAsia" w:ascii="仿宋" w:hAnsi="仿宋" w:eastAsia="仿宋" w:cs="仿宋"/>
          <w:color w:val="auto"/>
          <w:sz w:val="24"/>
          <w:highlight w:val="none"/>
        </w:rPr>
        <w:t>作为熟练的专业人员行事。</w:t>
      </w:r>
    </w:p>
    <w:p>
      <w:pPr>
        <w:pStyle w:val="190"/>
        <w:numPr>
          <w:ilvl w:val="2"/>
          <w:numId w:val="16"/>
        </w:numPr>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如果发包人代表为法人的，发包人代表应向双方发出通知，告知被任命和授权代表的自然人以及任何替代人员。此授权在双方收到本通知后生效。发包人代表撤销该授权时也应同样发出该通知。</w:t>
      </w:r>
    </w:p>
    <w:p>
      <w:pPr>
        <w:pStyle w:val="190"/>
        <w:numPr>
          <w:ilvl w:val="2"/>
          <w:numId w:val="16"/>
        </w:numPr>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发包人更换发包人代表的，应提前14天将更换人的姓名、地址、任务和权利、以及任命的日期书面通知承包人。发包人不得将发包人代表更换为承包人根据本款发出通知提出合理反对意见的人员，不论是法人还是自然人。</w:t>
      </w:r>
    </w:p>
    <w:p>
      <w:pPr>
        <w:pStyle w:val="190"/>
        <w:numPr>
          <w:ilvl w:val="2"/>
          <w:numId w:val="16"/>
        </w:numPr>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发包人代表不能按照合同约定履行其职责及义务，并导致合同无法继续正常履行的，承包人可以要求发包人撤换发包人代表。</w:t>
      </w:r>
    </w:p>
    <w:p>
      <w:pPr>
        <w:pStyle w:val="189"/>
        <w:widowControl/>
        <w:numPr>
          <w:ilvl w:val="1"/>
          <w:numId w:val="16"/>
        </w:numPr>
        <w:spacing w:after="120"/>
        <w:ind w:right="-512" w:rightChars="-244"/>
        <w:rPr>
          <w:rFonts w:ascii="仿宋" w:hAnsi="仿宋" w:eastAsia="仿宋" w:cs="仿宋"/>
          <w:b w:val="0"/>
          <w:bCs/>
          <w:color w:val="auto"/>
          <w:highlight w:val="none"/>
        </w:rPr>
      </w:pPr>
      <w:bookmarkStart w:id="351" w:name="_Ref531951557"/>
      <w:bookmarkStart w:id="352" w:name="_Ref531951553"/>
      <w:bookmarkStart w:id="353" w:name="_Toc23_WPSOffice_Level3"/>
      <w:bookmarkStart w:id="354" w:name="_Toc20171746"/>
      <w:r>
        <w:rPr>
          <w:rFonts w:hint="eastAsia" w:ascii="仿宋" w:hAnsi="仿宋" w:eastAsia="仿宋" w:cs="仿宋"/>
          <w:b w:val="0"/>
          <w:bCs/>
          <w:color w:val="auto"/>
          <w:highlight w:val="none"/>
        </w:rPr>
        <w:t>发包人人员</w:t>
      </w:r>
      <w:bookmarkEnd w:id="351"/>
      <w:bookmarkEnd w:id="352"/>
      <w:bookmarkEnd w:id="353"/>
      <w:bookmarkEnd w:id="354"/>
    </w:p>
    <w:p>
      <w:pPr>
        <w:pStyle w:val="190"/>
        <w:numPr>
          <w:ilvl w:val="2"/>
          <w:numId w:val="16"/>
        </w:numPr>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发包人人员包括发包人代表、工程师及其他由发包人派驻施工现场的人员。发包人或发包人代表可随时对一些助手指派和托付一定的任务和权利，也可撤销这些指派和托付。这些助手可包括驻地工程师或担任检验、试验各项工程设备和材料的独立检查员。这些助手应具有适当的资质、履行其任务和权利的能力。以上指派、托付或撤销，在承包人收到通知后生效。</w:t>
      </w:r>
    </w:p>
    <w:p>
      <w:pPr>
        <w:pStyle w:val="190"/>
        <w:numPr>
          <w:ilvl w:val="2"/>
          <w:numId w:val="16"/>
        </w:numPr>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发包人应要求在施工现场的发包人人员遵守法律及有关安全、质量、环境保护、文明施工等规定，并保障承包人免于承受因发包人人员未遵守上述要求给承包人造成的损失和责任。</w:t>
      </w:r>
    </w:p>
    <w:p>
      <w:pPr>
        <w:pStyle w:val="189"/>
        <w:widowControl/>
        <w:numPr>
          <w:ilvl w:val="1"/>
          <w:numId w:val="16"/>
        </w:numPr>
        <w:spacing w:after="120"/>
        <w:ind w:right="-512" w:rightChars="-244"/>
        <w:rPr>
          <w:rFonts w:ascii="仿宋" w:hAnsi="仿宋" w:eastAsia="仿宋" w:cs="仿宋"/>
          <w:b w:val="0"/>
          <w:bCs/>
          <w:color w:val="auto"/>
          <w:highlight w:val="none"/>
        </w:rPr>
      </w:pPr>
      <w:bookmarkStart w:id="355" w:name="_Toc26251_WPSOffice_Level3"/>
      <w:r>
        <w:rPr>
          <w:rFonts w:hint="eastAsia" w:ascii="仿宋" w:hAnsi="仿宋" w:eastAsia="仿宋" w:cs="仿宋"/>
          <w:b w:val="0"/>
          <w:bCs/>
          <w:color w:val="auto"/>
          <w:highlight w:val="none"/>
        </w:rPr>
        <w:t>工程师</w:t>
      </w:r>
      <w:bookmarkEnd w:id="355"/>
      <w:r>
        <w:rPr>
          <w:rFonts w:hint="eastAsia" w:ascii="仿宋" w:hAnsi="仿宋" w:eastAsia="仿宋" w:cs="仿宋"/>
          <w:b w:val="0"/>
          <w:bCs/>
          <w:color w:val="auto"/>
          <w:highlight w:val="none"/>
        </w:rPr>
        <w:t xml:space="preserve"> </w:t>
      </w:r>
    </w:p>
    <w:p>
      <w:pPr>
        <w:pStyle w:val="190"/>
        <w:numPr>
          <w:ilvl w:val="2"/>
          <w:numId w:val="16"/>
        </w:numPr>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发包人需对承包人的设计、采购、施工、服务等工作过程或过程节点实施监督管理的，有权委任工程师。工程师的名称、监督管理范围、内容和权限在专用合同条件中写明。根据国家相关法律法规规定，如本合同工程属于强制监理项目的，由工程师履行法定的监理相关职责，但发包人另行授权第三方进行监理的除外。</w:t>
      </w:r>
    </w:p>
    <w:p>
      <w:pPr>
        <w:pStyle w:val="190"/>
        <w:numPr>
          <w:ilvl w:val="2"/>
          <w:numId w:val="16"/>
        </w:numPr>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工程师按发包人委托的范围、内容、职权和权限，代表发包人对承包人实施监督管理。若承包人认为工程师行使的职权不在发包人委托的授权范围之内的，则其有权拒绝执行工程师的相关指示，同时应及时通知发包人，发包人书面确认工程师相关指示的，承包人应遵照执行。</w:t>
      </w:r>
    </w:p>
    <w:p>
      <w:pPr>
        <w:pStyle w:val="190"/>
        <w:numPr>
          <w:ilvl w:val="2"/>
          <w:numId w:val="16"/>
        </w:numPr>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在发包人和承包人之间提供证明、行使决定权或处理权时，工程师应作为独立的专业人员，根据自己的专业技能和判断进行工作。但工程师或其人员均无权修改合同，且无权减轻或免除合同当事人的任何责任与义务。</w:t>
      </w:r>
    </w:p>
    <w:p>
      <w:pPr>
        <w:pStyle w:val="190"/>
        <w:numPr>
          <w:ilvl w:val="2"/>
          <w:numId w:val="16"/>
        </w:numPr>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通用合同条件中约定由工程师行使的职权如不在发包人对工程师的授权范围内的，则视为没有取得授权，该职权应由发包人或发包人指定的其他人员行使。若承包人认为工程师的职权与发包人（包括其人员）的职权相重叠或不明确时，应及时通知发包人，由发包人予以协调和明确并以书面形式通知承包人。</w:t>
      </w:r>
    </w:p>
    <w:p>
      <w:pPr>
        <w:pStyle w:val="189"/>
        <w:widowControl/>
        <w:numPr>
          <w:ilvl w:val="1"/>
          <w:numId w:val="16"/>
        </w:numPr>
        <w:spacing w:after="120"/>
        <w:ind w:right="-512" w:rightChars="-244"/>
        <w:rPr>
          <w:rFonts w:ascii="仿宋" w:hAnsi="仿宋" w:eastAsia="仿宋" w:cs="仿宋"/>
          <w:b w:val="0"/>
          <w:bCs/>
          <w:color w:val="auto"/>
          <w:highlight w:val="none"/>
        </w:rPr>
      </w:pPr>
      <w:bookmarkStart w:id="356" w:name="_Toc32386_WPSOffice_Level3"/>
      <w:bookmarkStart w:id="357" w:name="_Ref531951597"/>
      <w:bookmarkStart w:id="358" w:name="_Ref531951594"/>
      <w:r>
        <w:rPr>
          <w:rFonts w:hint="eastAsia" w:ascii="仿宋" w:hAnsi="仿宋" w:eastAsia="仿宋" w:cs="仿宋"/>
          <w:b w:val="0"/>
          <w:bCs/>
          <w:color w:val="auto"/>
          <w:highlight w:val="none"/>
        </w:rPr>
        <w:t>任命和授权</w:t>
      </w:r>
      <w:bookmarkEnd w:id="356"/>
    </w:p>
    <w:p>
      <w:pPr>
        <w:pStyle w:val="190"/>
        <w:numPr>
          <w:ilvl w:val="2"/>
          <w:numId w:val="16"/>
        </w:numPr>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发包人应在发出开始工作通知前将工程师的任命通知承包人。更换工程师的，发包人应提前7天以书面形式通知承包人，并在通知中写明替换者的姓名、职务、职权、权限和任命时间。工程师项目负责人超过2天不能履行职责的，应委派代表代行其职责，并通知承包人。</w:t>
      </w:r>
    </w:p>
    <w:p>
      <w:pPr>
        <w:pStyle w:val="190"/>
        <w:numPr>
          <w:ilvl w:val="2"/>
          <w:numId w:val="16"/>
        </w:numPr>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工程师可以授权其他人员负责执行其指派的一项或多项工作，但第</w:t>
      </w:r>
      <w:r>
        <w:rPr>
          <w:color w:val="auto"/>
          <w:highlight w:val="none"/>
        </w:rPr>
        <w:fldChar w:fldCharType="begin"/>
      </w:r>
      <w:r>
        <w:rPr>
          <w:color w:val="auto"/>
          <w:highlight w:val="none"/>
        </w:rPr>
        <w:instrText xml:space="preserve"> REF _Ref531951609 \r \h  \* MERGEFORMAT </w:instrText>
      </w:r>
      <w:r>
        <w:rPr>
          <w:color w:val="auto"/>
          <w:highlight w:val="none"/>
        </w:rPr>
        <w:fldChar w:fldCharType="separate"/>
      </w:r>
      <w:r>
        <w:rPr>
          <w:rFonts w:hint="eastAsia" w:ascii="仿宋" w:hAnsi="仿宋" w:eastAsia="仿宋" w:cs="仿宋"/>
          <w:color w:val="auto"/>
          <w:szCs w:val="24"/>
          <w:highlight w:val="none"/>
        </w:rPr>
        <w:t>3.6</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款［</w:t>
      </w:r>
      <w:r>
        <w:rPr>
          <w:color w:val="auto"/>
          <w:highlight w:val="none"/>
        </w:rPr>
        <w:fldChar w:fldCharType="begin"/>
      </w:r>
      <w:r>
        <w:rPr>
          <w:color w:val="auto"/>
          <w:highlight w:val="none"/>
        </w:rPr>
        <w:instrText xml:space="preserve"> REF _Ref531951609 \h  \* MERGEFORMAT </w:instrText>
      </w:r>
      <w:r>
        <w:rPr>
          <w:color w:val="auto"/>
          <w:highlight w:val="none"/>
        </w:rPr>
        <w:fldChar w:fldCharType="separate"/>
      </w:r>
      <w:r>
        <w:rPr>
          <w:rFonts w:hint="eastAsia" w:ascii="仿宋" w:hAnsi="仿宋" w:eastAsia="仿宋" w:cs="仿宋"/>
          <w:color w:val="auto"/>
          <w:szCs w:val="24"/>
          <w:highlight w:val="none"/>
        </w:rPr>
        <w:t>商定或确定</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下的权利除外。工程师应将被授权人员的姓名及其授权范围通知承包人。被授权的人员在授权范围内发出的指示视为已得到工程师的同意，与工程师发出的指示具有同等效力。工程师撤销某项授权时，应将撤销授权的决定及时通知承包人。</w:t>
      </w:r>
    </w:p>
    <w:p>
      <w:pPr>
        <w:pStyle w:val="189"/>
        <w:widowControl/>
        <w:numPr>
          <w:ilvl w:val="1"/>
          <w:numId w:val="16"/>
        </w:numPr>
        <w:spacing w:after="120"/>
        <w:ind w:right="-512" w:rightChars="-244"/>
        <w:rPr>
          <w:rFonts w:ascii="仿宋" w:hAnsi="仿宋" w:eastAsia="仿宋" w:cs="仿宋"/>
          <w:b w:val="0"/>
          <w:bCs/>
          <w:color w:val="auto"/>
          <w:highlight w:val="none"/>
        </w:rPr>
      </w:pPr>
      <w:bookmarkStart w:id="359" w:name="_Toc20171749"/>
      <w:bookmarkStart w:id="360" w:name="_Toc24727_WPSOffice_Level3"/>
      <w:bookmarkStart w:id="361" w:name="_Ref20165400"/>
      <w:r>
        <w:rPr>
          <w:rFonts w:hint="eastAsia" w:ascii="仿宋" w:hAnsi="仿宋" w:eastAsia="仿宋" w:cs="仿宋"/>
          <w:b w:val="0"/>
          <w:bCs/>
          <w:color w:val="auto"/>
          <w:highlight w:val="none"/>
        </w:rPr>
        <w:t>指示</w:t>
      </w:r>
      <w:bookmarkEnd w:id="357"/>
      <w:bookmarkEnd w:id="358"/>
      <w:bookmarkEnd w:id="359"/>
      <w:bookmarkEnd w:id="360"/>
      <w:bookmarkEnd w:id="361"/>
    </w:p>
    <w:p>
      <w:pPr>
        <w:pStyle w:val="195"/>
        <w:tabs>
          <w:tab w:val="left" w:pos="1185"/>
        </w:tabs>
        <w:spacing w:line="360" w:lineRule="auto"/>
        <w:ind w:firstLine="240" w:firstLineChars="100"/>
        <w:rPr>
          <w:rFonts w:ascii="仿宋" w:hAnsi="仿宋" w:eastAsia="仿宋" w:cs="仿宋"/>
          <w:color w:val="auto"/>
          <w:sz w:val="24"/>
          <w:highlight w:val="none"/>
        </w:rPr>
      </w:pPr>
      <w:bookmarkStart w:id="362" w:name="_Ref531951609"/>
      <w:bookmarkStart w:id="363" w:name="_Ref531951611"/>
      <w:bookmarkStart w:id="364" w:name="_Toc20171750"/>
      <w:bookmarkStart w:id="365" w:name="_Toc22684_WPSOffice_Level3"/>
      <w:r>
        <w:rPr>
          <w:rFonts w:hint="eastAsia" w:ascii="仿宋" w:hAnsi="仿宋" w:eastAsia="仿宋" w:cs="仿宋"/>
          <w:color w:val="auto"/>
          <w:sz w:val="24"/>
          <w:highlight w:val="none"/>
        </w:rPr>
        <w:t>3.5.1发包人应按合同约定向承包人发出指示，发包人的指示应盖有发包人单位章，并由发包人代表签字确认。</w:t>
      </w:r>
    </w:p>
    <w:p>
      <w:pPr>
        <w:pStyle w:val="195"/>
        <w:tabs>
          <w:tab w:val="left" w:pos="1185"/>
        </w:tabs>
        <w:spacing w:line="360" w:lineRule="auto"/>
        <w:ind w:firstLine="218" w:firstLineChars="91"/>
        <w:rPr>
          <w:rFonts w:ascii="仿宋" w:hAnsi="仿宋" w:eastAsia="仿宋" w:cs="仿宋"/>
          <w:color w:val="auto"/>
          <w:sz w:val="24"/>
          <w:highlight w:val="none"/>
        </w:rPr>
      </w:pPr>
      <w:r>
        <w:rPr>
          <w:rFonts w:hint="eastAsia" w:ascii="仿宋" w:hAnsi="仿宋" w:eastAsia="仿宋" w:cs="仿宋"/>
          <w:color w:val="auto"/>
          <w:sz w:val="24"/>
          <w:highlight w:val="none"/>
        </w:rPr>
        <w:t>3.5.2 承包人收到发包人作出的指示后应遵照执行。指示构成变更的，应按第 11 条执行。</w:t>
      </w:r>
    </w:p>
    <w:p>
      <w:pPr>
        <w:pStyle w:val="195"/>
        <w:tabs>
          <w:tab w:val="left" w:pos="1185"/>
        </w:tabs>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3.5.3在紧急情况下，发包人代表或其授权人员可以当场签发临时书面指示，承包人应遵照执行。发包人代表应在临时书面指示发出后 24 小时内发出书面确认函，逾期未发出书面确认函的，该临时书面指示应被视为发包人的正式指示。</w:t>
      </w:r>
    </w:p>
    <w:p>
      <w:pPr>
        <w:pStyle w:val="195"/>
        <w:tabs>
          <w:tab w:val="left" w:pos="1185"/>
        </w:tabs>
        <w:spacing w:line="360" w:lineRule="auto"/>
        <w:ind w:firstLine="218" w:firstLineChars="91"/>
        <w:rPr>
          <w:rFonts w:ascii="仿宋" w:hAnsi="仿宋" w:eastAsia="仿宋" w:cs="仿宋"/>
          <w:color w:val="auto"/>
          <w:sz w:val="24"/>
          <w:highlight w:val="none"/>
        </w:rPr>
      </w:pPr>
      <w:r>
        <w:rPr>
          <w:rFonts w:hint="eastAsia" w:ascii="仿宋" w:hAnsi="仿宋" w:eastAsia="仿宋" w:cs="仿宋"/>
          <w:color w:val="auto"/>
          <w:sz w:val="24"/>
          <w:highlight w:val="none"/>
        </w:rPr>
        <w:t>3.5.4除专用合同条款另有约定外，承包人只从发包人代表或按第 3项约定的被授权人员处取得指示。</w:t>
      </w:r>
    </w:p>
    <w:p>
      <w:pPr>
        <w:pStyle w:val="195"/>
        <w:tabs>
          <w:tab w:val="left" w:pos="1185"/>
        </w:tabs>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3.5.5由于发包人未能按合同约定发出指示、指示延误或指示错误而导致承包人费用增加和（或）周期延误的，发包人应承担由此增加的费用和（或）周期延误。</w:t>
      </w:r>
    </w:p>
    <w:p>
      <w:pPr>
        <w:pStyle w:val="189"/>
        <w:widowControl/>
        <w:numPr>
          <w:ilvl w:val="1"/>
          <w:numId w:val="16"/>
        </w:numPr>
        <w:spacing w:after="120"/>
        <w:ind w:right="-512" w:rightChars="-244"/>
        <w:rPr>
          <w:rFonts w:ascii="仿宋" w:hAnsi="仿宋" w:eastAsia="仿宋" w:cs="仿宋"/>
          <w:b w:val="0"/>
          <w:bCs/>
          <w:color w:val="auto"/>
          <w:highlight w:val="none"/>
        </w:rPr>
      </w:pPr>
      <w:r>
        <w:rPr>
          <w:rFonts w:hint="eastAsia" w:ascii="仿宋" w:hAnsi="仿宋" w:eastAsia="仿宋" w:cs="仿宋"/>
          <w:b w:val="0"/>
          <w:bCs/>
          <w:color w:val="auto"/>
          <w:highlight w:val="none"/>
        </w:rPr>
        <w:t>商定或确定</w:t>
      </w:r>
      <w:bookmarkEnd w:id="362"/>
      <w:bookmarkEnd w:id="363"/>
      <w:bookmarkEnd w:id="364"/>
      <w:bookmarkEnd w:id="365"/>
    </w:p>
    <w:p>
      <w:pPr>
        <w:pStyle w:val="190"/>
        <w:numPr>
          <w:ilvl w:val="2"/>
          <w:numId w:val="16"/>
        </w:numPr>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合同约定工程师应按照本款对任何事项进行商定或确定时，工程师应及时与合同当事人协商，尽量达成一致。工程师应将商定的结果以书面形式通知发包人和承包人，并由双方签署确认。</w:t>
      </w:r>
    </w:p>
    <w:p>
      <w:pPr>
        <w:pStyle w:val="190"/>
        <w:numPr>
          <w:ilvl w:val="2"/>
          <w:numId w:val="16"/>
        </w:numPr>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除专用合同条件另有约定外，商定的期限应为工程师收到任何一方就商定事由发出的通知后42天内或工程师提出并经双方同意的其他期限。未能在该期限内达成一致的，由工程师按照合同约定审慎做出公正的确定。确定的期限应为商定的期限届满后42天内或工程师提出并经双方同意的其他期限。工程师应将确定的结果以书面形式通知发包人和承包人，并附详细依据。</w:t>
      </w:r>
    </w:p>
    <w:p>
      <w:pPr>
        <w:pStyle w:val="190"/>
        <w:numPr>
          <w:ilvl w:val="2"/>
          <w:numId w:val="16"/>
        </w:numPr>
        <w:spacing w:after="120"/>
        <w:ind w:right="-512" w:rightChars="-244"/>
        <w:rPr>
          <w:rFonts w:ascii="仿宋" w:hAnsi="仿宋" w:eastAsia="仿宋" w:cs="仿宋"/>
          <w:color w:val="auto"/>
          <w:szCs w:val="24"/>
          <w:highlight w:val="none"/>
        </w:rPr>
      </w:pPr>
      <w:bookmarkStart w:id="366" w:name="_Ref532287856"/>
      <w:r>
        <w:rPr>
          <w:rFonts w:hint="eastAsia" w:ascii="仿宋" w:hAnsi="仿宋" w:eastAsia="仿宋" w:cs="仿宋"/>
          <w:color w:val="auto"/>
          <w:szCs w:val="24"/>
          <w:highlight w:val="none"/>
        </w:rPr>
        <w:t>任何一方对工程师的确定有异议的，应在收到确定的结果后28天内向另一方发出书面异议通知并抄送工程师。除第</w:t>
      </w:r>
      <w:r>
        <w:rPr>
          <w:color w:val="auto"/>
          <w:highlight w:val="none"/>
        </w:rPr>
        <w:fldChar w:fldCharType="begin"/>
      </w:r>
      <w:r>
        <w:rPr>
          <w:color w:val="auto"/>
          <w:highlight w:val="none"/>
        </w:rPr>
        <w:instrText xml:space="preserve"> REF _Ref4796254 \r \h  \* MERGEFORMAT </w:instrText>
      </w:r>
      <w:r>
        <w:rPr>
          <w:color w:val="auto"/>
          <w:highlight w:val="none"/>
        </w:rPr>
        <w:fldChar w:fldCharType="separate"/>
      </w:r>
      <w:r>
        <w:rPr>
          <w:rFonts w:hint="eastAsia" w:ascii="仿宋" w:hAnsi="仿宋" w:eastAsia="仿宋" w:cs="仿宋"/>
          <w:color w:val="auto"/>
          <w:szCs w:val="24"/>
          <w:highlight w:val="none"/>
        </w:rPr>
        <w:t>19.2</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款［</w:t>
      </w:r>
      <w:r>
        <w:rPr>
          <w:color w:val="auto"/>
          <w:highlight w:val="none"/>
        </w:rPr>
        <w:fldChar w:fldCharType="begin"/>
      </w:r>
      <w:r>
        <w:rPr>
          <w:color w:val="auto"/>
          <w:highlight w:val="none"/>
        </w:rPr>
        <w:instrText xml:space="preserve"> REF _Ref4796262 \h  \* MERGEFORMAT </w:instrText>
      </w:r>
      <w:r>
        <w:rPr>
          <w:color w:val="auto"/>
          <w:highlight w:val="none"/>
        </w:rPr>
        <w:fldChar w:fldCharType="separate"/>
      </w:r>
      <w:r>
        <w:rPr>
          <w:rFonts w:hint="eastAsia" w:ascii="仿宋" w:hAnsi="仿宋" w:eastAsia="仿宋" w:cs="仿宋"/>
          <w:color w:val="auto"/>
          <w:szCs w:val="24"/>
          <w:highlight w:val="none"/>
        </w:rPr>
        <w:t>承包人索赔的处理程序</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］另有约定外，工程师未能在确定的期限内发出确定的结果通知的，或者任何一方发出对确定的结果有异议的通知的，则构成争议并应按照</w:t>
      </w:r>
      <w:r>
        <w:rPr>
          <w:color w:val="auto"/>
          <w:highlight w:val="none"/>
        </w:rPr>
        <w:fldChar w:fldCharType="begin"/>
      </w:r>
      <w:r>
        <w:rPr>
          <w:color w:val="auto"/>
          <w:highlight w:val="none"/>
        </w:rPr>
        <w:instrText xml:space="preserve"> REF _Ref532197861 \r \h  \* MERGEFORMAT </w:instrText>
      </w:r>
      <w:r>
        <w:rPr>
          <w:color w:val="auto"/>
          <w:highlight w:val="none"/>
        </w:rPr>
        <w:fldChar w:fldCharType="separate"/>
      </w:r>
      <w:r>
        <w:rPr>
          <w:rFonts w:hint="eastAsia" w:ascii="仿宋" w:hAnsi="仿宋" w:eastAsia="仿宋" w:cs="仿宋"/>
          <w:color w:val="auto"/>
          <w:szCs w:val="24"/>
          <w:highlight w:val="none"/>
        </w:rPr>
        <w:t>第20条</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w:t>
      </w:r>
      <w:r>
        <w:rPr>
          <w:color w:val="auto"/>
          <w:highlight w:val="none"/>
        </w:rPr>
        <w:fldChar w:fldCharType="begin"/>
      </w:r>
      <w:r>
        <w:rPr>
          <w:color w:val="auto"/>
          <w:highlight w:val="none"/>
        </w:rPr>
        <w:instrText xml:space="preserve"> REF _Ref532142075 \h  \* MERGEFORMAT </w:instrText>
      </w:r>
      <w:r>
        <w:rPr>
          <w:color w:val="auto"/>
          <w:highlight w:val="none"/>
        </w:rPr>
        <w:fldChar w:fldCharType="separate"/>
      </w:r>
      <w:r>
        <w:rPr>
          <w:rFonts w:hint="eastAsia" w:ascii="仿宋" w:hAnsi="仿宋" w:eastAsia="仿宋" w:cs="仿宋"/>
          <w:color w:val="auto"/>
          <w:szCs w:val="24"/>
          <w:highlight w:val="none"/>
        </w:rPr>
        <w:t>争议解决</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］的约定处理。如未在28天内发出上述通知的，工程师的确定应被视为已被双方接受并对双方具有约束力，但专用合同条件另有约定的除外。</w:t>
      </w:r>
      <w:bookmarkEnd w:id="366"/>
    </w:p>
    <w:p>
      <w:pPr>
        <w:pStyle w:val="190"/>
        <w:numPr>
          <w:ilvl w:val="2"/>
          <w:numId w:val="16"/>
        </w:numPr>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在该争议解决前，双方应暂按工程师的确定执行。按照</w:t>
      </w:r>
      <w:r>
        <w:rPr>
          <w:color w:val="auto"/>
          <w:highlight w:val="none"/>
        </w:rPr>
        <w:fldChar w:fldCharType="begin"/>
      </w:r>
      <w:r>
        <w:rPr>
          <w:color w:val="auto"/>
          <w:highlight w:val="none"/>
        </w:rPr>
        <w:instrText xml:space="preserve"> REF _Ref532197861 \r \h  \* MERGEFORMAT </w:instrText>
      </w:r>
      <w:r>
        <w:rPr>
          <w:color w:val="auto"/>
          <w:highlight w:val="none"/>
        </w:rPr>
        <w:fldChar w:fldCharType="separate"/>
      </w:r>
      <w:r>
        <w:rPr>
          <w:rFonts w:hint="eastAsia" w:ascii="仿宋" w:hAnsi="仿宋" w:eastAsia="仿宋" w:cs="仿宋"/>
          <w:color w:val="auto"/>
          <w:szCs w:val="24"/>
          <w:highlight w:val="none"/>
        </w:rPr>
        <w:t>第20条</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w:t>
      </w:r>
      <w:r>
        <w:rPr>
          <w:color w:val="auto"/>
          <w:highlight w:val="none"/>
        </w:rPr>
        <w:fldChar w:fldCharType="begin"/>
      </w:r>
      <w:r>
        <w:rPr>
          <w:color w:val="auto"/>
          <w:highlight w:val="none"/>
        </w:rPr>
        <w:instrText xml:space="preserve"> REF _Ref532142075 \h  \* MERGEFORMAT </w:instrText>
      </w:r>
      <w:r>
        <w:rPr>
          <w:color w:val="auto"/>
          <w:highlight w:val="none"/>
        </w:rPr>
        <w:fldChar w:fldCharType="separate"/>
      </w:r>
      <w:r>
        <w:rPr>
          <w:rFonts w:hint="eastAsia" w:ascii="仿宋" w:hAnsi="仿宋" w:eastAsia="仿宋" w:cs="仿宋"/>
          <w:color w:val="auto"/>
          <w:szCs w:val="24"/>
          <w:highlight w:val="none"/>
        </w:rPr>
        <w:t>争议解决</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］的约定对工程师的确定作出修改的，按修改后的结果执行，由此导致承包人增加的费用和延误的工期由发包人承担。</w:t>
      </w:r>
    </w:p>
    <w:p>
      <w:pPr>
        <w:pStyle w:val="189"/>
        <w:widowControl/>
        <w:numPr>
          <w:ilvl w:val="1"/>
          <w:numId w:val="16"/>
        </w:numPr>
        <w:spacing w:after="120"/>
        <w:ind w:right="-512" w:rightChars="-244"/>
        <w:rPr>
          <w:rFonts w:ascii="仿宋" w:hAnsi="仿宋" w:eastAsia="仿宋" w:cs="仿宋"/>
          <w:b w:val="0"/>
          <w:bCs/>
          <w:color w:val="auto"/>
          <w:highlight w:val="none"/>
        </w:rPr>
      </w:pPr>
      <w:bookmarkStart w:id="367" w:name="_Ref531951749"/>
      <w:bookmarkStart w:id="368" w:name="_Toc306_WPSOffice_Level3"/>
      <w:bookmarkStart w:id="369" w:name="_Ref531951747"/>
      <w:bookmarkStart w:id="370" w:name="_Toc20171751"/>
      <w:r>
        <w:rPr>
          <w:rFonts w:hint="eastAsia" w:ascii="仿宋" w:hAnsi="仿宋" w:eastAsia="仿宋" w:cs="仿宋"/>
          <w:b w:val="0"/>
          <w:bCs/>
          <w:color w:val="auto"/>
          <w:highlight w:val="none"/>
        </w:rPr>
        <w:t>会议</w:t>
      </w:r>
      <w:bookmarkEnd w:id="367"/>
      <w:bookmarkEnd w:id="368"/>
      <w:bookmarkEnd w:id="369"/>
      <w:bookmarkEnd w:id="370"/>
    </w:p>
    <w:p>
      <w:pPr>
        <w:pStyle w:val="190"/>
        <w:numPr>
          <w:ilvl w:val="2"/>
          <w:numId w:val="16"/>
        </w:numPr>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任何一方可通过向另一方发出通知，要求另一方出席会议，讨论工程的实施安排或与本合同履行有关的其他事项。发包人的其他承包人、承包人的分包人和其他第三方可应任何一方的请求出席任何此类会议。</w:t>
      </w:r>
    </w:p>
    <w:p>
      <w:pPr>
        <w:pStyle w:val="190"/>
        <w:numPr>
          <w:ilvl w:val="2"/>
          <w:numId w:val="16"/>
        </w:numPr>
        <w:spacing w:after="120"/>
        <w:ind w:right="-512" w:rightChars="-244"/>
        <w:rPr>
          <w:rFonts w:ascii="仿宋" w:hAnsi="仿宋" w:eastAsia="仿宋" w:cs="仿宋"/>
          <w:color w:val="auto"/>
          <w:szCs w:val="24"/>
          <w:highlight w:val="none"/>
        </w:rPr>
      </w:pPr>
      <w:r>
        <w:rPr>
          <w:rFonts w:hint="eastAsia" w:ascii="仿宋" w:hAnsi="仿宋" w:eastAsia="仿宋" w:cs="仿宋"/>
          <w:color w:val="auto"/>
          <w:szCs w:val="24"/>
          <w:highlight w:val="none"/>
        </w:rPr>
        <w:t>除专用合同条件另有约定外，发包人应保存每次会议的记录，并将会议纪要提供给出席会议的人员。任何根据此类会议以及会议纪要采取的行动应符合本合同的约定。</w:t>
      </w:r>
    </w:p>
    <w:p>
      <w:pPr>
        <w:pStyle w:val="188"/>
        <w:numPr>
          <w:ilvl w:val="0"/>
          <w:numId w:val="16"/>
        </w:numPr>
        <w:spacing w:after="120"/>
        <w:ind w:right="-512" w:rightChars="-244"/>
        <w:rPr>
          <w:rFonts w:ascii="仿宋" w:hAnsi="仿宋" w:eastAsia="仿宋" w:cs="仿宋"/>
          <w:b w:val="0"/>
          <w:color w:val="auto"/>
          <w:sz w:val="24"/>
          <w:szCs w:val="18"/>
          <w:highlight w:val="none"/>
        </w:rPr>
      </w:pPr>
      <w:bookmarkStart w:id="371" w:name="_Ref531952805"/>
      <w:bookmarkStart w:id="372" w:name="_Toc21301_WPSOffice_Level3"/>
      <w:bookmarkStart w:id="373" w:name="_Toc949"/>
      <w:bookmarkStart w:id="374" w:name="_Toc20171752"/>
      <w:r>
        <w:rPr>
          <w:rFonts w:hint="eastAsia" w:ascii="仿宋" w:hAnsi="仿宋" w:eastAsia="仿宋" w:cs="仿宋"/>
          <w:b w:val="0"/>
          <w:color w:val="auto"/>
          <w:sz w:val="24"/>
          <w:szCs w:val="18"/>
          <w:highlight w:val="none"/>
        </w:rPr>
        <w:t>承包人</w:t>
      </w:r>
      <w:bookmarkEnd w:id="371"/>
      <w:bookmarkEnd w:id="372"/>
      <w:bookmarkEnd w:id="373"/>
      <w:bookmarkEnd w:id="374"/>
    </w:p>
    <w:p>
      <w:pPr>
        <w:pStyle w:val="189"/>
        <w:widowControl/>
        <w:numPr>
          <w:ilvl w:val="1"/>
          <w:numId w:val="16"/>
        </w:numPr>
        <w:spacing w:after="120"/>
        <w:ind w:right="-512" w:rightChars="-244"/>
        <w:rPr>
          <w:rFonts w:ascii="仿宋" w:hAnsi="仿宋" w:eastAsia="仿宋" w:cs="仿宋"/>
          <w:b w:val="0"/>
          <w:bCs/>
          <w:color w:val="auto"/>
          <w:highlight w:val="none"/>
        </w:rPr>
      </w:pPr>
      <w:bookmarkStart w:id="375" w:name="_Ref531951941"/>
      <w:bookmarkStart w:id="376" w:name="_Toc16588_WPSOffice_Level3"/>
      <w:bookmarkStart w:id="377" w:name="_Ref531951961"/>
      <w:bookmarkStart w:id="378" w:name="_Ref531951975"/>
      <w:bookmarkStart w:id="379" w:name="_Ref531951958"/>
      <w:bookmarkStart w:id="380" w:name="_Ref531951945"/>
      <w:bookmarkStart w:id="381" w:name="_Toc20171753"/>
      <w:r>
        <w:rPr>
          <w:rFonts w:hint="eastAsia" w:ascii="仿宋" w:hAnsi="仿宋" w:eastAsia="仿宋" w:cs="仿宋"/>
          <w:b w:val="0"/>
          <w:bCs/>
          <w:color w:val="auto"/>
          <w:highlight w:val="none"/>
        </w:rPr>
        <w:t>承包人的一般义务</w:t>
      </w:r>
      <w:bookmarkEnd w:id="375"/>
      <w:bookmarkEnd w:id="376"/>
      <w:bookmarkEnd w:id="377"/>
      <w:bookmarkEnd w:id="378"/>
      <w:bookmarkEnd w:id="379"/>
      <w:bookmarkEnd w:id="380"/>
      <w:bookmarkEnd w:id="381"/>
      <w:r>
        <w:rPr>
          <w:rFonts w:hint="eastAsia" w:ascii="仿宋" w:hAnsi="仿宋" w:eastAsia="仿宋" w:cs="仿宋"/>
          <w:b w:val="0"/>
          <w:bCs/>
          <w:color w:val="auto"/>
          <w:highlight w:val="none"/>
        </w:rPr>
        <w:t xml:space="preserve"> </w:t>
      </w:r>
    </w:p>
    <w:p>
      <w:pPr>
        <w:spacing w:after="120"/>
        <w:ind w:right="-512" w:rightChars="-244" w:firstLine="600"/>
        <w:rPr>
          <w:rFonts w:ascii="仿宋" w:hAnsi="仿宋" w:eastAsia="仿宋" w:cs="仿宋"/>
          <w:color w:val="auto"/>
          <w:sz w:val="24"/>
          <w:szCs w:val="24"/>
          <w:highlight w:val="none"/>
        </w:rPr>
      </w:pPr>
      <w:bookmarkStart w:id="382" w:name="_Ref509046929"/>
      <w:r>
        <w:rPr>
          <w:rFonts w:hint="eastAsia" w:ascii="仿宋" w:hAnsi="仿宋" w:eastAsia="仿宋" w:cs="仿宋"/>
          <w:color w:val="auto"/>
          <w:sz w:val="24"/>
          <w:szCs w:val="24"/>
          <w:highlight w:val="none"/>
        </w:rPr>
        <w:t>承包人在履行合同过程中应遵守法律和工程建设标准规范，并履行以下义务：</w:t>
      </w:r>
    </w:p>
    <w:p>
      <w:pPr>
        <w:pStyle w:val="88"/>
        <w:spacing w:line="440" w:lineRule="exact"/>
        <w:ind w:right="-42" w:rightChars="-20" w:firstLine="648" w:firstLineChars="270"/>
        <w:rPr>
          <w:rFonts w:ascii="仿宋" w:hAnsi="仿宋" w:eastAsia="仿宋" w:cs="仿宋"/>
          <w:color w:val="auto"/>
          <w:highlight w:val="none"/>
        </w:rPr>
      </w:pPr>
      <w:bookmarkStart w:id="383" w:name="_Ref4426803"/>
      <w:bookmarkStart w:id="384" w:name="_Toc14421_WPSOffice_Level3"/>
      <w:bookmarkStart w:id="385" w:name="_Toc20171754"/>
      <w:bookmarkStart w:id="386" w:name="_Ref4428418"/>
      <w:r>
        <w:rPr>
          <w:rFonts w:hint="eastAsia" w:ascii="仿宋" w:hAnsi="仿宋" w:eastAsia="仿宋" w:cs="仿宋"/>
          <w:color w:val="auto"/>
          <w:highlight w:val="none"/>
        </w:rPr>
        <w:t>（1） 办理法律规定和合同约定由承包人办理的许可和批准，将办理结果书面报送发包人留存，并承担因承包人违反法律或合同约定给发包人造成的任何费用和损失；</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按合同约定完成全部工作并在缺陷责任期和保修期内承担缺陷保证责任和保修义务，对工作中的任何缺陷进行整改、完善和修补，使其满足合同约定的目的；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提供合同约定的工程设备和承包人文件，以及为完成合同工作所需的劳务、材料、施工设备和其他物品，并按合同约定负责临时设施的设计、施工、运行、维护、管理和拆除；</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 按合同约定的工作内容和进度要求，编制设计、施工的组织和实施计划，保证项目进度计划的实现，并对所有设计、施工作业和施工方法，以及全部工程的完备性和安全可靠性负责；</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 按法律规定和合同约定采取安全文明施工、职业健康和环境保护措施，办理员工工伤保险等相关保险，确保工程及人员、材料、设备和设施的安全，防止因工程实施造成的人身伤害和财产损失；</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 将发包人按合同约定支付的各项价款专用于合同工程，且应及时支付其雇用人员（包括建筑工人）工资，并及时向分包人支付合同价款；</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 在进行合同约定的各项工作时，不得侵害发包人与他人使用公用道路、水源、市政管网等公共设施的权利，避免对邻近的公共设施产生干扰。</w:t>
      </w:r>
    </w:p>
    <w:p>
      <w:pPr>
        <w:pStyle w:val="88"/>
        <w:spacing w:line="440" w:lineRule="exact"/>
        <w:ind w:right="-42" w:rightChars="-20"/>
        <w:rPr>
          <w:rFonts w:ascii="仿宋" w:hAnsi="仿宋" w:eastAsia="仿宋" w:cs="仿宋"/>
          <w:bCs/>
          <w:color w:val="auto"/>
          <w:kern w:val="2"/>
          <w:highlight w:val="none"/>
        </w:rPr>
      </w:pPr>
    </w:p>
    <w:bookmarkEnd w:id="382"/>
    <w:bookmarkEnd w:id="383"/>
    <w:bookmarkEnd w:id="384"/>
    <w:bookmarkEnd w:id="385"/>
    <w:bookmarkEnd w:id="386"/>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4.2履约担保</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需要承包人提供履约担保的，由合同当事人在专用合同条件中约定履约担保的方式、金额及提交的时间等，并应符合第2.5款［支付合同价款］的规定。履约担保可以采用银行保函或担保公司担保等形式，承包人为联合体的，其履约担保由联合体各方或者联合体中牵头人的名义提交，具体由合同当事人在专用合同条件中约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承包人应保证其履约担保在发包人竣工验收前一直有效，发包人应在竣工验收合格后7天内将履约担保款项退还给承包人或者解除履约担保。</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因承包人原因导致工期延长的，继续提供履约担保所增加的费用由承包人承担；非因承包人原因导致工期延长的，继续提供履约担保所增加的费用由发包人承担。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4.3工程总承包项目经理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4.3.1工程总承包项目经理应为合同当事人所确认的人选，并在专用合同条件中明确工程总承包项目经理的姓名、注册执业资格或职称、联系方式及授权范围等事项。工程总承包项目经理应具备履行其职责所需的资格、经验和能力，并为承包人正式聘用的员工，承包人应向发包人提交工程总承包项目经理与承包人之间的劳动合同，以及承包人为工程总承包项目经理缴纳社会保险的有效证明。承包人不提交上述文件的，工程总承包项目经理无权履行职责，发包人有权要求更换工程总承包项目经理，由此增加的费用和（或）延误的工期由承包人承担。同时，发包人有权根据专用合同条件约定要求承包人承担违约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4.3.2 承包人应按合同协议书的约定指派工程总承包项目经理，并在约定的期限内到职。工程总承包项目经理不得同时担任其他工程项目的工程总承包项目经理或施工工程总承包项目经理（含施工总承包工程、专业承包工程）。工程在现场实施的全部时间内，工程总承包项目经理每月在施工现场时间不得少于专用合同条件约定的天数。工程总承包项目经理确需离开施工现场时，应事先通知工程师，并取得发包人的书面同意。工程总承包项目经理未经批准擅自离开施工现场的，承包人应按照专用合同条件的约定承担违约责任。工程总承包项目经理的通知中应当载明临时代行其职责的人员的注册执业资格、管理经验等资料，该人员应具备履行相应职责的资格、经验和能力。</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4.3.3承包人应根据本合同的约定授予工程总承包项目经理代表承包人履行合同所需的权利，工程总承包项目经理权限以专用合同条件中约定的权限为准。经承包人授权后，工程总承包项目经理应按合同约定以及工程师按第3.5款［指示］作出的指示，代表承包人负责组织合同工作的实施。在紧急情况下，且无法与发包人和工程师取得联系时，工程总承包项目经理有权采取必要的措施保证人身、工程和财产的安全，但须在事后48小时内向工程师送交书面报告。</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4.3.4承包人需要更换工程总承包项目经理的，应提前14天书面通知发包人并抄送工程师，征得发包人书面同意。通知中应当载明继任工程总承包项目经理的注册执业资格、管理经验等资料，继任工程总承包项目经理继续履行本合同约定的职责。未经发包人书面同意，承包人不得擅自更换工程总承包项目经理，在发包人未予以书面回复期间内，工程总承包项目经理将继续履行其职务。工程总承包项目经理突发丧失履行职务能力的，承包人应当及时委派一位具有相应资格能力的人员担任临时工程总承包项目经理，履行工程总承包项目经理的职责，临时工程总承包项目经理将履行职责直至发包人同意新的工程总承包项目经理的任命之日止。承包人擅自更换工程总承包项目经理的，应按照专用合同条件的约定承担违约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4.3.5 发包人有权书面通知承包人要求更换其认为不称职的工程总承包项目经理，通知中应当载明要求更换的理由。承包人应在接到更换通知后14天内向发包人提出书面的改进报告。如承包人没有提出改进报告，应在收到更换通知后28天内更换项目经理。发包人收到改进报告后仍要求更换的，承包人应在接到第二次更换通知的28天内进行更换，并将新任命的工程总承包项目经理的注册执业资格、管理经验等资料书面通知发包人。继任工程总承包项目经理继续履行本合同约定的职责。承包人无正当理由拒绝更换工程总承包项目经理的，应按照专用合同条件的约定承担违约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4.3.6 工程总承包项目经理因特殊情况授权其下属人员履行其某项工作职责的，该下属人员应具备履行相应职责的能力，并应事先将上述人员的姓名、注册执业资格、管理经验等信息和授权范围书面通知发包人并抄送工程师，征得发包人书面同意。</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4.4承包人人员</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4.4.1 人员安排</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人员的资质、数量、配置和管理应能满足工程实施的需要。除专用合同条件另有约定外，承包人应在接到开始工作通知之日起14天内，向工程师提交承包人的项目管理机构以及人员安排的报告，其内容应包括管理机构的设置、各主要岗位的关键人员名单及注册执业资格等证明其具备担任关键人员能力的相关文件，以及设计人员和各工种技术负责人的安排状况。</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关键人员是发包人及承包人一致认为对工程建设起重要作用的承包人主要管理人员或技术人员。关键人员的具体范围由发包人及承包人在附件5[承包人主要管理人员表]中另行约定。</w:t>
      </w:r>
    </w:p>
    <w:p>
      <w:pPr>
        <w:pStyle w:val="88"/>
        <w:spacing w:line="440" w:lineRule="exact"/>
        <w:ind w:right="-42" w:rightChars="-20" w:firstLine="648" w:firstLineChars="270"/>
        <w:rPr>
          <w:rFonts w:ascii="仿宋" w:hAnsi="仿宋" w:eastAsia="仿宋" w:cs="仿宋"/>
          <w:color w:val="auto"/>
          <w:highlight w:val="none"/>
        </w:rPr>
      </w:pP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4.4.2 关键人员更换</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派驻到施工现场的关键人员应相对稳定。承包人更换关键人员时，应提前14天将继任关键人员信息及相关证明文件提交给工程师，并由工程师报发包人征求同意。在发包人未予以书面回复期间内，关键人员将继续履行其职务。关键人员突发丧失履行职务能力的，承包人应当及时委派一位具有相应资格能力的人员临时继任该关键人员职位，履行该关键人员职责，临时继任关键人员将履行职责直至发包人同意新的关键人员任命之日止。承包人擅自更换关键人员，应按照专用合同条件约定承担违约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工程师对于承包人关键人员的资格或能力有异议的，承包人应提供资料证明被质疑人员有能力完成其岗位工作或不存在工程师所质疑的情形。工程师指示撤换不能按照合同约定履行职责及义务的主要施工管理人员的，承包人应当撤换。承包人无正当理由拒绝撤换的，应按照专用合同条件的约定承担违约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4.4.3 现场管理关键人员在岗要求</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承包人的现场管理关键人员离开施工现场每月累计不超过7天的，应报工程师同意；离开施工现场每月累计超过7天的，应书面通知发包人并抄送工程师，征得发包人书面同意。现场管理关键人员因故离开施工现场的，可授权有经验的人员临时代行其职责，但承包人应将被授权人员信息及授权范围书面通知发包人并取得其同意。现场管理关键人员未经工程师或发包人同意擅自离开施工现场的，应按照专用合同条件约定承担违约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4.5分包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4.5.1一般约定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不得将其承包的全部工程转包给第三人，或将其承包的全部工程支解后以分包的名义转包给第三人。承包人不得将法律或专用合同条件中禁止分包的工作事项分包给第三人，不得以劳务分包的名义转包或违法分包工程。</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4.5.2分包的确定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承包人应按照专用合同条件约定对除设计或施工的主体、关键性工作之外的工作事项进行分包，确定分包人。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专用合同条件未列出的分包事项，承包人可在工程实施阶段分批分期就分包事项向发包人提交申请，发包人在接到分包事项申请后的14天内，予以批准或提出意见。未经发包人同意，承包人不得将提出的拟分包事项对外分包。发包人未能在14天内批准亦未提出意见的，承包人有权将提出的拟分包事项对外分包，但应在分包人确定后通知发包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4.5.3分包人资质</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分包人应符合国家法律规定的资质等级，否则不能作为分包人。承包人有义务对分包人的资质进行审查。</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4.5.4分包管理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当对分包人的工作进行必要的协调与管理，确保分包人严格执行国家有关分包事项的管理规定。承包人应向工程师提交分包人的主要管理人员表，并对分包人的工作人员进行实名制管理，包括但不限于进出场管理、登记造册以及各种证照的办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4.5.5分包合同价款支付</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(1)除本项第(2)目约定的情况或专用合同条件另有约定外，分包合同价款由承包人与分包人结算，未经承包人同意，发包人不得向分包人支付分包合同价款；</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(2)生效法律文书要求发包人向分包人支付分包合同价款的，发包人有权从应付承包人工程款中扣除该部分款项，将扣款直接支付给分包人，并书面通知承包人。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4.5.6责任承担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承包人对分包人的行为向发包人负责，承包人和分包人就分包工作向发包人承担连带责任。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4.6联合体</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4.6.1 经发包人同意，以联合体方式承包工程的，联合体各方应共同与发包人订立合同协议书。联合体各方应为履行合同向发包人承担连带责任。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4.6.2 承包人应在专用合同条件中明确联合体各成员的分工、费用收取、发票开具等事项。联合体各成员分工承担的工作内容必须与适用法律规定的该成员的资质资格相适应，并应具有相应的项目管理体系和项目管理能力，且不应根据其就承包工作的分工而减免对发包人的任何合同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4.6.3 联合体协议经发包人确认后作为合同附件。在履行合同过程中，未经发包人同意，不得变更联合体成员和其负责的工作范围，或者修改联合体协议中与本合同履行相关的内容。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4.7承包人现场查勘</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4.7.1 除专用合同条件另有约定外，承包人应对基于发包人提交的基础资料所做出的解释和推断负责，因基础资料存在错误、遗漏导致承包人解释或推断失实的，按照第2.3项[提供基础资料]的规定承担责任。承包人发现基础资料中存在明显错误或疏忽的，应及时书面通知发包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4.7.2 承包人应对现场和工程实施条件进行查勘，并充分了解工程所在地的气象条件、交通条件、风俗习惯以及其他与完成合同工作有关的其他资料。承包人提交投标文件，视为承包人已对施工现场及周围环境进行了踏勘，并已充分了解评估施工现场及周围环境对工程可能产生的影响，自愿承担相应风险与责任。在全部合同工作中，视为承包人已充分估计了应承担的责任和风险，但属于4.8款[不可预见的困难]约定的情形除外。</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4.8不可预见的困难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不可预见的困难是指有经验的承包人在施工现场遇到的不可预见的自然物质条件、非自然的物质障碍和污染物，包括地表以下物质条件和水文条件以及专用合同条件约定的其他情形，但不包括气候条件。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遇到不可预见的困难时，应采取克服不可预见的困难的合理措施继续施工，并及时通知工程师并抄送发包人。通知应载明不可预见的困难的内容、承包人认为不可预见的理由以及承包人制定的处理方案。工程师应当及时发出指示，指示构成变更的，按第13条[变更与调整]约定执行。承包人因采取合理措施而增加的费用和（或）延误的工期由发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4.9工程质量管理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4.9.1 承包人应按合同约定的质量标准规范，建立有效的质量管理系统，确保设计、采购、加工制造、施工、竣工试验等各项工作的质量，并按照国家有关规定，通过质量保修责任书的形式约定保修范围、保修期限和保修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4.9.2 承包人按照第8.4款[项目进度计划]约定向工程师提交工程质量保证体系及措施文件，建立完善的质量检查制度，并提交相应的工程质量文件。对于发包人和工程师违反法律规定和合同约定的错误指示，承包人有权拒绝实施。</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4.9.3 承包人应对其人员进行质量教育和技术培训，定期考核人员的劳动技能，严格执行相关规范和操作规程。</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4.9.4 承包人应按照法律规定和合同约定，对设计、材料、工程设备以及全部工程内容及其施工工艺进行全过程的质量检查和检验，并作详细记录，编制工程质量报表，报送工程师审查。此外，承包人还应按照法律规定和合同约定，进行施工现场取样试验、工程复核测量和设备性能检测，提供试验样品、提交试验报告和测量成果以及其他工作。</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第5条设计</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5.1承包人的设计义务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5.1.1设计义务的一般要求</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承包人应当按照法律规定，国家、行业和地方的规范和标准，</w:t>
      </w:r>
      <w:r>
        <w:rPr>
          <w:rFonts w:hint="eastAsia" w:ascii="仿宋" w:hAnsi="仿宋" w:eastAsia="仿宋" w:cs="仿宋"/>
          <w:b/>
          <w:bCs/>
          <w:color w:val="auto"/>
          <w:highlight w:val="none"/>
        </w:rPr>
        <w:t>以及《发包人要求》</w:t>
      </w:r>
      <w:r>
        <w:rPr>
          <w:rFonts w:hint="eastAsia" w:ascii="仿宋" w:hAnsi="仿宋" w:eastAsia="仿宋" w:cs="仿宋"/>
          <w:color w:val="auto"/>
          <w:highlight w:val="none"/>
        </w:rPr>
        <w:t>和合同约定完成设计工作和设计相关的其他服务，并对工程的设计负责。承包人应根据工程实施的需要及时向发包人和工程师说明设计文件的意图，解释设计文件。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5.1.2对设计人员的要求</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保证其或其设计分包人的设计资质在合同有效期内满足法律法规、行业标准或合同约定的关要求，并指派符合法律法规、行业标准或合同约定的资质要求并具有从事设计所必需的经验与能力的的设计人员完成设计工作。承包人应保证其设计人员（包括分包人的设计人员）在合同期限内，都能按时参加发包人或工程师组织的工作会议。</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5.1.3法律和标准的变化</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合同另有约定外，承包人完成设计工作所应遵守的法律规定，以及国家、行业和地方的规范和标准，均应视为在基准日期适用的版本。基准日期之后，前述版本发生重大变化，或者有新的法律，以及国家、行业和地方的规范和标准实施的，承包人应向工程师提出遵守新规定的建议。发包人或其委托的工程师应在收到建议后7天内发出是否遵守新规定的指示。如果该项建议构成变更的，按照第13.2款[承包人的合理化建议]的约定执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在基准日期之后，因国家颁布新的强制性规范、标准导致承包人的费用变化的，发包人应合理调整合同价格；导致工期延误的，发包人应合理延长工期。</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5.2承包人文件审查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5.2.1根据《发包人要求》应当通过工程师报发包人审查同意的承包人文件，承包人应当按照《发包人要求》约定的范围和内容及时报送审查。</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合同另有约定外，自工程师收到承包人文件以及承包人的通知之日起，发包人对承包人文件审查期不超过21天。承包人的设计文件对于合同约定有偏离的，应在通知中说明。承包人需要修改已提交的承包人文件的，应立即通知工程师，并向工程师提交修改后的承包人文件，审查期重新起算。</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发包人同意承包人文件的，应及时通知承包人，发包人不同意承包人文件的，应在审查期限内通过工程师以书面形式通知承包人，并说明不同意的具体内容和理由。</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承包人对发包人的意见按以下方式处理：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（1）发包人的意见构成变更的，承包人应在7天内通知发包人按照第13条[变更与调整]中关于发包人指示变更的约定执行，双方对是否构成变更无法达成一致的，按照第20条[争议解决]的约定执行；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（2）因承包人原因导致无法通过审查的，承包人应根据发包人的书面说明，对承包人文件进行修改后重新报送发包人审查，审查期重新起算。因此引起的工期延长和必要的工程费用增加，由承包人负责。</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合同约定的审查期满，发包人没有做出审查结论也没有提出异议的，视为承包人文件已获发包人同意。</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发包人对承包人文件的审查和同意不得被理解为对合同的修改或改变，也并不减轻或免除承包人任何的责任和义务。</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5.2.2承包人文件不需要政府有关部门或专用合同条件约定的第三方审查单位审查或批准的，承包人应当严格按照经发包人审查同意的承包人文件设计和实施工程。</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需要组织审查会议对承包人文件进行审查的，审查会议的审查形式、时间安排、费用承担，在专用合同条件中约定。发包人负责组织承包人文件审查会议，承包人有义务参加发包人组织的审查会议，向审查者介绍、解答、解释承包人文件，并提供有关补充资料。</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发包人有义务向承包人提供审查会议的批准文件和纪要。承包人有义务按照相关审查会议批准的文件和纪要，并依据合同约定及相关技术标准，对承包人文件进行修改、补充和完善。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5.2.3承包人文件需政府有关部门或专用合同条件约定的第三方审查单位审查或批准的，发包人应在发包人审查同意承包人文件后7天内，向政府有关部门或第三方报送承包人文件，承包人应予以协助。</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对于政府有关部门或第三方审查单位的审查意见，不需要修改《发包人要求》的，承包人需按该审查意见修改承包人的设计文件；需要修改《发包人要求》的，承包人应按第13.2款[承包人的合理化建议]的约定执行。上述情形还应适用第5.1款［承包人的设计义务］和第13条［变更与调整］的有关约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政府有关部门或第三方审查单位审查批准后，承包人应当严格按照批准后的承包人文件实施工程。政府有关部门或第三方审查单位批准时间较合同约定时间延长的，竣工日期相应顺延。因此给双方带来的费用增加，由双方在负责的范围内各自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5.3培训</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承包人应按照《发包人要求》，对发包人的雇员或其它发包人指定的人员进行工程操作、维修或其它合同中约定的培训。合同约定接收之前进行培训的，应在第10.1款［竣工验收］约定的竣工验收前完成培训。</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培训的时长应由双方在专用合同条件中约定，承包人应为培训提供有经验的人员、设施和其它必要条件。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5.4竣工文件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5.4.1承包人应编制并及时更新反映工程实施结果的竣工记录，如实记载竣工工程的确切位置、尺寸和已实施工作的详细说明。竣工文件的形式、技术标准以及其它相关内容应按照相关法律法规、行业标准与《发包人要求》执行。竣工记录应保存在施工现场，并在竣工试验开始前，按照专用合同条件约定的份数提交给工程师。</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5.4.2在颁发工程接收证书之前，承包人应按照《发包人要求》的份数和形式向工程师提交相应竣工图纸，并取得工程师对尺寸、参照系统及其他有关细节的认可。工程师应按照第5.2款［承包人文件审查］的约定进行审查。</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5.4.3除非合同另有约定，在工程师收到本款下的文件前，不应认为工程已根据第10.1款［竣工验收］和第10.2款［单位/区段工程的验收］的约定完成验收。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5.5操作和维修手册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5.5.1在竣工试验开始前，承包人应向工程师提交暂行的操作和维修手册并负责及时更新，该手册应足够详细，以便发包人能够对工程设备进行操作、维修、拆卸、重新安装、调整及修理，以及实现合同中约定的发包人要求。同时，手册还应包含发包人未来可能需要的备品备件清单。</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5.5.2工程师收到承包人提交的文件后，应依据第5.2款［承包人文件审查］的约定对操作和维修手册进行审查，竣工试验工程中，承包人应为任何因操作和维修手册错误或遗漏引起的风险或损失承担责任。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5.5.3除非合同另有约定，承包人应提交足够详细的最终操作和维修手册，以及在《发包人要求》中明确的相关操作和维修手册。除非专用合同条件另有约定，在工程师收到上述文件前，不应认为工程已根据第10.1款［竣工验收］和第10.2款［单位/区段工程的验收］的约定完成验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5.6承包人文件错误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文件存在错误、遗漏、含混、矛盾、不充分之处或其他缺陷，无论承包人是否根据本款获得了同意，承包人均应自费对前述问题带来的缺陷和工程问题进行改正，并按照第5.2款［承包人文件审查］的要求，重新送工程师审查，审查日期从工程师收到文件开始重新计算。因此款原因重新提交审查文件导致的工程延误和必要费用增加由承包人承担。《发包人要求》的错误导致承包人文件错误、遗漏、含混、矛盾、不充分或其他缺陷的除外。</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第6条材料、工程设备和工艺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6.1实施方法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承包人应按以下方法进行材料的加工、工程设备的采购、制造和安装、以及工程的所有其他实施作业：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(1)按照法律规定和合同约定的方法；</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(2)按照公认的良好行业习惯，使用恰当、精巧、仔细的方法；</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(3)除专用合同条件另有规定外，应使用适当配备的实施方法、设备、设施和无危险的材料。</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6.2材料和工程设备</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6.2.1发包人提供的材料和工程设备</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发包人自行供应材料、工程设备的，应在签订合同时在专用合同条件的附件《发包人供应材料设备一览表》中明确材料、工程设备的品种、规格、型号、数量、单价、质量等级和交接地点等。</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根据项目进度计划的安排，提前28天以书面形式通知工程师供应材料与工程设备的进场计划。承包人按照第8.4款［项目进度计划］约定修订项目进度计划时，需同时提交经修订后的发包人供应材料与工程设备的进场计划。发包人应按照上述进场计划，向承包人提交材料和工程设备。</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应在材料和工程设备到货7天前通知承包人，承包人应会同工程师在约定的时间内，赴交货地点共同进行验收。除专用合同条件另有约定外，发包人提供的材料和工程设备验收后，由承包人负责接收、运输和保管。</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需要对进场计划进行变更的，承包人不得拒绝，应根据第13条［变更与调整］的规定执行，并由发包人承担承包人由此增加的费用，以及引起的工期延误。承包人需要对进场计划进行变更的，应事先报请工程师批准，由此增加的费用和（或）工期延误由承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6.2.2承包人提供的材料和工程设备</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按照专用合同条件的约定，将各项材料和工程设备的供货人及品种、技术要求、规格、数量和供货时间等报送工程师批准。承包人应向工程师提交其负责提供的材料和工程设备的质量证明文件，并根据合同约定的质量标准，对材料、工程设备质量负责。</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按照已被批准的8.4款［项目进度计划］规定的数量要求及时间要求，负责组织材料和工程设备采购（包括备品备件、专用工具及厂商提供的技术文件），负责运抵现场。合同约定由承包人采购的材料、工程设备，除专用合同条件另有约定外，发包人不得指定生产厂家或供应商，发包人违反本款约定指定生产厂家或供应商的，承包人有权拒绝，并由发包人承担相应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对承包人提供的材料和工程设备，承包人应会同工程师进行检验和交货验收，查验材料合格证明和产品合格证书，并按合同约定和工程师指示，进行材料的抽样检验和工程设备的检验测试，检验和测试结果应提交工程师，所需费用由承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因承包人提供的材料和工程设备不符合国家强制性标准、规范的规定或合同约定的标准、规范，所造成的质量缺陷，由承包人自费修复，竣工日期不予延长。在履行合同过程中，由于国家新颁布的强制性标准、规范，造成承包人负责提供的材料和工程设备，虽符合合同约定的标准，但不符合新颁布的强制性标准时，由承包人负责修复或重新订货，相关费用支出及导致的工期延长由发包人负责。</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6.2.3材料和工程设备的保管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(1)发包人供应材料与工程设备的保管与使用</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发包人供应的材料和工程设备，承包人清点并接收后由承包人妥善保管，保管费用由承包人承担，但专用合同条件另有约定除外。因承包人原因发生丢失毁损的，由承包人负责赔偿。</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发包人供应的材料和工程设备使用前，由承包人负责必要的检验，检验费用由发包人承担，不合格的不得使用。</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(2)承包人采购材料与工程设备的保管与使用</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采购的材料和工程设备由承包人妥善保管，保管费用由承包人承担。合同约定或法律规定材料和工程设备使用前必须进行检验或试验的，承包人应按工程师的指示进行检验或试验，检验或试验费用由承包人承担，不合格的不得使用。</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工程师发现承包人使用不符合设计或有关标准要求的材料和工程设备时，有权要求承包人进行修复、拆除或重新采购，由此增加的费用和（或）延误的工期，由承包人承担。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6.2.4材料和工程设备的所有权</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本合同另有约定外，承包人根据第6.2.2项[承包人提供的材料和工程设备]约定提供的材料和工程设备后，材料及工程设备的价款应列入第14.3.1项第（2）目的进度款金额中，发包人支付当期进度款之后，其所有权转为发包人所有（周转性材料除外）；在发包人接收工程前，承包人有义务对材料和工程设备进行保管、维护和保养，未经发包人批准不得运出现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承包人按第6.2.2项提供的材料和工程设备，承包人应确保发包人取得无权利负担的材料及工程设备所有权，因承包人与第三人的物权争议导致的增加的费用和（或）延误的工期，由承包人承担。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6.3样品</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6.3.1样品的报送与封存</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需要承包人报送样品的材料或工程设备，样品的种类、名称、规格、数量等要求均应在专用合同条件中约定。样品的报送程序如下：</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承包人应在计划采购前28天向工程师报送样品。承包人报送的样品均应来自供应材料的实际生产地，且提供的样品的规格、数量足以表明材料或工程设备的质量、型号、颜色、表面处理、质地、误差和其他要求的特征。</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承包人每次报送样品时应随附申报单，申报单应载明报送样品的相关数据和资料，并标明每件样品对应的图纸号，预留工程师批复意见栏。工程师应在收到承包人报送的样品后7天向承包人回复经发包人签认的样品审批意见。</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(3)经工程师审批确认的样品应按约定的方法封样，封存的样品作为检验工程相关部分的标准之一。承包人在施工过程中不得使用与样品不符的材料或工程设备。</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工程师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6.3.2样品的保管</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经批准的样品应由工程师负责封存于现场，承包人应在现场为保存样品提供适当和固定的场所并保持适当和良好的存储环境条件。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6.4质量检查</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6.4.1工程质量要求</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工程质量标准必须符合现行国家有关工程施工质量验收规范和标准的要求。有关工程质量的特殊标准或要求由合同当事人在专用合同条件中约定。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因承包人原因造成工程质量未达到合同约定标准的，发包人有权要求承包人返工直至工程质量达到合同约定的标准为止，并由承包人承担由此增加的费用和（或）延误的工期。因发包人原因造成工程质量未达到合同约定标准的，由发包人承担由此增加的费用和（或）延误的工期，并支付承包人合理的利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6.4.2质量检查</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有权通过工程师或自行对全部工程内容及其施工工艺、材料和工程设备进行检查和检验。承包人应为工程师或发包人的检查和检验提供方便，包括到施工现场，或制造、加工地点，或专用合同条件约定的其他地方进行察看和查阅施工原始记录。承包人还应按工程师或发包人指示，进行施工现场的取样试验，工程复核测量和设备性能检测，提供试验样品、提交试验报告和测量成果以及工程师或发包人指示进行的其他工作。工程师或发包人的检查和检验，不免除承包人按合同约定应负的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6.4.3隐蔽工程检查</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除专用合同条件另有约定外，工程隐蔽部位经承包人自检确认具备覆盖条件的，承包人应书面通知工程师在约定的期限内检查，通知中应载明隐蔽检查的内容、时间和地点，并应附有自检记录和必要的检查资料。</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工程师应按时到场并对隐蔽工程及其施工工艺、材料和工程设备进行检查。经工程师检查确认质量符合隐蔽要求，并在验收记录上签字后，承包人才能进行覆盖。经工程师检查质量不合格的，承包人应在工程师指示的时间内完成修复，并由工程师重新检查，由此增加的费用和（或）延误的工期由承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工程师不能按时进行检查的，应提前向承包人提交书面延期要求，顺延时间不得超过48小时，由此导致工期延误的，工期应予以顺延，顺延超过48小时的，由此导致的工期延误及费用增加由发包人承担。工程师未按时进行检查，也未提出延期要求的，视为隐蔽工程检查合格，承包人可自行完成覆盖工作，并作相应记录报送工程师，工程师应签字确认。工程师事后对检查记录有疑问的，可按下列约定重新检查。</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覆盖工程隐蔽部位后，工程师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承包人未通知工程师到场检查，私自将工程隐蔽部位覆盖的，工程师有权指示承包人钻孔探测或揭开检查，无论工程隐蔽部位质量是否合格，由此增加的费用和（或）延误的工期均由承包人承担。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6.5由承包人试验和检验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6.5.1试验设备与试验人员</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承包人根据合同约定或工程师指示进行的现场材料试验，应由承包人提供试验场所、试验人员、试验设备以及其他必要的试验条件。工程师在必要时可以使用承包人提供的试验场所、试验设备以及其他试验条件，进行以工程质量检查为目的的材料复核试验，承包人应予以协助。</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承包人应按专用合同条件约定的试验内容、时间和地点提供试验设备、取样装置、试验场所和试验条件，并向工程师提交相应进场计划表。</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承包人配置的试验设备要符合相应试验规程的要求并经过具有资质的检测单位检测，且在正式使用该试验设备前，需要经过工程师与承包人共同校定。</w:t>
      </w:r>
    </w:p>
    <w:p>
      <w:pPr>
        <w:pStyle w:val="88"/>
        <w:numPr>
          <w:ilvl w:val="0"/>
          <w:numId w:val="8"/>
        </w:numPr>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承包人应向工程师提交试验人员的名单及其岗位、资格等证明资料，试验人员必须能够熟练进行相应的检测试验，承包人对试验人员的试验程序和试验结果的正确性负责。</w:t>
      </w:r>
    </w:p>
    <w:p>
      <w:pPr>
        <w:pStyle w:val="88"/>
        <w:spacing w:line="440" w:lineRule="exact"/>
        <w:ind w:right="-42" w:rightChars="-20" w:firstLine="480" w:firstLineChars="200"/>
        <w:rPr>
          <w:rFonts w:ascii="仿宋" w:hAnsi="仿宋" w:eastAsia="仿宋" w:cs="仿宋"/>
          <w:color w:val="auto"/>
          <w:highlight w:val="none"/>
        </w:rPr>
      </w:pPr>
      <w:r>
        <w:rPr>
          <w:rFonts w:hint="eastAsia" w:ascii="仿宋" w:hAnsi="仿宋" w:eastAsia="仿宋" w:cs="仿宋"/>
          <w:color w:val="auto"/>
          <w:highlight w:val="none"/>
        </w:rPr>
        <w:t>6.5.2取样</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试验属于自检性质的，承包人可以单独取样。试验属于工程师抽检性质的，可由工程师取样，也可由承包人的试验人员在工程师的监督下取样。</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6.5.3材料、工程设备和工程的试验和检验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承包人应按合同约定进行材料和工程设备的试验和检验，并为工程师对上述材料、工程设备和工程的质量检查提供必要的试验资料和原始记录。按合同约定应由工程师与承包人共同进行试验和检验的，由承包人负责提供必要的试验资料和原始记录。</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试验属于自检性质的，承包人可以单独进行试验。试验属于工程师抽检性质的，工程师可以单独进行试验，也可由承包人与工程师共同进行。承包人对由工程师单独进行的试验结果有异议的，可以申请重新共同进行试验。约定共同进行试验的，工程师未按照约定参加试验的，承包人可自行试验，并将试验结果报送工程师，工程师应承认该试验结果。</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工程师对承包人的试验和检验结果有异议的，或为查清承包人试验和检验成果的可靠性要求承包人重新试验和检验的，可由工程师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6.5.4现场工艺试验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承包人应按合同约定或发包人指示进行现场工艺试验。对大型的现场工艺试验，发包人认为必要时，承包人应根据发包人提出的工艺试验要求，编制工艺试验措施计划，报送发包人审查。</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6.6缺陷和修补</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6.6.1发包人可在颁发接收证书前随时指示承包人：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(1)对不符合合同要求的任何工程设备或材料进行修补，或者将其移出现场并进行更换；</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(2)对不符合合同的其他工作进行修补，或者将其去除并重新实施；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(3)实施因意外、不可预见的事件或其他原因引起的、为工程的安全迫切需要的任何修补工作。</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6.6.2承包人应遵守6.6.1项下指示，并在合理可行的情况下，根据上述指示中规定的时间完成修补工作。除因下列原因引起的第6.6.1项第(3)目下的情形外，承包人应承担所有修补工作的费用：</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(1)因发包人或其人员的任何行为导致的情形，且在此情况下发包人应承担因此引起的工期延误和承包人费用损失，并向承包人支付合理的利润。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(2)第17.4款［不可抗力后果］中适用的不可抗力事件的情形。</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6.6.3如果承包人未能遵守发包人的指示，发包人可以自行决定请第三方完成上述修补工作，并有权要求承包人支付因未履行指示而产生的所有费用，但承包人根据第6.6.2项有权就修补工作获得支付的情况除外。</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第7条施工</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7.1交通运输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7.1.1出入现场的权利</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发包人应根据工程实施需要，负责取得出入施工现场所需的批准手续和全部权利，以及取得因工程实施所需修建道路、桥梁以及其他基础设施的权利，并承担相关手续费用和建设费用。承包人应协助发包人办理修建场内外道路、桥梁以及其他基础设施的手续。</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7.1.2场外交通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发包人应提供场外交通设施的技术参数和具体条件，场外交通设施无法满足工程施工需要的，由发包人负责承担由此产生的相关费用。承包人应遵守有关交通法规，严格按照道路和桥梁的限制荷载行驶，执行有关道路限速、限行、禁止超载的规定，并配合交通管理部门的监督和检查。承包人车辆外出行驶所需的场外公共道路的通行费、养路费和税款等由承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7.1.3场内交通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承包人应负责修建、维修、养护和管理施工所需的临时道路和交通设施，包括维修、养护和管理发包人提供的道路和交通设施，并承担相应费用。承包人修建的临时道路和交通设施应免费提供发包人和工程师为实现合同目的使用。场内交通与场外交通的边界由合同当事人在专用合同条件中约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7.1.4超大件和超重件的运输</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由承包人负责运输的超大件或超重件，应由承包人负责向交通管理部门办理申请手续，发包人给予协助。运输超大件或超重件所需的道路和桥梁临时加固改造费用和其他有关费用，由承包人承担，但专用合同条件另有约定的除外。</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7.1.5道路和桥梁的损坏责任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因承包人运输造成施工现场内外公共道路和桥梁损坏的，由承包人承担修复损坏的全部费用和可能引起的赔偿。</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7.1.6水路和航空运输</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本条上述各款的内容适用于水路运输和航空运输，其中“道路”一词的涵义包括河道、航线、船闸、机场、码头、堤防以及水路或航空运输中其他相似结构物；“车辆”一词的涵义包括船舶和飞机等。</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7.2施工设备和临时设施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7.2.1承包人提供的施工设备和临时设施</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承包人应按项目进度计划的要求，及时配置施工设备和修建临时设施。进入施工现场的承包人提供的施工设备需经工程师核查后才能投入使用。承包人更换合同约定由承包人提供的施工设备的，应报工程师批准。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承包人应自行承担修建临时设施的费用，需要临时占地的，应由发包人办理申请手续并承担相应费用。承包人应在专用条款7.2约定的时间内向发包人提交临时占地资料，因承包人未能按时提交资料，导致工期延误的，由此增加的费用和（或）竣工日期延误，由承包人负责。</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7.2.2发包人提供的施工设备和临时设施</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发包人提供的施工设备或临时设施在专用合同条件中约定。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7.2.3要求承包人增加或更换施工设备</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承包人使用的施工设备不能满足项目进度计划和（或）质量要求时，工程师有权要求承包人增加或更换施工设备，承包人应及时增加或更换，由此增加的费用和（或）延误的工期由承包人承担。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7.2.4施工设备和临时设施专用于合同工程</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运入施工现场的施工设备以及在施工现场建设的临时设施必须专用于工程。未经发包人批准，承包人不得运出施工现场或挪作他用；经发包人批准，承包人可以根据施工进度计划撤走闲置的施工设备和其他物品。</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7.3现场合作</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承包人应按合同约定或发包人的指示，与发包人人员、发包人的其他承包人等人员就在现场或附近实施与工程有关的各项工作进行合作并提供适当条件，包括使用承包人设备、临时工程或进入现场等。</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承包人应对其在现场的施工活动负责，并应尽合理努力按合同约定或发包人的指示，协调自身与发包人人员、发包人的其他承包人等人员的活动。</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如果承包人提供上述合作、条件或协调在考虑到《发包人要求》所列内容的情况下是不可预见的，则承包人有权就额外费用和合理利润从发包人处获得支付，且因此延误的工期应相应顺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7.4测量放线</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7.4.1除专用合同条件另有约定外，承包人应根据国家测绘基准、测绘系统和工程测量技术规范，按上述基准点（线）以及合同工程精度要求，测设施工控制网，并在专用合同条件约定的期限内，将施工控制网资料报送工程师。</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7.4.2承包人应负责管理施工控制网点。施工控制网点丢失或损坏的，承包人应及时修复。承包人应承担施工控制网点的管理与修复费用，并在工程竣工后将施工控制网点移交发包人。承包人负责对工程、单位/区段工程、施工部位放线，并对放线的准确性负责。</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7.4.3承包人负责施工过程中的全部施工测量放线工作，并配置具有相应资质的人员、合格的仪器、设备和其他物品。承包人应矫正工程的位置、标高、尺寸或准线中出现的任何差错，并对工程各部分的定位负责。施工过程中对施工现场内水准点等测量标志物的保护工作由承包人负责。</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7.5现场劳动用工</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7.5.1  承包人及其分包人招用农民工的，应当依法与所招用的农民工订立劳动合同，实行农民工劳动用工实名制管理，承包人应当按照有关规定开设农民工工资专用账户、存储工资保证金，专项用于支付和保障该工程建设项目农民工工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7.5.2  承包人应当在工程项目部配备劳资专管员，对分包单位劳动用工及工资发放实施监督管理。承包人拖欠农民工工资的,应当依法予以清偿。分包人拖欠农民工工资的,由承包人先行清偿,再依法进行追偿。因发包人未按照合同约定及时拨付工程款导致农民工工资拖欠的，发包人应当以未结清的工程款为限先行垫付被拖欠的农民工工资。合同当事人可在专用合同条件中约定具体的清偿事宜和违约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7.5.3 承包人应当按照《保障农民工工资支付条例》等法律法规的要求，进行劳动用工管理和农民工工资支付。</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7.6安全文明施工</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7.6.1安全生产要求</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合同履行期间，合同当事人均应当遵守国家和工程所在地有关安全生产的要求，合同当事人有特别要求的，应在专用合同条件中明确安全生产标准化目标及相应事项。承包人有权拒绝发包人及工程师强令承包人违章作业、冒险施工的任何指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在工程实施过程中，如遇到突发的地质变动、事先未知的地下施工障碍等影响施工安全的紧急情况，承包人应及时报告工程师和发包人，发包人应当及时下令停工并采取应急措施，按照相关法律法规的要求需上报政府有关行政管理部门的，应依法上报。</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因安全生产需要暂停施工的，按照第8.9款［暂停工作］的约定执行。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7.6.2安全生产保证措施</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承包人应当按照法律、法规和工程建设强制性标准进行设计、在设计文件中注明涉及施工安全的重点部位和环节，提出保障施工作业人员和预防安全事故的措施建议，防止因设计不合理导致生产安全事故的发生。</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工程师及政府安全监督部门的检查与监督。</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按照法律规定进行施工，开工前做好安全技术交底工作，施工过程中做好各项安全防护措施。承包人为实施合同而雇用的特殊工种的人员应受过专门的培训并已取得政府有关管理机构颁发的上岗证书。承包人应加强施工作业安全管理，特别应加强对于易燃、易爆材料、火工器材、有毒与腐蚀性材料和其他危险品的管理，以及对爆破作业和地下工程施工等危险作业的管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7.6.3文明施工</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承包人在工程施工期间，应当采取措施保持施工现场平整，物料堆放整齐。工程所在地有关政府行政管理部门有特殊要求的，按照其要求执行。合同当事人对文明施工有其他要求的，可以在专用合同条件中明确。</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7.6.4事故处理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工程实施过程中发生事故的，承包人应立即通知工程师。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在工程实施期间或缺陷责任期内发生危及工程安全的事件，工程师通知承包人进行抢救和抢修，承包人声明无能力或不愿立即执行的，发包人有权雇佣其他人员进行抢救和抢修。此类抢救和抢修按合同约定属于承包人义务的，由此增加的费用和（或）延误的工期由承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7.6.5安全生产责任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发包人应负责赔偿以下各种情况造成的损失：</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(1)工程或工程的任何部分对土地的占用所造成的第三者财产损失；</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(2)由于发包人原因在施工现场及其毗邻地带、履行合同工作中造成的第三者人身伤亡和财产损失；</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(3)由于发包人原因对发包人自身、承包人、工程师造成的人员伤害和财产损失。</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承包人应负责赔偿由于承包人原因在施工现场及其毗邻地带、履行合同工作中造成的第三者人身伤亡和财产损失。</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如果上述损失是由于发包人和承包人共同原因导致的，则双方应根据过错情况按比例承担。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7.7职业健康</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承包人应遵守适用的职业健康的法律和合同约定（包括对雇用、职业健康、安全、福利等方面的规定），负责现场实施过程中其人员的职业健康和保护，包括：</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承包人应遵守适用的劳动法规，保护承包人员工及承包人聘用的第三方人员的合法休假权等合法权益，按照法律规定安排现场施工人员的劳动和休息时间，保障劳动者的休息时间，并支付合理的报酬和费用。因工程施工的特殊需要占用休假日或延长工作时间的，应不超过法律规定的限度，并按法律规定给予补休或酬劳。</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承包人应依法为承包人员工及承包人聘用的第三方人员办理必要的证件、许可、保险和注册等，承包人应督促其分包人为分包人员工及分包人聘用的第三方人员办理必要的证件、许可、保险和注册等。承包人应为其履行合同所雇用的人员提供必要的膳宿条件和生活环境，必要的现场食宿条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承包人应对其施工人员进行相关作业的职业健康知识培训、危险及危害因素交底、安全操作规程交底、采取有效措施，按有关规定为其现场人员提供劳动保护用品、防护器具、防暑降温用品和安全生产设施。采取有效的防止粉尘、降低噪声、控制有害气体和保障高温、高寒、高空作业安全等劳动保护措施。</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 承包人应在有毒有害作业区域设置警示标志和说明，对有毒有害岗位进行防治检查，对不合格的防护设施、器具、搭设等及时整改，消除危害职业健康的隐患。发包人人员和工程师人员未经承包人允许、未配备相关保护器具，进入该作业区域所造成的伤害，由发包人承担责任和费用。</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 承包人应采取有效措施预防传染病，保持食堂的饮食卫生，保证施工人员的健康，并定期对施工现场、施工人员生活基地和工程进行防疫和卫生的专业检查和处理, 在远离城镇的施工现场，还应配备必要的伤病防治和急救的医务人员与医疗设施。承包人雇佣人员在施工中受到伤害的，承包人应立即采取有效措施进行抢救和治疗。</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7.8环境保护</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7.8.1 承包人负责在现场施工过程中对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如承包人已及时通知发包人，发包人未能及时作出指示的，所造成的损害、损失、赔偿等费用增加，和（或）竣工日期延误，由发包人负责。</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7.8.2 承包人应采取措施，并负责控制和（或）处理现场的粉尘、废气、废水、固体废物和噪声对环境的污染和危害。因此发生的伤害、赔偿、罚款等费用增加，和（或）竣工日期延误，由承包人负责。</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7.8.3 承包人及时或定期将施工现场残留、废弃的垃圾分类后运到发包人或当地有关行政部门指定的地点，防止对周围环境的污染及对作业的影响。承包人应当承担因其原因引起的环境污染侵权损害赔偿责任，因违反上述约定导致当地行政部门的罚款、赔偿等增加的费用，由承包人承担；因上述环境污染引起纠纷而导致暂停施工的，由此增加的费用和（或）延误的工期由承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7.9临时性公用设施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7.9.1提供临时用水、用电等和节点铺设</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发包人应在承包人进场前将施工临时用水、用电等接至约定的节点位置，并保证其需要。上述临时使用的水、电等的类别、取费单价在专用合同条件中约定，发包人按实际计量结果收费。发包人无法提供的水、电等在专用合同条件中约定，相关费用由承包人纳入报价并承担相关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未能按约定的类别和时间完成节点铺设，使开工时间延误，竣工日期相应顺延。未能按约定的品质、数量和时间提供水、电等，给承包人造成的损失由发包人承担，导致工程关键路径延误的，竣工日期相应顺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7.9.2临时用水、用电等</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在计划开始施工日期28天前或双方约定的其它时间，按专用合同条件中约定的发包人能够提供的临时用水、用电等类别，向发包人提交施工（含工程物资保管）所需的临时用水、用电等的品质、正常用量、高峰用量、使用时间和节点位置等资料。承包人自费负责计量仪器的购买、安装和维护，并依据专用合同条件中约定的单价向发包人交费，合同当事人另有约定时除外。</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因承包人未能按合同约定提交上述资料，造成发包人费用增加和竣工日期延误时，由承包人负责。</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7.10现场安保</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承担自发包人向其移交施工现场、进入占有施工现场至发包人接收单位/区段工程或（和）工程之前的现场安保责任，并负责编制相关的安保制度、责任制度和报告制度，提交给发包人。除非专用合同条件另有约定，承包人的该等义务不因其与他人共同合法占有施工现场而减免。承包人有权要求发包人负责协调他人就共同合法占有现场的安保事宜接受承包人的管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承包人应将其作业限制在现场区域、合同约定的区域或为履行合同所需的区域内。承包人应采取一切必要的预防措施，以保持承包人的设备和人员处于现场区域内，避免其进入邻近地区。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承包人为履行合同义务而占用的其他场所（如预制加工场所、办公及生活营区） 的安保适用本款前述关于现场安保的规定。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7.11工程照管</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自开始现场施工日期起至发包人应当接收工程之日止，承包人应承担工程现场、材料、设备及承包人文件的照管和维护工作。</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如部分工程于竣工验收前提前交付发包人的，则自交付之日起，该部分工程照管及维护职责由发包人承担。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如发包人及承包人进行竣工验收时尚有部分未竣工工程的，承包人应负责该未竣工工程的照管和维护工作，直至竣工后移交给发包人。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如合同解除或终止的，承包人自合同解除或终止之日起不再对工程承担照管和维护义务。</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第8条工期和进度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8.1开始工作</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8.1.1开始工作准备</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合同当事人应按专用合同条件约定完成开始工作准备工作。</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8.1.2开始工作通知</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经发包人同意后，工程师应提前7天向承包人发出经发包人签认的开始工作通知，工期自开始工作通知中载明的开始工作日期起算。</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因发包人原因造成实际开始现场施工日期迟于计划开始现场施工日期后第84天的，承包人有权提出价格调整要求，或者解除合同。发包人应当承担由此增加的费用和（或）延误的工期，并向承包人支付合理利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8.2竣工日期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承包人应在合同协议书约定的工期内完成合同工作。除专用合同条件另有约定外，工程的竣工日期以第10.1条［竣工验收］的约定为准，并在工程接收证书中写明。</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因发包人原因，在工程师收到承包人竣工验收申请报告42天后未进行验收的，视为验收合格，实际竣工日期以提交竣工验收申请报告的日期为准，但发包人由于不可抗力不能进行验收的除外。</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8.3项目实施计划</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8.3.1项目实施计划的内容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项目实施计划是依据合同和经批准的项目管理计划进行编制并用于对项目实施进行管理和控制的文件，应包含概述、总体实施方案、项目实施要点、项目初步进度计划以及合同当事人在专用合同条件中约定的其他内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8.3.2项目实施计划的提交和修改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承包人应在合同签订后14天内，向工程师提交项目实施计划，工程师应在收到项目实施计划后21天内确认或提出修改意见。对工程师提出的合理意见和要求，承包人应自费修改完善。根据工程实施的实际情况需要修改项目实施计划的，承包人应向工程师提交修改后的项目实施计划。</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项目进度计划的编制和修改按照第8.4款［项目进度计划］执行。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8.4项目进度计划</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8.4.1项目进度计划的提交和修改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按照第8.3款[项目实施计划]约定编制并向工程师提交项目初步进度计划，经工程师批准后实施。除专用合同条件另有约定外，工程师应在21天内批复或提出修改意见，否则该项目初步进度计划视为已得到批准。对工程师提出的合理意见和要求，承包人应自费修改完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经工程师批准的项目初步进度计划称为项目进度计划，是控制合同工程进度的依据，工程师有权按照进度计划检查工程进度情况。承包人还应根据项目进度计划，编制更为详细的分阶段或分项的进度计划，由工程师批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8.4.2项目进度计划的内容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项目进度计划应当包括设计、承包人文件提交、采购、制造、检验、运达现场、施工、安装、试验的各个阶段的预期时间以及设计和施工组织方案说明等，其编制应当符合国家法律规定和一般工程实践惯例。项目进度计划的具体要求、关键路径及关键路径变化的确定原则、承包人提交的份数和时间等，在专用合同条件约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8.4.3项目进度计划的修订</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项目进度计划不符合合同要求或与工程的实际进度不一致的，承包人应向工程师提交修订的项目进度计划，并附具有关措施和相关资料。工程师也可以直接向承包人发出修订项目进度计划的通知，承包人如接受，应按该通知修订项目进度计划，报工程师批准。承包人如不接受，应当在14天内答复，如未按时答复视作已接受修订项目进度计划通知中的内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工程师应在收到修订的项目进度计划后14天内完成审批或提出修改意见，如未按时答复视作已批准承包人修订后的项目进度计划。工程师对承包人提交的项目进度计划的确认，不能减轻或免除承包人根据法律规定和合同约定应承担的任何责任或义务。</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除合同当事人另有约定外，项目进度计划的修订并不能减轻或者免除双方按第8.7款［工期延误］、第8.8款［工期提前］、第8.9款［暂停工作］应承担的合同责任。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8.5进度报告</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项目实施过程中，承包人应进行实际进度记录，并根据工程师的要求编制月进度报告，并提交给工程师。进度报告应包含以下主要内容：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工程设计、采购、施工等各个工作内容的进展报告；</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工程施工方法的一般说明；</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当月工程实施介入的项目人员、设备和材料的预估明细报告；</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（4） 当月实际进度与进度计划对比分析，以及提出未来可能引起工期延误的情形，同时提出应对措施；需要修订项目进度计划的，应对项目进度计划的修订部分进行说明；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 承包人对于解决工期延误所提出的建议；</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 其他与工程有关的重大事项。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进度报告的具体要求等，在专用合同条件约定。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8.6提前预警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任何一方应当在下列情形发生时尽快书面通知另一方：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该情形可能对合同的履行或实现合同目的产生不利影响；</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该情形可能对工程完成后的使用产生不利影响；</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该情形可能导致合同价款增加；</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 该情形可能导致整个工程或单位/区段工程的工期延长。</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发包人有权要求承包人根据第13.2款[承包人的合理化建议]的约定提交变更建议，采取措施尽量避免或最小化上述情形的发生或影响。</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8.7工期延误</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8.7.1因发包人原因导致工期延误</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在合同履行过程中，因下列情况导致工期延误和（或）费用增加的，由发包人承担由此延误的工期和（或）增加的费用，且发包人应支付承包人合理的利润：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根据第13条[变更与调整]的约定构成一项变更的；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发包人违反本合同约定，导致工期延误和（或）费用增加的；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发包人、发包人代表、工程师或发包人聘请的任意第三方造成或引起的任何延误、妨碍和阻碍；</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 发包人未能依据第6.2.1项[发包人提供的材料和工程设备]的约定提供材料和工程设备导致工期延误和（或）费用增加的；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 因发包人原因导致的暂停施工；</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 发包人未及时履行相关合同义务，造成工期延误的其他原因。</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8.7.2因承包人原因导致工期延误</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由于承包人的原因，未能按项目进度计划完成工作，承包人应采取措施加快进度，并承担加快进度所增加的费用。</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由于承包人原因造成工期延误并导致逾期竣工的，承包人应支付逾期竣工违约金。逾期竣工违约金的计算方法和最高限额在专用合同条件中约定。承包人支付逾期竣工违约金，不免除承包人完成工作及修补缺陷的义务，且发包人有权从工程进度款、竣工结算款或约定提交的履约担保中扣除相当于逾期竣工违约金的金额。</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8.7.3行政审批迟延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合同约定范围内的工作需国家有关部门审批的，发包人和（或）承包人应按照合同约定的职责分工完成行政审批报送。因国家有关部门审批迟延造成工期延误的，竣工日期相应顺延。造成费用增加的，由双方在负责的范围内各自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8.7.4异常恶劣的气候条件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异常恶劣的气候条件是指在施工过程中遇到的，有经验的承包人在订立合同时不可预见的，对合同履行造成实质性影响的，但尚未构成不可抗力事件的恶劣气候条件。合同当事人可以在专用合同条件中约定异常恶劣的气候条件的具体情形。</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采取克服异常恶劣的气候条件的合理措施继续施工，并及时通知工程师。工程师应当及时发出指示，指示构成变更的，按第13条[变更与调整]约定办理。承包人因采取合理措施而延误的工期由发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8.8工期提前</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8.8.1发包人指示承包人提前竣工且被承包人接受的，应与承包人共同协商采取加快工程进度的措施和修订项目进度计划。发包人应承担承包人由此增加的费用，增加的费用按第13条［变更与调整］的约定执行；发包人不得以任何理由要求承包人超过合理限度压缩工期。承包人有权不接受提前竣工的指示，工期按照合同约定执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8.8.2承包人提出提前竣工的建议且发包人接受的，应与发包人共同协商采取加快工程进度的措施和修订项目进度计划。发包人应承担承包人由此增加的费用，增加的费用按第13条［变更与调整］的约定执行，并向承包人支付专用合同条件约定的相应奖金。</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8.9暂停工作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8.9.1由发包人暂停工作</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发包人认为必要时，可通过工程师向承包人发出经发包人签认的暂停工作通知，应列明暂停原因、暂停的日期及预计暂停的期限。承包人应按该通知暂停工作。</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承包人因执行暂停工作通知而造成费用的增加和（或）工期延误由发包人承担，并有权要求发包人支付合理利润，但由于承包人原因造成发包人暂停工作的除外。</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8.9.2由承包人暂停工作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因承包人原因所造成部分或全部工程的暂停，承包人应采取措施尽快复工并赶上进度，由此造成费用的增加或工期延误由承包人承担。因此造成逾期竣工的，承包人应按第8.7.2项［因承包人原因导致工期延误］承担逾期竣工违约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合同履行过程中发生下列情形之一的，承包人可向发包人发出通知，要求发包人采取有效措施予以纠正。发包人收到承包人通知后的28天内仍不予以纠正，承包人有权暂停施工，并通知工程师。承包人有权要求发包人延长工期和（或）增加费用，并支付合理利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(1)发包人拖延、拒绝批准付款申请和支付证书，或未能按合同约定支付价款，导致付款延误的；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(2)发包人未按约定履行合同其他义务导致承包人无法继续履行合同的，或者发包人明确表示暂停或实质上已暂停履行合同的；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(3)除上述原因以外的暂停工作，双方应遵守第17条［不可抗力］的相关约定。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8.9.3 除上述原因以外的暂停工作，双方应遵守第17条[不可抗力]的相关约定。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8.9.4 暂停工作期间的工程照管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不论由于何种原因引起暂停工作的，暂停工作期间，承包人应负责对工程、工程物资及文件等进行照管和保护，并提供安全保障，由此增加的费用按第8.9.1项[由发包人暂停工作]和第8.9.2项[由承包人暂停工作]的约定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因承包人未能尽到照管、保护的责任造成损失的，使发包人的费用增加，（或）竣工日期延误的，由承包人按本合同约定承担责任。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8.10复工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8.10.1 收到发包人的复工通知后，承包人应按通知时间复工；发包人通知的复工时间应当给予承包人必要的准备复工时间。</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8.10.2 不论由于何种原因引起暂停工作，双方均可要求对方一同对受暂停影响的工程、工程设备和工程物资进行检查，承包人应将检查结果及需要恢复、修复的内容和估算通知发包人。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8.10.3 除第17条[不可抗力]另有约定外，发生的恢复、修复价款及工期延误的后果由责任方承担。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第9条竣工试验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9.1竣工试验的义务</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9.1.1 承包人完成工程或区段工程进行竣工试验所需的作业，并根据第5.4款[竣工文件]和第5.5款[操作和维修手册]提交文件后，进行竣工试验。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9.1.2 承包人应在进行竣工试验之前，至少提前42天向工程师提交详细的竣工试验计划，该计划应载明竣工试验的内容、地点、拟开展时间和需要发包人提供的资源条件。工程师应在收到计划后的14天内进行审查，并就该计划不符合合同的部分提出意见，承包人应在收到意见后的14天内自费对计划进行修正。工程师逾期未提出意见的，视为竣工试验计划已得到确认。除提交竣工试验计划外，承包人还应提前21天将可以开始进行各项竣工试验的日期通知工程师，并在该日期后的14天内或工程师指示的日期进行竣工试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9.1.3 承包人应根据经确认的竣工试验计划以及第6.5款[由承包人试验和检验]进行竣工试验。除《发包人要求》中另有说明外，竣工试验应按以下顺序分阶段进行，即只有在工程或区段工程已通过上一阶段试验的情况下，才可进行下一阶段试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承包人进行启动前试验，包括适当的检查和功能性试验，以证明工程或区段工程的每一部分均能够安全地承受下一阶段试验；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承包人进行启动试验，以证明工程或区段工程能够在所有可利用的操作条件下安全运行，并按照专用合同条件和《发包人要求》中的规定操作；</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承包人进行试运行试验。当工程或区段工程能稳定安全运行时，承包人应通知工程师，可以进行其他竣工试验，包括各种性能测试，以证明工程或区段工程符合《发包人要求》中列明的性能保证指标。</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进行上述试验不应构成第10条[验收和工程接收]规定的接收，但试验所产生的任何产品或其他收益均应归属于发包人。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9.1.4完成上述各阶段竣工试验后，承包人应向工程师提交试验结果报告，试验结果须符合约定的标准、规范和数据。工程师应在收到报告后14天内予以回复，逾期未回复的，视为认可竣工试验结果。但在考虑工程或区段工程是否通过竣工试验时，应适当考虑发包人对工程或其任何部分的使用，对工程或区段工程的性能、特性和试验结果产生的影响。</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9.2延误的试验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9.2.1如果承包人已根据第9.1款［竣工试验的义务］就可以开始进行各项竣工试验的日期通知工程师，但该等试验因发包人原因被延误14天以上的，发包人应承担由此增加的费用和工期延误，并支付承包人合理利润。同时，承包人应在合理可行的情况下尽快进行竣工试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9.2.2承包人无正当理由延误进行竣工试验的，工程师可向其发出通知，要求其在收到通知后的21天内进行该项竣工试验。承包人应在该21天的期限内确定进行试验的日期，并至少提前7天通知工程师。</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9.2.3如果承包人未在该期限内进行竣工试验，则发包人有权自行组织该项竣工试验，由此产生的合理费用由承包人承担。发包人应在试验完成后28天内向承包人发送试验结果。</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9.3重新试验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如果工程或区段工程未能通过竣工试验，则承包人应根据第6.6款［缺陷和修补］修补缺陷。发包人或承包人可要求按相同的条件，重新进行未通过的试验以及相关工程或区段工程的竣工试验。该等重新进行的试验仍应适用本条对于竣工试验的规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9.4未能通过竣工试验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9.4.1 因发包人原因导致竣工试验未能通过的，承包人进行竣工试验的费用由发包人承担，竣工日期相应顺延。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9.4.2 如果工程或区段工程未能通过根据第9.3款[重新试验]重新进行的竣工试验的，则：</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发包人有权要求承包人根据第6.6款[缺陷和修补]继续进行修补和改正，并根据第9.3款[重新试验]再次进行竣工试验；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未能通过竣工试验，对工程或区段工程的操作或使用未产生实质性影响的，发包人有权要求承包人自费修复，承担因此增加的费用和误期损害赔偿责任，并赔偿发包人的相应损失；无法修复时，发包人有权扣减该部分的相应付款，同时视为通过竣工验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未能通过竣工试验，使工程或区段工程的任何主要部分丧失了生产、使用功能时，发包人有权指令承包人更换相关部分，承包人应承担因此增加的费用和误期损害赔偿责任，并赔偿发包人的相应损失；</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 未能通过竣工试验，使整个工程或区段工程丧失了生产、使用功能时，发包人可拒收工程或区段工程，或指令承包人重新设计、重置相关部分，承包人应承担因此增加的费用和误期损害赔偿责任，并赔偿发包人的相应损失。同时发包人有权根据第16.1款[由发包人解除合同]的约定解除合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第10条验收和工程接收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10.1竣工验收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10.1.1竣工验收条件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工程具备以下条件的，承包人可以申请竣工验收：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除因第13条[变更与调整]导致的工程量删减和第14.5.3项[扫尾工作清单]列入缺陷责任期内完成的扫尾工程和缺陷修补工作外，合同范围内的全部单位/区段工程以及有关工作，包括合同要求的试验和竣工试验均已完成，并符合合同要求；</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已按合同约定编制了扫尾工作和缺陷修补工作清单以及相应实施计划；</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已按合同约定的内容和份数备齐竣工资料；</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 合同约定要求在竣工验收前应完成的其他工作。</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10.1.2竣工验收程序</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除专用合同条件另有约定外，承包人申请竣工验收的，应当按照以下程序进行：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承包人向工程师报送竣工验收申请报告，工程师应在收到竣工验收申请报告后14天内完成审查并报送发包人。工程师审查后认为尚不具备竣工验收条件的，应在收到竣工验收申请报告后的14天内通知承包人，指出在颁发接收证书前承包人还需进行的工作内容。承包人完成工程师通知的全部工作内容后，应再次提交竣工验收申请报告，直至工程师同意为止。</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工程师同意承包人提交的竣工验收申请报告的，或工程师收到竣工验收申请报告后14天内不予答复的，视为发包人收到并同意承包人的竣工验收申请，发包人应在收到该竣工验收申请报告后的28天内进行竣工验收。工程经竣工验收合格的，以竣工验收合格之日为实际竣工日期，并在工程接收证书中载明；完成竣工验收但发包人不予签发工程接收证书的，视为竣工验收合格，以完成竣工验收之日为实际竣工日期。</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竣工验收不合格的，工程师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 因发包人原因，未在工程师收到承包人竣工验收申请报告之日起42天内完成竣工验收的，以承包人提交竣工验收申请报告之日作为工程实际竣工日期。</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 工程未经竣工验收，发包人擅自使用的，以转移占有工程之日为实际竣工日期。</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除专用合同条件另有约定外，发包人不按照本项和第10.4款[接收证书]约定组织竣工验收、颁发工程接收证书的，每逾期一天，应以签约合同价为基数，按照贷款市场报价利率（LPR）支付违约金。</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10.2单位/区段工程的验收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10.2.1 发包人根据项目进度计划安排，在全部工程竣工前需要使用已经竣工的单位/区段工程时，或承包人提出经发包人同意时，可进行单位/区段工程验收。验收的程序可参照第10.1款[竣工验收]的约定进行。验收合格后，由工程师向承包人出具经发包人签认的单位/区段工程验收证书。单位/区段工程的验收成果和结论作为全部工程竣工验收申请报告的附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10.2.2 发包人在全部工程竣工前，使用已接收的单位/区段工程导致承包人费用增加的，发包人应承担由此增加的费用和（或）工期延误，并支付承包人合理利润。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10.3工程的接收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10.3.1 根据工程项目的具体情况和特点，可按工程或单位/区段工程进行接收，并在专用合同条件约定接收的先后顺序、时间安排和其他要求。</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10.3.2 除按本条约定已经提交的资料外，接收工程时承包人需提交竣工验收资料的类别、内容、份数和提交时间，在专用合同条件中约定。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10.3.3 发包人无正当理由不接收工程的，发包人自应当接收工程之日起，承担工程照管、成品保护、保管等与工程有关的各项费用，合同当事人可以在专用合同条件中另行约定发包人逾期接收工程的违约责任。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10.3.4 承包人无正当理由不移交工程的，承包人应承担工程照管、成品保护、保管等与工程有关的各项费用，合同当事人可以在专用合同条件中另行约定承包人无正当理由不移交工程的违约责任。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10.4接收证书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10.4.1 除专用合同条件另有约定外，承包人应在竣工验收合格后向发包人提交第14.6款[质量保证金]约定的质量保证金，发包人应在竣工验收合格且工程具备接收条件后的14天内向承包人颁发工程接收证书，但承包人未提交质量保证金的，发包人有权拒绝颁发。发包人拒绝颁发工程接收证书的，应向承包人发出通知，说明理由并指出在颁发接收证书前承包人需要做的工作，需要修补的缺陷和承包人需要提供的文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10.4.2 发包人向承包人颁发的接收证书，应注明工程或单位/区段工程经验收合格的实际竣工日期，并列明不在接收范围内的，在收尾工作和缺陷修补完成之前对工程或单位/区段工程预期使用目的没有实质影响的少量收尾工作和缺陷。</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10.4.3 竣工验收合格而发包人无正当理由逾期不颁发工程接收证书的，自验收合格后第15天起视为已颁发工程接收证书。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10.4.4 工程未经验收或验收不合格，发包人擅自使用的，应在转移占有工程后7天内向承包人颁发工程接收证书；发包人无正当理由逾期不颁发工程接收证书的，自转移占有后第15天起视为已颁发工程接收证书。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10.4.5 存在扫尾工作的，工程接收证书中应当将第14.5.3项[扫尾工作清单]中约定的扫尾工作清单作为工程接收证书附件。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10.5竣工退场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10.5.1竣工退场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颁发工程接收证书后，承包人应对施工现场进行清理，并撤离相关人员，使得施工现场处于以下状态，直至工程师检验合格为止：</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施工现场内残留的垃圾已全部清除出场；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临时工程已拆除，场地已按合同约定进行清理、平整或复原；</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按合同约定应撤离的人员、承包人提供的施工设备和剩余的材料，包括废弃的施工设备和材料，已按计划撤离施工现场；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 施工现场周边及其附近道路、河道的施工堆积物，已全部清理；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 施工现场其他竣工退场工作已全部完成。</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施工现场的竣工退场费用由承包人承担。承包人应在专用合同条件约定的期限内完成竣工退场，逾期未完成的，发包人有权出售或另行处理承包人遗留的物品，由此支出的费用由承包人承担，发包人出售承包人遗留物品所得款项在扣除必要费用后应返还承包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10.5.2地表还原</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承包人应按合同约定和工程师的要求恢复临时占地及清理场地，否则发包人有权委托其他人恢复或清理，所发生的费用由承包人承担。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10.5.3人员撤离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了经工程师同意需在缺陷责任期内继续工作和使用的人员、施工设备和临时工程外，承包人应按专用合同条件约定和工程师的要求将其余的人员、施工设备和临时工程撤离施工现场或拆除。除专用合同条件另有约定外，缺陷责任期满时，承包人的人员和施工设备应全部撤离施工现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第11条缺陷责任与保修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11.1工程保修的原则</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在工程移交发包人后，因承包人原因产生的质量缺陷，承包人应承担质量缺陷责任和保修义务。缺陷责任期届满，承包人仍应按合同约定的工程各部位保修年限承担保修义务。</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11.2缺陷责任期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缺陷责任期原则上从工程竣工验收合格之日起计算，合同当事人应在专用合同条件约定缺陷责任期的具体期限，但该期限最长不超过24个月。</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单位/区段工程先于全部工程进行验收，经验收合格并交付使用的，该单位/区段工程缺陷责任期自单位/区段工程验收合格之日起算。因发包人原因导致工程未在合同约定期限进行验收，但工程经验收合格的，以承包人提交竣工验收报告之日起算；因发包人原因导致工程未能进行竣工验收的，在承包人提交竣工验收报告90天后，工程自动进入缺陷责任期；发包人未经竣工验收擅自使用工程的，缺陷责任期自工程转移占有之日起开始计算。</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由于承包人原因造成某项缺陷或损坏使某项工程或工程设备不能按原定目标使用而需要再次检查、检验和修复的，发包人有权要求承包人延长该项工程或工程设备的缺陷责任期，并应在原缺陷责任期届满前发出延长通知。但缺陷责任期最长不超过24个月。</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11.3缺陷调查</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11.3.1 承包人缺陷调查</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如果发包人指示承包人调查任何缺陷的原因，承包人应在发包人的指导下进行调查。承包人应在发包人指示中说明的日期或与发包人达成一致的其他日期开展调查。除非该缺陷应由承包人负责自费进行修补，承包人有权就调查的成本和利润获得支付。</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如果承包人未能根据本款开展调查，该调查可由发包人开展。但应将上述调查开展的日期通知承包人，承包人可自费参加调查。如果该缺陷应由承包人自费进行修补，则发包人有权要求承包人支付发包人因调查产生的合理费用。</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11.3.2 缺陷责任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缺陷责任期内，由承包人原因造成的缺陷，承包人应负责维修，并承担鉴定及维修费用。如承包人不维修也不承担费用，发包人可按合同约定从质量保证金中扣除，费用超出质量保证金金额的，发包人可按合同约定向承包人进行索赔。承包人维修并承担相应费用后，不免除对工程的损失赔偿责任。发包人在使用过程中，发现已修补的缺陷部位或部件还存在质量缺陷的，承包人应负责修复，直至检验合格为止。</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11.3.3 修复费用</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发包人和承包人应共同查清缺陷或损坏的原因。经查明属承包人原因造成的，应由承包人承担修复的费用。经查验非承包人原因造成的，发包人应承担修复的费用，并支付承包人合理利润。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11.3.4 修复通知</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在缺陷责任期内，发包人在使用过程中，发现已接收的工程存在缺陷或损坏的，应书面通知承包人予以修复，但情况紧急必须立即修复缺陷或损坏的，发包人可以口头通知承包人并在口头通知后48小时内书面确认，承包人应在专用合同条件约定的合理期限内到达工程现场并修复缺陷或损坏。</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11.3.5 在现场外修复</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在缺陷责任期内，承包人认为设备中的缺陷或损害不能在现场得到迅速修复，承包人应当向发包人发出通知，请求发包人同意把这些有缺陷或者损害的设备移出现场进行修复，通知应当注明有缺陷或者损害的设备及维修的相关内容，发包人可要求承包人按移出设备的全部重置成本增加质量保证金的数额。</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11.3.6 未能修复</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如果工程或工程设备的缺陷或损害使发包人实质上失去了工程的整体功能，发包人有权向承包人追回已支付的工程款项，并要求其赔偿发包人相应损失。11.4缺陷修复后的进一步试验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任何一项缺陷修补后的7天内，承包人应向发包人发出通知，告知已修补的情况。如根据第9条［竣工试验］或第12条［竣工后试验］的规定适用重新试验的，还应建议重新试验。发包人应在收到重新试验的通知后14天内答复，逾期未进行答复的视为同意重新试验。承包人未建议重新试验的，发包人也可在缺陷修补后的14天内指示进行必要的重新试验，以证明已修复的部分符合合同要求。</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所有的重复试验应按照适用于先前试验的条款进行，但应由责任方承担修补工作的成本和重新试验的风险和费用。</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11.5承包人出入权</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在缺陷责任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安保和保密等规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11.6 缺陷责任期终止证书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承包人应于缺陷责任期届满前7天内向发包人发出缺陷责任期即将届满通知，发包人应在收到通知后7天内核实承包人是否履行缺陷修复义务，承包人未能履行缺陷修复义务的，发包人有权扣除相应金额的维修费用。发包人应在缺陷责任期届满之日，向承包人颁发缺陷责任期终止证书，并按第14.6.3项[质量保证金的返还]返还质量保证金。</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如根据第10.5.3项[人员撤离]承包人在施工现场还留有人员、施工设备和临时工程的，承包人应当在收到缺陷责任期终止证书后28天内，将上述人员、施工设备和临时工程撤离施工现场。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11.7保修责任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因承包人原因导致的质量缺陷责任，由合同当事人根据有关法律规定，在专用合同条件和工程质量保修书中约定工程质量保修范围、期限和责任。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第12条竣工后试验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本合同工程包含竣工后试验的，遵守本条约定。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12.1竣工后试验的程序</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12.1.1 工程或区段工程被发包人接收后，在合理可行的情况下应根据合同约定尽早进行竣工后试验。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12.1.2 除专用合同条件另有约定外，发包人应提供全部电力、水、污水处理、燃料、消耗品和材料，以及全部其他仪器、协助、文件或其他信息、设备、工具、劳力，启动工程设备，并组织安排有适当资质、经验和能力的工作人员实施竣工后试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12.1.3 除《发包人要求》另有约定外，发包人应在合理可行的情况下尽快进行每项竣工后试验，并至少提前21天将该项竣工后试验的内容、地点和时间，以及显示其他竣工后试验拟开展时间的竣工后试验计划通知承包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12.1.4 发包人应根据《发包人要求》、承包人按照第5.5款[操作和维修手册]提交的文件，以及承包人被要求提供的指导进行竣工后试验。如承包人未在发包人通知的时间和地点参加竣工后试验，发包人可自行进行，该试验应被视为是承包人在场的情况下进行的，且承包人应视为认可试验数据。</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12.1.5 竣工后试验的结果应由双方进行整理和评价，并应适当考虑发包人对工程或其任何部分的使用，对工程或区段工程的性能、特性和试验结果产生的影响。</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12.3重新试验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如工程或区段工程未能通过竣工后试验，则承包人应根据第11.3款[缺陷调查]的规定修补缺陷，以达到合同约定的要求；并按照第11.4款[缺陷修复后的进一步试验]重新进行竣工后试验以及承担风险和费用。如未通过试验和重新试验是承包人原因造成的，则承包人还应承担发包人因此增加的费用。</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12.4未能通过竣工后试验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12.4.1 工程或区段工程未能通过竣工后试验，且合同中就该项未通过的试验约定了性能损害赔偿违约金及其计算方法的，或者就该项未通过的试验另行达成补充协议的，承包人在缺陷责任期内向发包人支付相应违约金或按补充协议履行后，视为通过竣工后试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12.4.2 对未能通过竣工后试验的工程或区段工程，承包人可向发包人建议，由承包人对该工程或区段工程进行调整或修补。发包人收到建议后，可向承包人发出通知，指示其在发包人方便的合理时间进入工程或区段工程进行调查、调整或修补，并为承包人的进入提供方便。承包人提出建议，但未在缺陷责任期内收到上述发包人通知的，相关工程或区段工程应视为已通过该竣工后试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12.4.3 发包人无故拖延给予承包人进行调查、调整或修补所需的进入工程或区段工程的许可，并造成承包人费用增加的，应承担由此增加的费用并支付承包人合理利润。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第13条变更与调整</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13.1发包人变更权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13.1.1变更指示应经发包人同意，并由工程师发出经发包人签认的变更指示。除第11.3.5项［未能修复］约定的情况外，变更不应包括准备将任何工作删减并交由他人或发包人自行实施的情况。承包人收到变更指示后，方可实施变更。未经许可，承包人不得擅自对工程的任何部分进行变更。发包人与承包人对某项指示或批准是否构成变更产生争议的，按第20条[争议解决]处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13.1.2承包人应按照变更指示执行，除非承包人及时向工程师发出通知，说明该项变更指示将降低工程的安全性、稳定性或适用性；涉及的工作内容和范围不可预见；所涉设备难以采购；导致承包人无法执行第7.5款［安全文明施工］、第7.6款［职业健康安全文明施工］或第7.7款［环境保护］内容；将造成工期延误；与第4.1款［承包人的一般义务］相冲突等无法执行的理由。工程师接到承包人的通知后，应作出经发包人签认的取消、确认或改变原指示的书面回复。</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13.2承包人的合理化建议</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13.2.1 承包人提出合理化建议的，应向工程师提交合理化建议说明，说明建议的内容、理由以及实施该建议对合同价格和工期的影响。</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13.2.2 除专用合同条件另有约定外，工程师应在收到承包人提交的合理化建议后7天内审查完毕并报送发包人，发现其中存在技术上的缺陷，应通知承包人修改。发包人应在收到工程师报送的合理化建议后7天内审批完毕。合理化建议经发包人批准的，工程师应及时发出变更指示，由此引起的合同价格调整按照第13.3.3项[变更估价]约定执行。发包人不同意变更的，工程师应书面通知承包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13.2.3 合理化建议降低了合同价格、缩短了工期或者提高了工程经济效益的，双方可以按照专用合同条件的约定进行利益分享。</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13.3变更程序</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13.3.1 发包人提出变更</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发包人提出变更的，应通过工程师向承包人发出书面形式的变更指示，变更指示应说明计划变更的工程范围和变更的内容。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13.3.2 变更执行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收到工程师下达的变更指示后，认为不能执行，应在合理期限内提出不能执行该变更指示的理由。承包人认为可以执行变更的，应当书面说明实施该变更指示需要采取的具体措施及对合同价格和工期的影响，且合同当事人应当按照第13.3.3项[变更估价]约定确定变更估价。</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13.3.3变更估价</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13.3.3.1变更估价原则</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除专用合同条件另有约定外，变更估价按照本款约定处理：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(1)合同中未包含价格清单，合同价格应按照所执行的变更工程的成本加利润调整；</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(2)合同中包含价格清单，合同价格按照如下规则调整：</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1）价格清单中有适用于变更工程项目的，应采用该项目的费率和价格；</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2）价格清单中没有适用但有类似于变更工程项目的，可在合理范围内参照类似项目的费率或价格；</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价格清单中没有适用也没有类似于变更工程项目的，该工程项目应按成本加利润原则调整适用新的费率或价格。</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13.3.3.2变更估价程序</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在收到变更指示后14天内，向工程师提交变更估价申请。工程师应在收到承包人提交的变更估价申请后7天内审查完毕并报送发包人，工程师对变更估价申请有异议，通知承包人修改后重新提交。发包人应在承包人提交变更估价申请后14天内审批完毕。发包人逾期未完成审批或未提出异议的，视为认可承包人提交的变更估价申请。</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因变更引起的价格调整应计入最近一期的进度款中支付。</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13.3.4变更引起的工期调整</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因变更引起工期变化的，合同当事人均可要求调整合同工期，由合同当事人按照第3.6款[商定或确定]并参考工程所在地的工期定额标准确定增减工期天数。</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13.4暂估价</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13.4.1 依法必须招标的暂估价项目</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对于依法必须招标的暂估价项目，专用合同条件约定由承包人作为招标人的，竞争性磋商文件、评标方案、评标结果应报送发包人批准。与组织招标工作有关的费用应当被认为已经包括在承包人的签约合同价中。</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专用合同条件约定由发包人和承包人共同作为招标人的，与组织招标工作有关的费用在专用合同条件中约定。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具体的招标程序以及发包人和承包人权利义务关系可在专用合同条件中约定。暂估价项目的中标金额与价格清单中所列暂估价的金额差以及相应的税金等其他费用应列入合同价格。</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13.4.2 不属于依法必须招标的暂估价项目</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对于不属于依法必须招标的暂估价项目，承包人具备实施暂估价项目的资格和条件的，经发包人和承包人协商一致后，可由承包人自行实施暂估价项目，具体的协商和估价程序以及发包人和承包人权利义务关系可在专用合同条件中约定。确定后的暂估价项目金额与价格清单中所列暂估价的金额差以及相应的税金等其他费用应列入合同价格。</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13.5暂列金额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每一笔暂列金额只能按照发包人的指示全部或部分使用，并对合同价格进行相应调整。付给承包人的总金额应仅包括发包人已指示的，与暂列金额相关的工作、货物或服务的应付款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对于每笔暂列金额，发包人可以指示用于下列支付：</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发包人根据第13.1款[发包人变更权]指示变更，决定对合同价格和付款计划表（如有）进行调整的、由承包人实施的工作（包括要提供的工程设备、材料和服务）；</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承包人购买的工程设备、材料、工作或服务，应支付包括承包人已付（或应付）的实际金额以及相应的管理费等费用和利润（管理费和利润应以实际金额为基数根据合同约定的费率（如有）或百分比计算）。</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根据上述(1)和（或）(2)指示支付暂列金额的，可以要求承包人提交其供应商提供的全部或部分要实施的工程或拟购买的工程设备、材料、工作或服务的项目报价单。发包人可以发出通知指示承包人接受其中的一个报价或指示撤销支付，发包人在收到项目报价单的7天内未作回应的，承包人应有权自行接受其中任何一个报价。</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每份包含暂列金额的文件还应包括用以证明暂列金额的所有有效的发票、凭证和账户或收据。</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13.6计日工</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13.6.1 需要采用计日工方式的，经发包人同意后，由工程师通知承包人以计日工计价方式实施相应的工作，其价款按列入价格清单或预算书中的计日工计价项目及其单价进行计算；价格清单或预算书中无相应的计日工单价的，按照合理的成本与利润构成的原则，由工程师按照第3.6款[商定或确定]确定计日工的单价。</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13.6.2 采用计日工计价的任何一项工作，承包人应在该项工作实施过程中，每天提交以下报表和有关凭证报送工程师审查：</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(1)工作名称、内容和数量；</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(2)投入该工作的所有人员的姓名、专业、工种、级别和耗用工时；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(3)投入该工作的材料类别和数量；</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(4)投入该工作的施工设备型号、台数和耗用台时；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(5)其他有关资料和凭证。</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计日工由承包人汇总后，列入最近一期进度付款申请单，由工程师审查并经发包人批准后列入进度付款。</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13.7法律变化引起的调整</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13.7.1 基准日期后，法律变化导致承包人在合同履行过程中所需要的费用发生除第13.8款[市场价格波动引起的调整]约定以外的增加时，由发包人承担由此增加的费用；减少时，应从合同价格中予以扣减。基准日期后，因法律变化造成工期延误时，工期应予以顺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13.7.2 因法律变化引起的合同价格和工期调整，合同当事人无法达成一致的，由工程师按第3.6款[商定或确定]的约定处理。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13.7.3 因承包人原因造成工期延误，在工期延误期间出现法律变化的，由此增加的费用和（或）延误的工期由承包人承担。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13.7.4 因法律变化而需要对工程的实施进行任何调整的，承包人应迅速通知发包人，或者发包人应迅速通知承包人，并附上详细的辅助资料。发包人接到通知后，应根据第13.3款[变更程序]发出变更指示。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13.8市场价格波动引起的调整</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13.8.1 主要工程材料、设备、人工价格与招标时基期价相比，波动幅度超过合同约定幅度的，双方按照合同约定的价格调整方式调整。</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13.8.2 发包人与承包人在专用合同条件中约定采用《价格指数权重表》的，适用本项约定。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13.8.2.1 双方当事人可以将部分主要工程材料、工程设备、人工价格及其他双方认为应当根据市场价格调整的费用列入附件6[价格指数权重表]，并根据以下公式计算差额并调整合同价格：</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(1)价格调整公式</w:t>
      </w:r>
    </w:p>
    <w:p>
      <w:pPr>
        <w:pStyle w:val="88"/>
        <w:spacing w:line="440" w:lineRule="exact"/>
        <w:ind w:right="-42" w:rightChars="-20" w:firstLine="756" w:firstLineChars="270"/>
        <w:rPr>
          <w:rFonts w:ascii="仿宋" w:hAnsi="仿宋" w:eastAsia="仿宋" w:cs="仿宋"/>
          <w:color w:val="auto"/>
          <w:highlight w:val="none"/>
        </w:rPr>
      </w:pPr>
      <w:r>
        <w:rPr>
          <w:color w:val="auto"/>
          <w:sz w:val="28"/>
          <w:szCs w:val="28"/>
          <w:highlight w:val="none"/>
        </w:rPr>
        <w:drawing>
          <wp:anchor distT="0" distB="0" distL="114300" distR="114300" simplePos="0" relativeHeight="251662336" behindDoc="1" locked="0" layoutInCell="1" allowOverlap="1">
            <wp:simplePos x="0" y="0"/>
            <wp:positionH relativeFrom="column">
              <wp:posOffset>193675</wp:posOffset>
            </wp:positionH>
            <wp:positionV relativeFrom="page">
              <wp:posOffset>3949065</wp:posOffset>
            </wp:positionV>
            <wp:extent cx="4138295" cy="587375"/>
            <wp:effectExtent l="0" t="0" r="14605" b="3175"/>
            <wp:wrapTight wrapText="bothSides">
              <wp:wrapPolygon>
                <wp:start x="0" y="584"/>
                <wp:lineTo x="0" y="21600"/>
                <wp:lineTo x="21477" y="21600"/>
                <wp:lineTo x="21477" y="584"/>
                <wp:lineTo x="0" y="584"/>
              </wp:wrapPolygon>
            </wp:wrapTight>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3" cstate="print"/>
                    <a:stretch>
                      <a:fillRect/>
                    </a:stretch>
                  </pic:blipFill>
                  <pic:spPr>
                    <a:xfrm flipV="1">
                      <a:off x="0" y="0"/>
                      <a:ext cx="4138295" cy="587375"/>
                    </a:xfrm>
                    <a:prstGeom prst="rect">
                      <a:avLst/>
                    </a:prstGeom>
                    <a:noFill/>
                    <a:ln>
                      <a:noFill/>
                    </a:ln>
                  </pic:spPr>
                </pic:pic>
              </a:graphicData>
            </a:graphic>
          </wp:anchor>
        </w:drawing>
      </w:r>
    </w:p>
    <w:p>
      <w:pPr>
        <w:pStyle w:val="88"/>
        <w:spacing w:line="440" w:lineRule="exact"/>
        <w:ind w:right="-42" w:rightChars="-20" w:firstLine="648" w:firstLineChars="270"/>
        <w:rPr>
          <w:rFonts w:ascii="仿宋" w:hAnsi="仿宋" w:eastAsia="仿宋" w:cs="仿宋"/>
          <w:color w:val="auto"/>
          <w:highlight w:val="none"/>
        </w:rPr>
      </w:pPr>
    </w:p>
    <w:p>
      <w:pPr>
        <w:pStyle w:val="88"/>
        <w:spacing w:line="440" w:lineRule="exact"/>
        <w:ind w:right="-42" w:rightChars="-20" w:firstLine="648" w:firstLineChars="270"/>
        <w:rPr>
          <w:rFonts w:ascii="仿宋" w:hAnsi="仿宋" w:eastAsia="仿宋" w:cs="仿宋"/>
          <w:color w:val="auto"/>
          <w:highlight w:val="none"/>
        </w:rPr>
      </w:pPr>
    </w:p>
    <w:p>
      <w:pPr>
        <w:pStyle w:val="88"/>
        <w:spacing w:line="440" w:lineRule="exact"/>
        <w:ind w:right="-42" w:rightChars="-20" w:firstLine="648" w:firstLineChars="270"/>
        <w:rPr>
          <w:rFonts w:ascii="仿宋" w:hAnsi="仿宋" w:eastAsia="仿宋" w:cs="仿宋"/>
          <w:color w:val="auto"/>
          <w:highlight w:val="none"/>
        </w:rPr>
      </w:pP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公式中：△P---需调整的价格差额；</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PO---付款证书中承包人应得到的已完成工作量的金额。此项金额应不包括价格调整、不计质量保证金的预留和支付、预付款的支付和扣回。第13条[变更与调整]约定的变更及其他金额已按当期价格计价的，也不计在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A ---定值权重（即不调部分的权重）；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B1；B2；B3；……Bn---各可调因子的变值权重（即可调部分的权重）为各可调因子在投标函投标总报价中所占的比例，且A+B1+B2+B3+……+Bn=1；</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Ft1；Ft2；Ft3；……Ftn---各可调因子的当期价格指数，指付款证书相关周期最后一天的前42天的各可调因子的价格指数；</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F01；F02；F03；……F0n---各可调因子的基本价格指数，指基准日期的各可调因子的价格指数。</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以上价格调整公式中的各可调因子、定值和变值权重，以及基本价格指数及其来源在投标函附录价格指数和权重表中约定。价格指数应首先采用投标函附录中载明的有关部门提供的价格指数，缺乏上述价格指数时，可采用有关部门提供的价格代替。</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暂时确定调整差额</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在计算调整差额时得不到当期价格指数的，可暂用上一次价格指数计算，并在以后的付款中再按实际价格指数进行调整。</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权重的调整</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按第13.1款[发包人变更权]约定的变更导致原定合同中的权重不合理的，由工程师与承包人和发包人协商后进行调整。</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 承包人原因工期延误后的价格调整</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因承包人原因未在约定的工期内竣工的，则对原约定竣工日期后继续施工的工程，在使用本款第(1)项价格调整公式时，应采用原约定竣工日期与实际竣工日期的两个价格指数中较低的一个作为当期价格指数。</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 发包人引起的工期延误后的价格调整</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由于发包人原因未在约定的工期内竣工的，则对原约定竣工日期后继续施工的工程，在使用本款第（1）目价格调整公式时，应采用原约定竣工日期与实际竣工日期的两个价格指数中较高的一个作为当期价格指数。</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13.8.2.2 未列入《价格指数权重表》的费用不因市场变化而调整。</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13.8.3 双方约定采用其他方式调整合同价款的，以专用合同条件约定为准。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第14条合同价格与支付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14.1合同价格形式</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14.1.1 除专用合同条件中另有约定外，本合同为总价合同，除根据第13条[变更与调整]，以及合同中其它相关增减金额的约定进行调整外，合同价格不做调整。</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14.1.2 除专用合同条件另有约定外：</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工程款的支付应以合同协议书约定的签约合同价格为基础，按照合同约定进行调整；</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承包人应支付根据法律规定或合同约定应由其支付的各项税费，除第13.7款[法律变化引起的调整]约定外，合同价格不应因任何这些税费进行调整；</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价格清单列出的任何数量仅为估算的工作量，不得将其视为要求承包人实施的工程的实际或准确的工作量。在价格清单中列出的任何工作量和价格数据应仅限用于变更和支付的参考资料，而不能用于其他目的。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14.1.3 合同约定工程的某部分按照实际完成的工程量进行支付的，应按照专用合同条件的约定进行计量和估价，并据此调整合同价格。</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14.2预付款</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14.2.1 预付款支付</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预付款的额度和支付按照专用合同条件约定执行。预付款应当专用于承包人为合同工程的设计和工程实施购置材料、工程设备、施工设备、修建临时设施以及组织施工队伍进场等合同工作。</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除专用合同条件另有约定外，预付款在进度付款中同比例扣回。在颁发工程接收证书前，提前解除合同的，尚未扣完的预付款应与合同价款一并结算。</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发包人逾期支付预付款超过7天的，承包人有权向发包人发出要求预付的催告通知，发包人收到通知后7天内仍未支付的，承包人有权暂停施工，并按第15.1.1项[发包人违约的情形]执行。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14.2.2 预付款担保</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指示承包人提供预付款担保的，承包人应在发包人支付预付款7天前提供预付款担保，专用合同条件另有约定除外。预付款担保可采用银行保函、担保公司担保等形式，具体由合同当事人在专用合同条件中约定。在预付款完全扣回之前，承包人应保证预付款担保持续有效。</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发包人在工程款中逐期扣回预付款后，预付款担保额度应相应减少，但剩余的预付款担保金额不得低于未被扣回的预付款金额。</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14.3工程进度款</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14.3.1 工程进度付款申请</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（1）人工费的申请</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人工费应按月支付，工程师应在收到承包人人工费付款申请单以及相关资料后7天内完成审查并报送发包人，发包人应在收到后7天内完成审批并向承包人签发人工费支付证书，发包人应在人工费支付证书签发后7天内完成支付。已支付的人工费部分，发包人支付进度款时予以相应扣除。</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（2）除专用合同条件另有约定外，承包人应在每月月末向工程师提交进度付款申请单，该进度付款申请单应包括下列内容：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截至本次付款周期内已完成工作对应的金额；</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扣除依据本款第（1）目约定中已扣除的人工费金额；</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根据第13条[变更与调整]应增加和扣减的变更金额；</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 根据第14.2款[预付款]约定应支付的预付款和扣减的返还预付款；</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 根据第14.6.2项[质量保证金的预留]约定应预留的质量保证金金额；</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 根据第19条[索赔]应增加和扣减的索赔金额；</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 对已签发的进度款支付证书中出现错误的修正，应在本次进度付款中支付或扣除的金额；</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 根据合同约定应增加和扣减的其他金额。</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14.3.2 进度付款审核和支付</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工程师应在收到承包人进度付款申请单以及相关资料后7天内完成审查并报送发包人，发包人应在收到后7天内完成审批并向承包人签发进度款支付证书。发包人逾期（包括因工程师原因延误报送的时间）未完成审批且未提出异议的，视为已签发进度款支付证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工程师对承包人的进度付款申请单有异议的，有权要求承包人修正和提供补充资料，承包人应提交修正后的进度付款申请单。工程师应在收到承包人修正后的进度付款申请单及相关资料后7天内完成审查并报送发包人，发包人应在收到工程师报送的进度付款申请单及相关资料后7天内，向承包人签发无异议部分的进度款支付证书。存在争议的部分，按照第20条[争议解决]的约定处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除专用合同条件另有约定外，发包人应在进度款支付证书签发后14天内完成支付，发包人逾期支付进度款的，按照贷款市场报价利率（LPR）支付利息；逾期支付超过56天的，按照贷款市场报价利率（LPR）的两倍支付利息。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发包人签发进度款支付证书，不表明发包人已同意、批准或接受了承包人完成的相应部分的工作。</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14.3.3 进度付款的修正</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在对已签发的进度款支付证书进行阶段汇总和复核中发现错误、遗漏或重复的，发包人和承包人均有权提出修正申请。经发包人和承包人同意的修正，应在下期进度付款中支付或扣除。</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14.4付款计划表</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14.4.1付款计划表的编制要求</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除专用合同条件另有约定外，付款计划表按如下要求编制：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付款计划表中所列的每期付款金额，应为第14.3.1项[工程进度付款申请]每期进度款的估算金额；</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实际进度与项目进度计划不一致的，合同当事人可按照第3.6款[商定或确定]修改付款计划表；</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不采用付款计划表的，承包人应向工程师提交按季度编制的支付估算付款计划表，用于支付参考。</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14.4.2付款计划表的编制与审批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除专用合同条件另有约定外，承包人应根据第8.4款[项目进度计划]约定的项目进度计划、签约合同价和工程量等因素对总价合同进行分解，确定付款期数、计划每期达到的主要形象进度和（或）完成的主要计划工程量（含设计、采购、施工、竣工试验和竣工后试验等）等目标任务，编制付款计划表。其中人工费应按月确定付款期和付款计划。承包人应当在收到工程师和发包人批准的项目进度计划后7天内，将付款计划表及编制付款计划表的支持性资料报送工程师。</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工程师应在收到付款计划表后7天内完成审核并报送发包人。发包人应在收到经工程师审核的付款计划表后7天内完成审批，经发包人批准的付款计划表为有约束力的付款计划表。</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发包人逾期未完成付款计划表审批的，也未及时要求承包人进行修正和提供补充资料的，则承包人提交的付款计划表视为已经获得发包人批准。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14.5竣工结算</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14.5.1 竣工结算申请</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除专用合同条件另有约定外，承包人应在工程竣工验收合格后42天内向工程师提交竣工结算申请单，并提交完整的结算资料，有关竣工结算申请单的资料清单和份数等要求由合同当事人在专用合同条件中约定。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除专用合同条件另有约定外，竣工结算申请单应包括以下内容：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竣工结算合同价格；</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发包人已支付承包人的款项；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采用第14.6.1项[承包人提供质量保证金的方式]第（2）种方式提供质量保证金的，应当列明应预留的质量保证金金额；采用第14.6.1项[承包人提供质量保证金的方式]中其他方式提供质量保证金的，应当按第14.6款[质量保证金]提供相关文件作为附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 发包人应支付承包人的合同价款。</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14.5.2 竣工结算审核</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除专用合同条件另有约定外，工程师应在收到竣工结算申请单后14天内完成核查并报送发包人。发包人应在收到工程师提交的经审核的竣工结算申请单后14天内完成审批，并由工程师向承包人签发经发包人签认的竣工付款证书。工程师或发包人对竣工结算申请单有异议的，有权要求承包人进行修正和提供补充资料，承包人应提交修正后的竣工结算申请单。</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除专用合同条件另有约定外，发包人应在签发竣工付款证书后的14天内，完成对承包人的竣工付款。发包人逾期支付的，按照贷款市场报价利率（LPR）支付违约金；逾期支付超过56天的，按照贷款市场报价利率（LPR）的两倍支付违约金。</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承包人对发包人签认的竣工付款证书有异议的，对于有异议部分应在收到发包人签认的竣工付款证书后7天内提出异议，并由合同当事人按照专用合同条件约定的方式和程序进行复核，或按照第20条[争议解决]约定处理。对于无异议部分，发包人应签发临时竣工付款证书，并按本款第（2）项完成付款。承包人逾期未提出异议的，视为认可发包人的审批结果。</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14.5.3 扫尾工作清单</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经双方协商，部分工作在工程竣工验收后进行的，承包人应当编制扫尾工作清单，扫尾工作清单中应当列明承包人应当完成的扫尾工作的内容及完成时间。</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承包人完成扫尾工作清单中的内容应取得的费用包含在第14.5.1项[竣工结算申请]及第14.5.2项[竣工结算审核]中一并结算。</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扫尾工作的缺陷责任期按第11条[缺陷责任与保修]处理。承包人未能按照扫尾工作清单约定的完成时间完成扫尾工作的，视为承包人原因导致的工程质量缺陷按照第11.3款[缺陷调查]处理。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14.6质量保证金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经合同当事人协商一致提供质量保证金的，应在专用合同条件中予以明确。在工程项目竣工前，承包人已经提供履约担保的，发包人不得同时要求承包人提供质量保证金。</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14.6.1 承包人提供质量保证金的方式</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承包人提供质量保证金有以下三种方式：</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提交工程质量保证担保；</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预留相应比例的工程款；</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双方约定的其他方式。</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质量保证金原则上采用上述第（1）种方式，且承包人应在工程竣工验收合格后7天内，向发包人提交工程质量保证担保。承包人提交工程质量保证担保时，发包人应同时返还预留的作为质量保证金的工程价款（如有）。但不论承包人以何种方式提供质量保证金，累计金额均不得高于工程价款结算总额的3%。</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14.6.2 质量保证金的预留</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双方约定采用预留相应比例的工程款方式提供质量保证金的，质量保证金的预留有以下三种方式：</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按专用合同条件的约定在支付工程进度款时逐次预留，直至预留的质量保证金总额达到专用合同条件约定的金额或比例为止。在此情形下，质量保证金的计算基数不包括预付款的支付、扣回以及价格调整的金额；</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工程竣工结算时一次性预留质量保证金；</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双方约定的其他预留方式。</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质量保证金的预留原则上采用上述第（1）种方式。如承包人在发包人签发竣工付款证书后28天内提交工程质量保证担保，发包人应同时返还预留的作为质量保证金的工程价款。发包人在返还本条款项下的质量保证金的同时，按照中国人民银行同期同类存款基准利率支付利息。</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14.6.3 质量保证金的返还</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缺陷责任期内，承包人认真履行合同约定的责任，缺陷责任期满，发包人根据第11.6款[缺陷责任期终止证书]向承包人颁发缺陷责任期终止证书后，承包人可向发包人申请返还质量保证金。</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在接到承包人返还质量保证金申请后，应于7天内将质量保证金返还承包人，逾期未返还的，应承担违约责任。发包人在接到承包人返还质量保证金申请后7天内不予答复，视同认可承包人的返还质量保证金申请。</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发包人和承包人对质量保证金预留、返还以及工程维修质量、费用有争议的，按本合同第20条[争议解决]约定的争议和纠纷解决程序处理。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14.7最终结清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14.7.1最终结清申请单</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除专用合同条件另有约定外，承包人应在缺陷责任期终止证书颁发后7天内，按专用合同条件约定的份数向发包人提交最终结清申请单，并提供相关证明材料。</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除专用合同条件另有约定外，最终结清申请单应列明质量保证金、应扣除的质量保证金、缺陷责任期内发生的增减费用。</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发包人对最终结清申请单内容有异议的，有权要求承包人进行修正和提供补充资料，承包人应向发包人提交修正后的最终结清申请单。</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14.7.2 最终结清证书和支付</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除专用合同条件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除专用合同条件另有约定外，发包人应在颁发最终结清证书后7天内完成支付。发包人逾期支付的，按照贷款市场报价利率（LPR）支付利息；逾期支付超过56天的，按照贷款市场报价利率（LPR）的两倍支付利息。</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承包人对发包人颁发的最终结清证书有异议的，按第20条[争议解决]的约定办理。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第15条违约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15.1发包人违约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15.1.1发包人违约的情形</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除专用合同条件另有约定外，在合同履行过程中发生的下列情形，属于发包人违约：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（1） 因发包人原因导致开始工作日期延误的；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因发包人原因未能按合同约定支付合同价款的；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发包人违反第13.1.1项约定，自行实施被取消的工作或转由他人实施的；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 因发包人违反合同约定造成工程暂停施工的；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 工程师无正当理由没有在约定期限内发出复工指示，导致承包人无法复工的；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 发包人明确表示或者以其行为表明不履行合同主要义务的；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 发包人未能按照合同约定履行其他义务的。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15.1.2 通知改正</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发生除第15.1.1项第(6)目以外的违约情况时，承包人可向发包人发出通知，要求发包人采取有效措施纠正违约行为。发包人收到承包人通知后28天内仍不纠正违约行为的，承包人有权暂停相应部位工程实施，并通知工程师。</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15.1.3 发包人违约的责任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发包人应承担因其违约给承包人增加的费用和（或）延误的工期，并支付承包人合理的利润。此外，合同当事人可在专用合同条件中另行约定发包人违约责任的承担方式和计算方法。</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15.2承包人违约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15.2.1承包人违约的情形</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除专用合同条件另有约定外，在履行合同过程中发生的下列情况之一的，属于承包人违约：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承包人的原因导致的承包人文件、实施和竣工的工程不符合法律法规、工程质量验收标准以及合同约定；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承包人违反合同约定进行转包或违法分包的；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承包人违反约定采购和使用不合格材料或工程设备；</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 因承包人原因导致工程质量不符合合同要求的；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 承包人未经工程师批准，擅自将已按合同约定进入施工现场的施工设备、临时设施或材料撤离施工现场；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 承包人未能按项目进度计划及时完成合同约定的工作，造成工期延误；</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 由于承包人原因未能通过竣工试验或竣工后试验的；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 承包人在缺陷责任期及保修期内，未能在合理期限对工程缺陷进行修复，或拒绝按发包人指示进行修复的；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（9） 承包人明确表示或者以其行为表明不履行合同主要义务的；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（10） 承包人未能按照合同约定履行其他义务的。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15.2.2 通知改正</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承包人发生除第15.2.1项第(7)目、第(9)目约定以外的其他违约情况时，工程师可在专用合同条件约定的合理期限内向承包人发出整改通知，要求其在指定的期限内改正。</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15.2.3 承包人违约的责任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承包人应承担因其违约行为而增加的费用和（或）延误的工期。此外，合同当事人可在专用合同条件中另行约定承包人违约责任的承担方式和计算方法。15.3第三人造成的违约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在履行合同过程中，一方当事人因第三人的原因造成违约的，应当向对方当事人承担违约责任。一方当事人和第三人之间的纠纷，依照法律规定或者按照约定解决。</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第16条合同解除</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16.1由发包人解除合同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16.1.1因承包人违约解除合同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发包人有权基于下列原因，以书面形式通知承包人解除合同，解除通知中应注明是根据第16.1.1项发出的，发包人应在发出正式解除合同通知14天前告知承包人其解除合同意向，除非承包人在收到该解除合同意向通知后14天内采取了补救措施，否则发包人可向承包人发出正式解除合同通知立即解除合同。解除日期应为承包人收到正式解除合同通知的日期，但在第(5)目的情况下，发包人无须提前告知承包人其解除合同意向，可直接发出正式解除合同通知立即解除合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承包人未能遵守第4.2款[履约担保]的约定；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承包人未能遵守第4.5款[分包]有关分包和转包的约定；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承包人实际进度明显落后于进度计划，并且未按发包人的指令采取措施并修正进度计划；</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 工程质量有严重缺陷，承包人无正当理由使修复开始日期拖延达28天以上；</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 承包人破产、停业清理或进入清算程序，或情况表明承包人将进入破产和（或）清算程序，已有对其财产的接管令或管理令，与债权人达成和解，或为其债权人的利益在财产接管人、受托人或管理人的监督下营业，或采取了任何行动或发生任何事件（根据有关适用法律）具有与前述行动或事件相似的效果；</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 承包人明确表示或以自己的行为表明不履行合同、或经发包人以书面形式通知其履约后仍未能依约履行合同、或以不适当的方式履行合同；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 未能通过的竣工试验、未能通过的竣工后试验，使工程的任何部分和（或）整个工程丧失了主要使用功能、生产功能；</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 因承包人的原因暂停工作超过56天且暂停影响到整个工程，或因承包人的原因暂停工作超过182天；</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（9） 承包人未能遵守第8.2款[竣工日期]规定，延误超过182天；</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（10） 工程师根据第15.2.2项[通知改正]发出整改通知后，承包人在指定的合理期限内仍不纠正违约行为并致使合同目的不能实现的。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16.1.2 因承包人违约解除合同后承包人的义务</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合同解除后，承包人应按以下约定执行：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除了为保护生命、财产或工程安全、清理和必须执行的工作外，停止执行所有被通知解除的工作，并将相关人员撤离现场；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经发包人批准，承包人应将与被解除合同相关的和正在执行的分包合同及相关的责任和义务转让至发包人和（或）发包人指定方的名下，包括永久性工程及工程物资，以及相关工作；</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移交已完成的永久性工程及负责已运抵现场的工程物资。在移交前，妥善做好己完工程和已运抵现场的工程物资的保管、维护和保养；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 将发包人提供的所有信息及承包人为本工程编制的设计文件、技术资料及其它文件移交给发包人。在承包人留有的资料文件中，销毁与发包人提供的所有信息相关的数据及资料的备份；</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 移交相应实施阶段已经付款的并已完成的和尚待完成的设计文件、图纸、资料、操作维修手册、施工组织设计、质检资料、竣工资料等；</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16.1.3 因承包人违约解除合同后的估价、付款和结算</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因承包人原因导致合同解除的，则合同当事人应在合同解除后28天内完成估价、付款和清算，并按以下约定执行：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合同解除后，按第3.6款[商定或确定]商定或确定承包人实际完成工作对应的合同价款，以及承包人已提供的材料、工程设备、施工设备和临时工程等的价值；</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合同解除后，承包人应支付的违约金；</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合同解除后，因解除合同给发包人造成的损失；</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 合同解除后，承包人应按照发包人的指示完成现场的清理和撤离；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 发包人和承包人应在合同解除后进行清算，出具最终结清付款证书，结清全部款项。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因承包人违约解除合同的，发包人有权暂停对承包人的付款，查清各项付款和已扣款项，发包人和承包人未能就合同解除后的清算和款项支付达成一致的，按照第20条[争议解决]的约定处理。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16.1.4 因承包人违约解除合同的合同权益转让</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合同解除后，发包人可以继续完成工程，和（或）安排第三人完成。发包人有权要求承包人将其为实施合同而订立的材料和设备的订货合同或任何服务合同利益转让给发包人，并在承包人收到解除合同通知后的14天内，依法办理转让手续。发包人和（或）第三人有权使用承包人在施工现场的材料、设备、临时工程、承包人文件和由承包人或以其名义编制的其他文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16.2由承包人解除合同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16.2.1 因发包人违约解除合同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承包人有权基于下列原因，以书面形式通知发包人解除合同，解除通知中应注明是根据第16.2.1项发出的，承包人应在发出正式解除合同通知14天前告知发包人其解除合同意向，除非发包人在收到该解除合同意向通知后14天内采取了补救措施，否则承包人可向发包人发出正式解除合同通知立即解除合同。解除日期应为发包人收到正式解除合同通知的日期，但在第(5)目的情况下，承包人无须提前告知发包人其解除合同意向，可直接发出正式解除合同通知立即解除合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承包人就发包人未能遵守第2.5.2项关于发包人的资金安排发出通知后42天内，仍未收到合理的证明；</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（2） 在第14条规定的付款时间到期后42天内，承包人仍未收到应付款项；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发包人实质上未能根据合同约定履行其义务，构成根本性违约；</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 发承包双方订立本合同协议书后的84天内，承包人未收到根据第8.1款[开始工作]的开始工作通知；</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 发包人破产、停业清理或进入清算程序，或情况表明发包人将进入破产和（或）清算程序或发包人资信严重恶化，已有对其财产的接管令或管理令，与债权人达成和解，或为其债权人的利益在财产接管人、受托人或管理人的监督下营业，或采取了任何行动或发生任何事件（根据有关适用法律）具有与前述行动或事件相似的效果；</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 发包人未能遵守第2.5.3项的约定提交支付担保；</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 发包人未能执行第15.1.2项[通知改正]的约定，致使合同目的不能实现的；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 因发包人的原因暂停工作超过56天且暂停影响到整个工程，或因发包人的原因暂停工作超过182天的；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（9） 因发包人原因造成开始工作日期迟于承包人收到中标通知书（或在无中标通知书的情况下，订立本合同之日）后第84天的。</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接到承包人解除合同意向通知后14天内，发包人随后给予了付款，或同意复工、或继续履行其义务、或提供了支付担保等，承包人应尽快安排并恢复正常工作；因此造成工期延误的，竣工日期顺延；承包人因此增加的费用，由发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16.2.2 因发包人违约解除合同后承包人的义务</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合同解除后，承包人应按以下约定执行：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除为保护生命、财产、工程安全的工作外，停止所有进一步的工作；承包人因执行该保护工作而产生费用的，由发包人承担；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向发包人移交承包人已获得支付的承包人文件、生产设备、材料和其他工作；</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从现场运走除为了安全需要以外的所有属于承包人的其他货物，并撤离现场。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16.2.3 因发包人违约解除合同后的付款</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承包人按照本款约定解除合同的，发包人应在解除合同后28天内支付下列款项，并退还履约担保：</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合同解除前所完成工作的价款；</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承包人为工程施工订购并已付款的材料、工程设备和其他物品的价款；发包人付款后，该材料、工程设备和其他物品归发包人所有；</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承包人为完成工程所发生的，而发包人未支付的金额；</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 承包人撤离施工现场以及遣散承包人人员的款项；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 按照合同约定在合同解除前应支付的违约金；</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 按照合同约定应当支付给承包人的其他款项；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 按照合同约定应返还的质量保证金；</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（8） 因解除合同给承包人造成的损失。</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承包人应妥善做好已完工程和与工程有关的已购材料、工程设备的保护和移交工作，并将施工设备和人员撤出施工现场，发包人应为承包人撤出提供必要条件。</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16.3合同解除后的事项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16.3.1 结算约定依然有效</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合同解除后，由发包人或由承包人解除合同的结算及结算后的付款约定仍然有效，直至解除合同的结算工作结清。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16.3.2 解除合同的争议</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双方对解除合同或解除合同后的结算有争议的，按照第20条[争议解决]的约定处理。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第17条不可抗力</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17.1不可抗力的定义</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不可抗力是指合同当事人在订立合同时不可预见，在合同履行过程中不可避免、不能克服且不能提前防备的自然灾害和社会性突发事件，如地震、海啸、瘟疫、骚乱、戒严、暴动、战争和专用合同条件中约定的其他情形。</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17.2不可抗力的通知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合同一方当事人觉察或发现不可抗力事件发生，使其履行合同义务受到阻碍时，有义务立即通知合同另一方当事人和工程师，书面说明不可抗力和受阻碍的详细情况，并提供必要的证明。</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不可抗力持续发生的，合同一方当事人应每隔28天向合同另一方当事人和工程师提交中间报告，说明不可抗力和履行合同受阻的情况，并于不可抗力事件结束后28天内提交最终报告及有关资料。</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17.3将延误减至最小的义务</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不可抗力发生后，合同当事人均应采取措施尽量避免和减少损失的扩大，使不可抗力对履行合同造成的损失减至最小。另一方全力协助并采取措施，需暂停实施的工作，立即停止。任何一方当事人没有采取有效措施导致损失扩大的，应对扩大的损失承担责任。</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17.4不可抗力后果的承担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不可抗力导致的人员伤亡、财产损失、费用增加和（或）工期延误等后果，由合同当事人按以下原则承担：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永久工程，包括已运至施工现场的材料和工程设备的损害，以及因工程损害造成的第三人人员伤亡和财产损失由发包人承担；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承包人提供的施工设备的损坏由承包人承担；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发包人和承包人各自承担其人员伤亡及其他财产损失；</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 因不可抗力影响承包人履行合同约定的义务，已经引起或将引起工期延误的，应当顺延工期，由此导致承包人停工的费用损失由发包人和承包人合理分担，停工期间必须支付的现场必要的工人工资由发包人承担；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 因不可抗力引起或将引起工期延误，发包人指示赶工的，由此增加的赶工费用由发包人承担；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 承包人在停工期间按照工程师或发包人要求照管、清理和修复工程的费用由发包人承担。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不可抗力引起的后果及造成的损失由合同当事人按照法律规定及合同约定各自承担。不可抗力发生前已完成的工程应当按照合同约定进行支付。</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17.5 不可抗力影响分包人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分包人根据分包合同的约定，有权获得更多或者更广的不可抗力而免除某些义务时，承包人不得以分包合同中不可抗力约定向发包人抗辩免除其义务。</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17.6 因不可抗力解除合同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因单次不可抗力导致合同无法履行连续超过84天或累计超过140天的，发包人和承包人均有权解除合同。合同解除后，承包人应按照第10.5款[竣工退场]的规定进行。由双方当事人按照第3.6款[商定或确定]商定或确定发包人应支付的款项，该款项包括：</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合同解除前承包人已完成工作的价款；</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承包人为工程订购的并已交付给承包人，或承包人有责任接受交付的材料、工程设备和其他物品的价款；当发包人支付上述费用后，此项材料、工程设备与其他物品应成为发包人的财产，承包人应将其交由发包人处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发包人指示承包人退货或解除订货合同而产生的费用，或因不能退货或解除合同而产生的损失；</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 承包人撤离施工现场以及遣散承包人人员的费用；</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 按照合同约定在合同解除前应支付给承包人的其他款项；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（6） 扣减承包人按照合同约定应向发包人支付的款项；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（7） 双方商定或确定的其他款项。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除专用合同条件另有约定外，合同解除后，发包人应当在商定或确定上述款项后28天内完成上述款项的支付。</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第18条 保险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18.1 设计和工程保险</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18.1.1 双方应按照专用合同条件的约定向双方同意的保险人投保建设工程设计责任险、建筑安装工程一切险等保险。具体的投保险种、保险范围、保险金额、保险费率、保险期限等有关内容应当在专用合同条件中明确约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18.1.2 双方应按照专用合同条件的约定投保第三者责任险，并在缺陷责任期终止证书颁发前维持其持续有效。第三者责任险最低投保额应在专用合同条件内约定。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18.2 工伤和意外伤害保险</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18.2.1 发包人应依照法律规定为其在施工现场的雇用人员办理工伤保险，缴纳工伤保险费；并要求工程师及由发包人为履行合同聘请的第三方在施工现场的雇用人员依法办理工伤保险。</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18.2.2 承包人应依照法律规定为其履行合同雇用的全部人员办理工伤保险，缴纳工伤保险费，并要求分包人及由承包人为履行合同聘请的第三方雇用的全部人员依法办理工伤保险。</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18.2.3 发包人和承包人可以为其施工现场的全部人员办理意外伤害保险并支付保险费，包括其员工及为履行合同聘请的第三方的人员，具体事项由合同当事人在专用合同条件约定。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18.3 货物保险</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承包人应按照专用合同条件的约定为运抵现场的施工设备、材料、工程设备和临时工程等办理财产保险，保险期限自上述货物运抵现场至其不再为工程所需要为止。</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18.4 其他保险</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发包人应按照工程总承包模式所适用的法律法规和专用合同条件约定，投保其他保险并保持保险有效，其投保费用发包人自行承担。承包人应按照工程总承包模式所适用法律法规和专用合同条件约定投保相应保险并保持保险有效，其投保费用包含在合同价格中，但在合同执行过程中，新颁布适用的法律法规规定由承包人投保的强制保险，应根据本合同第13条[变更与调整]的约定增加合同价款。</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18.5 对各项保险的一般要求</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18.5.1 持续保险</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合同当事人应与保险人保持联系，使保险人能够随时了解工程实施中的变动，并确保按保险合同条款要求持续保险。</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18.5.2 保险凭证</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合同当事人应及时向另一方当事人提交其已投保的各项保险的凭证和保险单复印件，保险单必须与专用合同条件约定的条件保持一致。</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18.5.3 未按约定投保的补救</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负有投保义务的一方当事人未按合同约定办理保险，或未能使保险持续有效的，则另一方当事人可代为办理，所需费用由负有投保义务的一方当事人承担。</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负有投保义务的一方当事人未按合同约定办理某项保险，导致受益人未能得到足额赔偿的，由负有投保义务的一方当事人负责按照原应从该项保险得到的保险金数额进行补足。</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18.5.4 通知义务</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除专用合同条件另有约定外，任何一方当事人变更除工伤保险之外的保险合同时，应事先征得另一方当事人同意，并通知工程师。</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保险事故发生时，投保人应按照保险合同规定的条件和期限及时向保险人报告。发包人和承包人应当在知道保险事故发生后及时通知对方。</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双方按本条规定投保不减少双方在合同下的其他义务。</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第19条 索赔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19.1 索赔的提出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根据合同约定，任意一方认为有权得到追加/减少付款、延长缺陷责任期和（或）延长工期的，应按以下程序向对方提出索赔：</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索赔方应在知道或应当知道索赔事件发生后28天内，向对方递交索赔意向通知书，并说明发生索赔事件的事由；索赔方未在前述28天内发出索赔意向通知书的，丧失要求追加/减少付款、延长缺陷责任期和（或）延长工期的权利；</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索赔方应在发出索赔意向通知书后28天内，向对方正式递交索赔报告；索赔报告应详细说明索赔理由以及要求追加的付款金额、延长缺陷责任期和（或）延长的工期，并附必要的记录和证明材料；</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索赔事件具有持续影响的，索赔方应每月递交延续索赔通知，说明持续影响的实际情况和记录，列出累计的追加付款金额、延长缺陷责任期和（或）工期延长天数；</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（4） 在索赔事件影响结束后28天内，索赔方应向对方递交最终索赔报告，说明最终要求索赔的追加付款金额、延长缺陷责任期和（或）延长的工期，并附必要的记录和证明材料。</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（5） 承包人作为索赔方时，其索赔意向通知书、索赔报告及相关索赔文件应向工程师提出；发包人作为索赔方时，其索赔意向通知书、索赔报告及相关索赔文件可自行向承包人提出或由工程师向承包人提出。</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19.2 承包人索赔的处理程序</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工程师收到承包人提交的索赔报告后，应及时审查索赔报告的内容、查验承包人的记录和证明材料，必要时工程师可要求承包人提交全部原始记录副本。</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工程师应按第3.6款[商定或确定]商定或确定追加的付款和（或）延长的工期，并在收到上述索赔报告或有关索赔的进一步证明材料后及时书面告知发包人，并在42天内，将发包人书面认可的索赔处理结果答复承包人。工程师在收到索赔报告或有关索赔的进一步证明材料后的42天内不予答复的，视为认可索赔。</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承包人接受索赔处理结果的，发包人应在作出索赔处理结果答复后28天内完成支付。承包人不接受索赔处理结果的，按照第20条[争议解决]约定处理。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19.3 发包人索赔的处理程序</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承包人收到发包人提交的索赔报告后，应及时审查索赔报告的内容、查验发包人证明材料；</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承包人应在收到上述索赔报告或有关索赔的进一步证明材料后42天内，将索赔处理结果答复发包人。承包人在收到索赔通知书或有关索赔的进一步证明材料后的42天内不予答复的，视为认可索赔。</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（3） 发包人接受索赔处理结果的，发包人可从应支付给承包人的合同价款中扣除赔付的金额或延长缺陷责任期；发包人不接受索赔处理结果的，按第20条[争议解决]约定处理。</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19.4 提出索赔的期限</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承包人按第14.5款[竣工结算]约定接收竣工付款证书后，应被认为已无权再提出在合同工程接收证书颁发前所发生的任何索赔。</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承包人按第14.7款[最终结清]提交的最终结清申请单中，只限于提出工程接收证书颁发后发生的索赔。提出索赔的期限均自接受最终结清证书时终止。</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第20条 争议解决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20.1 和解</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合同当事人可以就争议自行和解，自行和解达成协议的经双方签字并盖章后作为合同补充文件，双方均应遵照执行。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 xml:space="preserve">20.2 调解 </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合同当事人可以就争议请求建设行政主管部门、行业协会或其他第三方进行调解，调解达成协议的，经双方签字盖章后作为合同补充文件，双方均应遵照执行。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20.3 争议评审</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合同当事人在专用合同条件中约定采取争议评审方式及评审规则解决争议的，按下列约定执行：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20.3.1 争议评审小组的确定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合同当事人可以共同选择一名或三名争议评审员，组成争议评审小组。如专用合同条件未对成员人数进行约定，则应由三名成员组成。除专用合同条件另有约定外，合同当事人应当自合同订立后28天内，或者争议发生后14天内，选定争议评审员。</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选择一名争议评审员的，由合同当事人共同确定；选择三名争议评审员的，各自选定一名，第三名成员由合同当事人共同确定或由合同当事人委托已选定的争议评审员共同确定，为首席争议评审员。争议评审员为一人且合同当事人未能达成一致的，或争议评审员为三人且合同当事人就首席争议评审员未能达成一致的，由专用合同条件约定的评审机构指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除专用合同条件另有约定外，争议评审员报酬由发包人和承包人各承担一半。</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20.3.2 争议的避免</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合同当事人协商一致，可以共同书面请求争议评审小组，就合同履行过程中可能出现争议的情况提供协助或进行非正式讨论，争议评审小组应给出公正的意见或建议。</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此类协助或非正式讨论可在任何会议、施工现场视察或其他场合进行，并且除专用合同条件另有约定外，发包人和承包人均应出席。</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争议评审小组在此类非正式讨论上给出的任何意见或建议，无论是口头还是书面的，对发包人和承包人不具有约束力，争议评审小组在之后的争议评审程序或决定中也不受此类意见或建议的约束。</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20.3.3 争议评审小组的决定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或争议评审小组建议并经双方同意的其他期限内作出书面决定，并说明理由。合同当事人可以在专用合同条件中对本项事项另行约定。</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20.3.4 争议评审小组决定的效力</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争议评审小组作出的书面决定经合同当事人签字确认后，对双方具有约束力，双方应遵照执行。</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任何一方当事人不接受争议评审小组决定或不履行争议评审小组决定的，双方可选择采用其他争议解决方式。</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任何一方当事人不接受争议评审小组的决定，并不影响暂时执行争议评审小组的决定，直到在后续的采用其他争议解决方式中对争议评审小组的决定进行了改变。</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20.4 仲裁或诉讼</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因合同及合同有关事项产生的争议，合同当事人可以在专用合同条件中约定以下一种方式解决争议：</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（1） 向约定的仲裁委员会申请仲裁；</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 向有管辖权的人民法院起诉。</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20.5 争议解决条款效力</w:t>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合同有关争议解决的条款独立存在，合同的不生效、无效、被撤销或者终止的，不影响合同中有关争议解决条款的效力。</w:t>
      </w:r>
    </w:p>
    <w:p>
      <w:pPr>
        <w:pStyle w:val="88"/>
        <w:spacing w:line="440" w:lineRule="exact"/>
        <w:ind w:right="-42" w:rightChars="-20" w:firstLine="648" w:firstLineChars="270"/>
        <w:jc w:val="center"/>
        <w:rPr>
          <w:rFonts w:ascii="仿宋" w:hAnsi="仿宋" w:eastAsia="仿宋" w:cs="仿宋"/>
          <w:color w:val="auto"/>
          <w:sz w:val="21"/>
          <w:szCs w:val="16"/>
          <w:highlight w:val="none"/>
        </w:rPr>
      </w:pPr>
      <w:r>
        <w:rPr>
          <w:rFonts w:hint="eastAsia" w:ascii="仿宋" w:hAnsi="仿宋" w:eastAsia="仿宋" w:cs="仿宋"/>
          <w:color w:val="auto"/>
          <w:highlight w:val="none"/>
        </w:rPr>
        <w:br w:type="page"/>
      </w:r>
    </w:p>
    <w:p>
      <w:pPr>
        <w:pStyle w:val="183"/>
        <w:keepNext w:val="0"/>
        <w:keepLines w:val="0"/>
        <w:widowControl/>
        <w:adjustRightInd w:val="0"/>
        <w:snapToGrid w:val="0"/>
        <w:spacing w:before="0" w:after="50" w:line="360" w:lineRule="auto"/>
        <w:ind w:right="-512" w:rightChars="-244"/>
        <w:jc w:val="center"/>
        <w:outlineLvl w:val="1"/>
        <w:rPr>
          <w:rFonts w:ascii="仿宋" w:hAnsi="仿宋" w:eastAsia="仿宋" w:cs="仿宋"/>
          <w:color w:val="auto"/>
          <w:highlight w:val="none"/>
        </w:rPr>
      </w:pPr>
      <w:bookmarkStart w:id="387" w:name="_Toc9913_WPSOffice_Level2"/>
      <w:bookmarkStart w:id="388" w:name="_Toc20171873"/>
      <w:bookmarkStart w:id="389" w:name="_Toc929"/>
      <w:r>
        <w:rPr>
          <w:rFonts w:hint="eastAsia" w:ascii="仿宋" w:hAnsi="仿宋" w:eastAsia="仿宋" w:cs="仿宋"/>
          <w:color w:val="auto"/>
          <w:highlight w:val="none"/>
        </w:rPr>
        <w:t>第三部分 专用合同条件</w:t>
      </w:r>
      <w:bookmarkEnd w:id="387"/>
      <w:bookmarkEnd w:id="388"/>
      <w:bookmarkEnd w:id="389"/>
    </w:p>
    <w:p>
      <w:pPr>
        <w:pStyle w:val="196"/>
        <w:spacing w:after="120"/>
        <w:ind w:right="-512" w:rightChars="-244"/>
        <w:rPr>
          <w:rFonts w:ascii="仿宋" w:hAnsi="仿宋" w:eastAsia="仿宋" w:cs="仿宋"/>
          <w:b w:val="0"/>
          <w:color w:val="auto"/>
          <w:sz w:val="24"/>
          <w:szCs w:val="18"/>
          <w:highlight w:val="none"/>
        </w:rPr>
      </w:pPr>
      <w:bookmarkStart w:id="390" w:name="_Toc18036"/>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REF _Ref508893699 \r \h  \* MERGEFORMAT </w:instrText>
      </w:r>
      <w:r>
        <w:rPr>
          <w:rFonts w:hint="eastAsia" w:ascii="仿宋" w:hAnsi="仿宋" w:eastAsia="仿宋" w:cs="仿宋"/>
          <w:color w:val="auto"/>
          <w:sz w:val="22"/>
          <w:szCs w:val="16"/>
          <w:highlight w:val="none"/>
        </w:rPr>
        <w:fldChar w:fldCharType="separate"/>
      </w:r>
      <w:bookmarkStart w:id="391" w:name="_Toc28800_WPSOffice_Level3"/>
      <w:bookmarkStart w:id="392" w:name="_Toc20171874"/>
      <w:r>
        <w:rPr>
          <w:rFonts w:hint="eastAsia" w:ascii="仿宋" w:hAnsi="仿宋" w:eastAsia="仿宋" w:cs="仿宋"/>
          <w:b w:val="0"/>
          <w:color w:val="auto"/>
          <w:sz w:val="24"/>
          <w:szCs w:val="18"/>
          <w:highlight w:val="none"/>
        </w:rPr>
        <w:t>第1条</w:t>
      </w:r>
      <w:r>
        <w:rPr>
          <w:rFonts w:hint="eastAsia" w:ascii="仿宋" w:hAnsi="仿宋" w:eastAsia="仿宋" w:cs="仿宋"/>
          <w:b w:val="0"/>
          <w:color w:val="auto"/>
          <w:sz w:val="24"/>
          <w:szCs w:val="18"/>
          <w:highlight w:val="none"/>
        </w:rPr>
        <w:fldChar w:fldCharType="end"/>
      </w:r>
      <w:r>
        <w:rPr>
          <w:rFonts w:hint="eastAsia" w:ascii="仿宋" w:hAnsi="仿宋" w:eastAsia="仿宋" w:cs="仿宋"/>
          <w:b w:val="0"/>
          <w:color w:val="auto"/>
          <w:sz w:val="24"/>
          <w:szCs w:val="18"/>
          <w:highlight w:val="none"/>
        </w:rPr>
        <w:t xml:space="preserve"> </w:t>
      </w:r>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w:instrText>
      </w:r>
      <w:bookmarkEnd w:id="391"/>
      <w:r>
        <w:rPr>
          <w:rFonts w:hint="eastAsia" w:ascii="仿宋" w:hAnsi="仿宋" w:eastAsia="仿宋" w:cs="仿宋"/>
          <w:color w:val="auto"/>
          <w:sz w:val="22"/>
          <w:szCs w:val="16"/>
          <w:highlight w:val="none"/>
        </w:rPr>
        <w:instrText xml:space="preserve">EF _Ref508893699 \h  \* MERGEFORMAT </w:instrText>
      </w:r>
      <w:r>
        <w:rPr>
          <w:rFonts w:hint="eastAsia" w:ascii="仿宋" w:hAnsi="仿宋" w:eastAsia="仿宋" w:cs="仿宋"/>
          <w:color w:val="auto"/>
          <w:sz w:val="22"/>
          <w:szCs w:val="16"/>
          <w:highlight w:val="none"/>
        </w:rPr>
        <w:fldChar w:fldCharType="separate"/>
      </w:r>
      <w:bookmarkStart w:id="393" w:name="_Toc521267453"/>
      <w:r>
        <w:rPr>
          <w:rFonts w:hint="eastAsia" w:ascii="仿宋" w:hAnsi="仿宋" w:eastAsia="仿宋" w:cs="仿宋"/>
          <w:b w:val="0"/>
          <w:color w:val="auto"/>
          <w:sz w:val="24"/>
          <w:szCs w:val="18"/>
          <w:highlight w:val="none"/>
        </w:rPr>
        <w:t>一般约定</w:t>
      </w:r>
      <w:bookmarkEnd w:id="392"/>
      <w:bookmarkEnd w:id="393"/>
      <w:r>
        <w:rPr>
          <w:rFonts w:hint="eastAsia" w:ascii="仿宋" w:hAnsi="仿宋" w:eastAsia="仿宋" w:cs="仿宋"/>
          <w:b w:val="0"/>
          <w:color w:val="auto"/>
          <w:sz w:val="24"/>
          <w:szCs w:val="18"/>
          <w:highlight w:val="none"/>
        </w:rPr>
        <w:fldChar w:fldCharType="end"/>
      </w:r>
      <w:bookmarkEnd w:id="390"/>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_Ref523741471 \r \h  \* MERGEFORMAT </w:instrText>
      </w:r>
      <w:r>
        <w:rPr>
          <w:color w:val="auto"/>
          <w:highlight w:val="none"/>
        </w:rPr>
        <w:fldChar w:fldCharType="separate"/>
      </w:r>
      <w:bookmarkStart w:id="394" w:name="_Toc20245_WPSOffice_Level3"/>
      <w:r>
        <w:rPr>
          <w:rFonts w:hint="eastAsia" w:ascii="仿宋" w:hAnsi="仿宋" w:eastAsia="仿宋" w:cs="仿宋"/>
          <w:color w:val="auto"/>
          <w:sz w:val="24"/>
          <w:szCs w:val="24"/>
          <w:highlight w:val="none"/>
        </w:rPr>
        <w:t>1.1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w:instrText>
      </w:r>
      <w:bookmarkEnd w:id="394"/>
      <w:r>
        <w:rPr>
          <w:rFonts w:hint="eastAsia" w:ascii="仿宋" w:hAnsi="仿宋" w:eastAsia="仿宋" w:cs="仿宋"/>
          <w:color w:val="auto"/>
          <w:szCs w:val="16"/>
          <w:highlight w:val="none"/>
        </w:rPr>
        <w:instrText xml:space="preserve">_Ref523741474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词语定义和解释</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_Ref4757289 \r \h  \* MERGEFORMAT </w:instrText>
      </w:r>
      <w:r>
        <w:rPr>
          <w:color w:val="auto"/>
          <w:highlight w:val="none"/>
        </w:rPr>
        <w:fldChar w:fldCharType="separate"/>
      </w:r>
      <w:r>
        <w:rPr>
          <w:rFonts w:hint="eastAsia" w:ascii="仿宋" w:hAnsi="仿宋" w:eastAsia="仿宋" w:cs="仿宋"/>
          <w:color w:val="auto"/>
          <w:sz w:val="24"/>
          <w:szCs w:val="24"/>
          <w:highlight w:val="none"/>
        </w:rPr>
        <w:t>1.1.1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_Ref4757289 \h  \* MERGEFORMAT </w:instrText>
      </w:r>
      <w:r>
        <w:rPr>
          <w:color w:val="auto"/>
          <w:highlight w:val="none"/>
        </w:rPr>
        <w:fldChar w:fldCharType="separate"/>
      </w:r>
      <w:r>
        <w:rPr>
          <w:rFonts w:hint="eastAsia" w:ascii="仿宋" w:hAnsi="仿宋" w:eastAsia="仿宋" w:cs="仿宋"/>
          <w:color w:val="auto"/>
          <w:sz w:val="24"/>
          <w:szCs w:val="24"/>
          <w:highlight w:val="none"/>
        </w:rPr>
        <w:t>合同</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_Ref4415300 \r \h  \* MERGEFORMAT </w:instrText>
      </w:r>
      <w:r>
        <w:rPr>
          <w:color w:val="auto"/>
          <w:highlight w:val="none"/>
        </w:rPr>
        <w:fldChar w:fldCharType="separate"/>
      </w:r>
      <w:r>
        <w:rPr>
          <w:rFonts w:hint="eastAsia" w:ascii="仿宋" w:hAnsi="仿宋" w:eastAsia="仿宋" w:cs="仿宋"/>
          <w:color w:val="auto"/>
          <w:sz w:val="24"/>
          <w:szCs w:val="24"/>
          <w:highlight w:val="none"/>
        </w:rPr>
        <w:t>1.1.1.10</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其他合同文件：</w:t>
      </w:r>
      <w:r>
        <w:rPr>
          <w:rFonts w:hint="eastAsia" w:ascii="仿宋" w:hAnsi="仿宋" w:eastAsia="仿宋" w:cs="仿宋"/>
          <w:color w:val="auto"/>
          <w:sz w:val="24"/>
          <w:szCs w:val="24"/>
          <w:highlight w:val="none"/>
          <w:u w:val="single"/>
        </w:rPr>
        <w:t xml:space="preserve">  竞争性磋商文件、招标答疑等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_Ref4757418 \r \h  \* MERGEFORMAT </w:instrText>
      </w:r>
      <w:r>
        <w:rPr>
          <w:color w:val="auto"/>
          <w:highlight w:val="none"/>
        </w:rPr>
        <w:fldChar w:fldCharType="separate"/>
      </w:r>
      <w:r>
        <w:rPr>
          <w:rFonts w:hint="eastAsia" w:ascii="仿宋" w:hAnsi="仿宋" w:eastAsia="仿宋" w:cs="仿宋"/>
          <w:color w:val="auto"/>
          <w:sz w:val="24"/>
          <w:szCs w:val="24"/>
          <w:highlight w:val="none"/>
        </w:rPr>
        <w:t>1.1.2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_Ref4757418 \h  \* MERGEFORMAT </w:instrText>
      </w:r>
      <w:r>
        <w:rPr>
          <w:color w:val="auto"/>
          <w:highlight w:val="none"/>
        </w:rPr>
        <w:fldChar w:fldCharType="separate"/>
      </w:r>
      <w:r>
        <w:rPr>
          <w:rFonts w:hint="eastAsia" w:ascii="仿宋" w:hAnsi="仿宋" w:eastAsia="仿宋" w:cs="仿宋"/>
          <w:color w:val="auto"/>
          <w:sz w:val="24"/>
          <w:szCs w:val="24"/>
          <w:highlight w:val="none"/>
        </w:rPr>
        <w:t>合同当事人及其他相关方</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_Ref4756982 \r \h  \* MERGEFORMAT </w:instrText>
      </w:r>
      <w:r>
        <w:rPr>
          <w:color w:val="auto"/>
          <w:highlight w:val="none"/>
        </w:rPr>
        <w:fldChar w:fldCharType="separate"/>
      </w:r>
      <w:r>
        <w:rPr>
          <w:rFonts w:hint="eastAsia" w:ascii="仿宋" w:hAnsi="仿宋" w:eastAsia="仿宋" w:cs="仿宋"/>
          <w:color w:val="auto"/>
          <w:sz w:val="24"/>
          <w:szCs w:val="24"/>
          <w:highlight w:val="none"/>
        </w:rPr>
        <w:t>1.1.2.6</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其他相关方：</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_Ref4758319 \r \h  \* MERGEFORMAT </w:instrText>
      </w:r>
      <w:r>
        <w:rPr>
          <w:color w:val="auto"/>
          <w:highlight w:val="none"/>
        </w:rPr>
        <w:fldChar w:fldCharType="separate"/>
      </w:r>
      <w:r>
        <w:rPr>
          <w:rFonts w:hint="eastAsia" w:ascii="仿宋" w:hAnsi="仿宋" w:eastAsia="仿宋" w:cs="仿宋"/>
          <w:color w:val="auto"/>
          <w:sz w:val="24"/>
          <w:szCs w:val="24"/>
          <w:highlight w:val="none"/>
        </w:rPr>
        <w:t>1.1.3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_Ref4758319 \h  \* MERGEFORMAT </w:instrText>
      </w:r>
      <w:r>
        <w:rPr>
          <w:color w:val="auto"/>
          <w:highlight w:val="none"/>
        </w:rPr>
        <w:fldChar w:fldCharType="separate"/>
      </w:r>
      <w:r>
        <w:rPr>
          <w:rFonts w:hint="eastAsia" w:ascii="仿宋" w:hAnsi="仿宋" w:eastAsia="仿宋" w:cs="仿宋"/>
          <w:color w:val="auto"/>
          <w:sz w:val="24"/>
          <w:szCs w:val="24"/>
          <w:highlight w:val="none"/>
        </w:rPr>
        <w:t>工程和设备</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_Ref4419825 \r \h  \* MERGEFORMAT </w:instrText>
      </w:r>
      <w:r>
        <w:rPr>
          <w:color w:val="auto"/>
          <w:highlight w:val="none"/>
        </w:rPr>
        <w:fldChar w:fldCharType="separate"/>
      </w:r>
      <w:r>
        <w:rPr>
          <w:rFonts w:hint="eastAsia" w:ascii="仿宋" w:hAnsi="仿宋" w:eastAsia="仿宋" w:cs="仿宋"/>
          <w:color w:val="auto"/>
          <w:sz w:val="24"/>
          <w:szCs w:val="24"/>
          <w:highlight w:val="none"/>
        </w:rPr>
        <w:t>1.1.3.5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单位/区段工程的范围：</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spacing w:after="120"/>
        <w:ind w:right="-512" w:rightChars="-244"/>
        <w:jc w:val="left"/>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_Ref4420577 \r \h  \* MERGEFORMAT </w:instrText>
      </w:r>
      <w:r>
        <w:rPr>
          <w:color w:val="auto"/>
          <w:highlight w:val="none"/>
        </w:rPr>
        <w:fldChar w:fldCharType="separate"/>
      </w:r>
      <w:r>
        <w:rPr>
          <w:rFonts w:hint="eastAsia" w:ascii="仿宋" w:hAnsi="仿宋" w:eastAsia="仿宋" w:cs="仿宋"/>
          <w:color w:val="auto"/>
          <w:sz w:val="24"/>
          <w:szCs w:val="24"/>
          <w:highlight w:val="none"/>
        </w:rPr>
        <w:t>1.1.3.9</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作为施工场所组成部分的其他场所包括：</w:t>
      </w:r>
      <w:r>
        <w:rPr>
          <w:rFonts w:hint="eastAsia" w:ascii="仿宋" w:hAnsi="仿宋" w:eastAsia="仿宋" w:cs="仿宋"/>
          <w:color w:val="auto"/>
          <w:sz w:val="24"/>
          <w:szCs w:val="24"/>
          <w:highlight w:val="none"/>
          <w:u w:val="single"/>
        </w:rPr>
        <w:t xml:space="preserve">    按现场条件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_Ref4420746 \r \h  \* MERGEFORMAT </w:instrText>
      </w:r>
      <w:r>
        <w:rPr>
          <w:color w:val="auto"/>
          <w:highlight w:val="none"/>
        </w:rPr>
        <w:fldChar w:fldCharType="separate"/>
      </w:r>
      <w:r>
        <w:rPr>
          <w:rFonts w:hint="eastAsia" w:ascii="仿宋" w:hAnsi="仿宋" w:eastAsia="仿宋" w:cs="仿宋"/>
          <w:color w:val="auto"/>
          <w:sz w:val="24"/>
          <w:szCs w:val="24"/>
          <w:highlight w:val="none"/>
        </w:rPr>
        <w:t>1.1.3.10</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永久占地包括：</w:t>
      </w:r>
      <w:r>
        <w:rPr>
          <w:rFonts w:hint="eastAsia" w:ascii="仿宋" w:hAnsi="仿宋" w:eastAsia="仿宋" w:cs="仿宋"/>
          <w:color w:val="auto"/>
          <w:sz w:val="24"/>
          <w:szCs w:val="24"/>
          <w:highlight w:val="none"/>
          <w:u w:val="single"/>
        </w:rPr>
        <w:t xml:space="preserve">   依据设计图纸确定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_Ref4420821 \r \h  \* MERGEFORMAT </w:instrText>
      </w:r>
      <w:r>
        <w:rPr>
          <w:color w:val="auto"/>
          <w:highlight w:val="none"/>
        </w:rPr>
        <w:fldChar w:fldCharType="separate"/>
      </w:r>
      <w:r>
        <w:rPr>
          <w:rFonts w:hint="eastAsia" w:ascii="仿宋" w:hAnsi="仿宋" w:eastAsia="仿宋" w:cs="仿宋"/>
          <w:color w:val="auto"/>
          <w:sz w:val="24"/>
          <w:szCs w:val="24"/>
          <w:highlight w:val="none"/>
        </w:rPr>
        <w:t>1.1.3.11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临时占地包括：</w:t>
      </w:r>
      <w:r>
        <w:rPr>
          <w:rFonts w:hint="eastAsia" w:ascii="仿宋" w:hAnsi="仿宋" w:eastAsia="仿宋" w:cs="仿宋"/>
          <w:color w:val="auto"/>
          <w:sz w:val="24"/>
          <w:szCs w:val="24"/>
          <w:highlight w:val="none"/>
          <w:u w:val="single"/>
        </w:rPr>
        <w:t xml:space="preserve">   按现场条件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_Ref509042101 \r \h  \* MERGEFORMAT </w:instrText>
      </w:r>
      <w:r>
        <w:rPr>
          <w:color w:val="auto"/>
          <w:highlight w:val="none"/>
        </w:rPr>
        <w:fldChar w:fldCharType="separate"/>
      </w:r>
      <w:bookmarkStart w:id="395" w:name="_Toc27528_WPSOffice_Level3"/>
      <w:r>
        <w:rPr>
          <w:rFonts w:hint="eastAsia" w:ascii="仿宋" w:hAnsi="仿宋" w:eastAsia="仿宋" w:cs="仿宋"/>
          <w:color w:val="auto"/>
          <w:sz w:val="24"/>
          <w:szCs w:val="24"/>
          <w:highlight w:val="none"/>
        </w:rPr>
        <w:t>1.2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395"/>
      <w:r>
        <w:rPr>
          <w:rFonts w:hint="eastAsia" w:ascii="仿宋" w:hAnsi="仿宋" w:eastAsia="仿宋" w:cs="仿宋"/>
          <w:color w:val="auto"/>
          <w:szCs w:val="16"/>
          <w:highlight w:val="none"/>
        </w:rPr>
        <w:instrText xml:space="preserve">EF _Ref509042104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语言文字</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本合同除使用汉语外，还使用</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语言。</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_Ref531949539 \r \h  \* MERGEFORMAT </w:instrText>
      </w:r>
      <w:r>
        <w:rPr>
          <w:color w:val="auto"/>
          <w:highlight w:val="none"/>
        </w:rPr>
        <w:fldChar w:fldCharType="separate"/>
      </w:r>
      <w:bookmarkStart w:id="396" w:name="_Toc27084_WPSOffice_Level3"/>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bookmarkEnd w:id="396"/>
      <w:r>
        <w:rPr>
          <w:rFonts w:hint="eastAsia" w:ascii="仿宋" w:hAnsi="仿宋" w:eastAsia="仿宋" w:cs="仿宋"/>
          <w:color w:val="auto"/>
          <w:szCs w:val="16"/>
          <w:highlight w:val="none"/>
        </w:rPr>
        <w:instrText xml:space="preserve"> REF _Ref531949543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法律</w:t>
      </w:r>
      <w:r>
        <w:rPr>
          <w:rFonts w:hint="eastAsia" w:ascii="仿宋" w:hAnsi="仿宋" w:eastAsia="仿宋" w:cs="仿宋"/>
          <w:color w:val="auto"/>
          <w:sz w:val="24"/>
          <w:szCs w:val="24"/>
          <w:highlight w:val="none"/>
        </w:rPr>
        <w:fldChar w:fldCharType="end"/>
      </w:r>
    </w:p>
    <w:p>
      <w:pPr>
        <w:spacing w:after="120"/>
        <w:ind w:right="-512" w:rightChars="-244" w:firstLine="6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适用于合同的其他规范性文件：</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_Ref531949589 \r \h  \* MERGEFORMAT </w:instrText>
      </w:r>
      <w:r>
        <w:rPr>
          <w:color w:val="auto"/>
          <w:highlight w:val="none"/>
        </w:rPr>
        <w:fldChar w:fldCharType="separate"/>
      </w:r>
      <w:bookmarkStart w:id="397" w:name="_Toc16283_WPSOffice_Level3"/>
      <w:r>
        <w:rPr>
          <w:rFonts w:hint="eastAsia" w:ascii="仿宋" w:hAnsi="仿宋" w:eastAsia="仿宋" w:cs="仿宋"/>
          <w:color w:val="auto"/>
          <w:sz w:val="24"/>
          <w:szCs w:val="24"/>
          <w:highlight w:val="none"/>
        </w:rPr>
        <w:t>1.4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w:instrText>
      </w:r>
      <w:bookmarkEnd w:id="397"/>
      <w:r>
        <w:rPr>
          <w:rFonts w:hint="eastAsia" w:ascii="仿宋" w:hAnsi="仿宋" w:eastAsia="仿宋" w:cs="仿宋"/>
          <w:color w:val="auto"/>
          <w:szCs w:val="16"/>
          <w:highlight w:val="none"/>
        </w:rPr>
        <w:instrText xml:space="preserve">F _Ref531949594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标准和规范</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_Ref4420991 \r \h  \* MERGEFORMAT </w:instrText>
      </w:r>
      <w:r>
        <w:rPr>
          <w:color w:val="auto"/>
          <w:highlight w:val="none"/>
        </w:rPr>
        <w:fldChar w:fldCharType="separate"/>
      </w:r>
      <w:r>
        <w:rPr>
          <w:rFonts w:hint="eastAsia" w:ascii="仿宋" w:hAnsi="仿宋" w:eastAsia="仿宋" w:cs="仿宋"/>
          <w:color w:val="auto"/>
          <w:sz w:val="24"/>
          <w:szCs w:val="24"/>
          <w:highlight w:val="none"/>
        </w:rPr>
        <w:t>1.4.1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适用于本合同的标准、规范（名称）包括：</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_Ref531949642 \r \h  \* MERGEFORMAT </w:instrText>
      </w:r>
      <w:r>
        <w:rPr>
          <w:color w:val="auto"/>
          <w:highlight w:val="none"/>
        </w:rPr>
        <w:fldChar w:fldCharType="separate"/>
      </w:r>
      <w:r>
        <w:rPr>
          <w:rFonts w:hint="eastAsia" w:ascii="仿宋" w:hAnsi="仿宋" w:eastAsia="仿宋" w:cs="仿宋"/>
          <w:color w:val="auto"/>
          <w:sz w:val="24"/>
          <w:szCs w:val="24"/>
          <w:highlight w:val="none"/>
        </w:rPr>
        <w:t>1.4.2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发包人提供的国外标准、规范的名称：</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发包人提供的国外标准、规范的份数：</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发包人提供的国外标准、规范的时间：</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_Ref531949657 \r \h  \* MERGEFORMAT </w:instrText>
      </w:r>
      <w:r>
        <w:rPr>
          <w:color w:val="auto"/>
          <w:highlight w:val="none"/>
        </w:rPr>
        <w:fldChar w:fldCharType="separate"/>
      </w:r>
      <w:r>
        <w:rPr>
          <w:rFonts w:hint="eastAsia" w:ascii="仿宋" w:hAnsi="仿宋" w:eastAsia="仿宋" w:cs="仿宋"/>
          <w:color w:val="auto"/>
          <w:sz w:val="24"/>
          <w:szCs w:val="24"/>
          <w:highlight w:val="none"/>
        </w:rPr>
        <w:t>1.4.3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没有成文规范、标准规定的约定：</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发包人的技术要求及提交时间：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720" w:firstLineChars="3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承包人提交实施方法的时间：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_Ref4421272 \r \h  \* MERGEFORMAT </w:instrText>
      </w:r>
      <w:r>
        <w:rPr>
          <w:color w:val="auto"/>
          <w:highlight w:val="none"/>
        </w:rPr>
        <w:fldChar w:fldCharType="separate"/>
      </w:r>
      <w:r>
        <w:rPr>
          <w:rFonts w:hint="eastAsia" w:ascii="仿宋" w:hAnsi="仿宋" w:eastAsia="仿宋" w:cs="仿宋"/>
          <w:color w:val="auto"/>
          <w:sz w:val="24"/>
          <w:szCs w:val="24"/>
          <w:highlight w:val="none"/>
        </w:rPr>
        <w:t>1.4.4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发包人对于工程的技术标准、功能要求：</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_Ref4421717 \r \h  \* MERGEFORMAT </w:instrText>
      </w:r>
      <w:r>
        <w:rPr>
          <w:color w:val="auto"/>
          <w:highlight w:val="none"/>
        </w:rPr>
        <w:fldChar w:fldCharType="separate"/>
      </w:r>
      <w:bookmarkStart w:id="398" w:name="_Toc10763_WPSOffice_Level3"/>
      <w:r>
        <w:rPr>
          <w:rFonts w:hint="eastAsia" w:ascii="仿宋" w:hAnsi="仿宋" w:eastAsia="仿宋" w:cs="仿宋"/>
          <w:color w:val="auto"/>
          <w:sz w:val="24"/>
          <w:szCs w:val="24"/>
          <w:highlight w:val="none"/>
        </w:rPr>
        <w:t>1.5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_R</w:instrText>
      </w:r>
      <w:bookmarkEnd w:id="398"/>
      <w:r>
        <w:rPr>
          <w:rFonts w:hint="eastAsia" w:ascii="仿宋" w:hAnsi="仿宋" w:eastAsia="仿宋" w:cs="仿宋"/>
          <w:color w:val="auto"/>
          <w:szCs w:val="16"/>
          <w:highlight w:val="none"/>
        </w:rPr>
        <w:instrText xml:space="preserve">ef4421717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合同文件的优先顺序</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合同文件组成及优先顺序为：</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_Ref4422060 \r \h  \* MERGEFORMAT </w:instrText>
      </w:r>
      <w:r>
        <w:rPr>
          <w:color w:val="auto"/>
          <w:highlight w:val="none"/>
        </w:rPr>
        <w:fldChar w:fldCharType="separate"/>
      </w:r>
      <w:bookmarkStart w:id="399" w:name="_Toc19988_WPSOffice_Level3"/>
      <w:r>
        <w:rPr>
          <w:rFonts w:hint="eastAsia" w:ascii="仿宋" w:hAnsi="仿宋" w:eastAsia="仿宋" w:cs="仿宋"/>
          <w:color w:val="auto"/>
          <w:sz w:val="24"/>
          <w:szCs w:val="24"/>
          <w:highlight w:val="none"/>
        </w:rPr>
        <w:t>1.6</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_</w:instrText>
      </w:r>
      <w:bookmarkEnd w:id="399"/>
      <w:r>
        <w:rPr>
          <w:rFonts w:hint="eastAsia" w:ascii="仿宋" w:hAnsi="仿宋" w:eastAsia="仿宋" w:cs="仿宋"/>
          <w:color w:val="auto"/>
          <w:szCs w:val="16"/>
          <w:highlight w:val="none"/>
        </w:rPr>
        <w:instrText xml:space="preserve">Ref11917818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文件的提供和照管</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_Ref4421991 \r \h  \* MERGEFORMAT </w:instrText>
      </w:r>
      <w:r>
        <w:rPr>
          <w:color w:val="auto"/>
          <w:highlight w:val="none"/>
        </w:rPr>
        <w:fldChar w:fldCharType="separate"/>
      </w:r>
      <w:r>
        <w:rPr>
          <w:rFonts w:hint="eastAsia" w:ascii="仿宋" w:hAnsi="仿宋" w:eastAsia="仿宋" w:cs="仿宋"/>
          <w:color w:val="auto"/>
          <w:sz w:val="24"/>
          <w:szCs w:val="24"/>
          <w:highlight w:val="none"/>
        </w:rPr>
        <w:t>1.6.1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_Ref4421991 \h  \* MERGEFORMAT </w:instrText>
      </w:r>
      <w:r>
        <w:rPr>
          <w:color w:val="auto"/>
          <w:highlight w:val="none"/>
        </w:rPr>
        <w:fldChar w:fldCharType="separate"/>
      </w:r>
      <w:r>
        <w:rPr>
          <w:rFonts w:hint="eastAsia" w:ascii="仿宋" w:hAnsi="仿宋" w:eastAsia="仿宋" w:cs="仿宋"/>
          <w:color w:val="auto"/>
          <w:sz w:val="24"/>
          <w:szCs w:val="24"/>
          <w:highlight w:val="none"/>
        </w:rPr>
        <w:t>发包人文件的提供</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发包人文件的提供期限、数量和形式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_Ref4422317 \r \h  \* MERGEFORMAT </w:instrText>
      </w:r>
      <w:r>
        <w:rPr>
          <w:color w:val="auto"/>
          <w:highlight w:val="none"/>
        </w:rPr>
        <w:fldChar w:fldCharType="separate"/>
      </w:r>
      <w:r>
        <w:rPr>
          <w:rFonts w:hint="eastAsia" w:ascii="仿宋" w:hAnsi="仿宋" w:eastAsia="仿宋" w:cs="仿宋"/>
          <w:color w:val="auto"/>
          <w:sz w:val="24"/>
          <w:szCs w:val="24"/>
          <w:highlight w:val="none"/>
        </w:rPr>
        <w:t>1.6.2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_Ref4422317 \h  \* MERGEFORMAT </w:instrText>
      </w:r>
      <w:r>
        <w:rPr>
          <w:color w:val="auto"/>
          <w:highlight w:val="none"/>
        </w:rPr>
        <w:fldChar w:fldCharType="separate"/>
      </w:r>
      <w:r>
        <w:rPr>
          <w:rFonts w:hint="eastAsia" w:ascii="仿宋" w:hAnsi="仿宋" w:eastAsia="仿宋" w:cs="仿宋"/>
          <w:color w:val="auto"/>
          <w:sz w:val="24"/>
          <w:szCs w:val="24"/>
          <w:highlight w:val="none"/>
        </w:rPr>
        <w:t>承包人文件的提供</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承包人文件的提供期限、数量和形式：</w:t>
      </w:r>
      <w:r>
        <w:rPr>
          <w:rFonts w:hint="eastAsia" w:ascii="仿宋" w:hAnsi="仿宋" w:eastAsia="仿宋" w:cs="仿宋"/>
          <w:color w:val="auto"/>
          <w:sz w:val="24"/>
          <w:szCs w:val="24"/>
          <w:highlight w:val="none"/>
          <w:u w:val="single"/>
        </w:rPr>
        <w:t xml:space="preserve"> 按发包人需求以书面形式提供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_Ref4678410 \r \h  \* MERGEFORMAT </w:instrText>
      </w:r>
      <w:r>
        <w:rPr>
          <w:color w:val="auto"/>
          <w:highlight w:val="none"/>
        </w:rPr>
        <w:fldChar w:fldCharType="separate"/>
      </w:r>
      <w:r>
        <w:rPr>
          <w:rFonts w:hint="eastAsia" w:ascii="仿宋" w:hAnsi="仿宋" w:eastAsia="仿宋" w:cs="仿宋"/>
          <w:color w:val="auto"/>
          <w:sz w:val="24"/>
          <w:szCs w:val="24"/>
          <w:highlight w:val="none"/>
        </w:rPr>
        <w:t>1.6.4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_Ref11957673 \h  \* MERGEFORMAT </w:instrText>
      </w:r>
      <w:r>
        <w:rPr>
          <w:color w:val="auto"/>
          <w:highlight w:val="none"/>
        </w:rPr>
        <w:fldChar w:fldCharType="separate"/>
      </w:r>
      <w:r>
        <w:rPr>
          <w:rFonts w:hint="eastAsia" w:ascii="仿宋" w:hAnsi="仿宋" w:eastAsia="仿宋" w:cs="仿宋"/>
          <w:color w:val="auto"/>
          <w:sz w:val="24"/>
          <w:szCs w:val="24"/>
          <w:highlight w:val="none"/>
        </w:rPr>
        <w:t>文件的照管</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关于现场文件准备的约定：</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_Ref4415170 \r \h  \* MERGEFORMAT </w:instrText>
      </w:r>
      <w:r>
        <w:rPr>
          <w:color w:val="auto"/>
          <w:highlight w:val="none"/>
        </w:rPr>
        <w:fldChar w:fldCharType="separate"/>
      </w:r>
      <w:bookmarkStart w:id="400" w:name="_Toc798_WPSOffice_Level3"/>
      <w:r>
        <w:rPr>
          <w:rFonts w:hint="eastAsia" w:ascii="仿宋" w:hAnsi="仿宋" w:eastAsia="仿宋" w:cs="仿宋"/>
          <w:color w:val="auto"/>
          <w:sz w:val="24"/>
          <w:szCs w:val="24"/>
          <w:highlight w:val="none"/>
        </w:rPr>
        <w:t>1.7</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bookmarkEnd w:id="400"/>
      <w:r>
        <w:rPr>
          <w:rFonts w:hint="eastAsia" w:ascii="仿宋" w:hAnsi="仿宋" w:eastAsia="仿宋" w:cs="仿宋"/>
          <w:color w:val="auto"/>
          <w:szCs w:val="16"/>
          <w:highlight w:val="none"/>
        </w:rPr>
        <w:instrText xml:space="preserve"> REF _Ref4415170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联络</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_Ref531949897 \r \h  \* MERGEFORMAT </w:instrText>
      </w:r>
      <w:r>
        <w:rPr>
          <w:color w:val="auto"/>
          <w:highlight w:val="none"/>
        </w:rPr>
        <w:fldChar w:fldCharType="separate"/>
      </w:r>
      <w:r>
        <w:rPr>
          <w:rFonts w:hint="eastAsia" w:ascii="仿宋" w:hAnsi="仿宋" w:eastAsia="仿宋" w:cs="仿宋"/>
          <w:color w:val="auto"/>
          <w:sz w:val="24"/>
          <w:szCs w:val="24"/>
          <w:highlight w:val="none"/>
        </w:rPr>
        <w:t>1.7.2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发包人指定的送达方式（包括电子传输方式）：</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发包人的送达地址：</w:t>
      </w:r>
      <w:r>
        <w:rPr>
          <w:rFonts w:hint="eastAsia" w:ascii="仿宋" w:hAnsi="仿宋" w:eastAsia="仿宋" w:cs="仿宋"/>
          <w:color w:val="auto"/>
          <w:sz w:val="24"/>
          <w:szCs w:val="24"/>
          <w:highlight w:val="none"/>
          <w:u w:val="single"/>
        </w:rPr>
        <w:t xml:space="preserve"> 项目所在地发包人项目部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承包人指定的送达方式（包括电子传输方式）： </w:t>
      </w:r>
      <w:r>
        <w:rPr>
          <w:rFonts w:hint="eastAsia" w:ascii="仿宋" w:hAnsi="仿宋" w:eastAsia="仿宋" w:cs="仿宋"/>
          <w:color w:val="auto"/>
          <w:sz w:val="24"/>
          <w:szCs w:val="24"/>
          <w:highlight w:val="none"/>
          <w:u w:val="single"/>
        </w:rPr>
        <w:t xml:space="preserve"> 按通用条款本条执行</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承包人的送达地址：</w:t>
      </w:r>
      <w:r>
        <w:rPr>
          <w:rFonts w:hint="eastAsia" w:ascii="仿宋" w:hAnsi="仿宋" w:eastAsia="仿宋" w:cs="仿宋"/>
          <w:color w:val="auto"/>
          <w:sz w:val="24"/>
          <w:szCs w:val="24"/>
          <w:highlight w:val="none"/>
          <w:u w:val="single"/>
        </w:rPr>
        <w:t xml:space="preserve"> 项目所在地承包人项目部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_Ref4423426 \r \h  \* MERGEFORMAT </w:instrText>
      </w:r>
      <w:r>
        <w:rPr>
          <w:color w:val="auto"/>
          <w:highlight w:val="none"/>
        </w:rPr>
        <w:fldChar w:fldCharType="separate"/>
      </w:r>
      <w:bookmarkStart w:id="401" w:name="_Toc24321_WPSOffice_Level3"/>
      <w:r>
        <w:rPr>
          <w:rFonts w:hint="eastAsia" w:ascii="仿宋" w:hAnsi="仿宋" w:eastAsia="仿宋" w:cs="仿宋"/>
          <w:color w:val="auto"/>
          <w:sz w:val="24"/>
          <w:szCs w:val="24"/>
          <w:highlight w:val="none"/>
        </w:rPr>
        <w:t>1.10</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01"/>
      <w:r>
        <w:rPr>
          <w:rFonts w:hint="eastAsia" w:ascii="仿宋" w:hAnsi="仿宋" w:eastAsia="仿宋" w:cs="仿宋"/>
          <w:color w:val="auto"/>
          <w:szCs w:val="16"/>
          <w:highlight w:val="none"/>
        </w:rPr>
        <w:instrText xml:space="preserve">EF _Ref4423426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知识产权</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_Ref4423563 \r \h  \* MERGEFORMAT </w:instrText>
      </w:r>
      <w:r>
        <w:rPr>
          <w:color w:val="auto"/>
          <w:highlight w:val="none"/>
        </w:rPr>
        <w:fldChar w:fldCharType="separate"/>
      </w:r>
      <w:r>
        <w:rPr>
          <w:rFonts w:hint="eastAsia" w:ascii="仿宋" w:hAnsi="仿宋" w:eastAsia="仿宋" w:cs="仿宋"/>
          <w:color w:val="auto"/>
          <w:sz w:val="24"/>
          <w:szCs w:val="24"/>
          <w:highlight w:val="none"/>
        </w:rPr>
        <w:t>1.10.1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由发包人（或以发包人名义）编制的《发包人要求》和其他文件的著作权归属：</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_Ref4423604 \r \h  \* MERGEFORMAT </w:instrText>
      </w:r>
      <w:r>
        <w:rPr>
          <w:color w:val="auto"/>
          <w:highlight w:val="none"/>
        </w:rPr>
        <w:fldChar w:fldCharType="separate"/>
      </w:r>
      <w:r>
        <w:rPr>
          <w:rFonts w:hint="eastAsia" w:ascii="仿宋" w:hAnsi="仿宋" w:eastAsia="仿宋" w:cs="仿宋"/>
          <w:color w:val="auto"/>
          <w:sz w:val="24"/>
          <w:szCs w:val="24"/>
          <w:highlight w:val="none"/>
        </w:rPr>
        <w:t>1.10.2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由承包人（或以承包人名义）为实施工程所编制的文件、承包人完成的设计工作成果和建造完成的建筑物的知识产权归属：</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_Ref4423695 \r \h  \* MERGEFORMAT </w:instrText>
      </w:r>
      <w:r>
        <w:rPr>
          <w:color w:val="auto"/>
          <w:highlight w:val="none"/>
        </w:rPr>
        <w:fldChar w:fldCharType="separate"/>
      </w:r>
      <w:r>
        <w:rPr>
          <w:rFonts w:hint="eastAsia" w:ascii="仿宋" w:hAnsi="仿宋" w:eastAsia="仿宋" w:cs="仿宋"/>
          <w:color w:val="auto"/>
          <w:sz w:val="24"/>
          <w:szCs w:val="24"/>
          <w:highlight w:val="none"/>
        </w:rPr>
        <w:t>1.10.4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承包人在投标文件中采用的专利、专有技术、技术秘密的使用费的承担方式</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_Ref4423873 \r \h  \* MERGEFORMAT </w:instrText>
      </w:r>
      <w:r>
        <w:rPr>
          <w:color w:val="auto"/>
          <w:highlight w:val="none"/>
        </w:rPr>
        <w:fldChar w:fldCharType="separate"/>
      </w:r>
      <w:bookmarkStart w:id="402" w:name="_Toc32515_WPSOffice_Level3"/>
      <w:r>
        <w:rPr>
          <w:rFonts w:hint="eastAsia" w:ascii="仿宋" w:hAnsi="仿宋" w:eastAsia="仿宋" w:cs="仿宋"/>
          <w:color w:val="auto"/>
          <w:sz w:val="24"/>
          <w:szCs w:val="24"/>
          <w:highlight w:val="none"/>
        </w:rPr>
        <w:t>1.11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bookmarkEnd w:id="402"/>
      <w:r>
        <w:rPr>
          <w:rFonts w:hint="eastAsia" w:ascii="仿宋" w:hAnsi="仿宋" w:eastAsia="仿宋" w:cs="仿宋"/>
          <w:color w:val="auto"/>
          <w:szCs w:val="16"/>
          <w:highlight w:val="none"/>
        </w:rPr>
        <w:instrText xml:space="preserve"> REF _Ref4423873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保密</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双方签订的商业保密协议（名称）：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，作为本合同附件。</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双方签订的技术保密协议（名称）：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，作为本合同附件。</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_Ref532336812 \r \h  \* MERGEFORMAT </w:instrText>
      </w:r>
      <w:r>
        <w:rPr>
          <w:color w:val="auto"/>
          <w:highlight w:val="none"/>
        </w:rPr>
        <w:fldChar w:fldCharType="separate"/>
      </w:r>
      <w:bookmarkStart w:id="403" w:name="_Toc21993_WPSOffice_Level3"/>
      <w:r>
        <w:rPr>
          <w:rFonts w:hint="eastAsia" w:ascii="仿宋" w:hAnsi="仿宋" w:eastAsia="仿宋" w:cs="仿宋"/>
          <w:color w:val="auto"/>
          <w:sz w:val="24"/>
          <w:szCs w:val="24"/>
          <w:highlight w:val="none"/>
        </w:rPr>
        <w:t>1.12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_Ref5323</w:instrText>
      </w:r>
      <w:bookmarkEnd w:id="403"/>
      <w:r>
        <w:rPr>
          <w:rFonts w:hint="eastAsia" w:ascii="仿宋" w:hAnsi="仿宋" w:eastAsia="仿宋" w:cs="仿宋"/>
          <w:color w:val="auto"/>
          <w:szCs w:val="16"/>
          <w:highlight w:val="none"/>
        </w:rPr>
        <w:instrText xml:space="preserve">36812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发包人要求》和基础资料中的错误</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承包人在接到《发包人要求》以及其提供的基础资料后</w:t>
      </w:r>
      <w:r>
        <w:rPr>
          <w:rFonts w:hint="eastAsia" w:ascii="仿宋" w:hAnsi="仿宋" w:eastAsia="仿宋" w:cs="仿宋"/>
          <w:color w:val="auto"/>
          <w:sz w:val="24"/>
          <w:szCs w:val="24"/>
          <w:highlight w:val="none"/>
          <w:u w:val="single"/>
        </w:rPr>
        <w:t xml:space="preserve">  7 </w:t>
      </w:r>
      <w:r>
        <w:rPr>
          <w:rFonts w:hint="eastAsia" w:ascii="仿宋" w:hAnsi="仿宋" w:eastAsia="仿宋" w:cs="仿宋"/>
          <w:color w:val="auto"/>
          <w:sz w:val="24"/>
          <w:szCs w:val="24"/>
          <w:highlight w:val="none"/>
        </w:rPr>
        <w:t>日内未发现《发包人要求》以及提供的基础资料中存在错误的，由此导致的费用增加和工期延误的承担</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 应由发包人负责其准确性和完整性的数据或资料：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 应由承包人负责其准确性和完整性的数据或资料：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_Ref531949933 \r \h  \* MERGEFORMAT </w:instrText>
      </w:r>
      <w:r>
        <w:rPr>
          <w:color w:val="auto"/>
          <w:highlight w:val="none"/>
        </w:rPr>
        <w:fldChar w:fldCharType="separate"/>
      </w:r>
      <w:bookmarkStart w:id="404" w:name="_Toc30370_WPSOffice_Level3"/>
      <w:r>
        <w:rPr>
          <w:rFonts w:hint="eastAsia" w:ascii="仿宋" w:hAnsi="仿宋" w:eastAsia="仿宋" w:cs="仿宋"/>
          <w:color w:val="auto"/>
          <w:sz w:val="24"/>
          <w:szCs w:val="24"/>
          <w:highlight w:val="none"/>
        </w:rPr>
        <w:t>1.13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04"/>
      <w:r>
        <w:rPr>
          <w:rFonts w:hint="eastAsia" w:ascii="仿宋" w:hAnsi="仿宋" w:eastAsia="仿宋" w:cs="仿宋"/>
          <w:color w:val="auto"/>
          <w:szCs w:val="16"/>
          <w:highlight w:val="none"/>
        </w:rPr>
        <w:instrText xml:space="preserve">EF _Ref531949937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责任限制</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承包人对发包人赔偿责任的最高限额为</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bookmarkStart w:id="405" w:name="_Toc1451_WPSOffice_Level3"/>
      <w:r>
        <w:rPr>
          <w:rFonts w:hint="eastAsia" w:ascii="仿宋" w:hAnsi="仿宋" w:eastAsia="仿宋" w:cs="仿宋"/>
          <w:color w:val="auto"/>
          <w:sz w:val="24"/>
          <w:szCs w:val="24"/>
          <w:highlight w:val="none"/>
        </w:rPr>
        <w:t>1.14 建筑信息模型技术的应用</w:t>
      </w:r>
      <w:bookmarkEnd w:id="405"/>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关于建筑信息模型技术的应用约定如下：</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w:t>
      </w:r>
    </w:p>
    <w:p>
      <w:pPr>
        <w:pStyle w:val="196"/>
        <w:spacing w:after="120"/>
        <w:ind w:right="-512" w:rightChars="-244"/>
        <w:rPr>
          <w:rFonts w:ascii="仿宋" w:hAnsi="仿宋" w:eastAsia="仿宋" w:cs="仿宋"/>
          <w:b w:val="0"/>
          <w:color w:val="auto"/>
          <w:sz w:val="24"/>
          <w:szCs w:val="18"/>
          <w:highlight w:val="none"/>
        </w:rPr>
      </w:pPr>
      <w:bookmarkStart w:id="406" w:name="_Toc15436"/>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REF _Ref4796511 \r \h  \* MERGEFORMAT </w:instrText>
      </w:r>
      <w:r>
        <w:rPr>
          <w:rFonts w:hint="eastAsia" w:ascii="仿宋" w:hAnsi="仿宋" w:eastAsia="仿宋" w:cs="仿宋"/>
          <w:color w:val="auto"/>
          <w:sz w:val="22"/>
          <w:szCs w:val="16"/>
          <w:highlight w:val="none"/>
        </w:rPr>
        <w:fldChar w:fldCharType="separate"/>
      </w:r>
      <w:bookmarkStart w:id="407" w:name="_Toc8357_WPSOffice_Level3"/>
      <w:bookmarkStart w:id="408" w:name="_Toc20171875"/>
      <w:r>
        <w:rPr>
          <w:rFonts w:hint="eastAsia" w:ascii="仿宋" w:hAnsi="仿宋" w:eastAsia="仿宋" w:cs="仿宋"/>
          <w:b w:val="0"/>
          <w:color w:val="auto"/>
          <w:sz w:val="24"/>
          <w:szCs w:val="18"/>
          <w:highlight w:val="none"/>
        </w:rPr>
        <w:t>第2条</w:t>
      </w:r>
      <w:r>
        <w:rPr>
          <w:rFonts w:hint="eastAsia" w:ascii="仿宋" w:hAnsi="仿宋" w:eastAsia="仿宋" w:cs="仿宋"/>
          <w:b w:val="0"/>
          <w:color w:val="auto"/>
          <w:sz w:val="24"/>
          <w:szCs w:val="18"/>
          <w:highlight w:val="none"/>
        </w:rPr>
        <w:fldChar w:fldCharType="end"/>
      </w:r>
      <w:r>
        <w:rPr>
          <w:rFonts w:hint="eastAsia" w:ascii="仿宋" w:hAnsi="仿宋" w:eastAsia="仿宋" w:cs="仿宋"/>
          <w:b w:val="0"/>
          <w:color w:val="auto"/>
          <w:sz w:val="24"/>
          <w:szCs w:val="18"/>
          <w:highlight w:val="none"/>
        </w:rPr>
        <w:t xml:space="preserve"> </w:t>
      </w:r>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w:instrText>
      </w:r>
      <w:bookmarkEnd w:id="407"/>
      <w:r>
        <w:rPr>
          <w:rFonts w:hint="eastAsia" w:ascii="仿宋" w:hAnsi="仿宋" w:eastAsia="仿宋" w:cs="仿宋"/>
          <w:color w:val="auto"/>
          <w:sz w:val="22"/>
          <w:szCs w:val="16"/>
          <w:highlight w:val="none"/>
        </w:rPr>
        <w:instrText xml:space="preserve">REF _Ref4796511 \h  \* MERGEFORMAT </w:instrText>
      </w:r>
      <w:r>
        <w:rPr>
          <w:rFonts w:hint="eastAsia" w:ascii="仿宋" w:hAnsi="仿宋" w:eastAsia="仿宋" w:cs="仿宋"/>
          <w:color w:val="auto"/>
          <w:sz w:val="22"/>
          <w:szCs w:val="16"/>
          <w:highlight w:val="none"/>
        </w:rPr>
        <w:fldChar w:fldCharType="separate"/>
      </w:r>
      <w:r>
        <w:rPr>
          <w:rFonts w:hint="eastAsia" w:ascii="仿宋" w:hAnsi="仿宋" w:eastAsia="仿宋" w:cs="仿宋"/>
          <w:b w:val="0"/>
          <w:color w:val="auto"/>
          <w:sz w:val="24"/>
          <w:szCs w:val="18"/>
          <w:highlight w:val="none"/>
        </w:rPr>
        <w:t>发包人</w:t>
      </w:r>
      <w:bookmarkEnd w:id="408"/>
      <w:r>
        <w:rPr>
          <w:rFonts w:hint="eastAsia" w:ascii="仿宋" w:hAnsi="仿宋" w:eastAsia="仿宋" w:cs="仿宋"/>
          <w:b w:val="0"/>
          <w:color w:val="auto"/>
          <w:sz w:val="24"/>
          <w:szCs w:val="18"/>
          <w:highlight w:val="none"/>
        </w:rPr>
        <w:fldChar w:fldCharType="end"/>
      </w:r>
      <w:bookmarkEnd w:id="406"/>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_Ref11917977 \r \h  \* MERGEFORMAT </w:instrText>
      </w:r>
      <w:r>
        <w:rPr>
          <w:color w:val="auto"/>
          <w:highlight w:val="none"/>
        </w:rPr>
        <w:fldChar w:fldCharType="separate"/>
      </w:r>
      <w:r>
        <w:rPr>
          <w:rFonts w:hint="eastAsia" w:ascii="仿宋" w:hAnsi="仿宋" w:eastAsia="仿宋" w:cs="仿宋"/>
          <w:color w:val="auto"/>
          <w:sz w:val="24"/>
          <w:szCs w:val="24"/>
          <w:highlight w:val="none"/>
        </w:rPr>
        <w:t>2.2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_Ref11917995 \h  \* MERGEFORMAT </w:instrText>
      </w:r>
      <w:r>
        <w:rPr>
          <w:color w:val="auto"/>
          <w:highlight w:val="none"/>
        </w:rPr>
        <w:fldChar w:fldCharType="separate"/>
      </w:r>
      <w:r>
        <w:rPr>
          <w:rFonts w:hint="eastAsia" w:ascii="仿宋" w:hAnsi="仿宋" w:eastAsia="仿宋" w:cs="仿宋"/>
          <w:color w:val="auto"/>
          <w:sz w:val="24"/>
          <w:szCs w:val="24"/>
          <w:highlight w:val="none"/>
        </w:rPr>
        <w:t>提供施工现场和工作条件</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_Ref531950085 \r \h  \* MERGEFORMAT </w:instrText>
      </w:r>
      <w:r>
        <w:rPr>
          <w:color w:val="auto"/>
          <w:highlight w:val="none"/>
        </w:rPr>
        <w:fldChar w:fldCharType="separate"/>
      </w:r>
      <w:r>
        <w:rPr>
          <w:rFonts w:hint="eastAsia" w:ascii="仿宋" w:hAnsi="仿宋" w:eastAsia="仿宋" w:cs="仿宋"/>
          <w:color w:val="auto"/>
          <w:sz w:val="24"/>
          <w:szCs w:val="24"/>
          <w:highlight w:val="none"/>
        </w:rPr>
        <w:t>2.2.1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_Ref531950085 \h  \* MERGEFORMAT </w:instrText>
      </w:r>
      <w:r>
        <w:rPr>
          <w:color w:val="auto"/>
          <w:highlight w:val="none"/>
        </w:rPr>
        <w:fldChar w:fldCharType="separate"/>
      </w:r>
      <w:r>
        <w:rPr>
          <w:rFonts w:hint="eastAsia" w:ascii="仿宋" w:hAnsi="仿宋" w:eastAsia="仿宋" w:cs="仿宋"/>
          <w:color w:val="auto"/>
          <w:sz w:val="24"/>
          <w:szCs w:val="24"/>
          <w:highlight w:val="none"/>
        </w:rPr>
        <w:t>提供施工</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关于发包人提供施工现场的范围和期限：</w:t>
      </w:r>
      <w:r>
        <w:rPr>
          <w:rFonts w:hint="eastAsia" w:ascii="仿宋" w:hAnsi="仿宋" w:eastAsia="仿宋" w:cs="仿宋"/>
          <w:color w:val="auto"/>
          <w:sz w:val="24"/>
          <w:szCs w:val="24"/>
          <w:highlight w:val="none"/>
          <w:u w:val="single"/>
        </w:rPr>
        <w:t xml:space="preserve"> 开工前7天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_Ref531950101 \r \h  \* MERGEFORMAT </w:instrText>
      </w:r>
      <w:r>
        <w:rPr>
          <w:color w:val="auto"/>
          <w:highlight w:val="none"/>
        </w:rPr>
        <w:fldChar w:fldCharType="separate"/>
      </w:r>
      <w:r>
        <w:rPr>
          <w:rFonts w:hint="eastAsia" w:ascii="仿宋" w:hAnsi="仿宋" w:eastAsia="仿宋" w:cs="仿宋"/>
          <w:color w:val="auto"/>
          <w:sz w:val="24"/>
          <w:szCs w:val="24"/>
          <w:highlight w:val="none"/>
        </w:rPr>
        <w:t>2.2.2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_Ref531950101 \h  \* MERGEFORMAT </w:instrText>
      </w:r>
      <w:r>
        <w:rPr>
          <w:color w:val="auto"/>
          <w:highlight w:val="none"/>
        </w:rPr>
        <w:fldChar w:fldCharType="separate"/>
      </w:r>
      <w:r>
        <w:rPr>
          <w:rFonts w:hint="eastAsia" w:ascii="仿宋" w:hAnsi="仿宋" w:eastAsia="仿宋" w:cs="仿宋"/>
          <w:color w:val="auto"/>
          <w:sz w:val="24"/>
          <w:szCs w:val="24"/>
          <w:highlight w:val="none"/>
        </w:rPr>
        <w:t>提供工作条件</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关于发包人应负责提供的工作条件包括：</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_Ref11918025 \r \h  \* MERGEFORMAT </w:instrText>
      </w:r>
      <w:r>
        <w:rPr>
          <w:color w:val="auto"/>
          <w:highlight w:val="none"/>
        </w:rPr>
        <w:fldChar w:fldCharType="separate"/>
      </w:r>
      <w:r>
        <w:rPr>
          <w:rFonts w:hint="eastAsia" w:ascii="仿宋" w:hAnsi="仿宋" w:eastAsia="仿宋" w:cs="仿宋"/>
          <w:color w:val="auto"/>
          <w:sz w:val="24"/>
          <w:szCs w:val="24"/>
          <w:highlight w:val="none"/>
        </w:rPr>
        <w:t>2.3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_Ref11918036 \h  \* MERGEFORMAT </w:instrText>
      </w:r>
      <w:r>
        <w:rPr>
          <w:color w:val="auto"/>
          <w:highlight w:val="none"/>
        </w:rPr>
        <w:fldChar w:fldCharType="separate"/>
      </w:r>
      <w:r>
        <w:rPr>
          <w:rFonts w:hint="eastAsia" w:ascii="仿宋" w:hAnsi="仿宋" w:eastAsia="仿宋" w:cs="仿宋"/>
          <w:color w:val="auto"/>
          <w:sz w:val="24"/>
          <w:szCs w:val="24"/>
          <w:highlight w:val="none"/>
        </w:rPr>
        <w:t>提供基础资料</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关于发包人应提供的基础资料的范围和期限：</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_Ref11918060 \r \h  \* MERGEFORMAT </w:instrText>
      </w:r>
      <w:r>
        <w:rPr>
          <w:color w:val="auto"/>
          <w:highlight w:val="none"/>
        </w:rPr>
        <w:fldChar w:fldCharType="separate"/>
      </w:r>
      <w:bookmarkStart w:id="409" w:name="_Toc25701_WPSOffice_Level3"/>
      <w:r>
        <w:rPr>
          <w:rFonts w:hint="eastAsia" w:ascii="仿宋" w:hAnsi="仿宋" w:eastAsia="仿宋" w:cs="仿宋"/>
          <w:color w:val="auto"/>
          <w:sz w:val="24"/>
          <w:szCs w:val="24"/>
          <w:highlight w:val="none"/>
        </w:rPr>
        <w:t>2.5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w:instrText>
      </w:r>
      <w:bookmarkEnd w:id="409"/>
      <w:r>
        <w:rPr>
          <w:rFonts w:hint="eastAsia" w:ascii="仿宋" w:hAnsi="仿宋" w:eastAsia="仿宋" w:cs="仿宋"/>
          <w:color w:val="auto"/>
          <w:szCs w:val="16"/>
          <w:highlight w:val="none"/>
        </w:rPr>
        <w:instrText xml:space="preserve"> _Ref11918070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支付合同价款</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_Ref531950147 \r \h  \* MERGEFORMAT </w:instrText>
      </w:r>
      <w:r>
        <w:rPr>
          <w:color w:val="auto"/>
          <w:highlight w:val="none"/>
        </w:rPr>
        <w:fldChar w:fldCharType="separate"/>
      </w:r>
      <w:r>
        <w:rPr>
          <w:rFonts w:hint="eastAsia" w:ascii="仿宋" w:hAnsi="仿宋" w:eastAsia="仿宋" w:cs="仿宋"/>
          <w:color w:val="auto"/>
          <w:sz w:val="24"/>
          <w:szCs w:val="24"/>
          <w:highlight w:val="none"/>
        </w:rPr>
        <w:t>2.5.1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发包人提供资金来源证明及资金安排的期限要求：</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_Ref531950161 \r \h  \* MERGEFORMAT </w:instrText>
      </w:r>
      <w:r>
        <w:rPr>
          <w:color w:val="auto"/>
          <w:highlight w:val="none"/>
        </w:rPr>
        <w:fldChar w:fldCharType="separate"/>
      </w:r>
      <w:r>
        <w:rPr>
          <w:rFonts w:hint="eastAsia" w:ascii="仿宋" w:hAnsi="仿宋" w:eastAsia="仿宋" w:cs="仿宋"/>
          <w:color w:val="auto"/>
          <w:sz w:val="24"/>
          <w:szCs w:val="24"/>
          <w:highlight w:val="none"/>
        </w:rPr>
        <w:t>2.5.3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发包人提供支付担保的形式和期限：</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_Ref11959372 \r \h  \* MERGEFORMAT </w:instrText>
      </w:r>
      <w:r>
        <w:rPr>
          <w:color w:val="auto"/>
          <w:highlight w:val="none"/>
        </w:rPr>
        <w:fldChar w:fldCharType="separate"/>
      </w:r>
      <w:bookmarkStart w:id="410" w:name="_Toc21582_WPSOffice_Level3"/>
      <w:r>
        <w:rPr>
          <w:rFonts w:hint="eastAsia" w:ascii="仿宋" w:hAnsi="仿宋" w:eastAsia="仿宋" w:cs="仿宋"/>
          <w:color w:val="auto"/>
          <w:sz w:val="24"/>
          <w:szCs w:val="24"/>
          <w:highlight w:val="none"/>
        </w:rPr>
        <w:t>2.7</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10"/>
      <w:r>
        <w:rPr>
          <w:rFonts w:hint="eastAsia" w:ascii="仿宋" w:hAnsi="仿宋" w:eastAsia="仿宋" w:cs="仿宋"/>
          <w:color w:val="auto"/>
          <w:szCs w:val="16"/>
          <w:highlight w:val="none"/>
        </w:rPr>
        <w:instrText xml:space="preserve">EF _Ref11959376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其他义务</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发包人应履行的其他义务：</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w:t>
      </w:r>
    </w:p>
    <w:p>
      <w:pPr>
        <w:pStyle w:val="196"/>
        <w:spacing w:after="120"/>
        <w:ind w:right="-512" w:rightChars="-244"/>
        <w:rPr>
          <w:rFonts w:ascii="仿宋" w:hAnsi="仿宋" w:eastAsia="仿宋" w:cs="仿宋"/>
          <w:b w:val="0"/>
          <w:color w:val="auto"/>
          <w:sz w:val="24"/>
          <w:szCs w:val="18"/>
          <w:highlight w:val="none"/>
        </w:rPr>
      </w:pPr>
      <w:bookmarkStart w:id="411" w:name="_Toc30588"/>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REF _Ref531952791 \r \h  \* MERGEFORMAT </w:instrText>
      </w:r>
      <w:r>
        <w:rPr>
          <w:rFonts w:hint="eastAsia" w:ascii="仿宋" w:hAnsi="仿宋" w:eastAsia="仿宋" w:cs="仿宋"/>
          <w:color w:val="auto"/>
          <w:sz w:val="22"/>
          <w:szCs w:val="16"/>
          <w:highlight w:val="none"/>
        </w:rPr>
        <w:fldChar w:fldCharType="separate"/>
      </w:r>
      <w:bookmarkStart w:id="412" w:name="_Toc10118_WPSOffice_Level3"/>
      <w:bookmarkStart w:id="413" w:name="_Toc20171876"/>
      <w:r>
        <w:rPr>
          <w:rFonts w:hint="eastAsia" w:ascii="仿宋" w:hAnsi="仿宋" w:eastAsia="仿宋" w:cs="仿宋"/>
          <w:b w:val="0"/>
          <w:color w:val="auto"/>
          <w:sz w:val="24"/>
          <w:szCs w:val="18"/>
          <w:highlight w:val="none"/>
        </w:rPr>
        <w:t>第3条</w:t>
      </w:r>
      <w:r>
        <w:rPr>
          <w:rFonts w:hint="eastAsia" w:ascii="仿宋" w:hAnsi="仿宋" w:eastAsia="仿宋" w:cs="仿宋"/>
          <w:b w:val="0"/>
          <w:color w:val="auto"/>
          <w:sz w:val="24"/>
          <w:szCs w:val="18"/>
          <w:highlight w:val="none"/>
        </w:rPr>
        <w:fldChar w:fldCharType="end"/>
      </w:r>
      <w:r>
        <w:rPr>
          <w:rFonts w:hint="eastAsia" w:ascii="仿宋" w:hAnsi="仿宋" w:eastAsia="仿宋" w:cs="仿宋"/>
          <w:b w:val="0"/>
          <w:color w:val="auto"/>
          <w:sz w:val="24"/>
          <w:szCs w:val="18"/>
          <w:highlight w:val="none"/>
        </w:rPr>
        <w:t xml:space="preserve"> </w:t>
      </w:r>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REF</w:instrText>
      </w:r>
      <w:bookmarkEnd w:id="412"/>
      <w:r>
        <w:rPr>
          <w:rFonts w:hint="eastAsia" w:ascii="仿宋" w:hAnsi="仿宋" w:eastAsia="仿宋" w:cs="仿宋"/>
          <w:color w:val="auto"/>
          <w:sz w:val="22"/>
          <w:szCs w:val="16"/>
          <w:highlight w:val="none"/>
        </w:rPr>
        <w:instrText xml:space="preserve"> _Ref531952791 \h  \* MERGEFORMAT </w:instrText>
      </w:r>
      <w:r>
        <w:rPr>
          <w:rFonts w:hint="eastAsia" w:ascii="仿宋" w:hAnsi="仿宋" w:eastAsia="仿宋" w:cs="仿宋"/>
          <w:color w:val="auto"/>
          <w:sz w:val="22"/>
          <w:szCs w:val="16"/>
          <w:highlight w:val="none"/>
        </w:rPr>
        <w:fldChar w:fldCharType="separate"/>
      </w:r>
      <w:r>
        <w:rPr>
          <w:rFonts w:hint="eastAsia" w:ascii="仿宋" w:hAnsi="仿宋" w:eastAsia="仿宋" w:cs="仿宋"/>
          <w:b w:val="0"/>
          <w:color w:val="auto"/>
          <w:sz w:val="24"/>
          <w:szCs w:val="18"/>
          <w:highlight w:val="none"/>
        </w:rPr>
        <w:t>发包人的管理</w:t>
      </w:r>
      <w:bookmarkEnd w:id="413"/>
      <w:r>
        <w:rPr>
          <w:rFonts w:hint="eastAsia" w:ascii="仿宋" w:hAnsi="仿宋" w:eastAsia="仿宋" w:cs="仿宋"/>
          <w:b w:val="0"/>
          <w:color w:val="auto"/>
          <w:sz w:val="24"/>
          <w:szCs w:val="18"/>
          <w:highlight w:val="none"/>
        </w:rPr>
        <w:fldChar w:fldCharType="end"/>
      </w:r>
      <w:bookmarkEnd w:id="411"/>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_Ref531951533 \r \h  \* MERGEFORMAT </w:instrText>
      </w:r>
      <w:r>
        <w:rPr>
          <w:color w:val="auto"/>
          <w:highlight w:val="none"/>
        </w:rPr>
        <w:fldChar w:fldCharType="separate"/>
      </w:r>
      <w:bookmarkStart w:id="414" w:name="_Toc1979_WPSOffice_Level3"/>
      <w:r>
        <w:rPr>
          <w:rFonts w:hint="eastAsia" w:ascii="仿宋" w:hAnsi="仿宋" w:eastAsia="仿宋" w:cs="仿宋"/>
          <w:color w:val="auto"/>
          <w:sz w:val="24"/>
          <w:szCs w:val="24"/>
          <w:highlight w:val="none"/>
        </w:rPr>
        <w:t>3.1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w:instrText>
      </w:r>
      <w:bookmarkEnd w:id="414"/>
      <w:r>
        <w:rPr>
          <w:rFonts w:hint="eastAsia" w:ascii="仿宋" w:hAnsi="仿宋" w:eastAsia="仿宋" w:cs="仿宋"/>
          <w:color w:val="auto"/>
          <w:szCs w:val="16"/>
          <w:highlight w:val="none"/>
        </w:rPr>
        <w:instrText xml:space="preserve">F _Ref531951538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发包人代表</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发包人代表的姓名：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发包人代表的身份证号：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发包人代表的职务：</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发包人代表的联系电话：</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发包人代表的电子邮箱：</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发包人代表的通信地址：</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发包人对发包人代表的授权范围如下：</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发包人代表的职责：</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_Ref531951553 \r \h  \* MERGEFORMAT </w:instrText>
      </w:r>
      <w:r>
        <w:rPr>
          <w:color w:val="auto"/>
          <w:highlight w:val="none"/>
        </w:rPr>
        <w:fldChar w:fldCharType="separate"/>
      </w:r>
      <w:bookmarkStart w:id="415" w:name="_Toc20851_WPSOffice_Level3"/>
      <w:r>
        <w:rPr>
          <w:rFonts w:hint="eastAsia" w:ascii="仿宋" w:hAnsi="仿宋" w:eastAsia="仿宋" w:cs="仿宋"/>
          <w:color w:val="auto"/>
          <w:sz w:val="24"/>
          <w:szCs w:val="24"/>
          <w:highlight w:val="none"/>
        </w:rPr>
        <w:t>3.2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w:instrText>
      </w:r>
      <w:bookmarkEnd w:id="415"/>
      <w:r>
        <w:rPr>
          <w:rFonts w:hint="eastAsia" w:ascii="仿宋" w:hAnsi="仿宋" w:eastAsia="仿宋" w:cs="仿宋"/>
          <w:color w:val="auto"/>
          <w:szCs w:val="16"/>
          <w:highlight w:val="none"/>
        </w:rPr>
        <w:instrText xml:space="preserve">F _Ref531951557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发包人人员</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发包人人员姓名：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发包人人员职务：</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发包人人员职责：</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_Ref523403804 \r \h  \* MERGEFORMAT </w:instrText>
      </w:r>
      <w:r>
        <w:rPr>
          <w:color w:val="auto"/>
          <w:highlight w:val="none"/>
        </w:rPr>
        <w:fldChar w:fldCharType="separate"/>
      </w:r>
      <w:bookmarkStart w:id="416" w:name="_Toc3441_WPSOffice_Level3"/>
      <w:r>
        <w:rPr>
          <w:rFonts w:hint="eastAsia" w:ascii="仿宋" w:hAnsi="仿宋" w:eastAsia="仿宋" w:cs="仿宋"/>
          <w:color w:val="auto"/>
          <w:sz w:val="24"/>
          <w:szCs w:val="24"/>
          <w:highlight w:val="none"/>
        </w:rPr>
        <w:t>3.3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w:instrText>
      </w:r>
      <w:bookmarkEnd w:id="416"/>
      <w:r>
        <w:rPr>
          <w:rFonts w:hint="eastAsia" w:ascii="仿宋" w:hAnsi="仿宋" w:eastAsia="仿宋" w:cs="仿宋"/>
          <w:color w:val="auto"/>
          <w:szCs w:val="16"/>
          <w:highlight w:val="none"/>
        </w:rPr>
        <w:instrText xml:space="preserve">REF _Ref523403804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工程师</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工程师姓名、职称：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监督管理范围、内容：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工程师权限：</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_Ref531951609 \r \h  \* MERGEFORMAT </w:instrText>
      </w:r>
      <w:r>
        <w:rPr>
          <w:color w:val="auto"/>
          <w:highlight w:val="none"/>
        </w:rPr>
        <w:fldChar w:fldCharType="separate"/>
      </w:r>
      <w:bookmarkStart w:id="417" w:name="_Toc17779_WPSOffice_Level3"/>
      <w:r>
        <w:rPr>
          <w:rFonts w:hint="eastAsia" w:ascii="仿宋" w:hAnsi="仿宋" w:eastAsia="仿宋" w:cs="仿宋"/>
          <w:color w:val="auto"/>
          <w:sz w:val="24"/>
          <w:szCs w:val="24"/>
          <w:highlight w:val="none"/>
        </w:rPr>
        <w:t>3.6</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w:instrText>
      </w:r>
      <w:bookmarkEnd w:id="417"/>
      <w:r>
        <w:rPr>
          <w:rFonts w:hint="eastAsia" w:ascii="仿宋" w:hAnsi="仿宋" w:eastAsia="仿宋" w:cs="仿宋"/>
          <w:color w:val="auto"/>
          <w:szCs w:val="16"/>
          <w:highlight w:val="none"/>
        </w:rPr>
        <w:instrText xml:space="preserve">F _Ref531951611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商定或确定</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关于商定时间限制的具体约定：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关于商定或确定效力的具体约定：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关于对工程师的确定提出异议的具体约定：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_Ref531951747 \r \h  \* MERGEFORMAT </w:instrText>
      </w:r>
      <w:r>
        <w:rPr>
          <w:color w:val="auto"/>
          <w:highlight w:val="none"/>
        </w:rPr>
        <w:fldChar w:fldCharType="separate"/>
      </w:r>
      <w:bookmarkStart w:id="418" w:name="_Toc29485_WPSOffice_Level3"/>
      <w:r>
        <w:rPr>
          <w:rFonts w:hint="eastAsia" w:ascii="仿宋" w:hAnsi="仿宋" w:eastAsia="仿宋" w:cs="仿宋"/>
          <w:color w:val="auto"/>
          <w:sz w:val="24"/>
          <w:szCs w:val="24"/>
          <w:highlight w:val="none"/>
        </w:rPr>
        <w:t>3.7</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bookmarkEnd w:id="418"/>
      <w:r>
        <w:rPr>
          <w:rFonts w:hint="eastAsia" w:ascii="仿宋" w:hAnsi="仿宋" w:eastAsia="仿宋" w:cs="仿宋"/>
          <w:color w:val="auto"/>
          <w:szCs w:val="16"/>
          <w:highlight w:val="none"/>
        </w:rPr>
        <w:instrText xml:space="preserve"> REF _Ref531951749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会议</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关于召开会议和提供会议纪要的具体约定：</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pStyle w:val="196"/>
        <w:spacing w:after="120"/>
        <w:ind w:right="-512" w:rightChars="-244"/>
        <w:rPr>
          <w:rFonts w:ascii="仿宋" w:hAnsi="仿宋" w:eastAsia="仿宋" w:cs="仿宋"/>
          <w:b w:val="0"/>
          <w:color w:val="auto"/>
          <w:sz w:val="24"/>
          <w:szCs w:val="18"/>
          <w:highlight w:val="none"/>
        </w:rPr>
      </w:pPr>
      <w:bookmarkStart w:id="419" w:name="_Toc10416"/>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REF _Ref531952805 \r \h  \* MERGEFORMAT </w:instrText>
      </w:r>
      <w:r>
        <w:rPr>
          <w:rFonts w:hint="eastAsia" w:ascii="仿宋" w:hAnsi="仿宋" w:eastAsia="仿宋" w:cs="仿宋"/>
          <w:color w:val="auto"/>
          <w:sz w:val="22"/>
          <w:szCs w:val="16"/>
          <w:highlight w:val="none"/>
        </w:rPr>
        <w:fldChar w:fldCharType="separate"/>
      </w:r>
      <w:bookmarkStart w:id="420" w:name="_Toc23472_WPSOffice_Level3"/>
      <w:bookmarkStart w:id="421" w:name="_Toc20171877"/>
      <w:r>
        <w:rPr>
          <w:rFonts w:hint="eastAsia" w:ascii="仿宋" w:hAnsi="仿宋" w:eastAsia="仿宋" w:cs="仿宋"/>
          <w:b w:val="0"/>
          <w:color w:val="auto"/>
          <w:sz w:val="24"/>
          <w:szCs w:val="18"/>
          <w:highlight w:val="none"/>
        </w:rPr>
        <w:t>第4条</w:t>
      </w:r>
      <w:r>
        <w:rPr>
          <w:rFonts w:hint="eastAsia" w:ascii="仿宋" w:hAnsi="仿宋" w:eastAsia="仿宋" w:cs="仿宋"/>
          <w:b w:val="0"/>
          <w:color w:val="auto"/>
          <w:sz w:val="24"/>
          <w:szCs w:val="18"/>
          <w:highlight w:val="none"/>
        </w:rPr>
        <w:fldChar w:fldCharType="end"/>
      </w:r>
      <w:r>
        <w:rPr>
          <w:rFonts w:hint="eastAsia" w:ascii="仿宋" w:hAnsi="仿宋" w:eastAsia="仿宋" w:cs="仿宋"/>
          <w:b w:val="0"/>
          <w:color w:val="auto"/>
          <w:sz w:val="24"/>
          <w:szCs w:val="18"/>
          <w:highlight w:val="none"/>
        </w:rPr>
        <w:t xml:space="preserve"> </w:t>
      </w:r>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w:instrText>
      </w:r>
      <w:bookmarkEnd w:id="420"/>
      <w:r>
        <w:rPr>
          <w:rFonts w:hint="eastAsia" w:ascii="仿宋" w:hAnsi="仿宋" w:eastAsia="仿宋" w:cs="仿宋"/>
          <w:color w:val="auto"/>
          <w:sz w:val="22"/>
          <w:szCs w:val="16"/>
          <w:highlight w:val="none"/>
        </w:rPr>
        <w:instrText xml:space="preserve">REF _Ref531952805 \h  \* MERGEFORMAT </w:instrText>
      </w:r>
      <w:r>
        <w:rPr>
          <w:rFonts w:hint="eastAsia" w:ascii="仿宋" w:hAnsi="仿宋" w:eastAsia="仿宋" w:cs="仿宋"/>
          <w:color w:val="auto"/>
          <w:sz w:val="22"/>
          <w:szCs w:val="16"/>
          <w:highlight w:val="none"/>
        </w:rPr>
        <w:fldChar w:fldCharType="separate"/>
      </w:r>
      <w:r>
        <w:rPr>
          <w:rFonts w:hint="eastAsia" w:ascii="仿宋" w:hAnsi="仿宋" w:eastAsia="仿宋" w:cs="仿宋"/>
          <w:b w:val="0"/>
          <w:color w:val="auto"/>
          <w:sz w:val="24"/>
          <w:szCs w:val="18"/>
          <w:highlight w:val="none"/>
        </w:rPr>
        <w:t>承包人</w:t>
      </w:r>
      <w:bookmarkEnd w:id="421"/>
      <w:r>
        <w:rPr>
          <w:rFonts w:hint="eastAsia" w:ascii="仿宋" w:hAnsi="仿宋" w:eastAsia="仿宋" w:cs="仿宋"/>
          <w:b w:val="0"/>
          <w:color w:val="auto"/>
          <w:sz w:val="24"/>
          <w:szCs w:val="18"/>
          <w:highlight w:val="none"/>
        </w:rPr>
        <w:fldChar w:fldCharType="end"/>
      </w:r>
      <w:bookmarkEnd w:id="419"/>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_Ref531951941 \r \h  \* MERGEFORMAT </w:instrText>
      </w:r>
      <w:r>
        <w:rPr>
          <w:color w:val="auto"/>
          <w:highlight w:val="none"/>
        </w:rPr>
        <w:fldChar w:fldCharType="separate"/>
      </w:r>
      <w:bookmarkStart w:id="422" w:name="_Toc13383_WPSOffice_Level3"/>
      <w:r>
        <w:rPr>
          <w:rFonts w:hint="eastAsia" w:ascii="仿宋" w:hAnsi="仿宋" w:eastAsia="仿宋" w:cs="仿宋"/>
          <w:color w:val="auto"/>
          <w:sz w:val="24"/>
          <w:szCs w:val="24"/>
          <w:highlight w:val="none"/>
        </w:rPr>
        <w:t>4.1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_</w:instrText>
      </w:r>
      <w:bookmarkEnd w:id="422"/>
      <w:r>
        <w:rPr>
          <w:rFonts w:hint="eastAsia" w:ascii="仿宋" w:hAnsi="仿宋" w:eastAsia="仿宋" w:cs="仿宋"/>
          <w:color w:val="auto"/>
          <w:szCs w:val="16"/>
          <w:highlight w:val="none"/>
        </w:rPr>
        <w:instrText xml:space="preserve">Ref531951945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承包人的一般义务</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承包人应履行的其他义务：</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各类拆除及垃圾清运等相关手续由施工方自行办理，手续齐全后才可施工</w:t>
      </w:r>
      <w:r>
        <w:rPr>
          <w:rFonts w:hint="eastAsia" w:ascii="仿宋" w:hAnsi="仿宋" w:eastAsia="仿宋" w:cs="仿宋"/>
          <w:color w:val="auto"/>
          <w:sz w:val="24"/>
          <w:szCs w:val="24"/>
          <w:highlight w:val="none"/>
        </w:rPr>
        <w:t>。</w:t>
      </w:r>
    </w:p>
    <w:p>
      <w:pPr>
        <w:spacing w:after="120" w:line="360" w:lineRule="auto"/>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_Ref4426803 \r \h  \* MERGEFORMAT </w:instrText>
      </w:r>
      <w:r>
        <w:rPr>
          <w:color w:val="auto"/>
          <w:highlight w:val="none"/>
        </w:rPr>
        <w:fldChar w:fldCharType="separate"/>
      </w:r>
      <w:bookmarkStart w:id="423" w:name="_Toc32402_WPSOffice_Level3"/>
      <w:r>
        <w:rPr>
          <w:rFonts w:hint="eastAsia" w:ascii="仿宋" w:hAnsi="仿宋" w:eastAsia="仿宋" w:cs="仿宋"/>
          <w:color w:val="auto"/>
          <w:sz w:val="24"/>
          <w:szCs w:val="24"/>
          <w:highlight w:val="none"/>
        </w:rPr>
        <w:t>4.2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23"/>
      <w:r>
        <w:rPr>
          <w:rFonts w:hint="eastAsia" w:ascii="仿宋" w:hAnsi="仿宋" w:eastAsia="仿宋" w:cs="仿宋"/>
          <w:color w:val="auto"/>
          <w:szCs w:val="16"/>
          <w:highlight w:val="none"/>
        </w:rPr>
        <w:instrText xml:space="preserve">EF _Ref4426803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履约担保</w:t>
      </w:r>
      <w:r>
        <w:rPr>
          <w:rFonts w:hint="eastAsia" w:ascii="仿宋" w:hAnsi="仿宋" w:eastAsia="仿宋" w:cs="仿宋"/>
          <w:color w:val="auto"/>
          <w:sz w:val="24"/>
          <w:szCs w:val="24"/>
          <w:highlight w:val="none"/>
        </w:rPr>
        <w:fldChar w:fldCharType="end"/>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承包人是否提供履约担保：</w:t>
      </w:r>
      <w:r>
        <w:rPr>
          <w:rFonts w:hint="eastAsia" w:ascii="仿宋" w:hAnsi="仿宋" w:eastAsia="仿宋" w:cs="仿宋"/>
          <w:color w:val="auto"/>
          <w:sz w:val="24"/>
          <w:szCs w:val="24"/>
          <w:highlight w:val="none"/>
          <w:u w:val="single"/>
        </w:rPr>
        <w:t xml:space="preserve">           提供              </w:t>
      </w:r>
      <w:r>
        <w:rPr>
          <w:rFonts w:hint="eastAsia" w:ascii="仿宋" w:hAnsi="仿宋" w:eastAsia="仿宋" w:cs="仿宋"/>
          <w:color w:val="auto"/>
          <w:sz w:val="24"/>
          <w:szCs w:val="24"/>
          <w:highlight w:val="none"/>
        </w:rPr>
        <w:t>。</w:t>
      </w:r>
    </w:p>
    <w:p>
      <w:pPr>
        <w:spacing w:after="120" w:line="360" w:lineRule="auto"/>
        <w:ind w:right="-512" w:rightChars="-244" w:firstLine="600"/>
        <w:rPr>
          <w:rFonts w:ascii="仿宋" w:hAnsi="仿宋" w:eastAsia="仿宋" w:cs="仿宋"/>
          <w:b/>
          <w:bCs/>
          <w:color w:val="auto"/>
          <w:sz w:val="24"/>
          <w:szCs w:val="24"/>
          <w:highlight w:val="none"/>
        </w:rPr>
      </w:pPr>
      <w:r>
        <w:rPr>
          <w:rFonts w:hint="eastAsia" w:ascii="仿宋" w:hAnsi="仿宋" w:eastAsia="仿宋" w:cs="仿宋"/>
          <w:b/>
          <w:color w:val="auto"/>
          <w:kern w:val="2"/>
          <w:sz w:val="24"/>
          <w:szCs w:val="24"/>
          <w:highlight w:val="none"/>
          <w:lang w:val="en-US" w:eastAsia="zh-CN" w:bidi="ar-SA"/>
        </w:rPr>
        <w:t>履约担保的方式、金额及期限:</w:t>
      </w:r>
      <w:r>
        <w:rPr>
          <w:rFonts w:hint="eastAsia" w:ascii="仿宋" w:hAnsi="仿宋" w:eastAsia="仿宋" w:cs="仿宋"/>
          <w:b/>
          <w:bCs/>
          <w:color w:val="auto"/>
          <w:sz w:val="24"/>
          <w:szCs w:val="24"/>
          <w:highlight w:val="none"/>
          <w:u w:val="single"/>
          <w:lang w:val="en-US" w:eastAsia="zh-CN"/>
        </w:rPr>
        <w:t xml:space="preserve">  /    </w:t>
      </w:r>
      <w:r>
        <w:rPr>
          <w:rFonts w:hint="eastAsia" w:ascii="仿宋" w:hAnsi="仿宋" w:eastAsia="仿宋" w:cs="仿宋"/>
          <w:b/>
          <w:bCs/>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_Ref532689105 \r \h  \* MERGEFORMAT </w:instrText>
      </w:r>
      <w:r>
        <w:rPr>
          <w:color w:val="auto"/>
          <w:highlight w:val="none"/>
        </w:rPr>
        <w:fldChar w:fldCharType="separate"/>
      </w:r>
      <w:bookmarkStart w:id="424" w:name="_Toc17455_WPSOffice_Level3"/>
      <w:r>
        <w:rPr>
          <w:rFonts w:hint="eastAsia" w:ascii="仿宋" w:hAnsi="仿宋" w:eastAsia="仿宋" w:cs="仿宋"/>
          <w:color w:val="auto"/>
          <w:sz w:val="24"/>
          <w:szCs w:val="24"/>
          <w:highlight w:val="none"/>
        </w:rPr>
        <w:t>4.3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_R</w:instrText>
      </w:r>
      <w:bookmarkEnd w:id="424"/>
      <w:r>
        <w:rPr>
          <w:rFonts w:hint="eastAsia" w:ascii="仿宋" w:hAnsi="仿宋" w:eastAsia="仿宋" w:cs="仿宋"/>
          <w:color w:val="auto"/>
          <w:szCs w:val="16"/>
          <w:highlight w:val="none"/>
        </w:rPr>
        <w:instrText xml:space="preserve">ef532689108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工程总承包项目经理</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_Ref532351726 \r \h  \* MERGEFORMAT </w:instrText>
      </w:r>
      <w:r>
        <w:rPr>
          <w:color w:val="auto"/>
          <w:highlight w:val="none"/>
        </w:rPr>
        <w:fldChar w:fldCharType="separate"/>
      </w:r>
      <w:r>
        <w:rPr>
          <w:rFonts w:hint="eastAsia" w:ascii="仿宋" w:hAnsi="仿宋" w:eastAsia="仿宋" w:cs="仿宋"/>
          <w:color w:val="auto"/>
          <w:sz w:val="24"/>
          <w:szCs w:val="24"/>
          <w:highlight w:val="none"/>
        </w:rPr>
        <w:t>4.3.1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工程总承包项目经理姓名：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执业资格或职称类型：</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执业资格证或职称证号码：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电子邮箱：</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通信地址：</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承包人未提交劳动合同，以及没有为工程总承包项目经理缴纳社会保险证明的违约责任：</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_Ref532689263 \r \h  \* MERGEFORMAT </w:instrText>
      </w:r>
      <w:r>
        <w:rPr>
          <w:color w:val="auto"/>
          <w:highlight w:val="none"/>
        </w:rPr>
        <w:fldChar w:fldCharType="separate"/>
      </w:r>
      <w:r>
        <w:rPr>
          <w:rFonts w:hint="eastAsia" w:ascii="仿宋" w:hAnsi="仿宋" w:eastAsia="仿宋" w:cs="仿宋"/>
          <w:color w:val="auto"/>
          <w:sz w:val="24"/>
          <w:szCs w:val="24"/>
          <w:highlight w:val="none"/>
        </w:rPr>
        <w:t>4.3.2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工程总承包项目经理每月在现场的时间要求：</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8"/>
          <w:szCs w:val="28"/>
          <w:highlight w:val="none"/>
          <w:u w:val="single"/>
        </w:rPr>
        <w:t>≧25天</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工程总承包项目经理未经批准擅自离开施工现场的违约责任：</w:t>
      </w:r>
      <w:r>
        <w:rPr>
          <w:rFonts w:hint="eastAsia" w:ascii="仿宋" w:hAnsi="仿宋" w:eastAsia="仿宋" w:cs="仿宋"/>
          <w:color w:val="auto"/>
          <w:sz w:val="24"/>
          <w:szCs w:val="24"/>
          <w:highlight w:val="none"/>
          <w:u w:val="single"/>
        </w:rPr>
        <w:t>项目经理未经批准，擅自离开施工现场≤3日的，承包人承担相应违约金；擅自离开施工现场＞3日的，发包人有权要求更换项目经理，承包人承担相应违约金；由此增加的费用或延误的工期由承包人承担。</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_Ref532689178 \r \h  \* MERGEFORMAT </w:instrText>
      </w:r>
      <w:r>
        <w:rPr>
          <w:color w:val="auto"/>
          <w:highlight w:val="none"/>
        </w:rPr>
        <w:fldChar w:fldCharType="separate"/>
      </w:r>
      <w:r>
        <w:rPr>
          <w:rFonts w:hint="eastAsia" w:ascii="仿宋" w:hAnsi="仿宋" w:eastAsia="仿宋" w:cs="仿宋"/>
          <w:color w:val="auto"/>
          <w:sz w:val="24"/>
          <w:szCs w:val="24"/>
          <w:highlight w:val="none"/>
        </w:rPr>
        <w:t>4.3.3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承包人对工程总承包项目经理的授权范围: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_Ref4426412 \r \h  \* MERGEFORMAT </w:instrText>
      </w:r>
      <w:r>
        <w:rPr>
          <w:color w:val="auto"/>
          <w:highlight w:val="none"/>
        </w:rPr>
        <w:fldChar w:fldCharType="separate"/>
      </w:r>
      <w:r>
        <w:rPr>
          <w:rFonts w:hint="eastAsia" w:ascii="仿宋" w:hAnsi="仿宋" w:eastAsia="仿宋" w:cs="仿宋"/>
          <w:color w:val="auto"/>
          <w:sz w:val="24"/>
          <w:szCs w:val="24"/>
          <w:highlight w:val="none"/>
        </w:rPr>
        <w:t>4.3.4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承包人擅自更换工程总承包项目经理的违约责任：</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_Ref531952137 \r \h  \* MERGEFORMAT </w:instrText>
      </w:r>
      <w:r>
        <w:rPr>
          <w:color w:val="auto"/>
          <w:highlight w:val="none"/>
        </w:rPr>
        <w:fldChar w:fldCharType="separate"/>
      </w:r>
      <w:r>
        <w:rPr>
          <w:rFonts w:hint="eastAsia" w:ascii="仿宋" w:hAnsi="仿宋" w:eastAsia="仿宋" w:cs="仿宋"/>
          <w:color w:val="auto"/>
          <w:sz w:val="24"/>
          <w:szCs w:val="24"/>
          <w:highlight w:val="none"/>
        </w:rPr>
        <w:t>4.3.5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承包人无正当理由拒绝更换工程总承包项目经理的违约责任:</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_Ref531952172 \r \h  \* MERGEFORMAT </w:instrText>
      </w:r>
      <w:r>
        <w:rPr>
          <w:color w:val="auto"/>
          <w:highlight w:val="none"/>
        </w:rPr>
        <w:fldChar w:fldCharType="separate"/>
      </w:r>
      <w:bookmarkStart w:id="425" w:name="_Toc25548_WPSOffice_Level3"/>
      <w:r>
        <w:rPr>
          <w:rFonts w:hint="eastAsia" w:ascii="仿宋" w:hAnsi="仿宋" w:eastAsia="仿宋" w:cs="仿宋"/>
          <w:color w:val="auto"/>
          <w:sz w:val="24"/>
          <w:szCs w:val="24"/>
          <w:highlight w:val="none"/>
        </w:rPr>
        <w:t>4.4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w:instrText>
      </w:r>
      <w:bookmarkEnd w:id="425"/>
      <w:r>
        <w:rPr>
          <w:rFonts w:hint="eastAsia" w:ascii="仿宋" w:hAnsi="仿宋" w:eastAsia="仿宋" w:cs="仿宋"/>
          <w:color w:val="auto"/>
          <w:szCs w:val="16"/>
          <w:highlight w:val="none"/>
        </w:rPr>
        <w:instrText xml:space="preserve">F _Ref531952175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承包人人员</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_Ref531952185 \r \h  \* MERGEFORMAT </w:instrText>
      </w:r>
      <w:r>
        <w:rPr>
          <w:color w:val="auto"/>
          <w:highlight w:val="none"/>
        </w:rPr>
        <w:fldChar w:fldCharType="separate"/>
      </w:r>
      <w:r>
        <w:rPr>
          <w:rFonts w:hint="eastAsia" w:ascii="仿宋" w:hAnsi="仿宋" w:eastAsia="仿宋" w:cs="仿宋"/>
          <w:color w:val="auto"/>
          <w:sz w:val="24"/>
          <w:szCs w:val="24"/>
          <w:highlight w:val="none"/>
        </w:rPr>
        <w:t>4.4.1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_Ref531952185 \h  \* MERGEFORMAT </w:instrText>
      </w:r>
      <w:r>
        <w:rPr>
          <w:color w:val="auto"/>
          <w:highlight w:val="none"/>
        </w:rPr>
        <w:fldChar w:fldCharType="separate"/>
      </w:r>
      <w:r>
        <w:rPr>
          <w:rFonts w:hint="eastAsia" w:ascii="仿宋" w:hAnsi="仿宋" w:eastAsia="仿宋" w:cs="仿宋"/>
          <w:color w:val="auto"/>
          <w:sz w:val="24"/>
          <w:szCs w:val="24"/>
          <w:highlight w:val="none"/>
        </w:rPr>
        <w:t>人员安排</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承包人提交项目管理机构及施工现场人员安排的报告的期限：</w:t>
      </w:r>
      <w:r>
        <w:rPr>
          <w:rFonts w:hint="eastAsia" w:ascii="仿宋" w:hAnsi="仿宋" w:eastAsia="仿宋" w:cs="仿宋"/>
          <w:color w:val="auto"/>
          <w:sz w:val="24"/>
          <w:szCs w:val="24"/>
          <w:highlight w:val="none"/>
          <w:u w:val="single"/>
        </w:rPr>
        <w:t xml:space="preserve"> 开工前7天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承包人提交关键人员信息及注册执业资格等证明其具备担任关键人员能力的相关文件的期限：</w:t>
      </w:r>
      <w:r>
        <w:rPr>
          <w:rFonts w:hint="eastAsia" w:ascii="仿宋" w:hAnsi="仿宋" w:eastAsia="仿宋" w:cs="仿宋"/>
          <w:color w:val="auto"/>
          <w:sz w:val="24"/>
          <w:szCs w:val="24"/>
          <w:highlight w:val="none"/>
          <w:u w:val="single"/>
        </w:rPr>
        <w:t xml:space="preserve"> 开工前7天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_Ref4426641 \r \h  \* MERGEFORMAT </w:instrText>
      </w:r>
      <w:r>
        <w:rPr>
          <w:color w:val="auto"/>
          <w:highlight w:val="none"/>
        </w:rPr>
        <w:fldChar w:fldCharType="separate"/>
      </w:r>
      <w:r>
        <w:rPr>
          <w:rFonts w:hint="eastAsia" w:ascii="仿宋" w:hAnsi="仿宋" w:eastAsia="仿宋" w:cs="仿宋"/>
          <w:color w:val="auto"/>
          <w:sz w:val="24"/>
          <w:szCs w:val="24"/>
          <w:highlight w:val="none"/>
        </w:rPr>
        <w:t>4.4.2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_Ref4426641 \h  \* MERGEFORMAT </w:instrText>
      </w:r>
      <w:r>
        <w:rPr>
          <w:color w:val="auto"/>
          <w:highlight w:val="none"/>
        </w:rPr>
        <w:fldChar w:fldCharType="separate"/>
      </w:r>
      <w:r>
        <w:rPr>
          <w:rFonts w:hint="eastAsia" w:ascii="仿宋" w:hAnsi="仿宋" w:eastAsia="仿宋" w:cs="仿宋"/>
          <w:color w:val="auto"/>
          <w:sz w:val="24"/>
          <w:szCs w:val="24"/>
          <w:highlight w:val="none"/>
        </w:rPr>
        <w:t>关键人员更换</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承包人擅自更换关键人员的违约责任：</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left="420" w:leftChars="200" w:right="-512" w:rightChars="-244"/>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承包人无正当理由拒绝撤换关键人员的违约责任：</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_Ref531952227 \r \h  \* MERGEFORMAT </w:instrText>
      </w:r>
      <w:r>
        <w:rPr>
          <w:color w:val="auto"/>
          <w:highlight w:val="none"/>
        </w:rPr>
        <w:fldChar w:fldCharType="separate"/>
      </w:r>
      <w:r>
        <w:rPr>
          <w:rFonts w:hint="eastAsia" w:ascii="仿宋" w:hAnsi="仿宋" w:eastAsia="仿宋" w:cs="仿宋"/>
          <w:color w:val="auto"/>
          <w:sz w:val="24"/>
          <w:szCs w:val="24"/>
          <w:highlight w:val="none"/>
        </w:rPr>
        <w:t>4.4.3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_Ref531952227 \h  \* MERGEFORMAT </w:instrText>
      </w:r>
      <w:r>
        <w:rPr>
          <w:color w:val="auto"/>
          <w:highlight w:val="none"/>
        </w:rPr>
        <w:fldChar w:fldCharType="separate"/>
      </w:r>
      <w:r>
        <w:rPr>
          <w:rFonts w:hint="eastAsia" w:ascii="仿宋" w:hAnsi="仿宋" w:eastAsia="仿宋" w:cs="仿宋"/>
          <w:color w:val="auto"/>
          <w:sz w:val="24"/>
          <w:szCs w:val="24"/>
          <w:highlight w:val="none"/>
        </w:rPr>
        <w:t>关键人员在岗要求</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承包人关键人员离开施工现场的批准要求</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承包人关键人员擅自离开施工现场的违约责任：</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_Ref531952259 \r \h  \* MERGEFORMAT </w:instrText>
      </w:r>
      <w:r>
        <w:rPr>
          <w:color w:val="auto"/>
          <w:highlight w:val="none"/>
        </w:rPr>
        <w:fldChar w:fldCharType="separate"/>
      </w:r>
      <w:bookmarkStart w:id="426" w:name="_Toc22986_WPSOffice_Level3"/>
      <w:r>
        <w:rPr>
          <w:rFonts w:hint="eastAsia" w:ascii="仿宋" w:hAnsi="仿宋" w:eastAsia="仿宋" w:cs="仿宋"/>
          <w:color w:val="auto"/>
          <w:sz w:val="24"/>
          <w:szCs w:val="24"/>
          <w:highlight w:val="none"/>
        </w:rPr>
        <w:t>4.5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bookmarkEnd w:id="426"/>
      <w:r>
        <w:rPr>
          <w:rFonts w:hint="eastAsia" w:ascii="仿宋" w:hAnsi="仿宋" w:eastAsia="仿宋" w:cs="仿宋"/>
          <w:color w:val="auto"/>
          <w:szCs w:val="16"/>
          <w:highlight w:val="none"/>
        </w:rPr>
        <w:instrText xml:space="preserve"> REF _Ref531952262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分包</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_Ref531952273 \r \h  \* MERGEFORMAT </w:instrText>
      </w:r>
      <w:r>
        <w:rPr>
          <w:color w:val="auto"/>
          <w:highlight w:val="none"/>
        </w:rPr>
        <w:fldChar w:fldCharType="separate"/>
      </w:r>
      <w:r>
        <w:rPr>
          <w:rFonts w:hint="eastAsia" w:ascii="仿宋" w:hAnsi="仿宋" w:eastAsia="仿宋" w:cs="仿宋"/>
          <w:color w:val="auto"/>
          <w:sz w:val="24"/>
          <w:szCs w:val="24"/>
          <w:highlight w:val="none"/>
        </w:rPr>
        <w:t>4.5.1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_Ref531952273 \h  \* MERGEFORMAT </w:instrText>
      </w:r>
      <w:r>
        <w:rPr>
          <w:color w:val="auto"/>
          <w:highlight w:val="none"/>
        </w:rPr>
        <w:fldChar w:fldCharType="separate"/>
      </w:r>
      <w:r>
        <w:rPr>
          <w:rFonts w:hint="eastAsia" w:ascii="仿宋" w:hAnsi="仿宋" w:eastAsia="仿宋" w:cs="仿宋"/>
          <w:color w:val="auto"/>
          <w:sz w:val="24"/>
          <w:szCs w:val="24"/>
          <w:highlight w:val="none"/>
        </w:rPr>
        <w:t>一般约定</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禁止分包的工程包括：</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_Ref531952286 \r \h  \* MERGEFORMAT </w:instrText>
      </w:r>
      <w:r>
        <w:rPr>
          <w:color w:val="auto"/>
          <w:highlight w:val="none"/>
        </w:rPr>
        <w:fldChar w:fldCharType="separate"/>
      </w:r>
      <w:r>
        <w:rPr>
          <w:rFonts w:hint="eastAsia" w:ascii="仿宋" w:hAnsi="仿宋" w:eastAsia="仿宋" w:cs="仿宋"/>
          <w:color w:val="auto"/>
          <w:sz w:val="24"/>
          <w:szCs w:val="24"/>
          <w:highlight w:val="none"/>
        </w:rPr>
        <w:t>4.5.2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_Ref531952286 \h  \* MERGEFORMAT </w:instrText>
      </w:r>
      <w:r>
        <w:rPr>
          <w:color w:val="auto"/>
          <w:highlight w:val="none"/>
        </w:rPr>
        <w:fldChar w:fldCharType="separate"/>
      </w:r>
      <w:r>
        <w:rPr>
          <w:rFonts w:hint="eastAsia" w:ascii="仿宋" w:hAnsi="仿宋" w:eastAsia="仿宋" w:cs="仿宋"/>
          <w:color w:val="auto"/>
          <w:sz w:val="24"/>
          <w:szCs w:val="24"/>
          <w:highlight w:val="none"/>
        </w:rPr>
        <w:t>分包的确定</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允许分包的专业工程包括：</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其他关于分包的约定：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_Ref531952298 \r \h  \* MERGEFORMAT </w:instrText>
      </w:r>
      <w:r>
        <w:rPr>
          <w:color w:val="auto"/>
          <w:highlight w:val="none"/>
        </w:rPr>
        <w:fldChar w:fldCharType="separate"/>
      </w:r>
      <w:r>
        <w:rPr>
          <w:rFonts w:hint="eastAsia" w:ascii="仿宋" w:hAnsi="仿宋" w:eastAsia="仿宋" w:cs="仿宋"/>
          <w:color w:val="auto"/>
          <w:sz w:val="24"/>
          <w:szCs w:val="24"/>
          <w:highlight w:val="none"/>
        </w:rPr>
        <w:t>4.5.5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_Ref531952298 \h  \* MERGEFORMAT </w:instrText>
      </w:r>
      <w:r>
        <w:rPr>
          <w:color w:val="auto"/>
          <w:highlight w:val="none"/>
        </w:rPr>
        <w:fldChar w:fldCharType="separate"/>
      </w:r>
      <w:r>
        <w:rPr>
          <w:rFonts w:hint="eastAsia" w:ascii="仿宋" w:hAnsi="仿宋" w:eastAsia="仿宋" w:cs="仿宋"/>
          <w:color w:val="auto"/>
          <w:sz w:val="24"/>
          <w:szCs w:val="24"/>
          <w:highlight w:val="none"/>
        </w:rPr>
        <w:t>分包合同价款支付</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关于分包合同价款支付的约定：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_Ref4426916 \r \h  \* MERGEFORMAT </w:instrText>
      </w:r>
      <w:r>
        <w:rPr>
          <w:color w:val="auto"/>
          <w:highlight w:val="none"/>
        </w:rPr>
        <w:fldChar w:fldCharType="separate"/>
      </w:r>
      <w:bookmarkStart w:id="427" w:name="_Toc18112_WPSOffice_Level3"/>
      <w:r>
        <w:rPr>
          <w:rFonts w:hint="eastAsia" w:ascii="仿宋" w:hAnsi="仿宋" w:eastAsia="仿宋" w:cs="仿宋"/>
          <w:color w:val="auto"/>
          <w:sz w:val="24"/>
          <w:szCs w:val="24"/>
          <w:highlight w:val="none"/>
        </w:rPr>
        <w:t>4.6</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w:instrText>
      </w:r>
      <w:bookmarkEnd w:id="427"/>
      <w:r>
        <w:rPr>
          <w:rFonts w:hint="eastAsia" w:ascii="仿宋" w:hAnsi="仿宋" w:eastAsia="仿宋" w:cs="仿宋"/>
          <w:color w:val="auto"/>
          <w:szCs w:val="16"/>
          <w:highlight w:val="none"/>
        </w:rPr>
        <w:instrText xml:space="preserve">REF _Ref4426916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联合体</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联合体各成员的分工、费用收取、发票开具等事项：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_Ref11926629 \r \h  \* MERGEFORMAT </w:instrText>
      </w:r>
      <w:r>
        <w:rPr>
          <w:color w:val="auto"/>
          <w:highlight w:val="none"/>
        </w:rPr>
        <w:fldChar w:fldCharType="separate"/>
      </w:r>
      <w:bookmarkStart w:id="428" w:name="_Toc27321_WPSOffice_Level3"/>
      <w:r>
        <w:rPr>
          <w:rFonts w:hint="eastAsia" w:ascii="仿宋" w:hAnsi="仿宋" w:eastAsia="仿宋" w:cs="仿宋"/>
          <w:color w:val="auto"/>
          <w:sz w:val="24"/>
          <w:szCs w:val="24"/>
          <w:highlight w:val="none"/>
        </w:rPr>
        <w:t>4.7</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w:instrText>
      </w:r>
      <w:bookmarkEnd w:id="428"/>
      <w:r>
        <w:rPr>
          <w:rFonts w:hint="eastAsia" w:ascii="仿宋" w:hAnsi="仿宋" w:eastAsia="仿宋" w:cs="仿宋"/>
          <w:color w:val="auto"/>
          <w:szCs w:val="16"/>
          <w:highlight w:val="none"/>
        </w:rPr>
        <w:instrText xml:space="preserve">_Ref11926631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承包人现场查勘</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双方当事人对现场查勘的责任承担的约定：</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_Ref11918693 \r \h  \* MERGEFORMAT </w:instrText>
      </w:r>
      <w:r>
        <w:rPr>
          <w:color w:val="auto"/>
          <w:highlight w:val="none"/>
        </w:rPr>
        <w:fldChar w:fldCharType="separate"/>
      </w:r>
      <w:bookmarkStart w:id="429" w:name="_Toc30514_WPSOffice_Level3"/>
      <w:r>
        <w:rPr>
          <w:rFonts w:hint="eastAsia" w:ascii="仿宋" w:hAnsi="仿宋" w:eastAsia="仿宋" w:cs="仿宋"/>
          <w:color w:val="auto"/>
          <w:sz w:val="24"/>
          <w:szCs w:val="24"/>
          <w:highlight w:val="none"/>
        </w:rPr>
        <w:t>4.8</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w:instrText>
      </w:r>
      <w:bookmarkEnd w:id="429"/>
      <w:r>
        <w:rPr>
          <w:rFonts w:hint="eastAsia" w:ascii="仿宋" w:hAnsi="仿宋" w:eastAsia="仿宋" w:cs="仿宋"/>
          <w:color w:val="auto"/>
          <w:szCs w:val="16"/>
          <w:highlight w:val="none"/>
        </w:rPr>
        <w:instrText xml:space="preserve">_Ref11918626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不可预见的困难</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不可预见的困难包括：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_Ref11926566 \r \h  \* MERGEFORMAT </w:instrText>
      </w:r>
      <w:r>
        <w:rPr>
          <w:color w:val="auto"/>
          <w:highlight w:val="none"/>
        </w:rPr>
        <w:fldChar w:fldCharType="separate"/>
      </w:r>
      <w:bookmarkStart w:id="430" w:name="_Toc32204_WPSOffice_Level3"/>
      <w:r>
        <w:rPr>
          <w:rFonts w:hint="eastAsia" w:ascii="仿宋" w:hAnsi="仿宋" w:eastAsia="仿宋" w:cs="仿宋"/>
          <w:color w:val="auto"/>
          <w:sz w:val="24"/>
          <w:szCs w:val="24"/>
          <w:highlight w:val="none"/>
        </w:rPr>
        <w:t>4.9</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w:instrText>
      </w:r>
      <w:bookmarkEnd w:id="430"/>
      <w:r>
        <w:rPr>
          <w:rFonts w:hint="eastAsia" w:ascii="仿宋" w:hAnsi="仿宋" w:eastAsia="仿宋" w:cs="仿宋"/>
          <w:color w:val="auto"/>
          <w:szCs w:val="16"/>
          <w:highlight w:val="none"/>
        </w:rPr>
        <w:instrText xml:space="preserve"> _Ref11926570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工程质量管理</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工程质量的特殊标准或要求：</w:t>
      </w:r>
      <w:r>
        <w:rPr>
          <w:rFonts w:hint="eastAsia" w:ascii="仿宋" w:hAnsi="仿宋" w:eastAsia="仿宋" w:cs="仿宋"/>
          <w:color w:val="auto"/>
          <w:sz w:val="24"/>
          <w:szCs w:val="24"/>
          <w:highlight w:val="none"/>
          <w:u w:val="single"/>
        </w:rPr>
        <w:t xml:space="preserve">           无              </w:t>
      </w:r>
      <w:r>
        <w:rPr>
          <w:rFonts w:hint="eastAsia" w:ascii="仿宋" w:hAnsi="仿宋" w:eastAsia="仿宋" w:cs="仿宋"/>
          <w:color w:val="auto"/>
          <w:sz w:val="24"/>
          <w:szCs w:val="24"/>
          <w:highlight w:val="none"/>
        </w:rPr>
        <w:t>。</w:t>
      </w:r>
    </w:p>
    <w:p>
      <w:pPr>
        <w:pStyle w:val="196"/>
        <w:spacing w:after="120"/>
        <w:ind w:right="-512" w:rightChars="-244"/>
        <w:rPr>
          <w:rFonts w:ascii="仿宋" w:hAnsi="仿宋" w:eastAsia="仿宋" w:cs="仿宋"/>
          <w:b w:val="0"/>
          <w:color w:val="auto"/>
          <w:sz w:val="24"/>
          <w:szCs w:val="18"/>
          <w:highlight w:val="none"/>
        </w:rPr>
      </w:pPr>
      <w:bookmarkStart w:id="431" w:name="_Toc506"/>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REF _Ref531952837 \r \h  \* MERGEFORMAT </w:instrText>
      </w:r>
      <w:r>
        <w:rPr>
          <w:rFonts w:hint="eastAsia" w:ascii="仿宋" w:hAnsi="仿宋" w:eastAsia="仿宋" w:cs="仿宋"/>
          <w:color w:val="auto"/>
          <w:sz w:val="22"/>
          <w:szCs w:val="16"/>
          <w:highlight w:val="none"/>
        </w:rPr>
        <w:fldChar w:fldCharType="separate"/>
      </w:r>
      <w:bookmarkStart w:id="432" w:name="_Toc26206_WPSOffice_Level3"/>
      <w:bookmarkStart w:id="433" w:name="_Toc20171878"/>
      <w:r>
        <w:rPr>
          <w:rFonts w:hint="eastAsia" w:ascii="仿宋" w:hAnsi="仿宋" w:eastAsia="仿宋" w:cs="仿宋"/>
          <w:b w:val="0"/>
          <w:color w:val="auto"/>
          <w:sz w:val="24"/>
          <w:szCs w:val="18"/>
          <w:highlight w:val="none"/>
        </w:rPr>
        <w:t>第5条</w:t>
      </w:r>
      <w:r>
        <w:rPr>
          <w:rFonts w:hint="eastAsia" w:ascii="仿宋" w:hAnsi="仿宋" w:eastAsia="仿宋" w:cs="仿宋"/>
          <w:b w:val="0"/>
          <w:color w:val="auto"/>
          <w:sz w:val="24"/>
          <w:szCs w:val="18"/>
          <w:highlight w:val="none"/>
        </w:rPr>
        <w:fldChar w:fldCharType="end"/>
      </w:r>
      <w:r>
        <w:rPr>
          <w:rFonts w:hint="eastAsia" w:ascii="仿宋" w:hAnsi="仿宋" w:eastAsia="仿宋" w:cs="仿宋"/>
          <w:b w:val="0"/>
          <w:color w:val="auto"/>
          <w:sz w:val="24"/>
          <w:szCs w:val="18"/>
          <w:highlight w:val="none"/>
        </w:rPr>
        <w:t xml:space="preserve"> </w:t>
      </w:r>
      <w:r>
        <w:rPr>
          <w:rFonts w:hint="eastAsia" w:ascii="仿宋" w:hAnsi="仿宋" w:eastAsia="仿宋" w:cs="仿宋"/>
          <w:color w:val="auto"/>
          <w:sz w:val="22"/>
          <w:szCs w:val="16"/>
          <w:highlight w:val="none"/>
        </w:rPr>
        <w:fldChar w:fldCharType="begin"/>
      </w:r>
      <w:bookmarkEnd w:id="432"/>
      <w:r>
        <w:rPr>
          <w:rFonts w:hint="eastAsia" w:ascii="仿宋" w:hAnsi="仿宋" w:eastAsia="仿宋" w:cs="仿宋"/>
          <w:color w:val="auto"/>
          <w:sz w:val="22"/>
          <w:szCs w:val="16"/>
          <w:highlight w:val="none"/>
        </w:rPr>
        <w:instrText xml:space="preserve"> REF _Ref531952837 \h  \* MERGEFORMAT </w:instrText>
      </w:r>
      <w:r>
        <w:rPr>
          <w:rFonts w:hint="eastAsia" w:ascii="仿宋" w:hAnsi="仿宋" w:eastAsia="仿宋" w:cs="仿宋"/>
          <w:color w:val="auto"/>
          <w:sz w:val="22"/>
          <w:szCs w:val="16"/>
          <w:highlight w:val="none"/>
        </w:rPr>
        <w:fldChar w:fldCharType="separate"/>
      </w:r>
      <w:r>
        <w:rPr>
          <w:rFonts w:hint="eastAsia" w:ascii="仿宋" w:hAnsi="仿宋" w:eastAsia="仿宋" w:cs="仿宋"/>
          <w:b w:val="0"/>
          <w:color w:val="auto"/>
          <w:sz w:val="24"/>
          <w:szCs w:val="18"/>
          <w:highlight w:val="none"/>
        </w:rPr>
        <w:t>设计</w:t>
      </w:r>
      <w:bookmarkEnd w:id="433"/>
      <w:r>
        <w:rPr>
          <w:rFonts w:hint="eastAsia" w:ascii="仿宋" w:hAnsi="仿宋" w:eastAsia="仿宋" w:cs="仿宋"/>
          <w:b w:val="0"/>
          <w:color w:val="auto"/>
          <w:sz w:val="24"/>
          <w:szCs w:val="18"/>
          <w:highlight w:val="none"/>
        </w:rPr>
        <w:fldChar w:fldCharType="end"/>
      </w:r>
      <w:bookmarkEnd w:id="431"/>
      <w:r>
        <w:rPr>
          <w:rFonts w:hint="eastAsia" w:ascii="仿宋" w:hAnsi="仿宋" w:eastAsia="仿宋" w:cs="仿宋"/>
          <w:b w:val="0"/>
          <w:color w:val="auto"/>
          <w:sz w:val="24"/>
          <w:szCs w:val="18"/>
          <w:highlight w:val="none"/>
        </w:rPr>
        <w:t xml:space="preserve"> </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_Ref531953051 \r \h  \* MERGEFORMAT </w:instrText>
      </w:r>
      <w:r>
        <w:rPr>
          <w:color w:val="auto"/>
          <w:highlight w:val="none"/>
        </w:rPr>
        <w:fldChar w:fldCharType="separate"/>
      </w:r>
      <w:bookmarkStart w:id="434" w:name="_Toc30263_WPSOffice_Level3"/>
      <w:r>
        <w:rPr>
          <w:rFonts w:hint="eastAsia" w:ascii="仿宋" w:hAnsi="仿宋" w:eastAsia="仿宋" w:cs="仿宋"/>
          <w:color w:val="auto"/>
          <w:sz w:val="24"/>
          <w:szCs w:val="24"/>
          <w:highlight w:val="none"/>
        </w:rPr>
        <w:t>5.2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34"/>
      <w:r>
        <w:rPr>
          <w:rFonts w:hint="eastAsia" w:ascii="仿宋" w:hAnsi="仿宋" w:eastAsia="仿宋" w:cs="仿宋"/>
          <w:color w:val="auto"/>
          <w:szCs w:val="16"/>
          <w:highlight w:val="none"/>
        </w:rPr>
        <w:instrText xml:space="preserve">EF _Ref531953054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设计审查</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设计文件审查的期限：</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_Ref531953064 \r \h  \* MERGEFORMAT </w:instrText>
      </w:r>
      <w:r>
        <w:rPr>
          <w:color w:val="auto"/>
          <w:highlight w:val="none"/>
        </w:rPr>
        <w:fldChar w:fldCharType="separate"/>
      </w:r>
      <w:r>
        <w:rPr>
          <w:rFonts w:hint="eastAsia" w:ascii="仿宋" w:hAnsi="仿宋" w:eastAsia="仿宋" w:cs="仿宋"/>
          <w:color w:val="auto"/>
          <w:sz w:val="24"/>
          <w:szCs w:val="24"/>
          <w:highlight w:val="none"/>
        </w:rPr>
        <w:t>5.2.1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审查会议的审查形式和时间安排为：</w:t>
      </w:r>
      <w:r>
        <w:rPr>
          <w:rFonts w:hint="eastAsia" w:ascii="仿宋" w:hAnsi="仿宋" w:eastAsia="仿宋" w:cs="仿宋"/>
          <w:color w:val="auto"/>
          <w:sz w:val="24"/>
          <w:szCs w:val="24"/>
          <w:highlight w:val="none"/>
          <w:u w:val="single"/>
        </w:rPr>
        <w:t xml:space="preserve">  另约   </w:t>
      </w:r>
      <w:r>
        <w:rPr>
          <w:rFonts w:hint="eastAsia" w:ascii="仿宋" w:hAnsi="仿宋" w:eastAsia="仿宋" w:cs="仿宋"/>
          <w:color w:val="auto"/>
          <w:sz w:val="24"/>
          <w:szCs w:val="24"/>
          <w:highlight w:val="none"/>
        </w:rPr>
        <w:t>，审查会议的相关费用由</w:t>
      </w:r>
      <w:r>
        <w:rPr>
          <w:rFonts w:hint="eastAsia" w:ascii="仿宋" w:hAnsi="仿宋" w:eastAsia="仿宋" w:cs="仿宋"/>
          <w:color w:val="auto"/>
          <w:sz w:val="24"/>
          <w:szCs w:val="24"/>
          <w:highlight w:val="none"/>
          <w:u w:val="single"/>
        </w:rPr>
        <w:t xml:space="preserve">                  承包人 </w:t>
      </w:r>
      <w:r>
        <w:rPr>
          <w:rFonts w:hint="eastAsia" w:ascii="仿宋" w:hAnsi="仿宋" w:eastAsia="仿宋" w:cs="仿宋"/>
          <w:color w:val="auto"/>
          <w:sz w:val="24"/>
          <w:szCs w:val="24"/>
          <w:highlight w:val="none"/>
        </w:rPr>
        <w:t>承担。</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_Ref531953095 \r \h  \* MERGEFORMAT </w:instrText>
      </w:r>
      <w:r>
        <w:rPr>
          <w:color w:val="auto"/>
          <w:highlight w:val="none"/>
        </w:rPr>
        <w:fldChar w:fldCharType="separate"/>
      </w:r>
      <w:bookmarkStart w:id="435" w:name="_Toc28139_WPSOffice_Level3"/>
      <w:r>
        <w:rPr>
          <w:rFonts w:hint="eastAsia" w:ascii="仿宋" w:hAnsi="仿宋" w:eastAsia="仿宋" w:cs="仿宋"/>
          <w:color w:val="auto"/>
          <w:sz w:val="24"/>
          <w:szCs w:val="24"/>
          <w:highlight w:val="none"/>
        </w:rPr>
        <w:t>5.3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bookmarkEnd w:id="435"/>
      <w:r>
        <w:rPr>
          <w:rFonts w:hint="eastAsia" w:ascii="仿宋" w:hAnsi="仿宋" w:eastAsia="仿宋" w:cs="仿宋"/>
          <w:color w:val="auto"/>
          <w:szCs w:val="16"/>
          <w:highlight w:val="none"/>
        </w:rPr>
        <w:instrText xml:space="preserve"> REF _Ref531953097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培训</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培训的时长为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，承包人应为培训提供的人员、设施和其它必要条件为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_Ref531953105 \r \h  \* MERGEFORMAT </w:instrText>
      </w:r>
      <w:r>
        <w:rPr>
          <w:color w:val="auto"/>
          <w:highlight w:val="none"/>
        </w:rPr>
        <w:fldChar w:fldCharType="separate"/>
      </w:r>
      <w:bookmarkStart w:id="436" w:name="_Toc17731_WPSOffice_Level3"/>
      <w:r>
        <w:rPr>
          <w:rFonts w:hint="eastAsia" w:ascii="仿宋" w:hAnsi="仿宋" w:eastAsia="仿宋" w:cs="仿宋"/>
          <w:color w:val="auto"/>
          <w:sz w:val="24"/>
          <w:szCs w:val="24"/>
          <w:highlight w:val="none"/>
        </w:rPr>
        <w:t>5.4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36"/>
      <w:r>
        <w:rPr>
          <w:rFonts w:hint="eastAsia" w:ascii="仿宋" w:hAnsi="仿宋" w:eastAsia="仿宋" w:cs="仿宋"/>
          <w:color w:val="auto"/>
          <w:szCs w:val="16"/>
          <w:highlight w:val="none"/>
        </w:rPr>
        <w:instrText xml:space="preserve">EF _Ref531953108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竣工文件</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_Ref531953134 \r \h  \* MERGEFORMAT </w:instrText>
      </w:r>
      <w:r>
        <w:rPr>
          <w:color w:val="auto"/>
          <w:highlight w:val="none"/>
        </w:rPr>
        <w:fldChar w:fldCharType="separate"/>
      </w:r>
      <w:r>
        <w:rPr>
          <w:rFonts w:hint="eastAsia" w:ascii="仿宋" w:hAnsi="仿宋" w:eastAsia="仿宋" w:cs="仿宋"/>
          <w:color w:val="auto"/>
          <w:sz w:val="24"/>
          <w:szCs w:val="24"/>
          <w:highlight w:val="none"/>
        </w:rPr>
        <w:t>5.4.1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竣工文件的形式、提供的份数、技术标准以及其它相关要求：</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_Ref531953117 \r \h  \* MERGEFORMAT </w:instrText>
      </w:r>
      <w:r>
        <w:rPr>
          <w:color w:val="auto"/>
          <w:highlight w:val="none"/>
        </w:rPr>
        <w:fldChar w:fldCharType="separate"/>
      </w:r>
      <w:bookmarkStart w:id="437" w:name="_Toc10069_WPSOffice_Level3"/>
      <w:r>
        <w:rPr>
          <w:rFonts w:hint="eastAsia" w:ascii="仿宋" w:hAnsi="仿宋" w:eastAsia="仿宋" w:cs="仿宋"/>
          <w:color w:val="auto"/>
          <w:sz w:val="24"/>
          <w:szCs w:val="24"/>
          <w:highlight w:val="none"/>
        </w:rPr>
        <w:t>5.5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w:instrText>
      </w:r>
      <w:bookmarkEnd w:id="437"/>
      <w:r>
        <w:rPr>
          <w:rFonts w:hint="eastAsia" w:ascii="仿宋" w:hAnsi="仿宋" w:eastAsia="仿宋" w:cs="仿宋"/>
          <w:color w:val="auto"/>
          <w:szCs w:val="16"/>
          <w:highlight w:val="none"/>
        </w:rPr>
        <w:instrText xml:space="preserve">_Ref531953119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操作和维修手册</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_Ref531953145 \r \h  \* MERGEFORMAT </w:instrText>
      </w:r>
      <w:r>
        <w:rPr>
          <w:color w:val="auto"/>
          <w:highlight w:val="none"/>
        </w:rPr>
        <w:fldChar w:fldCharType="separate"/>
      </w:r>
      <w:r>
        <w:rPr>
          <w:rFonts w:hint="eastAsia" w:ascii="仿宋" w:hAnsi="仿宋" w:eastAsia="仿宋" w:cs="仿宋"/>
          <w:color w:val="auto"/>
          <w:sz w:val="24"/>
          <w:szCs w:val="24"/>
          <w:highlight w:val="none"/>
        </w:rPr>
        <w:t>5.5.1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对操作和维修手册的其它要求：</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pStyle w:val="196"/>
        <w:spacing w:after="120"/>
        <w:ind w:right="-512" w:rightChars="-244"/>
        <w:rPr>
          <w:rFonts w:ascii="仿宋" w:hAnsi="仿宋" w:eastAsia="仿宋" w:cs="仿宋"/>
          <w:b w:val="0"/>
          <w:color w:val="auto"/>
          <w:sz w:val="24"/>
          <w:szCs w:val="18"/>
          <w:highlight w:val="none"/>
        </w:rPr>
      </w:pPr>
      <w:bookmarkStart w:id="438" w:name="_Toc12253"/>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REF _Ref531953761 \r \h  \* MERGEFORMAT </w:instrText>
      </w:r>
      <w:r>
        <w:rPr>
          <w:rFonts w:hint="eastAsia" w:ascii="仿宋" w:hAnsi="仿宋" w:eastAsia="仿宋" w:cs="仿宋"/>
          <w:color w:val="auto"/>
          <w:sz w:val="22"/>
          <w:szCs w:val="16"/>
          <w:highlight w:val="none"/>
        </w:rPr>
        <w:fldChar w:fldCharType="separate"/>
      </w:r>
      <w:bookmarkStart w:id="439" w:name="_Toc7811_WPSOffice_Level3"/>
      <w:bookmarkStart w:id="440" w:name="_Toc20171879"/>
      <w:r>
        <w:rPr>
          <w:rFonts w:hint="eastAsia" w:ascii="仿宋" w:hAnsi="仿宋" w:eastAsia="仿宋" w:cs="仿宋"/>
          <w:b w:val="0"/>
          <w:color w:val="auto"/>
          <w:sz w:val="24"/>
          <w:szCs w:val="18"/>
          <w:highlight w:val="none"/>
        </w:rPr>
        <w:t>第6条</w:t>
      </w:r>
      <w:r>
        <w:rPr>
          <w:rFonts w:hint="eastAsia" w:ascii="仿宋" w:hAnsi="仿宋" w:eastAsia="仿宋" w:cs="仿宋"/>
          <w:b w:val="0"/>
          <w:color w:val="auto"/>
          <w:sz w:val="24"/>
          <w:szCs w:val="18"/>
          <w:highlight w:val="none"/>
        </w:rPr>
        <w:fldChar w:fldCharType="end"/>
      </w:r>
      <w:r>
        <w:rPr>
          <w:rFonts w:hint="eastAsia" w:ascii="仿宋" w:hAnsi="仿宋" w:eastAsia="仿宋" w:cs="仿宋"/>
          <w:b w:val="0"/>
          <w:color w:val="auto"/>
          <w:sz w:val="24"/>
          <w:szCs w:val="18"/>
          <w:highlight w:val="none"/>
        </w:rPr>
        <w:t xml:space="preserve"> </w:t>
      </w:r>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REF _Re</w:instrText>
      </w:r>
      <w:bookmarkEnd w:id="439"/>
      <w:r>
        <w:rPr>
          <w:rFonts w:hint="eastAsia" w:ascii="仿宋" w:hAnsi="仿宋" w:eastAsia="仿宋" w:cs="仿宋"/>
          <w:color w:val="auto"/>
          <w:sz w:val="22"/>
          <w:szCs w:val="16"/>
          <w:highlight w:val="none"/>
        </w:rPr>
        <w:instrText xml:space="preserve">f531953765 \h  \* MERGEFORMAT </w:instrText>
      </w:r>
      <w:r>
        <w:rPr>
          <w:rFonts w:hint="eastAsia" w:ascii="仿宋" w:hAnsi="仿宋" w:eastAsia="仿宋" w:cs="仿宋"/>
          <w:color w:val="auto"/>
          <w:sz w:val="22"/>
          <w:szCs w:val="16"/>
          <w:highlight w:val="none"/>
        </w:rPr>
        <w:fldChar w:fldCharType="separate"/>
      </w:r>
      <w:r>
        <w:rPr>
          <w:rFonts w:hint="eastAsia" w:ascii="仿宋" w:hAnsi="仿宋" w:eastAsia="仿宋" w:cs="仿宋"/>
          <w:b w:val="0"/>
          <w:color w:val="auto"/>
          <w:sz w:val="24"/>
          <w:szCs w:val="18"/>
          <w:highlight w:val="none"/>
        </w:rPr>
        <w:t>材料、工程设备和工艺</w:t>
      </w:r>
      <w:bookmarkEnd w:id="440"/>
      <w:r>
        <w:rPr>
          <w:rFonts w:hint="eastAsia" w:ascii="仿宋" w:hAnsi="仿宋" w:eastAsia="仿宋" w:cs="仿宋"/>
          <w:b w:val="0"/>
          <w:color w:val="auto"/>
          <w:sz w:val="24"/>
          <w:szCs w:val="18"/>
          <w:highlight w:val="none"/>
        </w:rPr>
        <w:fldChar w:fldCharType="end"/>
      </w:r>
      <w:bookmarkEnd w:id="438"/>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_Ref531953828 \r \h  \* MERGEFORMAT </w:instrText>
      </w:r>
      <w:r>
        <w:rPr>
          <w:color w:val="auto"/>
          <w:highlight w:val="none"/>
        </w:rPr>
        <w:fldChar w:fldCharType="separate"/>
      </w:r>
      <w:bookmarkStart w:id="441" w:name="_Toc8127_WPSOffice_Level3"/>
      <w:r>
        <w:rPr>
          <w:rFonts w:hint="eastAsia" w:ascii="仿宋" w:hAnsi="仿宋" w:eastAsia="仿宋" w:cs="仿宋"/>
          <w:color w:val="auto"/>
          <w:sz w:val="24"/>
          <w:szCs w:val="24"/>
          <w:highlight w:val="none"/>
        </w:rPr>
        <w:t>6.1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41"/>
      <w:r>
        <w:rPr>
          <w:rFonts w:hint="eastAsia" w:ascii="仿宋" w:hAnsi="仿宋" w:eastAsia="仿宋" w:cs="仿宋"/>
          <w:color w:val="auto"/>
          <w:szCs w:val="16"/>
          <w:highlight w:val="none"/>
        </w:rPr>
        <w:instrText xml:space="preserve">EF _Ref531953832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实施方法</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双方当事人约定的实施方法和材料：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_Ref4427594 \r \h  \* MERGEFORMAT </w:instrText>
      </w:r>
      <w:r>
        <w:rPr>
          <w:color w:val="auto"/>
          <w:highlight w:val="none"/>
        </w:rPr>
        <w:fldChar w:fldCharType="separate"/>
      </w:r>
      <w:bookmarkStart w:id="442" w:name="_Toc27364_WPSOffice_Level3"/>
      <w:r>
        <w:rPr>
          <w:rFonts w:hint="eastAsia" w:ascii="仿宋" w:hAnsi="仿宋" w:eastAsia="仿宋" w:cs="仿宋"/>
          <w:color w:val="auto"/>
          <w:sz w:val="24"/>
          <w:szCs w:val="24"/>
          <w:highlight w:val="none"/>
        </w:rPr>
        <w:t>6.2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w:instrText>
      </w:r>
      <w:bookmarkEnd w:id="442"/>
      <w:r>
        <w:rPr>
          <w:rFonts w:hint="eastAsia" w:ascii="仿宋" w:hAnsi="仿宋" w:eastAsia="仿宋" w:cs="仿宋"/>
          <w:color w:val="auto"/>
          <w:szCs w:val="16"/>
          <w:highlight w:val="none"/>
        </w:rPr>
        <w:instrText xml:space="preserve">_Ref11926422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材料和工程设备</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_Ref11960295 \r \h  \* MERGEFORMAT </w:instrText>
      </w:r>
      <w:r>
        <w:rPr>
          <w:color w:val="auto"/>
          <w:highlight w:val="none"/>
        </w:rPr>
        <w:fldChar w:fldCharType="separate"/>
      </w:r>
      <w:r>
        <w:rPr>
          <w:rFonts w:hint="eastAsia" w:ascii="仿宋" w:hAnsi="仿宋" w:eastAsia="仿宋" w:cs="仿宋"/>
          <w:color w:val="auto"/>
          <w:sz w:val="24"/>
          <w:szCs w:val="24"/>
          <w:highlight w:val="none"/>
        </w:rPr>
        <w:t>6.2.1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_Ref11960295 \h  \* MERGEFORMAT </w:instrText>
      </w:r>
      <w:r>
        <w:rPr>
          <w:color w:val="auto"/>
          <w:highlight w:val="none"/>
        </w:rPr>
        <w:fldChar w:fldCharType="separate"/>
      </w:r>
      <w:r>
        <w:rPr>
          <w:rFonts w:hint="eastAsia" w:ascii="仿宋" w:hAnsi="仿宋" w:eastAsia="仿宋" w:cs="仿宋"/>
          <w:color w:val="auto"/>
          <w:sz w:val="24"/>
          <w:szCs w:val="24"/>
          <w:highlight w:val="none"/>
        </w:rPr>
        <w:t>发包人提供的材料和工程设备</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发包人提供的材料和工程设备验收后，由</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负责接收、运输和保管。</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_Ref531953918 \r \h  \* MERGEFORMAT </w:instrText>
      </w:r>
      <w:r>
        <w:rPr>
          <w:color w:val="auto"/>
          <w:highlight w:val="none"/>
        </w:rPr>
        <w:fldChar w:fldCharType="separate"/>
      </w:r>
      <w:r>
        <w:rPr>
          <w:rFonts w:hint="eastAsia" w:ascii="仿宋" w:hAnsi="仿宋" w:eastAsia="仿宋" w:cs="仿宋"/>
          <w:color w:val="auto"/>
          <w:sz w:val="24"/>
          <w:szCs w:val="24"/>
          <w:highlight w:val="none"/>
        </w:rPr>
        <w:t>6.2.2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_Ref531953918 \h  \* MERGEFORMAT </w:instrText>
      </w:r>
      <w:r>
        <w:rPr>
          <w:color w:val="auto"/>
          <w:highlight w:val="none"/>
        </w:rPr>
        <w:fldChar w:fldCharType="separate"/>
      </w:r>
      <w:r>
        <w:rPr>
          <w:rFonts w:hint="eastAsia" w:ascii="仿宋" w:hAnsi="仿宋" w:eastAsia="仿宋" w:cs="仿宋"/>
          <w:color w:val="auto"/>
          <w:sz w:val="24"/>
          <w:szCs w:val="24"/>
          <w:highlight w:val="none"/>
        </w:rPr>
        <w:t>承包人提供的材料和工程设备</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材料和工程设备的类别、估算数量：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竣工后试验的生产性材料的类别或（和）清单：</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_Ref531953991 \r \h  \* MERGEFORMAT </w:instrText>
      </w:r>
      <w:r>
        <w:rPr>
          <w:color w:val="auto"/>
          <w:highlight w:val="none"/>
        </w:rPr>
        <w:fldChar w:fldCharType="separate"/>
      </w:r>
      <w:r>
        <w:rPr>
          <w:rFonts w:hint="eastAsia" w:ascii="仿宋" w:hAnsi="仿宋" w:eastAsia="仿宋" w:cs="仿宋"/>
          <w:color w:val="auto"/>
          <w:sz w:val="24"/>
          <w:szCs w:val="24"/>
          <w:highlight w:val="none"/>
        </w:rPr>
        <w:t>6.2.3</w:t>
      </w:r>
      <w:r>
        <w:rPr>
          <w:rFonts w:hint="eastAsia" w:ascii="仿宋" w:hAnsi="仿宋" w:eastAsia="仿宋" w:cs="仿宋"/>
          <w:color w:val="auto"/>
          <w:sz w:val="24"/>
          <w:szCs w:val="24"/>
          <w:highlight w:val="none"/>
        </w:rPr>
        <w:fldChar w:fldCharType="end"/>
      </w:r>
      <w:r>
        <w:rPr>
          <w:color w:val="auto"/>
          <w:highlight w:val="none"/>
        </w:rPr>
        <w:fldChar w:fldCharType="begin"/>
      </w:r>
      <w:r>
        <w:rPr>
          <w:color w:val="auto"/>
          <w:highlight w:val="none"/>
        </w:rPr>
        <w:instrText xml:space="preserve"> REF _Ref531953999 \h  \* MERGEFORMAT </w:instrText>
      </w:r>
      <w:r>
        <w:rPr>
          <w:color w:val="auto"/>
          <w:highlight w:val="none"/>
        </w:rPr>
        <w:fldChar w:fldCharType="separate"/>
      </w:r>
      <w:r>
        <w:rPr>
          <w:rFonts w:hint="eastAsia" w:ascii="仿宋" w:hAnsi="仿宋" w:eastAsia="仿宋" w:cs="仿宋"/>
          <w:color w:val="auto"/>
          <w:sz w:val="24"/>
          <w:szCs w:val="24"/>
          <w:highlight w:val="none"/>
        </w:rPr>
        <w:t>材料和工程设备的保管</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发包人供应的材料和工程设备的保管费用由</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承担。</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承包人提交保管、维护方案的时间：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发包人提供的库房、堆场、设施和设备：</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_Ref4428239 \r \h  \* MERGEFORMAT </w:instrText>
      </w:r>
      <w:r>
        <w:rPr>
          <w:color w:val="auto"/>
          <w:highlight w:val="none"/>
        </w:rPr>
        <w:fldChar w:fldCharType="separate"/>
      </w:r>
      <w:bookmarkStart w:id="443" w:name="_Toc21334_WPSOffice_Level3"/>
      <w:r>
        <w:rPr>
          <w:rFonts w:hint="eastAsia" w:ascii="仿宋" w:hAnsi="仿宋" w:eastAsia="仿宋" w:cs="仿宋"/>
          <w:color w:val="auto"/>
          <w:sz w:val="24"/>
          <w:szCs w:val="24"/>
          <w:highlight w:val="none"/>
        </w:rPr>
        <w:t>6.3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bookmarkEnd w:id="443"/>
      <w:r>
        <w:rPr>
          <w:rFonts w:hint="eastAsia" w:ascii="仿宋" w:hAnsi="仿宋" w:eastAsia="仿宋" w:cs="仿宋"/>
          <w:color w:val="auto"/>
          <w:szCs w:val="16"/>
          <w:highlight w:val="none"/>
        </w:rPr>
        <w:instrText xml:space="preserve"> REF _Ref4428239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样品</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需要承包人报送样品的材料或工程设备，样品种类、名称、规格、数量：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_Ref11959204 \r \h  \* MERGEFORMAT </w:instrText>
      </w:r>
      <w:r>
        <w:rPr>
          <w:color w:val="auto"/>
          <w:highlight w:val="none"/>
        </w:rPr>
        <w:fldChar w:fldCharType="separate"/>
      </w:r>
      <w:bookmarkStart w:id="444" w:name="_Toc22800_WPSOffice_Level3"/>
      <w:r>
        <w:rPr>
          <w:rFonts w:hint="eastAsia" w:ascii="仿宋" w:hAnsi="仿宋" w:eastAsia="仿宋" w:cs="仿宋"/>
          <w:color w:val="auto"/>
          <w:sz w:val="24"/>
          <w:szCs w:val="24"/>
          <w:highlight w:val="none"/>
        </w:rPr>
        <w:t>6.4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44"/>
      <w:r>
        <w:rPr>
          <w:rFonts w:hint="eastAsia" w:ascii="仿宋" w:hAnsi="仿宋" w:eastAsia="仿宋" w:cs="仿宋"/>
          <w:color w:val="auto"/>
          <w:szCs w:val="16"/>
          <w:highlight w:val="none"/>
        </w:rPr>
        <w:instrText xml:space="preserve">EF _Ref11959210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质量检查</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_Ref18990699 \r \h  \* MERGEFORMAT </w:instrText>
      </w:r>
      <w:r>
        <w:rPr>
          <w:color w:val="auto"/>
          <w:highlight w:val="none"/>
        </w:rPr>
        <w:fldChar w:fldCharType="separate"/>
      </w:r>
      <w:r>
        <w:rPr>
          <w:rFonts w:hint="eastAsia" w:ascii="仿宋" w:hAnsi="仿宋" w:eastAsia="仿宋" w:cs="仿宋"/>
          <w:color w:val="auto"/>
          <w:sz w:val="24"/>
          <w:szCs w:val="24"/>
          <w:highlight w:val="none"/>
        </w:rPr>
        <w:t>6.4.1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_Ref18990699 \h  \* MERGEFORMAT </w:instrText>
      </w:r>
      <w:r>
        <w:rPr>
          <w:color w:val="auto"/>
          <w:highlight w:val="none"/>
        </w:rPr>
        <w:fldChar w:fldCharType="separate"/>
      </w:r>
      <w:r>
        <w:rPr>
          <w:rFonts w:hint="eastAsia" w:ascii="仿宋" w:hAnsi="仿宋" w:eastAsia="仿宋" w:cs="仿宋"/>
          <w:color w:val="auto"/>
          <w:sz w:val="24"/>
          <w:szCs w:val="24"/>
          <w:highlight w:val="none"/>
        </w:rPr>
        <w:t>工程质量要求</w:t>
      </w:r>
      <w:r>
        <w:rPr>
          <w:rFonts w:hint="eastAsia" w:ascii="仿宋" w:hAnsi="仿宋" w:eastAsia="仿宋" w:cs="仿宋"/>
          <w:color w:val="auto"/>
          <w:sz w:val="24"/>
          <w:szCs w:val="24"/>
          <w:highlight w:val="none"/>
        </w:rPr>
        <w:fldChar w:fldCharType="end"/>
      </w:r>
    </w:p>
    <w:p>
      <w:pPr>
        <w:pStyle w:val="88"/>
        <w:spacing w:line="440" w:lineRule="exact"/>
        <w:ind w:right="-42" w:rightChars="-20" w:firstLine="648" w:firstLineChars="270"/>
        <w:rPr>
          <w:rFonts w:ascii="仿宋" w:hAnsi="仿宋" w:eastAsia="仿宋" w:cs="仿宋"/>
          <w:color w:val="auto"/>
          <w:highlight w:val="none"/>
        </w:rPr>
      </w:pPr>
      <w:r>
        <w:rPr>
          <w:rFonts w:hint="eastAsia" w:ascii="仿宋" w:hAnsi="仿宋" w:eastAsia="仿宋" w:cs="仿宋"/>
          <w:color w:val="auto"/>
          <w:highlight w:val="none"/>
        </w:rPr>
        <w:t>工程质量的特殊标准或要求：</w:t>
      </w:r>
      <w:r>
        <w:rPr>
          <w:rFonts w:hint="eastAsia" w:ascii="仿宋" w:hAnsi="仿宋" w:eastAsia="仿宋" w:cs="仿宋"/>
          <w:color w:val="auto"/>
          <w:highlight w:val="none"/>
          <w:u w:val="single"/>
        </w:rPr>
        <w:t>必须符合国家有关工程施工质量验收规范和标准的最新要求 。</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_Ref18990717 \r \h  \* MERGEFORMAT </w:instrText>
      </w:r>
      <w:r>
        <w:rPr>
          <w:color w:val="auto"/>
          <w:highlight w:val="none"/>
        </w:rPr>
        <w:fldChar w:fldCharType="separate"/>
      </w:r>
      <w:r>
        <w:rPr>
          <w:rFonts w:hint="eastAsia" w:ascii="仿宋" w:hAnsi="仿宋" w:eastAsia="仿宋" w:cs="仿宋"/>
          <w:color w:val="auto"/>
          <w:sz w:val="24"/>
          <w:szCs w:val="24"/>
          <w:highlight w:val="none"/>
        </w:rPr>
        <w:t>6.4.2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_Ref18990717 \h  \* MERGEFORMAT </w:instrText>
      </w:r>
      <w:r>
        <w:rPr>
          <w:color w:val="auto"/>
          <w:highlight w:val="none"/>
        </w:rPr>
        <w:fldChar w:fldCharType="separate"/>
      </w:r>
      <w:r>
        <w:rPr>
          <w:rFonts w:hint="eastAsia" w:ascii="仿宋" w:hAnsi="仿宋" w:eastAsia="仿宋" w:cs="仿宋"/>
          <w:color w:val="auto"/>
          <w:sz w:val="24"/>
          <w:szCs w:val="24"/>
          <w:highlight w:val="none"/>
        </w:rPr>
        <w:t>质量检查</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除通用条款已列明的质量检查的地点外，发包人有权进行质量检查的其他地点：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_Ref11959222 \r \h  \* MERGEFORMAT </w:instrText>
      </w:r>
      <w:r>
        <w:rPr>
          <w:color w:val="auto"/>
          <w:highlight w:val="none"/>
        </w:rPr>
        <w:fldChar w:fldCharType="separate"/>
      </w:r>
      <w:r>
        <w:rPr>
          <w:rFonts w:hint="eastAsia" w:ascii="仿宋" w:hAnsi="仿宋" w:eastAsia="仿宋" w:cs="仿宋"/>
          <w:color w:val="auto"/>
          <w:sz w:val="24"/>
          <w:szCs w:val="24"/>
          <w:highlight w:val="none"/>
        </w:rPr>
        <w:t>6.4.3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_Ref11959222 \h  \* MERGEFORMAT </w:instrText>
      </w:r>
      <w:r>
        <w:rPr>
          <w:color w:val="auto"/>
          <w:highlight w:val="none"/>
        </w:rPr>
        <w:fldChar w:fldCharType="separate"/>
      </w:r>
      <w:r>
        <w:rPr>
          <w:rFonts w:hint="eastAsia" w:ascii="仿宋" w:hAnsi="仿宋" w:eastAsia="仿宋" w:cs="仿宋"/>
          <w:color w:val="auto"/>
          <w:sz w:val="24"/>
          <w:szCs w:val="24"/>
          <w:highlight w:val="none"/>
        </w:rPr>
        <w:t>隐蔽工程检查</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关于隐蔽工程和中间验收的特别约定：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_Ref11959158 \r \h  \* MERGEFORMAT </w:instrText>
      </w:r>
      <w:r>
        <w:rPr>
          <w:color w:val="auto"/>
          <w:highlight w:val="none"/>
        </w:rPr>
        <w:fldChar w:fldCharType="separate"/>
      </w:r>
      <w:bookmarkStart w:id="445" w:name="_Toc29854_WPSOffice_Level3"/>
      <w:r>
        <w:rPr>
          <w:rFonts w:hint="eastAsia" w:ascii="仿宋" w:hAnsi="仿宋" w:eastAsia="仿宋" w:cs="仿宋"/>
          <w:color w:val="auto"/>
          <w:sz w:val="24"/>
          <w:szCs w:val="24"/>
          <w:highlight w:val="none"/>
        </w:rPr>
        <w:t>6.5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_R</w:instrText>
      </w:r>
      <w:bookmarkEnd w:id="445"/>
      <w:r>
        <w:rPr>
          <w:rFonts w:hint="eastAsia" w:ascii="仿宋" w:hAnsi="仿宋" w:eastAsia="仿宋" w:cs="仿宋"/>
          <w:color w:val="auto"/>
          <w:szCs w:val="16"/>
          <w:highlight w:val="none"/>
        </w:rPr>
        <w:instrText xml:space="preserve">ef11959175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由承包人试验和检验</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检验的内容、时间和地点：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检验所需要的试验设备、取样装置、试验场所和试验条件：</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pStyle w:val="196"/>
        <w:spacing w:after="120"/>
        <w:ind w:right="-512" w:rightChars="-244"/>
        <w:rPr>
          <w:rFonts w:ascii="仿宋" w:hAnsi="仿宋" w:eastAsia="仿宋" w:cs="仿宋"/>
          <w:color w:val="auto"/>
          <w:sz w:val="24"/>
          <w:szCs w:val="18"/>
          <w:highlight w:val="none"/>
        </w:rPr>
      </w:pPr>
      <w:bookmarkStart w:id="446" w:name="_Toc14244"/>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REF _Ref531954214 \r \h  \* MERGEFORMAT </w:instrText>
      </w:r>
      <w:r>
        <w:rPr>
          <w:rFonts w:hint="eastAsia" w:ascii="仿宋" w:hAnsi="仿宋" w:eastAsia="仿宋" w:cs="仿宋"/>
          <w:color w:val="auto"/>
          <w:sz w:val="22"/>
          <w:szCs w:val="16"/>
          <w:highlight w:val="none"/>
        </w:rPr>
        <w:fldChar w:fldCharType="separate"/>
      </w:r>
      <w:bookmarkStart w:id="447" w:name="_Toc7667_WPSOffice_Level3"/>
      <w:bookmarkStart w:id="448" w:name="_Toc20171880"/>
      <w:r>
        <w:rPr>
          <w:rFonts w:hint="eastAsia" w:ascii="仿宋" w:hAnsi="仿宋" w:eastAsia="仿宋" w:cs="仿宋"/>
          <w:color w:val="auto"/>
          <w:sz w:val="24"/>
          <w:szCs w:val="18"/>
          <w:highlight w:val="none"/>
        </w:rPr>
        <w:t>第7条</w:t>
      </w:r>
      <w:r>
        <w:rPr>
          <w:rFonts w:hint="eastAsia" w:ascii="仿宋" w:hAnsi="仿宋" w:eastAsia="仿宋" w:cs="仿宋"/>
          <w:color w:val="auto"/>
          <w:sz w:val="24"/>
          <w:szCs w:val="18"/>
          <w:highlight w:val="none"/>
        </w:rPr>
        <w:fldChar w:fldCharType="end"/>
      </w:r>
      <w:r>
        <w:rPr>
          <w:rFonts w:hint="eastAsia" w:ascii="仿宋" w:hAnsi="仿宋" w:eastAsia="仿宋" w:cs="仿宋"/>
          <w:color w:val="auto"/>
          <w:sz w:val="24"/>
          <w:szCs w:val="18"/>
          <w:highlight w:val="none"/>
        </w:rPr>
        <w:t xml:space="preserve"> </w:t>
      </w:r>
      <w:r>
        <w:rPr>
          <w:rFonts w:hint="eastAsia" w:ascii="仿宋" w:hAnsi="仿宋" w:eastAsia="仿宋" w:cs="仿宋"/>
          <w:color w:val="auto"/>
          <w:sz w:val="22"/>
          <w:szCs w:val="16"/>
          <w:highlight w:val="none"/>
        </w:rPr>
        <w:fldChar w:fldCharType="begin"/>
      </w:r>
      <w:bookmarkEnd w:id="447"/>
      <w:r>
        <w:rPr>
          <w:rFonts w:hint="eastAsia" w:ascii="仿宋" w:hAnsi="仿宋" w:eastAsia="仿宋" w:cs="仿宋"/>
          <w:color w:val="auto"/>
          <w:sz w:val="22"/>
          <w:szCs w:val="16"/>
          <w:highlight w:val="none"/>
        </w:rPr>
        <w:instrText xml:space="preserve"> REF _Ref531954214 \h  \* MERGEFORMAT </w:instrText>
      </w:r>
      <w:r>
        <w:rPr>
          <w:rFonts w:hint="eastAsia" w:ascii="仿宋" w:hAnsi="仿宋" w:eastAsia="仿宋" w:cs="仿宋"/>
          <w:color w:val="auto"/>
          <w:sz w:val="22"/>
          <w:szCs w:val="16"/>
          <w:highlight w:val="none"/>
        </w:rPr>
        <w:fldChar w:fldCharType="separate"/>
      </w:r>
      <w:r>
        <w:rPr>
          <w:rFonts w:hint="eastAsia" w:ascii="仿宋" w:hAnsi="仿宋" w:eastAsia="仿宋" w:cs="仿宋"/>
          <w:color w:val="auto"/>
          <w:sz w:val="24"/>
          <w:szCs w:val="18"/>
          <w:highlight w:val="none"/>
        </w:rPr>
        <w:t>施工</w:t>
      </w:r>
      <w:bookmarkEnd w:id="448"/>
      <w:r>
        <w:rPr>
          <w:rFonts w:hint="eastAsia" w:ascii="仿宋" w:hAnsi="仿宋" w:eastAsia="仿宋" w:cs="仿宋"/>
          <w:color w:val="auto"/>
          <w:sz w:val="24"/>
          <w:szCs w:val="18"/>
          <w:highlight w:val="none"/>
        </w:rPr>
        <w:fldChar w:fldCharType="end"/>
      </w:r>
      <w:bookmarkEnd w:id="446"/>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_Ref531954272 \r \h  \* MERGEFORMAT </w:instrText>
      </w:r>
      <w:r>
        <w:rPr>
          <w:color w:val="auto"/>
          <w:highlight w:val="none"/>
        </w:rPr>
        <w:fldChar w:fldCharType="separate"/>
      </w:r>
      <w:bookmarkStart w:id="449" w:name="_Toc26471_WPSOffice_Level3"/>
      <w:r>
        <w:rPr>
          <w:rFonts w:hint="eastAsia" w:ascii="仿宋" w:hAnsi="仿宋" w:eastAsia="仿宋" w:cs="仿宋"/>
          <w:color w:val="auto"/>
          <w:sz w:val="24"/>
          <w:szCs w:val="24"/>
          <w:highlight w:val="none"/>
        </w:rPr>
        <w:t>7.1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49"/>
      <w:r>
        <w:rPr>
          <w:rFonts w:hint="eastAsia" w:ascii="仿宋" w:hAnsi="仿宋" w:eastAsia="仿宋" w:cs="仿宋"/>
          <w:color w:val="auto"/>
          <w:szCs w:val="16"/>
          <w:highlight w:val="none"/>
        </w:rPr>
        <w:instrText xml:space="preserve">EF _Ref531954272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交通运输</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_Ref4422645 \r \h  \* MERGEFORMAT </w:instrText>
      </w:r>
      <w:r>
        <w:rPr>
          <w:color w:val="auto"/>
          <w:highlight w:val="none"/>
        </w:rPr>
        <w:fldChar w:fldCharType="separate"/>
      </w:r>
      <w:r>
        <w:rPr>
          <w:rFonts w:hint="eastAsia" w:ascii="仿宋" w:hAnsi="仿宋" w:eastAsia="仿宋" w:cs="仿宋"/>
          <w:color w:val="auto"/>
          <w:sz w:val="24"/>
          <w:szCs w:val="24"/>
          <w:highlight w:val="none"/>
        </w:rPr>
        <w:t>7.1.1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_Ref4422645 \h  \* MERGEFORMAT </w:instrText>
      </w:r>
      <w:r>
        <w:rPr>
          <w:color w:val="auto"/>
          <w:highlight w:val="none"/>
        </w:rPr>
        <w:fldChar w:fldCharType="separate"/>
      </w:r>
      <w:r>
        <w:rPr>
          <w:rFonts w:hint="eastAsia" w:ascii="仿宋" w:hAnsi="仿宋" w:eastAsia="仿宋" w:cs="仿宋"/>
          <w:color w:val="auto"/>
          <w:sz w:val="24"/>
          <w:szCs w:val="24"/>
          <w:highlight w:val="none"/>
        </w:rPr>
        <w:t>出入现场的权利</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关于出入现场的权利的约定：</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_Ref18957045 \r \h  \* MERGEFORMAT </w:instrText>
      </w:r>
      <w:r>
        <w:rPr>
          <w:color w:val="auto"/>
          <w:highlight w:val="none"/>
        </w:rPr>
        <w:fldChar w:fldCharType="separate"/>
      </w:r>
      <w:r>
        <w:rPr>
          <w:rFonts w:hint="eastAsia" w:ascii="仿宋" w:hAnsi="仿宋" w:eastAsia="仿宋" w:cs="仿宋"/>
          <w:color w:val="auto"/>
          <w:sz w:val="24"/>
          <w:szCs w:val="24"/>
          <w:highlight w:val="none"/>
        </w:rPr>
        <w:t>7.1.2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_Ref18957045 \h  \* MERGEFORMAT </w:instrText>
      </w:r>
      <w:r>
        <w:rPr>
          <w:color w:val="auto"/>
          <w:highlight w:val="none"/>
        </w:rPr>
        <w:fldChar w:fldCharType="separate"/>
      </w:r>
      <w:r>
        <w:rPr>
          <w:rFonts w:hint="eastAsia" w:ascii="仿宋" w:hAnsi="仿宋" w:eastAsia="仿宋" w:cs="仿宋"/>
          <w:color w:val="auto"/>
          <w:sz w:val="24"/>
          <w:szCs w:val="24"/>
          <w:highlight w:val="none"/>
        </w:rPr>
        <w:t>场外交通</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关于场外交通的特别约定：</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_Ref4622358 \r \h  \* MERGEFORMAT </w:instrText>
      </w:r>
      <w:r>
        <w:rPr>
          <w:color w:val="auto"/>
          <w:highlight w:val="none"/>
        </w:rPr>
        <w:fldChar w:fldCharType="separate"/>
      </w:r>
      <w:r>
        <w:rPr>
          <w:rFonts w:hint="eastAsia" w:ascii="仿宋" w:hAnsi="仿宋" w:eastAsia="仿宋" w:cs="仿宋"/>
          <w:color w:val="auto"/>
          <w:sz w:val="24"/>
          <w:szCs w:val="24"/>
          <w:highlight w:val="none"/>
        </w:rPr>
        <w:t>7.1.3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_Ref4622358 \h  \* MERGEFORMAT </w:instrText>
      </w:r>
      <w:r>
        <w:rPr>
          <w:color w:val="auto"/>
          <w:highlight w:val="none"/>
        </w:rPr>
        <w:fldChar w:fldCharType="separate"/>
      </w:r>
      <w:r>
        <w:rPr>
          <w:rFonts w:hint="eastAsia" w:ascii="仿宋" w:hAnsi="仿宋" w:eastAsia="仿宋" w:cs="仿宋"/>
          <w:color w:val="auto"/>
          <w:sz w:val="24"/>
          <w:szCs w:val="24"/>
          <w:highlight w:val="none"/>
        </w:rPr>
        <w:t>场内交通</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关于场内交通的特别约定：</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关于场内交通与场外交通边界的约定：</w:t>
      </w:r>
      <w:r>
        <w:rPr>
          <w:rFonts w:hint="eastAsia" w:ascii="仿宋" w:hAnsi="仿宋" w:eastAsia="仿宋" w:cs="仿宋"/>
          <w:color w:val="auto"/>
          <w:sz w:val="24"/>
          <w:szCs w:val="24"/>
          <w:highlight w:val="none"/>
          <w:u w:val="single"/>
        </w:rPr>
        <w:t xml:space="preserve">  以现场实际施工条件为准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_Ref4622376 \r \h  \* MERGEFORMAT </w:instrText>
      </w:r>
      <w:r>
        <w:rPr>
          <w:color w:val="auto"/>
          <w:highlight w:val="none"/>
        </w:rPr>
        <w:fldChar w:fldCharType="separate"/>
      </w:r>
      <w:r>
        <w:rPr>
          <w:rFonts w:hint="eastAsia" w:ascii="仿宋" w:hAnsi="仿宋" w:eastAsia="仿宋" w:cs="仿宋"/>
          <w:color w:val="auto"/>
          <w:sz w:val="24"/>
          <w:szCs w:val="24"/>
          <w:highlight w:val="none"/>
        </w:rPr>
        <w:t>7.1.4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_Ref4622376 \h  \* MERGEFORMAT </w:instrText>
      </w:r>
      <w:r>
        <w:rPr>
          <w:color w:val="auto"/>
          <w:highlight w:val="none"/>
        </w:rPr>
        <w:fldChar w:fldCharType="separate"/>
      </w:r>
      <w:r>
        <w:rPr>
          <w:rFonts w:hint="eastAsia" w:ascii="仿宋" w:hAnsi="仿宋" w:eastAsia="仿宋" w:cs="仿宋"/>
          <w:color w:val="auto"/>
          <w:sz w:val="24"/>
          <w:szCs w:val="24"/>
          <w:highlight w:val="none"/>
        </w:rPr>
        <w:t>超大件和超重件的运输</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运输超大件或超重件所需的道路和桥梁临时加固改造费用和其他有关费用由</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承担。</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_Ref11919459 \r \h  \* MERGEFORMAT </w:instrText>
      </w:r>
      <w:r>
        <w:rPr>
          <w:color w:val="auto"/>
          <w:highlight w:val="none"/>
        </w:rPr>
        <w:fldChar w:fldCharType="separate"/>
      </w:r>
      <w:bookmarkStart w:id="450" w:name="_Toc20072_WPSOffice_Level3"/>
      <w:r>
        <w:rPr>
          <w:rFonts w:hint="eastAsia" w:ascii="仿宋" w:hAnsi="仿宋" w:eastAsia="仿宋" w:cs="仿宋"/>
          <w:color w:val="auto"/>
          <w:sz w:val="24"/>
          <w:szCs w:val="24"/>
          <w:highlight w:val="none"/>
        </w:rPr>
        <w:t>7.2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_R</w:instrText>
      </w:r>
      <w:bookmarkEnd w:id="450"/>
      <w:r>
        <w:rPr>
          <w:rFonts w:hint="eastAsia" w:ascii="仿宋" w:hAnsi="仿宋" w:eastAsia="仿宋" w:cs="仿宋"/>
          <w:color w:val="auto"/>
          <w:szCs w:val="16"/>
          <w:highlight w:val="none"/>
        </w:rPr>
        <w:instrText xml:space="preserve">ef11919294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施工设备和临时设施</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_Ref18990767 \r \h  \* MERGEFORMAT </w:instrText>
      </w:r>
      <w:r>
        <w:rPr>
          <w:color w:val="auto"/>
          <w:highlight w:val="none"/>
        </w:rPr>
        <w:fldChar w:fldCharType="separate"/>
      </w:r>
      <w:r>
        <w:rPr>
          <w:rFonts w:hint="eastAsia" w:ascii="仿宋" w:hAnsi="仿宋" w:eastAsia="仿宋" w:cs="仿宋"/>
          <w:color w:val="auto"/>
          <w:sz w:val="24"/>
          <w:szCs w:val="24"/>
          <w:highlight w:val="none"/>
        </w:rPr>
        <w:t>7.2.1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_Ref18990767 \h  \* MERGEFORMAT </w:instrText>
      </w:r>
      <w:r>
        <w:rPr>
          <w:color w:val="auto"/>
          <w:highlight w:val="none"/>
        </w:rPr>
        <w:fldChar w:fldCharType="separate"/>
      </w:r>
      <w:r>
        <w:rPr>
          <w:rFonts w:hint="eastAsia" w:ascii="仿宋" w:hAnsi="仿宋" w:eastAsia="仿宋" w:cs="仿宋"/>
          <w:color w:val="auto"/>
          <w:sz w:val="24"/>
          <w:szCs w:val="24"/>
          <w:highlight w:val="none"/>
        </w:rPr>
        <w:t>承包人提供的施工设备和临时设施</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临时设施的费用和临时占地手续和费用承担的特别约定：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_Ref18990784 \r \h  \* MERGEFORMAT </w:instrText>
      </w:r>
      <w:r>
        <w:rPr>
          <w:color w:val="auto"/>
          <w:highlight w:val="none"/>
        </w:rPr>
        <w:fldChar w:fldCharType="separate"/>
      </w:r>
      <w:r>
        <w:rPr>
          <w:rFonts w:hint="eastAsia" w:ascii="仿宋" w:hAnsi="仿宋" w:eastAsia="仿宋" w:cs="仿宋"/>
          <w:color w:val="auto"/>
          <w:sz w:val="24"/>
          <w:szCs w:val="24"/>
          <w:highlight w:val="none"/>
        </w:rPr>
        <w:t>7.2.2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_Ref18990784 \h  \* MERGEFORMAT </w:instrText>
      </w:r>
      <w:r>
        <w:rPr>
          <w:color w:val="auto"/>
          <w:highlight w:val="none"/>
        </w:rPr>
        <w:fldChar w:fldCharType="separate"/>
      </w:r>
      <w:r>
        <w:rPr>
          <w:rFonts w:hint="eastAsia" w:ascii="仿宋" w:hAnsi="仿宋" w:eastAsia="仿宋" w:cs="仿宋"/>
          <w:color w:val="auto"/>
          <w:sz w:val="24"/>
          <w:szCs w:val="24"/>
          <w:highlight w:val="none"/>
        </w:rPr>
        <w:t>发包人提供的施工设备和临时设施</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发包人提供的施工设备或临时设施范围：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_Ref11874352 \r \h  \* MERGEFORMAT </w:instrText>
      </w:r>
      <w:r>
        <w:rPr>
          <w:color w:val="auto"/>
          <w:highlight w:val="none"/>
        </w:rPr>
        <w:fldChar w:fldCharType="separate"/>
      </w:r>
      <w:bookmarkStart w:id="451" w:name="_Toc21567_WPSOffice_Level3"/>
      <w:r>
        <w:rPr>
          <w:rFonts w:hint="eastAsia" w:ascii="仿宋" w:hAnsi="仿宋" w:eastAsia="仿宋" w:cs="仿宋"/>
          <w:color w:val="auto"/>
          <w:sz w:val="24"/>
          <w:szCs w:val="24"/>
          <w:highlight w:val="none"/>
        </w:rPr>
        <w:t>7.3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51"/>
      <w:r>
        <w:rPr>
          <w:rFonts w:hint="eastAsia" w:ascii="仿宋" w:hAnsi="仿宋" w:eastAsia="仿宋" w:cs="仿宋"/>
          <w:color w:val="auto"/>
          <w:szCs w:val="16"/>
          <w:highlight w:val="none"/>
        </w:rPr>
        <w:instrText xml:space="preserve">EF _Ref11874352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现场合作</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关于现场合作费用的特别约定：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_Ref531954285 \r \h  \* MERGEFORMAT </w:instrText>
      </w:r>
      <w:r>
        <w:rPr>
          <w:color w:val="auto"/>
          <w:highlight w:val="none"/>
        </w:rPr>
        <w:fldChar w:fldCharType="separate"/>
      </w:r>
      <w:bookmarkStart w:id="452" w:name="_Toc17241_WPSOffice_Level3"/>
      <w:r>
        <w:rPr>
          <w:rFonts w:hint="eastAsia" w:ascii="仿宋" w:hAnsi="仿宋" w:eastAsia="仿宋" w:cs="仿宋"/>
          <w:color w:val="auto"/>
          <w:sz w:val="24"/>
          <w:szCs w:val="24"/>
          <w:highlight w:val="none"/>
        </w:rPr>
        <w:t>7.4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52"/>
      <w:r>
        <w:rPr>
          <w:rFonts w:hint="eastAsia" w:ascii="仿宋" w:hAnsi="仿宋" w:eastAsia="仿宋" w:cs="仿宋"/>
          <w:color w:val="auto"/>
          <w:szCs w:val="16"/>
          <w:highlight w:val="none"/>
        </w:rPr>
        <w:instrText xml:space="preserve">EF _Ref531954287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测量放线</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关于测量放线的特别约定的技术规范：</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施工控制网资料的告知期限：</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_Ref531954323 \r \h  \* MERGEFORMAT </w:instrText>
      </w:r>
      <w:r>
        <w:rPr>
          <w:color w:val="auto"/>
          <w:highlight w:val="none"/>
        </w:rPr>
        <w:fldChar w:fldCharType="separate"/>
      </w:r>
      <w:bookmarkStart w:id="453" w:name="_Toc8347_WPSOffice_Level3"/>
      <w:r>
        <w:rPr>
          <w:rFonts w:hint="eastAsia" w:ascii="仿宋" w:hAnsi="仿宋" w:eastAsia="仿宋" w:cs="仿宋"/>
          <w:color w:val="auto"/>
          <w:sz w:val="24"/>
          <w:szCs w:val="24"/>
          <w:highlight w:val="none"/>
        </w:rPr>
        <w:t>7.5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现场劳动用</w:t>
      </w:r>
      <w:bookmarkEnd w:id="453"/>
      <w:r>
        <w:rPr>
          <w:rFonts w:hint="eastAsia" w:ascii="仿宋" w:hAnsi="仿宋" w:eastAsia="仿宋" w:cs="仿宋"/>
          <w:color w:val="auto"/>
          <w:sz w:val="24"/>
          <w:szCs w:val="24"/>
          <w:highlight w:val="none"/>
        </w:rPr>
        <w:t>工</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7.5.2 合同当事人对农民工工资清偿事宜和违约责任的约定：</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_Ref531954323 \r \h  \* MERGEFORMAT </w:instrText>
      </w:r>
      <w:r>
        <w:rPr>
          <w:color w:val="auto"/>
          <w:highlight w:val="none"/>
        </w:rPr>
        <w:fldChar w:fldCharType="separate"/>
      </w:r>
      <w:bookmarkStart w:id="454" w:name="_Toc17368_WPSOffice_Level3"/>
      <w:r>
        <w:rPr>
          <w:rFonts w:hint="eastAsia" w:ascii="仿宋" w:hAnsi="仿宋" w:eastAsia="仿宋" w:cs="仿宋"/>
          <w:color w:val="auto"/>
          <w:sz w:val="24"/>
          <w:szCs w:val="24"/>
          <w:highlight w:val="none"/>
        </w:rPr>
        <w:t>7.6</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w:instrText>
      </w:r>
      <w:bookmarkEnd w:id="454"/>
      <w:r>
        <w:rPr>
          <w:rFonts w:hint="eastAsia" w:ascii="仿宋" w:hAnsi="仿宋" w:eastAsia="仿宋" w:cs="仿宋"/>
          <w:color w:val="auto"/>
          <w:szCs w:val="16"/>
          <w:highlight w:val="none"/>
        </w:rPr>
        <w:instrText xml:space="preserve"> _Ref531954323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安全文明施工</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_Ref18990822 \r \h  \* MERGEFORMAT </w:instrText>
      </w:r>
      <w:r>
        <w:rPr>
          <w:color w:val="auto"/>
          <w:highlight w:val="none"/>
        </w:rPr>
        <w:fldChar w:fldCharType="separate"/>
      </w:r>
      <w:r>
        <w:rPr>
          <w:rFonts w:hint="eastAsia" w:ascii="仿宋" w:hAnsi="仿宋" w:eastAsia="仿宋" w:cs="仿宋"/>
          <w:color w:val="auto"/>
          <w:sz w:val="24"/>
          <w:szCs w:val="24"/>
          <w:highlight w:val="none"/>
        </w:rPr>
        <w:t>7.6.1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_Ref18990822 \h  \* MERGEFORMAT </w:instrText>
      </w:r>
      <w:r>
        <w:rPr>
          <w:color w:val="auto"/>
          <w:highlight w:val="none"/>
        </w:rPr>
        <w:fldChar w:fldCharType="separate"/>
      </w:r>
      <w:r>
        <w:rPr>
          <w:rFonts w:hint="eastAsia" w:ascii="仿宋" w:hAnsi="仿宋" w:eastAsia="仿宋" w:cs="仿宋"/>
          <w:color w:val="auto"/>
          <w:sz w:val="24"/>
          <w:szCs w:val="24"/>
          <w:highlight w:val="none"/>
        </w:rPr>
        <w:t>安全生产要求</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合同当事人对安全施工的要求：</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_Ref18990840 \r \h  \* MERGEFORMAT </w:instrText>
      </w:r>
      <w:r>
        <w:rPr>
          <w:color w:val="auto"/>
          <w:highlight w:val="none"/>
        </w:rPr>
        <w:fldChar w:fldCharType="separate"/>
      </w:r>
      <w:r>
        <w:rPr>
          <w:rFonts w:hint="eastAsia" w:ascii="仿宋" w:hAnsi="仿宋" w:eastAsia="仿宋" w:cs="仿宋"/>
          <w:color w:val="auto"/>
          <w:sz w:val="24"/>
          <w:szCs w:val="24"/>
          <w:highlight w:val="none"/>
        </w:rPr>
        <w:t>7.6.3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_Ref18990840 \h  \* MERGEFORMAT </w:instrText>
      </w:r>
      <w:r>
        <w:rPr>
          <w:color w:val="auto"/>
          <w:highlight w:val="none"/>
        </w:rPr>
        <w:fldChar w:fldCharType="separate"/>
      </w:r>
      <w:r>
        <w:rPr>
          <w:rFonts w:hint="eastAsia" w:ascii="仿宋" w:hAnsi="仿宋" w:eastAsia="仿宋" w:cs="仿宋"/>
          <w:color w:val="auto"/>
          <w:sz w:val="24"/>
          <w:szCs w:val="24"/>
          <w:highlight w:val="none"/>
        </w:rPr>
        <w:t>文明施工</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合同当事人对文明施工的要求：</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_Ref4771116 \r \h  \* MERGEFORMAT </w:instrText>
      </w:r>
      <w:r>
        <w:rPr>
          <w:color w:val="auto"/>
          <w:highlight w:val="none"/>
        </w:rPr>
        <w:fldChar w:fldCharType="separate"/>
      </w:r>
      <w:bookmarkStart w:id="455" w:name="_Toc14599_WPSOffice_Level3"/>
      <w:r>
        <w:rPr>
          <w:rFonts w:hint="eastAsia" w:ascii="仿宋" w:hAnsi="仿宋" w:eastAsia="仿宋" w:cs="仿宋"/>
          <w:color w:val="auto"/>
          <w:sz w:val="24"/>
          <w:szCs w:val="24"/>
          <w:highlight w:val="none"/>
        </w:rPr>
        <w:t>7.9</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w:instrText>
      </w:r>
      <w:bookmarkEnd w:id="455"/>
      <w:r>
        <w:rPr>
          <w:rFonts w:hint="eastAsia" w:ascii="仿宋" w:hAnsi="仿宋" w:eastAsia="仿宋" w:cs="仿宋"/>
          <w:color w:val="auto"/>
          <w:szCs w:val="16"/>
          <w:highlight w:val="none"/>
        </w:rPr>
        <w:instrText xml:space="preserve">_Ref4771116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 xml:space="preserve">临时性公用设施 </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关于临时性公用设施的特别约定：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_Ref531952239 \r \h  \* MERGEFORMAT </w:instrText>
      </w:r>
      <w:r>
        <w:rPr>
          <w:color w:val="auto"/>
          <w:highlight w:val="none"/>
        </w:rPr>
        <w:fldChar w:fldCharType="separate"/>
      </w:r>
      <w:bookmarkStart w:id="456" w:name="_Toc19703_WPSOffice_Level3"/>
      <w:r>
        <w:rPr>
          <w:rFonts w:hint="eastAsia" w:ascii="仿宋" w:hAnsi="仿宋" w:eastAsia="仿宋" w:cs="仿宋"/>
          <w:color w:val="auto"/>
          <w:sz w:val="24"/>
          <w:szCs w:val="24"/>
          <w:highlight w:val="none"/>
        </w:rPr>
        <w:t>7.10</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56"/>
      <w:r>
        <w:rPr>
          <w:rFonts w:hint="eastAsia" w:ascii="仿宋" w:hAnsi="仿宋" w:eastAsia="仿宋" w:cs="仿宋"/>
          <w:color w:val="auto"/>
          <w:szCs w:val="16"/>
          <w:highlight w:val="none"/>
        </w:rPr>
        <w:instrText xml:space="preserve">EF _Ref531952248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现场安保</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承包人现场安保义务的特别约定：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pStyle w:val="196"/>
        <w:spacing w:after="120"/>
        <w:ind w:right="-512" w:rightChars="-244"/>
        <w:rPr>
          <w:rFonts w:ascii="仿宋" w:hAnsi="仿宋" w:eastAsia="仿宋" w:cs="仿宋"/>
          <w:b w:val="0"/>
          <w:color w:val="auto"/>
          <w:sz w:val="24"/>
          <w:szCs w:val="18"/>
          <w:highlight w:val="none"/>
        </w:rPr>
      </w:pPr>
      <w:bookmarkStart w:id="457" w:name="_Toc28652"/>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REF _Ref508998009 \r \h  \* MERGEFORMAT </w:instrText>
      </w:r>
      <w:r>
        <w:rPr>
          <w:rFonts w:hint="eastAsia" w:ascii="仿宋" w:hAnsi="仿宋" w:eastAsia="仿宋" w:cs="仿宋"/>
          <w:color w:val="auto"/>
          <w:sz w:val="22"/>
          <w:szCs w:val="16"/>
          <w:highlight w:val="none"/>
        </w:rPr>
        <w:fldChar w:fldCharType="separate"/>
      </w:r>
      <w:bookmarkStart w:id="458" w:name="_Toc17952_WPSOffice_Level3"/>
      <w:bookmarkStart w:id="459" w:name="_Toc20171881"/>
      <w:r>
        <w:rPr>
          <w:rFonts w:hint="eastAsia" w:ascii="仿宋" w:hAnsi="仿宋" w:eastAsia="仿宋" w:cs="仿宋"/>
          <w:b w:val="0"/>
          <w:color w:val="auto"/>
          <w:sz w:val="24"/>
          <w:szCs w:val="18"/>
          <w:highlight w:val="none"/>
        </w:rPr>
        <w:t>第8条</w:t>
      </w:r>
      <w:r>
        <w:rPr>
          <w:rFonts w:hint="eastAsia" w:ascii="仿宋" w:hAnsi="仿宋" w:eastAsia="仿宋" w:cs="仿宋"/>
          <w:b w:val="0"/>
          <w:color w:val="auto"/>
          <w:sz w:val="24"/>
          <w:szCs w:val="18"/>
          <w:highlight w:val="none"/>
        </w:rPr>
        <w:fldChar w:fldCharType="end"/>
      </w:r>
      <w:r>
        <w:rPr>
          <w:rFonts w:hint="eastAsia" w:ascii="仿宋" w:hAnsi="仿宋" w:eastAsia="仿宋" w:cs="仿宋"/>
          <w:b w:val="0"/>
          <w:color w:val="auto"/>
          <w:sz w:val="24"/>
          <w:szCs w:val="18"/>
          <w:highlight w:val="none"/>
        </w:rPr>
        <w:t xml:space="preserve"> </w:t>
      </w:r>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w:instrText>
      </w:r>
      <w:bookmarkEnd w:id="458"/>
      <w:r>
        <w:rPr>
          <w:rFonts w:hint="eastAsia" w:ascii="仿宋" w:hAnsi="仿宋" w:eastAsia="仿宋" w:cs="仿宋"/>
          <w:color w:val="auto"/>
          <w:sz w:val="22"/>
          <w:szCs w:val="16"/>
          <w:highlight w:val="none"/>
        </w:rPr>
        <w:instrText xml:space="preserve">F _Ref508998009 \h  \* MERGEFORMAT </w:instrText>
      </w:r>
      <w:r>
        <w:rPr>
          <w:rFonts w:hint="eastAsia" w:ascii="仿宋" w:hAnsi="仿宋" w:eastAsia="仿宋" w:cs="仿宋"/>
          <w:color w:val="auto"/>
          <w:sz w:val="22"/>
          <w:szCs w:val="16"/>
          <w:highlight w:val="none"/>
        </w:rPr>
        <w:fldChar w:fldCharType="separate"/>
      </w:r>
      <w:r>
        <w:rPr>
          <w:rFonts w:hint="eastAsia" w:ascii="仿宋" w:hAnsi="仿宋" w:eastAsia="仿宋" w:cs="仿宋"/>
          <w:b w:val="0"/>
          <w:color w:val="auto"/>
          <w:sz w:val="24"/>
          <w:szCs w:val="18"/>
          <w:highlight w:val="none"/>
        </w:rPr>
        <w:t>工期和进度</w:t>
      </w:r>
      <w:bookmarkEnd w:id="459"/>
      <w:r>
        <w:rPr>
          <w:rFonts w:hint="eastAsia" w:ascii="仿宋" w:hAnsi="仿宋" w:eastAsia="仿宋" w:cs="仿宋"/>
          <w:b w:val="0"/>
          <w:color w:val="auto"/>
          <w:sz w:val="24"/>
          <w:szCs w:val="18"/>
          <w:highlight w:val="none"/>
        </w:rPr>
        <w:fldChar w:fldCharType="end"/>
      </w:r>
      <w:bookmarkEnd w:id="457"/>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_Ref532362072 \r \h  \* MERGEFORMAT </w:instrText>
      </w:r>
      <w:r>
        <w:rPr>
          <w:color w:val="auto"/>
          <w:highlight w:val="none"/>
        </w:rPr>
        <w:fldChar w:fldCharType="separate"/>
      </w:r>
      <w:bookmarkStart w:id="460" w:name="_Toc19817_WPSOffice_Level3"/>
      <w:r>
        <w:rPr>
          <w:rFonts w:hint="eastAsia" w:ascii="仿宋" w:hAnsi="仿宋" w:eastAsia="仿宋" w:cs="仿宋"/>
          <w:color w:val="auto"/>
          <w:sz w:val="24"/>
          <w:szCs w:val="24"/>
          <w:highlight w:val="none"/>
        </w:rPr>
        <w:t>8.1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60"/>
      <w:r>
        <w:rPr>
          <w:rFonts w:hint="eastAsia" w:ascii="仿宋" w:hAnsi="仿宋" w:eastAsia="仿宋" w:cs="仿宋"/>
          <w:color w:val="auto"/>
          <w:szCs w:val="16"/>
          <w:highlight w:val="none"/>
        </w:rPr>
        <w:instrText xml:space="preserve">EF _Ref532362075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开始工作</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_Ref4428890 \r \h  \* MERGEFORMAT </w:instrText>
      </w:r>
      <w:r>
        <w:rPr>
          <w:color w:val="auto"/>
          <w:highlight w:val="none"/>
        </w:rPr>
        <w:fldChar w:fldCharType="separate"/>
      </w:r>
      <w:r>
        <w:rPr>
          <w:rFonts w:hint="eastAsia" w:ascii="仿宋" w:hAnsi="仿宋" w:eastAsia="仿宋" w:cs="仿宋"/>
          <w:color w:val="auto"/>
          <w:sz w:val="24"/>
          <w:szCs w:val="24"/>
          <w:highlight w:val="none"/>
        </w:rPr>
        <w:t>8.1.1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开始准备工作：</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_Ref536790534 \r \h  \* MERGEFORMAT </w:instrText>
      </w:r>
      <w:r>
        <w:rPr>
          <w:color w:val="auto"/>
          <w:highlight w:val="none"/>
        </w:rPr>
        <w:fldChar w:fldCharType="separate"/>
      </w:r>
      <w:r>
        <w:rPr>
          <w:rFonts w:hint="eastAsia" w:ascii="仿宋" w:hAnsi="仿宋" w:eastAsia="仿宋" w:cs="仿宋"/>
          <w:color w:val="auto"/>
          <w:sz w:val="24"/>
          <w:szCs w:val="24"/>
          <w:highlight w:val="none"/>
        </w:rPr>
        <w:t>8.1.2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发包人可在计划开始工作之日起84日后发出开始工作通知的特殊情形：</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_Ref532362124 \r \h  \* MERGEFORMAT </w:instrText>
      </w:r>
      <w:r>
        <w:rPr>
          <w:color w:val="auto"/>
          <w:highlight w:val="none"/>
        </w:rPr>
        <w:fldChar w:fldCharType="separate"/>
      </w:r>
      <w:bookmarkStart w:id="461" w:name="_Toc27180_WPSOffice_Level3"/>
      <w:r>
        <w:rPr>
          <w:rFonts w:hint="eastAsia" w:ascii="仿宋" w:hAnsi="仿宋" w:eastAsia="仿宋" w:cs="仿宋"/>
          <w:color w:val="auto"/>
          <w:sz w:val="24"/>
          <w:szCs w:val="24"/>
          <w:highlight w:val="none"/>
        </w:rPr>
        <w:t>8.2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61"/>
      <w:r>
        <w:rPr>
          <w:rFonts w:hint="eastAsia" w:ascii="仿宋" w:hAnsi="仿宋" w:eastAsia="仿宋" w:cs="仿宋"/>
          <w:color w:val="auto"/>
          <w:szCs w:val="16"/>
          <w:highlight w:val="none"/>
        </w:rPr>
        <w:instrText xml:space="preserve">EF _Ref532362124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竣工日期</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竣工日期的约定：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_Ref11863334 \r \h  \* MERGEFORMAT </w:instrText>
      </w:r>
      <w:r>
        <w:rPr>
          <w:color w:val="auto"/>
          <w:highlight w:val="none"/>
        </w:rPr>
        <w:fldChar w:fldCharType="separate"/>
      </w:r>
      <w:bookmarkStart w:id="462" w:name="_Toc6970_WPSOffice_Level3"/>
      <w:r>
        <w:rPr>
          <w:rFonts w:hint="eastAsia" w:ascii="仿宋" w:hAnsi="仿宋" w:eastAsia="仿宋" w:cs="仿宋"/>
          <w:color w:val="auto"/>
          <w:sz w:val="24"/>
          <w:szCs w:val="24"/>
          <w:highlight w:val="none"/>
        </w:rPr>
        <w:t>8.3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w:instrText>
      </w:r>
      <w:bookmarkEnd w:id="462"/>
      <w:r>
        <w:rPr>
          <w:rFonts w:hint="eastAsia" w:ascii="仿宋" w:hAnsi="仿宋" w:eastAsia="仿宋" w:cs="仿宋"/>
          <w:color w:val="auto"/>
          <w:szCs w:val="16"/>
          <w:highlight w:val="none"/>
        </w:rPr>
        <w:instrText xml:space="preserve"> _Ref11863334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项目实施计划</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_Ref18990904 \r \h  \* MERGEFORMAT </w:instrText>
      </w:r>
      <w:r>
        <w:rPr>
          <w:color w:val="auto"/>
          <w:highlight w:val="none"/>
        </w:rPr>
        <w:fldChar w:fldCharType="separate"/>
      </w:r>
      <w:r>
        <w:rPr>
          <w:rFonts w:hint="eastAsia" w:ascii="仿宋" w:hAnsi="仿宋" w:eastAsia="仿宋" w:cs="仿宋"/>
          <w:color w:val="auto"/>
          <w:sz w:val="24"/>
          <w:szCs w:val="24"/>
          <w:highlight w:val="none"/>
        </w:rPr>
        <w:t>8.3.1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_Ref18990904 \h  \* MERGEFORMAT </w:instrText>
      </w:r>
      <w:r>
        <w:rPr>
          <w:color w:val="auto"/>
          <w:highlight w:val="none"/>
        </w:rPr>
        <w:fldChar w:fldCharType="separate"/>
      </w:r>
      <w:r>
        <w:rPr>
          <w:rFonts w:hint="eastAsia" w:ascii="仿宋" w:hAnsi="仿宋" w:eastAsia="仿宋" w:cs="仿宋"/>
          <w:color w:val="auto"/>
          <w:sz w:val="24"/>
          <w:szCs w:val="24"/>
          <w:highlight w:val="none"/>
        </w:rPr>
        <w:t>项目实施计划的内容</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项目实施计划的内容：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_Ref18990921 \r \h  \* MERGEFORMAT </w:instrText>
      </w:r>
      <w:r>
        <w:rPr>
          <w:color w:val="auto"/>
          <w:highlight w:val="none"/>
        </w:rPr>
        <w:fldChar w:fldCharType="separate"/>
      </w:r>
      <w:r>
        <w:rPr>
          <w:rFonts w:hint="eastAsia" w:ascii="仿宋" w:hAnsi="仿宋" w:eastAsia="仿宋" w:cs="仿宋"/>
          <w:color w:val="auto"/>
          <w:sz w:val="24"/>
          <w:szCs w:val="24"/>
          <w:highlight w:val="none"/>
        </w:rPr>
        <w:t>8.3.2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_Ref18990921 \h  \* MERGEFORMAT </w:instrText>
      </w:r>
      <w:r>
        <w:rPr>
          <w:color w:val="auto"/>
          <w:highlight w:val="none"/>
        </w:rPr>
        <w:fldChar w:fldCharType="separate"/>
      </w:r>
      <w:r>
        <w:rPr>
          <w:rFonts w:hint="eastAsia" w:ascii="仿宋" w:hAnsi="仿宋" w:eastAsia="仿宋" w:cs="仿宋"/>
          <w:color w:val="auto"/>
          <w:sz w:val="24"/>
          <w:szCs w:val="24"/>
          <w:highlight w:val="none"/>
        </w:rPr>
        <w:t>项目实施计划的提交和修改</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项目实施计划的提交及修改期限：</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_Ref11865507 \r \h  \* MERGEFORMAT </w:instrText>
      </w:r>
      <w:r>
        <w:rPr>
          <w:color w:val="auto"/>
          <w:highlight w:val="none"/>
        </w:rPr>
        <w:fldChar w:fldCharType="separate"/>
      </w:r>
      <w:bookmarkStart w:id="463" w:name="_Toc21631_WPSOffice_Level3"/>
      <w:r>
        <w:rPr>
          <w:rFonts w:hint="eastAsia" w:ascii="仿宋" w:hAnsi="仿宋" w:eastAsia="仿宋" w:cs="仿宋"/>
          <w:color w:val="auto"/>
          <w:sz w:val="24"/>
          <w:szCs w:val="24"/>
          <w:highlight w:val="none"/>
        </w:rPr>
        <w:t>8.4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w:instrText>
      </w:r>
      <w:bookmarkEnd w:id="463"/>
      <w:r>
        <w:rPr>
          <w:rFonts w:hint="eastAsia" w:ascii="仿宋" w:hAnsi="仿宋" w:eastAsia="仿宋" w:cs="仿宋"/>
          <w:color w:val="auto"/>
          <w:szCs w:val="16"/>
          <w:highlight w:val="none"/>
        </w:rPr>
        <w:instrText xml:space="preserve"> _Ref11865507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项目进度计划</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_Ref4681217 \r \h  \* MERGEFORMAT </w:instrText>
      </w:r>
      <w:r>
        <w:rPr>
          <w:color w:val="auto"/>
          <w:highlight w:val="none"/>
        </w:rPr>
        <w:fldChar w:fldCharType="separate"/>
      </w:r>
      <w:r>
        <w:rPr>
          <w:rFonts w:hint="eastAsia" w:ascii="仿宋" w:hAnsi="仿宋" w:eastAsia="仿宋" w:cs="仿宋"/>
          <w:color w:val="auto"/>
          <w:sz w:val="24"/>
          <w:szCs w:val="24"/>
          <w:highlight w:val="none"/>
        </w:rPr>
        <w:t>8.4.1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工程师在收到进度计划后确认或提出修改意见的期限：</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_Ref4429079 \r \h  \* MERGEFORMAT </w:instrText>
      </w:r>
      <w:r>
        <w:rPr>
          <w:color w:val="auto"/>
          <w:highlight w:val="none"/>
        </w:rPr>
        <w:fldChar w:fldCharType="separate"/>
      </w:r>
      <w:r>
        <w:rPr>
          <w:rFonts w:hint="eastAsia" w:ascii="仿宋" w:hAnsi="仿宋" w:eastAsia="仿宋" w:cs="仿宋"/>
          <w:color w:val="auto"/>
          <w:sz w:val="24"/>
          <w:szCs w:val="24"/>
          <w:highlight w:val="none"/>
        </w:rPr>
        <w:t>8.4.2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进度计划的具体要求：</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关键路径及关键路径变化的确定原则：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承包人提交项目进度计划的份数和时间：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_Ref3848203 \r \h  \* MERGEFORMAT </w:instrText>
      </w:r>
      <w:r>
        <w:rPr>
          <w:color w:val="auto"/>
          <w:highlight w:val="none"/>
        </w:rPr>
        <w:fldChar w:fldCharType="separate"/>
      </w:r>
      <w:r>
        <w:rPr>
          <w:rFonts w:hint="eastAsia" w:ascii="仿宋" w:hAnsi="仿宋" w:eastAsia="仿宋" w:cs="仿宋"/>
          <w:color w:val="auto"/>
          <w:sz w:val="24"/>
          <w:szCs w:val="24"/>
          <w:highlight w:val="none"/>
        </w:rPr>
        <w:t>8.4.3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进度计划的修订</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承包人提交修订项目进度计划申请报告的期限：</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发包人批复修订项目进度计划申请报告的期限：</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承包人答复发包人提出修订合同计划的期限：</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_Ref532362276 \r \h  \* MERGEFORMAT </w:instrText>
      </w:r>
      <w:r>
        <w:rPr>
          <w:color w:val="auto"/>
          <w:highlight w:val="none"/>
        </w:rPr>
        <w:fldChar w:fldCharType="separate"/>
      </w:r>
      <w:bookmarkStart w:id="464" w:name="_Toc23571_WPSOffice_Level3"/>
      <w:r>
        <w:rPr>
          <w:rFonts w:hint="eastAsia" w:ascii="仿宋" w:hAnsi="仿宋" w:eastAsia="仿宋" w:cs="仿宋"/>
          <w:color w:val="auto"/>
          <w:sz w:val="24"/>
          <w:szCs w:val="24"/>
          <w:highlight w:val="none"/>
        </w:rPr>
        <w:t>8.5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64"/>
      <w:r>
        <w:rPr>
          <w:rFonts w:hint="eastAsia" w:ascii="仿宋" w:hAnsi="仿宋" w:eastAsia="仿宋" w:cs="仿宋"/>
          <w:color w:val="auto"/>
          <w:szCs w:val="16"/>
          <w:highlight w:val="none"/>
        </w:rPr>
        <w:instrText xml:space="preserve">EF _Ref532362278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进度报告</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进度报告的具体要求：</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_Ref4770106 \r \h  \* MERGEFORMAT </w:instrText>
      </w:r>
      <w:r>
        <w:rPr>
          <w:color w:val="auto"/>
          <w:highlight w:val="none"/>
        </w:rPr>
        <w:fldChar w:fldCharType="separate"/>
      </w:r>
      <w:bookmarkStart w:id="465" w:name="_Toc8474_WPSOffice_Level3"/>
      <w:r>
        <w:rPr>
          <w:rFonts w:hint="eastAsia" w:ascii="仿宋" w:hAnsi="仿宋" w:eastAsia="仿宋" w:cs="仿宋"/>
          <w:color w:val="auto"/>
          <w:sz w:val="24"/>
          <w:szCs w:val="24"/>
          <w:highlight w:val="none"/>
        </w:rPr>
        <w:t>8.7</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65"/>
      <w:r>
        <w:rPr>
          <w:rFonts w:hint="eastAsia" w:ascii="仿宋" w:hAnsi="仿宋" w:eastAsia="仿宋" w:cs="仿宋"/>
          <w:color w:val="auto"/>
          <w:szCs w:val="16"/>
          <w:highlight w:val="none"/>
        </w:rPr>
        <w:instrText xml:space="preserve">EF _Ref4770106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工期延误</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_Ref4770209 \r \h  \* MERGEFORMAT </w:instrText>
      </w:r>
      <w:r>
        <w:rPr>
          <w:color w:val="auto"/>
          <w:highlight w:val="none"/>
        </w:rPr>
        <w:fldChar w:fldCharType="separate"/>
      </w:r>
      <w:r>
        <w:rPr>
          <w:rFonts w:hint="eastAsia" w:ascii="仿宋" w:hAnsi="仿宋" w:eastAsia="仿宋" w:cs="仿宋"/>
          <w:color w:val="auto"/>
          <w:sz w:val="24"/>
          <w:szCs w:val="24"/>
          <w:highlight w:val="none"/>
        </w:rPr>
        <w:t>8.7.2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因承包人原因导致工期延误</w:t>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因承包人原因使竣工日期延误，</w:t>
      </w:r>
      <w:r>
        <w:rPr>
          <w:rFonts w:hint="eastAsia" w:ascii="仿宋" w:hAnsi="仿宋" w:eastAsia="仿宋" w:cs="仿宋"/>
          <w:strike w:val="0"/>
          <w:dstrike w:val="0"/>
          <w:color w:val="auto"/>
          <w:sz w:val="24"/>
          <w:szCs w:val="24"/>
          <w:highlight w:val="none"/>
        </w:rPr>
        <w:t>每延误1日的误期赔偿金额为合同协议书的合同价格的</w:t>
      </w:r>
      <w:r>
        <w:rPr>
          <w:rFonts w:hint="eastAsia" w:ascii="仿宋" w:hAnsi="仿宋" w:eastAsia="仿宋" w:cs="仿宋"/>
          <w:strike w:val="0"/>
          <w:dstrike w:val="0"/>
          <w:color w:val="auto"/>
          <w:sz w:val="24"/>
          <w:szCs w:val="24"/>
          <w:highlight w:val="none"/>
          <w:u w:val="single"/>
        </w:rPr>
        <w:t xml:space="preserve"> / </w:t>
      </w:r>
      <w:r>
        <w:rPr>
          <w:rFonts w:hint="eastAsia" w:ascii="仿宋" w:hAnsi="仿宋" w:eastAsia="仿宋" w:cs="仿宋"/>
          <w:strike w:val="0"/>
          <w:dstrike w:val="0"/>
          <w:color w:val="auto"/>
          <w:sz w:val="24"/>
          <w:szCs w:val="24"/>
          <w:highlight w:val="none"/>
        </w:rPr>
        <w:t>%或人民币金额为：</w:t>
      </w:r>
      <w:r>
        <w:rPr>
          <w:rFonts w:hint="eastAsia" w:ascii="仿宋" w:hAnsi="仿宋" w:eastAsia="仿宋" w:cs="仿宋"/>
          <w:b/>
          <w:bCs/>
          <w:strike w:val="0"/>
          <w:dstrike w:val="0"/>
          <w:color w:val="auto"/>
          <w:sz w:val="24"/>
          <w:szCs w:val="24"/>
          <w:highlight w:val="none"/>
          <w:u w:val="single"/>
        </w:rPr>
        <w:t xml:space="preserve"> </w:t>
      </w:r>
      <w:r>
        <w:rPr>
          <w:rFonts w:hint="eastAsia" w:ascii="仿宋" w:hAnsi="仿宋" w:eastAsia="仿宋" w:cs="仿宋"/>
          <w:b/>
          <w:bCs/>
          <w:strike w:val="0"/>
          <w:dstrike w:val="0"/>
          <w:color w:val="auto"/>
          <w:sz w:val="24"/>
          <w:szCs w:val="24"/>
          <w:highlight w:val="none"/>
          <w:u w:val="single"/>
          <w:lang w:val="en-US" w:eastAsia="zh-CN"/>
        </w:rPr>
        <w:t xml:space="preserve"> / </w:t>
      </w:r>
      <w:r>
        <w:rPr>
          <w:rFonts w:hint="eastAsia" w:ascii="仿宋" w:hAnsi="仿宋" w:eastAsia="仿宋" w:cs="仿宋"/>
          <w:strike w:val="0"/>
          <w:dstrike w:val="0"/>
          <w:color w:val="auto"/>
          <w:sz w:val="24"/>
          <w:szCs w:val="24"/>
          <w:highlight w:val="none"/>
        </w:rPr>
        <w:t>、累计最高赔偿金额为合同协议书的合同价格的：</w:t>
      </w:r>
      <w:r>
        <w:rPr>
          <w:rFonts w:hint="eastAsia" w:ascii="仿宋" w:hAnsi="仿宋" w:eastAsia="仿宋" w:cs="仿宋"/>
          <w:strike w:val="0"/>
          <w:dstrike w:val="0"/>
          <w:color w:val="auto"/>
          <w:sz w:val="24"/>
          <w:szCs w:val="24"/>
          <w:highlight w:val="none"/>
          <w:u w:val="single"/>
        </w:rPr>
        <w:t xml:space="preserve"> / </w:t>
      </w:r>
      <w:r>
        <w:rPr>
          <w:rFonts w:hint="eastAsia" w:ascii="仿宋" w:hAnsi="仿宋" w:eastAsia="仿宋" w:cs="仿宋"/>
          <w:strike w:val="0"/>
          <w:dstrike w:val="0"/>
          <w:color w:val="auto"/>
          <w:sz w:val="24"/>
          <w:szCs w:val="24"/>
          <w:highlight w:val="none"/>
        </w:rPr>
        <w:t>%或人民币金额为：</w:t>
      </w:r>
      <w:r>
        <w:rPr>
          <w:rFonts w:hint="eastAsia" w:ascii="仿宋" w:hAnsi="仿宋" w:eastAsia="仿宋" w:cs="仿宋"/>
          <w:b/>
          <w:bCs/>
          <w:strike w:val="0"/>
          <w:dstrike w:val="0"/>
          <w:color w:val="auto"/>
          <w:sz w:val="24"/>
          <w:szCs w:val="24"/>
          <w:highlight w:val="none"/>
          <w:u w:val="single"/>
        </w:rPr>
        <w:t xml:space="preserve"> </w:t>
      </w:r>
      <w:r>
        <w:rPr>
          <w:rFonts w:hint="eastAsia" w:ascii="仿宋" w:hAnsi="仿宋" w:eastAsia="仿宋" w:cs="仿宋"/>
          <w:b/>
          <w:bCs/>
          <w:strike w:val="0"/>
          <w:dstrike w:val="0"/>
          <w:color w:val="auto"/>
          <w:sz w:val="24"/>
          <w:szCs w:val="24"/>
          <w:highlight w:val="none"/>
          <w:u w:val="single"/>
          <w:lang w:val="en-US" w:eastAsia="zh-CN"/>
        </w:rPr>
        <w:t>/</w:t>
      </w:r>
      <w:r>
        <w:rPr>
          <w:rFonts w:hint="eastAsia" w:ascii="仿宋" w:hAnsi="仿宋" w:eastAsia="仿宋" w:cs="仿宋"/>
          <w:strike w:val="0"/>
          <w:dstrike w:val="0"/>
          <w:color w:val="auto"/>
          <w:sz w:val="24"/>
          <w:szCs w:val="24"/>
          <w:highlight w:val="none"/>
          <w:u w:val="single"/>
        </w:rPr>
        <w:t xml:space="preserve">  </w:t>
      </w:r>
      <w:r>
        <w:rPr>
          <w:rFonts w:hint="eastAsia" w:ascii="仿宋" w:hAnsi="仿宋" w:eastAsia="仿宋" w:cs="仿宋"/>
          <w:strike w:val="0"/>
          <w:dstrike w:val="0"/>
          <w:color w:val="auto"/>
          <w:sz w:val="24"/>
          <w:szCs w:val="24"/>
          <w:highlight w:val="none"/>
        </w:rPr>
        <w:t>。</w:t>
      </w:r>
    </w:p>
    <w:p>
      <w:pPr>
        <w:spacing w:after="120" w:line="360" w:lineRule="auto"/>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_Ref4770872 \r \h  \* MERGEFORMAT </w:instrText>
      </w:r>
      <w:r>
        <w:rPr>
          <w:color w:val="auto"/>
          <w:highlight w:val="none"/>
        </w:rPr>
        <w:fldChar w:fldCharType="separate"/>
      </w:r>
      <w:r>
        <w:rPr>
          <w:rFonts w:hint="eastAsia" w:ascii="仿宋" w:hAnsi="仿宋" w:eastAsia="仿宋" w:cs="仿宋"/>
          <w:color w:val="auto"/>
          <w:sz w:val="24"/>
          <w:szCs w:val="24"/>
          <w:highlight w:val="none"/>
        </w:rPr>
        <w:t>8.7.3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行政审批迟延</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行政审批报送的职责分工：</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_Ref4770933 \r \h  \* MERGEFORMAT </w:instrText>
      </w:r>
      <w:r>
        <w:rPr>
          <w:color w:val="auto"/>
          <w:highlight w:val="none"/>
        </w:rPr>
        <w:fldChar w:fldCharType="separate"/>
      </w:r>
      <w:r>
        <w:rPr>
          <w:rFonts w:hint="eastAsia" w:ascii="仿宋" w:hAnsi="仿宋" w:eastAsia="仿宋" w:cs="仿宋"/>
          <w:color w:val="auto"/>
          <w:sz w:val="24"/>
          <w:szCs w:val="24"/>
          <w:highlight w:val="none"/>
        </w:rPr>
        <w:t>8.7.4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异常恶劣的气候条件</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双方约定视为异常恶劣的气候条件的情形：</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_Ref4781828 \r \h  \* MERGEFORMAT </w:instrText>
      </w:r>
      <w:r>
        <w:rPr>
          <w:color w:val="auto"/>
          <w:highlight w:val="none"/>
        </w:rPr>
        <w:fldChar w:fldCharType="separate"/>
      </w:r>
      <w:bookmarkStart w:id="466" w:name="_Toc7407_WPSOffice_Level3"/>
      <w:r>
        <w:rPr>
          <w:rFonts w:hint="eastAsia" w:ascii="仿宋" w:hAnsi="仿宋" w:eastAsia="仿宋" w:cs="仿宋"/>
          <w:color w:val="auto"/>
          <w:sz w:val="24"/>
          <w:szCs w:val="24"/>
          <w:highlight w:val="none"/>
        </w:rPr>
        <w:t>8.8</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66"/>
      <w:r>
        <w:rPr>
          <w:rFonts w:hint="eastAsia" w:ascii="仿宋" w:hAnsi="仿宋" w:eastAsia="仿宋" w:cs="仿宋"/>
          <w:color w:val="auto"/>
          <w:szCs w:val="16"/>
          <w:highlight w:val="none"/>
        </w:rPr>
        <w:instrText xml:space="preserve">EF _Ref4781828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工期提前</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_Ref4429347 \r \h  \* MERGEFORMAT </w:instrText>
      </w:r>
      <w:r>
        <w:rPr>
          <w:color w:val="auto"/>
          <w:highlight w:val="none"/>
        </w:rPr>
        <w:fldChar w:fldCharType="separate"/>
      </w:r>
      <w:r>
        <w:rPr>
          <w:rFonts w:hint="eastAsia" w:ascii="仿宋" w:hAnsi="仿宋" w:eastAsia="仿宋" w:cs="仿宋"/>
          <w:color w:val="auto"/>
          <w:sz w:val="24"/>
          <w:szCs w:val="24"/>
          <w:highlight w:val="none"/>
        </w:rPr>
        <w:t>8.8.2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承包人提前竣工的奖励：</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pStyle w:val="196"/>
        <w:spacing w:after="120"/>
        <w:ind w:right="-512" w:rightChars="-244"/>
        <w:rPr>
          <w:rFonts w:ascii="仿宋" w:hAnsi="仿宋" w:eastAsia="仿宋" w:cs="仿宋"/>
          <w:b w:val="0"/>
          <w:color w:val="auto"/>
          <w:sz w:val="24"/>
          <w:szCs w:val="18"/>
          <w:highlight w:val="none"/>
        </w:rPr>
      </w:pPr>
      <w:bookmarkStart w:id="467" w:name="_Toc3175"/>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REF _Ref4621029 \r \h  \* MERGEFORMAT </w:instrText>
      </w:r>
      <w:r>
        <w:rPr>
          <w:rFonts w:hint="eastAsia" w:ascii="仿宋" w:hAnsi="仿宋" w:eastAsia="仿宋" w:cs="仿宋"/>
          <w:color w:val="auto"/>
          <w:sz w:val="22"/>
          <w:szCs w:val="16"/>
          <w:highlight w:val="none"/>
        </w:rPr>
        <w:fldChar w:fldCharType="separate"/>
      </w:r>
      <w:bookmarkStart w:id="468" w:name="_Toc28192_WPSOffice_Level3"/>
      <w:bookmarkStart w:id="469" w:name="_Toc20171882"/>
      <w:r>
        <w:rPr>
          <w:rFonts w:hint="eastAsia" w:ascii="仿宋" w:hAnsi="仿宋" w:eastAsia="仿宋" w:cs="仿宋"/>
          <w:b w:val="0"/>
          <w:color w:val="auto"/>
          <w:sz w:val="24"/>
          <w:szCs w:val="18"/>
          <w:highlight w:val="none"/>
        </w:rPr>
        <w:t>第9条</w:t>
      </w:r>
      <w:r>
        <w:rPr>
          <w:rFonts w:hint="eastAsia" w:ascii="仿宋" w:hAnsi="仿宋" w:eastAsia="仿宋" w:cs="仿宋"/>
          <w:b w:val="0"/>
          <w:color w:val="auto"/>
          <w:sz w:val="24"/>
          <w:szCs w:val="18"/>
          <w:highlight w:val="none"/>
        </w:rPr>
        <w:fldChar w:fldCharType="end"/>
      </w:r>
      <w:r>
        <w:rPr>
          <w:rFonts w:hint="eastAsia" w:ascii="仿宋" w:hAnsi="仿宋" w:eastAsia="仿宋" w:cs="仿宋"/>
          <w:b w:val="0"/>
          <w:color w:val="auto"/>
          <w:sz w:val="24"/>
          <w:szCs w:val="18"/>
          <w:highlight w:val="none"/>
        </w:rPr>
        <w:t xml:space="preserve"> </w:t>
      </w:r>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w:instrText>
      </w:r>
      <w:bookmarkEnd w:id="468"/>
      <w:r>
        <w:rPr>
          <w:rFonts w:hint="eastAsia" w:ascii="仿宋" w:hAnsi="仿宋" w:eastAsia="仿宋" w:cs="仿宋"/>
          <w:color w:val="auto"/>
          <w:sz w:val="22"/>
          <w:szCs w:val="16"/>
          <w:highlight w:val="none"/>
        </w:rPr>
        <w:instrText xml:space="preserve">EF _Ref4621029 \h  \* MERGEFORMAT </w:instrText>
      </w:r>
      <w:r>
        <w:rPr>
          <w:rFonts w:hint="eastAsia" w:ascii="仿宋" w:hAnsi="仿宋" w:eastAsia="仿宋" w:cs="仿宋"/>
          <w:color w:val="auto"/>
          <w:sz w:val="22"/>
          <w:szCs w:val="16"/>
          <w:highlight w:val="none"/>
        </w:rPr>
        <w:fldChar w:fldCharType="separate"/>
      </w:r>
      <w:r>
        <w:rPr>
          <w:rFonts w:hint="eastAsia" w:ascii="仿宋" w:hAnsi="仿宋" w:eastAsia="仿宋" w:cs="仿宋"/>
          <w:b w:val="0"/>
          <w:color w:val="auto"/>
          <w:sz w:val="24"/>
          <w:szCs w:val="18"/>
          <w:highlight w:val="none"/>
        </w:rPr>
        <w:t>竣工试验</w:t>
      </w:r>
      <w:bookmarkEnd w:id="469"/>
      <w:r>
        <w:rPr>
          <w:rFonts w:hint="eastAsia" w:ascii="仿宋" w:hAnsi="仿宋" w:eastAsia="仿宋" w:cs="仿宋"/>
          <w:b w:val="0"/>
          <w:color w:val="auto"/>
          <w:sz w:val="24"/>
          <w:szCs w:val="18"/>
          <w:highlight w:val="none"/>
        </w:rPr>
        <w:fldChar w:fldCharType="end"/>
      </w:r>
      <w:bookmarkEnd w:id="467"/>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_Ref532586248 \r \h  \* MERGEFORMAT </w:instrText>
      </w:r>
      <w:r>
        <w:rPr>
          <w:color w:val="auto"/>
          <w:highlight w:val="none"/>
        </w:rPr>
        <w:fldChar w:fldCharType="separate"/>
      </w:r>
      <w:bookmarkStart w:id="470" w:name="_Toc31790_WPSOffice_Level3"/>
      <w:r>
        <w:rPr>
          <w:rFonts w:hint="eastAsia" w:ascii="仿宋" w:hAnsi="仿宋" w:eastAsia="仿宋" w:cs="仿宋"/>
          <w:color w:val="auto"/>
          <w:sz w:val="24"/>
          <w:szCs w:val="24"/>
          <w:highlight w:val="none"/>
        </w:rPr>
        <w:t>9.1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w:instrText>
      </w:r>
      <w:bookmarkEnd w:id="470"/>
      <w:r>
        <w:rPr>
          <w:rFonts w:hint="eastAsia" w:ascii="仿宋" w:hAnsi="仿宋" w:eastAsia="仿宋" w:cs="仿宋"/>
          <w:color w:val="auto"/>
          <w:szCs w:val="16"/>
          <w:highlight w:val="none"/>
        </w:rPr>
        <w:instrText xml:space="preserve">_Ref532586248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竣工试验的义务</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_Ref532586608 \r \h  \* MERGEFORMAT </w:instrText>
      </w:r>
      <w:r>
        <w:rPr>
          <w:color w:val="auto"/>
          <w:highlight w:val="none"/>
        </w:rPr>
        <w:fldChar w:fldCharType="separate"/>
      </w:r>
      <w:r>
        <w:rPr>
          <w:rFonts w:hint="eastAsia" w:ascii="仿宋" w:hAnsi="仿宋" w:eastAsia="仿宋" w:cs="仿宋"/>
          <w:color w:val="auto"/>
          <w:sz w:val="24"/>
          <w:szCs w:val="24"/>
          <w:highlight w:val="none"/>
        </w:rPr>
        <w:t>9.1.1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竣工试验方案的提交份数、时间和内容：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_Ref11919920 \r \h  \* MERGEFORMAT </w:instrText>
      </w:r>
      <w:r>
        <w:rPr>
          <w:color w:val="auto"/>
          <w:highlight w:val="none"/>
        </w:rPr>
        <w:fldChar w:fldCharType="separate"/>
      </w:r>
      <w:r>
        <w:rPr>
          <w:rFonts w:hint="eastAsia" w:ascii="仿宋" w:hAnsi="仿宋" w:eastAsia="仿宋" w:cs="仿宋"/>
          <w:color w:val="auto"/>
          <w:sz w:val="24"/>
          <w:szCs w:val="24"/>
          <w:highlight w:val="none"/>
        </w:rPr>
        <w:t>9.1.2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竣工试验所需人员、设备、材料、燃料、电力、消耗品、工具等必要条件的提供方：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竣工试验费用的承担方：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_Ref532688147 \r \h  \* MERGEFORMAT </w:instrText>
      </w:r>
      <w:r>
        <w:rPr>
          <w:color w:val="auto"/>
          <w:highlight w:val="none"/>
        </w:rPr>
        <w:fldChar w:fldCharType="separate"/>
      </w:r>
      <w:r>
        <w:rPr>
          <w:rFonts w:hint="eastAsia" w:ascii="仿宋" w:hAnsi="仿宋" w:eastAsia="仿宋" w:cs="仿宋"/>
          <w:color w:val="auto"/>
          <w:sz w:val="24"/>
          <w:szCs w:val="24"/>
          <w:highlight w:val="none"/>
        </w:rPr>
        <w:t>9.1.3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竣工试验的阶段、内容和顺序：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竣工试验的操作要求：</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pStyle w:val="196"/>
        <w:spacing w:after="120"/>
        <w:ind w:right="-512" w:rightChars="-244"/>
        <w:rPr>
          <w:rFonts w:ascii="仿宋" w:hAnsi="仿宋" w:eastAsia="仿宋" w:cs="仿宋"/>
          <w:b w:val="0"/>
          <w:color w:val="auto"/>
          <w:sz w:val="22"/>
          <w:szCs w:val="16"/>
          <w:highlight w:val="none"/>
        </w:rPr>
      </w:pPr>
      <w:bookmarkStart w:id="471" w:name="_Toc4784272"/>
      <w:bookmarkEnd w:id="471"/>
      <w:bookmarkStart w:id="472" w:name="_Toc4784273"/>
      <w:bookmarkEnd w:id="472"/>
      <w:bookmarkStart w:id="473" w:name="_Toc2671"/>
      <w:r>
        <w:rPr>
          <w:rFonts w:hint="eastAsia" w:ascii="仿宋" w:hAnsi="仿宋" w:eastAsia="仿宋" w:cs="仿宋"/>
          <w:b w:val="0"/>
          <w:color w:val="auto"/>
          <w:sz w:val="22"/>
          <w:szCs w:val="16"/>
          <w:highlight w:val="none"/>
        </w:rPr>
        <w:fldChar w:fldCharType="begin"/>
      </w:r>
      <w:r>
        <w:rPr>
          <w:rFonts w:hint="eastAsia" w:ascii="仿宋" w:hAnsi="仿宋" w:eastAsia="仿宋" w:cs="仿宋"/>
          <w:b w:val="0"/>
          <w:color w:val="auto"/>
          <w:sz w:val="22"/>
          <w:szCs w:val="16"/>
          <w:highlight w:val="none"/>
        </w:rPr>
        <w:instrText xml:space="preserve"> REF _Ref4618338 \r \h  \* MERGEFORMAT </w:instrText>
      </w:r>
      <w:r>
        <w:rPr>
          <w:rFonts w:hint="eastAsia" w:ascii="仿宋" w:hAnsi="仿宋" w:eastAsia="仿宋" w:cs="仿宋"/>
          <w:b w:val="0"/>
          <w:color w:val="auto"/>
          <w:sz w:val="22"/>
          <w:szCs w:val="16"/>
          <w:highlight w:val="none"/>
        </w:rPr>
        <w:fldChar w:fldCharType="separate"/>
      </w:r>
      <w:bookmarkStart w:id="474" w:name="_Toc7702_WPSOffice_Level3"/>
      <w:bookmarkStart w:id="475" w:name="_Toc20171883"/>
      <w:r>
        <w:rPr>
          <w:rFonts w:hint="eastAsia" w:ascii="仿宋" w:hAnsi="仿宋" w:eastAsia="仿宋" w:cs="仿宋"/>
          <w:b w:val="0"/>
          <w:color w:val="auto"/>
          <w:sz w:val="22"/>
          <w:szCs w:val="16"/>
          <w:highlight w:val="none"/>
        </w:rPr>
        <w:t>第10条</w:t>
      </w:r>
      <w:r>
        <w:rPr>
          <w:rFonts w:hint="eastAsia" w:ascii="仿宋" w:hAnsi="仿宋" w:eastAsia="仿宋" w:cs="仿宋"/>
          <w:b w:val="0"/>
          <w:color w:val="auto"/>
          <w:sz w:val="22"/>
          <w:szCs w:val="16"/>
          <w:highlight w:val="none"/>
        </w:rPr>
        <w:fldChar w:fldCharType="end"/>
      </w:r>
      <w:r>
        <w:rPr>
          <w:rFonts w:hint="eastAsia" w:ascii="仿宋" w:hAnsi="仿宋" w:eastAsia="仿宋" w:cs="仿宋"/>
          <w:b w:val="0"/>
          <w:color w:val="auto"/>
          <w:sz w:val="22"/>
          <w:szCs w:val="16"/>
          <w:highlight w:val="none"/>
        </w:rPr>
        <w:t xml:space="preserve"> </w:t>
      </w:r>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REF </w:instrText>
      </w:r>
      <w:bookmarkEnd w:id="474"/>
      <w:r>
        <w:rPr>
          <w:rFonts w:hint="eastAsia" w:ascii="仿宋" w:hAnsi="仿宋" w:eastAsia="仿宋" w:cs="仿宋"/>
          <w:color w:val="auto"/>
          <w:sz w:val="22"/>
          <w:szCs w:val="16"/>
          <w:highlight w:val="none"/>
        </w:rPr>
        <w:instrText xml:space="preserve">_Ref4624043 \h  \* MERGEFORMAT </w:instrText>
      </w:r>
      <w:r>
        <w:rPr>
          <w:rFonts w:hint="eastAsia" w:ascii="仿宋" w:hAnsi="仿宋" w:eastAsia="仿宋" w:cs="仿宋"/>
          <w:color w:val="auto"/>
          <w:sz w:val="22"/>
          <w:szCs w:val="16"/>
          <w:highlight w:val="none"/>
        </w:rPr>
        <w:fldChar w:fldCharType="separate"/>
      </w:r>
      <w:r>
        <w:rPr>
          <w:rFonts w:hint="eastAsia" w:ascii="仿宋" w:hAnsi="仿宋" w:eastAsia="仿宋" w:cs="仿宋"/>
          <w:b w:val="0"/>
          <w:color w:val="auto"/>
          <w:sz w:val="22"/>
          <w:szCs w:val="16"/>
          <w:highlight w:val="none"/>
        </w:rPr>
        <w:t>验收和工程接收</w:t>
      </w:r>
      <w:bookmarkEnd w:id="475"/>
      <w:r>
        <w:rPr>
          <w:rFonts w:hint="eastAsia" w:ascii="仿宋" w:hAnsi="仿宋" w:eastAsia="仿宋" w:cs="仿宋"/>
          <w:b w:val="0"/>
          <w:color w:val="auto"/>
          <w:sz w:val="22"/>
          <w:szCs w:val="16"/>
          <w:highlight w:val="none"/>
        </w:rPr>
        <w:fldChar w:fldCharType="end"/>
      </w:r>
      <w:bookmarkEnd w:id="473"/>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_Ref532300801 \r \h  \* MERGEFORMAT </w:instrText>
      </w:r>
      <w:r>
        <w:rPr>
          <w:color w:val="auto"/>
          <w:highlight w:val="none"/>
        </w:rPr>
        <w:fldChar w:fldCharType="separate"/>
      </w:r>
      <w:bookmarkStart w:id="476" w:name="_Toc8537_WPSOffice_Level3"/>
      <w:r>
        <w:rPr>
          <w:rFonts w:hint="eastAsia" w:ascii="仿宋" w:hAnsi="仿宋" w:eastAsia="仿宋" w:cs="仿宋"/>
          <w:color w:val="auto"/>
          <w:sz w:val="24"/>
          <w:szCs w:val="24"/>
          <w:highlight w:val="none"/>
        </w:rPr>
        <w:t>10.1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76"/>
      <w:r>
        <w:rPr>
          <w:rFonts w:hint="eastAsia" w:ascii="仿宋" w:hAnsi="仿宋" w:eastAsia="仿宋" w:cs="仿宋"/>
          <w:color w:val="auto"/>
          <w:szCs w:val="16"/>
          <w:highlight w:val="none"/>
        </w:rPr>
        <w:instrText xml:space="preserve">EF _Ref532300801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竣工验收</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_Ref4429424 \r \h  \* MERGEFORMAT </w:instrText>
      </w:r>
      <w:r>
        <w:rPr>
          <w:color w:val="auto"/>
          <w:highlight w:val="none"/>
        </w:rPr>
        <w:fldChar w:fldCharType="separate"/>
      </w:r>
      <w:r>
        <w:rPr>
          <w:rFonts w:hint="eastAsia" w:ascii="仿宋" w:hAnsi="仿宋" w:eastAsia="仿宋" w:cs="仿宋"/>
          <w:color w:val="auto"/>
          <w:sz w:val="24"/>
          <w:szCs w:val="24"/>
          <w:highlight w:val="none"/>
        </w:rPr>
        <w:t>10.1.2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关于竣工验收程序的约定：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发包人不按照合同约定组织竣工验收、颁发工程接受证书的违约金的计算方式：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_Ref532688351 \r \h  \* MERGEFORMAT </w:instrText>
      </w:r>
      <w:r>
        <w:rPr>
          <w:color w:val="auto"/>
          <w:highlight w:val="none"/>
        </w:rPr>
        <w:fldChar w:fldCharType="separate"/>
      </w:r>
      <w:bookmarkStart w:id="477" w:name="_Toc13581_WPSOffice_Level3"/>
      <w:r>
        <w:rPr>
          <w:rFonts w:hint="eastAsia" w:ascii="仿宋" w:hAnsi="仿宋" w:eastAsia="仿宋" w:cs="仿宋"/>
          <w:color w:val="auto"/>
          <w:sz w:val="24"/>
          <w:szCs w:val="24"/>
          <w:highlight w:val="none"/>
        </w:rPr>
        <w:t>10.3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77"/>
      <w:r>
        <w:rPr>
          <w:rFonts w:hint="eastAsia" w:ascii="仿宋" w:hAnsi="仿宋" w:eastAsia="仿宋" w:cs="仿宋"/>
          <w:color w:val="auto"/>
          <w:szCs w:val="16"/>
          <w:highlight w:val="none"/>
        </w:rPr>
        <w:instrText xml:space="preserve">EF _Ref4429473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接收证书</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_Ref4429542 \r \h  \* MERGEFORMAT </w:instrText>
      </w:r>
      <w:r>
        <w:rPr>
          <w:color w:val="auto"/>
          <w:highlight w:val="none"/>
        </w:rPr>
        <w:fldChar w:fldCharType="separate"/>
      </w:r>
      <w:r>
        <w:rPr>
          <w:rFonts w:hint="eastAsia" w:ascii="仿宋" w:hAnsi="仿宋" w:eastAsia="仿宋" w:cs="仿宋"/>
          <w:color w:val="auto"/>
          <w:sz w:val="24"/>
          <w:szCs w:val="24"/>
          <w:highlight w:val="none"/>
        </w:rPr>
        <w:t>10.3.1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工程接收证书颁发时间：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_Ref4429631 \r \h  \* MERGEFORMAT </w:instrText>
      </w:r>
      <w:r>
        <w:rPr>
          <w:color w:val="auto"/>
          <w:highlight w:val="none"/>
        </w:rPr>
        <w:fldChar w:fldCharType="separate"/>
      </w:r>
      <w:bookmarkStart w:id="478" w:name="_Toc22569_WPSOffice_Level3"/>
      <w:r>
        <w:rPr>
          <w:rFonts w:hint="eastAsia" w:ascii="仿宋" w:hAnsi="仿宋" w:eastAsia="仿宋" w:cs="仿宋"/>
          <w:color w:val="auto"/>
          <w:sz w:val="24"/>
          <w:szCs w:val="24"/>
          <w:highlight w:val="none"/>
        </w:rPr>
        <w:t>10.4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w:instrText>
      </w:r>
      <w:bookmarkEnd w:id="478"/>
      <w:r>
        <w:rPr>
          <w:rFonts w:hint="eastAsia" w:ascii="仿宋" w:hAnsi="仿宋" w:eastAsia="仿宋" w:cs="仿宋"/>
          <w:color w:val="auto"/>
          <w:szCs w:val="16"/>
          <w:highlight w:val="none"/>
        </w:rPr>
        <w:instrText xml:space="preserve">F _Ref4429634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工程的接收</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_Ref4429679 \r \h  \* MERGEFORMAT </w:instrText>
      </w:r>
      <w:r>
        <w:rPr>
          <w:color w:val="auto"/>
          <w:highlight w:val="none"/>
        </w:rPr>
        <w:fldChar w:fldCharType="separate"/>
      </w:r>
      <w:r>
        <w:rPr>
          <w:rFonts w:hint="eastAsia" w:ascii="仿宋" w:hAnsi="仿宋" w:eastAsia="仿宋" w:cs="仿宋"/>
          <w:color w:val="auto"/>
          <w:sz w:val="24"/>
          <w:szCs w:val="24"/>
          <w:highlight w:val="none"/>
        </w:rPr>
        <w:t>10.4.1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工程接收的先后顺序、时间安排和其他要求：</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_Ref532688365 \r \h  \* MERGEFORMAT </w:instrText>
      </w:r>
      <w:r>
        <w:rPr>
          <w:color w:val="auto"/>
          <w:highlight w:val="none"/>
        </w:rPr>
        <w:fldChar w:fldCharType="separate"/>
      </w:r>
      <w:r>
        <w:rPr>
          <w:rFonts w:hint="eastAsia" w:ascii="仿宋" w:hAnsi="仿宋" w:eastAsia="仿宋" w:cs="仿宋"/>
          <w:color w:val="auto"/>
          <w:sz w:val="24"/>
          <w:szCs w:val="24"/>
          <w:highlight w:val="none"/>
        </w:rPr>
        <w:t>10.4.2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接受工程时承包人需提交竣工验收资料的类别、内容、份数和提交时间：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_Ref4429777 \r \h  \* MERGEFORMAT </w:instrText>
      </w:r>
      <w:r>
        <w:rPr>
          <w:color w:val="auto"/>
          <w:highlight w:val="none"/>
        </w:rPr>
        <w:fldChar w:fldCharType="separate"/>
      </w:r>
      <w:r>
        <w:rPr>
          <w:rFonts w:hint="eastAsia" w:ascii="仿宋" w:hAnsi="仿宋" w:eastAsia="仿宋" w:cs="仿宋"/>
          <w:color w:val="auto"/>
          <w:sz w:val="24"/>
          <w:szCs w:val="24"/>
          <w:highlight w:val="none"/>
        </w:rPr>
        <w:t>10.4.3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发包人逾期接收工程的违约责任：</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_Ref4686264 \w \h  \* MERGEFORMAT </w:instrText>
      </w:r>
      <w:r>
        <w:rPr>
          <w:color w:val="auto"/>
          <w:highlight w:val="none"/>
        </w:rPr>
        <w:fldChar w:fldCharType="separate"/>
      </w:r>
      <w:r>
        <w:rPr>
          <w:rFonts w:hint="eastAsia" w:ascii="仿宋" w:hAnsi="仿宋" w:eastAsia="仿宋" w:cs="仿宋"/>
          <w:color w:val="auto"/>
          <w:sz w:val="24"/>
          <w:szCs w:val="24"/>
          <w:highlight w:val="none"/>
        </w:rPr>
        <w:t>10.4.4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承包人无正当理由不移交工程的违约责任：</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_Ref4429932 \r \h  \* MERGEFORMAT </w:instrText>
      </w:r>
      <w:r>
        <w:rPr>
          <w:color w:val="auto"/>
          <w:highlight w:val="none"/>
        </w:rPr>
        <w:fldChar w:fldCharType="separate"/>
      </w:r>
      <w:bookmarkStart w:id="479" w:name="_Toc28705_WPSOffice_Level3"/>
      <w:r>
        <w:rPr>
          <w:rFonts w:hint="eastAsia" w:ascii="仿宋" w:hAnsi="仿宋" w:eastAsia="仿宋" w:cs="仿宋"/>
          <w:color w:val="auto"/>
          <w:sz w:val="24"/>
          <w:szCs w:val="24"/>
          <w:highlight w:val="none"/>
        </w:rPr>
        <w:t>10.5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79"/>
      <w:r>
        <w:rPr>
          <w:rFonts w:hint="eastAsia" w:ascii="仿宋" w:hAnsi="仿宋" w:eastAsia="仿宋" w:cs="仿宋"/>
          <w:color w:val="auto"/>
          <w:szCs w:val="16"/>
          <w:highlight w:val="none"/>
        </w:rPr>
        <w:instrText xml:space="preserve">EF _Ref4429935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竣工退场</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_Ref4429943 \r \h  \* MERGEFORMAT </w:instrText>
      </w:r>
      <w:r>
        <w:rPr>
          <w:color w:val="auto"/>
          <w:highlight w:val="none"/>
        </w:rPr>
        <w:fldChar w:fldCharType="separate"/>
      </w:r>
      <w:r>
        <w:rPr>
          <w:rFonts w:hint="eastAsia" w:ascii="仿宋" w:hAnsi="仿宋" w:eastAsia="仿宋" w:cs="仿宋"/>
          <w:color w:val="auto"/>
          <w:sz w:val="24"/>
          <w:szCs w:val="24"/>
          <w:highlight w:val="none"/>
        </w:rPr>
        <w:t>10.5.1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竣工退场的相关规定：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_Ref20159437 \r \h  \* MERGEFORMAT </w:instrText>
      </w:r>
      <w:r>
        <w:rPr>
          <w:color w:val="auto"/>
          <w:highlight w:val="none"/>
        </w:rPr>
        <w:fldChar w:fldCharType="separate"/>
      </w:r>
      <w:r>
        <w:rPr>
          <w:rFonts w:hint="eastAsia" w:ascii="仿宋" w:hAnsi="仿宋" w:eastAsia="仿宋" w:cs="仿宋"/>
          <w:color w:val="auto"/>
          <w:sz w:val="24"/>
          <w:szCs w:val="24"/>
          <w:highlight w:val="none"/>
        </w:rPr>
        <w:t>10.5.3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_Ref20159437 \h  \* MERGEFORMAT </w:instrText>
      </w:r>
      <w:r>
        <w:rPr>
          <w:color w:val="auto"/>
          <w:highlight w:val="none"/>
        </w:rPr>
        <w:fldChar w:fldCharType="separate"/>
      </w:r>
      <w:r>
        <w:rPr>
          <w:rFonts w:hint="eastAsia" w:ascii="仿宋" w:hAnsi="仿宋" w:eastAsia="仿宋" w:cs="仿宋"/>
          <w:color w:val="auto"/>
          <w:sz w:val="24"/>
          <w:szCs w:val="24"/>
          <w:highlight w:val="none"/>
        </w:rPr>
        <w:t>人员撤离</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工程师同意需在缺陷责任期内继续工作和使用的人员、施工设备和临时工程的内容：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pStyle w:val="196"/>
        <w:spacing w:after="120"/>
        <w:ind w:right="-512" w:rightChars="-244"/>
        <w:rPr>
          <w:rFonts w:ascii="仿宋" w:hAnsi="仿宋" w:eastAsia="仿宋" w:cs="仿宋"/>
          <w:b w:val="0"/>
          <w:color w:val="auto"/>
          <w:sz w:val="24"/>
          <w:szCs w:val="18"/>
          <w:highlight w:val="none"/>
        </w:rPr>
      </w:pPr>
      <w:bookmarkStart w:id="480" w:name="_Toc27547"/>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REF _Ref4796906 \r \h  \* MERGEFORMAT </w:instrText>
      </w:r>
      <w:r>
        <w:rPr>
          <w:rFonts w:hint="eastAsia" w:ascii="仿宋" w:hAnsi="仿宋" w:eastAsia="仿宋" w:cs="仿宋"/>
          <w:color w:val="auto"/>
          <w:sz w:val="22"/>
          <w:szCs w:val="16"/>
          <w:highlight w:val="none"/>
        </w:rPr>
        <w:fldChar w:fldCharType="separate"/>
      </w:r>
      <w:bookmarkStart w:id="481" w:name="_Toc4225_WPSOffice_Level3"/>
      <w:bookmarkStart w:id="482" w:name="_Toc20171884"/>
      <w:r>
        <w:rPr>
          <w:rFonts w:hint="eastAsia" w:ascii="仿宋" w:hAnsi="仿宋" w:eastAsia="仿宋" w:cs="仿宋"/>
          <w:b w:val="0"/>
          <w:color w:val="auto"/>
          <w:sz w:val="24"/>
          <w:szCs w:val="18"/>
          <w:highlight w:val="none"/>
        </w:rPr>
        <w:t>第11条</w:t>
      </w:r>
      <w:r>
        <w:rPr>
          <w:rFonts w:hint="eastAsia" w:ascii="仿宋" w:hAnsi="仿宋" w:eastAsia="仿宋" w:cs="仿宋"/>
          <w:b w:val="0"/>
          <w:color w:val="auto"/>
          <w:sz w:val="24"/>
          <w:szCs w:val="18"/>
          <w:highlight w:val="none"/>
        </w:rPr>
        <w:fldChar w:fldCharType="end"/>
      </w:r>
      <w:r>
        <w:rPr>
          <w:rFonts w:hint="eastAsia" w:ascii="仿宋" w:hAnsi="仿宋" w:eastAsia="仿宋" w:cs="仿宋"/>
          <w:b w:val="0"/>
          <w:color w:val="auto"/>
          <w:sz w:val="24"/>
          <w:szCs w:val="18"/>
          <w:highlight w:val="none"/>
        </w:rPr>
        <w:t xml:space="preserve"> </w:t>
      </w:r>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REF </w:instrText>
      </w:r>
      <w:bookmarkEnd w:id="481"/>
      <w:r>
        <w:rPr>
          <w:rFonts w:hint="eastAsia" w:ascii="仿宋" w:hAnsi="仿宋" w:eastAsia="仿宋" w:cs="仿宋"/>
          <w:color w:val="auto"/>
          <w:sz w:val="22"/>
          <w:szCs w:val="16"/>
          <w:highlight w:val="none"/>
        </w:rPr>
        <w:instrText xml:space="preserve">_Ref4796909 \h  \* MERGEFORMAT </w:instrText>
      </w:r>
      <w:r>
        <w:rPr>
          <w:rFonts w:hint="eastAsia" w:ascii="仿宋" w:hAnsi="仿宋" w:eastAsia="仿宋" w:cs="仿宋"/>
          <w:color w:val="auto"/>
          <w:sz w:val="22"/>
          <w:szCs w:val="16"/>
          <w:highlight w:val="none"/>
        </w:rPr>
        <w:fldChar w:fldCharType="separate"/>
      </w:r>
      <w:r>
        <w:rPr>
          <w:rFonts w:hint="eastAsia" w:ascii="仿宋" w:hAnsi="仿宋" w:eastAsia="仿宋" w:cs="仿宋"/>
          <w:b w:val="0"/>
          <w:color w:val="auto"/>
          <w:sz w:val="24"/>
          <w:szCs w:val="18"/>
          <w:highlight w:val="none"/>
        </w:rPr>
        <w:t>缺陷责任与保修</w:t>
      </w:r>
      <w:bookmarkEnd w:id="482"/>
      <w:r>
        <w:rPr>
          <w:rFonts w:hint="eastAsia" w:ascii="仿宋" w:hAnsi="仿宋" w:eastAsia="仿宋" w:cs="仿宋"/>
          <w:b w:val="0"/>
          <w:color w:val="auto"/>
          <w:sz w:val="24"/>
          <w:szCs w:val="18"/>
          <w:highlight w:val="none"/>
        </w:rPr>
        <w:fldChar w:fldCharType="end"/>
      </w:r>
      <w:bookmarkEnd w:id="480"/>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_Ref4430062 \r \h  \* MERGEFORMAT </w:instrText>
      </w:r>
      <w:r>
        <w:rPr>
          <w:color w:val="auto"/>
          <w:highlight w:val="none"/>
        </w:rPr>
        <w:fldChar w:fldCharType="separate"/>
      </w:r>
      <w:bookmarkStart w:id="483" w:name="_Toc29175_WPSOffice_Level3"/>
      <w:r>
        <w:rPr>
          <w:rFonts w:hint="eastAsia" w:ascii="仿宋" w:hAnsi="仿宋" w:eastAsia="仿宋" w:cs="仿宋"/>
          <w:color w:val="auto"/>
          <w:sz w:val="24"/>
          <w:szCs w:val="24"/>
          <w:highlight w:val="none"/>
        </w:rPr>
        <w:t>11.2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w:instrText>
      </w:r>
      <w:bookmarkEnd w:id="483"/>
      <w:r>
        <w:rPr>
          <w:rFonts w:hint="eastAsia" w:ascii="仿宋" w:hAnsi="仿宋" w:eastAsia="仿宋" w:cs="仿宋"/>
          <w:color w:val="auto"/>
          <w:szCs w:val="16"/>
          <w:highlight w:val="none"/>
        </w:rPr>
        <w:instrText xml:space="preserve">F _Ref4430062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缺陷责任期</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缺陷责任期的期限：</w:t>
      </w:r>
      <w:r>
        <w:rPr>
          <w:rFonts w:hint="eastAsia" w:ascii="仿宋" w:hAnsi="仿宋" w:eastAsia="仿宋" w:cs="仿宋"/>
          <w:color w:val="auto"/>
          <w:sz w:val="24"/>
          <w:szCs w:val="24"/>
          <w:highlight w:val="none"/>
          <w:u w:val="single"/>
        </w:rPr>
        <w:t xml:space="preserve">            24个月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_Ref532662486 \r \h  \* MERGEFORMAT </w:instrText>
      </w:r>
      <w:r>
        <w:rPr>
          <w:color w:val="auto"/>
          <w:highlight w:val="none"/>
        </w:rPr>
        <w:fldChar w:fldCharType="separate"/>
      </w:r>
      <w:bookmarkStart w:id="484" w:name="_Toc21374_WPSOffice_Level3"/>
      <w:r>
        <w:rPr>
          <w:rFonts w:hint="eastAsia" w:ascii="仿宋" w:hAnsi="仿宋" w:eastAsia="仿宋" w:cs="仿宋"/>
          <w:color w:val="auto"/>
          <w:sz w:val="24"/>
          <w:szCs w:val="24"/>
          <w:highlight w:val="none"/>
        </w:rPr>
        <w:t>11.3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84"/>
      <w:r>
        <w:rPr>
          <w:rFonts w:hint="eastAsia" w:ascii="仿宋" w:hAnsi="仿宋" w:eastAsia="仿宋" w:cs="仿宋"/>
          <w:color w:val="auto"/>
          <w:szCs w:val="16"/>
          <w:highlight w:val="none"/>
        </w:rPr>
        <w:instrText xml:space="preserve">EF _Ref532662486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缺陷责任</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_Ref531955041 \r \h  \* MERGEFORMAT </w:instrText>
      </w:r>
      <w:r>
        <w:rPr>
          <w:color w:val="auto"/>
          <w:highlight w:val="none"/>
        </w:rPr>
        <w:fldChar w:fldCharType="separate"/>
      </w:r>
      <w:r>
        <w:rPr>
          <w:rFonts w:hint="eastAsia" w:ascii="仿宋" w:hAnsi="仿宋" w:eastAsia="仿宋" w:cs="仿宋"/>
          <w:color w:val="auto"/>
          <w:sz w:val="24"/>
          <w:szCs w:val="24"/>
          <w:highlight w:val="none"/>
        </w:rPr>
        <w:t>11.3.3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_Ref531955041 \h  \* MERGEFORMAT </w:instrText>
      </w:r>
      <w:r>
        <w:rPr>
          <w:color w:val="auto"/>
          <w:highlight w:val="none"/>
        </w:rPr>
        <w:fldChar w:fldCharType="separate"/>
      </w:r>
      <w:r>
        <w:rPr>
          <w:rFonts w:hint="eastAsia" w:ascii="仿宋" w:hAnsi="仿宋" w:eastAsia="仿宋" w:cs="仿宋"/>
          <w:color w:val="auto"/>
          <w:sz w:val="24"/>
          <w:szCs w:val="24"/>
          <w:highlight w:val="none"/>
        </w:rPr>
        <w:t>修复通知</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承包人收到保修通知并到达工程现场的合理时间：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_Ref4430223 \r \h  \* MERGEFORMAT </w:instrText>
      </w:r>
      <w:r>
        <w:rPr>
          <w:color w:val="auto"/>
          <w:highlight w:val="none"/>
        </w:rPr>
        <w:fldChar w:fldCharType="separate"/>
      </w:r>
      <w:bookmarkStart w:id="485" w:name="_Toc29727_WPSOffice_Level3"/>
      <w:r>
        <w:rPr>
          <w:rFonts w:hint="eastAsia" w:ascii="仿宋" w:hAnsi="仿宋" w:eastAsia="仿宋" w:cs="仿宋"/>
          <w:color w:val="auto"/>
          <w:sz w:val="24"/>
          <w:szCs w:val="24"/>
          <w:highlight w:val="none"/>
        </w:rPr>
        <w:t>11.7</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_R</w:instrText>
      </w:r>
      <w:bookmarkEnd w:id="485"/>
      <w:r>
        <w:rPr>
          <w:rFonts w:hint="eastAsia" w:ascii="仿宋" w:hAnsi="仿宋" w:eastAsia="仿宋" w:cs="仿宋"/>
          <w:color w:val="auto"/>
          <w:szCs w:val="16"/>
          <w:highlight w:val="none"/>
        </w:rPr>
        <w:instrText xml:space="preserve">ef4430229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缺陷责任期终止证书</w:t>
      </w:r>
      <w:r>
        <w:rPr>
          <w:rFonts w:hint="eastAsia" w:ascii="仿宋" w:hAnsi="仿宋" w:eastAsia="仿宋" w:cs="仿宋"/>
          <w:color w:val="auto"/>
          <w:sz w:val="24"/>
          <w:szCs w:val="24"/>
          <w:highlight w:val="none"/>
        </w:rPr>
        <w:fldChar w:fldCharType="end"/>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承包人应于缺陷责任期届满后</w:t>
      </w:r>
      <w:r>
        <w:rPr>
          <w:rFonts w:hint="eastAsia" w:ascii="仿宋" w:hAnsi="仿宋" w:eastAsia="仿宋" w:cs="仿宋"/>
          <w:color w:val="auto"/>
          <w:sz w:val="24"/>
          <w:szCs w:val="24"/>
          <w:highlight w:val="none"/>
          <w:u w:val="single"/>
        </w:rPr>
        <w:t xml:space="preserve">  7  </w:t>
      </w:r>
      <w:r>
        <w:rPr>
          <w:rFonts w:hint="eastAsia" w:ascii="仿宋" w:hAnsi="仿宋" w:eastAsia="仿宋" w:cs="仿宋"/>
          <w:color w:val="auto"/>
          <w:sz w:val="24"/>
          <w:szCs w:val="24"/>
          <w:highlight w:val="none"/>
        </w:rPr>
        <w:t>天内向发包人发出缺陷责任期届满通知，发包人应在收到缺陷责任期满通知后</w:t>
      </w:r>
      <w:r>
        <w:rPr>
          <w:rFonts w:hint="eastAsia" w:ascii="仿宋" w:hAnsi="仿宋" w:eastAsia="仿宋" w:cs="仿宋"/>
          <w:color w:val="auto"/>
          <w:sz w:val="24"/>
          <w:szCs w:val="24"/>
          <w:highlight w:val="none"/>
          <w:u w:val="single"/>
        </w:rPr>
        <w:t xml:space="preserve">  7  </w:t>
      </w:r>
      <w:r>
        <w:rPr>
          <w:rFonts w:hint="eastAsia" w:ascii="仿宋" w:hAnsi="仿宋" w:eastAsia="仿宋" w:cs="仿宋"/>
          <w:color w:val="auto"/>
          <w:sz w:val="24"/>
          <w:szCs w:val="24"/>
          <w:highlight w:val="none"/>
        </w:rPr>
        <w:t>天内核实承包人是否履行缺陷修复义务，承包人未能履行缺陷修复义务的，发包人有权扣除相应金额的维修费用。发包人应在收到缺陷责任期届满通知后</w:t>
      </w:r>
      <w:r>
        <w:rPr>
          <w:rFonts w:hint="eastAsia" w:ascii="仿宋" w:hAnsi="仿宋" w:eastAsia="仿宋" w:cs="仿宋"/>
          <w:color w:val="auto"/>
          <w:sz w:val="24"/>
          <w:szCs w:val="24"/>
          <w:highlight w:val="none"/>
          <w:u w:val="single"/>
        </w:rPr>
        <w:t xml:space="preserve"> 28 </w:t>
      </w:r>
      <w:r>
        <w:rPr>
          <w:rFonts w:hint="eastAsia" w:ascii="仿宋" w:hAnsi="仿宋" w:eastAsia="仿宋" w:cs="仿宋"/>
          <w:color w:val="auto"/>
          <w:sz w:val="24"/>
          <w:szCs w:val="24"/>
          <w:highlight w:val="none"/>
        </w:rPr>
        <w:t>天内，向承包人颁发缺陷责任期终止证书。</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_Ref4430272 \r \h  \* MERGEFORMAT </w:instrText>
      </w:r>
      <w:r>
        <w:rPr>
          <w:color w:val="auto"/>
          <w:highlight w:val="none"/>
        </w:rPr>
        <w:fldChar w:fldCharType="separate"/>
      </w:r>
      <w:bookmarkStart w:id="486" w:name="_Toc32206_WPSOffice_Level3"/>
      <w:r>
        <w:rPr>
          <w:rFonts w:hint="eastAsia" w:ascii="仿宋" w:hAnsi="仿宋" w:eastAsia="仿宋" w:cs="仿宋"/>
          <w:color w:val="auto"/>
          <w:sz w:val="24"/>
          <w:szCs w:val="24"/>
          <w:highlight w:val="none"/>
        </w:rPr>
        <w:t>11.8</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86"/>
      <w:r>
        <w:rPr>
          <w:rFonts w:hint="eastAsia" w:ascii="仿宋" w:hAnsi="仿宋" w:eastAsia="仿宋" w:cs="仿宋"/>
          <w:color w:val="auto"/>
          <w:szCs w:val="16"/>
          <w:highlight w:val="none"/>
        </w:rPr>
        <w:instrText xml:space="preserve">EF _Ref4430272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保修责任</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工程质量保修范围、期限和责任为：</w:t>
      </w:r>
      <w:r>
        <w:rPr>
          <w:rFonts w:hint="eastAsia" w:ascii="仿宋" w:hAnsi="仿宋" w:eastAsia="仿宋" w:cs="仿宋"/>
          <w:color w:val="auto"/>
          <w:sz w:val="24"/>
          <w:szCs w:val="24"/>
          <w:highlight w:val="none"/>
          <w:u w:val="single"/>
        </w:rPr>
        <w:t xml:space="preserve"> 见工程质量保修书 </w:t>
      </w:r>
      <w:r>
        <w:rPr>
          <w:rFonts w:hint="eastAsia" w:ascii="仿宋" w:hAnsi="仿宋" w:eastAsia="仿宋" w:cs="仿宋"/>
          <w:color w:val="auto"/>
          <w:sz w:val="24"/>
          <w:szCs w:val="24"/>
          <w:highlight w:val="none"/>
        </w:rPr>
        <w:t>。</w:t>
      </w:r>
    </w:p>
    <w:p>
      <w:pPr>
        <w:pStyle w:val="196"/>
        <w:spacing w:after="120"/>
        <w:ind w:right="-512" w:rightChars="-244"/>
        <w:rPr>
          <w:rFonts w:ascii="仿宋" w:hAnsi="仿宋" w:eastAsia="仿宋" w:cs="仿宋"/>
          <w:b w:val="0"/>
          <w:color w:val="auto"/>
          <w:sz w:val="24"/>
          <w:szCs w:val="18"/>
          <w:highlight w:val="none"/>
        </w:rPr>
      </w:pPr>
      <w:bookmarkStart w:id="487" w:name="_Toc30014"/>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REF _Ref4621057 \r \h  \* MERGEFORMAT </w:instrText>
      </w:r>
      <w:r>
        <w:rPr>
          <w:rFonts w:hint="eastAsia" w:ascii="仿宋" w:hAnsi="仿宋" w:eastAsia="仿宋" w:cs="仿宋"/>
          <w:color w:val="auto"/>
          <w:sz w:val="22"/>
          <w:szCs w:val="16"/>
          <w:highlight w:val="none"/>
        </w:rPr>
        <w:fldChar w:fldCharType="separate"/>
      </w:r>
      <w:bookmarkStart w:id="488" w:name="_Toc11390_WPSOffice_Level3"/>
      <w:bookmarkStart w:id="489" w:name="_Toc20171885"/>
      <w:r>
        <w:rPr>
          <w:rFonts w:hint="eastAsia" w:ascii="仿宋" w:hAnsi="仿宋" w:eastAsia="仿宋" w:cs="仿宋"/>
          <w:b w:val="0"/>
          <w:color w:val="auto"/>
          <w:sz w:val="24"/>
          <w:szCs w:val="18"/>
          <w:highlight w:val="none"/>
        </w:rPr>
        <w:t>第12条</w:t>
      </w:r>
      <w:r>
        <w:rPr>
          <w:rFonts w:hint="eastAsia" w:ascii="仿宋" w:hAnsi="仿宋" w:eastAsia="仿宋" w:cs="仿宋"/>
          <w:b w:val="0"/>
          <w:color w:val="auto"/>
          <w:sz w:val="24"/>
          <w:szCs w:val="18"/>
          <w:highlight w:val="none"/>
        </w:rPr>
        <w:fldChar w:fldCharType="end"/>
      </w:r>
      <w:r>
        <w:rPr>
          <w:rFonts w:hint="eastAsia" w:ascii="仿宋" w:hAnsi="仿宋" w:eastAsia="仿宋" w:cs="仿宋"/>
          <w:b w:val="0"/>
          <w:color w:val="auto"/>
          <w:sz w:val="24"/>
          <w:szCs w:val="18"/>
          <w:highlight w:val="none"/>
        </w:rPr>
        <w:t xml:space="preserve"> </w:t>
      </w:r>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w:instrText>
      </w:r>
      <w:bookmarkEnd w:id="488"/>
      <w:r>
        <w:rPr>
          <w:rFonts w:hint="eastAsia" w:ascii="仿宋" w:hAnsi="仿宋" w:eastAsia="仿宋" w:cs="仿宋"/>
          <w:color w:val="auto"/>
          <w:sz w:val="22"/>
          <w:szCs w:val="16"/>
          <w:highlight w:val="none"/>
        </w:rPr>
        <w:instrText xml:space="preserve">F _Ref4621057 \h  \* MERGEFORMAT </w:instrText>
      </w:r>
      <w:r>
        <w:rPr>
          <w:rFonts w:hint="eastAsia" w:ascii="仿宋" w:hAnsi="仿宋" w:eastAsia="仿宋" w:cs="仿宋"/>
          <w:color w:val="auto"/>
          <w:sz w:val="22"/>
          <w:szCs w:val="16"/>
          <w:highlight w:val="none"/>
        </w:rPr>
        <w:fldChar w:fldCharType="separate"/>
      </w:r>
      <w:r>
        <w:rPr>
          <w:rFonts w:hint="eastAsia" w:ascii="仿宋" w:hAnsi="仿宋" w:eastAsia="仿宋" w:cs="仿宋"/>
          <w:b w:val="0"/>
          <w:color w:val="auto"/>
          <w:sz w:val="24"/>
          <w:szCs w:val="18"/>
          <w:highlight w:val="none"/>
        </w:rPr>
        <w:t>竣工后试验</w:t>
      </w:r>
      <w:bookmarkEnd w:id="489"/>
      <w:r>
        <w:rPr>
          <w:rFonts w:hint="eastAsia" w:ascii="仿宋" w:hAnsi="仿宋" w:eastAsia="仿宋" w:cs="仿宋"/>
          <w:b w:val="0"/>
          <w:color w:val="auto"/>
          <w:sz w:val="24"/>
          <w:szCs w:val="18"/>
          <w:highlight w:val="none"/>
        </w:rPr>
        <w:fldChar w:fldCharType="end"/>
      </w:r>
      <w:bookmarkEnd w:id="487"/>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本合同工程是否包含竣工后试验：</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_Ref531954694 \r \h  \* MERGEFORMAT </w:instrText>
      </w:r>
      <w:r>
        <w:rPr>
          <w:color w:val="auto"/>
          <w:highlight w:val="none"/>
        </w:rPr>
        <w:fldChar w:fldCharType="separate"/>
      </w:r>
      <w:bookmarkStart w:id="490" w:name="_Toc20965_WPSOffice_Level3"/>
      <w:r>
        <w:rPr>
          <w:rFonts w:hint="eastAsia" w:ascii="仿宋" w:hAnsi="仿宋" w:eastAsia="仿宋" w:cs="仿宋"/>
          <w:color w:val="auto"/>
          <w:sz w:val="24"/>
          <w:szCs w:val="24"/>
          <w:highlight w:val="none"/>
        </w:rPr>
        <w:t>12.1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_</w:instrText>
      </w:r>
      <w:bookmarkEnd w:id="490"/>
      <w:r>
        <w:rPr>
          <w:rFonts w:hint="eastAsia" w:ascii="仿宋" w:hAnsi="仿宋" w:eastAsia="仿宋" w:cs="仿宋"/>
          <w:color w:val="auto"/>
          <w:szCs w:val="16"/>
          <w:highlight w:val="none"/>
        </w:rPr>
        <w:instrText xml:space="preserve">Ref531954694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竣工后试验的程序</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发包人责任：</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承包人责任：</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line="360" w:lineRule="auto"/>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_Ref11920162 \r \h  \* MERGEFORMAT </w:instrText>
      </w:r>
      <w:r>
        <w:rPr>
          <w:color w:val="auto"/>
          <w:highlight w:val="none"/>
        </w:rPr>
        <w:fldChar w:fldCharType="separate"/>
      </w:r>
      <w:r>
        <w:rPr>
          <w:rFonts w:hint="eastAsia" w:ascii="仿宋" w:hAnsi="仿宋" w:eastAsia="仿宋" w:cs="仿宋"/>
          <w:color w:val="auto"/>
          <w:sz w:val="24"/>
          <w:szCs w:val="24"/>
          <w:highlight w:val="none"/>
        </w:rPr>
        <w:t>12.1.3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竣工后试验全部电力、水、污水处理、燃料、消耗品和材料，以及全部其他仪器、协助、文件或其他信息、设备、工具、劳力，启动工程设备，并组织安排有适当资质、经验和能力的工作人员等必要条件的提供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_Ref11920162 \r \h  \* MERGEFORMAT </w:instrText>
      </w:r>
      <w:r>
        <w:rPr>
          <w:color w:val="auto"/>
          <w:highlight w:val="none"/>
        </w:rPr>
        <w:fldChar w:fldCharType="separate"/>
      </w:r>
      <w:r>
        <w:rPr>
          <w:rFonts w:hint="eastAsia" w:ascii="仿宋" w:hAnsi="仿宋" w:eastAsia="仿宋" w:cs="仿宋"/>
          <w:color w:val="auto"/>
          <w:sz w:val="24"/>
          <w:szCs w:val="24"/>
          <w:highlight w:val="none"/>
        </w:rPr>
        <w:t>12.1.3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发包人竣工后试验计划的通知：                              </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_Ref11920146 \r \h  \* MERGEFORMAT </w:instrText>
      </w:r>
      <w:r>
        <w:rPr>
          <w:color w:val="auto"/>
          <w:highlight w:val="none"/>
        </w:rPr>
        <w:fldChar w:fldCharType="separate"/>
      </w:r>
      <w:r>
        <w:rPr>
          <w:rFonts w:hint="eastAsia" w:ascii="仿宋" w:hAnsi="仿宋" w:eastAsia="仿宋" w:cs="仿宋"/>
          <w:color w:val="auto"/>
          <w:sz w:val="24"/>
          <w:szCs w:val="24"/>
          <w:highlight w:val="none"/>
        </w:rPr>
        <w:t>12.1.4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关于竣工后试验实施的其他约定：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pStyle w:val="196"/>
        <w:spacing w:after="120"/>
        <w:ind w:right="-512" w:rightChars="-244"/>
        <w:rPr>
          <w:rFonts w:ascii="仿宋" w:hAnsi="仿宋" w:eastAsia="仿宋" w:cs="仿宋"/>
          <w:b w:val="0"/>
          <w:color w:val="auto"/>
          <w:sz w:val="24"/>
          <w:szCs w:val="18"/>
          <w:highlight w:val="none"/>
        </w:rPr>
      </w:pPr>
      <w:bookmarkStart w:id="491" w:name="_Toc21521"/>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REF _Ref4415801 \r \h  \* MERGEFORMAT </w:instrText>
      </w:r>
      <w:r>
        <w:rPr>
          <w:rFonts w:hint="eastAsia" w:ascii="仿宋" w:hAnsi="仿宋" w:eastAsia="仿宋" w:cs="仿宋"/>
          <w:color w:val="auto"/>
          <w:sz w:val="22"/>
          <w:szCs w:val="16"/>
          <w:highlight w:val="none"/>
        </w:rPr>
        <w:fldChar w:fldCharType="separate"/>
      </w:r>
      <w:bookmarkStart w:id="492" w:name="_Toc20280_WPSOffice_Level3"/>
      <w:bookmarkStart w:id="493" w:name="_Toc20171886"/>
      <w:r>
        <w:rPr>
          <w:rFonts w:hint="eastAsia" w:ascii="仿宋" w:hAnsi="仿宋" w:eastAsia="仿宋" w:cs="仿宋"/>
          <w:b w:val="0"/>
          <w:color w:val="auto"/>
          <w:sz w:val="24"/>
          <w:szCs w:val="18"/>
          <w:highlight w:val="none"/>
        </w:rPr>
        <w:t>第13条</w:t>
      </w:r>
      <w:r>
        <w:rPr>
          <w:rFonts w:hint="eastAsia" w:ascii="仿宋" w:hAnsi="仿宋" w:eastAsia="仿宋" w:cs="仿宋"/>
          <w:b w:val="0"/>
          <w:color w:val="auto"/>
          <w:sz w:val="24"/>
          <w:szCs w:val="18"/>
          <w:highlight w:val="none"/>
        </w:rPr>
        <w:fldChar w:fldCharType="end"/>
      </w:r>
      <w:r>
        <w:rPr>
          <w:rFonts w:hint="eastAsia" w:ascii="仿宋" w:hAnsi="仿宋" w:eastAsia="仿宋" w:cs="仿宋"/>
          <w:b w:val="0"/>
          <w:color w:val="auto"/>
          <w:sz w:val="24"/>
          <w:szCs w:val="18"/>
          <w:highlight w:val="none"/>
        </w:rPr>
        <w:t xml:space="preserve"> </w:t>
      </w:r>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w:instrText>
      </w:r>
      <w:bookmarkEnd w:id="492"/>
      <w:r>
        <w:rPr>
          <w:rFonts w:hint="eastAsia" w:ascii="仿宋" w:hAnsi="仿宋" w:eastAsia="仿宋" w:cs="仿宋"/>
          <w:color w:val="auto"/>
          <w:sz w:val="22"/>
          <w:szCs w:val="16"/>
          <w:highlight w:val="none"/>
        </w:rPr>
        <w:instrText xml:space="preserve">F _Ref4415801 \h  \* MERGEFORMAT </w:instrText>
      </w:r>
      <w:r>
        <w:rPr>
          <w:rFonts w:hint="eastAsia" w:ascii="仿宋" w:hAnsi="仿宋" w:eastAsia="仿宋" w:cs="仿宋"/>
          <w:color w:val="auto"/>
          <w:sz w:val="22"/>
          <w:szCs w:val="16"/>
          <w:highlight w:val="none"/>
        </w:rPr>
        <w:fldChar w:fldCharType="separate"/>
      </w:r>
      <w:r>
        <w:rPr>
          <w:rFonts w:hint="eastAsia" w:ascii="仿宋" w:hAnsi="仿宋" w:eastAsia="仿宋" w:cs="仿宋"/>
          <w:b w:val="0"/>
          <w:color w:val="auto"/>
          <w:sz w:val="24"/>
          <w:szCs w:val="18"/>
          <w:highlight w:val="none"/>
        </w:rPr>
        <w:t>变更与调整</w:t>
      </w:r>
      <w:bookmarkEnd w:id="493"/>
      <w:r>
        <w:rPr>
          <w:rFonts w:hint="eastAsia" w:ascii="仿宋" w:hAnsi="仿宋" w:eastAsia="仿宋" w:cs="仿宋"/>
          <w:b w:val="0"/>
          <w:color w:val="auto"/>
          <w:sz w:val="24"/>
          <w:szCs w:val="18"/>
          <w:highlight w:val="none"/>
        </w:rPr>
        <w:fldChar w:fldCharType="end"/>
      </w:r>
      <w:bookmarkEnd w:id="491"/>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_Ref531955587 \r \h  \* MERGEFORMAT </w:instrText>
      </w:r>
      <w:r>
        <w:rPr>
          <w:color w:val="auto"/>
          <w:highlight w:val="none"/>
        </w:rPr>
        <w:fldChar w:fldCharType="separate"/>
      </w:r>
      <w:bookmarkStart w:id="494" w:name="_Toc18645_WPSOffice_Level3"/>
      <w:r>
        <w:rPr>
          <w:rFonts w:hint="eastAsia" w:ascii="仿宋" w:hAnsi="仿宋" w:eastAsia="仿宋" w:cs="仿宋"/>
          <w:color w:val="auto"/>
          <w:sz w:val="24"/>
          <w:szCs w:val="24"/>
          <w:highlight w:val="none"/>
        </w:rPr>
        <w:t>13.2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_R</w:instrText>
      </w:r>
      <w:bookmarkEnd w:id="494"/>
      <w:r>
        <w:rPr>
          <w:rFonts w:hint="eastAsia" w:ascii="仿宋" w:hAnsi="仿宋" w:eastAsia="仿宋" w:cs="仿宋"/>
          <w:color w:val="auto"/>
          <w:szCs w:val="16"/>
          <w:highlight w:val="none"/>
        </w:rPr>
        <w:instrText xml:space="preserve">ef4623207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承包人的合理化建议</w:t>
      </w:r>
      <w:r>
        <w:rPr>
          <w:rFonts w:hint="eastAsia" w:ascii="仿宋" w:hAnsi="仿宋" w:eastAsia="仿宋" w:cs="仿宋"/>
          <w:color w:val="auto"/>
          <w:sz w:val="24"/>
          <w:szCs w:val="24"/>
          <w:highlight w:val="none"/>
        </w:rPr>
        <w:fldChar w:fldCharType="end"/>
      </w:r>
    </w:p>
    <w:p>
      <w:pPr>
        <w:spacing w:after="120" w:line="360" w:lineRule="auto"/>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_Ref4681686 \r \h  \* MERGEFORMAT </w:instrText>
      </w:r>
      <w:r>
        <w:rPr>
          <w:color w:val="auto"/>
          <w:highlight w:val="none"/>
        </w:rPr>
        <w:fldChar w:fldCharType="separate"/>
      </w:r>
      <w:r>
        <w:rPr>
          <w:rFonts w:hint="eastAsia" w:ascii="仿宋" w:hAnsi="仿宋" w:eastAsia="仿宋" w:cs="仿宋"/>
          <w:color w:val="auto"/>
          <w:sz w:val="24"/>
          <w:szCs w:val="24"/>
          <w:highlight w:val="none"/>
        </w:rPr>
        <w:t>13.2.2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工程师应在收到承包人提交的合理化建议后</w:t>
      </w:r>
      <w:r>
        <w:rPr>
          <w:rFonts w:hint="eastAsia" w:ascii="仿宋" w:hAnsi="仿宋" w:eastAsia="仿宋" w:cs="仿宋"/>
          <w:color w:val="auto"/>
          <w:sz w:val="24"/>
          <w:szCs w:val="24"/>
          <w:highlight w:val="none"/>
          <w:u w:val="single"/>
        </w:rPr>
        <w:t xml:space="preserve">  7  </w:t>
      </w:r>
      <w:r>
        <w:rPr>
          <w:rFonts w:hint="eastAsia" w:ascii="仿宋" w:hAnsi="仿宋" w:eastAsia="仿宋" w:cs="仿宋"/>
          <w:color w:val="auto"/>
          <w:sz w:val="24"/>
          <w:szCs w:val="24"/>
          <w:highlight w:val="none"/>
        </w:rPr>
        <w:t>日内审查完毕并报送发包人，发现其中存在技术上的缺陷，应通知承包人修改。发包人应在收到工程师报送的合理化建议后</w:t>
      </w:r>
      <w:r>
        <w:rPr>
          <w:rFonts w:hint="eastAsia" w:ascii="仿宋" w:hAnsi="仿宋" w:eastAsia="仿宋" w:cs="仿宋"/>
          <w:color w:val="auto"/>
          <w:sz w:val="24"/>
          <w:szCs w:val="24"/>
          <w:highlight w:val="none"/>
          <w:u w:val="single"/>
        </w:rPr>
        <w:t xml:space="preserve">  7  </w:t>
      </w:r>
      <w:r>
        <w:rPr>
          <w:rFonts w:hint="eastAsia" w:ascii="仿宋" w:hAnsi="仿宋" w:eastAsia="仿宋" w:cs="仿宋"/>
          <w:color w:val="auto"/>
          <w:sz w:val="24"/>
          <w:szCs w:val="24"/>
          <w:highlight w:val="none"/>
        </w:rPr>
        <w:t>日内审批完毕。合理化建议经发包人批准的，工程师应及时发出变更指示，由此引起的合同价格调整按照</w:t>
      </w:r>
      <w:r>
        <w:rPr>
          <w:rFonts w:hint="eastAsia" w:ascii="仿宋" w:hAnsi="仿宋" w:eastAsia="仿宋" w:cs="仿宋"/>
          <w:color w:val="auto"/>
          <w:sz w:val="24"/>
          <w:szCs w:val="24"/>
          <w:highlight w:val="none"/>
          <w:u w:val="single"/>
        </w:rPr>
        <w:t xml:space="preserve">  </w:t>
      </w:r>
      <w:r>
        <w:rPr>
          <w:color w:val="auto"/>
          <w:highlight w:val="none"/>
        </w:rPr>
        <w:fldChar w:fldCharType="begin"/>
      </w:r>
      <w:r>
        <w:rPr>
          <w:color w:val="auto"/>
          <w:highlight w:val="none"/>
        </w:rPr>
        <w:instrText xml:space="preserve"> REF _Ref3835481 \r \h  \* MERGEFORMAT </w:instrText>
      </w:r>
      <w:r>
        <w:rPr>
          <w:color w:val="auto"/>
          <w:highlight w:val="none"/>
        </w:rPr>
        <w:fldChar w:fldCharType="separate"/>
      </w:r>
      <w:r>
        <w:rPr>
          <w:rFonts w:hint="eastAsia" w:ascii="仿宋" w:hAnsi="仿宋" w:eastAsia="仿宋" w:cs="仿宋"/>
          <w:color w:val="auto"/>
          <w:sz w:val="24"/>
          <w:szCs w:val="24"/>
          <w:highlight w:val="none"/>
          <w:u w:val="single"/>
        </w:rPr>
        <w:t>13.3.3</w:t>
      </w:r>
      <w:r>
        <w:rPr>
          <w:rFonts w:hint="eastAsia" w:ascii="仿宋" w:hAnsi="仿宋" w:eastAsia="仿宋" w:cs="仿宋"/>
          <w:color w:val="auto"/>
          <w:sz w:val="24"/>
          <w:szCs w:val="24"/>
          <w:highlight w:val="none"/>
          <w:u w:val="single"/>
        </w:rPr>
        <w:fldChar w:fldCharType="end"/>
      </w:r>
      <w:r>
        <w:rPr>
          <w:rFonts w:hint="eastAsia" w:ascii="仿宋" w:hAnsi="仿宋" w:eastAsia="仿宋" w:cs="仿宋"/>
          <w:color w:val="auto"/>
          <w:sz w:val="24"/>
          <w:szCs w:val="24"/>
          <w:highlight w:val="none"/>
          <w:u w:val="single"/>
        </w:rPr>
        <w:t>项［</w:t>
      </w:r>
      <w:r>
        <w:rPr>
          <w:color w:val="auto"/>
          <w:highlight w:val="none"/>
        </w:rPr>
        <w:fldChar w:fldCharType="begin"/>
      </w:r>
      <w:r>
        <w:rPr>
          <w:color w:val="auto"/>
          <w:highlight w:val="none"/>
        </w:rPr>
        <w:instrText xml:space="preserve"> REF _Ref3835481 \h  \* MERGEFORMAT </w:instrText>
      </w:r>
      <w:r>
        <w:rPr>
          <w:color w:val="auto"/>
          <w:highlight w:val="none"/>
        </w:rPr>
        <w:fldChar w:fldCharType="separate"/>
      </w:r>
      <w:r>
        <w:rPr>
          <w:rFonts w:hint="eastAsia" w:ascii="仿宋" w:hAnsi="仿宋" w:eastAsia="仿宋" w:cs="仿宋"/>
          <w:color w:val="auto"/>
          <w:sz w:val="24"/>
          <w:szCs w:val="24"/>
          <w:highlight w:val="none"/>
          <w:u w:val="single"/>
        </w:rPr>
        <w:t>变更估价</w:t>
      </w:r>
      <w:r>
        <w:rPr>
          <w:rFonts w:hint="eastAsia" w:ascii="仿宋" w:hAnsi="仿宋" w:eastAsia="仿宋" w:cs="仿宋"/>
          <w:color w:val="auto"/>
          <w:sz w:val="24"/>
          <w:szCs w:val="24"/>
          <w:highlight w:val="none"/>
          <w:u w:val="single"/>
        </w:rPr>
        <w:fldChar w:fldCharType="end"/>
      </w:r>
      <w:r>
        <w:rPr>
          <w:rFonts w:hint="eastAsia" w:ascii="仿宋" w:hAnsi="仿宋" w:eastAsia="仿宋" w:cs="仿宋"/>
          <w:color w:val="auto"/>
          <w:sz w:val="24"/>
          <w:szCs w:val="24"/>
          <w:highlight w:val="none"/>
          <w:u w:val="single"/>
        </w:rPr>
        <w:t xml:space="preserve">］约定 </w:t>
      </w:r>
      <w:r>
        <w:rPr>
          <w:rFonts w:hint="eastAsia" w:ascii="仿宋" w:hAnsi="仿宋" w:eastAsia="仿宋" w:cs="仿宋"/>
          <w:color w:val="auto"/>
          <w:sz w:val="24"/>
          <w:szCs w:val="24"/>
          <w:highlight w:val="none"/>
        </w:rPr>
        <w:t>执行。发包人不同意变更的，工程师应书面通知承包人</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_Ref4681705 \r \h  \* MERGEFORMAT </w:instrText>
      </w:r>
      <w:r>
        <w:rPr>
          <w:color w:val="auto"/>
          <w:highlight w:val="none"/>
        </w:rPr>
        <w:fldChar w:fldCharType="separate"/>
      </w:r>
      <w:r>
        <w:rPr>
          <w:rFonts w:hint="eastAsia" w:ascii="仿宋" w:hAnsi="仿宋" w:eastAsia="仿宋" w:cs="仿宋"/>
          <w:color w:val="auto"/>
          <w:sz w:val="24"/>
          <w:szCs w:val="24"/>
          <w:highlight w:val="none"/>
        </w:rPr>
        <w:t>13.2.3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承包人提出的合理化变更建议的利益分享约定：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_Ref532673538 \r \h  \* MERGEFORMAT </w:instrText>
      </w:r>
      <w:r>
        <w:rPr>
          <w:color w:val="auto"/>
          <w:highlight w:val="none"/>
        </w:rPr>
        <w:fldChar w:fldCharType="separate"/>
      </w:r>
      <w:bookmarkStart w:id="495" w:name="_Toc6317_WPSOffice_Level3"/>
      <w:r>
        <w:rPr>
          <w:rFonts w:hint="eastAsia" w:ascii="仿宋" w:hAnsi="仿宋" w:eastAsia="仿宋" w:cs="仿宋"/>
          <w:color w:val="auto"/>
          <w:sz w:val="24"/>
          <w:szCs w:val="24"/>
          <w:highlight w:val="none"/>
        </w:rPr>
        <w:t>13.3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95"/>
      <w:r>
        <w:rPr>
          <w:rFonts w:hint="eastAsia" w:ascii="仿宋" w:hAnsi="仿宋" w:eastAsia="仿宋" w:cs="仿宋"/>
          <w:color w:val="auto"/>
          <w:szCs w:val="16"/>
          <w:highlight w:val="none"/>
        </w:rPr>
        <w:instrText xml:space="preserve">EF _Ref532673541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变更程序</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关于变更和估价的约定：</w:t>
      </w:r>
      <w:r>
        <w:rPr>
          <w:rFonts w:hint="eastAsia" w:ascii="仿宋" w:hAnsi="仿宋" w:eastAsia="仿宋" w:cs="仿宋"/>
          <w:color w:val="auto"/>
          <w:sz w:val="24"/>
          <w:szCs w:val="24"/>
          <w:highlight w:val="none"/>
          <w:u w:val="single"/>
        </w:rPr>
        <w:t xml:space="preserve">  按通用条款本条执行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_Ref4431237 \r \h  \* MERGEFORMAT </w:instrText>
      </w:r>
      <w:r>
        <w:rPr>
          <w:color w:val="auto"/>
          <w:highlight w:val="none"/>
        </w:rPr>
        <w:fldChar w:fldCharType="separate"/>
      </w:r>
      <w:bookmarkStart w:id="496" w:name="_Toc32457_WPSOffice_Level3"/>
      <w:r>
        <w:rPr>
          <w:rFonts w:hint="eastAsia" w:ascii="仿宋" w:hAnsi="仿宋" w:eastAsia="仿宋" w:cs="仿宋"/>
          <w:color w:val="auto"/>
          <w:sz w:val="24"/>
          <w:szCs w:val="24"/>
          <w:highlight w:val="none"/>
        </w:rPr>
        <w:t>13.4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w:instrText>
      </w:r>
      <w:bookmarkEnd w:id="496"/>
      <w:r>
        <w:rPr>
          <w:rFonts w:hint="eastAsia" w:ascii="仿宋" w:hAnsi="仿宋" w:eastAsia="仿宋" w:cs="仿宋"/>
          <w:color w:val="auto"/>
          <w:szCs w:val="16"/>
          <w:highlight w:val="none"/>
        </w:rPr>
        <w:instrText xml:space="preserve">REF _Ref4431237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暂估价</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_Ref4616729 \r \h  \* MERGEFORMAT </w:instrText>
      </w:r>
      <w:r>
        <w:rPr>
          <w:color w:val="auto"/>
          <w:highlight w:val="none"/>
        </w:rPr>
        <w:fldChar w:fldCharType="separate"/>
      </w:r>
      <w:r>
        <w:rPr>
          <w:rFonts w:hint="eastAsia" w:ascii="仿宋" w:hAnsi="仿宋" w:eastAsia="仿宋" w:cs="仿宋"/>
          <w:color w:val="auto"/>
          <w:sz w:val="24"/>
          <w:szCs w:val="24"/>
          <w:highlight w:val="none"/>
        </w:rPr>
        <w:t>13.4.1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依法必须招标的暂估价项目</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承包人可以参与投标的暂估价项目范围：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承包人不得参与投标的暂估价项目范围：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招投标程序及其他约定： 对于依法必须招标的暂估价项目，由承包人作为招标人的，竞争性磋商文件、评标方案、评标结果应报送发包人批准。</w:t>
      </w:r>
    </w:p>
    <w:p>
      <w:pPr>
        <w:spacing w:after="120"/>
        <w:ind w:right="-512" w:rightChars="-244" w:firstLine="600"/>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_Ref4682312 \w \h  \* MERGEFORMAT </w:instrText>
      </w:r>
      <w:r>
        <w:rPr>
          <w:color w:val="auto"/>
          <w:highlight w:val="none"/>
        </w:rPr>
        <w:fldChar w:fldCharType="separate"/>
      </w:r>
      <w:r>
        <w:rPr>
          <w:rFonts w:hint="eastAsia" w:ascii="仿宋" w:hAnsi="仿宋" w:eastAsia="仿宋" w:cs="仿宋"/>
          <w:color w:val="auto"/>
          <w:sz w:val="24"/>
          <w:szCs w:val="24"/>
          <w:highlight w:val="none"/>
        </w:rPr>
        <w:t>13.4.2</w:t>
      </w:r>
      <w:r>
        <w:rPr>
          <w:rFonts w:hint="eastAsia" w:ascii="仿宋" w:hAnsi="仿宋" w:eastAsia="仿宋" w:cs="仿宋"/>
          <w:color w:val="auto"/>
          <w:sz w:val="24"/>
          <w:szCs w:val="24"/>
          <w:highlight w:val="none"/>
        </w:rPr>
        <w:fldChar w:fldCharType="end"/>
      </w:r>
      <w:r>
        <w:rPr>
          <w:color w:val="auto"/>
          <w:highlight w:val="none"/>
        </w:rPr>
        <w:fldChar w:fldCharType="begin"/>
      </w:r>
      <w:r>
        <w:rPr>
          <w:color w:val="auto"/>
          <w:highlight w:val="none"/>
        </w:rPr>
        <w:instrText xml:space="preserve"> REF _Ref4682312 \h  \* MERGEFORMAT </w:instrText>
      </w:r>
      <w:r>
        <w:rPr>
          <w:color w:val="auto"/>
          <w:highlight w:val="none"/>
        </w:rPr>
        <w:fldChar w:fldCharType="separate"/>
      </w:r>
      <w:r>
        <w:rPr>
          <w:rFonts w:hint="eastAsia" w:ascii="仿宋" w:hAnsi="仿宋" w:eastAsia="仿宋" w:cs="仿宋"/>
          <w:color w:val="auto"/>
          <w:sz w:val="24"/>
          <w:szCs w:val="24"/>
          <w:highlight w:val="none"/>
        </w:rPr>
        <w:t>不属于依法必须招标的暂估价项目</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不属于依法必须招标的暂估价项目的协商及估价的约定：按通用条款执行 。</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_Ref4431250 \r \h  \* MERGEFORMAT </w:instrText>
      </w:r>
      <w:r>
        <w:rPr>
          <w:color w:val="auto"/>
          <w:highlight w:val="none"/>
        </w:rPr>
        <w:fldChar w:fldCharType="separate"/>
      </w:r>
      <w:bookmarkStart w:id="497" w:name="_Toc26751_WPSOffice_Level3"/>
      <w:r>
        <w:rPr>
          <w:rFonts w:hint="eastAsia" w:ascii="仿宋" w:hAnsi="仿宋" w:eastAsia="仿宋" w:cs="仿宋"/>
          <w:color w:val="auto"/>
          <w:sz w:val="24"/>
          <w:szCs w:val="24"/>
          <w:highlight w:val="none"/>
        </w:rPr>
        <w:t>13.5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497"/>
      <w:r>
        <w:rPr>
          <w:rFonts w:hint="eastAsia" w:ascii="仿宋" w:hAnsi="仿宋" w:eastAsia="仿宋" w:cs="仿宋"/>
          <w:color w:val="auto"/>
          <w:szCs w:val="16"/>
          <w:highlight w:val="none"/>
        </w:rPr>
        <w:instrText xml:space="preserve">EF _Ref4431250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暂列金额</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其他关于暂列金额使用的约定：</w:t>
      </w:r>
      <w:r>
        <w:rPr>
          <w:rFonts w:hint="eastAsia" w:ascii="仿宋" w:hAnsi="仿宋" w:eastAsia="仿宋" w:cs="仿宋"/>
          <w:color w:val="auto"/>
          <w:sz w:val="24"/>
          <w:szCs w:val="24"/>
          <w:highlight w:val="none"/>
          <w:u w:val="single"/>
        </w:rPr>
        <w:t xml:space="preserve"> 按发包人要求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_Ref18977613 \r \h  \* MERGEFORMAT </w:instrText>
      </w:r>
      <w:r>
        <w:rPr>
          <w:color w:val="auto"/>
          <w:highlight w:val="none"/>
        </w:rPr>
        <w:fldChar w:fldCharType="separate"/>
      </w:r>
      <w:bookmarkStart w:id="498" w:name="_Toc16498_WPSOffice_Level3"/>
      <w:r>
        <w:rPr>
          <w:rFonts w:hint="eastAsia" w:ascii="仿宋" w:hAnsi="仿宋" w:eastAsia="仿宋" w:cs="仿宋"/>
          <w:color w:val="auto"/>
          <w:sz w:val="24"/>
          <w:szCs w:val="24"/>
          <w:highlight w:val="none"/>
        </w:rPr>
        <w:t>13.8</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_Ref</w:instrText>
      </w:r>
      <w:bookmarkEnd w:id="498"/>
      <w:r>
        <w:rPr>
          <w:rFonts w:hint="eastAsia" w:ascii="仿宋" w:hAnsi="仿宋" w:eastAsia="仿宋" w:cs="仿宋"/>
          <w:color w:val="auto"/>
          <w:szCs w:val="16"/>
          <w:highlight w:val="none"/>
        </w:rPr>
        <w:instrText xml:space="preserve">18977613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市场价格波动引起的调整</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市场价格波动是否调整合同价格的约定：</w:t>
      </w:r>
      <w:r>
        <w:rPr>
          <w:rFonts w:hint="eastAsia" w:ascii="仿宋" w:hAnsi="仿宋" w:eastAsia="仿宋" w:cs="仿宋"/>
          <w:color w:val="auto"/>
          <w:sz w:val="24"/>
          <w:szCs w:val="24"/>
          <w:highlight w:val="none"/>
          <w:u w:val="single"/>
        </w:rPr>
        <w:t xml:space="preserve">  不调整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关于各可调因子、定值和变值权重，以及基本价格指数及其来源的约定：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pStyle w:val="196"/>
        <w:spacing w:after="120"/>
        <w:ind w:right="-512" w:rightChars="-244"/>
        <w:rPr>
          <w:rFonts w:ascii="仿宋" w:hAnsi="仿宋" w:eastAsia="仿宋" w:cs="仿宋"/>
          <w:b w:val="0"/>
          <w:color w:val="auto"/>
          <w:sz w:val="24"/>
          <w:szCs w:val="18"/>
          <w:highlight w:val="none"/>
        </w:rPr>
      </w:pPr>
      <w:bookmarkStart w:id="499" w:name="_Toc31447"/>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REF _Ref531955880 \r \h  \* MERGEFORMAT </w:instrText>
      </w:r>
      <w:r>
        <w:rPr>
          <w:rFonts w:hint="eastAsia" w:ascii="仿宋" w:hAnsi="仿宋" w:eastAsia="仿宋" w:cs="仿宋"/>
          <w:color w:val="auto"/>
          <w:sz w:val="22"/>
          <w:szCs w:val="16"/>
          <w:highlight w:val="none"/>
        </w:rPr>
        <w:fldChar w:fldCharType="separate"/>
      </w:r>
      <w:bookmarkStart w:id="500" w:name="_Toc32196_WPSOffice_Level3"/>
      <w:bookmarkStart w:id="501" w:name="_Toc20171887"/>
      <w:r>
        <w:rPr>
          <w:rFonts w:hint="eastAsia" w:ascii="仿宋" w:hAnsi="仿宋" w:eastAsia="仿宋" w:cs="仿宋"/>
          <w:b w:val="0"/>
          <w:color w:val="auto"/>
          <w:sz w:val="24"/>
          <w:szCs w:val="18"/>
          <w:highlight w:val="none"/>
        </w:rPr>
        <w:t>第14条</w:t>
      </w:r>
      <w:r>
        <w:rPr>
          <w:rFonts w:hint="eastAsia" w:ascii="仿宋" w:hAnsi="仿宋" w:eastAsia="仿宋" w:cs="仿宋"/>
          <w:b w:val="0"/>
          <w:color w:val="auto"/>
          <w:sz w:val="24"/>
          <w:szCs w:val="18"/>
          <w:highlight w:val="none"/>
        </w:rPr>
        <w:fldChar w:fldCharType="end"/>
      </w:r>
      <w:r>
        <w:rPr>
          <w:rFonts w:hint="eastAsia" w:ascii="仿宋" w:hAnsi="仿宋" w:eastAsia="仿宋" w:cs="仿宋"/>
          <w:b w:val="0"/>
          <w:color w:val="auto"/>
          <w:sz w:val="24"/>
          <w:szCs w:val="18"/>
          <w:highlight w:val="none"/>
        </w:rPr>
        <w:t xml:space="preserve"> </w:t>
      </w:r>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REF </w:instrText>
      </w:r>
      <w:bookmarkEnd w:id="500"/>
      <w:r>
        <w:rPr>
          <w:rFonts w:hint="eastAsia" w:ascii="仿宋" w:hAnsi="仿宋" w:eastAsia="仿宋" w:cs="仿宋"/>
          <w:color w:val="auto"/>
          <w:sz w:val="22"/>
          <w:szCs w:val="16"/>
          <w:highlight w:val="none"/>
        </w:rPr>
        <w:instrText xml:space="preserve">_Ref531955885 \h  \* MERGEFORMAT </w:instrText>
      </w:r>
      <w:r>
        <w:rPr>
          <w:rFonts w:hint="eastAsia" w:ascii="仿宋" w:hAnsi="仿宋" w:eastAsia="仿宋" w:cs="仿宋"/>
          <w:color w:val="auto"/>
          <w:sz w:val="22"/>
          <w:szCs w:val="16"/>
          <w:highlight w:val="none"/>
        </w:rPr>
        <w:fldChar w:fldCharType="separate"/>
      </w:r>
      <w:r>
        <w:rPr>
          <w:rFonts w:hint="eastAsia" w:ascii="仿宋" w:hAnsi="仿宋" w:eastAsia="仿宋" w:cs="仿宋"/>
          <w:b w:val="0"/>
          <w:color w:val="auto"/>
          <w:sz w:val="24"/>
          <w:szCs w:val="18"/>
          <w:highlight w:val="none"/>
        </w:rPr>
        <w:t>合同价格与支付</w:t>
      </w:r>
      <w:bookmarkEnd w:id="501"/>
      <w:r>
        <w:rPr>
          <w:rFonts w:hint="eastAsia" w:ascii="仿宋" w:hAnsi="仿宋" w:eastAsia="仿宋" w:cs="仿宋"/>
          <w:b w:val="0"/>
          <w:color w:val="auto"/>
          <w:sz w:val="24"/>
          <w:szCs w:val="18"/>
          <w:highlight w:val="none"/>
        </w:rPr>
        <w:fldChar w:fldCharType="end"/>
      </w:r>
      <w:bookmarkEnd w:id="499"/>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_Ref4431521 \r \h  \* MERGEFORMAT </w:instrText>
      </w:r>
      <w:r>
        <w:rPr>
          <w:color w:val="auto"/>
          <w:highlight w:val="none"/>
        </w:rPr>
        <w:fldChar w:fldCharType="separate"/>
      </w:r>
      <w:bookmarkStart w:id="502" w:name="_Toc10488_WPSOffice_Level3"/>
      <w:r>
        <w:rPr>
          <w:rFonts w:hint="eastAsia" w:ascii="仿宋" w:hAnsi="仿宋" w:eastAsia="仿宋" w:cs="仿宋"/>
          <w:color w:val="auto"/>
          <w:sz w:val="24"/>
          <w:szCs w:val="24"/>
          <w:highlight w:val="none"/>
        </w:rPr>
        <w:t>14.1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w:instrText>
      </w:r>
      <w:bookmarkEnd w:id="502"/>
      <w:r>
        <w:rPr>
          <w:rFonts w:hint="eastAsia" w:ascii="仿宋" w:hAnsi="仿宋" w:eastAsia="仿宋" w:cs="仿宋"/>
          <w:color w:val="auto"/>
          <w:szCs w:val="16"/>
          <w:highlight w:val="none"/>
        </w:rPr>
        <w:instrText xml:space="preserve"> _Ref4431531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合同价格形式</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（1）合同价格形式：</w:t>
      </w:r>
      <w:r>
        <w:rPr>
          <w:rFonts w:hint="eastAsia" w:ascii="仿宋" w:hAnsi="仿宋" w:eastAsia="仿宋" w:cs="仿宋"/>
          <w:color w:val="auto"/>
          <w:sz w:val="24"/>
          <w:szCs w:val="24"/>
          <w:highlight w:val="none"/>
          <w:u w:val="single"/>
        </w:rPr>
        <w:t xml:space="preserve">   </w:t>
      </w:r>
      <w:r>
        <w:rPr>
          <w:rFonts w:hint="eastAsia" w:ascii="仿宋" w:hAnsi="仿宋" w:eastAsia="仿宋" w:cs="仿宋"/>
          <w:b/>
          <w:bCs/>
          <w:color w:val="auto"/>
          <w:sz w:val="24"/>
          <w:szCs w:val="24"/>
          <w:highlight w:val="none"/>
          <w:u w:val="single"/>
        </w:rPr>
        <w:t xml:space="preserve"> 总价合同</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（2）合同价格中的税费：</w:t>
      </w:r>
      <w:r>
        <w:rPr>
          <w:rFonts w:hint="eastAsia" w:ascii="仿宋" w:hAnsi="仿宋" w:eastAsia="仿宋" w:cs="仿宋"/>
          <w:b/>
          <w:bCs/>
          <w:color w:val="auto"/>
          <w:sz w:val="24"/>
          <w:szCs w:val="24"/>
          <w:highlight w:val="none"/>
          <w:u w:val="single"/>
        </w:rPr>
        <w:t>除第</w:t>
      </w:r>
      <w:r>
        <w:rPr>
          <w:color w:val="auto"/>
          <w:highlight w:val="none"/>
        </w:rPr>
        <w:fldChar w:fldCharType="begin"/>
      </w:r>
      <w:r>
        <w:rPr>
          <w:color w:val="auto"/>
          <w:highlight w:val="none"/>
        </w:rPr>
        <w:instrText xml:space="preserve"> REF _Ref4617318 \r \h  \* MERGEFORMAT </w:instrText>
      </w:r>
      <w:r>
        <w:rPr>
          <w:color w:val="auto"/>
          <w:highlight w:val="none"/>
        </w:rPr>
        <w:fldChar w:fldCharType="separate"/>
      </w:r>
      <w:r>
        <w:rPr>
          <w:rFonts w:hint="eastAsia" w:ascii="仿宋" w:hAnsi="仿宋" w:eastAsia="仿宋" w:cs="仿宋"/>
          <w:b/>
          <w:bCs/>
          <w:color w:val="auto"/>
          <w:sz w:val="24"/>
          <w:szCs w:val="24"/>
          <w:highlight w:val="none"/>
          <w:u w:val="single"/>
        </w:rPr>
        <w:t>13.7</w:t>
      </w:r>
      <w:r>
        <w:rPr>
          <w:rFonts w:hint="eastAsia" w:ascii="仿宋" w:hAnsi="仿宋" w:eastAsia="仿宋" w:cs="仿宋"/>
          <w:b/>
          <w:bCs/>
          <w:color w:val="auto"/>
          <w:sz w:val="24"/>
          <w:szCs w:val="24"/>
          <w:highlight w:val="none"/>
          <w:u w:val="single"/>
        </w:rPr>
        <w:fldChar w:fldCharType="end"/>
      </w:r>
      <w:r>
        <w:rPr>
          <w:rFonts w:hint="eastAsia" w:ascii="仿宋" w:hAnsi="仿宋" w:eastAsia="仿宋" w:cs="仿宋"/>
          <w:b/>
          <w:bCs/>
          <w:color w:val="auto"/>
          <w:sz w:val="24"/>
          <w:szCs w:val="24"/>
          <w:highlight w:val="none"/>
          <w:u w:val="single"/>
        </w:rPr>
        <w:t>款［</w:t>
      </w:r>
      <w:r>
        <w:rPr>
          <w:color w:val="auto"/>
          <w:highlight w:val="none"/>
        </w:rPr>
        <w:fldChar w:fldCharType="begin"/>
      </w:r>
      <w:r>
        <w:rPr>
          <w:color w:val="auto"/>
          <w:highlight w:val="none"/>
        </w:rPr>
        <w:instrText xml:space="preserve"> REF _Ref4617331 \h  \* MERGEFORMAT </w:instrText>
      </w:r>
      <w:r>
        <w:rPr>
          <w:color w:val="auto"/>
          <w:highlight w:val="none"/>
        </w:rPr>
        <w:fldChar w:fldCharType="separate"/>
      </w:r>
      <w:r>
        <w:rPr>
          <w:rFonts w:hint="eastAsia" w:ascii="仿宋" w:hAnsi="仿宋" w:eastAsia="仿宋" w:cs="仿宋"/>
          <w:b/>
          <w:bCs/>
          <w:color w:val="auto"/>
          <w:sz w:val="24"/>
          <w:szCs w:val="24"/>
          <w:highlight w:val="none"/>
          <w:u w:val="single"/>
        </w:rPr>
        <w:t>法律变化引起的调整</w:t>
      </w:r>
      <w:r>
        <w:rPr>
          <w:rFonts w:hint="eastAsia" w:ascii="仿宋" w:hAnsi="仿宋" w:eastAsia="仿宋" w:cs="仿宋"/>
          <w:b/>
          <w:bCs/>
          <w:color w:val="auto"/>
          <w:sz w:val="24"/>
          <w:szCs w:val="24"/>
          <w:highlight w:val="none"/>
          <w:u w:val="single"/>
        </w:rPr>
        <w:fldChar w:fldCharType="end"/>
      </w:r>
      <w:r>
        <w:rPr>
          <w:rFonts w:hint="eastAsia" w:ascii="仿宋" w:hAnsi="仿宋" w:eastAsia="仿宋" w:cs="仿宋"/>
          <w:b/>
          <w:bCs/>
          <w:color w:val="auto"/>
          <w:sz w:val="24"/>
          <w:szCs w:val="24"/>
          <w:highlight w:val="none"/>
          <w:u w:val="single"/>
        </w:rPr>
        <w:t xml:space="preserve">］约定外，合同价格不应因任何这些税费进行调整； </w:t>
      </w:r>
    </w:p>
    <w:p>
      <w:pPr>
        <w:ind w:right="-512" w:rightChars="-244" w:firstLine="720" w:firstLineChars="300"/>
        <w:rPr>
          <w:rFonts w:ascii="仿宋" w:hAnsi="仿宋" w:eastAsia="仿宋" w:cs="仿宋"/>
          <w:b/>
          <w:bCs/>
          <w:color w:val="auto"/>
          <w:sz w:val="24"/>
          <w:szCs w:val="24"/>
          <w:highlight w:val="none"/>
          <w:u w:val="single"/>
        </w:rPr>
      </w:pPr>
      <w:r>
        <w:rPr>
          <w:rFonts w:hint="eastAsia" w:ascii="仿宋" w:hAnsi="仿宋" w:eastAsia="仿宋" w:cs="仿宋"/>
          <w:color w:val="auto"/>
          <w:sz w:val="24"/>
          <w:szCs w:val="24"/>
          <w:highlight w:val="none"/>
        </w:rPr>
        <w:t>（3）按实际完成的工程量支付工程价款的计量方法、估价方法：</w:t>
      </w:r>
      <w:r>
        <w:rPr>
          <w:rFonts w:hint="eastAsia" w:ascii="仿宋" w:hAnsi="仿宋" w:eastAsia="仿宋" w:cs="仿宋"/>
          <w:color w:val="auto"/>
          <w:sz w:val="24"/>
          <w:szCs w:val="24"/>
          <w:highlight w:val="none"/>
          <w:u w:val="single"/>
        </w:rPr>
        <w:t xml:space="preserve">      </w:t>
      </w:r>
    </w:p>
    <w:p>
      <w:pPr>
        <w:spacing w:after="120"/>
        <w:ind w:right="-512" w:rightChars="-244"/>
        <w:rPr>
          <w:rFonts w:ascii="仿宋" w:hAnsi="仿宋" w:eastAsia="仿宋" w:cs="仿宋"/>
          <w:color w:val="auto"/>
          <w:szCs w:val="16"/>
          <w:highlight w:val="none"/>
        </w:rPr>
      </w:pP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_Ref531956881 \r \h  \* MERGEFORMAT </w:instrText>
      </w:r>
      <w:r>
        <w:rPr>
          <w:color w:val="auto"/>
          <w:highlight w:val="none"/>
        </w:rPr>
        <w:fldChar w:fldCharType="separate"/>
      </w:r>
      <w:bookmarkStart w:id="503" w:name="_Toc9681_WPSOffice_Level3"/>
      <w:r>
        <w:rPr>
          <w:rFonts w:hint="eastAsia" w:ascii="仿宋" w:hAnsi="仿宋" w:eastAsia="仿宋" w:cs="仿宋"/>
          <w:color w:val="auto"/>
          <w:sz w:val="24"/>
          <w:szCs w:val="24"/>
          <w:highlight w:val="none"/>
        </w:rPr>
        <w:t>14.2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w:instrText>
      </w:r>
      <w:bookmarkEnd w:id="503"/>
      <w:r>
        <w:rPr>
          <w:rFonts w:hint="eastAsia" w:ascii="仿宋" w:hAnsi="仿宋" w:eastAsia="仿宋" w:cs="仿宋"/>
          <w:color w:val="auto"/>
          <w:szCs w:val="16"/>
          <w:highlight w:val="none"/>
        </w:rPr>
        <w:instrText xml:space="preserve">REF _Ref531956884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预付款</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_Ref531956894 \r \h  \* MERGEFORMAT </w:instrText>
      </w:r>
      <w:r>
        <w:rPr>
          <w:color w:val="auto"/>
          <w:highlight w:val="none"/>
        </w:rPr>
        <w:fldChar w:fldCharType="separate"/>
      </w:r>
      <w:r>
        <w:rPr>
          <w:rFonts w:hint="eastAsia" w:ascii="仿宋" w:hAnsi="仿宋" w:eastAsia="仿宋" w:cs="仿宋"/>
          <w:color w:val="auto"/>
          <w:sz w:val="24"/>
          <w:szCs w:val="24"/>
          <w:highlight w:val="none"/>
        </w:rPr>
        <w:t>14.2.1</w:t>
      </w:r>
      <w:r>
        <w:rPr>
          <w:rFonts w:hint="eastAsia" w:ascii="仿宋" w:hAnsi="仿宋" w:eastAsia="仿宋" w:cs="仿宋"/>
          <w:color w:val="auto"/>
          <w:sz w:val="24"/>
          <w:szCs w:val="24"/>
          <w:highlight w:val="none"/>
        </w:rPr>
        <w:fldChar w:fldCharType="end"/>
      </w:r>
      <w:r>
        <w:rPr>
          <w:color w:val="auto"/>
          <w:highlight w:val="none"/>
        </w:rPr>
        <w:fldChar w:fldCharType="begin"/>
      </w:r>
      <w:r>
        <w:rPr>
          <w:color w:val="auto"/>
          <w:highlight w:val="none"/>
        </w:rPr>
        <w:instrText xml:space="preserve"> REF _Ref4623383 \h  \* MERGEFORMAT </w:instrText>
      </w:r>
      <w:r>
        <w:rPr>
          <w:color w:val="auto"/>
          <w:highlight w:val="none"/>
        </w:rPr>
        <w:fldChar w:fldCharType="separate"/>
      </w:r>
      <w:r>
        <w:rPr>
          <w:rFonts w:hint="eastAsia" w:ascii="仿宋" w:hAnsi="仿宋" w:eastAsia="仿宋" w:cs="仿宋"/>
          <w:color w:val="auto"/>
          <w:sz w:val="24"/>
          <w:szCs w:val="24"/>
          <w:highlight w:val="none"/>
        </w:rPr>
        <w:t>预付款支付</w:t>
      </w:r>
      <w:r>
        <w:rPr>
          <w:rFonts w:hint="eastAsia" w:ascii="仿宋" w:hAnsi="仿宋" w:eastAsia="仿宋" w:cs="仿宋"/>
          <w:color w:val="auto"/>
          <w:sz w:val="24"/>
          <w:szCs w:val="24"/>
          <w:highlight w:val="none"/>
        </w:rPr>
        <w:fldChar w:fldCharType="end"/>
      </w:r>
    </w:p>
    <w:p>
      <w:pPr>
        <w:spacing w:line="360" w:lineRule="auto"/>
        <w:ind w:right="-512" w:rightChars="-244"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预付款的金额或比例为：</w:t>
      </w:r>
    </w:p>
    <w:p>
      <w:pPr>
        <w:spacing w:after="120" w:line="360" w:lineRule="auto"/>
        <w:ind w:right="-512" w:rightChars="-244" w:firstLine="600"/>
        <w:rPr>
          <w:rFonts w:ascii="仿宋" w:hAnsi="仿宋" w:eastAsia="仿宋" w:cs="仿宋"/>
          <w:b/>
          <w:bCs/>
          <w:color w:val="auto"/>
          <w:sz w:val="24"/>
          <w:szCs w:val="24"/>
          <w:highlight w:val="none"/>
          <w:u w:val="single"/>
        </w:rPr>
      </w:pPr>
      <w:r>
        <w:rPr>
          <w:rFonts w:hint="eastAsia" w:ascii="仿宋" w:hAnsi="仿宋" w:eastAsia="仿宋" w:cs="仿宋"/>
          <w:b/>
          <w:bCs/>
          <w:color w:val="auto"/>
          <w:sz w:val="24"/>
          <w:szCs w:val="24"/>
          <w:highlight w:val="none"/>
          <w:u w:val="single"/>
        </w:rPr>
        <w:t>依照《保障农民工工资支付条例》及石河子地区建设领域农民工工资专用账户管理的要求，合同签订后，向中标单位农民工工资专用账户一次性预付本工程全部人工费。全部人工费原则上按照合同金额（扣除暂列金额、基本预备费）的30%计取。</w:t>
      </w:r>
    </w:p>
    <w:p>
      <w:pPr>
        <w:spacing w:after="120"/>
        <w:ind w:right="-512" w:rightChars="-244"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预付款支付期限：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spacing w:after="120"/>
        <w:ind w:right="-512" w:rightChars="-244"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预付款扣回的方式：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_Ref4797624 \r \h  \* MERGEFORMAT </w:instrText>
      </w:r>
      <w:r>
        <w:rPr>
          <w:color w:val="auto"/>
          <w:highlight w:val="none"/>
        </w:rPr>
        <w:fldChar w:fldCharType="separate"/>
      </w:r>
      <w:r>
        <w:rPr>
          <w:rFonts w:hint="eastAsia" w:ascii="仿宋" w:hAnsi="仿宋" w:eastAsia="仿宋" w:cs="仿宋"/>
          <w:color w:val="auto"/>
          <w:sz w:val="24"/>
          <w:szCs w:val="24"/>
          <w:highlight w:val="none"/>
        </w:rPr>
        <w:t>14.2.2</w:t>
      </w:r>
      <w:r>
        <w:rPr>
          <w:rFonts w:hint="eastAsia" w:ascii="仿宋" w:hAnsi="仿宋" w:eastAsia="仿宋" w:cs="仿宋"/>
          <w:color w:val="auto"/>
          <w:sz w:val="24"/>
          <w:szCs w:val="24"/>
          <w:highlight w:val="none"/>
        </w:rPr>
        <w:fldChar w:fldCharType="end"/>
      </w:r>
      <w:r>
        <w:rPr>
          <w:color w:val="auto"/>
          <w:highlight w:val="none"/>
        </w:rPr>
        <w:fldChar w:fldCharType="begin"/>
      </w:r>
      <w:r>
        <w:rPr>
          <w:color w:val="auto"/>
          <w:highlight w:val="none"/>
        </w:rPr>
        <w:instrText xml:space="preserve"> REF _Ref4797624 \h  \* MERGEFORMAT </w:instrText>
      </w:r>
      <w:r>
        <w:rPr>
          <w:color w:val="auto"/>
          <w:highlight w:val="none"/>
        </w:rPr>
        <w:fldChar w:fldCharType="separate"/>
      </w:r>
      <w:r>
        <w:rPr>
          <w:rFonts w:hint="eastAsia" w:ascii="仿宋" w:hAnsi="仿宋" w:eastAsia="仿宋" w:cs="仿宋"/>
          <w:color w:val="auto"/>
          <w:sz w:val="24"/>
          <w:szCs w:val="24"/>
          <w:highlight w:val="none"/>
        </w:rPr>
        <w:t>预付款担保</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在以下方式中选择其一，作为双方对预付款担保的约定。</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□承包人不提交预付款担保。</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□承包人提交预付款担保的金额和时间：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□承包人采用其他方式提交预付款担保的金额、要求及期限：</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_Ref531956963 \r \h  \* MERGEFORMAT </w:instrText>
      </w:r>
      <w:r>
        <w:rPr>
          <w:color w:val="auto"/>
          <w:highlight w:val="none"/>
        </w:rPr>
        <w:fldChar w:fldCharType="separate"/>
      </w:r>
      <w:bookmarkStart w:id="504" w:name="_Toc31768_WPSOffice_Level3"/>
      <w:r>
        <w:rPr>
          <w:rFonts w:hint="eastAsia" w:ascii="仿宋" w:hAnsi="仿宋" w:eastAsia="仿宋" w:cs="仿宋"/>
          <w:color w:val="auto"/>
          <w:sz w:val="24"/>
          <w:szCs w:val="24"/>
          <w:highlight w:val="none"/>
        </w:rPr>
        <w:t>14.3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w:instrText>
      </w:r>
      <w:bookmarkEnd w:id="504"/>
      <w:r>
        <w:rPr>
          <w:rFonts w:hint="eastAsia" w:ascii="仿宋" w:hAnsi="仿宋" w:eastAsia="仿宋" w:cs="仿宋"/>
          <w:color w:val="auto"/>
          <w:szCs w:val="16"/>
          <w:highlight w:val="none"/>
        </w:rPr>
        <w:instrText xml:space="preserve">F _Ref4623398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工程进度款</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_Ref532679934 \r \h  \* MERGEFORMAT </w:instrText>
      </w:r>
      <w:r>
        <w:rPr>
          <w:color w:val="auto"/>
          <w:highlight w:val="none"/>
        </w:rPr>
        <w:fldChar w:fldCharType="separate"/>
      </w:r>
      <w:r>
        <w:rPr>
          <w:rFonts w:hint="eastAsia" w:ascii="仿宋" w:hAnsi="仿宋" w:eastAsia="仿宋" w:cs="仿宋"/>
          <w:color w:val="auto"/>
          <w:sz w:val="24"/>
          <w:szCs w:val="24"/>
          <w:highlight w:val="none"/>
        </w:rPr>
        <w:t>14.3.1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_Ref532679934 \h  \* MERGEFORMAT </w:instrText>
      </w:r>
      <w:r>
        <w:rPr>
          <w:color w:val="auto"/>
          <w:highlight w:val="none"/>
        </w:rPr>
        <w:fldChar w:fldCharType="separate"/>
      </w:r>
      <w:r>
        <w:rPr>
          <w:rFonts w:hint="eastAsia" w:ascii="仿宋" w:hAnsi="仿宋" w:eastAsia="仿宋" w:cs="仿宋"/>
          <w:color w:val="auto"/>
          <w:sz w:val="24"/>
          <w:szCs w:val="24"/>
          <w:highlight w:val="none"/>
        </w:rPr>
        <w:t>进度付款申请</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工程进度付款申请方式及进度付款申请单应包括的内容：</w:t>
      </w:r>
    </w:p>
    <w:p>
      <w:pPr>
        <w:numPr>
          <w:ilvl w:val="0"/>
          <w:numId w:val="18"/>
        </w:numPr>
        <w:spacing w:after="120" w:line="360" w:lineRule="auto"/>
        <w:ind w:right="-512" w:rightChars="-244" w:firstLine="482" w:firstLineChars="200"/>
        <w:rPr>
          <w:rFonts w:ascii="仿宋" w:hAnsi="仿宋" w:eastAsia="仿宋" w:cs="仿宋"/>
          <w:b/>
          <w:bCs/>
          <w:color w:val="auto"/>
          <w:sz w:val="24"/>
          <w:szCs w:val="24"/>
          <w:highlight w:val="none"/>
          <w:u w:val="single"/>
        </w:rPr>
      </w:pPr>
      <w:r>
        <w:rPr>
          <w:rFonts w:hint="eastAsia" w:ascii="仿宋" w:hAnsi="仿宋" w:eastAsia="仿宋" w:cs="仿宋"/>
          <w:b/>
          <w:bCs/>
          <w:color w:val="auto"/>
          <w:sz w:val="24"/>
          <w:szCs w:val="24"/>
          <w:highlight w:val="none"/>
        </w:rPr>
        <w:t>人工费支付。</w:t>
      </w:r>
      <w:r>
        <w:rPr>
          <w:rFonts w:hint="eastAsia" w:ascii="仿宋" w:hAnsi="仿宋" w:eastAsia="仿宋" w:cs="仿宋"/>
          <w:b/>
          <w:bCs/>
          <w:color w:val="auto"/>
          <w:sz w:val="24"/>
          <w:szCs w:val="24"/>
          <w:highlight w:val="none"/>
          <w:u w:val="single"/>
        </w:rPr>
        <w:t>由承包人依据工程进度按月度申请支付人工费。农民工工资专用账户金额不足时，按照工程进度款审批约定支付</w:t>
      </w:r>
      <w:r>
        <w:rPr>
          <w:rFonts w:hint="eastAsia" w:ascii="仿宋" w:hAnsi="仿宋" w:eastAsia="仿宋" w:cs="仿宋"/>
          <w:b/>
          <w:bCs/>
          <w:color w:val="auto"/>
          <w:sz w:val="24"/>
          <w:szCs w:val="24"/>
          <w:highlight w:val="none"/>
        </w:rPr>
        <w:t>。</w:t>
      </w:r>
    </w:p>
    <w:p>
      <w:pPr>
        <w:numPr>
          <w:ilvl w:val="0"/>
          <w:numId w:val="18"/>
        </w:numPr>
        <w:spacing w:after="120" w:line="360" w:lineRule="auto"/>
        <w:ind w:right="-512" w:rightChars="-244" w:firstLine="482" w:firstLineChars="200"/>
        <w:rPr>
          <w:rFonts w:ascii="仿宋" w:hAnsi="仿宋" w:eastAsia="仿宋" w:cs="仿宋"/>
          <w:b/>
          <w:bCs/>
          <w:color w:val="auto"/>
          <w:sz w:val="24"/>
          <w:szCs w:val="24"/>
          <w:highlight w:val="none"/>
          <w:u w:val="single"/>
        </w:rPr>
      </w:pPr>
      <w:r>
        <w:rPr>
          <w:rFonts w:hint="eastAsia" w:ascii="仿宋" w:hAnsi="仿宋" w:eastAsia="仿宋" w:cs="仿宋"/>
          <w:b/>
          <w:bCs/>
          <w:color w:val="auto"/>
          <w:sz w:val="24"/>
          <w:szCs w:val="24"/>
          <w:highlight w:val="none"/>
          <w:u w:val="single"/>
        </w:rPr>
        <w:t>本工程为交钥匙工程。合同签订后按照工程进度支付进度款，工程竣工验收合格后，承包人提交付款申请，发包方15个工作日内完成支付合同金额的80%。承包人在工程竣工验收合格后20天内提交完整的结算资料进行审计。承包人根据审计结果开具相应发票并缴纳审定金额的3%作为保修金，发包方收到发票后15个工作日内向承包人支付剩余工程款。质量保修期内未发生质量问题的，由发包人在质量保修期满后15个工作日内将保修金无息支付给承包人。</w:t>
      </w:r>
    </w:p>
    <w:p>
      <w:pPr>
        <w:numPr>
          <w:ilvl w:val="0"/>
          <w:numId w:val="18"/>
        </w:numPr>
        <w:spacing w:after="120" w:line="360" w:lineRule="auto"/>
        <w:ind w:right="-512" w:rightChars="-244" w:firstLine="482" w:firstLineChars="200"/>
        <w:rPr>
          <w:rFonts w:hint="eastAsia" w:ascii="仿宋" w:hAnsi="仿宋" w:eastAsia="仿宋" w:cs="仿宋"/>
          <w:b/>
          <w:bCs/>
          <w:color w:val="auto"/>
          <w:sz w:val="24"/>
          <w:szCs w:val="24"/>
          <w:highlight w:val="none"/>
          <w:u w:val="single"/>
          <w:lang w:eastAsia="zh-CN"/>
        </w:rPr>
      </w:pPr>
      <w:r>
        <w:rPr>
          <w:rFonts w:hint="eastAsia" w:ascii="仿宋" w:hAnsi="仿宋" w:eastAsia="仿宋" w:cs="仿宋"/>
          <w:b/>
          <w:bCs/>
          <w:color w:val="auto"/>
          <w:sz w:val="24"/>
          <w:szCs w:val="24"/>
          <w:highlight w:val="none"/>
          <w:u w:val="single"/>
        </w:rPr>
        <w:t>设计费支付方式：①合同签订后，按合同价款的20%支付定金(合同结算时，定金抵作设计费) ;②完成设计方案发包人评审通过，最终设计成果取得政府有关部门审图合格证,支付至合同价款的85%;③工程竣工验收合格,支付至合同价款的100%。</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_Ref531957608 \r \h  \* MERGEFORMAT </w:instrText>
      </w:r>
      <w:r>
        <w:rPr>
          <w:color w:val="auto"/>
          <w:highlight w:val="none"/>
        </w:rPr>
        <w:fldChar w:fldCharType="separate"/>
      </w:r>
      <w:r>
        <w:rPr>
          <w:rFonts w:hint="eastAsia" w:ascii="仿宋" w:hAnsi="仿宋" w:eastAsia="仿宋" w:cs="仿宋"/>
          <w:color w:val="auto"/>
          <w:sz w:val="24"/>
          <w:szCs w:val="24"/>
          <w:highlight w:val="none"/>
        </w:rPr>
        <w:t>14.3.2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_Ref531957608 \h  \* MERGEFORMAT </w:instrText>
      </w:r>
      <w:r>
        <w:rPr>
          <w:color w:val="auto"/>
          <w:highlight w:val="none"/>
        </w:rPr>
        <w:fldChar w:fldCharType="separate"/>
      </w:r>
      <w:r>
        <w:rPr>
          <w:rFonts w:hint="eastAsia" w:ascii="仿宋" w:hAnsi="仿宋" w:eastAsia="仿宋" w:cs="仿宋"/>
          <w:color w:val="auto"/>
          <w:sz w:val="24"/>
          <w:szCs w:val="24"/>
          <w:highlight w:val="none"/>
        </w:rPr>
        <w:t>进度付款审核和支付</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p>
    <w:p>
      <w:pPr>
        <w:pStyle w:val="8"/>
        <w:spacing w:line="360" w:lineRule="auto"/>
        <w:ind w:right="-512" w:rightChars="-244" w:firstLine="482" w:firstLineChars="200"/>
        <w:jc w:val="left"/>
        <w:rPr>
          <w:rFonts w:ascii="仿宋" w:hAnsi="仿宋" w:eastAsia="仿宋" w:cs="仿宋"/>
          <w:color w:val="auto"/>
          <w:sz w:val="24"/>
          <w:highlight w:val="none"/>
        </w:rPr>
      </w:pPr>
      <w:r>
        <w:rPr>
          <w:rFonts w:hint="eastAsia" w:ascii="仿宋" w:hAnsi="仿宋" w:eastAsia="仿宋" w:cs="仿宋"/>
          <w:b/>
          <w:bCs/>
          <w:color w:val="auto"/>
          <w:sz w:val="24"/>
          <w:highlight w:val="none"/>
        </w:rPr>
        <w:t>进度付款的审核方式和支付的约定</w:t>
      </w:r>
      <w:r>
        <w:rPr>
          <w:rFonts w:hint="eastAsia" w:ascii="仿宋" w:hAnsi="仿宋" w:eastAsia="仿宋" w:cs="仿宋"/>
          <w:color w:val="auto"/>
          <w:sz w:val="24"/>
          <w:highlight w:val="none"/>
        </w:rPr>
        <w:t>：</w:t>
      </w:r>
    </w:p>
    <w:p>
      <w:pPr>
        <w:pStyle w:val="8"/>
        <w:spacing w:line="360" w:lineRule="auto"/>
        <w:ind w:right="-512" w:rightChars="-244" w:firstLine="482" w:firstLineChars="200"/>
        <w:jc w:val="left"/>
        <w:rPr>
          <w:rFonts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rPr>
        <w:t>设计费(含施工图设计、竣工图编制费)，以相关部门审定的建筑安装工程结算价为基础，按中标设计费费率结算。</w:t>
      </w:r>
    </w:p>
    <w:p>
      <w:pPr>
        <w:spacing w:after="120" w:line="360" w:lineRule="auto"/>
        <w:ind w:right="-512" w:rightChars="-244" w:firstLine="600"/>
        <w:jc w:val="left"/>
        <w:rPr>
          <w:rFonts w:ascii="仿宋" w:hAnsi="仿宋" w:eastAsia="仿宋" w:cs="仿宋"/>
          <w:color w:val="auto"/>
          <w:sz w:val="24"/>
          <w:szCs w:val="24"/>
          <w:highlight w:val="none"/>
          <w:u w:val="single"/>
        </w:rPr>
      </w:pPr>
      <w:r>
        <w:rPr>
          <w:rFonts w:hint="eastAsia" w:ascii="仿宋" w:hAnsi="仿宋" w:eastAsia="仿宋" w:cs="仿宋"/>
          <w:b/>
          <w:bCs/>
          <w:color w:val="auto"/>
          <w:sz w:val="24"/>
          <w:szCs w:val="24"/>
          <w:highlight w:val="none"/>
          <w:u w:val="single"/>
        </w:rPr>
        <w:t>建筑安装工程费，以最终发包人确定的施工图及变更、签证等有效隐蔽资料进行结算，执行投标时报价下浮率结算。</w:t>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发包人应在进度款支付证书或临时进度款支付证书签发后</w:t>
      </w:r>
      <w:r>
        <w:rPr>
          <w:rFonts w:hint="eastAsia" w:ascii="仿宋" w:hAnsi="仿宋" w:eastAsia="仿宋" w:cs="仿宋"/>
          <w:b/>
          <w:bCs/>
          <w:color w:val="auto"/>
          <w:sz w:val="24"/>
          <w:szCs w:val="24"/>
          <w:highlight w:val="none"/>
          <w:u w:val="single"/>
        </w:rPr>
        <w:t xml:space="preserve"> 14 </w:t>
      </w:r>
      <w:r>
        <w:rPr>
          <w:rFonts w:hint="eastAsia" w:ascii="仿宋" w:hAnsi="仿宋" w:eastAsia="仿宋" w:cs="仿宋"/>
          <w:color w:val="auto"/>
          <w:sz w:val="24"/>
          <w:szCs w:val="24"/>
          <w:highlight w:val="none"/>
        </w:rPr>
        <w:t>天内完成支付，发包人逾期支付进度款的，应按照</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支付违约金。</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_Ref4538578 \r \h  \* MERGEFORMAT </w:instrText>
      </w:r>
      <w:r>
        <w:rPr>
          <w:color w:val="auto"/>
          <w:highlight w:val="none"/>
        </w:rPr>
        <w:fldChar w:fldCharType="separate"/>
      </w:r>
      <w:bookmarkStart w:id="505" w:name="_Toc31291_WPSOffice_Level3"/>
      <w:r>
        <w:rPr>
          <w:rFonts w:hint="eastAsia" w:ascii="仿宋" w:hAnsi="仿宋" w:eastAsia="仿宋" w:cs="仿宋"/>
          <w:color w:val="auto"/>
          <w:sz w:val="24"/>
          <w:szCs w:val="24"/>
          <w:highlight w:val="none"/>
        </w:rPr>
        <w:t>14.4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w:instrText>
      </w:r>
      <w:bookmarkEnd w:id="505"/>
      <w:r>
        <w:rPr>
          <w:rFonts w:hint="eastAsia" w:ascii="仿宋" w:hAnsi="仿宋" w:eastAsia="仿宋" w:cs="仿宋"/>
          <w:color w:val="auto"/>
          <w:szCs w:val="16"/>
          <w:highlight w:val="none"/>
        </w:rPr>
        <w:instrText xml:space="preserve">F _Ref4538578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付款计划表</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_Ref4570974 \r \h  \* MERGEFORMAT </w:instrText>
      </w:r>
      <w:r>
        <w:rPr>
          <w:color w:val="auto"/>
          <w:highlight w:val="none"/>
        </w:rPr>
        <w:fldChar w:fldCharType="separate"/>
      </w:r>
      <w:r>
        <w:rPr>
          <w:rFonts w:hint="eastAsia" w:ascii="仿宋" w:hAnsi="仿宋" w:eastAsia="仿宋" w:cs="仿宋"/>
          <w:color w:val="auto"/>
          <w:sz w:val="24"/>
          <w:szCs w:val="24"/>
          <w:highlight w:val="none"/>
        </w:rPr>
        <w:t>14.4.1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_Ref4570974 \h  \* MERGEFORMAT </w:instrText>
      </w:r>
      <w:r>
        <w:rPr>
          <w:color w:val="auto"/>
          <w:highlight w:val="none"/>
        </w:rPr>
        <w:fldChar w:fldCharType="separate"/>
      </w:r>
      <w:r>
        <w:rPr>
          <w:rFonts w:hint="eastAsia" w:ascii="仿宋" w:hAnsi="仿宋" w:eastAsia="仿宋" w:cs="仿宋"/>
          <w:color w:val="auto"/>
          <w:sz w:val="24"/>
          <w:szCs w:val="24"/>
          <w:highlight w:val="none"/>
        </w:rPr>
        <w:t>付款计划表的编制要求</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_Ref4571011 \r \h  \* MERGEFORMAT </w:instrText>
      </w:r>
      <w:r>
        <w:rPr>
          <w:color w:val="auto"/>
          <w:highlight w:val="none"/>
        </w:rPr>
        <w:fldChar w:fldCharType="separate"/>
      </w:r>
      <w:r>
        <w:rPr>
          <w:rFonts w:hint="eastAsia" w:ascii="仿宋" w:hAnsi="仿宋" w:eastAsia="仿宋" w:cs="仿宋"/>
          <w:color w:val="auto"/>
          <w:sz w:val="24"/>
          <w:szCs w:val="24"/>
          <w:highlight w:val="none"/>
        </w:rPr>
        <w:t>14.4.2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_Ref4571011 \h  \* MERGEFORMAT </w:instrText>
      </w:r>
      <w:r>
        <w:rPr>
          <w:color w:val="auto"/>
          <w:highlight w:val="none"/>
        </w:rPr>
        <w:fldChar w:fldCharType="separate"/>
      </w:r>
      <w:r>
        <w:rPr>
          <w:rFonts w:hint="eastAsia" w:ascii="仿宋" w:hAnsi="仿宋" w:eastAsia="仿宋" w:cs="仿宋"/>
          <w:color w:val="auto"/>
          <w:sz w:val="24"/>
          <w:szCs w:val="24"/>
          <w:highlight w:val="none"/>
        </w:rPr>
        <w:t>付款计划表的编制与审批</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付款计划表的编制：</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_Ref4538634 \r \h  \* MERGEFORMAT </w:instrText>
      </w:r>
      <w:r>
        <w:rPr>
          <w:color w:val="auto"/>
          <w:highlight w:val="none"/>
        </w:rPr>
        <w:fldChar w:fldCharType="separate"/>
      </w:r>
      <w:bookmarkStart w:id="506" w:name="_Toc1694_WPSOffice_Level3"/>
      <w:r>
        <w:rPr>
          <w:rFonts w:hint="eastAsia" w:ascii="仿宋" w:hAnsi="仿宋" w:eastAsia="仿宋" w:cs="仿宋"/>
          <w:color w:val="auto"/>
          <w:sz w:val="24"/>
          <w:szCs w:val="24"/>
          <w:highlight w:val="none"/>
        </w:rPr>
        <w:t>14.5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506"/>
      <w:r>
        <w:rPr>
          <w:rFonts w:hint="eastAsia" w:ascii="仿宋" w:hAnsi="仿宋" w:eastAsia="仿宋" w:cs="仿宋"/>
          <w:color w:val="auto"/>
          <w:szCs w:val="16"/>
          <w:highlight w:val="none"/>
        </w:rPr>
        <w:instrText xml:space="preserve">EF _Ref4538634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竣工结算</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_Ref4571361 \r \h  \* MERGEFORMAT </w:instrText>
      </w:r>
      <w:r>
        <w:rPr>
          <w:color w:val="auto"/>
          <w:highlight w:val="none"/>
        </w:rPr>
        <w:fldChar w:fldCharType="separate"/>
      </w:r>
      <w:r>
        <w:rPr>
          <w:rFonts w:hint="eastAsia" w:ascii="仿宋" w:hAnsi="仿宋" w:eastAsia="仿宋" w:cs="仿宋"/>
          <w:color w:val="auto"/>
          <w:sz w:val="24"/>
          <w:szCs w:val="24"/>
          <w:highlight w:val="none"/>
        </w:rPr>
        <w:t>14.5.1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_Ref4571361 \h  \* MERGEFORMAT </w:instrText>
      </w:r>
      <w:r>
        <w:rPr>
          <w:color w:val="auto"/>
          <w:highlight w:val="none"/>
        </w:rPr>
        <w:fldChar w:fldCharType="separate"/>
      </w:r>
      <w:r>
        <w:rPr>
          <w:rFonts w:hint="eastAsia" w:ascii="仿宋" w:hAnsi="仿宋" w:eastAsia="仿宋" w:cs="仿宋"/>
          <w:color w:val="auto"/>
          <w:sz w:val="24"/>
          <w:szCs w:val="24"/>
          <w:highlight w:val="none"/>
        </w:rPr>
        <w:t>竣工结算申请</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承包人提交竣工结算申请的时间：</w:t>
      </w:r>
      <w:r>
        <w:rPr>
          <w:rFonts w:hint="eastAsia" w:ascii="仿宋" w:hAnsi="仿宋" w:eastAsia="仿宋" w:cs="仿宋"/>
          <w:color w:val="auto"/>
          <w:sz w:val="24"/>
          <w:szCs w:val="24"/>
          <w:highlight w:val="none"/>
          <w:u w:val="single"/>
        </w:rPr>
        <w:t xml:space="preserve">       7天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竣工结算申请的资料清单和份数：</w:t>
      </w:r>
      <w:r>
        <w:rPr>
          <w:rFonts w:hint="eastAsia" w:ascii="仿宋" w:hAnsi="仿宋" w:eastAsia="仿宋" w:cs="仿宋"/>
          <w:color w:val="auto"/>
          <w:sz w:val="24"/>
          <w:szCs w:val="24"/>
          <w:highlight w:val="none"/>
          <w:u w:val="single"/>
        </w:rPr>
        <w:t xml:space="preserve">  按招标人需求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竣工结算申请单的内容应包括：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_Ref4571384 \r \h  \* MERGEFORMAT </w:instrText>
      </w:r>
      <w:r>
        <w:rPr>
          <w:color w:val="auto"/>
          <w:highlight w:val="none"/>
        </w:rPr>
        <w:fldChar w:fldCharType="separate"/>
      </w:r>
      <w:r>
        <w:rPr>
          <w:rFonts w:hint="eastAsia" w:ascii="仿宋" w:hAnsi="仿宋" w:eastAsia="仿宋" w:cs="仿宋"/>
          <w:color w:val="auto"/>
          <w:sz w:val="24"/>
          <w:szCs w:val="24"/>
          <w:highlight w:val="none"/>
        </w:rPr>
        <w:t>14.5.2</w:t>
      </w:r>
      <w:r>
        <w:rPr>
          <w:rFonts w:hint="eastAsia" w:ascii="仿宋" w:hAnsi="仿宋" w:eastAsia="仿宋" w:cs="仿宋"/>
          <w:color w:val="auto"/>
          <w:sz w:val="24"/>
          <w:szCs w:val="24"/>
          <w:highlight w:val="none"/>
        </w:rPr>
        <w:fldChar w:fldCharType="end"/>
      </w:r>
      <w:r>
        <w:rPr>
          <w:color w:val="auto"/>
          <w:highlight w:val="none"/>
        </w:rPr>
        <w:fldChar w:fldCharType="begin"/>
      </w:r>
      <w:r>
        <w:rPr>
          <w:color w:val="auto"/>
          <w:highlight w:val="none"/>
        </w:rPr>
        <w:instrText xml:space="preserve"> REF _Ref4571384 \h  \* MERGEFORMAT </w:instrText>
      </w:r>
      <w:r>
        <w:rPr>
          <w:color w:val="auto"/>
          <w:highlight w:val="none"/>
        </w:rPr>
        <w:fldChar w:fldCharType="separate"/>
      </w:r>
      <w:r>
        <w:rPr>
          <w:rFonts w:hint="eastAsia" w:ascii="仿宋" w:hAnsi="仿宋" w:eastAsia="仿宋" w:cs="仿宋"/>
          <w:color w:val="auto"/>
          <w:sz w:val="24"/>
          <w:szCs w:val="24"/>
          <w:highlight w:val="none"/>
        </w:rPr>
        <w:t>竣工结算审核</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发包人审批竣工付款申请单的期限：</w:t>
      </w:r>
      <w:r>
        <w:rPr>
          <w:rFonts w:hint="eastAsia" w:ascii="仿宋" w:hAnsi="仿宋" w:eastAsia="仿宋" w:cs="仿宋"/>
          <w:color w:val="auto"/>
          <w:sz w:val="24"/>
          <w:szCs w:val="24"/>
          <w:highlight w:val="none"/>
          <w:u w:val="single"/>
        </w:rPr>
        <w:t xml:space="preserve">     14天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发包人完成竣工付款的期限：</w:t>
      </w:r>
      <w:r>
        <w:rPr>
          <w:rFonts w:hint="eastAsia" w:ascii="仿宋" w:hAnsi="仿宋" w:eastAsia="仿宋" w:cs="仿宋"/>
          <w:color w:val="auto"/>
          <w:sz w:val="24"/>
          <w:szCs w:val="24"/>
          <w:highlight w:val="none"/>
          <w:u w:val="single"/>
        </w:rPr>
        <w:t xml:space="preserve">        28天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关于竣工付款证书异议部分复核的方式和程序：</w:t>
      </w:r>
      <w:r>
        <w:rPr>
          <w:rFonts w:hint="eastAsia" w:ascii="仿宋" w:hAnsi="仿宋" w:eastAsia="仿宋" w:cs="仿宋"/>
          <w:color w:val="auto"/>
          <w:sz w:val="24"/>
          <w:szCs w:val="24"/>
          <w:highlight w:val="none"/>
          <w:u w:val="single"/>
        </w:rPr>
        <w:t xml:space="preserve">  按通用条款执行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_Ref4571100 \r \h  \* MERGEFORMAT </w:instrText>
      </w:r>
      <w:r>
        <w:rPr>
          <w:color w:val="auto"/>
          <w:highlight w:val="none"/>
        </w:rPr>
        <w:fldChar w:fldCharType="separate"/>
      </w:r>
      <w:bookmarkStart w:id="507" w:name="_Toc28672_WPSOffice_Level3"/>
      <w:r>
        <w:rPr>
          <w:rFonts w:hint="eastAsia" w:ascii="仿宋" w:hAnsi="仿宋" w:eastAsia="仿宋" w:cs="仿宋"/>
          <w:color w:val="auto"/>
          <w:sz w:val="24"/>
          <w:szCs w:val="24"/>
          <w:highlight w:val="none"/>
        </w:rPr>
        <w:t>14.6</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w:instrText>
      </w:r>
      <w:bookmarkEnd w:id="507"/>
      <w:r>
        <w:rPr>
          <w:rFonts w:hint="eastAsia" w:ascii="仿宋" w:hAnsi="仿宋" w:eastAsia="仿宋" w:cs="仿宋"/>
          <w:color w:val="auto"/>
          <w:szCs w:val="16"/>
          <w:highlight w:val="none"/>
        </w:rPr>
        <w:instrText xml:space="preserve">F _Ref4571127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质量保证金</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_Ref531955069 \n \h  \* MERGEFORMAT </w:instrText>
      </w:r>
      <w:r>
        <w:rPr>
          <w:color w:val="auto"/>
          <w:highlight w:val="none"/>
        </w:rPr>
        <w:fldChar w:fldCharType="separate"/>
      </w:r>
      <w:r>
        <w:rPr>
          <w:rFonts w:hint="eastAsia" w:ascii="仿宋" w:hAnsi="仿宋" w:eastAsia="仿宋" w:cs="仿宋"/>
          <w:color w:val="auto"/>
          <w:sz w:val="24"/>
          <w:szCs w:val="24"/>
          <w:highlight w:val="none"/>
        </w:rPr>
        <w:t>14.6.1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_Ref531955069 \h  \* MERGEFORMAT </w:instrText>
      </w:r>
      <w:r>
        <w:rPr>
          <w:color w:val="auto"/>
          <w:highlight w:val="none"/>
        </w:rPr>
        <w:fldChar w:fldCharType="separate"/>
      </w:r>
      <w:r>
        <w:rPr>
          <w:rFonts w:hint="eastAsia" w:ascii="仿宋" w:hAnsi="仿宋" w:eastAsia="仿宋" w:cs="仿宋"/>
          <w:color w:val="auto"/>
          <w:sz w:val="24"/>
          <w:szCs w:val="24"/>
          <w:highlight w:val="none"/>
        </w:rPr>
        <w:t>承包人提供质量保证金的方式</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质量担保采用以下第</w:t>
      </w:r>
      <w:r>
        <w:rPr>
          <w:rFonts w:hint="eastAsia" w:ascii="仿宋" w:hAnsi="仿宋" w:eastAsia="仿宋" w:cs="仿宋"/>
          <w:b/>
          <w:bCs/>
          <w:color w:val="auto"/>
          <w:sz w:val="24"/>
          <w:szCs w:val="24"/>
          <w:highlight w:val="none"/>
          <w:u w:val="single"/>
        </w:rPr>
        <w:t xml:space="preserve"> 14.6.1（2）</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种方式：</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_Ref531955096 \r \h  \* MERGEFORMAT </w:instrText>
      </w:r>
      <w:r>
        <w:rPr>
          <w:color w:val="auto"/>
          <w:highlight w:val="none"/>
        </w:rPr>
        <w:fldChar w:fldCharType="separate"/>
      </w:r>
      <w:r>
        <w:rPr>
          <w:rFonts w:hint="eastAsia" w:ascii="仿宋" w:hAnsi="仿宋" w:eastAsia="仿宋" w:cs="仿宋"/>
          <w:color w:val="auto"/>
          <w:sz w:val="24"/>
          <w:szCs w:val="24"/>
          <w:highlight w:val="none"/>
        </w:rPr>
        <w:t>14.6.1(1)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工程质量保证担保，保证金额为：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_Ref531955107 \r \h  \* MERGEFORMAT </w:instrText>
      </w:r>
      <w:r>
        <w:rPr>
          <w:color w:val="auto"/>
          <w:highlight w:val="none"/>
        </w:rPr>
        <w:fldChar w:fldCharType="separate"/>
      </w:r>
      <w:r>
        <w:rPr>
          <w:rFonts w:hint="eastAsia" w:ascii="仿宋" w:hAnsi="仿宋" w:eastAsia="仿宋" w:cs="仿宋"/>
          <w:color w:val="auto"/>
          <w:sz w:val="24"/>
          <w:szCs w:val="24"/>
          <w:highlight w:val="none"/>
        </w:rPr>
        <w:t>14.6.1(2)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b/>
          <w:bCs/>
          <w:color w:val="auto"/>
          <w:sz w:val="24"/>
          <w:szCs w:val="24"/>
          <w:highlight w:val="none"/>
          <w:u w:val="single"/>
        </w:rPr>
        <w:t xml:space="preserve">  3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%的工程款；</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_Ref531955117 \r \h  \* MERGEFORMAT </w:instrText>
      </w:r>
      <w:r>
        <w:rPr>
          <w:color w:val="auto"/>
          <w:highlight w:val="none"/>
        </w:rPr>
        <w:fldChar w:fldCharType="separate"/>
      </w:r>
      <w:r>
        <w:rPr>
          <w:rFonts w:hint="eastAsia" w:ascii="仿宋" w:hAnsi="仿宋" w:eastAsia="仿宋" w:cs="仿宋"/>
          <w:color w:val="auto"/>
          <w:sz w:val="24"/>
          <w:szCs w:val="24"/>
          <w:highlight w:val="none"/>
        </w:rPr>
        <w:t>14.6.1(3)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其他方式：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_Ref18931667 \r \h  \* MERGEFORMAT </w:instrText>
      </w:r>
      <w:r>
        <w:rPr>
          <w:color w:val="auto"/>
          <w:highlight w:val="none"/>
        </w:rPr>
        <w:fldChar w:fldCharType="separate"/>
      </w:r>
      <w:r>
        <w:rPr>
          <w:rFonts w:hint="eastAsia" w:ascii="仿宋" w:hAnsi="仿宋" w:eastAsia="仿宋" w:cs="仿宋"/>
          <w:color w:val="auto"/>
          <w:sz w:val="24"/>
          <w:szCs w:val="24"/>
          <w:highlight w:val="none"/>
        </w:rPr>
        <w:t>14.6.2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_Ref18931667 \h  \* MERGEFORMAT </w:instrText>
      </w:r>
      <w:r>
        <w:rPr>
          <w:color w:val="auto"/>
          <w:highlight w:val="none"/>
        </w:rPr>
        <w:fldChar w:fldCharType="separate"/>
      </w:r>
      <w:r>
        <w:rPr>
          <w:rFonts w:hint="eastAsia" w:ascii="仿宋" w:hAnsi="仿宋" w:eastAsia="仿宋" w:cs="仿宋"/>
          <w:color w:val="auto"/>
          <w:sz w:val="24"/>
          <w:szCs w:val="24"/>
          <w:highlight w:val="none"/>
        </w:rPr>
        <w:t>质量保证金的预留</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质量保证金的预留采取以下第</w:t>
      </w:r>
      <w:r>
        <w:rPr>
          <w:rFonts w:hint="eastAsia" w:ascii="仿宋" w:hAnsi="仿宋" w:eastAsia="仿宋" w:cs="仿宋"/>
          <w:b/>
          <w:bCs/>
          <w:color w:val="auto"/>
          <w:sz w:val="24"/>
          <w:szCs w:val="24"/>
          <w:highlight w:val="none"/>
          <w:u w:val="single"/>
        </w:rPr>
        <w:t xml:space="preserve"> 14.6.2（2）</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种方式：</w:t>
      </w:r>
    </w:p>
    <w:p>
      <w:pPr>
        <w:spacing w:after="120" w:line="360" w:lineRule="auto"/>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_Ref531955143 \r \h  \* MERGEFORMAT </w:instrText>
      </w:r>
      <w:r>
        <w:rPr>
          <w:color w:val="auto"/>
          <w:highlight w:val="none"/>
        </w:rPr>
        <w:fldChar w:fldCharType="separate"/>
      </w:r>
      <w:r>
        <w:rPr>
          <w:rFonts w:hint="eastAsia" w:ascii="仿宋" w:hAnsi="仿宋" w:eastAsia="仿宋" w:cs="仿宋"/>
          <w:color w:val="auto"/>
          <w:sz w:val="24"/>
          <w:szCs w:val="24"/>
          <w:highlight w:val="none"/>
        </w:rPr>
        <w:t>14.6.2(1)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在支付工程进度款时逐次预留的质量保证金的比例：</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，在此情形下，质量保证金的计算基数不包括预付款的支付、扣回以及价格调整的金额；</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_Ref531955151 \r \h  \* MERGEFORMAT </w:instrText>
      </w:r>
      <w:r>
        <w:rPr>
          <w:color w:val="auto"/>
          <w:highlight w:val="none"/>
        </w:rPr>
        <w:fldChar w:fldCharType="separate"/>
      </w:r>
      <w:r>
        <w:rPr>
          <w:rFonts w:hint="eastAsia" w:ascii="仿宋" w:hAnsi="仿宋" w:eastAsia="仿宋" w:cs="仿宋"/>
          <w:color w:val="auto"/>
          <w:sz w:val="24"/>
          <w:szCs w:val="24"/>
          <w:highlight w:val="none"/>
        </w:rPr>
        <w:t>14.6.2(2)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工程竣工结算时一次性预留专用条款第</w:t>
      </w:r>
      <w:r>
        <w:rPr>
          <w:color w:val="auto"/>
          <w:highlight w:val="none"/>
        </w:rPr>
        <w:fldChar w:fldCharType="begin"/>
      </w:r>
      <w:r>
        <w:rPr>
          <w:color w:val="auto"/>
          <w:highlight w:val="none"/>
        </w:rPr>
        <w:instrText xml:space="preserve"> REF _Ref531955107 \r \h  \* MERGEFORMAT </w:instrText>
      </w:r>
      <w:r>
        <w:rPr>
          <w:color w:val="auto"/>
          <w:highlight w:val="none"/>
        </w:rPr>
        <w:fldChar w:fldCharType="separate"/>
      </w:r>
      <w:r>
        <w:rPr>
          <w:rFonts w:hint="eastAsia" w:ascii="仿宋" w:hAnsi="仿宋" w:eastAsia="仿宋" w:cs="仿宋"/>
          <w:color w:val="auto"/>
          <w:sz w:val="24"/>
          <w:szCs w:val="24"/>
          <w:highlight w:val="none"/>
        </w:rPr>
        <w:t>14.6.1(2)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约定的工程款预留比例的质量保证金；</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_Ref531955161 \r \h  \* MERGEFORMAT </w:instrText>
      </w:r>
      <w:r>
        <w:rPr>
          <w:color w:val="auto"/>
          <w:highlight w:val="none"/>
        </w:rPr>
        <w:fldChar w:fldCharType="separate"/>
      </w:r>
      <w:r>
        <w:rPr>
          <w:rFonts w:hint="eastAsia" w:ascii="仿宋" w:hAnsi="仿宋" w:eastAsia="仿宋" w:cs="仿宋"/>
          <w:color w:val="auto"/>
          <w:sz w:val="24"/>
          <w:szCs w:val="24"/>
          <w:highlight w:val="none"/>
        </w:rPr>
        <w:t>14.6.2(3)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其他预留方式: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关于质量保证金的补充约定：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_Ref531957339 \r \h  \* MERGEFORMAT </w:instrText>
      </w:r>
      <w:r>
        <w:rPr>
          <w:color w:val="auto"/>
          <w:highlight w:val="none"/>
        </w:rPr>
        <w:fldChar w:fldCharType="separate"/>
      </w:r>
      <w:bookmarkStart w:id="508" w:name="_Toc24421_WPSOffice_Level3"/>
      <w:r>
        <w:rPr>
          <w:rFonts w:hint="eastAsia" w:ascii="仿宋" w:hAnsi="仿宋" w:eastAsia="仿宋" w:cs="仿宋"/>
          <w:color w:val="auto"/>
          <w:sz w:val="24"/>
          <w:szCs w:val="24"/>
          <w:highlight w:val="none"/>
        </w:rPr>
        <w:t>14.7</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508"/>
      <w:r>
        <w:rPr>
          <w:rFonts w:hint="eastAsia" w:ascii="仿宋" w:hAnsi="仿宋" w:eastAsia="仿宋" w:cs="仿宋"/>
          <w:color w:val="auto"/>
          <w:szCs w:val="16"/>
          <w:highlight w:val="none"/>
        </w:rPr>
        <w:instrText xml:space="preserve">EF _Ref531957341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最终结清</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_Ref531957350 \r \h  \* MERGEFORMAT </w:instrText>
      </w:r>
      <w:r>
        <w:rPr>
          <w:color w:val="auto"/>
          <w:highlight w:val="none"/>
        </w:rPr>
        <w:fldChar w:fldCharType="separate"/>
      </w:r>
      <w:r>
        <w:rPr>
          <w:rFonts w:hint="eastAsia" w:ascii="仿宋" w:hAnsi="仿宋" w:eastAsia="仿宋" w:cs="仿宋"/>
          <w:color w:val="auto"/>
          <w:sz w:val="24"/>
          <w:szCs w:val="24"/>
          <w:highlight w:val="none"/>
        </w:rPr>
        <w:t>14.7.1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_Ref531957350 \h  \* MERGEFORMAT </w:instrText>
      </w:r>
      <w:r>
        <w:rPr>
          <w:color w:val="auto"/>
          <w:highlight w:val="none"/>
        </w:rPr>
        <w:fldChar w:fldCharType="separate"/>
      </w:r>
      <w:r>
        <w:rPr>
          <w:rFonts w:hint="eastAsia" w:ascii="仿宋" w:hAnsi="仿宋" w:eastAsia="仿宋" w:cs="仿宋"/>
          <w:color w:val="auto"/>
          <w:sz w:val="24"/>
          <w:szCs w:val="24"/>
          <w:highlight w:val="none"/>
        </w:rPr>
        <w:t>最终结清申请</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单</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当事人双方关于最终结清申请的其他约定：</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_Ref4624099 \r \h  \* MERGEFORMAT </w:instrText>
      </w:r>
      <w:r>
        <w:rPr>
          <w:color w:val="auto"/>
          <w:highlight w:val="none"/>
        </w:rPr>
        <w:fldChar w:fldCharType="separate"/>
      </w:r>
      <w:r>
        <w:rPr>
          <w:rFonts w:hint="eastAsia" w:ascii="仿宋" w:hAnsi="仿宋" w:eastAsia="仿宋" w:cs="仿宋"/>
          <w:color w:val="auto"/>
          <w:sz w:val="24"/>
          <w:szCs w:val="24"/>
          <w:highlight w:val="none"/>
        </w:rPr>
        <w:t>14.7.2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_Ref4624099 \h  \* MERGEFORMAT </w:instrText>
      </w:r>
      <w:r>
        <w:rPr>
          <w:color w:val="auto"/>
          <w:highlight w:val="none"/>
        </w:rPr>
        <w:fldChar w:fldCharType="separate"/>
      </w:r>
      <w:r>
        <w:rPr>
          <w:rFonts w:hint="eastAsia" w:ascii="仿宋" w:hAnsi="仿宋" w:eastAsia="仿宋" w:cs="仿宋"/>
          <w:color w:val="auto"/>
          <w:sz w:val="24"/>
          <w:szCs w:val="24"/>
          <w:highlight w:val="none"/>
        </w:rPr>
        <w:t>最终结清证书和支付</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当事人双方关于最终结清支付的其他约定：</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w:t>
      </w:r>
    </w:p>
    <w:p>
      <w:pPr>
        <w:pStyle w:val="196"/>
        <w:spacing w:after="120"/>
        <w:ind w:right="-512" w:rightChars="-244"/>
        <w:rPr>
          <w:rFonts w:ascii="仿宋" w:hAnsi="仿宋" w:eastAsia="仿宋" w:cs="仿宋"/>
          <w:b w:val="0"/>
          <w:color w:val="auto"/>
          <w:sz w:val="24"/>
          <w:szCs w:val="18"/>
          <w:highlight w:val="none"/>
        </w:rPr>
      </w:pPr>
      <w:bookmarkStart w:id="509" w:name="_Toc22902"/>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REF _Ref11920396 \r \h  \* MERGEFORMAT </w:instrText>
      </w:r>
      <w:r>
        <w:rPr>
          <w:rFonts w:hint="eastAsia" w:ascii="仿宋" w:hAnsi="仿宋" w:eastAsia="仿宋" w:cs="仿宋"/>
          <w:color w:val="auto"/>
          <w:sz w:val="22"/>
          <w:szCs w:val="16"/>
          <w:highlight w:val="none"/>
        </w:rPr>
        <w:fldChar w:fldCharType="separate"/>
      </w:r>
      <w:bookmarkStart w:id="510" w:name="_Toc18691_WPSOffice_Level3"/>
      <w:bookmarkStart w:id="511" w:name="_Toc20171888"/>
      <w:r>
        <w:rPr>
          <w:rFonts w:hint="eastAsia" w:ascii="仿宋" w:hAnsi="仿宋" w:eastAsia="仿宋" w:cs="仿宋"/>
          <w:b w:val="0"/>
          <w:color w:val="auto"/>
          <w:sz w:val="24"/>
          <w:szCs w:val="18"/>
          <w:highlight w:val="none"/>
        </w:rPr>
        <w:t>第15条</w:t>
      </w:r>
      <w:r>
        <w:rPr>
          <w:rFonts w:hint="eastAsia" w:ascii="仿宋" w:hAnsi="仿宋" w:eastAsia="仿宋" w:cs="仿宋"/>
          <w:b w:val="0"/>
          <w:color w:val="auto"/>
          <w:sz w:val="24"/>
          <w:szCs w:val="18"/>
          <w:highlight w:val="none"/>
        </w:rPr>
        <w:fldChar w:fldCharType="end"/>
      </w:r>
      <w:r>
        <w:rPr>
          <w:rFonts w:hint="eastAsia" w:ascii="仿宋" w:hAnsi="仿宋" w:eastAsia="仿宋" w:cs="仿宋"/>
          <w:b w:val="0"/>
          <w:color w:val="auto"/>
          <w:sz w:val="24"/>
          <w:szCs w:val="18"/>
          <w:highlight w:val="none"/>
        </w:rPr>
        <w:t xml:space="preserve"> </w:t>
      </w:r>
      <w:r>
        <w:rPr>
          <w:rFonts w:hint="eastAsia" w:ascii="仿宋" w:hAnsi="仿宋" w:eastAsia="仿宋" w:cs="仿宋"/>
          <w:color w:val="auto"/>
          <w:sz w:val="22"/>
          <w:szCs w:val="16"/>
          <w:highlight w:val="none"/>
        </w:rPr>
        <w:fldChar w:fldCharType="begin"/>
      </w:r>
      <w:bookmarkEnd w:id="510"/>
      <w:r>
        <w:rPr>
          <w:rFonts w:hint="eastAsia" w:ascii="仿宋" w:hAnsi="仿宋" w:eastAsia="仿宋" w:cs="仿宋"/>
          <w:color w:val="auto"/>
          <w:sz w:val="22"/>
          <w:szCs w:val="16"/>
          <w:highlight w:val="none"/>
        </w:rPr>
        <w:instrText xml:space="preserve"> REF _Ref11920407 \h  \* MERGEFORMAT </w:instrText>
      </w:r>
      <w:r>
        <w:rPr>
          <w:rFonts w:hint="eastAsia" w:ascii="仿宋" w:hAnsi="仿宋" w:eastAsia="仿宋" w:cs="仿宋"/>
          <w:color w:val="auto"/>
          <w:sz w:val="22"/>
          <w:szCs w:val="16"/>
          <w:highlight w:val="none"/>
        </w:rPr>
        <w:fldChar w:fldCharType="separate"/>
      </w:r>
      <w:r>
        <w:rPr>
          <w:rFonts w:hint="eastAsia" w:ascii="仿宋" w:hAnsi="仿宋" w:eastAsia="仿宋" w:cs="仿宋"/>
          <w:b w:val="0"/>
          <w:color w:val="auto"/>
          <w:sz w:val="24"/>
          <w:szCs w:val="18"/>
          <w:highlight w:val="none"/>
        </w:rPr>
        <w:t>违约</w:t>
      </w:r>
      <w:bookmarkEnd w:id="511"/>
      <w:r>
        <w:rPr>
          <w:rFonts w:hint="eastAsia" w:ascii="仿宋" w:hAnsi="仿宋" w:eastAsia="仿宋" w:cs="仿宋"/>
          <w:b w:val="0"/>
          <w:color w:val="auto"/>
          <w:sz w:val="24"/>
          <w:szCs w:val="18"/>
          <w:highlight w:val="none"/>
        </w:rPr>
        <w:fldChar w:fldCharType="end"/>
      </w:r>
      <w:bookmarkEnd w:id="509"/>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_Ref4534376 \r \h  \* MERGEFORMAT </w:instrText>
      </w:r>
      <w:r>
        <w:rPr>
          <w:color w:val="auto"/>
          <w:highlight w:val="none"/>
        </w:rPr>
        <w:fldChar w:fldCharType="separate"/>
      </w:r>
      <w:bookmarkStart w:id="512" w:name="_Toc30068_WPSOffice_Level3"/>
      <w:r>
        <w:rPr>
          <w:rFonts w:hint="eastAsia" w:ascii="仿宋" w:hAnsi="仿宋" w:eastAsia="仿宋" w:cs="仿宋"/>
          <w:color w:val="auto"/>
          <w:sz w:val="24"/>
          <w:szCs w:val="24"/>
          <w:highlight w:val="none"/>
        </w:rPr>
        <w:t>15.1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w:instrText>
      </w:r>
      <w:bookmarkEnd w:id="512"/>
      <w:r>
        <w:rPr>
          <w:rFonts w:hint="eastAsia" w:ascii="仿宋" w:hAnsi="仿宋" w:eastAsia="仿宋" w:cs="仿宋"/>
          <w:color w:val="auto"/>
          <w:szCs w:val="16"/>
          <w:highlight w:val="none"/>
        </w:rPr>
        <w:instrText xml:space="preserve">F _Ref4534376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发包人违约</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_Ref3841087 \r \h  \* MERGEFORMAT </w:instrText>
      </w:r>
      <w:r>
        <w:rPr>
          <w:color w:val="auto"/>
          <w:highlight w:val="none"/>
        </w:rPr>
        <w:fldChar w:fldCharType="separate"/>
      </w:r>
      <w:r>
        <w:rPr>
          <w:rFonts w:hint="eastAsia" w:ascii="仿宋" w:hAnsi="仿宋" w:eastAsia="仿宋" w:cs="仿宋"/>
          <w:color w:val="auto"/>
          <w:sz w:val="24"/>
          <w:szCs w:val="24"/>
          <w:highlight w:val="none"/>
        </w:rPr>
        <w:t>15.1.1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_Ref3841087 \h  \* MERGEFORMAT </w:instrText>
      </w:r>
      <w:r>
        <w:rPr>
          <w:color w:val="auto"/>
          <w:highlight w:val="none"/>
        </w:rPr>
        <w:fldChar w:fldCharType="separate"/>
      </w:r>
      <w:r>
        <w:rPr>
          <w:rFonts w:hint="eastAsia" w:ascii="仿宋" w:hAnsi="仿宋" w:eastAsia="仿宋" w:cs="仿宋"/>
          <w:color w:val="auto"/>
          <w:sz w:val="24"/>
          <w:szCs w:val="24"/>
          <w:highlight w:val="none"/>
        </w:rPr>
        <w:t>发包人违约的情形</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发包人违约的其他情形</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_Ref3841132 \r \h  \* MERGEFORMAT </w:instrText>
      </w:r>
      <w:r>
        <w:rPr>
          <w:color w:val="auto"/>
          <w:highlight w:val="none"/>
        </w:rPr>
        <w:fldChar w:fldCharType="separate"/>
      </w:r>
      <w:r>
        <w:rPr>
          <w:rFonts w:hint="eastAsia" w:ascii="仿宋" w:hAnsi="仿宋" w:eastAsia="仿宋" w:cs="仿宋"/>
          <w:color w:val="auto"/>
          <w:sz w:val="24"/>
          <w:szCs w:val="24"/>
          <w:highlight w:val="none"/>
        </w:rPr>
        <w:t>15.1.3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_Ref3841132 \h  \* MERGEFORMAT </w:instrText>
      </w:r>
      <w:r>
        <w:rPr>
          <w:color w:val="auto"/>
          <w:highlight w:val="none"/>
        </w:rPr>
        <w:fldChar w:fldCharType="separate"/>
      </w:r>
      <w:r>
        <w:rPr>
          <w:rFonts w:hint="eastAsia" w:ascii="仿宋" w:hAnsi="仿宋" w:eastAsia="仿宋" w:cs="仿宋"/>
          <w:color w:val="auto"/>
          <w:sz w:val="24"/>
          <w:szCs w:val="24"/>
          <w:highlight w:val="none"/>
        </w:rPr>
        <w:t>发包人违约的责任</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发包人违约责任的承担方式和计算方法：</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_Ref11958660 \r \h  \* MERGEFORMAT </w:instrText>
      </w:r>
      <w:r>
        <w:rPr>
          <w:color w:val="auto"/>
          <w:highlight w:val="none"/>
        </w:rPr>
        <w:fldChar w:fldCharType="separate"/>
      </w:r>
      <w:bookmarkStart w:id="513" w:name="_Toc16945_WPSOffice_Level3"/>
      <w:r>
        <w:rPr>
          <w:rFonts w:hint="eastAsia" w:ascii="仿宋" w:hAnsi="仿宋" w:eastAsia="仿宋" w:cs="仿宋"/>
          <w:color w:val="auto"/>
          <w:sz w:val="24"/>
          <w:szCs w:val="24"/>
          <w:highlight w:val="none"/>
        </w:rPr>
        <w:t>15.2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w:instrText>
      </w:r>
      <w:bookmarkEnd w:id="513"/>
      <w:r>
        <w:rPr>
          <w:rFonts w:hint="eastAsia" w:ascii="仿宋" w:hAnsi="仿宋" w:eastAsia="仿宋" w:cs="仿宋"/>
          <w:color w:val="auto"/>
          <w:szCs w:val="16"/>
          <w:highlight w:val="none"/>
        </w:rPr>
        <w:instrText xml:space="preserve">F _Ref11958663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承包人违约</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_Ref3841153 \r \h  \* MERGEFORMAT </w:instrText>
      </w:r>
      <w:r>
        <w:rPr>
          <w:color w:val="auto"/>
          <w:highlight w:val="none"/>
        </w:rPr>
        <w:fldChar w:fldCharType="separate"/>
      </w:r>
      <w:r>
        <w:rPr>
          <w:rFonts w:hint="eastAsia" w:ascii="仿宋" w:hAnsi="仿宋" w:eastAsia="仿宋" w:cs="仿宋"/>
          <w:color w:val="auto"/>
          <w:sz w:val="24"/>
          <w:szCs w:val="24"/>
          <w:highlight w:val="none"/>
        </w:rPr>
        <w:t>15.2.1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_Ref3841153 \h  \* MERGEFORMAT </w:instrText>
      </w:r>
      <w:r>
        <w:rPr>
          <w:color w:val="auto"/>
          <w:highlight w:val="none"/>
        </w:rPr>
        <w:fldChar w:fldCharType="separate"/>
      </w:r>
      <w:r>
        <w:rPr>
          <w:rFonts w:hint="eastAsia" w:ascii="仿宋" w:hAnsi="仿宋" w:eastAsia="仿宋" w:cs="仿宋"/>
          <w:color w:val="auto"/>
          <w:sz w:val="24"/>
          <w:szCs w:val="24"/>
          <w:highlight w:val="none"/>
        </w:rPr>
        <w:t>承包人违约的情形</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承包人违约的其他情形</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_Ref531958512 \r \h  \* MERGEFORMAT </w:instrText>
      </w:r>
      <w:r>
        <w:rPr>
          <w:color w:val="auto"/>
          <w:highlight w:val="none"/>
        </w:rPr>
        <w:fldChar w:fldCharType="separate"/>
      </w:r>
      <w:r>
        <w:rPr>
          <w:rFonts w:hint="eastAsia" w:ascii="仿宋" w:hAnsi="仿宋" w:eastAsia="仿宋" w:cs="仿宋"/>
          <w:color w:val="auto"/>
          <w:sz w:val="24"/>
          <w:szCs w:val="24"/>
          <w:highlight w:val="none"/>
        </w:rPr>
        <w:t>15.2.2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_Ref531958512 \h  \* MERGEFORMAT </w:instrText>
      </w:r>
      <w:r>
        <w:rPr>
          <w:color w:val="auto"/>
          <w:highlight w:val="none"/>
        </w:rPr>
        <w:fldChar w:fldCharType="separate"/>
      </w:r>
      <w:r>
        <w:rPr>
          <w:rFonts w:hint="eastAsia" w:ascii="仿宋" w:hAnsi="仿宋" w:eastAsia="仿宋" w:cs="仿宋"/>
          <w:color w:val="auto"/>
          <w:sz w:val="24"/>
          <w:szCs w:val="24"/>
          <w:highlight w:val="none"/>
        </w:rPr>
        <w:t>通知改正</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发包人通知承包人纠正或采取补救措施的合理期限是：</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_Ref3841166 \r \h  \* MERGEFORMAT </w:instrText>
      </w:r>
      <w:r>
        <w:rPr>
          <w:color w:val="auto"/>
          <w:highlight w:val="none"/>
        </w:rPr>
        <w:fldChar w:fldCharType="separate"/>
      </w:r>
      <w:r>
        <w:rPr>
          <w:rFonts w:hint="eastAsia" w:ascii="仿宋" w:hAnsi="仿宋" w:eastAsia="仿宋" w:cs="仿宋"/>
          <w:color w:val="auto"/>
          <w:sz w:val="24"/>
          <w:szCs w:val="24"/>
          <w:highlight w:val="none"/>
        </w:rPr>
        <w:t>15.2.3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_Ref3841166 \h  \* MERGEFORMAT </w:instrText>
      </w:r>
      <w:r>
        <w:rPr>
          <w:color w:val="auto"/>
          <w:highlight w:val="none"/>
        </w:rPr>
        <w:fldChar w:fldCharType="separate"/>
      </w:r>
      <w:r>
        <w:rPr>
          <w:rFonts w:hint="eastAsia" w:ascii="仿宋" w:hAnsi="仿宋" w:eastAsia="仿宋" w:cs="仿宋"/>
          <w:color w:val="auto"/>
          <w:sz w:val="24"/>
          <w:szCs w:val="24"/>
          <w:highlight w:val="none"/>
        </w:rPr>
        <w:t>承包人违约的责任</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承包人违约责任的承担方式和计算方法：</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pStyle w:val="196"/>
        <w:spacing w:after="120"/>
        <w:ind w:right="-512" w:rightChars="-244"/>
        <w:rPr>
          <w:rFonts w:ascii="仿宋" w:hAnsi="仿宋" w:eastAsia="仿宋" w:cs="仿宋"/>
          <w:b w:val="0"/>
          <w:color w:val="auto"/>
          <w:sz w:val="24"/>
          <w:szCs w:val="18"/>
          <w:highlight w:val="none"/>
        </w:rPr>
      </w:pPr>
      <w:bookmarkStart w:id="514" w:name="_Toc11956"/>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REF _Ref4510572 \r \h  \* MERGEFORMAT </w:instrText>
      </w:r>
      <w:r>
        <w:rPr>
          <w:rFonts w:hint="eastAsia" w:ascii="仿宋" w:hAnsi="仿宋" w:eastAsia="仿宋" w:cs="仿宋"/>
          <w:color w:val="auto"/>
          <w:sz w:val="22"/>
          <w:szCs w:val="16"/>
          <w:highlight w:val="none"/>
        </w:rPr>
        <w:fldChar w:fldCharType="separate"/>
      </w:r>
      <w:bookmarkStart w:id="515" w:name="_Toc31738_WPSOffice_Level3"/>
      <w:bookmarkStart w:id="516" w:name="_Toc20171889"/>
      <w:r>
        <w:rPr>
          <w:rFonts w:hint="eastAsia" w:ascii="仿宋" w:hAnsi="仿宋" w:eastAsia="仿宋" w:cs="仿宋"/>
          <w:b w:val="0"/>
          <w:color w:val="auto"/>
          <w:sz w:val="24"/>
          <w:szCs w:val="18"/>
          <w:highlight w:val="none"/>
        </w:rPr>
        <w:t>第16条</w:t>
      </w:r>
      <w:r>
        <w:rPr>
          <w:rFonts w:hint="eastAsia" w:ascii="仿宋" w:hAnsi="仿宋" w:eastAsia="仿宋" w:cs="仿宋"/>
          <w:b w:val="0"/>
          <w:color w:val="auto"/>
          <w:sz w:val="24"/>
          <w:szCs w:val="18"/>
          <w:highlight w:val="none"/>
        </w:rPr>
        <w:fldChar w:fldCharType="end"/>
      </w:r>
      <w:r>
        <w:rPr>
          <w:rFonts w:hint="eastAsia" w:ascii="仿宋" w:hAnsi="仿宋" w:eastAsia="仿宋" w:cs="仿宋"/>
          <w:b w:val="0"/>
          <w:color w:val="auto"/>
          <w:sz w:val="24"/>
          <w:szCs w:val="18"/>
          <w:highlight w:val="none"/>
        </w:rPr>
        <w:t xml:space="preserve"> </w:t>
      </w:r>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w:instrText>
      </w:r>
      <w:bookmarkEnd w:id="515"/>
      <w:r>
        <w:rPr>
          <w:rFonts w:hint="eastAsia" w:ascii="仿宋" w:hAnsi="仿宋" w:eastAsia="仿宋" w:cs="仿宋"/>
          <w:color w:val="auto"/>
          <w:sz w:val="22"/>
          <w:szCs w:val="16"/>
          <w:highlight w:val="none"/>
        </w:rPr>
        <w:instrText xml:space="preserve">EF _Ref4510572 \h  \* MERGEFORMAT </w:instrText>
      </w:r>
      <w:r>
        <w:rPr>
          <w:rFonts w:hint="eastAsia" w:ascii="仿宋" w:hAnsi="仿宋" w:eastAsia="仿宋" w:cs="仿宋"/>
          <w:color w:val="auto"/>
          <w:sz w:val="22"/>
          <w:szCs w:val="16"/>
          <w:highlight w:val="none"/>
        </w:rPr>
        <w:fldChar w:fldCharType="separate"/>
      </w:r>
      <w:r>
        <w:rPr>
          <w:rFonts w:hint="eastAsia" w:ascii="仿宋" w:hAnsi="仿宋" w:eastAsia="仿宋" w:cs="仿宋"/>
          <w:b w:val="0"/>
          <w:color w:val="auto"/>
          <w:sz w:val="24"/>
          <w:szCs w:val="18"/>
          <w:highlight w:val="none"/>
        </w:rPr>
        <w:t>合同解除</w:t>
      </w:r>
      <w:bookmarkEnd w:id="516"/>
      <w:r>
        <w:rPr>
          <w:rFonts w:hint="eastAsia" w:ascii="仿宋" w:hAnsi="仿宋" w:eastAsia="仿宋" w:cs="仿宋"/>
          <w:b w:val="0"/>
          <w:color w:val="auto"/>
          <w:sz w:val="24"/>
          <w:szCs w:val="18"/>
          <w:highlight w:val="none"/>
        </w:rPr>
        <w:fldChar w:fldCharType="end"/>
      </w:r>
      <w:bookmarkEnd w:id="514"/>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_Ref531958499 \r \h  \* MERGEFORMAT </w:instrText>
      </w:r>
      <w:r>
        <w:rPr>
          <w:color w:val="auto"/>
          <w:highlight w:val="none"/>
        </w:rPr>
        <w:fldChar w:fldCharType="separate"/>
      </w:r>
      <w:bookmarkStart w:id="517" w:name="_Toc27663_WPSOffice_Level3"/>
      <w:r>
        <w:rPr>
          <w:rFonts w:hint="eastAsia" w:ascii="仿宋" w:hAnsi="仿宋" w:eastAsia="仿宋" w:cs="仿宋"/>
          <w:color w:val="auto"/>
          <w:sz w:val="24"/>
          <w:szCs w:val="24"/>
          <w:highlight w:val="none"/>
        </w:rPr>
        <w:t>16.1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_</w:instrText>
      </w:r>
      <w:bookmarkEnd w:id="517"/>
      <w:r>
        <w:rPr>
          <w:rFonts w:hint="eastAsia" w:ascii="仿宋" w:hAnsi="仿宋" w:eastAsia="仿宋" w:cs="仿宋"/>
          <w:color w:val="auto"/>
          <w:szCs w:val="16"/>
          <w:highlight w:val="none"/>
        </w:rPr>
        <w:instrText xml:space="preserve">Ref531958499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由发包人解除合同</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_Ref4535422 \r \h  \* MERGEFORMAT </w:instrText>
      </w:r>
      <w:r>
        <w:rPr>
          <w:color w:val="auto"/>
          <w:highlight w:val="none"/>
        </w:rPr>
        <w:fldChar w:fldCharType="separate"/>
      </w:r>
      <w:r>
        <w:rPr>
          <w:rFonts w:hint="eastAsia" w:ascii="仿宋" w:hAnsi="仿宋" w:eastAsia="仿宋" w:cs="仿宋"/>
          <w:color w:val="auto"/>
          <w:sz w:val="24"/>
          <w:szCs w:val="24"/>
          <w:highlight w:val="none"/>
        </w:rPr>
        <w:t>16.1.1</w:t>
      </w:r>
      <w:r>
        <w:rPr>
          <w:rFonts w:hint="eastAsia" w:ascii="仿宋" w:hAnsi="仿宋" w:eastAsia="仿宋" w:cs="仿宋"/>
          <w:color w:val="auto"/>
          <w:sz w:val="24"/>
          <w:szCs w:val="24"/>
          <w:highlight w:val="none"/>
        </w:rPr>
        <w:fldChar w:fldCharType="end"/>
      </w:r>
      <w:r>
        <w:rPr>
          <w:color w:val="auto"/>
          <w:highlight w:val="none"/>
        </w:rPr>
        <w:fldChar w:fldCharType="begin"/>
      </w:r>
      <w:r>
        <w:rPr>
          <w:color w:val="auto"/>
          <w:highlight w:val="none"/>
        </w:rPr>
        <w:instrText xml:space="preserve"> REF _Ref4535422 \h  \* MERGEFORMAT </w:instrText>
      </w:r>
      <w:r>
        <w:rPr>
          <w:color w:val="auto"/>
          <w:highlight w:val="none"/>
        </w:rPr>
        <w:fldChar w:fldCharType="separate"/>
      </w:r>
      <w:r>
        <w:rPr>
          <w:rFonts w:hint="eastAsia" w:ascii="仿宋" w:hAnsi="仿宋" w:eastAsia="仿宋" w:cs="仿宋"/>
          <w:color w:val="auto"/>
          <w:sz w:val="24"/>
          <w:szCs w:val="24"/>
          <w:highlight w:val="none"/>
        </w:rPr>
        <w:t>因承包人违约解除合同</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双方约定可由发包人解除合同的其他事由：</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_Ref531958549 \r \h  \* MERGEFORMAT </w:instrText>
      </w:r>
      <w:r>
        <w:rPr>
          <w:color w:val="auto"/>
          <w:highlight w:val="none"/>
        </w:rPr>
        <w:fldChar w:fldCharType="separate"/>
      </w:r>
      <w:bookmarkStart w:id="518" w:name="_Toc2869_WPSOffice_Level3"/>
      <w:r>
        <w:rPr>
          <w:rFonts w:hint="eastAsia" w:ascii="仿宋" w:hAnsi="仿宋" w:eastAsia="仿宋" w:cs="仿宋"/>
          <w:color w:val="auto"/>
          <w:sz w:val="24"/>
          <w:szCs w:val="24"/>
          <w:highlight w:val="none"/>
        </w:rPr>
        <w:t>16.2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_</w:instrText>
      </w:r>
      <w:bookmarkEnd w:id="518"/>
      <w:r>
        <w:rPr>
          <w:rFonts w:hint="eastAsia" w:ascii="仿宋" w:hAnsi="仿宋" w:eastAsia="仿宋" w:cs="仿宋"/>
          <w:color w:val="auto"/>
          <w:szCs w:val="16"/>
          <w:highlight w:val="none"/>
        </w:rPr>
        <w:instrText xml:space="preserve">Ref531958554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由承包人解除合同</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_Ref3841758 \r \h  \* MERGEFORMAT </w:instrText>
      </w:r>
      <w:r>
        <w:rPr>
          <w:color w:val="auto"/>
          <w:highlight w:val="none"/>
        </w:rPr>
        <w:fldChar w:fldCharType="separate"/>
      </w:r>
      <w:r>
        <w:rPr>
          <w:rFonts w:hint="eastAsia" w:ascii="仿宋" w:hAnsi="仿宋" w:eastAsia="仿宋" w:cs="仿宋"/>
          <w:color w:val="auto"/>
          <w:sz w:val="24"/>
          <w:szCs w:val="24"/>
          <w:highlight w:val="none"/>
        </w:rPr>
        <w:t>16.2.1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_Ref3841758 \h  \* MERGEFORMAT </w:instrText>
      </w:r>
      <w:r>
        <w:rPr>
          <w:color w:val="auto"/>
          <w:highlight w:val="none"/>
        </w:rPr>
        <w:fldChar w:fldCharType="separate"/>
      </w:r>
      <w:r>
        <w:rPr>
          <w:rFonts w:hint="eastAsia" w:ascii="仿宋" w:hAnsi="仿宋" w:eastAsia="仿宋" w:cs="仿宋"/>
          <w:color w:val="auto"/>
          <w:sz w:val="24"/>
          <w:szCs w:val="24"/>
          <w:highlight w:val="none"/>
        </w:rPr>
        <w:t>因发包人违约解除合同</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双方约定可由承包人解除合同的其他事由：</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pStyle w:val="196"/>
        <w:spacing w:after="120"/>
        <w:ind w:right="-512" w:rightChars="-244"/>
        <w:rPr>
          <w:rFonts w:ascii="仿宋" w:hAnsi="仿宋" w:eastAsia="仿宋" w:cs="仿宋"/>
          <w:b w:val="0"/>
          <w:color w:val="auto"/>
          <w:sz w:val="24"/>
          <w:szCs w:val="18"/>
          <w:highlight w:val="none"/>
        </w:rPr>
      </w:pPr>
      <w:bookmarkStart w:id="519" w:name="_Toc24026"/>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REF _Ref3840974 \r \h  \* MERGEFORMAT </w:instrText>
      </w:r>
      <w:r>
        <w:rPr>
          <w:rFonts w:hint="eastAsia" w:ascii="仿宋" w:hAnsi="仿宋" w:eastAsia="仿宋" w:cs="仿宋"/>
          <w:color w:val="auto"/>
          <w:sz w:val="22"/>
          <w:szCs w:val="16"/>
          <w:highlight w:val="none"/>
        </w:rPr>
        <w:fldChar w:fldCharType="separate"/>
      </w:r>
      <w:bookmarkStart w:id="520" w:name="_Toc18563_WPSOffice_Level3"/>
      <w:bookmarkStart w:id="521" w:name="_Toc20171890"/>
      <w:r>
        <w:rPr>
          <w:rFonts w:hint="eastAsia" w:ascii="仿宋" w:hAnsi="仿宋" w:eastAsia="仿宋" w:cs="仿宋"/>
          <w:b w:val="0"/>
          <w:color w:val="auto"/>
          <w:sz w:val="24"/>
          <w:szCs w:val="18"/>
          <w:highlight w:val="none"/>
        </w:rPr>
        <w:t>第17条</w:t>
      </w:r>
      <w:r>
        <w:rPr>
          <w:rFonts w:hint="eastAsia" w:ascii="仿宋" w:hAnsi="仿宋" w:eastAsia="仿宋" w:cs="仿宋"/>
          <w:b w:val="0"/>
          <w:color w:val="auto"/>
          <w:sz w:val="24"/>
          <w:szCs w:val="18"/>
          <w:highlight w:val="none"/>
        </w:rPr>
        <w:fldChar w:fldCharType="end"/>
      </w:r>
      <w:r>
        <w:rPr>
          <w:rFonts w:hint="eastAsia" w:ascii="仿宋" w:hAnsi="仿宋" w:eastAsia="仿宋" w:cs="仿宋"/>
          <w:b w:val="0"/>
          <w:color w:val="auto"/>
          <w:sz w:val="24"/>
          <w:szCs w:val="18"/>
          <w:highlight w:val="none"/>
        </w:rPr>
        <w:t xml:space="preserve"> </w:t>
      </w:r>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w:instrText>
      </w:r>
      <w:bookmarkEnd w:id="520"/>
      <w:r>
        <w:rPr>
          <w:rFonts w:hint="eastAsia" w:ascii="仿宋" w:hAnsi="仿宋" w:eastAsia="仿宋" w:cs="仿宋"/>
          <w:color w:val="auto"/>
          <w:sz w:val="22"/>
          <w:szCs w:val="16"/>
          <w:highlight w:val="none"/>
        </w:rPr>
        <w:instrText xml:space="preserve">EF _Ref3840974 \h  \* MERGEFORMAT </w:instrText>
      </w:r>
      <w:r>
        <w:rPr>
          <w:rFonts w:hint="eastAsia" w:ascii="仿宋" w:hAnsi="仿宋" w:eastAsia="仿宋" w:cs="仿宋"/>
          <w:color w:val="auto"/>
          <w:sz w:val="22"/>
          <w:szCs w:val="16"/>
          <w:highlight w:val="none"/>
        </w:rPr>
        <w:fldChar w:fldCharType="separate"/>
      </w:r>
      <w:r>
        <w:rPr>
          <w:rFonts w:hint="eastAsia" w:ascii="仿宋" w:hAnsi="仿宋" w:eastAsia="仿宋" w:cs="仿宋"/>
          <w:b w:val="0"/>
          <w:color w:val="auto"/>
          <w:sz w:val="24"/>
          <w:szCs w:val="18"/>
          <w:highlight w:val="none"/>
        </w:rPr>
        <w:t>不可抗力</w:t>
      </w:r>
      <w:bookmarkEnd w:id="521"/>
      <w:r>
        <w:rPr>
          <w:rFonts w:hint="eastAsia" w:ascii="仿宋" w:hAnsi="仿宋" w:eastAsia="仿宋" w:cs="仿宋"/>
          <w:b w:val="0"/>
          <w:color w:val="auto"/>
          <w:sz w:val="24"/>
          <w:szCs w:val="18"/>
          <w:highlight w:val="none"/>
        </w:rPr>
        <w:fldChar w:fldCharType="end"/>
      </w:r>
      <w:bookmarkEnd w:id="519"/>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_Ref531958158 \r \h  \* MERGEFORMAT </w:instrText>
      </w:r>
      <w:r>
        <w:rPr>
          <w:color w:val="auto"/>
          <w:highlight w:val="none"/>
        </w:rPr>
        <w:fldChar w:fldCharType="separate"/>
      </w:r>
      <w:bookmarkStart w:id="522" w:name="_Toc17801_WPSOffice_Level3"/>
      <w:r>
        <w:rPr>
          <w:rFonts w:hint="eastAsia" w:ascii="仿宋" w:hAnsi="仿宋" w:eastAsia="仿宋" w:cs="仿宋"/>
          <w:color w:val="auto"/>
          <w:sz w:val="24"/>
          <w:szCs w:val="24"/>
          <w:highlight w:val="none"/>
        </w:rPr>
        <w:t>17.1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w:instrText>
      </w:r>
      <w:bookmarkEnd w:id="522"/>
      <w:r>
        <w:rPr>
          <w:rFonts w:hint="eastAsia" w:ascii="仿宋" w:hAnsi="仿宋" w:eastAsia="仿宋" w:cs="仿宋"/>
          <w:color w:val="auto"/>
          <w:szCs w:val="16"/>
          <w:highlight w:val="none"/>
        </w:rPr>
        <w:instrText xml:space="preserve">F _Ref531958161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不可抗力的</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除通用合同条件约定的不可抗力事件之外，视为不可抗力的其他情形：</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_Ref531958181 \r \h  \* MERGEFORMAT </w:instrText>
      </w:r>
      <w:r>
        <w:rPr>
          <w:color w:val="auto"/>
          <w:highlight w:val="none"/>
        </w:rPr>
        <w:fldChar w:fldCharType="separate"/>
      </w:r>
      <w:bookmarkStart w:id="523" w:name="_Toc24595_WPSOffice_Level3"/>
      <w:r>
        <w:rPr>
          <w:rFonts w:hint="eastAsia" w:ascii="仿宋" w:hAnsi="仿宋" w:eastAsia="仿宋" w:cs="仿宋"/>
          <w:color w:val="auto"/>
          <w:sz w:val="24"/>
          <w:szCs w:val="24"/>
          <w:highlight w:val="none"/>
        </w:rPr>
        <w:t>17.6</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_R</w:instrText>
      </w:r>
      <w:bookmarkEnd w:id="523"/>
      <w:r>
        <w:rPr>
          <w:rFonts w:hint="eastAsia" w:ascii="仿宋" w:hAnsi="仿宋" w:eastAsia="仿宋" w:cs="仿宋"/>
          <w:color w:val="auto"/>
          <w:szCs w:val="16"/>
          <w:highlight w:val="none"/>
        </w:rPr>
        <w:instrText xml:space="preserve">ef3840892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因不可抗力解除合同</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合同解除后，发包人应在商定或确定发包人应支付款项后_____天内完成款项的支付。</w:t>
      </w:r>
    </w:p>
    <w:p>
      <w:pPr>
        <w:pStyle w:val="196"/>
        <w:spacing w:after="120"/>
        <w:ind w:right="-512" w:rightChars="-244"/>
        <w:rPr>
          <w:rFonts w:ascii="仿宋" w:hAnsi="仿宋" w:eastAsia="仿宋" w:cs="仿宋"/>
          <w:b w:val="0"/>
          <w:color w:val="auto"/>
          <w:sz w:val="24"/>
          <w:szCs w:val="18"/>
          <w:highlight w:val="none"/>
        </w:rPr>
      </w:pPr>
      <w:bookmarkStart w:id="524" w:name="_Toc4784276"/>
      <w:bookmarkEnd w:id="524"/>
      <w:bookmarkStart w:id="525" w:name="_Toc4784277"/>
      <w:bookmarkEnd w:id="525"/>
      <w:bookmarkStart w:id="526" w:name="_Toc32055"/>
      <w:r>
        <w:rPr>
          <w:rFonts w:hint="eastAsia" w:ascii="仿宋" w:hAnsi="仿宋" w:eastAsia="仿宋" w:cs="仿宋"/>
          <w:b w:val="0"/>
          <w:color w:val="auto"/>
          <w:sz w:val="24"/>
          <w:szCs w:val="18"/>
          <w:highlight w:val="none"/>
        </w:rPr>
        <w:fldChar w:fldCharType="begin"/>
      </w:r>
      <w:r>
        <w:rPr>
          <w:rFonts w:hint="eastAsia" w:ascii="仿宋" w:hAnsi="仿宋" w:eastAsia="仿宋" w:cs="仿宋"/>
          <w:b w:val="0"/>
          <w:color w:val="auto"/>
          <w:sz w:val="24"/>
          <w:szCs w:val="18"/>
          <w:highlight w:val="none"/>
        </w:rPr>
        <w:instrText xml:space="preserve"> REF _Ref11848264 \r \h  \* MERGEFORMAT </w:instrText>
      </w:r>
      <w:r>
        <w:rPr>
          <w:rFonts w:hint="eastAsia" w:ascii="仿宋" w:hAnsi="仿宋" w:eastAsia="仿宋" w:cs="仿宋"/>
          <w:b w:val="0"/>
          <w:color w:val="auto"/>
          <w:sz w:val="24"/>
          <w:szCs w:val="18"/>
          <w:highlight w:val="none"/>
        </w:rPr>
        <w:fldChar w:fldCharType="separate"/>
      </w:r>
      <w:bookmarkStart w:id="527" w:name="_Toc2642_WPSOffice_Level3"/>
      <w:bookmarkStart w:id="528" w:name="_Toc20171891"/>
      <w:r>
        <w:rPr>
          <w:rFonts w:hint="eastAsia" w:ascii="仿宋" w:hAnsi="仿宋" w:eastAsia="仿宋" w:cs="仿宋"/>
          <w:b w:val="0"/>
          <w:color w:val="auto"/>
          <w:sz w:val="24"/>
          <w:szCs w:val="18"/>
          <w:highlight w:val="none"/>
        </w:rPr>
        <w:t>第18条</w:t>
      </w:r>
      <w:r>
        <w:rPr>
          <w:rFonts w:hint="eastAsia" w:ascii="仿宋" w:hAnsi="仿宋" w:eastAsia="仿宋" w:cs="仿宋"/>
          <w:b w:val="0"/>
          <w:color w:val="auto"/>
          <w:sz w:val="24"/>
          <w:szCs w:val="18"/>
          <w:highlight w:val="none"/>
        </w:rPr>
        <w:fldChar w:fldCharType="end"/>
      </w:r>
      <w:r>
        <w:rPr>
          <w:rFonts w:hint="eastAsia" w:ascii="仿宋" w:hAnsi="仿宋" w:eastAsia="仿宋" w:cs="仿宋"/>
          <w:b w:val="0"/>
          <w:color w:val="auto"/>
          <w:sz w:val="24"/>
          <w:szCs w:val="18"/>
          <w:highlight w:val="none"/>
        </w:rPr>
        <w:t xml:space="preserve"> </w:t>
      </w:r>
      <w:r>
        <w:rPr>
          <w:rFonts w:hint="eastAsia" w:ascii="仿宋" w:hAnsi="仿宋" w:eastAsia="仿宋" w:cs="仿宋"/>
          <w:color w:val="auto"/>
          <w:sz w:val="22"/>
          <w:szCs w:val="16"/>
          <w:highlight w:val="none"/>
        </w:rPr>
        <w:fldChar w:fldCharType="begin"/>
      </w:r>
      <w:bookmarkEnd w:id="527"/>
      <w:r>
        <w:rPr>
          <w:rFonts w:hint="eastAsia" w:ascii="仿宋" w:hAnsi="仿宋" w:eastAsia="仿宋" w:cs="仿宋"/>
          <w:color w:val="auto"/>
          <w:sz w:val="22"/>
          <w:szCs w:val="16"/>
          <w:highlight w:val="none"/>
        </w:rPr>
        <w:instrText xml:space="preserve"> REF _Ref11848274 \h  \* MERGEFORMAT </w:instrText>
      </w:r>
      <w:r>
        <w:rPr>
          <w:rFonts w:hint="eastAsia" w:ascii="仿宋" w:hAnsi="仿宋" w:eastAsia="仿宋" w:cs="仿宋"/>
          <w:color w:val="auto"/>
          <w:sz w:val="22"/>
          <w:szCs w:val="16"/>
          <w:highlight w:val="none"/>
        </w:rPr>
        <w:fldChar w:fldCharType="separate"/>
      </w:r>
      <w:r>
        <w:rPr>
          <w:rFonts w:hint="eastAsia" w:ascii="仿宋" w:hAnsi="仿宋" w:eastAsia="仿宋" w:cs="仿宋"/>
          <w:b w:val="0"/>
          <w:color w:val="auto"/>
          <w:sz w:val="24"/>
          <w:szCs w:val="18"/>
          <w:highlight w:val="none"/>
        </w:rPr>
        <w:t>保险</w:t>
      </w:r>
      <w:bookmarkEnd w:id="528"/>
      <w:r>
        <w:rPr>
          <w:rFonts w:hint="eastAsia" w:ascii="仿宋" w:hAnsi="仿宋" w:eastAsia="仿宋" w:cs="仿宋"/>
          <w:b w:val="0"/>
          <w:color w:val="auto"/>
          <w:sz w:val="24"/>
          <w:szCs w:val="18"/>
          <w:highlight w:val="none"/>
        </w:rPr>
        <w:fldChar w:fldCharType="end"/>
      </w:r>
      <w:bookmarkEnd w:id="526"/>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_Ref3840730 \r \h  \* MERGEFORMAT </w:instrText>
      </w:r>
      <w:r>
        <w:rPr>
          <w:color w:val="auto"/>
          <w:highlight w:val="none"/>
        </w:rPr>
        <w:fldChar w:fldCharType="separate"/>
      </w:r>
      <w:bookmarkStart w:id="529" w:name="_Toc20978_WPSOffice_Level3"/>
      <w:r>
        <w:rPr>
          <w:rFonts w:hint="eastAsia" w:ascii="仿宋" w:hAnsi="仿宋" w:eastAsia="仿宋" w:cs="仿宋"/>
          <w:color w:val="auto"/>
          <w:sz w:val="24"/>
          <w:szCs w:val="24"/>
          <w:highlight w:val="none"/>
        </w:rPr>
        <w:t>18.1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w:instrText>
      </w:r>
      <w:bookmarkEnd w:id="529"/>
      <w:r>
        <w:rPr>
          <w:rFonts w:hint="eastAsia" w:ascii="仿宋" w:hAnsi="仿宋" w:eastAsia="仿宋" w:cs="仿宋"/>
          <w:color w:val="auto"/>
          <w:szCs w:val="16"/>
          <w:highlight w:val="none"/>
        </w:rPr>
        <w:instrText xml:space="preserve">_Ref3840734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设计和工程保险</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双方当事人关于设计和工程保险的特别约定：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双方当事人关于第三方责任险的特别约定：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_Ref3840683 \r \h  \* MERGEFORMAT </w:instrText>
      </w:r>
      <w:r>
        <w:rPr>
          <w:color w:val="auto"/>
          <w:highlight w:val="none"/>
        </w:rPr>
        <w:fldChar w:fldCharType="separate"/>
      </w:r>
      <w:bookmarkStart w:id="530" w:name="_Toc19503_WPSOffice_Level3"/>
      <w:r>
        <w:rPr>
          <w:rFonts w:hint="eastAsia" w:ascii="仿宋" w:hAnsi="仿宋" w:eastAsia="仿宋" w:cs="仿宋"/>
          <w:color w:val="auto"/>
          <w:sz w:val="24"/>
          <w:szCs w:val="24"/>
          <w:highlight w:val="none"/>
        </w:rPr>
        <w:t>18.2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_R</w:instrText>
      </w:r>
      <w:bookmarkEnd w:id="530"/>
      <w:r>
        <w:rPr>
          <w:rFonts w:hint="eastAsia" w:ascii="仿宋" w:hAnsi="仿宋" w:eastAsia="仿宋" w:cs="仿宋"/>
          <w:color w:val="auto"/>
          <w:szCs w:val="16"/>
          <w:highlight w:val="none"/>
        </w:rPr>
        <w:instrText xml:space="preserve">ef3840683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工伤和意外伤害保险</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关于工伤保险和意外伤害保险的特别约定：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_Ref3840782 \r \h  \* MERGEFORMAT </w:instrText>
      </w:r>
      <w:r>
        <w:rPr>
          <w:color w:val="auto"/>
          <w:highlight w:val="none"/>
        </w:rPr>
        <w:fldChar w:fldCharType="separate"/>
      </w:r>
      <w:bookmarkStart w:id="531" w:name="_Toc15756_WPSOffice_Level3"/>
      <w:r>
        <w:rPr>
          <w:rFonts w:hint="eastAsia" w:ascii="仿宋" w:hAnsi="仿宋" w:eastAsia="仿宋" w:cs="仿宋"/>
          <w:color w:val="auto"/>
          <w:sz w:val="24"/>
          <w:szCs w:val="24"/>
          <w:highlight w:val="none"/>
        </w:rPr>
        <w:t>18.3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531"/>
      <w:r>
        <w:rPr>
          <w:rFonts w:hint="eastAsia" w:ascii="仿宋" w:hAnsi="仿宋" w:eastAsia="仿宋" w:cs="仿宋"/>
          <w:color w:val="auto"/>
          <w:szCs w:val="16"/>
          <w:highlight w:val="none"/>
        </w:rPr>
        <w:instrText xml:space="preserve">EF _Ref3840782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货物保险</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关于承包人应为其施工设备、材料、工程设备和临时工程等办理财产保险的特别约定：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_Ref4692231 \w \h  \* MERGEFORMAT </w:instrText>
      </w:r>
      <w:r>
        <w:rPr>
          <w:color w:val="auto"/>
          <w:highlight w:val="none"/>
        </w:rPr>
        <w:fldChar w:fldCharType="separate"/>
      </w:r>
      <w:bookmarkStart w:id="532" w:name="_Toc3814_WPSOffice_Level3"/>
      <w:r>
        <w:rPr>
          <w:rFonts w:hint="eastAsia" w:ascii="仿宋" w:hAnsi="仿宋" w:eastAsia="仿宋" w:cs="仿宋"/>
          <w:color w:val="auto"/>
          <w:sz w:val="24"/>
          <w:szCs w:val="24"/>
          <w:highlight w:val="none"/>
        </w:rPr>
        <w:t>18.4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532"/>
      <w:r>
        <w:rPr>
          <w:rFonts w:hint="eastAsia" w:ascii="仿宋" w:hAnsi="仿宋" w:eastAsia="仿宋" w:cs="仿宋"/>
          <w:color w:val="auto"/>
          <w:szCs w:val="16"/>
          <w:highlight w:val="none"/>
        </w:rPr>
        <w:instrText xml:space="preserve">EF _Ref4692238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其他保险</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关于其他保险的约定：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_Ref3840659 \r \h  \* MERGEFORMAT </w:instrText>
      </w:r>
      <w:r>
        <w:rPr>
          <w:color w:val="auto"/>
          <w:highlight w:val="none"/>
        </w:rPr>
        <w:fldChar w:fldCharType="separate"/>
      </w:r>
      <w:bookmarkStart w:id="533" w:name="_Toc6522_WPSOffice_Level3"/>
      <w:r>
        <w:rPr>
          <w:rFonts w:hint="eastAsia" w:ascii="仿宋" w:hAnsi="仿宋" w:eastAsia="仿宋" w:cs="仿宋"/>
          <w:color w:val="auto"/>
          <w:sz w:val="24"/>
          <w:szCs w:val="24"/>
          <w:highlight w:val="none"/>
        </w:rPr>
        <w:t>18.5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REF _Re</w:instrText>
      </w:r>
      <w:bookmarkEnd w:id="533"/>
      <w:r>
        <w:rPr>
          <w:rFonts w:hint="eastAsia" w:ascii="仿宋" w:hAnsi="仿宋" w:eastAsia="仿宋" w:cs="仿宋"/>
          <w:color w:val="auto"/>
          <w:szCs w:val="16"/>
          <w:highlight w:val="none"/>
        </w:rPr>
        <w:instrText xml:space="preserve">f3840659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对各项保险的一般要求</w:t>
      </w:r>
      <w:r>
        <w:rPr>
          <w:rFonts w:hint="eastAsia" w:ascii="仿宋" w:hAnsi="仿宋" w:eastAsia="仿宋" w:cs="仿宋"/>
          <w:color w:val="auto"/>
          <w:sz w:val="24"/>
          <w:szCs w:val="24"/>
          <w:highlight w:val="none"/>
        </w:rPr>
        <w:fldChar w:fldCharType="end"/>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_Ref4777650 \r \h  \* MERGEFORMAT </w:instrText>
      </w:r>
      <w:r>
        <w:rPr>
          <w:color w:val="auto"/>
          <w:highlight w:val="none"/>
        </w:rPr>
        <w:fldChar w:fldCharType="separate"/>
      </w:r>
      <w:r>
        <w:rPr>
          <w:rFonts w:hint="eastAsia" w:ascii="仿宋" w:hAnsi="仿宋" w:eastAsia="仿宋" w:cs="仿宋"/>
          <w:color w:val="auto"/>
          <w:sz w:val="24"/>
          <w:szCs w:val="24"/>
          <w:highlight w:val="none"/>
        </w:rPr>
        <w:t>18.5.2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_Ref4777650 \h  \* MERGEFORMAT </w:instrText>
      </w:r>
      <w:r>
        <w:rPr>
          <w:color w:val="auto"/>
          <w:highlight w:val="none"/>
        </w:rPr>
        <w:fldChar w:fldCharType="separate"/>
      </w:r>
      <w:r>
        <w:rPr>
          <w:rFonts w:hint="eastAsia" w:ascii="仿宋" w:hAnsi="仿宋" w:eastAsia="仿宋" w:cs="仿宋"/>
          <w:color w:val="auto"/>
          <w:sz w:val="24"/>
          <w:szCs w:val="24"/>
          <w:highlight w:val="none"/>
        </w:rPr>
        <w:t>保险凭证</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保险单的条件：</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_Ref4692685 \w \h  \* MERGEFORMAT </w:instrText>
      </w:r>
      <w:r>
        <w:rPr>
          <w:color w:val="auto"/>
          <w:highlight w:val="none"/>
        </w:rPr>
        <w:fldChar w:fldCharType="separate"/>
      </w:r>
      <w:r>
        <w:rPr>
          <w:rFonts w:hint="eastAsia" w:ascii="仿宋" w:hAnsi="仿宋" w:eastAsia="仿宋" w:cs="仿宋"/>
          <w:color w:val="auto"/>
          <w:sz w:val="24"/>
          <w:szCs w:val="24"/>
          <w:highlight w:val="none"/>
        </w:rPr>
        <w:t>18.5.4</w:t>
      </w:r>
      <w:r>
        <w:rPr>
          <w:rFonts w:hint="eastAsia" w:ascii="仿宋" w:hAnsi="仿宋" w:eastAsia="仿宋" w:cs="仿宋"/>
          <w:color w:val="auto"/>
          <w:sz w:val="24"/>
          <w:szCs w:val="24"/>
          <w:highlight w:val="none"/>
        </w:rPr>
        <w:fldChar w:fldCharType="end"/>
      </w:r>
      <w:r>
        <w:rPr>
          <w:color w:val="auto"/>
          <w:highlight w:val="none"/>
        </w:rPr>
        <w:fldChar w:fldCharType="begin"/>
      </w:r>
      <w:r>
        <w:rPr>
          <w:color w:val="auto"/>
          <w:highlight w:val="none"/>
        </w:rPr>
        <w:instrText xml:space="preserve"> REF _Ref4692685 \h  \* MERGEFORMAT </w:instrText>
      </w:r>
      <w:r>
        <w:rPr>
          <w:color w:val="auto"/>
          <w:highlight w:val="none"/>
        </w:rPr>
        <w:fldChar w:fldCharType="separate"/>
      </w:r>
      <w:r>
        <w:rPr>
          <w:rFonts w:hint="eastAsia" w:ascii="仿宋" w:hAnsi="仿宋" w:eastAsia="仿宋" w:cs="仿宋"/>
          <w:color w:val="auto"/>
          <w:sz w:val="24"/>
          <w:szCs w:val="24"/>
          <w:highlight w:val="none"/>
        </w:rPr>
        <w:t>通知义务</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关于变更保险合同同事的通知义务的约定：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pStyle w:val="196"/>
        <w:spacing w:after="120"/>
        <w:ind w:right="-512" w:rightChars="-244"/>
        <w:rPr>
          <w:rFonts w:ascii="仿宋" w:hAnsi="仿宋" w:eastAsia="仿宋" w:cs="仿宋"/>
          <w:b w:val="0"/>
          <w:color w:val="auto"/>
          <w:sz w:val="24"/>
          <w:szCs w:val="18"/>
          <w:highlight w:val="none"/>
        </w:rPr>
      </w:pPr>
      <w:bookmarkStart w:id="534" w:name="_Toc11357"/>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REF _Ref532142075 \r \h  \* MERGEFORMAT </w:instrText>
      </w:r>
      <w:r>
        <w:rPr>
          <w:rFonts w:hint="eastAsia" w:ascii="仿宋" w:hAnsi="仿宋" w:eastAsia="仿宋" w:cs="仿宋"/>
          <w:color w:val="auto"/>
          <w:sz w:val="22"/>
          <w:szCs w:val="16"/>
          <w:highlight w:val="none"/>
        </w:rPr>
        <w:fldChar w:fldCharType="separate"/>
      </w:r>
      <w:bookmarkStart w:id="535" w:name="_Toc28933_WPSOffice_Level3"/>
      <w:bookmarkStart w:id="536" w:name="_Toc20171892"/>
      <w:r>
        <w:rPr>
          <w:rFonts w:hint="eastAsia" w:ascii="仿宋" w:hAnsi="仿宋" w:eastAsia="仿宋" w:cs="仿宋"/>
          <w:b w:val="0"/>
          <w:color w:val="auto"/>
          <w:sz w:val="24"/>
          <w:szCs w:val="18"/>
          <w:highlight w:val="none"/>
        </w:rPr>
        <w:t>第20条</w:t>
      </w:r>
      <w:r>
        <w:rPr>
          <w:rFonts w:hint="eastAsia" w:ascii="仿宋" w:hAnsi="仿宋" w:eastAsia="仿宋" w:cs="仿宋"/>
          <w:b w:val="0"/>
          <w:color w:val="auto"/>
          <w:sz w:val="24"/>
          <w:szCs w:val="18"/>
          <w:highlight w:val="none"/>
        </w:rPr>
        <w:fldChar w:fldCharType="end"/>
      </w:r>
      <w:r>
        <w:rPr>
          <w:rFonts w:hint="eastAsia" w:ascii="仿宋" w:hAnsi="仿宋" w:eastAsia="仿宋" w:cs="仿宋"/>
          <w:b w:val="0"/>
          <w:color w:val="auto"/>
          <w:sz w:val="24"/>
          <w:szCs w:val="18"/>
          <w:highlight w:val="none"/>
        </w:rPr>
        <w:t xml:space="preserve"> </w:t>
      </w:r>
      <w:r>
        <w:rPr>
          <w:rFonts w:hint="eastAsia" w:ascii="仿宋" w:hAnsi="仿宋" w:eastAsia="仿宋" w:cs="仿宋"/>
          <w:color w:val="auto"/>
          <w:sz w:val="22"/>
          <w:szCs w:val="16"/>
          <w:highlight w:val="none"/>
        </w:rPr>
        <w:fldChar w:fldCharType="begin"/>
      </w:r>
      <w:r>
        <w:rPr>
          <w:rFonts w:hint="eastAsia" w:ascii="仿宋" w:hAnsi="仿宋" w:eastAsia="仿宋" w:cs="仿宋"/>
          <w:color w:val="auto"/>
          <w:sz w:val="22"/>
          <w:szCs w:val="16"/>
          <w:highlight w:val="none"/>
        </w:rPr>
        <w:instrText xml:space="preserve"> R</w:instrText>
      </w:r>
      <w:bookmarkEnd w:id="535"/>
      <w:r>
        <w:rPr>
          <w:rFonts w:hint="eastAsia" w:ascii="仿宋" w:hAnsi="仿宋" w:eastAsia="仿宋" w:cs="仿宋"/>
          <w:color w:val="auto"/>
          <w:sz w:val="22"/>
          <w:szCs w:val="16"/>
          <w:highlight w:val="none"/>
        </w:rPr>
        <w:instrText xml:space="preserve">EF _Ref532142075 \h  \* MERGEFORMAT </w:instrText>
      </w:r>
      <w:r>
        <w:rPr>
          <w:rFonts w:hint="eastAsia" w:ascii="仿宋" w:hAnsi="仿宋" w:eastAsia="仿宋" w:cs="仿宋"/>
          <w:color w:val="auto"/>
          <w:sz w:val="22"/>
          <w:szCs w:val="16"/>
          <w:highlight w:val="none"/>
        </w:rPr>
        <w:fldChar w:fldCharType="separate"/>
      </w:r>
      <w:r>
        <w:rPr>
          <w:rFonts w:hint="eastAsia" w:ascii="仿宋" w:hAnsi="仿宋" w:eastAsia="仿宋" w:cs="仿宋"/>
          <w:b w:val="0"/>
          <w:color w:val="auto"/>
          <w:sz w:val="24"/>
          <w:szCs w:val="18"/>
          <w:highlight w:val="none"/>
        </w:rPr>
        <w:t>争议解决</w:t>
      </w:r>
      <w:bookmarkEnd w:id="536"/>
      <w:r>
        <w:rPr>
          <w:rFonts w:hint="eastAsia" w:ascii="仿宋" w:hAnsi="仿宋" w:eastAsia="仿宋" w:cs="仿宋"/>
          <w:b w:val="0"/>
          <w:color w:val="auto"/>
          <w:sz w:val="24"/>
          <w:szCs w:val="18"/>
          <w:highlight w:val="none"/>
        </w:rPr>
        <w:fldChar w:fldCharType="end"/>
      </w:r>
      <w:bookmarkEnd w:id="534"/>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_Ref532221527 \r \h  \* MERGEFORMAT </w:instrText>
      </w:r>
      <w:r>
        <w:rPr>
          <w:color w:val="auto"/>
          <w:highlight w:val="none"/>
        </w:rPr>
        <w:fldChar w:fldCharType="separate"/>
      </w:r>
      <w:bookmarkStart w:id="537" w:name="_Toc27392_WPSOffice_Level3"/>
      <w:r>
        <w:rPr>
          <w:rFonts w:hint="eastAsia" w:ascii="仿宋" w:hAnsi="仿宋" w:eastAsia="仿宋" w:cs="仿宋"/>
          <w:color w:val="auto"/>
          <w:sz w:val="24"/>
          <w:szCs w:val="24"/>
          <w:highlight w:val="none"/>
        </w:rPr>
        <w:t>20.3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w:instrText>
      </w:r>
      <w:bookmarkEnd w:id="537"/>
      <w:r>
        <w:rPr>
          <w:rFonts w:hint="eastAsia" w:ascii="仿宋" w:hAnsi="仿宋" w:eastAsia="仿宋" w:cs="仿宋"/>
          <w:color w:val="auto"/>
          <w:szCs w:val="16"/>
          <w:highlight w:val="none"/>
        </w:rPr>
        <w:instrText xml:space="preserve">EF _Ref532221532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争议评审</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合同当事人是否同意将工程争议提交争议评审小组决定：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20.3.1 争议评审小组的确定</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争议评审小组成员的人数：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争议评审小组成员的确定：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选定争议避免/评审组的期限：</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评审机构：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其他事项的约定：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争议评审员报酬的承担人：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20.3.2 争议的避免</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发包人和承包人是否均出席争议避免的非正式讨论：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_Ref4695594 \w \h  \* MERGEFORMAT </w:instrText>
      </w:r>
      <w:r>
        <w:rPr>
          <w:color w:val="auto"/>
          <w:highlight w:val="none"/>
        </w:rPr>
        <w:fldChar w:fldCharType="separate"/>
      </w:r>
      <w:r>
        <w:rPr>
          <w:rFonts w:hint="eastAsia" w:ascii="仿宋" w:hAnsi="仿宋" w:eastAsia="仿宋" w:cs="仿宋"/>
          <w:color w:val="auto"/>
          <w:sz w:val="24"/>
          <w:szCs w:val="24"/>
          <w:highlight w:val="none"/>
        </w:rPr>
        <w:t>20.3.3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color w:val="auto"/>
          <w:highlight w:val="none"/>
        </w:rPr>
        <w:fldChar w:fldCharType="begin"/>
      </w:r>
      <w:r>
        <w:rPr>
          <w:color w:val="auto"/>
          <w:highlight w:val="none"/>
        </w:rPr>
        <w:instrText xml:space="preserve"> REF _Ref4695594 \h  \* MERGEFORMAT </w:instrText>
      </w:r>
      <w:r>
        <w:rPr>
          <w:color w:val="auto"/>
          <w:highlight w:val="none"/>
        </w:rPr>
        <w:fldChar w:fldCharType="separate"/>
      </w:r>
      <w:r>
        <w:rPr>
          <w:rFonts w:hint="eastAsia" w:ascii="仿宋" w:hAnsi="仿宋" w:eastAsia="仿宋" w:cs="仿宋"/>
          <w:color w:val="auto"/>
          <w:sz w:val="24"/>
          <w:szCs w:val="24"/>
          <w:highlight w:val="none"/>
        </w:rPr>
        <w:t>争议评审小组的决定</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关于</w:t>
      </w:r>
      <w:r>
        <w:rPr>
          <w:color w:val="auto"/>
          <w:highlight w:val="none"/>
        </w:rPr>
        <w:fldChar w:fldCharType="begin"/>
      </w:r>
      <w:r>
        <w:rPr>
          <w:color w:val="auto"/>
          <w:highlight w:val="none"/>
        </w:rPr>
        <w:instrText xml:space="preserve"> REF _Ref4695594 \h  \* MERGEFORMAT </w:instrText>
      </w:r>
      <w:r>
        <w:rPr>
          <w:color w:val="auto"/>
          <w:highlight w:val="none"/>
        </w:rPr>
        <w:fldChar w:fldCharType="separate"/>
      </w:r>
      <w:r>
        <w:rPr>
          <w:rFonts w:hint="eastAsia" w:ascii="仿宋" w:hAnsi="仿宋" w:eastAsia="仿宋" w:cs="仿宋"/>
          <w:color w:val="auto"/>
          <w:sz w:val="24"/>
          <w:szCs w:val="24"/>
          <w:highlight w:val="none"/>
        </w:rPr>
        <w:t>争议评审小组的决定</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的特别约定：</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120"/>
        <w:ind w:right="-512" w:rightChars="-244"/>
        <w:rPr>
          <w:rFonts w:ascii="仿宋" w:hAnsi="仿宋" w:eastAsia="仿宋" w:cs="仿宋"/>
          <w:color w:val="auto"/>
          <w:sz w:val="24"/>
          <w:szCs w:val="24"/>
          <w:highlight w:val="none"/>
        </w:rPr>
      </w:pPr>
      <w:r>
        <w:rPr>
          <w:color w:val="auto"/>
          <w:highlight w:val="none"/>
        </w:rPr>
        <w:fldChar w:fldCharType="begin"/>
      </w:r>
      <w:r>
        <w:rPr>
          <w:color w:val="auto"/>
          <w:highlight w:val="none"/>
        </w:rPr>
        <w:instrText xml:space="preserve"> REF _Ref532221748 \r \h  \* MERGEFORMAT </w:instrText>
      </w:r>
      <w:r>
        <w:rPr>
          <w:color w:val="auto"/>
          <w:highlight w:val="none"/>
        </w:rPr>
        <w:fldChar w:fldCharType="separate"/>
      </w:r>
      <w:bookmarkStart w:id="538" w:name="_Toc2028_WPSOffice_Level3"/>
      <w:r>
        <w:rPr>
          <w:rFonts w:hint="eastAsia" w:ascii="仿宋" w:hAnsi="仿宋" w:eastAsia="仿宋" w:cs="仿宋"/>
          <w:color w:val="auto"/>
          <w:sz w:val="24"/>
          <w:szCs w:val="24"/>
          <w:highlight w:val="none"/>
        </w:rPr>
        <w:t>20.4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 xml:space="preserve"> </w:t>
      </w:r>
      <w:r>
        <w:rPr>
          <w:rFonts w:hint="eastAsia" w:ascii="仿宋" w:hAnsi="仿宋" w:eastAsia="仿宋" w:cs="仿宋"/>
          <w:color w:val="auto"/>
          <w:szCs w:val="16"/>
          <w:highlight w:val="none"/>
        </w:rPr>
        <w:fldChar w:fldCharType="begin"/>
      </w:r>
      <w:r>
        <w:rPr>
          <w:rFonts w:hint="eastAsia" w:ascii="仿宋" w:hAnsi="仿宋" w:eastAsia="仿宋" w:cs="仿宋"/>
          <w:color w:val="auto"/>
          <w:szCs w:val="16"/>
          <w:highlight w:val="none"/>
        </w:rPr>
        <w:instrText xml:space="preserve"> RE</w:instrText>
      </w:r>
      <w:bookmarkEnd w:id="538"/>
      <w:r>
        <w:rPr>
          <w:rFonts w:hint="eastAsia" w:ascii="仿宋" w:hAnsi="仿宋" w:eastAsia="仿宋" w:cs="仿宋"/>
          <w:color w:val="auto"/>
          <w:szCs w:val="16"/>
          <w:highlight w:val="none"/>
        </w:rPr>
        <w:instrText xml:space="preserve">F _Ref532221752 \h  \* MERGEFORMAT </w:instrText>
      </w:r>
      <w:r>
        <w:rPr>
          <w:rFonts w:hint="eastAsia" w:ascii="仿宋" w:hAnsi="仿宋" w:eastAsia="仿宋" w:cs="仿宋"/>
          <w:color w:val="auto"/>
          <w:szCs w:val="16"/>
          <w:highlight w:val="none"/>
        </w:rPr>
        <w:fldChar w:fldCharType="separate"/>
      </w:r>
      <w:r>
        <w:rPr>
          <w:rFonts w:hint="eastAsia" w:ascii="仿宋" w:hAnsi="仿宋" w:eastAsia="仿宋" w:cs="仿宋"/>
          <w:color w:val="auto"/>
          <w:sz w:val="24"/>
          <w:szCs w:val="24"/>
          <w:highlight w:val="none"/>
        </w:rPr>
        <w:t>仲裁或诉讼</w:t>
      </w:r>
      <w:r>
        <w:rPr>
          <w:rFonts w:hint="eastAsia" w:ascii="仿宋" w:hAnsi="仿宋" w:eastAsia="仿宋" w:cs="仿宋"/>
          <w:color w:val="auto"/>
          <w:sz w:val="24"/>
          <w:szCs w:val="24"/>
          <w:highlight w:val="none"/>
        </w:rPr>
        <w:fldChar w:fldCharType="end"/>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因合同及合同有关事项发生的争议，按下列第</w:t>
      </w:r>
      <w:r>
        <w:rPr>
          <w:rFonts w:hint="eastAsia" w:ascii="仿宋" w:hAnsi="仿宋" w:eastAsia="仿宋" w:cs="仿宋"/>
          <w:color w:val="auto"/>
          <w:sz w:val="24"/>
          <w:szCs w:val="24"/>
          <w:highlight w:val="none"/>
          <w:u w:val="single"/>
        </w:rPr>
        <w:t xml:space="preserve">  （2）  </w:t>
      </w:r>
      <w:r>
        <w:rPr>
          <w:rFonts w:hint="eastAsia" w:ascii="仿宋" w:hAnsi="仿宋" w:eastAsia="仿宋" w:cs="仿宋"/>
          <w:color w:val="auto"/>
          <w:sz w:val="24"/>
          <w:szCs w:val="24"/>
          <w:highlight w:val="none"/>
        </w:rPr>
        <w:t>种方式解决：</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（1）向</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仲裁委员会申请仲裁；</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（2）向</w:t>
      </w:r>
      <w:r>
        <w:rPr>
          <w:rFonts w:hint="eastAsia" w:ascii="仿宋" w:hAnsi="仿宋" w:eastAsia="仿宋" w:cs="仿宋"/>
          <w:color w:val="auto"/>
          <w:sz w:val="24"/>
          <w:szCs w:val="24"/>
          <w:highlight w:val="none"/>
          <w:u w:val="single"/>
        </w:rPr>
        <w:t xml:space="preserve">       项目所在地       </w:t>
      </w:r>
      <w:r>
        <w:rPr>
          <w:rFonts w:hint="eastAsia" w:ascii="仿宋" w:hAnsi="仿宋" w:eastAsia="仿宋" w:cs="仿宋"/>
          <w:color w:val="auto"/>
          <w:sz w:val="24"/>
          <w:szCs w:val="24"/>
          <w:highlight w:val="none"/>
        </w:rPr>
        <w:t>人民法院起诉。</w:t>
      </w:r>
    </w:p>
    <w:p>
      <w:pPr>
        <w:spacing w:after="120"/>
        <w:ind w:right="-512" w:rightChars="-244" w:firstLine="600"/>
        <w:rPr>
          <w:rFonts w:ascii="仿宋" w:hAnsi="仿宋" w:eastAsia="仿宋" w:cs="仿宋"/>
          <w:color w:val="auto"/>
          <w:sz w:val="24"/>
          <w:szCs w:val="24"/>
          <w:highlight w:val="none"/>
        </w:rPr>
        <w:sectPr>
          <w:headerReference r:id="rId7" w:type="default"/>
          <w:pgSz w:w="11906" w:h="16838"/>
          <w:pgMar w:top="1440" w:right="1800" w:bottom="1440" w:left="1800" w:header="720" w:footer="998" w:gutter="0"/>
          <w:pgNumType w:fmt="decimal"/>
          <w:cols w:space="720" w:num="1"/>
          <w:docGrid w:linePitch="326" w:charSpace="0"/>
        </w:sectPr>
      </w:pPr>
    </w:p>
    <w:p>
      <w:pPr>
        <w:pStyle w:val="183"/>
        <w:keepNext w:val="0"/>
        <w:keepLines w:val="0"/>
        <w:widowControl/>
        <w:adjustRightInd w:val="0"/>
        <w:snapToGrid w:val="0"/>
        <w:spacing w:before="0" w:after="50" w:line="360" w:lineRule="auto"/>
        <w:ind w:right="-512" w:rightChars="-244"/>
        <w:rPr>
          <w:rFonts w:ascii="仿宋" w:hAnsi="仿宋" w:eastAsia="仿宋" w:cs="仿宋"/>
          <w:color w:val="auto"/>
          <w:sz w:val="22"/>
          <w:szCs w:val="22"/>
          <w:highlight w:val="none"/>
        </w:rPr>
      </w:pPr>
      <w:bookmarkStart w:id="539" w:name="_Toc20171893"/>
      <w:bookmarkStart w:id="540" w:name="_Toc31782"/>
      <w:r>
        <w:rPr>
          <w:rFonts w:hint="eastAsia" w:ascii="仿宋" w:hAnsi="仿宋" w:eastAsia="仿宋" w:cs="仿宋"/>
          <w:color w:val="auto"/>
          <w:sz w:val="24"/>
          <w:szCs w:val="24"/>
          <w:highlight w:val="none"/>
        </w:rPr>
        <w:t>专用合同条件附件</w:t>
      </w:r>
      <w:bookmarkEnd w:id="539"/>
      <w:bookmarkEnd w:id="540"/>
    </w:p>
    <w:p>
      <w:pPr>
        <w:spacing w:after="120"/>
        <w:ind w:right="-512" w:rightChars="-244"/>
        <w:rPr>
          <w:rFonts w:ascii="仿宋" w:hAnsi="仿宋" w:eastAsia="仿宋" w:cs="仿宋"/>
          <w:color w:val="auto"/>
          <w:szCs w:val="16"/>
          <w:highlight w:val="none"/>
        </w:rPr>
      </w:pPr>
    </w:p>
    <w:p>
      <w:pPr>
        <w:spacing w:after="120"/>
        <w:ind w:right="-512" w:rightChars="-244" w:firstLine="600"/>
        <w:rPr>
          <w:rFonts w:ascii="仿宋" w:hAnsi="仿宋" w:eastAsia="仿宋" w:cs="仿宋"/>
          <w:color w:val="auto"/>
          <w:sz w:val="24"/>
          <w:szCs w:val="24"/>
          <w:highlight w:val="none"/>
        </w:rPr>
      </w:pPr>
      <w:bookmarkStart w:id="541" w:name="_Toc10879_WPSOffice_Level2"/>
      <w:r>
        <w:rPr>
          <w:rFonts w:hint="eastAsia" w:ascii="仿宋" w:hAnsi="仿宋" w:eastAsia="仿宋" w:cs="仿宋"/>
          <w:color w:val="auto"/>
          <w:sz w:val="24"/>
          <w:szCs w:val="24"/>
          <w:highlight w:val="none"/>
        </w:rPr>
        <w:t>附件1：发包人要求</w:t>
      </w:r>
      <w:bookmarkEnd w:id="541"/>
    </w:p>
    <w:p>
      <w:pPr>
        <w:spacing w:after="120"/>
        <w:ind w:right="-512" w:rightChars="-244" w:firstLine="600"/>
        <w:rPr>
          <w:rFonts w:ascii="仿宋" w:hAnsi="仿宋" w:eastAsia="仿宋" w:cs="仿宋"/>
          <w:color w:val="auto"/>
          <w:sz w:val="24"/>
          <w:szCs w:val="24"/>
          <w:highlight w:val="none"/>
        </w:rPr>
      </w:pPr>
      <w:bookmarkStart w:id="542" w:name="_Toc18674_WPSOffice_Level2"/>
      <w:r>
        <w:rPr>
          <w:rFonts w:hint="eastAsia" w:ascii="仿宋" w:hAnsi="仿宋" w:eastAsia="仿宋" w:cs="仿宋"/>
          <w:color w:val="auto"/>
          <w:sz w:val="24"/>
          <w:szCs w:val="24"/>
          <w:highlight w:val="none"/>
        </w:rPr>
        <w:t>附件2：发包人供应材料设备一览表</w:t>
      </w:r>
      <w:bookmarkEnd w:id="542"/>
    </w:p>
    <w:p>
      <w:pPr>
        <w:spacing w:after="120"/>
        <w:ind w:right="-512" w:rightChars="-244" w:firstLine="600"/>
        <w:rPr>
          <w:rFonts w:ascii="仿宋" w:hAnsi="仿宋" w:eastAsia="仿宋" w:cs="仿宋"/>
          <w:color w:val="auto"/>
          <w:sz w:val="24"/>
          <w:szCs w:val="24"/>
          <w:highlight w:val="none"/>
        </w:rPr>
      </w:pPr>
      <w:bookmarkStart w:id="543" w:name="_Toc17543_WPSOffice_Level2"/>
      <w:r>
        <w:rPr>
          <w:rFonts w:hint="eastAsia" w:ascii="仿宋" w:hAnsi="仿宋" w:eastAsia="仿宋" w:cs="仿宋"/>
          <w:color w:val="auto"/>
          <w:sz w:val="24"/>
          <w:szCs w:val="24"/>
          <w:highlight w:val="none"/>
        </w:rPr>
        <w:t>附件3：工程质量保修书</w:t>
      </w:r>
      <w:bookmarkEnd w:id="543"/>
    </w:p>
    <w:p>
      <w:pPr>
        <w:spacing w:after="120"/>
        <w:ind w:right="-512" w:rightChars="-244" w:firstLine="600"/>
        <w:rPr>
          <w:rFonts w:ascii="仿宋" w:hAnsi="仿宋" w:eastAsia="仿宋" w:cs="仿宋"/>
          <w:color w:val="auto"/>
          <w:sz w:val="24"/>
          <w:szCs w:val="24"/>
          <w:highlight w:val="none"/>
        </w:rPr>
      </w:pPr>
      <w:bookmarkStart w:id="544" w:name="_Toc20656_WPSOffice_Level2"/>
      <w:r>
        <w:rPr>
          <w:rFonts w:hint="eastAsia" w:ascii="仿宋" w:hAnsi="仿宋" w:eastAsia="仿宋" w:cs="仿宋"/>
          <w:color w:val="auto"/>
          <w:sz w:val="24"/>
          <w:szCs w:val="24"/>
          <w:highlight w:val="none"/>
        </w:rPr>
        <w:t>附件4：主要建设工程文件目录</w:t>
      </w:r>
      <w:bookmarkEnd w:id="544"/>
    </w:p>
    <w:p>
      <w:pPr>
        <w:spacing w:after="120"/>
        <w:ind w:right="-512" w:rightChars="-244" w:firstLine="600"/>
        <w:rPr>
          <w:rFonts w:ascii="仿宋" w:hAnsi="仿宋" w:eastAsia="仿宋" w:cs="仿宋"/>
          <w:color w:val="auto"/>
          <w:sz w:val="24"/>
          <w:szCs w:val="24"/>
          <w:highlight w:val="none"/>
        </w:rPr>
      </w:pPr>
      <w:bookmarkStart w:id="545" w:name="_Toc25708_WPSOffice_Level2"/>
      <w:r>
        <w:rPr>
          <w:rFonts w:hint="eastAsia" w:ascii="仿宋" w:hAnsi="仿宋" w:eastAsia="仿宋" w:cs="仿宋"/>
          <w:color w:val="auto"/>
          <w:sz w:val="24"/>
          <w:szCs w:val="24"/>
          <w:highlight w:val="none"/>
        </w:rPr>
        <w:t>附件5：承包人主要管理人员表</w:t>
      </w:r>
      <w:bookmarkEnd w:id="545"/>
    </w:p>
    <w:p>
      <w:pPr>
        <w:spacing w:after="120"/>
        <w:ind w:right="-512" w:rightChars="-244" w:firstLine="600"/>
        <w:rPr>
          <w:rFonts w:ascii="仿宋" w:hAnsi="仿宋" w:eastAsia="仿宋" w:cs="仿宋"/>
          <w:color w:val="auto"/>
          <w:sz w:val="24"/>
          <w:szCs w:val="24"/>
          <w:highlight w:val="none"/>
        </w:rPr>
      </w:pPr>
      <w:bookmarkStart w:id="546" w:name="_Toc8643_WPSOffice_Level2"/>
      <w:r>
        <w:rPr>
          <w:rFonts w:hint="eastAsia" w:ascii="仿宋" w:hAnsi="仿宋" w:eastAsia="仿宋" w:cs="仿宋"/>
          <w:color w:val="auto"/>
          <w:sz w:val="24"/>
          <w:szCs w:val="24"/>
          <w:highlight w:val="none"/>
        </w:rPr>
        <w:t>附件6：分包人主要管理人员表</w:t>
      </w:r>
      <w:bookmarkEnd w:id="546"/>
    </w:p>
    <w:p>
      <w:pPr>
        <w:spacing w:after="120"/>
        <w:ind w:right="-512" w:rightChars="-244" w:firstLine="600"/>
        <w:rPr>
          <w:rFonts w:ascii="仿宋" w:hAnsi="仿宋" w:eastAsia="仿宋" w:cs="仿宋"/>
          <w:color w:val="auto"/>
          <w:sz w:val="24"/>
          <w:szCs w:val="24"/>
          <w:highlight w:val="none"/>
        </w:rPr>
      </w:pPr>
      <w:bookmarkStart w:id="547" w:name="_Toc23690_WPSOffice_Level2"/>
      <w:r>
        <w:rPr>
          <w:rFonts w:hint="eastAsia" w:ascii="仿宋" w:hAnsi="仿宋" w:eastAsia="仿宋" w:cs="仿宋"/>
          <w:color w:val="auto"/>
          <w:sz w:val="24"/>
          <w:szCs w:val="24"/>
          <w:highlight w:val="none"/>
        </w:rPr>
        <w:t>附件7：价格指数权重表</w:t>
      </w:r>
      <w:bookmarkEnd w:id="547"/>
    </w:p>
    <w:p>
      <w:pPr>
        <w:spacing w:after="120"/>
        <w:ind w:right="-512" w:rightChars="-244"/>
        <w:rPr>
          <w:rFonts w:ascii="仿宋" w:hAnsi="仿宋" w:eastAsia="仿宋" w:cs="仿宋"/>
          <w:color w:val="auto"/>
          <w:szCs w:val="16"/>
          <w:highlight w:val="none"/>
        </w:rPr>
      </w:pPr>
    </w:p>
    <w:p>
      <w:pPr>
        <w:spacing w:after="120"/>
        <w:ind w:right="-512" w:rightChars="-244"/>
        <w:rPr>
          <w:rFonts w:ascii="仿宋" w:hAnsi="仿宋" w:eastAsia="仿宋" w:cs="仿宋"/>
          <w:color w:val="auto"/>
          <w:szCs w:val="16"/>
          <w:highlight w:val="none"/>
        </w:rPr>
      </w:pPr>
    </w:p>
    <w:p>
      <w:pPr>
        <w:spacing w:after="120"/>
        <w:ind w:right="-512" w:rightChars="-244"/>
        <w:rPr>
          <w:rFonts w:ascii="仿宋" w:hAnsi="仿宋" w:eastAsia="仿宋" w:cs="仿宋"/>
          <w:color w:val="auto"/>
          <w:szCs w:val="16"/>
          <w:highlight w:val="none"/>
        </w:rPr>
      </w:pPr>
    </w:p>
    <w:p>
      <w:pPr>
        <w:ind w:right="-512" w:rightChars="-244"/>
        <w:jc w:val="left"/>
        <w:rPr>
          <w:rFonts w:ascii="仿宋" w:hAnsi="仿宋" w:eastAsia="仿宋" w:cs="仿宋"/>
          <w:color w:val="auto"/>
          <w:szCs w:val="16"/>
          <w:highlight w:val="none"/>
        </w:rPr>
      </w:pPr>
      <w:r>
        <w:rPr>
          <w:rFonts w:hint="eastAsia" w:ascii="仿宋" w:hAnsi="仿宋" w:eastAsia="仿宋" w:cs="仿宋"/>
          <w:color w:val="auto"/>
          <w:szCs w:val="16"/>
          <w:highlight w:val="none"/>
        </w:rPr>
        <w:br w:type="page"/>
      </w:r>
    </w:p>
    <w:p>
      <w:pPr>
        <w:ind w:right="-512" w:rightChars="-244"/>
        <w:jc w:val="left"/>
        <w:rPr>
          <w:rFonts w:ascii="仿宋" w:hAnsi="仿宋" w:eastAsia="仿宋" w:cs="仿宋"/>
          <w:color w:val="auto"/>
          <w:szCs w:val="16"/>
          <w:highlight w:val="none"/>
        </w:rPr>
      </w:pPr>
    </w:p>
    <w:p>
      <w:pPr>
        <w:pStyle w:val="197"/>
        <w:spacing w:after="120"/>
        <w:ind w:left="0" w:right="-512" w:rightChars="-244"/>
        <w:rPr>
          <w:rFonts w:ascii="仿宋" w:hAnsi="仿宋" w:eastAsia="仿宋" w:cs="仿宋"/>
          <w:color w:val="auto"/>
          <w:sz w:val="24"/>
          <w:szCs w:val="24"/>
          <w:highlight w:val="none"/>
        </w:rPr>
      </w:pPr>
      <w:bookmarkStart w:id="548" w:name="_Toc20171894"/>
      <w:bookmarkStart w:id="549" w:name="_Toc32387_WPSOffice_Level2"/>
      <w:bookmarkStart w:id="550" w:name="_Toc9805"/>
      <w:r>
        <w:rPr>
          <w:rFonts w:hint="eastAsia" w:ascii="仿宋" w:hAnsi="仿宋" w:eastAsia="仿宋" w:cs="仿宋"/>
          <w:color w:val="auto"/>
          <w:sz w:val="24"/>
          <w:szCs w:val="24"/>
          <w:highlight w:val="none"/>
        </w:rPr>
        <w:t>发包人供应材料设备一览表</w:t>
      </w:r>
      <w:bookmarkEnd w:id="548"/>
      <w:bookmarkEnd w:id="549"/>
      <w:bookmarkEnd w:id="550"/>
    </w:p>
    <w:tbl>
      <w:tblPr>
        <w:tblStyle w:val="23"/>
        <w:tblW w:w="91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52"/>
        <w:gridCol w:w="1348"/>
        <w:gridCol w:w="943"/>
        <w:gridCol w:w="567"/>
        <w:gridCol w:w="686"/>
        <w:gridCol w:w="992"/>
        <w:gridCol w:w="1134"/>
        <w:gridCol w:w="1134"/>
        <w:gridCol w:w="1134"/>
        <w:gridCol w:w="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52" w:type="dxa"/>
            <w:tcBorders>
              <w:top w:val="single" w:color="auto" w:sz="12" w:space="0"/>
              <w:bottom w:val="double" w:color="auto" w:sz="6" w:space="0"/>
            </w:tcBorders>
            <w:vAlign w:val="center"/>
          </w:tcPr>
          <w:p>
            <w:pPr>
              <w:pStyle w:val="8"/>
              <w:ind w:right="-512" w:rightChars="-244"/>
              <w:jc w:val="left"/>
              <w:rPr>
                <w:rFonts w:ascii="仿宋" w:hAnsi="仿宋" w:eastAsia="仿宋" w:cs="仿宋"/>
                <w:color w:val="auto"/>
                <w:sz w:val="18"/>
                <w:szCs w:val="16"/>
                <w:highlight w:val="none"/>
              </w:rPr>
            </w:pPr>
            <w:r>
              <w:rPr>
                <w:rFonts w:hint="eastAsia" w:ascii="仿宋" w:hAnsi="仿宋" w:eastAsia="仿宋" w:cs="仿宋"/>
                <w:color w:val="auto"/>
                <w:sz w:val="18"/>
                <w:szCs w:val="16"/>
                <w:highlight w:val="none"/>
              </w:rPr>
              <w:t>序号</w:t>
            </w:r>
          </w:p>
        </w:tc>
        <w:tc>
          <w:tcPr>
            <w:tcW w:w="1348" w:type="dxa"/>
            <w:tcBorders>
              <w:top w:val="single" w:color="auto" w:sz="12" w:space="0"/>
              <w:bottom w:val="double" w:color="auto" w:sz="6" w:space="0"/>
            </w:tcBorders>
            <w:vAlign w:val="center"/>
          </w:tcPr>
          <w:p>
            <w:pPr>
              <w:pStyle w:val="8"/>
              <w:ind w:right="-512" w:rightChars="-244"/>
              <w:jc w:val="left"/>
              <w:rPr>
                <w:rFonts w:ascii="仿宋" w:hAnsi="仿宋" w:eastAsia="仿宋" w:cs="仿宋"/>
                <w:color w:val="auto"/>
                <w:sz w:val="18"/>
                <w:szCs w:val="16"/>
                <w:highlight w:val="none"/>
              </w:rPr>
            </w:pPr>
            <w:r>
              <w:rPr>
                <w:rFonts w:hint="eastAsia" w:ascii="仿宋" w:hAnsi="仿宋" w:eastAsia="仿宋" w:cs="仿宋"/>
                <w:color w:val="auto"/>
                <w:sz w:val="18"/>
                <w:szCs w:val="16"/>
                <w:highlight w:val="none"/>
              </w:rPr>
              <w:t>材料、设备品种</w:t>
            </w:r>
          </w:p>
        </w:tc>
        <w:tc>
          <w:tcPr>
            <w:tcW w:w="943" w:type="dxa"/>
            <w:tcBorders>
              <w:top w:val="single" w:color="auto" w:sz="12" w:space="0"/>
              <w:bottom w:val="double" w:color="auto" w:sz="6" w:space="0"/>
            </w:tcBorders>
            <w:vAlign w:val="center"/>
          </w:tcPr>
          <w:p>
            <w:pPr>
              <w:pStyle w:val="8"/>
              <w:ind w:right="-512" w:rightChars="-244"/>
              <w:jc w:val="left"/>
              <w:rPr>
                <w:rFonts w:ascii="仿宋" w:hAnsi="仿宋" w:eastAsia="仿宋" w:cs="仿宋"/>
                <w:color w:val="auto"/>
                <w:sz w:val="18"/>
                <w:szCs w:val="16"/>
                <w:highlight w:val="none"/>
              </w:rPr>
            </w:pPr>
            <w:r>
              <w:rPr>
                <w:rFonts w:hint="eastAsia" w:ascii="仿宋" w:hAnsi="仿宋" w:eastAsia="仿宋" w:cs="仿宋"/>
                <w:color w:val="auto"/>
                <w:sz w:val="18"/>
                <w:szCs w:val="16"/>
                <w:highlight w:val="none"/>
              </w:rPr>
              <w:t>规格型号</w:t>
            </w:r>
          </w:p>
        </w:tc>
        <w:tc>
          <w:tcPr>
            <w:tcW w:w="567" w:type="dxa"/>
            <w:tcBorders>
              <w:top w:val="single" w:color="auto" w:sz="12" w:space="0"/>
              <w:bottom w:val="double" w:color="auto" w:sz="6" w:space="0"/>
            </w:tcBorders>
            <w:vAlign w:val="center"/>
          </w:tcPr>
          <w:p>
            <w:pPr>
              <w:pStyle w:val="8"/>
              <w:ind w:right="-512" w:rightChars="-244"/>
              <w:jc w:val="left"/>
              <w:rPr>
                <w:rFonts w:ascii="仿宋" w:hAnsi="仿宋" w:eastAsia="仿宋" w:cs="仿宋"/>
                <w:color w:val="auto"/>
                <w:sz w:val="18"/>
                <w:szCs w:val="16"/>
                <w:highlight w:val="none"/>
              </w:rPr>
            </w:pPr>
            <w:r>
              <w:rPr>
                <w:rFonts w:hint="eastAsia" w:ascii="仿宋" w:hAnsi="仿宋" w:eastAsia="仿宋" w:cs="仿宋"/>
                <w:color w:val="auto"/>
                <w:sz w:val="18"/>
                <w:szCs w:val="16"/>
                <w:highlight w:val="none"/>
              </w:rPr>
              <w:t>单位</w:t>
            </w:r>
          </w:p>
        </w:tc>
        <w:tc>
          <w:tcPr>
            <w:tcW w:w="686" w:type="dxa"/>
            <w:tcBorders>
              <w:top w:val="single" w:color="auto" w:sz="12" w:space="0"/>
              <w:bottom w:val="double" w:color="auto" w:sz="6" w:space="0"/>
            </w:tcBorders>
            <w:vAlign w:val="center"/>
          </w:tcPr>
          <w:p>
            <w:pPr>
              <w:pStyle w:val="8"/>
              <w:ind w:right="-512" w:rightChars="-244"/>
              <w:jc w:val="left"/>
              <w:rPr>
                <w:rFonts w:ascii="仿宋" w:hAnsi="仿宋" w:eastAsia="仿宋" w:cs="仿宋"/>
                <w:color w:val="auto"/>
                <w:sz w:val="18"/>
                <w:szCs w:val="16"/>
                <w:highlight w:val="none"/>
              </w:rPr>
            </w:pPr>
            <w:r>
              <w:rPr>
                <w:rFonts w:hint="eastAsia" w:ascii="仿宋" w:hAnsi="仿宋" w:eastAsia="仿宋" w:cs="仿宋"/>
                <w:color w:val="auto"/>
                <w:sz w:val="18"/>
                <w:szCs w:val="16"/>
                <w:highlight w:val="none"/>
              </w:rPr>
              <w:t>数量</w:t>
            </w:r>
          </w:p>
        </w:tc>
        <w:tc>
          <w:tcPr>
            <w:tcW w:w="992" w:type="dxa"/>
            <w:tcBorders>
              <w:top w:val="single" w:color="auto" w:sz="12" w:space="0"/>
              <w:bottom w:val="double" w:color="auto" w:sz="6" w:space="0"/>
            </w:tcBorders>
            <w:vAlign w:val="center"/>
          </w:tcPr>
          <w:p>
            <w:pPr>
              <w:pStyle w:val="8"/>
              <w:ind w:right="-512" w:rightChars="-244"/>
              <w:jc w:val="left"/>
              <w:rPr>
                <w:rFonts w:ascii="仿宋" w:hAnsi="仿宋" w:eastAsia="仿宋" w:cs="仿宋"/>
                <w:color w:val="auto"/>
                <w:sz w:val="18"/>
                <w:szCs w:val="16"/>
                <w:highlight w:val="none"/>
              </w:rPr>
            </w:pPr>
            <w:r>
              <w:rPr>
                <w:rFonts w:hint="eastAsia" w:ascii="仿宋" w:hAnsi="仿宋" w:eastAsia="仿宋" w:cs="仿宋"/>
                <w:color w:val="auto"/>
                <w:sz w:val="18"/>
                <w:szCs w:val="16"/>
                <w:highlight w:val="none"/>
              </w:rPr>
              <w:t>单位（元）</w:t>
            </w:r>
          </w:p>
        </w:tc>
        <w:tc>
          <w:tcPr>
            <w:tcW w:w="1134" w:type="dxa"/>
            <w:tcBorders>
              <w:top w:val="single" w:color="auto" w:sz="12" w:space="0"/>
              <w:bottom w:val="double" w:color="auto" w:sz="6" w:space="0"/>
            </w:tcBorders>
            <w:vAlign w:val="center"/>
          </w:tcPr>
          <w:p>
            <w:pPr>
              <w:pStyle w:val="8"/>
              <w:ind w:right="-512" w:rightChars="-244"/>
              <w:jc w:val="left"/>
              <w:rPr>
                <w:rFonts w:ascii="仿宋" w:hAnsi="仿宋" w:eastAsia="仿宋" w:cs="仿宋"/>
                <w:color w:val="auto"/>
                <w:sz w:val="18"/>
                <w:szCs w:val="16"/>
                <w:highlight w:val="none"/>
              </w:rPr>
            </w:pPr>
            <w:r>
              <w:rPr>
                <w:rFonts w:hint="eastAsia" w:ascii="仿宋" w:hAnsi="仿宋" w:eastAsia="仿宋" w:cs="仿宋"/>
                <w:color w:val="auto"/>
                <w:sz w:val="18"/>
                <w:szCs w:val="16"/>
                <w:highlight w:val="none"/>
              </w:rPr>
              <w:t>质量等级</w:t>
            </w:r>
          </w:p>
        </w:tc>
        <w:tc>
          <w:tcPr>
            <w:tcW w:w="1134" w:type="dxa"/>
            <w:tcBorders>
              <w:top w:val="single" w:color="auto" w:sz="12" w:space="0"/>
              <w:bottom w:val="double" w:color="auto" w:sz="6" w:space="0"/>
            </w:tcBorders>
            <w:vAlign w:val="center"/>
          </w:tcPr>
          <w:p>
            <w:pPr>
              <w:pStyle w:val="8"/>
              <w:ind w:right="-512" w:rightChars="-244"/>
              <w:jc w:val="left"/>
              <w:rPr>
                <w:rFonts w:ascii="仿宋" w:hAnsi="仿宋" w:eastAsia="仿宋" w:cs="仿宋"/>
                <w:color w:val="auto"/>
                <w:sz w:val="18"/>
                <w:szCs w:val="16"/>
                <w:highlight w:val="none"/>
              </w:rPr>
            </w:pPr>
            <w:r>
              <w:rPr>
                <w:rFonts w:hint="eastAsia" w:ascii="仿宋" w:hAnsi="仿宋" w:eastAsia="仿宋" w:cs="仿宋"/>
                <w:color w:val="auto"/>
                <w:sz w:val="18"/>
                <w:szCs w:val="16"/>
                <w:highlight w:val="none"/>
              </w:rPr>
              <w:t>供应时间</w:t>
            </w:r>
          </w:p>
        </w:tc>
        <w:tc>
          <w:tcPr>
            <w:tcW w:w="1134" w:type="dxa"/>
            <w:tcBorders>
              <w:top w:val="single" w:color="auto" w:sz="12" w:space="0"/>
              <w:bottom w:val="double" w:color="auto" w:sz="6" w:space="0"/>
            </w:tcBorders>
            <w:vAlign w:val="center"/>
          </w:tcPr>
          <w:p>
            <w:pPr>
              <w:pStyle w:val="8"/>
              <w:ind w:right="-512" w:rightChars="-244"/>
              <w:jc w:val="left"/>
              <w:rPr>
                <w:rFonts w:ascii="仿宋" w:hAnsi="仿宋" w:eastAsia="仿宋" w:cs="仿宋"/>
                <w:color w:val="auto"/>
                <w:sz w:val="18"/>
                <w:szCs w:val="16"/>
                <w:highlight w:val="none"/>
              </w:rPr>
            </w:pPr>
            <w:r>
              <w:rPr>
                <w:rFonts w:hint="eastAsia" w:ascii="仿宋" w:hAnsi="仿宋" w:eastAsia="仿宋" w:cs="仿宋"/>
                <w:color w:val="auto"/>
                <w:sz w:val="18"/>
                <w:szCs w:val="16"/>
                <w:highlight w:val="none"/>
              </w:rPr>
              <w:t>送达地点</w:t>
            </w:r>
          </w:p>
        </w:tc>
        <w:tc>
          <w:tcPr>
            <w:tcW w:w="709" w:type="dxa"/>
            <w:tcBorders>
              <w:top w:val="single" w:color="auto" w:sz="12" w:space="0"/>
              <w:bottom w:val="double" w:color="auto" w:sz="6" w:space="0"/>
            </w:tcBorders>
            <w:vAlign w:val="center"/>
          </w:tcPr>
          <w:p>
            <w:pPr>
              <w:pStyle w:val="8"/>
              <w:ind w:right="-512" w:rightChars="-244"/>
              <w:jc w:val="left"/>
              <w:rPr>
                <w:rFonts w:ascii="仿宋" w:hAnsi="仿宋" w:eastAsia="仿宋" w:cs="仿宋"/>
                <w:color w:val="auto"/>
                <w:sz w:val="18"/>
                <w:szCs w:val="16"/>
                <w:highlight w:val="none"/>
              </w:rPr>
            </w:pPr>
            <w:r>
              <w:rPr>
                <w:rFonts w:hint="eastAsia" w:ascii="仿宋" w:hAnsi="仿宋" w:eastAsia="仿宋" w:cs="仿宋"/>
                <w:color w:val="auto"/>
                <w:sz w:val="18"/>
                <w:szCs w:val="16"/>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tcBorders>
              <w:top w:val="double" w:color="auto" w:sz="6" w:space="0"/>
              <w:bottom w:val="single" w:color="auto" w:sz="6" w:space="0"/>
            </w:tcBorders>
            <w:vAlign w:val="center"/>
          </w:tcPr>
          <w:p>
            <w:pPr>
              <w:pStyle w:val="8"/>
              <w:spacing w:after="120"/>
              <w:ind w:right="-512" w:rightChars="-244"/>
              <w:rPr>
                <w:rFonts w:ascii="仿宋" w:hAnsi="仿宋" w:eastAsia="仿宋" w:cs="仿宋"/>
                <w:color w:val="auto"/>
                <w:szCs w:val="16"/>
                <w:highlight w:val="none"/>
              </w:rPr>
            </w:pPr>
          </w:p>
        </w:tc>
        <w:tc>
          <w:tcPr>
            <w:tcW w:w="1348" w:type="dxa"/>
            <w:tcBorders>
              <w:top w:val="double" w:color="auto" w:sz="6" w:space="0"/>
              <w:bottom w:val="single" w:color="auto" w:sz="6" w:space="0"/>
            </w:tcBorders>
            <w:vAlign w:val="center"/>
          </w:tcPr>
          <w:p>
            <w:pPr>
              <w:pStyle w:val="8"/>
              <w:spacing w:after="120"/>
              <w:ind w:right="-512" w:rightChars="-244"/>
              <w:rPr>
                <w:rFonts w:ascii="仿宋" w:hAnsi="仿宋" w:eastAsia="仿宋" w:cs="仿宋"/>
                <w:color w:val="auto"/>
                <w:szCs w:val="16"/>
                <w:highlight w:val="none"/>
              </w:rPr>
            </w:pPr>
          </w:p>
        </w:tc>
        <w:tc>
          <w:tcPr>
            <w:tcW w:w="943" w:type="dxa"/>
            <w:tcBorders>
              <w:top w:val="double" w:color="auto" w:sz="6" w:space="0"/>
              <w:bottom w:val="single" w:color="auto" w:sz="6" w:space="0"/>
            </w:tcBorders>
            <w:vAlign w:val="center"/>
          </w:tcPr>
          <w:p>
            <w:pPr>
              <w:pStyle w:val="8"/>
              <w:spacing w:after="120"/>
              <w:ind w:right="-512" w:rightChars="-244"/>
              <w:rPr>
                <w:rFonts w:ascii="仿宋" w:hAnsi="仿宋" w:eastAsia="仿宋" w:cs="仿宋"/>
                <w:color w:val="auto"/>
                <w:szCs w:val="16"/>
                <w:highlight w:val="none"/>
              </w:rPr>
            </w:pPr>
          </w:p>
        </w:tc>
        <w:tc>
          <w:tcPr>
            <w:tcW w:w="567" w:type="dxa"/>
            <w:tcBorders>
              <w:top w:val="double" w:color="auto" w:sz="6" w:space="0"/>
              <w:bottom w:val="single" w:color="auto" w:sz="6" w:space="0"/>
            </w:tcBorders>
            <w:vAlign w:val="center"/>
          </w:tcPr>
          <w:p>
            <w:pPr>
              <w:pStyle w:val="8"/>
              <w:spacing w:after="120"/>
              <w:ind w:right="-512" w:rightChars="-244"/>
              <w:rPr>
                <w:rFonts w:ascii="仿宋" w:hAnsi="仿宋" w:eastAsia="仿宋" w:cs="仿宋"/>
                <w:color w:val="auto"/>
                <w:szCs w:val="16"/>
                <w:highlight w:val="none"/>
              </w:rPr>
            </w:pPr>
          </w:p>
        </w:tc>
        <w:tc>
          <w:tcPr>
            <w:tcW w:w="686" w:type="dxa"/>
            <w:tcBorders>
              <w:top w:val="double" w:color="auto" w:sz="6" w:space="0"/>
              <w:bottom w:val="single" w:color="auto" w:sz="6" w:space="0"/>
            </w:tcBorders>
            <w:vAlign w:val="center"/>
          </w:tcPr>
          <w:p>
            <w:pPr>
              <w:pStyle w:val="8"/>
              <w:spacing w:after="120"/>
              <w:ind w:right="-512" w:rightChars="-244"/>
              <w:rPr>
                <w:rFonts w:ascii="仿宋" w:hAnsi="仿宋" w:eastAsia="仿宋" w:cs="仿宋"/>
                <w:color w:val="auto"/>
                <w:szCs w:val="16"/>
                <w:highlight w:val="none"/>
              </w:rPr>
            </w:pPr>
          </w:p>
        </w:tc>
        <w:tc>
          <w:tcPr>
            <w:tcW w:w="992" w:type="dxa"/>
            <w:tcBorders>
              <w:top w:val="double" w:color="auto" w:sz="6" w:space="0"/>
              <w:bottom w:val="single" w:color="auto" w:sz="6" w:space="0"/>
            </w:tcBorders>
          </w:tcPr>
          <w:p>
            <w:pPr>
              <w:pStyle w:val="8"/>
              <w:spacing w:after="120"/>
              <w:ind w:right="-512" w:rightChars="-244"/>
              <w:rPr>
                <w:rFonts w:ascii="仿宋" w:hAnsi="仿宋" w:eastAsia="仿宋" w:cs="仿宋"/>
                <w:color w:val="auto"/>
                <w:szCs w:val="16"/>
                <w:highlight w:val="none"/>
              </w:rPr>
            </w:pPr>
          </w:p>
        </w:tc>
        <w:tc>
          <w:tcPr>
            <w:tcW w:w="1134" w:type="dxa"/>
            <w:tcBorders>
              <w:top w:val="double" w:color="auto" w:sz="6" w:space="0"/>
              <w:bottom w:val="single" w:color="auto" w:sz="6" w:space="0"/>
            </w:tcBorders>
            <w:vAlign w:val="center"/>
          </w:tcPr>
          <w:p>
            <w:pPr>
              <w:pStyle w:val="8"/>
              <w:spacing w:after="120"/>
              <w:ind w:right="-512" w:rightChars="-244"/>
              <w:rPr>
                <w:rFonts w:ascii="仿宋" w:hAnsi="仿宋" w:eastAsia="仿宋" w:cs="仿宋"/>
                <w:color w:val="auto"/>
                <w:szCs w:val="16"/>
                <w:highlight w:val="none"/>
              </w:rPr>
            </w:pPr>
          </w:p>
        </w:tc>
        <w:tc>
          <w:tcPr>
            <w:tcW w:w="1134" w:type="dxa"/>
            <w:tcBorders>
              <w:top w:val="double" w:color="auto" w:sz="6" w:space="0"/>
              <w:bottom w:val="single" w:color="auto" w:sz="6" w:space="0"/>
            </w:tcBorders>
            <w:vAlign w:val="center"/>
          </w:tcPr>
          <w:p>
            <w:pPr>
              <w:pStyle w:val="8"/>
              <w:spacing w:after="120"/>
              <w:ind w:right="-512" w:rightChars="-244"/>
              <w:rPr>
                <w:rFonts w:ascii="仿宋" w:hAnsi="仿宋" w:eastAsia="仿宋" w:cs="仿宋"/>
                <w:color w:val="auto"/>
                <w:szCs w:val="16"/>
                <w:highlight w:val="none"/>
              </w:rPr>
            </w:pPr>
          </w:p>
        </w:tc>
        <w:tc>
          <w:tcPr>
            <w:tcW w:w="1134" w:type="dxa"/>
            <w:tcBorders>
              <w:top w:val="double" w:color="auto" w:sz="6" w:space="0"/>
              <w:bottom w:val="single" w:color="auto" w:sz="6" w:space="0"/>
            </w:tcBorders>
            <w:vAlign w:val="center"/>
          </w:tcPr>
          <w:p>
            <w:pPr>
              <w:pStyle w:val="8"/>
              <w:spacing w:after="120"/>
              <w:ind w:right="-512" w:rightChars="-244"/>
              <w:rPr>
                <w:rFonts w:ascii="仿宋" w:hAnsi="仿宋" w:eastAsia="仿宋" w:cs="仿宋"/>
                <w:color w:val="auto"/>
                <w:szCs w:val="16"/>
                <w:highlight w:val="none"/>
              </w:rPr>
            </w:pPr>
          </w:p>
        </w:tc>
        <w:tc>
          <w:tcPr>
            <w:tcW w:w="709" w:type="dxa"/>
            <w:tcBorders>
              <w:top w:val="double" w:color="auto" w:sz="6" w:space="0"/>
              <w:bottom w:val="single" w:color="auto" w:sz="6" w:space="0"/>
            </w:tcBorders>
            <w:vAlign w:val="center"/>
          </w:tcPr>
          <w:p>
            <w:pPr>
              <w:pStyle w:val="8"/>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tcBorders>
              <w:top w:val="nil"/>
            </w:tcBorders>
            <w:vAlign w:val="center"/>
          </w:tcPr>
          <w:p>
            <w:pPr>
              <w:pStyle w:val="8"/>
              <w:spacing w:after="120"/>
              <w:ind w:right="-512" w:rightChars="-244"/>
              <w:rPr>
                <w:rFonts w:ascii="仿宋" w:hAnsi="仿宋" w:eastAsia="仿宋" w:cs="仿宋"/>
                <w:color w:val="auto"/>
                <w:szCs w:val="16"/>
                <w:highlight w:val="none"/>
              </w:rPr>
            </w:pPr>
          </w:p>
        </w:tc>
        <w:tc>
          <w:tcPr>
            <w:tcW w:w="1348" w:type="dxa"/>
            <w:tcBorders>
              <w:top w:val="nil"/>
            </w:tcBorders>
            <w:vAlign w:val="center"/>
          </w:tcPr>
          <w:p>
            <w:pPr>
              <w:pStyle w:val="8"/>
              <w:spacing w:after="120"/>
              <w:ind w:right="-512" w:rightChars="-244"/>
              <w:rPr>
                <w:rFonts w:ascii="仿宋" w:hAnsi="仿宋" w:eastAsia="仿宋" w:cs="仿宋"/>
                <w:color w:val="auto"/>
                <w:szCs w:val="16"/>
                <w:highlight w:val="none"/>
              </w:rPr>
            </w:pPr>
          </w:p>
        </w:tc>
        <w:tc>
          <w:tcPr>
            <w:tcW w:w="943" w:type="dxa"/>
            <w:tcBorders>
              <w:top w:val="nil"/>
            </w:tcBorders>
            <w:vAlign w:val="center"/>
          </w:tcPr>
          <w:p>
            <w:pPr>
              <w:pStyle w:val="8"/>
              <w:spacing w:after="120"/>
              <w:ind w:right="-512" w:rightChars="-244"/>
              <w:rPr>
                <w:rFonts w:ascii="仿宋" w:hAnsi="仿宋" w:eastAsia="仿宋" w:cs="仿宋"/>
                <w:color w:val="auto"/>
                <w:szCs w:val="16"/>
                <w:highlight w:val="none"/>
              </w:rPr>
            </w:pPr>
          </w:p>
        </w:tc>
        <w:tc>
          <w:tcPr>
            <w:tcW w:w="567" w:type="dxa"/>
            <w:tcBorders>
              <w:top w:val="nil"/>
            </w:tcBorders>
            <w:vAlign w:val="center"/>
          </w:tcPr>
          <w:p>
            <w:pPr>
              <w:pStyle w:val="8"/>
              <w:spacing w:after="120"/>
              <w:ind w:right="-512" w:rightChars="-244"/>
              <w:rPr>
                <w:rFonts w:ascii="仿宋" w:hAnsi="仿宋" w:eastAsia="仿宋" w:cs="仿宋"/>
                <w:color w:val="auto"/>
                <w:szCs w:val="16"/>
                <w:highlight w:val="none"/>
              </w:rPr>
            </w:pPr>
          </w:p>
        </w:tc>
        <w:tc>
          <w:tcPr>
            <w:tcW w:w="686" w:type="dxa"/>
            <w:tcBorders>
              <w:top w:val="nil"/>
            </w:tcBorders>
            <w:vAlign w:val="center"/>
          </w:tcPr>
          <w:p>
            <w:pPr>
              <w:pStyle w:val="8"/>
              <w:spacing w:after="120"/>
              <w:ind w:right="-512" w:rightChars="-244"/>
              <w:rPr>
                <w:rFonts w:ascii="仿宋" w:hAnsi="仿宋" w:eastAsia="仿宋" w:cs="仿宋"/>
                <w:color w:val="auto"/>
                <w:szCs w:val="16"/>
                <w:highlight w:val="none"/>
              </w:rPr>
            </w:pPr>
          </w:p>
        </w:tc>
        <w:tc>
          <w:tcPr>
            <w:tcW w:w="992" w:type="dxa"/>
            <w:tcBorders>
              <w:top w:val="nil"/>
            </w:tcBorders>
          </w:tcPr>
          <w:p>
            <w:pPr>
              <w:pStyle w:val="8"/>
              <w:spacing w:after="120"/>
              <w:ind w:right="-512" w:rightChars="-244"/>
              <w:rPr>
                <w:rFonts w:ascii="仿宋" w:hAnsi="仿宋" w:eastAsia="仿宋" w:cs="仿宋"/>
                <w:color w:val="auto"/>
                <w:szCs w:val="16"/>
                <w:highlight w:val="none"/>
              </w:rPr>
            </w:pPr>
          </w:p>
        </w:tc>
        <w:tc>
          <w:tcPr>
            <w:tcW w:w="1134" w:type="dxa"/>
            <w:tcBorders>
              <w:top w:val="nil"/>
            </w:tcBorders>
            <w:vAlign w:val="center"/>
          </w:tcPr>
          <w:p>
            <w:pPr>
              <w:pStyle w:val="8"/>
              <w:spacing w:after="120"/>
              <w:ind w:right="-512" w:rightChars="-244"/>
              <w:rPr>
                <w:rFonts w:ascii="仿宋" w:hAnsi="仿宋" w:eastAsia="仿宋" w:cs="仿宋"/>
                <w:color w:val="auto"/>
                <w:szCs w:val="16"/>
                <w:highlight w:val="none"/>
              </w:rPr>
            </w:pPr>
          </w:p>
        </w:tc>
        <w:tc>
          <w:tcPr>
            <w:tcW w:w="1134" w:type="dxa"/>
            <w:tcBorders>
              <w:top w:val="nil"/>
            </w:tcBorders>
            <w:vAlign w:val="center"/>
          </w:tcPr>
          <w:p>
            <w:pPr>
              <w:pStyle w:val="8"/>
              <w:spacing w:after="120"/>
              <w:ind w:right="-512" w:rightChars="-244"/>
              <w:rPr>
                <w:rFonts w:ascii="仿宋" w:hAnsi="仿宋" w:eastAsia="仿宋" w:cs="仿宋"/>
                <w:color w:val="auto"/>
                <w:szCs w:val="16"/>
                <w:highlight w:val="none"/>
              </w:rPr>
            </w:pPr>
          </w:p>
        </w:tc>
        <w:tc>
          <w:tcPr>
            <w:tcW w:w="1134" w:type="dxa"/>
            <w:tcBorders>
              <w:top w:val="nil"/>
            </w:tcBorders>
            <w:vAlign w:val="center"/>
          </w:tcPr>
          <w:p>
            <w:pPr>
              <w:pStyle w:val="8"/>
              <w:spacing w:after="120"/>
              <w:ind w:right="-512" w:rightChars="-244"/>
              <w:rPr>
                <w:rFonts w:ascii="仿宋" w:hAnsi="仿宋" w:eastAsia="仿宋" w:cs="仿宋"/>
                <w:color w:val="auto"/>
                <w:szCs w:val="16"/>
                <w:highlight w:val="none"/>
              </w:rPr>
            </w:pPr>
          </w:p>
        </w:tc>
        <w:tc>
          <w:tcPr>
            <w:tcW w:w="709" w:type="dxa"/>
            <w:tcBorders>
              <w:top w:val="nil"/>
            </w:tcBorders>
            <w:vAlign w:val="center"/>
          </w:tcPr>
          <w:p>
            <w:pPr>
              <w:pStyle w:val="8"/>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8"/>
              <w:spacing w:after="120"/>
              <w:ind w:right="-512" w:rightChars="-244"/>
              <w:rPr>
                <w:rFonts w:ascii="仿宋" w:hAnsi="仿宋" w:eastAsia="仿宋" w:cs="仿宋"/>
                <w:color w:val="auto"/>
                <w:szCs w:val="16"/>
                <w:highlight w:val="none"/>
              </w:rPr>
            </w:pPr>
          </w:p>
        </w:tc>
        <w:tc>
          <w:tcPr>
            <w:tcW w:w="1348" w:type="dxa"/>
            <w:vAlign w:val="center"/>
          </w:tcPr>
          <w:p>
            <w:pPr>
              <w:pStyle w:val="8"/>
              <w:spacing w:after="120"/>
              <w:ind w:right="-512" w:rightChars="-244"/>
              <w:rPr>
                <w:rFonts w:ascii="仿宋" w:hAnsi="仿宋" w:eastAsia="仿宋" w:cs="仿宋"/>
                <w:color w:val="auto"/>
                <w:szCs w:val="16"/>
                <w:highlight w:val="none"/>
              </w:rPr>
            </w:pPr>
          </w:p>
        </w:tc>
        <w:tc>
          <w:tcPr>
            <w:tcW w:w="943" w:type="dxa"/>
            <w:vAlign w:val="center"/>
          </w:tcPr>
          <w:p>
            <w:pPr>
              <w:pStyle w:val="8"/>
              <w:spacing w:after="120"/>
              <w:ind w:right="-512" w:rightChars="-244"/>
              <w:rPr>
                <w:rFonts w:ascii="仿宋" w:hAnsi="仿宋" w:eastAsia="仿宋" w:cs="仿宋"/>
                <w:color w:val="auto"/>
                <w:szCs w:val="16"/>
                <w:highlight w:val="none"/>
              </w:rPr>
            </w:pPr>
          </w:p>
        </w:tc>
        <w:tc>
          <w:tcPr>
            <w:tcW w:w="567" w:type="dxa"/>
            <w:vAlign w:val="center"/>
          </w:tcPr>
          <w:p>
            <w:pPr>
              <w:pStyle w:val="8"/>
              <w:spacing w:after="120"/>
              <w:ind w:right="-512" w:rightChars="-244"/>
              <w:rPr>
                <w:rFonts w:ascii="仿宋" w:hAnsi="仿宋" w:eastAsia="仿宋" w:cs="仿宋"/>
                <w:color w:val="auto"/>
                <w:szCs w:val="16"/>
                <w:highlight w:val="none"/>
              </w:rPr>
            </w:pPr>
          </w:p>
        </w:tc>
        <w:tc>
          <w:tcPr>
            <w:tcW w:w="686" w:type="dxa"/>
            <w:vAlign w:val="center"/>
          </w:tcPr>
          <w:p>
            <w:pPr>
              <w:pStyle w:val="8"/>
              <w:spacing w:after="120"/>
              <w:ind w:right="-512" w:rightChars="-244"/>
              <w:rPr>
                <w:rFonts w:ascii="仿宋" w:hAnsi="仿宋" w:eastAsia="仿宋" w:cs="仿宋"/>
                <w:color w:val="auto"/>
                <w:szCs w:val="16"/>
                <w:highlight w:val="none"/>
              </w:rPr>
            </w:pPr>
          </w:p>
        </w:tc>
        <w:tc>
          <w:tcPr>
            <w:tcW w:w="992" w:type="dxa"/>
          </w:tcPr>
          <w:p>
            <w:pPr>
              <w:pStyle w:val="8"/>
              <w:spacing w:after="120"/>
              <w:ind w:right="-512" w:rightChars="-244"/>
              <w:rPr>
                <w:rFonts w:ascii="仿宋" w:hAnsi="仿宋" w:eastAsia="仿宋" w:cs="仿宋"/>
                <w:color w:val="auto"/>
                <w:szCs w:val="16"/>
                <w:highlight w:val="none"/>
              </w:rPr>
            </w:pPr>
          </w:p>
        </w:tc>
        <w:tc>
          <w:tcPr>
            <w:tcW w:w="1134" w:type="dxa"/>
            <w:vAlign w:val="center"/>
          </w:tcPr>
          <w:p>
            <w:pPr>
              <w:pStyle w:val="8"/>
              <w:spacing w:after="120"/>
              <w:ind w:right="-512" w:rightChars="-244"/>
              <w:rPr>
                <w:rFonts w:ascii="仿宋" w:hAnsi="仿宋" w:eastAsia="仿宋" w:cs="仿宋"/>
                <w:color w:val="auto"/>
                <w:szCs w:val="16"/>
                <w:highlight w:val="none"/>
              </w:rPr>
            </w:pPr>
          </w:p>
        </w:tc>
        <w:tc>
          <w:tcPr>
            <w:tcW w:w="1134" w:type="dxa"/>
            <w:vAlign w:val="center"/>
          </w:tcPr>
          <w:p>
            <w:pPr>
              <w:pStyle w:val="8"/>
              <w:spacing w:after="120"/>
              <w:ind w:right="-512" w:rightChars="-244"/>
              <w:rPr>
                <w:rFonts w:ascii="仿宋" w:hAnsi="仿宋" w:eastAsia="仿宋" w:cs="仿宋"/>
                <w:color w:val="auto"/>
                <w:szCs w:val="16"/>
                <w:highlight w:val="none"/>
              </w:rPr>
            </w:pPr>
          </w:p>
        </w:tc>
        <w:tc>
          <w:tcPr>
            <w:tcW w:w="1134" w:type="dxa"/>
            <w:vAlign w:val="center"/>
          </w:tcPr>
          <w:p>
            <w:pPr>
              <w:pStyle w:val="8"/>
              <w:spacing w:after="120"/>
              <w:ind w:right="-512" w:rightChars="-244"/>
              <w:rPr>
                <w:rFonts w:ascii="仿宋" w:hAnsi="仿宋" w:eastAsia="仿宋" w:cs="仿宋"/>
                <w:color w:val="auto"/>
                <w:szCs w:val="16"/>
                <w:highlight w:val="none"/>
              </w:rPr>
            </w:pPr>
          </w:p>
        </w:tc>
        <w:tc>
          <w:tcPr>
            <w:tcW w:w="709" w:type="dxa"/>
            <w:vAlign w:val="center"/>
          </w:tcPr>
          <w:p>
            <w:pPr>
              <w:pStyle w:val="8"/>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8"/>
              <w:spacing w:after="120"/>
              <w:ind w:right="-512" w:rightChars="-244"/>
              <w:rPr>
                <w:rFonts w:ascii="仿宋" w:hAnsi="仿宋" w:eastAsia="仿宋" w:cs="仿宋"/>
                <w:color w:val="auto"/>
                <w:szCs w:val="16"/>
                <w:highlight w:val="none"/>
              </w:rPr>
            </w:pPr>
          </w:p>
        </w:tc>
        <w:tc>
          <w:tcPr>
            <w:tcW w:w="1348" w:type="dxa"/>
            <w:vAlign w:val="center"/>
          </w:tcPr>
          <w:p>
            <w:pPr>
              <w:pStyle w:val="8"/>
              <w:spacing w:after="120"/>
              <w:ind w:right="-512" w:rightChars="-244"/>
              <w:rPr>
                <w:rFonts w:ascii="仿宋" w:hAnsi="仿宋" w:eastAsia="仿宋" w:cs="仿宋"/>
                <w:color w:val="auto"/>
                <w:szCs w:val="16"/>
                <w:highlight w:val="none"/>
              </w:rPr>
            </w:pPr>
          </w:p>
        </w:tc>
        <w:tc>
          <w:tcPr>
            <w:tcW w:w="943" w:type="dxa"/>
            <w:vAlign w:val="center"/>
          </w:tcPr>
          <w:p>
            <w:pPr>
              <w:pStyle w:val="8"/>
              <w:spacing w:after="120"/>
              <w:ind w:right="-512" w:rightChars="-244"/>
              <w:rPr>
                <w:rFonts w:ascii="仿宋" w:hAnsi="仿宋" w:eastAsia="仿宋" w:cs="仿宋"/>
                <w:color w:val="auto"/>
                <w:szCs w:val="16"/>
                <w:highlight w:val="none"/>
              </w:rPr>
            </w:pPr>
          </w:p>
        </w:tc>
        <w:tc>
          <w:tcPr>
            <w:tcW w:w="567" w:type="dxa"/>
            <w:vAlign w:val="center"/>
          </w:tcPr>
          <w:p>
            <w:pPr>
              <w:pStyle w:val="8"/>
              <w:spacing w:after="120"/>
              <w:ind w:right="-512" w:rightChars="-244"/>
              <w:rPr>
                <w:rFonts w:ascii="仿宋" w:hAnsi="仿宋" w:eastAsia="仿宋" w:cs="仿宋"/>
                <w:color w:val="auto"/>
                <w:szCs w:val="16"/>
                <w:highlight w:val="none"/>
              </w:rPr>
            </w:pPr>
          </w:p>
        </w:tc>
        <w:tc>
          <w:tcPr>
            <w:tcW w:w="686" w:type="dxa"/>
            <w:vAlign w:val="center"/>
          </w:tcPr>
          <w:p>
            <w:pPr>
              <w:pStyle w:val="8"/>
              <w:spacing w:after="120"/>
              <w:ind w:right="-512" w:rightChars="-244"/>
              <w:rPr>
                <w:rFonts w:ascii="仿宋" w:hAnsi="仿宋" w:eastAsia="仿宋" w:cs="仿宋"/>
                <w:color w:val="auto"/>
                <w:szCs w:val="16"/>
                <w:highlight w:val="none"/>
              </w:rPr>
            </w:pPr>
          </w:p>
        </w:tc>
        <w:tc>
          <w:tcPr>
            <w:tcW w:w="992" w:type="dxa"/>
          </w:tcPr>
          <w:p>
            <w:pPr>
              <w:pStyle w:val="8"/>
              <w:spacing w:after="120"/>
              <w:ind w:right="-512" w:rightChars="-244"/>
              <w:rPr>
                <w:rFonts w:ascii="仿宋" w:hAnsi="仿宋" w:eastAsia="仿宋" w:cs="仿宋"/>
                <w:color w:val="auto"/>
                <w:szCs w:val="16"/>
                <w:highlight w:val="none"/>
              </w:rPr>
            </w:pPr>
          </w:p>
        </w:tc>
        <w:tc>
          <w:tcPr>
            <w:tcW w:w="1134" w:type="dxa"/>
            <w:vAlign w:val="center"/>
          </w:tcPr>
          <w:p>
            <w:pPr>
              <w:pStyle w:val="8"/>
              <w:spacing w:after="120"/>
              <w:ind w:right="-512" w:rightChars="-244"/>
              <w:rPr>
                <w:rFonts w:ascii="仿宋" w:hAnsi="仿宋" w:eastAsia="仿宋" w:cs="仿宋"/>
                <w:color w:val="auto"/>
                <w:szCs w:val="16"/>
                <w:highlight w:val="none"/>
              </w:rPr>
            </w:pPr>
          </w:p>
        </w:tc>
        <w:tc>
          <w:tcPr>
            <w:tcW w:w="1134" w:type="dxa"/>
            <w:vAlign w:val="center"/>
          </w:tcPr>
          <w:p>
            <w:pPr>
              <w:pStyle w:val="8"/>
              <w:spacing w:after="120"/>
              <w:ind w:right="-512" w:rightChars="-244"/>
              <w:rPr>
                <w:rFonts w:ascii="仿宋" w:hAnsi="仿宋" w:eastAsia="仿宋" w:cs="仿宋"/>
                <w:color w:val="auto"/>
                <w:szCs w:val="16"/>
                <w:highlight w:val="none"/>
              </w:rPr>
            </w:pPr>
          </w:p>
        </w:tc>
        <w:tc>
          <w:tcPr>
            <w:tcW w:w="1134" w:type="dxa"/>
            <w:vAlign w:val="center"/>
          </w:tcPr>
          <w:p>
            <w:pPr>
              <w:pStyle w:val="8"/>
              <w:spacing w:after="120"/>
              <w:ind w:right="-512" w:rightChars="-244"/>
              <w:rPr>
                <w:rFonts w:ascii="仿宋" w:hAnsi="仿宋" w:eastAsia="仿宋" w:cs="仿宋"/>
                <w:color w:val="auto"/>
                <w:szCs w:val="16"/>
                <w:highlight w:val="none"/>
              </w:rPr>
            </w:pPr>
          </w:p>
        </w:tc>
        <w:tc>
          <w:tcPr>
            <w:tcW w:w="709" w:type="dxa"/>
            <w:vAlign w:val="center"/>
          </w:tcPr>
          <w:p>
            <w:pPr>
              <w:pStyle w:val="8"/>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8"/>
              <w:spacing w:after="120"/>
              <w:ind w:right="-512" w:rightChars="-244"/>
              <w:rPr>
                <w:rFonts w:ascii="仿宋" w:hAnsi="仿宋" w:eastAsia="仿宋" w:cs="仿宋"/>
                <w:color w:val="auto"/>
                <w:szCs w:val="16"/>
                <w:highlight w:val="none"/>
              </w:rPr>
            </w:pPr>
          </w:p>
        </w:tc>
        <w:tc>
          <w:tcPr>
            <w:tcW w:w="1348" w:type="dxa"/>
            <w:vAlign w:val="center"/>
          </w:tcPr>
          <w:p>
            <w:pPr>
              <w:pStyle w:val="8"/>
              <w:spacing w:after="120"/>
              <w:ind w:right="-512" w:rightChars="-244"/>
              <w:rPr>
                <w:rFonts w:ascii="仿宋" w:hAnsi="仿宋" w:eastAsia="仿宋" w:cs="仿宋"/>
                <w:color w:val="auto"/>
                <w:szCs w:val="16"/>
                <w:highlight w:val="none"/>
              </w:rPr>
            </w:pPr>
          </w:p>
        </w:tc>
        <w:tc>
          <w:tcPr>
            <w:tcW w:w="943" w:type="dxa"/>
            <w:vAlign w:val="center"/>
          </w:tcPr>
          <w:p>
            <w:pPr>
              <w:pStyle w:val="8"/>
              <w:spacing w:after="120"/>
              <w:ind w:right="-512" w:rightChars="-244"/>
              <w:rPr>
                <w:rFonts w:ascii="仿宋" w:hAnsi="仿宋" w:eastAsia="仿宋" w:cs="仿宋"/>
                <w:color w:val="auto"/>
                <w:szCs w:val="16"/>
                <w:highlight w:val="none"/>
              </w:rPr>
            </w:pPr>
          </w:p>
        </w:tc>
        <w:tc>
          <w:tcPr>
            <w:tcW w:w="567" w:type="dxa"/>
            <w:vAlign w:val="center"/>
          </w:tcPr>
          <w:p>
            <w:pPr>
              <w:pStyle w:val="8"/>
              <w:spacing w:after="120"/>
              <w:ind w:right="-512" w:rightChars="-244"/>
              <w:rPr>
                <w:rFonts w:ascii="仿宋" w:hAnsi="仿宋" w:eastAsia="仿宋" w:cs="仿宋"/>
                <w:color w:val="auto"/>
                <w:szCs w:val="16"/>
                <w:highlight w:val="none"/>
              </w:rPr>
            </w:pPr>
          </w:p>
        </w:tc>
        <w:tc>
          <w:tcPr>
            <w:tcW w:w="686" w:type="dxa"/>
            <w:vAlign w:val="center"/>
          </w:tcPr>
          <w:p>
            <w:pPr>
              <w:pStyle w:val="8"/>
              <w:spacing w:after="120"/>
              <w:ind w:right="-512" w:rightChars="-244"/>
              <w:rPr>
                <w:rFonts w:ascii="仿宋" w:hAnsi="仿宋" w:eastAsia="仿宋" w:cs="仿宋"/>
                <w:color w:val="auto"/>
                <w:szCs w:val="16"/>
                <w:highlight w:val="none"/>
              </w:rPr>
            </w:pPr>
          </w:p>
        </w:tc>
        <w:tc>
          <w:tcPr>
            <w:tcW w:w="992" w:type="dxa"/>
          </w:tcPr>
          <w:p>
            <w:pPr>
              <w:pStyle w:val="8"/>
              <w:spacing w:after="120"/>
              <w:ind w:right="-512" w:rightChars="-244"/>
              <w:rPr>
                <w:rFonts w:ascii="仿宋" w:hAnsi="仿宋" w:eastAsia="仿宋" w:cs="仿宋"/>
                <w:color w:val="auto"/>
                <w:szCs w:val="16"/>
                <w:highlight w:val="none"/>
              </w:rPr>
            </w:pPr>
          </w:p>
        </w:tc>
        <w:tc>
          <w:tcPr>
            <w:tcW w:w="1134" w:type="dxa"/>
            <w:vAlign w:val="center"/>
          </w:tcPr>
          <w:p>
            <w:pPr>
              <w:pStyle w:val="8"/>
              <w:spacing w:after="120"/>
              <w:ind w:right="-512" w:rightChars="-244"/>
              <w:rPr>
                <w:rFonts w:ascii="仿宋" w:hAnsi="仿宋" w:eastAsia="仿宋" w:cs="仿宋"/>
                <w:color w:val="auto"/>
                <w:szCs w:val="16"/>
                <w:highlight w:val="none"/>
              </w:rPr>
            </w:pPr>
          </w:p>
        </w:tc>
        <w:tc>
          <w:tcPr>
            <w:tcW w:w="1134" w:type="dxa"/>
            <w:vAlign w:val="center"/>
          </w:tcPr>
          <w:p>
            <w:pPr>
              <w:pStyle w:val="8"/>
              <w:spacing w:after="120"/>
              <w:ind w:right="-512" w:rightChars="-244"/>
              <w:rPr>
                <w:rFonts w:ascii="仿宋" w:hAnsi="仿宋" w:eastAsia="仿宋" w:cs="仿宋"/>
                <w:color w:val="auto"/>
                <w:szCs w:val="16"/>
                <w:highlight w:val="none"/>
              </w:rPr>
            </w:pPr>
          </w:p>
        </w:tc>
        <w:tc>
          <w:tcPr>
            <w:tcW w:w="1134" w:type="dxa"/>
            <w:vAlign w:val="center"/>
          </w:tcPr>
          <w:p>
            <w:pPr>
              <w:pStyle w:val="8"/>
              <w:spacing w:after="120"/>
              <w:ind w:right="-512" w:rightChars="-244"/>
              <w:rPr>
                <w:rFonts w:ascii="仿宋" w:hAnsi="仿宋" w:eastAsia="仿宋" w:cs="仿宋"/>
                <w:color w:val="auto"/>
                <w:szCs w:val="16"/>
                <w:highlight w:val="none"/>
              </w:rPr>
            </w:pPr>
          </w:p>
        </w:tc>
        <w:tc>
          <w:tcPr>
            <w:tcW w:w="709" w:type="dxa"/>
            <w:vAlign w:val="center"/>
          </w:tcPr>
          <w:p>
            <w:pPr>
              <w:pStyle w:val="8"/>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8"/>
              <w:spacing w:after="120"/>
              <w:ind w:right="-512" w:rightChars="-244"/>
              <w:rPr>
                <w:rFonts w:ascii="仿宋" w:hAnsi="仿宋" w:eastAsia="仿宋" w:cs="仿宋"/>
                <w:color w:val="auto"/>
                <w:szCs w:val="16"/>
                <w:highlight w:val="none"/>
              </w:rPr>
            </w:pPr>
          </w:p>
        </w:tc>
        <w:tc>
          <w:tcPr>
            <w:tcW w:w="1348" w:type="dxa"/>
            <w:vAlign w:val="center"/>
          </w:tcPr>
          <w:p>
            <w:pPr>
              <w:pStyle w:val="8"/>
              <w:spacing w:after="120"/>
              <w:ind w:right="-512" w:rightChars="-244"/>
              <w:rPr>
                <w:rFonts w:ascii="仿宋" w:hAnsi="仿宋" w:eastAsia="仿宋" w:cs="仿宋"/>
                <w:color w:val="auto"/>
                <w:szCs w:val="16"/>
                <w:highlight w:val="none"/>
              </w:rPr>
            </w:pPr>
          </w:p>
        </w:tc>
        <w:tc>
          <w:tcPr>
            <w:tcW w:w="943" w:type="dxa"/>
            <w:vAlign w:val="center"/>
          </w:tcPr>
          <w:p>
            <w:pPr>
              <w:pStyle w:val="8"/>
              <w:spacing w:after="120"/>
              <w:ind w:right="-512" w:rightChars="-244"/>
              <w:rPr>
                <w:rFonts w:ascii="仿宋" w:hAnsi="仿宋" w:eastAsia="仿宋" w:cs="仿宋"/>
                <w:color w:val="auto"/>
                <w:szCs w:val="16"/>
                <w:highlight w:val="none"/>
              </w:rPr>
            </w:pPr>
          </w:p>
        </w:tc>
        <w:tc>
          <w:tcPr>
            <w:tcW w:w="567" w:type="dxa"/>
            <w:vAlign w:val="center"/>
          </w:tcPr>
          <w:p>
            <w:pPr>
              <w:pStyle w:val="8"/>
              <w:spacing w:after="120"/>
              <w:ind w:right="-512" w:rightChars="-244"/>
              <w:rPr>
                <w:rFonts w:ascii="仿宋" w:hAnsi="仿宋" w:eastAsia="仿宋" w:cs="仿宋"/>
                <w:color w:val="auto"/>
                <w:szCs w:val="16"/>
                <w:highlight w:val="none"/>
              </w:rPr>
            </w:pPr>
          </w:p>
        </w:tc>
        <w:tc>
          <w:tcPr>
            <w:tcW w:w="686" w:type="dxa"/>
            <w:vAlign w:val="center"/>
          </w:tcPr>
          <w:p>
            <w:pPr>
              <w:pStyle w:val="8"/>
              <w:spacing w:after="120"/>
              <w:ind w:right="-512" w:rightChars="-244"/>
              <w:rPr>
                <w:rFonts w:ascii="仿宋" w:hAnsi="仿宋" w:eastAsia="仿宋" w:cs="仿宋"/>
                <w:color w:val="auto"/>
                <w:szCs w:val="16"/>
                <w:highlight w:val="none"/>
              </w:rPr>
            </w:pPr>
          </w:p>
        </w:tc>
        <w:tc>
          <w:tcPr>
            <w:tcW w:w="992" w:type="dxa"/>
          </w:tcPr>
          <w:p>
            <w:pPr>
              <w:pStyle w:val="8"/>
              <w:spacing w:after="120"/>
              <w:ind w:right="-512" w:rightChars="-244"/>
              <w:rPr>
                <w:rFonts w:ascii="仿宋" w:hAnsi="仿宋" w:eastAsia="仿宋" w:cs="仿宋"/>
                <w:color w:val="auto"/>
                <w:szCs w:val="16"/>
                <w:highlight w:val="none"/>
              </w:rPr>
            </w:pPr>
          </w:p>
        </w:tc>
        <w:tc>
          <w:tcPr>
            <w:tcW w:w="1134" w:type="dxa"/>
            <w:vAlign w:val="center"/>
          </w:tcPr>
          <w:p>
            <w:pPr>
              <w:pStyle w:val="8"/>
              <w:spacing w:after="120"/>
              <w:ind w:right="-512" w:rightChars="-244"/>
              <w:rPr>
                <w:rFonts w:ascii="仿宋" w:hAnsi="仿宋" w:eastAsia="仿宋" w:cs="仿宋"/>
                <w:color w:val="auto"/>
                <w:szCs w:val="16"/>
                <w:highlight w:val="none"/>
              </w:rPr>
            </w:pPr>
          </w:p>
        </w:tc>
        <w:tc>
          <w:tcPr>
            <w:tcW w:w="1134" w:type="dxa"/>
            <w:vAlign w:val="center"/>
          </w:tcPr>
          <w:p>
            <w:pPr>
              <w:pStyle w:val="8"/>
              <w:spacing w:after="120"/>
              <w:ind w:right="-512" w:rightChars="-244"/>
              <w:rPr>
                <w:rFonts w:ascii="仿宋" w:hAnsi="仿宋" w:eastAsia="仿宋" w:cs="仿宋"/>
                <w:color w:val="auto"/>
                <w:szCs w:val="16"/>
                <w:highlight w:val="none"/>
              </w:rPr>
            </w:pPr>
          </w:p>
        </w:tc>
        <w:tc>
          <w:tcPr>
            <w:tcW w:w="1134" w:type="dxa"/>
            <w:vAlign w:val="center"/>
          </w:tcPr>
          <w:p>
            <w:pPr>
              <w:pStyle w:val="8"/>
              <w:spacing w:after="120"/>
              <w:ind w:right="-512" w:rightChars="-244"/>
              <w:rPr>
                <w:rFonts w:ascii="仿宋" w:hAnsi="仿宋" w:eastAsia="仿宋" w:cs="仿宋"/>
                <w:color w:val="auto"/>
                <w:szCs w:val="16"/>
                <w:highlight w:val="none"/>
              </w:rPr>
            </w:pPr>
          </w:p>
        </w:tc>
        <w:tc>
          <w:tcPr>
            <w:tcW w:w="709" w:type="dxa"/>
            <w:vAlign w:val="center"/>
          </w:tcPr>
          <w:p>
            <w:pPr>
              <w:pStyle w:val="8"/>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8"/>
              <w:spacing w:after="120"/>
              <w:ind w:right="-512" w:rightChars="-244"/>
              <w:rPr>
                <w:rFonts w:ascii="仿宋" w:hAnsi="仿宋" w:eastAsia="仿宋" w:cs="仿宋"/>
                <w:color w:val="auto"/>
                <w:szCs w:val="16"/>
                <w:highlight w:val="none"/>
              </w:rPr>
            </w:pPr>
          </w:p>
        </w:tc>
        <w:tc>
          <w:tcPr>
            <w:tcW w:w="1348" w:type="dxa"/>
            <w:vAlign w:val="center"/>
          </w:tcPr>
          <w:p>
            <w:pPr>
              <w:pStyle w:val="8"/>
              <w:spacing w:after="120"/>
              <w:ind w:right="-512" w:rightChars="-244"/>
              <w:rPr>
                <w:rFonts w:ascii="仿宋" w:hAnsi="仿宋" w:eastAsia="仿宋" w:cs="仿宋"/>
                <w:color w:val="auto"/>
                <w:szCs w:val="16"/>
                <w:highlight w:val="none"/>
              </w:rPr>
            </w:pPr>
          </w:p>
        </w:tc>
        <w:tc>
          <w:tcPr>
            <w:tcW w:w="943" w:type="dxa"/>
            <w:vAlign w:val="center"/>
          </w:tcPr>
          <w:p>
            <w:pPr>
              <w:pStyle w:val="8"/>
              <w:spacing w:after="120"/>
              <w:ind w:right="-512" w:rightChars="-244"/>
              <w:rPr>
                <w:rFonts w:ascii="仿宋" w:hAnsi="仿宋" w:eastAsia="仿宋" w:cs="仿宋"/>
                <w:color w:val="auto"/>
                <w:szCs w:val="16"/>
                <w:highlight w:val="none"/>
              </w:rPr>
            </w:pPr>
          </w:p>
        </w:tc>
        <w:tc>
          <w:tcPr>
            <w:tcW w:w="567" w:type="dxa"/>
            <w:vAlign w:val="center"/>
          </w:tcPr>
          <w:p>
            <w:pPr>
              <w:pStyle w:val="8"/>
              <w:spacing w:after="120"/>
              <w:ind w:right="-512" w:rightChars="-244"/>
              <w:rPr>
                <w:rFonts w:ascii="仿宋" w:hAnsi="仿宋" w:eastAsia="仿宋" w:cs="仿宋"/>
                <w:color w:val="auto"/>
                <w:szCs w:val="16"/>
                <w:highlight w:val="none"/>
              </w:rPr>
            </w:pPr>
          </w:p>
        </w:tc>
        <w:tc>
          <w:tcPr>
            <w:tcW w:w="686" w:type="dxa"/>
            <w:vAlign w:val="center"/>
          </w:tcPr>
          <w:p>
            <w:pPr>
              <w:pStyle w:val="8"/>
              <w:spacing w:after="120"/>
              <w:ind w:right="-512" w:rightChars="-244"/>
              <w:rPr>
                <w:rFonts w:ascii="仿宋" w:hAnsi="仿宋" w:eastAsia="仿宋" w:cs="仿宋"/>
                <w:color w:val="auto"/>
                <w:szCs w:val="16"/>
                <w:highlight w:val="none"/>
              </w:rPr>
            </w:pPr>
          </w:p>
        </w:tc>
        <w:tc>
          <w:tcPr>
            <w:tcW w:w="992" w:type="dxa"/>
          </w:tcPr>
          <w:p>
            <w:pPr>
              <w:pStyle w:val="8"/>
              <w:spacing w:after="120"/>
              <w:ind w:right="-512" w:rightChars="-244"/>
              <w:rPr>
                <w:rFonts w:ascii="仿宋" w:hAnsi="仿宋" w:eastAsia="仿宋" w:cs="仿宋"/>
                <w:color w:val="auto"/>
                <w:szCs w:val="16"/>
                <w:highlight w:val="none"/>
              </w:rPr>
            </w:pPr>
          </w:p>
        </w:tc>
        <w:tc>
          <w:tcPr>
            <w:tcW w:w="1134" w:type="dxa"/>
            <w:vAlign w:val="center"/>
          </w:tcPr>
          <w:p>
            <w:pPr>
              <w:pStyle w:val="8"/>
              <w:spacing w:after="120"/>
              <w:ind w:right="-512" w:rightChars="-244"/>
              <w:rPr>
                <w:rFonts w:ascii="仿宋" w:hAnsi="仿宋" w:eastAsia="仿宋" w:cs="仿宋"/>
                <w:color w:val="auto"/>
                <w:szCs w:val="16"/>
                <w:highlight w:val="none"/>
              </w:rPr>
            </w:pPr>
          </w:p>
        </w:tc>
        <w:tc>
          <w:tcPr>
            <w:tcW w:w="1134" w:type="dxa"/>
            <w:vAlign w:val="center"/>
          </w:tcPr>
          <w:p>
            <w:pPr>
              <w:pStyle w:val="8"/>
              <w:spacing w:after="120"/>
              <w:ind w:right="-512" w:rightChars="-244"/>
              <w:rPr>
                <w:rFonts w:ascii="仿宋" w:hAnsi="仿宋" w:eastAsia="仿宋" w:cs="仿宋"/>
                <w:color w:val="auto"/>
                <w:szCs w:val="16"/>
                <w:highlight w:val="none"/>
              </w:rPr>
            </w:pPr>
          </w:p>
        </w:tc>
        <w:tc>
          <w:tcPr>
            <w:tcW w:w="1134" w:type="dxa"/>
            <w:vAlign w:val="center"/>
          </w:tcPr>
          <w:p>
            <w:pPr>
              <w:pStyle w:val="8"/>
              <w:spacing w:after="120"/>
              <w:ind w:right="-512" w:rightChars="-244"/>
              <w:rPr>
                <w:rFonts w:ascii="仿宋" w:hAnsi="仿宋" w:eastAsia="仿宋" w:cs="仿宋"/>
                <w:color w:val="auto"/>
                <w:szCs w:val="16"/>
                <w:highlight w:val="none"/>
              </w:rPr>
            </w:pPr>
          </w:p>
        </w:tc>
        <w:tc>
          <w:tcPr>
            <w:tcW w:w="709" w:type="dxa"/>
            <w:vAlign w:val="center"/>
          </w:tcPr>
          <w:p>
            <w:pPr>
              <w:pStyle w:val="8"/>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8"/>
              <w:spacing w:after="120"/>
              <w:ind w:right="-512" w:rightChars="-244"/>
              <w:rPr>
                <w:rFonts w:ascii="仿宋" w:hAnsi="仿宋" w:eastAsia="仿宋" w:cs="仿宋"/>
                <w:color w:val="auto"/>
                <w:szCs w:val="16"/>
                <w:highlight w:val="none"/>
              </w:rPr>
            </w:pPr>
          </w:p>
        </w:tc>
        <w:tc>
          <w:tcPr>
            <w:tcW w:w="1348" w:type="dxa"/>
            <w:vAlign w:val="center"/>
          </w:tcPr>
          <w:p>
            <w:pPr>
              <w:pStyle w:val="8"/>
              <w:spacing w:after="120"/>
              <w:ind w:right="-512" w:rightChars="-244"/>
              <w:rPr>
                <w:rFonts w:ascii="仿宋" w:hAnsi="仿宋" w:eastAsia="仿宋" w:cs="仿宋"/>
                <w:color w:val="auto"/>
                <w:szCs w:val="16"/>
                <w:highlight w:val="none"/>
              </w:rPr>
            </w:pPr>
          </w:p>
        </w:tc>
        <w:tc>
          <w:tcPr>
            <w:tcW w:w="943" w:type="dxa"/>
            <w:vAlign w:val="center"/>
          </w:tcPr>
          <w:p>
            <w:pPr>
              <w:pStyle w:val="8"/>
              <w:spacing w:after="120"/>
              <w:ind w:right="-512" w:rightChars="-244"/>
              <w:rPr>
                <w:rFonts w:ascii="仿宋" w:hAnsi="仿宋" w:eastAsia="仿宋" w:cs="仿宋"/>
                <w:color w:val="auto"/>
                <w:szCs w:val="16"/>
                <w:highlight w:val="none"/>
              </w:rPr>
            </w:pPr>
          </w:p>
        </w:tc>
        <w:tc>
          <w:tcPr>
            <w:tcW w:w="567" w:type="dxa"/>
            <w:vAlign w:val="center"/>
          </w:tcPr>
          <w:p>
            <w:pPr>
              <w:pStyle w:val="8"/>
              <w:spacing w:after="120"/>
              <w:ind w:right="-512" w:rightChars="-244"/>
              <w:rPr>
                <w:rFonts w:ascii="仿宋" w:hAnsi="仿宋" w:eastAsia="仿宋" w:cs="仿宋"/>
                <w:color w:val="auto"/>
                <w:szCs w:val="16"/>
                <w:highlight w:val="none"/>
              </w:rPr>
            </w:pPr>
          </w:p>
        </w:tc>
        <w:tc>
          <w:tcPr>
            <w:tcW w:w="686" w:type="dxa"/>
            <w:vAlign w:val="center"/>
          </w:tcPr>
          <w:p>
            <w:pPr>
              <w:pStyle w:val="8"/>
              <w:spacing w:after="120"/>
              <w:ind w:right="-512" w:rightChars="-244"/>
              <w:rPr>
                <w:rFonts w:ascii="仿宋" w:hAnsi="仿宋" w:eastAsia="仿宋" w:cs="仿宋"/>
                <w:color w:val="auto"/>
                <w:szCs w:val="16"/>
                <w:highlight w:val="none"/>
              </w:rPr>
            </w:pPr>
          </w:p>
        </w:tc>
        <w:tc>
          <w:tcPr>
            <w:tcW w:w="992" w:type="dxa"/>
          </w:tcPr>
          <w:p>
            <w:pPr>
              <w:pStyle w:val="8"/>
              <w:spacing w:after="120"/>
              <w:ind w:right="-512" w:rightChars="-244"/>
              <w:rPr>
                <w:rFonts w:ascii="仿宋" w:hAnsi="仿宋" w:eastAsia="仿宋" w:cs="仿宋"/>
                <w:color w:val="auto"/>
                <w:szCs w:val="16"/>
                <w:highlight w:val="none"/>
              </w:rPr>
            </w:pPr>
          </w:p>
        </w:tc>
        <w:tc>
          <w:tcPr>
            <w:tcW w:w="1134" w:type="dxa"/>
            <w:vAlign w:val="center"/>
          </w:tcPr>
          <w:p>
            <w:pPr>
              <w:pStyle w:val="8"/>
              <w:spacing w:after="120"/>
              <w:ind w:right="-512" w:rightChars="-244"/>
              <w:rPr>
                <w:rFonts w:ascii="仿宋" w:hAnsi="仿宋" w:eastAsia="仿宋" w:cs="仿宋"/>
                <w:color w:val="auto"/>
                <w:szCs w:val="16"/>
                <w:highlight w:val="none"/>
              </w:rPr>
            </w:pPr>
          </w:p>
        </w:tc>
        <w:tc>
          <w:tcPr>
            <w:tcW w:w="1134" w:type="dxa"/>
            <w:vAlign w:val="center"/>
          </w:tcPr>
          <w:p>
            <w:pPr>
              <w:pStyle w:val="8"/>
              <w:spacing w:after="120"/>
              <w:ind w:right="-512" w:rightChars="-244"/>
              <w:rPr>
                <w:rFonts w:ascii="仿宋" w:hAnsi="仿宋" w:eastAsia="仿宋" w:cs="仿宋"/>
                <w:color w:val="auto"/>
                <w:szCs w:val="16"/>
                <w:highlight w:val="none"/>
              </w:rPr>
            </w:pPr>
          </w:p>
        </w:tc>
        <w:tc>
          <w:tcPr>
            <w:tcW w:w="1134" w:type="dxa"/>
            <w:vAlign w:val="center"/>
          </w:tcPr>
          <w:p>
            <w:pPr>
              <w:pStyle w:val="8"/>
              <w:spacing w:after="120"/>
              <w:ind w:right="-512" w:rightChars="-244"/>
              <w:rPr>
                <w:rFonts w:ascii="仿宋" w:hAnsi="仿宋" w:eastAsia="仿宋" w:cs="仿宋"/>
                <w:color w:val="auto"/>
                <w:szCs w:val="16"/>
                <w:highlight w:val="none"/>
              </w:rPr>
            </w:pPr>
          </w:p>
        </w:tc>
        <w:tc>
          <w:tcPr>
            <w:tcW w:w="709" w:type="dxa"/>
            <w:vAlign w:val="center"/>
          </w:tcPr>
          <w:p>
            <w:pPr>
              <w:pStyle w:val="8"/>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after="120"/>
              <w:ind w:right="-512" w:rightChars="-244"/>
              <w:rPr>
                <w:rFonts w:ascii="仿宋" w:hAnsi="仿宋" w:eastAsia="仿宋" w:cs="仿宋"/>
                <w:color w:val="auto"/>
                <w:szCs w:val="16"/>
                <w:highlight w:val="none"/>
              </w:rPr>
            </w:pPr>
          </w:p>
        </w:tc>
        <w:tc>
          <w:tcPr>
            <w:tcW w:w="1348" w:type="dxa"/>
            <w:vAlign w:val="center"/>
          </w:tcPr>
          <w:p>
            <w:pPr>
              <w:spacing w:after="120"/>
              <w:ind w:right="-512" w:rightChars="-244"/>
              <w:rPr>
                <w:rFonts w:ascii="仿宋" w:hAnsi="仿宋" w:eastAsia="仿宋" w:cs="仿宋"/>
                <w:color w:val="auto"/>
                <w:szCs w:val="16"/>
                <w:highlight w:val="none"/>
              </w:rPr>
            </w:pPr>
          </w:p>
        </w:tc>
        <w:tc>
          <w:tcPr>
            <w:tcW w:w="943" w:type="dxa"/>
            <w:vAlign w:val="center"/>
          </w:tcPr>
          <w:p>
            <w:pPr>
              <w:spacing w:after="120"/>
              <w:ind w:right="-512" w:rightChars="-244"/>
              <w:rPr>
                <w:rFonts w:ascii="仿宋" w:hAnsi="仿宋" w:eastAsia="仿宋" w:cs="仿宋"/>
                <w:color w:val="auto"/>
                <w:szCs w:val="16"/>
                <w:highlight w:val="none"/>
              </w:rPr>
            </w:pPr>
          </w:p>
        </w:tc>
        <w:tc>
          <w:tcPr>
            <w:tcW w:w="567" w:type="dxa"/>
            <w:vAlign w:val="center"/>
          </w:tcPr>
          <w:p>
            <w:pPr>
              <w:spacing w:after="120"/>
              <w:ind w:right="-512" w:rightChars="-244"/>
              <w:rPr>
                <w:rFonts w:ascii="仿宋" w:hAnsi="仿宋" w:eastAsia="仿宋" w:cs="仿宋"/>
                <w:color w:val="auto"/>
                <w:szCs w:val="16"/>
                <w:highlight w:val="none"/>
              </w:rPr>
            </w:pPr>
          </w:p>
        </w:tc>
        <w:tc>
          <w:tcPr>
            <w:tcW w:w="686" w:type="dxa"/>
            <w:vAlign w:val="center"/>
          </w:tcPr>
          <w:p>
            <w:pPr>
              <w:spacing w:after="120"/>
              <w:ind w:right="-512" w:rightChars="-244"/>
              <w:rPr>
                <w:rFonts w:ascii="仿宋" w:hAnsi="仿宋" w:eastAsia="仿宋" w:cs="仿宋"/>
                <w:color w:val="auto"/>
                <w:szCs w:val="16"/>
                <w:highlight w:val="none"/>
              </w:rPr>
            </w:pPr>
          </w:p>
        </w:tc>
        <w:tc>
          <w:tcPr>
            <w:tcW w:w="992" w:type="dxa"/>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709" w:type="dxa"/>
            <w:vAlign w:val="center"/>
          </w:tcPr>
          <w:p>
            <w:pPr>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pStyle w:val="8"/>
              <w:spacing w:after="120"/>
              <w:ind w:right="-512" w:rightChars="-244"/>
              <w:rPr>
                <w:rFonts w:ascii="仿宋" w:hAnsi="仿宋" w:eastAsia="仿宋" w:cs="仿宋"/>
                <w:color w:val="auto"/>
                <w:szCs w:val="16"/>
                <w:highlight w:val="none"/>
              </w:rPr>
            </w:pPr>
          </w:p>
        </w:tc>
        <w:tc>
          <w:tcPr>
            <w:tcW w:w="1348" w:type="dxa"/>
            <w:vAlign w:val="center"/>
          </w:tcPr>
          <w:p>
            <w:pPr>
              <w:pStyle w:val="8"/>
              <w:spacing w:after="120"/>
              <w:ind w:right="-512" w:rightChars="-244"/>
              <w:rPr>
                <w:rFonts w:ascii="仿宋" w:hAnsi="仿宋" w:eastAsia="仿宋" w:cs="仿宋"/>
                <w:color w:val="auto"/>
                <w:szCs w:val="16"/>
                <w:highlight w:val="none"/>
              </w:rPr>
            </w:pPr>
          </w:p>
        </w:tc>
        <w:tc>
          <w:tcPr>
            <w:tcW w:w="943" w:type="dxa"/>
            <w:vAlign w:val="center"/>
          </w:tcPr>
          <w:p>
            <w:pPr>
              <w:pStyle w:val="8"/>
              <w:spacing w:after="120"/>
              <w:ind w:right="-512" w:rightChars="-244"/>
              <w:rPr>
                <w:rFonts w:ascii="仿宋" w:hAnsi="仿宋" w:eastAsia="仿宋" w:cs="仿宋"/>
                <w:color w:val="auto"/>
                <w:szCs w:val="16"/>
                <w:highlight w:val="none"/>
              </w:rPr>
            </w:pPr>
          </w:p>
        </w:tc>
        <w:tc>
          <w:tcPr>
            <w:tcW w:w="567" w:type="dxa"/>
            <w:vAlign w:val="center"/>
          </w:tcPr>
          <w:p>
            <w:pPr>
              <w:pStyle w:val="8"/>
              <w:spacing w:after="120"/>
              <w:ind w:right="-512" w:rightChars="-244"/>
              <w:rPr>
                <w:rFonts w:ascii="仿宋" w:hAnsi="仿宋" w:eastAsia="仿宋" w:cs="仿宋"/>
                <w:color w:val="auto"/>
                <w:szCs w:val="16"/>
                <w:highlight w:val="none"/>
              </w:rPr>
            </w:pPr>
          </w:p>
        </w:tc>
        <w:tc>
          <w:tcPr>
            <w:tcW w:w="686" w:type="dxa"/>
            <w:vAlign w:val="center"/>
          </w:tcPr>
          <w:p>
            <w:pPr>
              <w:pStyle w:val="8"/>
              <w:spacing w:after="120"/>
              <w:ind w:right="-512" w:rightChars="-244"/>
              <w:rPr>
                <w:rFonts w:ascii="仿宋" w:hAnsi="仿宋" w:eastAsia="仿宋" w:cs="仿宋"/>
                <w:color w:val="auto"/>
                <w:szCs w:val="16"/>
                <w:highlight w:val="none"/>
              </w:rPr>
            </w:pPr>
          </w:p>
        </w:tc>
        <w:tc>
          <w:tcPr>
            <w:tcW w:w="992" w:type="dxa"/>
          </w:tcPr>
          <w:p>
            <w:pPr>
              <w:pStyle w:val="8"/>
              <w:spacing w:after="120"/>
              <w:ind w:right="-512" w:rightChars="-244"/>
              <w:rPr>
                <w:rFonts w:ascii="仿宋" w:hAnsi="仿宋" w:eastAsia="仿宋" w:cs="仿宋"/>
                <w:color w:val="auto"/>
                <w:szCs w:val="16"/>
                <w:highlight w:val="none"/>
              </w:rPr>
            </w:pPr>
          </w:p>
        </w:tc>
        <w:tc>
          <w:tcPr>
            <w:tcW w:w="1134" w:type="dxa"/>
            <w:vAlign w:val="center"/>
          </w:tcPr>
          <w:p>
            <w:pPr>
              <w:pStyle w:val="8"/>
              <w:spacing w:after="120"/>
              <w:ind w:right="-512" w:rightChars="-244"/>
              <w:rPr>
                <w:rFonts w:ascii="仿宋" w:hAnsi="仿宋" w:eastAsia="仿宋" w:cs="仿宋"/>
                <w:color w:val="auto"/>
                <w:szCs w:val="16"/>
                <w:highlight w:val="none"/>
              </w:rPr>
            </w:pPr>
          </w:p>
        </w:tc>
        <w:tc>
          <w:tcPr>
            <w:tcW w:w="1134" w:type="dxa"/>
            <w:vAlign w:val="center"/>
          </w:tcPr>
          <w:p>
            <w:pPr>
              <w:pStyle w:val="8"/>
              <w:spacing w:after="120"/>
              <w:ind w:right="-512" w:rightChars="-244"/>
              <w:rPr>
                <w:rFonts w:ascii="仿宋" w:hAnsi="仿宋" w:eastAsia="仿宋" w:cs="仿宋"/>
                <w:color w:val="auto"/>
                <w:szCs w:val="16"/>
                <w:highlight w:val="none"/>
              </w:rPr>
            </w:pPr>
          </w:p>
        </w:tc>
        <w:tc>
          <w:tcPr>
            <w:tcW w:w="1134" w:type="dxa"/>
            <w:vAlign w:val="center"/>
          </w:tcPr>
          <w:p>
            <w:pPr>
              <w:pStyle w:val="8"/>
              <w:spacing w:after="120"/>
              <w:ind w:right="-512" w:rightChars="-244"/>
              <w:rPr>
                <w:rFonts w:ascii="仿宋" w:hAnsi="仿宋" w:eastAsia="仿宋" w:cs="仿宋"/>
                <w:color w:val="auto"/>
                <w:szCs w:val="16"/>
                <w:highlight w:val="none"/>
              </w:rPr>
            </w:pPr>
          </w:p>
        </w:tc>
        <w:tc>
          <w:tcPr>
            <w:tcW w:w="709" w:type="dxa"/>
            <w:vAlign w:val="center"/>
          </w:tcPr>
          <w:p>
            <w:pPr>
              <w:pStyle w:val="8"/>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after="120"/>
              <w:ind w:right="-512" w:rightChars="-244"/>
              <w:rPr>
                <w:rFonts w:ascii="仿宋" w:hAnsi="仿宋" w:eastAsia="仿宋" w:cs="仿宋"/>
                <w:color w:val="auto"/>
                <w:szCs w:val="16"/>
                <w:highlight w:val="none"/>
              </w:rPr>
            </w:pPr>
          </w:p>
        </w:tc>
        <w:tc>
          <w:tcPr>
            <w:tcW w:w="1348" w:type="dxa"/>
            <w:vAlign w:val="center"/>
          </w:tcPr>
          <w:p>
            <w:pPr>
              <w:spacing w:after="120"/>
              <w:ind w:right="-512" w:rightChars="-244"/>
              <w:rPr>
                <w:rFonts w:ascii="仿宋" w:hAnsi="仿宋" w:eastAsia="仿宋" w:cs="仿宋"/>
                <w:color w:val="auto"/>
                <w:szCs w:val="16"/>
                <w:highlight w:val="none"/>
              </w:rPr>
            </w:pPr>
          </w:p>
        </w:tc>
        <w:tc>
          <w:tcPr>
            <w:tcW w:w="943" w:type="dxa"/>
            <w:vAlign w:val="center"/>
          </w:tcPr>
          <w:p>
            <w:pPr>
              <w:spacing w:after="120"/>
              <w:ind w:right="-512" w:rightChars="-244"/>
              <w:rPr>
                <w:rFonts w:ascii="仿宋" w:hAnsi="仿宋" w:eastAsia="仿宋" w:cs="仿宋"/>
                <w:color w:val="auto"/>
                <w:szCs w:val="16"/>
                <w:highlight w:val="none"/>
              </w:rPr>
            </w:pPr>
          </w:p>
        </w:tc>
        <w:tc>
          <w:tcPr>
            <w:tcW w:w="567" w:type="dxa"/>
            <w:vAlign w:val="center"/>
          </w:tcPr>
          <w:p>
            <w:pPr>
              <w:spacing w:after="120"/>
              <w:ind w:right="-512" w:rightChars="-244"/>
              <w:rPr>
                <w:rFonts w:ascii="仿宋" w:hAnsi="仿宋" w:eastAsia="仿宋" w:cs="仿宋"/>
                <w:color w:val="auto"/>
                <w:szCs w:val="16"/>
                <w:highlight w:val="none"/>
              </w:rPr>
            </w:pPr>
          </w:p>
        </w:tc>
        <w:tc>
          <w:tcPr>
            <w:tcW w:w="686" w:type="dxa"/>
            <w:vAlign w:val="center"/>
          </w:tcPr>
          <w:p>
            <w:pPr>
              <w:spacing w:after="120"/>
              <w:ind w:right="-512" w:rightChars="-244"/>
              <w:rPr>
                <w:rFonts w:ascii="仿宋" w:hAnsi="仿宋" w:eastAsia="仿宋" w:cs="仿宋"/>
                <w:color w:val="auto"/>
                <w:szCs w:val="16"/>
                <w:highlight w:val="none"/>
              </w:rPr>
            </w:pPr>
          </w:p>
        </w:tc>
        <w:tc>
          <w:tcPr>
            <w:tcW w:w="992" w:type="dxa"/>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709" w:type="dxa"/>
            <w:vAlign w:val="center"/>
          </w:tcPr>
          <w:p>
            <w:pPr>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after="120"/>
              <w:ind w:right="-512" w:rightChars="-244"/>
              <w:rPr>
                <w:rFonts w:ascii="仿宋" w:hAnsi="仿宋" w:eastAsia="仿宋" w:cs="仿宋"/>
                <w:color w:val="auto"/>
                <w:szCs w:val="16"/>
                <w:highlight w:val="none"/>
              </w:rPr>
            </w:pPr>
          </w:p>
        </w:tc>
        <w:tc>
          <w:tcPr>
            <w:tcW w:w="1348" w:type="dxa"/>
            <w:vAlign w:val="center"/>
          </w:tcPr>
          <w:p>
            <w:pPr>
              <w:spacing w:after="120"/>
              <w:ind w:right="-512" w:rightChars="-244"/>
              <w:rPr>
                <w:rFonts w:ascii="仿宋" w:hAnsi="仿宋" w:eastAsia="仿宋" w:cs="仿宋"/>
                <w:color w:val="auto"/>
                <w:szCs w:val="16"/>
                <w:highlight w:val="none"/>
              </w:rPr>
            </w:pPr>
          </w:p>
        </w:tc>
        <w:tc>
          <w:tcPr>
            <w:tcW w:w="943" w:type="dxa"/>
            <w:vAlign w:val="center"/>
          </w:tcPr>
          <w:p>
            <w:pPr>
              <w:spacing w:after="120"/>
              <w:ind w:right="-512" w:rightChars="-244"/>
              <w:rPr>
                <w:rFonts w:ascii="仿宋" w:hAnsi="仿宋" w:eastAsia="仿宋" w:cs="仿宋"/>
                <w:color w:val="auto"/>
                <w:szCs w:val="16"/>
                <w:highlight w:val="none"/>
              </w:rPr>
            </w:pPr>
          </w:p>
        </w:tc>
        <w:tc>
          <w:tcPr>
            <w:tcW w:w="567" w:type="dxa"/>
            <w:vAlign w:val="center"/>
          </w:tcPr>
          <w:p>
            <w:pPr>
              <w:spacing w:after="120"/>
              <w:ind w:right="-512" w:rightChars="-244"/>
              <w:rPr>
                <w:rFonts w:ascii="仿宋" w:hAnsi="仿宋" w:eastAsia="仿宋" w:cs="仿宋"/>
                <w:color w:val="auto"/>
                <w:szCs w:val="16"/>
                <w:highlight w:val="none"/>
              </w:rPr>
            </w:pPr>
          </w:p>
        </w:tc>
        <w:tc>
          <w:tcPr>
            <w:tcW w:w="686" w:type="dxa"/>
            <w:vAlign w:val="center"/>
          </w:tcPr>
          <w:p>
            <w:pPr>
              <w:spacing w:after="120"/>
              <w:ind w:right="-512" w:rightChars="-244"/>
              <w:rPr>
                <w:rFonts w:ascii="仿宋" w:hAnsi="仿宋" w:eastAsia="仿宋" w:cs="仿宋"/>
                <w:color w:val="auto"/>
                <w:szCs w:val="16"/>
                <w:highlight w:val="none"/>
              </w:rPr>
            </w:pPr>
          </w:p>
        </w:tc>
        <w:tc>
          <w:tcPr>
            <w:tcW w:w="992" w:type="dxa"/>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709" w:type="dxa"/>
            <w:vAlign w:val="center"/>
          </w:tcPr>
          <w:p>
            <w:pPr>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after="120"/>
              <w:ind w:right="-512" w:rightChars="-244"/>
              <w:rPr>
                <w:rFonts w:ascii="仿宋" w:hAnsi="仿宋" w:eastAsia="仿宋" w:cs="仿宋"/>
                <w:color w:val="auto"/>
                <w:szCs w:val="16"/>
                <w:highlight w:val="none"/>
              </w:rPr>
            </w:pPr>
          </w:p>
        </w:tc>
        <w:tc>
          <w:tcPr>
            <w:tcW w:w="1348" w:type="dxa"/>
            <w:vAlign w:val="center"/>
          </w:tcPr>
          <w:p>
            <w:pPr>
              <w:spacing w:after="120"/>
              <w:ind w:right="-512" w:rightChars="-244"/>
              <w:rPr>
                <w:rFonts w:ascii="仿宋" w:hAnsi="仿宋" w:eastAsia="仿宋" w:cs="仿宋"/>
                <w:color w:val="auto"/>
                <w:szCs w:val="16"/>
                <w:highlight w:val="none"/>
              </w:rPr>
            </w:pPr>
          </w:p>
        </w:tc>
        <w:tc>
          <w:tcPr>
            <w:tcW w:w="943" w:type="dxa"/>
            <w:vAlign w:val="center"/>
          </w:tcPr>
          <w:p>
            <w:pPr>
              <w:spacing w:after="120"/>
              <w:ind w:right="-512" w:rightChars="-244"/>
              <w:rPr>
                <w:rFonts w:ascii="仿宋" w:hAnsi="仿宋" w:eastAsia="仿宋" w:cs="仿宋"/>
                <w:color w:val="auto"/>
                <w:szCs w:val="16"/>
                <w:highlight w:val="none"/>
              </w:rPr>
            </w:pPr>
          </w:p>
        </w:tc>
        <w:tc>
          <w:tcPr>
            <w:tcW w:w="567" w:type="dxa"/>
            <w:vAlign w:val="center"/>
          </w:tcPr>
          <w:p>
            <w:pPr>
              <w:spacing w:after="120"/>
              <w:ind w:right="-512" w:rightChars="-244"/>
              <w:rPr>
                <w:rFonts w:ascii="仿宋" w:hAnsi="仿宋" w:eastAsia="仿宋" w:cs="仿宋"/>
                <w:color w:val="auto"/>
                <w:szCs w:val="16"/>
                <w:highlight w:val="none"/>
              </w:rPr>
            </w:pPr>
          </w:p>
        </w:tc>
        <w:tc>
          <w:tcPr>
            <w:tcW w:w="686" w:type="dxa"/>
            <w:vAlign w:val="center"/>
          </w:tcPr>
          <w:p>
            <w:pPr>
              <w:spacing w:after="120"/>
              <w:ind w:right="-512" w:rightChars="-244"/>
              <w:rPr>
                <w:rFonts w:ascii="仿宋" w:hAnsi="仿宋" w:eastAsia="仿宋" w:cs="仿宋"/>
                <w:color w:val="auto"/>
                <w:szCs w:val="16"/>
                <w:highlight w:val="none"/>
              </w:rPr>
            </w:pPr>
          </w:p>
        </w:tc>
        <w:tc>
          <w:tcPr>
            <w:tcW w:w="992" w:type="dxa"/>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709" w:type="dxa"/>
            <w:vAlign w:val="center"/>
          </w:tcPr>
          <w:p>
            <w:pPr>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after="120"/>
              <w:ind w:right="-512" w:rightChars="-244"/>
              <w:rPr>
                <w:rFonts w:ascii="仿宋" w:hAnsi="仿宋" w:eastAsia="仿宋" w:cs="仿宋"/>
                <w:color w:val="auto"/>
                <w:szCs w:val="16"/>
                <w:highlight w:val="none"/>
              </w:rPr>
            </w:pPr>
          </w:p>
        </w:tc>
        <w:tc>
          <w:tcPr>
            <w:tcW w:w="1348" w:type="dxa"/>
            <w:vAlign w:val="center"/>
          </w:tcPr>
          <w:p>
            <w:pPr>
              <w:spacing w:after="120"/>
              <w:ind w:right="-512" w:rightChars="-244"/>
              <w:rPr>
                <w:rFonts w:ascii="仿宋" w:hAnsi="仿宋" w:eastAsia="仿宋" w:cs="仿宋"/>
                <w:color w:val="auto"/>
                <w:szCs w:val="16"/>
                <w:highlight w:val="none"/>
              </w:rPr>
            </w:pPr>
          </w:p>
        </w:tc>
        <w:tc>
          <w:tcPr>
            <w:tcW w:w="943" w:type="dxa"/>
            <w:vAlign w:val="center"/>
          </w:tcPr>
          <w:p>
            <w:pPr>
              <w:spacing w:after="120"/>
              <w:ind w:right="-512" w:rightChars="-244"/>
              <w:rPr>
                <w:rFonts w:ascii="仿宋" w:hAnsi="仿宋" w:eastAsia="仿宋" w:cs="仿宋"/>
                <w:color w:val="auto"/>
                <w:szCs w:val="16"/>
                <w:highlight w:val="none"/>
              </w:rPr>
            </w:pPr>
          </w:p>
        </w:tc>
        <w:tc>
          <w:tcPr>
            <w:tcW w:w="567" w:type="dxa"/>
            <w:vAlign w:val="center"/>
          </w:tcPr>
          <w:p>
            <w:pPr>
              <w:spacing w:after="120"/>
              <w:ind w:right="-512" w:rightChars="-244"/>
              <w:rPr>
                <w:rFonts w:ascii="仿宋" w:hAnsi="仿宋" w:eastAsia="仿宋" w:cs="仿宋"/>
                <w:color w:val="auto"/>
                <w:szCs w:val="16"/>
                <w:highlight w:val="none"/>
              </w:rPr>
            </w:pPr>
          </w:p>
        </w:tc>
        <w:tc>
          <w:tcPr>
            <w:tcW w:w="686" w:type="dxa"/>
            <w:vAlign w:val="center"/>
          </w:tcPr>
          <w:p>
            <w:pPr>
              <w:spacing w:after="120"/>
              <w:ind w:right="-512" w:rightChars="-244"/>
              <w:rPr>
                <w:rFonts w:ascii="仿宋" w:hAnsi="仿宋" w:eastAsia="仿宋" w:cs="仿宋"/>
                <w:color w:val="auto"/>
                <w:szCs w:val="16"/>
                <w:highlight w:val="none"/>
              </w:rPr>
            </w:pPr>
          </w:p>
        </w:tc>
        <w:tc>
          <w:tcPr>
            <w:tcW w:w="992" w:type="dxa"/>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709" w:type="dxa"/>
            <w:vAlign w:val="center"/>
          </w:tcPr>
          <w:p>
            <w:pPr>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after="120"/>
              <w:ind w:right="-512" w:rightChars="-244"/>
              <w:rPr>
                <w:rFonts w:ascii="仿宋" w:hAnsi="仿宋" w:eastAsia="仿宋" w:cs="仿宋"/>
                <w:color w:val="auto"/>
                <w:szCs w:val="16"/>
                <w:highlight w:val="none"/>
              </w:rPr>
            </w:pPr>
          </w:p>
        </w:tc>
        <w:tc>
          <w:tcPr>
            <w:tcW w:w="1348" w:type="dxa"/>
            <w:vAlign w:val="center"/>
          </w:tcPr>
          <w:p>
            <w:pPr>
              <w:spacing w:after="120"/>
              <w:ind w:right="-512" w:rightChars="-244"/>
              <w:rPr>
                <w:rFonts w:ascii="仿宋" w:hAnsi="仿宋" w:eastAsia="仿宋" w:cs="仿宋"/>
                <w:color w:val="auto"/>
                <w:szCs w:val="16"/>
                <w:highlight w:val="none"/>
              </w:rPr>
            </w:pPr>
          </w:p>
        </w:tc>
        <w:tc>
          <w:tcPr>
            <w:tcW w:w="943" w:type="dxa"/>
            <w:vAlign w:val="center"/>
          </w:tcPr>
          <w:p>
            <w:pPr>
              <w:spacing w:after="120"/>
              <w:ind w:right="-512" w:rightChars="-244"/>
              <w:rPr>
                <w:rFonts w:ascii="仿宋" w:hAnsi="仿宋" w:eastAsia="仿宋" w:cs="仿宋"/>
                <w:color w:val="auto"/>
                <w:szCs w:val="16"/>
                <w:highlight w:val="none"/>
              </w:rPr>
            </w:pPr>
          </w:p>
        </w:tc>
        <w:tc>
          <w:tcPr>
            <w:tcW w:w="567" w:type="dxa"/>
            <w:vAlign w:val="center"/>
          </w:tcPr>
          <w:p>
            <w:pPr>
              <w:spacing w:after="120"/>
              <w:ind w:right="-512" w:rightChars="-244"/>
              <w:rPr>
                <w:rFonts w:ascii="仿宋" w:hAnsi="仿宋" w:eastAsia="仿宋" w:cs="仿宋"/>
                <w:color w:val="auto"/>
                <w:szCs w:val="16"/>
                <w:highlight w:val="none"/>
              </w:rPr>
            </w:pPr>
          </w:p>
        </w:tc>
        <w:tc>
          <w:tcPr>
            <w:tcW w:w="686" w:type="dxa"/>
            <w:vAlign w:val="center"/>
          </w:tcPr>
          <w:p>
            <w:pPr>
              <w:spacing w:after="120"/>
              <w:ind w:right="-512" w:rightChars="-244"/>
              <w:rPr>
                <w:rFonts w:ascii="仿宋" w:hAnsi="仿宋" w:eastAsia="仿宋" w:cs="仿宋"/>
                <w:color w:val="auto"/>
                <w:szCs w:val="16"/>
                <w:highlight w:val="none"/>
              </w:rPr>
            </w:pPr>
          </w:p>
        </w:tc>
        <w:tc>
          <w:tcPr>
            <w:tcW w:w="992" w:type="dxa"/>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709" w:type="dxa"/>
            <w:vAlign w:val="center"/>
          </w:tcPr>
          <w:p>
            <w:pPr>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after="120"/>
              <w:ind w:right="-512" w:rightChars="-244"/>
              <w:rPr>
                <w:rFonts w:ascii="仿宋" w:hAnsi="仿宋" w:eastAsia="仿宋" w:cs="仿宋"/>
                <w:color w:val="auto"/>
                <w:szCs w:val="16"/>
                <w:highlight w:val="none"/>
              </w:rPr>
            </w:pPr>
          </w:p>
        </w:tc>
        <w:tc>
          <w:tcPr>
            <w:tcW w:w="1348" w:type="dxa"/>
            <w:vAlign w:val="center"/>
          </w:tcPr>
          <w:p>
            <w:pPr>
              <w:spacing w:after="120"/>
              <w:ind w:right="-512" w:rightChars="-244"/>
              <w:rPr>
                <w:rFonts w:ascii="仿宋" w:hAnsi="仿宋" w:eastAsia="仿宋" w:cs="仿宋"/>
                <w:color w:val="auto"/>
                <w:szCs w:val="16"/>
                <w:highlight w:val="none"/>
              </w:rPr>
            </w:pPr>
          </w:p>
        </w:tc>
        <w:tc>
          <w:tcPr>
            <w:tcW w:w="943" w:type="dxa"/>
            <w:vAlign w:val="center"/>
          </w:tcPr>
          <w:p>
            <w:pPr>
              <w:spacing w:after="120"/>
              <w:ind w:right="-512" w:rightChars="-244"/>
              <w:rPr>
                <w:rFonts w:ascii="仿宋" w:hAnsi="仿宋" w:eastAsia="仿宋" w:cs="仿宋"/>
                <w:color w:val="auto"/>
                <w:szCs w:val="16"/>
                <w:highlight w:val="none"/>
              </w:rPr>
            </w:pPr>
          </w:p>
        </w:tc>
        <w:tc>
          <w:tcPr>
            <w:tcW w:w="567" w:type="dxa"/>
            <w:vAlign w:val="center"/>
          </w:tcPr>
          <w:p>
            <w:pPr>
              <w:spacing w:after="120"/>
              <w:ind w:right="-512" w:rightChars="-244"/>
              <w:rPr>
                <w:rFonts w:ascii="仿宋" w:hAnsi="仿宋" w:eastAsia="仿宋" w:cs="仿宋"/>
                <w:color w:val="auto"/>
                <w:szCs w:val="16"/>
                <w:highlight w:val="none"/>
              </w:rPr>
            </w:pPr>
          </w:p>
        </w:tc>
        <w:tc>
          <w:tcPr>
            <w:tcW w:w="686" w:type="dxa"/>
            <w:vAlign w:val="center"/>
          </w:tcPr>
          <w:p>
            <w:pPr>
              <w:spacing w:after="120"/>
              <w:ind w:right="-512" w:rightChars="-244"/>
              <w:rPr>
                <w:rFonts w:ascii="仿宋" w:hAnsi="仿宋" w:eastAsia="仿宋" w:cs="仿宋"/>
                <w:color w:val="auto"/>
                <w:szCs w:val="16"/>
                <w:highlight w:val="none"/>
              </w:rPr>
            </w:pPr>
          </w:p>
        </w:tc>
        <w:tc>
          <w:tcPr>
            <w:tcW w:w="992" w:type="dxa"/>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709" w:type="dxa"/>
            <w:vAlign w:val="center"/>
          </w:tcPr>
          <w:p>
            <w:pPr>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after="120"/>
              <w:ind w:right="-512" w:rightChars="-244"/>
              <w:rPr>
                <w:rFonts w:ascii="仿宋" w:hAnsi="仿宋" w:eastAsia="仿宋" w:cs="仿宋"/>
                <w:color w:val="auto"/>
                <w:szCs w:val="16"/>
                <w:highlight w:val="none"/>
              </w:rPr>
            </w:pPr>
          </w:p>
        </w:tc>
        <w:tc>
          <w:tcPr>
            <w:tcW w:w="1348" w:type="dxa"/>
            <w:vAlign w:val="center"/>
          </w:tcPr>
          <w:p>
            <w:pPr>
              <w:spacing w:after="120"/>
              <w:ind w:right="-512" w:rightChars="-244"/>
              <w:rPr>
                <w:rFonts w:ascii="仿宋" w:hAnsi="仿宋" w:eastAsia="仿宋" w:cs="仿宋"/>
                <w:color w:val="auto"/>
                <w:szCs w:val="16"/>
                <w:highlight w:val="none"/>
              </w:rPr>
            </w:pPr>
          </w:p>
        </w:tc>
        <w:tc>
          <w:tcPr>
            <w:tcW w:w="943" w:type="dxa"/>
            <w:vAlign w:val="center"/>
          </w:tcPr>
          <w:p>
            <w:pPr>
              <w:spacing w:after="120"/>
              <w:ind w:right="-512" w:rightChars="-244"/>
              <w:rPr>
                <w:rFonts w:ascii="仿宋" w:hAnsi="仿宋" w:eastAsia="仿宋" w:cs="仿宋"/>
                <w:color w:val="auto"/>
                <w:szCs w:val="16"/>
                <w:highlight w:val="none"/>
              </w:rPr>
            </w:pPr>
          </w:p>
        </w:tc>
        <w:tc>
          <w:tcPr>
            <w:tcW w:w="567" w:type="dxa"/>
            <w:vAlign w:val="center"/>
          </w:tcPr>
          <w:p>
            <w:pPr>
              <w:spacing w:after="120"/>
              <w:ind w:right="-512" w:rightChars="-244"/>
              <w:rPr>
                <w:rFonts w:ascii="仿宋" w:hAnsi="仿宋" w:eastAsia="仿宋" w:cs="仿宋"/>
                <w:color w:val="auto"/>
                <w:szCs w:val="16"/>
                <w:highlight w:val="none"/>
              </w:rPr>
            </w:pPr>
          </w:p>
        </w:tc>
        <w:tc>
          <w:tcPr>
            <w:tcW w:w="686" w:type="dxa"/>
            <w:vAlign w:val="center"/>
          </w:tcPr>
          <w:p>
            <w:pPr>
              <w:spacing w:after="120"/>
              <w:ind w:right="-512" w:rightChars="-244"/>
              <w:rPr>
                <w:rFonts w:ascii="仿宋" w:hAnsi="仿宋" w:eastAsia="仿宋" w:cs="仿宋"/>
                <w:color w:val="auto"/>
                <w:szCs w:val="16"/>
                <w:highlight w:val="none"/>
              </w:rPr>
            </w:pPr>
          </w:p>
        </w:tc>
        <w:tc>
          <w:tcPr>
            <w:tcW w:w="992" w:type="dxa"/>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709" w:type="dxa"/>
            <w:vAlign w:val="center"/>
          </w:tcPr>
          <w:p>
            <w:pPr>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52" w:type="dxa"/>
            <w:vAlign w:val="center"/>
          </w:tcPr>
          <w:p>
            <w:pPr>
              <w:spacing w:after="120"/>
              <w:ind w:right="-512" w:rightChars="-244"/>
              <w:rPr>
                <w:rFonts w:ascii="仿宋" w:hAnsi="仿宋" w:eastAsia="仿宋" w:cs="仿宋"/>
                <w:color w:val="auto"/>
                <w:szCs w:val="16"/>
                <w:highlight w:val="none"/>
              </w:rPr>
            </w:pPr>
          </w:p>
        </w:tc>
        <w:tc>
          <w:tcPr>
            <w:tcW w:w="1348" w:type="dxa"/>
            <w:vAlign w:val="center"/>
          </w:tcPr>
          <w:p>
            <w:pPr>
              <w:spacing w:after="120"/>
              <w:ind w:right="-512" w:rightChars="-244"/>
              <w:rPr>
                <w:rFonts w:ascii="仿宋" w:hAnsi="仿宋" w:eastAsia="仿宋" w:cs="仿宋"/>
                <w:color w:val="auto"/>
                <w:szCs w:val="16"/>
                <w:highlight w:val="none"/>
              </w:rPr>
            </w:pPr>
          </w:p>
        </w:tc>
        <w:tc>
          <w:tcPr>
            <w:tcW w:w="943" w:type="dxa"/>
            <w:vAlign w:val="center"/>
          </w:tcPr>
          <w:p>
            <w:pPr>
              <w:spacing w:after="120"/>
              <w:ind w:right="-512" w:rightChars="-244"/>
              <w:rPr>
                <w:rFonts w:ascii="仿宋" w:hAnsi="仿宋" w:eastAsia="仿宋" w:cs="仿宋"/>
                <w:color w:val="auto"/>
                <w:szCs w:val="16"/>
                <w:highlight w:val="none"/>
              </w:rPr>
            </w:pPr>
          </w:p>
        </w:tc>
        <w:tc>
          <w:tcPr>
            <w:tcW w:w="567" w:type="dxa"/>
            <w:vAlign w:val="center"/>
          </w:tcPr>
          <w:p>
            <w:pPr>
              <w:spacing w:after="120"/>
              <w:ind w:right="-512" w:rightChars="-244"/>
              <w:rPr>
                <w:rFonts w:ascii="仿宋" w:hAnsi="仿宋" w:eastAsia="仿宋" w:cs="仿宋"/>
                <w:color w:val="auto"/>
                <w:szCs w:val="16"/>
                <w:highlight w:val="none"/>
              </w:rPr>
            </w:pPr>
          </w:p>
        </w:tc>
        <w:tc>
          <w:tcPr>
            <w:tcW w:w="686" w:type="dxa"/>
            <w:vAlign w:val="center"/>
          </w:tcPr>
          <w:p>
            <w:pPr>
              <w:spacing w:after="120"/>
              <w:ind w:right="-512" w:rightChars="-244"/>
              <w:rPr>
                <w:rFonts w:ascii="仿宋" w:hAnsi="仿宋" w:eastAsia="仿宋" w:cs="仿宋"/>
                <w:color w:val="auto"/>
                <w:szCs w:val="16"/>
                <w:highlight w:val="none"/>
              </w:rPr>
            </w:pPr>
          </w:p>
        </w:tc>
        <w:tc>
          <w:tcPr>
            <w:tcW w:w="992" w:type="dxa"/>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1134" w:type="dxa"/>
            <w:vAlign w:val="center"/>
          </w:tcPr>
          <w:p>
            <w:pPr>
              <w:spacing w:after="120"/>
              <w:ind w:right="-512" w:rightChars="-244"/>
              <w:rPr>
                <w:rFonts w:ascii="仿宋" w:hAnsi="仿宋" w:eastAsia="仿宋" w:cs="仿宋"/>
                <w:color w:val="auto"/>
                <w:szCs w:val="16"/>
                <w:highlight w:val="none"/>
              </w:rPr>
            </w:pPr>
          </w:p>
        </w:tc>
        <w:tc>
          <w:tcPr>
            <w:tcW w:w="709" w:type="dxa"/>
            <w:vAlign w:val="center"/>
          </w:tcPr>
          <w:p>
            <w:pPr>
              <w:spacing w:after="120"/>
              <w:ind w:right="-512" w:rightChars="-244"/>
              <w:rPr>
                <w:rFonts w:ascii="仿宋" w:hAnsi="仿宋" w:eastAsia="仿宋" w:cs="仿宋"/>
                <w:color w:val="auto"/>
                <w:szCs w:val="16"/>
                <w:highlight w:val="none"/>
              </w:rPr>
            </w:pPr>
          </w:p>
        </w:tc>
      </w:tr>
    </w:tbl>
    <w:p>
      <w:pPr>
        <w:spacing w:after="120"/>
        <w:ind w:right="-512" w:rightChars="-244"/>
        <w:rPr>
          <w:rFonts w:ascii="仿宋" w:hAnsi="仿宋" w:eastAsia="仿宋" w:cs="仿宋"/>
          <w:color w:val="auto"/>
          <w:szCs w:val="16"/>
          <w:highlight w:val="none"/>
        </w:rPr>
      </w:pPr>
    </w:p>
    <w:p>
      <w:pPr>
        <w:spacing w:after="120"/>
        <w:ind w:right="-512" w:rightChars="-244"/>
        <w:rPr>
          <w:rFonts w:ascii="仿宋" w:hAnsi="仿宋" w:eastAsia="仿宋" w:cs="仿宋"/>
          <w:color w:val="auto"/>
          <w:szCs w:val="16"/>
          <w:highlight w:val="none"/>
        </w:rPr>
      </w:pPr>
      <w:r>
        <w:rPr>
          <w:rFonts w:hint="eastAsia" w:ascii="仿宋" w:hAnsi="仿宋" w:eastAsia="仿宋" w:cs="仿宋"/>
          <w:color w:val="auto"/>
          <w:szCs w:val="16"/>
          <w:highlight w:val="none"/>
        </w:rPr>
        <w:br w:type="page"/>
      </w:r>
    </w:p>
    <w:p>
      <w:pPr>
        <w:pStyle w:val="197"/>
        <w:spacing w:after="120"/>
        <w:ind w:left="0" w:right="-512" w:rightChars="-244"/>
        <w:rPr>
          <w:rFonts w:ascii="仿宋" w:hAnsi="仿宋" w:eastAsia="仿宋" w:cs="仿宋"/>
          <w:color w:val="auto"/>
          <w:sz w:val="24"/>
          <w:szCs w:val="24"/>
          <w:highlight w:val="none"/>
        </w:rPr>
      </w:pPr>
      <w:bookmarkStart w:id="551" w:name="_Toc20171895"/>
      <w:bookmarkStart w:id="552" w:name="_Toc24987_WPSOffice_Level2"/>
      <w:bookmarkStart w:id="553" w:name="_Toc1990"/>
      <w:r>
        <w:rPr>
          <w:rFonts w:hint="eastAsia" w:ascii="仿宋" w:hAnsi="仿宋" w:eastAsia="仿宋" w:cs="仿宋"/>
          <w:color w:val="auto"/>
          <w:sz w:val="24"/>
          <w:szCs w:val="24"/>
          <w:highlight w:val="none"/>
        </w:rPr>
        <w:t>工程质量保修书</w:t>
      </w:r>
      <w:bookmarkEnd w:id="551"/>
      <w:bookmarkEnd w:id="552"/>
      <w:bookmarkEnd w:id="553"/>
    </w:p>
    <w:p>
      <w:pPr>
        <w:spacing w:after="120"/>
        <w:ind w:right="-512" w:rightChars="-244"/>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发包人（全称）：</w:t>
      </w:r>
      <w:r>
        <w:rPr>
          <w:rFonts w:hint="eastAsia" w:ascii="仿宋" w:hAnsi="仿宋" w:eastAsia="仿宋" w:cs="仿宋"/>
          <w:color w:val="auto"/>
          <w:sz w:val="24"/>
          <w:szCs w:val="24"/>
          <w:highlight w:val="none"/>
          <w:u w:val="single"/>
        </w:rPr>
        <w:t xml:space="preserve">                                  </w:t>
      </w:r>
    </w:p>
    <w:p>
      <w:pPr>
        <w:spacing w:after="120" w:line="300" w:lineRule="auto"/>
        <w:ind w:right="-512" w:rightChars="-244"/>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承包人（全称）：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spacing w:after="120" w:line="30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发包人和承包人根据《中华人民共和国建筑法》和《建设工程质量管理条例》，经协商一致就</w:t>
      </w:r>
      <w:r>
        <w:rPr>
          <w:rFonts w:hint="eastAsia" w:ascii="仿宋" w:hAnsi="仿宋" w:eastAsia="仿宋" w:cs="仿宋"/>
          <w:color w:val="auto"/>
          <w:sz w:val="24"/>
          <w:szCs w:val="24"/>
          <w:highlight w:val="none"/>
          <w:u w:val="single"/>
        </w:rPr>
        <w:t>石河子大学会泽食府餐厅二楼装饰装修工程总承包</w:t>
      </w:r>
      <w:r>
        <w:rPr>
          <w:rFonts w:hint="eastAsia" w:ascii="仿宋" w:hAnsi="仿宋" w:eastAsia="仿宋" w:cs="仿宋"/>
          <w:color w:val="auto"/>
          <w:sz w:val="24"/>
          <w:szCs w:val="24"/>
          <w:highlight w:val="none"/>
        </w:rPr>
        <w:t>（工程全称）签订工程质量保修书。</w:t>
      </w:r>
    </w:p>
    <w:p>
      <w:pPr>
        <w:spacing w:after="120" w:line="30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一、工程质量保修范围和内容</w:t>
      </w:r>
    </w:p>
    <w:p>
      <w:pPr>
        <w:spacing w:after="120" w:line="30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承包人在质量保修期内，按照有关法律规定和合同约定，承担工程质量保修责任。</w:t>
      </w:r>
    </w:p>
    <w:p>
      <w:pPr>
        <w:pStyle w:val="8"/>
        <w:tabs>
          <w:tab w:val="left" w:pos="6875"/>
        </w:tabs>
        <w:spacing w:before="161" w:line="364" w:lineRule="auto"/>
        <w:ind w:left="112" w:right="-512" w:rightChars="-244" w:firstLine="480"/>
        <w:rPr>
          <w:rFonts w:ascii="仿宋" w:hAnsi="仿宋" w:eastAsia="仿宋" w:cs="仿宋"/>
          <w:color w:val="auto"/>
          <w:highlight w:val="none"/>
        </w:rPr>
      </w:pPr>
      <w:r>
        <w:rPr>
          <w:rFonts w:hint="eastAsia" w:ascii="仿宋" w:hAnsi="仿宋" w:eastAsia="仿宋" w:cs="仿宋"/>
          <w:color w:val="auto"/>
          <w:sz w:val="24"/>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仿宋" w:hAnsi="仿宋" w:eastAsia="仿宋" w:cs="仿宋"/>
          <w:color w:val="auto"/>
          <w:sz w:val="24"/>
          <w:highlight w:val="none"/>
          <w:u w:val="single"/>
        </w:rPr>
        <w:t xml:space="preserve"> 工程总承包范围内的工程项目均属保修范围。</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二、质量保修期</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根据《建设工程质量管理条例》及有关规定，工程的质量保修期如下：</w:t>
      </w:r>
    </w:p>
    <w:p>
      <w:pPr>
        <w:spacing w:after="120"/>
        <w:ind w:right="-512" w:rightChars="-244" w:firstLine="600"/>
        <w:rPr>
          <w:rFonts w:ascii="仿宋" w:hAnsi="仿宋" w:eastAsia="仿宋" w:cs="仿宋"/>
          <w:color w:val="auto"/>
          <w:sz w:val="24"/>
          <w:szCs w:val="24"/>
          <w:highlight w:val="none"/>
        </w:rPr>
      </w:pPr>
      <w:bookmarkStart w:id="554" w:name="_Toc23933_WPSOffice_Level2"/>
      <w:r>
        <w:rPr>
          <w:rFonts w:hint="eastAsia" w:ascii="仿宋" w:hAnsi="仿宋" w:eastAsia="仿宋" w:cs="仿宋"/>
          <w:color w:val="auto"/>
          <w:sz w:val="24"/>
          <w:szCs w:val="24"/>
          <w:highlight w:val="none"/>
        </w:rPr>
        <w:t>1．地基基础工程和主体结构工程为设计文件规定的工程合理使用年限；</w:t>
      </w:r>
      <w:bookmarkEnd w:id="554"/>
    </w:p>
    <w:p>
      <w:pPr>
        <w:spacing w:after="120"/>
        <w:ind w:right="-512" w:rightChars="-244" w:firstLine="600"/>
        <w:rPr>
          <w:rFonts w:ascii="仿宋" w:hAnsi="仿宋" w:eastAsia="仿宋" w:cs="仿宋"/>
          <w:color w:val="auto"/>
          <w:sz w:val="24"/>
          <w:szCs w:val="24"/>
          <w:highlight w:val="none"/>
        </w:rPr>
      </w:pPr>
      <w:bookmarkStart w:id="555" w:name="_Toc14795_WPSOffice_Level2"/>
      <w:r>
        <w:rPr>
          <w:rFonts w:hint="eastAsia" w:ascii="仿宋" w:hAnsi="仿宋" w:eastAsia="仿宋" w:cs="仿宋"/>
          <w:color w:val="auto"/>
          <w:sz w:val="24"/>
          <w:szCs w:val="24"/>
          <w:highlight w:val="none"/>
        </w:rPr>
        <w:t>2．屋面防水工程、有防水要求的卫生间、房间和外墙面的防渗为</w:t>
      </w:r>
      <w:r>
        <w:rPr>
          <w:rFonts w:hint="eastAsia" w:ascii="仿宋" w:hAnsi="仿宋" w:eastAsia="仿宋" w:cs="仿宋"/>
          <w:color w:val="auto"/>
          <w:sz w:val="24"/>
          <w:szCs w:val="24"/>
          <w:highlight w:val="none"/>
          <w:u w:val="single"/>
        </w:rPr>
        <w:t xml:space="preserve"> </w:t>
      </w:r>
      <w:r>
        <w:rPr>
          <w:rFonts w:hint="eastAsia" w:ascii="仿宋" w:hAnsi="仿宋" w:eastAsia="仿宋" w:cs="仿宋"/>
          <w:b/>
          <w:bCs/>
          <w:color w:val="auto"/>
          <w:sz w:val="24"/>
          <w:szCs w:val="24"/>
          <w:highlight w:val="none"/>
          <w:u w:val="single"/>
        </w:rPr>
        <w:t xml:space="preserve">  5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bookmarkEnd w:id="555"/>
    </w:p>
    <w:p>
      <w:pPr>
        <w:spacing w:after="120"/>
        <w:ind w:right="-512" w:rightChars="-244" w:firstLine="600"/>
        <w:rPr>
          <w:rFonts w:ascii="仿宋" w:hAnsi="仿宋" w:eastAsia="仿宋" w:cs="仿宋"/>
          <w:color w:val="auto"/>
          <w:sz w:val="24"/>
          <w:szCs w:val="24"/>
          <w:highlight w:val="none"/>
        </w:rPr>
      </w:pPr>
      <w:bookmarkStart w:id="556" w:name="_Toc14003_WPSOffice_Level2"/>
      <w:r>
        <w:rPr>
          <w:rFonts w:hint="eastAsia" w:ascii="仿宋" w:hAnsi="仿宋" w:eastAsia="仿宋" w:cs="仿宋"/>
          <w:color w:val="auto"/>
          <w:sz w:val="24"/>
          <w:szCs w:val="24"/>
          <w:highlight w:val="none"/>
        </w:rPr>
        <w:t>3．装修工程为</w:t>
      </w:r>
      <w:r>
        <w:rPr>
          <w:rFonts w:hint="eastAsia" w:ascii="仿宋" w:hAnsi="仿宋" w:eastAsia="仿宋" w:cs="仿宋"/>
          <w:color w:val="auto"/>
          <w:sz w:val="24"/>
          <w:szCs w:val="24"/>
          <w:highlight w:val="none"/>
          <w:u w:val="single"/>
        </w:rPr>
        <w:t xml:space="preserve">   </w:t>
      </w:r>
      <w:r>
        <w:rPr>
          <w:rFonts w:hint="eastAsia" w:ascii="仿宋" w:hAnsi="仿宋" w:eastAsia="仿宋" w:cs="仿宋"/>
          <w:b/>
          <w:bCs/>
          <w:color w:val="auto"/>
          <w:sz w:val="24"/>
          <w:szCs w:val="24"/>
          <w:highlight w:val="none"/>
          <w:u w:val="single"/>
        </w:rPr>
        <w:t xml:space="preserve"> 2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bookmarkEnd w:id="556"/>
    </w:p>
    <w:p>
      <w:pPr>
        <w:spacing w:after="120"/>
        <w:ind w:right="-512" w:rightChars="-244" w:firstLine="600"/>
        <w:rPr>
          <w:rFonts w:ascii="仿宋" w:hAnsi="仿宋" w:eastAsia="仿宋" w:cs="仿宋"/>
          <w:color w:val="auto"/>
          <w:sz w:val="24"/>
          <w:szCs w:val="24"/>
          <w:highlight w:val="none"/>
        </w:rPr>
      </w:pPr>
      <w:bookmarkStart w:id="557" w:name="_Toc17781_WPSOffice_Level2"/>
      <w:r>
        <w:rPr>
          <w:rFonts w:hint="eastAsia" w:ascii="仿宋" w:hAnsi="仿宋" w:eastAsia="仿宋" w:cs="仿宋"/>
          <w:color w:val="auto"/>
          <w:sz w:val="24"/>
          <w:szCs w:val="24"/>
          <w:highlight w:val="none"/>
        </w:rPr>
        <w:t>4．电气管线、给排水管道、设备安装工程为</w:t>
      </w:r>
      <w:r>
        <w:rPr>
          <w:rFonts w:hint="eastAsia" w:ascii="仿宋" w:hAnsi="仿宋" w:eastAsia="仿宋" w:cs="仿宋"/>
          <w:color w:val="auto"/>
          <w:sz w:val="24"/>
          <w:szCs w:val="24"/>
          <w:highlight w:val="none"/>
          <w:u w:val="single"/>
        </w:rPr>
        <w:t xml:space="preserve">   </w:t>
      </w:r>
      <w:r>
        <w:rPr>
          <w:rFonts w:hint="eastAsia" w:ascii="仿宋" w:hAnsi="仿宋" w:eastAsia="仿宋" w:cs="仿宋"/>
          <w:b/>
          <w:bCs/>
          <w:color w:val="auto"/>
          <w:sz w:val="24"/>
          <w:szCs w:val="24"/>
          <w:highlight w:val="none"/>
          <w:u w:val="single"/>
        </w:rPr>
        <w:t xml:space="preserve">  2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bookmarkEnd w:id="557"/>
    </w:p>
    <w:p>
      <w:pPr>
        <w:spacing w:after="120"/>
        <w:ind w:right="-512" w:rightChars="-244" w:firstLine="600"/>
        <w:rPr>
          <w:rFonts w:ascii="仿宋" w:hAnsi="仿宋" w:eastAsia="仿宋" w:cs="仿宋"/>
          <w:color w:val="auto"/>
          <w:sz w:val="24"/>
          <w:szCs w:val="24"/>
          <w:highlight w:val="none"/>
        </w:rPr>
      </w:pPr>
      <w:bookmarkStart w:id="558" w:name="_Toc6129_WPSOffice_Level2"/>
      <w:r>
        <w:rPr>
          <w:rFonts w:hint="eastAsia" w:ascii="仿宋" w:hAnsi="仿宋" w:eastAsia="仿宋" w:cs="仿宋"/>
          <w:color w:val="auto"/>
          <w:sz w:val="24"/>
          <w:szCs w:val="24"/>
          <w:highlight w:val="none"/>
        </w:rPr>
        <w:t>5．供热与供冷系统为</w:t>
      </w:r>
      <w:r>
        <w:rPr>
          <w:rFonts w:hint="eastAsia" w:ascii="仿宋" w:hAnsi="仿宋" w:eastAsia="仿宋" w:cs="仿宋"/>
          <w:color w:val="auto"/>
          <w:sz w:val="24"/>
          <w:szCs w:val="24"/>
          <w:highlight w:val="none"/>
          <w:u w:val="single"/>
        </w:rPr>
        <w:t xml:space="preserve">   </w:t>
      </w:r>
      <w:r>
        <w:rPr>
          <w:rFonts w:hint="eastAsia" w:ascii="仿宋" w:hAnsi="仿宋" w:eastAsia="仿宋" w:cs="仿宋"/>
          <w:b/>
          <w:bCs/>
          <w:color w:val="auto"/>
          <w:sz w:val="24"/>
          <w:szCs w:val="24"/>
          <w:highlight w:val="none"/>
          <w:u w:val="single"/>
        </w:rPr>
        <w:t xml:space="preserve"> 2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个采暖期、供冷期；</w:t>
      </w:r>
      <w:bookmarkEnd w:id="558"/>
    </w:p>
    <w:p>
      <w:pPr>
        <w:spacing w:after="120"/>
        <w:ind w:left="420" w:leftChars="200" w:right="-512" w:rightChars="-244"/>
        <w:rPr>
          <w:rFonts w:ascii="仿宋" w:hAnsi="仿宋" w:eastAsia="仿宋" w:cs="仿宋"/>
          <w:color w:val="auto"/>
          <w:sz w:val="24"/>
          <w:szCs w:val="24"/>
          <w:highlight w:val="none"/>
        </w:rPr>
      </w:pPr>
      <w:bookmarkStart w:id="559" w:name="_Toc13989_WPSOffice_Level2"/>
      <w:r>
        <w:rPr>
          <w:rFonts w:hint="eastAsia" w:ascii="仿宋" w:hAnsi="仿宋" w:eastAsia="仿宋" w:cs="仿宋"/>
          <w:color w:val="auto"/>
          <w:sz w:val="24"/>
          <w:szCs w:val="24"/>
          <w:highlight w:val="none"/>
        </w:rPr>
        <w:t>6．住宅小区内的给排水设施、道路等配套工程为</w:t>
      </w:r>
      <w:r>
        <w:rPr>
          <w:rFonts w:hint="eastAsia" w:ascii="仿宋" w:hAnsi="仿宋" w:eastAsia="仿宋" w:cs="仿宋"/>
          <w:color w:val="auto"/>
          <w:sz w:val="24"/>
          <w:szCs w:val="24"/>
          <w:highlight w:val="none"/>
          <w:u w:val="single"/>
        </w:rPr>
        <w:t xml:space="preserve">   </w:t>
      </w:r>
      <w:r>
        <w:rPr>
          <w:rFonts w:hint="eastAsia" w:ascii="仿宋" w:hAnsi="仿宋" w:eastAsia="仿宋" w:cs="仿宋"/>
          <w:b/>
          <w:bCs/>
          <w:color w:val="auto"/>
          <w:sz w:val="24"/>
          <w:szCs w:val="24"/>
          <w:highlight w:val="none"/>
          <w:u w:val="single"/>
        </w:rPr>
        <w:t xml:space="preserve">  2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bookmarkEnd w:id="559"/>
    </w:p>
    <w:p>
      <w:pPr>
        <w:spacing w:after="120"/>
        <w:ind w:right="-512" w:rightChars="-244" w:firstLine="600"/>
        <w:rPr>
          <w:rFonts w:ascii="仿宋" w:hAnsi="仿宋" w:eastAsia="仿宋" w:cs="仿宋"/>
          <w:color w:val="auto"/>
          <w:sz w:val="24"/>
          <w:szCs w:val="24"/>
          <w:highlight w:val="none"/>
        </w:rPr>
      </w:pPr>
      <w:bookmarkStart w:id="560" w:name="_Toc8378_WPSOffice_Level2"/>
      <w:r>
        <w:rPr>
          <w:rFonts w:hint="eastAsia" w:ascii="仿宋" w:hAnsi="仿宋" w:eastAsia="仿宋" w:cs="仿宋"/>
          <w:color w:val="auto"/>
          <w:sz w:val="24"/>
          <w:szCs w:val="24"/>
          <w:highlight w:val="none"/>
        </w:rPr>
        <w:t>7．其他项目保修期限约定如下：</w:t>
      </w:r>
      <w:r>
        <w:rPr>
          <w:rFonts w:hint="eastAsia" w:ascii="仿宋" w:hAnsi="仿宋" w:eastAsia="仿宋" w:cs="仿宋"/>
          <w:color w:val="auto"/>
          <w:sz w:val="24"/>
          <w:szCs w:val="24"/>
          <w:highlight w:val="none"/>
          <w:u w:val="single"/>
        </w:rPr>
        <w:t xml:space="preserve">         </w:t>
      </w:r>
      <w:r>
        <w:rPr>
          <w:rFonts w:hint="eastAsia" w:ascii="仿宋" w:hAnsi="仿宋" w:eastAsia="仿宋" w:cs="仿宋"/>
          <w:b/>
          <w:bCs/>
          <w:color w:val="auto"/>
          <w:sz w:val="24"/>
          <w:szCs w:val="24"/>
          <w:highlight w:val="none"/>
          <w:u w:val="single"/>
        </w:rPr>
        <w:t xml:space="preserve"> 2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bookmarkEnd w:id="560"/>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质量保修期自工程竣工验收合格之日起计算。</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三、缺陷责任期</w:t>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工程缺陷责任期为 </w:t>
      </w:r>
      <w:r>
        <w:rPr>
          <w:rFonts w:hint="eastAsia" w:ascii="仿宋" w:hAnsi="仿宋" w:eastAsia="仿宋" w:cs="仿宋"/>
          <w:b/>
          <w:bCs/>
          <w:color w:val="auto"/>
          <w:sz w:val="24"/>
          <w:szCs w:val="24"/>
          <w:highlight w:val="none"/>
          <w:u w:val="single"/>
        </w:rPr>
        <w:t xml:space="preserve"> 24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个月，缺陷责任期自工程通过竣工验收之日起计算。单位/区段工程先于全部工程进行验收，单位/区段工程缺陷责任期自单位/区段工程验收合格之日起算。</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缺陷责任期终止后，发包人应返还剩余的质量保证金。</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四、质量保修责任</w:t>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1．属于保修范围、内容的项目，承包人应当在接到保修通知之日起7天内派人保修。承包人不在约定期限内派人保修的，发包人可以委托他人修理。</w:t>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2．发生紧急事故需抢修的，承包人在接到事故通知后，应当立即到达事故现场抢修。</w:t>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对于涉及结构安全的质量问题，应当按照《建设工程质量管理条例》的规定，立即向当地建设行政主管部门和有关部门报告，采取安全防范措施，并由承包人承包人提出保修方案，承包人将设计业务分包的，应由原设计分包人或具有相应资质等级的设计人提出保修方案，承包人实施保修。</w:t>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4．质量保修完成后，由发包人组织验收。</w:t>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五、保修费用</w:t>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保修费用由造成质量缺陷的责任方承担。</w:t>
      </w:r>
    </w:p>
    <w:p>
      <w:pPr>
        <w:spacing w:after="120" w:line="360" w:lineRule="auto"/>
        <w:ind w:right="-512" w:rightChars="-244" w:firstLine="60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六、双方约定的其他工程质量保修事项：</w:t>
      </w:r>
      <w:r>
        <w:rPr>
          <w:rFonts w:hint="eastAsia" w:ascii="仿宋" w:hAnsi="仿宋" w:eastAsia="仿宋" w:cs="仿宋"/>
          <w:color w:val="auto"/>
          <w:sz w:val="24"/>
          <w:szCs w:val="24"/>
          <w:highlight w:val="none"/>
          <w:u w:val="single"/>
        </w:rPr>
        <w:t>按国家规定的保修期期满后，无质量问题，一次付清（无息）</w:t>
      </w:r>
      <w:r>
        <w:rPr>
          <w:rFonts w:hint="eastAsia" w:ascii="仿宋" w:hAnsi="仿宋" w:eastAsia="仿宋" w:cs="仿宋"/>
          <w:color w:val="auto"/>
          <w:sz w:val="24"/>
          <w:szCs w:val="24"/>
          <w:highlight w:val="none"/>
        </w:rPr>
        <w:t>。</w:t>
      </w:r>
    </w:p>
    <w:p>
      <w:pPr>
        <w:spacing w:after="120" w:line="360" w:lineRule="auto"/>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工程质量保修书由发包人、承包人在工程竣工验收前共同签署，作为工程总承包合同附件，其有效期限至保修期满。</w:t>
      </w:r>
    </w:p>
    <w:p>
      <w:pPr>
        <w:spacing w:after="120"/>
        <w:ind w:right="-512" w:rightChars="-244" w:firstLine="600"/>
        <w:rPr>
          <w:rFonts w:ascii="仿宋" w:hAnsi="仿宋" w:eastAsia="仿宋" w:cs="仿宋"/>
          <w:color w:val="auto"/>
          <w:sz w:val="24"/>
          <w:szCs w:val="24"/>
          <w:highlight w:val="none"/>
        </w:rPr>
      </w:pP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发包人(公章)：          承包人(公章)：           </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地  址：        地  址：       </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法定代表人(签字)：        法定代表人(签字)：       </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委托代理人(签字)：        委托代理人(签字)：       </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电  话：      电  话：     </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传  真：      传  真：     </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开户银行：      开户银行：   </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账  号：          账  号：     </w:t>
      </w:r>
    </w:p>
    <w:p>
      <w:pPr>
        <w:spacing w:after="120"/>
        <w:ind w:right="-512" w:rightChars="-244" w:firstLine="6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邮政编码：        邮政编码：   </w:t>
      </w:r>
    </w:p>
    <w:p>
      <w:pPr>
        <w:ind w:right="-512" w:rightChars="-244"/>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197"/>
        <w:spacing w:after="120"/>
        <w:ind w:left="0" w:right="-512" w:rightChars="-244"/>
        <w:rPr>
          <w:rFonts w:ascii="仿宋" w:hAnsi="仿宋" w:eastAsia="仿宋" w:cs="仿宋"/>
          <w:color w:val="auto"/>
          <w:sz w:val="24"/>
          <w:szCs w:val="24"/>
          <w:highlight w:val="none"/>
        </w:rPr>
      </w:pPr>
      <w:bookmarkStart w:id="561" w:name="_Toc13786_WPSOffice_Level2"/>
      <w:bookmarkStart w:id="562" w:name="_Toc32319"/>
      <w:bookmarkStart w:id="563" w:name="_Toc20171896"/>
      <w:r>
        <w:rPr>
          <w:rFonts w:hint="eastAsia" w:ascii="仿宋" w:hAnsi="仿宋" w:eastAsia="仿宋" w:cs="仿宋"/>
          <w:color w:val="auto"/>
          <w:sz w:val="24"/>
          <w:szCs w:val="24"/>
          <w:highlight w:val="none"/>
        </w:rPr>
        <w:t>主要建设工程文件目录</w:t>
      </w:r>
      <w:bookmarkEnd w:id="561"/>
      <w:bookmarkEnd w:id="562"/>
      <w:bookmarkEnd w:id="563"/>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125"/>
        <w:gridCol w:w="1276"/>
        <w:gridCol w:w="1450"/>
        <w:gridCol w:w="1243"/>
        <w:gridCol w:w="1450"/>
        <w:gridCol w:w="16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2125" w:type="dxa"/>
            <w:tcBorders>
              <w:top w:val="single" w:color="auto" w:sz="12" w:space="0"/>
              <w:bottom w:val="double" w:color="auto" w:sz="6" w:space="0"/>
            </w:tcBorders>
            <w:vAlign w:val="center"/>
          </w:tcPr>
          <w:p>
            <w:pPr>
              <w:pStyle w:val="8"/>
              <w:ind w:right="-512" w:rightChars="-244"/>
              <w:jc w:val="center"/>
              <w:rPr>
                <w:rFonts w:ascii="仿宋" w:hAnsi="仿宋" w:eastAsia="仿宋" w:cs="仿宋"/>
                <w:color w:val="auto"/>
                <w:sz w:val="18"/>
                <w:szCs w:val="16"/>
                <w:highlight w:val="none"/>
              </w:rPr>
            </w:pPr>
            <w:r>
              <w:rPr>
                <w:rFonts w:hint="eastAsia" w:ascii="仿宋" w:hAnsi="仿宋" w:eastAsia="仿宋" w:cs="仿宋"/>
                <w:color w:val="auto"/>
                <w:sz w:val="18"/>
                <w:szCs w:val="16"/>
                <w:highlight w:val="none"/>
              </w:rPr>
              <w:t>文件名称</w:t>
            </w:r>
          </w:p>
        </w:tc>
        <w:tc>
          <w:tcPr>
            <w:tcW w:w="1276" w:type="dxa"/>
            <w:tcBorders>
              <w:top w:val="single" w:color="auto" w:sz="12" w:space="0"/>
              <w:bottom w:val="double" w:color="auto" w:sz="6" w:space="0"/>
            </w:tcBorders>
            <w:vAlign w:val="center"/>
          </w:tcPr>
          <w:p>
            <w:pPr>
              <w:pStyle w:val="8"/>
              <w:ind w:right="-512" w:rightChars="-244"/>
              <w:jc w:val="center"/>
              <w:rPr>
                <w:rFonts w:ascii="仿宋" w:hAnsi="仿宋" w:eastAsia="仿宋" w:cs="仿宋"/>
                <w:color w:val="auto"/>
                <w:sz w:val="18"/>
                <w:szCs w:val="16"/>
                <w:highlight w:val="none"/>
              </w:rPr>
            </w:pPr>
            <w:r>
              <w:rPr>
                <w:rFonts w:hint="eastAsia" w:ascii="仿宋" w:hAnsi="仿宋" w:eastAsia="仿宋" w:cs="仿宋"/>
                <w:color w:val="auto"/>
                <w:sz w:val="18"/>
                <w:szCs w:val="16"/>
                <w:highlight w:val="none"/>
              </w:rPr>
              <w:t>套数</w:t>
            </w:r>
          </w:p>
        </w:tc>
        <w:tc>
          <w:tcPr>
            <w:tcW w:w="1450" w:type="dxa"/>
            <w:tcBorders>
              <w:top w:val="single" w:color="auto" w:sz="12" w:space="0"/>
              <w:bottom w:val="double" w:color="auto" w:sz="6" w:space="0"/>
            </w:tcBorders>
            <w:vAlign w:val="center"/>
          </w:tcPr>
          <w:p>
            <w:pPr>
              <w:pStyle w:val="8"/>
              <w:ind w:right="-512" w:rightChars="-244"/>
              <w:jc w:val="center"/>
              <w:rPr>
                <w:rFonts w:ascii="仿宋" w:hAnsi="仿宋" w:eastAsia="仿宋" w:cs="仿宋"/>
                <w:color w:val="auto"/>
                <w:sz w:val="18"/>
                <w:szCs w:val="16"/>
                <w:highlight w:val="none"/>
              </w:rPr>
            </w:pPr>
            <w:r>
              <w:rPr>
                <w:rFonts w:hint="eastAsia" w:ascii="仿宋" w:hAnsi="仿宋" w:eastAsia="仿宋" w:cs="仿宋"/>
                <w:color w:val="auto"/>
                <w:sz w:val="18"/>
                <w:szCs w:val="16"/>
                <w:highlight w:val="none"/>
              </w:rPr>
              <w:t>费用（元）</w:t>
            </w:r>
          </w:p>
        </w:tc>
        <w:tc>
          <w:tcPr>
            <w:tcW w:w="1243" w:type="dxa"/>
            <w:tcBorders>
              <w:top w:val="single" w:color="auto" w:sz="12" w:space="0"/>
              <w:bottom w:val="double" w:color="auto" w:sz="6" w:space="0"/>
            </w:tcBorders>
            <w:vAlign w:val="center"/>
          </w:tcPr>
          <w:p>
            <w:pPr>
              <w:pStyle w:val="8"/>
              <w:ind w:right="-512" w:rightChars="-244"/>
              <w:jc w:val="center"/>
              <w:rPr>
                <w:rFonts w:ascii="仿宋" w:hAnsi="仿宋" w:eastAsia="仿宋" w:cs="仿宋"/>
                <w:color w:val="auto"/>
                <w:sz w:val="18"/>
                <w:szCs w:val="16"/>
                <w:highlight w:val="none"/>
              </w:rPr>
            </w:pPr>
            <w:r>
              <w:rPr>
                <w:rFonts w:hint="eastAsia" w:ascii="仿宋" w:hAnsi="仿宋" w:eastAsia="仿宋" w:cs="仿宋"/>
                <w:color w:val="auto"/>
                <w:sz w:val="18"/>
                <w:szCs w:val="16"/>
                <w:highlight w:val="none"/>
              </w:rPr>
              <w:t>质量</w:t>
            </w:r>
          </w:p>
        </w:tc>
        <w:tc>
          <w:tcPr>
            <w:tcW w:w="1450" w:type="dxa"/>
            <w:tcBorders>
              <w:top w:val="single" w:color="auto" w:sz="12" w:space="0"/>
              <w:bottom w:val="double" w:color="auto" w:sz="6" w:space="0"/>
            </w:tcBorders>
          </w:tcPr>
          <w:p>
            <w:pPr>
              <w:ind w:right="-512" w:rightChars="-244"/>
              <w:jc w:val="center"/>
              <w:rPr>
                <w:rFonts w:ascii="仿宋" w:hAnsi="仿宋" w:eastAsia="仿宋" w:cs="仿宋"/>
                <w:color w:val="auto"/>
                <w:sz w:val="18"/>
                <w:szCs w:val="16"/>
                <w:highlight w:val="none"/>
              </w:rPr>
            </w:pPr>
            <w:r>
              <w:rPr>
                <w:rFonts w:hint="eastAsia" w:ascii="仿宋" w:hAnsi="仿宋" w:eastAsia="仿宋" w:cs="仿宋"/>
                <w:color w:val="auto"/>
                <w:sz w:val="18"/>
                <w:szCs w:val="16"/>
                <w:highlight w:val="none"/>
              </w:rPr>
              <w:t>移交时间</w:t>
            </w:r>
          </w:p>
        </w:tc>
        <w:tc>
          <w:tcPr>
            <w:tcW w:w="1670" w:type="dxa"/>
            <w:tcBorders>
              <w:top w:val="single" w:color="auto" w:sz="12" w:space="0"/>
              <w:bottom w:val="double" w:color="auto" w:sz="6" w:space="0"/>
            </w:tcBorders>
          </w:tcPr>
          <w:p>
            <w:pPr>
              <w:ind w:right="-512" w:rightChars="-244"/>
              <w:jc w:val="center"/>
              <w:rPr>
                <w:rFonts w:ascii="仿宋" w:hAnsi="仿宋" w:eastAsia="仿宋" w:cs="仿宋"/>
                <w:color w:val="auto"/>
                <w:sz w:val="18"/>
                <w:szCs w:val="16"/>
                <w:highlight w:val="none"/>
              </w:rPr>
            </w:pPr>
            <w:r>
              <w:rPr>
                <w:rFonts w:hint="eastAsia" w:ascii="仿宋" w:hAnsi="仿宋" w:eastAsia="仿宋" w:cs="仿宋"/>
                <w:color w:val="auto"/>
                <w:sz w:val="18"/>
                <w:szCs w:val="16"/>
                <w:highlight w:val="none"/>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Borders>
              <w:top w:val="double" w:color="auto" w:sz="6" w:space="0"/>
              <w:bottom w:val="single" w:color="auto" w:sz="6" w:space="0"/>
            </w:tcBorders>
            <w:vAlign w:val="center"/>
          </w:tcPr>
          <w:p>
            <w:pPr>
              <w:pStyle w:val="8"/>
              <w:spacing w:after="120"/>
              <w:ind w:right="-512" w:rightChars="-244"/>
              <w:rPr>
                <w:rFonts w:ascii="仿宋" w:hAnsi="仿宋" w:eastAsia="仿宋" w:cs="仿宋"/>
                <w:color w:val="auto"/>
                <w:szCs w:val="16"/>
                <w:highlight w:val="none"/>
              </w:rPr>
            </w:pPr>
          </w:p>
        </w:tc>
        <w:tc>
          <w:tcPr>
            <w:tcW w:w="1276" w:type="dxa"/>
            <w:tcBorders>
              <w:top w:val="double" w:color="auto" w:sz="6" w:space="0"/>
              <w:bottom w:val="single" w:color="auto" w:sz="6" w:space="0"/>
            </w:tcBorders>
            <w:vAlign w:val="center"/>
          </w:tcPr>
          <w:p>
            <w:pPr>
              <w:pStyle w:val="8"/>
              <w:spacing w:after="120"/>
              <w:ind w:right="-512" w:rightChars="-244"/>
              <w:rPr>
                <w:rFonts w:ascii="仿宋" w:hAnsi="仿宋" w:eastAsia="仿宋" w:cs="仿宋"/>
                <w:color w:val="auto"/>
                <w:szCs w:val="16"/>
                <w:highlight w:val="none"/>
              </w:rPr>
            </w:pPr>
          </w:p>
        </w:tc>
        <w:tc>
          <w:tcPr>
            <w:tcW w:w="1450" w:type="dxa"/>
            <w:tcBorders>
              <w:top w:val="double" w:color="auto" w:sz="6" w:space="0"/>
              <w:bottom w:val="single" w:color="auto" w:sz="6" w:space="0"/>
            </w:tcBorders>
            <w:vAlign w:val="center"/>
          </w:tcPr>
          <w:p>
            <w:pPr>
              <w:pStyle w:val="8"/>
              <w:spacing w:after="120"/>
              <w:ind w:right="-512" w:rightChars="-244"/>
              <w:rPr>
                <w:rFonts w:ascii="仿宋" w:hAnsi="仿宋" w:eastAsia="仿宋" w:cs="仿宋"/>
                <w:color w:val="auto"/>
                <w:szCs w:val="16"/>
                <w:highlight w:val="none"/>
              </w:rPr>
            </w:pPr>
          </w:p>
        </w:tc>
        <w:tc>
          <w:tcPr>
            <w:tcW w:w="1243" w:type="dxa"/>
            <w:tcBorders>
              <w:top w:val="double" w:color="auto" w:sz="6" w:space="0"/>
              <w:bottom w:val="single" w:color="auto" w:sz="6" w:space="0"/>
            </w:tcBorders>
            <w:vAlign w:val="center"/>
          </w:tcPr>
          <w:p>
            <w:pPr>
              <w:pStyle w:val="8"/>
              <w:spacing w:after="120"/>
              <w:ind w:right="-512" w:rightChars="-244"/>
              <w:rPr>
                <w:rFonts w:ascii="仿宋" w:hAnsi="仿宋" w:eastAsia="仿宋" w:cs="仿宋"/>
                <w:color w:val="auto"/>
                <w:szCs w:val="16"/>
                <w:highlight w:val="none"/>
              </w:rPr>
            </w:pPr>
          </w:p>
        </w:tc>
        <w:tc>
          <w:tcPr>
            <w:tcW w:w="1450" w:type="dxa"/>
            <w:tcBorders>
              <w:top w:val="double" w:color="auto" w:sz="6" w:space="0"/>
              <w:bottom w:val="single" w:color="auto" w:sz="6" w:space="0"/>
            </w:tcBorders>
            <w:vAlign w:val="center"/>
          </w:tcPr>
          <w:p>
            <w:pPr>
              <w:pStyle w:val="8"/>
              <w:spacing w:after="120"/>
              <w:ind w:right="-512" w:rightChars="-244"/>
              <w:rPr>
                <w:rFonts w:ascii="仿宋" w:hAnsi="仿宋" w:eastAsia="仿宋" w:cs="仿宋"/>
                <w:color w:val="auto"/>
                <w:szCs w:val="16"/>
                <w:highlight w:val="none"/>
              </w:rPr>
            </w:pPr>
          </w:p>
        </w:tc>
        <w:tc>
          <w:tcPr>
            <w:tcW w:w="1670" w:type="dxa"/>
            <w:tcBorders>
              <w:top w:val="double" w:color="auto" w:sz="6" w:space="0"/>
              <w:bottom w:val="single" w:color="auto" w:sz="6" w:space="0"/>
            </w:tcBorders>
            <w:vAlign w:val="center"/>
          </w:tcPr>
          <w:p>
            <w:pPr>
              <w:pStyle w:val="8"/>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Borders>
              <w:top w:val="nil"/>
            </w:tcBorders>
            <w:vAlign w:val="center"/>
          </w:tcPr>
          <w:p>
            <w:pPr>
              <w:pStyle w:val="8"/>
              <w:spacing w:after="120"/>
              <w:ind w:right="-512" w:rightChars="-244"/>
              <w:rPr>
                <w:rFonts w:ascii="仿宋" w:hAnsi="仿宋" w:eastAsia="仿宋" w:cs="仿宋"/>
                <w:color w:val="auto"/>
                <w:szCs w:val="16"/>
                <w:highlight w:val="none"/>
              </w:rPr>
            </w:pPr>
          </w:p>
        </w:tc>
        <w:tc>
          <w:tcPr>
            <w:tcW w:w="1276" w:type="dxa"/>
            <w:tcBorders>
              <w:top w:val="nil"/>
            </w:tcBorders>
            <w:vAlign w:val="center"/>
          </w:tcPr>
          <w:p>
            <w:pPr>
              <w:pStyle w:val="8"/>
              <w:spacing w:after="120"/>
              <w:ind w:right="-512" w:rightChars="-244"/>
              <w:rPr>
                <w:rFonts w:ascii="仿宋" w:hAnsi="仿宋" w:eastAsia="仿宋" w:cs="仿宋"/>
                <w:color w:val="auto"/>
                <w:szCs w:val="16"/>
                <w:highlight w:val="none"/>
              </w:rPr>
            </w:pPr>
          </w:p>
        </w:tc>
        <w:tc>
          <w:tcPr>
            <w:tcW w:w="1450" w:type="dxa"/>
            <w:tcBorders>
              <w:top w:val="nil"/>
            </w:tcBorders>
            <w:vAlign w:val="center"/>
          </w:tcPr>
          <w:p>
            <w:pPr>
              <w:pStyle w:val="8"/>
              <w:spacing w:after="120"/>
              <w:ind w:right="-512" w:rightChars="-244"/>
              <w:rPr>
                <w:rFonts w:ascii="仿宋" w:hAnsi="仿宋" w:eastAsia="仿宋" w:cs="仿宋"/>
                <w:color w:val="auto"/>
                <w:szCs w:val="16"/>
                <w:highlight w:val="none"/>
              </w:rPr>
            </w:pPr>
          </w:p>
        </w:tc>
        <w:tc>
          <w:tcPr>
            <w:tcW w:w="1243" w:type="dxa"/>
            <w:tcBorders>
              <w:top w:val="nil"/>
            </w:tcBorders>
            <w:vAlign w:val="center"/>
          </w:tcPr>
          <w:p>
            <w:pPr>
              <w:pStyle w:val="8"/>
              <w:spacing w:after="120"/>
              <w:ind w:right="-512" w:rightChars="-244"/>
              <w:rPr>
                <w:rFonts w:ascii="仿宋" w:hAnsi="仿宋" w:eastAsia="仿宋" w:cs="仿宋"/>
                <w:color w:val="auto"/>
                <w:szCs w:val="16"/>
                <w:highlight w:val="none"/>
              </w:rPr>
            </w:pPr>
          </w:p>
        </w:tc>
        <w:tc>
          <w:tcPr>
            <w:tcW w:w="1450" w:type="dxa"/>
            <w:tcBorders>
              <w:top w:val="nil"/>
            </w:tcBorders>
            <w:vAlign w:val="center"/>
          </w:tcPr>
          <w:p>
            <w:pPr>
              <w:pStyle w:val="8"/>
              <w:spacing w:after="120"/>
              <w:ind w:right="-512" w:rightChars="-244"/>
              <w:rPr>
                <w:rFonts w:ascii="仿宋" w:hAnsi="仿宋" w:eastAsia="仿宋" w:cs="仿宋"/>
                <w:color w:val="auto"/>
                <w:szCs w:val="16"/>
                <w:highlight w:val="none"/>
              </w:rPr>
            </w:pPr>
          </w:p>
        </w:tc>
        <w:tc>
          <w:tcPr>
            <w:tcW w:w="1670" w:type="dxa"/>
            <w:tcBorders>
              <w:top w:val="nil"/>
            </w:tcBorders>
            <w:vAlign w:val="center"/>
          </w:tcPr>
          <w:p>
            <w:pPr>
              <w:pStyle w:val="8"/>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8"/>
              <w:spacing w:after="120"/>
              <w:ind w:right="-512" w:rightChars="-244"/>
              <w:rPr>
                <w:rFonts w:ascii="仿宋" w:hAnsi="仿宋" w:eastAsia="仿宋" w:cs="仿宋"/>
                <w:color w:val="auto"/>
                <w:szCs w:val="16"/>
                <w:highlight w:val="none"/>
              </w:rPr>
            </w:pPr>
          </w:p>
        </w:tc>
        <w:tc>
          <w:tcPr>
            <w:tcW w:w="1276" w:type="dxa"/>
            <w:vAlign w:val="center"/>
          </w:tcPr>
          <w:p>
            <w:pPr>
              <w:pStyle w:val="8"/>
              <w:spacing w:after="120"/>
              <w:ind w:right="-512" w:rightChars="-244"/>
              <w:rPr>
                <w:rFonts w:ascii="仿宋" w:hAnsi="仿宋" w:eastAsia="仿宋" w:cs="仿宋"/>
                <w:color w:val="auto"/>
                <w:szCs w:val="16"/>
                <w:highlight w:val="none"/>
              </w:rPr>
            </w:pPr>
          </w:p>
        </w:tc>
        <w:tc>
          <w:tcPr>
            <w:tcW w:w="1450" w:type="dxa"/>
            <w:vAlign w:val="center"/>
          </w:tcPr>
          <w:p>
            <w:pPr>
              <w:pStyle w:val="8"/>
              <w:spacing w:after="120"/>
              <w:ind w:right="-512" w:rightChars="-244"/>
              <w:rPr>
                <w:rFonts w:ascii="仿宋" w:hAnsi="仿宋" w:eastAsia="仿宋" w:cs="仿宋"/>
                <w:color w:val="auto"/>
                <w:szCs w:val="16"/>
                <w:highlight w:val="none"/>
              </w:rPr>
            </w:pPr>
          </w:p>
        </w:tc>
        <w:tc>
          <w:tcPr>
            <w:tcW w:w="1243" w:type="dxa"/>
            <w:vAlign w:val="center"/>
          </w:tcPr>
          <w:p>
            <w:pPr>
              <w:pStyle w:val="8"/>
              <w:spacing w:after="120"/>
              <w:ind w:right="-512" w:rightChars="-244"/>
              <w:rPr>
                <w:rFonts w:ascii="仿宋" w:hAnsi="仿宋" w:eastAsia="仿宋" w:cs="仿宋"/>
                <w:color w:val="auto"/>
                <w:szCs w:val="16"/>
                <w:highlight w:val="none"/>
              </w:rPr>
            </w:pPr>
          </w:p>
        </w:tc>
        <w:tc>
          <w:tcPr>
            <w:tcW w:w="1450" w:type="dxa"/>
            <w:vAlign w:val="center"/>
          </w:tcPr>
          <w:p>
            <w:pPr>
              <w:pStyle w:val="8"/>
              <w:spacing w:after="120"/>
              <w:ind w:right="-512" w:rightChars="-244"/>
              <w:rPr>
                <w:rFonts w:ascii="仿宋" w:hAnsi="仿宋" w:eastAsia="仿宋" w:cs="仿宋"/>
                <w:color w:val="auto"/>
                <w:szCs w:val="16"/>
                <w:highlight w:val="none"/>
              </w:rPr>
            </w:pPr>
          </w:p>
        </w:tc>
        <w:tc>
          <w:tcPr>
            <w:tcW w:w="1670" w:type="dxa"/>
            <w:vAlign w:val="center"/>
          </w:tcPr>
          <w:p>
            <w:pPr>
              <w:pStyle w:val="8"/>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8"/>
              <w:spacing w:after="120"/>
              <w:ind w:right="-512" w:rightChars="-244"/>
              <w:rPr>
                <w:rFonts w:ascii="仿宋" w:hAnsi="仿宋" w:eastAsia="仿宋" w:cs="仿宋"/>
                <w:color w:val="auto"/>
                <w:szCs w:val="16"/>
                <w:highlight w:val="none"/>
              </w:rPr>
            </w:pPr>
          </w:p>
        </w:tc>
        <w:tc>
          <w:tcPr>
            <w:tcW w:w="1276" w:type="dxa"/>
            <w:vAlign w:val="center"/>
          </w:tcPr>
          <w:p>
            <w:pPr>
              <w:pStyle w:val="8"/>
              <w:spacing w:after="120"/>
              <w:ind w:right="-512" w:rightChars="-244"/>
              <w:rPr>
                <w:rFonts w:ascii="仿宋" w:hAnsi="仿宋" w:eastAsia="仿宋" w:cs="仿宋"/>
                <w:color w:val="auto"/>
                <w:szCs w:val="16"/>
                <w:highlight w:val="none"/>
              </w:rPr>
            </w:pPr>
          </w:p>
        </w:tc>
        <w:tc>
          <w:tcPr>
            <w:tcW w:w="1450" w:type="dxa"/>
            <w:vAlign w:val="center"/>
          </w:tcPr>
          <w:p>
            <w:pPr>
              <w:pStyle w:val="8"/>
              <w:spacing w:after="120"/>
              <w:ind w:right="-512" w:rightChars="-244"/>
              <w:rPr>
                <w:rFonts w:ascii="仿宋" w:hAnsi="仿宋" w:eastAsia="仿宋" w:cs="仿宋"/>
                <w:color w:val="auto"/>
                <w:szCs w:val="16"/>
                <w:highlight w:val="none"/>
              </w:rPr>
            </w:pPr>
          </w:p>
        </w:tc>
        <w:tc>
          <w:tcPr>
            <w:tcW w:w="1243" w:type="dxa"/>
            <w:vAlign w:val="center"/>
          </w:tcPr>
          <w:p>
            <w:pPr>
              <w:pStyle w:val="8"/>
              <w:spacing w:after="120"/>
              <w:ind w:right="-512" w:rightChars="-244"/>
              <w:rPr>
                <w:rFonts w:ascii="仿宋" w:hAnsi="仿宋" w:eastAsia="仿宋" w:cs="仿宋"/>
                <w:color w:val="auto"/>
                <w:szCs w:val="16"/>
                <w:highlight w:val="none"/>
              </w:rPr>
            </w:pPr>
          </w:p>
        </w:tc>
        <w:tc>
          <w:tcPr>
            <w:tcW w:w="1450" w:type="dxa"/>
            <w:vAlign w:val="center"/>
          </w:tcPr>
          <w:p>
            <w:pPr>
              <w:pStyle w:val="8"/>
              <w:spacing w:after="120"/>
              <w:ind w:right="-512" w:rightChars="-244"/>
              <w:rPr>
                <w:rFonts w:ascii="仿宋" w:hAnsi="仿宋" w:eastAsia="仿宋" w:cs="仿宋"/>
                <w:color w:val="auto"/>
                <w:szCs w:val="16"/>
                <w:highlight w:val="none"/>
              </w:rPr>
            </w:pPr>
          </w:p>
        </w:tc>
        <w:tc>
          <w:tcPr>
            <w:tcW w:w="1670" w:type="dxa"/>
            <w:vAlign w:val="center"/>
          </w:tcPr>
          <w:p>
            <w:pPr>
              <w:pStyle w:val="8"/>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8"/>
              <w:spacing w:after="120"/>
              <w:ind w:right="-512" w:rightChars="-244"/>
              <w:rPr>
                <w:rFonts w:ascii="仿宋" w:hAnsi="仿宋" w:eastAsia="仿宋" w:cs="仿宋"/>
                <w:color w:val="auto"/>
                <w:szCs w:val="16"/>
                <w:highlight w:val="none"/>
              </w:rPr>
            </w:pPr>
          </w:p>
        </w:tc>
        <w:tc>
          <w:tcPr>
            <w:tcW w:w="1276" w:type="dxa"/>
            <w:vAlign w:val="center"/>
          </w:tcPr>
          <w:p>
            <w:pPr>
              <w:pStyle w:val="8"/>
              <w:spacing w:after="120"/>
              <w:ind w:right="-512" w:rightChars="-244"/>
              <w:rPr>
                <w:rFonts w:ascii="仿宋" w:hAnsi="仿宋" w:eastAsia="仿宋" w:cs="仿宋"/>
                <w:color w:val="auto"/>
                <w:szCs w:val="16"/>
                <w:highlight w:val="none"/>
              </w:rPr>
            </w:pPr>
          </w:p>
        </w:tc>
        <w:tc>
          <w:tcPr>
            <w:tcW w:w="1450" w:type="dxa"/>
            <w:vAlign w:val="center"/>
          </w:tcPr>
          <w:p>
            <w:pPr>
              <w:pStyle w:val="8"/>
              <w:spacing w:after="120"/>
              <w:ind w:right="-512" w:rightChars="-244"/>
              <w:rPr>
                <w:rFonts w:ascii="仿宋" w:hAnsi="仿宋" w:eastAsia="仿宋" w:cs="仿宋"/>
                <w:color w:val="auto"/>
                <w:szCs w:val="16"/>
                <w:highlight w:val="none"/>
              </w:rPr>
            </w:pPr>
          </w:p>
        </w:tc>
        <w:tc>
          <w:tcPr>
            <w:tcW w:w="1243" w:type="dxa"/>
            <w:vAlign w:val="center"/>
          </w:tcPr>
          <w:p>
            <w:pPr>
              <w:pStyle w:val="8"/>
              <w:spacing w:after="120"/>
              <w:ind w:right="-512" w:rightChars="-244"/>
              <w:rPr>
                <w:rFonts w:ascii="仿宋" w:hAnsi="仿宋" w:eastAsia="仿宋" w:cs="仿宋"/>
                <w:color w:val="auto"/>
                <w:szCs w:val="16"/>
                <w:highlight w:val="none"/>
              </w:rPr>
            </w:pPr>
          </w:p>
        </w:tc>
        <w:tc>
          <w:tcPr>
            <w:tcW w:w="1450" w:type="dxa"/>
            <w:vAlign w:val="center"/>
          </w:tcPr>
          <w:p>
            <w:pPr>
              <w:pStyle w:val="8"/>
              <w:spacing w:after="120"/>
              <w:ind w:right="-512" w:rightChars="-244"/>
              <w:rPr>
                <w:rFonts w:ascii="仿宋" w:hAnsi="仿宋" w:eastAsia="仿宋" w:cs="仿宋"/>
                <w:color w:val="auto"/>
                <w:szCs w:val="16"/>
                <w:highlight w:val="none"/>
              </w:rPr>
            </w:pPr>
          </w:p>
        </w:tc>
        <w:tc>
          <w:tcPr>
            <w:tcW w:w="1670" w:type="dxa"/>
            <w:vAlign w:val="center"/>
          </w:tcPr>
          <w:p>
            <w:pPr>
              <w:pStyle w:val="8"/>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8"/>
              <w:spacing w:after="120"/>
              <w:ind w:right="-512" w:rightChars="-244"/>
              <w:rPr>
                <w:rFonts w:ascii="仿宋" w:hAnsi="仿宋" w:eastAsia="仿宋" w:cs="仿宋"/>
                <w:color w:val="auto"/>
                <w:szCs w:val="16"/>
                <w:highlight w:val="none"/>
              </w:rPr>
            </w:pPr>
          </w:p>
        </w:tc>
        <w:tc>
          <w:tcPr>
            <w:tcW w:w="1276" w:type="dxa"/>
            <w:vAlign w:val="center"/>
          </w:tcPr>
          <w:p>
            <w:pPr>
              <w:pStyle w:val="8"/>
              <w:spacing w:after="120"/>
              <w:ind w:right="-512" w:rightChars="-244"/>
              <w:rPr>
                <w:rFonts w:ascii="仿宋" w:hAnsi="仿宋" w:eastAsia="仿宋" w:cs="仿宋"/>
                <w:color w:val="auto"/>
                <w:szCs w:val="16"/>
                <w:highlight w:val="none"/>
              </w:rPr>
            </w:pPr>
          </w:p>
        </w:tc>
        <w:tc>
          <w:tcPr>
            <w:tcW w:w="1450" w:type="dxa"/>
            <w:vAlign w:val="center"/>
          </w:tcPr>
          <w:p>
            <w:pPr>
              <w:pStyle w:val="8"/>
              <w:spacing w:after="120"/>
              <w:ind w:right="-512" w:rightChars="-244"/>
              <w:rPr>
                <w:rFonts w:ascii="仿宋" w:hAnsi="仿宋" w:eastAsia="仿宋" w:cs="仿宋"/>
                <w:color w:val="auto"/>
                <w:szCs w:val="16"/>
                <w:highlight w:val="none"/>
              </w:rPr>
            </w:pPr>
          </w:p>
        </w:tc>
        <w:tc>
          <w:tcPr>
            <w:tcW w:w="1243" w:type="dxa"/>
            <w:vAlign w:val="center"/>
          </w:tcPr>
          <w:p>
            <w:pPr>
              <w:pStyle w:val="8"/>
              <w:spacing w:after="120"/>
              <w:ind w:right="-512" w:rightChars="-244"/>
              <w:rPr>
                <w:rFonts w:ascii="仿宋" w:hAnsi="仿宋" w:eastAsia="仿宋" w:cs="仿宋"/>
                <w:color w:val="auto"/>
                <w:szCs w:val="16"/>
                <w:highlight w:val="none"/>
              </w:rPr>
            </w:pPr>
          </w:p>
        </w:tc>
        <w:tc>
          <w:tcPr>
            <w:tcW w:w="1450" w:type="dxa"/>
            <w:vAlign w:val="center"/>
          </w:tcPr>
          <w:p>
            <w:pPr>
              <w:pStyle w:val="8"/>
              <w:spacing w:after="120"/>
              <w:ind w:right="-512" w:rightChars="-244"/>
              <w:rPr>
                <w:rFonts w:ascii="仿宋" w:hAnsi="仿宋" w:eastAsia="仿宋" w:cs="仿宋"/>
                <w:color w:val="auto"/>
                <w:szCs w:val="16"/>
                <w:highlight w:val="none"/>
              </w:rPr>
            </w:pPr>
          </w:p>
        </w:tc>
        <w:tc>
          <w:tcPr>
            <w:tcW w:w="1670" w:type="dxa"/>
            <w:vAlign w:val="center"/>
          </w:tcPr>
          <w:p>
            <w:pPr>
              <w:pStyle w:val="8"/>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8"/>
              <w:spacing w:after="120"/>
              <w:ind w:right="-512" w:rightChars="-244"/>
              <w:rPr>
                <w:rFonts w:ascii="仿宋" w:hAnsi="仿宋" w:eastAsia="仿宋" w:cs="仿宋"/>
                <w:color w:val="auto"/>
                <w:szCs w:val="16"/>
                <w:highlight w:val="none"/>
              </w:rPr>
            </w:pPr>
          </w:p>
        </w:tc>
        <w:tc>
          <w:tcPr>
            <w:tcW w:w="1276" w:type="dxa"/>
            <w:vAlign w:val="center"/>
          </w:tcPr>
          <w:p>
            <w:pPr>
              <w:pStyle w:val="8"/>
              <w:spacing w:after="120"/>
              <w:ind w:right="-512" w:rightChars="-244"/>
              <w:rPr>
                <w:rFonts w:ascii="仿宋" w:hAnsi="仿宋" w:eastAsia="仿宋" w:cs="仿宋"/>
                <w:color w:val="auto"/>
                <w:szCs w:val="16"/>
                <w:highlight w:val="none"/>
              </w:rPr>
            </w:pPr>
          </w:p>
        </w:tc>
        <w:tc>
          <w:tcPr>
            <w:tcW w:w="1450" w:type="dxa"/>
            <w:vAlign w:val="center"/>
          </w:tcPr>
          <w:p>
            <w:pPr>
              <w:pStyle w:val="8"/>
              <w:spacing w:after="120"/>
              <w:ind w:right="-512" w:rightChars="-244"/>
              <w:rPr>
                <w:rFonts w:ascii="仿宋" w:hAnsi="仿宋" w:eastAsia="仿宋" w:cs="仿宋"/>
                <w:color w:val="auto"/>
                <w:szCs w:val="16"/>
                <w:highlight w:val="none"/>
              </w:rPr>
            </w:pPr>
          </w:p>
        </w:tc>
        <w:tc>
          <w:tcPr>
            <w:tcW w:w="1243" w:type="dxa"/>
            <w:vAlign w:val="center"/>
          </w:tcPr>
          <w:p>
            <w:pPr>
              <w:pStyle w:val="8"/>
              <w:spacing w:after="120"/>
              <w:ind w:right="-512" w:rightChars="-244"/>
              <w:rPr>
                <w:rFonts w:ascii="仿宋" w:hAnsi="仿宋" w:eastAsia="仿宋" w:cs="仿宋"/>
                <w:color w:val="auto"/>
                <w:szCs w:val="16"/>
                <w:highlight w:val="none"/>
              </w:rPr>
            </w:pPr>
          </w:p>
        </w:tc>
        <w:tc>
          <w:tcPr>
            <w:tcW w:w="1450" w:type="dxa"/>
            <w:vAlign w:val="center"/>
          </w:tcPr>
          <w:p>
            <w:pPr>
              <w:pStyle w:val="8"/>
              <w:spacing w:after="120"/>
              <w:ind w:right="-512" w:rightChars="-244"/>
              <w:rPr>
                <w:rFonts w:ascii="仿宋" w:hAnsi="仿宋" w:eastAsia="仿宋" w:cs="仿宋"/>
                <w:color w:val="auto"/>
                <w:szCs w:val="16"/>
                <w:highlight w:val="none"/>
              </w:rPr>
            </w:pPr>
          </w:p>
        </w:tc>
        <w:tc>
          <w:tcPr>
            <w:tcW w:w="1670" w:type="dxa"/>
            <w:vAlign w:val="center"/>
          </w:tcPr>
          <w:p>
            <w:pPr>
              <w:pStyle w:val="8"/>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8"/>
              <w:spacing w:after="120"/>
              <w:ind w:right="-512" w:rightChars="-244"/>
              <w:rPr>
                <w:rFonts w:ascii="仿宋" w:hAnsi="仿宋" w:eastAsia="仿宋" w:cs="仿宋"/>
                <w:color w:val="auto"/>
                <w:szCs w:val="16"/>
                <w:highlight w:val="none"/>
              </w:rPr>
            </w:pPr>
          </w:p>
        </w:tc>
        <w:tc>
          <w:tcPr>
            <w:tcW w:w="1276" w:type="dxa"/>
            <w:vAlign w:val="center"/>
          </w:tcPr>
          <w:p>
            <w:pPr>
              <w:pStyle w:val="8"/>
              <w:spacing w:after="120"/>
              <w:ind w:right="-512" w:rightChars="-244"/>
              <w:rPr>
                <w:rFonts w:ascii="仿宋" w:hAnsi="仿宋" w:eastAsia="仿宋" w:cs="仿宋"/>
                <w:color w:val="auto"/>
                <w:szCs w:val="16"/>
                <w:highlight w:val="none"/>
              </w:rPr>
            </w:pPr>
          </w:p>
        </w:tc>
        <w:tc>
          <w:tcPr>
            <w:tcW w:w="1450" w:type="dxa"/>
            <w:vAlign w:val="center"/>
          </w:tcPr>
          <w:p>
            <w:pPr>
              <w:pStyle w:val="8"/>
              <w:spacing w:after="120"/>
              <w:ind w:right="-512" w:rightChars="-244"/>
              <w:rPr>
                <w:rFonts w:ascii="仿宋" w:hAnsi="仿宋" w:eastAsia="仿宋" w:cs="仿宋"/>
                <w:color w:val="auto"/>
                <w:szCs w:val="16"/>
                <w:highlight w:val="none"/>
              </w:rPr>
            </w:pPr>
          </w:p>
        </w:tc>
        <w:tc>
          <w:tcPr>
            <w:tcW w:w="1243" w:type="dxa"/>
            <w:vAlign w:val="center"/>
          </w:tcPr>
          <w:p>
            <w:pPr>
              <w:pStyle w:val="8"/>
              <w:spacing w:after="120"/>
              <w:ind w:right="-512" w:rightChars="-244"/>
              <w:rPr>
                <w:rFonts w:ascii="仿宋" w:hAnsi="仿宋" w:eastAsia="仿宋" w:cs="仿宋"/>
                <w:color w:val="auto"/>
                <w:szCs w:val="16"/>
                <w:highlight w:val="none"/>
              </w:rPr>
            </w:pPr>
          </w:p>
        </w:tc>
        <w:tc>
          <w:tcPr>
            <w:tcW w:w="1450" w:type="dxa"/>
            <w:vAlign w:val="center"/>
          </w:tcPr>
          <w:p>
            <w:pPr>
              <w:pStyle w:val="8"/>
              <w:spacing w:after="120"/>
              <w:ind w:right="-512" w:rightChars="-244"/>
              <w:rPr>
                <w:rFonts w:ascii="仿宋" w:hAnsi="仿宋" w:eastAsia="仿宋" w:cs="仿宋"/>
                <w:color w:val="auto"/>
                <w:szCs w:val="16"/>
                <w:highlight w:val="none"/>
              </w:rPr>
            </w:pPr>
          </w:p>
        </w:tc>
        <w:tc>
          <w:tcPr>
            <w:tcW w:w="1670" w:type="dxa"/>
            <w:vAlign w:val="center"/>
          </w:tcPr>
          <w:p>
            <w:pPr>
              <w:pStyle w:val="8"/>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after="120"/>
              <w:ind w:right="-512" w:rightChars="-244"/>
              <w:rPr>
                <w:rFonts w:ascii="仿宋" w:hAnsi="仿宋" w:eastAsia="仿宋" w:cs="仿宋"/>
                <w:color w:val="auto"/>
                <w:szCs w:val="16"/>
                <w:highlight w:val="none"/>
              </w:rPr>
            </w:pPr>
          </w:p>
        </w:tc>
        <w:tc>
          <w:tcPr>
            <w:tcW w:w="1276" w:type="dxa"/>
          </w:tcPr>
          <w:p>
            <w:pPr>
              <w:spacing w:after="120"/>
              <w:ind w:right="-512" w:rightChars="-244"/>
              <w:rPr>
                <w:rFonts w:ascii="仿宋" w:hAnsi="仿宋" w:eastAsia="仿宋" w:cs="仿宋"/>
                <w:color w:val="auto"/>
                <w:szCs w:val="16"/>
                <w:highlight w:val="none"/>
              </w:rPr>
            </w:pPr>
          </w:p>
        </w:tc>
        <w:tc>
          <w:tcPr>
            <w:tcW w:w="1450" w:type="dxa"/>
          </w:tcPr>
          <w:p>
            <w:pPr>
              <w:spacing w:after="120"/>
              <w:ind w:right="-512" w:rightChars="-244"/>
              <w:rPr>
                <w:rFonts w:ascii="仿宋" w:hAnsi="仿宋" w:eastAsia="仿宋" w:cs="仿宋"/>
                <w:color w:val="auto"/>
                <w:szCs w:val="16"/>
                <w:highlight w:val="none"/>
              </w:rPr>
            </w:pPr>
          </w:p>
        </w:tc>
        <w:tc>
          <w:tcPr>
            <w:tcW w:w="1243" w:type="dxa"/>
          </w:tcPr>
          <w:p>
            <w:pPr>
              <w:spacing w:after="120"/>
              <w:ind w:right="-512" w:rightChars="-244"/>
              <w:rPr>
                <w:rFonts w:ascii="仿宋" w:hAnsi="仿宋" w:eastAsia="仿宋" w:cs="仿宋"/>
                <w:color w:val="auto"/>
                <w:szCs w:val="16"/>
                <w:highlight w:val="none"/>
              </w:rPr>
            </w:pPr>
          </w:p>
        </w:tc>
        <w:tc>
          <w:tcPr>
            <w:tcW w:w="1450" w:type="dxa"/>
          </w:tcPr>
          <w:p>
            <w:pPr>
              <w:spacing w:after="120"/>
              <w:ind w:right="-512" w:rightChars="-244"/>
              <w:rPr>
                <w:rFonts w:ascii="仿宋" w:hAnsi="仿宋" w:eastAsia="仿宋" w:cs="仿宋"/>
                <w:color w:val="auto"/>
                <w:szCs w:val="16"/>
                <w:highlight w:val="none"/>
              </w:rPr>
            </w:pPr>
          </w:p>
        </w:tc>
        <w:tc>
          <w:tcPr>
            <w:tcW w:w="1670" w:type="dxa"/>
          </w:tcPr>
          <w:p>
            <w:pPr>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vAlign w:val="center"/>
          </w:tcPr>
          <w:p>
            <w:pPr>
              <w:pStyle w:val="8"/>
              <w:spacing w:after="120"/>
              <w:ind w:right="-512" w:rightChars="-244"/>
              <w:rPr>
                <w:rFonts w:ascii="仿宋" w:hAnsi="仿宋" w:eastAsia="仿宋" w:cs="仿宋"/>
                <w:color w:val="auto"/>
                <w:szCs w:val="16"/>
                <w:highlight w:val="none"/>
              </w:rPr>
            </w:pPr>
          </w:p>
        </w:tc>
        <w:tc>
          <w:tcPr>
            <w:tcW w:w="1276" w:type="dxa"/>
            <w:vAlign w:val="center"/>
          </w:tcPr>
          <w:p>
            <w:pPr>
              <w:pStyle w:val="8"/>
              <w:spacing w:after="120"/>
              <w:ind w:right="-512" w:rightChars="-244"/>
              <w:rPr>
                <w:rFonts w:ascii="仿宋" w:hAnsi="仿宋" w:eastAsia="仿宋" w:cs="仿宋"/>
                <w:color w:val="auto"/>
                <w:szCs w:val="16"/>
                <w:highlight w:val="none"/>
              </w:rPr>
            </w:pPr>
          </w:p>
        </w:tc>
        <w:tc>
          <w:tcPr>
            <w:tcW w:w="1450" w:type="dxa"/>
            <w:vAlign w:val="center"/>
          </w:tcPr>
          <w:p>
            <w:pPr>
              <w:pStyle w:val="8"/>
              <w:spacing w:after="120"/>
              <w:ind w:right="-512" w:rightChars="-244"/>
              <w:rPr>
                <w:rFonts w:ascii="仿宋" w:hAnsi="仿宋" w:eastAsia="仿宋" w:cs="仿宋"/>
                <w:color w:val="auto"/>
                <w:szCs w:val="16"/>
                <w:highlight w:val="none"/>
              </w:rPr>
            </w:pPr>
          </w:p>
        </w:tc>
        <w:tc>
          <w:tcPr>
            <w:tcW w:w="1243" w:type="dxa"/>
            <w:vAlign w:val="center"/>
          </w:tcPr>
          <w:p>
            <w:pPr>
              <w:pStyle w:val="8"/>
              <w:spacing w:after="120"/>
              <w:ind w:right="-512" w:rightChars="-244"/>
              <w:rPr>
                <w:rFonts w:ascii="仿宋" w:hAnsi="仿宋" w:eastAsia="仿宋" w:cs="仿宋"/>
                <w:color w:val="auto"/>
                <w:szCs w:val="16"/>
                <w:highlight w:val="none"/>
              </w:rPr>
            </w:pPr>
          </w:p>
        </w:tc>
        <w:tc>
          <w:tcPr>
            <w:tcW w:w="1450" w:type="dxa"/>
            <w:vAlign w:val="center"/>
          </w:tcPr>
          <w:p>
            <w:pPr>
              <w:pStyle w:val="8"/>
              <w:spacing w:after="120"/>
              <w:ind w:right="-512" w:rightChars="-244"/>
              <w:rPr>
                <w:rFonts w:ascii="仿宋" w:hAnsi="仿宋" w:eastAsia="仿宋" w:cs="仿宋"/>
                <w:color w:val="auto"/>
                <w:szCs w:val="16"/>
                <w:highlight w:val="none"/>
              </w:rPr>
            </w:pPr>
          </w:p>
        </w:tc>
        <w:tc>
          <w:tcPr>
            <w:tcW w:w="1670" w:type="dxa"/>
            <w:vAlign w:val="center"/>
          </w:tcPr>
          <w:p>
            <w:pPr>
              <w:pStyle w:val="8"/>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after="120"/>
              <w:ind w:right="-512" w:rightChars="-244"/>
              <w:rPr>
                <w:rFonts w:ascii="仿宋" w:hAnsi="仿宋" w:eastAsia="仿宋" w:cs="仿宋"/>
                <w:color w:val="auto"/>
                <w:szCs w:val="16"/>
                <w:highlight w:val="none"/>
              </w:rPr>
            </w:pPr>
          </w:p>
        </w:tc>
        <w:tc>
          <w:tcPr>
            <w:tcW w:w="1276" w:type="dxa"/>
          </w:tcPr>
          <w:p>
            <w:pPr>
              <w:spacing w:after="120"/>
              <w:ind w:right="-512" w:rightChars="-244"/>
              <w:rPr>
                <w:rFonts w:ascii="仿宋" w:hAnsi="仿宋" w:eastAsia="仿宋" w:cs="仿宋"/>
                <w:color w:val="auto"/>
                <w:szCs w:val="16"/>
                <w:highlight w:val="none"/>
              </w:rPr>
            </w:pPr>
          </w:p>
        </w:tc>
        <w:tc>
          <w:tcPr>
            <w:tcW w:w="1450" w:type="dxa"/>
          </w:tcPr>
          <w:p>
            <w:pPr>
              <w:spacing w:after="120"/>
              <w:ind w:right="-512" w:rightChars="-244"/>
              <w:rPr>
                <w:rFonts w:ascii="仿宋" w:hAnsi="仿宋" w:eastAsia="仿宋" w:cs="仿宋"/>
                <w:color w:val="auto"/>
                <w:szCs w:val="16"/>
                <w:highlight w:val="none"/>
              </w:rPr>
            </w:pPr>
          </w:p>
        </w:tc>
        <w:tc>
          <w:tcPr>
            <w:tcW w:w="1243" w:type="dxa"/>
          </w:tcPr>
          <w:p>
            <w:pPr>
              <w:spacing w:after="120"/>
              <w:ind w:right="-512" w:rightChars="-244"/>
              <w:rPr>
                <w:rFonts w:ascii="仿宋" w:hAnsi="仿宋" w:eastAsia="仿宋" w:cs="仿宋"/>
                <w:color w:val="auto"/>
                <w:szCs w:val="16"/>
                <w:highlight w:val="none"/>
              </w:rPr>
            </w:pPr>
          </w:p>
        </w:tc>
        <w:tc>
          <w:tcPr>
            <w:tcW w:w="1450" w:type="dxa"/>
          </w:tcPr>
          <w:p>
            <w:pPr>
              <w:spacing w:after="120"/>
              <w:ind w:right="-512" w:rightChars="-244"/>
              <w:rPr>
                <w:rFonts w:ascii="仿宋" w:hAnsi="仿宋" w:eastAsia="仿宋" w:cs="仿宋"/>
                <w:color w:val="auto"/>
                <w:szCs w:val="16"/>
                <w:highlight w:val="none"/>
              </w:rPr>
            </w:pPr>
          </w:p>
        </w:tc>
        <w:tc>
          <w:tcPr>
            <w:tcW w:w="1670" w:type="dxa"/>
          </w:tcPr>
          <w:p>
            <w:pPr>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after="120"/>
              <w:ind w:right="-512" w:rightChars="-244"/>
              <w:rPr>
                <w:rFonts w:ascii="仿宋" w:hAnsi="仿宋" w:eastAsia="仿宋" w:cs="仿宋"/>
                <w:color w:val="auto"/>
                <w:szCs w:val="16"/>
                <w:highlight w:val="none"/>
              </w:rPr>
            </w:pPr>
          </w:p>
        </w:tc>
        <w:tc>
          <w:tcPr>
            <w:tcW w:w="1276" w:type="dxa"/>
          </w:tcPr>
          <w:p>
            <w:pPr>
              <w:spacing w:after="120"/>
              <w:ind w:right="-512" w:rightChars="-244"/>
              <w:rPr>
                <w:rFonts w:ascii="仿宋" w:hAnsi="仿宋" w:eastAsia="仿宋" w:cs="仿宋"/>
                <w:color w:val="auto"/>
                <w:szCs w:val="16"/>
                <w:highlight w:val="none"/>
              </w:rPr>
            </w:pPr>
          </w:p>
        </w:tc>
        <w:tc>
          <w:tcPr>
            <w:tcW w:w="1450" w:type="dxa"/>
          </w:tcPr>
          <w:p>
            <w:pPr>
              <w:spacing w:after="120"/>
              <w:ind w:right="-512" w:rightChars="-244"/>
              <w:rPr>
                <w:rFonts w:ascii="仿宋" w:hAnsi="仿宋" w:eastAsia="仿宋" w:cs="仿宋"/>
                <w:color w:val="auto"/>
                <w:szCs w:val="16"/>
                <w:highlight w:val="none"/>
              </w:rPr>
            </w:pPr>
          </w:p>
        </w:tc>
        <w:tc>
          <w:tcPr>
            <w:tcW w:w="1243" w:type="dxa"/>
          </w:tcPr>
          <w:p>
            <w:pPr>
              <w:spacing w:after="120"/>
              <w:ind w:right="-512" w:rightChars="-244"/>
              <w:rPr>
                <w:rFonts w:ascii="仿宋" w:hAnsi="仿宋" w:eastAsia="仿宋" w:cs="仿宋"/>
                <w:color w:val="auto"/>
                <w:szCs w:val="16"/>
                <w:highlight w:val="none"/>
              </w:rPr>
            </w:pPr>
          </w:p>
        </w:tc>
        <w:tc>
          <w:tcPr>
            <w:tcW w:w="1450" w:type="dxa"/>
          </w:tcPr>
          <w:p>
            <w:pPr>
              <w:spacing w:after="120"/>
              <w:ind w:right="-512" w:rightChars="-244"/>
              <w:rPr>
                <w:rFonts w:ascii="仿宋" w:hAnsi="仿宋" w:eastAsia="仿宋" w:cs="仿宋"/>
                <w:color w:val="auto"/>
                <w:szCs w:val="16"/>
                <w:highlight w:val="none"/>
              </w:rPr>
            </w:pPr>
          </w:p>
        </w:tc>
        <w:tc>
          <w:tcPr>
            <w:tcW w:w="1670" w:type="dxa"/>
          </w:tcPr>
          <w:p>
            <w:pPr>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after="120"/>
              <w:ind w:right="-512" w:rightChars="-244"/>
              <w:rPr>
                <w:rFonts w:ascii="仿宋" w:hAnsi="仿宋" w:eastAsia="仿宋" w:cs="仿宋"/>
                <w:color w:val="auto"/>
                <w:szCs w:val="16"/>
                <w:highlight w:val="none"/>
              </w:rPr>
            </w:pPr>
          </w:p>
        </w:tc>
        <w:tc>
          <w:tcPr>
            <w:tcW w:w="1276" w:type="dxa"/>
          </w:tcPr>
          <w:p>
            <w:pPr>
              <w:spacing w:after="120"/>
              <w:ind w:right="-512" w:rightChars="-244"/>
              <w:rPr>
                <w:rFonts w:ascii="仿宋" w:hAnsi="仿宋" w:eastAsia="仿宋" w:cs="仿宋"/>
                <w:color w:val="auto"/>
                <w:szCs w:val="16"/>
                <w:highlight w:val="none"/>
              </w:rPr>
            </w:pPr>
          </w:p>
        </w:tc>
        <w:tc>
          <w:tcPr>
            <w:tcW w:w="1450" w:type="dxa"/>
          </w:tcPr>
          <w:p>
            <w:pPr>
              <w:spacing w:after="120"/>
              <w:ind w:right="-512" w:rightChars="-244"/>
              <w:rPr>
                <w:rFonts w:ascii="仿宋" w:hAnsi="仿宋" w:eastAsia="仿宋" w:cs="仿宋"/>
                <w:color w:val="auto"/>
                <w:szCs w:val="16"/>
                <w:highlight w:val="none"/>
              </w:rPr>
            </w:pPr>
          </w:p>
        </w:tc>
        <w:tc>
          <w:tcPr>
            <w:tcW w:w="1243" w:type="dxa"/>
          </w:tcPr>
          <w:p>
            <w:pPr>
              <w:spacing w:after="120"/>
              <w:ind w:right="-512" w:rightChars="-244"/>
              <w:rPr>
                <w:rFonts w:ascii="仿宋" w:hAnsi="仿宋" w:eastAsia="仿宋" w:cs="仿宋"/>
                <w:color w:val="auto"/>
                <w:szCs w:val="16"/>
                <w:highlight w:val="none"/>
              </w:rPr>
            </w:pPr>
          </w:p>
        </w:tc>
        <w:tc>
          <w:tcPr>
            <w:tcW w:w="1450" w:type="dxa"/>
          </w:tcPr>
          <w:p>
            <w:pPr>
              <w:spacing w:after="120"/>
              <w:ind w:right="-512" w:rightChars="-244"/>
              <w:rPr>
                <w:rFonts w:ascii="仿宋" w:hAnsi="仿宋" w:eastAsia="仿宋" w:cs="仿宋"/>
                <w:color w:val="auto"/>
                <w:szCs w:val="16"/>
                <w:highlight w:val="none"/>
              </w:rPr>
            </w:pPr>
          </w:p>
        </w:tc>
        <w:tc>
          <w:tcPr>
            <w:tcW w:w="1670" w:type="dxa"/>
          </w:tcPr>
          <w:p>
            <w:pPr>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after="120"/>
              <w:ind w:right="-512" w:rightChars="-244"/>
              <w:rPr>
                <w:rFonts w:ascii="仿宋" w:hAnsi="仿宋" w:eastAsia="仿宋" w:cs="仿宋"/>
                <w:color w:val="auto"/>
                <w:szCs w:val="16"/>
                <w:highlight w:val="none"/>
              </w:rPr>
            </w:pPr>
          </w:p>
        </w:tc>
        <w:tc>
          <w:tcPr>
            <w:tcW w:w="1276" w:type="dxa"/>
          </w:tcPr>
          <w:p>
            <w:pPr>
              <w:spacing w:after="120"/>
              <w:ind w:right="-512" w:rightChars="-244"/>
              <w:rPr>
                <w:rFonts w:ascii="仿宋" w:hAnsi="仿宋" w:eastAsia="仿宋" w:cs="仿宋"/>
                <w:color w:val="auto"/>
                <w:szCs w:val="16"/>
                <w:highlight w:val="none"/>
              </w:rPr>
            </w:pPr>
          </w:p>
        </w:tc>
        <w:tc>
          <w:tcPr>
            <w:tcW w:w="1450" w:type="dxa"/>
          </w:tcPr>
          <w:p>
            <w:pPr>
              <w:spacing w:after="120"/>
              <w:ind w:right="-512" w:rightChars="-244"/>
              <w:rPr>
                <w:rFonts w:ascii="仿宋" w:hAnsi="仿宋" w:eastAsia="仿宋" w:cs="仿宋"/>
                <w:color w:val="auto"/>
                <w:szCs w:val="16"/>
                <w:highlight w:val="none"/>
              </w:rPr>
            </w:pPr>
          </w:p>
        </w:tc>
        <w:tc>
          <w:tcPr>
            <w:tcW w:w="1243" w:type="dxa"/>
          </w:tcPr>
          <w:p>
            <w:pPr>
              <w:spacing w:after="120"/>
              <w:ind w:right="-512" w:rightChars="-244"/>
              <w:rPr>
                <w:rFonts w:ascii="仿宋" w:hAnsi="仿宋" w:eastAsia="仿宋" w:cs="仿宋"/>
                <w:color w:val="auto"/>
                <w:szCs w:val="16"/>
                <w:highlight w:val="none"/>
              </w:rPr>
            </w:pPr>
          </w:p>
        </w:tc>
        <w:tc>
          <w:tcPr>
            <w:tcW w:w="1450" w:type="dxa"/>
          </w:tcPr>
          <w:p>
            <w:pPr>
              <w:spacing w:after="120"/>
              <w:ind w:right="-512" w:rightChars="-244"/>
              <w:rPr>
                <w:rFonts w:ascii="仿宋" w:hAnsi="仿宋" w:eastAsia="仿宋" w:cs="仿宋"/>
                <w:color w:val="auto"/>
                <w:szCs w:val="16"/>
                <w:highlight w:val="none"/>
              </w:rPr>
            </w:pPr>
          </w:p>
        </w:tc>
        <w:tc>
          <w:tcPr>
            <w:tcW w:w="1670" w:type="dxa"/>
          </w:tcPr>
          <w:p>
            <w:pPr>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after="120"/>
              <w:ind w:right="-512" w:rightChars="-244"/>
              <w:rPr>
                <w:rFonts w:ascii="仿宋" w:hAnsi="仿宋" w:eastAsia="仿宋" w:cs="仿宋"/>
                <w:color w:val="auto"/>
                <w:szCs w:val="16"/>
                <w:highlight w:val="none"/>
              </w:rPr>
            </w:pPr>
          </w:p>
        </w:tc>
        <w:tc>
          <w:tcPr>
            <w:tcW w:w="1276" w:type="dxa"/>
          </w:tcPr>
          <w:p>
            <w:pPr>
              <w:spacing w:after="120"/>
              <w:ind w:right="-512" w:rightChars="-244"/>
              <w:rPr>
                <w:rFonts w:ascii="仿宋" w:hAnsi="仿宋" w:eastAsia="仿宋" w:cs="仿宋"/>
                <w:color w:val="auto"/>
                <w:szCs w:val="16"/>
                <w:highlight w:val="none"/>
              </w:rPr>
            </w:pPr>
          </w:p>
        </w:tc>
        <w:tc>
          <w:tcPr>
            <w:tcW w:w="1450" w:type="dxa"/>
          </w:tcPr>
          <w:p>
            <w:pPr>
              <w:spacing w:after="120"/>
              <w:ind w:right="-512" w:rightChars="-244"/>
              <w:rPr>
                <w:rFonts w:ascii="仿宋" w:hAnsi="仿宋" w:eastAsia="仿宋" w:cs="仿宋"/>
                <w:color w:val="auto"/>
                <w:szCs w:val="16"/>
                <w:highlight w:val="none"/>
              </w:rPr>
            </w:pPr>
          </w:p>
        </w:tc>
        <w:tc>
          <w:tcPr>
            <w:tcW w:w="1243" w:type="dxa"/>
          </w:tcPr>
          <w:p>
            <w:pPr>
              <w:spacing w:after="120"/>
              <w:ind w:right="-512" w:rightChars="-244"/>
              <w:rPr>
                <w:rFonts w:ascii="仿宋" w:hAnsi="仿宋" w:eastAsia="仿宋" w:cs="仿宋"/>
                <w:color w:val="auto"/>
                <w:szCs w:val="16"/>
                <w:highlight w:val="none"/>
              </w:rPr>
            </w:pPr>
          </w:p>
        </w:tc>
        <w:tc>
          <w:tcPr>
            <w:tcW w:w="1450" w:type="dxa"/>
          </w:tcPr>
          <w:p>
            <w:pPr>
              <w:spacing w:after="120"/>
              <w:ind w:right="-512" w:rightChars="-244"/>
              <w:rPr>
                <w:rFonts w:ascii="仿宋" w:hAnsi="仿宋" w:eastAsia="仿宋" w:cs="仿宋"/>
                <w:color w:val="auto"/>
                <w:szCs w:val="16"/>
                <w:highlight w:val="none"/>
              </w:rPr>
            </w:pPr>
          </w:p>
        </w:tc>
        <w:tc>
          <w:tcPr>
            <w:tcW w:w="1670" w:type="dxa"/>
          </w:tcPr>
          <w:p>
            <w:pPr>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after="120"/>
              <w:ind w:right="-512" w:rightChars="-244"/>
              <w:rPr>
                <w:rFonts w:ascii="仿宋" w:hAnsi="仿宋" w:eastAsia="仿宋" w:cs="仿宋"/>
                <w:color w:val="auto"/>
                <w:szCs w:val="16"/>
                <w:highlight w:val="none"/>
              </w:rPr>
            </w:pPr>
          </w:p>
        </w:tc>
        <w:tc>
          <w:tcPr>
            <w:tcW w:w="1276" w:type="dxa"/>
          </w:tcPr>
          <w:p>
            <w:pPr>
              <w:spacing w:after="120"/>
              <w:ind w:right="-512" w:rightChars="-244"/>
              <w:rPr>
                <w:rFonts w:ascii="仿宋" w:hAnsi="仿宋" w:eastAsia="仿宋" w:cs="仿宋"/>
                <w:color w:val="auto"/>
                <w:szCs w:val="16"/>
                <w:highlight w:val="none"/>
              </w:rPr>
            </w:pPr>
          </w:p>
        </w:tc>
        <w:tc>
          <w:tcPr>
            <w:tcW w:w="1450" w:type="dxa"/>
          </w:tcPr>
          <w:p>
            <w:pPr>
              <w:spacing w:after="120"/>
              <w:ind w:right="-512" w:rightChars="-244"/>
              <w:rPr>
                <w:rFonts w:ascii="仿宋" w:hAnsi="仿宋" w:eastAsia="仿宋" w:cs="仿宋"/>
                <w:color w:val="auto"/>
                <w:szCs w:val="16"/>
                <w:highlight w:val="none"/>
              </w:rPr>
            </w:pPr>
          </w:p>
        </w:tc>
        <w:tc>
          <w:tcPr>
            <w:tcW w:w="1243" w:type="dxa"/>
          </w:tcPr>
          <w:p>
            <w:pPr>
              <w:spacing w:after="120"/>
              <w:ind w:right="-512" w:rightChars="-244"/>
              <w:rPr>
                <w:rFonts w:ascii="仿宋" w:hAnsi="仿宋" w:eastAsia="仿宋" w:cs="仿宋"/>
                <w:color w:val="auto"/>
                <w:szCs w:val="16"/>
                <w:highlight w:val="none"/>
              </w:rPr>
            </w:pPr>
          </w:p>
        </w:tc>
        <w:tc>
          <w:tcPr>
            <w:tcW w:w="1450" w:type="dxa"/>
          </w:tcPr>
          <w:p>
            <w:pPr>
              <w:spacing w:after="120"/>
              <w:ind w:right="-512" w:rightChars="-244"/>
              <w:rPr>
                <w:rFonts w:ascii="仿宋" w:hAnsi="仿宋" w:eastAsia="仿宋" w:cs="仿宋"/>
                <w:color w:val="auto"/>
                <w:szCs w:val="16"/>
                <w:highlight w:val="none"/>
              </w:rPr>
            </w:pPr>
          </w:p>
        </w:tc>
        <w:tc>
          <w:tcPr>
            <w:tcW w:w="1670" w:type="dxa"/>
          </w:tcPr>
          <w:p>
            <w:pPr>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after="120"/>
              <w:ind w:right="-512" w:rightChars="-244"/>
              <w:rPr>
                <w:rFonts w:ascii="仿宋" w:hAnsi="仿宋" w:eastAsia="仿宋" w:cs="仿宋"/>
                <w:color w:val="auto"/>
                <w:szCs w:val="16"/>
                <w:highlight w:val="none"/>
              </w:rPr>
            </w:pPr>
          </w:p>
        </w:tc>
        <w:tc>
          <w:tcPr>
            <w:tcW w:w="1276" w:type="dxa"/>
          </w:tcPr>
          <w:p>
            <w:pPr>
              <w:spacing w:after="120"/>
              <w:ind w:right="-512" w:rightChars="-244"/>
              <w:rPr>
                <w:rFonts w:ascii="仿宋" w:hAnsi="仿宋" w:eastAsia="仿宋" w:cs="仿宋"/>
                <w:color w:val="auto"/>
                <w:szCs w:val="16"/>
                <w:highlight w:val="none"/>
              </w:rPr>
            </w:pPr>
          </w:p>
        </w:tc>
        <w:tc>
          <w:tcPr>
            <w:tcW w:w="1450" w:type="dxa"/>
          </w:tcPr>
          <w:p>
            <w:pPr>
              <w:spacing w:after="120"/>
              <w:ind w:right="-512" w:rightChars="-244"/>
              <w:rPr>
                <w:rFonts w:ascii="仿宋" w:hAnsi="仿宋" w:eastAsia="仿宋" w:cs="仿宋"/>
                <w:color w:val="auto"/>
                <w:szCs w:val="16"/>
                <w:highlight w:val="none"/>
              </w:rPr>
            </w:pPr>
          </w:p>
        </w:tc>
        <w:tc>
          <w:tcPr>
            <w:tcW w:w="1243" w:type="dxa"/>
          </w:tcPr>
          <w:p>
            <w:pPr>
              <w:spacing w:after="120"/>
              <w:ind w:right="-512" w:rightChars="-244"/>
              <w:rPr>
                <w:rFonts w:ascii="仿宋" w:hAnsi="仿宋" w:eastAsia="仿宋" w:cs="仿宋"/>
                <w:color w:val="auto"/>
                <w:szCs w:val="16"/>
                <w:highlight w:val="none"/>
              </w:rPr>
            </w:pPr>
          </w:p>
        </w:tc>
        <w:tc>
          <w:tcPr>
            <w:tcW w:w="1450" w:type="dxa"/>
          </w:tcPr>
          <w:p>
            <w:pPr>
              <w:spacing w:after="120"/>
              <w:ind w:right="-512" w:rightChars="-244"/>
              <w:rPr>
                <w:rFonts w:ascii="仿宋" w:hAnsi="仿宋" w:eastAsia="仿宋" w:cs="仿宋"/>
                <w:color w:val="auto"/>
                <w:szCs w:val="16"/>
                <w:highlight w:val="none"/>
              </w:rPr>
            </w:pPr>
          </w:p>
        </w:tc>
        <w:tc>
          <w:tcPr>
            <w:tcW w:w="1670" w:type="dxa"/>
          </w:tcPr>
          <w:p>
            <w:pPr>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after="120"/>
              <w:ind w:right="-512" w:rightChars="-244"/>
              <w:rPr>
                <w:rFonts w:ascii="仿宋" w:hAnsi="仿宋" w:eastAsia="仿宋" w:cs="仿宋"/>
                <w:color w:val="auto"/>
                <w:szCs w:val="16"/>
                <w:highlight w:val="none"/>
              </w:rPr>
            </w:pPr>
          </w:p>
        </w:tc>
        <w:tc>
          <w:tcPr>
            <w:tcW w:w="1276" w:type="dxa"/>
          </w:tcPr>
          <w:p>
            <w:pPr>
              <w:spacing w:after="120"/>
              <w:ind w:right="-512" w:rightChars="-244"/>
              <w:rPr>
                <w:rFonts w:ascii="仿宋" w:hAnsi="仿宋" w:eastAsia="仿宋" w:cs="仿宋"/>
                <w:color w:val="auto"/>
                <w:szCs w:val="16"/>
                <w:highlight w:val="none"/>
              </w:rPr>
            </w:pPr>
          </w:p>
        </w:tc>
        <w:tc>
          <w:tcPr>
            <w:tcW w:w="1450" w:type="dxa"/>
          </w:tcPr>
          <w:p>
            <w:pPr>
              <w:spacing w:after="120"/>
              <w:ind w:right="-512" w:rightChars="-244"/>
              <w:rPr>
                <w:rFonts w:ascii="仿宋" w:hAnsi="仿宋" w:eastAsia="仿宋" w:cs="仿宋"/>
                <w:color w:val="auto"/>
                <w:szCs w:val="16"/>
                <w:highlight w:val="none"/>
              </w:rPr>
            </w:pPr>
          </w:p>
        </w:tc>
        <w:tc>
          <w:tcPr>
            <w:tcW w:w="1243" w:type="dxa"/>
          </w:tcPr>
          <w:p>
            <w:pPr>
              <w:spacing w:after="120"/>
              <w:ind w:right="-512" w:rightChars="-244"/>
              <w:rPr>
                <w:rFonts w:ascii="仿宋" w:hAnsi="仿宋" w:eastAsia="仿宋" w:cs="仿宋"/>
                <w:color w:val="auto"/>
                <w:szCs w:val="16"/>
                <w:highlight w:val="none"/>
              </w:rPr>
            </w:pPr>
          </w:p>
        </w:tc>
        <w:tc>
          <w:tcPr>
            <w:tcW w:w="1450" w:type="dxa"/>
          </w:tcPr>
          <w:p>
            <w:pPr>
              <w:spacing w:after="120"/>
              <w:ind w:right="-512" w:rightChars="-244"/>
              <w:rPr>
                <w:rFonts w:ascii="仿宋" w:hAnsi="仿宋" w:eastAsia="仿宋" w:cs="仿宋"/>
                <w:color w:val="auto"/>
                <w:szCs w:val="16"/>
                <w:highlight w:val="none"/>
              </w:rPr>
            </w:pPr>
          </w:p>
        </w:tc>
        <w:tc>
          <w:tcPr>
            <w:tcW w:w="1670" w:type="dxa"/>
          </w:tcPr>
          <w:p>
            <w:pPr>
              <w:spacing w:after="120"/>
              <w:ind w:right="-512" w:rightChars="-244"/>
              <w:rPr>
                <w:rFonts w:ascii="仿宋" w:hAnsi="仿宋" w:eastAsia="仿宋" w:cs="仿宋"/>
                <w:color w:val="auto"/>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125" w:type="dxa"/>
          </w:tcPr>
          <w:p>
            <w:pPr>
              <w:spacing w:after="120"/>
              <w:ind w:right="-512" w:rightChars="-244"/>
              <w:rPr>
                <w:rFonts w:ascii="仿宋" w:hAnsi="仿宋" w:eastAsia="仿宋" w:cs="仿宋"/>
                <w:color w:val="auto"/>
                <w:szCs w:val="16"/>
                <w:highlight w:val="none"/>
              </w:rPr>
            </w:pPr>
          </w:p>
        </w:tc>
        <w:tc>
          <w:tcPr>
            <w:tcW w:w="1276" w:type="dxa"/>
          </w:tcPr>
          <w:p>
            <w:pPr>
              <w:spacing w:after="120"/>
              <w:ind w:right="-512" w:rightChars="-244"/>
              <w:rPr>
                <w:rFonts w:ascii="仿宋" w:hAnsi="仿宋" w:eastAsia="仿宋" w:cs="仿宋"/>
                <w:color w:val="auto"/>
                <w:szCs w:val="16"/>
                <w:highlight w:val="none"/>
              </w:rPr>
            </w:pPr>
          </w:p>
        </w:tc>
        <w:tc>
          <w:tcPr>
            <w:tcW w:w="1450" w:type="dxa"/>
          </w:tcPr>
          <w:p>
            <w:pPr>
              <w:spacing w:after="120"/>
              <w:ind w:right="-512" w:rightChars="-244"/>
              <w:rPr>
                <w:rFonts w:ascii="仿宋" w:hAnsi="仿宋" w:eastAsia="仿宋" w:cs="仿宋"/>
                <w:color w:val="auto"/>
                <w:szCs w:val="16"/>
                <w:highlight w:val="none"/>
              </w:rPr>
            </w:pPr>
          </w:p>
        </w:tc>
        <w:tc>
          <w:tcPr>
            <w:tcW w:w="1243" w:type="dxa"/>
          </w:tcPr>
          <w:p>
            <w:pPr>
              <w:spacing w:after="120"/>
              <w:ind w:right="-512" w:rightChars="-244"/>
              <w:rPr>
                <w:rFonts w:ascii="仿宋" w:hAnsi="仿宋" w:eastAsia="仿宋" w:cs="仿宋"/>
                <w:color w:val="auto"/>
                <w:szCs w:val="16"/>
                <w:highlight w:val="none"/>
              </w:rPr>
            </w:pPr>
          </w:p>
        </w:tc>
        <w:tc>
          <w:tcPr>
            <w:tcW w:w="1450" w:type="dxa"/>
          </w:tcPr>
          <w:p>
            <w:pPr>
              <w:spacing w:after="120"/>
              <w:ind w:right="-512" w:rightChars="-244"/>
              <w:rPr>
                <w:rFonts w:ascii="仿宋" w:hAnsi="仿宋" w:eastAsia="仿宋" w:cs="仿宋"/>
                <w:color w:val="auto"/>
                <w:szCs w:val="16"/>
                <w:highlight w:val="none"/>
              </w:rPr>
            </w:pPr>
          </w:p>
        </w:tc>
        <w:tc>
          <w:tcPr>
            <w:tcW w:w="1670" w:type="dxa"/>
          </w:tcPr>
          <w:p>
            <w:pPr>
              <w:spacing w:after="120"/>
              <w:ind w:right="-512" w:rightChars="-244"/>
              <w:rPr>
                <w:rFonts w:ascii="仿宋" w:hAnsi="仿宋" w:eastAsia="仿宋" w:cs="仿宋"/>
                <w:color w:val="auto"/>
                <w:szCs w:val="16"/>
                <w:highlight w:val="none"/>
              </w:rPr>
            </w:pPr>
          </w:p>
        </w:tc>
      </w:tr>
    </w:tbl>
    <w:p>
      <w:pPr>
        <w:spacing w:after="120"/>
        <w:ind w:right="-512" w:rightChars="-244"/>
        <w:rPr>
          <w:rFonts w:ascii="仿宋" w:hAnsi="仿宋" w:eastAsia="仿宋" w:cs="仿宋"/>
          <w:color w:val="auto"/>
          <w:szCs w:val="16"/>
          <w:highlight w:val="none"/>
        </w:rPr>
      </w:pPr>
    </w:p>
    <w:p>
      <w:pPr>
        <w:spacing w:after="120"/>
        <w:ind w:right="-512" w:rightChars="-244"/>
        <w:rPr>
          <w:rFonts w:ascii="仿宋" w:hAnsi="仿宋" w:eastAsia="仿宋" w:cs="仿宋"/>
          <w:color w:val="auto"/>
          <w:szCs w:val="16"/>
          <w:highlight w:val="none"/>
        </w:rPr>
      </w:pPr>
    </w:p>
    <w:p>
      <w:pPr>
        <w:spacing w:after="120"/>
        <w:ind w:right="-512" w:rightChars="-244"/>
        <w:rPr>
          <w:rFonts w:ascii="仿宋" w:hAnsi="仿宋" w:eastAsia="仿宋" w:cs="仿宋"/>
          <w:color w:val="auto"/>
          <w:szCs w:val="16"/>
          <w:highlight w:val="none"/>
        </w:rPr>
        <w:sectPr>
          <w:pgSz w:w="11906" w:h="16838"/>
          <w:pgMar w:top="1440" w:right="1800" w:bottom="1440" w:left="1800" w:header="720" w:footer="998" w:gutter="0"/>
          <w:pgNumType w:fmt="decimal"/>
          <w:cols w:space="720" w:num="1"/>
          <w:docGrid w:linePitch="326" w:charSpace="0"/>
        </w:sectPr>
      </w:pPr>
    </w:p>
    <w:p>
      <w:pPr>
        <w:pStyle w:val="197"/>
        <w:spacing w:after="120"/>
        <w:ind w:left="0" w:right="-512" w:rightChars="-244"/>
        <w:rPr>
          <w:rFonts w:ascii="仿宋" w:hAnsi="仿宋" w:eastAsia="仿宋" w:cs="仿宋"/>
          <w:color w:val="auto"/>
          <w:sz w:val="24"/>
          <w:szCs w:val="24"/>
          <w:highlight w:val="none"/>
        </w:rPr>
      </w:pPr>
      <w:bookmarkStart w:id="564" w:name="_Toc20171897"/>
      <w:bookmarkStart w:id="565" w:name="_Toc19090_WPSOffice_Level2"/>
      <w:bookmarkStart w:id="566" w:name="_Toc23065"/>
      <w:r>
        <w:rPr>
          <w:rFonts w:hint="eastAsia" w:ascii="仿宋" w:hAnsi="仿宋" w:eastAsia="仿宋" w:cs="仿宋"/>
          <w:color w:val="auto"/>
          <w:sz w:val="24"/>
          <w:szCs w:val="24"/>
          <w:highlight w:val="none"/>
        </w:rPr>
        <w:t>承包人主要管理人员表</w:t>
      </w:r>
      <w:bookmarkEnd w:id="564"/>
      <w:bookmarkEnd w:id="565"/>
      <w:bookmarkEnd w:id="566"/>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07"/>
        <w:gridCol w:w="1420"/>
        <w:gridCol w:w="1135"/>
        <w:gridCol w:w="1135"/>
        <w:gridCol w:w="39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0" w:hRule="atLeast"/>
          <w:jc w:val="center"/>
        </w:trPr>
        <w:tc>
          <w:tcPr>
            <w:tcW w:w="1507" w:type="dxa"/>
            <w:tcBorders>
              <w:top w:val="single" w:color="auto" w:sz="12" w:space="0"/>
              <w:bottom w:val="double" w:color="auto" w:sz="6" w:space="0"/>
            </w:tcBorders>
            <w:vAlign w:val="center"/>
          </w:tcPr>
          <w:p>
            <w:pPr>
              <w:pStyle w:val="8"/>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名    称</w:t>
            </w:r>
          </w:p>
        </w:tc>
        <w:tc>
          <w:tcPr>
            <w:tcW w:w="1420" w:type="dxa"/>
            <w:tcBorders>
              <w:top w:val="single" w:color="auto" w:sz="12" w:space="0"/>
              <w:bottom w:val="double" w:color="auto" w:sz="6" w:space="0"/>
            </w:tcBorders>
            <w:vAlign w:val="center"/>
          </w:tcPr>
          <w:p>
            <w:pPr>
              <w:pStyle w:val="8"/>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姓名</w:t>
            </w:r>
          </w:p>
        </w:tc>
        <w:tc>
          <w:tcPr>
            <w:tcW w:w="1135" w:type="dxa"/>
            <w:tcBorders>
              <w:top w:val="single" w:color="auto" w:sz="12" w:space="0"/>
              <w:bottom w:val="double" w:color="auto" w:sz="6" w:space="0"/>
            </w:tcBorders>
            <w:vAlign w:val="center"/>
          </w:tcPr>
          <w:p>
            <w:pPr>
              <w:pStyle w:val="8"/>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职务</w:t>
            </w:r>
          </w:p>
        </w:tc>
        <w:tc>
          <w:tcPr>
            <w:tcW w:w="1135" w:type="dxa"/>
            <w:tcBorders>
              <w:top w:val="single" w:color="auto" w:sz="12" w:space="0"/>
              <w:bottom w:val="double" w:color="auto" w:sz="6" w:space="0"/>
            </w:tcBorders>
            <w:vAlign w:val="center"/>
          </w:tcPr>
          <w:p>
            <w:pPr>
              <w:pStyle w:val="8"/>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职称</w:t>
            </w:r>
          </w:p>
        </w:tc>
        <w:tc>
          <w:tcPr>
            <w:tcW w:w="3901" w:type="dxa"/>
            <w:tcBorders>
              <w:top w:val="single" w:color="auto" w:sz="12" w:space="0"/>
              <w:bottom w:val="double" w:color="auto" w:sz="6" w:space="0"/>
            </w:tcBorders>
            <w:vAlign w:val="center"/>
          </w:tcPr>
          <w:p>
            <w:pPr>
              <w:pStyle w:val="8"/>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7" w:hRule="atLeast"/>
          <w:jc w:val="center"/>
        </w:trPr>
        <w:tc>
          <w:tcPr>
            <w:tcW w:w="9098" w:type="dxa"/>
            <w:gridSpan w:val="5"/>
            <w:tcBorders>
              <w:top w:val="double" w:color="auto" w:sz="6" w:space="0"/>
              <w:bottom w:val="single" w:color="auto" w:sz="6" w:space="0"/>
            </w:tcBorders>
            <w:vAlign w:val="center"/>
          </w:tcPr>
          <w:p>
            <w:pPr>
              <w:pStyle w:val="8"/>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1507" w:type="dxa"/>
            <w:tcBorders>
              <w:top w:val="nil"/>
              <w:bottom w:val="nil"/>
            </w:tcBorders>
            <w:vAlign w:val="center"/>
          </w:tcPr>
          <w:p>
            <w:pPr>
              <w:pStyle w:val="8"/>
              <w:ind w:right="-512" w:rightChars="-244"/>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项目主管</w:t>
            </w:r>
          </w:p>
        </w:tc>
        <w:tc>
          <w:tcPr>
            <w:tcW w:w="1420" w:type="dxa"/>
            <w:tcBorders>
              <w:top w:val="nil"/>
            </w:tcBorders>
            <w:vAlign w:val="center"/>
          </w:tcPr>
          <w:p>
            <w:pPr>
              <w:pStyle w:val="8"/>
              <w:ind w:right="-512" w:rightChars="-244" w:firstLine="420"/>
              <w:rPr>
                <w:rFonts w:ascii="仿宋" w:hAnsi="仿宋" w:eastAsia="仿宋" w:cs="仿宋"/>
                <w:color w:val="auto"/>
                <w:sz w:val="18"/>
                <w:szCs w:val="18"/>
                <w:highlight w:val="none"/>
              </w:rPr>
            </w:pPr>
          </w:p>
        </w:tc>
        <w:tc>
          <w:tcPr>
            <w:tcW w:w="1135" w:type="dxa"/>
            <w:tcBorders>
              <w:top w:val="nil"/>
            </w:tcBorders>
            <w:vAlign w:val="center"/>
          </w:tcPr>
          <w:p>
            <w:pPr>
              <w:pStyle w:val="8"/>
              <w:ind w:right="-512" w:rightChars="-244" w:firstLine="420"/>
              <w:rPr>
                <w:rFonts w:ascii="仿宋" w:hAnsi="仿宋" w:eastAsia="仿宋" w:cs="仿宋"/>
                <w:color w:val="auto"/>
                <w:sz w:val="18"/>
                <w:szCs w:val="18"/>
                <w:highlight w:val="none"/>
              </w:rPr>
            </w:pPr>
          </w:p>
        </w:tc>
        <w:tc>
          <w:tcPr>
            <w:tcW w:w="1135" w:type="dxa"/>
            <w:tcBorders>
              <w:top w:val="nil"/>
            </w:tcBorders>
            <w:vAlign w:val="center"/>
          </w:tcPr>
          <w:p>
            <w:pPr>
              <w:pStyle w:val="8"/>
              <w:ind w:right="-512" w:rightChars="-244" w:firstLine="420"/>
              <w:rPr>
                <w:rFonts w:ascii="仿宋" w:hAnsi="仿宋" w:eastAsia="仿宋" w:cs="仿宋"/>
                <w:color w:val="auto"/>
                <w:sz w:val="18"/>
                <w:szCs w:val="18"/>
                <w:highlight w:val="none"/>
              </w:rPr>
            </w:pPr>
          </w:p>
        </w:tc>
        <w:tc>
          <w:tcPr>
            <w:tcW w:w="3901" w:type="dxa"/>
            <w:tcBorders>
              <w:top w:val="nil"/>
            </w:tcBorders>
            <w:vAlign w:val="center"/>
          </w:tcPr>
          <w:p>
            <w:pPr>
              <w:pStyle w:val="8"/>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1507" w:type="dxa"/>
            <w:tcBorders>
              <w:top w:val="single" w:color="auto" w:sz="6" w:space="0"/>
              <w:bottom w:val="nil"/>
            </w:tcBorders>
            <w:vAlign w:val="center"/>
          </w:tcPr>
          <w:p>
            <w:pPr>
              <w:pStyle w:val="8"/>
              <w:ind w:right="-512" w:rightChars="-244" w:firstLine="420"/>
              <w:rPr>
                <w:rFonts w:ascii="仿宋" w:hAnsi="仿宋" w:eastAsia="仿宋" w:cs="仿宋"/>
                <w:color w:val="auto"/>
                <w:sz w:val="18"/>
                <w:szCs w:val="18"/>
                <w:highlight w:val="none"/>
              </w:rPr>
            </w:pPr>
          </w:p>
        </w:tc>
        <w:tc>
          <w:tcPr>
            <w:tcW w:w="1420"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3901" w:type="dxa"/>
            <w:vAlign w:val="center"/>
          </w:tcPr>
          <w:p>
            <w:pPr>
              <w:pStyle w:val="8"/>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1507" w:type="dxa"/>
            <w:tcBorders>
              <w:top w:val="nil"/>
              <w:bottom w:val="nil"/>
            </w:tcBorders>
            <w:vAlign w:val="center"/>
          </w:tcPr>
          <w:p>
            <w:pPr>
              <w:pStyle w:val="8"/>
              <w:ind w:right="-512" w:rightChars="-244"/>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其他人员</w:t>
            </w:r>
          </w:p>
        </w:tc>
        <w:tc>
          <w:tcPr>
            <w:tcW w:w="1420"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3901" w:type="dxa"/>
            <w:vAlign w:val="center"/>
          </w:tcPr>
          <w:p>
            <w:pPr>
              <w:pStyle w:val="8"/>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1507" w:type="dxa"/>
            <w:tcBorders>
              <w:top w:val="nil"/>
              <w:bottom w:val="nil"/>
            </w:tcBorders>
            <w:vAlign w:val="center"/>
          </w:tcPr>
          <w:p>
            <w:pPr>
              <w:pStyle w:val="8"/>
              <w:ind w:right="-512" w:rightChars="-244" w:firstLine="420"/>
              <w:rPr>
                <w:rFonts w:ascii="仿宋" w:hAnsi="仿宋" w:eastAsia="仿宋" w:cs="仿宋"/>
                <w:color w:val="auto"/>
                <w:sz w:val="18"/>
                <w:szCs w:val="18"/>
                <w:highlight w:val="none"/>
              </w:rPr>
            </w:pPr>
          </w:p>
        </w:tc>
        <w:tc>
          <w:tcPr>
            <w:tcW w:w="1420"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3901" w:type="dxa"/>
            <w:vAlign w:val="center"/>
          </w:tcPr>
          <w:p>
            <w:pPr>
              <w:pStyle w:val="8"/>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9098" w:type="dxa"/>
            <w:gridSpan w:val="5"/>
            <w:tcBorders>
              <w:top w:val="single" w:color="auto" w:sz="6" w:space="0"/>
              <w:bottom w:val="single" w:color="auto" w:sz="6" w:space="0"/>
            </w:tcBorders>
            <w:vAlign w:val="center"/>
          </w:tcPr>
          <w:p>
            <w:pPr>
              <w:pStyle w:val="8"/>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0" w:hRule="atLeast"/>
          <w:jc w:val="center"/>
        </w:trPr>
        <w:tc>
          <w:tcPr>
            <w:tcW w:w="1507" w:type="dxa"/>
            <w:tcBorders>
              <w:top w:val="single" w:color="auto" w:sz="6" w:space="0"/>
              <w:bottom w:val="single" w:color="auto" w:sz="6" w:space="0"/>
            </w:tcBorders>
            <w:vAlign w:val="center"/>
          </w:tcPr>
          <w:p>
            <w:pPr>
              <w:pStyle w:val="8"/>
              <w:ind w:right="-512" w:rightChars="-244"/>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工程总承包</w:t>
            </w:r>
          </w:p>
          <w:p>
            <w:pPr>
              <w:pStyle w:val="8"/>
              <w:ind w:right="-512" w:rightChars="-244"/>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项目经理</w:t>
            </w:r>
          </w:p>
        </w:tc>
        <w:tc>
          <w:tcPr>
            <w:tcW w:w="1420"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3901" w:type="dxa"/>
            <w:vAlign w:val="center"/>
          </w:tcPr>
          <w:p>
            <w:pPr>
              <w:pStyle w:val="8"/>
              <w:ind w:right="-512" w:rightChars="-244" w:firstLine="420"/>
              <w:rPr>
                <w:rFonts w:ascii="仿宋" w:hAnsi="仿宋" w:eastAsia="仿宋" w:cs="仿宋"/>
                <w:color w:val="auto"/>
                <w:sz w:val="18"/>
                <w:szCs w:val="18"/>
                <w:highlight w:val="none"/>
              </w:rPr>
            </w:pPr>
          </w:p>
          <w:p>
            <w:pPr>
              <w:pStyle w:val="8"/>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1507" w:type="dxa"/>
            <w:tcBorders>
              <w:top w:val="single" w:color="auto" w:sz="6" w:space="0"/>
              <w:bottom w:val="single" w:color="auto" w:sz="6" w:space="0"/>
            </w:tcBorders>
            <w:vAlign w:val="center"/>
          </w:tcPr>
          <w:p>
            <w:pPr>
              <w:pStyle w:val="8"/>
              <w:ind w:right="-512" w:rightChars="-244"/>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项目副经理</w:t>
            </w:r>
          </w:p>
        </w:tc>
        <w:tc>
          <w:tcPr>
            <w:tcW w:w="1420"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3901" w:type="dxa"/>
            <w:vAlign w:val="center"/>
          </w:tcPr>
          <w:p>
            <w:pPr>
              <w:pStyle w:val="8"/>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1507" w:type="dxa"/>
            <w:tcBorders>
              <w:top w:val="single" w:color="auto" w:sz="6" w:space="0"/>
              <w:bottom w:val="single" w:color="auto" w:sz="6" w:space="0"/>
            </w:tcBorders>
            <w:vAlign w:val="center"/>
          </w:tcPr>
          <w:p>
            <w:pPr>
              <w:pStyle w:val="8"/>
              <w:ind w:right="-512" w:rightChars="-244"/>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设计负责人</w:t>
            </w:r>
          </w:p>
        </w:tc>
        <w:tc>
          <w:tcPr>
            <w:tcW w:w="1420"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3901" w:type="dxa"/>
            <w:vAlign w:val="center"/>
          </w:tcPr>
          <w:p>
            <w:pPr>
              <w:pStyle w:val="8"/>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1507" w:type="dxa"/>
            <w:tcBorders>
              <w:top w:val="single" w:color="auto" w:sz="6" w:space="0"/>
              <w:bottom w:val="single" w:color="auto" w:sz="6" w:space="0"/>
            </w:tcBorders>
            <w:vAlign w:val="center"/>
          </w:tcPr>
          <w:p>
            <w:pPr>
              <w:pStyle w:val="8"/>
              <w:ind w:right="-512" w:rightChars="-244"/>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采购负责人</w:t>
            </w:r>
          </w:p>
        </w:tc>
        <w:tc>
          <w:tcPr>
            <w:tcW w:w="1420"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3901" w:type="dxa"/>
            <w:vAlign w:val="center"/>
          </w:tcPr>
          <w:p>
            <w:pPr>
              <w:pStyle w:val="8"/>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1507" w:type="dxa"/>
            <w:tcBorders>
              <w:top w:val="single" w:color="auto" w:sz="6" w:space="0"/>
              <w:bottom w:val="single" w:color="auto" w:sz="6" w:space="0"/>
            </w:tcBorders>
            <w:vAlign w:val="center"/>
          </w:tcPr>
          <w:p>
            <w:pPr>
              <w:pStyle w:val="8"/>
              <w:ind w:right="-512" w:rightChars="-244"/>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施工负责人</w:t>
            </w:r>
          </w:p>
        </w:tc>
        <w:tc>
          <w:tcPr>
            <w:tcW w:w="1420"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3901" w:type="dxa"/>
            <w:vAlign w:val="center"/>
          </w:tcPr>
          <w:p>
            <w:pPr>
              <w:pStyle w:val="8"/>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1507" w:type="dxa"/>
            <w:tcBorders>
              <w:top w:val="single" w:color="auto" w:sz="6" w:space="0"/>
              <w:bottom w:val="single" w:color="auto" w:sz="6" w:space="0"/>
            </w:tcBorders>
            <w:vAlign w:val="center"/>
          </w:tcPr>
          <w:p>
            <w:pPr>
              <w:pStyle w:val="8"/>
              <w:ind w:right="-512" w:rightChars="-244"/>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技术负责人</w:t>
            </w:r>
          </w:p>
        </w:tc>
        <w:tc>
          <w:tcPr>
            <w:tcW w:w="1420"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3901" w:type="dxa"/>
            <w:vAlign w:val="center"/>
          </w:tcPr>
          <w:p>
            <w:pPr>
              <w:pStyle w:val="8"/>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1507" w:type="dxa"/>
            <w:tcBorders>
              <w:top w:val="single" w:color="auto" w:sz="6" w:space="0"/>
              <w:bottom w:val="single" w:color="auto" w:sz="6" w:space="0"/>
            </w:tcBorders>
            <w:vAlign w:val="center"/>
          </w:tcPr>
          <w:p>
            <w:pPr>
              <w:pStyle w:val="8"/>
              <w:ind w:right="-512" w:rightChars="-244"/>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造价管理</w:t>
            </w:r>
          </w:p>
        </w:tc>
        <w:tc>
          <w:tcPr>
            <w:tcW w:w="1420"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3901" w:type="dxa"/>
            <w:vAlign w:val="center"/>
          </w:tcPr>
          <w:p>
            <w:pPr>
              <w:pStyle w:val="8"/>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1507" w:type="dxa"/>
            <w:tcBorders>
              <w:top w:val="single" w:color="auto" w:sz="6" w:space="0"/>
              <w:bottom w:val="single" w:color="auto" w:sz="6" w:space="0"/>
            </w:tcBorders>
            <w:vAlign w:val="center"/>
          </w:tcPr>
          <w:p>
            <w:pPr>
              <w:pStyle w:val="8"/>
              <w:ind w:right="-512" w:rightChars="-244"/>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质量管理</w:t>
            </w:r>
          </w:p>
        </w:tc>
        <w:tc>
          <w:tcPr>
            <w:tcW w:w="1420"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3901" w:type="dxa"/>
            <w:vAlign w:val="center"/>
          </w:tcPr>
          <w:p>
            <w:pPr>
              <w:pStyle w:val="8"/>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1507" w:type="dxa"/>
            <w:tcBorders>
              <w:top w:val="single" w:color="auto" w:sz="6" w:space="0"/>
              <w:bottom w:val="single" w:color="auto" w:sz="6" w:space="0"/>
            </w:tcBorders>
            <w:vAlign w:val="center"/>
          </w:tcPr>
          <w:p>
            <w:pPr>
              <w:pStyle w:val="8"/>
              <w:ind w:right="-512" w:rightChars="-244"/>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计划管理</w:t>
            </w:r>
          </w:p>
        </w:tc>
        <w:tc>
          <w:tcPr>
            <w:tcW w:w="1420"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3901" w:type="dxa"/>
            <w:vAlign w:val="center"/>
          </w:tcPr>
          <w:p>
            <w:pPr>
              <w:pStyle w:val="8"/>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1507" w:type="dxa"/>
            <w:tcBorders>
              <w:top w:val="single" w:color="auto" w:sz="6" w:space="0"/>
              <w:bottom w:val="single" w:color="auto" w:sz="6" w:space="0"/>
            </w:tcBorders>
            <w:vAlign w:val="center"/>
          </w:tcPr>
          <w:p>
            <w:pPr>
              <w:pStyle w:val="8"/>
              <w:ind w:right="-512" w:rightChars="-244"/>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安全管理</w:t>
            </w:r>
          </w:p>
        </w:tc>
        <w:tc>
          <w:tcPr>
            <w:tcW w:w="1420"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3901" w:type="dxa"/>
            <w:vAlign w:val="center"/>
          </w:tcPr>
          <w:p>
            <w:pPr>
              <w:pStyle w:val="8"/>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1507" w:type="dxa"/>
            <w:tcBorders>
              <w:top w:val="single" w:color="auto" w:sz="6" w:space="0"/>
              <w:bottom w:val="single" w:color="auto" w:sz="6" w:space="0"/>
            </w:tcBorders>
            <w:vAlign w:val="center"/>
          </w:tcPr>
          <w:p>
            <w:pPr>
              <w:pStyle w:val="8"/>
              <w:ind w:right="-512" w:rightChars="-244"/>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环境管理</w:t>
            </w:r>
          </w:p>
        </w:tc>
        <w:tc>
          <w:tcPr>
            <w:tcW w:w="1420"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3901" w:type="dxa"/>
            <w:vAlign w:val="center"/>
          </w:tcPr>
          <w:p>
            <w:pPr>
              <w:pStyle w:val="8"/>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1507" w:type="dxa"/>
            <w:vMerge w:val="restart"/>
            <w:tcBorders>
              <w:top w:val="single" w:color="auto" w:sz="6" w:space="0"/>
            </w:tcBorders>
            <w:vAlign w:val="center"/>
          </w:tcPr>
          <w:p>
            <w:pPr>
              <w:pStyle w:val="8"/>
              <w:ind w:right="-512" w:rightChars="-244"/>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其他人员</w:t>
            </w:r>
          </w:p>
        </w:tc>
        <w:tc>
          <w:tcPr>
            <w:tcW w:w="1420"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3901" w:type="dxa"/>
            <w:vAlign w:val="center"/>
          </w:tcPr>
          <w:p>
            <w:pPr>
              <w:pStyle w:val="8"/>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1507" w:type="dxa"/>
            <w:vMerge w:val="continue"/>
            <w:vAlign w:val="center"/>
          </w:tcPr>
          <w:p>
            <w:pPr>
              <w:pStyle w:val="8"/>
              <w:ind w:right="-512" w:rightChars="-244" w:firstLine="420"/>
              <w:rPr>
                <w:rFonts w:ascii="仿宋" w:hAnsi="仿宋" w:eastAsia="仿宋" w:cs="仿宋"/>
                <w:color w:val="auto"/>
                <w:sz w:val="18"/>
                <w:szCs w:val="18"/>
                <w:highlight w:val="none"/>
              </w:rPr>
            </w:pPr>
          </w:p>
        </w:tc>
        <w:tc>
          <w:tcPr>
            <w:tcW w:w="1420" w:type="dxa"/>
            <w:tcBorders>
              <w:bottom w:val="nil"/>
            </w:tcBorders>
            <w:vAlign w:val="center"/>
          </w:tcPr>
          <w:p>
            <w:pPr>
              <w:pStyle w:val="8"/>
              <w:ind w:right="-512" w:rightChars="-244" w:firstLine="420"/>
              <w:rPr>
                <w:rFonts w:ascii="仿宋" w:hAnsi="仿宋" w:eastAsia="仿宋" w:cs="仿宋"/>
                <w:color w:val="auto"/>
                <w:sz w:val="18"/>
                <w:szCs w:val="18"/>
                <w:highlight w:val="none"/>
              </w:rPr>
            </w:pPr>
          </w:p>
        </w:tc>
        <w:tc>
          <w:tcPr>
            <w:tcW w:w="1135" w:type="dxa"/>
            <w:tcBorders>
              <w:bottom w:val="nil"/>
            </w:tcBorders>
            <w:vAlign w:val="center"/>
          </w:tcPr>
          <w:p>
            <w:pPr>
              <w:pStyle w:val="8"/>
              <w:ind w:right="-512" w:rightChars="-244" w:firstLine="420"/>
              <w:rPr>
                <w:rFonts w:ascii="仿宋" w:hAnsi="仿宋" w:eastAsia="仿宋" w:cs="仿宋"/>
                <w:color w:val="auto"/>
                <w:sz w:val="18"/>
                <w:szCs w:val="18"/>
                <w:highlight w:val="none"/>
              </w:rPr>
            </w:pPr>
          </w:p>
        </w:tc>
        <w:tc>
          <w:tcPr>
            <w:tcW w:w="1135" w:type="dxa"/>
            <w:tcBorders>
              <w:bottom w:val="nil"/>
            </w:tcBorders>
            <w:vAlign w:val="center"/>
          </w:tcPr>
          <w:p>
            <w:pPr>
              <w:pStyle w:val="8"/>
              <w:ind w:right="-512" w:rightChars="-244" w:firstLine="420"/>
              <w:rPr>
                <w:rFonts w:ascii="仿宋" w:hAnsi="仿宋" w:eastAsia="仿宋" w:cs="仿宋"/>
                <w:color w:val="auto"/>
                <w:sz w:val="18"/>
                <w:szCs w:val="18"/>
                <w:highlight w:val="none"/>
              </w:rPr>
            </w:pPr>
          </w:p>
        </w:tc>
        <w:tc>
          <w:tcPr>
            <w:tcW w:w="3901" w:type="dxa"/>
            <w:tcBorders>
              <w:bottom w:val="nil"/>
            </w:tcBorders>
            <w:vAlign w:val="center"/>
          </w:tcPr>
          <w:p>
            <w:pPr>
              <w:pStyle w:val="8"/>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1507" w:type="dxa"/>
            <w:vMerge w:val="continue"/>
            <w:vAlign w:val="center"/>
          </w:tcPr>
          <w:p>
            <w:pPr>
              <w:pStyle w:val="8"/>
              <w:ind w:right="-512" w:rightChars="-244" w:firstLine="420"/>
              <w:rPr>
                <w:rFonts w:ascii="仿宋" w:hAnsi="仿宋" w:eastAsia="仿宋" w:cs="仿宋"/>
                <w:color w:val="auto"/>
                <w:sz w:val="18"/>
                <w:szCs w:val="18"/>
                <w:highlight w:val="none"/>
              </w:rPr>
            </w:pPr>
          </w:p>
        </w:tc>
        <w:tc>
          <w:tcPr>
            <w:tcW w:w="1420"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3901" w:type="dxa"/>
            <w:vAlign w:val="center"/>
          </w:tcPr>
          <w:p>
            <w:pPr>
              <w:pStyle w:val="8"/>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1507" w:type="dxa"/>
            <w:vMerge w:val="continue"/>
            <w:vAlign w:val="center"/>
          </w:tcPr>
          <w:p>
            <w:pPr>
              <w:pStyle w:val="8"/>
              <w:ind w:right="-512" w:rightChars="-244" w:firstLine="420"/>
              <w:rPr>
                <w:rFonts w:ascii="仿宋" w:hAnsi="仿宋" w:eastAsia="仿宋" w:cs="仿宋"/>
                <w:color w:val="auto"/>
                <w:sz w:val="18"/>
                <w:szCs w:val="18"/>
                <w:highlight w:val="none"/>
              </w:rPr>
            </w:pPr>
          </w:p>
        </w:tc>
        <w:tc>
          <w:tcPr>
            <w:tcW w:w="1420"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3901" w:type="dxa"/>
            <w:vAlign w:val="center"/>
          </w:tcPr>
          <w:p>
            <w:pPr>
              <w:pStyle w:val="8"/>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3" w:hRule="atLeast"/>
          <w:jc w:val="center"/>
        </w:trPr>
        <w:tc>
          <w:tcPr>
            <w:tcW w:w="1507" w:type="dxa"/>
            <w:vMerge w:val="continue"/>
            <w:vAlign w:val="center"/>
          </w:tcPr>
          <w:p>
            <w:pPr>
              <w:pStyle w:val="8"/>
              <w:ind w:right="-512" w:rightChars="-244" w:firstLine="420"/>
              <w:rPr>
                <w:rFonts w:ascii="仿宋" w:hAnsi="仿宋" w:eastAsia="仿宋" w:cs="仿宋"/>
                <w:color w:val="auto"/>
                <w:sz w:val="18"/>
                <w:szCs w:val="18"/>
                <w:highlight w:val="none"/>
              </w:rPr>
            </w:pPr>
          </w:p>
        </w:tc>
        <w:tc>
          <w:tcPr>
            <w:tcW w:w="1420"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1135" w:type="dxa"/>
            <w:vAlign w:val="center"/>
          </w:tcPr>
          <w:p>
            <w:pPr>
              <w:pStyle w:val="8"/>
              <w:ind w:right="-512" w:rightChars="-244" w:firstLine="420"/>
              <w:rPr>
                <w:rFonts w:ascii="仿宋" w:hAnsi="仿宋" w:eastAsia="仿宋" w:cs="仿宋"/>
                <w:color w:val="auto"/>
                <w:sz w:val="18"/>
                <w:szCs w:val="18"/>
                <w:highlight w:val="none"/>
              </w:rPr>
            </w:pPr>
          </w:p>
        </w:tc>
        <w:tc>
          <w:tcPr>
            <w:tcW w:w="3901" w:type="dxa"/>
            <w:vAlign w:val="center"/>
          </w:tcPr>
          <w:p>
            <w:pPr>
              <w:pStyle w:val="8"/>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1" w:hRule="atLeast"/>
          <w:jc w:val="center"/>
        </w:trPr>
        <w:tc>
          <w:tcPr>
            <w:tcW w:w="1507" w:type="dxa"/>
            <w:vMerge w:val="continue"/>
            <w:tcBorders>
              <w:bottom w:val="single" w:color="auto" w:sz="12" w:space="0"/>
            </w:tcBorders>
            <w:vAlign w:val="center"/>
          </w:tcPr>
          <w:p>
            <w:pPr>
              <w:pStyle w:val="8"/>
              <w:spacing w:after="120"/>
              <w:ind w:right="-512" w:rightChars="-244"/>
              <w:rPr>
                <w:rFonts w:ascii="仿宋" w:hAnsi="仿宋" w:eastAsia="仿宋" w:cs="仿宋"/>
                <w:color w:val="auto"/>
                <w:szCs w:val="16"/>
                <w:highlight w:val="none"/>
              </w:rPr>
            </w:pPr>
          </w:p>
        </w:tc>
        <w:tc>
          <w:tcPr>
            <w:tcW w:w="1420" w:type="dxa"/>
            <w:tcBorders>
              <w:bottom w:val="single" w:color="auto" w:sz="12" w:space="0"/>
            </w:tcBorders>
            <w:vAlign w:val="center"/>
          </w:tcPr>
          <w:p>
            <w:pPr>
              <w:pStyle w:val="8"/>
              <w:spacing w:after="120"/>
              <w:ind w:right="-512" w:rightChars="-244"/>
              <w:rPr>
                <w:rFonts w:ascii="仿宋" w:hAnsi="仿宋" w:eastAsia="仿宋" w:cs="仿宋"/>
                <w:color w:val="auto"/>
                <w:szCs w:val="16"/>
                <w:highlight w:val="none"/>
              </w:rPr>
            </w:pPr>
          </w:p>
        </w:tc>
        <w:tc>
          <w:tcPr>
            <w:tcW w:w="1135" w:type="dxa"/>
            <w:tcBorders>
              <w:bottom w:val="single" w:color="auto" w:sz="12" w:space="0"/>
            </w:tcBorders>
            <w:vAlign w:val="center"/>
          </w:tcPr>
          <w:p>
            <w:pPr>
              <w:pStyle w:val="8"/>
              <w:spacing w:after="120"/>
              <w:ind w:right="-512" w:rightChars="-244"/>
              <w:rPr>
                <w:rFonts w:ascii="仿宋" w:hAnsi="仿宋" w:eastAsia="仿宋" w:cs="仿宋"/>
                <w:color w:val="auto"/>
                <w:szCs w:val="16"/>
                <w:highlight w:val="none"/>
              </w:rPr>
            </w:pPr>
          </w:p>
        </w:tc>
        <w:tc>
          <w:tcPr>
            <w:tcW w:w="1135" w:type="dxa"/>
            <w:tcBorders>
              <w:bottom w:val="single" w:color="auto" w:sz="12" w:space="0"/>
            </w:tcBorders>
            <w:vAlign w:val="center"/>
          </w:tcPr>
          <w:p>
            <w:pPr>
              <w:pStyle w:val="8"/>
              <w:spacing w:after="120"/>
              <w:ind w:right="-512" w:rightChars="-244"/>
              <w:rPr>
                <w:rFonts w:ascii="仿宋" w:hAnsi="仿宋" w:eastAsia="仿宋" w:cs="仿宋"/>
                <w:color w:val="auto"/>
                <w:szCs w:val="16"/>
                <w:highlight w:val="none"/>
              </w:rPr>
            </w:pPr>
          </w:p>
        </w:tc>
        <w:tc>
          <w:tcPr>
            <w:tcW w:w="3901" w:type="dxa"/>
            <w:tcBorders>
              <w:bottom w:val="single" w:color="auto" w:sz="12" w:space="0"/>
            </w:tcBorders>
            <w:vAlign w:val="center"/>
          </w:tcPr>
          <w:p>
            <w:pPr>
              <w:pStyle w:val="8"/>
              <w:spacing w:after="120"/>
              <w:ind w:right="-512" w:rightChars="-244"/>
              <w:rPr>
                <w:rFonts w:ascii="仿宋" w:hAnsi="仿宋" w:eastAsia="仿宋" w:cs="仿宋"/>
                <w:color w:val="auto"/>
                <w:szCs w:val="16"/>
                <w:highlight w:val="none"/>
              </w:rPr>
            </w:pPr>
          </w:p>
        </w:tc>
      </w:tr>
    </w:tbl>
    <w:p>
      <w:pPr>
        <w:spacing w:after="120"/>
        <w:ind w:right="-512" w:rightChars="-244"/>
        <w:rPr>
          <w:rFonts w:ascii="仿宋" w:hAnsi="仿宋" w:eastAsia="仿宋" w:cs="仿宋"/>
          <w:color w:val="auto"/>
          <w:szCs w:val="16"/>
          <w:highlight w:val="none"/>
        </w:rPr>
      </w:pPr>
      <w:r>
        <w:rPr>
          <w:rFonts w:hint="eastAsia" w:ascii="仿宋" w:hAnsi="仿宋" w:eastAsia="仿宋" w:cs="仿宋"/>
          <w:color w:val="auto"/>
          <w:szCs w:val="16"/>
          <w:highlight w:val="none"/>
        </w:rPr>
        <w:br w:type="page"/>
      </w:r>
    </w:p>
    <w:p>
      <w:pPr>
        <w:pStyle w:val="197"/>
        <w:spacing w:after="120"/>
        <w:ind w:left="0" w:right="-512" w:rightChars="-244"/>
        <w:rPr>
          <w:rFonts w:ascii="仿宋" w:hAnsi="仿宋" w:eastAsia="仿宋" w:cs="仿宋"/>
          <w:color w:val="auto"/>
          <w:sz w:val="24"/>
          <w:szCs w:val="24"/>
          <w:highlight w:val="none"/>
        </w:rPr>
      </w:pPr>
      <w:bookmarkStart w:id="567" w:name="_Toc6378"/>
      <w:bookmarkStart w:id="568" w:name="_Toc20171898"/>
      <w:bookmarkStart w:id="569" w:name="_Toc26006_WPSOffice_Level2"/>
      <w:r>
        <w:rPr>
          <w:rFonts w:hint="eastAsia" w:ascii="仿宋" w:hAnsi="仿宋" w:eastAsia="仿宋" w:cs="仿宋"/>
          <w:color w:val="auto"/>
          <w:sz w:val="24"/>
          <w:szCs w:val="24"/>
          <w:highlight w:val="none"/>
        </w:rPr>
        <w:t>分包人主要管理人员表</w:t>
      </w:r>
      <w:bookmarkEnd w:id="567"/>
      <w:bookmarkEnd w:id="568"/>
      <w:bookmarkEnd w:id="569"/>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23"/>
        <w:gridCol w:w="1097"/>
        <w:gridCol w:w="1139"/>
        <w:gridCol w:w="1139"/>
        <w:gridCol w:w="40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5" w:hRule="atLeast"/>
          <w:jc w:val="center"/>
        </w:trPr>
        <w:tc>
          <w:tcPr>
            <w:tcW w:w="1823" w:type="dxa"/>
            <w:tcBorders>
              <w:top w:val="single" w:color="auto" w:sz="12" w:space="0"/>
              <w:bottom w:val="double" w:color="auto" w:sz="6" w:space="0"/>
            </w:tcBorders>
            <w:vAlign w:val="center"/>
          </w:tcPr>
          <w:p>
            <w:pPr>
              <w:pStyle w:val="8"/>
              <w:spacing w:after="120"/>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名    称</w:t>
            </w:r>
          </w:p>
        </w:tc>
        <w:tc>
          <w:tcPr>
            <w:tcW w:w="1097" w:type="dxa"/>
            <w:tcBorders>
              <w:top w:val="single" w:color="auto" w:sz="12" w:space="0"/>
              <w:bottom w:val="double" w:color="auto" w:sz="6" w:space="0"/>
            </w:tcBorders>
            <w:vAlign w:val="center"/>
          </w:tcPr>
          <w:p>
            <w:pPr>
              <w:pStyle w:val="8"/>
              <w:spacing w:after="120"/>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姓名</w:t>
            </w:r>
          </w:p>
        </w:tc>
        <w:tc>
          <w:tcPr>
            <w:tcW w:w="1139" w:type="dxa"/>
            <w:tcBorders>
              <w:top w:val="single" w:color="auto" w:sz="12" w:space="0"/>
              <w:bottom w:val="double" w:color="auto" w:sz="6" w:space="0"/>
            </w:tcBorders>
            <w:vAlign w:val="center"/>
          </w:tcPr>
          <w:p>
            <w:pPr>
              <w:pStyle w:val="8"/>
              <w:spacing w:after="120"/>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职务</w:t>
            </w:r>
          </w:p>
        </w:tc>
        <w:tc>
          <w:tcPr>
            <w:tcW w:w="1139" w:type="dxa"/>
            <w:tcBorders>
              <w:top w:val="single" w:color="auto" w:sz="12" w:space="0"/>
              <w:bottom w:val="double" w:color="auto" w:sz="6" w:space="0"/>
            </w:tcBorders>
            <w:vAlign w:val="center"/>
          </w:tcPr>
          <w:p>
            <w:pPr>
              <w:pStyle w:val="8"/>
              <w:spacing w:after="120"/>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职称</w:t>
            </w:r>
          </w:p>
        </w:tc>
        <w:tc>
          <w:tcPr>
            <w:tcW w:w="4040" w:type="dxa"/>
            <w:tcBorders>
              <w:top w:val="single" w:color="auto" w:sz="12" w:space="0"/>
              <w:bottom w:val="double" w:color="auto" w:sz="6" w:space="0"/>
            </w:tcBorders>
            <w:vAlign w:val="center"/>
          </w:tcPr>
          <w:p>
            <w:pPr>
              <w:pStyle w:val="8"/>
              <w:spacing w:after="120"/>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3" w:hRule="atLeast"/>
          <w:jc w:val="center"/>
        </w:trPr>
        <w:tc>
          <w:tcPr>
            <w:tcW w:w="9238" w:type="dxa"/>
            <w:gridSpan w:val="5"/>
            <w:tcBorders>
              <w:top w:val="double" w:color="auto" w:sz="6" w:space="0"/>
              <w:bottom w:val="single" w:color="auto" w:sz="6" w:space="0"/>
            </w:tcBorders>
            <w:vAlign w:val="center"/>
          </w:tcPr>
          <w:p>
            <w:pPr>
              <w:pStyle w:val="8"/>
              <w:spacing w:after="120"/>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1823" w:type="dxa"/>
            <w:tcBorders>
              <w:top w:val="nil"/>
              <w:bottom w:val="nil"/>
            </w:tcBorders>
            <w:vAlign w:val="center"/>
          </w:tcPr>
          <w:p>
            <w:pPr>
              <w:pStyle w:val="8"/>
              <w:spacing w:after="120"/>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项目主管</w:t>
            </w:r>
          </w:p>
        </w:tc>
        <w:tc>
          <w:tcPr>
            <w:tcW w:w="1097" w:type="dxa"/>
            <w:tcBorders>
              <w:top w:val="nil"/>
            </w:tcBorders>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tcBorders>
              <w:top w:val="nil"/>
            </w:tcBorders>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tcBorders>
              <w:top w:val="nil"/>
            </w:tcBorders>
            <w:vAlign w:val="center"/>
          </w:tcPr>
          <w:p>
            <w:pPr>
              <w:pStyle w:val="8"/>
              <w:spacing w:after="120"/>
              <w:ind w:right="-512" w:rightChars="-244" w:firstLine="420"/>
              <w:rPr>
                <w:rFonts w:ascii="仿宋" w:hAnsi="仿宋" w:eastAsia="仿宋" w:cs="仿宋"/>
                <w:color w:val="auto"/>
                <w:sz w:val="18"/>
                <w:szCs w:val="18"/>
                <w:highlight w:val="none"/>
              </w:rPr>
            </w:pPr>
          </w:p>
        </w:tc>
        <w:tc>
          <w:tcPr>
            <w:tcW w:w="4040" w:type="dxa"/>
            <w:tcBorders>
              <w:top w:val="nil"/>
            </w:tcBorders>
            <w:vAlign w:val="center"/>
          </w:tcPr>
          <w:p>
            <w:pPr>
              <w:pStyle w:val="8"/>
              <w:spacing w:after="120"/>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1823" w:type="dxa"/>
            <w:tcBorders>
              <w:top w:val="single" w:color="auto" w:sz="6" w:space="0"/>
              <w:bottom w:val="nil"/>
            </w:tcBorders>
            <w:vAlign w:val="center"/>
          </w:tcPr>
          <w:p>
            <w:pPr>
              <w:pStyle w:val="8"/>
              <w:spacing w:after="120"/>
              <w:ind w:right="-512" w:rightChars="-244" w:firstLine="420"/>
              <w:rPr>
                <w:rFonts w:ascii="仿宋" w:hAnsi="仿宋" w:eastAsia="仿宋" w:cs="仿宋"/>
                <w:color w:val="auto"/>
                <w:sz w:val="18"/>
                <w:szCs w:val="18"/>
                <w:highlight w:val="none"/>
              </w:rPr>
            </w:pPr>
          </w:p>
        </w:tc>
        <w:tc>
          <w:tcPr>
            <w:tcW w:w="1097"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4040" w:type="dxa"/>
            <w:vAlign w:val="center"/>
          </w:tcPr>
          <w:p>
            <w:pPr>
              <w:pStyle w:val="8"/>
              <w:spacing w:after="120"/>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1823" w:type="dxa"/>
            <w:tcBorders>
              <w:top w:val="nil"/>
              <w:bottom w:val="nil"/>
            </w:tcBorders>
            <w:vAlign w:val="center"/>
          </w:tcPr>
          <w:p>
            <w:pPr>
              <w:pStyle w:val="8"/>
              <w:spacing w:after="120"/>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其他人员</w:t>
            </w:r>
          </w:p>
        </w:tc>
        <w:tc>
          <w:tcPr>
            <w:tcW w:w="1097"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4040" w:type="dxa"/>
            <w:vAlign w:val="center"/>
          </w:tcPr>
          <w:p>
            <w:pPr>
              <w:pStyle w:val="8"/>
              <w:spacing w:after="120"/>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1823" w:type="dxa"/>
            <w:tcBorders>
              <w:top w:val="nil"/>
              <w:bottom w:val="nil"/>
            </w:tcBorders>
            <w:vAlign w:val="center"/>
          </w:tcPr>
          <w:p>
            <w:pPr>
              <w:pStyle w:val="8"/>
              <w:spacing w:after="120"/>
              <w:ind w:right="-512" w:rightChars="-244" w:firstLine="420"/>
              <w:rPr>
                <w:rFonts w:ascii="仿宋" w:hAnsi="仿宋" w:eastAsia="仿宋" w:cs="仿宋"/>
                <w:color w:val="auto"/>
                <w:sz w:val="18"/>
                <w:szCs w:val="18"/>
                <w:highlight w:val="none"/>
              </w:rPr>
            </w:pPr>
          </w:p>
        </w:tc>
        <w:tc>
          <w:tcPr>
            <w:tcW w:w="1097"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4040" w:type="dxa"/>
            <w:vAlign w:val="center"/>
          </w:tcPr>
          <w:p>
            <w:pPr>
              <w:pStyle w:val="8"/>
              <w:spacing w:after="120"/>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9238" w:type="dxa"/>
            <w:gridSpan w:val="5"/>
            <w:tcBorders>
              <w:top w:val="single" w:color="auto" w:sz="6" w:space="0"/>
              <w:bottom w:val="single" w:color="auto" w:sz="6" w:space="0"/>
            </w:tcBorders>
            <w:vAlign w:val="center"/>
          </w:tcPr>
          <w:p>
            <w:pPr>
              <w:pStyle w:val="8"/>
              <w:spacing w:after="120"/>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1823" w:type="dxa"/>
            <w:tcBorders>
              <w:top w:val="single" w:color="auto" w:sz="6" w:space="0"/>
              <w:bottom w:val="single" w:color="auto" w:sz="6" w:space="0"/>
            </w:tcBorders>
            <w:vAlign w:val="center"/>
          </w:tcPr>
          <w:p>
            <w:pPr>
              <w:pStyle w:val="8"/>
              <w:spacing w:after="120"/>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项目经理</w:t>
            </w:r>
          </w:p>
        </w:tc>
        <w:tc>
          <w:tcPr>
            <w:tcW w:w="1097"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4040" w:type="dxa"/>
            <w:vAlign w:val="center"/>
          </w:tcPr>
          <w:p>
            <w:pPr>
              <w:pStyle w:val="8"/>
              <w:spacing w:after="120"/>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1823" w:type="dxa"/>
            <w:tcBorders>
              <w:top w:val="single" w:color="auto" w:sz="6" w:space="0"/>
              <w:bottom w:val="single" w:color="auto" w:sz="6" w:space="0"/>
            </w:tcBorders>
            <w:vAlign w:val="center"/>
          </w:tcPr>
          <w:p>
            <w:pPr>
              <w:pStyle w:val="8"/>
              <w:spacing w:after="120"/>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项目副经理</w:t>
            </w:r>
          </w:p>
        </w:tc>
        <w:tc>
          <w:tcPr>
            <w:tcW w:w="1097"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4040" w:type="dxa"/>
            <w:vAlign w:val="center"/>
          </w:tcPr>
          <w:p>
            <w:pPr>
              <w:pStyle w:val="8"/>
              <w:spacing w:after="120"/>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1823" w:type="dxa"/>
            <w:tcBorders>
              <w:top w:val="single" w:color="auto" w:sz="6" w:space="0"/>
              <w:bottom w:val="single" w:color="auto" w:sz="6" w:space="0"/>
            </w:tcBorders>
            <w:vAlign w:val="center"/>
          </w:tcPr>
          <w:p>
            <w:pPr>
              <w:pStyle w:val="8"/>
              <w:spacing w:after="120"/>
              <w:ind w:right="-512" w:rightChars="-244"/>
              <w:jc w:val="left"/>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设计/采购/施工负责人</w:t>
            </w:r>
          </w:p>
        </w:tc>
        <w:tc>
          <w:tcPr>
            <w:tcW w:w="1097"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4040" w:type="dxa"/>
            <w:vAlign w:val="center"/>
          </w:tcPr>
          <w:p>
            <w:pPr>
              <w:pStyle w:val="8"/>
              <w:spacing w:after="120"/>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1823" w:type="dxa"/>
            <w:tcBorders>
              <w:top w:val="single" w:color="auto" w:sz="6" w:space="0"/>
              <w:bottom w:val="single" w:color="auto" w:sz="6" w:space="0"/>
            </w:tcBorders>
            <w:vAlign w:val="center"/>
          </w:tcPr>
          <w:p>
            <w:pPr>
              <w:pStyle w:val="8"/>
              <w:spacing w:after="120"/>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技术负责人</w:t>
            </w:r>
          </w:p>
        </w:tc>
        <w:tc>
          <w:tcPr>
            <w:tcW w:w="1097"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4040" w:type="dxa"/>
            <w:vAlign w:val="center"/>
          </w:tcPr>
          <w:p>
            <w:pPr>
              <w:pStyle w:val="8"/>
              <w:spacing w:after="120"/>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1823" w:type="dxa"/>
            <w:tcBorders>
              <w:top w:val="single" w:color="auto" w:sz="6" w:space="0"/>
              <w:bottom w:val="single" w:color="auto" w:sz="6" w:space="0"/>
            </w:tcBorders>
            <w:vAlign w:val="center"/>
          </w:tcPr>
          <w:p>
            <w:pPr>
              <w:pStyle w:val="8"/>
              <w:spacing w:after="120"/>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造价管理</w:t>
            </w:r>
          </w:p>
        </w:tc>
        <w:tc>
          <w:tcPr>
            <w:tcW w:w="1097"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4040" w:type="dxa"/>
            <w:vAlign w:val="center"/>
          </w:tcPr>
          <w:p>
            <w:pPr>
              <w:pStyle w:val="8"/>
              <w:spacing w:after="120"/>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1823" w:type="dxa"/>
            <w:tcBorders>
              <w:top w:val="single" w:color="auto" w:sz="6" w:space="0"/>
              <w:bottom w:val="single" w:color="auto" w:sz="6" w:space="0"/>
            </w:tcBorders>
            <w:vAlign w:val="center"/>
          </w:tcPr>
          <w:p>
            <w:pPr>
              <w:pStyle w:val="8"/>
              <w:spacing w:after="120"/>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质量管理</w:t>
            </w:r>
          </w:p>
        </w:tc>
        <w:tc>
          <w:tcPr>
            <w:tcW w:w="1097"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4040" w:type="dxa"/>
            <w:vAlign w:val="center"/>
          </w:tcPr>
          <w:p>
            <w:pPr>
              <w:pStyle w:val="8"/>
              <w:spacing w:after="120"/>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1823" w:type="dxa"/>
            <w:tcBorders>
              <w:top w:val="single" w:color="auto" w:sz="6" w:space="0"/>
              <w:bottom w:val="single" w:color="auto" w:sz="6" w:space="0"/>
            </w:tcBorders>
            <w:vAlign w:val="center"/>
          </w:tcPr>
          <w:p>
            <w:pPr>
              <w:pStyle w:val="8"/>
              <w:spacing w:after="120"/>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计划管理</w:t>
            </w:r>
          </w:p>
        </w:tc>
        <w:tc>
          <w:tcPr>
            <w:tcW w:w="1097"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4040" w:type="dxa"/>
            <w:vAlign w:val="center"/>
          </w:tcPr>
          <w:p>
            <w:pPr>
              <w:pStyle w:val="8"/>
              <w:spacing w:after="120"/>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1823" w:type="dxa"/>
            <w:tcBorders>
              <w:top w:val="single" w:color="auto" w:sz="6" w:space="0"/>
              <w:bottom w:val="single" w:color="auto" w:sz="6" w:space="0"/>
            </w:tcBorders>
            <w:vAlign w:val="center"/>
          </w:tcPr>
          <w:p>
            <w:pPr>
              <w:pStyle w:val="8"/>
              <w:spacing w:after="120"/>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安全管理</w:t>
            </w:r>
          </w:p>
        </w:tc>
        <w:tc>
          <w:tcPr>
            <w:tcW w:w="1097"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4040" w:type="dxa"/>
            <w:vAlign w:val="center"/>
          </w:tcPr>
          <w:p>
            <w:pPr>
              <w:pStyle w:val="8"/>
              <w:spacing w:after="120"/>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1823" w:type="dxa"/>
            <w:tcBorders>
              <w:top w:val="single" w:color="auto" w:sz="6" w:space="0"/>
              <w:bottom w:val="single" w:color="auto" w:sz="6" w:space="0"/>
            </w:tcBorders>
            <w:vAlign w:val="center"/>
          </w:tcPr>
          <w:p>
            <w:pPr>
              <w:pStyle w:val="8"/>
              <w:spacing w:after="120"/>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环境管理</w:t>
            </w:r>
          </w:p>
        </w:tc>
        <w:tc>
          <w:tcPr>
            <w:tcW w:w="1097"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4040" w:type="dxa"/>
            <w:vAlign w:val="center"/>
          </w:tcPr>
          <w:p>
            <w:pPr>
              <w:pStyle w:val="8"/>
              <w:spacing w:after="120"/>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1823" w:type="dxa"/>
            <w:vMerge w:val="restart"/>
            <w:tcBorders>
              <w:top w:val="single" w:color="auto" w:sz="6" w:space="0"/>
            </w:tcBorders>
            <w:vAlign w:val="center"/>
          </w:tcPr>
          <w:p>
            <w:pPr>
              <w:pStyle w:val="8"/>
              <w:spacing w:after="120"/>
              <w:ind w:right="-512" w:rightChars="-244" w:firstLine="420"/>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其他人员</w:t>
            </w:r>
          </w:p>
        </w:tc>
        <w:tc>
          <w:tcPr>
            <w:tcW w:w="1097"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4040" w:type="dxa"/>
            <w:vAlign w:val="center"/>
          </w:tcPr>
          <w:p>
            <w:pPr>
              <w:pStyle w:val="8"/>
              <w:spacing w:after="120"/>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1823" w:type="dxa"/>
            <w:vMerge w:val="continue"/>
            <w:vAlign w:val="center"/>
          </w:tcPr>
          <w:p>
            <w:pPr>
              <w:pStyle w:val="8"/>
              <w:spacing w:after="120"/>
              <w:ind w:right="-512" w:rightChars="-244" w:firstLine="420"/>
              <w:rPr>
                <w:rFonts w:ascii="仿宋" w:hAnsi="仿宋" w:eastAsia="仿宋" w:cs="仿宋"/>
                <w:color w:val="auto"/>
                <w:sz w:val="18"/>
                <w:szCs w:val="18"/>
                <w:highlight w:val="none"/>
              </w:rPr>
            </w:pPr>
          </w:p>
        </w:tc>
        <w:tc>
          <w:tcPr>
            <w:tcW w:w="1097" w:type="dxa"/>
            <w:tcBorders>
              <w:bottom w:val="nil"/>
            </w:tcBorders>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tcBorders>
              <w:bottom w:val="nil"/>
            </w:tcBorders>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tcBorders>
              <w:bottom w:val="nil"/>
            </w:tcBorders>
            <w:vAlign w:val="center"/>
          </w:tcPr>
          <w:p>
            <w:pPr>
              <w:pStyle w:val="8"/>
              <w:spacing w:after="120"/>
              <w:ind w:right="-512" w:rightChars="-244" w:firstLine="420"/>
              <w:rPr>
                <w:rFonts w:ascii="仿宋" w:hAnsi="仿宋" w:eastAsia="仿宋" w:cs="仿宋"/>
                <w:color w:val="auto"/>
                <w:sz w:val="18"/>
                <w:szCs w:val="18"/>
                <w:highlight w:val="none"/>
              </w:rPr>
            </w:pPr>
          </w:p>
        </w:tc>
        <w:tc>
          <w:tcPr>
            <w:tcW w:w="4040" w:type="dxa"/>
            <w:tcBorders>
              <w:bottom w:val="nil"/>
            </w:tcBorders>
            <w:vAlign w:val="center"/>
          </w:tcPr>
          <w:p>
            <w:pPr>
              <w:pStyle w:val="8"/>
              <w:spacing w:after="120"/>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1823" w:type="dxa"/>
            <w:vMerge w:val="continue"/>
            <w:vAlign w:val="center"/>
          </w:tcPr>
          <w:p>
            <w:pPr>
              <w:pStyle w:val="8"/>
              <w:spacing w:after="120"/>
              <w:ind w:right="-512" w:rightChars="-244" w:firstLine="420"/>
              <w:rPr>
                <w:rFonts w:ascii="仿宋" w:hAnsi="仿宋" w:eastAsia="仿宋" w:cs="仿宋"/>
                <w:color w:val="auto"/>
                <w:sz w:val="18"/>
                <w:szCs w:val="18"/>
                <w:highlight w:val="none"/>
              </w:rPr>
            </w:pPr>
          </w:p>
        </w:tc>
        <w:tc>
          <w:tcPr>
            <w:tcW w:w="1097"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4040" w:type="dxa"/>
            <w:vAlign w:val="center"/>
          </w:tcPr>
          <w:p>
            <w:pPr>
              <w:pStyle w:val="8"/>
              <w:spacing w:after="120"/>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1823" w:type="dxa"/>
            <w:vMerge w:val="continue"/>
            <w:vAlign w:val="center"/>
          </w:tcPr>
          <w:p>
            <w:pPr>
              <w:pStyle w:val="8"/>
              <w:spacing w:after="120"/>
              <w:ind w:right="-512" w:rightChars="-244" w:firstLine="420"/>
              <w:rPr>
                <w:rFonts w:ascii="仿宋" w:hAnsi="仿宋" w:eastAsia="仿宋" w:cs="仿宋"/>
                <w:color w:val="auto"/>
                <w:sz w:val="18"/>
                <w:szCs w:val="18"/>
                <w:highlight w:val="none"/>
              </w:rPr>
            </w:pPr>
          </w:p>
        </w:tc>
        <w:tc>
          <w:tcPr>
            <w:tcW w:w="1097"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4040" w:type="dxa"/>
            <w:vAlign w:val="center"/>
          </w:tcPr>
          <w:p>
            <w:pPr>
              <w:pStyle w:val="8"/>
              <w:spacing w:after="120"/>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jc w:val="center"/>
        </w:trPr>
        <w:tc>
          <w:tcPr>
            <w:tcW w:w="1823" w:type="dxa"/>
            <w:vMerge w:val="continue"/>
            <w:vAlign w:val="center"/>
          </w:tcPr>
          <w:p>
            <w:pPr>
              <w:pStyle w:val="8"/>
              <w:spacing w:after="120"/>
              <w:ind w:right="-512" w:rightChars="-244" w:firstLine="420"/>
              <w:rPr>
                <w:rFonts w:ascii="仿宋" w:hAnsi="仿宋" w:eastAsia="仿宋" w:cs="仿宋"/>
                <w:color w:val="auto"/>
                <w:sz w:val="18"/>
                <w:szCs w:val="18"/>
                <w:highlight w:val="none"/>
              </w:rPr>
            </w:pPr>
          </w:p>
        </w:tc>
        <w:tc>
          <w:tcPr>
            <w:tcW w:w="1097"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vAlign w:val="center"/>
          </w:tcPr>
          <w:p>
            <w:pPr>
              <w:pStyle w:val="8"/>
              <w:spacing w:after="120"/>
              <w:ind w:right="-512" w:rightChars="-244" w:firstLine="420"/>
              <w:rPr>
                <w:rFonts w:ascii="仿宋" w:hAnsi="仿宋" w:eastAsia="仿宋" w:cs="仿宋"/>
                <w:color w:val="auto"/>
                <w:sz w:val="18"/>
                <w:szCs w:val="18"/>
                <w:highlight w:val="none"/>
              </w:rPr>
            </w:pPr>
          </w:p>
        </w:tc>
        <w:tc>
          <w:tcPr>
            <w:tcW w:w="4040" w:type="dxa"/>
            <w:vAlign w:val="center"/>
          </w:tcPr>
          <w:p>
            <w:pPr>
              <w:pStyle w:val="8"/>
              <w:spacing w:after="120"/>
              <w:ind w:right="-512" w:rightChars="-244" w:firstLine="420"/>
              <w:rPr>
                <w:rFonts w:ascii="仿宋" w:hAnsi="仿宋" w:eastAsia="仿宋" w:cs="仿宋"/>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3" w:hRule="atLeast"/>
          <w:jc w:val="center"/>
        </w:trPr>
        <w:tc>
          <w:tcPr>
            <w:tcW w:w="1823" w:type="dxa"/>
            <w:vMerge w:val="continue"/>
            <w:tcBorders>
              <w:bottom w:val="single" w:color="auto" w:sz="12" w:space="0"/>
            </w:tcBorders>
            <w:vAlign w:val="center"/>
          </w:tcPr>
          <w:p>
            <w:pPr>
              <w:pStyle w:val="8"/>
              <w:spacing w:after="120"/>
              <w:ind w:right="-512" w:rightChars="-244" w:firstLine="420"/>
              <w:rPr>
                <w:rFonts w:ascii="仿宋" w:hAnsi="仿宋" w:eastAsia="仿宋" w:cs="仿宋"/>
                <w:color w:val="auto"/>
                <w:sz w:val="18"/>
                <w:szCs w:val="18"/>
                <w:highlight w:val="none"/>
              </w:rPr>
            </w:pPr>
          </w:p>
        </w:tc>
        <w:tc>
          <w:tcPr>
            <w:tcW w:w="1097" w:type="dxa"/>
            <w:tcBorders>
              <w:bottom w:val="single" w:color="auto" w:sz="12" w:space="0"/>
            </w:tcBorders>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tcBorders>
              <w:bottom w:val="single" w:color="auto" w:sz="12" w:space="0"/>
            </w:tcBorders>
            <w:vAlign w:val="center"/>
          </w:tcPr>
          <w:p>
            <w:pPr>
              <w:pStyle w:val="8"/>
              <w:spacing w:after="120"/>
              <w:ind w:right="-512" w:rightChars="-244" w:firstLine="420"/>
              <w:rPr>
                <w:rFonts w:ascii="仿宋" w:hAnsi="仿宋" w:eastAsia="仿宋" w:cs="仿宋"/>
                <w:color w:val="auto"/>
                <w:sz w:val="18"/>
                <w:szCs w:val="18"/>
                <w:highlight w:val="none"/>
              </w:rPr>
            </w:pPr>
          </w:p>
        </w:tc>
        <w:tc>
          <w:tcPr>
            <w:tcW w:w="1139" w:type="dxa"/>
            <w:tcBorders>
              <w:bottom w:val="single" w:color="auto" w:sz="12" w:space="0"/>
            </w:tcBorders>
            <w:vAlign w:val="center"/>
          </w:tcPr>
          <w:p>
            <w:pPr>
              <w:pStyle w:val="8"/>
              <w:spacing w:after="120"/>
              <w:ind w:right="-512" w:rightChars="-244" w:firstLine="420"/>
              <w:rPr>
                <w:rFonts w:ascii="仿宋" w:hAnsi="仿宋" w:eastAsia="仿宋" w:cs="仿宋"/>
                <w:color w:val="auto"/>
                <w:sz w:val="18"/>
                <w:szCs w:val="18"/>
                <w:highlight w:val="none"/>
              </w:rPr>
            </w:pPr>
          </w:p>
        </w:tc>
        <w:tc>
          <w:tcPr>
            <w:tcW w:w="4040" w:type="dxa"/>
            <w:tcBorders>
              <w:bottom w:val="single" w:color="auto" w:sz="12" w:space="0"/>
            </w:tcBorders>
            <w:vAlign w:val="center"/>
          </w:tcPr>
          <w:p>
            <w:pPr>
              <w:pStyle w:val="8"/>
              <w:spacing w:after="120"/>
              <w:ind w:right="-512" w:rightChars="-244" w:firstLine="420"/>
              <w:rPr>
                <w:rFonts w:ascii="仿宋" w:hAnsi="仿宋" w:eastAsia="仿宋" w:cs="仿宋"/>
                <w:color w:val="auto"/>
                <w:sz w:val="18"/>
                <w:szCs w:val="18"/>
                <w:highlight w:val="none"/>
              </w:rPr>
            </w:pPr>
          </w:p>
        </w:tc>
      </w:tr>
    </w:tbl>
    <w:p>
      <w:pPr>
        <w:spacing w:after="120"/>
        <w:ind w:right="-512" w:rightChars="-244"/>
        <w:rPr>
          <w:rFonts w:ascii="仿宋" w:hAnsi="仿宋" w:eastAsia="仿宋" w:cs="仿宋"/>
          <w:color w:val="auto"/>
          <w:szCs w:val="16"/>
          <w:highlight w:val="none"/>
        </w:rPr>
        <w:sectPr>
          <w:pgSz w:w="11906" w:h="16838"/>
          <w:pgMar w:top="1440" w:right="1800" w:bottom="1440" w:left="1800" w:header="720" w:footer="998" w:gutter="0"/>
          <w:pgNumType w:fmt="decimal"/>
          <w:cols w:space="720" w:num="1"/>
          <w:docGrid w:linePitch="326" w:charSpace="0"/>
        </w:sectPr>
      </w:pPr>
      <w:bookmarkStart w:id="570" w:name="_Toc267261701"/>
    </w:p>
    <w:bookmarkEnd w:id="570"/>
    <w:p>
      <w:pPr>
        <w:ind w:right="-512" w:rightChars="-244"/>
        <w:jc w:val="left"/>
        <w:rPr>
          <w:rFonts w:ascii="仿宋" w:hAnsi="仿宋" w:eastAsia="仿宋" w:cs="仿宋"/>
          <w:color w:val="auto"/>
          <w:szCs w:val="16"/>
          <w:highlight w:val="none"/>
        </w:rPr>
      </w:pPr>
    </w:p>
    <w:p>
      <w:pPr>
        <w:spacing w:after="120"/>
        <w:ind w:right="-512" w:rightChars="-244"/>
        <w:rPr>
          <w:rFonts w:ascii="仿宋" w:hAnsi="仿宋" w:eastAsia="仿宋" w:cs="仿宋"/>
          <w:color w:val="auto"/>
          <w:szCs w:val="16"/>
          <w:highlight w:val="none"/>
        </w:rPr>
      </w:pPr>
    </w:p>
    <w:p>
      <w:pPr>
        <w:pStyle w:val="5"/>
        <w:numPr>
          <w:ilvl w:val="2"/>
          <w:numId w:val="0"/>
        </w:numPr>
        <w:ind w:right="-512" w:rightChars="-244"/>
        <w:rPr>
          <w:rFonts w:ascii="仿宋" w:hAnsi="仿宋" w:eastAsia="仿宋" w:cs="仿宋"/>
          <w:color w:val="auto"/>
          <w:highlight w:val="none"/>
        </w:rPr>
      </w:pPr>
      <w:bookmarkStart w:id="571" w:name="_Toc18614_WPSOffice_Level2"/>
      <w:r>
        <w:rPr>
          <w:rFonts w:hint="eastAsia" w:ascii="仿宋" w:hAnsi="仿宋" w:eastAsia="仿宋" w:cs="仿宋"/>
          <w:color w:val="auto"/>
          <w:highlight w:val="none"/>
        </w:rPr>
        <w:t>附件二：履约担保格式</w:t>
      </w:r>
      <w:bookmarkEnd w:id="571"/>
    </w:p>
    <w:p>
      <w:pPr>
        <w:spacing w:line="400" w:lineRule="exact"/>
        <w:ind w:right="-512" w:rightChars="-244"/>
        <w:rPr>
          <w:rFonts w:ascii="仿宋" w:hAnsi="仿宋" w:eastAsia="仿宋" w:cs="仿宋"/>
          <w:color w:val="auto"/>
          <w:highlight w:val="none"/>
        </w:rPr>
      </w:pPr>
    </w:p>
    <w:p>
      <w:pPr>
        <w:spacing w:line="440" w:lineRule="exact"/>
        <w:ind w:right="-512" w:rightChars="-244"/>
        <w:jc w:val="center"/>
        <w:rPr>
          <w:rFonts w:ascii="仿宋" w:hAnsi="仿宋" w:eastAsia="仿宋" w:cs="仿宋"/>
          <w:color w:val="auto"/>
          <w:sz w:val="28"/>
          <w:szCs w:val="28"/>
          <w:highlight w:val="none"/>
        </w:rPr>
      </w:pPr>
      <w:bookmarkStart w:id="572" w:name="_Toc963_WPSOffice_Level3"/>
      <w:r>
        <w:rPr>
          <w:rFonts w:hint="eastAsia" w:ascii="仿宋" w:hAnsi="仿宋" w:eastAsia="仿宋" w:cs="仿宋"/>
          <w:color w:val="auto"/>
          <w:sz w:val="28"/>
          <w:szCs w:val="28"/>
          <w:highlight w:val="none"/>
        </w:rPr>
        <w:t>履约担保</w:t>
      </w:r>
      <w:bookmarkEnd w:id="572"/>
    </w:p>
    <w:p>
      <w:pPr>
        <w:spacing w:line="440" w:lineRule="exact"/>
        <w:ind w:right="-512" w:rightChars="-244"/>
        <w:rPr>
          <w:rFonts w:ascii="仿宋" w:hAnsi="仿宋" w:eastAsia="仿宋" w:cs="仿宋"/>
          <w:color w:val="auto"/>
          <w:sz w:val="20"/>
          <w:szCs w:val="20"/>
          <w:highlight w:val="none"/>
        </w:rPr>
      </w:pPr>
    </w:p>
    <w:p>
      <w:pPr>
        <w:spacing w:line="440" w:lineRule="exact"/>
        <w:ind w:right="-512" w:rightChars="-244"/>
        <w:rPr>
          <w:rFonts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（发包人名称）：</w:t>
      </w:r>
    </w:p>
    <w:p>
      <w:pPr>
        <w:spacing w:line="440" w:lineRule="exact"/>
        <w:ind w:right="-512" w:rightChars="-244"/>
        <w:rPr>
          <w:rFonts w:ascii="仿宋" w:hAnsi="仿宋" w:eastAsia="仿宋" w:cs="仿宋"/>
          <w:color w:val="auto"/>
          <w:szCs w:val="21"/>
          <w:highlight w:val="none"/>
        </w:rPr>
      </w:pPr>
    </w:p>
    <w:p>
      <w:pPr>
        <w:spacing w:line="440" w:lineRule="exact"/>
        <w:ind w:right="-512" w:rightChars="-244"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鉴于</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（发包人名称，以下简称“发包人”）接受 </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（承包人名称，以下称“承包人”）于</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年</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月</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日参加</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（项目名称）的投标。我方愿意就承包人履行与你方订立的合同，向你方提供担保。 </w:t>
      </w:r>
    </w:p>
    <w:p>
      <w:pPr>
        <w:spacing w:line="440" w:lineRule="exact"/>
        <w:ind w:right="-512" w:rightChars="-244"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 担保金额人民币（大写）</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pacing w:line="440" w:lineRule="exact"/>
        <w:ind w:right="-512" w:rightChars="-244"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 担保有效期自发包人与承包人签订的合同生效之日起至发包人签发工程接收证书之日止。</w:t>
      </w:r>
    </w:p>
    <w:p>
      <w:pPr>
        <w:spacing w:line="440" w:lineRule="exact"/>
        <w:ind w:right="-512" w:rightChars="-244"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 担保有效期自发包人与承包人签订的合同生效之日起至承包人通过竣工后试验之日止。</w:t>
      </w:r>
    </w:p>
    <w:p>
      <w:pPr>
        <w:spacing w:line="440" w:lineRule="exact"/>
        <w:ind w:right="-512" w:rightChars="-244"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 在本担保有效期内，因承包人违反合同约定的义务给你方造成经济损失时，我方在收到你方以书面形式提出的在担保金额内的赔偿要求后，在7天内支付。</w:t>
      </w:r>
    </w:p>
    <w:p>
      <w:pPr>
        <w:spacing w:line="440" w:lineRule="exact"/>
        <w:ind w:right="-512" w:rightChars="-244"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4. 发包人和承包人按《通用合同条款》第15条变更合同时，我方承担本担保规定的义务不变。</w:t>
      </w:r>
    </w:p>
    <w:p>
      <w:pPr>
        <w:spacing w:line="440" w:lineRule="exact"/>
        <w:ind w:right="-512" w:rightChars="-244"/>
        <w:rPr>
          <w:rFonts w:ascii="仿宋" w:hAnsi="仿宋" w:eastAsia="仿宋" w:cs="仿宋"/>
          <w:color w:val="auto"/>
          <w:szCs w:val="21"/>
          <w:highlight w:val="none"/>
        </w:rPr>
      </w:pPr>
    </w:p>
    <w:p>
      <w:pPr>
        <w:spacing w:line="600" w:lineRule="exact"/>
        <w:ind w:right="-512" w:rightChars="-244" w:firstLine="3418" w:firstLineChars="1628"/>
        <w:rPr>
          <w:rFonts w:ascii="仿宋" w:hAnsi="仿宋" w:eastAsia="仿宋" w:cs="仿宋"/>
          <w:color w:val="auto"/>
          <w:szCs w:val="21"/>
          <w:highlight w:val="none"/>
        </w:rPr>
      </w:pPr>
      <w:r>
        <w:rPr>
          <w:rFonts w:hint="eastAsia" w:ascii="仿宋" w:hAnsi="仿宋" w:eastAsia="仿宋" w:cs="仿宋"/>
          <w:color w:val="auto"/>
          <w:szCs w:val="21"/>
          <w:highlight w:val="none"/>
        </w:rPr>
        <w:t>担 保 人：</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（盖单位章）</w:t>
      </w:r>
    </w:p>
    <w:p>
      <w:pPr>
        <w:spacing w:line="600" w:lineRule="exact"/>
        <w:ind w:right="-512" w:rightChars="-244" w:firstLine="3418" w:firstLineChars="1628"/>
        <w:rPr>
          <w:rFonts w:ascii="仿宋" w:hAnsi="仿宋" w:eastAsia="仿宋" w:cs="仿宋"/>
          <w:color w:val="auto"/>
          <w:szCs w:val="21"/>
          <w:highlight w:val="none"/>
        </w:rPr>
      </w:pPr>
      <w:r>
        <w:rPr>
          <w:rFonts w:hint="eastAsia" w:ascii="仿宋" w:hAnsi="仿宋" w:eastAsia="仿宋" w:cs="仿宋"/>
          <w:color w:val="auto"/>
          <w:szCs w:val="21"/>
          <w:highlight w:val="none"/>
        </w:rPr>
        <w:t>法定代表人或其委托代理人：</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（签字）</w:t>
      </w:r>
    </w:p>
    <w:p>
      <w:pPr>
        <w:spacing w:line="600" w:lineRule="exact"/>
        <w:ind w:right="-512" w:rightChars="-244" w:firstLine="3418" w:firstLineChars="1628"/>
        <w:rPr>
          <w:rFonts w:ascii="仿宋" w:hAnsi="仿宋" w:eastAsia="仿宋" w:cs="仿宋"/>
          <w:color w:val="auto"/>
          <w:szCs w:val="21"/>
          <w:highlight w:val="none"/>
        </w:rPr>
      </w:pPr>
      <w:r>
        <w:rPr>
          <w:rFonts w:hint="eastAsia" w:ascii="仿宋" w:hAnsi="仿宋" w:eastAsia="仿宋" w:cs="仿宋"/>
          <w:color w:val="auto"/>
          <w:szCs w:val="21"/>
          <w:highlight w:val="none"/>
        </w:rPr>
        <w:t>地    址：</w:t>
      </w:r>
      <w:r>
        <w:rPr>
          <w:rFonts w:hint="eastAsia" w:ascii="仿宋" w:hAnsi="仿宋" w:eastAsia="仿宋" w:cs="仿宋"/>
          <w:color w:val="auto"/>
          <w:szCs w:val="21"/>
          <w:highlight w:val="none"/>
          <w:u w:val="single"/>
        </w:rPr>
        <w:t xml:space="preserve">                                    </w:t>
      </w:r>
    </w:p>
    <w:p>
      <w:pPr>
        <w:spacing w:line="600" w:lineRule="exact"/>
        <w:ind w:right="-512" w:rightChars="-244" w:firstLine="3418" w:firstLineChars="1628"/>
        <w:rPr>
          <w:rFonts w:ascii="仿宋" w:hAnsi="仿宋" w:eastAsia="仿宋" w:cs="仿宋"/>
          <w:color w:val="auto"/>
          <w:szCs w:val="21"/>
          <w:highlight w:val="none"/>
        </w:rPr>
      </w:pPr>
      <w:r>
        <w:rPr>
          <w:rFonts w:hint="eastAsia" w:ascii="仿宋" w:hAnsi="仿宋" w:eastAsia="仿宋" w:cs="仿宋"/>
          <w:color w:val="auto"/>
          <w:szCs w:val="21"/>
          <w:highlight w:val="none"/>
        </w:rPr>
        <w:t>邮政编码：</w:t>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 xml:space="preserve">  </w:t>
      </w:r>
    </w:p>
    <w:p>
      <w:pPr>
        <w:spacing w:line="600" w:lineRule="exact"/>
        <w:ind w:right="-512" w:rightChars="-244" w:firstLine="3418" w:firstLineChars="1628"/>
        <w:rPr>
          <w:rFonts w:ascii="仿宋" w:hAnsi="仿宋" w:eastAsia="仿宋" w:cs="仿宋"/>
          <w:color w:val="auto"/>
          <w:szCs w:val="21"/>
          <w:highlight w:val="none"/>
        </w:rPr>
      </w:pPr>
      <w:r>
        <w:rPr>
          <w:rFonts w:hint="eastAsia" w:ascii="仿宋" w:hAnsi="仿宋" w:eastAsia="仿宋" w:cs="仿宋"/>
          <w:color w:val="auto"/>
          <w:szCs w:val="21"/>
          <w:highlight w:val="none"/>
        </w:rPr>
        <w:t>电    话：</w:t>
      </w:r>
      <w:r>
        <w:rPr>
          <w:rFonts w:hint="eastAsia" w:ascii="仿宋" w:hAnsi="仿宋" w:eastAsia="仿宋" w:cs="仿宋"/>
          <w:color w:val="auto"/>
          <w:szCs w:val="21"/>
          <w:highlight w:val="none"/>
          <w:u w:val="single"/>
        </w:rPr>
        <w:t xml:space="preserve">                                   </w:t>
      </w:r>
    </w:p>
    <w:p>
      <w:pPr>
        <w:spacing w:line="600" w:lineRule="exact"/>
        <w:ind w:right="-512" w:rightChars="-244" w:firstLine="4258" w:firstLineChars="2028"/>
        <w:rPr>
          <w:rFonts w:ascii="仿宋" w:hAnsi="仿宋" w:eastAsia="仿宋" w:cs="仿宋"/>
          <w:color w:val="auto"/>
          <w:highlight w:val="none"/>
        </w:rPr>
      </w:pP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年</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月</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日</w:t>
      </w:r>
      <w:r>
        <w:rPr>
          <w:rFonts w:hint="eastAsia" w:ascii="仿宋" w:hAnsi="仿宋" w:eastAsia="仿宋" w:cs="仿宋"/>
          <w:color w:val="auto"/>
          <w:highlight w:val="none"/>
        </w:rPr>
        <w:br w:type="page"/>
      </w:r>
    </w:p>
    <w:p>
      <w:pPr>
        <w:pStyle w:val="5"/>
        <w:numPr>
          <w:ilvl w:val="2"/>
          <w:numId w:val="0"/>
        </w:numPr>
        <w:ind w:right="-512" w:rightChars="-244"/>
        <w:rPr>
          <w:rFonts w:ascii="仿宋" w:hAnsi="仿宋" w:eastAsia="仿宋" w:cs="仿宋"/>
          <w:color w:val="auto"/>
          <w:highlight w:val="none"/>
        </w:rPr>
      </w:pPr>
      <w:bookmarkStart w:id="573" w:name="_Toc300835203"/>
      <w:bookmarkStart w:id="574" w:name="_Toc144974833"/>
      <w:bookmarkStart w:id="575" w:name="_Toc152042553"/>
      <w:bookmarkStart w:id="576" w:name="_Toc247514201"/>
      <w:bookmarkStart w:id="577" w:name="_Toc152045771"/>
      <w:bookmarkStart w:id="578" w:name="_Toc25220_WPSOffice_Level2"/>
      <w:bookmarkStart w:id="579" w:name="_Toc247527802"/>
      <w:bookmarkStart w:id="580" w:name="_Toc25598332"/>
      <w:r>
        <w:rPr>
          <w:rFonts w:hint="eastAsia" w:ascii="仿宋" w:hAnsi="仿宋" w:eastAsia="仿宋" w:cs="仿宋"/>
          <w:color w:val="auto"/>
          <w:highlight w:val="none"/>
        </w:rPr>
        <w:t>附件三：预付款担保格式</w:t>
      </w:r>
      <w:bookmarkEnd w:id="573"/>
      <w:bookmarkEnd w:id="574"/>
      <w:bookmarkEnd w:id="575"/>
      <w:bookmarkEnd w:id="576"/>
      <w:bookmarkEnd w:id="577"/>
      <w:bookmarkEnd w:id="578"/>
      <w:bookmarkEnd w:id="579"/>
      <w:bookmarkEnd w:id="580"/>
    </w:p>
    <w:p>
      <w:pPr>
        <w:spacing w:line="400" w:lineRule="exact"/>
        <w:ind w:right="-512" w:rightChars="-244"/>
        <w:rPr>
          <w:rFonts w:ascii="仿宋" w:hAnsi="仿宋" w:eastAsia="仿宋" w:cs="仿宋"/>
          <w:color w:val="auto"/>
          <w:highlight w:val="none"/>
        </w:rPr>
      </w:pPr>
    </w:p>
    <w:p>
      <w:pPr>
        <w:spacing w:line="440" w:lineRule="exact"/>
        <w:ind w:right="-512" w:rightChars="-244"/>
        <w:jc w:val="center"/>
        <w:rPr>
          <w:rFonts w:ascii="仿宋" w:hAnsi="仿宋" w:eastAsia="仿宋" w:cs="仿宋"/>
          <w:color w:val="auto"/>
          <w:sz w:val="28"/>
          <w:szCs w:val="28"/>
          <w:highlight w:val="none"/>
        </w:rPr>
      </w:pPr>
      <w:bookmarkStart w:id="581" w:name="_Toc7930_WPSOffice_Level3"/>
      <w:r>
        <w:rPr>
          <w:rFonts w:hint="eastAsia" w:ascii="仿宋" w:hAnsi="仿宋" w:eastAsia="仿宋" w:cs="仿宋"/>
          <w:color w:val="auto"/>
          <w:sz w:val="28"/>
          <w:szCs w:val="28"/>
          <w:highlight w:val="none"/>
        </w:rPr>
        <w:t>预付款担保</w:t>
      </w:r>
      <w:bookmarkEnd w:id="581"/>
    </w:p>
    <w:p>
      <w:pPr>
        <w:spacing w:line="440" w:lineRule="exact"/>
        <w:ind w:right="-512" w:rightChars="-244"/>
        <w:rPr>
          <w:rFonts w:ascii="仿宋" w:hAnsi="仿宋" w:eastAsia="仿宋" w:cs="仿宋"/>
          <w:color w:val="auto"/>
          <w:sz w:val="20"/>
          <w:szCs w:val="20"/>
          <w:highlight w:val="none"/>
        </w:rPr>
      </w:pPr>
    </w:p>
    <w:p>
      <w:pPr>
        <w:spacing w:line="440" w:lineRule="exact"/>
        <w:ind w:right="-512" w:rightChars="-244"/>
        <w:rPr>
          <w:rFonts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（发包人名称）：</w:t>
      </w:r>
    </w:p>
    <w:p>
      <w:pPr>
        <w:spacing w:line="440" w:lineRule="exact"/>
        <w:ind w:right="-512" w:rightChars="-244"/>
        <w:rPr>
          <w:rFonts w:ascii="仿宋" w:hAnsi="仿宋" w:eastAsia="仿宋" w:cs="仿宋"/>
          <w:color w:val="auto"/>
          <w:szCs w:val="21"/>
          <w:highlight w:val="none"/>
        </w:rPr>
      </w:pPr>
    </w:p>
    <w:p>
      <w:pPr>
        <w:spacing w:line="440" w:lineRule="exact"/>
        <w:ind w:right="-512" w:rightChars="-244"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根据</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（承包人名称）（以下称“承包人”）与</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（发包人名称）（以下简称“发包人”）于</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年</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月</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日签订的</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（项目名称）总承包合同，承包人按约定的金额向发包人提交一份预付款担保，即有权得到发包人支付相等金额的预付款。我方愿意就你方提供给承包人的预付款提供担保。</w:t>
      </w:r>
    </w:p>
    <w:p>
      <w:pPr>
        <w:spacing w:line="440" w:lineRule="exact"/>
        <w:ind w:right="-512" w:rightChars="-244"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1. 担保金额人民币（大写）</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w:t>
      </w:r>
    </w:p>
    <w:p>
      <w:pPr>
        <w:spacing w:line="440" w:lineRule="exact"/>
        <w:ind w:right="-512" w:rightChars="-244"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2. 担保有效期自预付款支付给承包人起生效，至发包人签发的进度付款证书说明预付款已完全扣清止。</w:t>
      </w:r>
    </w:p>
    <w:p>
      <w:pPr>
        <w:spacing w:line="440" w:lineRule="exact"/>
        <w:ind w:right="-512" w:rightChars="-244"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3. 在本保函有效期内，因承包人违反合同约定的义务而要求收回预付款时，我方在收到你方的书面通知后，在７天内支付。但本保函的担保金额，在任何时候不应超过预付款金额减去发包人按合同约定在向承包人签发的进度付款证书中扣除的金额。</w:t>
      </w:r>
    </w:p>
    <w:p>
      <w:pPr>
        <w:spacing w:line="440" w:lineRule="exact"/>
        <w:ind w:right="-512" w:rightChars="-244" w:firstLine="420" w:firstLineChars="200"/>
        <w:rPr>
          <w:rFonts w:ascii="仿宋" w:hAnsi="仿宋" w:eastAsia="仿宋" w:cs="仿宋"/>
          <w:color w:val="auto"/>
          <w:szCs w:val="21"/>
          <w:highlight w:val="none"/>
        </w:rPr>
      </w:pPr>
      <w:r>
        <w:rPr>
          <w:rFonts w:hint="eastAsia" w:ascii="仿宋" w:hAnsi="仿宋" w:eastAsia="仿宋" w:cs="仿宋"/>
          <w:color w:val="auto"/>
          <w:szCs w:val="21"/>
          <w:highlight w:val="none"/>
        </w:rPr>
        <w:t>4. 发包人和承包人按《通用合同条款》第15条变更合同时，我方承担本保函规定的义务不变。</w:t>
      </w:r>
    </w:p>
    <w:p>
      <w:pPr>
        <w:spacing w:line="440" w:lineRule="exact"/>
        <w:ind w:right="-512" w:rightChars="-244"/>
        <w:rPr>
          <w:rFonts w:ascii="仿宋" w:hAnsi="仿宋" w:eastAsia="仿宋" w:cs="仿宋"/>
          <w:color w:val="auto"/>
          <w:szCs w:val="21"/>
          <w:highlight w:val="none"/>
        </w:rPr>
      </w:pPr>
    </w:p>
    <w:p>
      <w:pPr>
        <w:spacing w:line="600" w:lineRule="exact"/>
        <w:ind w:right="-512" w:rightChars="-244" w:firstLine="3599" w:firstLineChars="1714"/>
        <w:rPr>
          <w:rFonts w:ascii="仿宋" w:hAnsi="仿宋" w:eastAsia="仿宋" w:cs="仿宋"/>
          <w:color w:val="auto"/>
          <w:szCs w:val="21"/>
          <w:highlight w:val="none"/>
        </w:rPr>
      </w:pPr>
      <w:r>
        <w:rPr>
          <w:rFonts w:hint="eastAsia" w:ascii="仿宋" w:hAnsi="仿宋" w:eastAsia="仿宋" w:cs="仿宋"/>
          <w:color w:val="auto"/>
          <w:szCs w:val="21"/>
          <w:highlight w:val="none"/>
        </w:rPr>
        <w:t>担保人：</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（盖单位章）</w:t>
      </w:r>
    </w:p>
    <w:p>
      <w:pPr>
        <w:spacing w:line="600" w:lineRule="exact"/>
        <w:ind w:right="-512" w:rightChars="-244" w:firstLine="3599" w:firstLineChars="1714"/>
        <w:rPr>
          <w:rFonts w:ascii="仿宋" w:hAnsi="仿宋" w:eastAsia="仿宋" w:cs="仿宋"/>
          <w:color w:val="auto"/>
          <w:szCs w:val="21"/>
          <w:highlight w:val="none"/>
        </w:rPr>
      </w:pPr>
      <w:r>
        <w:rPr>
          <w:rFonts w:hint="eastAsia" w:ascii="仿宋" w:hAnsi="仿宋" w:eastAsia="仿宋" w:cs="仿宋"/>
          <w:color w:val="auto"/>
          <w:szCs w:val="21"/>
          <w:highlight w:val="none"/>
        </w:rPr>
        <w:t>法定代表人或授权人：</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（签字）</w:t>
      </w:r>
    </w:p>
    <w:p>
      <w:pPr>
        <w:spacing w:line="600" w:lineRule="exact"/>
        <w:ind w:right="-512" w:rightChars="-244" w:firstLine="3599" w:firstLineChars="1714"/>
        <w:rPr>
          <w:rFonts w:ascii="仿宋" w:hAnsi="仿宋" w:eastAsia="仿宋" w:cs="仿宋"/>
          <w:color w:val="auto"/>
          <w:szCs w:val="21"/>
          <w:highlight w:val="none"/>
        </w:rPr>
      </w:pPr>
      <w:r>
        <w:rPr>
          <w:rFonts w:hint="eastAsia" w:ascii="仿宋" w:hAnsi="仿宋" w:eastAsia="仿宋" w:cs="仿宋"/>
          <w:color w:val="auto"/>
          <w:szCs w:val="21"/>
          <w:highlight w:val="none"/>
        </w:rPr>
        <w:t>地    址：</w:t>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 xml:space="preserve">        </w:t>
      </w:r>
    </w:p>
    <w:p>
      <w:pPr>
        <w:spacing w:line="600" w:lineRule="exact"/>
        <w:ind w:right="-512" w:rightChars="-244" w:firstLine="3599" w:firstLineChars="1714"/>
        <w:rPr>
          <w:rFonts w:ascii="仿宋" w:hAnsi="仿宋" w:eastAsia="仿宋" w:cs="仿宋"/>
          <w:color w:val="auto"/>
          <w:szCs w:val="21"/>
          <w:highlight w:val="none"/>
          <w:u w:val="single"/>
        </w:rPr>
      </w:pPr>
      <w:r>
        <w:rPr>
          <w:rFonts w:hint="eastAsia" w:ascii="仿宋" w:hAnsi="仿宋" w:eastAsia="仿宋" w:cs="仿宋"/>
          <w:color w:val="auto"/>
          <w:szCs w:val="21"/>
          <w:highlight w:val="none"/>
        </w:rPr>
        <w:t>邮政编码：</w:t>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ab/>
      </w:r>
      <w:r>
        <w:rPr>
          <w:rFonts w:hint="eastAsia" w:ascii="仿宋" w:hAnsi="仿宋" w:eastAsia="仿宋" w:cs="仿宋"/>
          <w:color w:val="auto"/>
          <w:szCs w:val="21"/>
          <w:highlight w:val="none"/>
          <w:u w:val="single"/>
        </w:rPr>
        <w:tab/>
      </w:r>
    </w:p>
    <w:p>
      <w:pPr>
        <w:spacing w:line="600" w:lineRule="exact"/>
        <w:ind w:right="-512" w:rightChars="-244" w:firstLine="3599" w:firstLineChars="1714"/>
        <w:rPr>
          <w:rFonts w:ascii="仿宋" w:hAnsi="仿宋" w:eastAsia="仿宋" w:cs="仿宋"/>
          <w:color w:val="auto"/>
          <w:szCs w:val="21"/>
          <w:highlight w:val="none"/>
          <w:u w:val="single"/>
        </w:rPr>
      </w:pPr>
      <w:r>
        <w:rPr>
          <w:rFonts w:hint="eastAsia" w:ascii="仿宋" w:hAnsi="仿宋" w:eastAsia="仿宋" w:cs="仿宋"/>
          <w:color w:val="auto"/>
          <w:szCs w:val="21"/>
          <w:highlight w:val="none"/>
        </w:rPr>
        <w:t>电    话：</w:t>
      </w:r>
      <w:r>
        <w:rPr>
          <w:rFonts w:hint="eastAsia" w:ascii="仿宋" w:hAnsi="仿宋" w:eastAsia="仿宋" w:cs="仿宋"/>
          <w:color w:val="auto"/>
          <w:szCs w:val="21"/>
          <w:highlight w:val="none"/>
          <w:u w:val="single"/>
        </w:rPr>
        <w:t xml:space="preserve">                            </w:t>
      </w:r>
    </w:p>
    <w:p>
      <w:pPr>
        <w:spacing w:line="600" w:lineRule="exact"/>
        <w:ind w:right="-512" w:rightChars="-244" w:firstLine="4326" w:firstLineChars="2060"/>
        <w:rPr>
          <w:rFonts w:ascii="仿宋" w:hAnsi="仿宋" w:eastAsia="仿宋" w:cs="仿宋"/>
          <w:color w:val="auto"/>
          <w:szCs w:val="21"/>
          <w:highlight w:val="none"/>
        </w:rPr>
      </w:pP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年</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月</w:t>
      </w:r>
      <w:r>
        <w:rPr>
          <w:rFonts w:hint="eastAsia" w:ascii="仿宋" w:hAnsi="仿宋" w:eastAsia="仿宋" w:cs="仿宋"/>
          <w:color w:val="auto"/>
          <w:szCs w:val="21"/>
          <w:highlight w:val="none"/>
          <w:u w:val="single"/>
        </w:rPr>
        <w:t xml:space="preserve">      </w:t>
      </w:r>
      <w:r>
        <w:rPr>
          <w:rFonts w:hint="eastAsia" w:ascii="仿宋" w:hAnsi="仿宋" w:eastAsia="仿宋" w:cs="仿宋"/>
          <w:color w:val="auto"/>
          <w:szCs w:val="21"/>
          <w:highlight w:val="none"/>
        </w:rPr>
        <w:t>日</w:t>
      </w:r>
    </w:p>
    <w:p>
      <w:pPr>
        <w:rPr>
          <w:rFonts w:ascii="仿宋" w:hAnsi="仿宋" w:eastAsia="仿宋" w:cs="仿宋"/>
          <w:color w:val="auto"/>
          <w:highlight w:val="none"/>
        </w:rPr>
      </w:pPr>
    </w:p>
    <w:p>
      <w:pPr>
        <w:rPr>
          <w:color w:val="auto"/>
          <w:highlight w:val="none"/>
        </w:rPr>
      </w:pPr>
    </w:p>
    <w:p>
      <w:pPr>
        <w:pStyle w:val="16"/>
        <w:ind w:left="420" w:hanging="420"/>
        <w:rPr>
          <w:rFonts w:ascii="仿宋" w:hAnsi="仿宋" w:eastAsia="仿宋" w:cs="仿宋"/>
          <w:color w:val="auto"/>
          <w:highlight w:val="none"/>
        </w:rPr>
      </w:pPr>
    </w:p>
    <w:p>
      <w:pPr>
        <w:rPr>
          <w:rFonts w:ascii="仿宋" w:hAnsi="仿宋" w:eastAsia="仿宋" w:cs="仿宋"/>
          <w:b/>
          <w:color w:val="auto"/>
          <w:sz w:val="36"/>
          <w:szCs w:val="36"/>
          <w:highlight w:val="none"/>
        </w:rPr>
      </w:pPr>
      <w:bookmarkStart w:id="582" w:name="_Toc503463636"/>
      <w:bookmarkStart w:id="583" w:name="_Toc256000349"/>
      <w:bookmarkStart w:id="584" w:name="_Toc32599"/>
      <w:r>
        <w:rPr>
          <w:rFonts w:hint="eastAsia" w:ascii="仿宋" w:hAnsi="仿宋" w:eastAsia="仿宋" w:cs="仿宋"/>
          <w:b/>
          <w:color w:val="auto"/>
          <w:sz w:val="36"/>
          <w:szCs w:val="36"/>
          <w:highlight w:val="none"/>
        </w:rPr>
        <w:br w:type="page"/>
      </w:r>
    </w:p>
    <w:p>
      <w:pPr>
        <w:pStyle w:val="9"/>
        <w:tabs>
          <w:tab w:val="left" w:pos="0"/>
        </w:tabs>
        <w:spacing w:line="360" w:lineRule="auto"/>
        <w:ind w:left="0" w:leftChars="0" w:firstLine="0" w:firstLineChars="0"/>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第六部分   投标文件格式</w:t>
      </w:r>
      <w:bookmarkEnd w:id="582"/>
      <w:bookmarkEnd w:id="583"/>
      <w:bookmarkEnd w:id="584"/>
    </w:p>
    <w:p>
      <w:pPr>
        <w:rPr>
          <w:rFonts w:ascii="仿宋" w:hAnsi="仿宋" w:eastAsia="仿宋" w:cs="仿宋"/>
          <w:color w:val="auto"/>
          <w:sz w:val="24"/>
          <w:szCs w:val="24"/>
          <w:highlight w:val="none"/>
        </w:rPr>
      </w:pPr>
      <w:bookmarkStart w:id="585" w:name="EBa6563f599c41462c9a1a5775fbb6dec3"/>
    </w:p>
    <w:p>
      <w:pPr>
        <w:rPr>
          <w:rFonts w:ascii="仿宋" w:hAnsi="仿宋" w:eastAsia="仿宋" w:cs="仿宋"/>
          <w:color w:val="auto"/>
          <w:sz w:val="24"/>
          <w:highlight w:val="none"/>
        </w:rPr>
      </w:pPr>
      <w:bookmarkStart w:id="586" w:name="_Toc24906"/>
      <w:bookmarkStart w:id="587" w:name="_Toc256000351"/>
      <w:r>
        <w:rPr>
          <w:rFonts w:hint="eastAsia" w:ascii="仿宋" w:hAnsi="仿宋" w:eastAsia="仿宋" w:cs="仿宋"/>
          <w:color w:val="auto"/>
          <w:sz w:val="28"/>
          <w:szCs w:val="28"/>
          <w:highlight w:val="none"/>
        </w:rPr>
        <w:br w:type="page"/>
      </w:r>
      <w:r>
        <w:rPr>
          <w:rFonts w:hint="eastAsia" w:ascii="仿宋" w:hAnsi="仿宋" w:eastAsia="仿宋" w:cs="仿宋"/>
          <w:color w:val="auto"/>
          <w:sz w:val="32"/>
          <w:szCs w:val="32"/>
          <w:highlight w:val="none"/>
        </w:rPr>
        <w:t>投标文件封面</w:t>
      </w:r>
      <w:bookmarkEnd w:id="586"/>
      <w:bookmarkEnd w:id="587"/>
    </w:p>
    <w:p>
      <w:pPr>
        <w:pStyle w:val="84"/>
        <w:spacing w:line="360" w:lineRule="auto"/>
        <w:rPr>
          <w:rFonts w:ascii="仿宋" w:hAnsi="仿宋" w:eastAsia="仿宋" w:cs="仿宋"/>
          <w:b/>
          <w:color w:val="auto"/>
          <w:sz w:val="24"/>
          <w:highlight w:val="none"/>
        </w:rPr>
      </w:pPr>
    </w:p>
    <w:p>
      <w:pPr>
        <w:pStyle w:val="84"/>
        <w:spacing w:line="360" w:lineRule="auto"/>
        <w:jc w:val="center"/>
        <w:rPr>
          <w:rFonts w:ascii="仿宋" w:hAnsi="仿宋" w:eastAsia="仿宋" w:cs="仿宋"/>
          <w:color w:val="auto"/>
          <w:sz w:val="28"/>
          <w:szCs w:val="28"/>
          <w:highlight w:val="none"/>
        </w:rPr>
      </w:pPr>
    </w:p>
    <w:p>
      <w:pPr>
        <w:pStyle w:val="70"/>
        <w:spacing w:line="360" w:lineRule="auto"/>
        <w:ind w:firstLine="1680" w:firstLineChars="6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（项目名称）</w:t>
      </w:r>
    </w:p>
    <w:p>
      <w:pPr>
        <w:pStyle w:val="70"/>
        <w:spacing w:line="360" w:lineRule="auto"/>
        <w:jc w:val="center"/>
        <w:rPr>
          <w:rFonts w:ascii="仿宋" w:hAnsi="仿宋" w:eastAsia="仿宋" w:cs="仿宋"/>
          <w:color w:val="auto"/>
          <w:sz w:val="28"/>
          <w:szCs w:val="28"/>
          <w:highlight w:val="none"/>
        </w:rPr>
      </w:pPr>
    </w:p>
    <w:p>
      <w:pPr>
        <w:pStyle w:val="70"/>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（项目编号）</w:t>
      </w:r>
    </w:p>
    <w:p>
      <w:pPr>
        <w:pStyle w:val="84"/>
        <w:spacing w:line="360" w:lineRule="auto"/>
        <w:jc w:val="center"/>
        <w:rPr>
          <w:rFonts w:ascii="仿宋" w:hAnsi="仿宋" w:eastAsia="仿宋" w:cs="仿宋"/>
          <w:color w:val="auto"/>
          <w:sz w:val="24"/>
          <w:highlight w:val="none"/>
        </w:rPr>
      </w:pPr>
    </w:p>
    <w:p>
      <w:pPr>
        <w:pStyle w:val="84"/>
        <w:spacing w:line="360" w:lineRule="auto"/>
        <w:jc w:val="center"/>
        <w:rPr>
          <w:rFonts w:ascii="仿宋" w:hAnsi="仿宋" w:eastAsia="仿宋" w:cs="仿宋"/>
          <w:color w:val="auto"/>
          <w:sz w:val="24"/>
          <w:highlight w:val="none"/>
        </w:rPr>
      </w:pPr>
    </w:p>
    <w:p>
      <w:pPr>
        <w:pStyle w:val="84"/>
        <w:spacing w:line="360" w:lineRule="auto"/>
        <w:jc w:val="center"/>
        <w:outlineLvl w:val="1"/>
        <w:rPr>
          <w:rFonts w:ascii="仿宋" w:hAnsi="仿宋" w:eastAsia="仿宋" w:cs="仿宋"/>
          <w:b/>
          <w:color w:val="auto"/>
          <w:sz w:val="48"/>
          <w:szCs w:val="48"/>
          <w:highlight w:val="none"/>
        </w:rPr>
      </w:pPr>
      <w:bookmarkStart w:id="588" w:name="_Toc23229"/>
      <w:r>
        <w:rPr>
          <w:rFonts w:hint="eastAsia" w:ascii="仿宋" w:hAnsi="仿宋" w:eastAsia="仿宋" w:cs="仿宋"/>
          <w:b/>
          <w:color w:val="auto"/>
          <w:sz w:val="48"/>
          <w:szCs w:val="48"/>
          <w:highlight w:val="none"/>
        </w:rPr>
        <w:t>投标文件</w:t>
      </w:r>
      <w:bookmarkEnd w:id="588"/>
    </w:p>
    <w:p>
      <w:pPr>
        <w:pStyle w:val="84"/>
        <w:spacing w:line="360" w:lineRule="auto"/>
        <w:jc w:val="center"/>
        <w:rPr>
          <w:rFonts w:ascii="仿宋" w:hAnsi="仿宋" w:eastAsia="仿宋" w:cs="仿宋"/>
          <w:color w:val="auto"/>
          <w:sz w:val="24"/>
          <w:highlight w:val="none"/>
        </w:rPr>
      </w:pPr>
    </w:p>
    <w:p>
      <w:pPr>
        <w:pStyle w:val="84"/>
        <w:spacing w:line="360" w:lineRule="auto"/>
        <w:jc w:val="center"/>
        <w:rPr>
          <w:rFonts w:ascii="仿宋" w:hAnsi="仿宋" w:eastAsia="仿宋" w:cs="仿宋"/>
          <w:color w:val="auto"/>
          <w:sz w:val="24"/>
          <w:highlight w:val="none"/>
        </w:rPr>
      </w:pPr>
    </w:p>
    <w:p>
      <w:pPr>
        <w:pStyle w:val="84"/>
        <w:spacing w:line="360" w:lineRule="auto"/>
        <w:jc w:val="center"/>
        <w:rPr>
          <w:rFonts w:ascii="仿宋" w:hAnsi="仿宋" w:eastAsia="仿宋" w:cs="仿宋"/>
          <w:b/>
          <w:color w:val="auto"/>
          <w:sz w:val="24"/>
          <w:highlight w:val="none"/>
        </w:rPr>
      </w:pPr>
    </w:p>
    <w:p>
      <w:pPr>
        <w:pStyle w:val="84"/>
        <w:spacing w:line="360" w:lineRule="auto"/>
        <w:jc w:val="center"/>
        <w:rPr>
          <w:rFonts w:ascii="仿宋" w:hAnsi="仿宋" w:eastAsia="仿宋" w:cs="仿宋"/>
          <w:b/>
          <w:color w:val="auto"/>
          <w:sz w:val="24"/>
          <w:highlight w:val="none"/>
        </w:rPr>
      </w:pPr>
    </w:p>
    <w:p>
      <w:pPr>
        <w:pStyle w:val="84"/>
        <w:spacing w:line="360" w:lineRule="auto"/>
        <w:jc w:val="center"/>
        <w:rPr>
          <w:rFonts w:ascii="仿宋" w:hAnsi="仿宋" w:eastAsia="仿宋" w:cs="仿宋"/>
          <w:b/>
          <w:color w:val="auto"/>
          <w:sz w:val="24"/>
          <w:highlight w:val="none"/>
        </w:rPr>
      </w:pPr>
    </w:p>
    <w:p>
      <w:pPr>
        <w:pStyle w:val="84"/>
        <w:spacing w:line="360" w:lineRule="auto"/>
        <w:jc w:val="center"/>
        <w:rPr>
          <w:rFonts w:ascii="仿宋" w:hAnsi="仿宋" w:eastAsia="仿宋" w:cs="仿宋"/>
          <w:b/>
          <w:color w:val="auto"/>
          <w:sz w:val="24"/>
          <w:highlight w:val="none"/>
        </w:rPr>
      </w:pPr>
    </w:p>
    <w:p>
      <w:pPr>
        <w:pStyle w:val="84"/>
        <w:spacing w:line="360" w:lineRule="auto"/>
        <w:jc w:val="center"/>
        <w:rPr>
          <w:rFonts w:ascii="仿宋" w:hAnsi="仿宋" w:eastAsia="仿宋" w:cs="仿宋"/>
          <w:b/>
          <w:color w:val="auto"/>
          <w:sz w:val="24"/>
          <w:highlight w:val="none"/>
        </w:rPr>
      </w:pPr>
    </w:p>
    <w:p>
      <w:pPr>
        <w:pStyle w:val="84"/>
        <w:spacing w:line="360" w:lineRule="auto"/>
        <w:jc w:val="center"/>
        <w:rPr>
          <w:rFonts w:ascii="仿宋" w:hAnsi="仿宋" w:eastAsia="仿宋" w:cs="仿宋"/>
          <w:b/>
          <w:color w:val="auto"/>
          <w:sz w:val="24"/>
          <w:highlight w:val="none"/>
        </w:rPr>
      </w:pPr>
    </w:p>
    <w:p>
      <w:pPr>
        <w:pStyle w:val="84"/>
        <w:spacing w:line="360" w:lineRule="auto"/>
        <w:jc w:val="center"/>
        <w:outlineLvl w:val="1"/>
        <w:rPr>
          <w:rFonts w:ascii="仿宋" w:hAnsi="仿宋" w:eastAsia="仿宋" w:cs="仿宋"/>
          <w:color w:val="auto"/>
          <w:sz w:val="28"/>
          <w:szCs w:val="28"/>
          <w:highlight w:val="none"/>
          <w:u w:val="single"/>
        </w:rPr>
      </w:pPr>
      <w:bookmarkStart w:id="589" w:name="_Toc1327"/>
      <w:r>
        <w:rPr>
          <w:rFonts w:hint="eastAsia" w:ascii="仿宋" w:hAnsi="仿宋" w:eastAsia="仿宋" w:cs="仿宋"/>
          <w:color w:val="auto"/>
          <w:sz w:val="28"/>
          <w:szCs w:val="28"/>
          <w:highlight w:val="none"/>
        </w:rPr>
        <w:t>投标人：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电子签章</w:t>
      </w:r>
      <w:r>
        <w:rPr>
          <w:rFonts w:hint="eastAsia" w:ascii="仿宋" w:hAnsi="仿宋" w:eastAsia="仿宋" w:cs="仿宋"/>
          <w:color w:val="auto"/>
          <w:sz w:val="28"/>
          <w:szCs w:val="28"/>
          <w:highlight w:val="none"/>
        </w:rPr>
        <w:t>）</w:t>
      </w:r>
      <w:bookmarkEnd w:id="589"/>
    </w:p>
    <w:p>
      <w:pPr>
        <w:pStyle w:val="84"/>
        <w:spacing w:line="360" w:lineRule="auto"/>
        <w:ind w:firstLine="840" w:firstLineChars="3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（电子签名）</w:t>
      </w:r>
      <w:bookmarkStart w:id="590" w:name="_Toc8940"/>
    </w:p>
    <w:p>
      <w:pPr>
        <w:pStyle w:val="84"/>
        <w:spacing w:line="360" w:lineRule="auto"/>
        <w:jc w:val="center"/>
        <w:outlineLvl w:val="1"/>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 xml:space="preserve"> 日期：</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（年/月/日）</w:t>
      </w:r>
      <w:bookmarkEnd w:id="590"/>
    </w:p>
    <w:p>
      <w:pPr>
        <w:rPr>
          <w:rFonts w:ascii="仿宋" w:hAnsi="仿宋" w:eastAsia="仿宋" w:cs="仿宋"/>
          <w:color w:val="auto"/>
          <w:sz w:val="24"/>
          <w:szCs w:val="24"/>
          <w:highlight w:val="none"/>
        </w:rPr>
      </w:pPr>
    </w:p>
    <w:p>
      <w:pPr>
        <w:pStyle w:val="72"/>
        <w:spacing w:line="360" w:lineRule="auto"/>
        <w:ind w:right="-506" w:rightChars="-241"/>
        <w:jc w:val="left"/>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pStyle w:val="86"/>
        <w:jc w:val="center"/>
        <w:outlineLvl w:val="1"/>
        <w:rPr>
          <w:rFonts w:ascii="仿宋" w:hAnsi="仿宋" w:eastAsia="仿宋" w:cs="仿宋"/>
          <w:bCs/>
          <w:color w:val="auto"/>
          <w:szCs w:val="36"/>
          <w:highlight w:val="none"/>
        </w:rPr>
      </w:pPr>
      <w:r>
        <w:rPr>
          <w:rFonts w:hint="eastAsia" w:ascii="仿宋" w:hAnsi="仿宋" w:eastAsia="仿宋" w:cs="仿宋"/>
          <w:bCs/>
          <w:color w:val="auto"/>
          <w:szCs w:val="36"/>
          <w:highlight w:val="none"/>
        </w:rPr>
        <w:t>资格响应文件</w:t>
      </w:r>
    </w:p>
    <w:p>
      <w:pPr>
        <w:pStyle w:val="72"/>
        <w:spacing w:line="360" w:lineRule="auto"/>
        <w:ind w:right="-506" w:rightChars="-241"/>
        <w:jc w:val="left"/>
        <w:outlineLvl w:val="1"/>
        <w:rPr>
          <w:rFonts w:hint="eastAsia" w:ascii="仿宋" w:hAnsi="仿宋" w:eastAsia="仿宋" w:cs="仿宋"/>
          <w:color w:val="auto"/>
          <w:sz w:val="24"/>
          <w:highlight w:val="none"/>
        </w:rPr>
      </w:pPr>
    </w:p>
    <w:p>
      <w:pPr>
        <w:pStyle w:val="72"/>
        <w:spacing w:line="360" w:lineRule="auto"/>
        <w:ind w:right="-506" w:rightChars="-241"/>
        <w:jc w:val="left"/>
        <w:outlineLvl w:val="1"/>
        <w:rPr>
          <w:rFonts w:ascii="仿宋" w:hAnsi="仿宋" w:eastAsia="仿宋" w:cs="仿宋"/>
          <w:b/>
          <w:bCs/>
          <w:color w:val="auto"/>
          <w:kern w:val="0"/>
          <w:sz w:val="28"/>
          <w:szCs w:val="28"/>
          <w:highlight w:val="none"/>
          <w:lang w:val="zh-CN"/>
        </w:rPr>
      </w:pPr>
      <w:r>
        <w:rPr>
          <w:rFonts w:hint="eastAsia" w:ascii="仿宋" w:hAnsi="仿宋" w:eastAsia="仿宋" w:cs="仿宋"/>
          <w:color w:val="auto"/>
          <w:sz w:val="24"/>
          <w:szCs w:val="24"/>
          <w:highlight w:val="none"/>
        </w:rPr>
        <w:t>★</w:t>
      </w:r>
      <w:r>
        <w:rPr>
          <w:rFonts w:hint="eastAsia" w:ascii="仿宋" w:hAnsi="仿宋" w:eastAsia="仿宋" w:cs="仿宋"/>
          <w:b/>
          <w:bCs/>
          <w:color w:val="auto"/>
          <w:kern w:val="0"/>
          <w:sz w:val="28"/>
          <w:szCs w:val="28"/>
          <w:highlight w:val="none"/>
          <w:lang w:val="zh-CN"/>
        </w:rPr>
        <w:t>一、《中华人民共和国政府采购法》第二十二条应当具备的条件；</w:t>
      </w:r>
    </w:p>
    <w:p>
      <w:pPr>
        <w:pStyle w:val="72"/>
        <w:spacing w:line="360" w:lineRule="auto"/>
        <w:rPr>
          <w:rFonts w:ascii="仿宋" w:hAnsi="仿宋" w:eastAsia="仿宋" w:cs="仿宋"/>
          <w:b/>
          <w:color w:val="auto"/>
          <w:sz w:val="28"/>
          <w:szCs w:val="28"/>
          <w:highlight w:val="none"/>
          <w:lang w:val="zh-CN"/>
        </w:rPr>
      </w:pPr>
      <w:r>
        <w:rPr>
          <w:rFonts w:hint="eastAsia" w:ascii="仿宋" w:hAnsi="仿宋" w:eastAsia="仿宋" w:cs="仿宋"/>
          <w:b/>
          <w:color w:val="auto"/>
          <w:sz w:val="28"/>
          <w:szCs w:val="28"/>
          <w:highlight w:val="none"/>
          <w:lang w:val="zh-CN"/>
        </w:rPr>
        <w:t>（1）具有独立承担民事责任的能力证明材料</w:t>
      </w:r>
    </w:p>
    <w:p>
      <w:pPr>
        <w:pStyle w:val="72"/>
        <w:spacing w:line="360" w:lineRule="auto"/>
        <w:ind w:firstLine="480" w:firstLineChars="200"/>
        <w:rPr>
          <w:rFonts w:ascii="仿宋" w:hAnsi="仿宋" w:eastAsia="仿宋" w:cs="仿宋"/>
          <w:bCs/>
          <w:color w:val="auto"/>
          <w:sz w:val="28"/>
          <w:szCs w:val="28"/>
          <w:highlight w:val="none"/>
          <w:lang w:val="zh-CN"/>
        </w:rPr>
      </w:pPr>
      <w:r>
        <w:rPr>
          <w:rFonts w:hint="eastAsia" w:ascii="仿宋" w:hAnsi="仿宋" w:eastAsia="仿宋" w:cs="仿宋"/>
          <w:color w:val="auto"/>
          <w:kern w:val="0"/>
          <w:sz w:val="24"/>
          <w:highlight w:val="none"/>
        </w:rPr>
        <w:t>提供法人或者其他组织的营业执照等证明文件，自然人的身份证明；</w:t>
      </w:r>
    </w:p>
    <w:p>
      <w:pPr>
        <w:pStyle w:val="72"/>
        <w:spacing w:line="360" w:lineRule="auto"/>
        <w:rPr>
          <w:rFonts w:ascii="仿宋" w:hAnsi="仿宋" w:eastAsia="仿宋" w:cs="仿宋"/>
          <w:b/>
          <w:color w:val="auto"/>
          <w:sz w:val="28"/>
          <w:szCs w:val="28"/>
          <w:highlight w:val="none"/>
          <w:lang w:val="zh-CN"/>
        </w:rPr>
      </w:pPr>
      <w:r>
        <w:rPr>
          <w:rFonts w:hint="eastAsia" w:ascii="仿宋" w:hAnsi="仿宋" w:eastAsia="仿宋" w:cs="仿宋"/>
          <w:b/>
          <w:color w:val="auto"/>
          <w:sz w:val="28"/>
          <w:szCs w:val="28"/>
          <w:highlight w:val="none"/>
          <w:lang w:val="zh-CN"/>
        </w:rPr>
        <w:t>（2）具有良好的商业信誉和健全的财务会计制度证明材料</w:t>
      </w:r>
    </w:p>
    <w:p>
      <w:pPr>
        <w:pStyle w:val="72"/>
        <w:spacing w:line="360" w:lineRule="auto"/>
        <w:ind w:firstLine="480" w:firstLineChars="200"/>
        <w:rPr>
          <w:rFonts w:ascii="仿宋" w:hAnsi="仿宋" w:eastAsia="仿宋" w:cs="仿宋"/>
          <w:color w:val="auto"/>
          <w:sz w:val="24"/>
          <w:szCs w:val="22"/>
          <w:highlight w:val="none"/>
        </w:rPr>
      </w:pPr>
      <w:r>
        <w:rPr>
          <w:rFonts w:hint="eastAsia" w:ascii="仿宋" w:hAnsi="仿宋" w:eastAsia="仿宋" w:cs="仿宋"/>
          <w:color w:val="auto"/>
          <w:sz w:val="24"/>
          <w:szCs w:val="22"/>
          <w:highlight w:val="none"/>
        </w:rPr>
        <w:t>供应商是法人组织的应提供经审计的上一年度完整的财务报告（例：2022年参加投标，需提供2021年包含资产负债表、现金流量表、利润表、财务报表附注的财务审计报告完整版）。（要求：提供的财务审计报告内容必须完整，并加盖有第三方审计公司的印章。若审计报告内容不完整、提供的财务审计报告未加盖第三方审计公司印章、印章不能清晰可见的均视为无效材料。）供应商是法人组织的，且成立不足一年的提供截止开标前近3个月的财务报表和其截止开标前1个月的基本开户银行出具的资信证明（资信证明内容须包含商业信誉良好的相关内容）；其他组织、事业单位或自然人，没有经审计的财务报告，应当提供投标截止时间前一个月内基本开户银行出具的资信证明（资信证明内容须包含商业信誉良好的相关内容）。</w:t>
      </w:r>
    </w:p>
    <w:p>
      <w:pPr>
        <w:pStyle w:val="72"/>
        <w:spacing w:line="360" w:lineRule="auto"/>
        <w:rPr>
          <w:rFonts w:ascii="仿宋" w:hAnsi="仿宋" w:eastAsia="仿宋" w:cs="仿宋"/>
          <w:b/>
          <w:color w:val="auto"/>
          <w:sz w:val="28"/>
          <w:szCs w:val="28"/>
          <w:highlight w:val="none"/>
          <w:lang w:val="zh-CN"/>
        </w:rPr>
      </w:pPr>
      <w:r>
        <w:rPr>
          <w:rFonts w:hint="eastAsia" w:ascii="仿宋" w:hAnsi="仿宋" w:eastAsia="仿宋" w:cs="仿宋"/>
          <w:b/>
          <w:color w:val="auto"/>
          <w:sz w:val="28"/>
          <w:szCs w:val="28"/>
          <w:highlight w:val="none"/>
          <w:lang w:val="zh-CN"/>
        </w:rPr>
        <w:t>（3）具有履行合同所必需的设备和专业技术能力</w:t>
      </w:r>
    </w:p>
    <w:p>
      <w:pPr>
        <w:pStyle w:val="72"/>
        <w:spacing w:line="360" w:lineRule="auto"/>
        <w:rPr>
          <w:rFonts w:ascii="仿宋" w:hAnsi="仿宋" w:eastAsia="仿宋" w:cs="仿宋"/>
          <w:bCs/>
          <w:color w:val="auto"/>
          <w:sz w:val="24"/>
          <w:highlight w:val="none"/>
          <w:lang w:val="zh-CN"/>
        </w:rPr>
      </w:pPr>
    </w:p>
    <w:p>
      <w:pPr>
        <w:pStyle w:val="72"/>
        <w:spacing w:line="360" w:lineRule="auto"/>
        <w:jc w:val="center"/>
        <w:outlineLvl w:val="0"/>
        <w:rPr>
          <w:rFonts w:ascii="仿宋" w:hAnsi="仿宋" w:eastAsia="仿宋" w:cs="仿宋"/>
          <w:bCs/>
          <w:color w:val="auto"/>
          <w:sz w:val="24"/>
          <w:highlight w:val="none"/>
          <w:lang w:val="zh-CN"/>
        </w:rPr>
      </w:pPr>
      <w:bookmarkStart w:id="591" w:name="_Toc5137"/>
      <w:r>
        <w:rPr>
          <w:rFonts w:hint="eastAsia" w:ascii="仿宋" w:hAnsi="仿宋" w:eastAsia="仿宋" w:cs="仿宋"/>
          <w:bCs/>
          <w:color w:val="auto"/>
          <w:sz w:val="24"/>
          <w:highlight w:val="none"/>
          <w:lang w:val="zh-CN"/>
        </w:rPr>
        <w:t>具备履行合同所必需的设备和专业技术能力的承诺</w:t>
      </w:r>
      <w:bookmarkEnd w:id="591"/>
      <w:r>
        <w:rPr>
          <w:rFonts w:hint="eastAsia" w:ascii="仿宋" w:hAnsi="仿宋" w:eastAsia="仿宋" w:cs="仿宋"/>
          <w:bCs/>
          <w:color w:val="auto"/>
          <w:sz w:val="24"/>
          <w:highlight w:val="none"/>
          <w:lang w:val="zh-CN"/>
        </w:rPr>
        <w:t>书</w:t>
      </w:r>
    </w:p>
    <w:p>
      <w:pPr>
        <w:pStyle w:val="72"/>
        <w:spacing w:line="360" w:lineRule="auto"/>
        <w:rPr>
          <w:rFonts w:ascii="仿宋" w:hAnsi="仿宋" w:eastAsia="仿宋" w:cs="仿宋"/>
          <w:bCs/>
          <w:color w:val="auto"/>
          <w:sz w:val="24"/>
          <w:highlight w:val="none"/>
          <w:lang w:val="zh-CN"/>
        </w:rPr>
      </w:pPr>
      <w:r>
        <w:rPr>
          <w:rFonts w:hint="eastAsia" w:ascii="仿宋" w:hAnsi="仿宋" w:eastAsia="仿宋" w:cs="仿宋"/>
          <w:bCs/>
          <w:color w:val="auto"/>
          <w:sz w:val="24"/>
          <w:highlight w:val="none"/>
          <w:lang w:val="zh-CN"/>
        </w:rPr>
        <w:t xml:space="preserve">本供应商郑重声明： </w:t>
      </w:r>
    </w:p>
    <w:p>
      <w:pPr>
        <w:pStyle w:val="72"/>
        <w:spacing w:line="360" w:lineRule="auto"/>
        <w:ind w:firstLine="480" w:firstLineChars="200"/>
        <w:rPr>
          <w:rFonts w:ascii="仿宋" w:hAnsi="仿宋" w:eastAsia="仿宋" w:cs="仿宋"/>
          <w:bCs/>
          <w:color w:val="auto"/>
          <w:sz w:val="24"/>
          <w:highlight w:val="none"/>
          <w:lang w:val="zh-CN"/>
        </w:rPr>
      </w:pPr>
      <w:r>
        <w:rPr>
          <w:rFonts w:hint="eastAsia" w:ascii="仿宋" w:hAnsi="仿宋" w:eastAsia="仿宋" w:cs="仿宋"/>
          <w:bCs/>
          <w:color w:val="auto"/>
          <w:sz w:val="24"/>
          <w:highlight w:val="none"/>
          <w:lang w:val="zh-CN"/>
        </w:rPr>
        <w:t>本公司（或单位）具备本项目履行合同所必需的设备和专业技术能力，并承诺在项目实施过程中，为保证项目顺利实际及质量，可根据实际需要追加（必要时可进行外购租、外协）设备及专业技术能力，此部分费用已包含在报价中。</w:t>
      </w:r>
    </w:p>
    <w:p>
      <w:pPr>
        <w:pStyle w:val="72"/>
        <w:spacing w:line="360" w:lineRule="auto"/>
        <w:rPr>
          <w:rFonts w:ascii="仿宋" w:hAnsi="仿宋" w:eastAsia="仿宋" w:cs="仿宋"/>
          <w:bCs/>
          <w:color w:val="auto"/>
          <w:sz w:val="24"/>
          <w:highlight w:val="none"/>
          <w:lang w:val="zh-CN"/>
        </w:rPr>
      </w:pPr>
      <w:r>
        <w:rPr>
          <w:rFonts w:hint="eastAsia" w:ascii="仿宋" w:hAnsi="仿宋" w:eastAsia="仿宋" w:cs="仿宋"/>
          <w:bCs/>
          <w:color w:val="auto"/>
          <w:sz w:val="24"/>
          <w:highlight w:val="none"/>
          <w:lang w:val="zh-CN"/>
        </w:rPr>
        <w:t>特此承诺。</w:t>
      </w:r>
    </w:p>
    <w:p>
      <w:pPr>
        <w:pStyle w:val="72"/>
        <w:spacing w:line="360" w:lineRule="auto"/>
        <w:jc w:val="center"/>
        <w:outlineLvl w:val="0"/>
        <w:rPr>
          <w:rFonts w:ascii="仿宋" w:hAnsi="仿宋" w:eastAsia="仿宋" w:cs="仿宋"/>
          <w:bCs/>
          <w:color w:val="auto"/>
          <w:sz w:val="24"/>
          <w:highlight w:val="none"/>
          <w:lang w:val="zh-CN"/>
        </w:rPr>
      </w:pPr>
      <w:r>
        <w:rPr>
          <w:rFonts w:hint="eastAsia" w:ascii="仿宋" w:hAnsi="仿宋" w:eastAsia="仿宋" w:cs="仿宋"/>
          <w:bCs/>
          <w:color w:val="auto"/>
          <w:sz w:val="24"/>
          <w:highlight w:val="none"/>
        </w:rPr>
        <w:t xml:space="preserve">                           </w:t>
      </w:r>
      <w:bookmarkStart w:id="592" w:name="_Toc23223"/>
      <w:r>
        <w:rPr>
          <w:rFonts w:hint="eastAsia" w:ascii="仿宋" w:hAnsi="仿宋" w:eastAsia="仿宋" w:cs="仿宋"/>
          <w:bCs/>
          <w:color w:val="auto"/>
          <w:sz w:val="24"/>
          <w:highlight w:val="none"/>
          <w:lang w:val="zh-CN"/>
        </w:rPr>
        <w:t>投标人：          （电子签章）</w:t>
      </w:r>
      <w:bookmarkEnd w:id="592"/>
    </w:p>
    <w:p>
      <w:pPr>
        <w:pStyle w:val="72"/>
        <w:spacing w:line="360" w:lineRule="auto"/>
        <w:jc w:val="center"/>
        <w:outlineLvl w:val="0"/>
        <w:rPr>
          <w:rFonts w:ascii="仿宋" w:hAnsi="仿宋" w:eastAsia="仿宋" w:cs="仿宋"/>
          <w:bCs/>
          <w:color w:val="auto"/>
          <w:sz w:val="24"/>
          <w:highlight w:val="none"/>
          <w:lang w:val="zh-CN"/>
        </w:rPr>
      </w:pPr>
      <w:r>
        <w:rPr>
          <w:rFonts w:hint="eastAsia" w:ascii="仿宋" w:hAnsi="仿宋" w:eastAsia="仿宋" w:cs="仿宋"/>
          <w:bCs/>
          <w:color w:val="auto"/>
          <w:sz w:val="24"/>
          <w:highlight w:val="none"/>
        </w:rPr>
        <w:t xml:space="preserve">                   </w:t>
      </w:r>
      <w:bookmarkStart w:id="593" w:name="_Toc31770"/>
      <w:r>
        <w:rPr>
          <w:rFonts w:hint="eastAsia" w:ascii="仿宋" w:hAnsi="仿宋" w:eastAsia="仿宋" w:cs="仿宋"/>
          <w:bCs/>
          <w:color w:val="auto"/>
          <w:sz w:val="24"/>
          <w:highlight w:val="none"/>
          <w:lang w:val="zh-CN"/>
        </w:rPr>
        <w:t>法定代表人或授权代表（电子签章）：</w:t>
      </w:r>
      <w:bookmarkEnd w:id="593"/>
      <w:r>
        <w:rPr>
          <w:rFonts w:hint="eastAsia" w:ascii="仿宋" w:hAnsi="仿宋" w:eastAsia="仿宋" w:cs="仿宋"/>
          <w:bCs/>
          <w:color w:val="auto"/>
          <w:sz w:val="24"/>
          <w:highlight w:val="none"/>
          <w:lang w:val="zh-CN"/>
        </w:rPr>
        <w:t xml:space="preserve">     </w:t>
      </w:r>
    </w:p>
    <w:p>
      <w:pPr>
        <w:pStyle w:val="72"/>
        <w:spacing w:line="360" w:lineRule="auto"/>
        <w:jc w:val="right"/>
        <w:rPr>
          <w:rFonts w:ascii="仿宋" w:hAnsi="仿宋" w:eastAsia="仿宋" w:cs="仿宋"/>
          <w:bCs/>
          <w:color w:val="auto"/>
          <w:sz w:val="24"/>
          <w:highlight w:val="none"/>
          <w:lang w:val="zh-CN"/>
        </w:rPr>
      </w:pPr>
      <w:r>
        <w:rPr>
          <w:rFonts w:hint="eastAsia" w:ascii="仿宋" w:hAnsi="仿宋" w:eastAsia="仿宋" w:cs="仿宋"/>
          <w:bCs/>
          <w:color w:val="auto"/>
          <w:sz w:val="24"/>
          <w:highlight w:val="none"/>
          <w:lang w:val="zh-CN"/>
        </w:rPr>
        <w:t>日期：  年  月  日</w:t>
      </w:r>
    </w:p>
    <w:p>
      <w:pPr>
        <w:pStyle w:val="160"/>
        <w:spacing w:line="360" w:lineRule="auto"/>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br w:type="page"/>
      </w:r>
      <w:bookmarkStart w:id="594" w:name="_Toc6751"/>
      <w:r>
        <w:rPr>
          <w:rFonts w:hint="eastAsia" w:ascii="仿宋" w:hAnsi="仿宋" w:eastAsia="仿宋" w:cs="仿宋"/>
          <w:b/>
          <w:color w:val="auto"/>
          <w:sz w:val="28"/>
          <w:szCs w:val="28"/>
          <w:highlight w:val="none"/>
          <w:lang w:val="zh-CN"/>
        </w:rPr>
        <w:t>（4）有依法缴纳税收和社会保障资金的良好记录证明材料</w:t>
      </w:r>
      <w:bookmarkEnd w:id="594"/>
    </w:p>
    <w:p>
      <w:pPr>
        <w:pStyle w:val="161"/>
        <w:tabs>
          <w:tab w:val="left" w:pos="3060"/>
          <w:tab w:val="left" w:pos="5580"/>
        </w:tabs>
        <w:spacing w:line="360" w:lineRule="auto"/>
        <w:ind w:firstLine="236" w:firstLineChars="98"/>
        <w:outlineLvl w:val="1"/>
        <w:rPr>
          <w:rFonts w:ascii="仿宋" w:hAnsi="仿宋" w:eastAsia="仿宋" w:cs="仿宋"/>
          <w:b/>
          <w:color w:val="auto"/>
          <w:sz w:val="24"/>
          <w:szCs w:val="24"/>
          <w:highlight w:val="none"/>
        </w:rPr>
      </w:pPr>
    </w:p>
    <w:p>
      <w:pPr>
        <w:pStyle w:val="161"/>
        <w:tabs>
          <w:tab w:val="left" w:pos="3060"/>
          <w:tab w:val="left" w:pos="5580"/>
        </w:tabs>
        <w:spacing w:line="360" w:lineRule="auto"/>
        <w:ind w:firstLine="236" w:firstLineChars="98"/>
        <w:outlineLvl w:val="1"/>
        <w:rPr>
          <w:rFonts w:ascii="仿宋" w:hAnsi="仿宋" w:eastAsia="仿宋" w:cs="仿宋"/>
          <w:b/>
          <w:color w:val="auto"/>
          <w:sz w:val="24"/>
          <w:szCs w:val="24"/>
          <w:highlight w:val="none"/>
        </w:rPr>
      </w:pPr>
      <w:bookmarkStart w:id="595" w:name="_Toc20724"/>
      <w:r>
        <w:rPr>
          <w:rFonts w:hint="eastAsia" w:ascii="仿宋" w:hAnsi="仿宋" w:eastAsia="仿宋" w:cs="仿宋"/>
          <w:b/>
          <w:color w:val="auto"/>
          <w:sz w:val="24"/>
          <w:szCs w:val="24"/>
          <w:highlight w:val="none"/>
        </w:rPr>
        <w:t>1）有依法缴纳税收</w:t>
      </w:r>
      <w:bookmarkEnd w:id="595"/>
    </w:p>
    <w:p>
      <w:pPr>
        <w:pStyle w:val="161"/>
        <w:tabs>
          <w:tab w:val="left" w:pos="3060"/>
          <w:tab w:val="left" w:pos="5580"/>
        </w:tabs>
        <w:spacing w:line="360" w:lineRule="auto"/>
        <w:ind w:firstLine="475" w:firstLineChars="198"/>
        <w:outlineLvl w:val="1"/>
        <w:rPr>
          <w:rFonts w:ascii="仿宋" w:hAnsi="仿宋" w:eastAsia="仿宋" w:cs="仿宋"/>
          <w:color w:val="auto"/>
          <w:sz w:val="24"/>
          <w:szCs w:val="24"/>
          <w:highlight w:val="none"/>
        </w:rPr>
      </w:pPr>
      <w:bookmarkStart w:id="596" w:name="_Toc28407"/>
      <w:r>
        <w:rPr>
          <w:rFonts w:hint="eastAsia" w:ascii="仿宋" w:hAnsi="仿宋" w:eastAsia="仿宋" w:cs="仿宋"/>
          <w:color w:val="auto"/>
          <w:sz w:val="24"/>
          <w:szCs w:val="24"/>
          <w:highlight w:val="none"/>
        </w:rPr>
        <w:t>提供近半年(指投标截止日前)任三个月的已完成缴纳税收证明资料(申报表、征集单、银行的缴纳回执单不予认可)，其他无需纳税或免税的必须提供税收部门相应证明材料。（所有证明材料需加盖出具机关印章,必须写明税款/费款所属期。）</w:t>
      </w:r>
    </w:p>
    <w:p>
      <w:pPr>
        <w:pStyle w:val="161"/>
        <w:tabs>
          <w:tab w:val="left" w:pos="3060"/>
          <w:tab w:val="left" w:pos="5580"/>
        </w:tabs>
        <w:spacing w:line="360" w:lineRule="auto"/>
        <w:ind w:firstLine="477" w:firstLineChars="198"/>
        <w:outlineLvl w:val="1"/>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2）有依法缴纳社会保障资金</w:t>
      </w:r>
      <w:bookmarkEnd w:id="596"/>
    </w:p>
    <w:p>
      <w:pPr>
        <w:pStyle w:val="16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提供社保机构或税务机构出具的已完成社保缴纳证明（近半年至投标截止日)任三个月，必须提供社保机构或税务机构出具的缴纳证明，申报表、征集单、银行的缴纳回执单等不予认可，通过其他有权机构代缴代扣的，还需同时提供代缴代扣协议，其中应明确写明第三方为供应商代缴其社会保险，否则不予认可，其他组织和自然人也需提供上述证明。（所有证明材料需加盖出具机关印章,必须写明税款/费款所属期。）</w:t>
      </w:r>
    </w:p>
    <w:p>
      <w:pPr>
        <w:pStyle w:val="160"/>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28"/>
          <w:szCs w:val="28"/>
          <w:highlight w:val="none"/>
          <w:lang w:val="zh-CN"/>
        </w:rPr>
        <w:t>（5）参加政府采购活动前三年内，在经营活动中没有重大违法记录声明书</w:t>
      </w:r>
    </w:p>
    <w:p>
      <w:pPr>
        <w:pStyle w:val="162"/>
        <w:adjustRightInd w:val="0"/>
        <w:snapToGrid w:val="0"/>
        <w:spacing w:line="360" w:lineRule="auto"/>
        <w:jc w:val="center"/>
        <w:rPr>
          <w:rFonts w:ascii="仿宋" w:hAnsi="仿宋" w:eastAsia="仿宋" w:cs="仿宋"/>
          <w:color w:val="auto"/>
          <w:sz w:val="24"/>
          <w:highlight w:val="none"/>
        </w:rPr>
      </w:pPr>
    </w:p>
    <w:p>
      <w:pPr>
        <w:pStyle w:val="162"/>
        <w:adjustRightInd w:val="0"/>
        <w:snapToGrid w:val="0"/>
        <w:spacing w:line="360" w:lineRule="auto"/>
        <w:jc w:val="center"/>
        <w:outlineLvl w:val="0"/>
        <w:rPr>
          <w:rFonts w:ascii="仿宋" w:hAnsi="仿宋" w:eastAsia="仿宋" w:cs="仿宋"/>
          <w:color w:val="auto"/>
          <w:sz w:val="24"/>
          <w:highlight w:val="none"/>
        </w:rPr>
      </w:pPr>
      <w:bookmarkStart w:id="597" w:name="_Toc11737"/>
      <w:r>
        <w:rPr>
          <w:rFonts w:hint="eastAsia" w:ascii="仿宋" w:hAnsi="仿宋" w:eastAsia="仿宋" w:cs="仿宋"/>
          <w:color w:val="auto"/>
          <w:sz w:val="24"/>
          <w:highlight w:val="none"/>
        </w:rPr>
        <w:t>无重大违法记录声明书</w:t>
      </w:r>
      <w:bookmarkEnd w:id="597"/>
    </w:p>
    <w:p>
      <w:pPr>
        <w:pStyle w:val="162"/>
        <w:adjustRightInd w:val="0"/>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single"/>
        </w:rPr>
        <w:t xml:space="preserve">（采购人）         </w:t>
      </w:r>
      <w:r>
        <w:rPr>
          <w:rFonts w:hint="eastAsia" w:ascii="仿宋" w:hAnsi="仿宋" w:eastAsia="仿宋" w:cs="仿宋"/>
          <w:color w:val="auto"/>
          <w:sz w:val="24"/>
          <w:highlight w:val="none"/>
        </w:rPr>
        <w:t>：</w:t>
      </w:r>
    </w:p>
    <w:p>
      <w:pPr>
        <w:pStyle w:val="162"/>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我公司参与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项目名称、编号）采购活动，本公司郑重声明，我方参加本项目政府采购活动前三年内无重大违法记录，符合《政府采购法》规定的供应商条件。若贵方在本项目采购过程中发现我方政府采购活动前三年内有重大违法记录，我公司将无条件退出本项目的采购，并承担因此引起的一切后果。我方对此声明负全部法律责任。</w:t>
      </w:r>
    </w:p>
    <w:p>
      <w:pPr>
        <w:pStyle w:val="162"/>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我单位及人员未因经营活动中的违法行为受到刑事处罚或者责令停产停业、吊销许可证或者执照、较大数额罚款等行政处罚。</w:t>
      </w:r>
    </w:p>
    <w:p>
      <w:pPr>
        <w:pStyle w:val="162"/>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我单位在“信用中国”网站(www.creditchina.gov.cn)、中国政府采购网(www.ccgp.gov.cn)等渠道没有被列入失信被执行人、重大税收违法案件当事人名单、政府采购严重违法失信行为记录名单等重大违法记录。</w:t>
      </w:r>
    </w:p>
    <w:p>
      <w:pPr>
        <w:pStyle w:val="162"/>
        <w:adjustRightInd w:val="0"/>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特此声明。</w:t>
      </w:r>
    </w:p>
    <w:p>
      <w:pPr>
        <w:pStyle w:val="163"/>
        <w:adjustRightInd w:val="0"/>
        <w:snapToGrid w:val="0"/>
        <w:spacing w:line="360" w:lineRule="auto"/>
        <w:ind w:firstLine="3840" w:firstLineChars="1600"/>
        <w:rPr>
          <w:rFonts w:ascii="仿宋" w:hAnsi="仿宋" w:eastAsia="仿宋" w:cs="仿宋"/>
          <w:color w:val="auto"/>
          <w:sz w:val="24"/>
          <w:highlight w:val="none"/>
        </w:rPr>
      </w:pP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（电子签章）</w:t>
      </w:r>
    </w:p>
    <w:p>
      <w:pPr>
        <w:pStyle w:val="163"/>
        <w:adjustRightInd w:val="0"/>
        <w:snapToGrid w:val="0"/>
        <w:spacing w:line="360" w:lineRule="auto"/>
        <w:ind w:firstLine="3840" w:firstLineChars="1600"/>
        <w:rPr>
          <w:rFonts w:ascii="仿宋" w:hAnsi="仿宋" w:eastAsia="仿宋" w:cs="仿宋"/>
          <w:color w:val="auto"/>
          <w:sz w:val="24"/>
          <w:highlight w:val="none"/>
        </w:rPr>
      </w:pPr>
      <w:r>
        <w:rPr>
          <w:rFonts w:hint="eastAsia" w:ascii="仿宋" w:hAnsi="仿宋" w:eastAsia="仿宋" w:cs="仿宋"/>
          <w:color w:val="auto"/>
          <w:sz w:val="24"/>
          <w:highlight w:val="none"/>
        </w:rPr>
        <w:t>法定代表人或授权代表：</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（电子签章）</w:t>
      </w:r>
    </w:p>
    <w:p>
      <w:pPr>
        <w:pStyle w:val="163"/>
        <w:adjustRightInd w:val="0"/>
        <w:snapToGrid w:val="0"/>
        <w:spacing w:line="360" w:lineRule="auto"/>
        <w:ind w:firstLine="3840" w:firstLineChars="1600"/>
        <w:rPr>
          <w:rFonts w:ascii="仿宋" w:hAnsi="仿宋" w:eastAsia="仿宋" w:cs="仿宋"/>
          <w:bCs/>
          <w:color w:val="auto"/>
          <w:sz w:val="24"/>
          <w:highlight w:val="none"/>
        </w:rPr>
      </w:pPr>
      <w:r>
        <w:rPr>
          <w:rFonts w:hint="eastAsia" w:ascii="仿宋" w:hAnsi="仿宋" w:eastAsia="仿宋" w:cs="仿宋"/>
          <w:color w:val="auto"/>
          <w:sz w:val="24"/>
          <w:highlight w:val="none"/>
        </w:rPr>
        <w:t xml:space="preserve">日期：  年  月  </w:t>
      </w:r>
      <w:r>
        <w:rPr>
          <w:rFonts w:hint="eastAsia" w:ascii="仿宋" w:hAnsi="仿宋" w:eastAsia="仿宋" w:cs="仿宋"/>
          <w:bCs/>
          <w:color w:val="auto"/>
          <w:sz w:val="24"/>
          <w:highlight w:val="none"/>
        </w:rPr>
        <w:t>日</w:t>
      </w:r>
    </w:p>
    <w:p>
      <w:pPr>
        <w:pStyle w:val="164"/>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注：近三年：成立三年以上的，为提交响应文件截止时间前三年内；成立不足三年的，为实际时间。</w:t>
      </w:r>
    </w:p>
    <w:p>
      <w:pPr>
        <w:pStyle w:val="72"/>
        <w:spacing w:line="360" w:lineRule="auto"/>
        <w:ind w:left="420" w:leftChars="200" w:right="-506" w:rightChars="-241"/>
        <w:jc w:val="left"/>
        <w:rPr>
          <w:rFonts w:ascii="仿宋" w:hAnsi="仿宋" w:eastAsia="仿宋" w:cs="仿宋"/>
          <w:b/>
          <w:color w:val="auto"/>
          <w:sz w:val="24"/>
          <w:highlight w:val="none"/>
          <w:lang w:val="zh-CN"/>
        </w:rPr>
      </w:pPr>
    </w:p>
    <w:p>
      <w:pPr>
        <w:rPr>
          <w:rFonts w:ascii="仿宋" w:hAnsi="仿宋" w:eastAsia="仿宋" w:cs="仿宋"/>
          <w:b/>
          <w:color w:val="auto"/>
          <w:sz w:val="28"/>
          <w:szCs w:val="28"/>
          <w:highlight w:val="none"/>
          <w:lang w:val="zh-CN"/>
        </w:rPr>
      </w:pPr>
      <w:r>
        <w:rPr>
          <w:rFonts w:hint="eastAsia" w:ascii="仿宋" w:hAnsi="仿宋" w:eastAsia="仿宋" w:cs="仿宋"/>
          <w:b/>
          <w:color w:val="auto"/>
          <w:sz w:val="28"/>
          <w:szCs w:val="28"/>
          <w:highlight w:val="none"/>
          <w:lang w:val="zh-CN"/>
        </w:rPr>
        <w:br w:type="page"/>
      </w:r>
    </w:p>
    <w:p>
      <w:pPr>
        <w:pStyle w:val="160"/>
        <w:spacing w:line="360" w:lineRule="auto"/>
        <w:rPr>
          <w:rFonts w:ascii="仿宋" w:hAnsi="仿宋" w:eastAsia="仿宋" w:cs="仿宋"/>
          <w:b/>
          <w:color w:val="auto"/>
          <w:sz w:val="28"/>
          <w:szCs w:val="28"/>
          <w:highlight w:val="none"/>
          <w:lang w:val="zh-CN"/>
        </w:rPr>
      </w:pPr>
      <w:r>
        <w:rPr>
          <w:rFonts w:hint="eastAsia" w:ascii="仿宋" w:hAnsi="仿宋" w:eastAsia="仿宋" w:cs="仿宋"/>
          <w:b/>
          <w:color w:val="auto"/>
          <w:sz w:val="28"/>
          <w:szCs w:val="28"/>
          <w:highlight w:val="none"/>
          <w:lang w:val="zh-CN"/>
        </w:rPr>
        <w:t>（</w:t>
      </w:r>
      <w:r>
        <w:rPr>
          <w:rFonts w:hint="eastAsia" w:ascii="仿宋" w:hAnsi="仿宋" w:eastAsia="仿宋" w:cs="仿宋"/>
          <w:b/>
          <w:color w:val="auto"/>
          <w:sz w:val="28"/>
          <w:szCs w:val="28"/>
          <w:highlight w:val="none"/>
        </w:rPr>
        <w:t>6</w:t>
      </w:r>
      <w:r>
        <w:rPr>
          <w:rFonts w:hint="eastAsia" w:ascii="仿宋" w:hAnsi="仿宋" w:eastAsia="仿宋" w:cs="仿宋"/>
          <w:b/>
          <w:color w:val="auto"/>
          <w:sz w:val="28"/>
          <w:szCs w:val="28"/>
          <w:highlight w:val="none"/>
          <w:lang w:val="zh-CN"/>
        </w:rPr>
        <w:t>）法律、行政法规规定的其他条件；</w:t>
      </w:r>
    </w:p>
    <w:p>
      <w:pPr>
        <w:pStyle w:val="164"/>
        <w:spacing w:line="360" w:lineRule="auto"/>
        <w:ind w:firstLine="480" w:firstLineChars="200"/>
        <w:rPr>
          <w:rFonts w:ascii="仿宋" w:hAnsi="仿宋" w:eastAsia="仿宋" w:cs="仿宋"/>
          <w:color w:val="auto"/>
          <w:sz w:val="24"/>
          <w:highlight w:val="none"/>
        </w:rPr>
      </w:pPr>
      <w:bookmarkStart w:id="598" w:name="_Toc256000358"/>
      <w:bookmarkStart w:id="599" w:name="_Toc22241"/>
      <w:r>
        <w:rPr>
          <w:rFonts w:hint="eastAsia" w:ascii="仿宋" w:hAnsi="仿宋" w:eastAsia="仿宋" w:cs="仿宋"/>
          <w:color w:val="auto"/>
          <w:sz w:val="24"/>
          <w:highlight w:val="none"/>
        </w:rPr>
        <w:t>本次招标要求投标人须同时具有建筑装修装饰工程专业承包二级以上（含二级）资质、具有有效的施工企业安全生产许可证、建筑装饰工程设计乙级以上（含乙级）资质；或具有相应资质的设计单位和施工单位组成联合体。</w:t>
      </w:r>
    </w:p>
    <w:p>
      <w:pPr>
        <w:pStyle w:val="164"/>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自治区外建筑企业应按照《关于进一步推动自治区建筑 市场统一开放的通知》（新建建〔2018〕10号）要求进行信息登记。</w:t>
      </w:r>
    </w:p>
    <w:bookmarkEnd w:id="598"/>
    <w:bookmarkEnd w:id="599"/>
    <w:p>
      <w:pPr>
        <w:rPr>
          <w:rFonts w:ascii="仿宋" w:hAnsi="仿宋" w:eastAsia="仿宋" w:cs="仿宋"/>
          <w:color w:val="auto"/>
          <w:sz w:val="24"/>
          <w:szCs w:val="24"/>
          <w:highlight w:val="none"/>
        </w:rPr>
      </w:pPr>
    </w:p>
    <w:p>
      <w:pP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br w:type="page"/>
      </w:r>
    </w:p>
    <w:p>
      <w:pPr>
        <w:pStyle w:val="113"/>
        <w:keepNext/>
        <w:keepLines/>
        <w:spacing w:before="260" w:after="260" w:line="415" w:lineRule="auto"/>
        <w:outlineLvl w:val="1"/>
        <w:rPr>
          <w:rFonts w:ascii="仿宋" w:hAnsi="仿宋" w:eastAsia="仿宋" w:cs="仿宋"/>
          <w:b w:val="0"/>
          <w:color w:val="auto"/>
          <w:kern w:val="2"/>
          <w:sz w:val="24"/>
          <w:highlight w:val="none"/>
        </w:rPr>
      </w:pPr>
      <w:bookmarkStart w:id="600" w:name="_Toc105779318"/>
      <w:r>
        <w:rPr>
          <w:rFonts w:hint="eastAsia" w:ascii="仿宋" w:hAnsi="仿宋" w:eastAsia="仿宋" w:cs="仿宋"/>
          <w:b w:val="0"/>
          <w:color w:val="auto"/>
          <w:kern w:val="2"/>
          <w:sz w:val="24"/>
          <w:highlight w:val="none"/>
        </w:rPr>
        <w:t>二、联合体协议书（若有）</w:t>
      </w:r>
    </w:p>
    <w:p>
      <w:pPr>
        <w:pStyle w:val="113"/>
        <w:keepNext/>
        <w:keepLines/>
        <w:spacing w:before="260" w:after="260" w:line="415" w:lineRule="auto"/>
        <w:jc w:val="center"/>
        <w:outlineLvl w:val="1"/>
        <w:rPr>
          <w:rFonts w:ascii="仿宋" w:hAnsi="仿宋" w:eastAsia="仿宋" w:cs="仿宋"/>
          <w:b w:val="0"/>
          <w:color w:val="auto"/>
          <w:kern w:val="2"/>
          <w:sz w:val="24"/>
          <w:highlight w:val="none"/>
        </w:rPr>
      </w:pPr>
      <w:r>
        <w:rPr>
          <w:rFonts w:hint="eastAsia" w:ascii="仿宋" w:hAnsi="仿宋" w:eastAsia="仿宋" w:cs="仿宋"/>
          <w:b w:val="0"/>
          <w:color w:val="auto"/>
          <w:kern w:val="2"/>
          <w:sz w:val="24"/>
          <w:highlight w:val="none"/>
        </w:rPr>
        <w:t>联合体协议书</w:t>
      </w:r>
      <w:bookmarkEnd w:id="600"/>
    </w:p>
    <w:p>
      <w:pPr>
        <w:pStyle w:val="113"/>
        <w:spacing w:line="400" w:lineRule="exact"/>
        <w:rPr>
          <w:rFonts w:ascii="仿宋" w:hAnsi="仿宋" w:eastAsia="仿宋" w:cs="仿宋"/>
          <w:b w:val="0"/>
          <w:color w:val="auto"/>
          <w:kern w:val="2"/>
          <w:sz w:val="24"/>
          <w:highlight w:val="none"/>
        </w:rPr>
      </w:pPr>
    </w:p>
    <w:p>
      <w:pPr>
        <w:pStyle w:val="113"/>
        <w:topLinePunct/>
        <w:spacing w:line="440" w:lineRule="exact"/>
        <w:ind w:firstLine="480" w:firstLineChars="200"/>
        <w:rPr>
          <w:rFonts w:ascii="仿宋" w:hAnsi="仿宋" w:eastAsia="仿宋" w:cs="仿宋"/>
          <w:b w:val="0"/>
          <w:color w:val="auto"/>
          <w:kern w:val="2"/>
          <w:sz w:val="24"/>
          <w:highlight w:val="none"/>
        </w:rPr>
      </w:pPr>
      <w:r>
        <w:rPr>
          <w:rFonts w:hint="eastAsia" w:ascii="仿宋" w:hAnsi="仿宋" w:eastAsia="仿宋" w:cs="仿宋"/>
          <w:b w:val="0"/>
          <w:color w:val="auto"/>
          <w:kern w:val="2"/>
          <w:sz w:val="24"/>
          <w:highlight w:val="none"/>
          <w:u w:val="single"/>
        </w:rPr>
        <w:t xml:space="preserve">          </w:t>
      </w:r>
      <w:r>
        <w:rPr>
          <w:rFonts w:hint="eastAsia" w:ascii="仿宋" w:hAnsi="仿宋" w:eastAsia="仿宋" w:cs="仿宋"/>
          <w:b w:val="0"/>
          <w:color w:val="auto"/>
          <w:kern w:val="2"/>
          <w:sz w:val="24"/>
          <w:highlight w:val="none"/>
        </w:rPr>
        <w:t>（所有成员单位名称）自愿组成</w:t>
      </w:r>
      <w:r>
        <w:rPr>
          <w:rFonts w:hint="eastAsia" w:ascii="仿宋" w:hAnsi="仿宋" w:eastAsia="仿宋" w:cs="仿宋"/>
          <w:b w:val="0"/>
          <w:color w:val="auto"/>
          <w:kern w:val="2"/>
          <w:sz w:val="24"/>
          <w:highlight w:val="none"/>
          <w:u w:val="single"/>
        </w:rPr>
        <w:t xml:space="preserve">         </w:t>
      </w:r>
      <w:r>
        <w:rPr>
          <w:rFonts w:hint="eastAsia" w:ascii="仿宋" w:hAnsi="仿宋" w:eastAsia="仿宋" w:cs="仿宋"/>
          <w:b w:val="0"/>
          <w:color w:val="auto"/>
          <w:kern w:val="2"/>
          <w:sz w:val="24"/>
          <w:highlight w:val="none"/>
        </w:rPr>
        <w:t>（联合体名称）联合体，共同参加</w:t>
      </w:r>
      <w:r>
        <w:rPr>
          <w:rFonts w:hint="eastAsia" w:ascii="仿宋" w:hAnsi="仿宋" w:eastAsia="仿宋" w:cs="仿宋"/>
          <w:b w:val="0"/>
          <w:color w:val="auto"/>
          <w:kern w:val="2"/>
          <w:sz w:val="24"/>
          <w:highlight w:val="none"/>
          <w:u w:val="single"/>
        </w:rPr>
        <w:t xml:space="preserve">                </w:t>
      </w:r>
      <w:r>
        <w:rPr>
          <w:rFonts w:hint="eastAsia" w:ascii="仿宋" w:hAnsi="仿宋" w:eastAsia="仿宋" w:cs="仿宋"/>
          <w:b w:val="0"/>
          <w:color w:val="auto"/>
          <w:kern w:val="2"/>
          <w:sz w:val="24"/>
          <w:highlight w:val="none"/>
        </w:rPr>
        <w:t>（项目名称）设计采购施工一体化总承包投标。现就联合体投标事宜订立如下协议。</w:t>
      </w:r>
    </w:p>
    <w:p>
      <w:pPr>
        <w:pStyle w:val="113"/>
        <w:topLinePunct/>
        <w:spacing w:line="440" w:lineRule="exact"/>
        <w:ind w:firstLine="480" w:firstLineChars="200"/>
        <w:rPr>
          <w:rFonts w:ascii="仿宋" w:hAnsi="仿宋" w:eastAsia="仿宋" w:cs="仿宋"/>
          <w:b w:val="0"/>
          <w:color w:val="auto"/>
          <w:kern w:val="2"/>
          <w:sz w:val="24"/>
          <w:highlight w:val="none"/>
        </w:rPr>
      </w:pPr>
      <w:r>
        <w:rPr>
          <w:rFonts w:hint="eastAsia" w:ascii="仿宋" w:hAnsi="仿宋" w:eastAsia="仿宋" w:cs="仿宋"/>
          <w:b w:val="0"/>
          <w:color w:val="auto"/>
          <w:kern w:val="2"/>
          <w:sz w:val="24"/>
          <w:highlight w:val="none"/>
        </w:rPr>
        <w:t>1、</w:t>
      </w:r>
      <w:r>
        <w:rPr>
          <w:rFonts w:hint="eastAsia" w:ascii="仿宋" w:hAnsi="仿宋" w:eastAsia="仿宋" w:cs="仿宋"/>
          <w:b w:val="0"/>
          <w:color w:val="auto"/>
          <w:kern w:val="2"/>
          <w:sz w:val="24"/>
          <w:highlight w:val="none"/>
          <w:u w:val="single"/>
        </w:rPr>
        <w:t xml:space="preserve">       </w:t>
      </w:r>
      <w:r>
        <w:rPr>
          <w:rFonts w:hint="eastAsia" w:ascii="仿宋" w:hAnsi="仿宋" w:eastAsia="仿宋" w:cs="仿宋"/>
          <w:b w:val="0"/>
          <w:color w:val="auto"/>
          <w:kern w:val="2"/>
          <w:sz w:val="24"/>
          <w:highlight w:val="none"/>
        </w:rPr>
        <w:t>（某成员单位名称）为</w:t>
      </w:r>
      <w:r>
        <w:rPr>
          <w:rFonts w:hint="eastAsia" w:ascii="仿宋" w:hAnsi="仿宋" w:eastAsia="仿宋" w:cs="仿宋"/>
          <w:b w:val="0"/>
          <w:color w:val="auto"/>
          <w:kern w:val="2"/>
          <w:sz w:val="24"/>
          <w:highlight w:val="none"/>
          <w:u w:val="single"/>
        </w:rPr>
        <w:t xml:space="preserve">        </w:t>
      </w:r>
      <w:r>
        <w:rPr>
          <w:rFonts w:hint="eastAsia" w:ascii="仿宋" w:hAnsi="仿宋" w:eastAsia="仿宋" w:cs="仿宋"/>
          <w:b w:val="0"/>
          <w:color w:val="auto"/>
          <w:kern w:val="2"/>
          <w:sz w:val="24"/>
          <w:highlight w:val="none"/>
        </w:rPr>
        <w:t>（联合体名称）牵头人。</w:t>
      </w:r>
    </w:p>
    <w:p>
      <w:pPr>
        <w:pStyle w:val="113"/>
        <w:topLinePunct/>
        <w:spacing w:line="440" w:lineRule="exact"/>
        <w:ind w:firstLine="480" w:firstLineChars="200"/>
        <w:rPr>
          <w:rFonts w:ascii="仿宋" w:hAnsi="仿宋" w:eastAsia="仿宋" w:cs="仿宋"/>
          <w:b w:val="0"/>
          <w:color w:val="auto"/>
          <w:kern w:val="2"/>
          <w:sz w:val="24"/>
          <w:highlight w:val="none"/>
        </w:rPr>
      </w:pPr>
      <w:r>
        <w:rPr>
          <w:rFonts w:hint="eastAsia" w:ascii="仿宋" w:hAnsi="仿宋" w:eastAsia="仿宋" w:cs="仿宋"/>
          <w:b w:val="0"/>
          <w:color w:val="auto"/>
          <w:kern w:val="2"/>
          <w:sz w:val="24"/>
          <w:highlight w:val="none"/>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113"/>
        <w:topLinePunct/>
        <w:spacing w:line="440" w:lineRule="exact"/>
        <w:ind w:firstLine="480" w:firstLineChars="200"/>
        <w:rPr>
          <w:rFonts w:ascii="仿宋" w:hAnsi="仿宋" w:eastAsia="仿宋" w:cs="仿宋"/>
          <w:b w:val="0"/>
          <w:color w:val="auto"/>
          <w:kern w:val="2"/>
          <w:sz w:val="24"/>
          <w:highlight w:val="none"/>
        </w:rPr>
      </w:pPr>
      <w:r>
        <w:rPr>
          <w:rFonts w:hint="eastAsia" w:ascii="仿宋" w:hAnsi="仿宋" w:eastAsia="仿宋" w:cs="仿宋"/>
          <w:b w:val="0"/>
          <w:color w:val="auto"/>
          <w:kern w:val="2"/>
          <w:sz w:val="24"/>
          <w:highlight w:val="none"/>
        </w:rPr>
        <w:t>3、联合体将严格按照竞争性磋商文件的各项要求，递交投标文件，履行合同，并对外承担连带责任。</w:t>
      </w:r>
    </w:p>
    <w:p>
      <w:pPr>
        <w:pStyle w:val="113"/>
        <w:topLinePunct/>
        <w:spacing w:line="440" w:lineRule="exact"/>
        <w:ind w:firstLine="480" w:firstLineChars="200"/>
        <w:rPr>
          <w:rFonts w:ascii="仿宋" w:hAnsi="仿宋" w:eastAsia="仿宋" w:cs="仿宋"/>
          <w:b w:val="0"/>
          <w:color w:val="auto"/>
          <w:kern w:val="2"/>
          <w:sz w:val="24"/>
          <w:highlight w:val="none"/>
        </w:rPr>
      </w:pPr>
      <w:r>
        <w:rPr>
          <w:rFonts w:hint="eastAsia" w:ascii="仿宋" w:hAnsi="仿宋" w:eastAsia="仿宋" w:cs="仿宋"/>
          <w:b w:val="0"/>
          <w:color w:val="auto"/>
          <w:kern w:val="2"/>
          <w:sz w:val="24"/>
          <w:highlight w:val="none"/>
        </w:rPr>
        <w:t>4、联合体各成员单位内部的职责分工如下：</w:t>
      </w:r>
      <w:r>
        <w:rPr>
          <w:rFonts w:hint="eastAsia" w:ascii="仿宋" w:hAnsi="仿宋" w:eastAsia="仿宋" w:cs="仿宋"/>
          <w:b w:val="0"/>
          <w:color w:val="auto"/>
          <w:kern w:val="2"/>
          <w:sz w:val="24"/>
          <w:highlight w:val="none"/>
          <w:u w:val="single"/>
        </w:rPr>
        <w:t xml:space="preserve">                 </w:t>
      </w:r>
      <w:r>
        <w:rPr>
          <w:rFonts w:hint="eastAsia" w:ascii="仿宋" w:hAnsi="仿宋" w:eastAsia="仿宋" w:cs="仿宋"/>
          <w:b w:val="0"/>
          <w:color w:val="auto"/>
          <w:kern w:val="2"/>
          <w:sz w:val="24"/>
          <w:highlight w:val="none"/>
        </w:rPr>
        <w:t xml:space="preserve"> 。</w:t>
      </w:r>
    </w:p>
    <w:p>
      <w:pPr>
        <w:pStyle w:val="113"/>
        <w:topLinePunct/>
        <w:spacing w:line="440" w:lineRule="exact"/>
        <w:ind w:firstLine="480" w:firstLineChars="200"/>
        <w:rPr>
          <w:rFonts w:ascii="仿宋" w:hAnsi="仿宋" w:eastAsia="仿宋" w:cs="仿宋"/>
          <w:b w:val="0"/>
          <w:color w:val="auto"/>
          <w:kern w:val="2"/>
          <w:sz w:val="24"/>
          <w:highlight w:val="none"/>
        </w:rPr>
      </w:pPr>
      <w:r>
        <w:rPr>
          <w:rFonts w:hint="eastAsia" w:ascii="仿宋" w:hAnsi="仿宋" w:eastAsia="仿宋" w:cs="仿宋"/>
          <w:b w:val="0"/>
          <w:color w:val="auto"/>
          <w:kern w:val="2"/>
          <w:sz w:val="24"/>
          <w:highlight w:val="none"/>
        </w:rPr>
        <w:t xml:space="preserve">5、本协议书自签署之日起生效，合同履行完毕后自动失效。 </w:t>
      </w:r>
    </w:p>
    <w:p>
      <w:pPr>
        <w:pStyle w:val="113"/>
        <w:topLinePunct/>
        <w:spacing w:line="440" w:lineRule="exact"/>
        <w:ind w:firstLine="480" w:firstLineChars="200"/>
        <w:rPr>
          <w:rFonts w:ascii="仿宋" w:hAnsi="仿宋" w:eastAsia="仿宋" w:cs="仿宋"/>
          <w:b w:val="0"/>
          <w:color w:val="auto"/>
          <w:kern w:val="2"/>
          <w:sz w:val="24"/>
          <w:highlight w:val="none"/>
        </w:rPr>
      </w:pPr>
      <w:r>
        <w:rPr>
          <w:rFonts w:hint="eastAsia" w:ascii="仿宋" w:hAnsi="仿宋" w:eastAsia="仿宋" w:cs="仿宋"/>
          <w:b w:val="0"/>
          <w:color w:val="auto"/>
          <w:kern w:val="2"/>
          <w:sz w:val="24"/>
          <w:highlight w:val="none"/>
        </w:rPr>
        <w:t>6、本协议书一式</w:t>
      </w:r>
      <w:r>
        <w:rPr>
          <w:rFonts w:hint="eastAsia" w:ascii="仿宋" w:hAnsi="仿宋" w:eastAsia="仿宋" w:cs="仿宋"/>
          <w:b w:val="0"/>
          <w:color w:val="auto"/>
          <w:kern w:val="2"/>
          <w:sz w:val="24"/>
          <w:highlight w:val="none"/>
          <w:u w:val="single"/>
        </w:rPr>
        <w:t xml:space="preserve">     </w:t>
      </w:r>
      <w:r>
        <w:rPr>
          <w:rFonts w:hint="eastAsia" w:ascii="仿宋" w:hAnsi="仿宋" w:eastAsia="仿宋" w:cs="仿宋"/>
          <w:b w:val="0"/>
          <w:color w:val="auto"/>
          <w:kern w:val="2"/>
          <w:sz w:val="24"/>
          <w:highlight w:val="none"/>
        </w:rPr>
        <w:t>份，联合体成员和招标人各执一份。</w:t>
      </w:r>
    </w:p>
    <w:p>
      <w:pPr>
        <w:pStyle w:val="113"/>
        <w:topLinePunct/>
        <w:spacing w:line="440" w:lineRule="exact"/>
        <w:rPr>
          <w:rFonts w:ascii="仿宋" w:hAnsi="仿宋" w:eastAsia="仿宋" w:cs="仿宋"/>
          <w:b w:val="0"/>
          <w:color w:val="auto"/>
          <w:kern w:val="2"/>
          <w:sz w:val="24"/>
          <w:highlight w:val="none"/>
        </w:rPr>
      </w:pPr>
    </w:p>
    <w:p>
      <w:pPr>
        <w:pStyle w:val="113"/>
        <w:topLinePunct/>
        <w:spacing w:line="440" w:lineRule="exact"/>
        <w:ind w:firstLine="480" w:firstLineChars="200"/>
        <w:rPr>
          <w:rFonts w:ascii="仿宋" w:hAnsi="仿宋" w:eastAsia="仿宋" w:cs="仿宋"/>
          <w:b w:val="0"/>
          <w:color w:val="auto"/>
          <w:kern w:val="2"/>
          <w:sz w:val="24"/>
          <w:highlight w:val="none"/>
        </w:rPr>
      </w:pPr>
      <w:r>
        <w:rPr>
          <w:rFonts w:hint="eastAsia" w:ascii="仿宋" w:hAnsi="仿宋" w:eastAsia="仿宋" w:cs="仿宋"/>
          <w:b w:val="0"/>
          <w:color w:val="auto"/>
          <w:kern w:val="2"/>
          <w:sz w:val="24"/>
          <w:highlight w:val="none"/>
        </w:rPr>
        <w:t>注：本协议书由委托代理人签字的，应附法定代表人签字的授权委托书。</w:t>
      </w:r>
    </w:p>
    <w:p>
      <w:pPr>
        <w:pStyle w:val="113"/>
        <w:topLinePunct/>
        <w:spacing w:line="440" w:lineRule="exact"/>
        <w:rPr>
          <w:rFonts w:ascii="仿宋" w:hAnsi="仿宋" w:eastAsia="仿宋" w:cs="仿宋"/>
          <w:b w:val="0"/>
          <w:color w:val="auto"/>
          <w:kern w:val="2"/>
          <w:sz w:val="24"/>
          <w:highlight w:val="none"/>
        </w:rPr>
      </w:pPr>
    </w:p>
    <w:p>
      <w:pPr>
        <w:pStyle w:val="113"/>
        <w:topLinePunct/>
        <w:spacing w:line="440" w:lineRule="exact"/>
        <w:rPr>
          <w:rFonts w:ascii="仿宋" w:hAnsi="仿宋" w:eastAsia="仿宋" w:cs="仿宋"/>
          <w:b w:val="0"/>
          <w:color w:val="auto"/>
          <w:kern w:val="2"/>
          <w:sz w:val="24"/>
          <w:highlight w:val="none"/>
        </w:rPr>
      </w:pPr>
      <w:r>
        <w:rPr>
          <w:rFonts w:hint="eastAsia" w:ascii="仿宋" w:hAnsi="仿宋" w:eastAsia="仿宋" w:cs="仿宋"/>
          <w:b w:val="0"/>
          <w:color w:val="auto"/>
          <w:kern w:val="2"/>
          <w:sz w:val="24"/>
          <w:highlight w:val="none"/>
        </w:rPr>
        <w:t>牵头人名称：</w:t>
      </w:r>
      <w:r>
        <w:rPr>
          <w:rFonts w:hint="eastAsia" w:ascii="仿宋" w:hAnsi="仿宋" w:eastAsia="仿宋" w:cs="仿宋"/>
          <w:b w:val="0"/>
          <w:color w:val="auto"/>
          <w:kern w:val="2"/>
          <w:sz w:val="24"/>
          <w:highlight w:val="none"/>
          <w:u w:val="single"/>
        </w:rPr>
        <w:t xml:space="preserve">                                 </w:t>
      </w:r>
      <w:r>
        <w:rPr>
          <w:rFonts w:hint="eastAsia" w:ascii="仿宋" w:hAnsi="仿宋" w:eastAsia="仿宋" w:cs="仿宋"/>
          <w:b w:val="0"/>
          <w:color w:val="auto"/>
          <w:kern w:val="2"/>
          <w:sz w:val="24"/>
          <w:highlight w:val="none"/>
        </w:rPr>
        <w:t>（</w:t>
      </w:r>
      <w:r>
        <w:rPr>
          <w:rFonts w:hint="eastAsia" w:ascii="仿宋" w:hAnsi="仿宋" w:eastAsia="仿宋" w:cs="仿宋"/>
          <w:b w:val="0"/>
          <w:color w:val="auto"/>
          <w:kern w:val="2"/>
          <w:sz w:val="24"/>
          <w:highlight w:val="none"/>
          <w:lang w:val="en-US" w:eastAsia="zh-CN"/>
        </w:rPr>
        <w:t>电子签章</w:t>
      </w:r>
      <w:r>
        <w:rPr>
          <w:rFonts w:hint="eastAsia" w:ascii="仿宋" w:hAnsi="仿宋" w:eastAsia="仿宋" w:cs="仿宋"/>
          <w:b w:val="0"/>
          <w:color w:val="auto"/>
          <w:kern w:val="2"/>
          <w:sz w:val="24"/>
          <w:highlight w:val="none"/>
        </w:rPr>
        <w:t>）</w:t>
      </w:r>
    </w:p>
    <w:p>
      <w:pPr>
        <w:pStyle w:val="113"/>
        <w:topLinePunct/>
        <w:spacing w:line="440" w:lineRule="exact"/>
        <w:rPr>
          <w:rFonts w:ascii="仿宋" w:hAnsi="仿宋" w:eastAsia="仿宋" w:cs="仿宋"/>
          <w:b w:val="0"/>
          <w:color w:val="auto"/>
          <w:kern w:val="2"/>
          <w:sz w:val="24"/>
          <w:highlight w:val="none"/>
        </w:rPr>
      </w:pPr>
      <w:r>
        <w:rPr>
          <w:rFonts w:hint="eastAsia" w:ascii="仿宋" w:hAnsi="仿宋" w:eastAsia="仿宋" w:cs="仿宋"/>
          <w:b w:val="0"/>
          <w:color w:val="auto"/>
          <w:kern w:val="2"/>
          <w:sz w:val="24"/>
          <w:highlight w:val="none"/>
        </w:rPr>
        <w:t>法定代表人或其委托代理人：</w:t>
      </w:r>
      <w:r>
        <w:rPr>
          <w:rFonts w:hint="eastAsia" w:ascii="仿宋" w:hAnsi="仿宋" w:eastAsia="仿宋" w:cs="仿宋"/>
          <w:b w:val="0"/>
          <w:color w:val="auto"/>
          <w:kern w:val="2"/>
          <w:sz w:val="24"/>
          <w:highlight w:val="none"/>
          <w:u w:val="single"/>
        </w:rPr>
        <w:t xml:space="preserve">                       </w:t>
      </w:r>
      <w:r>
        <w:rPr>
          <w:rFonts w:hint="eastAsia" w:ascii="仿宋" w:hAnsi="仿宋" w:eastAsia="仿宋" w:cs="仿宋"/>
          <w:b w:val="0"/>
          <w:color w:val="auto"/>
          <w:kern w:val="2"/>
          <w:sz w:val="24"/>
          <w:highlight w:val="none"/>
        </w:rPr>
        <w:t>（</w:t>
      </w:r>
      <w:r>
        <w:rPr>
          <w:rFonts w:hint="eastAsia" w:ascii="仿宋" w:hAnsi="仿宋" w:eastAsia="仿宋" w:cs="仿宋"/>
          <w:b w:val="0"/>
          <w:color w:val="auto"/>
          <w:kern w:val="2"/>
          <w:sz w:val="24"/>
          <w:highlight w:val="none"/>
          <w:lang w:val="en-US" w:eastAsia="zh-CN"/>
        </w:rPr>
        <w:t>电子签名</w:t>
      </w:r>
      <w:r>
        <w:rPr>
          <w:rFonts w:hint="eastAsia" w:ascii="仿宋" w:hAnsi="仿宋" w:eastAsia="仿宋" w:cs="仿宋"/>
          <w:b w:val="0"/>
          <w:color w:val="auto"/>
          <w:kern w:val="2"/>
          <w:sz w:val="24"/>
          <w:highlight w:val="none"/>
        </w:rPr>
        <w:t>）</w:t>
      </w:r>
    </w:p>
    <w:p>
      <w:pPr>
        <w:pStyle w:val="113"/>
        <w:topLinePunct/>
        <w:spacing w:line="440" w:lineRule="exact"/>
        <w:rPr>
          <w:rFonts w:ascii="仿宋" w:hAnsi="仿宋" w:eastAsia="仿宋" w:cs="仿宋"/>
          <w:b w:val="0"/>
          <w:color w:val="auto"/>
          <w:kern w:val="2"/>
          <w:sz w:val="24"/>
          <w:highlight w:val="none"/>
        </w:rPr>
      </w:pPr>
    </w:p>
    <w:p>
      <w:pPr>
        <w:pStyle w:val="113"/>
        <w:topLinePunct/>
        <w:spacing w:line="440" w:lineRule="exact"/>
        <w:rPr>
          <w:rFonts w:ascii="仿宋" w:hAnsi="仿宋" w:eastAsia="仿宋" w:cs="仿宋"/>
          <w:b w:val="0"/>
          <w:color w:val="auto"/>
          <w:kern w:val="2"/>
          <w:sz w:val="24"/>
          <w:highlight w:val="none"/>
        </w:rPr>
      </w:pPr>
      <w:r>
        <w:rPr>
          <w:rFonts w:hint="eastAsia" w:ascii="仿宋" w:hAnsi="仿宋" w:eastAsia="仿宋" w:cs="仿宋"/>
          <w:b w:val="0"/>
          <w:color w:val="auto"/>
          <w:kern w:val="2"/>
          <w:sz w:val="24"/>
          <w:highlight w:val="none"/>
        </w:rPr>
        <w:t>成员一名称：</w:t>
      </w:r>
      <w:r>
        <w:rPr>
          <w:rFonts w:hint="eastAsia" w:ascii="仿宋" w:hAnsi="仿宋" w:eastAsia="仿宋" w:cs="仿宋"/>
          <w:b w:val="0"/>
          <w:color w:val="auto"/>
          <w:kern w:val="2"/>
          <w:sz w:val="24"/>
          <w:highlight w:val="none"/>
          <w:u w:val="single"/>
        </w:rPr>
        <w:t xml:space="preserve">                                 </w:t>
      </w:r>
      <w:r>
        <w:rPr>
          <w:rFonts w:hint="eastAsia" w:ascii="仿宋" w:hAnsi="仿宋" w:eastAsia="仿宋" w:cs="仿宋"/>
          <w:b w:val="0"/>
          <w:color w:val="auto"/>
          <w:kern w:val="2"/>
          <w:sz w:val="24"/>
          <w:highlight w:val="none"/>
        </w:rPr>
        <w:t>（盖章）</w:t>
      </w:r>
    </w:p>
    <w:p>
      <w:pPr>
        <w:pStyle w:val="113"/>
        <w:topLinePunct/>
        <w:spacing w:line="440" w:lineRule="exact"/>
        <w:rPr>
          <w:rFonts w:ascii="仿宋" w:hAnsi="仿宋" w:eastAsia="仿宋" w:cs="仿宋"/>
          <w:b w:val="0"/>
          <w:color w:val="auto"/>
          <w:kern w:val="2"/>
          <w:sz w:val="24"/>
          <w:highlight w:val="none"/>
        </w:rPr>
      </w:pPr>
      <w:r>
        <w:rPr>
          <w:rFonts w:hint="eastAsia" w:ascii="仿宋" w:hAnsi="仿宋" w:eastAsia="仿宋" w:cs="仿宋"/>
          <w:b w:val="0"/>
          <w:color w:val="auto"/>
          <w:kern w:val="2"/>
          <w:sz w:val="24"/>
          <w:highlight w:val="none"/>
        </w:rPr>
        <w:t>法定代表人或其委托代理人：</w:t>
      </w:r>
      <w:r>
        <w:rPr>
          <w:rFonts w:hint="eastAsia" w:ascii="仿宋" w:hAnsi="仿宋" w:eastAsia="仿宋" w:cs="仿宋"/>
          <w:b w:val="0"/>
          <w:color w:val="auto"/>
          <w:kern w:val="2"/>
          <w:sz w:val="24"/>
          <w:highlight w:val="none"/>
          <w:u w:val="single"/>
        </w:rPr>
        <w:t xml:space="preserve">                       </w:t>
      </w:r>
      <w:r>
        <w:rPr>
          <w:rFonts w:hint="eastAsia" w:ascii="仿宋" w:hAnsi="仿宋" w:eastAsia="仿宋" w:cs="仿宋"/>
          <w:b w:val="0"/>
          <w:color w:val="auto"/>
          <w:kern w:val="2"/>
          <w:sz w:val="24"/>
          <w:highlight w:val="none"/>
        </w:rPr>
        <w:t>（</w:t>
      </w:r>
      <w:r>
        <w:rPr>
          <w:rFonts w:hint="eastAsia" w:ascii="仿宋" w:hAnsi="仿宋" w:eastAsia="仿宋" w:cs="仿宋"/>
          <w:b w:val="0"/>
          <w:color w:val="auto"/>
          <w:kern w:val="2"/>
          <w:sz w:val="24"/>
          <w:highlight w:val="none"/>
          <w:lang w:val="en-US" w:eastAsia="zh-CN"/>
        </w:rPr>
        <w:t>签字或盖章</w:t>
      </w:r>
      <w:r>
        <w:rPr>
          <w:rFonts w:hint="eastAsia" w:ascii="仿宋" w:hAnsi="仿宋" w:eastAsia="仿宋" w:cs="仿宋"/>
          <w:b w:val="0"/>
          <w:color w:val="auto"/>
          <w:kern w:val="2"/>
          <w:sz w:val="24"/>
          <w:highlight w:val="none"/>
        </w:rPr>
        <w:t>）</w:t>
      </w:r>
    </w:p>
    <w:p>
      <w:pPr>
        <w:pStyle w:val="113"/>
        <w:topLinePunct/>
        <w:spacing w:line="440" w:lineRule="exact"/>
        <w:rPr>
          <w:rFonts w:ascii="仿宋" w:hAnsi="仿宋" w:eastAsia="仿宋" w:cs="仿宋"/>
          <w:b w:val="0"/>
          <w:color w:val="auto"/>
          <w:kern w:val="2"/>
          <w:sz w:val="24"/>
          <w:highlight w:val="none"/>
        </w:rPr>
      </w:pPr>
      <w:r>
        <w:rPr>
          <w:rFonts w:hint="eastAsia" w:ascii="仿宋" w:hAnsi="仿宋" w:eastAsia="仿宋" w:cs="仿宋"/>
          <w:b w:val="0"/>
          <w:color w:val="auto"/>
          <w:kern w:val="2"/>
          <w:sz w:val="24"/>
          <w:highlight w:val="none"/>
        </w:rPr>
        <w:t xml:space="preserve"> </w:t>
      </w:r>
    </w:p>
    <w:p>
      <w:pPr>
        <w:pStyle w:val="113"/>
        <w:topLinePunct/>
        <w:spacing w:line="440" w:lineRule="exact"/>
        <w:rPr>
          <w:rFonts w:ascii="仿宋" w:hAnsi="仿宋" w:eastAsia="仿宋" w:cs="仿宋"/>
          <w:b w:val="0"/>
          <w:color w:val="auto"/>
          <w:kern w:val="2"/>
          <w:sz w:val="24"/>
          <w:highlight w:val="none"/>
        </w:rPr>
      </w:pPr>
      <w:r>
        <w:rPr>
          <w:rFonts w:hint="eastAsia" w:ascii="仿宋" w:hAnsi="仿宋" w:eastAsia="仿宋" w:cs="仿宋"/>
          <w:b w:val="0"/>
          <w:color w:val="auto"/>
          <w:kern w:val="2"/>
          <w:sz w:val="24"/>
          <w:highlight w:val="none"/>
        </w:rPr>
        <w:t>成员二名称：</w:t>
      </w:r>
      <w:r>
        <w:rPr>
          <w:rFonts w:hint="eastAsia" w:ascii="仿宋" w:hAnsi="仿宋" w:eastAsia="仿宋" w:cs="仿宋"/>
          <w:b w:val="0"/>
          <w:color w:val="auto"/>
          <w:kern w:val="2"/>
          <w:sz w:val="24"/>
          <w:highlight w:val="none"/>
          <w:u w:val="single"/>
        </w:rPr>
        <w:t xml:space="preserve">                                 </w:t>
      </w:r>
      <w:r>
        <w:rPr>
          <w:rFonts w:hint="eastAsia" w:ascii="仿宋" w:hAnsi="仿宋" w:eastAsia="仿宋" w:cs="仿宋"/>
          <w:b w:val="0"/>
          <w:color w:val="auto"/>
          <w:kern w:val="2"/>
          <w:sz w:val="24"/>
          <w:highlight w:val="none"/>
        </w:rPr>
        <w:t>（盖章）</w:t>
      </w:r>
    </w:p>
    <w:p>
      <w:pPr>
        <w:pStyle w:val="113"/>
        <w:topLinePunct/>
        <w:spacing w:line="440" w:lineRule="exact"/>
        <w:rPr>
          <w:rFonts w:ascii="仿宋" w:hAnsi="仿宋" w:eastAsia="仿宋" w:cs="仿宋"/>
          <w:b w:val="0"/>
          <w:color w:val="auto"/>
          <w:kern w:val="2"/>
          <w:sz w:val="24"/>
          <w:highlight w:val="none"/>
        </w:rPr>
      </w:pPr>
      <w:r>
        <w:rPr>
          <w:rFonts w:hint="eastAsia" w:ascii="仿宋" w:hAnsi="仿宋" w:eastAsia="仿宋" w:cs="仿宋"/>
          <w:b w:val="0"/>
          <w:color w:val="auto"/>
          <w:kern w:val="2"/>
          <w:sz w:val="24"/>
          <w:highlight w:val="none"/>
        </w:rPr>
        <w:t>法定代表人或其委托代理人：</w:t>
      </w:r>
      <w:r>
        <w:rPr>
          <w:rFonts w:hint="eastAsia" w:ascii="仿宋" w:hAnsi="仿宋" w:eastAsia="仿宋" w:cs="仿宋"/>
          <w:b w:val="0"/>
          <w:color w:val="auto"/>
          <w:kern w:val="2"/>
          <w:sz w:val="24"/>
          <w:highlight w:val="none"/>
          <w:u w:val="single"/>
        </w:rPr>
        <w:t xml:space="preserve">                       </w:t>
      </w:r>
      <w:r>
        <w:rPr>
          <w:rFonts w:hint="eastAsia" w:ascii="仿宋" w:hAnsi="仿宋" w:eastAsia="仿宋" w:cs="仿宋"/>
          <w:b w:val="0"/>
          <w:color w:val="auto"/>
          <w:kern w:val="2"/>
          <w:sz w:val="24"/>
          <w:highlight w:val="none"/>
        </w:rPr>
        <w:t>（</w:t>
      </w:r>
      <w:r>
        <w:rPr>
          <w:rFonts w:hint="eastAsia" w:ascii="仿宋" w:hAnsi="仿宋" w:eastAsia="仿宋" w:cs="仿宋"/>
          <w:b w:val="0"/>
          <w:color w:val="auto"/>
          <w:kern w:val="2"/>
          <w:sz w:val="24"/>
          <w:highlight w:val="none"/>
          <w:lang w:val="en-US" w:eastAsia="zh-CN"/>
        </w:rPr>
        <w:t>签字或盖章</w:t>
      </w:r>
      <w:r>
        <w:rPr>
          <w:rFonts w:hint="eastAsia" w:ascii="仿宋" w:hAnsi="仿宋" w:eastAsia="仿宋" w:cs="仿宋"/>
          <w:b w:val="0"/>
          <w:color w:val="auto"/>
          <w:kern w:val="2"/>
          <w:sz w:val="24"/>
          <w:highlight w:val="none"/>
        </w:rPr>
        <w:t>）</w:t>
      </w:r>
    </w:p>
    <w:p>
      <w:pPr>
        <w:pStyle w:val="113"/>
        <w:topLinePunct/>
        <w:spacing w:line="440" w:lineRule="exact"/>
        <w:rPr>
          <w:rFonts w:ascii="仿宋" w:hAnsi="仿宋" w:eastAsia="仿宋" w:cs="仿宋"/>
          <w:b w:val="0"/>
          <w:color w:val="auto"/>
          <w:kern w:val="2"/>
          <w:sz w:val="24"/>
          <w:highlight w:val="none"/>
        </w:rPr>
      </w:pPr>
      <w:r>
        <w:rPr>
          <w:rFonts w:hint="eastAsia" w:ascii="仿宋" w:hAnsi="仿宋" w:eastAsia="仿宋" w:cs="仿宋"/>
          <w:b w:val="0"/>
          <w:color w:val="auto"/>
          <w:kern w:val="2"/>
          <w:sz w:val="24"/>
          <w:highlight w:val="none"/>
        </w:rPr>
        <w:t xml:space="preserve">…… </w:t>
      </w:r>
    </w:p>
    <w:p>
      <w:pPr>
        <w:pStyle w:val="113"/>
        <w:topLinePunct/>
        <w:spacing w:line="440" w:lineRule="exact"/>
        <w:rPr>
          <w:rFonts w:ascii="仿宋" w:hAnsi="仿宋" w:eastAsia="仿宋" w:cs="仿宋"/>
          <w:b w:val="0"/>
          <w:color w:val="auto"/>
          <w:kern w:val="2"/>
          <w:sz w:val="24"/>
          <w:highlight w:val="none"/>
        </w:rPr>
      </w:pPr>
    </w:p>
    <w:p>
      <w:pPr>
        <w:pStyle w:val="113"/>
        <w:ind w:firstLine="3290" w:firstLineChars="1371"/>
        <w:rPr>
          <w:rFonts w:ascii="仿宋" w:hAnsi="仿宋" w:eastAsia="仿宋" w:cs="仿宋"/>
          <w:b w:val="0"/>
          <w:color w:val="auto"/>
          <w:kern w:val="2"/>
          <w:sz w:val="24"/>
          <w:highlight w:val="none"/>
        </w:rPr>
      </w:pPr>
      <w:r>
        <w:rPr>
          <w:rFonts w:hint="eastAsia" w:ascii="仿宋" w:hAnsi="仿宋" w:eastAsia="仿宋" w:cs="仿宋"/>
          <w:b w:val="0"/>
          <w:color w:val="auto"/>
          <w:kern w:val="2"/>
          <w:sz w:val="24"/>
          <w:highlight w:val="none"/>
          <w:u w:val="single"/>
        </w:rPr>
        <w:t xml:space="preserve">        </w:t>
      </w:r>
      <w:r>
        <w:rPr>
          <w:rFonts w:hint="eastAsia" w:ascii="仿宋" w:hAnsi="仿宋" w:eastAsia="仿宋" w:cs="仿宋"/>
          <w:b w:val="0"/>
          <w:color w:val="auto"/>
          <w:kern w:val="2"/>
          <w:sz w:val="24"/>
          <w:highlight w:val="none"/>
        </w:rPr>
        <w:t>年</w:t>
      </w:r>
      <w:r>
        <w:rPr>
          <w:rFonts w:hint="eastAsia" w:ascii="仿宋" w:hAnsi="仿宋" w:eastAsia="仿宋" w:cs="仿宋"/>
          <w:b w:val="0"/>
          <w:color w:val="auto"/>
          <w:kern w:val="2"/>
          <w:sz w:val="24"/>
          <w:highlight w:val="none"/>
          <w:u w:val="single"/>
        </w:rPr>
        <w:t xml:space="preserve">       </w:t>
      </w:r>
      <w:r>
        <w:rPr>
          <w:rFonts w:hint="eastAsia" w:ascii="仿宋" w:hAnsi="仿宋" w:eastAsia="仿宋" w:cs="仿宋"/>
          <w:b w:val="0"/>
          <w:color w:val="auto"/>
          <w:kern w:val="2"/>
          <w:sz w:val="24"/>
          <w:highlight w:val="none"/>
        </w:rPr>
        <w:t>月</w:t>
      </w:r>
      <w:r>
        <w:rPr>
          <w:rFonts w:hint="eastAsia" w:ascii="仿宋" w:hAnsi="仿宋" w:eastAsia="仿宋" w:cs="仿宋"/>
          <w:b w:val="0"/>
          <w:color w:val="auto"/>
          <w:kern w:val="2"/>
          <w:sz w:val="24"/>
          <w:highlight w:val="none"/>
          <w:u w:val="single"/>
        </w:rPr>
        <w:t xml:space="preserve">       </w:t>
      </w:r>
      <w:r>
        <w:rPr>
          <w:rFonts w:hint="eastAsia" w:ascii="仿宋" w:hAnsi="仿宋" w:eastAsia="仿宋" w:cs="仿宋"/>
          <w:b w:val="0"/>
          <w:color w:val="auto"/>
          <w:kern w:val="2"/>
          <w:sz w:val="24"/>
          <w:highlight w:val="none"/>
        </w:rPr>
        <w:t>日</w:t>
      </w: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91"/>
        <w:spacing w:line="360" w:lineRule="auto"/>
        <w:ind w:right="-307" w:rightChars="-146"/>
        <w:outlineLvl w:val="2"/>
        <w:rPr>
          <w:rFonts w:ascii="仿宋" w:hAnsi="仿宋" w:eastAsia="仿宋" w:cs="仿宋"/>
          <w:color w:val="auto"/>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highlight w:val="none"/>
        </w:rPr>
        <w:t>三、投标保证金</w:t>
      </w:r>
    </w:p>
    <w:p>
      <w:pPr>
        <w:pStyle w:val="68"/>
        <w:tabs>
          <w:tab w:val="left" w:pos="8786"/>
        </w:tabs>
        <w:spacing w:line="360" w:lineRule="auto"/>
        <w:ind w:right="-307" w:rightChars="-146"/>
        <w:jc w:val="left"/>
        <w:rPr>
          <w:rFonts w:ascii="仿宋" w:hAnsi="仿宋" w:eastAsia="仿宋" w:cs="仿宋"/>
          <w:color w:val="auto"/>
          <w:sz w:val="24"/>
          <w:highlight w:val="none"/>
        </w:rPr>
      </w:pPr>
    </w:p>
    <w:p>
      <w:pPr>
        <w:pStyle w:val="101"/>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投标保证金银行汇款凭证（以到账时间为准）</w:t>
      </w:r>
    </w:p>
    <w:p>
      <w:pPr>
        <w:rPr>
          <w:rFonts w:ascii="仿宋" w:hAnsi="仿宋" w:eastAsia="仿宋" w:cs="仿宋"/>
          <w:color w:val="auto"/>
          <w:sz w:val="32"/>
          <w:szCs w:val="32"/>
          <w:highlight w:val="none"/>
        </w:rPr>
      </w:pPr>
    </w:p>
    <w:p>
      <w:pP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br w:type="page"/>
      </w:r>
    </w:p>
    <w:p>
      <w:pPr>
        <w:pStyle w:val="91"/>
        <w:jc w:val="center"/>
        <w:outlineLvl w:val="0"/>
        <w:rPr>
          <w:rFonts w:ascii="仿宋" w:hAnsi="仿宋" w:eastAsia="仿宋" w:cs="仿宋"/>
          <w:color w:val="auto"/>
          <w:highlight w:val="none"/>
        </w:rPr>
      </w:pPr>
      <w:bookmarkStart w:id="601" w:name="_Toc12649"/>
      <w:r>
        <w:rPr>
          <w:rFonts w:hint="eastAsia" w:ascii="仿宋" w:hAnsi="仿宋" w:eastAsia="仿宋" w:cs="仿宋"/>
          <w:color w:val="auto"/>
          <w:highlight w:val="none"/>
        </w:rPr>
        <w:t>四、法定代表人身份证明及授权委托书</w:t>
      </w:r>
    </w:p>
    <w:p>
      <w:pPr>
        <w:pStyle w:val="98"/>
        <w:jc w:val="both"/>
        <w:outlineLvl w:val="9"/>
        <w:rPr>
          <w:rFonts w:ascii="仿宋" w:hAnsi="仿宋" w:eastAsia="仿宋" w:cs="仿宋"/>
          <w:b w:val="0"/>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w:t>
      </w:r>
      <w:r>
        <w:rPr>
          <w:rFonts w:hint="eastAsia" w:ascii="仿宋" w:hAnsi="仿宋" w:eastAsia="仿宋" w:cs="仿宋"/>
          <w:b w:val="0"/>
          <w:color w:val="auto"/>
          <w:sz w:val="24"/>
          <w:szCs w:val="24"/>
          <w:highlight w:val="none"/>
        </w:rPr>
        <w:t xml:space="preserve"> 法定代表人资格证明文件 </w:t>
      </w:r>
    </w:p>
    <w:p>
      <w:pPr>
        <w:pStyle w:val="99"/>
        <w:adjustRightInd w:val="0"/>
        <w:snapToGrid w:val="0"/>
        <w:spacing w:line="5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（代理机构名称）</w:t>
      </w:r>
      <w:r>
        <w:rPr>
          <w:rFonts w:hint="eastAsia" w:ascii="仿宋" w:hAnsi="仿宋" w:eastAsia="仿宋" w:cs="仿宋"/>
          <w:color w:val="auto"/>
          <w:sz w:val="24"/>
          <w:szCs w:val="24"/>
          <w:highlight w:val="none"/>
        </w:rPr>
        <w:t>：</w:t>
      </w:r>
    </w:p>
    <w:p>
      <w:pPr>
        <w:pStyle w:val="99"/>
        <w:adjustRightInd w:val="0"/>
        <w:snapToGrid w:val="0"/>
        <w:spacing w:line="5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兹有</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同志为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公司法定代表人，代表我公司办理一切社会公务事宜，具有法律效力。 </w:t>
      </w:r>
    </w:p>
    <w:p>
      <w:pPr>
        <w:pStyle w:val="99"/>
        <w:adjustRightInd w:val="0"/>
        <w:snapToGrid w:val="0"/>
        <w:spacing w:line="5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附法定代表人基本情况： </w:t>
      </w:r>
    </w:p>
    <w:p>
      <w:pPr>
        <w:pStyle w:val="99"/>
        <w:adjustRightInd w:val="0"/>
        <w:snapToGrid w:val="0"/>
        <w:spacing w:line="500" w:lineRule="exact"/>
        <w:ind w:firstLine="480" w:firstLineChars="20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姓名：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性别：</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职务：</w:t>
      </w:r>
      <w:r>
        <w:rPr>
          <w:rFonts w:hint="eastAsia" w:ascii="仿宋" w:hAnsi="仿宋" w:eastAsia="仿宋" w:cs="仿宋"/>
          <w:color w:val="auto"/>
          <w:sz w:val="24"/>
          <w:szCs w:val="24"/>
          <w:highlight w:val="none"/>
          <w:u w:val="single"/>
        </w:rPr>
        <w:t xml:space="preserve">         </w:t>
      </w:r>
    </w:p>
    <w:p>
      <w:pPr>
        <w:pStyle w:val="99"/>
        <w:adjustRightInd w:val="0"/>
        <w:snapToGrid w:val="0"/>
        <w:spacing w:line="5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身份证号码：</w:t>
      </w:r>
      <w:r>
        <w:rPr>
          <w:rFonts w:hint="eastAsia" w:ascii="仿宋" w:hAnsi="仿宋" w:eastAsia="仿宋" w:cs="仿宋"/>
          <w:color w:val="auto"/>
          <w:sz w:val="24"/>
          <w:szCs w:val="24"/>
          <w:highlight w:val="none"/>
          <w:u w:val="single"/>
        </w:rPr>
        <w:t xml:space="preserve">                     </w:t>
      </w:r>
    </w:p>
    <w:p>
      <w:pPr>
        <w:pStyle w:val="99"/>
        <w:adjustRightInd w:val="0"/>
        <w:snapToGrid w:val="0"/>
        <w:spacing w:line="5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通讯地址：</w:t>
      </w:r>
      <w:r>
        <w:rPr>
          <w:rFonts w:hint="eastAsia" w:ascii="仿宋" w:hAnsi="仿宋" w:eastAsia="仿宋" w:cs="仿宋"/>
          <w:color w:val="auto"/>
          <w:sz w:val="24"/>
          <w:szCs w:val="24"/>
          <w:highlight w:val="none"/>
          <w:u w:val="single"/>
        </w:rPr>
        <w:t xml:space="preserve">                       </w:t>
      </w:r>
    </w:p>
    <w:p>
      <w:pPr>
        <w:pStyle w:val="99"/>
        <w:adjustRightInd w:val="0"/>
        <w:snapToGrid w:val="0"/>
        <w:spacing w:line="5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电话号码：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邮政编码：</w:t>
      </w:r>
      <w:r>
        <w:rPr>
          <w:rFonts w:hint="eastAsia" w:ascii="仿宋" w:hAnsi="仿宋" w:eastAsia="仿宋" w:cs="仿宋"/>
          <w:color w:val="auto"/>
          <w:sz w:val="24"/>
          <w:szCs w:val="24"/>
          <w:highlight w:val="none"/>
          <w:u w:val="single"/>
        </w:rPr>
        <w:t xml:space="preserve">               </w:t>
      </w:r>
    </w:p>
    <w:p>
      <w:pPr>
        <w:pStyle w:val="99"/>
        <w:adjustRightInd w:val="0"/>
        <w:snapToGrid w:val="0"/>
        <w:spacing w:line="5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tbl>
      <w:tblPr>
        <w:tblStyle w:val="23"/>
        <w:tblW w:w="0" w:type="auto"/>
        <w:tblInd w:w="1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trPr>
        <w:tc>
          <w:tcPr>
            <w:tcW w:w="6804" w:type="dxa"/>
            <w:tcBorders>
              <w:top w:val="single" w:color="auto" w:sz="4" w:space="0"/>
              <w:left w:val="single" w:color="auto" w:sz="4" w:space="0"/>
              <w:bottom w:val="single" w:color="auto" w:sz="4" w:space="0"/>
              <w:right w:val="single" w:color="auto" w:sz="4" w:space="0"/>
            </w:tcBorders>
          </w:tcPr>
          <w:p>
            <w:pPr>
              <w:pStyle w:val="99"/>
              <w:adjustRightInd w:val="0"/>
              <w:snapToGrid w:val="0"/>
              <w:spacing w:line="500" w:lineRule="exact"/>
              <w:jc w:val="center"/>
              <w:rPr>
                <w:rFonts w:ascii="仿宋" w:hAnsi="仿宋" w:eastAsia="仿宋" w:cs="仿宋"/>
                <w:color w:val="auto"/>
                <w:sz w:val="24"/>
                <w:szCs w:val="24"/>
                <w:highlight w:val="none"/>
              </w:rPr>
            </w:pPr>
          </w:p>
          <w:p>
            <w:pPr>
              <w:pStyle w:val="99"/>
              <w:adjustRightInd w:val="0"/>
              <w:snapToGrid w:val="0"/>
              <w:spacing w:line="500" w:lineRule="exact"/>
              <w:jc w:val="center"/>
              <w:rPr>
                <w:rFonts w:ascii="仿宋" w:hAnsi="仿宋" w:eastAsia="仿宋" w:cs="仿宋"/>
                <w:color w:val="auto"/>
                <w:sz w:val="24"/>
                <w:szCs w:val="24"/>
                <w:highlight w:val="none"/>
              </w:rPr>
            </w:pPr>
          </w:p>
          <w:p>
            <w:pPr>
              <w:pStyle w:val="99"/>
              <w:adjustRightInd w:val="0"/>
              <w:snapToGrid w:val="0"/>
              <w:spacing w:line="50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法定代表人《居民身份证》扫描件</w:t>
            </w:r>
          </w:p>
        </w:tc>
      </w:tr>
    </w:tbl>
    <w:p>
      <w:pPr>
        <w:pStyle w:val="99"/>
        <w:adjustRightInd w:val="0"/>
        <w:snapToGrid w:val="0"/>
        <w:spacing w:line="500" w:lineRule="exact"/>
        <w:rPr>
          <w:rFonts w:ascii="仿宋" w:hAnsi="仿宋" w:eastAsia="仿宋" w:cs="仿宋"/>
          <w:color w:val="auto"/>
          <w:sz w:val="24"/>
          <w:szCs w:val="24"/>
          <w:highlight w:val="none"/>
        </w:rPr>
      </w:pPr>
    </w:p>
    <w:p>
      <w:pPr>
        <w:pStyle w:val="99"/>
        <w:tabs>
          <w:tab w:val="left" w:pos="750"/>
        </w:tabs>
        <w:adjustRightInd w:val="0"/>
        <w:snapToGrid w:val="0"/>
        <w:spacing w:line="5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投标人名称（电子签章）：</w:t>
      </w:r>
      <w:r>
        <w:rPr>
          <w:rFonts w:hint="eastAsia" w:ascii="仿宋" w:hAnsi="仿宋" w:eastAsia="仿宋" w:cs="仿宋"/>
          <w:color w:val="auto"/>
          <w:sz w:val="24"/>
          <w:szCs w:val="24"/>
          <w:highlight w:val="none"/>
          <w:u w:val="single"/>
        </w:rPr>
        <w:t xml:space="preserve">           </w:t>
      </w:r>
    </w:p>
    <w:p>
      <w:pPr>
        <w:pStyle w:val="99"/>
        <w:tabs>
          <w:tab w:val="left" w:pos="750"/>
        </w:tabs>
        <w:adjustRightInd w:val="0"/>
        <w:snapToGrid w:val="0"/>
        <w:spacing w:line="500" w:lineRule="exact"/>
        <w:rPr>
          <w:rFonts w:ascii="仿宋" w:hAnsi="仿宋" w:eastAsia="仿宋" w:cs="仿宋"/>
          <w:color w:val="auto"/>
          <w:sz w:val="24"/>
          <w:szCs w:val="24"/>
          <w:highlight w:val="none"/>
        </w:rPr>
      </w:pPr>
    </w:p>
    <w:p>
      <w:pPr>
        <w:pStyle w:val="99"/>
        <w:tabs>
          <w:tab w:val="left" w:pos="750"/>
        </w:tabs>
        <w:adjustRightInd w:val="0"/>
        <w:snapToGrid w:val="0"/>
        <w:spacing w:line="500" w:lineRule="exact"/>
        <w:ind w:firstLine="720" w:firstLineChars="3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法定代表人（电子签章） ：</w:t>
      </w:r>
      <w:r>
        <w:rPr>
          <w:rFonts w:hint="eastAsia" w:ascii="仿宋" w:hAnsi="仿宋" w:eastAsia="仿宋" w:cs="仿宋"/>
          <w:color w:val="auto"/>
          <w:sz w:val="24"/>
          <w:szCs w:val="24"/>
          <w:highlight w:val="none"/>
          <w:u w:val="single"/>
        </w:rPr>
        <w:t xml:space="preserve">           </w:t>
      </w:r>
    </w:p>
    <w:p>
      <w:pPr>
        <w:pStyle w:val="99"/>
        <w:tabs>
          <w:tab w:val="left" w:pos="750"/>
        </w:tabs>
        <w:adjustRightInd w:val="0"/>
        <w:snapToGrid w:val="0"/>
        <w:spacing w:line="500" w:lineRule="exact"/>
        <w:rPr>
          <w:rFonts w:ascii="仿宋" w:hAnsi="仿宋" w:eastAsia="仿宋" w:cs="仿宋"/>
          <w:color w:val="auto"/>
          <w:sz w:val="24"/>
          <w:szCs w:val="24"/>
          <w:highlight w:val="none"/>
        </w:rPr>
      </w:pPr>
    </w:p>
    <w:p>
      <w:pPr>
        <w:pStyle w:val="99"/>
        <w:tabs>
          <w:tab w:val="left" w:pos="750"/>
        </w:tabs>
        <w:adjustRightInd w:val="0"/>
        <w:snapToGrid w:val="0"/>
        <w:spacing w:line="500" w:lineRule="exact"/>
        <w:ind w:firstLine="720" w:firstLineChars="300"/>
        <w:rPr>
          <w:rFonts w:ascii="仿宋" w:hAnsi="仿宋" w:eastAsia="仿宋" w:cs="仿宋"/>
          <w:color w:val="auto"/>
          <w:highlight w:val="non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pStyle w:val="98"/>
        <w:outlineLvl w:val="9"/>
        <w:rPr>
          <w:rFonts w:ascii="仿宋" w:hAnsi="仿宋" w:eastAsia="仿宋" w:cs="仿宋"/>
          <w:b w:val="0"/>
          <w:color w:val="auto"/>
          <w:highlight w:val="none"/>
        </w:rPr>
      </w:pPr>
      <w:r>
        <w:rPr>
          <w:rFonts w:hint="eastAsia" w:ascii="仿宋" w:hAnsi="仿宋" w:eastAsia="仿宋" w:cs="仿宋"/>
          <w:b w:val="0"/>
          <w:color w:val="auto"/>
          <w:highlight w:val="none"/>
        </w:rPr>
        <w:t xml:space="preserve"> </w:t>
      </w:r>
    </w:p>
    <w:p>
      <w:pPr>
        <w:pStyle w:val="98"/>
        <w:outlineLvl w:val="0"/>
        <w:rPr>
          <w:rFonts w:ascii="仿宋" w:hAnsi="仿宋" w:eastAsia="仿宋" w:cs="仿宋"/>
          <w:b w:val="0"/>
          <w:color w:val="auto"/>
          <w:sz w:val="24"/>
          <w:szCs w:val="24"/>
          <w:highlight w:val="none"/>
        </w:rPr>
      </w:pPr>
      <w:r>
        <w:rPr>
          <w:rFonts w:hint="eastAsia" w:ascii="仿宋" w:hAnsi="仿宋" w:eastAsia="仿宋" w:cs="仿宋"/>
          <w:b w:val="0"/>
          <w:color w:val="auto"/>
          <w:highlight w:val="none"/>
        </w:rPr>
        <w:br w:type="page"/>
      </w:r>
      <w:r>
        <w:rPr>
          <w:rFonts w:hint="eastAsia" w:ascii="仿宋" w:hAnsi="仿宋" w:eastAsia="仿宋" w:cs="仿宋"/>
          <w:b w:val="0"/>
          <w:color w:val="auto"/>
          <w:sz w:val="24"/>
          <w:szCs w:val="24"/>
          <w:highlight w:val="none"/>
        </w:rPr>
        <w:t>法定代表人授权书</w:t>
      </w:r>
    </w:p>
    <w:p>
      <w:pPr>
        <w:pStyle w:val="99"/>
        <w:spacing w:line="5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（代理机构名称）</w:t>
      </w:r>
      <w:r>
        <w:rPr>
          <w:rFonts w:hint="eastAsia" w:ascii="仿宋" w:hAnsi="仿宋" w:eastAsia="仿宋" w:cs="仿宋"/>
          <w:color w:val="auto"/>
          <w:sz w:val="24"/>
          <w:szCs w:val="24"/>
          <w:highlight w:val="none"/>
        </w:rPr>
        <w:t>：</w:t>
      </w:r>
    </w:p>
    <w:p>
      <w:pPr>
        <w:pStyle w:val="99"/>
        <w:spacing w:line="5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兹授权</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同志为我公司参加贵单位组织的编号为</w:t>
      </w:r>
      <w:r>
        <w:rPr>
          <w:rFonts w:hint="eastAsia" w:ascii="仿宋" w:hAnsi="仿宋" w:eastAsia="仿宋" w:cs="仿宋"/>
          <w:color w:val="auto"/>
          <w:sz w:val="24"/>
          <w:szCs w:val="24"/>
          <w:highlight w:val="none"/>
          <w:u w:val="single"/>
        </w:rPr>
        <w:t>（项目编号）</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u w:val="single"/>
        </w:rPr>
        <w:t>（项 目 名 称）</w:t>
      </w:r>
      <w:r>
        <w:rPr>
          <w:rFonts w:hint="eastAsia" w:ascii="仿宋" w:hAnsi="仿宋" w:eastAsia="仿宋" w:cs="仿宋"/>
          <w:color w:val="auto"/>
          <w:sz w:val="24"/>
          <w:szCs w:val="24"/>
          <w:highlight w:val="none"/>
        </w:rPr>
        <w:t>采购活动的投标代表人，全权代表我公司处理在该项目采购活动中的一切事宜。代理期限从</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日起至</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日止。 </w:t>
      </w:r>
    </w:p>
    <w:p>
      <w:pPr>
        <w:pStyle w:val="99"/>
        <w:spacing w:line="500" w:lineRule="exact"/>
        <w:rPr>
          <w:rFonts w:ascii="仿宋" w:hAnsi="仿宋" w:eastAsia="仿宋" w:cs="仿宋"/>
          <w:color w:val="auto"/>
          <w:sz w:val="24"/>
          <w:szCs w:val="24"/>
          <w:highlight w:val="none"/>
        </w:rPr>
      </w:pPr>
    </w:p>
    <w:p>
      <w:pPr>
        <w:pStyle w:val="99"/>
        <w:spacing w:line="5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投标人（电子签章）：</w:t>
      </w:r>
      <w:r>
        <w:rPr>
          <w:rFonts w:hint="eastAsia" w:ascii="仿宋" w:hAnsi="仿宋" w:eastAsia="仿宋" w:cs="仿宋"/>
          <w:color w:val="auto"/>
          <w:sz w:val="24"/>
          <w:szCs w:val="24"/>
          <w:highlight w:val="none"/>
          <w:u w:val="single"/>
        </w:rPr>
        <w:t xml:space="preserve">               </w:t>
      </w:r>
    </w:p>
    <w:p>
      <w:pPr>
        <w:pStyle w:val="99"/>
        <w:spacing w:line="5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法定代表人（电子签章）：</w:t>
      </w:r>
      <w:r>
        <w:rPr>
          <w:rFonts w:hint="eastAsia" w:ascii="仿宋" w:hAnsi="仿宋" w:eastAsia="仿宋" w:cs="仿宋"/>
          <w:color w:val="auto"/>
          <w:sz w:val="24"/>
          <w:szCs w:val="24"/>
          <w:highlight w:val="none"/>
          <w:u w:val="single"/>
        </w:rPr>
        <w:t xml:space="preserve">       </w:t>
      </w:r>
    </w:p>
    <w:p>
      <w:pPr>
        <w:pStyle w:val="99"/>
        <w:spacing w:line="5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签发日期：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pStyle w:val="99"/>
        <w:spacing w:line="500" w:lineRule="exact"/>
        <w:rPr>
          <w:rFonts w:ascii="仿宋" w:hAnsi="仿宋" w:eastAsia="仿宋" w:cs="仿宋"/>
          <w:color w:val="auto"/>
          <w:sz w:val="24"/>
          <w:szCs w:val="24"/>
          <w:highlight w:val="none"/>
        </w:rPr>
      </w:pPr>
    </w:p>
    <w:p>
      <w:pPr>
        <w:pStyle w:val="99"/>
        <w:spacing w:line="5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附：</w:t>
      </w:r>
    </w:p>
    <w:p>
      <w:pPr>
        <w:pStyle w:val="99"/>
        <w:spacing w:line="5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代理人工作单位：</w:t>
      </w:r>
      <w:r>
        <w:rPr>
          <w:rFonts w:hint="eastAsia" w:ascii="仿宋" w:hAnsi="仿宋" w:eastAsia="仿宋" w:cs="仿宋"/>
          <w:color w:val="auto"/>
          <w:sz w:val="24"/>
          <w:szCs w:val="24"/>
          <w:highlight w:val="none"/>
          <w:u w:val="single"/>
        </w:rPr>
        <w:t xml:space="preserve">                          </w:t>
      </w:r>
    </w:p>
    <w:p>
      <w:pPr>
        <w:pStyle w:val="99"/>
        <w:spacing w:line="5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职务：</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性别：</w:t>
      </w:r>
      <w:r>
        <w:rPr>
          <w:rFonts w:hint="eastAsia" w:ascii="仿宋" w:hAnsi="仿宋" w:eastAsia="仿宋" w:cs="仿宋"/>
          <w:color w:val="auto"/>
          <w:sz w:val="24"/>
          <w:szCs w:val="24"/>
          <w:highlight w:val="none"/>
          <w:u w:val="single"/>
        </w:rPr>
        <w:t xml:space="preserve">      </w:t>
      </w:r>
    </w:p>
    <w:p>
      <w:pPr>
        <w:pStyle w:val="99"/>
        <w:adjustRightInd w:val="0"/>
        <w:snapToGrid w:val="0"/>
        <w:spacing w:line="500" w:lineRule="exac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身份证号码：</w:t>
      </w:r>
      <w:r>
        <w:rPr>
          <w:rFonts w:hint="eastAsia" w:ascii="仿宋" w:hAnsi="仿宋" w:eastAsia="仿宋" w:cs="仿宋"/>
          <w:color w:val="auto"/>
          <w:sz w:val="24"/>
          <w:szCs w:val="24"/>
          <w:highlight w:val="none"/>
          <w:u w:val="single"/>
        </w:rPr>
        <w:t xml:space="preserve">                              </w:t>
      </w:r>
    </w:p>
    <w:p>
      <w:pPr>
        <w:pStyle w:val="99"/>
        <w:adjustRightInd w:val="0"/>
        <w:snapToGrid w:val="0"/>
        <w:spacing w:line="500" w:lineRule="exact"/>
        <w:ind w:left="-88" w:leftChars="-42" w:firstLine="600" w:firstLineChars="250"/>
        <w:rPr>
          <w:rFonts w:ascii="仿宋" w:hAnsi="仿宋" w:eastAsia="仿宋" w:cs="仿宋"/>
          <w:color w:val="auto"/>
          <w:sz w:val="24"/>
          <w:szCs w:val="24"/>
          <w:highlight w:val="none"/>
          <w:u w:val="single"/>
        </w:rPr>
      </w:pPr>
    </w:p>
    <w:tbl>
      <w:tblPr>
        <w:tblStyle w:val="23"/>
        <w:tblW w:w="4496" w:type="pct"/>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5000" w:type="pct"/>
            <w:tcBorders>
              <w:top w:val="single" w:color="auto" w:sz="4" w:space="0"/>
              <w:left w:val="single" w:color="auto" w:sz="4" w:space="0"/>
              <w:bottom w:val="single" w:color="auto" w:sz="4" w:space="0"/>
              <w:right w:val="single" w:color="auto" w:sz="4" w:space="0"/>
            </w:tcBorders>
          </w:tcPr>
          <w:p>
            <w:pPr>
              <w:pStyle w:val="99"/>
              <w:spacing w:line="5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粘贴被授权人身份证（扫描件）</w:t>
            </w:r>
          </w:p>
        </w:tc>
      </w:tr>
    </w:tbl>
    <w:p>
      <w:pPr>
        <w:rPr>
          <w:rFonts w:ascii="仿宋" w:hAnsi="仿宋" w:eastAsia="仿宋" w:cs="仿宋"/>
          <w:color w:val="auto"/>
          <w:highlight w:val="none"/>
        </w:rPr>
      </w:pPr>
      <w:r>
        <w:rPr>
          <w:rFonts w:hint="eastAsia" w:ascii="仿宋" w:hAnsi="仿宋" w:eastAsia="仿宋" w:cs="仿宋"/>
          <w:color w:val="auto"/>
          <w:highlight w:val="none"/>
        </w:rPr>
        <w:br w:type="page"/>
      </w:r>
    </w:p>
    <w:p>
      <w:pPr>
        <w:pStyle w:val="91"/>
        <w:jc w:val="center"/>
        <w:outlineLvl w:val="0"/>
        <w:rPr>
          <w:rFonts w:ascii="仿宋" w:hAnsi="仿宋" w:eastAsia="仿宋" w:cs="仿宋"/>
          <w:color w:val="auto"/>
          <w:highlight w:val="none"/>
        </w:rPr>
      </w:pPr>
      <w:r>
        <w:rPr>
          <w:rFonts w:hint="eastAsia" w:ascii="仿宋" w:hAnsi="仿宋" w:eastAsia="仿宋" w:cs="仿宋"/>
          <w:color w:val="auto"/>
          <w:highlight w:val="none"/>
        </w:rPr>
        <w:t>商务技术响应文件</w:t>
      </w:r>
      <w:bookmarkEnd w:id="601"/>
    </w:p>
    <w:p>
      <w:pPr>
        <w:pStyle w:val="43"/>
        <w:jc w:val="center"/>
        <w:outlineLvl w:val="0"/>
        <w:rPr>
          <w:rFonts w:ascii="仿宋" w:hAnsi="仿宋" w:eastAsia="仿宋" w:cs="仿宋"/>
          <w:color w:val="auto"/>
          <w:szCs w:val="32"/>
          <w:highlight w:val="none"/>
        </w:rPr>
      </w:pPr>
    </w:p>
    <w:p>
      <w:pPr>
        <w:pStyle w:val="80"/>
        <w:spacing w:line="360" w:lineRule="auto"/>
        <w:rPr>
          <w:rFonts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一、类似项目业绩表；</w:t>
      </w:r>
    </w:p>
    <w:p>
      <w:pPr>
        <w:pStyle w:val="174"/>
        <w:adjustRightInd w:val="0"/>
        <w:snapToGrid w:val="0"/>
        <w:spacing w:line="5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附：类似项目业绩表</w:t>
      </w:r>
    </w:p>
    <w:tbl>
      <w:tblPr>
        <w:tblStyle w:val="23"/>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908" w:type="dxa"/>
            <w:vAlign w:val="center"/>
          </w:tcPr>
          <w:p>
            <w:pPr>
              <w:pStyle w:val="174"/>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7200" w:type="dxa"/>
          </w:tcPr>
          <w:p>
            <w:pPr>
              <w:pStyle w:val="174"/>
              <w:tabs>
                <w:tab w:val="left" w:pos="2265"/>
              </w:tabs>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vAlign w:val="center"/>
          </w:tcPr>
          <w:p>
            <w:pPr>
              <w:pStyle w:val="174"/>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项目单位名称</w:t>
            </w:r>
          </w:p>
        </w:tc>
        <w:tc>
          <w:tcPr>
            <w:tcW w:w="7200" w:type="dxa"/>
          </w:tcPr>
          <w:p>
            <w:pPr>
              <w:pStyle w:val="174"/>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vAlign w:val="center"/>
          </w:tcPr>
          <w:p>
            <w:pPr>
              <w:pStyle w:val="174"/>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项目单位联系人姓名及联系方式</w:t>
            </w:r>
          </w:p>
        </w:tc>
        <w:tc>
          <w:tcPr>
            <w:tcW w:w="7200" w:type="dxa"/>
          </w:tcPr>
          <w:p>
            <w:pPr>
              <w:pStyle w:val="174"/>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08" w:type="dxa"/>
            <w:vAlign w:val="center"/>
          </w:tcPr>
          <w:p>
            <w:pPr>
              <w:pStyle w:val="174"/>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合同金额</w:t>
            </w:r>
          </w:p>
        </w:tc>
        <w:tc>
          <w:tcPr>
            <w:tcW w:w="7200" w:type="dxa"/>
          </w:tcPr>
          <w:p>
            <w:pPr>
              <w:pStyle w:val="174"/>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08" w:type="dxa"/>
            <w:vAlign w:val="center"/>
          </w:tcPr>
          <w:p>
            <w:pPr>
              <w:pStyle w:val="174"/>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项目负责人</w:t>
            </w:r>
          </w:p>
          <w:p>
            <w:pPr>
              <w:pStyle w:val="174"/>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姓名</w:t>
            </w:r>
          </w:p>
        </w:tc>
        <w:tc>
          <w:tcPr>
            <w:tcW w:w="7200" w:type="dxa"/>
          </w:tcPr>
          <w:p>
            <w:pPr>
              <w:pStyle w:val="174"/>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908" w:type="dxa"/>
            <w:vAlign w:val="center"/>
          </w:tcPr>
          <w:p>
            <w:pPr>
              <w:pStyle w:val="174"/>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项目实施时间</w:t>
            </w:r>
          </w:p>
        </w:tc>
        <w:tc>
          <w:tcPr>
            <w:tcW w:w="7200" w:type="dxa"/>
          </w:tcPr>
          <w:p>
            <w:pPr>
              <w:pStyle w:val="174"/>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1908" w:type="dxa"/>
            <w:vAlign w:val="center"/>
          </w:tcPr>
          <w:p>
            <w:pPr>
              <w:pStyle w:val="174"/>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项目内容说明</w:t>
            </w:r>
          </w:p>
        </w:tc>
        <w:tc>
          <w:tcPr>
            <w:tcW w:w="7200" w:type="dxa"/>
          </w:tcPr>
          <w:p>
            <w:pPr>
              <w:pStyle w:val="174"/>
              <w:jc w:val="center"/>
              <w:rPr>
                <w:rFonts w:ascii="仿宋" w:hAnsi="仿宋" w:eastAsia="仿宋" w:cs="仿宋"/>
                <w:color w:val="auto"/>
                <w:sz w:val="24"/>
                <w:szCs w:val="24"/>
                <w:highlight w:val="none"/>
              </w:rPr>
            </w:pPr>
          </w:p>
        </w:tc>
      </w:tr>
    </w:tbl>
    <w:p>
      <w:pPr>
        <w:pStyle w:val="174"/>
        <w:autoSpaceDE w:val="0"/>
        <w:autoSpaceDN w:val="0"/>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说明：1．每个合同须单独附表，并附上相关证明材料，否则专家在评审时将不予采信；</w:t>
      </w:r>
    </w:p>
    <w:p>
      <w:pPr>
        <w:pStyle w:val="174"/>
        <w:spacing w:line="360" w:lineRule="auto"/>
        <w:ind w:firstLine="720" w:firstLineChars="3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2．项目内容请详细说明所承担的具体工作内容等；</w:t>
      </w:r>
    </w:p>
    <w:p>
      <w:pPr>
        <w:pStyle w:val="174"/>
        <w:spacing w:line="360" w:lineRule="auto"/>
        <w:ind w:firstLine="720" w:firstLineChars="300"/>
        <w:rPr>
          <w:rFonts w:ascii="仿宋" w:hAnsi="仿宋" w:eastAsia="仿宋" w:cs="仿宋"/>
          <w:color w:val="auto"/>
          <w:sz w:val="24"/>
          <w:szCs w:val="24"/>
          <w:highlight w:val="none"/>
        </w:rPr>
      </w:pPr>
    </w:p>
    <w:p>
      <w:pPr>
        <w:pStyle w:val="84"/>
        <w:spacing w:line="360" w:lineRule="auto"/>
        <w:jc w:val="left"/>
        <w:outlineLvl w:val="1"/>
        <w:rPr>
          <w:rFonts w:ascii="仿宋" w:hAnsi="仿宋" w:eastAsia="仿宋" w:cs="仿宋"/>
          <w:color w:val="auto"/>
          <w:sz w:val="28"/>
          <w:szCs w:val="28"/>
          <w:highlight w:val="none"/>
          <w:u w:val="single"/>
        </w:rPr>
      </w:pPr>
    </w:p>
    <w:p>
      <w:pPr>
        <w:pStyle w:val="72"/>
        <w:spacing w:line="360" w:lineRule="auto"/>
        <w:ind w:left="420" w:leftChars="200" w:right="-506" w:rightChars="-241"/>
        <w:jc w:val="left"/>
        <w:outlineLvl w:val="1"/>
        <w:rPr>
          <w:rFonts w:ascii="仿宋" w:hAnsi="仿宋" w:eastAsia="仿宋" w:cs="仿宋"/>
          <w:b/>
          <w:bCs/>
          <w:color w:val="auto"/>
          <w:kern w:val="0"/>
          <w:sz w:val="28"/>
          <w:szCs w:val="28"/>
          <w:highlight w:val="none"/>
          <w:lang w:val="zh-CN"/>
        </w:rPr>
      </w:pPr>
      <w:bookmarkStart w:id="602" w:name="_Toc19448"/>
      <w:bookmarkStart w:id="603" w:name="_Toc256000354"/>
    </w:p>
    <w:bookmarkEnd w:id="602"/>
    <w:bookmarkEnd w:id="603"/>
    <w:p>
      <w:pPr>
        <w:pStyle w:val="91"/>
        <w:spacing w:line="360" w:lineRule="auto"/>
        <w:ind w:right="-307" w:rightChars="-146"/>
        <w:outlineLvl w:val="2"/>
        <w:rPr>
          <w:rFonts w:ascii="仿宋" w:hAnsi="仿宋" w:eastAsia="仿宋" w:cs="仿宋"/>
          <w:color w:val="auto"/>
          <w:highlight w:val="none"/>
        </w:rPr>
      </w:pPr>
    </w:p>
    <w:p>
      <w:pPr>
        <w:pStyle w:val="91"/>
        <w:spacing w:line="360" w:lineRule="auto"/>
        <w:ind w:right="-307" w:rightChars="-146"/>
        <w:outlineLvl w:val="2"/>
        <w:rPr>
          <w:rFonts w:ascii="仿宋" w:hAnsi="仿宋" w:eastAsia="仿宋" w:cs="仿宋"/>
          <w:color w:val="auto"/>
          <w:highlight w:val="none"/>
        </w:rPr>
      </w:pPr>
    </w:p>
    <w:p>
      <w:pPr>
        <w:pStyle w:val="167"/>
        <w:outlineLvl w:val="2"/>
        <w:rPr>
          <w:rFonts w:hint="eastAsia" w:ascii="仿宋" w:hAnsi="仿宋" w:eastAsia="仿宋" w:cs="仿宋"/>
          <w:b/>
          <w:color w:val="auto"/>
          <w:sz w:val="28"/>
          <w:szCs w:val="28"/>
          <w:highlight w:val="none"/>
        </w:rPr>
      </w:pPr>
      <w:r>
        <w:rPr>
          <w:rFonts w:hint="eastAsia" w:ascii="仿宋" w:hAnsi="仿宋" w:eastAsia="仿宋" w:cs="仿宋"/>
          <w:color w:val="auto"/>
          <w:sz w:val="24"/>
          <w:highlight w:val="none"/>
        </w:rPr>
        <w:br w:type="page"/>
      </w:r>
      <w:bookmarkStart w:id="604" w:name="_Toc256000359"/>
      <w:bookmarkStart w:id="605" w:name="_Toc28474"/>
      <w:r>
        <w:rPr>
          <w:rFonts w:hint="eastAsia" w:ascii="仿宋" w:hAnsi="仿宋" w:eastAsia="仿宋" w:cs="仿宋"/>
          <w:color w:val="auto"/>
          <w:sz w:val="24"/>
          <w:highlight w:val="none"/>
          <w:lang w:eastAsia="zh-CN"/>
        </w:rPr>
        <w:t>二、</w:t>
      </w:r>
      <w:r>
        <w:rPr>
          <w:rFonts w:hint="eastAsia" w:ascii="仿宋" w:hAnsi="仿宋" w:eastAsia="仿宋" w:cs="仿宋"/>
          <w:b/>
          <w:color w:val="auto"/>
          <w:sz w:val="28"/>
          <w:szCs w:val="28"/>
          <w:highlight w:val="none"/>
        </w:rPr>
        <w:t>商务条款偏离说明表</w:t>
      </w:r>
    </w:p>
    <w:tbl>
      <w:tblPr>
        <w:tblStyle w:val="2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712"/>
        <w:gridCol w:w="2589"/>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磋商</w:t>
            </w:r>
            <w:r>
              <w:rPr>
                <w:rFonts w:hint="eastAsia" w:ascii="仿宋" w:hAnsi="仿宋" w:eastAsia="仿宋" w:cs="仿宋"/>
                <w:color w:val="auto"/>
                <w:sz w:val="24"/>
                <w:szCs w:val="24"/>
                <w:highlight w:val="none"/>
              </w:rPr>
              <w:t>文件要求部分</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w:t>
            </w:r>
            <w:r>
              <w:rPr>
                <w:rFonts w:hint="eastAsia" w:ascii="仿宋" w:hAnsi="仿宋" w:eastAsia="仿宋" w:cs="仿宋"/>
                <w:color w:val="auto"/>
                <w:sz w:val="24"/>
                <w:szCs w:val="24"/>
                <w:highlight w:val="none"/>
                <w:lang w:eastAsia="zh-CN"/>
              </w:rPr>
              <w:t>文件</w:t>
            </w:r>
            <w:r>
              <w:rPr>
                <w:rFonts w:hint="eastAsia" w:ascii="仿宋" w:hAnsi="仿宋" w:eastAsia="仿宋" w:cs="仿宋"/>
                <w:color w:val="auto"/>
                <w:sz w:val="24"/>
                <w:szCs w:val="24"/>
                <w:highlight w:val="none"/>
              </w:rPr>
              <w:t>/商务</w:t>
            </w:r>
          </w:p>
          <w:p>
            <w:pPr>
              <w:pStyle w:val="134"/>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响应部分</w:t>
            </w: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r>
    </w:tbl>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pStyle w:val="102"/>
        <w:outlineLvl w:val="0"/>
        <w:rPr>
          <w:rFonts w:ascii="仿宋" w:hAnsi="仿宋" w:eastAsia="仿宋" w:cs="仿宋"/>
          <w:color w:val="auto"/>
          <w:szCs w:val="32"/>
          <w:highlight w:val="none"/>
        </w:rPr>
      </w:pPr>
      <w:r>
        <w:rPr>
          <w:rFonts w:hint="eastAsia" w:ascii="仿宋" w:hAnsi="仿宋" w:eastAsia="仿宋" w:cs="仿宋"/>
          <w:color w:val="auto"/>
          <w:szCs w:val="32"/>
          <w:highlight w:val="none"/>
          <w:lang w:eastAsia="zh-CN"/>
        </w:rPr>
        <w:t>三</w:t>
      </w:r>
      <w:r>
        <w:rPr>
          <w:rFonts w:hint="eastAsia" w:ascii="仿宋" w:hAnsi="仿宋" w:eastAsia="仿宋" w:cs="仿宋"/>
          <w:color w:val="auto"/>
          <w:szCs w:val="32"/>
          <w:highlight w:val="none"/>
        </w:rPr>
        <w:t>、</w:t>
      </w:r>
      <w:bookmarkEnd w:id="604"/>
      <w:bookmarkEnd w:id="605"/>
      <w:r>
        <w:rPr>
          <w:rFonts w:hint="eastAsia" w:ascii="仿宋" w:hAnsi="仿宋" w:eastAsia="仿宋" w:cs="仿宋"/>
          <w:color w:val="auto"/>
          <w:szCs w:val="32"/>
          <w:highlight w:val="none"/>
        </w:rPr>
        <w:t>其他声明及文件材料</w:t>
      </w:r>
    </w:p>
    <w:p>
      <w:pPr>
        <w:pStyle w:val="38"/>
        <w:rPr>
          <w:rFonts w:ascii="仿宋" w:hAnsi="仿宋" w:eastAsia="仿宋" w:cs="仿宋"/>
          <w:b/>
          <w:color w:val="auto"/>
          <w:sz w:val="24"/>
          <w:highlight w:val="none"/>
        </w:rPr>
      </w:pPr>
      <w:bookmarkStart w:id="606" w:name="_Toc256000032"/>
      <w:bookmarkStart w:id="607" w:name="_Toc480368660"/>
      <w:bookmarkStart w:id="608" w:name="_Toc480368431"/>
      <w:bookmarkStart w:id="609" w:name="_Toc30648"/>
      <w:bookmarkStart w:id="610" w:name="_Toc256000075"/>
      <w:bookmarkStart w:id="611" w:name="_Toc480371728"/>
      <w:bookmarkStart w:id="612" w:name="_Toc480368602"/>
      <w:bookmarkStart w:id="613" w:name="_Toc468535489"/>
      <w:r>
        <w:rPr>
          <w:rFonts w:hint="eastAsia" w:ascii="仿宋" w:hAnsi="仿宋" w:eastAsia="仿宋" w:cs="仿宋"/>
          <w:b/>
          <w:color w:val="auto"/>
          <w:szCs w:val="21"/>
          <w:highlight w:val="none"/>
        </w:rPr>
        <w:t>1）</w:t>
      </w:r>
      <w:r>
        <w:rPr>
          <w:rFonts w:hint="eastAsia" w:ascii="仿宋" w:hAnsi="仿宋" w:eastAsia="仿宋" w:cs="仿宋"/>
          <w:b/>
          <w:color w:val="auto"/>
          <w:sz w:val="24"/>
          <w:highlight w:val="none"/>
        </w:rPr>
        <w:t>环境标志产品明细表</w:t>
      </w:r>
    </w:p>
    <w:p>
      <w:pPr>
        <w:pStyle w:val="147"/>
        <w:spacing w:line="360" w:lineRule="auto"/>
        <w:ind w:left="0" w:leftChars="0" w:firstLine="0" w:firstLineChars="0"/>
        <w:rPr>
          <w:rFonts w:ascii="仿宋" w:hAnsi="仿宋" w:eastAsia="仿宋" w:cs="仿宋"/>
          <w:color w:val="auto"/>
          <w:highlight w:val="none"/>
        </w:rPr>
      </w:pPr>
      <w:r>
        <w:rPr>
          <w:rFonts w:hint="eastAsia" w:ascii="仿宋" w:hAnsi="仿宋" w:eastAsia="仿宋" w:cs="仿宋"/>
          <w:color w:val="auto"/>
          <w:highlight w:val="none"/>
        </w:rPr>
        <w:t>项目编号、包号：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价格单位：元</w:t>
      </w:r>
    </w:p>
    <w:tbl>
      <w:tblPr>
        <w:tblStyle w:val="23"/>
        <w:tblW w:w="10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1157"/>
        <w:gridCol w:w="1331"/>
        <w:gridCol w:w="1331"/>
        <w:gridCol w:w="1331"/>
        <w:gridCol w:w="1791"/>
        <w:gridCol w:w="1830"/>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 w:type="dxa"/>
            <w:tcBorders>
              <w:top w:val="single" w:color="auto" w:sz="12" w:space="0"/>
              <w:left w:val="single" w:color="auto" w:sz="12" w:space="0"/>
            </w:tcBorders>
          </w:tcPr>
          <w:p>
            <w:pPr>
              <w:pStyle w:val="38"/>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157" w:type="dxa"/>
            <w:tcBorders>
              <w:top w:val="single" w:color="auto" w:sz="12" w:space="0"/>
            </w:tcBorders>
          </w:tcPr>
          <w:p>
            <w:pPr>
              <w:pStyle w:val="38"/>
              <w:tabs>
                <w:tab w:val="left" w:pos="60"/>
                <w:tab w:val="center" w:pos="4777"/>
              </w:tabs>
              <w:spacing w:line="360" w:lineRule="auto"/>
              <w:ind w:right="-8440" w:rightChars="-4019"/>
              <w:jc w:val="left"/>
              <w:rPr>
                <w:rFonts w:ascii="仿宋" w:hAnsi="仿宋" w:eastAsia="仿宋" w:cs="仿宋"/>
                <w:color w:val="auto"/>
                <w:sz w:val="24"/>
                <w:highlight w:val="none"/>
              </w:rPr>
            </w:pP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产品名称</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t>产品名称</w:t>
            </w:r>
          </w:p>
        </w:tc>
        <w:tc>
          <w:tcPr>
            <w:tcW w:w="1331" w:type="dxa"/>
            <w:tcBorders>
              <w:top w:val="single" w:color="auto" w:sz="12" w:space="0"/>
            </w:tcBorders>
          </w:tcPr>
          <w:p>
            <w:pPr>
              <w:pStyle w:val="38"/>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企业名称</w:t>
            </w:r>
          </w:p>
        </w:tc>
        <w:tc>
          <w:tcPr>
            <w:tcW w:w="1331" w:type="dxa"/>
            <w:tcBorders>
              <w:top w:val="single" w:color="auto" w:sz="12" w:space="0"/>
            </w:tcBorders>
          </w:tcPr>
          <w:p>
            <w:pPr>
              <w:pStyle w:val="38"/>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注册商标</w:t>
            </w:r>
          </w:p>
        </w:tc>
        <w:tc>
          <w:tcPr>
            <w:tcW w:w="1331" w:type="dxa"/>
            <w:tcBorders>
              <w:top w:val="single" w:color="auto" w:sz="12" w:space="0"/>
            </w:tcBorders>
          </w:tcPr>
          <w:p>
            <w:pPr>
              <w:pStyle w:val="38"/>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产品型号</w:t>
            </w:r>
          </w:p>
        </w:tc>
        <w:tc>
          <w:tcPr>
            <w:tcW w:w="1791" w:type="dxa"/>
            <w:tcBorders>
              <w:top w:val="single" w:color="auto" w:sz="12" w:space="0"/>
            </w:tcBorders>
          </w:tcPr>
          <w:p>
            <w:pPr>
              <w:pStyle w:val="38"/>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中国环境标志认证证书编号</w:t>
            </w:r>
          </w:p>
        </w:tc>
        <w:tc>
          <w:tcPr>
            <w:tcW w:w="1830" w:type="dxa"/>
            <w:tcBorders>
              <w:top w:val="single" w:color="auto" w:sz="12" w:space="0"/>
            </w:tcBorders>
          </w:tcPr>
          <w:p>
            <w:pPr>
              <w:pStyle w:val="38"/>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认证证书有效截止日期</w:t>
            </w:r>
          </w:p>
        </w:tc>
        <w:tc>
          <w:tcPr>
            <w:tcW w:w="955" w:type="dxa"/>
            <w:tcBorders>
              <w:top w:val="single" w:color="auto" w:sz="12" w:space="0"/>
              <w:right w:val="single" w:color="auto" w:sz="12" w:space="0"/>
            </w:tcBorders>
          </w:tcPr>
          <w:p>
            <w:pPr>
              <w:pStyle w:val="38"/>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32" w:type="dxa"/>
            <w:tcBorders>
              <w:left w:val="single" w:color="auto" w:sz="12" w:space="0"/>
            </w:tcBorders>
          </w:tcPr>
          <w:p>
            <w:pPr>
              <w:pStyle w:val="38"/>
              <w:spacing w:line="360" w:lineRule="auto"/>
              <w:jc w:val="center"/>
              <w:rPr>
                <w:rFonts w:ascii="仿宋" w:hAnsi="仿宋" w:eastAsia="仿宋" w:cs="仿宋"/>
                <w:color w:val="auto"/>
                <w:sz w:val="24"/>
                <w:highlight w:val="none"/>
              </w:rPr>
            </w:pPr>
          </w:p>
          <w:p>
            <w:pPr>
              <w:pStyle w:val="38"/>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157" w:type="dxa"/>
          </w:tcPr>
          <w:p>
            <w:pPr>
              <w:pStyle w:val="38"/>
              <w:spacing w:line="360" w:lineRule="auto"/>
              <w:ind w:right="480"/>
              <w:rPr>
                <w:rFonts w:ascii="仿宋" w:hAnsi="仿宋" w:eastAsia="仿宋" w:cs="仿宋"/>
                <w:color w:val="auto"/>
                <w:sz w:val="24"/>
                <w:highlight w:val="none"/>
              </w:rPr>
            </w:pPr>
          </w:p>
        </w:tc>
        <w:tc>
          <w:tcPr>
            <w:tcW w:w="1331" w:type="dxa"/>
          </w:tcPr>
          <w:p>
            <w:pPr>
              <w:pStyle w:val="38"/>
              <w:spacing w:line="360" w:lineRule="auto"/>
              <w:ind w:right="480"/>
              <w:rPr>
                <w:rFonts w:ascii="仿宋" w:hAnsi="仿宋" w:eastAsia="仿宋" w:cs="仿宋"/>
                <w:color w:val="auto"/>
                <w:sz w:val="24"/>
                <w:highlight w:val="none"/>
              </w:rPr>
            </w:pPr>
          </w:p>
        </w:tc>
        <w:tc>
          <w:tcPr>
            <w:tcW w:w="1331" w:type="dxa"/>
          </w:tcPr>
          <w:p>
            <w:pPr>
              <w:pStyle w:val="38"/>
              <w:spacing w:line="360" w:lineRule="auto"/>
              <w:ind w:right="480"/>
              <w:rPr>
                <w:rFonts w:ascii="仿宋" w:hAnsi="仿宋" w:eastAsia="仿宋" w:cs="仿宋"/>
                <w:color w:val="auto"/>
                <w:sz w:val="24"/>
                <w:highlight w:val="none"/>
              </w:rPr>
            </w:pPr>
          </w:p>
        </w:tc>
        <w:tc>
          <w:tcPr>
            <w:tcW w:w="1331" w:type="dxa"/>
          </w:tcPr>
          <w:p>
            <w:pPr>
              <w:pStyle w:val="38"/>
              <w:spacing w:line="360" w:lineRule="auto"/>
              <w:ind w:right="480"/>
              <w:rPr>
                <w:rFonts w:ascii="仿宋" w:hAnsi="仿宋" w:eastAsia="仿宋" w:cs="仿宋"/>
                <w:color w:val="auto"/>
                <w:sz w:val="24"/>
                <w:highlight w:val="none"/>
              </w:rPr>
            </w:pPr>
          </w:p>
        </w:tc>
        <w:tc>
          <w:tcPr>
            <w:tcW w:w="1791" w:type="dxa"/>
          </w:tcPr>
          <w:p>
            <w:pPr>
              <w:pStyle w:val="38"/>
              <w:spacing w:line="360" w:lineRule="auto"/>
              <w:ind w:right="480"/>
              <w:rPr>
                <w:rFonts w:ascii="仿宋" w:hAnsi="仿宋" w:eastAsia="仿宋" w:cs="仿宋"/>
                <w:color w:val="auto"/>
                <w:sz w:val="24"/>
                <w:highlight w:val="none"/>
              </w:rPr>
            </w:pPr>
          </w:p>
        </w:tc>
        <w:tc>
          <w:tcPr>
            <w:tcW w:w="1830" w:type="dxa"/>
          </w:tcPr>
          <w:p>
            <w:pPr>
              <w:pStyle w:val="38"/>
              <w:spacing w:line="360" w:lineRule="auto"/>
              <w:ind w:right="480"/>
              <w:rPr>
                <w:rFonts w:ascii="仿宋" w:hAnsi="仿宋" w:eastAsia="仿宋" w:cs="仿宋"/>
                <w:color w:val="auto"/>
                <w:sz w:val="24"/>
                <w:highlight w:val="none"/>
              </w:rPr>
            </w:pPr>
          </w:p>
        </w:tc>
        <w:tc>
          <w:tcPr>
            <w:tcW w:w="955" w:type="dxa"/>
            <w:tcBorders>
              <w:right w:val="single" w:color="auto" w:sz="12" w:space="0"/>
            </w:tcBorders>
          </w:tcPr>
          <w:p>
            <w:pPr>
              <w:pStyle w:val="38"/>
              <w:spacing w:line="360" w:lineRule="auto"/>
              <w:ind w:right="48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32" w:type="dxa"/>
            <w:tcBorders>
              <w:left w:val="single" w:color="auto" w:sz="12" w:space="0"/>
            </w:tcBorders>
          </w:tcPr>
          <w:p>
            <w:pPr>
              <w:pStyle w:val="38"/>
              <w:spacing w:line="360" w:lineRule="auto"/>
              <w:jc w:val="center"/>
              <w:rPr>
                <w:rFonts w:ascii="仿宋" w:hAnsi="仿宋" w:eastAsia="仿宋" w:cs="仿宋"/>
                <w:color w:val="auto"/>
                <w:sz w:val="24"/>
                <w:highlight w:val="none"/>
              </w:rPr>
            </w:pPr>
          </w:p>
          <w:p>
            <w:pPr>
              <w:pStyle w:val="38"/>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157" w:type="dxa"/>
          </w:tcPr>
          <w:p>
            <w:pPr>
              <w:pStyle w:val="38"/>
              <w:spacing w:line="360" w:lineRule="auto"/>
              <w:ind w:right="480"/>
              <w:rPr>
                <w:rFonts w:ascii="仿宋" w:hAnsi="仿宋" w:eastAsia="仿宋" w:cs="仿宋"/>
                <w:color w:val="auto"/>
                <w:sz w:val="24"/>
                <w:highlight w:val="none"/>
              </w:rPr>
            </w:pPr>
          </w:p>
        </w:tc>
        <w:tc>
          <w:tcPr>
            <w:tcW w:w="1331" w:type="dxa"/>
          </w:tcPr>
          <w:p>
            <w:pPr>
              <w:pStyle w:val="38"/>
              <w:spacing w:line="360" w:lineRule="auto"/>
              <w:ind w:right="480"/>
              <w:rPr>
                <w:rFonts w:ascii="仿宋" w:hAnsi="仿宋" w:eastAsia="仿宋" w:cs="仿宋"/>
                <w:color w:val="auto"/>
                <w:sz w:val="24"/>
                <w:highlight w:val="none"/>
              </w:rPr>
            </w:pPr>
          </w:p>
        </w:tc>
        <w:tc>
          <w:tcPr>
            <w:tcW w:w="1331" w:type="dxa"/>
          </w:tcPr>
          <w:p>
            <w:pPr>
              <w:pStyle w:val="38"/>
              <w:spacing w:line="360" w:lineRule="auto"/>
              <w:ind w:right="480"/>
              <w:rPr>
                <w:rFonts w:ascii="仿宋" w:hAnsi="仿宋" w:eastAsia="仿宋" w:cs="仿宋"/>
                <w:color w:val="auto"/>
                <w:sz w:val="24"/>
                <w:highlight w:val="none"/>
              </w:rPr>
            </w:pPr>
          </w:p>
        </w:tc>
        <w:tc>
          <w:tcPr>
            <w:tcW w:w="1331" w:type="dxa"/>
          </w:tcPr>
          <w:p>
            <w:pPr>
              <w:pStyle w:val="38"/>
              <w:spacing w:line="360" w:lineRule="auto"/>
              <w:ind w:right="480"/>
              <w:rPr>
                <w:rFonts w:ascii="仿宋" w:hAnsi="仿宋" w:eastAsia="仿宋" w:cs="仿宋"/>
                <w:color w:val="auto"/>
                <w:sz w:val="24"/>
                <w:highlight w:val="none"/>
              </w:rPr>
            </w:pPr>
          </w:p>
        </w:tc>
        <w:tc>
          <w:tcPr>
            <w:tcW w:w="1791" w:type="dxa"/>
          </w:tcPr>
          <w:p>
            <w:pPr>
              <w:pStyle w:val="38"/>
              <w:spacing w:line="360" w:lineRule="auto"/>
              <w:ind w:right="480"/>
              <w:rPr>
                <w:rFonts w:ascii="仿宋" w:hAnsi="仿宋" w:eastAsia="仿宋" w:cs="仿宋"/>
                <w:color w:val="auto"/>
                <w:sz w:val="24"/>
                <w:highlight w:val="none"/>
              </w:rPr>
            </w:pPr>
          </w:p>
        </w:tc>
        <w:tc>
          <w:tcPr>
            <w:tcW w:w="1830" w:type="dxa"/>
          </w:tcPr>
          <w:p>
            <w:pPr>
              <w:pStyle w:val="38"/>
              <w:spacing w:line="360" w:lineRule="auto"/>
              <w:ind w:right="480"/>
              <w:rPr>
                <w:rFonts w:ascii="仿宋" w:hAnsi="仿宋" w:eastAsia="仿宋" w:cs="仿宋"/>
                <w:color w:val="auto"/>
                <w:sz w:val="24"/>
                <w:highlight w:val="none"/>
              </w:rPr>
            </w:pPr>
          </w:p>
        </w:tc>
        <w:tc>
          <w:tcPr>
            <w:tcW w:w="955" w:type="dxa"/>
            <w:tcBorders>
              <w:right w:val="single" w:color="auto" w:sz="12" w:space="0"/>
            </w:tcBorders>
          </w:tcPr>
          <w:p>
            <w:pPr>
              <w:pStyle w:val="38"/>
              <w:spacing w:line="360" w:lineRule="auto"/>
              <w:ind w:right="48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32" w:type="dxa"/>
            <w:tcBorders>
              <w:left w:val="single" w:color="auto" w:sz="12" w:space="0"/>
            </w:tcBorders>
          </w:tcPr>
          <w:p>
            <w:pPr>
              <w:pStyle w:val="38"/>
              <w:spacing w:line="360" w:lineRule="auto"/>
              <w:jc w:val="center"/>
              <w:rPr>
                <w:rFonts w:ascii="仿宋" w:hAnsi="仿宋" w:eastAsia="仿宋" w:cs="仿宋"/>
                <w:color w:val="auto"/>
                <w:sz w:val="24"/>
                <w:highlight w:val="none"/>
              </w:rPr>
            </w:pPr>
          </w:p>
          <w:p>
            <w:pPr>
              <w:pStyle w:val="38"/>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1157" w:type="dxa"/>
          </w:tcPr>
          <w:p>
            <w:pPr>
              <w:pStyle w:val="38"/>
              <w:spacing w:line="360" w:lineRule="auto"/>
              <w:ind w:right="480"/>
              <w:rPr>
                <w:rFonts w:ascii="仿宋" w:hAnsi="仿宋" w:eastAsia="仿宋" w:cs="仿宋"/>
                <w:color w:val="auto"/>
                <w:sz w:val="24"/>
                <w:highlight w:val="none"/>
              </w:rPr>
            </w:pPr>
          </w:p>
          <w:p>
            <w:pPr>
              <w:pStyle w:val="38"/>
              <w:spacing w:line="360" w:lineRule="auto"/>
              <w:ind w:right="480"/>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p>
        </w:tc>
        <w:tc>
          <w:tcPr>
            <w:tcW w:w="1331" w:type="dxa"/>
          </w:tcPr>
          <w:p>
            <w:pPr>
              <w:pStyle w:val="38"/>
              <w:spacing w:line="360" w:lineRule="auto"/>
              <w:ind w:right="480"/>
              <w:rPr>
                <w:rFonts w:ascii="仿宋" w:hAnsi="仿宋" w:eastAsia="仿宋" w:cs="仿宋"/>
                <w:color w:val="auto"/>
                <w:sz w:val="24"/>
                <w:highlight w:val="none"/>
              </w:rPr>
            </w:pPr>
          </w:p>
        </w:tc>
        <w:tc>
          <w:tcPr>
            <w:tcW w:w="1331" w:type="dxa"/>
          </w:tcPr>
          <w:p>
            <w:pPr>
              <w:pStyle w:val="38"/>
              <w:spacing w:line="360" w:lineRule="auto"/>
              <w:ind w:right="480"/>
              <w:rPr>
                <w:rFonts w:ascii="仿宋" w:hAnsi="仿宋" w:eastAsia="仿宋" w:cs="仿宋"/>
                <w:color w:val="auto"/>
                <w:sz w:val="24"/>
                <w:highlight w:val="none"/>
              </w:rPr>
            </w:pPr>
          </w:p>
        </w:tc>
        <w:tc>
          <w:tcPr>
            <w:tcW w:w="1331" w:type="dxa"/>
          </w:tcPr>
          <w:p>
            <w:pPr>
              <w:pStyle w:val="38"/>
              <w:spacing w:line="360" w:lineRule="auto"/>
              <w:ind w:right="480"/>
              <w:rPr>
                <w:rFonts w:ascii="仿宋" w:hAnsi="仿宋" w:eastAsia="仿宋" w:cs="仿宋"/>
                <w:color w:val="auto"/>
                <w:sz w:val="24"/>
                <w:highlight w:val="none"/>
              </w:rPr>
            </w:pPr>
          </w:p>
        </w:tc>
        <w:tc>
          <w:tcPr>
            <w:tcW w:w="1791" w:type="dxa"/>
          </w:tcPr>
          <w:p>
            <w:pPr>
              <w:pStyle w:val="38"/>
              <w:spacing w:line="360" w:lineRule="auto"/>
              <w:ind w:right="480"/>
              <w:rPr>
                <w:rFonts w:ascii="仿宋" w:hAnsi="仿宋" w:eastAsia="仿宋" w:cs="仿宋"/>
                <w:color w:val="auto"/>
                <w:sz w:val="24"/>
                <w:highlight w:val="none"/>
              </w:rPr>
            </w:pPr>
          </w:p>
        </w:tc>
        <w:tc>
          <w:tcPr>
            <w:tcW w:w="1830" w:type="dxa"/>
          </w:tcPr>
          <w:p>
            <w:pPr>
              <w:pStyle w:val="38"/>
              <w:spacing w:line="360" w:lineRule="auto"/>
              <w:ind w:right="480"/>
              <w:rPr>
                <w:rFonts w:ascii="仿宋" w:hAnsi="仿宋" w:eastAsia="仿宋" w:cs="仿宋"/>
                <w:color w:val="auto"/>
                <w:sz w:val="24"/>
                <w:highlight w:val="none"/>
              </w:rPr>
            </w:pPr>
          </w:p>
        </w:tc>
        <w:tc>
          <w:tcPr>
            <w:tcW w:w="955" w:type="dxa"/>
            <w:tcBorders>
              <w:right w:val="single" w:color="auto" w:sz="12" w:space="0"/>
            </w:tcBorders>
          </w:tcPr>
          <w:p>
            <w:pPr>
              <w:pStyle w:val="38"/>
              <w:spacing w:line="360" w:lineRule="auto"/>
              <w:ind w:right="48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32" w:type="dxa"/>
            <w:tcBorders>
              <w:left w:val="single" w:color="auto" w:sz="12" w:space="0"/>
            </w:tcBorders>
          </w:tcPr>
          <w:p>
            <w:pPr>
              <w:pStyle w:val="38"/>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1157" w:type="dxa"/>
          </w:tcPr>
          <w:p>
            <w:pPr>
              <w:pStyle w:val="38"/>
              <w:spacing w:line="360" w:lineRule="auto"/>
              <w:ind w:right="480"/>
              <w:rPr>
                <w:rFonts w:ascii="仿宋" w:hAnsi="仿宋" w:eastAsia="仿宋" w:cs="仿宋"/>
                <w:color w:val="auto"/>
                <w:sz w:val="24"/>
                <w:highlight w:val="none"/>
              </w:rPr>
            </w:pPr>
          </w:p>
        </w:tc>
        <w:tc>
          <w:tcPr>
            <w:tcW w:w="1331" w:type="dxa"/>
          </w:tcPr>
          <w:p>
            <w:pPr>
              <w:pStyle w:val="38"/>
              <w:spacing w:line="360" w:lineRule="auto"/>
              <w:ind w:right="480"/>
              <w:rPr>
                <w:rFonts w:ascii="仿宋" w:hAnsi="仿宋" w:eastAsia="仿宋" w:cs="仿宋"/>
                <w:color w:val="auto"/>
                <w:sz w:val="24"/>
                <w:highlight w:val="none"/>
              </w:rPr>
            </w:pPr>
          </w:p>
        </w:tc>
        <w:tc>
          <w:tcPr>
            <w:tcW w:w="1331" w:type="dxa"/>
          </w:tcPr>
          <w:p>
            <w:pPr>
              <w:pStyle w:val="38"/>
              <w:spacing w:line="360" w:lineRule="auto"/>
              <w:ind w:right="480"/>
              <w:rPr>
                <w:rFonts w:ascii="仿宋" w:hAnsi="仿宋" w:eastAsia="仿宋" w:cs="仿宋"/>
                <w:color w:val="auto"/>
                <w:sz w:val="24"/>
                <w:highlight w:val="none"/>
              </w:rPr>
            </w:pPr>
          </w:p>
        </w:tc>
        <w:tc>
          <w:tcPr>
            <w:tcW w:w="1331" w:type="dxa"/>
          </w:tcPr>
          <w:p>
            <w:pPr>
              <w:pStyle w:val="38"/>
              <w:spacing w:line="360" w:lineRule="auto"/>
              <w:ind w:right="480"/>
              <w:rPr>
                <w:rFonts w:ascii="仿宋" w:hAnsi="仿宋" w:eastAsia="仿宋" w:cs="仿宋"/>
                <w:color w:val="auto"/>
                <w:sz w:val="24"/>
                <w:highlight w:val="none"/>
              </w:rPr>
            </w:pPr>
          </w:p>
        </w:tc>
        <w:tc>
          <w:tcPr>
            <w:tcW w:w="1791" w:type="dxa"/>
          </w:tcPr>
          <w:p>
            <w:pPr>
              <w:pStyle w:val="38"/>
              <w:spacing w:line="360" w:lineRule="auto"/>
              <w:ind w:right="480"/>
              <w:rPr>
                <w:rFonts w:ascii="仿宋" w:hAnsi="仿宋" w:eastAsia="仿宋" w:cs="仿宋"/>
                <w:color w:val="auto"/>
                <w:sz w:val="24"/>
                <w:highlight w:val="none"/>
              </w:rPr>
            </w:pPr>
          </w:p>
        </w:tc>
        <w:tc>
          <w:tcPr>
            <w:tcW w:w="1830" w:type="dxa"/>
          </w:tcPr>
          <w:p>
            <w:pPr>
              <w:pStyle w:val="38"/>
              <w:spacing w:line="360" w:lineRule="auto"/>
              <w:ind w:right="480"/>
              <w:rPr>
                <w:rFonts w:ascii="仿宋" w:hAnsi="仿宋" w:eastAsia="仿宋" w:cs="仿宋"/>
                <w:color w:val="auto"/>
                <w:sz w:val="24"/>
                <w:highlight w:val="none"/>
              </w:rPr>
            </w:pPr>
          </w:p>
        </w:tc>
        <w:tc>
          <w:tcPr>
            <w:tcW w:w="955" w:type="dxa"/>
            <w:tcBorders>
              <w:right w:val="single" w:color="auto" w:sz="12" w:space="0"/>
            </w:tcBorders>
          </w:tcPr>
          <w:p>
            <w:pPr>
              <w:pStyle w:val="38"/>
              <w:spacing w:line="360" w:lineRule="auto"/>
              <w:ind w:right="48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32" w:type="dxa"/>
            <w:tcBorders>
              <w:left w:val="single" w:color="auto" w:sz="12" w:space="0"/>
              <w:bottom w:val="single" w:color="auto" w:sz="12" w:space="0"/>
            </w:tcBorders>
          </w:tcPr>
          <w:p>
            <w:pPr>
              <w:pStyle w:val="38"/>
              <w:spacing w:line="360" w:lineRule="auto"/>
              <w:ind w:right="480" w:firstLine="240" w:firstLineChars="100"/>
              <w:rPr>
                <w:rFonts w:ascii="仿宋" w:hAnsi="仿宋" w:eastAsia="仿宋" w:cs="仿宋"/>
                <w:color w:val="auto"/>
                <w:sz w:val="24"/>
                <w:highlight w:val="none"/>
              </w:rPr>
            </w:pPr>
          </w:p>
          <w:p>
            <w:pPr>
              <w:pStyle w:val="38"/>
              <w:spacing w:line="360" w:lineRule="auto"/>
              <w:ind w:right="480"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1157" w:type="dxa"/>
            <w:tcBorders>
              <w:bottom w:val="single" w:color="auto" w:sz="12" w:space="0"/>
            </w:tcBorders>
            <w:vAlign w:val="center"/>
          </w:tcPr>
          <w:p>
            <w:pPr>
              <w:pStyle w:val="38"/>
              <w:spacing w:line="360" w:lineRule="auto"/>
              <w:ind w:right="154" w:firstLine="120" w:firstLineChars="50"/>
              <w:jc w:val="center"/>
              <w:rPr>
                <w:rFonts w:ascii="仿宋" w:hAnsi="仿宋" w:eastAsia="仿宋" w:cs="仿宋"/>
                <w:color w:val="auto"/>
                <w:sz w:val="24"/>
                <w:highlight w:val="none"/>
              </w:rPr>
            </w:pPr>
            <w:r>
              <w:rPr>
                <w:rFonts w:hint="eastAsia" w:ascii="仿宋" w:hAnsi="仿宋" w:eastAsia="仿宋" w:cs="仿宋"/>
                <w:color w:val="auto"/>
                <w:sz w:val="24"/>
                <w:highlight w:val="none"/>
              </w:rPr>
              <w:t>合计</w:t>
            </w:r>
          </w:p>
        </w:tc>
        <w:tc>
          <w:tcPr>
            <w:tcW w:w="1331" w:type="dxa"/>
            <w:tcBorders>
              <w:bottom w:val="single" w:color="auto" w:sz="12" w:space="0"/>
            </w:tcBorders>
          </w:tcPr>
          <w:p>
            <w:pPr>
              <w:pStyle w:val="38"/>
              <w:spacing w:line="360" w:lineRule="auto"/>
              <w:ind w:right="480"/>
              <w:rPr>
                <w:rFonts w:ascii="仿宋" w:hAnsi="仿宋" w:eastAsia="仿宋" w:cs="仿宋"/>
                <w:color w:val="auto"/>
                <w:sz w:val="24"/>
                <w:highlight w:val="none"/>
              </w:rPr>
            </w:pPr>
          </w:p>
        </w:tc>
        <w:tc>
          <w:tcPr>
            <w:tcW w:w="1331" w:type="dxa"/>
            <w:tcBorders>
              <w:bottom w:val="single" w:color="auto" w:sz="12" w:space="0"/>
            </w:tcBorders>
          </w:tcPr>
          <w:p>
            <w:pPr>
              <w:pStyle w:val="38"/>
              <w:spacing w:line="360" w:lineRule="auto"/>
              <w:ind w:right="480"/>
              <w:rPr>
                <w:rFonts w:ascii="仿宋" w:hAnsi="仿宋" w:eastAsia="仿宋" w:cs="仿宋"/>
                <w:color w:val="auto"/>
                <w:sz w:val="24"/>
                <w:highlight w:val="none"/>
              </w:rPr>
            </w:pPr>
          </w:p>
        </w:tc>
        <w:tc>
          <w:tcPr>
            <w:tcW w:w="1331" w:type="dxa"/>
            <w:tcBorders>
              <w:bottom w:val="single" w:color="auto" w:sz="12" w:space="0"/>
            </w:tcBorders>
          </w:tcPr>
          <w:p>
            <w:pPr>
              <w:pStyle w:val="38"/>
              <w:spacing w:line="360" w:lineRule="auto"/>
              <w:ind w:right="480"/>
              <w:rPr>
                <w:rFonts w:ascii="仿宋" w:hAnsi="仿宋" w:eastAsia="仿宋" w:cs="仿宋"/>
                <w:color w:val="auto"/>
                <w:sz w:val="24"/>
                <w:highlight w:val="none"/>
              </w:rPr>
            </w:pPr>
          </w:p>
        </w:tc>
        <w:tc>
          <w:tcPr>
            <w:tcW w:w="1791" w:type="dxa"/>
            <w:tcBorders>
              <w:bottom w:val="single" w:color="auto" w:sz="12" w:space="0"/>
            </w:tcBorders>
          </w:tcPr>
          <w:p>
            <w:pPr>
              <w:pStyle w:val="38"/>
              <w:spacing w:line="360" w:lineRule="auto"/>
              <w:ind w:right="480"/>
              <w:rPr>
                <w:rFonts w:ascii="仿宋" w:hAnsi="仿宋" w:eastAsia="仿宋" w:cs="仿宋"/>
                <w:color w:val="auto"/>
                <w:sz w:val="24"/>
                <w:highlight w:val="none"/>
              </w:rPr>
            </w:pPr>
          </w:p>
        </w:tc>
        <w:tc>
          <w:tcPr>
            <w:tcW w:w="1830" w:type="dxa"/>
            <w:tcBorders>
              <w:bottom w:val="single" w:color="auto" w:sz="12" w:space="0"/>
            </w:tcBorders>
          </w:tcPr>
          <w:p>
            <w:pPr>
              <w:pStyle w:val="38"/>
              <w:spacing w:line="360" w:lineRule="auto"/>
              <w:ind w:right="480"/>
              <w:rPr>
                <w:rFonts w:ascii="仿宋" w:hAnsi="仿宋" w:eastAsia="仿宋" w:cs="仿宋"/>
                <w:color w:val="auto"/>
                <w:sz w:val="24"/>
                <w:highlight w:val="none"/>
              </w:rPr>
            </w:pPr>
          </w:p>
        </w:tc>
        <w:tc>
          <w:tcPr>
            <w:tcW w:w="955" w:type="dxa"/>
            <w:tcBorders>
              <w:bottom w:val="single" w:color="auto" w:sz="12" w:space="0"/>
              <w:right w:val="single" w:color="auto" w:sz="12" w:space="0"/>
            </w:tcBorders>
          </w:tcPr>
          <w:p>
            <w:pPr>
              <w:pStyle w:val="38"/>
              <w:spacing w:line="360" w:lineRule="auto"/>
              <w:ind w:right="480"/>
              <w:rPr>
                <w:rFonts w:ascii="仿宋" w:hAnsi="仿宋" w:eastAsia="仿宋" w:cs="仿宋"/>
                <w:color w:val="auto"/>
                <w:sz w:val="24"/>
                <w:highlight w:val="none"/>
              </w:rPr>
            </w:pPr>
          </w:p>
        </w:tc>
      </w:tr>
    </w:tbl>
    <w:p>
      <w:pPr>
        <w:pStyle w:val="38"/>
        <w:spacing w:line="360" w:lineRule="auto"/>
        <w:ind w:right="-88"/>
        <w:rPr>
          <w:rFonts w:ascii="仿宋" w:hAnsi="仿宋" w:eastAsia="仿宋" w:cs="仿宋"/>
          <w:color w:val="auto"/>
          <w:sz w:val="24"/>
          <w:highlight w:val="none"/>
        </w:rPr>
      </w:pPr>
    </w:p>
    <w:p>
      <w:pPr>
        <w:pStyle w:val="38"/>
        <w:spacing w:line="360" w:lineRule="auto"/>
        <w:ind w:right="-88"/>
        <w:rPr>
          <w:rFonts w:ascii="仿宋" w:hAnsi="仿宋" w:eastAsia="仿宋" w:cs="仿宋"/>
          <w:color w:val="auto"/>
          <w:sz w:val="24"/>
          <w:highlight w:val="none"/>
        </w:rPr>
      </w:pPr>
      <w:r>
        <w:rPr>
          <w:rFonts w:hint="eastAsia" w:ascii="仿宋" w:hAnsi="仿宋" w:eastAsia="仿宋" w:cs="仿宋"/>
          <w:color w:val="auto"/>
          <w:sz w:val="24"/>
          <w:highlight w:val="none"/>
        </w:rPr>
        <w:t>说明：</w:t>
      </w:r>
    </w:p>
    <w:p>
      <w:pPr>
        <w:pStyle w:val="38"/>
        <w:spacing w:line="360" w:lineRule="auto"/>
        <w:ind w:right="-88"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依据财政部、国家发展改革委、生态环境部、市场监管总局《关于调整优化节能产品、环境标志产品政府采购执行机制的通知》（财库[2019]9号文）；财政部、生态环境部《关于印发环境标志产品政府采购品目清单的通知》（财库[2019]18号文）确定。</w:t>
      </w:r>
    </w:p>
    <w:p>
      <w:pPr>
        <w:pStyle w:val="38"/>
        <w:spacing w:line="360" w:lineRule="auto"/>
        <w:ind w:right="-88"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2、如所投产品为环境标志认证产品，须按环境标志产品明细表格式内容逐项填写，否则评分时不予认可。如所投产品不是环境标志产品，可不填此表。</w:t>
      </w:r>
    </w:p>
    <w:p>
      <w:pPr>
        <w:pStyle w:val="38"/>
        <w:spacing w:line="360" w:lineRule="auto"/>
        <w:ind w:right="-88"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3、在本表后附环境标志产品认证证书，否则评分时不予认可。</w:t>
      </w:r>
    </w:p>
    <w:p>
      <w:pPr>
        <w:pStyle w:val="38"/>
        <w:rPr>
          <w:rFonts w:ascii="仿宋" w:hAnsi="仿宋" w:eastAsia="仿宋" w:cs="仿宋"/>
          <w:b/>
          <w:color w:val="auto"/>
          <w:sz w:val="24"/>
          <w:highlight w:val="none"/>
        </w:rPr>
      </w:pPr>
      <w:r>
        <w:rPr>
          <w:rFonts w:hint="eastAsia" w:ascii="仿宋" w:hAnsi="仿宋" w:eastAsia="仿宋" w:cs="仿宋"/>
          <w:color w:val="auto"/>
          <w:sz w:val="24"/>
          <w:highlight w:val="none"/>
        </w:rPr>
        <w:br w:type="page"/>
      </w:r>
      <w:r>
        <w:rPr>
          <w:rFonts w:hint="eastAsia" w:ascii="仿宋" w:hAnsi="仿宋" w:eastAsia="仿宋" w:cs="仿宋"/>
          <w:color w:val="auto"/>
          <w:sz w:val="24"/>
          <w:highlight w:val="none"/>
        </w:rPr>
        <w:t>2）</w:t>
      </w:r>
      <w:r>
        <w:rPr>
          <w:rFonts w:hint="eastAsia" w:ascii="仿宋" w:hAnsi="仿宋" w:eastAsia="仿宋" w:cs="仿宋"/>
          <w:b/>
          <w:color w:val="auto"/>
          <w:sz w:val="24"/>
          <w:highlight w:val="none"/>
        </w:rPr>
        <w:t>节能产品明细表</w:t>
      </w:r>
    </w:p>
    <w:p>
      <w:pPr>
        <w:pStyle w:val="147"/>
        <w:spacing w:line="360" w:lineRule="auto"/>
        <w:ind w:left="0" w:leftChars="0" w:firstLine="0" w:firstLineChars="0"/>
        <w:rPr>
          <w:rFonts w:ascii="仿宋" w:hAnsi="仿宋" w:eastAsia="仿宋" w:cs="仿宋"/>
          <w:color w:val="auto"/>
          <w:highlight w:val="none"/>
        </w:rPr>
      </w:pPr>
      <w:r>
        <w:rPr>
          <w:rFonts w:hint="eastAsia" w:ascii="仿宋" w:hAnsi="仿宋" w:eastAsia="仿宋" w:cs="仿宋"/>
          <w:color w:val="auto"/>
          <w:highlight w:val="none"/>
        </w:rPr>
        <w:t>项目编号、包号：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价格单位：元</w:t>
      </w:r>
    </w:p>
    <w:tbl>
      <w:tblPr>
        <w:tblStyle w:val="23"/>
        <w:tblW w:w="10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524"/>
        <w:gridCol w:w="1337"/>
        <w:gridCol w:w="1483"/>
        <w:gridCol w:w="1791"/>
        <w:gridCol w:w="2265"/>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tcBorders>
              <w:top w:val="single" w:color="auto" w:sz="12" w:space="0"/>
              <w:left w:val="single" w:color="auto" w:sz="12" w:space="0"/>
            </w:tcBorders>
          </w:tcPr>
          <w:p>
            <w:pPr>
              <w:pStyle w:val="38"/>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524" w:type="dxa"/>
            <w:tcBorders>
              <w:top w:val="single" w:color="auto" w:sz="12" w:space="0"/>
            </w:tcBorders>
          </w:tcPr>
          <w:p>
            <w:pPr>
              <w:pStyle w:val="38"/>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产品名称</w:t>
            </w:r>
          </w:p>
        </w:tc>
        <w:tc>
          <w:tcPr>
            <w:tcW w:w="1337" w:type="dxa"/>
            <w:tcBorders>
              <w:top w:val="single" w:color="auto" w:sz="12" w:space="0"/>
            </w:tcBorders>
          </w:tcPr>
          <w:p>
            <w:pPr>
              <w:pStyle w:val="38"/>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制造商</w:t>
            </w:r>
          </w:p>
        </w:tc>
        <w:tc>
          <w:tcPr>
            <w:tcW w:w="1483" w:type="dxa"/>
            <w:tcBorders>
              <w:top w:val="single" w:color="auto" w:sz="12" w:space="0"/>
            </w:tcBorders>
          </w:tcPr>
          <w:p>
            <w:pPr>
              <w:pStyle w:val="38"/>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产品型号</w:t>
            </w:r>
          </w:p>
        </w:tc>
        <w:tc>
          <w:tcPr>
            <w:tcW w:w="1791" w:type="dxa"/>
            <w:tcBorders>
              <w:top w:val="single" w:color="auto" w:sz="12" w:space="0"/>
            </w:tcBorders>
          </w:tcPr>
          <w:p>
            <w:pPr>
              <w:pStyle w:val="38"/>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节能标志认证证书号</w:t>
            </w:r>
          </w:p>
        </w:tc>
        <w:tc>
          <w:tcPr>
            <w:tcW w:w="2265" w:type="dxa"/>
            <w:tcBorders>
              <w:top w:val="single" w:color="auto" w:sz="12" w:space="0"/>
            </w:tcBorders>
          </w:tcPr>
          <w:p>
            <w:pPr>
              <w:pStyle w:val="38"/>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节能产品认证证书有效截止日期</w:t>
            </w:r>
          </w:p>
        </w:tc>
        <w:tc>
          <w:tcPr>
            <w:tcW w:w="1337" w:type="dxa"/>
            <w:tcBorders>
              <w:top w:val="single" w:color="auto" w:sz="12" w:space="0"/>
              <w:right w:val="single" w:color="auto" w:sz="12" w:space="0"/>
            </w:tcBorders>
          </w:tcPr>
          <w:p>
            <w:pPr>
              <w:pStyle w:val="38"/>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6" w:type="dxa"/>
            <w:tcBorders>
              <w:left w:val="single" w:color="auto" w:sz="12" w:space="0"/>
            </w:tcBorders>
          </w:tcPr>
          <w:p>
            <w:pPr>
              <w:pStyle w:val="38"/>
              <w:spacing w:line="360" w:lineRule="auto"/>
              <w:jc w:val="center"/>
              <w:rPr>
                <w:rFonts w:ascii="仿宋" w:hAnsi="仿宋" w:eastAsia="仿宋" w:cs="仿宋"/>
                <w:color w:val="auto"/>
                <w:sz w:val="24"/>
                <w:highlight w:val="none"/>
              </w:rPr>
            </w:pPr>
          </w:p>
          <w:p>
            <w:pPr>
              <w:pStyle w:val="38"/>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524" w:type="dxa"/>
          </w:tcPr>
          <w:p>
            <w:pPr>
              <w:pStyle w:val="38"/>
              <w:spacing w:line="360" w:lineRule="auto"/>
              <w:ind w:right="480"/>
              <w:rPr>
                <w:rFonts w:ascii="仿宋" w:hAnsi="仿宋" w:eastAsia="仿宋" w:cs="仿宋"/>
                <w:color w:val="auto"/>
                <w:sz w:val="24"/>
                <w:highlight w:val="none"/>
              </w:rPr>
            </w:pPr>
          </w:p>
        </w:tc>
        <w:tc>
          <w:tcPr>
            <w:tcW w:w="1337" w:type="dxa"/>
          </w:tcPr>
          <w:p>
            <w:pPr>
              <w:pStyle w:val="38"/>
              <w:spacing w:line="360" w:lineRule="auto"/>
              <w:ind w:right="480"/>
              <w:rPr>
                <w:rFonts w:ascii="仿宋" w:hAnsi="仿宋" w:eastAsia="仿宋" w:cs="仿宋"/>
                <w:color w:val="auto"/>
                <w:sz w:val="24"/>
                <w:highlight w:val="none"/>
              </w:rPr>
            </w:pPr>
          </w:p>
        </w:tc>
        <w:tc>
          <w:tcPr>
            <w:tcW w:w="1483" w:type="dxa"/>
          </w:tcPr>
          <w:p>
            <w:pPr>
              <w:pStyle w:val="38"/>
              <w:spacing w:line="360" w:lineRule="auto"/>
              <w:ind w:right="480"/>
              <w:rPr>
                <w:rFonts w:ascii="仿宋" w:hAnsi="仿宋" w:eastAsia="仿宋" w:cs="仿宋"/>
                <w:color w:val="auto"/>
                <w:sz w:val="24"/>
                <w:highlight w:val="none"/>
              </w:rPr>
            </w:pPr>
          </w:p>
        </w:tc>
        <w:tc>
          <w:tcPr>
            <w:tcW w:w="1791" w:type="dxa"/>
          </w:tcPr>
          <w:p>
            <w:pPr>
              <w:pStyle w:val="38"/>
              <w:spacing w:line="360" w:lineRule="auto"/>
              <w:ind w:right="480"/>
              <w:rPr>
                <w:rFonts w:ascii="仿宋" w:hAnsi="仿宋" w:eastAsia="仿宋" w:cs="仿宋"/>
                <w:color w:val="auto"/>
                <w:sz w:val="24"/>
                <w:highlight w:val="none"/>
              </w:rPr>
            </w:pPr>
          </w:p>
        </w:tc>
        <w:tc>
          <w:tcPr>
            <w:tcW w:w="2265" w:type="dxa"/>
          </w:tcPr>
          <w:p>
            <w:pPr>
              <w:pStyle w:val="38"/>
              <w:spacing w:line="360" w:lineRule="auto"/>
              <w:ind w:right="480"/>
              <w:rPr>
                <w:rFonts w:ascii="仿宋" w:hAnsi="仿宋" w:eastAsia="仿宋" w:cs="仿宋"/>
                <w:color w:val="auto"/>
                <w:sz w:val="24"/>
                <w:highlight w:val="none"/>
              </w:rPr>
            </w:pPr>
          </w:p>
        </w:tc>
        <w:tc>
          <w:tcPr>
            <w:tcW w:w="1337" w:type="dxa"/>
            <w:tcBorders>
              <w:right w:val="single" w:color="auto" w:sz="12" w:space="0"/>
            </w:tcBorders>
          </w:tcPr>
          <w:p>
            <w:pPr>
              <w:pStyle w:val="38"/>
              <w:spacing w:line="360" w:lineRule="auto"/>
              <w:ind w:right="48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6" w:type="dxa"/>
            <w:tcBorders>
              <w:left w:val="single" w:color="auto" w:sz="12" w:space="0"/>
            </w:tcBorders>
          </w:tcPr>
          <w:p>
            <w:pPr>
              <w:pStyle w:val="38"/>
              <w:spacing w:line="360" w:lineRule="auto"/>
              <w:jc w:val="center"/>
              <w:rPr>
                <w:rFonts w:ascii="仿宋" w:hAnsi="仿宋" w:eastAsia="仿宋" w:cs="仿宋"/>
                <w:color w:val="auto"/>
                <w:sz w:val="24"/>
                <w:highlight w:val="none"/>
              </w:rPr>
            </w:pPr>
          </w:p>
          <w:p>
            <w:pPr>
              <w:pStyle w:val="38"/>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524" w:type="dxa"/>
          </w:tcPr>
          <w:p>
            <w:pPr>
              <w:pStyle w:val="38"/>
              <w:spacing w:line="360" w:lineRule="auto"/>
              <w:ind w:right="480"/>
              <w:rPr>
                <w:rFonts w:ascii="仿宋" w:hAnsi="仿宋" w:eastAsia="仿宋" w:cs="仿宋"/>
                <w:color w:val="auto"/>
                <w:sz w:val="24"/>
                <w:highlight w:val="none"/>
              </w:rPr>
            </w:pPr>
          </w:p>
        </w:tc>
        <w:tc>
          <w:tcPr>
            <w:tcW w:w="1337" w:type="dxa"/>
          </w:tcPr>
          <w:p>
            <w:pPr>
              <w:pStyle w:val="38"/>
              <w:spacing w:line="360" w:lineRule="auto"/>
              <w:ind w:right="480"/>
              <w:rPr>
                <w:rFonts w:ascii="仿宋" w:hAnsi="仿宋" w:eastAsia="仿宋" w:cs="仿宋"/>
                <w:color w:val="auto"/>
                <w:sz w:val="24"/>
                <w:highlight w:val="none"/>
              </w:rPr>
            </w:pPr>
          </w:p>
        </w:tc>
        <w:tc>
          <w:tcPr>
            <w:tcW w:w="1483" w:type="dxa"/>
          </w:tcPr>
          <w:p>
            <w:pPr>
              <w:pStyle w:val="38"/>
              <w:spacing w:line="360" w:lineRule="auto"/>
              <w:ind w:right="480"/>
              <w:rPr>
                <w:rFonts w:ascii="仿宋" w:hAnsi="仿宋" w:eastAsia="仿宋" w:cs="仿宋"/>
                <w:color w:val="auto"/>
                <w:sz w:val="24"/>
                <w:highlight w:val="none"/>
              </w:rPr>
            </w:pPr>
          </w:p>
        </w:tc>
        <w:tc>
          <w:tcPr>
            <w:tcW w:w="1791" w:type="dxa"/>
          </w:tcPr>
          <w:p>
            <w:pPr>
              <w:pStyle w:val="38"/>
              <w:spacing w:line="360" w:lineRule="auto"/>
              <w:ind w:right="480"/>
              <w:rPr>
                <w:rFonts w:ascii="仿宋" w:hAnsi="仿宋" w:eastAsia="仿宋" w:cs="仿宋"/>
                <w:color w:val="auto"/>
                <w:sz w:val="24"/>
                <w:highlight w:val="none"/>
              </w:rPr>
            </w:pPr>
          </w:p>
        </w:tc>
        <w:tc>
          <w:tcPr>
            <w:tcW w:w="2265" w:type="dxa"/>
          </w:tcPr>
          <w:p>
            <w:pPr>
              <w:pStyle w:val="38"/>
              <w:spacing w:line="360" w:lineRule="auto"/>
              <w:ind w:right="480"/>
              <w:rPr>
                <w:rFonts w:ascii="仿宋" w:hAnsi="仿宋" w:eastAsia="仿宋" w:cs="仿宋"/>
                <w:color w:val="auto"/>
                <w:sz w:val="24"/>
                <w:highlight w:val="none"/>
              </w:rPr>
            </w:pPr>
          </w:p>
        </w:tc>
        <w:tc>
          <w:tcPr>
            <w:tcW w:w="1337" w:type="dxa"/>
            <w:tcBorders>
              <w:right w:val="single" w:color="auto" w:sz="12" w:space="0"/>
            </w:tcBorders>
          </w:tcPr>
          <w:p>
            <w:pPr>
              <w:pStyle w:val="38"/>
              <w:spacing w:line="360" w:lineRule="auto"/>
              <w:ind w:right="48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6" w:type="dxa"/>
            <w:tcBorders>
              <w:left w:val="single" w:color="auto" w:sz="12" w:space="0"/>
            </w:tcBorders>
          </w:tcPr>
          <w:p>
            <w:pPr>
              <w:pStyle w:val="38"/>
              <w:spacing w:line="360" w:lineRule="auto"/>
              <w:jc w:val="center"/>
              <w:rPr>
                <w:rFonts w:ascii="仿宋" w:hAnsi="仿宋" w:eastAsia="仿宋" w:cs="仿宋"/>
                <w:color w:val="auto"/>
                <w:sz w:val="24"/>
                <w:highlight w:val="none"/>
              </w:rPr>
            </w:pPr>
          </w:p>
          <w:p>
            <w:pPr>
              <w:pStyle w:val="38"/>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1524" w:type="dxa"/>
          </w:tcPr>
          <w:p>
            <w:pPr>
              <w:pStyle w:val="38"/>
              <w:spacing w:line="360" w:lineRule="auto"/>
              <w:ind w:right="480" w:firstLine="480" w:firstLineChars="200"/>
              <w:rPr>
                <w:rFonts w:ascii="仿宋" w:hAnsi="仿宋" w:eastAsia="仿宋" w:cs="仿宋"/>
                <w:color w:val="auto"/>
                <w:sz w:val="24"/>
                <w:highlight w:val="none"/>
              </w:rPr>
            </w:pPr>
          </w:p>
          <w:p>
            <w:pPr>
              <w:pStyle w:val="38"/>
              <w:spacing w:line="360" w:lineRule="auto"/>
              <w:ind w:right="480" w:firstLine="600" w:firstLineChars="250"/>
              <w:rPr>
                <w:rFonts w:ascii="仿宋" w:hAnsi="仿宋" w:eastAsia="仿宋" w:cs="仿宋"/>
                <w:color w:val="auto"/>
                <w:sz w:val="24"/>
                <w:highlight w:val="none"/>
              </w:rPr>
            </w:pPr>
          </w:p>
        </w:tc>
        <w:tc>
          <w:tcPr>
            <w:tcW w:w="1337" w:type="dxa"/>
          </w:tcPr>
          <w:p>
            <w:pPr>
              <w:pStyle w:val="38"/>
              <w:spacing w:line="360" w:lineRule="auto"/>
              <w:ind w:right="480"/>
              <w:rPr>
                <w:rFonts w:ascii="仿宋" w:hAnsi="仿宋" w:eastAsia="仿宋" w:cs="仿宋"/>
                <w:color w:val="auto"/>
                <w:sz w:val="24"/>
                <w:highlight w:val="none"/>
              </w:rPr>
            </w:pPr>
          </w:p>
        </w:tc>
        <w:tc>
          <w:tcPr>
            <w:tcW w:w="1483" w:type="dxa"/>
          </w:tcPr>
          <w:p>
            <w:pPr>
              <w:pStyle w:val="38"/>
              <w:spacing w:line="360" w:lineRule="auto"/>
              <w:ind w:right="480"/>
              <w:rPr>
                <w:rFonts w:ascii="仿宋" w:hAnsi="仿宋" w:eastAsia="仿宋" w:cs="仿宋"/>
                <w:color w:val="auto"/>
                <w:sz w:val="24"/>
                <w:highlight w:val="none"/>
              </w:rPr>
            </w:pPr>
          </w:p>
        </w:tc>
        <w:tc>
          <w:tcPr>
            <w:tcW w:w="1791" w:type="dxa"/>
          </w:tcPr>
          <w:p>
            <w:pPr>
              <w:pStyle w:val="38"/>
              <w:spacing w:line="360" w:lineRule="auto"/>
              <w:ind w:right="480"/>
              <w:rPr>
                <w:rFonts w:ascii="仿宋" w:hAnsi="仿宋" w:eastAsia="仿宋" w:cs="仿宋"/>
                <w:color w:val="auto"/>
                <w:sz w:val="24"/>
                <w:highlight w:val="none"/>
              </w:rPr>
            </w:pPr>
          </w:p>
        </w:tc>
        <w:tc>
          <w:tcPr>
            <w:tcW w:w="2265" w:type="dxa"/>
          </w:tcPr>
          <w:p>
            <w:pPr>
              <w:pStyle w:val="38"/>
              <w:spacing w:line="360" w:lineRule="auto"/>
              <w:ind w:right="480"/>
              <w:rPr>
                <w:rFonts w:ascii="仿宋" w:hAnsi="仿宋" w:eastAsia="仿宋" w:cs="仿宋"/>
                <w:color w:val="auto"/>
                <w:sz w:val="24"/>
                <w:highlight w:val="none"/>
              </w:rPr>
            </w:pPr>
          </w:p>
        </w:tc>
        <w:tc>
          <w:tcPr>
            <w:tcW w:w="1337" w:type="dxa"/>
            <w:tcBorders>
              <w:right w:val="single" w:color="auto" w:sz="12" w:space="0"/>
            </w:tcBorders>
          </w:tcPr>
          <w:p>
            <w:pPr>
              <w:pStyle w:val="38"/>
              <w:spacing w:line="360" w:lineRule="auto"/>
              <w:ind w:right="48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76" w:type="dxa"/>
            <w:tcBorders>
              <w:left w:val="single" w:color="auto" w:sz="12" w:space="0"/>
            </w:tcBorders>
          </w:tcPr>
          <w:p>
            <w:pPr>
              <w:pStyle w:val="38"/>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1524" w:type="dxa"/>
          </w:tcPr>
          <w:p>
            <w:pPr>
              <w:pStyle w:val="38"/>
              <w:spacing w:line="360" w:lineRule="auto"/>
              <w:ind w:right="480" w:firstLine="600" w:firstLineChars="250"/>
              <w:rPr>
                <w:rFonts w:ascii="仿宋" w:hAnsi="仿宋" w:eastAsia="仿宋" w:cs="仿宋"/>
                <w:color w:val="auto"/>
                <w:sz w:val="24"/>
                <w:highlight w:val="none"/>
              </w:rPr>
            </w:pPr>
          </w:p>
        </w:tc>
        <w:tc>
          <w:tcPr>
            <w:tcW w:w="1337" w:type="dxa"/>
          </w:tcPr>
          <w:p>
            <w:pPr>
              <w:pStyle w:val="38"/>
              <w:spacing w:line="360" w:lineRule="auto"/>
              <w:ind w:right="480"/>
              <w:rPr>
                <w:rFonts w:ascii="仿宋" w:hAnsi="仿宋" w:eastAsia="仿宋" w:cs="仿宋"/>
                <w:color w:val="auto"/>
                <w:sz w:val="24"/>
                <w:highlight w:val="none"/>
              </w:rPr>
            </w:pPr>
          </w:p>
        </w:tc>
        <w:tc>
          <w:tcPr>
            <w:tcW w:w="1483" w:type="dxa"/>
          </w:tcPr>
          <w:p>
            <w:pPr>
              <w:pStyle w:val="38"/>
              <w:spacing w:line="360" w:lineRule="auto"/>
              <w:ind w:right="480"/>
              <w:rPr>
                <w:rFonts w:ascii="仿宋" w:hAnsi="仿宋" w:eastAsia="仿宋" w:cs="仿宋"/>
                <w:color w:val="auto"/>
                <w:sz w:val="24"/>
                <w:highlight w:val="none"/>
              </w:rPr>
            </w:pPr>
          </w:p>
        </w:tc>
        <w:tc>
          <w:tcPr>
            <w:tcW w:w="1791" w:type="dxa"/>
          </w:tcPr>
          <w:p>
            <w:pPr>
              <w:pStyle w:val="38"/>
              <w:spacing w:line="360" w:lineRule="auto"/>
              <w:ind w:right="480"/>
              <w:rPr>
                <w:rFonts w:ascii="仿宋" w:hAnsi="仿宋" w:eastAsia="仿宋" w:cs="仿宋"/>
                <w:color w:val="auto"/>
                <w:sz w:val="24"/>
                <w:highlight w:val="none"/>
              </w:rPr>
            </w:pPr>
          </w:p>
        </w:tc>
        <w:tc>
          <w:tcPr>
            <w:tcW w:w="2265" w:type="dxa"/>
          </w:tcPr>
          <w:p>
            <w:pPr>
              <w:pStyle w:val="38"/>
              <w:spacing w:line="360" w:lineRule="auto"/>
              <w:ind w:right="480"/>
              <w:rPr>
                <w:rFonts w:ascii="仿宋" w:hAnsi="仿宋" w:eastAsia="仿宋" w:cs="仿宋"/>
                <w:color w:val="auto"/>
                <w:sz w:val="24"/>
                <w:highlight w:val="none"/>
              </w:rPr>
            </w:pPr>
          </w:p>
        </w:tc>
        <w:tc>
          <w:tcPr>
            <w:tcW w:w="1337" w:type="dxa"/>
            <w:tcBorders>
              <w:right w:val="single" w:color="auto" w:sz="12" w:space="0"/>
            </w:tcBorders>
          </w:tcPr>
          <w:p>
            <w:pPr>
              <w:pStyle w:val="38"/>
              <w:spacing w:line="360" w:lineRule="auto"/>
              <w:ind w:right="480"/>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76" w:type="dxa"/>
            <w:tcBorders>
              <w:left w:val="single" w:color="auto" w:sz="12" w:space="0"/>
              <w:bottom w:val="single" w:color="auto" w:sz="12" w:space="0"/>
            </w:tcBorders>
          </w:tcPr>
          <w:p>
            <w:pPr>
              <w:pStyle w:val="38"/>
              <w:spacing w:line="360" w:lineRule="auto"/>
              <w:jc w:val="center"/>
              <w:rPr>
                <w:rFonts w:ascii="仿宋" w:hAnsi="仿宋" w:eastAsia="仿宋" w:cs="仿宋"/>
                <w:color w:val="auto"/>
                <w:sz w:val="24"/>
                <w:highlight w:val="none"/>
              </w:rPr>
            </w:pPr>
          </w:p>
          <w:p>
            <w:pPr>
              <w:pStyle w:val="38"/>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1524" w:type="dxa"/>
            <w:tcBorders>
              <w:bottom w:val="single" w:color="auto" w:sz="12" w:space="0"/>
            </w:tcBorders>
            <w:vAlign w:val="center"/>
          </w:tcPr>
          <w:p>
            <w:pPr>
              <w:pStyle w:val="38"/>
              <w:spacing w:line="360" w:lineRule="auto"/>
              <w:ind w:right="83" w:firstLine="120" w:firstLineChars="50"/>
              <w:jc w:val="center"/>
              <w:rPr>
                <w:rFonts w:ascii="仿宋" w:hAnsi="仿宋" w:eastAsia="仿宋" w:cs="仿宋"/>
                <w:color w:val="auto"/>
                <w:sz w:val="24"/>
                <w:highlight w:val="none"/>
              </w:rPr>
            </w:pPr>
            <w:r>
              <w:rPr>
                <w:rFonts w:hint="eastAsia" w:ascii="仿宋" w:hAnsi="仿宋" w:eastAsia="仿宋" w:cs="仿宋"/>
                <w:color w:val="auto"/>
                <w:sz w:val="24"/>
                <w:highlight w:val="none"/>
              </w:rPr>
              <w:t>合计</w:t>
            </w:r>
          </w:p>
        </w:tc>
        <w:tc>
          <w:tcPr>
            <w:tcW w:w="1337" w:type="dxa"/>
            <w:tcBorders>
              <w:bottom w:val="single" w:color="auto" w:sz="12" w:space="0"/>
            </w:tcBorders>
          </w:tcPr>
          <w:p>
            <w:pPr>
              <w:pStyle w:val="38"/>
              <w:spacing w:line="360" w:lineRule="auto"/>
              <w:ind w:right="480"/>
              <w:rPr>
                <w:rFonts w:ascii="仿宋" w:hAnsi="仿宋" w:eastAsia="仿宋" w:cs="仿宋"/>
                <w:color w:val="auto"/>
                <w:sz w:val="24"/>
                <w:highlight w:val="none"/>
              </w:rPr>
            </w:pPr>
          </w:p>
        </w:tc>
        <w:tc>
          <w:tcPr>
            <w:tcW w:w="1483" w:type="dxa"/>
            <w:tcBorders>
              <w:bottom w:val="single" w:color="auto" w:sz="12" w:space="0"/>
            </w:tcBorders>
          </w:tcPr>
          <w:p>
            <w:pPr>
              <w:pStyle w:val="38"/>
              <w:spacing w:line="360" w:lineRule="auto"/>
              <w:ind w:right="480"/>
              <w:rPr>
                <w:rFonts w:ascii="仿宋" w:hAnsi="仿宋" w:eastAsia="仿宋" w:cs="仿宋"/>
                <w:color w:val="auto"/>
                <w:sz w:val="24"/>
                <w:highlight w:val="none"/>
              </w:rPr>
            </w:pPr>
          </w:p>
        </w:tc>
        <w:tc>
          <w:tcPr>
            <w:tcW w:w="1791" w:type="dxa"/>
            <w:tcBorders>
              <w:bottom w:val="single" w:color="auto" w:sz="12" w:space="0"/>
            </w:tcBorders>
          </w:tcPr>
          <w:p>
            <w:pPr>
              <w:pStyle w:val="38"/>
              <w:spacing w:line="360" w:lineRule="auto"/>
              <w:ind w:right="480"/>
              <w:rPr>
                <w:rFonts w:ascii="仿宋" w:hAnsi="仿宋" w:eastAsia="仿宋" w:cs="仿宋"/>
                <w:color w:val="auto"/>
                <w:sz w:val="24"/>
                <w:highlight w:val="none"/>
              </w:rPr>
            </w:pPr>
          </w:p>
        </w:tc>
        <w:tc>
          <w:tcPr>
            <w:tcW w:w="2265" w:type="dxa"/>
            <w:tcBorders>
              <w:bottom w:val="single" w:color="auto" w:sz="12" w:space="0"/>
            </w:tcBorders>
          </w:tcPr>
          <w:p>
            <w:pPr>
              <w:pStyle w:val="38"/>
              <w:spacing w:line="360" w:lineRule="auto"/>
              <w:ind w:right="480"/>
              <w:rPr>
                <w:rFonts w:ascii="仿宋" w:hAnsi="仿宋" w:eastAsia="仿宋" w:cs="仿宋"/>
                <w:color w:val="auto"/>
                <w:sz w:val="24"/>
                <w:highlight w:val="none"/>
              </w:rPr>
            </w:pPr>
          </w:p>
        </w:tc>
        <w:tc>
          <w:tcPr>
            <w:tcW w:w="1337" w:type="dxa"/>
            <w:tcBorders>
              <w:bottom w:val="single" w:color="auto" w:sz="12" w:space="0"/>
              <w:right w:val="single" w:color="auto" w:sz="12" w:space="0"/>
            </w:tcBorders>
          </w:tcPr>
          <w:p>
            <w:pPr>
              <w:pStyle w:val="38"/>
              <w:spacing w:line="360" w:lineRule="auto"/>
              <w:ind w:right="480"/>
              <w:rPr>
                <w:rFonts w:ascii="仿宋" w:hAnsi="仿宋" w:eastAsia="仿宋" w:cs="仿宋"/>
                <w:color w:val="auto"/>
                <w:sz w:val="24"/>
                <w:highlight w:val="none"/>
              </w:rPr>
            </w:pPr>
          </w:p>
        </w:tc>
      </w:tr>
    </w:tbl>
    <w:p>
      <w:pPr>
        <w:pStyle w:val="38"/>
        <w:spacing w:line="360" w:lineRule="auto"/>
        <w:ind w:right="-88"/>
        <w:rPr>
          <w:rFonts w:ascii="仿宋" w:hAnsi="仿宋" w:eastAsia="仿宋" w:cs="仿宋"/>
          <w:color w:val="auto"/>
          <w:sz w:val="24"/>
          <w:highlight w:val="none"/>
        </w:rPr>
      </w:pPr>
    </w:p>
    <w:p>
      <w:pPr>
        <w:pStyle w:val="38"/>
        <w:spacing w:line="360" w:lineRule="auto"/>
        <w:ind w:right="-88"/>
        <w:rPr>
          <w:rFonts w:ascii="仿宋" w:hAnsi="仿宋" w:eastAsia="仿宋" w:cs="仿宋"/>
          <w:color w:val="auto"/>
          <w:sz w:val="24"/>
          <w:highlight w:val="none"/>
        </w:rPr>
      </w:pPr>
      <w:r>
        <w:rPr>
          <w:rFonts w:hint="eastAsia" w:ascii="仿宋" w:hAnsi="仿宋" w:eastAsia="仿宋" w:cs="仿宋"/>
          <w:color w:val="auto"/>
          <w:sz w:val="24"/>
          <w:highlight w:val="none"/>
        </w:rPr>
        <w:t>说明：</w:t>
      </w:r>
    </w:p>
    <w:p>
      <w:pPr>
        <w:pStyle w:val="38"/>
        <w:spacing w:line="360" w:lineRule="auto"/>
        <w:ind w:right="-88"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依据财政部、国家发展改革委、生态环境部、市场监管总局《关于调整优化节能产品、环境标志产品政府采购执行机制的通知》（财库[2019]9号文）；财政部、发展改革委《关于印发节能产品政府采购品目清单的通知》（财库[2019]19号文）；</w:t>
      </w:r>
    </w:p>
    <w:p>
      <w:pPr>
        <w:pStyle w:val="38"/>
        <w:spacing w:line="360" w:lineRule="auto"/>
        <w:ind w:right="-88" w:firstLine="480" w:firstLineChars="200"/>
        <w:rPr>
          <w:rFonts w:ascii="仿宋" w:hAnsi="仿宋" w:eastAsia="仿宋" w:cs="仿宋"/>
          <w:b/>
          <w:bCs/>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b/>
          <w:bCs/>
          <w:color w:val="auto"/>
          <w:sz w:val="24"/>
          <w:highlight w:val="none"/>
        </w:rPr>
        <w:t>如所投产品为节能认证产品，须按节能产品明细表格式内容逐项填写，否则评分时不予认可。如所投产品不是节能认证产品，可不填此表。</w:t>
      </w:r>
    </w:p>
    <w:p>
      <w:pPr>
        <w:pStyle w:val="38"/>
        <w:spacing w:line="360" w:lineRule="auto"/>
        <w:ind w:right="-88"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3、在本表后附节能产品认证证书，否则评分时不予认可。</w:t>
      </w:r>
    </w:p>
    <w:p>
      <w:pPr>
        <w:pStyle w:val="38"/>
        <w:spacing w:line="360" w:lineRule="auto"/>
        <w:ind w:right="-96"/>
        <w:rPr>
          <w:rFonts w:ascii="仿宋" w:hAnsi="仿宋" w:eastAsia="仿宋" w:cs="仿宋"/>
          <w:color w:val="auto"/>
          <w:sz w:val="24"/>
          <w:highlight w:val="none"/>
        </w:rPr>
      </w:pPr>
    </w:p>
    <w:p>
      <w:pPr>
        <w:pStyle w:val="72"/>
        <w:spacing w:line="50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br w:type="page"/>
      </w:r>
    </w:p>
    <w:p>
      <w:pPr>
        <w:pStyle w:val="102"/>
        <w:outlineLvl w:val="2"/>
        <w:rPr>
          <w:rFonts w:ascii="仿宋" w:hAnsi="仿宋" w:eastAsia="仿宋" w:cs="仿宋"/>
          <w:bCs/>
          <w:color w:val="auto"/>
          <w:sz w:val="28"/>
          <w:szCs w:val="22"/>
          <w:highlight w:val="none"/>
        </w:rPr>
      </w:pPr>
      <w:r>
        <w:rPr>
          <w:rFonts w:hint="eastAsia" w:ascii="仿宋" w:hAnsi="仿宋" w:eastAsia="仿宋" w:cs="仿宋"/>
          <w:bCs/>
          <w:color w:val="auto"/>
          <w:sz w:val="28"/>
          <w:szCs w:val="22"/>
          <w:highlight w:val="none"/>
          <w:lang w:eastAsia="zh-CN"/>
        </w:rPr>
        <w:t>四</w:t>
      </w:r>
      <w:r>
        <w:rPr>
          <w:rFonts w:hint="eastAsia" w:ascii="仿宋" w:hAnsi="仿宋" w:eastAsia="仿宋" w:cs="仿宋"/>
          <w:bCs/>
          <w:color w:val="auto"/>
          <w:sz w:val="28"/>
          <w:szCs w:val="22"/>
          <w:highlight w:val="none"/>
        </w:rPr>
        <w:t>、不参与围标串标承诺书</w:t>
      </w:r>
    </w:p>
    <w:p>
      <w:pPr>
        <w:pStyle w:val="175"/>
        <w:spacing w:line="640" w:lineRule="exact"/>
        <w:ind w:firstLine="426" w:firstLineChars="177"/>
        <w:jc w:val="center"/>
        <w:rPr>
          <w:rFonts w:ascii="仿宋" w:hAnsi="仿宋" w:eastAsia="仿宋" w:cs="仿宋"/>
          <w:color w:val="auto"/>
          <w:sz w:val="24"/>
          <w:highlight w:val="none"/>
        </w:rPr>
      </w:pPr>
      <w:r>
        <w:rPr>
          <w:rFonts w:hint="eastAsia" w:ascii="仿宋" w:hAnsi="仿宋" w:eastAsia="仿宋" w:cs="仿宋"/>
          <w:b/>
          <w:bCs/>
          <w:color w:val="auto"/>
          <w:sz w:val="24"/>
          <w:highlight w:val="none"/>
        </w:rPr>
        <w:t>不参与围标串标承诺书</w:t>
      </w:r>
    </w:p>
    <w:p>
      <w:pPr>
        <w:pStyle w:val="175"/>
        <w:spacing w:line="6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本人作为</w:t>
      </w:r>
      <w:r>
        <w:rPr>
          <w:rFonts w:hint="eastAsia" w:ascii="仿宋" w:hAnsi="仿宋" w:eastAsia="仿宋" w:cs="仿宋"/>
          <w:color w:val="auto"/>
          <w:sz w:val="24"/>
          <w:highlight w:val="none"/>
          <w:u w:val="single"/>
        </w:rPr>
        <w:t xml:space="preserve">（单位名称）                    </w:t>
      </w:r>
      <w:r>
        <w:rPr>
          <w:rFonts w:hint="eastAsia" w:ascii="仿宋" w:hAnsi="仿宋" w:eastAsia="仿宋" w:cs="仿宋"/>
          <w:color w:val="auto"/>
          <w:sz w:val="24"/>
          <w:highlight w:val="none"/>
        </w:rPr>
        <w:t>的法人，清楚知晓我公司本项目投标活动，对以下事项作出承诺：</w:t>
      </w:r>
    </w:p>
    <w:p>
      <w:pPr>
        <w:pStyle w:val="175"/>
        <w:spacing w:line="6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一、我单位遵循公开、公平、公正、诚实守信的原则，依法依规参与本项目竞标。</w:t>
      </w:r>
    </w:p>
    <w:p>
      <w:pPr>
        <w:pStyle w:val="175"/>
        <w:spacing w:line="64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二、我单位在本项目招标投标活动中，未参与围标串标。</w:t>
      </w:r>
    </w:p>
    <w:p>
      <w:pPr>
        <w:pStyle w:val="175"/>
        <w:spacing w:line="640" w:lineRule="exact"/>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三、我单位如被查实在本项目招标投标活动中存在围标串标的，递交投标文件行为作为实施串通投标违法行为的关键环节，本人承担直接责任人员法律责任，接受相应行政处罚和失信惩戒。</w:t>
      </w:r>
    </w:p>
    <w:p>
      <w:pPr>
        <w:pStyle w:val="175"/>
        <w:spacing w:line="6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pStyle w:val="175"/>
        <w:spacing w:line="640" w:lineRule="exact"/>
        <w:jc w:val="left"/>
        <w:rPr>
          <w:rFonts w:ascii="仿宋" w:hAnsi="仿宋" w:eastAsia="仿宋" w:cs="仿宋"/>
          <w:color w:val="auto"/>
          <w:sz w:val="24"/>
          <w:highlight w:val="none"/>
        </w:rPr>
      </w:pPr>
    </w:p>
    <w:p>
      <w:pPr>
        <w:pStyle w:val="175"/>
        <w:spacing w:line="640" w:lineRule="exact"/>
        <w:ind w:firstLine="4080" w:firstLineChars="17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电子签章</w:t>
      </w:r>
      <w:r>
        <w:rPr>
          <w:rFonts w:hint="eastAsia" w:ascii="仿宋" w:hAnsi="仿宋" w:eastAsia="仿宋" w:cs="仿宋"/>
          <w:color w:val="auto"/>
          <w:sz w:val="24"/>
          <w:highlight w:val="none"/>
          <w:lang w:eastAsia="zh-CN"/>
        </w:rPr>
        <w:t>）</w:t>
      </w:r>
    </w:p>
    <w:p>
      <w:pPr>
        <w:pStyle w:val="176"/>
        <w:rPr>
          <w:rFonts w:ascii="仿宋" w:hAnsi="仿宋" w:eastAsia="仿宋" w:cs="仿宋"/>
          <w:color w:val="auto"/>
          <w:highlight w:val="none"/>
        </w:rPr>
      </w:pPr>
      <w:r>
        <w:rPr>
          <w:rFonts w:hint="eastAsia" w:ascii="仿宋" w:hAnsi="仿宋" w:eastAsia="仿宋" w:cs="仿宋"/>
          <w:color w:val="auto"/>
          <w:sz w:val="24"/>
          <w:highlight w:val="none"/>
        </w:rPr>
        <w:t xml:space="preserve">                                      年   月   日</w:t>
      </w:r>
    </w:p>
    <w:p>
      <w:pPr>
        <w:rPr>
          <w:rFonts w:ascii="仿宋" w:hAnsi="仿宋" w:eastAsia="仿宋" w:cs="仿宋"/>
          <w:color w:val="auto"/>
          <w:sz w:val="28"/>
          <w:highlight w:val="none"/>
        </w:rPr>
      </w:pPr>
      <w:r>
        <w:rPr>
          <w:rFonts w:hint="eastAsia" w:ascii="仿宋" w:hAnsi="仿宋" w:eastAsia="仿宋" w:cs="仿宋"/>
          <w:color w:val="auto"/>
          <w:sz w:val="28"/>
          <w:highlight w:val="none"/>
        </w:rPr>
        <w:br w:type="page"/>
      </w:r>
    </w:p>
    <w:p>
      <w:pPr>
        <w:spacing w:line="360" w:lineRule="auto"/>
        <w:rPr>
          <w:rFonts w:ascii="仿宋" w:hAnsi="仿宋" w:eastAsia="仿宋" w:cs="仿宋"/>
          <w:b/>
          <w:bCs/>
          <w:color w:val="auto"/>
          <w:sz w:val="28"/>
          <w:highlight w:val="none"/>
        </w:rPr>
      </w:pPr>
      <w:r>
        <w:rPr>
          <w:rFonts w:hint="eastAsia" w:ascii="仿宋" w:hAnsi="仿宋" w:eastAsia="仿宋" w:cs="仿宋"/>
          <w:b/>
          <w:bCs/>
          <w:color w:val="auto"/>
          <w:sz w:val="28"/>
          <w:highlight w:val="none"/>
          <w:lang w:eastAsia="zh-CN"/>
        </w:rPr>
        <w:t>五</w:t>
      </w:r>
      <w:r>
        <w:rPr>
          <w:rFonts w:hint="eastAsia" w:ascii="仿宋" w:hAnsi="仿宋" w:eastAsia="仿宋" w:cs="仿宋"/>
          <w:b/>
          <w:bCs/>
          <w:color w:val="auto"/>
          <w:sz w:val="28"/>
          <w:highlight w:val="none"/>
        </w:rPr>
        <w:t>、投标人自行编写的技术文件</w:t>
      </w:r>
    </w:p>
    <w:p>
      <w:pPr>
        <w:pStyle w:val="214"/>
        <w:adjustRightInd w:val="0"/>
        <w:snapToGrid w:val="0"/>
        <w:spacing w:line="500" w:lineRule="exact"/>
        <w:rPr>
          <w:rFonts w:hint="eastAsia" w:ascii="仿宋" w:hAnsi="仿宋" w:eastAsia="仿宋" w:cs="仿宋"/>
          <w:b/>
          <w:bCs w:val="0"/>
          <w:color w:val="auto"/>
          <w:kern w:val="0"/>
          <w:sz w:val="28"/>
          <w:szCs w:val="28"/>
          <w:highlight w:val="none"/>
        </w:rPr>
      </w:pPr>
      <w:r>
        <w:rPr>
          <w:rFonts w:hint="eastAsia" w:ascii="仿宋" w:hAnsi="仿宋" w:eastAsia="仿宋" w:cs="仿宋"/>
          <w:b/>
          <w:bCs w:val="0"/>
          <w:color w:val="auto"/>
          <w:kern w:val="0"/>
          <w:sz w:val="28"/>
          <w:szCs w:val="28"/>
          <w:highlight w:val="none"/>
        </w:rPr>
        <w:t>&lt;1&gt;</w:t>
      </w:r>
      <w:r>
        <w:rPr>
          <w:rFonts w:hint="eastAsia" w:ascii="仿宋" w:hAnsi="仿宋" w:eastAsia="仿宋" w:cs="仿宋"/>
          <w:b/>
          <w:bCs w:val="0"/>
          <w:color w:val="auto"/>
          <w:kern w:val="0"/>
          <w:sz w:val="28"/>
          <w:szCs w:val="28"/>
          <w:highlight w:val="none"/>
          <w:lang w:eastAsia="zh-CN"/>
        </w:rPr>
        <w:t>、</w:t>
      </w:r>
      <w:r>
        <w:rPr>
          <w:rFonts w:hint="eastAsia" w:ascii="仿宋" w:hAnsi="仿宋" w:eastAsia="仿宋" w:cs="仿宋"/>
          <w:b/>
          <w:bCs w:val="0"/>
          <w:color w:val="auto"/>
          <w:kern w:val="0"/>
          <w:sz w:val="28"/>
          <w:szCs w:val="28"/>
          <w:highlight w:val="none"/>
        </w:rPr>
        <w:t>技术条款偏离说明表</w:t>
      </w:r>
    </w:p>
    <w:p>
      <w:pPr>
        <w:pStyle w:val="134"/>
        <w:adjustRightInd w:val="0"/>
        <w:snapToGrid w:val="0"/>
        <w:spacing w:line="500" w:lineRule="exact"/>
        <w:rPr>
          <w:rFonts w:hint="eastAsia" w:ascii="仿宋" w:hAnsi="仿宋" w:eastAsia="仿宋" w:cs="仿宋"/>
          <w:color w:val="auto"/>
          <w:kern w:val="0"/>
          <w:sz w:val="24"/>
          <w:highlight w:val="none"/>
        </w:rPr>
      </w:pPr>
    </w:p>
    <w:tbl>
      <w:tblPr>
        <w:tblStyle w:val="2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712"/>
        <w:gridCol w:w="2589"/>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招标文件要求部分</w:t>
            </w: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投标货物/技术</w:t>
            </w:r>
          </w:p>
          <w:p>
            <w:pPr>
              <w:pStyle w:val="134"/>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响应部分</w:t>
            </w: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589"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c>
          <w:tcPr>
            <w:tcW w:w="2702" w:type="dxa"/>
            <w:tcBorders>
              <w:top w:val="single" w:color="auto" w:sz="4" w:space="0"/>
              <w:left w:val="single" w:color="auto" w:sz="4" w:space="0"/>
              <w:bottom w:val="single" w:color="auto" w:sz="4" w:space="0"/>
              <w:right w:val="single" w:color="auto" w:sz="4" w:space="0"/>
            </w:tcBorders>
            <w:noWrap w:val="0"/>
            <w:vAlign w:val="center"/>
          </w:tcPr>
          <w:p>
            <w:pPr>
              <w:pStyle w:val="134"/>
              <w:spacing w:line="500" w:lineRule="exact"/>
              <w:rPr>
                <w:rFonts w:hint="eastAsia" w:ascii="仿宋" w:hAnsi="仿宋" w:eastAsia="仿宋" w:cs="仿宋"/>
                <w:color w:val="auto"/>
                <w:sz w:val="24"/>
                <w:szCs w:val="24"/>
                <w:highlight w:val="none"/>
              </w:rPr>
            </w:pPr>
          </w:p>
        </w:tc>
      </w:tr>
    </w:tbl>
    <w:p>
      <w:pPr>
        <w:pStyle w:val="11"/>
        <w:spacing w:line="360" w:lineRule="auto"/>
        <w:ind w:left="-2" w:leftChars="0" w:firstLine="0" w:firstLineChars="0"/>
        <w:rPr>
          <w:rFonts w:hint="eastAsia" w:ascii="仿宋" w:hAnsi="仿宋" w:eastAsia="仿宋" w:cs="仿宋"/>
          <w:b/>
          <w:bCs/>
          <w:color w:val="auto"/>
          <w:sz w:val="24"/>
          <w:highlight w:val="none"/>
        </w:rPr>
      </w:pPr>
    </w:p>
    <w:p>
      <w:pPr>
        <w:pStyle w:val="11"/>
        <w:spacing w:line="240" w:lineRule="auto"/>
        <w:ind w:left="-2" w:leftChars="0" w:right="-336" w:rightChars="-160" w:firstLine="0" w:firstLineChars="0"/>
        <w:rPr>
          <w:rFonts w:hint="eastAsia" w:ascii="仿宋" w:hAnsi="仿宋" w:eastAsia="仿宋" w:cs="仿宋"/>
          <w:b/>
          <w:bCs/>
          <w:color w:val="auto"/>
          <w:sz w:val="28"/>
          <w:szCs w:val="22"/>
          <w:highlight w:val="none"/>
        </w:rPr>
      </w:pPr>
      <w:r>
        <w:rPr>
          <w:rFonts w:hint="eastAsia" w:ascii="仿宋" w:hAnsi="仿宋" w:eastAsia="仿宋" w:cs="仿宋"/>
          <w:b/>
          <w:bCs/>
          <w:color w:val="auto"/>
          <w:sz w:val="28"/>
          <w:szCs w:val="22"/>
          <w:highlight w:val="none"/>
        </w:rPr>
        <w:t>注: 供应商应对照磋商文件第三部分 采购需求</w:t>
      </w:r>
      <w:r>
        <w:rPr>
          <w:rFonts w:hint="eastAsia" w:ascii="仿宋" w:hAnsi="仿宋" w:eastAsia="仿宋" w:cs="仿宋"/>
          <w:b/>
          <w:bCs/>
          <w:color w:val="auto"/>
          <w:sz w:val="28"/>
          <w:szCs w:val="22"/>
          <w:highlight w:val="none"/>
          <w:lang w:eastAsia="zh-CN"/>
        </w:rPr>
        <w:t>中“二、</w:t>
      </w:r>
      <w:r>
        <w:rPr>
          <w:rFonts w:hint="eastAsia" w:ascii="仿宋" w:hAnsi="仿宋" w:eastAsia="仿宋" w:cs="仿宋"/>
          <w:b/>
          <w:bCs/>
          <w:color w:val="auto"/>
          <w:sz w:val="28"/>
          <w:szCs w:val="22"/>
          <w:highlight w:val="none"/>
        </w:rPr>
        <w:t>技术</w:t>
      </w:r>
      <w:r>
        <w:rPr>
          <w:rFonts w:hint="eastAsia" w:ascii="仿宋" w:hAnsi="仿宋" w:eastAsia="仿宋" w:cs="仿宋"/>
          <w:b/>
          <w:bCs/>
          <w:color w:val="auto"/>
          <w:sz w:val="28"/>
          <w:szCs w:val="22"/>
          <w:highlight w:val="none"/>
          <w:lang w:eastAsia="zh-CN"/>
        </w:rPr>
        <w:t>要求”条款内容</w:t>
      </w:r>
      <w:r>
        <w:rPr>
          <w:rFonts w:hint="eastAsia" w:ascii="仿宋" w:hAnsi="仿宋" w:eastAsia="仿宋" w:cs="仿宋"/>
          <w:b/>
          <w:bCs/>
          <w:color w:val="auto"/>
          <w:sz w:val="28"/>
          <w:szCs w:val="22"/>
          <w:highlight w:val="none"/>
        </w:rPr>
        <w:t>逐条说明所提供货物和服务做出了实质性的响应，并申明与技术规格条文的偏离和例外。特别对有具体参数要求的指标，供应商必须提供所投设备的具体参数值。</w:t>
      </w:r>
    </w:p>
    <w:p>
      <w:pPr>
        <w:rPr>
          <w:rFonts w:hint="eastAsia" w:ascii="仿宋" w:hAnsi="仿宋" w:eastAsia="仿宋" w:cs="仿宋"/>
          <w:b w:val="0"/>
          <w:bCs/>
          <w:color w:val="auto"/>
          <w:kern w:val="2"/>
          <w:sz w:val="28"/>
          <w:szCs w:val="28"/>
          <w:highlight w:val="none"/>
        </w:rPr>
      </w:pPr>
      <w:r>
        <w:rPr>
          <w:rFonts w:hint="eastAsia" w:ascii="仿宋" w:hAnsi="仿宋" w:eastAsia="仿宋" w:cs="仿宋"/>
          <w:b w:val="0"/>
          <w:bCs/>
          <w:color w:val="auto"/>
          <w:kern w:val="2"/>
          <w:sz w:val="28"/>
          <w:szCs w:val="28"/>
          <w:highlight w:val="none"/>
        </w:rPr>
        <w:br w:type="page"/>
      </w:r>
    </w:p>
    <w:p>
      <w:pPr>
        <w:pStyle w:val="132"/>
        <w:outlineLvl w:val="1"/>
        <w:rPr>
          <w:rFonts w:ascii="仿宋" w:hAnsi="仿宋" w:eastAsia="仿宋" w:cs="仿宋"/>
          <w:b/>
          <w:bCs w:val="0"/>
          <w:color w:val="auto"/>
          <w:szCs w:val="32"/>
          <w:highlight w:val="none"/>
        </w:rPr>
      </w:pPr>
      <w:r>
        <w:rPr>
          <w:rFonts w:hint="eastAsia" w:ascii="仿宋" w:hAnsi="仿宋" w:eastAsia="仿宋" w:cs="仿宋"/>
          <w:b/>
          <w:bCs w:val="0"/>
          <w:color w:val="auto"/>
          <w:kern w:val="2"/>
          <w:sz w:val="28"/>
          <w:szCs w:val="28"/>
          <w:highlight w:val="none"/>
        </w:rPr>
        <w:t>（由投标人自行编写技术文件，包括但不限于以下内容）</w:t>
      </w:r>
      <w:r>
        <w:rPr>
          <w:rFonts w:hint="eastAsia" w:ascii="仿宋" w:hAnsi="仿宋" w:eastAsia="仿宋" w:cs="仿宋"/>
          <w:b/>
          <w:bCs w:val="0"/>
          <w:color w:val="auto"/>
          <w:szCs w:val="32"/>
          <w:highlight w:val="none"/>
        </w:rPr>
        <w:t>：</w:t>
      </w:r>
    </w:p>
    <w:p>
      <w:pPr>
        <w:pStyle w:val="120"/>
        <w:ind w:firstLine="562" w:firstLineChars="200"/>
        <w:outlineLvl w:val="0"/>
        <w:rPr>
          <w:rFonts w:ascii="仿宋" w:hAnsi="仿宋" w:eastAsia="仿宋" w:cs="仿宋"/>
          <w:color w:val="auto"/>
          <w:sz w:val="28"/>
          <w:szCs w:val="28"/>
          <w:highlight w:val="none"/>
        </w:rPr>
      </w:pPr>
      <w:bookmarkStart w:id="614" w:name="_Toc12983"/>
      <w:r>
        <w:rPr>
          <w:rFonts w:hint="eastAsia" w:ascii="仿宋" w:hAnsi="仿宋" w:eastAsia="仿宋" w:cs="仿宋"/>
          <w:color w:val="auto"/>
          <w:sz w:val="28"/>
          <w:szCs w:val="28"/>
          <w:highlight w:val="none"/>
        </w:rPr>
        <w:t>施工组织设计</w:t>
      </w:r>
      <w:bookmarkEnd w:id="614"/>
    </w:p>
    <w:p>
      <w:pPr>
        <w:pStyle w:val="132"/>
        <w:ind w:firstLine="560" w:firstLineChars="200"/>
        <w:outlineLvl w:val="1"/>
        <w:rPr>
          <w:rFonts w:ascii="仿宋" w:hAnsi="仿宋" w:eastAsia="仿宋" w:cs="仿宋"/>
          <w:b w:val="0"/>
          <w:bCs/>
          <w:color w:val="auto"/>
          <w:kern w:val="2"/>
          <w:sz w:val="28"/>
          <w:szCs w:val="28"/>
          <w:highlight w:val="none"/>
        </w:rPr>
      </w:pPr>
      <w:r>
        <w:rPr>
          <w:rFonts w:hint="eastAsia" w:ascii="仿宋" w:hAnsi="仿宋" w:eastAsia="仿宋" w:cs="仿宋"/>
          <w:b w:val="0"/>
          <w:bCs/>
          <w:color w:val="auto"/>
          <w:kern w:val="2"/>
          <w:sz w:val="28"/>
          <w:szCs w:val="28"/>
          <w:highlight w:val="none"/>
        </w:rPr>
        <w:t>1. 供应商编制施工组织设计的要求：编制时应简明扼要地说明施工方法，工程质量、安全生产、文明施工、环境保护、冬雨季施工、工程进度、技术组织等主要措施。用图表形式阐明本项目的施工总平面、进度计划以及拟投入主要施工设备、劳动力、项目管理机构等。</w:t>
      </w:r>
    </w:p>
    <w:p>
      <w:pPr>
        <w:pStyle w:val="132"/>
        <w:ind w:firstLine="560" w:firstLineChars="200"/>
        <w:outlineLvl w:val="1"/>
        <w:rPr>
          <w:rFonts w:ascii="仿宋" w:hAnsi="仿宋" w:eastAsia="仿宋" w:cs="仿宋"/>
          <w:b w:val="0"/>
          <w:bCs/>
          <w:color w:val="auto"/>
          <w:kern w:val="2"/>
          <w:sz w:val="28"/>
          <w:szCs w:val="28"/>
          <w:highlight w:val="none"/>
        </w:rPr>
      </w:pPr>
      <w:r>
        <w:rPr>
          <w:rFonts w:hint="eastAsia" w:ascii="仿宋" w:hAnsi="仿宋" w:eastAsia="仿宋" w:cs="仿宋"/>
          <w:b w:val="0"/>
          <w:bCs/>
          <w:color w:val="auto"/>
          <w:kern w:val="2"/>
          <w:sz w:val="28"/>
          <w:szCs w:val="28"/>
          <w:highlight w:val="none"/>
        </w:rPr>
        <w:t>2. 图表及格式要求：</w:t>
      </w:r>
    </w:p>
    <w:p>
      <w:pPr>
        <w:pStyle w:val="132"/>
        <w:ind w:firstLine="560" w:firstLineChars="200"/>
        <w:outlineLvl w:val="1"/>
        <w:rPr>
          <w:rFonts w:ascii="仿宋" w:hAnsi="仿宋" w:eastAsia="仿宋" w:cs="仿宋"/>
          <w:b w:val="0"/>
          <w:bCs/>
          <w:color w:val="auto"/>
          <w:kern w:val="2"/>
          <w:sz w:val="28"/>
          <w:szCs w:val="28"/>
          <w:highlight w:val="none"/>
        </w:rPr>
      </w:pPr>
      <w:r>
        <w:rPr>
          <w:rFonts w:hint="eastAsia" w:ascii="仿宋" w:hAnsi="仿宋" w:eastAsia="仿宋" w:cs="仿宋"/>
          <w:b w:val="0"/>
          <w:bCs/>
          <w:color w:val="auto"/>
          <w:kern w:val="2"/>
          <w:sz w:val="28"/>
          <w:szCs w:val="28"/>
          <w:highlight w:val="none"/>
        </w:rPr>
        <w:t>附表一  拟投入的主要施工设备表</w:t>
      </w:r>
    </w:p>
    <w:p>
      <w:pPr>
        <w:pStyle w:val="132"/>
        <w:ind w:firstLine="560" w:firstLineChars="200"/>
        <w:outlineLvl w:val="1"/>
        <w:rPr>
          <w:rFonts w:ascii="仿宋" w:hAnsi="仿宋" w:eastAsia="仿宋" w:cs="仿宋"/>
          <w:b w:val="0"/>
          <w:bCs/>
          <w:color w:val="auto"/>
          <w:kern w:val="2"/>
          <w:sz w:val="28"/>
          <w:szCs w:val="28"/>
          <w:highlight w:val="none"/>
        </w:rPr>
      </w:pPr>
      <w:r>
        <w:rPr>
          <w:rFonts w:hint="eastAsia" w:ascii="仿宋" w:hAnsi="仿宋" w:eastAsia="仿宋" w:cs="仿宋"/>
          <w:b w:val="0"/>
          <w:bCs/>
          <w:color w:val="auto"/>
          <w:kern w:val="2"/>
          <w:sz w:val="28"/>
          <w:szCs w:val="28"/>
          <w:highlight w:val="none"/>
        </w:rPr>
        <w:t>附表二  劳动力计划表</w:t>
      </w:r>
    </w:p>
    <w:p>
      <w:pPr>
        <w:pStyle w:val="132"/>
        <w:ind w:firstLine="560" w:firstLineChars="200"/>
        <w:outlineLvl w:val="1"/>
        <w:rPr>
          <w:rFonts w:ascii="仿宋" w:hAnsi="仿宋" w:eastAsia="仿宋" w:cs="仿宋"/>
          <w:b w:val="0"/>
          <w:bCs/>
          <w:color w:val="auto"/>
          <w:kern w:val="2"/>
          <w:sz w:val="28"/>
          <w:szCs w:val="28"/>
          <w:highlight w:val="none"/>
        </w:rPr>
      </w:pPr>
      <w:r>
        <w:rPr>
          <w:rFonts w:hint="eastAsia" w:ascii="仿宋" w:hAnsi="仿宋" w:eastAsia="仿宋" w:cs="仿宋"/>
          <w:b w:val="0"/>
          <w:bCs/>
          <w:color w:val="auto"/>
          <w:kern w:val="2"/>
          <w:sz w:val="28"/>
          <w:szCs w:val="28"/>
          <w:highlight w:val="none"/>
        </w:rPr>
        <w:t>附表三  进度计划</w:t>
      </w:r>
    </w:p>
    <w:p>
      <w:pPr>
        <w:pStyle w:val="132"/>
        <w:ind w:firstLine="560" w:firstLineChars="200"/>
        <w:outlineLvl w:val="1"/>
        <w:rPr>
          <w:rFonts w:ascii="仿宋" w:hAnsi="仿宋" w:eastAsia="仿宋" w:cs="仿宋"/>
          <w:b w:val="0"/>
          <w:bCs/>
          <w:color w:val="auto"/>
          <w:kern w:val="2"/>
          <w:sz w:val="28"/>
          <w:szCs w:val="28"/>
          <w:highlight w:val="none"/>
        </w:rPr>
      </w:pPr>
      <w:r>
        <w:rPr>
          <w:rFonts w:hint="eastAsia" w:ascii="仿宋" w:hAnsi="仿宋" w:eastAsia="仿宋" w:cs="仿宋"/>
          <w:b w:val="0"/>
          <w:bCs/>
          <w:color w:val="auto"/>
          <w:kern w:val="2"/>
          <w:sz w:val="28"/>
          <w:szCs w:val="28"/>
          <w:highlight w:val="none"/>
        </w:rPr>
        <w:t>附表四  施工总平面图</w:t>
      </w:r>
    </w:p>
    <w:p>
      <w:pPr>
        <w:pStyle w:val="132"/>
        <w:ind w:firstLine="560" w:firstLineChars="200"/>
        <w:outlineLvl w:val="1"/>
        <w:rPr>
          <w:rFonts w:ascii="仿宋" w:hAnsi="仿宋" w:eastAsia="仿宋" w:cs="仿宋"/>
          <w:b w:val="0"/>
          <w:bCs/>
          <w:color w:val="auto"/>
          <w:kern w:val="2"/>
          <w:sz w:val="28"/>
          <w:szCs w:val="28"/>
          <w:highlight w:val="none"/>
        </w:rPr>
      </w:pPr>
      <w:r>
        <w:rPr>
          <w:rFonts w:hint="eastAsia" w:ascii="仿宋" w:hAnsi="仿宋" w:eastAsia="仿宋" w:cs="仿宋"/>
          <w:b w:val="0"/>
          <w:bCs/>
          <w:color w:val="auto"/>
          <w:kern w:val="2"/>
          <w:sz w:val="28"/>
          <w:szCs w:val="28"/>
          <w:highlight w:val="none"/>
        </w:rPr>
        <w:t>3.产品性能、质量证明文件。</w:t>
      </w:r>
    </w:p>
    <w:p>
      <w:pPr>
        <w:pStyle w:val="134"/>
        <w:spacing w:line="360" w:lineRule="auto"/>
        <w:rPr>
          <w:rFonts w:ascii="仿宋" w:hAnsi="仿宋" w:eastAsia="仿宋" w:cs="仿宋"/>
          <w:color w:val="auto"/>
          <w:sz w:val="24"/>
          <w:szCs w:val="24"/>
          <w:highlight w:val="none"/>
        </w:rPr>
      </w:pPr>
    </w:p>
    <w:p>
      <w:pPr>
        <w:pStyle w:val="134"/>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r>
        <w:rPr>
          <w:rFonts w:hint="eastAsia" w:ascii="仿宋" w:hAnsi="仿宋" w:eastAsia="仿宋" w:cs="仿宋"/>
          <w:b/>
          <w:bCs/>
          <w:color w:val="auto"/>
          <w:sz w:val="24"/>
          <w:szCs w:val="24"/>
          <w:highlight w:val="none"/>
        </w:rPr>
        <w:t>附表一：拟投入本项目的主要施工设备表</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86"/>
        <w:gridCol w:w="761"/>
        <w:gridCol w:w="990"/>
        <w:gridCol w:w="672"/>
        <w:gridCol w:w="738"/>
        <w:gridCol w:w="1212"/>
        <w:gridCol w:w="874"/>
        <w:gridCol w:w="1055"/>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086"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设备名称</w:t>
            </w:r>
          </w:p>
        </w:tc>
        <w:tc>
          <w:tcPr>
            <w:tcW w:w="761"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型号</w:t>
            </w:r>
          </w:p>
          <w:p>
            <w:pPr>
              <w:pStyle w:val="1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规格</w:t>
            </w:r>
          </w:p>
        </w:tc>
        <w:tc>
          <w:tcPr>
            <w:tcW w:w="990"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672"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国别</w:t>
            </w:r>
          </w:p>
          <w:p>
            <w:pPr>
              <w:pStyle w:val="1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产地</w:t>
            </w:r>
          </w:p>
        </w:tc>
        <w:tc>
          <w:tcPr>
            <w:tcW w:w="738"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制造</w:t>
            </w:r>
          </w:p>
          <w:p>
            <w:pPr>
              <w:pStyle w:val="1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年份</w:t>
            </w:r>
          </w:p>
        </w:tc>
        <w:tc>
          <w:tcPr>
            <w:tcW w:w="1212"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额定功率（kW）</w:t>
            </w:r>
          </w:p>
        </w:tc>
        <w:tc>
          <w:tcPr>
            <w:tcW w:w="874"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生产</w:t>
            </w:r>
          </w:p>
          <w:p>
            <w:pPr>
              <w:pStyle w:val="1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能力</w:t>
            </w:r>
          </w:p>
        </w:tc>
        <w:tc>
          <w:tcPr>
            <w:tcW w:w="1055"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用于施工部位</w:t>
            </w: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86"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6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990"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738"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87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5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691"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bl>
    <w:p>
      <w:pPr>
        <w:pStyle w:val="134"/>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r>
        <w:rPr>
          <w:rFonts w:hint="eastAsia" w:ascii="仿宋" w:hAnsi="仿宋" w:eastAsia="仿宋" w:cs="仿宋"/>
          <w:b/>
          <w:bCs/>
          <w:color w:val="auto"/>
          <w:sz w:val="24"/>
          <w:szCs w:val="24"/>
          <w:highlight w:val="none"/>
        </w:rPr>
        <w:t>附表二：劳动力计划表</w:t>
      </w:r>
    </w:p>
    <w:p>
      <w:pPr>
        <w:pStyle w:val="134"/>
        <w:spacing w:line="360" w:lineRule="auto"/>
        <w:ind w:right="200" w:firstLine="720" w:firstLineChars="3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单位：人</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04"/>
        <w:gridCol w:w="1065"/>
        <w:gridCol w:w="1065"/>
        <w:gridCol w:w="1065"/>
        <w:gridCol w:w="1065"/>
        <w:gridCol w:w="106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工种</w:t>
            </w:r>
          </w:p>
        </w:tc>
        <w:tc>
          <w:tcPr>
            <w:tcW w:w="7693" w:type="dxa"/>
            <w:gridSpan w:val="7"/>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vAlign w:val="center"/>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29" w:type="dxa"/>
            <w:tcBorders>
              <w:top w:val="single" w:color="auto" w:sz="4" w:space="0"/>
              <w:left w:val="single" w:color="auto" w:sz="4" w:space="0"/>
              <w:bottom w:val="single" w:color="auto" w:sz="4" w:space="0"/>
              <w:right w:val="single" w:color="auto" w:sz="4" w:space="0"/>
            </w:tcBorders>
            <w:noWrap/>
          </w:tcPr>
          <w:p>
            <w:pPr>
              <w:pStyle w:val="134"/>
              <w:spacing w:line="360" w:lineRule="auto"/>
              <w:rPr>
                <w:rFonts w:ascii="仿宋" w:hAnsi="仿宋" w:eastAsia="仿宋" w:cs="仿宋"/>
                <w:color w:val="auto"/>
                <w:sz w:val="24"/>
                <w:szCs w:val="24"/>
                <w:highlight w:val="none"/>
              </w:rPr>
            </w:pPr>
          </w:p>
        </w:tc>
        <w:tc>
          <w:tcPr>
            <w:tcW w:w="130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5"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c>
          <w:tcPr>
            <w:tcW w:w="1064" w:type="dxa"/>
            <w:tcBorders>
              <w:top w:val="single" w:color="auto" w:sz="4" w:space="0"/>
              <w:left w:val="single" w:color="auto" w:sz="4" w:space="0"/>
              <w:bottom w:val="single" w:color="auto" w:sz="4" w:space="0"/>
              <w:right w:val="single" w:color="auto" w:sz="4" w:space="0"/>
            </w:tcBorders>
            <w:noWrap/>
          </w:tcPr>
          <w:p>
            <w:pPr>
              <w:pStyle w:val="134"/>
              <w:spacing w:line="360" w:lineRule="auto"/>
              <w:jc w:val="center"/>
              <w:rPr>
                <w:rFonts w:ascii="仿宋" w:hAnsi="仿宋" w:eastAsia="仿宋" w:cs="仿宋"/>
                <w:color w:val="auto"/>
                <w:sz w:val="24"/>
                <w:szCs w:val="24"/>
                <w:highlight w:val="none"/>
              </w:rPr>
            </w:pPr>
          </w:p>
        </w:tc>
      </w:tr>
    </w:tbl>
    <w:p>
      <w:pPr>
        <w:pStyle w:val="137"/>
        <w:spacing w:line="360" w:lineRule="auto"/>
        <w:rPr>
          <w:rFonts w:ascii="仿宋" w:hAnsi="仿宋" w:eastAsia="仿宋" w:cs="仿宋"/>
          <w:color w:val="auto"/>
          <w:sz w:val="24"/>
          <w:szCs w:val="24"/>
          <w:highlight w:val="none"/>
        </w:rPr>
      </w:pPr>
    </w:p>
    <w:p>
      <w:pPr>
        <w:pStyle w:val="134"/>
        <w:rPr>
          <w:rFonts w:ascii="仿宋" w:hAnsi="仿宋" w:eastAsia="仿宋" w:cs="仿宋"/>
          <w:b/>
          <w:bCs/>
          <w:color w:val="auto"/>
          <w:sz w:val="24"/>
          <w:szCs w:val="24"/>
          <w:highlight w:val="none"/>
        </w:rPr>
      </w:pPr>
    </w:p>
    <w:p>
      <w:pPr>
        <w:pStyle w:val="134"/>
        <w:rPr>
          <w:rFonts w:ascii="仿宋" w:hAnsi="仿宋" w:eastAsia="仿宋" w:cs="仿宋"/>
          <w:b/>
          <w:bCs/>
          <w:color w:val="auto"/>
          <w:sz w:val="24"/>
          <w:szCs w:val="24"/>
          <w:highlight w:val="none"/>
        </w:rPr>
      </w:pPr>
    </w:p>
    <w:p>
      <w:pPr>
        <w:pStyle w:val="134"/>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附表三：进度计划</w:t>
      </w:r>
    </w:p>
    <w:p>
      <w:pPr>
        <w:pStyle w:val="1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 供应商应递交施工进度网络图或施工进度表，说明按磋商文件要求的计划工期进行施工的各个关键日期。</w:t>
      </w:r>
    </w:p>
    <w:p>
      <w:pPr>
        <w:pStyle w:val="134"/>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 施工进度表可采用网络图或横道图表示。</w:t>
      </w:r>
    </w:p>
    <w:p>
      <w:pPr>
        <w:pStyle w:val="134"/>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r>
        <w:rPr>
          <w:rFonts w:hint="eastAsia" w:ascii="仿宋" w:hAnsi="仿宋" w:eastAsia="仿宋" w:cs="仿宋"/>
          <w:b/>
          <w:bCs/>
          <w:color w:val="auto"/>
          <w:sz w:val="24"/>
          <w:szCs w:val="24"/>
          <w:highlight w:val="none"/>
        </w:rPr>
        <w:t>附表四：施工总平面图</w:t>
      </w:r>
    </w:p>
    <w:p>
      <w:pPr>
        <w:pStyle w:val="134"/>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供应商应递交一份施工总平面图，绘出现场临时设施布置图表，并注明临时设施、加工车间、现场办公、设备及仓储、供电、供水、卫生、生活、道路、消防等设施的情况和布置。</w:t>
      </w:r>
    </w:p>
    <w:p>
      <w:pPr>
        <w:pStyle w:val="124"/>
        <w:outlineLvl w:val="0"/>
        <w:rPr>
          <w:rFonts w:ascii="仿宋" w:hAnsi="仿宋" w:eastAsia="仿宋" w:cs="仿宋"/>
          <w:color w:val="auto"/>
          <w:sz w:val="28"/>
          <w:szCs w:val="28"/>
          <w:highlight w:val="none"/>
        </w:rPr>
      </w:pPr>
      <w:r>
        <w:rPr>
          <w:rFonts w:hint="eastAsia" w:ascii="仿宋" w:hAnsi="仿宋" w:eastAsia="仿宋" w:cs="仿宋"/>
          <w:color w:val="auto"/>
          <w:sz w:val="24"/>
          <w:highlight w:val="none"/>
        </w:rPr>
        <w:br w:type="page"/>
      </w:r>
      <w:bookmarkStart w:id="615" w:name="_Toc256000055"/>
      <w:bookmarkStart w:id="616" w:name="_Toc8229"/>
      <w:r>
        <w:rPr>
          <w:rFonts w:hint="eastAsia" w:ascii="仿宋" w:hAnsi="仿宋" w:eastAsia="仿宋" w:cs="仿宋"/>
          <w:color w:val="auto"/>
          <w:sz w:val="28"/>
          <w:szCs w:val="28"/>
          <w:highlight w:val="none"/>
        </w:rPr>
        <w:t>项目管理机构组成表</w:t>
      </w:r>
      <w:bookmarkEnd w:id="615"/>
      <w:bookmarkEnd w:id="616"/>
    </w:p>
    <w:p>
      <w:pPr>
        <w:pStyle w:val="138"/>
        <w:rPr>
          <w:rFonts w:ascii="仿宋" w:hAnsi="仿宋" w:eastAsia="仿宋" w:cs="仿宋"/>
          <w:b/>
          <w:bCs/>
          <w:color w:val="auto"/>
          <w:sz w:val="24"/>
          <w:szCs w:val="24"/>
          <w:highlight w:val="none"/>
        </w:rPr>
      </w:pPr>
    </w:p>
    <w:p>
      <w:pPr>
        <w:pStyle w:val="140"/>
        <w:outlineLvl w:val="1"/>
        <w:rPr>
          <w:rFonts w:ascii="仿宋" w:hAnsi="仿宋" w:eastAsia="仿宋" w:cs="仿宋"/>
          <w:color w:val="auto"/>
          <w:sz w:val="24"/>
          <w:highlight w:val="none"/>
        </w:rPr>
      </w:pPr>
      <w:bookmarkStart w:id="617" w:name="_Toc19967"/>
      <w:bookmarkStart w:id="618" w:name="_Toc256000047"/>
      <w:bookmarkStart w:id="619" w:name="_Toc256000056"/>
      <w:r>
        <w:rPr>
          <w:rFonts w:hint="eastAsia" w:ascii="仿宋" w:hAnsi="仿宋" w:eastAsia="仿宋" w:cs="仿宋"/>
          <w:color w:val="auto"/>
          <w:sz w:val="24"/>
          <w:highlight w:val="none"/>
        </w:rPr>
        <w:t>（一）项目管理机构组成表</w:t>
      </w:r>
      <w:bookmarkEnd w:id="617"/>
      <w:bookmarkEnd w:id="618"/>
      <w:bookmarkEnd w:id="619"/>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21"/>
        <w:gridCol w:w="855"/>
        <w:gridCol w:w="945"/>
        <w:gridCol w:w="719"/>
        <w:gridCol w:w="721"/>
        <w:gridCol w:w="719"/>
        <w:gridCol w:w="2523"/>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restart"/>
            <w:tcBorders>
              <w:top w:val="single" w:color="auto" w:sz="4" w:space="0"/>
              <w:left w:val="single" w:color="auto" w:sz="4" w:space="0"/>
              <w:bottom w:val="single" w:color="auto" w:sz="4" w:space="0"/>
              <w:right w:val="single" w:color="auto" w:sz="4" w:space="0"/>
            </w:tcBorders>
            <w:noWrap/>
            <w:vAlign w:val="center"/>
          </w:tcPr>
          <w:p>
            <w:pPr>
              <w:pStyle w:val="141"/>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职务</w:t>
            </w:r>
          </w:p>
        </w:tc>
        <w:tc>
          <w:tcPr>
            <w:tcW w:w="721" w:type="dxa"/>
            <w:vMerge w:val="restart"/>
            <w:tcBorders>
              <w:top w:val="single" w:color="auto" w:sz="4" w:space="0"/>
              <w:left w:val="single" w:color="auto" w:sz="4" w:space="0"/>
              <w:bottom w:val="single" w:color="auto" w:sz="4" w:space="0"/>
              <w:right w:val="single" w:color="auto" w:sz="4" w:space="0"/>
            </w:tcBorders>
            <w:noWrap/>
            <w:vAlign w:val="center"/>
          </w:tcPr>
          <w:p>
            <w:pPr>
              <w:pStyle w:val="141"/>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姓名</w:t>
            </w:r>
          </w:p>
        </w:tc>
        <w:tc>
          <w:tcPr>
            <w:tcW w:w="855" w:type="dxa"/>
            <w:vMerge w:val="restart"/>
            <w:tcBorders>
              <w:top w:val="single" w:color="auto" w:sz="4" w:space="0"/>
              <w:left w:val="single" w:color="auto" w:sz="4" w:space="0"/>
              <w:bottom w:val="single" w:color="auto" w:sz="4" w:space="0"/>
              <w:right w:val="single" w:color="auto" w:sz="4" w:space="0"/>
            </w:tcBorders>
            <w:noWrap/>
            <w:vAlign w:val="center"/>
          </w:tcPr>
          <w:p>
            <w:pPr>
              <w:pStyle w:val="141"/>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职称</w:t>
            </w:r>
          </w:p>
        </w:tc>
        <w:tc>
          <w:tcPr>
            <w:tcW w:w="5627" w:type="dxa"/>
            <w:gridSpan w:val="5"/>
            <w:tcBorders>
              <w:top w:val="single" w:color="auto" w:sz="4" w:space="0"/>
              <w:left w:val="single" w:color="auto" w:sz="4" w:space="0"/>
              <w:bottom w:val="single" w:color="auto" w:sz="4" w:space="0"/>
              <w:right w:val="single" w:color="auto" w:sz="4" w:space="0"/>
            </w:tcBorders>
            <w:noWrap/>
            <w:vAlign w:val="center"/>
          </w:tcPr>
          <w:p>
            <w:pPr>
              <w:pStyle w:val="141"/>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执业或职业资格证明</w:t>
            </w:r>
          </w:p>
        </w:tc>
        <w:tc>
          <w:tcPr>
            <w:tcW w:w="672" w:type="dxa"/>
            <w:tcBorders>
              <w:top w:val="single" w:color="auto" w:sz="4" w:space="0"/>
              <w:left w:val="single" w:color="auto" w:sz="4" w:space="0"/>
              <w:bottom w:val="single" w:color="auto" w:sz="4" w:space="0"/>
              <w:right w:val="single" w:color="auto" w:sz="4" w:space="0"/>
            </w:tcBorders>
            <w:noWrap/>
            <w:vAlign w:val="center"/>
          </w:tcPr>
          <w:p>
            <w:pPr>
              <w:pStyle w:val="141"/>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continue"/>
            <w:tcBorders>
              <w:top w:val="single" w:color="auto" w:sz="4" w:space="0"/>
              <w:left w:val="single" w:color="auto" w:sz="4" w:space="0"/>
              <w:bottom w:val="single" w:color="auto" w:sz="4" w:space="0"/>
              <w:right w:val="single" w:color="auto" w:sz="4" w:space="0"/>
            </w:tcBorders>
            <w:noWrap/>
            <w:vAlign w:val="center"/>
          </w:tcPr>
          <w:p>
            <w:pPr>
              <w:pStyle w:val="141"/>
              <w:widowControl/>
              <w:jc w:val="left"/>
              <w:rPr>
                <w:rFonts w:ascii="仿宋" w:hAnsi="仿宋" w:eastAsia="仿宋" w:cs="仿宋"/>
                <w:color w:val="auto"/>
                <w:sz w:val="24"/>
                <w:szCs w:val="24"/>
                <w:highlight w:val="none"/>
              </w:rPr>
            </w:pPr>
          </w:p>
        </w:tc>
        <w:tc>
          <w:tcPr>
            <w:tcW w:w="721" w:type="dxa"/>
            <w:vMerge w:val="continue"/>
            <w:tcBorders>
              <w:top w:val="single" w:color="auto" w:sz="4" w:space="0"/>
              <w:left w:val="single" w:color="auto" w:sz="4" w:space="0"/>
              <w:bottom w:val="single" w:color="auto" w:sz="4" w:space="0"/>
              <w:right w:val="single" w:color="auto" w:sz="4" w:space="0"/>
            </w:tcBorders>
            <w:noWrap/>
            <w:vAlign w:val="center"/>
          </w:tcPr>
          <w:p>
            <w:pPr>
              <w:pStyle w:val="141"/>
              <w:widowControl/>
              <w:jc w:val="left"/>
              <w:rPr>
                <w:rFonts w:ascii="仿宋" w:hAnsi="仿宋" w:eastAsia="仿宋" w:cs="仿宋"/>
                <w:color w:val="auto"/>
                <w:sz w:val="24"/>
                <w:szCs w:val="24"/>
                <w:highlight w:val="none"/>
              </w:rPr>
            </w:pPr>
          </w:p>
        </w:tc>
        <w:tc>
          <w:tcPr>
            <w:tcW w:w="855" w:type="dxa"/>
            <w:vMerge w:val="continue"/>
            <w:tcBorders>
              <w:top w:val="single" w:color="auto" w:sz="4" w:space="0"/>
              <w:left w:val="single" w:color="auto" w:sz="4" w:space="0"/>
              <w:bottom w:val="single" w:color="auto" w:sz="4" w:space="0"/>
              <w:right w:val="single" w:color="auto" w:sz="4" w:space="0"/>
            </w:tcBorders>
            <w:noWrap/>
            <w:vAlign w:val="center"/>
          </w:tcPr>
          <w:p>
            <w:pPr>
              <w:pStyle w:val="141"/>
              <w:widowControl/>
              <w:jc w:val="left"/>
              <w:rPr>
                <w:rFonts w:ascii="仿宋" w:hAnsi="仿宋" w:eastAsia="仿宋" w:cs="仿宋"/>
                <w:color w:val="auto"/>
                <w:sz w:val="24"/>
                <w:szCs w:val="24"/>
                <w:highlight w:val="none"/>
              </w:rPr>
            </w:pPr>
          </w:p>
        </w:tc>
        <w:tc>
          <w:tcPr>
            <w:tcW w:w="945" w:type="dxa"/>
            <w:tcBorders>
              <w:top w:val="single" w:color="auto" w:sz="4" w:space="0"/>
              <w:left w:val="single" w:color="auto" w:sz="4" w:space="0"/>
              <w:bottom w:val="single" w:color="auto" w:sz="4" w:space="0"/>
              <w:right w:val="single" w:color="auto" w:sz="4" w:space="0"/>
            </w:tcBorders>
            <w:noWrap/>
            <w:vAlign w:val="center"/>
          </w:tcPr>
          <w:p>
            <w:pPr>
              <w:pStyle w:val="141"/>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证书</w:t>
            </w:r>
          </w:p>
          <w:p>
            <w:pPr>
              <w:pStyle w:val="141"/>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tc>
        <w:tc>
          <w:tcPr>
            <w:tcW w:w="719" w:type="dxa"/>
            <w:tcBorders>
              <w:top w:val="single" w:color="auto" w:sz="4" w:space="0"/>
              <w:left w:val="single" w:color="auto" w:sz="4" w:space="0"/>
              <w:bottom w:val="single" w:color="auto" w:sz="4" w:space="0"/>
              <w:right w:val="single" w:color="auto" w:sz="4" w:space="0"/>
            </w:tcBorders>
            <w:noWrap/>
            <w:vAlign w:val="center"/>
          </w:tcPr>
          <w:p>
            <w:pPr>
              <w:pStyle w:val="141"/>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级别</w:t>
            </w:r>
          </w:p>
        </w:tc>
        <w:tc>
          <w:tcPr>
            <w:tcW w:w="721" w:type="dxa"/>
            <w:tcBorders>
              <w:top w:val="single" w:color="auto" w:sz="4" w:space="0"/>
              <w:left w:val="single" w:color="auto" w:sz="4" w:space="0"/>
              <w:bottom w:val="single" w:color="auto" w:sz="4" w:space="0"/>
              <w:right w:val="single" w:color="auto" w:sz="4" w:space="0"/>
            </w:tcBorders>
            <w:noWrap/>
            <w:vAlign w:val="center"/>
          </w:tcPr>
          <w:p>
            <w:pPr>
              <w:pStyle w:val="141"/>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证号</w:t>
            </w:r>
          </w:p>
        </w:tc>
        <w:tc>
          <w:tcPr>
            <w:tcW w:w="719" w:type="dxa"/>
            <w:tcBorders>
              <w:top w:val="single" w:color="auto" w:sz="4" w:space="0"/>
              <w:left w:val="single" w:color="auto" w:sz="4" w:space="0"/>
              <w:bottom w:val="single" w:color="auto" w:sz="4" w:space="0"/>
              <w:right w:val="single" w:color="auto" w:sz="4" w:space="0"/>
            </w:tcBorders>
            <w:noWrap/>
            <w:vAlign w:val="center"/>
          </w:tcPr>
          <w:p>
            <w:pPr>
              <w:pStyle w:val="141"/>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专业</w:t>
            </w:r>
          </w:p>
        </w:tc>
        <w:tc>
          <w:tcPr>
            <w:tcW w:w="2523" w:type="dxa"/>
            <w:tcBorders>
              <w:top w:val="single" w:color="auto" w:sz="4" w:space="0"/>
              <w:left w:val="single" w:color="auto" w:sz="4" w:space="0"/>
              <w:bottom w:val="single" w:color="auto" w:sz="4" w:space="0"/>
              <w:right w:val="single" w:color="auto" w:sz="4" w:space="0"/>
            </w:tcBorders>
            <w:noWrap/>
            <w:vAlign w:val="center"/>
          </w:tcPr>
          <w:p>
            <w:pPr>
              <w:pStyle w:val="141"/>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养老保险</w:t>
            </w:r>
          </w:p>
        </w:tc>
        <w:tc>
          <w:tcPr>
            <w:tcW w:w="672" w:type="dxa"/>
            <w:tcBorders>
              <w:top w:val="single" w:color="auto" w:sz="4" w:space="0"/>
              <w:left w:val="single" w:color="auto" w:sz="4" w:space="0"/>
              <w:bottom w:val="single" w:color="auto" w:sz="4" w:space="0"/>
              <w:right w:val="single" w:color="auto" w:sz="4" w:space="0"/>
            </w:tcBorders>
            <w:noWrap/>
            <w:vAlign w:val="center"/>
          </w:tcPr>
          <w:p>
            <w:pPr>
              <w:pStyle w:val="141"/>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vAlign w:val="center"/>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ign w:val="center"/>
          </w:tcPr>
          <w:p>
            <w:pPr>
              <w:pStyle w:val="141"/>
              <w:spacing w:line="360" w:lineRule="auto"/>
              <w:jc w:val="center"/>
              <w:rPr>
                <w:rFonts w:ascii="仿宋" w:hAnsi="仿宋" w:eastAsia="仿宋" w:cs="仿宋"/>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vAlign w:val="center"/>
          </w:tcPr>
          <w:p>
            <w:pPr>
              <w:pStyle w:val="141"/>
              <w:spacing w:line="360" w:lineRule="auto"/>
              <w:jc w:val="center"/>
              <w:rPr>
                <w:rFonts w:ascii="仿宋" w:hAnsi="仿宋" w:eastAsia="仿宋" w:cs="仿宋"/>
                <w:color w:val="auto"/>
                <w:sz w:val="24"/>
                <w:szCs w:val="24"/>
                <w:highlight w:val="none"/>
              </w:rPr>
            </w:pPr>
          </w:p>
        </w:tc>
        <w:tc>
          <w:tcPr>
            <w:tcW w:w="945" w:type="dxa"/>
            <w:tcBorders>
              <w:top w:val="single" w:color="auto" w:sz="4" w:space="0"/>
              <w:left w:val="single" w:color="auto" w:sz="4" w:space="0"/>
              <w:bottom w:val="single" w:color="auto" w:sz="4" w:space="0"/>
              <w:right w:val="single" w:color="auto" w:sz="4" w:space="0"/>
            </w:tcBorders>
            <w:noWrap/>
            <w:vAlign w:val="center"/>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ign w:val="center"/>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vAlign w:val="center"/>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vAlign w:val="center"/>
          </w:tcPr>
          <w:p>
            <w:pPr>
              <w:pStyle w:val="141"/>
              <w:spacing w:line="360" w:lineRule="auto"/>
              <w:jc w:val="center"/>
              <w:rPr>
                <w:rFonts w:ascii="仿宋" w:hAnsi="仿宋" w:eastAsia="仿宋" w:cs="仿宋"/>
                <w:color w:val="auto"/>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vAlign w:val="center"/>
          </w:tcPr>
          <w:p>
            <w:pPr>
              <w:pStyle w:val="141"/>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vAlign w:val="center"/>
          </w:tcPr>
          <w:p>
            <w:pPr>
              <w:pStyle w:val="141"/>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94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94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94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94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94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94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94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94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94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94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94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94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94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94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94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94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94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945"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21"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719"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2523"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c>
          <w:tcPr>
            <w:tcW w:w="672" w:type="dxa"/>
            <w:tcBorders>
              <w:top w:val="single" w:color="auto" w:sz="4" w:space="0"/>
              <w:left w:val="single" w:color="auto" w:sz="4" w:space="0"/>
              <w:bottom w:val="single" w:color="auto" w:sz="4" w:space="0"/>
              <w:right w:val="single" w:color="auto" w:sz="4" w:space="0"/>
            </w:tcBorders>
            <w:noWrap/>
          </w:tcPr>
          <w:p>
            <w:pPr>
              <w:pStyle w:val="141"/>
              <w:spacing w:line="360" w:lineRule="auto"/>
              <w:jc w:val="center"/>
              <w:rPr>
                <w:rFonts w:ascii="仿宋" w:hAnsi="仿宋" w:eastAsia="仿宋" w:cs="仿宋"/>
                <w:color w:val="auto"/>
                <w:sz w:val="24"/>
                <w:szCs w:val="24"/>
                <w:highlight w:val="none"/>
              </w:rPr>
            </w:pPr>
          </w:p>
        </w:tc>
      </w:tr>
    </w:tbl>
    <w:p>
      <w:pPr>
        <w:pStyle w:val="141"/>
        <w:topLinePunct/>
        <w:spacing w:line="360" w:lineRule="auto"/>
        <w:jc w:val="center"/>
        <w:rPr>
          <w:rFonts w:ascii="仿宋" w:hAnsi="仿宋" w:eastAsia="仿宋" w:cs="仿宋"/>
          <w:color w:val="auto"/>
          <w:sz w:val="24"/>
          <w:szCs w:val="24"/>
          <w:highlight w:val="none"/>
        </w:rPr>
      </w:pPr>
    </w:p>
    <w:p>
      <w:pPr>
        <w:pStyle w:val="142"/>
        <w:spacing w:line="360" w:lineRule="auto"/>
        <w:rPr>
          <w:rFonts w:ascii="仿宋" w:hAnsi="仿宋" w:eastAsia="仿宋" w:cs="仿宋"/>
          <w:color w:val="auto"/>
          <w:sz w:val="24"/>
          <w:szCs w:val="24"/>
          <w:highlight w:val="none"/>
        </w:rPr>
      </w:pPr>
    </w:p>
    <w:p>
      <w:pPr>
        <w:pStyle w:val="128"/>
        <w:outlineLvl w:val="0"/>
        <w:rPr>
          <w:rFonts w:ascii="仿宋" w:hAnsi="仿宋" w:eastAsia="仿宋" w:cs="仿宋"/>
          <w:color w:val="auto"/>
          <w:sz w:val="24"/>
          <w:highlight w:val="none"/>
        </w:rPr>
      </w:pPr>
      <w:r>
        <w:rPr>
          <w:rFonts w:hint="eastAsia" w:ascii="仿宋" w:hAnsi="仿宋" w:eastAsia="仿宋" w:cs="仿宋"/>
          <w:color w:val="auto"/>
          <w:sz w:val="24"/>
          <w:highlight w:val="none"/>
        </w:rPr>
        <w:br w:type="page"/>
      </w:r>
    </w:p>
    <w:p>
      <w:pPr>
        <w:pStyle w:val="111"/>
        <w:spacing w:line="360" w:lineRule="auto"/>
        <w:jc w:val="left"/>
        <w:rPr>
          <w:rFonts w:ascii="仿宋" w:hAnsi="仿宋" w:eastAsia="仿宋" w:cs="仿宋"/>
          <w:b/>
          <w:color w:val="auto"/>
          <w:sz w:val="24"/>
          <w:szCs w:val="24"/>
          <w:highlight w:val="none"/>
        </w:rPr>
      </w:pPr>
      <w:bookmarkStart w:id="620" w:name="_Toc256000058"/>
      <w:bookmarkStart w:id="621" w:name="_Toc27750"/>
      <w:r>
        <w:rPr>
          <w:rStyle w:val="143"/>
          <w:rFonts w:hint="eastAsia" w:ascii="仿宋" w:hAnsi="仿宋" w:eastAsia="仿宋" w:cs="仿宋"/>
          <w:color w:val="auto"/>
          <w:sz w:val="24"/>
          <w:szCs w:val="24"/>
          <w:highlight w:val="none"/>
        </w:rPr>
        <w:t>（二）项目经理简历表</w:t>
      </w:r>
      <w:bookmarkEnd w:id="620"/>
      <w:bookmarkEnd w:id="621"/>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708"/>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6" w:type="dxa"/>
            <w:tcBorders>
              <w:top w:val="single" w:color="auto" w:sz="4" w:space="0"/>
              <w:left w:val="single" w:color="auto" w:sz="4" w:space="0"/>
              <w:bottom w:val="single" w:color="auto" w:sz="4" w:space="0"/>
              <w:right w:val="single" w:color="auto" w:sz="4" w:space="0"/>
            </w:tcBorders>
            <w:noWrap/>
            <w:vAlign w:val="center"/>
          </w:tcPr>
          <w:p>
            <w:pPr>
              <w:pStyle w:val="111"/>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姓  名</w:t>
            </w:r>
          </w:p>
        </w:tc>
        <w:tc>
          <w:tcPr>
            <w:tcW w:w="1079" w:type="dxa"/>
            <w:gridSpan w:val="2"/>
            <w:tcBorders>
              <w:top w:val="single" w:color="auto" w:sz="4" w:space="0"/>
              <w:left w:val="single" w:color="auto" w:sz="4" w:space="0"/>
              <w:bottom w:val="single" w:color="auto" w:sz="4" w:space="0"/>
              <w:right w:val="single" w:color="auto" w:sz="4" w:space="0"/>
            </w:tcBorders>
            <w:noWrap/>
            <w:vAlign w:val="center"/>
          </w:tcPr>
          <w:p>
            <w:pPr>
              <w:pStyle w:val="111"/>
              <w:spacing w:line="360" w:lineRule="auto"/>
              <w:jc w:val="center"/>
              <w:rPr>
                <w:rFonts w:ascii="仿宋" w:hAnsi="仿宋" w:eastAsia="仿宋" w:cs="仿宋"/>
                <w:color w:val="auto"/>
                <w:sz w:val="24"/>
                <w:szCs w:val="24"/>
                <w:highlight w:val="none"/>
              </w:rPr>
            </w:pP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111"/>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年 龄</w:t>
            </w:r>
          </w:p>
        </w:tc>
        <w:tc>
          <w:tcPr>
            <w:tcW w:w="1065" w:type="dxa"/>
            <w:tcBorders>
              <w:top w:val="single" w:color="auto" w:sz="4" w:space="0"/>
              <w:left w:val="single" w:color="auto" w:sz="4" w:space="0"/>
              <w:bottom w:val="single" w:color="auto" w:sz="4" w:space="0"/>
              <w:right w:val="single" w:color="auto" w:sz="4" w:space="0"/>
            </w:tcBorders>
            <w:noWrap/>
            <w:vAlign w:val="center"/>
          </w:tcPr>
          <w:p>
            <w:pPr>
              <w:pStyle w:val="111"/>
              <w:spacing w:line="360" w:lineRule="auto"/>
              <w:jc w:val="center"/>
              <w:rPr>
                <w:rFonts w:ascii="仿宋" w:hAnsi="仿宋" w:eastAsia="仿宋" w:cs="仿宋"/>
                <w:color w:val="auto"/>
                <w:sz w:val="24"/>
                <w:szCs w:val="24"/>
                <w:highlight w:val="none"/>
              </w:rPr>
            </w:pPr>
          </w:p>
        </w:tc>
        <w:tc>
          <w:tcPr>
            <w:tcW w:w="2130" w:type="dxa"/>
            <w:gridSpan w:val="3"/>
            <w:tcBorders>
              <w:top w:val="single" w:color="auto" w:sz="4" w:space="0"/>
              <w:left w:val="single" w:color="auto" w:sz="4" w:space="0"/>
              <w:bottom w:val="single" w:color="auto" w:sz="4" w:space="0"/>
              <w:right w:val="single" w:color="auto" w:sz="4" w:space="0"/>
            </w:tcBorders>
            <w:noWrap/>
            <w:vAlign w:val="center"/>
          </w:tcPr>
          <w:p>
            <w:pPr>
              <w:pStyle w:val="111"/>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学历</w:t>
            </w:r>
          </w:p>
        </w:tc>
        <w:tc>
          <w:tcPr>
            <w:tcW w:w="2135" w:type="dxa"/>
            <w:tcBorders>
              <w:top w:val="single" w:color="auto" w:sz="4" w:space="0"/>
              <w:left w:val="single" w:color="auto" w:sz="4" w:space="0"/>
              <w:bottom w:val="single" w:color="auto" w:sz="4" w:space="0"/>
              <w:right w:val="single" w:color="auto" w:sz="4" w:space="0"/>
            </w:tcBorders>
            <w:noWrap/>
            <w:vAlign w:val="center"/>
          </w:tcPr>
          <w:p>
            <w:pPr>
              <w:pStyle w:val="111"/>
              <w:spacing w:line="360" w:lineRule="auto"/>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tcBorders>
              <w:top w:val="single" w:color="auto" w:sz="4" w:space="0"/>
              <w:left w:val="single" w:color="auto" w:sz="4" w:space="0"/>
              <w:bottom w:val="single" w:color="auto" w:sz="4" w:space="0"/>
              <w:right w:val="single" w:color="auto" w:sz="4" w:space="0"/>
            </w:tcBorders>
            <w:noWrap/>
            <w:vAlign w:val="center"/>
          </w:tcPr>
          <w:p>
            <w:pPr>
              <w:pStyle w:val="111"/>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职  称</w:t>
            </w:r>
          </w:p>
        </w:tc>
        <w:tc>
          <w:tcPr>
            <w:tcW w:w="1079" w:type="dxa"/>
            <w:gridSpan w:val="2"/>
            <w:tcBorders>
              <w:top w:val="single" w:color="auto" w:sz="4" w:space="0"/>
              <w:left w:val="single" w:color="auto" w:sz="4" w:space="0"/>
              <w:bottom w:val="single" w:color="auto" w:sz="4" w:space="0"/>
              <w:right w:val="single" w:color="auto" w:sz="4" w:space="0"/>
            </w:tcBorders>
            <w:noWrap/>
            <w:vAlign w:val="center"/>
          </w:tcPr>
          <w:p>
            <w:pPr>
              <w:pStyle w:val="111"/>
              <w:spacing w:line="360" w:lineRule="auto"/>
              <w:jc w:val="center"/>
              <w:rPr>
                <w:rFonts w:ascii="仿宋" w:hAnsi="仿宋" w:eastAsia="仿宋" w:cs="仿宋"/>
                <w:color w:val="auto"/>
                <w:sz w:val="24"/>
                <w:szCs w:val="24"/>
                <w:highlight w:val="none"/>
              </w:rPr>
            </w:pPr>
          </w:p>
        </w:tc>
        <w:tc>
          <w:tcPr>
            <w:tcW w:w="927" w:type="dxa"/>
            <w:tcBorders>
              <w:top w:val="single" w:color="auto" w:sz="4" w:space="0"/>
              <w:left w:val="single" w:color="auto" w:sz="4" w:space="0"/>
              <w:bottom w:val="single" w:color="auto" w:sz="4" w:space="0"/>
              <w:right w:val="single" w:color="auto" w:sz="4" w:space="0"/>
            </w:tcBorders>
            <w:noWrap/>
            <w:vAlign w:val="center"/>
          </w:tcPr>
          <w:p>
            <w:pPr>
              <w:pStyle w:val="111"/>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职 务</w:t>
            </w:r>
          </w:p>
        </w:tc>
        <w:tc>
          <w:tcPr>
            <w:tcW w:w="1065" w:type="dxa"/>
            <w:tcBorders>
              <w:top w:val="single" w:color="auto" w:sz="4" w:space="0"/>
              <w:left w:val="single" w:color="auto" w:sz="4" w:space="0"/>
              <w:bottom w:val="single" w:color="auto" w:sz="4" w:space="0"/>
              <w:right w:val="single" w:color="auto" w:sz="4" w:space="0"/>
            </w:tcBorders>
            <w:noWrap/>
            <w:vAlign w:val="center"/>
          </w:tcPr>
          <w:p>
            <w:pPr>
              <w:pStyle w:val="111"/>
              <w:spacing w:line="360" w:lineRule="auto"/>
              <w:jc w:val="center"/>
              <w:rPr>
                <w:rFonts w:ascii="仿宋" w:hAnsi="仿宋" w:eastAsia="仿宋" w:cs="仿宋"/>
                <w:color w:val="auto"/>
                <w:sz w:val="24"/>
                <w:szCs w:val="24"/>
                <w:highlight w:val="none"/>
              </w:rPr>
            </w:pPr>
          </w:p>
        </w:tc>
        <w:tc>
          <w:tcPr>
            <w:tcW w:w="2130" w:type="dxa"/>
            <w:gridSpan w:val="3"/>
            <w:tcBorders>
              <w:top w:val="single" w:color="auto" w:sz="4" w:space="0"/>
              <w:left w:val="single" w:color="auto" w:sz="4" w:space="0"/>
              <w:bottom w:val="single" w:color="auto" w:sz="4" w:space="0"/>
              <w:right w:val="single" w:color="auto" w:sz="4" w:space="0"/>
            </w:tcBorders>
            <w:noWrap/>
            <w:vAlign w:val="center"/>
          </w:tcPr>
          <w:p>
            <w:pPr>
              <w:pStyle w:val="111"/>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拟在本合同任职</w:t>
            </w:r>
          </w:p>
        </w:tc>
        <w:tc>
          <w:tcPr>
            <w:tcW w:w="2135" w:type="dxa"/>
            <w:tcBorders>
              <w:top w:val="single" w:color="auto" w:sz="4" w:space="0"/>
              <w:left w:val="single" w:color="auto" w:sz="4" w:space="0"/>
              <w:bottom w:val="single" w:color="auto" w:sz="4" w:space="0"/>
              <w:right w:val="single" w:color="auto" w:sz="4" w:space="0"/>
            </w:tcBorders>
            <w:noWrap/>
            <w:vAlign w:val="center"/>
          </w:tcPr>
          <w:p>
            <w:pPr>
              <w:pStyle w:val="111"/>
              <w:spacing w:line="360" w:lineRule="auto"/>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tcBorders>
              <w:top w:val="single" w:color="auto" w:sz="4" w:space="0"/>
              <w:left w:val="single" w:color="auto" w:sz="4" w:space="0"/>
              <w:bottom w:val="single" w:color="auto" w:sz="4" w:space="0"/>
              <w:right w:val="single" w:color="auto" w:sz="4" w:space="0"/>
            </w:tcBorders>
            <w:noWrap/>
            <w:vAlign w:val="center"/>
          </w:tcPr>
          <w:p>
            <w:pPr>
              <w:pStyle w:val="111"/>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毕业学校</w:t>
            </w:r>
          </w:p>
        </w:tc>
        <w:tc>
          <w:tcPr>
            <w:tcW w:w="7336" w:type="dxa"/>
            <w:gridSpan w:val="8"/>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9"/>
            <w:tcBorders>
              <w:top w:val="single" w:color="auto" w:sz="4" w:space="0"/>
              <w:left w:val="single" w:color="auto" w:sz="4" w:space="0"/>
              <w:bottom w:val="single" w:color="auto" w:sz="4" w:space="0"/>
              <w:right w:val="single" w:color="auto" w:sz="4" w:space="0"/>
            </w:tcBorders>
            <w:noWrap/>
            <w:vAlign w:val="center"/>
          </w:tcPr>
          <w:p>
            <w:pPr>
              <w:pStyle w:val="111"/>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5" w:type="dxa"/>
            <w:gridSpan w:val="2"/>
            <w:tcBorders>
              <w:top w:val="single" w:color="auto" w:sz="4" w:space="0"/>
              <w:left w:val="single" w:color="auto" w:sz="4" w:space="0"/>
              <w:bottom w:val="single" w:color="auto" w:sz="4" w:space="0"/>
              <w:right w:val="single" w:color="auto" w:sz="4" w:space="0"/>
            </w:tcBorders>
            <w:noWrap/>
            <w:vAlign w:val="center"/>
          </w:tcPr>
          <w:p>
            <w:pPr>
              <w:pStyle w:val="111"/>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时  间</w:t>
            </w:r>
          </w:p>
        </w:tc>
        <w:tc>
          <w:tcPr>
            <w:tcW w:w="3420" w:type="dxa"/>
            <w:gridSpan w:val="4"/>
            <w:tcBorders>
              <w:top w:val="single" w:color="auto" w:sz="4" w:space="0"/>
              <w:left w:val="single" w:color="auto" w:sz="4" w:space="0"/>
              <w:bottom w:val="single" w:color="auto" w:sz="4" w:space="0"/>
              <w:right w:val="single" w:color="auto" w:sz="4" w:space="0"/>
            </w:tcBorders>
            <w:noWrap/>
            <w:vAlign w:val="center"/>
          </w:tcPr>
          <w:p>
            <w:pPr>
              <w:pStyle w:val="111"/>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参加过的类似项目</w:t>
            </w:r>
          </w:p>
        </w:tc>
        <w:tc>
          <w:tcPr>
            <w:tcW w:w="1261" w:type="dxa"/>
            <w:tcBorders>
              <w:top w:val="single" w:color="auto" w:sz="4" w:space="0"/>
              <w:left w:val="single" w:color="auto" w:sz="4" w:space="0"/>
              <w:bottom w:val="single" w:color="auto" w:sz="4" w:space="0"/>
              <w:right w:val="single" w:color="auto" w:sz="4" w:space="0"/>
            </w:tcBorders>
            <w:noWrap/>
            <w:vAlign w:val="center"/>
          </w:tcPr>
          <w:p>
            <w:pPr>
              <w:pStyle w:val="111"/>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担任职务</w:t>
            </w:r>
          </w:p>
        </w:tc>
        <w:tc>
          <w:tcPr>
            <w:tcW w:w="2296" w:type="dxa"/>
            <w:gridSpan w:val="2"/>
            <w:tcBorders>
              <w:top w:val="single" w:color="auto" w:sz="4" w:space="0"/>
              <w:left w:val="single" w:color="auto" w:sz="4" w:space="0"/>
              <w:bottom w:val="single" w:color="auto" w:sz="4" w:space="0"/>
              <w:right w:val="single" w:color="auto" w:sz="4" w:space="0"/>
            </w:tcBorders>
            <w:noWrap/>
            <w:vAlign w:val="center"/>
          </w:tcPr>
          <w:p>
            <w:pPr>
              <w:pStyle w:val="111"/>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3420" w:type="dxa"/>
            <w:gridSpan w:val="4"/>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1261" w:type="dxa"/>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2296"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3420" w:type="dxa"/>
            <w:gridSpan w:val="4"/>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1261" w:type="dxa"/>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2296"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3420" w:type="dxa"/>
            <w:gridSpan w:val="4"/>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1261" w:type="dxa"/>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2296"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3420" w:type="dxa"/>
            <w:gridSpan w:val="4"/>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1261" w:type="dxa"/>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2296"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3420" w:type="dxa"/>
            <w:gridSpan w:val="4"/>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1261" w:type="dxa"/>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2296"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3420" w:type="dxa"/>
            <w:gridSpan w:val="4"/>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1261" w:type="dxa"/>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2296"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3420" w:type="dxa"/>
            <w:gridSpan w:val="4"/>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1261" w:type="dxa"/>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2296"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3420" w:type="dxa"/>
            <w:gridSpan w:val="4"/>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1261" w:type="dxa"/>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2296"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3420" w:type="dxa"/>
            <w:gridSpan w:val="4"/>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1261" w:type="dxa"/>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2296"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3420" w:type="dxa"/>
            <w:gridSpan w:val="4"/>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1261" w:type="dxa"/>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2296"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3420" w:type="dxa"/>
            <w:gridSpan w:val="4"/>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1261" w:type="dxa"/>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2296"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5"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3420" w:type="dxa"/>
            <w:gridSpan w:val="4"/>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1261" w:type="dxa"/>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c>
          <w:tcPr>
            <w:tcW w:w="2296" w:type="dxa"/>
            <w:gridSpan w:val="2"/>
            <w:tcBorders>
              <w:top w:val="single" w:color="auto" w:sz="4" w:space="0"/>
              <w:left w:val="single" w:color="auto" w:sz="4" w:space="0"/>
              <w:bottom w:val="single" w:color="auto" w:sz="4" w:space="0"/>
              <w:right w:val="single" w:color="auto" w:sz="4" w:space="0"/>
            </w:tcBorders>
            <w:noWrap/>
          </w:tcPr>
          <w:p>
            <w:pPr>
              <w:pStyle w:val="111"/>
              <w:spacing w:line="360" w:lineRule="auto"/>
              <w:rPr>
                <w:rFonts w:ascii="仿宋" w:hAnsi="仿宋" w:eastAsia="仿宋" w:cs="仿宋"/>
                <w:color w:val="auto"/>
                <w:sz w:val="24"/>
                <w:szCs w:val="24"/>
                <w:highlight w:val="none"/>
              </w:rPr>
            </w:pPr>
          </w:p>
        </w:tc>
      </w:tr>
    </w:tbl>
    <w:p>
      <w:pPr>
        <w:pStyle w:val="111"/>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附：建造师注册证书、安全生产考核合格证书、身份证复印件</w:t>
      </w:r>
    </w:p>
    <w:p>
      <w:pPr>
        <w:pStyle w:val="132"/>
        <w:rPr>
          <w:rFonts w:ascii="仿宋" w:hAnsi="仿宋" w:eastAsia="仿宋" w:cs="仿宋"/>
          <w:color w:val="auto"/>
          <w:sz w:val="24"/>
          <w:highlight w:val="none"/>
        </w:rPr>
      </w:pPr>
    </w:p>
    <w:p>
      <w:pPr>
        <w:pStyle w:val="132"/>
        <w:ind w:left="210"/>
        <w:rPr>
          <w:rFonts w:ascii="仿宋" w:hAnsi="仿宋" w:eastAsia="仿宋" w:cs="仿宋"/>
          <w:color w:val="auto"/>
          <w:sz w:val="24"/>
          <w:highlight w:val="none"/>
        </w:rPr>
      </w:pPr>
    </w:p>
    <w:p>
      <w:pP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102"/>
        <w:jc w:val="center"/>
        <w:outlineLvl w:val="0"/>
        <w:rPr>
          <w:rFonts w:ascii="仿宋" w:hAnsi="仿宋" w:eastAsia="仿宋" w:cs="仿宋"/>
          <w:color w:val="auto"/>
          <w:highlight w:val="none"/>
        </w:rPr>
      </w:pPr>
      <w:bookmarkStart w:id="622" w:name="_Toc23848"/>
      <w:r>
        <w:rPr>
          <w:rFonts w:hint="eastAsia" w:ascii="仿宋" w:hAnsi="仿宋" w:eastAsia="仿宋" w:cs="仿宋"/>
          <w:color w:val="auto"/>
          <w:highlight w:val="none"/>
        </w:rPr>
        <w:t>报价要求响应文件</w:t>
      </w:r>
      <w:bookmarkEnd w:id="622"/>
    </w:p>
    <w:p>
      <w:pPr>
        <w:pStyle w:val="120"/>
        <w:outlineLvl w:val="0"/>
        <w:rPr>
          <w:rFonts w:ascii="仿宋" w:hAnsi="仿宋" w:eastAsia="仿宋" w:cs="仿宋"/>
          <w:color w:val="auto"/>
          <w:szCs w:val="32"/>
          <w:highlight w:val="none"/>
        </w:rPr>
      </w:pPr>
      <w:r>
        <w:rPr>
          <w:rFonts w:hint="eastAsia" w:ascii="仿宋" w:hAnsi="仿宋" w:eastAsia="仿宋" w:cs="仿宋"/>
          <w:color w:val="auto"/>
          <w:sz w:val="28"/>
          <w:szCs w:val="22"/>
          <w:highlight w:val="none"/>
        </w:rPr>
        <w:br w:type="page"/>
      </w:r>
      <w:r>
        <w:rPr>
          <w:rFonts w:hint="eastAsia" w:ascii="仿宋" w:hAnsi="仿宋" w:eastAsia="仿宋" w:cs="仿宋"/>
          <w:color w:val="auto"/>
          <w:sz w:val="24"/>
          <w:szCs w:val="24"/>
          <w:highlight w:val="none"/>
        </w:rPr>
        <w:t>★</w:t>
      </w:r>
      <w:r>
        <w:rPr>
          <w:rFonts w:hint="eastAsia" w:ascii="仿宋" w:hAnsi="仿宋" w:eastAsia="仿宋" w:cs="仿宋"/>
          <w:color w:val="auto"/>
          <w:sz w:val="28"/>
          <w:szCs w:val="22"/>
          <w:highlight w:val="none"/>
        </w:rPr>
        <w:t>一、</w:t>
      </w:r>
      <w:r>
        <w:rPr>
          <w:rFonts w:hint="eastAsia" w:ascii="仿宋" w:hAnsi="仿宋" w:eastAsia="仿宋" w:cs="仿宋"/>
          <w:color w:val="auto"/>
          <w:szCs w:val="32"/>
          <w:highlight w:val="none"/>
        </w:rPr>
        <w:t>投标函</w:t>
      </w:r>
    </w:p>
    <w:p>
      <w:pPr>
        <w:pStyle w:val="121"/>
        <w:widowControl/>
        <w:spacing w:line="360" w:lineRule="auto"/>
        <w:ind w:left="0" w:leftChars="0"/>
        <w:rPr>
          <w:rFonts w:ascii="仿宋" w:hAnsi="仿宋" w:eastAsia="仿宋" w:cs="仿宋"/>
          <w:color w:val="auto"/>
          <w:sz w:val="24"/>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pStyle w:val="121"/>
        <w:widowControl/>
        <w:spacing w:line="360" w:lineRule="auto"/>
        <w:ind w:left="0" w:leftChars="0"/>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(投标人名称)授权</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(投标人授权代理人姓名)</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(职务、职称)为我方代表，参加贵方组织的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(项目名称、项目编号)招标的有关活动，并对此项目进行投标。为此：</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1、我方同意在本项目竞争性磋商文件中规定的投标有效期内遵守本投标文件中的承诺且在此期限期满之前均具有约束力。</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2、我方承诺已经具备《中华人民共和国政府采购法》中规定的参加政府采购活动的供应商应当具备的条件：</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2）具有良好的商业信誉和健全的财务会计制度；</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5）参加此项采购活动前三年内，在经营活动中没有重大违法记录；</w:t>
      </w:r>
    </w:p>
    <w:p>
      <w:pPr>
        <w:pStyle w:val="75"/>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6）法律、行政法规规定的其他条件。</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3、提供投标人须知规定的全部投标文件。</w:t>
      </w:r>
    </w:p>
    <w:p>
      <w:pPr>
        <w:pStyle w:val="121"/>
        <w:widowControl/>
        <w:spacing w:line="360" w:lineRule="auto"/>
        <w:ind w:left="0" w:leftChars="0" w:right="-307" w:rightChars="-146"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4、按竞争性磋商文件要求提供和交付的货物及相关服务的投标报价详见开标一览表。</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5、保证忠实地执行双方所签订的合同，并承担合同规定的责任和义务。</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6、我方承诺完全满足和响应竞争性磋商文件中的各项技术和服务要求，若有偏差，已在投标文件偏离表中予以明确特别说明。</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7、我方承诺：完全理解投标报价若超过项目预算时，投标将被拒绝。</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8、我方承诺：与在本项目中设计编制技术规格的机构及其附属机构无任何直接隶属关系和利益关联。</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9、如果在开标后规定的投标有效期内撤回投标，我方的投标保证金可被贵方没收。</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10、我方完全理解贵方不一定接受最低价的投标或收到的任何投标。</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我方承诺：投标文件所提供的一切资料均真实、及时、有效。由于我方提供资料不实而造成的责任和后果由我方承担。我方同意按照贵方提出的要求，向贵方提供任何与本项投标有关的数据、情况和技术资料。若贵方需要，我方愿意提供我方作出的一切承诺的证明材料。</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12、我方已详细审核全部投标文件，包括投标文件修改书（如有的话）、参考资料及有关附件，确认无误。</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13、我方承诺：采购人若需追加采购本项目竞争性磋商文件所列货物及相关服务的，在不改变合同其他实质性条款的前提下，按相同或更优惠的折扣率保证供货。</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14、我方承诺：如所报货物属国家强制认证产品的，均已通过认证且在有效期内，否则，由此产生的一切法律责任由我方承担。</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15、我方承诺：接受竞争性磋商文件中的全部条款且无任何异议，保证遵守竞争性磋商文件的规定。</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16、我方将严格遵守《中华人民共和国政府采购法》的有关规定，若有下列情形之一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1）提供虚假材料谋取中标、成交的；</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2）采取不正当手段诋毁、排挤其他供应商的；</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3）与采购人、其他供应商或者采购代理机构工作人员恶意串通的；</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4）向采购人、采购代理机构工作人员行贿或者提供其他不正当利益的；</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5）在采购过程中与采购人进行协商谈判的；</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6）拒绝有关部门监督检查或提供虚假情况的。</w:t>
      </w:r>
    </w:p>
    <w:p>
      <w:pPr>
        <w:pStyle w:val="75"/>
        <w:rPr>
          <w:rFonts w:ascii="仿宋" w:hAnsi="仿宋" w:eastAsia="仿宋" w:cs="仿宋"/>
          <w:color w:val="auto"/>
          <w:highlight w:val="none"/>
        </w:rPr>
      </w:pPr>
      <w:r>
        <w:rPr>
          <w:rFonts w:hint="eastAsia" w:ascii="仿宋" w:hAnsi="仿宋" w:eastAsia="仿宋" w:cs="仿宋"/>
          <w:color w:val="auto"/>
          <w:highlight w:val="none"/>
        </w:rPr>
        <w:t xml:space="preserve">    17、</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与本投标有关的一切往来通讯请寄：</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地址：____________________________________________________</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电话：____________　</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投标人法定代表人或授权代理人联系电话，e-mail：</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w:t>
      </w:r>
    </w:p>
    <w:p>
      <w:pPr>
        <w:pStyle w:val="121"/>
        <w:widowControl/>
        <w:spacing w:line="360" w:lineRule="auto"/>
        <w:ind w:left="0" w:leftChars="0"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投标人：（</w:t>
      </w:r>
      <w:r>
        <w:rPr>
          <w:rFonts w:hint="eastAsia" w:ascii="仿宋" w:hAnsi="仿宋" w:eastAsia="仿宋" w:cs="仿宋"/>
          <w:bCs/>
          <w:color w:val="auto"/>
          <w:sz w:val="24"/>
          <w:highlight w:val="none"/>
        </w:rPr>
        <w:t>电子签章</w:t>
      </w:r>
      <w:r>
        <w:rPr>
          <w:rFonts w:hint="eastAsia" w:ascii="仿宋" w:hAnsi="仿宋" w:eastAsia="仿宋" w:cs="仿宋"/>
          <w:b/>
          <w:color w:val="auto"/>
          <w:sz w:val="24"/>
          <w:highlight w:val="none"/>
        </w:rPr>
        <w:t>）</w:t>
      </w:r>
    </w:p>
    <w:p>
      <w:pPr>
        <w:pStyle w:val="121"/>
        <w:widowControl/>
        <w:spacing w:line="360" w:lineRule="auto"/>
        <w:ind w:left="101" w:leftChars="48" w:firstLine="361" w:firstLineChars="150"/>
        <w:rPr>
          <w:rFonts w:ascii="仿宋" w:hAnsi="仿宋" w:eastAsia="仿宋" w:cs="仿宋"/>
          <w:b/>
          <w:color w:val="auto"/>
          <w:sz w:val="24"/>
          <w:highlight w:val="none"/>
        </w:rPr>
      </w:pPr>
      <w:r>
        <w:rPr>
          <w:rFonts w:hint="eastAsia" w:ascii="仿宋" w:hAnsi="仿宋" w:eastAsia="仿宋" w:cs="仿宋"/>
          <w:b/>
          <w:color w:val="auto"/>
          <w:sz w:val="24"/>
          <w:highlight w:val="none"/>
        </w:rPr>
        <w:t>投标人法定代表人（</w:t>
      </w:r>
      <w:r>
        <w:rPr>
          <w:rFonts w:hint="eastAsia" w:ascii="仿宋" w:hAnsi="仿宋" w:eastAsia="仿宋" w:cs="仿宋"/>
          <w:bCs/>
          <w:color w:val="auto"/>
          <w:sz w:val="24"/>
          <w:highlight w:val="none"/>
        </w:rPr>
        <w:t>电子签章）</w:t>
      </w:r>
    </w:p>
    <w:p>
      <w:pPr>
        <w:pStyle w:val="121"/>
        <w:widowControl/>
        <w:spacing w:line="360" w:lineRule="auto"/>
        <w:ind w:left="0" w:leftChars="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日　期：</w:t>
      </w:r>
    </w:p>
    <w:p>
      <w:pPr>
        <w:rPr>
          <w:rFonts w:ascii="仿宋" w:hAnsi="仿宋" w:eastAsia="仿宋" w:cs="仿宋"/>
          <w:color w:val="auto"/>
          <w:sz w:val="28"/>
          <w:highlight w:val="none"/>
        </w:rPr>
      </w:pPr>
      <w:r>
        <w:rPr>
          <w:rFonts w:hint="eastAsia" w:ascii="仿宋" w:hAnsi="仿宋" w:eastAsia="仿宋" w:cs="仿宋"/>
          <w:color w:val="auto"/>
          <w:sz w:val="28"/>
          <w:highlight w:val="none"/>
        </w:rPr>
        <w:br w:type="page"/>
      </w:r>
    </w:p>
    <w:p>
      <w:pPr>
        <w:pStyle w:val="124"/>
        <w:outlineLvl w:val="0"/>
        <w:rPr>
          <w:rFonts w:ascii="仿宋" w:hAnsi="仿宋" w:eastAsia="仿宋" w:cs="仿宋"/>
          <w:color w:val="auto"/>
          <w:sz w:val="28"/>
          <w:szCs w:val="28"/>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8"/>
          <w:szCs w:val="28"/>
          <w:highlight w:val="none"/>
        </w:rPr>
        <w:t>二、开标一览表</w:t>
      </w:r>
    </w:p>
    <w:p>
      <w:pPr>
        <w:pStyle w:val="126"/>
        <w:spacing w:after="0" w:line="360" w:lineRule="auto"/>
        <w:ind w:firstLine="482" w:firstLineChars="200"/>
        <w:rPr>
          <w:rFonts w:ascii="仿宋" w:hAnsi="仿宋" w:eastAsia="仿宋" w:cs="仿宋"/>
          <w:b/>
          <w:color w:val="auto"/>
          <w:sz w:val="24"/>
          <w:highlight w:val="none"/>
        </w:rPr>
      </w:pPr>
    </w:p>
    <w:p>
      <w:pPr>
        <w:pStyle w:val="127"/>
        <w:spacing w:line="360" w:lineRule="auto"/>
        <w:ind w:left="0" w:leftChars="0" w:firstLine="0" w:firstLineChars="0"/>
        <w:rPr>
          <w:rFonts w:ascii="仿宋" w:hAnsi="仿宋" w:eastAsia="仿宋" w:cs="仿宋"/>
          <w:color w:val="auto"/>
          <w:highlight w:val="none"/>
        </w:rPr>
      </w:pPr>
      <w:r>
        <w:rPr>
          <w:rFonts w:hint="eastAsia" w:ascii="仿宋" w:hAnsi="仿宋" w:eastAsia="仿宋" w:cs="仿宋"/>
          <w:color w:val="auto"/>
          <w:highlight w:val="none"/>
        </w:rPr>
        <w:t xml:space="preserve">项目编号：                                          </w:t>
      </w:r>
    </w:p>
    <w:p>
      <w:pPr>
        <w:pStyle w:val="127"/>
        <w:spacing w:line="360" w:lineRule="auto"/>
        <w:ind w:left="0" w:leftChars="0" w:firstLine="7200" w:firstLineChars="3000"/>
        <w:rPr>
          <w:rFonts w:ascii="仿宋" w:hAnsi="仿宋" w:eastAsia="仿宋" w:cs="仿宋"/>
          <w:color w:val="auto"/>
          <w:highlight w:val="none"/>
        </w:rPr>
      </w:pPr>
      <w:r>
        <w:rPr>
          <w:rFonts w:hint="eastAsia" w:ascii="仿宋" w:hAnsi="仿宋" w:eastAsia="仿宋" w:cs="仿宋"/>
          <w:color w:val="auto"/>
          <w:highlight w:val="none"/>
        </w:rPr>
        <w:t>价格单位：元</w:t>
      </w:r>
    </w:p>
    <w:tbl>
      <w:tblPr>
        <w:tblStyle w:val="2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pStyle w:val="170"/>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6770" w:type="dxa"/>
            <w:tcBorders>
              <w:top w:val="single" w:color="auto" w:sz="4" w:space="0"/>
              <w:left w:val="nil"/>
              <w:bottom w:val="single" w:color="auto" w:sz="4" w:space="0"/>
              <w:right w:val="single" w:color="auto" w:sz="4" w:space="0"/>
            </w:tcBorders>
            <w:vAlign w:val="center"/>
          </w:tcPr>
          <w:p>
            <w:pPr>
              <w:pStyle w:val="170"/>
              <w:spacing w:line="360" w:lineRule="auto"/>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jc w:val="center"/>
        </w:trPr>
        <w:tc>
          <w:tcPr>
            <w:tcW w:w="2410" w:type="dxa"/>
            <w:tcBorders>
              <w:top w:val="nil"/>
              <w:left w:val="single" w:color="auto" w:sz="4" w:space="0"/>
              <w:bottom w:val="single" w:color="auto" w:sz="4" w:space="0"/>
              <w:right w:val="single" w:color="auto" w:sz="4" w:space="0"/>
            </w:tcBorders>
            <w:vAlign w:val="center"/>
          </w:tcPr>
          <w:p>
            <w:pPr>
              <w:pStyle w:val="170"/>
              <w:spacing w:line="360"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投标报价（元）</w:t>
            </w:r>
          </w:p>
        </w:tc>
        <w:tc>
          <w:tcPr>
            <w:tcW w:w="6770" w:type="dxa"/>
            <w:tcBorders>
              <w:top w:val="single" w:color="auto" w:sz="4" w:space="0"/>
              <w:left w:val="nil"/>
              <w:bottom w:val="single" w:color="auto" w:sz="4" w:space="0"/>
              <w:right w:val="single" w:color="auto" w:sz="4" w:space="0"/>
            </w:tcBorders>
            <w:vAlign w:val="center"/>
          </w:tcPr>
          <w:p>
            <w:pPr>
              <w:pStyle w:val="170"/>
              <w:spacing w:line="360" w:lineRule="auto"/>
              <w:jc w:val="lef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小写：</w:t>
            </w:r>
            <w:r>
              <w:rPr>
                <w:rFonts w:hint="eastAsia" w:ascii="仿宋" w:hAnsi="仿宋" w:eastAsia="仿宋" w:cs="仿宋"/>
                <w:color w:val="auto"/>
                <w:sz w:val="24"/>
                <w:szCs w:val="24"/>
                <w:highlight w:val="none"/>
                <w:u w:val="single"/>
              </w:rPr>
              <w:t xml:space="preserve">                                    </w:t>
            </w:r>
          </w:p>
          <w:p>
            <w:pPr>
              <w:pStyle w:val="170"/>
              <w:spacing w:line="360" w:lineRule="auto"/>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pStyle w:val="17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项目负责人</w:t>
            </w:r>
          </w:p>
        </w:tc>
        <w:tc>
          <w:tcPr>
            <w:tcW w:w="6770" w:type="dxa"/>
            <w:tcBorders>
              <w:top w:val="single" w:color="auto" w:sz="4" w:space="0"/>
              <w:left w:val="nil"/>
              <w:bottom w:val="single" w:color="auto" w:sz="4" w:space="0"/>
              <w:right w:val="single" w:color="auto" w:sz="4" w:space="0"/>
            </w:tcBorders>
          </w:tcPr>
          <w:p>
            <w:pPr>
              <w:pStyle w:val="170"/>
              <w:spacing w:line="360" w:lineRule="auto"/>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pStyle w:val="17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工期</w:t>
            </w:r>
          </w:p>
        </w:tc>
        <w:tc>
          <w:tcPr>
            <w:tcW w:w="6770" w:type="dxa"/>
            <w:tcBorders>
              <w:top w:val="single" w:color="auto" w:sz="4" w:space="0"/>
              <w:left w:val="nil"/>
              <w:bottom w:val="single" w:color="auto" w:sz="4" w:space="0"/>
              <w:right w:val="single" w:color="auto" w:sz="4" w:space="0"/>
            </w:tcBorders>
          </w:tcPr>
          <w:p>
            <w:pPr>
              <w:pStyle w:val="170"/>
              <w:spacing w:line="360" w:lineRule="auto"/>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pStyle w:val="17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质量要求</w:t>
            </w:r>
          </w:p>
        </w:tc>
        <w:tc>
          <w:tcPr>
            <w:tcW w:w="6770" w:type="dxa"/>
            <w:tcBorders>
              <w:top w:val="single" w:color="auto" w:sz="4" w:space="0"/>
              <w:left w:val="nil"/>
              <w:bottom w:val="single" w:color="auto" w:sz="4" w:space="0"/>
              <w:right w:val="single" w:color="auto" w:sz="4" w:space="0"/>
            </w:tcBorders>
          </w:tcPr>
          <w:p>
            <w:pPr>
              <w:pStyle w:val="170"/>
              <w:spacing w:line="360" w:lineRule="auto"/>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9180" w:type="dxa"/>
            <w:gridSpan w:val="2"/>
            <w:tcBorders>
              <w:top w:val="single" w:color="auto" w:sz="4" w:space="0"/>
              <w:left w:val="single" w:color="auto" w:sz="4" w:space="0"/>
              <w:bottom w:val="single" w:color="auto" w:sz="4" w:space="0"/>
              <w:right w:val="single" w:color="auto" w:sz="4" w:space="0"/>
            </w:tcBorders>
          </w:tcPr>
          <w:p>
            <w:pPr>
              <w:pStyle w:val="170"/>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bl>
    <w:p>
      <w:pPr>
        <w:pStyle w:val="125"/>
        <w:spacing w:line="360" w:lineRule="auto"/>
        <w:rPr>
          <w:rFonts w:ascii="仿宋" w:hAnsi="仿宋" w:eastAsia="仿宋" w:cs="仿宋"/>
          <w:color w:val="auto"/>
          <w:sz w:val="24"/>
          <w:highlight w:val="none"/>
        </w:rPr>
      </w:pPr>
    </w:p>
    <w:p>
      <w:pPr>
        <w:pStyle w:val="125"/>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说明：投标人严格按照规定的格式填写。</w:t>
      </w:r>
    </w:p>
    <w:p>
      <w:pPr>
        <w:pStyle w:val="125"/>
        <w:spacing w:line="360" w:lineRule="auto"/>
        <w:rPr>
          <w:rFonts w:ascii="仿宋" w:hAnsi="仿宋" w:eastAsia="仿宋" w:cs="仿宋"/>
          <w:color w:val="auto"/>
          <w:sz w:val="24"/>
          <w:highlight w:val="none"/>
        </w:rPr>
      </w:pPr>
    </w:p>
    <w:p>
      <w:pPr>
        <w:pStyle w:val="171"/>
        <w:spacing w:line="360" w:lineRule="auto"/>
        <w:ind w:firstLine="480" w:firstLineChars="200"/>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投标人电子签章：</w:t>
      </w:r>
    </w:p>
    <w:p>
      <w:pPr>
        <w:pStyle w:val="171"/>
        <w:spacing w:line="360" w:lineRule="auto"/>
        <w:ind w:firstLine="480" w:firstLineChars="200"/>
        <w:rPr>
          <w:rFonts w:ascii="仿宋" w:hAnsi="仿宋" w:eastAsia="仿宋" w:cs="仿宋"/>
          <w:color w:val="auto"/>
          <w:sz w:val="24"/>
          <w:szCs w:val="24"/>
          <w:highlight w:val="none"/>
        </w:rPr>
      </w:pPr>
    </w:p>
    <w:p>
      <w:pPr>
        <w:pStyle w:val="172"/>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日   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pStyle w:val="125"/>
        <w:spacing w:line="360" w:lineRule="auto"/>
        <w:rPr>
          <w:rFonts w:ascii="仿宋" w:hAnsi="仿宋" w:eastAsia="仿宋" w:cs="仿宋"/>
          <w:color w:val="auto"/>
          <w:sz w:val="24"/>
          <w:highlight w:val="none"/>
        </w:rPr>
      </w:pPr>
    </w:p>
    <w:p>
      <w:pPr>
        <w:pStyle w:val="125"/>
        <w:spacing w:line="360" w:lineRule="auto"/>
        <w:rPr>
          <w:rFonts w:ascii="仿宋" w:hAnsi="仿宋" w:eastAsia="仿宋" w:cs="仿宋"/>
          <w:color w:val="auto"/>
          <w:sz w:val="24"/>
          <w:highlight w:val="none"/>
        </w:rPr>
      </w:pPr>
    </w:p>
    <w:p>
      <w:pPr>
        <w:pStyle w:val="169"/>
        <w:adjustRightInd w:val="0"/>
        <w:snapToGrid w:val="0"/>
        <w:spacing w:line="500" w:lineRule="exact"/>
        <w:rPr>
          <w:rFonts w:ascii="仿宋" w:hAnsi="仿宋" w:eastAsia="仿宋" w:cs="仿宋"/>
          <w:color w:val="auto"/>
          <w:highlight w:val="none"/>
        </w:rPr>
      </w:pPr>
      <w:r>
        <w:rPr>
          <w:rFonts w:hint="eastAsia" w:ascii="仿宋" w:hAnsi="仿宋" w:eastAsia="仿宋" w:cs="仿宋"/>
          <w:color w:val="auto"/>
          <w:sz w:val="24"/>
          <w:szCs w:val="24"/>
          <w:highlight w:val="none"/>
        </w:rPr>
        <w:br w:type="page"/>
      </w:r>
    </w:p>
    <w:p>
      <w:pPr>
        <w:pStyle w:val="124"/>
        <w:outlineLvl w:val="2"/>
        <w:rPr>
          <w:rFonts w:ascii="仿宋" w:hAnsi="仿宋" w:eastAsia="仿宋" w:cs="仿宋"/>
          <w:bCs/>
          <w:color w:val="auto"/>
          <w:sz w:val="28"/>
          <w:szCs w:val="28"/>
          <w:highlight w:val="none"/>
        </w:rPr>
      </w:pPr>
      <w:r>
        <w:rPr>
          <w:rFonts w:hint="eastAsia" w:ascii="仿宋" w:hAnsi="仿宋" w:eastAsia="仿宋" w:cs="仿宋"/>
          <w:color w:val="auto"/>
          <w:sz w:val="24"/>
          <w:szCs w:val="24"/>
          <w:highlight w:val="none"/>
        </w:rPr>
        <w:t>★</w:t>
      </w:r>
      <w:r>
        <w:rPr>
          <w:rFonts w:hint="eastAsia" w:ascii="仿宋" w:hAnsi="仿宋" w:eastAsia="仿宋" w:cs="仿宋"/>
          <w:bCs/>
          <w:color w:val="auto"/>
          <w:sz w:val="28"/>
          <w:szCs w:val="28"/>
          <w:highlight w:val="none"/>
        </w:rPr>
        <w:t>三 、</w:t>
      </w:r>
      <w:r>
        <w:rPr>
          <w:rFonts w:hint="eastAsia" w:ascii="仿宋" w:hAnsi="仿宋" w:eastAsia="仿宋" w:cs="仿宋"/>
          <w:color w:val="auto"/>
          <w:highlight w:val="none"/>
        </w:rPr>
        <w:t>竞争性磋商报价明细表</w:t>
      </w:r>
    </w:p>
    <w:p>
      <w:pPr>
        <w:pStyle w:val="173"/>
        <w:spacing w:line="500" w:lineRule="exact"/>
        <w:ind w:firstLine="420"/>
        <w:rPr>
          <w:rFonts w:ascii="仿宋" w:hAnsi="仿宋" w:eastAsia="仿宋" w:cs="仿宋"/>
          <w:color w:val="auto"/>
          <w:kern w:val="0"/>
          <w:sz w:val="28"/>
          <w:szCs w:val="28"/>
          <w:highlight w:val="none"/>
        </w:rPr>
      </w:pPr>
    </w:p>
    <w:p>
      <w:pPr>
        <w:pStyle w:val="198"/>
        <w:spacing w:line="360" w:lineRule="auto"/>
        <w:ind w:left="0" w:leftChars="0" w:firstLine="0" w:firstLineChars="0"/>
        <w:rPr>
          <w:rFonts w:ascii="仿宋" w:hAnsi="仿宋" w:eastAsia="仿宋" w:cs="仿宋"/>
          <w:color w:val="auto"/>
          <w:highlight w:val="none"/>
        </w:rPr>
      </w:pPr>
      <w:r>
        <w:rPr>
          <w:rFonts w:hint="eastAsia" w:ascii="仿宋" w:hAnsi="仿宋" w:eastAsia="仿宋" w:cs="仿宋"/>
          <w:color w:val="auto"/>
          <w:highlight w:val="none"/>
        </w:rPr>
        <w:t>项目编号：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w:t>
      </w:r>
    </w:p>
    <w:p>
      <w:pPr>
        <w:pStyle w:val="199"/>
        <w:widowControl w:val="0"/>
        <w:adjustRightInd w:val="0"/>
        <w:snapToGrid w:val="0"/>
        <w:spacing w:before="0" w:after="0" w:line="500" w:lineRule="exact"/>
        <w:ind w:left="0" w:firstLine="0"/>
        <w:jc w:val="left"/>
        <w:rPr>
          <w:rFonts w:ascii="仿宋" w:hAnsi="仿宋" w:eastAsia="仿宋" w:cs="仿宋"/>
          <w:color w:val="auto"/>
          <w:highlight w:val="none"/>
        </w:rPr>
      </w:pPr>
      <w:r>
        <w:rPr>
          <w:rFonts w:hint="eastAsia" w:ascii="仿宋" w:hAnsi="仿宋" w:eastAsia="仿宋" w:cs="仿宋"/>
          <w:color w:val="auto"/>
          <w:highlight w:val="none"/>
        </w:rPr>
        <w:t>说明：须按本表内容要求逐项填写完整，如有漏项视为未实质性响应。</w:t>
      </w:r>
    </w:p>
    <w:p>
      <w:pPr>
        <w:pStyle w:val="198"/>
        <w:spacing w:line="360" w:lineRule="auto"/>
        <w:ind w:left="0" w:leftChars="0" w:firstLine="0" w:firstLineChars="0"/>
        <w:rPr>
          <w:rFonts w:ascii="仿宋" w:hAnsi="仿宋" w:eastAsia="仿宋" w:cs="仿宋"/>
          <w:color w:val="auto"/>
          <w:highlight w:val="none"/>
        </w:rPr>
      </w:pPr>
    </w:p>
    <w:tbl>
      <w:tblPr>
        <w:tblStyle w:val="23"/>
        <w:tblpPr w:leftFromText="180" w:rightFromText="180" w:vertAnchor="page" w:horzAnchor="page" w:tblpXSpec="center" w:tblpY="3277"/>
        <w:tblOverlap w:val="never"/>
        <w:tblW w:w="8991" w:type="dxa"/>
        <w:jc w:val="center"/>
        <w:tblLayout w:type="fixed"/>
        <w:tblCellMar>
          <w:top w:w="0" w:type="dxa"/>
          <w:left w:w="0" w:type="dxa"/>
          <w:bottom w:w="0" w:type="dxa"/>
          <w:right w:w="0" w:type="dxa"/>
        </w:tblCellMar>
      </w:tblPr>
      <w:tblGrid>
        <w:gridCol w:w="981"/>
        <w:gridCol w:w="3465"/>
        <w:gridCol w:w="2610"/>
        <w:gridCol w:w="1935"/>
      </w:tblGrid>
      <w:tr>
        <w:tblPrEx>
          <w:tblCellMar>
            <w:top w:w="0" w:type="dxa"/>
            <w:left w:w="0" w:type="dxa"/>
            <w:bottom w:w="0" w:type="dxa"/>
            <w:right w:w="0" w:type="dxa"/>
          </w:tblCellMar>
        </w:tblPrEx>
        <w:trPr>
          <w:trHeight w:val="923" w:hRule="atLeast"/>
          <w:jc w:val="center"/>
        </w:trPr>
        <w:tc>
          <w:tcPr>
            <w:tcW w:w="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22"/>
              <w:ind w:left="1" w:leftChars="-94" w:right="101" w:rightChars="48" w:hanging="198" w:hangingChars="90"/>
              <w:jc w:val="center"/>
              <w:rPr>
                <w:rFonts w:ascii="仿宋" w:hAnsi="仿宋" w:eastAsia="仿宋" w:cs="仿宋"/>
                <w:color w:val="auto"/>
                <w:sz w:val="22"/>
                <w:highlight w:val="none"/>
              </w:rPr>
            </w:pPr>
            <w:r>
              <w:rPr>
                <w:rFonts w:hint="eastAsia" w:ascii="仿宋" w:hAnsi="仿宋" w:eastAsia="仿宋" w:cs="仿宋"/>
                <w:color w:val="auto"/>
                <w:sz w:val="22"/>
                <w:highlight w:val="none"/>
              </w:rPr>
              <w:t xml:space="preserve"> 序号</w:t>
            </w:r>
          </w:p>
        </w:tc>
        <w:tc>
          <w:tcPr>
            <w:tcW w:w="3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22"/>
              <w:jc w:val="center"/>
              <w:rPr>
                <w:rFonts w:ascii="仿宋" w:hAnsi="仿宋" w:eastAsia="仿宋" w:cs="仿宋"/>
                <w:color w:val="auto"/>
                <w:sz w:val="22"/>
                <w:highlight w:val="none"/>
              </w:rPr>
            </w:pPr>
            <w:r>
              <w:rPr>
                <w:rFonts w:hint="eastAsia" w:ascii="仿宋" w:hAnsi="仿宋" w:eastAsia="仿宋" w:cs="仿宋"/>
                <w:color w:val="auto"/>
                <w:sz w:val="22"/>
                <w:highlight w:val="none"/>
              </w:rPr>
              <w:t>名  称</w:t>
            </w:r>
          </w:p>
        </w:tc>
        <w:tc>
          <w:tcPr>
            <w:tcW w:w="26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22"/>
              <w:jc w:val="center"/>
              <w:rPr>
                <w:rFonts w:ascii="仿宋" w:hAnsi="仿宋" w:eastAsia="仿宋" w:cs="仿宋"/>
                <w:color w:val="auto"/>
                <w:sz w:val="22"/>
                <w:highlight w:val="none"/>
              </w:rPr>
            </w:pPr>
            <w:r>
              <w:rPr>
                <w:rFonts w:hint="eastAsia" w:ascii="仿宋" w:hAnsi="仿宋" w:eastAsia="仿宋" w:cs="仿宋"/>
                <w:color w:val="auto"/>
                <w:sz w:val="22"/>
                <w:highlight w:val="none"/>
              </w:rPr>
              <w:t>下浮率/费率</w:t>
            </w:r>
          </w:p>
        </w:tc>
        <w:tc>
          <w:tcPr>
            <w:tcW w:w="1935"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pStyle w:val="122"/>
              <w:jc w:val="center"/>
              <w:rPr>
                <w:rFonts w:ascii="仿宋" w:hAnsi="仿宋" w:eastAsia="仿宋" w:cs="仿宋"/>
                <w:color w:val="auto"/>
                <w:sz w:val="22"/>
                <w:highlight w:val="none"/>
              </w:rPr>
            </w:pPr>
            <w:r>
              <w:rPr>
                <w:rFonts w:hint="eastAsia" w:ascii="仿宋" w:hAnsi="仿宋" w:eastAsia="仿宋" w:cs="仿宋"/>
                <w:color w:val="auto"/>
                <w:sz w:val="22"/>
                <w:highlight w:val="none"/>
              </w:rPr>
              <w:t>合计</w:t>
            </w:r>
          </w:p>
        </w:tc>
      </w:tr>
      <w:tr>
        <w:tblPrEx>
          <w:tblCellMar>
            <w:top w:w="0" w:type="dxa"/>
            <w:left w:w="0" w:type="dxa"/>
            <w:bottom w:w="0" w:type="dxa"/>
            <w:right w:w="0" w:type="dxa"/>
          </w:tblCellMar>
        </w:tblPrEx>
        <w:trPr>
          <w:trHeight w:val="1205" w:hRule="atLeast"/>
          <w:jc w:val="center"/>
        </w:trPr>
        <w:tc>
          <w:tcPr>
            <w:tcW w:w="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122"/>
              <w:ind w:right="-160" w:rightChars="-76"/>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3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122"/>
              <w:jc w:val="center"/>
              <w:rPr>
                <w:rFonts w:ascii="仿宋" w:hAnsi="仿宋" w:eastAsia="仿宋" w:cs="仿宋"/>
                <w:color w:val="auto"/>
                <w:sz w:val="22"/>
                <w:highlight w:val="none"/>
              </w:rPr>
            </w:pPr>
            <w:r>
              <w:rPr>
                <w:rFonts w:hint="eastAsia" w:ascii="仿宋" w:hAnsi="仿宋" w:eastAsia="仿宋" w:cs="仿宋"/>
                <w:color w:val="auto"/>
                <w:sz w:val="22"/>
                <w:highlight w:val="none"/>
              </w:rPr>
              <w:t>建筑安装工程费</w:t>
            </w:r>
          </w:p>
        </w:tc>
        <w:tc>
          <w:tcPr>
            <w:tcW w:w="2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122"/>
              <w:jc w:val="center"/>
              <w:rPr>
                <w:rFonts w:ascii="仿宋" w:hAnsi="仿宋" w:eastAsia="仿宋" w:cs="仿宋"/>
                <w:color w:val="auto"/>
                <w:sz w:val="22"/>
                <w:highlight w:val="none"/>
              </w:rPr>
            </w:pPr>
            <w:r>
              <w:rPr>
                <w:rFonts w:hint="eastAsia" w:ascii="仿宋" w:hAnsi="仿宋" w:eastAsia="仿宋" w:cs="仿宋"/>
                <w:color w:val="auto"/>
                <w:sz w:val="22"/>
                <w:highlight w:val="none"/>
              </w:rPr>
              <w:t>下浮率：</w:t>
            </w:r>
            <w:r>
              <w:rPr>
                <w:rFonts w:hint="eastAsia" w:ascii="仿宋" w:hAnsi="仿宋" w:eastAsia="仿宋" w:cs="仿宋"/>
                <w:color w:val="auto"/>
                <w:sz w:val="22"/>
                <w:highlight w:val="none"/>
                <w:u w:val="single"/>
              </w:rPr>
              <w:t xml:space="preserve">   </w:t>
            </w:r>
            <w:r>
              <w:rPr>
                <w:rFonts w:hint="eastAsia" w:ascii="仿宋" w:hAnsi="仿宋" w:eastAsia="仿宋" w:cs="仿宋"/>
                <w:color w:val="auto"/>
                <w:sz w:val="22"/>
                <w:highlight w:val="none"/>
              </w:rPr>
              <w:t>%</w:t>
            </w:r>
          </w:p>
        </w:tc>
        <w:tc>
          <w:tcPr>
            <w:tcW w:w="193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pStyle w:val="122"/>
              <w:ind w:firstLine="440" w:firstLineChars="200"/>
              <w:jc w:val="center"/>
              <w:textAlignment w:val="center"/>
              <w:rPr>
                <w:rFonts w:ascii="仿宋" w:hAnsi="仿宋" w:eastAsia="仿宋" w:cs="仿宋"/>
                <w:color w:val="auto"/>
                <w:sz w:val="22"/>
                <w:highlight w:val="none"/>
              </w:rPr>
            </w:pPr>
            <w:r>
              <w:rPr>
                <w:rFonts w:hint="eastAsia" w:ascii="仿宋" w:hAnsi="仿宋" w:eastAsia="仿宋" w:cs="仿宋"/>
                <w:color w:val="auto"/>
                <w:sz w:val="22"/>
                <w:highlight w:val="none"/>
                <w:u w:val="single"/>
              </w:rPr>
              <w:t xml:space="preserve">    </w:t>
            </w:r>
            <w:r>
              <w:rPr>
                <w:rFonts w:hint="eastAsia" w:ascii="仿宋" w:hAnsi="仿宋" w:eastAsia="仿宋" w:cs="仿宋"/>
                <w:color w:val="auto"/>
                <w:sz w:val="22"/>
                <w:highlight w:val="none"/>
              </w:rPr>
              <w:t>（元）</w:t>
            </w:r>
          </w:p>
        </w:tc>
      </w:tr>
      <w:tr>
        <w:tblPrEx>
          <w:tblCellMar>
            <w:top w:w="0" w:type="dxa"/>
            <w:left w:w="0" w:type="dxa"/>
            <w:bottom w:w="0" w:type="dxa"/>
            <w:right w:w="0" w:type="dxa"/>
          </w:tblCellMar>
        </w:tblPrEx>
        <w:trPr>
          <w:trHeight w:val="1205" w:hRule="atLeast"/>
          <w:jc w:val="center"/>
        </w:trPr>
        <w:tc>
          <w:tcPr>
            <w:tcW w:w="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122"/>
              <w:ind w:right="-160" w:rightChars="-76"/>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34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122"/>
              <w:jc w:val="center"/>
              <w:rPr>
                <w:rFonts w:ascii="仿宋" w:hAnsi="仿宋" w:eastAsia="仿宋" w:cs="仿宋"/>
                <w:color w:val="auto"/>
                <w:sz w:val="22"/>
                <w:highlight w:val="none"/>
              </w:rPr>
            </w:pPr>
            <w:r>
              <w:rPr>
                <w:rFonts w:hint="eastAsia" w:ascii="仿宋" w:hAnsi="仿宋" w:eastAsia="仿宋" w:cs="仿宋"/>
                <w:color w:val="auto"/>
                <w:sz w:val="22"/>
                <w:szCs w:val="22"/>
                <w:highlight w:val="none"/>
              </w:rPr>
              <w:t>设计费</w:t>
            </w:r>
          </w:p>
        </w:tc>
        <w:tc>
          <w:tcPr>
            <w:tcW w:w="2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122"/>
              <w:jc w:val="center"/>
              <w:rPr>
                <w:rFonts w:ascii="仿宋" w:hAnsi="仿宋" w:eastAsia="仿宋" w:cs="仿宋"/>
                <w:color w:val="auto"/>
                <w:sz w:val="22"/>
                <w:highlight w:val="none"/>
              </w:rPr>
            </w:pPr>
            <w:r>
              <w:rPr>
                <w:rFonts w:hint="eastAsia" w:ascii="仿宋" w:hAnsi="仿宋" w:eastAsia="仿宋" w:cs="仿宋"/>
                <w:color w:val="auto"/>
                <w:sz w:val="22"/>
                <w:highlight w:val="none"/>
              </w:rPr>
              <w:t>费率：</w:t>
            </w:r>
            <w:r>
              <w:rPr>
                <w:rFonts w:hint="eastAsia" w:ascii="仿宋" w:hAnsi="仿宋" w:eastAsia="仿宋" w:cs="仿宋"/>
                <w:color w:val="auto"/>
                <w:sz w:val="22"/>
                <w:highlight w:val="none"/>
                <w:u w:val="single"/>
              </w:rPr>
              <w:t xml:space="preserve">   </w:t>
            </w:r>
            <w:r>
              <w:rPr>
                <w:rFonts w:hint="eastAsia" w:ascii="仿宋" w:hAnsi="仿宋" w:eastAsia="仿宋" w:cs="仿宋"/>
                <w:color w:val="auto"/>
                <w:sz w:val="22"/>
                <w:highlight w:val="none"/>
              </w:rPr>
              <w:t>%</w:t>
            </w:r>
          </w:p>
        </w:tc>
        <w:tc>
          <w:tcPr>
            <w:tcW w:w="193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pStyle w:val="122"/>
              <w:ind w:firstLine="440" w:firstLineChars="200"/>
              <w:jc w:val="center"/>
              <w:textAlignment w:val="center"/>
              <w:rPr>
                <w:rFonts w:ascii="仿宋" w:hAnsi="仿宋" w:eastAsia="仿宋" w:cs="仿宋"/>
                <w:color w:val="auto"/>
                <w:sz w:val="22"/>
                <w:highlight w:val="none"/>
              </w:rPr>
            </w:pPr>
            <w:r>
              <w:rPr>
                <w:rFonts w:hint="eastAsia" w:ascii="仿宋" w:hAnsi="仿宋" w:eastAsia="仿宋" w:cs="仿宋"/>
                <w:color w:val="auto"/>
                <w:sz w:val="22"/>
                <w:highlight w:val="none"/>
                <w:u w:val="single"/>
              </w:rPr>
              <w:t xml:space="preserve">    </w:t>
            </w:r>
            <w:r>
              <w:rPr>
                <w:rFonts w:hint="eastAsia" w:ascii="仿宋" w:hAnsi="仿宋" w:eastAsia="仿宋" w:cs="仿宋"/>
                <w:color w:val="auto"/>
                <w:sz w:val="22"/>
                <w:highlight w:val="none"/>
              </w:rPr>
              <w:t>（元）</w:t>
            </w:r>
          </w:p>
        </w:tc>
      </w:tr>
      <w:tr>
        <w:tblPrEx>
          <w:tblCellMar>
            <w:top w:w="0" w:type="dxa"/>
            <w:left w:w="0" w:type="dxa"/>
            <w:bottom w:w="0" w:type="dxa"/>
            <w:right w:w="0" w:type="dxa"/>
          </w:tblCellMar>
        </w:tblPrEx>
        <w:trPr>
          <w:trHeight w:val="1205" w:hRule="atLeast"/>
          <w:jc w:val="center"/>
        </w:trPr>
        <w:tc>
          <w:tcPr>
            <w:tcW w:w="8991"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pStyle w:val="122"/>
              <w:ind w:firstLine="440" w:firstLineChars="200"/>
              <w:textAlignment w:val="center"/>
              <w:rPr>
                <w:rFonts w:ascii="仿宋" w:hAnsi="仿宋" w:eastAsia="仿宋" w:cs="仿宋"/>
                <w:color w:val="auto"/>
                <w:sz w:val="22"/>
                <w:highlight w:val="none"/>
              </w:rPr>
            </w:pPr>
            <w:r>
              <w:rPr>
                <w:rFonts w:hint="eastAsia" w:ascii="仿宋" w:hAnsi="仿宋" w:eastAsia="仿宋" w:cs="仿宋"/>
                <w:color w:val="auto"/>
                <w:sz w:val="22"/>
                <w:highlight w:val="none"/>
              </w:rPr>
              <w:t>总价合计：</w:t>
            </w:r>
            <w:r>
              <w:rPr>
                <w:rFonts w:hint="eastAsia" w:ascii="仿宋" w:hAnsi="仿宋" w:eastAsia="仿宋" w:cs="仿宋"/>
                <w:color w:val="auto"/>
                <w:sz w:val="22"/>
                <w:highlight w:val="none"/>
                <w:u w:val="single"/>
              </w:rPr>
              <w:t xml:space="preserve">                                 </w:t>
            </w:r>
            <w:r>
              <w:rPr>
                <w:rFonts w:hint="eastAsia" w:ascii="仿宋" w:hAnsi="仿宋" w:eastAsia="仿宋" w:cs="仿宋"/>
                <w:color w:val="auto"/>
                <w:sz w:val="22"/>
                <w:highlight w:val="none"/>
              </w:rPr>
              <w:t>（元）</w:t>
            </w:r>
          </w:p>
        </w:tc>
      </w:tr>
    </w:tbl>
    <w:p>
      <w:pPr>
        <w:pStyle w:val="199"/>
        <w:widowControl w:val="0"/>
        <w:adjustRightInd w:val="0"/>
        <w:snapToGrid w:val="0"/>
        <w:spacing w:before="0" w:after="0" w:line="500" w:lineRule="exact"/>
        <w:ind w:left="0" w:firstLine="0"/>
        <w:jc w:val="left"/>
        <w:rPr>
          <w:rFonts w:ascii="仿宋" w:hAnsi="仿宋" w:eastAsia="仿宋" w:cs="仿宋"/>
          <w:color w:val="auto"/>
          <w:highlight w:val="none"/>
        </w:rPr>
      </w:pPr>
    </w:p>
    <w:p>
      <w:pPr>
        <w:pStyle w:val="199"/>
        <w:widowControl w:val="0"/>
        <w:adjustRightInd w:val="0"/>
        <w:snapToGrid w:val="0"/>
        <w:spacing w:before="0" w:after="0" w:line="500" w:lineRule="exact"/>
        <w:ind w:left="0" w:firstLine="0"/>
        <w:jc w:val="left"/>
        <w:rPr>
          <w:rFonts w:ascii="仿宋" w:hAnsi="仿宋" w:eastAsia="仿宋" w:cs="仿宋"/>
          <w:color w:val="auto"/>
          <w:highlight w:val="none"/>
        </w:rPr>
      </w:pPr>
    </w:p>
    <w:p>
      <w:pPr>
        <w:pStyle w:val="199"/>
        <w:adjustRightInd w:val="0"/>
        <w:snapToGrid w:val="0"/>
        <w:spacing w:line="500" w:lineRule="exact"/>
        <w:ind w:left="1636" w:leftChars="470" w:hanging="649" w:hangingChars="232"/>
        <w:rPr>
          <w:rFonts w:ascii="仿宋" w:hAnsi="仿宋" w:eastAsia="仿宋" w:cs="仿宋"/>
          <w:color w:val="auto"/>
          <w:highlight w:val="none"/>
          <w:u w:val="single"/>
        </w:rPr>
      </w:pPr>
      <w:r>
        <w:rPr>
          <w:rFonts w:hint="eastAsia" w:ascii="仿宋" w:hAnsi="仿宋" w:eastAsia="仿宋" w:cs="仿宋"/>
          <w:color w:val="auto"/>
          <w:highlight w:val="none"/>
        </w:rPr>
        <w:t>供应商名称（电子签章）：</w:t>
      </w:r>
      <w:r>
        <w:rPr>
          <w:rFonts w:hint="eastAsia" w:ascii="仿宋" w:hAnsi="仿宋" w:eastAsia="仿宋" w:cs="仿宋"/>
          <w:color w:val="auto"/>
          <w:highlight w:val="none"/>
          <w:u w:val="single"/>
        </w:rPr>
        <w:t xml:space="preserve">                       </w:t>
      </w:r>
    </w:p>
    <w:p>
      <w:pPr>
        <w:pStyle w:val="199"/>
        <w:adjustRightInd w:val="0"/>
        <w:snapToGrid w:val="0"/>
        <w:spacing w:line="500" w:lineRule="exact"/>
        <w:ind w:left="1636" w:leftChars="470" w:hanging="649" w:hangingChars="232"/>
        <w:rPr>
          <w:rFonts w:ascii="仿宋" w:hAnsi="仿宋" w:eastAsia="仿宋" w:cs="仿宋"/>
          <w:color w:val="auto"/>
          <w:highlight w:val="none"/>
        </w:rPr>
      </w:pPr>
      <w:r>
        <w:rPr>
          <w:rFonts w:hint="eastAsia" w:ascii="仿宋" w:hAnsi="仿宋" w:eastAsia="仿宋" w:cs="仿宋"/>
          <w:color w:val="auto"/>
          <w:highlight w:val="none"/>
        </w:rPr>
        <w:t>日期：</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年</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月</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日</w:t>
      </w:r>
    </w:p>
    <w:p>
      <w:pPr>
        <w:pStyle w:val="5"/>
        <w:adjustRightInd/>
        <w:spacing w:before="0" w:after="0" w:line="360" w:lineRule="auto"/>
        <w:textAlignment w:val="auto"/>
        <w:rPr>
          <w:rFonts w:ascii="仿宋" w:hAnsi="仿宋" w:eastAsia="仿宋" w:cs="仿宋"/>
          <w:color w:val="auto"/>
          <w:sz w:val="28"/>
          <w:szCs w:val="28"/>
          <w:highlight w:val="none"/>
        </w:rPr>
        <w:sectPr>
          <w:headerReference r:id="rId8" w:type="default"/>
          <w:footerReference r:id="rId9" w:type="default"/>
          <w:pgSz w:w="11906" w:h="16838"/>
          <w:pgMar w:top="1440" w:right="1417" w:bottom="1134" w:left="1587" w:header="851" w:footer="992" w:gutter="0"/>
          <w:pgNumType w:fmt="decimal"/>
          <w:cols w:space="720" w:num="1"/>
          <w:docGrid w:type="lines" w:linePitch="312" w:charSpace="0"/>
        </w:sectPr>
      </w:pPr>
      <w:r>
        <w:rPr>
          <w:rFonts w:hint="eastAsia" w:ascii="仿宋" w:hAnsi="仿宋" w:eastAsia="仿宋" w:cs="仿宋"/>
          <w:color w:val="auto"/>
          <w:sz w:val="28"/>
          <w:szCs w:val="28"/>
          <w:highlight w:val="none"/>
        </w:rPr>
        <w:br w:type="page"/>
      </w:r>
    </w:p>
    <w:p>
      <w:pPr>
        <w:pStyle w:val="102"/>
        <w:spacing w:line="360" w:lineRule="auto"/>
        <w:outlineLvl w:val="0"/>
        <w:rPr>
          <w:rFonts w:ascii="仿宋" w:hAnsi="仿宋" w:eastAsia="仿宋" w:cs="仿宋"/>
          <w:color w:val="auto"/>
          <w:highlight w:val="none"/>
        </w:rPr>
      </w:pPr>
      <w:r>
        <w:rPr>
          <w:rFonts w:hint="eastAsia" w:ascii="仿宋" w:hAnsi="仿宋" w:eastAsia="仿宋" w:cs="仿宋"/>
          <w:color w:val="auto"/>
          <w:highlight w:val="none"/>
        </w:rPr>
        <w:t>★</w:t>
      </w:r>
      <w:r>
        <w:rPr>
          <w:rFonts w:hint="eastAsia" w:ascii="仿宋" w:hAnsi="仿宋" w:eastAsia="仿宋" w:cs="仿宋"/>
          <w:color w:val="auto"/>
          <w:sz w:val="28"/>
          <w:szCs w:val="22"/>
          <w:highlight w:val="none"/>
        </w:rPr>
        <w:t>四、中、小微企业声明函（中、小、微型企业产品价格需扣除的须提供）</w:t>
      </w:r>
    </w:p>
    <w:p>
      <w:pPr>
        <w:pStyle w:val="29"/>
        <w:spacing w:after="0" w:line="360" w:lineRule="auto"/>
        <w:ind w:right="206" w:rightChars="98"/>
        <w:jc w:val="center"/>
        <w:rPr>
          <w:rFonts w:ascii="仿宋" w:hAnsi="仿宋" w:eastAsia="仿宋" w:cs="仿宋"/>
          <w:color w:val="auto"/>
          <w:sz w:val="28"/>
          <w:szCs w:val="28"/>
          <w:highlight w:val="none"/>
        </w:rPr>
      </w:pPr>
      <w:bookmarkStart w:id="623" w:name="_Toc17061"/>
      <w:r>
        <w:rPr>
          <w:rFonts w:hint="eastAsia" w:ascii="仿宋" w:hAnsi="仿宋" w:eastAsia="仿宋" w:cs="仿宋"/>
          <w:b/>
          <w:bCs/>
          <w:color w:val="auto"/>
          <w:sz w:val="28"/>
          <w:szCs w:val="28"/>
          <w:highlight w:val="none"/>
        </w:rPr>
        <w:t>中小企业声明函（工程、</w:t>
      </w:r>
      <w:r>
        <w:rPr>
          <w:rFonts w:hint="eastAsia" w:ascii="仿宋" w:hAnsi="仿宋" w:eastAsia="仿宋" w:cs="仿宋"/>
          <w:b/>
          <w:bCs/>
          <w:color w:val="auto"/>
          <w:sz w:val="28"/>
          <w:szCs w:val="28"/>
          <w:highlight w:val="none"/>
          <w:lang w:val="zh-CN" w:bidi="zh-CN"/>
        </w:rPr>
        <w:t>服务）</w:t>
      </w:r>
      <w:bookmarkEnd w:id="623"/>
    </w:p>
    <w:p>
      <w:pPr>
        <w:pStyle w:val="157"/>
        <w:spacing w:line="508" w:lineRule="exact"/>
        <w:ind w:firstLine="640"/>
        <w:rPr>
          <w:rFonts w:ascii="仿宋" w:hAnsi="仿宋" w:eastAsia="仿宋" w:cs="仿宋"/>
          <w:color w:val="auto"/>
          <w:highlight w:val="none"/>
        </w:rPr>
      </w:pPr>
      <w:r>
        <w:rPr>
          <w:rFonts w:hint="eastAsia" w:ascii="仿宋" w:hAnsi="仿宋" w:eastAsia="仿宋" w:cs="仿宋"/>
          <w:color w:val="auto"/>
          <w:highlight w:val="none"/>
        </w:rPr>
        <w:t>本公司（联合体）郑重声明，根据《政府采购促进中小企业发展管理办法》（财库</w:t>
      </w:r>
      <w:r>
        <w:rPr>
          <w:rFonts w:hint="eastAsia" w:ascii="仿宋" w:hAnsi="仿宋" w:eastAsia="仿宋" w:cs="仿宋"/>
          <w:b/>
          <w:bCs/>
          <w:color w:val="auto"/>
          <w:highlight w:val="none"/>
        </w:rPr>
        <w:t>（2020 ） 46</w:t>
      </w:r>
      <w:r>
        <w:rPr>
          <w:rFonts w:hint="eastAsia" w:ascii="仿宋" w:hAnsi="仿宋" w:eastAsia="仿宋" w:cs="仿宋"/>
          <w:color w:val="auto"/>
          <w:highlight w:val="none"/>
        </w:rPr>
        <w:t>号）的规定，本公司（联合体）参加</w:t>
      </w:r>
      <w:r>
        <w:rPr>
          <w:rFonts w:hint="eastAsia" w:ascii="仿宋" w:hAnsi="仿宋" w:eastAsia="仿宋" w:cs="仿宋"/>
          <w:i/>
          <w:iCs/>
          <w:color w:val="auto"/>
          <w:highlight w:val="none"/>
          <w:u w:val="single"/>
        </w:rPr>
        <w:t>（単位名称）</w:t>
      </w:r>
      <w:r>
        <w:rPr>
          <w:rFonts w:hint="eastAsia" w:ascii="仿宋" w:hAnsi="仿宋" w:eastAsia="仿宋" w:cs="仿宋"/>
          <w:color w:val="auto"/>
          <w:highlight w:val="none"/>
        </w:rPr>
        <w:t>的</w:t>
      </w:r>
      <w:r>
        <w:rPr>
          <w:rFonts w:hint="eastAsia" w:ascii="仿宋" w:hAnsi="仿宋" w:eastAsia="仿宋" w:cs="仿宋"/>
          <w:i/>
          <w:iCs/>
          <w:color w:val="auto"/>
          <w:highlight w:val="none"/>
          <w:u w:val="single"/>
        </w:rPr>
        <w:t>（项目名称）</w:t>
      </w:r>
      <w:r>
        <w:rPr>
          <w:rFonts w:hint="eastAsia" w:ascii="仿宋" w:hAnsi="仿宋" w:eastAsia="仿宋" w:cs="仿宋"/>
          <w:color w:val="auto"/>
          <w:highlight w:val="none"/>
          <w:u w:val="single"/>
        </w:rPr>
        <w:t>采</w:t>
      </w:r>
      <w:r>
        <w:rPr>
          <w:rFonts w:hint="eastAsia" w:ascii="仿宋" w:hAnsi="仿宋" w:eastAsia="仿宋" w:cs="仿宋"/>
          <w:color w:val="auto"/>
          <w:highlight w:val="none"/>
        </w:rPr>
        <w:t>购活动,工程的施工单位全部为符合政策要求的中小企业（或者：服务全部由符合政策要求的中小企业承接）.相关企业（含联合体中的中小企业、签订分包意向协议的中小企业）的具体情况如下：</w:t>
      </w:r>
    </w:p>
    <w:p>
      <w:pPr>
        <w:pStyle w:val="157"/>
        <w:numPr>
          <w:ilvl w:val="0"/>
          <w:numId w:val="19"/>
        </w:numPr>
        <w:tabs>
          <w:tab w:val="left" w:pos="1120"/>
          <w:tab w:val="left" w:pos="6689"/>
        </w:tabs>
        <w:spacing w:line="508" w:lineRule="exact"/>
        <w:ind w:firstLine="640"/>
        <w:rPr>
          <w:rFonts w:ascii="仿宋" w:hAnsi="仿宋" w:eastAsia="仿宋" w:cs="仿宋"/>
          <w:color w:val="auto"/>
          <w:highlight w:val="none"/>
        </w:rPr>
      </w:pPr>
      <w:bookmarkStart w:id="624" w:name="bookmark51"/>
      <w:bookmarkEnd w:id="624"/>
      <w:r>
        <w:rPr>
          <w:rFonts w:hint="eastAsia" w:ascii="仿宋" w:hAnsi="仿宋" w:eastAsia="仿宋" w:cs="仿宋"/>
          <w:i/>
          <w:iCs/>
          <w:color w:val="auto"/>
          <w:highlight w:val="none"/>
          <w:u w:val="single"/>
        </w:rPr>
        <w:t>（标的名称）</w:t>
      </w:r>
      <w:r>
        <w:rPr>
          <w:rFonts w:hint="eastAsia" w:ascii="仿宋" w:hAnsi="仿宋" w:eastAsia="仿宋" w:cs="仿宋"/>
          <w:color w:val="auto"/>
          <w:highlight w:val="none"/>
        </w:rPr>
        <w:t>,属于</w:t>
      </w:r>
      <w:r>
        <w:rPr>
          <w:rFonts w:hint="eastAsia" w:ascii="仿宋" w:hAnsi="仿宋" w:eastAsia="仿宋" w:cs="仿宋"/>
          <w:i/>
          <w:iCs/>
          <w:color w:val="auto"/>
          <w:highlight w:val="none"/>
          <w:u w:val="single"/>
        </w:rPr>
        <w:t>（采购文件中明确的所属行业</w:t>
      </w:r>
      <w:r>
        <w:rPr>
          <w:rFonts w:hint="eastAsia" w:ascii="仿宋" w:hAnsi="仿宋" w:eastAsia="仿宋" w:cs="仿宋"/>
          <w:b/>
          <w:bCs/>
          <w:color w:val="auto"/>
          <w:highlight w:val="none"/>
          <w:u w:val="single"/>
          <w:lang w:val="en-US" w:eastAsia="zh-CN"/>
        </w:rPr>
        <w:t xml:space="preserve"> </w:t>
      </w:r>
      <w:r>
        <w:rPr>
          <w:rFonts w:hint="eastAsia" w:ascii="仿宋" w:hAnsi="仿宋" w:eastAsia="仿宋" w:cs="仿宋"/>
          <w:b/>
          <w:bCs/>
          <w:color w:val="auto"/>
          <w:highlight w:val="none"/>
          <w:u w:val="single"/>
        </w:rPr>
        <w:t xml:space="preserve"> </w:t>
      </w:r>
      <w:r>
        <w:rPr>
          <w:rFonts w:hint="eastAsia" w:ascii="仿宋" w:hAnsi="仿宋" w:eastAsia="仿宋" w:cs="仿宋"/>
          <w:color w:val="auto"/>
          <w:highlight w:val="none"/>
        </w:rPr>
        <w:t>承建（承去）企业为</w:t>
      </w:r>
      <w:r>
        <w:rPr>
          <w:rFonts w:hint="eastAsia" w:ascii="仿宋" w:hAnsi="仿宋" w:eastAsia="仿宋" w:cs="仿宋"/>
          <w:i/>
          <w:iCs/>
          <w:color w:val="auto"/>
          <w:highlight w:val="none"/>
          <w:u w:val="single"/>
        </w:rPr>
        <w:t>（企业名称）</w:t>
      </w:r>
      <w:r>
        <w:rPr>
          <w:rFonts w:hint="eastAsia" w:ascii="仿宋" w:hAnsi="仿宋" w:eastAsia="仿宋" w:cs="仿宋"/>
          <w:i/>
          <w:iCs/>
          <w:color w:val="auto"/>
          <w:highlight w:val="none"/>
        </w:rPr>
        <w:t>,</w:t>
      </w:r>
      <w:r>
        <w:rPr>
          <w:rFonts w:hint="eastAsia" w:ascii="仿宋" w:hAnsi="仿宋" w:eastAsia="仿宋" w:cs="仿宋"/>
          <w:color w:val="auto"/>
          <w:highlight w:val="none"/>
        </w:rPr>
        <w:t>从业人员</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rPr>
        <w:tab/>
      </w:r>
      <w:r>
        <w:rPr>
          <w:rFonts w:hint="eastAsia" w:ascii="仿宋" w:hAnsi="仿宋" w:eastAsia="仿宋" w:cs="仿宋"/>
          <w:color w:val="auto"/>
          <w:highlight w:val="none"/>
        </w:rPr>
        <w:t xml:space="preserve"> ，营业 收入为</w:t>
      </w:r>
      <w:r>
        <w:rPr>
          <w:rFonts w:hint="eastAsia" w:ascii="仿宋" w:hAnsi="仿宋" w:eastAsia="仿宋" w:cs="仿宋"/>
          <w:color w:val="auto"/>
          <w:highlight w:val="none"/>
          <w:lang w:val="zh-CN" w:eastAsia="zh-CN" w:bidi="zh-CN"/>
        </w:rPr>
        <w:t>—</w:t>
      </w:r>
      <w:r>
        <w:rPr>
          <w:rFonts w:hint="eastAsia" w:ascii="仿宋" w:hAnsi="仿宋" w:eastAsia="仿宋" w:cs="仿宋"/>
          <w:color w:val="auto"/>
          <w:highlight w:val="none"/>
        </w:rPr>
        <w:t>万元，资产总额为—万元</w:t>
      </w:r>
      <w:r>
        <w:rPr>
          <w:rFonts w:hint="eastAsia" w:ascii="仿宋" w:hAnsi="仿宋" w:eastAsia="仿宋" w:cs="仿宋"/>
          <w:color w:val="auto"/>
          <w:highlight w:val="none"/>
          <w:lang w:val="en-US" w:eastAsia="zh-CN" w:bidi="en-US"/>
        </w:rPr>
        <w:t>'，</w:t>
      </w:r>
      <w:r>
        <w:rPr>
          <w:rFonts w:hint="eastAsia" w:ascii="仿宋" w:hAnsi="仿宋" w:eastAsia="仿宋" w:cs="仿宋"/>
          <w:color w:val="auto"/>
          <w:highlight w:val="none"/>
        </w:rPr>
        <w:t>属于</w:t>
      </w:r>
      <w:r>
        <w:rPr>
          <w:rFonts w:hint="eastAsia" w:ascii="仿宋" w:hAnsi="仿宋" w:eastAsia="仿宋" w:cs="仿宋"/>
          <w:i/>
          <w:iCs/>
          <w:color w:val="auto"/>
          <w:highlight w:val="none"/>
          <w:u w:val="single"/>
        </w:rPr>
        <w:t>（中型企业丄 小型企业、微型企业X</w:t>
      </w:r>
    </w:p>
    <w:p>
      <w:pPr>
        <w:pStyle w:val="157"/>
        <w:numPr>
          <w:ilvl w:val="0"/>
          <w:numId w:val="19"/>
        </w:numPr>
        <w:tabs>
          <w:tab w:val="left" w:pos="1120"/>
          <w:tab w:val="left" w:pos="6667"/>
        </w:tabs>
        <w:spacing w:line="508" w:lineRule="exact"/>
        <w:ind w:firstLine="640"/>
        <w:rPr>
          <w:rFonts w:ascii="仿宋" w:hAnsi="仿宋" w:eastAsia="仿宋" w:cs="仿宋"/>
          <w:color w:val="auto"/>
          <w:highlight w:val="none"/>
        </w:rPr>
      </w:pPr>
      <w:bookmarkStart w:id="625" w:name="bookmark52"/>
      <w:bookmarkEnd w:id="625"/>
      <w:r>
        <w:rPr>
          <w:rFonts w:hint="eastAsia" w:ascii="仿宋" w:hAnsi="仿宋" w:eastAsia="仿宋" w:cs="仿宋"/>
          <w:i/>
          <w:iCs/>
          <w:color w:val="auto"/>
          <w:highlight w:val="none"/>
          <w:u w:val="single"/>
        </w:rPr>
        <w:t>（标的名称）</w:t>
      </w:r>
      <w:r>
        <w:rPr>
          <w:rFonts w:hint="eastAsia" w:ascii="仿宋" w:hAnsi="仿宋" w:eastAsia="仿宋" w:cs="仿宋"/>
          <w:color w:val="auto"/>
          <w:highlight w:val="none"/>
        </w:rPr>
        <w:t>,属于</w:t>
      </w:r>
      <w:r>
        <w:rPr>
          <w:rFonts w:hint="eastAsia" w:ascii="仿宋" w:hAnsi="仿宋" w:eastAsia="仿宋" w:cs="仿宋"/>
          <w:i/>
          <w:iCs/>
          <w:color w:val="auto"/>
          <w:highlight w:val="none"/>
          <w:u w:val="single"/>
        </w:rPr>
        <w:t xml:space="preserve">（采购文件中明确的所属行业 </w:t>
      </w:r>
      <w:r>
        <w:rPr>
          <w:rFonts w:hint="eastAsia" w:ascii="仿宋" w:hAnsi="仿宋" w:eastAsia="仿宋" w:cs="仿宋"/>
          <w:color w:val="auto"/>
          <w:highlight w:val="none"/>
        </w:rPr>
        <w:t>斎建（承接）企业为</w:t>
      </w:r>
      <w:r>
        <w:rPr>
          <w:rFonts w:hint="eastAsia" w:ascii="仿宋" w:hAnsi="仿宋" w:eastAsia="仿宋" w:cs="仿宋"/>
          <w:i/>
          <w:iCs/>
          <w:color w:val="auto"/>
          <w:highlight w:val="none"/>
          <w:u w:val="single"/>
        </w:rPr>
        <w:t>（企业名称）</w:t>
      </w:r>
      <w:r>
        <w:rPr>
          <w:rFonts w:hint="eastAsia" w:ascii="仿宋" w:hAnsi="仿宋" w:eastAsia="仿宋" w:cs="仿宋"/>
          <w:i/>
          <w:iCs/>
          <w:color w:val="auto"/>
          <w:highlight w:val="none"/>
        </w:rPr>
        <w:t>,</w:t>
      </w:r>
      <w:r>
        <w:rPr>
          <w:rFonts w:hint="eastAsia" w:ascii="仿宋" w:hAnsi="仿宋" w:eastAsia="仿宋" w:cs="仿宋"/>
          <w:color w:val="auto"/>
          <w:highlight w:val="none"/>
        </w:rPr>
        <w:t>从业人员</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single"/>
        </w:rPr>
        <w:tab/>
      </w:r>
      <w:r>
        <w:rPr>
          <w:rFonts w:hint="eastAsia" w:ascii="仿宋" w:hAnsi="仿宋" w:eastAsia="仿宋" w:cs="仿宋"/>
          <w:color w:val="auto"/>
          <w:highlight w:val="none"/>
        </w:rPr>
        <w:t>人，菅业 收入为</w:t>
      </w:r>
      <w:r>
        <w:rPr>
          <w:rFonts w:hint="eastAsia" w:ascii="仿宋" w:hAnsi="仿宋" w:eastAsia="仿宋" w:cs="仿宋"/>
          <w:color w:val="auto"/>
          <w:highlight w:val="none"/>
          <w:lang w:val="zh-CN" w:eastAsia="zh-CN" w:bidi="zh-CN"/>
        </w:rPr>
        <w:t>—</w:t>
      </w:r>
      <w:r>
        <w:rPr>
          <w:rFonts w:hint="eastAsia" w:ascii="仿宋" w:hAnsi="仿宋" w:eastAsia="仿宋" w:cs="仿宋"/>
          <w:color w:val="auto"/>
          <w:highlight w:val="none"/>
        </w:rPr>
        <w:t>万元，资产总额为一万元，属于</w:t>
      </w:r>
      <w:r>
        <w:rPr>
          <w:rFonts w:hint="eastAsia" w:ascii="仿宋" w:hAnsi="仿宋" w:eastAsia="仿宋" w:cs="仿宋"/>
          <w:i/>
          <w:iCs/>
          <w:color w:val="auto"/>
          <w:highlight w:val="none"/>
        </w:rPr>
        <w:t>（</w:t>
      </w:r>
      <w:r>
        <w:rPr>
          <w:rFonts w:hint="eastAsia" w:ascii="仿宋" w:hAnsi="仿宋" w:eastAsia="仿宋" w:cs="仿宋"/>
          <w:i/>
          <w:iCs/>
          <w:color w:val="auto"/>
          <w:highlight w:val="none"/>
          <w:u w:val="single"/>
        </w:rPr>
        <w:t>中</w:t>
      </w:r>
      <w:r>
        <w:rPr>
          <w:rFonts w:hint="eastAsia" w:ascii="仿宋" w:hAnsi="仿宋" w:eastAsia="仿宋" w:cs="仿宋"/>
          <w:i/>
          <w:iCs/>
          <w:color w:val="auto"/>
          <w:highlight w:val="none"/>
        </w:rPr>
        <w:t xml:space="preserve">型企虹 </w:t>
      </w:r>
      <w:r>
        <w:rPr>
          <w:rFonts w:hint="eastAsia" w:ascii="仿宋" w:hAnsi="仿宋" w:eastAsia="仿宋" w:cs="仿宋"/>
          <w:i/>
          <w:iCs/>
          <w:color w:val="auto"/>
          <w:highlight w:val="none"/>
          <w:u w:val="single"/>
        </w:rPr>
        <w:t>小型企业.微型企业X</w:t>
      </w:r>
    </w:p>
    <w:p>
      <w:pPr>
        <w:pStyle w:val="157"/>
        <w:spacing w:line="504" w:lineRule="exact"/>
        <w:ind w:firstLine="640"/>
        <w:rPr>
          <w:rFonts w:ascii="仿宋" w:hAnsi="仿宋" w:eastAsia="仿宋" w:cs="仿宋"/>
          <w:color w:val="auto"/>
          <w:highlight w:val="none"/>
        </w:rPr>
      </w:pPr>
      <w:r>
        <w:rPr>
          <w:rFonts w:hint="eastAsia" w:ascii="仿宋" w:hAnsi="仿宋" w:eastAsia="仿宋" w:cs="仿宋"/>
          <w:color w:val="auto"/>
          <w:highlight w:val="none"/>
        </w:rPr>
        <w:t>以上企业，不属于大企业的分支机构，不存在控股股东 为大企业的情形，也不存在与大企业的负责人为同一人的情 形。</w:t>
      </w:r>
    </w:p>
    <w:p>
      <w:pPr>
        <w:pStyle w:val="157"/>
        <w:spacing w:line="504" w:lineRule="exact"/>
        <w:ind w:firstLine="640"/>
        <w:rPr>
          <w:rFonts w:ascii="仿宋" w:hAnsi="仿宋" w:eastAsia="仿宋" w:cs="仿宋"/>
          <w:color w:val="auto"/>
          <w:highlight w:val="none"/>
        </w:rPr>
      </w:pPr>
      <w:r>
        <w:rPr>
          <w:rFonts w:hint="eastAsia" w:ascii="仿宋" w:hAnsi="仿宋" w:eastAsia="仿宋" w:cs="仿宋"/>
          <w:color w:val="auto"/>
          <w:highlight w:val="none"/>
        </w:rPr>
        <w:t>本企业对上述声明内容的真实性负责，如有虚假，将依 法承担相应</w:t>
      </w:r>
      <w:r>
        <w:rPr>
          <w:rFonts w:hint="eastAsia" w:ascii="仿宋" w:hAnsi="仿宋" w:eastAsia="仿宋" w:cs="仿宋"/>
          <w:color w:val="auto"/>
          <w:highlight w:val="none"/>
          <w:lang w:val="zh-CN" w:eastAsia="zh-CN" w:bidi="zh-CN"/>
        </w:rPr>
        <w:t>责任.</w:t>
      </w:r>
    </w:p>
    <w:p>
      <w:pPr>
        <w:pStyle w:val="157"/>
        <w:spacing w:line="504" w:lineRule="exact"/>
        <w:ind w:left="3740" w:firstLine="0"/>
        <w:jc w:val="left"/>
        <w:rPr>
          <w:rFonts w:ascii="仿宋" w:hAnsi="仿宋" w:eastAsia="仿宋" w:cs="仿宋"/>
          <w:color w:val="auto"/>
          <w:highlight w:val="none"/>
        </w:rPr>
      </w:pPr>
      <w:r>
        <w:rPr>
          <w:rFonts w:hint="eastAsia" w:ascii="仿宋" w:hAnsi="仿宋" w:eastAsia="仿宋" w:cs="仿宋"/>
          <w:color w:val="auto"/>
          <w:highlight w:val="none"/>
        </w:rPr>
        <w:t>企业名称（盖章）：</w:t>
      </w:r>
    </w:p>
    <w:p>
      <w:pPr>
        <w:pStyle w:val="157"/>
        <w:spacing w:line="504" w:lineRule="exact"/>
        <w:ind w:firstLine="0"/>
        <w:jc w:val="center"/>
        <w:rPr>
          <w:rFonts w:ascii="仿宋" w:hAnsi="仿宋" w:eastAsia="仿宋" w:cs="仿宋"/>
          <w:color w:val="auto"/>
          <w:highlight w:val="none"/>
        </w:rPr>
      </w:pPr>
      <w:r>
        <w:rPr>
          <w:rFonts w:hint="eastAsia" w:ascii="仿宋" w:hAnsi="仿宋" w:eastAsia="仿宋" w:cs="仿宋"/>
          <w:color w:val="auto"/>
          <w:highlight w:val="none"/>
        </w:rPr>
        <w:t>日期：</w:t>
      </w:r>
    </w:p>
    <w:p>
      <w:pPr>
        <w:pStyle w:val="158"/>
        <w:tabs>
          <w:tab w:val="left" w:pos="970"/>
        </w:tabs>
        <w:spacing w:after="0"/>
        <w:ind w:left="0" w:hanging="1780"/>
        <w:jc w:val="left"/>
        <w:rPr>
          <w:rFonts w:ascii="仿宋" w:hAnsi="仿宋" w:eastAsia="仿宋" w:cs="仿宋"/>
          <w:color w:val="auto"/>
          <w:sz w:val="28"/>
          <w:szCs w:val="28"/>
          <w:highlight w:val="none"/>
        </w:rPr>
      </w:pPr>
    </w:p>
    <w:p>
      <w:pPr>
        <w:pStyle w:val="158"/>
        <w:spacing w:after="240" w:line="240" w:lineRule="auto"/>
        <w:ind w:left="3740" w:hanging="3740"/>
        <w:rPr>
          <w:rFonts w:ascii="仿宋" w:hAnsi="仿宋" w:eastAsia="仿宋" w:cs="仿宋"/>
          <w:color w:val="auto"/>
          <w:sz w:val="24"/>
          <w:szCs w:val="24"/>
          <w:highlight w:val="none"/>
        </w:rPr>
      </w:pPr>
      <w:bookmarkStart w:id="626" w:name="_Toc21434"/>
      <w:r>
        <w:rPr>
          <w:rFonts w:hint="eastAsia" w:ascii="仿宋" w:hAnsi="仿宋" w:eastAsia="仿宋" w:cs="仿宋"/>
          <w:color w:val="auto"/>
          <w:sz w:val="24"/>
          <w:szCs w:val="24"/>
          <w:highlight w:val="none"/>
        </w:rPr>
        <w:t>从业人员、营业收入，资产总</w:t>
      </w:r>
      <w:r>
        <w:rPr>
          <w:rFonts w:hint="eastAsia" w:ascii="仿宋" w:hAnsi="仿宋" w:eastAsia="仿宋" w:cs="仿宋"/>
          <w:color w:val="auto"/>
          <w:sz w:val="24"/>
          <w:szCs w:val="24"/>
          <w:highlight w:val="none"/>
          <w:lang w:eastAsia="zh-CN"/>
        </w:rPr>
        <w:t>额填</w:t>
      </w:r>
      <w:r>
        <w:rPr>
          <w:rFonts w:hint="eastAsia" w:ascii="仿宋" w:hAnsi="仿宋" w:eastAsia="仿宋" w:cs="仿宋"/>
          <w:color w:val="auto"/>
          <w:sz w:val="24"/>
          <w:szCs w:val="24"/>
          <w:highlight w:val="none"/>
        </w:rPr>
        <w:t>报上一年度数</w:t>
      </w:r>
      <w:r>
        <w:rPr>
          <w:rFonts w:hint="eastAsia" w:ascii="仿宋" w:hAnsi="仿宋" w:eastAsia="仿宋" w:cs="仿宋"/>
          <w:color w:val="auto"/>
          <w:sz w:val="24"/>
          <w:szCs w:val="24"/>
          <w:highlight w:val="none"/>
          <w:lang w:val="zh-CN" w:eastAsia="zh-CN" w:bidi="zh-CN"/>
        </w:rPr>
        <w:t>据，</w:t>
      </w:r>
      <w:r>
        <w:rPr>
          <w:rFonts w:hint="eastAsia" w:ascii="仿宋" w:hAnsi="仿宋" w:eastAsia="仿宋" w:cs="仿宋"/>
          <w:color w:val="auto"/>
          <w:sz w:val="24"/>
          <w:szCs w:val="24"/>
          <w:highlight w:val="none"/>
        </w:rPr>
        <w:t>无上一年度</w:t>
      </w:r>
      <w:r>
        <w:rPr>
          <w:rFonts w:hint="eastAsia" w:ascii="仿宋" w:hAnsi="仿宋" w:eastAsia="仿宋" w:cs="仿宋"/>
          <w:color w:val="auto"/>
          <w:sz w:val="24"/>
          <w:szCs w:val="24"/>
          <w:highlight w:val="none"/>
          <w:lang w:eastAsia="zh-CN"/>
        </w:rPr>
        <w:t>数据</w:t>
      </w:r>
      <w:r>
        <w:rPr>
          <w:rFonts w:hint="eastAsia" w:ascii="仿宋" w:hAnsi="仿宋" w:eastAsia="仿宋" w:cs="仿宋"/>
          <w:color w:val="auto"/>
          <w:sz w:val="24"/>
          <w:szCs w:val="24"/>
          <w:highlight w:val="none"/>
        </w:rPr>
        <w:t>的新成</w:t>
      </w:r>
    </w:p>
    <w:p>
      <w:pPr>
        <w:pStyle w:val="18"/>
        <w:widowControl/>
        <w:spacing w:line="560" w:lineRule="atLeast"/>
        <w:jc w:val="left"/>
        <w:textAlignment w:val="baseline"/>
        <w:outlineLvl w:val="0"/>
        <w:rPr>
          <w:rStyle w:val="26"/>
          <w:rFonts w:ascii="仿宋" w:hAnsi="仿宋" w:eastAsia="仿宋" w:cs="仿宋"/>
          <w:b w:val="0"/>
          <w:bCs w:val="0"/>
          <w:color w:val="auto"/>
          <w:sz w:val="28"/>
          <w:szCs w:val="28"/>
          <w:highlight w:val="none"/>
          <w:shd w:val="clear" w:color="auto" w:fill="FFFFFF"/>
        </w:rPr>
      </w:pPr>
      <w:r>
        <w:rPr>
          <w:rFonts w:hint="eastAsia" w:ascii="仿宋" w:hAnsi="仿宋" w:eastAsia="仿宋" w:cs="仿宋"/>
          <w:color w:val="auto"/>
          <w:szCs w:val="24"/>
          <w:highlight w:val="none"/>
        </w:rPr>
        <w:t>立企业可不</w:t>
      </w:r>
      <w:r>
        <w:rPr>
          <w:rFonts w:hint="eastAsia" w:ascii="仿宋" w:hAnsi="仿宋" w:eastAsia="仿宋" w:cs="仿宋"/>
          <w:color w:val="auto"/>
          <w:szCs w:val="24"/>
          <w:highlight w:val="none"/>
          <w:lang w:val="zh-CN" w:bidi="zh-CN"/>
        </w:rPr>
        <w:t>填报.</w:t>
      </w:r>
    </w:p>
    <w:bookmarkEnd w:id="585"/>
    <w:bookmarkEnd w:id="606"/>
    <w:bookmarkEnd w:id="607"/>
    <w:bookmarkEnd w:id="608"/>
    <w:bookmarkEnd w:id="609"/>
    <w:bookmarkEnd w:id="610"/>
    <w:bookmarkEnd w:id="611"/>
    <w:bookmarkEnd w:id="612"/>
    <w:bookmarkEnd w:id="613"/>
    <w:bookmarkEnd w:id="626"/>
    <w:p>
      <w:pPr>
        <w:pStyle w:val="18"/>
        <w:widowControl/>
        <w:spacing w:line="560" w:lineRule="atLeast"/>
        <w:jc w:val="center"/>
        <w:textAlignment w:val="baseline"/>
        <w:outlineLvl w:val="0"/>
        <w:rPr>
          <w:rStyle w:val="26"/>
          <w:rFonts w:ascii="仿宋" w:hAnsi="仿宋" w:eastAsia="仿宋" w:cs="仿宋"/>
          <w:b w:val="0"/>
          <w:bCs w:val="0"/>
          <w:color w:val="auto"/>
          <w:sz w:val="28"/>
          <w:szCs w:val="28"/>
          <w:highlight w:val="none"/>
          <w:shd w:val="clear" w:color="auto" w:fill="FFFFFF"/>
        </w:rPr>
      </w:pPr>
      <w:bookmarkStart w:id="627" w:name="_Toc26544"/>
    </w:p>
    <w:p>
      <w:pPr>
        <w:pStyle w:val="18"/>
        <w:widowControl/>
        <w:spacing w:line="560" w:lineRule="atLeast"/>
        <w:jc w:val="center"/>
        <w:textAlignment w:val="baseline"/>
        <w:outlineLvl w:val="0"/>
        <w:rPr>
          <w:rFonts w:ascii="仿宋" w:hAnsi="仿宋" w:eastAsia="仿宋" w:cs="仿宋"/>
          <w:color w:val="auto"/>
          <w:sz w:val="28"/>
          <w:szCs w:val="28"/>
          <w:highlight w:val="none"/>
        </w:rPr>
      </w:pPr>
      <w:r>
        <w:rPr>
          <w:rStyle w:val="26"/>
          <w:rFonts w:hint="eastAsia" w:ascii="仿宋" w:hAnsi="仿宋" w:eastAsia="仿宋" w:cs="仿宋"/>
          <w:b w:val="0"/>
          <w:bCs w:val="0"/>
          <w:color w:val="auto"/>
          <w:sz w:val="28"/>
          <w:szCs w:val="28"/>
          <w:highlight w:val="none"/>
          <w:shd w:val="clear" w:color="auto" w:fill="FFFFFF"/>
        </w:rPr>
        <w:t>中小企业划型标准规定</w:t>
      </w:r>
      <w:bookmarkEnd w:id="627"/>
    </w:p>
    <w:p>
      <w:pPr>
        <w:pStyle w:val="38"/>
        <w:numPr>
          <w:ilvl w:val="0"/>
          <w:numId w:val="20"/>
        </w:numPr>
        <w:spacing w:line="440" w:lineRule="exact"/>
        <w:ind w:left="561"/>
        <w:rPr>
          <w:rFonts w:ascii="仿宋" w:hAnsi="仿宋" w:eastAsia="仿宋" w:cs="仿宋"/>
          <w:b/>
          <w:color w:val="auto"/>
          <w:sz w:val="24"/>
          <w:highlight w:val="none"/>
        </w:rPr>
      </w:pPr>
      <w:r>
        <w:rPr>
          <w:rFonts w:hint="eastAsia" w:ascii="仿宋" w:hAnsi="仿宋" w:eastAsia="仿宋" w:cs="仿宋"/>
          <w:color w:val="auto"/>
          <w:sz w:val="24"/>
          <w:szCs w:val="24"/>
          <w:highlight w:val="none"/>
          <w:shd w:val="clear" w:color="auto" w:fill="FFFFFF"/>
        </w:rPr>
        <w:t>根据《中华人民共和国中小企业促进法》和《国务院关于进一步促进中小企业发展的若干意见》(国发〔2009〕36号)，制定本规定。</w:t>
      </w:r>
    </w:p>
    <w:p>
      <w:pPr>
        <w:pStyle w:val="38"/>
        <w:spacing w:line="440" w:lineRule="exact"/>
        <w:ind w:left="561"/>
        <w:rPr>
          <w:rFonts w:ascii="仿宋" w:hAnsi="仿宋" w:eastAsia="仿宋" w:cs="仿宋"/>
          <w:b/>
          <w:color w:val="auto"/>
          <w:sz w:val="24"/>
          <w:highlight w:val="none"/>
        </w:rPr>
      </w:pPr>
      <w:r>
        <w:rPr>
          <w:rFonts w:hint="eastAsia" w:ascii="仿宋" w:hAnsi="仿宋" w:eastAsia="仿宋" w:cs="仿宋"/>
          <w:color w:val="auto"/>
          <w:sz w:val="24"/>
          <w:szCs w:val="24"/>
          <w:highlight w:val="none"/>
          <w:shd w:val="clear" w:color="auto" w:fill="FFFFFF"/>
        </w:rPr>
        <w:t>二、中小企业划分为中型、小型、微型三种类型，具体标准根据企业从业人员、营业收入、资产总额等指标，结合行业特点制定。</w:t>
      </w:r>
    </w:p>
    <w:p>
      <w:pPr>
        <w:pStyle w:val="38"/>
        <w:spacing w:line="440" w:lineRule="exact"/>
        <w:ind w:left="561"/>
        <w:rPr>
          <w:rFonts w:ascii="仿宋" w:hAnsi="仿宋" w:eastAsia="仿宋" w:cs="仿宋"/>
          <w:b/>
          <w:color w:val="auto"/>
          <w:sz w:val="24"/>
          <w:highlight w:val="none"/>
        </w:rPr>
      </w:pPr>
      <w:r>
        <w:rPr>
          <w:rFonts w:hint="eastAsia" w:ascii="仿宋" w:hAnsi="仿宋" w:eastAsia="仿宋" w:cs="仿宋"/>
          <w:color w:val="auto"/>
          <w:sz w:val="24"/>
          <w:szCs w:val="24"/>
          <w:highlight w:val="none"/>
          <w:shd w:val="clear" w:color="auto" w:fill="FFFFFF"/>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38"/>
        <w:spacing w:line="440" w:lineRule="exact"/>
        <w:ind w:left="561"/>
        <w:rPr>
          <w:rFonts w:ascii="仿宋" w:hAnsi="仿宋" w:eastAsia="仿宋" w:cs="仿宋"/>
          <w:b/>
          <w:color w:val="auto"/>
          <w:sz w:val="24"/>
          <w:highlight w:val="none"/>
        </w:rPr>
      </w:pPr>
      <w:r>
        <w:rPr>
          <w:rFonts w:hint="eastAsia" w:ascii="仿宋" w:hAnsi="仿宋" w:eastAsia="仿宋" w:cs="仿宋"/>
          <w:color w:val="auto"/>
          <w:sz w:val="24"/>
          <w:szCs w:val="24"/>
          <w:highlight w:val="none"/>
          <w:shd w:val="clear" w:color="auto" w:fill="FFFFFF"/>
        </w:rPr>
        <w:t>四、各行业划型标准为：</w:t>
      </w:r>
    </w:p>
    <w:p>
      <w:pPr>
        <w:pStyle w:val="38"/>
        <w:spacing w:line="440" w:lineRule="exact"/>
        <w:ind w:left="561" w:firstLine="480" w:firstLineChars="200"/>
        <w:rPr>
          <w:rFonts w:ascii="仿宋" w:hAnsi="仿宋" w:eastAsia="仿宋" w:cs="仿宋"/>
          <w:b/>
          <w:color w:val="auto"/>
          <w:sz w:val="24"/>
          <w:highlight w:val="none"/>
        </w:rPr>
      </w:pPr>
      <w:r>
        <w:rPr>
          <w:rFonts w:hint="eastAsia" w:ascii="仿宋" w:hAnsi="仿宋" w:eastAsia="仿宋" w:cs="仿宋"/>
          <w:color w:val="auto"/>
          <w:sz w:val="24"/>
          <w:szCs w:val="24"/>
          <w:highlight w:val="none"/>
          <w:shd w:val="clear" w:color="auto" w:fill="FFFFFF"/>
        </w:rPr>
        <w:t>（一）农、林、牧、渔业。营业收入20000万元以下的为中小微型企业。其中，营业收入500万元及以上的为中型企业，营业收入50万元及以上的为小型企业，营业收入50万元以下的为微型企业。</w:t>
      </w:r>
    </w:p>
    <w:p>
      <w:pPr>
        <w:pStyle w:val="38"/>
        <w:spacing w:line="440" w:lineRule="exact"/>
        <w:ind w:left="561" w:firstLine="480" w:firstLineChars="200"/>
        <w:rPr>
          <w:rFonts w:ascii="仿宋" w:hAnsi="仿宋" w:eastAsia="仿宋" w:cs="仿宋"/>
          <w:b/>
          <w:color w:val="auto"/>
          <w:sz w:val="24"/>
          <w:highlight w:val="none"/>
        </w:rPr>
      </w:pPr>
      <w:r>
        <w:rPr>
          <w:rFonts w:hint="eastAsia" w:ascii="仿宋" w:hAnsi="仿宋" w:eastAsia="仿宋" w:cs="仿宋"/>
          <w:color w:val="auto"/>
          <w:sz w:val="24"/>
          <w:szCs w:val="24"/>
          <w:highlight w:val="none"/>
          <w:shd w:val="clear" w:color="auto" w:fill="FFFFFF"/>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38"/>
        <w:spacing w:line="440" w:lineRule="exact"/>
        <w:ind w:left="561" w:firstLine="480" w:firstLineChars="200"/>
        <w:rPr>
          <w:rFonts w:ascii="仿宋" w:hAnsi="仿宋" w:eastAsia="仿宋" w:cs="仿宋"/>
          <w:b/>
          <w:color w:val="auto"/>
          <w:sz w:val="24"/>
          <w:highlight w:val="none"/>
        </w:rPr>
      </w:pPr>
      <w:r>
        <w:rPr>
          <w:rFonts w:hint="eastAsia" w:ascii="仿宋" w:hAnsi="仿宋" w:eastAsia="仿宋" w:cs="仿宋"/>
          <w:color w:val="auto"/>
          <w:sz w:val="24"/>
          <w:szCs w:val="24"/>
          <w:highlight w:val="none"/>
          <w:shd w:val="clear" w:color="auto" w:fill="FFFFFF"/>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38"/>
        <w:spacing w:line="440" w:lineRule="exact"/>
        <w:ind w:left="561" w:firstLine="480" w:firstLineChars="200"/>
        <w:rPr>
          <w:rFonts w:ascii="仿宋" w:hAnsi="仿宋" w:eastAsia="仿宋" w:cs="仿宋"/>
          <w:b/>
          <w:color w:val="auto"/>
          <w:sz w:val="24"/>
          <w:highlight w:val="none"/>
        </w:rPr>
      </w:pPr>
      <w:r>
        <w:rPr>
          <w:rFonts w:hint="eastAsia" w:ascii="仿宋" w:hAnsi="仿宋" w:eastAsia="仿宋" w:cs="仿宋"/>
          <w:color w:val="auto"/>
          <w:sz w:val="24"/>
          <w:szCs w:val="24"/>
          <w:highlight w:val="none"/>
          <w:shd w:val="clear" w:color="auto" w:fill="FFFFFF"/>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38"/>
        <w:spacing w:line="440" w:lineRule="exact"/>
        <w:ind w:left="561" w:firstLine="480" w:firstLineChars="200"/>
        <w:rPr>
          <w:rFonts w:ascii="仿宋" w:hAnsi="仿宋" w:eastAsia="仿宋" w:cs="仿宋"/>
          <w:b/>
          <w:color w:val="auto"/>
          <w:sz w:val="24"/>
          <w:highlight w:val="none"/>
        </w:rPr>
      </w:pPr>
      <w:r>
        <w:rPr>
          <w:rFonts w:hint="eastAsia" w:ascii="仿宋" w:hAnsi="仿宋" w:eastAsia="仿宋" w:cs="仿宋"/>
          <w:color w:val="auto"/>
          <w:sz w:val="24"/>
          <w:szCs w:val="24"/>
          <w:highlight w:val="none"/>
          <w:shd w:val="clear" w:color="auto" w:fill="FFFFFF"/>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38"/>
        <w:spacing w:line="440" w:lineRule="exact"/>
        <w:ind w:left="561" w:firstLine="480" w:firstLineChars="200"/>
        <w:rPr>
          <w:rFonts w:ascii="仿宋" w:hAnsi="仿宋" w:eastAsia="仿宋" w:cs="仿宋"/>
          <w:b/>
          <w:color w:val="auto"/>
          <w:sz w:val="24"/>
          <w:highlight w:val="none"/>
        </w:rPr>
      </w:pPr>
      <w:r>
        <w:rPr>
          <w:rFonts w:hint="eastAsia" w:ascii="仿宋" w:hAnsi="仿宋" w:eastAsia="仿宋" w:cs="仿宋"/>
          <w:color w:val="auto"/>
          <w:sz w:val="24"/>
          <w:szCs w:val="24"/>
          <w:highlight w:val="none"/>
          <w:shd w:val="clear" w:color="auto" w:fill="FFFFFF"/>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38"/>
        <w:spacing w:line="440" w:lineRule="exact"/>
        <w:ind w:left="561" w:firstLine="480" w:firstLineChars="200"/>
        <w:rPr>
          <w:rFonts w:ascii="仿宋" w:hAnsi="仿宋" w:eastAsia="仿宋" w:cs="仿宋"/>
          <w:b/>
          <w:color w:val="auto"/>
          <w:sz w:val="24"/>
          <w:highlight w:val="none"/>
        </w:rPr>
      </w:pPr>
      <w:r>
        <w:rPr>
          <w:rFonts w:hint="eastAsia" w:ascii="仿宋" w:hAnsi="仿宋" w:eastAsia="仿宋" w:cs="仿宋"/>
          <w:color w:val="auto"/>
          <w:sz w:val="24"/>
          <w:szCs w:val="24"/>
          <w:highlight w:val="none"/>
          <w:shd w:val="clear" w:color="auto" w:fill="FFFFFF"/>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38"/>
        <w:spacing w:line="440" w:lineRule="exact"/>
        <w:ind w:left="561" w:firstLine="480" w:firstLineChars="200"/>
        <w:rPr>
          <w:rFonts w:ascii="仿宋" w:hAnsi="仿宋" w:eastAsia="仿宋" w:cs="仿宋"/>
          <w:b/>
          <w:color w:val="auto"/>
          <w:sz w:val="24"/>
          <w:highlight w:val="none"/>
        </w:rPr>
      </w:pPr>
      <w:r>
        <w:rPr>
          <w:rFonts w:hint="eastAsia" w:ascii="仿宋" w:hAnsi="仿宋" w:eastAsia="仿宋" w:cs="仿宋"/>
          <w:color w:val="auto"/>
          <w:sz w:val="24"/>
          <w:szCs w:val="24"/>
          <w:highlight w:val="none"/>
          <w:shd w:val="clear" w:color="auto" w:fill="FFFFFF"/>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38"/>
        <w:spacing w:line="440" w:lineRule="exact"/>
        <w:ind w:left="561" w:firstLine="480" w:firstLineChars="200"/>
        <w:rPr>
          <w:rFonts w:ascii="仿宋" w:hAnsi="仿宋" w:eastAsia="仿宋" w:cs="仿宋"/>
          <w:b/>
          <w:color w:val="auto"/>
          <w:sz w:val="24"/>
          <w:highlight w:val="none"/>
        </w:rPr>
      </w:pPr>
      <w:r>
        <w:rPr>
          <w:rFonts w:hint="eastAsia" w:ascii="仿宋" w:hAnsi="仿宋" w:eastAsia="仿宋" w:cs="仿宋"/>
          <w:color w:val="auto"/>
          <w:sz w:val="24"/>
          <w:szCs w:val="24"/>
          <w:highlight w:val="none"/>
          <w:shd w:val="clear" w:color="auto" w:fill="FFFFFF"/>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38"/>
        <w:spacing w:line="440" w:lineRule="exact"/>
        <w:ind w:left="561" w:firstLine="480" w:firstLineChars="200"/>
        <w:rPr>
          <w:rFonts w:ascii="仿宋" w:hAnsi="仿宋" w:eastAsia="仿宋" w:cs="仿宋"/>
          <w:color w:val="auto"/>
          <w:sz w:val="24"/>
          <w:highlight w:val="none"/>
        </w:rPr>
      </w:pPr>
      <w:r>
        <w:rPr>
          <w:rFonts w:hint="eastAsia" w:ascii="仿宋" w:hAnsi="仿宋" w:eastAsia="仿宋" w:cs="仿宋"/>
          <w:color w:val="auto"/>
          <w:sz w:val="24"/>
          <w:szCs w:val="24"/>
          <w:highlight w:val="none"/>
          <w:shd w:val="clear" w:color="auto" w:fill="FFFFFF"/>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38"/>
        <w:spacing w:line="440" w:lineRule="exact"/>
        <w:ind w:left="561" w:firstLine="480" w:firstLineChars="200"/>
        <w:rPr>
          <w:rFonts w:ascii="仿宋" w:hAnsi="仿宋" w:eastAsia="仿宋" w:cs="仿宋"/>
          <w:b/>
          <w:color w:val="auto"/>
          <w:sz w:val="24"/>
          <w:highlight w:val="none"/>
        </w:rPr>
      </w:pPr>
      <w:r>
        <w:rPr>
          <w:rFonts w:hint="eastAsia" w:ascii="仿宋" w:hAnsi="仿宋" w:eastAsia="仿宋" w:cs="仿宋"/>
          <w:color w:val="auto"/>
          <w:sz w:val="24"/>
          <w:szCs w:val="24"/>
          <w:highlight w:val="none"/>
          <w:shd w:val="clear" w:color="auto" w:fill="FFFFFF"/>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38"/>
        <w:spacing w:line="440" w:lineRule="exact"/>
        <w:ind w:left="561" w:firstLine="480" w:firstLineChars="200"/>
        <w:rPr>
          <w:rFonts w:ascii="仿宋" w:hAnsi="仿宋" w:eastAsia="仿宋" w:cs="仿宋"/>
          <w:b/>
          <w:color w:val="auto"/>
          <w:sz w:val="24"/>
          <w:highlight w:val="none"/>
        </w:rPr>
      </w:pPr>
      <w:r>
        <w:rPr>
          <w:rFonts w:hint="eastAsia" w:ascii="仿宋" w:hAnsi="仿宋" w:eastAsia="仿宋" w:cs="仿宋"/>
          <w:color w:val="auto"/>
          <w:sz w:val="24"/>
          <w:szCs w:val="24"/>
          <w:highlight w:val="none"/>
          <w:shd w:val="clear" w:color="auto" w:fill="FFFFFF"/>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38"/>
        <w:spacing w:line="440" w:lineRule="exact"/>
        <w:ind w:left="561" w:firstLine="480" w:firstLineChars="200"/>
        <w:rPr>
          <w:rFonts w:ascii="仿宋" w:hAnsi="仿宋" w:eastAsia="仿宋" w:cs="仿宋"/>
          <w:b/>
          <w:color w:val="auto"/>
          <w:sz w:val="24"/>
          <w:highlight w:val="none"/>
        </w:rPr>
      </w:pPr>
      <w:r>
        <w:rPr>
          <w:rFonts w:hint="eastAsia" w:ascii="仿宋" w:hAnsi="仿宋" w:eastAsia="仿宋" w:cs="仿宋"/>
          <w:color w:val="auto"/>
          <w:sz w:val="24"/>
          <w:szCs w:val="24"/>
          <w:highlight w:val="none"/>
          <w:shd w:val="clear" w:color="auto" w:fill="FFFFFF"/>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38"/>
        <w:spacing w:line="440" w:lineRule="exact"/>
        <w:ind w:left="561" w:firstLine="480" w:firstLineChars="200"/>
        <w:rPr>
          <w:rFonts w:ascii="仿宋" w:hAnsi="仿宋" w:eastAsia="仿宋" w:cs="仿宋"/>
          <w:b/>
          <w:color w:val="auto"/>
          <w:sz w:val="24"/>
          <w:highlight w:val="none"/>
        </w:rPr>
      </w:pPr>
      <w:r>
        <w:rPr>
          <w:rFonts w:hint="eastAsia" w:ascii="仿宋" w:hAnsi="仿宋" w:eastAsia="仿宋" w:cs="仿宋"/>
          <w:color w:val="auto"/>
          <w:sz w:val="24"/>
          <w:szCs w:val="24"/>
          <w:highlight w:val="none"/>
          <w:shd w:val="clear" w:color="auto" w:fill="FFFFFF"/>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38"/>
        <w:spacing w:line="440" w:lineRule="exact"/>
        <w:ind w:left="561" w:firstLine="480" w:firstLineChars="200"/>
        <w:rPr>
          <w:rFonts w:ascii="仿宋" w:hAnsi="仿宋" w:eastAsia="仿宋" w:cs="仿宋"/>
          <w:b/>
          <w:color w:val="auto"/>
          <w:sz w:val="24"/>
          <w:highlight w:val="none"/>
        </w:rPr>
      </w:pPr>
      <w:r>
        <w:rPr>
          <w:rFonts w:hint="eastAsia" w:ascii="仿宋" w:hAnsi="仿宋" w:eastAsia="仿宋" w:cs="仿宋"/>
          <w:color w:val="auto"/>
          <w:sz w:val="24"/>
          <w:szCs w:val="24"/>
          <w:highlight w:val="none"/>
          <w:shd w:val="clear" w:color="auto" w:fill="FFFFFF"/>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38"/>
        <w:spacing w:line="440" w:lineRule="exact"/>
        <w:ind w:left="561" w:firstLine="480" w:firstLineChars="200"/>
        <w:rPr>
          <w:rFonts w:ascii="仿宋" w:hAnsi="仿宋" w:eastAsia="仿宋" w:cs="仿宋"/>
          <w:b/>
          <w:color w:val="auto"/>
          <w:sz w:val="24"/>
          <w:highlight w:val="none"/>
        </w:rPr>
      </w:pPr>
      <w:r>
        <w:rPr>
          <w:rFonts w:hint="eastAsia" w:ascii="仿宋" w:hAnsi="仿宋" w:eastAsia="仿宋" w:cs="仿宋"/>
          <w:color w:val="auto"/>
          <w:sz w:val="24"/>
          <w:szCs w:val="24"/>
          <w:highlight w:val="none"/>
          <w:shd w:val="clear" w:color="auto" w:fill="FFFFFF"/>
        </w:rPr>
        <w:t>（十六）其他未列明行业。从业人员300人以下的为中小微型企业。其中，从业人员100人及以上的为中型企业；从业人员10人及以上的为小型企业；从业人员10人以下的为微型企业。</w:t>
      </w:r>
    </w:p>
    <w:p>
      <w:pPr>
        <w:pStyle w:val="38"/>
        <w:spacing w:line="440" w:lineRule="exact"/>
        <w:ind w:left="561"/>
        <w:rPr>
          <w:rFonts w:ascii="仿宋" w:hAnsi="仿宋" w:eastAsia="仿宋" w:cs="仿宋"/>
          <w:b/>
          <w:color w:val="auto"/>
          <w:sz w:val="24"/>
          <w:highlight w:val="none"/>
        </w:rPr>
      </w:pPr>
      <w:r>
        <w:rPr>
          <w:rFonts w:hint="eastAsia" w:ascii="仿宋" w:hAnsi="仿宋" w:eastAsia="仿宋" w:cs="仿宋"/>
          <w:color w:val="auto"/>
          <w:sz w:val="24"/>
          <w:szCs w:val="24"/>
          <w:highlight w:val="none"/>
          <w:shd w:val="clear" w:color="auto" w:fill="FFFFFF"/>
        </w:rPr>
        <w:t>四、企业类型的划分以统计部门的统计数据为依据。</w:t>
      </w:r>
    </w:p>
    <w:p>
      <w:pPr>
        <w:pStyle w:val="38"/>
        <w:spacing w:line="440" w:lineRule="exact"/>
        <w:ind w:left="561"/>
        <w:rPr>
          <w:rFonts w:ascii="仿宋" w:hAnsi="仿宋" w:eastAsia="仿宋" w:cs="仿宋"/>
          <w:b/>
          <w:color w:val="auto"/>
          <w:sz w:val="24"/>
          <w:highlight w:val="none"/>
        </w:rPr>
      </w:pPr>
      <w:r>
        <w:rPr>
          <w:rFonts w:hint="eastAsia" w:ascii="仿宋" w:hAnsi="仿宋" w:eastAsia="仿宋" w:cs="仿宋"/>
          <w:color w:val="auto"/>
          <w:sz w:val="24"/>
          <w:szCs w:val="24"/>
          <w:highlight w:val="none"/>
          <w:shd w:val="clear" w:color="auto" w:fill="FFFFFF"/>
        </w:rPr>
        <w:t>五、本规定适用于在中华人民共和国境内依法设立的各类所有制和各种组织形式的企业。个体工商户和本规定以外的行业，参照本规定进行划型。</w:t>
      </w:r>
    </w:p>
    <w:p>
      <w:pPr>
        <w:pStyle w:val="38"/>
        <w:spacing w:line="440" w:lineRule="exact"/>
        <w:ind w:left="561"/>
        <w:rPr>
          <w:rFonts w:ascii="仿宋" w:hAnsi="仿宋" w:eastAsia="仿宋" w:cs="仿宋"/>
          <w:b/>
          <w:color w:val="auto"/>
          <w:sz w:val="24"/>
          <w:highlight w:val="none"/>
        </w:rPr>
      </w:pPr>
      <w:r>
        <w:rPr>
          <w:rFonts w:hint="eastAsia" w:ascii="仿宋" w:hAnsi="仿宋" w:eastAsia="仿宋" w:cs="仿宋"/>
          <w:color w:val="auto"/>
          <w:sz w:val="24"/>
          <w:szCs w:val="24"/>
          <w:highlight w:val="none"/>
          <w:shd w:val="clear" w:color="auto" w:fill="FFFFFF"/>
        </w:rPr>
        <w:t>六、本规定的中型企业标准上限即为大型企业标准的下限，国家统计部门据此制定大中小微型企业的统计分类。国务院有关部门据此进行相关数据分析，不得制定与本规定不一致的企业划型标准。</w:t>
      </w:r>
    </w:p>
    <w:p>
      <w:pPr>
        <w:pStyle w:val="128"/>
        <w:jc w:val="center"/>
        <w:outlineLvl w:val="2"/>
        <w:rPr>
          <w:rFonts w:ascii="仿宋" w:hAnsi="仿宋" w:eastAsia="仿宋" w:cs="仿宋"/>
          <w:color w:val="auto"/>
          <w:highlight w:val="none"/>
        </w:rPr>
      </w:pPr>
      <w:r>
        <w:rPr>
          <w:rFonts w:hint="eastAsia" w:ascii="仿宋" w:hAnsi="仿宋" w:eastAsia="仿宋" w:cs="仿宋"/>
          <w:color w:val="auto"/>
          <w:highlight w:val="none"/>
        </w:rPr>
        <w:br w:type="page"/>
      </w:r>
      <w:bookmarkStart w:id="628" w:name="_Toc3633"/>
      <w:r>
        <w:rPr>
          <w:rFonts w:hint="eastAsia" w:ascii="仿宋" w:hAnsi="仿宋" w:eastAsia="仿宋" w:cs="仿宋"/>
          <w:color w:val="auto"/>
          <w:highlight w:val="none"/>
        </w:rPr>
        <w:t>最终报价上传附件格式（最终报价时上传此表）：</w:t>
      </w:r>
    </w:p>
    <w:p>
      <w:pPr>
        <w:pStyle w:val="128"/>
        <w:outlineLvl w:val="2"/>
        <w:rPr>
          <w:rFonts w:ascii="仿宋" w:hAnsi="仿宋" w:eastAsia="仿宋" w:cs="仿宋"/>
          <w:color w:val="auto"/>
          <w:highlight w:val="none"/>
        </w:rPr>
      </w:pPr>
    </w:p>
    <w:p>
      <w:pPr>
        <w:pStyle w:val="124"/>
        <w:jc w:val="center"/>
        <w:outlineLvl w:val="2"/>
        <w:rPr>
          <w:rFonts w:ascii="仿宋" w:hAnsi="仿宋" w:eastAsia="仿宋" w:cs="仿宋"/>
          <w:bCs/>
          <w:color w:val="auto"/>
          <w:sz w:val="28"/>
          <w:szCs w:val="28"/>
          <w:highlight w:val="none"/>
        </w:rPr>
      </w:pPr>
      <w:r>
        <w:rPr>
          <w:rFonts w:hint="eastAsia" w:ascii="仿宋" w:hAnsi="仿宋" w:eastAsia="仿宋" w:cs="仿宋"/>
          <w:color w:val="auto"/>
          <w:highlight w:val="none"/>
        </w:rPr>
        <w:t>竞争性磋商最终报价明细表</w:t>
      </w:r>
    </w:p>
    <w:p>
      <w:pPr>
        <w:pStyle w:val="173"/>
        <w:spacing w:line="500" w:lineRule="exact"/>
        <w:ind w:firstLine="420"/>
        <w:rPr>
          <w:rFonts w:ascii="仿宋" w:hAnsi="仿宋" w:eastAsia="仿宋" w:cs="仿宋"/>
          <w:color w:val="auto"/>
          <w:kern w:val="0"/>
          <w:sz w:val="28"/>
          <w:szCs w:val="28"/>
          <w:highlight w:val="none"/>
        </w:rPr>
      </w:pPr>
    </w:p>
    <w:tbl>
      <w:tblPr>
        <w:tblStyle w:val="23"/>
        <w:tblpPr w:leftFromText="180" w:rightFromText="180" w:vertAnchor="page" w:horzAnchor="page" w:tblpXSpec="center" w:tblpY="4958"/>
        <w:tblOverlap w:val="never"/>
        <w:tblW w:w="8809" w:type="dxa"/>
        <w:jc w:val="center"/>
        <w:tblLayout w:type="fixed"/>
        <w:tblCellMar>
          <w:top w:w="0" w:type="dxa"/>
          <w:left w:w="0" w:type="dxa"/>
          <w:bottom w:w="0" w:type="dxa"/>
          <w:right w:w="0" w:type="dxa"/>
        </w:tblCellMar>
      </w:tblPr>
      <w:tblGrid>
        <w:gridCol w:w="981"/>
        <w:gridCol w:w="3085"/>
        <w:gridCol w:w="2572"/>
        <w:gridCol w:w="2171"/>
      </w:tblGrid>
      <w:tr>
        <w:tblPrEx>
          <w:tblCellMar>
            <w:top w:w="0" w:type="dxa"/>
            <w:left w:w="0" w:type="dxa"/>
            <w:bottom w:w="0" w:type="dxa"/>
            <w:right w:w="0" w:type="dxa"/>
          </w:tblCellMar>
        </w:tblPrEx>
        <w:trPr>
          <w:trHeight w:val="923" w:hRule="atLeast"/>
          <w:jc w:val="center"/>
        </w:trPr>
        <w:tc>
          <w:tcPr>
            <w:tcW w:w="9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22"/>
              <w:ind w:left="1" w:leftChars="-94" w:right="101" w:rightChars="48" w:hanging="198" w:hangingChars="90"/>
              <w:jc w:val="center"/>
              <w:rPr>
                <w:rFonts w:ascii="仿宋" w:hAnsi="仿宋" w:eastAsia="仿宋" w:cs="仿宋"/>
                <w:color w:val="auto"/>
                <w:sz w:val="22"/>
                <w:highlight w:val="none"/>
              </w:rPr>
            </w:pPr>
            <w:r>
              <w:rPr>
                <w:rFonts w:hint="eastAsia" w:ascii="仿宋" w:hAnsi="仿宋" w:eastAsia="仿宋" w:cs="仿宋"/>
                <w:color w:val="auto"/>
                <w:sz w:val="22"/>
                <w:highlight w:val="none"/>
              </w:rPr>
              <w:t xml:space="preserve"> 序号</w:t>
            </w:r>
          </w:p>
        </w:tc>
        <w:tc>
          <w:tcPr>
            <w:tcW w:w="3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22"/>
              <w:jc w:val="center"/>
              <w:rPr>
                <w:rFonts w:ascii="仿宋" w:hAnsi="仿宋" w:eastAsia="仿宋" w:cs="仿宋"/>
                <w:color w:val="auto"/>
                <w:sz w:val="22"/>
                <w:highlight w:val="none"/>
              </w:rPr>
            </w:pPr>
            <w:r>
              <w:rPr>
                <w:rFonts w:hint="eastAsia" w:ascii="仿宋" w:hAnsi="仿宋" w:eastAsia="仿宋" w:cs="仿宋"/>
                <w:color w:val="auto"/>
                <w:sz w:val="22"/>
                <w:highlight w:val="none"/>
              </w:rPr>
              <w:t>名  称</w:t>
            </w:r>
          </w:p>
        </w:tc>
        <w:tc>
          <w:tcPr>
            <w:tcW w:w="2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22"/>
              <w:jc w:val="center"/>
              <w:rPr>
                <w:rFonts w:ascii="仿宋" w:hAnsi="仿宋" w:eastAsia="仿宋" w:cs="仿宋"/>
                <w:color w:val="auto"/>
                <w:sz w:val="22"/>
                <w:highlight w:val="none"/>
              </w:rPr>
            </w:pPr>
            <w:r>
              <w:rPr>
                <w:rFonts w:hint="eastAsia" w:ascii="仿宋" w:hAnsi="仿宋" w:eastAsia="仿宋" w:cs="仿宋"/>
                <w:color w:val="auto"/>
                <w:sz w:val="22"/>
                <w:highlight w:val="none"/>
              </w:rPr>
              <w:t>下浮率/费率</w:t>
            </w:r>
          </w:p>
        </w:tc>
        <w:tc>
          <w:tcPr>
            <w:tcW w:w="217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pStyle w:val="122"/>
              <w:jc w:val="center"/>
              <w:rPr>
                <w:rFonts w:ascii="仿宋" w:hAnsi="仿宋" w:eastAsia="仿宋" w:cs="仿宋"/>
                <w:color w:val="auto"/>
                <w:sz w:val="22"/>
                <w:highlight w:val="none"/>
              </w:rPr>
            </w:pPr>
            <w:r>
              <w:rPr>
                <w:rFonts w:hint="eastAsia" w:ascii="仿宋" w:hAnsi="仿宋" w:eastAsia="仿宋" w:cs="仿宋"/>
                <w:color w:val="auto"/>
                <w:sz w:val="22"/>
                <w:highlight w:val="none"/>
              </w:rPr>
              <w:t>合计</w:t>
            </w:r>
          </w:p>
        </w:tc>
      </w:tr>
      <w:tr>
        <w:tblPrEx>
          <w:tblCellMar>
            <w:top w:w="0" w:type="dxa"/>
            <w:left w:w="0" w:type="dxa"/>
            <w:bottom w:w="0" w:type="dxa"/>
            <w:right w:w="0" w:type="dxa"/>
          </w:tblCellMar>
        </w:tblPrEx>
        <w:trPr>
          <w:trHeight w:val="1205" w:hRule="atLeast"/>
          <w:jc w:val="center"/>
        </w:trPr>
        <w:tc>
          <w:tcPr>
            <w:tcW w:w="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122"/>
              <w:ind w:right="-160" w:rightChars="-76"/>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3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122"/>
              <w:jc w:val="center"/>
              <w:rPr>
                <w:rFonts w:ascii="仿宋" w:hAnsi="仿宋" w:eastAsia="仿宋" w:cs="仿宋"/>
                <w:color w:val="auto"/>
                <w:sz w:val="22"/>
                <w:highlight w:val="none"/>
              </w:rPr>
            </w:pPr>
            <w:r>
              <w:rPr>
                <w:rFonts w:hint="eastAsia" w:ascii="仿宋" w:hAnsi="仿宋" w:eastAsia="仿宋" w:cs="仿宋"/>
                <w:color w:val="auto"/>
                <w:sz w:val="22"/>
                <w:highlight w:val="none"/>
              </w:rPr>
              <w:t>建筑安装工程费</w:t>
            </w:r>
          </w:p>
        </w:tc>
        <w:tc>
          <w:tcPr>
            <w:tcW w:w="2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122"/>
              <w:jc w:val="center"/>
              <w:rPr>
                <w:rFonts w:ascii="仿宋" w:hAnsi="仿宋" w:eastAsia="仿宋" w:cs="仿宋"/>
                <w:color w:val="auto"/>
                <w:sz w:val="22"/>
                <w:highlight w:val="none"/>
              </w:rPr>
            </w:pPr>
            <w:r>
              <w:rPr>
                <w:rFonts w:hint="eastAsia" w:ascii="仿宋" w:hAnsi="仿宋" w:eastAsia="仿宋" w:cs="仿宋"/>
                <w:color w:val="auto"/>
                <w:sz w:val="22"/>
                <w:highlight w:val="none"/>
              </w:rPr>
              <w:t>下浮率：</w:t>
            </w:r>
            <w:r>
              <w:rPr>
                <w:rFonts w:hint="eastAsia" w:ascii="仿宋" w:hAnsi="仿宋" w:eastAsia="仿宋" w:cs="仿宋"/>
                <w:color w:val="auto"/>
                <w:sz w:val="22"/>
                <w:highlight w:val="none"/>
                <w:u w:val="single"/>
              </w:rPr>
              <w:t xml:space="preserve">   </w:t>
            </w:r>
            <w:r>
              <w:rPr>
                <w:rFonts w:hint="eastAsia" w:ascii="仿宋" w:hAnsi="仿宋" w:eastAsia="仿宋" w:cs="仿宋"/>
                <w:color w:val="auto"/>
                <w:sz w:val="22"/>
                <w:highlight w:val="none"/>
              </w:rPr>
              <w:t>%</w:t>
            </w:r>
          </w:p>
        </w:tc>
        <w:tc>
          <w:tcPr>
            <w:tcW w:w="217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pStyle w:val="122"/>
              <w:ind w:firstLine="440" w:firstLineChars="200"/>
              <w:jc w:val="center"/>
              <w:textAlignment w:val="center"/>
              <w:rPr>
                <w:rFonts w:ascii="仿宋" w:hAnsi="仿宋" w:eastAsia="仿宋" w:cs="仿宋"/>
                <w:color w:val="auto"/>
                <w:sz w:val="22"/>
                <w:highlight w:val="none"/>
              </w:rPr>
            </w:pPr>
            <w:r>
              <w:rPr>
                <w:rFonts w:hint="eastAsia" w:ascii="仿宋" w:hAnsi="仿宋" w:eastAsia="仿宋" w:cs="仿宋"/>
                <w:color w:val="auto"/>
                <w:sz w:val="22"/>
                <w:highlight w:val="none"/>
                <w:u w:val="single"/>
              </w:rPr>
              <w:t xml:space="preserve">    </w:t>
            </w:r>
            <w:r>
              <w:rPr>
                <w:rFonts w:hint="eastAsia" w:ascii="仿宋" w:hAnsi="仿宋" w:eastAsia="仿宋" w:cs="仿宋"/>
                <w:color w:val="auto"/>
                <w:sz w:val="22"/>
                <w:highlight w:val="none"/>
              </w:rPr>
              <w:t>（元）</w:t>
            </w:r>
          </w:p>
        </w:tc>
      </w:tr>
      <w:tr>
        <w:tblPrEx>
          <w:tblCellMar>
            <w:top w:w="0" w:type="dxa"/>
            <w:left w:w="0" w:type="dxa"/>
            <w:bottom w:w="0" w:type="dxa"/>
            <w:right w:w="0" w:type="dxa"/>
          </w:tblCellMar>
        </w:tblPrEx>
        <w:trPr>
          <w:trHeight w:val="1205" w:hRule="atLeast"/>
          <w:jc w:val="center"/>
        </w:trPr>
        <w:tc>
          <w:tcPr>
            <w:tcW w:w="9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122"/>
              <w:ind w:right="-160" w:rightChars="-76"/>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3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122"/>
              <w:jc w:val="center"/>
              <w:rPr>
                <w:rFonts w:ascii="仿宋" w:hAnsi="仿宋" w:eastAsia="仿宋" w:cs="仿宋"/>
                <w:color w:val="auto"/>
                <w:sz w:val="22"/>
                <w:highlight w:val="none"/>
              </w:rPr>
            </w:pPr>
            <w:r>
              <w:rPr>
                <w:rFonts w:hint="eastAsia" w:ascii="仿宋" w:hAnsi="仿宋" w:eastAsia="仿宋" w:cs="仿宋"/>
                <w:color w:val="auto"/>
                <w:sz w:val="22"/>
                <w:szCs w:val="22"/>
                <w:highlight w:val="none"/>
              </w:rPr>
              <w:t>设计费</w:t>
            </w:r>
          </w:p>
        </w:tc>
        <w:tc>
          <w:tcPr>
            <w:tcW w:w="2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122"/>
              <w:jc w:val="center"/>
              <w:rPr>
                <w:rFonts w:ascii="仿宋" w:hAnsi="仿宋" w:eastAsia="仿宋" w:cs="仿宋"/>
                <w:color w:val="auto"/>
                <w:sz w:val="22"/>
                <w:highlight w:val="none"/>
              </w:rPr>
            </w:pPr>
            <w:r>
              <w:rPr>
                <w:rFonts w:hint="eastAsia" w:ascii="仿宋" w:hAnsi="仿宋" w:eastAsia="仿宋" w:cs="仿宋"/>
                <w:color w:val="auto"/>
                <w:sz w:val="22"/>
                <w:highlight w:val="none"/>
              </w:rPr>
              <w:t>费率：</w:t>
            </w:r>
            <w:r>
              <w:rPr>
                <w:rFonts w:hint="eastAsia" w:ascii="仿宋" w:hAnsi="仿宋" w:eastAsia="仿宋" w:cs="仿宋"/>
                <w:color w:val="auto"/>
                <w:sz w:val="22"/>
                <w:highlight w:val="none"/>
                <w:u w:val="single"/>
              </w:rPr>
              <w:t xml:space="preserve">   </w:t>
            </w:r>
            <w:r>
              <w:rPr>
                <w:rFonts w:hint="eastAsia" w:ascii="仿宋" w:hAnsi="仿宋" w:eastAsia="仿宋" w:cs="仿宋"/>
                <w:color w:val="auto"/>
                <w:sz w:val="22"/>
                <w:highlight w:val="none"/>
              </w:rPr>
              <w:t>%</w:t>
            </w:r>
          </w:p>
        </w:tc>
        <w:tc>
          <w:tcPr>
            <w:tcW w:w="217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pStyle w:val="122"/>
              <w:ind w:firstLine="440" w:firstLineChars="200"/>
              <w:jc w:val="center"/>
              <w:textAlignment w:val="center"/>
              <w:rPr>
                <w:rFonts w:ascii="仿宋" w:hAnsi="仿宋" w:eastAsia="仿宋" w:cs="仿宋"/>
                <w:color w:val="auto"/>
                <w:sz w:val="22"/>
                <w:highlight w:val="none"/>
              </w:rPr>
            </w:pPr>
            <w:r>
              <w:rPr>
                <w:rFonts w:hint="eastAsia" w:ascii="仿宋" w:hAnsi="仿宋" w:eastAsia="仿宋" w:cs="仿宋"/>
                <w:color w:val="auto"/>
                <w:sz w:val="22"/>
                <w:highlight w:val="none"/>
                <w:u w:val="single"/>
              </w:rPr>
              <w:t xml:space="preserve">    </w:t>
            </w:r>
            <w:r>
              <w:rPr>
                <w:rFonts w:hint="eastAsia" w:ascii="仿宋" w:hAnsi="仿宋" w:eastAsia="仿宋" w:cs="仿宋"/>
                <w:color w:val="auto"/>
                <w:sz w:val="22"/>
                <w:highlight w:val="none"/>
              </w:rPr>
              <w:t>（元）</w:t>
            </w:r>
          </w:p>
        </w:tc>
      </w:tr>
      <w:tr>
        <w:tblPrEx>
          <w:tblCellMar>
            <w:top w:w="0" w:type="dxa"/>
            <w:left w:w="0" w:type="dxa"/>
            <w:bottom w:w="0" w:type="dxa"/>
            <w:right w:w="0" w:type="dxa"/>
          </w:tblCellMar>
        </w:tblPrEx>
        <w:trPr>
          <w:trHeight w:val="1205" w:hRule="atLeast"/>
          <w:jc w:val="center"/>
        </w:trPr>
        <w:tc>
          <w:tcPr>
            <w:tcW w:w="8809"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pStyle w:val="122"/>
              <w:ind w:firstLine="440" w:firstLineChars="200"/>
              <w:textAlignment w:val="center"/>
              <w:rPr>
                <w:rFonts w:ascii="仿宋" w:hAnsi="仿宋" w:eastAsia="仿宋" w:cs="仿宋"/>
                <w:color w:val="auto"/>
                <w:sz w:val="22"/>
                <w:highlight w:val="none"/>
              </w:rPr>
            </w:pPr>
            <w:r>
              <w:rPr>
                <w:rFonts w:hint="eastAsia" w:ascii="仿宋" w:hAnsi="仿宋" w:eastAsia="仿宋" w:cs="仿宋"/>
                <w:color w:val="auto"/>
                <w:sz w:val="22"/>
                <w:highlight w:val="none"/>
              </w:rPr>
              <w:t>总价合计：</w:t>
            </w:r>
            <w:r>
              <w:rPr>
                <w:rFonts w:hint="eastAsia" w:ascii="仿宋" w:hAnsi="仿宋" w:eastAsia="仿宋" w:cs="仿宋"/>
                <w:color w:val="auto"/>
                <w:sz w:val="22"/>
                <w:highlight w:val="none"/>
                <w:u w:val="single"/>
              </w:rPr>
              <w:t xml:space="preserve">                                 </w:t>
            </w:r>
            <w:r>
              <w:rPr>
                <w:rFonts w:hint="eastAsia" w:ascii="仿宋" w:hAnsi="仿宋" w:eastAsia="仿宋" w:cs="仿宋"/>
                <w:color w:val="auto"/>
                <w:sz w:val="22"/>
                <w:highlight w:val="none"/>
              </w:rPr>
              <w:t>（元）</w:t>
            </w:r>
          </w:p>
        </w:tc>
      </w:tr>
    </w:tbl>
    <w:p>
      <w:pPr>
        <w:pStyle w:val="198"/>
        <w:spacing w:line="360" w:lineRule="auto"/>
        <w:ind w:left="0" w:leftChars="0" w:firstLine="0" w:firstLineChars="0"/>
        <w:rPr>
          <w:rFonts w:ascii="仿宋" w:hAnsi="仿宋" w:eastAsia="仿宋" w:cs="仿宋"/>
          <w:color w:val="auto"/>
          <w:highlight w:val="none"/>
        </w:rPr>
      </w:pPr>
      <w:r>
        <w:rPr>
          <w:rFonts w:hint="eastAsia" w:ascii="仿宋" w:hAnsi="仿宋" w:eastAsia="仿宋" w:cs="仿宋"/>
          <w:color w:val="auto"/>
          <w:highlight w:val="none"/>
        </w:rPr>
        <w:t>项目编号：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w:t>
      </w:r>
    </w:p>
    <w:p>
      <w:pPr>
        <w:pStyle w:val="198"/>
        <w:spacing w:line="360" w:lineRule="auto"/>
        <w:ind w:left="0" w:leftChars="0" w:firstLine="0" w:firstLineChars="0"/>
        <w:rPr>
          <w:rFonts w:ascii="仿宋" w:hAnsi="仿宋" w:eastAsia="仿宋" w:cs="仿宋"/>
          <w:color w:val="auto"/>
          <w:highlight w:val="none"/>
        </w:rPr>
      </w:pPr>
      <w:r>
        <w:rPr>
          <w:rFonts w:hint="eastAsia" w:ascii="仿宋" w:hAnsi="仿宋" w:eastAsia="仿宋" w:cs="仿宋"/>
          <w:color w:val="auto"/>
          <w:highlight w:val="none"/>
        </w:rPr>
        <w:t>项目名称：</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w:t>
      </w:r>
    </w:p>
    <w:p>
      <w:pPr>
        <w:pStyle w:val="199"/>
        <w:widowControl w:val="0"/>
        <w:adjustRightInd w:val="0"/>
        <w:snapToGrid w:val="0"/>
        <w:spacing w:before="0" w:after="0" w:line="500" w:lineRule="exact"/>
        <w:ind w:left="0" w:firstLine="280" w:firstLineChars="100"/>
        <w:jc w:val="left"/>
        <w:rPr>
          <w:rFonts w:ascii="仿宋" w:hAnsi="仿宋" w:eastAsia="仿宋" w:cs="仿宋"/>
          <w:color w:val="auto"/>
          <w:highlight w:val="none"/>
        </w:rPr>
      </w:pPr>
    </w:p>
    <w:p>
      <w:pPr>
        <w:pStyle w:val="199"/>
        <w:widowControl w:val="0"/>
        <w:adjustRightInd w:val="0"/>
        <w:snapToGrid w:val="0"/>
        <w:spacing w:before="0" w:after="0" w:line="500" w:lineRule="exact"/>
        <w:rPr>
          <w:rFonts w:ascii="仿宋" w:hAnsi="仿宋" w:eastAsia="仿宋" w:cs="仿宋"/>
          <w:color w:val="auto"/>
          <w:highlight w:val="none"/>
        </w:rPr>
      </w:pPr>
      <w:r>
        <w:rPr>
          <w:rFonts w:hint="eastAsia" w:ascii="仿宋" w:hAnsi="仿宋" w:eastAsia="仿宋" w:cs="仿宋"/>
          <w:color w:val="auto"/>
          <w:highlight w:val="none"/>
        </w:rPr>
        <w:t>说明： 1、须按本表内容要求逐项填写完整，如有漏项视为未实质性响应。</w:t>
      </w:r>
    </w:p>
    <w:p>
      <w:pPr>
        <w:pStyle w:val="199"/>
        <w:widowControl w:val="0"/>
        <w:adjustRightInd w:val="0"/>
        <w:snapToGrid w:val="0"/>
        <w:spacing w:before="0" w:after="0" w:line="500" w:lineRule="exact"/>
        <w:ind w:left="0" w:firstLine="840" w:firstLineChars="300"/>
        <w:jc w:val="left"/>
        <w:rPr>
          <w:rFonts w:ascii="仿宋" w:hAnsi="仿宋" w:eastAsia="仿宋" w:cs="仿宋"/>
          <w:color w:val="auto"/>
          <w:highlight w:val="none"/>
        </w:rPr>
      </w:pPr>
      <w:r>
        <w:rPr>
          <w:rFonts w:hint="eastAsia" w:ascii="仿宋" w:hAnsi="仿宋" w:eastAsia="仿宋" w:cs="仿宋"/>
          <w:color w:val="auto"/>
          <w:highlight w:val="none"/>
        </w:rPr>
        <w:t>2、在发起二次报价上传此表，</w:t>
      </w:r>
    </w:p>
    <w:p>
      <w:pPr>
        <w:pStyle w:val="199"/>
        <w:widowControl w:val="0"/>
        <w:adjustRightInd w:val="0"/>
        <w:snapToGrid w:val="0"/>
        <w:spacing w:before="0" w:after="0" w:line="500" w:lineRule="exact"/>
        <w:ind w:left="0" w:firstLine="0"/>
        <w:jc w:val="left"/>
        <w:rPr>
          <w:rFonts w:ascii="仿宋" w:hAnsi="仿宋" w:eastAsia="仿宋" w:cs="仿宋"/>
          <w:color w:val="auto"/>
          <w:highlight w:val="none"/>
        </w:rPr>
      </w:pPr>
    </w:p>
    <w:p>
      <w:pPr>
        <w:pStyle w:val="199"/>
        <w:adjustRightInd w:val="0"/>
        <w:snapToGrid w:val="0"/>
        <w:spacing w:line="500" w:lineRule="exact"/>
        <w:ind w:left="1636" w:leftChars="470" w:hanging="649" w:hangingChars="232"/>
        <w:rPr>
          <w:rFonts w:ascii="仿宋" w:hAnsi="仿宋" w:eastAsia="仿宋" w:cs="仿宋"/>
          <w:color w:val="auto"/>
          <w:highlight w:val="none"/>
          <w:u w:val="single"/>
        </w:rPr>
      </w:pPr>
      <w:r>
        <w:rPr>
          <w:rFonts w:hint="eastAsia" w:ascii="仿宋" w:hAnsi="仿宋" w:eastAsia="仿宋" w:cs="仿宋"/>
          <w:color w:val="auto"/>
          <w:highlight w:val="none"/>
        </w:rPr>
        <w:t>供应商名称（电子签章）：</w:t>
      </w:r>
      <w:r>
        <w:rPr>
          <w:rFonts w:hint="eastAsia" w:ascii="仿宋" w:hAnsi="仿宋" w:eastAsia="仿宋" w:cs="仿宋"/>
          <w:color w:val="auto"/>
          <w:highlight w:val="none"/>
          <w:u w:val="single"/>
        </w:rPr>
        <w:t xml:space="preserve">                       </w:t>
      </w:r>
    </w:p>
    <w:p>
      <w:pPr>
        <w:pStyle w:val="199"/>
        <w:adjustRightInd w:val="0"/>
        <w:snapToGrid w:val="0"/>
        <w:spacing w:line="500" w:lineRule="exact"/>
        <w:ind w:left="1636" w:leftChars="470" w:hanging="649" w:hangingChars="232"/>
        <w:rPr>
          <w:rFonts w:ascii="仿宋" w:hAnsi="仿宋" w:eastAsia="仿宋" w:cs="仿宋"/>
          <w:color w:val="auto"/>
          <w:highlight w:val="none"/>
        </w:rPr>
      </w:pPr>
      <w:r>
        <w:rPr>
          <w:rFonts w:hint="eastAsia" w:ascii="仿宋" w:hAnsi="仿宋" w:eastAsia="仿宋" w:cs="仿宋"/>
          <w:color w:val="auto"/>
          <w:highlight w:val="none"/>
        </w:rPr>
        <w:t>供应商法定代表人（电子签章）：</w:t>
      </w:r>
      <w:r>
        <w:rPr>
          <w:rFonts w:hint="eastAsia" w:ascii="仿宋" w:hAnsi="仿宋" w:eastAsia="仿宋" w:cs="仿宋"/>
          <w:color w:val="auto"/>
          <w:highlight w:val="none"/>
          <w:u w:val="single"/>
        </w:rPr>
        <w:t xml:space="preserve">                 </w:t>
      </w:r>
    </w:p>
    <w:p>
      <w:pPr>
        <w:pStyle w:val="199"/>
        <w:adjustRightInd w:val="0"/>
        <w:snapToGrid w:val="0"/>
        <w:spacing w:line="500" w:lineRule="exact"/>
        <w:ind w:left="1636" w:leftChars="470" w:hanging="649" w:hangingChars="232"/>
        <w:rPr>
          <w:rFonts w:ascii="仿宋" w:hAnsi="仿宋" w:eastAsia="仿宋" w:cs="仿宋"/>
          <w:color w:val="auto"/>
          <w:highlight w:val="none"/>
        </w:rPr>
      </w:pPr>
      <w:r>
        <w:rPr>
          <w:rFonts w:hint="eastAsia" w:ascii="仿宋" w:hAnsi="仿宋" w:eastAsia="仿宋" w:cs="仿宋"/>
          <w:color w:val="auto"/>
          <w:highlight w:val="none"/>
        </w:rPr>
        <w:t>日期：</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年</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月</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日</w:t>
      </w:r>
    </w:p>
    <w:p>
      <w:pPr>
        <w:rPr>
          <w:rFonts w:ascii="仿宋" w:hAnsi="仿宋" w:eastAsia="仿宋" w:cs="仿宋"/>
          <w:color w:val="auto"/>
          <w:highlight w:val="none"/>
        </w:rPr>
      </w:pPr>
      <w:r>
        <w:rPr>
          <w:rFonts w:hint="eastAsia" w:ascii="仿宋" w:hAnsi="仿宋" w:eastAsia="仿宋" w:cs="仿宋"/>
          <w:color w:val="auto"/>
          <w:highlight w:val="none"/>
        </w:rPr>
        <w:br w:type="page"/>
      </w:r>
    </w:p>
    <w:p>
      <w:pPr>
        <w:rPr>
          <w:rFonts w:ascii="仿宋" w:hAnsi="仿宋" w:eastAsia="仿宋" w:cs="仿宋"/>
          <w:color w:val="auto"/>
          <w:highlight w:val="none"/>
        </w:rPr>
      </w:pPr>
    </w:p>
    <w:p>
      <w:pPr>
        <w:pStyle w:val="38"/>
        <w:spacing w:line="360" w:lineRule="auto"/>
        <w:ind w:right="-88"/>
        <w:jc w:val="center"/>
        <w:rPr>
          <w:rFonts w:ascii="仿宋" w:hAnsi="仿宋" w:eastAsia="仿宋" w:cs="仿宋"/>
          <w:color w:val="auto"/>
          <w:sz w:val="32"/>
          <w:szCs w:val="36"/>
          <w:highlight w:val="none"/>
        </w:rPr>
      </w:pPr>
      <w:r>
        <w:rPr>
          <w:rFonts w:hint="eastAsia" w:ascii="仿宋" w:hAnsi="仿宋" w:eastAsia="仿宋" w:cs="仿宋"/>
          <w:color w:val="auto"/>
          <w:sz w:val="32"/>
          <w:szCs w:val="36"/>
          <w:highlight w:val="none"/>
        </w:rPr>
        <w:t>友情提示：供应商在制作投标文件时，如有问题可咨询政采云客服采小蜜</w:t>
      </w:r>
      <w:bookmarkEnd w:id="628"/>
    </w:p>
    <w:p>
      <w:pPr>
        <w:jc w:val="left"/>
        <w:rPr>
          <w:rFonts w:ascii="仿宋" w:hAnsi="仿宋" w:eastAsia="仿宋" w:cs="仿宋"/>
          <w:color w:val="auto"/>
          <w:sz w:val="32"/>
          <w:szCs w:val="36"/>
          <w:highlight w:val="none"/>
        </w:rPr>
      </w:pPr>
      <w:r>
        <w:rPr>
          <w:rFonts w:hint="eastAsia" w:ascii="仿宋" w:hAnsi="仿宋" w:eastAsia="仿宋" w:cs="仿宋"/>
          <w:color w:val="auto"/>
          <w:highlight w:val="none"/>
        </w:rPr>
        <w:drawing>
          <wp:inline distT="0" distB="0" distL="114300" distR="114300">
            <wp:extent cx="5274945" cy="5195570"/>
            <wp:effectExtent l="0" t="0" r="1905"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cstate="print"/>
                    <a:stretch>
                      <a:fillRect/>
                    </a:stretch>
                  </pic:blipFill>
                  <pic:spPr>
                    <a:xfrm>
                      <a:off x="0" y="0"/>
                      <a:ext cx="5274945" cy="5195570"/>
                    </a:xfrm>
                    <a:prstGeom prst="rect">
                      <a:avLst/>
                    </a:prstGeom>
                    <a:noFill/>
                    <a:ln>
                      <a:noFill/>
                    </a:ln>
                  </pic:spPr>
                </pic:pic>
              </a:graphicData>
            </a:graphic>
          </wp:inline>
        </w:drawing>
      </w:r>
      <w:r>
        <w:rPr>
          <w:rFonts w:hint="eastAsia" w:ascii="仿宋" w:hAnsi="仿宋" w:eastAsia="仿宋" w:cs="仿宋"/>
          <w:color w:val="auto"/>
          <w:highlight w:val="none"/>
        </w:rPr>
        <w:drawing>
          <wp:anchor distT="0" distB="0" distL="114300" distR="114300" simplePos="0" relativeHeight="251664384" behindDoc="1" locked="0" layoutInCell="1" allowOverlap="1">
            <wp:simplePos x="0" y="0"/>
            <wp:positionH relativeFrom="column">
              <wp:posOffset>-20955</wp:posOffset>
            </wp:positionH>
            <wp:positionV relativeFrom="page">
              <wp:posOffset>4636135</wp:posOffset>
            </wp:positionV>
            <wp:extent cx="5273040" cy="1094740"/>
            <wp:effectExtent l="0" t="0" r="3810" b="10160"/>
            <wp:wrapTight wrapText="bothSides">
              <wp:wrapPolygon>
                <wp:start x="0" y="0"/>
                <wp:lineTo x="0" y="21049"/>
                <wp:lineTo x="21538" y="21049"/>
                <wp:lineTo x="21538" y="0"/>
                <wp:lineTo x="0" y="0"/>
              </wp:wrapPolygon>
            </wp:wrapTight>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5" cstate="print"/>
                    <a:stretch>
                      <a:fillRect/>
                    </a:stretch>
                  </pic:blipFill>
                  <pic:spPr>
                    <a:xfrm>
                      <a:off x="0" y="0"/>
                      <a:ext cx="5273040" cy="1094740"/>
                    </a:xfrm>
                    <a:prstGeom prst="rect">
                      <a:avLst/>
                    </a:prstGeom>
                    <a:noFill/>
                    <a:ln>
                      <a:noFill/>
                    </a:ln>
                  </pic:spPr>
                </pic:pic>
              </a:graphicData>
            </a:graphic>
          </wp:anchor>
        </w:drawing>
      </w:r>
      <w:r>
        <w:rPr>
          <w:rFonts w:hint="eastAsia" w:ascii="仿宋" w:hAnsi="仿宋" w:eastAsia="仿宋" w:cs="仿宋"/>
          <w:color w:val="auto"/>
          <w:highlight w:val="none"/>
        </w:rPr>
        <w:drawing>
          <wp:inline distT="0" distB="0" distL="114300" distR="114300">
            <wp:extent cx="5272405" cy="3709670"/>
            <wp:effectExtent l="0" t="0" r="4445" b="50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6" cstate="print"/>
                    <a:stretch>
                      <a:fillRect/>
                    </a:stretch>
                  </pic:blipFill>
                  <pic:spPr>
                    <a:xfrm>
                      <a:off x="0" y="0"/>
                      <a:ext cx="5272405" cy="3709670"/>
                    </a:xfrm>
                    <a:prstGeom prst="rect">
                      <a:avLst/>
                    </a:prstGeom>
                    <a:noFill/>
                    <a:ln>
                      <a:noFill/>
                    </a:ln>
                  </pic:spPr>
                </pic:pic>
              </a:graphicData>
            </a:graphic>
          </wp:inline>
        </w:drawing>
      </w:r>
    </w:p>
    <w:p>
      <w:pPr>
        <w:rPr>
          <w:rFonts w:ascii="仿宋" w:hAnsi="仿宋" w:eastAsia="仿宋" w:cs="仿宋"/>
          <w:color w:val="auto"/>
          <w:sz w:val="24"/>
          <w:szCs w:val="24"/>
          <w:highlight w:val="none"/>
        </w:rPr>
      </w:pPr>
    </w:p>
    <w:sectPr>
      <w:footerReference r:id="rId11" w:type="first"/>
      <w:footerReference r:id="rId10" w:type="default"/>
      <w:pgSz w:w="11906" w:h="16838"/>
      <w:pgMar w:top="1440" w:right="1797" w:bottom="1440" w:left="1797"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161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eastAsia="宋体" w:cs="宋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192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192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191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191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rFonts w:ascii="宋体" w:hAnsi="宋体" w:eastAsia="宋体" w:cs="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eastAsia="宋体" w:cs="宋体"/>
      </w:rPr>
    </w:pPr>
    <w:r>
      <w:pict>
        <v:shape id="PowerPlusWaterMarkObject937549079" o:spid="_x0000_s2051" o:spt="136" type="#_x0000_t136" style="position:absolute;left:0pt;height:34.45pt;width:551.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新疆生产建设兵团公共资源交易中心" style="font-family:宋体;font-size: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rFonts w:ascii="宋体" w:hAnsi="宋体" w:eastAsia="宋体" w:cs="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66F00"/>
    <w:multiLevelType w:val="singleLevel"/>
    <w:tmpl w:val="94F66F00"/>
    <w:lvl w:ilvl="0" w:tentative="0">
      <w:start w:val="5"/>
      <w:numFmt w:val="chineseCounting"/>
      <w:suff w:val="nothing"/>
      <w:lvlText w:val="%1、"/>
      <w:lvlJc w:val="left"/>
      <w:rPr>
        <w:rFonts w:hint="eastAsia"/>
      </w:rPr>
    </w:lvl>
  </w:abstractNum>
  <w:abstractNum w:abstractNumId="1">
    <w:nsid w:val="98682762"/>
    <w:multiLevelType w:val="singleLevel"/>
    <w:tmpl w:val="98682762"/>
    <w:lvl w:ilvl="0" w:tentative="0">
      <w:start w:val="1"/>
      <w:numFmt w:val="decimal"/>
      <w:suff w:val="nothing"/>
      <w:lvlText w:val="%1、"/>
      <w:lvlJc w:val="left"/>
    </w:lvl>
  </w:abstractNum>
  <w:abstractNum w:abstractNumId="2">
    <w:nsid w:val="00000004"/>
    <w:multiLevelType w:val="multilevel"/>
    <w:tmpl w:val="00000004"/>
    <w:lvl w:ilvl="0" w:tentative="0">
      <w:start w:val="1"/>
      <w:numFmt w:val="chineseCountingThousand"/>
      <w:pStyle w:val="185"/>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00000005"/>
    <w:multiLevelType w:val="multilevel"/>
    <w:tmpl w:val="00000005"/>
    <w:lvl w:ilvl="0" w:tentative="0">
      <w:start w:val="1"/>
      <w:numFmt w:val="decimal"/>
      <w:pStyle w:val="188"/>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4">
    <w:nsid w:val="00000006"/>
    <w:multiLevelType w:val="multilevel"/>
    <w:tmpl w:val="00000006"/>
    <w:lvl w:ilvl="0" w:tentative="0">
      <w:start w:val="1"/>
      <w:numFmt w:val="decimal"/>
      <w:suff w:val="nothing"/>
      <w:lvlText w:val="（%1）"/>
      <w:lvlJc w:val="left"/>
    </w:lvl>
    <w:lvl w:ilvl="1" w:tentative="0">
      <w:start w:val="1"/>
      <w:numFmt w:val="decimal"/>
      <w:lvlText w:val="%1.%2"/>
      <w:lvlJc w:val="left"/>
      <w:pPr>
        <w:ind w:left="0" w:firstLine="0"/>
      </w:pPr>
    </w:lvl>
    <w:lvl w:ilvl="2" w:tentative="0">
      <w:start w:val="1"/>
      <w:numFmt w:val="decimal"/>
      <w:lvlText w:val="%1.%2.%3"/>
      <w:lvlJc w:val="left"/>
      <w:pPr>
        <w:ind w:left="0" w:firstLine="0"/>
      </w:p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5">
    <w:nsid w:val="00000007"/>
    <w:multiLevelType w:val="multilevel"/>
    <w:tmpl w:val="00000007"/>
    <w:lvl w:ilvl="0" w:tentative="0">
      <w:start w:val="1"/>
      <w:numFmt w:val="decimal"/>
      <w:pStyle w:val="193"/>
      <w:lvlText w:val="%1."/>
      <w:lvlJc w:val="left"/>
      <w:pPr>
        <w:ind w:left="78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00000009"/>
    <w:multiLevelType w:val="multilevel"/>
    <w:tmpl w:val="00000009"/>
    <w:lvl w:ilvl="0" w:tentative="0">
      <w:start w:val="1"/>
      <w:numFmt w:val="decimal"/>
      <w:pStyle w:val="207"/>
      <w:lvlText w:val="附件%1"/>
      <w:lvlJc w:val="left"/>
      <w:pPr>
        <w:ind w:left="3538" w:hanging="420"/>
      </w:pPr>
      <w:rPr>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53208E"/>
    <w:multiLevelType w:val="singleLevel"/>
    <w:tmpl w:val="0053208E"/>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28"/>
        <w:szCs w:val="28"/>
        <w:u w:val="none"/>
        <w:shd w:val="clear" w:color="auto" w:fill="auto"/>
        <w:lang w:val="en-US" w:eastAsia="en-US" w:bidi="en-US"/>
      </w:rPr>
    </w:lvl>
  </w:abstractNum>
  <w:abstractNum w:abstractNumId="8">
    <w:nsid w:val="0B81DA98"/>
    <w:multiLevelType w:val="singleLevel"/>
    <w:tmpl w:val="0B81DA98"/>
    <w:lvl w:ilvl="0" w:tentative="0">
      <w:start w:val="1"/>
      <w:numFmt w:val="chineseCounting"/>
      <w:suff w:val="nothing"/>
      <w:lvlText w:val="%1、"/>
      <w:lvlJc w:val="left"/>
      <w:pPr>
        <w:ind w:left="564" w:firstLine="0"/>
      </w:pPr>
      <w:rPr>
        <w:rFonts w:hint="eastAsia"/>
      </w:rPr>
    </w:lvl>
  </w:abstractNum>
  <w:abstractNum w:abstractNumId="9">
    <w:nsid w:val="17734216"/>
    <w:multiLevelType w:val="singleLevel"/>
    <w:tmpl w:val="17734216"/>
    <w:lvl w:ilvl="0" w:tentative="0">
      <w:start w:val="1"/>
      <w:numFmt w:val="decimal"/>
      <w:suff w:val="nothing"/>
      <w:lvlText w:val="%1、"/>
      <w:lvlJc w:val="left"/>
    </w:lvl>
  </w:abstractNum>
  <w:abstractNum w:abstractNumId="10">
    <w:nsid w:val="2188CEE8"/>
    <w:multiLevelType w:val="singleLevel"/>
    <w:tmpl w:val="2188CEE8"/>
    <w:lvl w:ilvl="0" w:tentative="0">
      <w:start w:val="1"/>
      <w:numFmt w:val="decimal"/>
      <w:suff w:val="nothing"/>
      <w:lvlText w:val="%1）"/>
      <w:lvlJc w:val="left"/>
    </w:lvl>
  </w:abstractNum>
  <w:abstractNum w:abstractNumId="11">
    <w:nsid w:val="229734FF"/>
    <w:multiLevelType w:val="multilevel"/>
    <w:tmpl w:val="229734FF"/>
    <w:lvl w:ilvl="0" w:tentative="0">
      <w:start w:val="1"/>
      <w:numFmt w:val="decimal"/>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12">
    <w:nsid w:val="3AA800C6"/>
    <w:multiLevelType w:val="multilevel"/>
    <w:tmpl w:val="3AA800C6"/>
    <w:lvl w:ilvl="0" w:tentative="0">
      <w:start w:val="1"/>
      <w:numFmt w:val="decimal"/>
      <w:lvlText w:val="第%1条"/>
      <w:lvlJc w:val="left"/>
      <w:pPr>
        <w:ind w:left="0" w:firstLine="0"/>
      </w:pPr>
    </w:lvl>
    <w:lvl w:ilvl="1" w:tentative="0">
      <w:start w:val="1"/>
      <w:numFmt w:val="decimal"/>
      <w:lvlText w:val="%1.%2"/>
      <w:lvlJc w:val="left"/>
      <w:pPr>
        <w:ind w:left="0" w:firstLine="0"/>
      </w:pPr>
    </w:lvl>
    <w:lvl w:ilvl="2" w:tentative="0">
      <w:start w:val="1"/>
      <w:numFmt w:val="decimal"/>
      <w:lvlText w:val="%1.%2.%3"/>
      <w:lvlJc w:val="left"/>
      <w:pPr>
        <w:ind w:left="0" w:firstLine="0"/>
      </w:pPr>
    </w:lvl>
    <w:lvl w:ilvl="3" w:tentative="0">
      <w:start w:val="1"/>
      <w:numFmt w:val="decimal"/>
      <w:lvlText w:val="%1.%2.%3.%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13">
    <w:nsid w:val="656D6133"/>
    <w:multiLevelType w:val="multilevel"/>
    <w:tmpl w:val="656D6133"/>
    <w:lvl w:ilvl="0" w:tentative="0">
      <w:start w:val="1"/>
      <w:numFmt w:val="chineseCountingThousand"/>
      <w:suff w:val="nothing"/>
      <w:lvlText w:val="第%1部分"/>
      <w:lvlJc w:val="center"/>
      <w:pPr>
        <w:ind w:left="0" w:firstLine="288"/>
      </w:pPr>
      <w:rPr>
        <w:rFonts w:hint="eastAsia"/>
        <w:sz w:val="28"/>
        <w:szCs w:val="28"/>
      </w:rPr>
    </w:lvl>
    <w:lvl w:ilvl="1" w:tentative="0">
      <w:start w:val="1"/>
      <w:numFmt w:val="chineseCountingThousand"/>
      <w:pStyle w:val="4"/>
      <w:suff w:val="nothing"/>
      <w:lvlText w:val="%2、"/>
      <w:lvlJc w:val="left"/>
      <w:pPr>
        <w:ind w:left="240" w:firstLine="0"/>
      </w:pPr>
      <w:rPr>
        <w:rFonts w:hint="eastAsia" w:ascii="宋体" w:hAnsi="宋体" w:eastAsia="宋体"/>
        <w:sz w:val="24"/>
        <w:szCs w:val="24"/>
        <w:lang w:val="en-US"/>
      </w:rPr>
    </w:lvl>
    <w:lvl w:ilvl="2" w:tentative="0">
      <w:start w:val="1"/>
      <w:numFmt w:val="chineseCountingThousand"/>
      <w:pStyle w:val="5"/>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4">
    <w:nsid w:val="7D992027"/>
    <w:multiLevelType w:val="multilevel"/>
    <w:tmpl w:val="7D992027"/>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pStyle w:val="36"/>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D99202A"/>
    <w:multiLevelType w:val="multilevel"/>
    <w:tmpl w:val="7D99202A"/>
    <w:lvl w:ilvl="0" w:tentative="0">
      <w:start w:val="1"/>
      <w:numFmt w:val="chineseCountingThousand"/>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lang w:val="en-US"/>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179"/>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3"/>
  </w:num>
  <w:num w:numId="2">
    <w:abstractNumId w:val="14"/>
  </w:num>
  <w:num w:numId="3">
    <w:abstractNumId w:val="15"/>
  </w:num>
  <w:num w:numId="4">
    <w:abstractNumId w:val="2"/>
  </w:num>
  <w:num w:numId="5">
    <w:abstractNumId w:val="3"/>
  </w:num>
  <w:num w:numId="6">
    <w:abstractNumId w:val="4"/>
    <w:lvlOverride w:ilvl="0">
      <w:lvl w:ilvl="0" w:tentative="1">
        <w:start w:val="1"/>
        <w:numFmt w:val="decimal"/>
        <w:lvlText w:val="第%1条"/>
        <w:lvlJc w:val="left"/>
        <w:pPr>
          <w:ind w:left="0" w:firstLine="0"/>
        </w:pPr>
      </w:lvl>
    </w:lvlOverride>
    <w:lvlOverride w:ilvl="1">
      <w:lvl w:ilvl="1" w:tentative="1">
        <w:start w:val="1"/>
        <w:numFmt w:val="decimal"/>
        <w:pStyle w:val="189"/>
        <w:lvlText w:val="%1.%2"/>
        <w:lvlJc w:val="left"/>
        <w:pPr>
          <w:ind w:left="1843" w:firstLine="0"/>
        </w:pPr>
      </w:lvl>
    </w:lvlOverride>
    <w:lvlOverride w:ilvl="2">
      <w:lvl w:ilvl="2" w:tentative="1">
        <w:start w:val="1"/>
        <w:numFmt w:val="decimal"/>
        <w:pStyle w:val="190"/>
        <w:lvlText w:val="%1.%2.%3"/>
        <w:lvlJc w:val="left"/>
        <w:pPr>
          <w:ind w:left="2126" w:firstLine="0"/>
        </w:pPr>
      </w:lvl>
    </w:lvlOverride>
    <w:lvlOverride w:ilvl="3">
      <w:lvl w:ilvl="3" w:tentative="1">
        <w:start w:val="1"/>
        <w:numFmt w:val="decimal"/>
        <w:pStyle w:val="191"/>
        <w:lvlText w:val="%1.%2.%3.%4"/>
        <w:lvlJc w:val="left"/>
        <w:pPr>
          <w:ind w:left="0" w:firstLine="0"/>
        </w:pPr>
      </w:lvl>
    </w:lvlOverride>
    <w:lvlOverride w:ilvl="4">
      <w:lvl w:ilvl="4" w:tentative="1">
        <w:start w:val="1"/>
        <w:numFmt w:val="decimal"/>
        <w:lvlText w:val="%1.%2.%3.%4.%5"/>
        <w:lvlJc w:val="left"/>
        <w:pPr>
          <w:ind w:left="0" w:firstLine="0"/>
        </w:pPr>
      </w:lvl>
    </w:lvlOverride>
    <w:lvlOverride w:ilvl="5">
      <w:lvl w:ilvl="5" w:tentative="1">
        <w:start w:val="1"/>
        <w:numFmt w:val="decimal"/>
        <w:lvlText w:val="%1.%2.%3.%4.%5.%6"/>
        <w:lvlJc w:val="left"/>
        <w:pPr>
          <w:ind w:left="0" w:firstLine="0"/>
        </w:pPr>
      </w:lvl>
    </w:lvlOverride>
    <w:lvlOverride w:ilvl="6">
      <w:lvl w:ilvl="6" w:tentative="1">
        <w:start w:val="1"/>
        <w:numFmt w:val="decimal"/>
        <w:lvlText w:val="%1.%2.%3.%4.%5.%6.%7"/>
        <w:lvlJc w:val="left"/>
        <w:pPr>
          <w:ind w:left="0" w:firstLine="0"/>
        </w:pPr>
      </w:lvl>
    </w:lvlOverride>
    <w:lvlOverride w:ilvl="7">
      <w:lvl w:ilvl="7" w:tentative="1">
        <w:start w:val="1"/>
        <w:numFmt w:val="decimal"/>
        <w:lvlText w:val="%1.%2.%3.%4.%5.%6.%7.%8"/>
        <w:lvlJc w:val="left"/>
        <w:pPr>
          <w:ind w:left="0" w:firstLine="0"/>
        </w:pPr>
      </w:lvl>
    </w:lvlOverride>
    <w:lvlOverride w:ilvl="8">
      <w:lvl w:ilvl="8" w:tentative="1">
        <w:start w:val="1"/>
        <w:numFmt w:val="decimal"/>
        <w:lvlText w:val="%1.%2.%3.%4.%5.%6.%7.%8.%9"/>
        <w:lvlJc w:val="left"/>
        <w:pPr>
          <w:ind w:left="0" w:firstLine="0"/>
        </w:pPr>
      </w:lvl>
    </w:lvlOverride>
  </w:num>
  <w:num w:numId="7">
    <w:abstractNumId w:val="4"/>
    <w:lvlOverride w:ilvl="0">
      <w:lvl w:ilvl="0" w:tentative="1">
        <w:start w:val="1"/>
        <w:numFmt w:val="decimal"/>
        <w:lvlText w:val="第%1条"/>
        <w:lvlJc w:val="left"/>
        <w:pPr>
          <w:ind w:left="0" w:firstLine="0"/>
        </w:pPr>
      </w:lvl>
    </w:lvlOverride>
    <w:lvlOverride w:ilvl="1">
      <w:lvl w:ilvl="1" w:tentative="1">
        <w:start w:val="1"/>
        <w:numFmt w:val="decimal"/>
        <w:lvlText w:val="%1.%2"/>
        <w:lvlJc w:val="left"/>
        <w:pPr>
          <w:ind w:left="0" w:firstLine="0"/>
        </w:pPr>
      </w:lvl>
    </w:lvlOverride>
    <w:lvlOverride w:ilvl="2">
      <w:lvl w:ilvl="2" w:tentative="1">
        <w:start w:val="1"/>
        <w:numFmt w:val="decimal"/>
        <w:lvlText w:val="%1.%2.%3"/>
        <w:lvlJc w:val="left"/>
        <w:pPr>
          <w:ind w:left="0" w:firstLine="0"/>
        </w:pPr>
      </w:lvl>
    </w:lvlOverride>
    <w:lvlOverride w:ilvl="3">
      <w:lvl w:ilvl="3" w:tentative="1">
        <w:start w:val="1"/>
        <w:numFmt w:val="decimal"/>
        <w:lvlText w:val="%1.%2.%3.%4"/>
        <w:lvlJc w:val="left"/>
        <w:pPr>
          <w:ind w:left="0" w:firstLine="0"/>
        </w:pPr>
      </w:lvl>
    </w:lvlOverride>
    <w:lvlOverride w:ilvl="4">
      <w:lvl w:ilvl="4" w:tentative="1">
        <w:start w:val="1"/>
        <w:numFmt w:val="decimal"/>
        <w:pStyle w:val="192"/>
        <w:lvlText w:val="(%5)"/>
        <w:lvlJc w:val="left"/>
        <w:pPr>
          <w:ind w:left="310" w:firstLine="400"/>
        </w:pPr>
      </w:lvl>
    </w:lvlOverride>
    <w:lvlOverride w:ilvl="5">
      <w:lvl w:ilvl="5" w:tentative="1">
        <w:start w:val="1"/>
        <w:numFmt w:val="decimal"/>
        <w:lvlText w:val="%6)"/>
        <w:lvlJc w:val="left"/>
        <w:pPr>
          <w:ind w:left="0" w:firstLine="480"/>
        </w:pPr>
      </w:lvl>
    </w:lvlOverride>
    <w:lvlOverride w:ilvl="6">
      <w:lvl w:ilvl="6" w:tentative="1">
        <w:start w:val="1"/>
        <w:numFmt w:val="decimal"/>
        <w:lvlText w:val="%1.%2.%3.%4.%5.%6.%7"/>
        <w:lvlJc w:val="left"/>
        <w:pPr>
          <w:ind w:left="0" w:firstLine="0"/>
        </w:pPr>
      </w:lvl>
    </w:lvlOverride>
    <w:lvlOverride w:ilvl="7">
      <w:lvl w:ilvl="7" w:tentative="1">
        <w:start w:val="1"/>
        <w:numFmt w:val="decimal"/>
        <w:lvlText w:val="%1.%2.%3.%4.%5.%6.%7.%8"/>
        <w:lvlJc w:val="left"/>
        <w:pPr>
          <w:ind w:left="0" w:firstLine="0"/>
        </w:pPr>
      </w:lvl>
    </w:lvlOverride>
    <w:lvlOverride w:ilvl="8">
      <w:lvl w:ilvl="8" w:tentative="1">
        <w:start w:val="1"/>
        <w:numFmt w:val="decimal"/>
        <w:lvlText w:val="%1.%2.%3.%4.%5.%6.%7.%8.%9"/>
        <w:lvlJc w:val="left"/>
        <w:pPr>
          <w:ind w:left="0" w:firstLine="0"/>
        </w:pPr>
      </w:lvl>
    </w:lvlOverride>
  </w:num>
  <w:num w:numId="8">
    <w:abstractNumId w:val="5"/>
  </w:num>
  <w:num w:numId="9">
    <w:abstractNumId w:val="6"/>
  </w:num>
  <w:num w:numId="10">
    <w:abstractNumId w:val="0"/>
  </w:num>
  <w:num w:numId="11">
    <w:abstractNumId w:val="1"/>
  </w:num>
  <w:num w:numId="12">
    <w:abstractNumId w:val="9"/>
  </w:num>
  <w:num w:numId="13">
    <w:abstractNumId w:val="11"/>
    <w:lvlOverride w:ilvl="0">
      <w:lvl w:ilvl="0" w:tentative="1">
        <w:start w:val="1"/>
        <w:numFmt w:val="decimal"/>
        <w:lvlText w:val="第%1条"/>
        <w:lvlJc w:val="left"/>
        <w:pPr>
          <w:ind w:left="0" w:firstLine="0"/>
        </w:pPr>
        <w:rPr>
          <w:rFonts w:hint="eastAsia"/>
        </w:rPr>
      </w:lvl>
    </w:lvlOverride>
    <w:lvlOverride w:ilvl="1">
      <w:lvl w:ilvl="1" w:tentative="1">
        <w:start w:val="1"/>
        <w:numFmt w:val="decimal"/>
        <w:lvlText w:val="%1.%2"/>
        <w:lvlJc w:val="left"/>
        <w:pPr>
          <w:ind w:left="567" w:firstLine="0"/>
        </w:pPr>
        <w:rPr>
          <w:rFonts w:hint="eastAsia"/>
        </w:rPr>
      </w:lvl>
    </w:lvlOverride>
    <w:lvlOverride w:ilvl="2">
      <w:lvl w:ilvl="2" w:tentative="1">
        <w:start w:val="1"/>
        <w:numFmt w:val="decimal"/>
        <w:lvlText w:val="%1.%2.%3"/>
        <w:lvlJc w:val="left"/>
        <w:pPr>
          <w:ind w:left="2126" w:firstLine="0"/>
        </w:pPr>
        <w:rPr>
          <w:rFonts w:hint="eastAsia"/>
        </w:rPr>
      </w:lvl>
    </w:lvlOverride>
    <w:lvlOverride w:ilvl="3">
      <w:lvl w:ilvl="3" w:tentative="1">
        <w:start w:val="1"/>
        <w:numFmt w:val="decimal"/>
        <w:lvlText w:val="%1.%2.%3.%4"/>
        <w:lvlJc w:val="left"/>
        <w:pPr>
          <w:ind w:left="0" w:firstLine="0"/>
        </w:pPr>
        <w:rPr>
          <w:rFonts w:hint="eastAsia"/>
        </w:rPr>
      </w:lvl>
    </w:lvlOverride>
    <w:lvlOverride w:ilvl="4">
      <w:lvl w:ilvl="4" w:tentative="1">
        <w:start w:val="1"/>
        <w:numFmt w:val="decimal"/>
        <w:lvlText w:val="%1.%2.%3.%4.%5"/>
        <w:lvlJc w:val="left"/>
        <w:pPr>
          <w:ind w:left="0" w:firstLine="0"/>
        </w:pPr>
        <w:rPr>
          <w:rFonts w:hint="eastAsia"/>
        </w:rPr>
      </w:lvl>
    </w:lvlOverride>
    <w:lvlOverride w:ilvl="5">
      <w:lvl w:ilvl="5" w:tentative="1">
        <w:start w:val="1"/>
        <w:numFmt w:val="decimal"/>
        <w:lvlText w:val="%1.%2.%3.%4.%5.%6"/>
        <w:lvlJc w:val="left"/>
        <w:pPr>
          <w:ind w:left="0" w:firstLine="0"/>
        </w:pPr>
        <w:rPr>
          <w:rFonts w:hint="eastAsia"/>
        </w:rPr>
      </w:lvl>
    </w:lvlOverride>
    <w:lvlOverride w:ilvl="6">
      <w:lvl w:ilvl="6" w:tentative="1">
        <w:start w:val="1"/>
        <w:numFmt w:val="decimal"/>
        <w:lvlText w:val="%1.%2.%3.%4.%5.%6.%7"/>
        <w:lvlJc w:val="left"/>
        <w:pPr>
          <w:ind w:left="0" w:firstLine="0"/>
        </w:pPr>
        <w:rPr>
          <w:rFonts w:hint="eastAsia"/>
        </w:rPr>
      </w:lvl>
    </w:lvlOverride>
    <w:lvlOverride w:ilvl="7">
      <w:lvl w:ilvl="7" w:tentative="1">
        <w:start w:val="1"/>
        <w:numFmt w:val="decimal"/>
        <w:lvlText w:val="%1.%2.%3.%4.%5.%6.%7.%8"/>
        <w:lvlJc w:val="left"/>
        <w:pPr>
          <w:ind w:left="0" w:firstLine="0"/>
        </w:pPr>
        <w:rPr>
          <w:rFonts w:hint="eastAsia"/>
        </w:rPr>
      </w:lvl>
    </w:lvlOverride>
    <w:lvlOverride w:ilvl="8">
      <w:lvl w:ilvl="8" w:tentative="1">
        <w:start w:val="1"/>
        <w:numFmt w:val="decimal"/>
        <w:lvlText w:val="%1.%2.%3.%4.%5.%6.%7.%8.%9"/>
        <w:lvlJc w:val="left"/>
        <w:pPr>
          <w:ind w:left="0" w:firstLine="0"/>
        </w:pPr>
        <w:rPr>
          <w:rFonts w:hint="eastAsia"/>
        </w:rPr>
      </w:lvl>
    </w:lvlOverride>
  </w:num>
  <w:num w:numId="14">
    <w:abstractNumId w:val="12"/>
  </w:num>
  <w:num w:numId="15">
    <w:abstractNumId w:val="11"/>
    <w:lvlOverride w:ilvl="0">
      <w:lvl w:ilvl="0" w:tentative="1">
        <w:start w:val="1"/>
        <w:numFmt w:val="decimal"/>
        <w:lvlText w:val="第%1条"/>
        <w:lvlJc w:val="left"/>
        <w:pPr>
          <w:ind w:left="0" w:firstLine="0"/>
        </w:pPr>
      </w:lvl>
    </w:lvlOverride>
    <w:lvlOverride w:ilvl="1">
      <w:lvl w:ilvl="1" w:tentative="1">
        <w:start w:val="1"/>
        <w:numFmt w:val="decimal"/>
        <w:lvlText w:val="%1.%2"/>
        <w:lvlJc w:val="left"/>
        <w:pPr>
          <w:ind w:left="1843" w:firstLine="0"/>
        </w:pPr>
      </w:lvl>
    </w:lvlOverride>
    <w:lvlOverride w:ilvl="2">
      <w:lvl w:ilvl="2" w:tentative="1">
        <w:start w:val="1"/>
        <w:numFmt w:val="decimal"/>
        <w:lvlText w:val="%1.%2.%3"/>
        <w:lvlJc w:val="left"/>
        <w:pPr>
          <w:ind w:left="2126" w:firstLine="0"/>
        </w:pPr>
      </w:lvl>
    </w:lvlOverride>
    <w:lvlOverride w:ilvl="3">
      <w:lvl w:ilvl="3" w:tentative="1">
        <w:start w:val="1"/>
        <w:numFmt w:val="decimal"/>
        <w:lvlText w:val="%1.%2.%3.%4"/>
        <w:lvlJc w:val="left"/>
        <w:pPr>
          <w:ind w:left="0" w:firstLine="0"/>
        </w:pPr>
      </w:lvl>
    </w:lvlOverride>
    <w:lvlOverride w:ilvl="4">
      <w:lvl w:ilvl="4" w:tentative="1">
        <w:start w:val="1"/>
        <w:numFmt w:val="decimal"/>
        <w:lvlText w:val="%1.%2.%3.%4.%5"/>
        <w:lvlJc w:val="left"/>
        <w:pPr>
          <w:ind w:left="0" w:firstLine="0"/>
        </w:pPr>
      </w:lvl>
    </w:lvlOverride>
    <w:lvlOverride w:ilvl="5">
      <w:lvl w:ilvl="5" w:tentative="1">
        <w:start w:val="1"/>
        <w:numFmt w:val="decimal"/>
        <w:lvlText w:val="%1.%2.%3.%4.%5.%6"/>
        <w:lvlJc w:val="left"/>
        <w:pPr>
          <w:ind w:left="0" w:firstLine="0"/>
        </w:pPr>
      </w:lvl>
    </w:lvlOverride>
    <w:lvlOverride w:ilvl="6">
      <w:lvl w:ilvl="6" w:tentative="1">
        <w:start w:val="1"/>
        <w:numFmt w:val="decimal"/>
        <w:lvlText w:val="%1.%2.%3.%4.%5.%6.%7"/>
        <w:lvlJc w:val="left"/>
        <w:pPr>
          <w:ind w:left="0" w:firstLine="0"/>
        </w:pPr>
      </w:lvl>
    </w:lvlOverride>
    <w:lvlOverride w:ilvl="7">
      <w:lvl w:ilvl="7" w:tentative="1">
        <w:start w:val="1"/>
        <w:numFmt w:val="decimal"/>
        <w:lvlText w:val="%1.%2.%3.%4.%5.%6.%7.%8"/>
        <w:lvlJc w:val="left"/>
        <w:pPr>
          <w:ind w:left="0" w:firstLine="0"/>
        </w:pPr>
      </w:lvl>
    </w:lvlOverride>
    <w:lvlOverride w:ilvl="8">
      <w:lvl w:ilvl="8" w:tentative="1">
        <w:start w:val="1"/>
        <w:numFmt w:val="decimal"/>
        <w:lvlText w:val="%1.%2.%3.%4.%5.%6.%7.%8.%9"/>
        <w:lvlJc w:val="left"/>
        <w:pPr>
          <w:ind w:left="0" w:firstLine="0"/>
        </w:pPr>
      </w:lvl>
    </w:lvlOverride>
  </w:num>
  <w:num w:numId="16">
    <w:abstractNumId w:val="11"/>
  </w:num>
  <w:num w:numId="17">
    <w:abstractNumId w:val="11"/>
    <w:lvlOverride w:ilvl="0">
      <w:startOverride w:val="3"/>
      <w:lvl w:ilvl="0" w:tentative="1">
        <w:start w:val="3"/>
        <w:numFmt w:val="decimal"/>
        <w:lvlText w:val="第%1条"/>
        <w:lvlJc w:val="left"/>
        <w:pPr>
          <w:ind w:left="0" w:firstLine="0"/>
        </w:pPr>
        <w:rPr>
          <w:rFonts w:hint="eastAsia"/>
        </w:rPr>
      </w:lvl>
    </w:lvlOverride>
    <w:lvlOverride w:ilvl="1">
      <w:startOverride w:val="1"/>
      <w:lvl w:ilvl="1" w:tentative="1">
        <w:start w:val="1"/>
        <w:numFmt w:val="decimal"/>
        <w:lvlText w:val="%1.%2"/>
        <w:lvlJc w:val="left"/>
        <w:pPr>
          <w:ind w:left="0" w:firstLine="0"/>
        </w:pPr>
        <w:rPr>
          <w:rFonts w:hint="eastAsia"/>
        </w:rPr>
      </w:lvl>
    </w:lvlOverride>
    <w:lvlOverride w:ilvl="2">
      <w:startOverride w:val="1"/>
      <w:lvl w:ilvl="2" w:tentative="1">
        <w:start w:val="1"/>
        <w:numFmt w:val="decimal"/>
        <w:lvlText w:val="%1.%2.%3"/>
        <w:lvlJc w:val="left"/>
        <w:pPr>
          <w:ind w:left="0" w:firstLine="0"/>
        </w:pPr>
        <w:rPr>
          <w:rFonts w:hint="eastAsia"/>
        </w:rPr>
      </w:lvl>
    </w:lvlOverride>
    <w:lvlOverride w:ilvl="3">
      <w:startOverride w:val="1"/>
      <w:lvl w:ilvl="3" w:tentative="1">
        <w:start w:val="1"/>
        <w:numFmt w:val="decimal"/>
        <w:lvlText w:val="%1.%2.%3.%4"/>
        <w:lvlJc w:val="left"/>
        <w:pPr>
          <w:ind w:left="0" w:firstLine="0"/>
        </w:pPr>
        <w:rPr>
          <w:rFonts w:hint="eastAsia"/>
        </w:rPr>
      </w:lvl>
    </w:lvlOverride>
    <w:lvlOverride w:ilvl="4">
      <w:startOverride w:val="1"/>
      <w:lvl w:ilvl="4" w:tentative="1">
        <w:start w:val="1"/>
        <w:numFmt w:val="decimal"/>
        <w:lvlText w:val="%1.%2.%3.%4.%5"/>
        <w:lvlJc w:val="left"/>
        <w:pPr>
          <w:ind w:left="0" w:firstLine="0"/>
        </w:pPr>
        <w:rPr>
          <w:rFonts w:hint="eastAsia"/>
        </w:rPr>
      </w:lvl>
    </w:lvlOverride>
    <w:lvlOverride w:ilvl="5">
      <w:startOverride w:val="1"/>
      <w:lvl w:ilvl="5" w:tentative="1">
        <w:start w:val="1"/>
        <w:numFmt w:val="decimal"/>
        <w:lvlText w:val="%1.%2.%3.%4.%5.%6"/>
        <w:lvlJc w:val="left"/>
        <w:pPr>
          <w:ind w:left="0" w:firstLine="0"/>
        </w:pPr>
        <w:rPr>
          <w:rFonts w:hint="eastAsia"/>
        </w:rPr>
      </w:lvl>
    </w:lvlOverride>
    <w:lvlOverride w:ilvl="6">
      <w:startOverride w:val="1"/>
      <w:lvl w:ilvl="6" w:tentative="1">
        <w:start w:val="1"/>
        <w:numFmt w:val="decimal"/>
        <w:lvlText w:val="%1.%2.%3.%4.%5.%6.%7"/>
        <w:lvlJc w:val="left"/>
        <w:pPr>
          <w:ind w:left="0" w:firstLine="0"/>
        </w:pPr>
        <w:rPr>
          <w:rFonts w:hint="eastAsia"/>
        </w:rPr>
      </w:lvl>
    </w:lvlOverride>
    <w:lvlOverride w:ilvl="7">
      <w:startOverride w:val="1"/>
      <w:lvl w:ilvl="7" w:tentative="1">
        <w:start w:val="1"/>
        <w:numFmt w:val="decimal"/>
        <w:lvlText w:val="%1.%2.%3.%4.%5.%6.%7.%8"/>
        <w:lvlJc w:val="left"/>
        <w:pPr>
          <w:ind w:left="0" w:firstLine="0"/>
        </w:pPr>
        <w:rPr>
          <w:rFonts w:hint="eastAsia"/>
        </w:rPr>
      </w:lvl>
    </w:lvlOverride>
    <w:lvlOverride w:ilvl="8">
      <w:startOverride w:val="1"/>
      <w:lvl w:ilvl="8" w:tentative="1">
        <w:start w:val="1"/>
        <w:numFmt w:val="decimal"/>
        <w:lvlText w:val="%1.%2.%3.%4.%5.%6.%7.%8.%9"/>
        <w:lvlJc w:val="left"/>
        <w:pPr>
          <w:ind w:left="0" w:firstLine="0"/>
        </w:pPr>
        <w:rPr>
          <w:rFonts w:hint="eastAsia"/>
        </w:rPr>
      </w:lvl>
    </w:lvlOverride>
  </w:num>
  <w:num w:numId="18">
    <w:abstractNumId w:val="10"/>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hideSpellingErrors/>
  <w:documentProtection w:edit="readOnly" w:formatting="1" w:enforcement="1" w:cryptProviderType="rsaFull" w:cryptAlgorithmClass="hash" w:cryptAlgorithmType="typeAny" w:cryptAlgorithmSid="4" w:cryptSpinCount="0" w:hash="eKGhuewfz0BRogton34rn8pOl0w=" w:salt="UzuJ/YifuJcCyqRCwQCqnw=="/>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hNmI1MDFmNzQ3MTEzNjk5ZTEyMDhmOTU5ZTI3NmMifQ=="/>
  </w:docVars>
  <w:rsids>
    <w:rsidRoot w:val="00C36C0A"/>
    <w:rsid w:val="00046F59"/>
    <w:rsid w:val="000619AA"/>
    <w:rsid w:val="000A2D02"/>
    <w:rsid w:val="001A37D3"/>
    <w:rsid w:val="002B48A0"/>
    <w:rsid w:val="00301DE1"/>
    <w:rsid w:val="0032727B"/>
    <w:rsid w:val="00355151"/>
    <w:rsid w:val="00591B44"/>
    <w:rsid w:val="006A70AF"/>
    <w:rsid w:val="00763619"/>
    <w:rsid w:val="007F63D5"/>
    <w:rsid w:val="007F6A90"/>
    <w:rsid w:val="008930ED"/>
    <w:rsid w:val="009073D2"/>
    <w:rsid w:val="009D47D5"/>
    <w:rsid w:val="009D708E"/>
    <w:rsid w:val="00BA101C"/>
    <w:rsid w:val="00BA3803"/>
    <w:rsid w:val="00BB7E28"/>
    <w:rsid w:val="00C0114A"/>
    <w:rsid w:val="00C36C0A"/>
    <w:rsid w:val="00D31FCC"/>
    <w:rsid w:val="00E0111E"/>
    <w:rsid w:val="00EF3F85"/>
    <w:rsid w:val="00F068B4"/>
    <w:rsid w:val="00F240DD"/>
    <w:rsid w:val="017119FF"/>
    <w:rsid w:val="02336D4E"/>
    <w:rsid w:val="027D6080"/>
    <w:rsid w:val="038E243F"/>
    <w:rsid w:val="03E62B7C"/>
    <w:rsid w:val="04234145"/>
    <w:rsid w:val="04AE6368"/>
    <w:rsid w:val="05CD2B80"/>
    <w:rsid w:val="069C5D3B"/>
    <w:rsid w:val="06A319D0"/>
    <w:rsid w:val="07802331"/>
    <w:rsid w:val="07A31495"/>
    <w:rsid w:val="087E7892"/>
    <w:rsid w:val="08BD6B6F"/>
    <w:rsid w:val="095664F7"/>
    <w:rsid w:val="09734562"/>
    <w:rsid w:val="09D802EB"/>
    <w:rsid w:val="0A061A8E"/>
    <w:rsid w:val="0A1D5E7B"/>
    <w:rsid w:val="0C677E60"/>
    <w:rsid w:val="0E846762"/>
    <w:rsid w:val="0EEE3A9C"/>
    <w:rsid w:val="0F2C4730"/>
    <w:rsid w:val="10AA095D"/>
    <w:rsid w:val="12B02F34"/>
    <w:rsid w:val="14031DF8"/>
    <w:rsid w:val="147B4FC6"/>
    <w:rsid w:val="148D1985"/>
    <w:rsid w:val="14D5703A"/>
    <w:rsid w:val="151949FA"/>
    <w:rsid w:val="15C07258"/>
    <w:rsid w:val="15C34AB0"/>
    <w:rsid w:val="15E3589A"/>
    <w:rsid w:val="17343265"/>
    <w:rsid w:val="17DA0797"/>
    <w:rsid w:val="1969134B"/>
    <w:rsid w:val="19B45FD2"/>
    <w:rsid w:val="1A5A3D17"/>
    <w:rsid w:val="1B0A24C2"/>
    <w:rsid w:val="1B50290F"/>
    <w:rsid w:val="1B75735D"/>
    <w:rsid w:val="1BC503F6"/>
    <w:rsid w:val="1C177904"/>
    <w:rsid w:val="1CC63A30"/>
    <w:rsid w:val="1E5C7CD5"/>
    <w:rsid w:val="1F821222"/>
    <w:rsid w:val="1FB83420"/>
    <w:rsid w:val="2026766B"/>
    <w:rsid w:val="20504C5F"/>
    <w:rsid w:val="20534939"/>
    <w:rsid w:val="22BC6EB3"/>
    <w:rsid w:val="22DD18FD"/>
    <w:rsid w:val="23E314C4"/>
    <w:rsid w:val="23EB3871"/>
    <w:rsid w:val="244F40DF"/>
    <w:rsid w:val="250615BB"/>
    <w:rsid w:val="25720B87"/>
    <w:rsid w:val="25DD6361"/>
    <w:rsid w:val="25F47CC6"/>
    <w:rsid w:val="26595C03"/>
    <w:rsid w:val="265A6D6B"/>
    <w:rsid w:val="26C22FC5"/>
    <w:rsid w:val="27573D6E"/>
    <w:rsid w:val="279613DF"/>
    <w:rsid w:val="286D10AF"/>
    <w:rsid w:val="2874680A"/>
    <w:rsid w:val="29647CA2"/>
    <w:rsid w:val="29812060"/>
    <w:rsid w:val="29E50677"/>
    <w:rsid w:val="2A24600D"/>
    <w:rsid w:val="2A5403B6"/>
    <w:rsid w:val="2A955048"/>
    <w:rsid w:val="2B500324"/>
    <w:rsid w:val="2B5975C8"/>
    <w:rsid w:val="2BE51371"/>
    <w:rsid w:val="2CC87124"/>
    <w:rsid w:val="2CEF0534"/>
    <w:rsid w:val="2FBE6F51"/>
    <w:rsid w:val="31600AE5"/>
    <w:rsid w:val="326908DE"/>
    <w:rsid w:val="326A6B85"/>
    <w:rsid w:val="32BD635F"/>
    <w:rsid w:val="334628F8"/>
    <w:rsid w:val="33671628"/>
    <w:rsid w:val="342E2F2E"/>
    <w:rsid w:val="34AF05F9"/>
    <w:rsid w:val="35C07106"/>
    <w:rsid w:val="3614209E"/>
    <w:rsid w:val="36FE3EA5"/>
    <w:rsid w:val="37A006D1"/>
    <w:rsid w:val="386C2BC6"/>
    <w:rsid w:val="38D93320"/>
    <w:rsid w:val="3A003D32"/>
    <w:rsid w:val="3B8373F1"/>
    <w:rsid w:val="3B9F4EB6"/>
    <w:rsid w:val="3BA55BC9"/>
    <w:rsid w:val="3DCD3D56"/>
    <w:rsid w:val="3DCE273D"/>
    <w:rsid w:val="3DDC032C"/>
    <w:rsid w:val="40350762"/>
    <w:rsid w:val="409B3C92"/>
    <w:rsid w:val="40BC4806"/>
    <w:rsid w:val="41E43885"/>
    <w:rsid w:val="425F2EBB"/>
    <w:rsid w:val="427C65F6"/>
    <w:rsid w:val="42A37BD0"/>
    <w:rsid w:val="473B7EC9"/>
    <w:rsid w:val="47CC6C94"/>
    <w:rsid w:val="47EA03B1"/>
    <w:rsid w:val="48150E0A"/>
    <w:rsid w:val="48173C73"/>
    <w:rsid w:val="48495AB9"/>
    <w:rsid w:val="48764C9F"/>
    <w:rsid w:val="493703B2"/>
    <w:rsid w:val="4A782EFF"/>
    <w:rsid w:val="4AFB1AFB"/>
    <w:rsid w:val="4C844148"/>
    <w:rsid w:val="4CD82313"/>
    <w:rsid w:val="4DF95AF9"/>
    <w:rsid w:val="4EC336A7"/>
    <w:rsid w:val="4F1B0EDE"/>
    <w:rsid w:val="50E517A3"/>
    <w:rsid w:val="511A4D24"/>
    <w:rsid w:val="52444891"/>
    <w:rsid w:val="5272504D"/>
    <w:rsid w:val="53047E63"/>
    <w:rsid w:val="535B66BF"/>
    <w:rsid w:val="576B76D9"/>
    <w:rsid w:val="57EC3417"/>
    <w:rsid w:val="5B5E54DD"/>
    <w:rsid w:val="5BB345B1"/>
    <w:rsid w:val="5C092D18"/>
    <w:rsid w:val="5E070A92"/>
    <w:rsid w:val="5EAC6576"/>
    <w:rsid w:val="5FAA6B80"/>
    <w:rsid w:val="605E77F4"/>
    <w:rsid w:val="60EF2383"/>
    <w:rsid w:val="61B43964"/>
    <w:rsid w:val="629B0D56"/>
    <w:rsid w:val="65487194"/>
    <w:rsid w:val="65861014"/>
    <w:rsid w:val="66BA2A66"/>
    <w:rsid w:val="679F068E"/>
    <w:rsid w:val="67BD15B9"/>
    <w:rsid w:val="67E06CCB"/>
    <w:rsid w:val="68D06AFC"/>
    <w:rsid w:val="69F72F1D"/>
    <w:rsid w:val="6D545029"/>
    <w:rsid w:val="6DDD3AD6"/>
    <w:rsid w:val="6FBC7568"/>
    <w:rsid w:val="70795794"/>
    <w:rsid w:val="71592EF2"/>
    <w:rsid w:val="7173502D"/>
    <w:rsid w:val="72E7304A"/>
    <w:rsid w:val="73032120"/>
    <w:rsid w:val="731B1D6B"/>
    <w:rsid w:val="74602D6B"/>
    <w:rsid w:val="7515146B"/>
    <w:rsid w:val="76A423D3"/>
    <w:rsid w:val="78736567"/>
    <w:rsid w:val="790F347E"/>
    <w:rsid w:val="7A04116C"/>
    <w:rsid w:val="7A0B220C"/>
    <w:rsid w:val="7A4802E6"/>
    <w:rsid w:val="7A5A195D"/>
    <w:rsid w:val="7BBD3DE1"/>
    <w:rsid w:val="7C1B23DE"/>
    <w:rsid w:val="7CD86516"/>
    <w:rsid w:val="7CE338D3"/>
    <w:rsid w:val="7DEB3451"/>
    <w:rsid w:val="7F4811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qFormat/>
    <w:uiPriority w:val="0"/>
    <w:pPr>
      <w:keepNext/>
      <w:keepLines/>
      <w:spacing w:line="576" w:lineRule="auto"/>
      <w:outlineLvl w:val="0"/>
    </w:pPr>
    <w:rPr>
      <w:b/>
      <w:bCs/>
      <w:kern w:val="44"/>
      <w:sz w:val="44"/>
      <w:szCs w:val="44"/>
    </w:rPr>
  </w:style>
  <w:style w:type="paragraph" w:styleId="4">
    <w:name w:val="heading 2"/>
    <w:basedOn w:val="5"/>
    <w:next w:val="1"/>
    <w:qFormat/>
    <w:uiPriority w:val="0"/>
    <w:pPr>
      <w:numPr>
        <w:ilvl w:val="1"/>
      </w:numPr>
      <w:outlineLvl w:val="1"/>
    </w:pPr>
    <w:rPr>
      <w:rFonts w:ascii="Arial" w:hAnsi="Arial" w:eastAsia="黑体"/>
      <w:b w:val="0"/>
      <w:bCs w:val="0"/>
    </w:rPr>
  </w:style>
  <w:style w:type="paragraph" w:styleId="5">
    <w:name w:val="heading 3"/>
    <w:basedOn w:val="1"/>
    <w:next w:val="1"/>
    <w:qFormat/>
    <w:uiPriority w:val="0"/>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6">
    <w:name w:val="heading 4"/>
    <w:basedOn w:val="1"/>
    <w:next w:val="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7">
    <w:name w:val="heading 5"/>
    <w:basedOn w:val="1"/>
    <w:next w:val="1"/>
    <w:qFormat/>
    <w:uiPriority w:val="0"/>
    <w:pPr>
      <w:keepNext/>
      <w:keepLines/>
      <w:spacing w:line="372" w:lineRule="auto"/>
      <w:outlineLvl w:val="4"/>
    </w:pPr>
    <w:rPr>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Heading3"/>
    <w:basedOn w:val="1"/>
    <w:next w:val="1"/>
    <w:qFormat/>
    <w:uiPriority w:val="0"/>
    <w:pPr>
      <w:keepNext/>
      <w:keepLines/>
      <w:spacing w:line="480" w:lineRule="exact"/>
      <w:jc w:val="center"/>
      <w:textAlignment w:val="baseline"/>
    </w:pPr>
    <w:rPr>
      <w:rFonts w:ascii="Calibri" w:hAnsi="Calibri" w:eastAsia="楷体_GB2312" w:cs="Times New Roman"/>
      <w:bCs/>
      <w:kern w:val="2"/>
      <w:sz w:val="24"/>
      <w:szCs w:val="32"/>
      <w:lang w:val="en-US" w:eastAsia="zh-CN" w:bidi="ar-SA"/>
    </w:rPr>
  </w:style>
  <w:style w:type="paragraph" w:styleId="8">
    <w:name w:val="Body Text"/>
    <w:basedOn w:val="1"/>
    <w:next w:val="1"/>
    <w:qFormat/>
    <w:uiPriority w:val="0"/>
    <w:rPr>
      <w:rFonts w:eastAsia="宋体"/>
      <w:szCs w:val="24"/>
    </w:rPr>
  </w:style>
  <w:style w:type="paragraph" w:styleId="9">
    <w:name w:val="Body Text Indent"/>
    <w:basedOn w:val="1"/>
    <w:qFormat/>
    <w:uiPriority w:val="0"/>
    <w:pPr>
      <w:spacing w:line="500" w:lineRule="exact"/>
      <w:ind w:left="1588" w:leftChars="832" w:firstLine="433" w:firstLineChars="196"/>
    </w:pPr>
    <w:rPr>
      <w:sz w:val="24"/>
    </w:rPr>
  </w:style>
  <w:style w:type="paragraph" w:styleId="10">
    <w:name w:val="toc 3"/>
    <w:basedOn w:val="1"/>
    <w:next w:val="1"/>
    <w:qFormat/>
    <w:uiPriority w:val="39"/>
    <w:pPr>
      <w:ind w:left="840" w:leftChars="400"/>
    </w:pPr>
  </w:style>
  <w:style w:type="paragraph" w:styleId="11">
    <w:name w:val="Plain Text"/>
    <w:basedOn w:val="1"/>
    <w:qFormat/>
    <w:uiPriority w:val="0"/>
    <w:rPr>
      <w:rFonts w:ascii="宋体" w:hAnsi="Courier New"/>
      <w:szCs w:val="21"/>
    </w:rPr>
  </w:style>
  <w:style w:type="paragraph" w:styleId="12">
    <w:name w:val="Balloon Text"/>
    <w:basedOn w:val="1"/>
    <w:link w:val="155"/>
    <w:qFormat/>
    <w:uiPriority w:val="0"/>
    <w:rPr>
      <w:sz w:val="18"/>
      <w:szCs w:val="1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8302"/>
      </w:tabs>
    </w:pPr>
  </w:style>
  <w:style w:type="paragraph" w:styleId="16">
    <w:name w:val="List"/>
    <w:basedOn w:val="1"/>
    <w:semiHidden/>
    <w:qFormat/>
    <w:uiPriority w:val="0"/>
    <w:pPr>
      <w:ind w:left="200" w:hanging="200" w:hangingChars="200"/>
    </w:pPr>
  </w:style>
  <w:style w:type="paragraph" w:styleId="17">
    <w:name w:val="toc 2"/>
    <w:basedOn w:val="1"/>
    <w:next w:val="1"/>
    <w:qFormat/>
    <w:uiPriority w:val="39"/>
    <w:pPr>
      <w:ind w:left="420" w:leftChars="200"/>
    </w:pPr>
  </w:style>
  <w:style w:type="paragraph" w:styleId="18">
    <w:name w:val="Normal (Web)"/>
    <w:basedOn w:val="1"/>
    <w:qFormat/>
    <w:uiPriority w:val="99"/>
    <w:rPr>
      <w:sz w:val="24"/>
    </w:rPr>
  </w:style>
  <w:style w:type="paragraph" w:styleId="19">
    <w:name w:val="Body Text First Indent"/>
    <w:basedOn w:val="20"/>
    <w:unhideWhenUsed/>
    <w:qFormat/>
    <w:uiPriority w:val="99"/>
    <w:pPr>
      <w:ind w:firstLine="420" w:firstLineChars="100"/>
    </w:pPr>
    <w:rPr>
      <w:szCs w:val="22"/>
    </w:rPr>
  </w:style>
  <w:style w:type="paragraph" w:customStyle="1" w:styleId="20">
    <w:name w:val="正文文本_0"/>
    <w:basedOn w:val="21"/>
    <w:qFormat/>
    <w:uiPriority w:val="0"/>
    <w:pPr>
      <w:spacing w:after="120"/>
    </w:pPr>
    <w:rPr>
      <w:rFonts w:ascii="Calibri" w:hAnsi="Calibri"/>
      <w:kern w:val="0"/>
      <w:sz w:val="20"/>
    </w:rPr>
  </w:style>
  <w:style w:type="paragraph" w:customStyle="1" w:styleId="21">
    <w:name w:val="正文_2"/>
    <w:basedOn w:val="22"/>
    <w:qFormat/>
    <w:uiPriority w:val="0"/>
  </w:style>
  <w:style w:type="paragraph" w:customStyle="1" w:styleId="22">
    <w:name w:val="正文_1"/>
    <w:next w:val="19"/>
    <w:qFormat/>
    <w:uiPriority w:val="0"/>
    <w:pPr>
      <w:widowControl w:val="0"/>
      <w:jc w:val="both"/>
    </w:pPr>
    <w:rPr>
      <w:rFonts w:ascii="Times New Roman" w:hAnsi="Times New Roman" w:eastAsia="宋体" w:cs="Times New Roman"/>
      <w:kern w:val="2"/>
      <w:sz w:val="21"/>
      <w:szCs w:val="24"/>
      <w:lang w:val="en-US" w:eastAsia="zh-CN" w:bidi="ar-SA"/>
    </w:r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0"/>
    <w:rPr>
      <w:b/>
      <w:bCs/>
    </w:rPr>
  </w:style>
  <w:style w:type="paragraph" w:customStyle="1" w:styleId="27">
    <w:name w:val="正文_1_0"/>
    <w:next w:val="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Body Text First Indent"/>
    <w:basedOn w:val="29"/>
    <w:unhideWhenUsed/>
    <w:qFormat/>
    <w:uiPriority w:val="99"/>
    <w:pPr>
      <w:ind w:firstLine="420" w:firstLineChars="100"/>
    </w:pPr>
    <w:rPr>
      <w:rFonts w:ascii="Calibri" w:hAnsi="Calibri"/>
      <w:szCs w:val="22"/>
    </w:rPr>
  </w:style>
  <w:style w:type="paragraph" w:customStyle="1" w:styleId="29">
    <w:name w:val="正文文本_0_0"/>
    <w:basedOn w:val="30"/>
    <w:qFormat/>
    <w:uiPriority w:val="0"/>
    <w:pPr>
      <w:spacing w:after="120"/>
    </w:pPr>
  </w:style>
  <w:style w:type="paragraph" w:customStyle="1" w:styleId="30">
    <w:name w:val="正文_12_0"/>
    <w:basedOn w:val="31"/>
    <w:qFormat/>
    <w:uiPriority w:val="0"/>
    <w:rPr>
      <w:rFonts w:cs="Calibri"/>
      <w:szCs w:val="21"/>
    </w:rPr>
  </w:style>
  <w:style w:type="paragraph" w:customStyle="1" w:styleId="31">
    <w:name w:val="正文_1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正文首行缩进1"/>
    <w:basedOn w:val="29"/>
    <w:unhideWhenUsed/>
    <w:qFormat/>
    <w:uiPriority w:val="99"/>
    <w:pPr>
      <w:ind w:firstLine="420" w:firstLineChars="100"/>
    </w:pPr>
    <w:rPr>
      <w:szCs w:val="22"/>
    </w:rPr>
  </w:style>
  <w:style w:type="paragraph" w:customStyle="1" w:styleId="33">
    <w:name w:val="正文首行缩进11"/>
    <w:basedOn w:val="29"/>
    <w:unhideWhenUsed/>
    <w:qFormat/>
    <w:uiPriority w:val="99"/>
    <w:pPr>
      <w:ind w:firstLine="420" w:firstLineChars="100"/>
    </w:pPr>
    <w:rPr>
      <w:szCs w:val="22"/>
    </w:rPr>
  </w:style>
  <w:style w:type="paragraph" w:customStyle="1" w:styleId="34">
    <w:name w:val="正文_0"/>
    <w:basedOn w:val="22"/>
    <w:qFormat/>
    <w:uiPriority w:val="0"/>
    <w:rPr>
      <w:rFonts w:ascii="Calibri" w:hAnsi="Calibri"/>
      <w:szCs w:val="22"/>
    </w:rPr>
  </w:style>
  <w:style w:type="paragraph" w:customStyle="1" w:styleId="35">
    <w:name w:val="标题 2_1"/>
    <w:basedOn w:val="36"/>
    <w:next w:val="21"/>
    <w:qFormat/>
    <w:uiPriority w:val="0"/>
    <w:pPr>
      <w:outlineLvl w:val="1"/>
    </w:pPr>
  </w:style>
  <w:style w:type="paragraph" w:customStyle="1" w:styleId="36">
    <w:name w:val="标题 3_1"/>
    <w:basedOn w:val="37"/>
    <w:next w:val="21"/>
    <w:qFormat/>
    <w:uiPriority w:val="0"/>
    <w:pPr>
      <w:numPr>
        <w:ilvl w:val="2"/>
        <w:numId w:val="2"/>
      </w:numPr>
      <w:adjustRightInd w:val="0"/>
      <w:spacing w:line="416" w:lineRule="atLeast"/>
      <w:jc w:val="left"/>
      <w:textAlignment w:val="baseline"/>
      <w:outlineLvl w:val="2"/>
    </w:pPr>
    <w:rPr>
      <w:rFonts w:ascii="Calibri" w:hAnsi="Calibri"/>
      <w:kern w:val="0"/>
    </w:rPr>
  </w:style>
  <w:style w:type="paragraph" w:customStyle="1" w:styleId="37">
    <w:name w:val="标题 2_2"/>
    <w:basedOn w:val="38"/>
    <w:next w:val="38"/>
    <w:unhideWhenUsed/>
    <w:qFormat/>
    <w:locked/>
    <w:uiPriority w:val="9"/>
    <w:pPr>
      <w:keepNext/>
      <w:keepLines/>
      <w:spacing w:before="260" w:after="260" w:line="416" w:lineRule="auto"/>
      <w:outlineLvl w:val="1"/>
    </w:pPr>
    <w:rPr>
      <w:rFonts w:ascii="Cambria" w:hAnsi="Cambria"/>
      <w:b/>
      <w:bCs/>
      <w:sz w:val="32"/>
      <w:szCs w:val="32"/>
    </w:rPr>
  </w:style>
  <w:style w:type="paragraph" w:customStyle="1" w:styleId="38">
    <w:name w:val="正文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正文_3"/>
    <w:next w:val="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纯文本_0"/>
    <w:basedOn w:val="41"/>
    <w:qFormat/>
    <w:uiPriority w:val="0"/>
    <w:rPr>
      <w:rFonts w:ascii="宋体" w:hAnsi="Courier New" w:eastAsia="等线"/>
      <w:szCs w:val="21"/>
    </w:rPr>
  </w:style>
  <w:style w:type="paragraph" w:customStyle="1" w:styleId="41">
    <w:name w:val="正文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Normal_0"/>
    <w:qFormat/>
    <w:uiPriority w:val="0"/>
    <w:pPr>
      <w:widowControl w:val="0"/>
      <w:jc w:val="both"/>
    </w:pPr>
    <w:rPr>
      <w:rFonts w:ascii="Times New Roman" w:hAnsi="Times New Roman" w:eastAsia="Times New Roman" w:cs="Times New Roman"/>
      <w:lang w:val="en-US" w:eastAsia="zh-CN" w:bidi="ar-SA"/>
    </w:rPr>
  </w:style>
  <w:style w:type="paragraph" w:customStyle="1" w:styleId="43">
    <w:name w:val="Normal_0_0"/>
    <w:next w:val="44"/>
    <w:qFormat/>
    <w:uiPriority w:val="0"/>
    <w:rPr>
      <w:rFonts w:ascii="黑体" w:hAnsi="黑体" w:eastAsia="黑体" w:cs="Times New Roman"/>
      <w:b/>
      <w:sz w:val="32"/>
      <w:szCs w:val="24"/>
      <w:lang w:val="en-US" w:eastAsia="zh-CN" w:bidi="ar-SA"/>
    </w:rPr>
  </w:style>
  <w:style w:type="paragraph" w:customStyle="1" w:styleId="44">
    <w:name w:val="Body Text_0"/>
    <w:basedOn w:val="43"/>
    <w:next w:val="43"/>
    <w:qFormat/>
    <w:uiPriority w:val="0"/>
    <w:pPr>
      <w:spacing w:after="120"/>
    </w:pPr>
    <w:rPr>
      <w:rFonts w:eastAsia="Times New Roman"/>
    </w:rPr>
  </w:style>
  <w:style w:type="paragraph" w:customStyle="1" w:styleId="45">
    <w:name w:val="正文_1_0_0"/>
    <w:basedOn w:val="46"/>
    <w:qFormat/>
    <w:uiPriority w:val="0"/>
    <w:rPr>
      <w:szCs w:val="22"/>
    </w:rPr>
  </w:style>
  <w:style w:type="paragraph" w:customStyle="1" w:styleId="46">
    <w:name w:val="正文_2_1_0"/>
    <w:basedOn w:val="47"/>
    <w:qFormat/>
    <w:uiPriority w:val="0"/>
    <w:rPr>
      <w:rFonts w:cs="Calibri"/>
      <w:szCs w:val="21"/>
    </w:rPr>
  </w:style>
  <w:style w:type="paragraph" w:customStyle="1" w:styleId="47">
    <w:name w:val="正文_2_0"/>
    <w:basedOn w:val="27"/>
    <w:qFormat/>
    <w:uiPriority w:val="0"/>
    <w:rPr>
      <w:rFonts w:ascii="Calibri" w:hAnsi="Calibri"/>
      <w:szCs w:val="22"/>
    </w:rPr>
  </w:style>
  <w:style w:type="paragraph" w:customStyle="1" w:styleId="48">
    <w:name w:val="正文_1_0_1"/>
    <w:next w:val="4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Body Text First Indent_0"/>
    <w:basedOn w:val="50"/>
    <w:unhideWhenUsed/>
    <w:qFormat/>
    <w:uiPriority w:val="99"/>
    <w:pPr>
      <w:ind w:firstLine="420" w:firstLineChars="100"/>
    </w:pPr>
    <w:rPr>
      <w:szCs w:val="22"/>
    </w:rPr>
  </w:style>
  <w:style w:type="paragraph" w:customStyle="1" w:styleId="50">
    <w:name w:val="正文文本_0_0_0"/>
    <w:basedOn w:val="51"/>
    <w:qFormat/>
    <w:uiPriority w:val="0"/>
    <w:pPr>
      <w:spacing w:after="120"/>
    </w:pPr>
  </w:style>
  <w:style w:type="paragraph" w:customStyle="1" w:styleId="51">
    <w:name w:val="正文_12_0_0"/>
    <w:basedOn w:val="52"/>
    <w:qFormat/>
    <w:uiPriority w:val="0"/>
    <w:rPr>
      <w:rFonts w:cs="Calibri"/>
      <w:szCs w:val="21"/>
    </w:rPr>
  </w:style>
  <w:style w:type="paragraph" w:customStyle="1" w:styleId="52">
    <w:name w:val="正文_13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
    <w:name w:val="正文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
    <w:name w:val="正文_1_1"/>
    <w:next w:val="5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正文首行缩进_0"/>
    <w:basedOn w:val="56"/>
    <w:unhideWhenUsed/>
    <w:qFormat/>
    <w:uiPriority w:val="99"/>
    <w:pPr>
      <w:ind w:firstLine="420" w:firstLineChars="100"/>
    </w:pPr>
    <w:rPr>
      <w:szCs w:val="22"/>
    </w:rPr>
  </w:style>
  <w:style w:type="paragraph" w:customStyle="1" w:styleId="56">
    <w:name w:val="正文文本_0_1"/>
    <w:basedOn w:val="57"/>
    <w:qFormat/>
    <w:uiPriority w:val="0"/>
    <w:pPr>
      <w:spacing w:after="120"/>
    </w:pPr>
    <w:rPr>
      <w:rFonts w:ascii="Calibri" w:hAnsi="Calibri"/>
      <w:kern w:val="0"/>
      <w:sz w:val="20"/>
    </w:rPr>
  </w:style>
  <w:style w:type="paragraph" w:customStyle="1" w:styleId="57">
    <w:name w:val="正文_5_0"/>
    <w:next w:val="5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正文首行缩进_0_0"/>
    <w:basedOn w:val="59"/>
    <w:unhideWhenUsed/>
    <w:qFormat/>
    <w:uiPriority w:val="99"/>
    <w:pPr>
      <w:ind w:firstLine="420" w:firstLineChars="100"/>
    </w:pPr>
    <w:rPr>
      <w:szCs w:val="22"/>
    </w:rPr>
  </w:style>
  <w:style w:type="paragraph" w:customStyle="1" w:styleId="59">
    <w:name w:val="正文文本_0_1_0"/>
    <w:basedOn w:val="60"/>
    <w:qFormat/>
    <w:uiPriority w:val="0"/>
    <w:pPr>
      <w:spacing w:after="120"/>
    </w:pPr>
    <w:rPr>
      <w:rFonts w:ascii="Calibri" w:hAnsi="Calibri"/>
      <w:szCs w:val="24"/>
    </w:rPr>
  </w:style>
  <w:style w:type="paragraph" w:customStyle="1" w:styleId="60">
    <w:name w:val="正文_1_1_0"/>
    <w:next w:val="5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1">
    <w:name w:val="正文_1_0_2"/>
    <w:next w:val="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Body Text First Indent_1"/>
    <w:basedOn w:val="63"/>
    <w:unhideWhenUsed/>
    <w:qFormat/>
    <w:uiPriority w:val="99"/>
    <w:pPr>
      <w:ind w:firstLine="420" w:firstLineChars="100"/>
    </w:pPr>
    <w:rPr>
      <w:szCs w:val="22"/>
    </w:rPr>
  </w:style>
  <w:style w:type="paragraph" w:customStyle="1" w:styleId="63">
    <w:name w:val="正文文本_0_0_1"/>
    <w:basedOn w:val="64"/>
    <w:qFormat/>
    <w:uiPriority w:val="0"/>
    <w:pPr>
      <w:spacing w:after="120"/>
    </w:pPr>
  </w:style>
  <w:style w:type="paragraph" w:customStyle="1" w:styleId="64">
    <w:name w:val="正文_12_0_1"/>
    <w:basedOn w:val="65"/>
    <w:qFormat/>
    <w:uiPriority w:val="0"/>
    <w:rPr>
      <w:rFonts w:cs="Calibri"/>
      <w:szCs w:val="21"/>
    </w:rPr>
  </w:style>
  <w:style w:type="paragraph" w:customStyle="1" w:styleId="65">
    <w:name w:val="正文_13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66">
    <w:name w:val="正文_2_0_0"/>
    <w:basedOn w:val="67"/>
    <w:next w:val="68"/>
    <w:qFormat/>
    <w:uiPriority w:val="0"/>
    <w:rPr>
      <w:rFonts w:ascii="Calibri" w:hAnsi="Calibri"/>
    </w:rPr>
  </w:style>
  <w:style w:type="paragraph" w:customStyle="1" w:styleId="67">
    <w:name w:val="正文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8">
    <w:name w:val="正文文本_1"/>
    <w:basedOn w:val="66"/>
    <w:qFormat/>
    <w:uiPriority w:val="1"/>
    <w:pPr>
      <w:ind w:left="220"/>
    </w:pPr>
    <w:rPr>
      <w:sz w:val="32"/>
      <w:szCs w:val="32"/>
    </w:rPr>
  </w:style>
  <w:style w:type="paragraph" w:customStyle="1" w:styleId="69">
    <w:name w:val="正文_4"/>
    <w:basedOn w:val="67"/>
    <w:next w:val="55"/>
    <w:qFormat/>
    <w:uiPriority w:val="0"/>
    <w:rPr>
      <w:szCs w:val="24"/>
    </w:rPr>
  </w:style>
  <w:style w:type="paragraph" w:customStyle="1" w:styleId="70">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p0_0"/>
    <w:basedOn w:val="72"/>
    <w:qFormat/>
    <w:uiPriority w:val="0"/>
    <w:pPr>
      <w:widowControl/>
      <w:spacing w:before="100" w:beforeAutospacing="1" w:after="100" w:afterAutospacing="1"/>
      <w:jc w:val="left"/>
    </w:pPr>
    <w:rPr>
      <w:rFonts w:ascii="宋体" w:hAnsi="宋体" w:cs="宋体"/>
      <w:kern w:val="0"/>
      <w:sz w:val="24"/>
    </w:rPr>
  </w:style>
  <w:style w:type="paragraph" w:customStyle="1" w:styleId="72">
    <w:name w:val="正文_8"/>
    <w:basedOn w:val="69"/>
    <w:next w:val="73"/>
    <w:qFormat/>
    <w:uiPriority w:val="0"/>
  </w:style>
  <w:style w:type="paragraph" w:customStyle="1" w:styleId="73">
    <w:name w:val="正文首行缩进_1"/>
    <w:basedOn w:val="74"/>
    <w:unhideWhenUsed/>
    <w:qFormat/>
    <w:uiPriority w:val="99"/>
    <w:pPr>
      <w:ind w:firstLine="420" w:firstLineChars="100"/>
    </w:pPr>
    <w:rPr>
      <w:szCs w:val="22"/>
    </w:rPr>
  </w:style>
  <w:style w:type="paragraph" w:customStyle="1" w:styleId="74">
    <w:name w:val="正文文本_3"/>
    <w:basedOn w:val="75"/>
    <w:qFormat/>
    <w:uiPriority w:val="0"/>
    <w:pPr>
      <w:spacing w:after="120"/>
    </w:pPr>
    <w:rPr>
      <w:kern w:val="0"/>
      <w:sz w:val="20"/>
    </w:rPr>
  </w:style>
  <w:style w:type="paragraph" w:customStyle="1" w:styleId="75">
    <w:name w:val="正文_7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标题 4_1"/>
    <w:basedOn w:val="70"/>
    <w:next w:val="70"/>
    <w:qFormat/>
    <w:uiPriority w:val="0"/>
    <w:pPr>
      <w:keepNext/>
      <w:keepLines/>
      <w:spacing w:before="120" w:after="120" w:line="360" w:lineRule="auto"/>
      <w:ind w:left="851" w:hanging="851"/>
      <w:outlineLvl w:val="3"/>
    </w:pPr>
    <w:rPr>
      <w:b/>
      <w:bCs/>
      <w:kern w:val="0"/>
      <w:sz w:val="24"/>
      <w:szCs w:val="28"/>
    </w:rPr>
  </w:style>
  <w:style w:type="paragraph" w:customStyle="1" w:styleId="77">
    <w:name w:val="p0"/>
    <w:basedOn w:val="78"/>
    <w:qFormat/>
    <w:uiPriority w:val="0"/>
    <w:pPr>
      <w:widowControl/>
      <w:spacing w:before="100" w:beforeAutospacing="1" w:after="100" w:afterAutospacing="1"/>
      <w:jc w:val="left"/>
    </w:pPr>
    <w:rPr>
      <w:rFonts w:ascii="宋体" w:hAnsi="宋体" w:cs="宋体"/>
      <w:kern w:val="0"/>
      <w:sz w:val="24"/>
    </w:rPr>
  </w:style>
  <w:style w:type="paragraph" w:customStyle="1" w:styleId="78">
    <w:name w:val="正文_1_2"/>
    <w:next w:val="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正文文本_0_2"/>
    <w:basedOn w:val="78"/>
    <w:qFormat/>
    <w:uiPriority w:val="0"/>
    <w:pPr>
      <w:spacing w:after="120"/>
    </w:pPr>
    <w:rPr>
      <w:rFonts w:ascii="Calibri" w:hAnsi="Calibri"/>
      <w:kern w:val="0"/>
      <w:sz w:val="20"/>
    </w:rPr>
  </w:style>
  <w:style w:type="paragraph" w:customStyle="1" w:styleId="80">
    <w:name w:val="正文_2_1"/>
    <w:basedOn w:val="54"/>
    <w:qFormat/>
    <w:uiPriority w:val="0"/>
  </w:style>
  <w:style w:type="paragraph" w:customStyle="1" w:styleId="81">
    <w:name w:val="Normal_21"/>
    <w:qFormat/>
    <w:uiPriority w:val="0"/>
    <w:rPr>
      <w:rFonts w:ascii="Times New Roman" w:hAnsi="Times New Roman" w:eastAsia="Times New Roman" w:cs="Times New Roman"/>
      <w:sz w:val="24"/>
      <w:szCs w:val="24"/>
      <w:lang w:val="en-US" w:eastAsia="zh-CN" w:bidi="ar-SA"/>
    </w:rPr>
  </w:style>
  <w:style w:type="paragraph" w:customStyle="1" w:styleId="82">
    <w:name w:val="Normal_1"/>
    <w:next w:val="83"/>
    <w:qFormat/>
    <w:uiPriority w:val="0"/>
    <w:rPr>
      <w:rFonts w:ascii="黑体" w:hAnsi="黑体" w:eastAsia="黑体" w:cs="Times New Roman"/>
      <w:b/>
      <w:sz w:val="32"/>
      <w:szCs w:val="24"/>
      <w:lang w:val="en-US" w:eastAsia="zh-CN" w:bidi="ar-SA"/>
    </w:rPr>
  </w:style>
  <w:style w:type="paragraph" w:customStyle="1" w:styleId="83">
    <w:name w:val="Body Text_1"/>
    <w:basedOn w:val="82"/>
    <w:next w:val="82"/>
    <w:qFormat/>
    <w:uiPriority w:val="0"/>
    <w:pPr>
      <w:spacing w:after="120"/>
    </w:pPr>
    <w:rPr>
      <w:rFonts w:eastAsia="Times New Roman"/>
    </w:rPr>
  </w:style>
  <w:style w:type="paragraph" w:customStyle="1" w:styleId="84">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正文文本缩进_0"/>
    <w:basedOn w:val="84"/>
    <w:qFormat/>
    <w:uiPriority w:val="0"/>
    <w:pPr>
      <w:spacing w:line="500" w:lineRule="exact"/>
      <w:ind w:left="1588" w:leftChars="832" w:firstLine="433" w:firstLineChars="196"/>
    </w:pPr>
    <w:rPr>
      <w:rFonts w:ascii="Calibri" w:hAnsi="Calibri"/>
      <w:sz w:val="24"/>
    </w:rPr>
  </w:style>
  <w:style w:type="paragraph" w:customStyle="1" w:styleId="86">
    <w:name w:val="Normal_2"/>
    <w:next w:val="87"/>
    <w:qFormat/>
    <w:uiPriority w:val="0"/>
    <w:rPr>
      <w:rFonts w:ascii="黑体" w:hAnsi="黑体" w:eastAsia="黑体" w:cs="Times New Roman"/>
      <w:b/>
      <w:sz w:val="32"/>
      <w:szCs w:val="24"/>
      <w:lang w:val="en-US" w:eastAsia="zh-CN" w:bidi="ar-SA"/>
    </w:rPr>
  </w:style>
  <w:style w:type="paragraph" w:customStyle="1" w:styleId="87">
    <w:name w:val="Body Text_2"/>
    <w:basedOn w:val="86"/>
    <w:next w:val="88"/>
    <w:qFormat/>
    <w:uiPriority w:val="0"/>
    <w:pPr>
      <w:spacing w:after="120"/>
    </w:pPr>
    <w:rPr>
      <w:rFonts w:eastAsia="Times New Roman"/>
    </w:rPr>
  </w:style>
  <w:style w:type="paragraph" w:customStyle="1" w:styleId="88">
    <w:name w:val="Normal_2_1"/>
    <w:next w:val="87"/>
    <w:qFormat/>
    <w:uiPriority w:val="0"/>
    <w:rPr>
      <w:rFonts w:ascii="宋体" w:hAnsi="宋体" w:eastAsia="宋体" w:cs="Times New Roman"/>
      <w:sz w:val="24"/>
      <w:szCs w:val="24"/>
      <w:lang w:val="en-US" w:eastAsia="zh-CN" w:bidi="ar-SA"/>
    </w:rPr>
  </w:style>
  <w:style w:type="paragraph" w:customStyle="1" w:styleId="89">
    <w:name w:val="Normal_3"/>
    <w:qFormat/>
    <w:uiPriority w:val="0"/>
    <w:rPr>
      <w:rFonts w:ascii="黑体" w:hAnsi="黑体" w:eastAsia="黑体" w:cs="Times New Roman"/>
      <w:b/>
      <w:sz w:val="32"/>
      <w:szCs w:val="24"/>
      <w:lang w:val="en-US" w:eastAsia="zh-CN" w:bidi="ar-SA"/>
    </w:rPr>
  </w:style>
  <w:style w:type="paragraph" w:customStyle="1" w:styleId="90">
    <w:name w:val="正文_0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91">
    <w:name w:val="Normal_4"/>
    <w:next w:val="92"/>
    <w:qFormat/>
    <w:uiPriority w:val="0"/>
    <w:rPr>
      <w:rFonts w:ascii="黑体" w:hAnsi="黑体" w:eastAsia="黑体" w:cs="Times New Roman"/>
      <w:b/>
      <w:sz w:val="32"/>
      <w:szCs w:val="24"/>
      <w:lang w:val="en-US" w:eastAsia="zh-CN" w:bidi="ar-SA"/>
    </w:rPr>
  </w:style>
  <w:style w:type="paragraph" w:customStyle="1" w:styleId="92">
    <w:name w:val="Body Text First Indent 2_2"/>
    <w:basedOn w:val="93"/>
    <w:qFormat/>
    <w:uiPriority w:val="99"/>
    <w:pPr>
      <w:ind w:firstLine="420" w:firstLineChars="200"/>
    </w:pPr>
  </w:style>
  <w:style w:type="paragraph" w:customStyle="1" w:styleId="93">
    <w:name w:val="Body Text Indent_2"/>
    <w:basedOn w:val="91"/>
    <w:next w:val="94"/>
    <w:qFormat/>
    <w:uiPriority w:val="0"/>
    <w:pPr>
      <w:spacing w:after="120"/>
      <w:ind w:left="420" w:leftChars="200"/>
    </w:pPr>
    <w:rPr>
      <w:rFonts w:ascii="Times New Roman" w:hAnsi="Times New Roman" w:eastAsia="宋体"/>
    </w:rPr>
  </w:style>
  <w:style w:type="paragraph" w:customStyle="1" w:styleId="94">
    <w:name w:val="Normal (Web)_2"/>
    <w:basedOn w:val="95"/>
    <w:next w:val="91"/>
    <w:qFormat/>
    <w:uiPriority w:val="0"/>
    <w:pPr>
      <w:widowControl/>
      <w:spacing w:before="100" w:beforeAutospacing="1" w:after="100" w:afterAutospacing="1"/>
      <w:jc w:val="left"/>
    </w:pPr>
    <w:rPr>
      <w:rFonts w:ascii="宋体" w:hAnsi="宋体" w:cs="宋体"/>
      <w:kern w:val="0"/>
      <w:sz w:val="24"/>
    </w:rPr>
  </w:style>
  <w:style w:type="paragraph" w:customStyle="1" w:styleId="95">
    <w:name w:val="Normal_3_2"/>
    <w:next w:val="96"/>
    <w:qFormat/>
    <w:uiPriority w:val="0"/>
    <w:pPr>
      <w:widowControl w:val="0"/>
      <w:jc w:val="both"/>
    </w:pPr>
    <w:rPr>
      <w:rFonts w:ascii="Calibri" w:hAnsi="Calibri" w:eastAsia="Times New Roman" w:cs="Times New Roman"/>
      <w:kern w:val="2"/>
      <w:sz w:val="21"/>
      <w:szCs w:val="22"/>
      <w:lang w:val="en-US" w:eastAsia="zh-CN" w:bidi="ar-SA"/>
    </w:rPr>
  </w:style>
  <w:style w:type="paragraph" w:customStyle="1" w:styleId="96">
    <w:name w:val="Body Text_3_2"/>
    <w:basedOn w:val="95"/>
    <w:next w:val="95"/>
    <w:qFormat/>
    <w:uiPriority w:val="0"/>
    <w:pPr>
      <w:spacing w:after="120"/>
    </w:pPr>
    <w:rPr>
      <w:szCs w:val="24"/>
    </w:rPr>
  </w:style>
  <w:style w:type="paragraph" w:customStyle="1" w:styleId="97">
    <w:name w:val="正文_1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标题 3_0_0"/>
    <w:basedOn w:val="99"/>
    <w:next w:val="99"/>
    <w:qFormat/>
    <w:uiPriority w:val="0"/>
    <w:pPr>
      <w:autoSpaceDE w:val="0"/>
      <w:autoSpaceDN w:val="0"/>
      <w:adjustRightInd w:val="0"/>
      <w:spacing w:line="500" w:lineRule="exact"/>
      <w:jc w:val="center"/>
      <w:outlineLvl w:val="2"/>
    </w:pPr>
    <w:rPr>
      <w:rFonts w:ascii="宋体" w:hAnsi="宋体"/>
      <w:b/>
      <w:szCs w:val="28"/>
    </w:rPr>
  </w:style>
  <w:style w:type="paragraph" w:customStyle="1" w:styleId="99">
    <w:name w:val="正文_0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100">
    <w:name w:val="Normal_5"/>
    <w:qFormat/>
    <w:uiPriority w:val="0"/>
    <w:rPr>
      <w:rFonts w:ascii="黑体" w:hAnsi="黑体" w:eastAsia="黑体" w:cs="Times New Roman"/>
      <w:b/>
      <w:sz w:val="32"/>
      <w:szCs w:val="24"/>
      <w:lang w:val="en-US" w:eastAsia="zh-CN" w:bidi="ar-SA"/>
    </w:rPr>
  </w:style>
  <w:style w:type="paragraph" w:customStyle="1" w:styleId="101">
    <w:name w:val="正文_2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2">
    <w:name w:val="Normal_6"/>
    <w:qFormat/>
    <w:uiPriority w:val="0"/>
    <w:rPr>
      <w:rFonts w:ascii="黑体" w:hAnsi="黑体" w:eastAsia="黑体" w:cs="Times New Roman"/>
      <w:b/>
      <w:sz w:val="32"/>
      <w:szCs w:val="24"/>
      <w:lang w:val="en-US" w:eastAsia="zh-CN" w:bidi="ar-SA"/>
    </w:rPr>
  </w:style>
  <w:style w:type="paragraph" w:customStyle="1" w:styleId="103">
    <w:name w:val="标题 1_1"/>
    <w:basedOn w:val="104"/>
    <w:next w:val="104"/>
    <w:qFormat/>
    <w:uiPriority w:val="9"/>
    <w:pPr>
      <w:spacing w:before="38"/>
      <w:ind w:left="1844"/>
      <w:outlineLvl w:val="0"/>
    </w:pPr>
    <w:rPr>
      <w:rFonts w:ascii="宋体" w:hAnsi="宋体" w:eastAsia="宋体" w:cs="宋体"/>
      <w:b/>
      <w:bCs/>
      <w:sz w:val="36"/>
      <w:szCs w:val="36"/>
    </w:rPr>
  </w:style>
  <w:style w:type="paragraph" w:customStyle="1" w:styleId="104">
    <w:name w:val="正文_3_0"/>
    <w:qFormat/>
    <w:uiPriority w:val="0"/>
    <w:pPr>
      <w:widowControl w:val="0"/>
      <w:autoSpaceDE w:val="0"/>
      <w:autoSpaceDN w:val="0"/>
    </w:pPr>
    <w:rPr>
      <w:rFonts w:ascii="仿宋" w:hAnsi="仿宋" w:eastAsia="仿宋" w:cs="仿宋"/>
      <w:sz w:val="22"/>
      <w:szCs w:val="22"/>
      <w:lang w:val="en-US" w:eastAsia="en-US" w:bidi="ar-SA"/>
    </w:rPr>
  </w:style>
  <w:style w:type="paragraph" w:customStyle="1" w:styleId="105">
    <w:name w:val="正文文本_0_0_3"/>
    <w:basedOn w:val="106"/>
    <w:qFormat/>
    <w:uiPriority w:val="0"/>
    <w:pPr>
      <w:spacing w:after="120"/>
    </w:pPr>
  </w:style>
  <w:style w:type="paragraph" w:customStyle="1" w:styleId="106">
    <w:name w:val="正文_12_0_3"/>
    <w:basedOn w:val="107"/>
    <w:qFormat/>
    <w:uiPriority w:val="0"/>
    <w:rPr>
      <w:rFonts w:cs="Calibri"/>
      <w:szCs w:val="21"/>
    </w:rPr>
  </w:style>
  <w:style w:type="paragraph" w:customStyle="1" w:styleId="107">
    <w:name w:val="正文_13_0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8">
    <w:name w:val="正文_3_0_0"/>
    <w:basedOn w:val="109"/>
    <w:qFormat/>
    <w:uiPriority w:val="0"/>
  </w:style>
  <w:style w:type="paragraph" w:customStyle="1" w:styleId="109">
    <w:name w:val="正文_4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
    <w:name w:val="正文_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2">
    <w:name w:val="正文文本缩进_1_1"/>
    <w:basedOn w:val="110"/>
    <w:qFormat/>
    <w:uiPriority w:val="0"/>
    <w:pPr>
      <w:spacing w:line="500" w:lineRule="exact"/>
      <w:ind w:left="1588" w:leftChars="832" w:firstLine="433" w:firstLineChars="196"/>
    </w:pPr>
    <w:rPr>
      <w:rFonts w:ascii="Calibri" w:hAnsi="Calibri"/>
      <w:kern w:val="0"/>
      <w:sz w:val="24"/>
    </w:rPr>
  </w:style>
  <w:style w:type="paragraph" w:customStyle="1" w:styleId="113">
    <w:name w:val="Normal_7"/>
    <w:qFormat/>
    <w:uiPriority w:val="0"/>
    <w:rPr>
      <w:rFonts w:ascii="黑体" w:hAnsi="黑体" w:eastAsia="黑体" w:cs="Times New Roman"/>
      <w:b/>
      <w:sz w:val="32"/>
      <w:szCs w:val="24"/>
      <w:lang w:val="en-US" w:eastAsia="zh-CN" w:bidi="ar-SA"/>
    </w:rPr>
  </w:style>
  <w:style w:type="paragraph" w:customStyle="1" w:styleId="114">
    <w:name w:val="正文_14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正文文本缩进_1_1_0"/>
    <w:basedOn w:val="114"/>
    <w:qFormat/>
    <w:uiPriority w:val="0"/>
    <w:pPr>
      <w:spacing w:line="500" w:lineRule="exact"/>
      <w:ind w:left="1588" w:leftChars="832" w:firstLine="433" w:firstLineChars="196"/>
    </w:pPr>
    <w:rPr>
      <w:rFonts w:ascii="Calibri" w:hAnsi="Calibri"/>
      <w:kern w:val="0"/>
      <w:sz w:val="24"/>
    </w:rPr>
  </w:style>
  <w:style w:type="paragraph" w:customStyle="1" w:styleId="116">
    <w:name w:val="正文_0_0_1"/>
    <w:qFormat/>
    <w:uiPriority w:val="0"/>
    <w:pPr>
      <w:widowControl w:val="0"/>
      <w:jc w:val="both"/>
    </w:pPr>
    <w:rPr>
      <w:rFonts w:ascii="Calibri" w:hAnsi="Calibri" w:eastAsia="宋体" w:cs="Times New Roman"/>
      <w:kern w:val="2"/>
      <w:sz w:val="28"/>
      <w:szCs w:val="22"/>
      <w:lang w:val="en-US" w:eastAsia="zh-CN" w:bidi="ar-SA"/>
    </w:rPr>
  </w:style>
  <w:style w:type="paragraph" w:customStyle="1" w:styleId="117">
    <w:name w:val="标题 3_0_0_0"/>
    <w:basedOn w:val="116"/>
    <w:next w:val="116"/>
    <w:qFormat/>
    <w:uiPriority w:val="0"/>
    <w:pPr>
      <w:autoSpaceDE w:val="0"/>
      <w:autoSpaceDN w:val="0"/>
      <w:adjustRightInd w:val="0"/>
      <w:spacing w:line="500" w:lineRule="exact"/>
      <w:jc w:val="center"/>
      <w:outlineLvl w:val="2"/>
    </w:pPr>
    <w:rPr>
      <w:rFonts w:ascii="宋体" w:hAnsi="宋体"/>
      <w:b/>
      <w:szCs w:val="28"/>
    </w:rPr>
  </w:style>
  <w:style w:type="paragraph" w:customStyle="1" w:styleId="118">
    <w:name w:val="Normal_9"/>
    <w:qFormat/>
    <w:uiPriority w:val="0"/>
    <w:rPr>
      <w:rFonts w:ascii="黑体" w:hAnsi="黑体" w:eastAsia="黑体" w:cs="Times New Roman"/>
      <w:b/>
      <w:sz w:val="32"/>
      <w:szCs w:val="24"/>
      <w:lang w:val="en-US" w:eastAsia="zh-CN" w:bidi="ar-SA"/>
    </w:rPr>
  </w:style>
  <w:style w:type="paragraph" w:customStyle="1" w:styleId="119">
    <w:name w:val="Normal_10"/>
    <w:qFormat/>
    <w:uiPriority w:val="0"/>
    <w:rPr>
      <w:rFonts w:ascii="黑体" w:hAnsi="黑体" w:eastAsia="黑体" w:cs="Times New Roman"/>
      <w:b/>
      <w:sz w:val="32"/>
      <w:szCs w:val="24"/>
      <w:lang w:val="en-US" w:eastAsia="zh-CN" w:bidi="ar-SA"/>
    </w:rPr>
  </w:style>
  <w:style w:type="paragraph" w:customStyle="1" w:styleId="120">
    <w:name w:val="Normal_11"/>
    <w:qFormat/>
    <w:uiPriority w:val="0"/>
    <w:rPr>
      <w:rFonts w:ascii="黑体" w:hAnsi="黑体" w:eastAsia="黑体" w:cs="Times New Roman"/>
      <w:b/>
      <w:sz w:val="32"/>
      <w:szCs w:val="24"/>
      <w:lang w:val="en-US" w:eastAsia="zh-CN" w:bidi="ar-SA"/>
    </w:rPr>
  </w:style>
  <w:style w:type="paragraph" w:customStyle="1" w:styleId="121">
    <w:name w:val="日期_0"/>
    <w:basedOn w:val="75"/>
    <w:next w:val="75"/>
    <w:qFormat/>
    <w:uiPriority w:val="0"/>
    <w:pPr>
      <w:ind w:left="100" w:leftChars="2500"/>
    </w:pPr>
    <w:rPr>
      <w:rFonts w:ascii="Calibri" w:hAnsi="Calibri"/>
    </w:rPr>
  </w:style>
  <w:style w:type="paragraph" w:customStyle="1" w:styleId="122">
    <w:name w:val="正文_9"/>
    <w:next w:val="5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正文文本_0_4"/>
    <w:basedOn w:val="122"/>
    <w:qFormat/>
    <w:uiPriority w:val="0"/>
    <w:pPr>
      <w:spacing w:after="120"/>
    </w:pPr>
    <w:rPr>
      <w:rFonts w:ascii="Calibri" w:hAnsi="Calibri"/>
    </w:rPr>
  </w:style>
  <w:style w:type="paragraph" w:customStyle="1" w:styleId="124">
    <w:name w:val="Normal_12"/>
    <w:qFormat/>
    <w:uiPriority w:val="0"/>
    <w:rPr>
      <w:rFonts w:ascii="黑体" w:hAnsi="黑体" w:eastAsia="黑体" w:cs="Times New Roman"/>
      <w:b/>
      <w:sz w:val="32"/>
      <w:szCs w:val="24"/>
      <w:lang w:val="en-US" w:eastAsia="zh-CN" w:bidi="ar-SA"/>
    </w:rPr>
  </w:style>
  <w:style w:type="paragraph" w:customStyle="1" w:styleId="125">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
    <w:name w:val="正文文本_1_0"/>
    <w:basedOn w:val="125"/>
    <w:qFormat/>
    <w:uiPriority w:val="0"/>
    <w:pPr>
      <w:spacing w:after="120"/>
    </w:pPr>
    <w:rPr>
      <w:rFonts w:ascii="Calibri" w:hAnsi="Calibri"/>
    </w:rPr>
  </w:style>
  <w:style w:type="paragraph" w:customStyle="1" w:styleId="127">
    <w:name w:val="正文文本缩进_0_0"/>
    <w:basedOn w:val="125"/>
    <w:qFormat/>
    <w:uiPriority w:val="0"/>
    <w:pPr>
      <w:spacing w:line="500" w:lineRule="exact"/>
      <w:ind w:left="1588" w:leftChars="832" w:firstLine="433" w:firstLineChars="196"/>
    </w:pPr>
    <w:rPr>
      <w:rFonts w:ascii="Calibri" w:hAnsi="Calibri"/>
      <w:sz w:val="24"/>
    </w:rPr>
  </w:style>
  <w:style w:type="paragraph" w:customStyle="1" w:styleId="128">
    <w:name w:val="Normal_13"/>
    <w:qFormat/>
    <w:uiPriority w:val="0"/>
    <w:rPr>
      <w:rFonts w:ascii="黑体" w:hAnsi="黑体" w:eastAsia="黑体" w:cs="Times New Roman"/>
      <w:b/>
      <w:sz w:val="32"/>
      <w:szCs w:val="24"/>
      <w:lang w:val="en-US" w:eastAsia="zh-CN" w:bidi="ar-SA"/>
    </w:rPr>
  </w:style>
  <w:style w:type="paragraph" w:customStyle="1" w:styleId="129">
    <w:name w:val="正文文本缩进_1"/>
    <w:basedOn w:val="41"/>
    <w:qFormat/>
    <w:uiPriority w:val="0"/>
    <w:pPr>
      <w:spacing w:line="500" w:lineRule="exact"/>
      <w:ind w:left="1588" w:leftChars="832" w:firstLine="433" w:firstLineChars="196"/>
    </w:pPr>
    <w:rPr>
      <w:sz w:val="24"/>
    </w:rPr>
  </w:style>
  <w:style w:type="paragraph" w:customStyle="1" w:styleId="130">
    <w:name w:val="正文文本缩进_2"/>
    <w:basedOn w:val="131"/>
    <w:qFormat/>
    <w:uiPriority w:val="0"/>
    <w:pPr>
      <w:spacing w:line="500" w:lineRule="exact"/>
      <w:ind w:left="1588" w:leftChars="832" w:firstLine="433" w:firstLineChars="196"/>
    </w:pPr>
    <w:rPr>
      <w:rFonts w:ascii="Calibri" w:hAnsi="Calibri"/>
      <w:sz w:val="24"/>
    </w:rPr>
  </w:style>
  <w:style w:type="paragraph" w:customStyle="1" w:styleId="131">
    <w:name w:val="正文_1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
    <w:name w:val="Normal_17"/>
    <w:qFormat/>
    <w:uiPriority w:val="0"/>
    <w:rPr>
      <w:rFonts w:ascii="黑体" w:hAnsi="黑体" w:eastAsia="黑体" w:cs="Times New Roman"/>
      <w:b/>
      <w:sz w:val="32"/>
      <w:szCs w:val="24"/>
      <w:lang w:val="en-US" w:eastAsia="zh-CN" w:bidi="ar-SA"/>
    </w:rPr>
  </w:style>
  <w:style w:type="paragraph" w:customStyle="1" w:styleId="133">
    <w:name w:val="标题 3_4"/>
    <w:basedOn w:val="134"/>
    <w:next w:val="134"/>
    <w:unhideWhenUsed/>
    <w:qFormat/>
    <w:uiPriority w:val="0"/>
    <w:pPr>
      <w:keepNext/>
      <w:keepLines/>
      <w:spacing w:before="260" w:after="260" w:line="412" w:lineRule="auto"/>
      <w:outlineLvl w:val="2"/>
    </w:pPr>
    <w:rPr>
      <w:rFonts w:cs="Times New Roman"/>
      <w:b/>
      <w:bCs/>
      <w:sz w:val="32"/>
      <w:szCs w:val="32"/>
    </w:rPr>
  </w:style>
  <w:style w:type="paragraph" w:customStyle="1" w:styleId="134">
    <w:name w:val="正文_8_0"/>
    <w:basedOn w:val="135"/>
    <w:qFormat/>
    <w:uiPriority w:val="0"/>
    <w:rPr>
      <w:rFonts w:ascii="Calibri" w:hAnsi="Calibri" w:cs="Calibri"/>
      <w:szCs w:val="21"/>
    </w:rPr>
  </w:style>
  <w:style w:type="paragraph" w:customStyle="1" w:styleId="135">
    <w:name w:val="正文_13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正文_7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7">
    <w:name w:val="纯文本_0_0"/>
    <w:basedOn w:val="134"/>
    <w:unhideWhenUsed/>
    <w:qFormat/>
    <w:uiPriority w:val="0"/>
    <w:rPr>
      <w:rFonts w:ascii="宋体" w:hAnsi="Courier New" w:cs="Courier New"/>
    </w:rPr>
  </w:style>
  <w:style w:type="paragraph" w:customStyle="1" w:styleId="138">
    <w:name w:val="正文_7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9">
    <w:name w:val="纯文本_0_0_0"/>
    <w:basedOn w:val="138"/>
    <w:unhideWhenUsed/>
    <w:qFormat/>
    <w:uiPriority w:val="0"/>
    <w:rPr>
      <w:rFonts w:ascii="宋体" w:hAnsi="Courier New" w:cs="Courier New"/>
      <w:szCs w:val="21"/>
    </w:rPr>
  </w:style>
  <w:style w:type="paragraph" w:customStyle="1" w:styleId="140">
    <w:name w:val="Normal_9_0"/>
    <w:qFormat/>
    <w:uiPriority w:val="0"/>
    <w:rPr>
      <w:rFonts w:ascii="黑体" w:hAnsi="黑体" w:eastAsia="黑体" w:cs="Times New Roman"/>
      <w:b/>
      <w:sz w:val="32"/>
      <w:szCs w:val="24"/>
      <w:lang w:val="en-US" w:eastAsia="zh-CN" w:bidi="ar-SA"/>
    </w:rPr>
  </w:style>
  <w:style w:type="paragraph" w:customStyle="1" w:styleId="141">
    <w:name w:val="正文_8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2">
    <w:name w:val="正文_9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43">
    <w:name w:val="标题 3 Char_5"/>
    <w:link w:val="144"/>
    <w:semiHidden/>
    <w:qFormat/>
    <w:uiPriority w:val="0"/>
    <w:rPr>
      <w:rFonts w:ascii="Calibri" w:hAnsi="Calibri" w:eastAsia="宋体" w:cs="Times New Roman"/>
      <w:b/>
      <w:bCs/>
      <w:sz w:val="32"/>
      <w:szCs w:val="32"/>
    </w:rPr>
  </w:style>
  <w:style w:type="paragraph" w:customStyle="1" w:styleId="144">
    <w:name w:val="标题 3_5"/>
    <w:basedOn w:val="111"/>
    <w:next w:val="111"/>
    <w:link w:val="143"/>
    <w:semiHidden/>
    <w:unhideWhenUsed/>
    <w:qFormat/>
    <w:uiPriority w:val="0"/>
    <w:pPr>
      <w:keepNext/>
      <w:keepLines/>
      <w:spacing w:before="260" w:after="260" w:line="412" w:lineRule="auto"/>
      <w:outlineLvl w:val="2"/>
    </w:pPr>
    <w:rPr>
      <w:b/>
      <w:bCs/>
      <w:sz w:val="32"/>
      <w:szCs w:val="32"/>
    </w:rPr>
  </w:style>
  <w:style w:type="paragraph" w:customStyle="1" w:styleId="145">
    <w:name w:val="Normal_18"/>
    <w:qFormat/>
    <w:uiPriority w:val="0"/>
    <w:rPr>
      <w:rFonts w:ascii="黑体" w:hAnsi="黑体" w:eastAsia="黑体" w:cs="Times New Roman"/>
      <w:b/>
      <w:sz w:val="32"/>
      <w:szCs w:val="24"/>
      <w:lang w:val="en-US" w:eastAsia="zh-CN" w:bidi="ar-SA"/>
    </w:rPr>
  </w:style>
  <w:style w:type="paragraph" w:customStyle="1" w:styleId="14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7">
    <w:name w:val="正文文本缩进_3"/>
    <w:basedOn w:val="146"/>
    <w:qFormat/>
    <w:uiPriority w:val="0"/>
    <w:pPr>
      <w:spacing w:line="500" w:lineRule="exact"/>
      <w:ind w:left="1588" w:leftChars="832" w:firstLine="433" w:firstLineChars="196"/>
    </w:pPr>
    <w:rPr>
      <w:rFonts w:ascii="Calibri" w:hAnsi="Calibri"/>
      <w:sz w:val="24"/>
    </w:rPr>
  </w:style>
  <w:style w:type="paragraph" w:customStyle="1" w:styleId="148">
    <w:name w:val="题注_0"/>
    <w:basedOn w:val="146"/>
    <w:next w:val="146"/>
    <w:qFormat/>
    <w:uiPriority w:val="0"/>
    <w:pPr>
      <w:spacing w:before="152" w:after="160"/>
    </w:pPr>
    <w:rPr>
      <w:rFonts w:ascii="Arial" w:hAnsi="Arial" w:eastAsia="黑体" w:cs="Arial"/>
      <w:sz w:val="20"/>
      <w:szCs w:val="20"/>
    </w:rPr>
  </w:style>
  <w:style w:type="paragraph" w:customStyle="1" w:styleId="149">
    <w:name w:val="Normal_19"/>
    <w:qFormat/>
    <w:uiPriority w:val="0"/>
    <w:rPr>
      <w:rFonts w:ascii="黑体" w:hAnsi="黑体" w:eastAsia="黑体" w:cs="Times New Roman"/>
      <w:b/>
      <w:sz w:val="32"/>
      <w:szCs w:val="24"/>
      <w:lang w:val="en-US" w:eastAsia="zh-CN" w:bidi="ar-SA"/>
    </w:rPr>
  </w:style>
  <w:style w:type="paragraph" w:customStyle="1" w:styleId="150">
    <w:name w:val="Normal_20"/>
    <w:qFormat/>
    <w:uiPriority w:val="0"/>
    <w:rPr>
      <w:rFonts w:ascii="黑体" w:hAnsi="黑体" w:eastAsia="黑体" w:cs="Times New Roman"/>
      <w:b/>
      <w:sz w:val="32"/>
      <w:szCs w:val="24"/>
      <w:lang w:val="en-US" w:eastAsia="zh-CN" w:bidi="ar-SA"/>
    </w:rPr>
  </w:style>
  <w:style w:type="paragraph" w:customStyle="1" w:styleId="151">
    <w:name w:val="正文_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2">
    <w:name w:val="WPSOffice手动目录 1"/>
    <w:qFormat/>
    <w:uiPriority w:val="0"/>
    <w:rPr>
      <w:rFonts w:asciiTheme="minorHAnsi" w:hAnsiTheme="minorHAnsi" w:eastAsiaTheme="minorEastAsia" w:cstheme="minorBidi"/>
      <w:lang w:val="en-US" w:eastAsia="zh-CN" w:bidi="ar-SA"/>
    </w:rPr>
  </w:style>
  <w:style w:type="paragraph" w:customStyle="1" w:styleId="153">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154">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155">
    <w:name w:val="批注框文本 Char"/>
    <w:basedOn w:val="25"/>
    <w:link w:val="12"/>
    <w:qFormat/>
    <w:uiPriority w:val="0"/>
    <w:rPr>
      <w:rFonts w:ascii="等线" w:hAnsi="等线" w:eastAsia="等线" w:cs="Times New Roman"/>
      <w:kern w:val="2"/>
      <w:sz w:val="18"/>
      <w:szCs w:val="18"/>
    </w:rPr>
  </w:style>
  <w:style w:type="paragraph" w:customStyle="1" w:styleId="156">
    <w:name w:val="Heading #3|1"/>
    <w:basedOn w:val="1"/>
    <w:qFormat/>
    <w:uiPriority w:val="0"/>
    <w:pPr>
      <w:spacing w:after="600" w:line="659" w:lineRule="exact"/>
      <w:jc w:val="center"/>
      <w:outlineLvl w:val="2"/>
    </w:pPr>
    <w:rPr>
      <w:rFonts w:ascii="宋体" w:hAnsi="宋体" w:eastAsia="宋体" w:cs="宋体"/>
      <w:sz w:val="40"/>
      <w:szCs w:val="40"/>
      <w:lang w:val="zh-TW" w:eastAsia="zh-TW" w:bidi="zh-TW"/>
    </w:rPr>
  </w:style>
  <w:style w:type="paragraph" w:customStyle="1" w:styleId="157">
    <w:name w:val="Body text|1"/>
    <w:basedOn w:val="1"/>
    <w:qFormat/>
    <w:uiPriority w:val="0"/>
    <w:pPr>
      <w:spacing w:line="446" w:lineRule="auto"/>
      <w:ind w:firstLine="400"/>
    </w:pPr>
    <w:rPr>
      <w:rFonts w:ascii="宋体" w:hAnsi="宋体" w:eastAsia="宋体" w:cs="宋体"/>
      <w:sz w:val="28"/>
      <w:szCs w:val="28"/>
      <w:lang w:val="zh-TW" w:eastAsia="zh-TW" w:bidi="zh-TW"/>
    </w:rPr>
  </w:style>
  <w:style w:type="paragraph" w:customStyle="1" w:styleId="158">
    <w:name w:val="Body text|2"/>
    <w:basedOn w:val="1"/>
    <w:qFormat/>
    <w:uiPriority w:val="0"/>
    <w:pPr>
      <w:spacing w:after="120" w:line="245" w:lineRule="exact"/>
      <w:ind w:left="1870" w:hanging="2760"/>
    </w:pPr>
    <w:rPr>
      <w:rFonts w:ascii="宋体" w:hAnsi="宋体" w:eastAsia="宋体" w:cs="宋体"/>
      <w:sz w:val="17"/>
      <w:szCs w:val="17"/>
      <w:lang w:val="zh-TW" w:eastAsia="zh-TW" w:bidi="zh-TW"/>
    </w:rPr>
  </w:style>
  <w:style w:type="paragraph" w:customStyle="1" w:styleId="159">
    <w:name w:val="正文缩进_0"/>
    <w:basedOn w:val="21"/>
    <w:unhideWhenUsed/>
    <w:qFormat/>
    <w:uiPriority w:val="0"/>
    <w:pPr>
      <w:ind w:firstLine="420" w:firstLineChars="200"/>
    </w:pPr>
    <w:rPr>
      <w:kern w:val="0"/>
      <w:sz w:val="20"/>
      <w:szCs w:val="20"/>
    </w:rPr>
  </w:style>
  <w:style w:type="paragraph" w:customStyle="1" w:styleId="160">
    <w:name w:val="正文_0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1">
    <w:name w:val="正文_2_1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2">
    <w:name w:val="正文_2_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3">
    <w:name w:val="正文_0_1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正文_6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5">
    <w:name w:val="正文缩进_2"/>
    <w:basedOn w:val="125"/>
    <w:unhideWhenUsed/>
    <w:qFormat/>
    <w:uiPriority w:val="0"/>
    <w:pPr>
      <w:ind w:firstLine="420" w:firstLineChars="200"/>
    </w:pPr>
    <w:rPr>
      <w:rFonts w:ascii="Calibri" w:hAnsi="Calibri"/>
    </w:rPr>
  </w:style>
  <w:style w:type="paragraph" w:customStyle="1" w:styleId="166">
    <w:name w:val="Normal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7">
    <w:name w:val="Normal_15"/>
    <w:qFormat/>
    <w:uiPriority w:val="0"/>
    <w:rPr>
      <w:rFonts w:ascii="Times New Roman" w:hAnsi="Times New Roman" w:eastAsia="Times New Roman" w:cs="Times New Roman"/>
      <w:sz w:val="24"/>
      <w:szCs w:val="24"/>
      <w:lang w:val="en-US" w:eastAsia="zh-CN" w:bidi="ar-SA"/>
    </w:rPr>
  </w:style>
  <w:style w:type="paragraph" w:customStyle="1" w:styleId="168">
    <w:name w:val="_Style 5"/>
    <w:basedOn w:val="3"/>
    <w:next w:val="1"/>
    <w:qFormat/>
    <w:uiPriority w:val="0"/>
    <w:pPr>
      <w:outlineLvl w:val="9"/>
    </w:pPr>
  </w:style>
  <w:style w:type="paragraph" w:customStyle="1" w:styleId="169">
    <w:name w:val="正文_4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0">
    <w:name w:val="正文_6_1_0"/>
    <w:basedOn w:val="171"/>
    <w:qFormat/>
    <w:uiPriority w:val="0"/>
    <w:rPr>
      <w:rFonts w:cs="宋体"/>
      <w:szCs w:val="21"/>
    </w:rPr>
  </w:style>
  <w:style w:type="paragraph" w:customStyle="1" w:styleId="171">
    <w:name w:val="正文_7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2">
    <w:name w:val="正文_7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3">
    <w:name w:val="正文_1_0_0_0_0"/>
    <w:basedOn w:val="141"/>
    <w:qFormat/>
    <w:uiPriority w:val="0"/>
    <w:rPr>
      <w:rFonts w:ascii="等线" w:hAnsi="等线" w:cs="宋体"/>
      <w:szCs w:val="21"/>
    </w:rPr>
  </w:style>
  <w:style w:type="paragraph" w:customStyle="1" w:styleId="174">
    <w:name w:val="正文_0_0_0_0"/>
    <w:qFormat/>
    <w:uiPriority w:val="0"/>
    <w:pPr>
      <w:widowControl w:val="0"/>
      <w:jc w:val="both"/>
    </w:pPr>
    <w:rPr>
      <w:rFonts w:ascii="Times New Roman" w:hAnsi="Times New Roman" w:eastAsia="宋体" w:cs="Times New Roman"/>
      <w:kern w:val="2"/>
      <w:sz w:val="28"/>
      <w:szCs w:val="22"/>
      <w:lang w:val="en-US" w:eastAsia="zh-CN" w:bidi="ar-SA"/>
    </w:rPr>
  </w:style>
  <w:style w:type="paragraph" w:customStyle="1" w:styleId="175">
    <w:name w:val="正文_3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
    <w:name w:val="正文_3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7">
    <w:name w:val="Body Text 3_0"/>
    <w:basedOn w:val="43"/>
    <w:qFormat/>
    <w:uiPriority w:val="0"/>
    <w:rPr>
      <w:rFonts w:ascii="宋体" w:hAnsi="Times New Roman" w:eastAsia="宋体"/>
      <w:sz w:val="24"/>
      <w:szCs w:val="20"/>
    </w:rPr>
  </w:style>
  <w:style w:type="paragraph" w:customStyle="1" w:styleId="178">
    <w:name w:val="Table Paragraph"/>
    <w:basedOn w:val="43"/>
    <w:next w:val="43"/>
    <w:qFormat/>
    <w:uiPriority w:val="1"/>
    <w:rPr>
      <w:rFonts w:ascii="Arial Unicode MS" w:hAnsi="Arial Unicode MS" w:eastAsia="Arial Unicode MS" w:cs="Arial Unicode MS"/>
      <w:lang w:val="zh-CN" w:bidi="zh-CN"/>
    </w:rPr>
  </w:style>
  <w:style w:type="paragraph" w:customStyle="1" w:styleId="179">
    <w:name w:val="样式 标题 4 + 段前: 5 磅 段后: 5 磅 行距: 单倍行距_0"/>
    <w:basedOn w:val="180"/>
    <w:qFormat/>
    <w:uiPriority w:val="0"/>
    <w:pPr>
      <w:numPr>
        <w:ilvl w:val="3"/>
        <w:numId w:val="3"/>
      </w:numPr>
      <w:adjustRightInd w:val="0"/>
      <w:spacing w:before="100" w:after="100" w:line="240" w:lineRule="auto"/>
      <w:jc w:val="left"/>
      <w:textAlignment w:val="baseline"/>
    </w:pPr>
    <w:rPr>
      <w:rFonts w:ascii="Arial" w:hAnsi="Arial" w:eastAsia="黑体" w:cs="宋体"/>
      <w:kern w:val="0"/>
      <w:szCs w:val="20"/>
    </w:rPr>
  </w:style>
  <w:style w:type="paragraph" w:customStyle="1" w:styleId="180">
    <w:name w:val="标题 4_0"/>
    <w:basedOn w:val="27"/>
    <w:next w:val="27"/>
    <w:unhideWhenUsed/>
    <w:qFormat/>
    <w:uiPriority w:val="9"/>
    <w:pPr>
      <w:keepNext/>
      <w:keepLines/>
      <w:spacing w:before="280" w:after="290" w:line="376" w:lineRule="auto"/>
      <w:outlineLvl w:val="3"/>
    </w:pPr>
    <w:rPr>
      <w:rFonts w:ascii="Cambria" w:hAnsi="Cambria"/>
      <w:b/>
      <w:bCs/>
      <w:sz w:val="28"/>
      <w:szCs w:val="28"/>
    </w:rPr>
  </w:style>
  <w:style w:type="paragraph" w:customStyle="1" w:styleId="181">
    <w:name w:val="普通(网站)_1"/>
    <w:basedOn w:val="45"/>
    <w:semiHidden/>
    <w:qFormat/>
    <w:uiPriority w:val="0"/>
    <w:rPr>
      <w:sz w:val="24"/>
      <w:szCs w:val="24"/>
    </w:rPr>
  </w:style>
  <w:style w:type="paragraph" w:customStyle="1" w:styleId="182">
    <w:name w:val="正文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83">
    <w:name w:val="TOC 标题2"/>
    <w:basedOn w:val="184"/>
    <w:next w:val="1"/>
    <w:qFormat/>
    <w:uiPriority w:val="0"/>
    <w:pPr>
      <w:widowControl w:val="0"/>
      <w:spacing w:before="260" w:after="260" w:line="413" w:lineRule="auto"/>
    </w:pPr>
    <w:rPr>
      <w:rFonts w:ascii="宋体" w:hAnsi="宋体"/>
      <w:sz w:val="36"/>
      <w:lang w:val="zh-CN"/>
    </w:rPr>
  </w:style>
  <w:style w:type="paragraph" w:customStyle="1" w:styleId="184">
    <w:name w:val="Heading 1"/>
    <w:basedOn w:val="82"/>
    <w:next w:val="82"/>
    <w:qFormat/>
    <w:uiPriority w:val="0"/>
    <w:pPr>
      <w:keepNext/>
      <w:keepLines/>
      <w:spacing w:before="340" w:after="330" w:line="576" w:lineRule="auto"/>
      <w:outlineLvl w:val="0"/>
    </w:pPr>
    <w:rPr>
      <w:rFonts w:ascii="Times New Roman" w:hAnsi="Times New Roman" w:eastAsia="宋体"/>
      <w:bCs/>
      <w:kern w:val="44"/>
      <w:sz w:val="44"/>
      <w:szCs w:val="44"/>
    </w:rPr>
  </w:style>
  <w:style w:type="paragraph" w:customStyle="1" w:styleId="185">
    <w:name w:val="协议书标题2"/>
    <w:basedOn w:val="186"/>
    <w:next w:val="1"/>
    <w:qFormat/>
    <w:uiPriority w:val="0"/>
    <w:pPr>
      <w:keepNext w:val="0"/>
      <w:keepLines w:val="0"/>
      <w:numPr>
        <w:ilvl w:val="0"/>
        <w:numId w:val="4"/>
      </w:numPr>
      <w:tabs>
        <w:tab w:val="left" w:pos="567"/>
      </w:tabs>
      <w:spacing w:line="360" w:lineRule="auto"/>
      <w:ind w:firstLine="0"/>
    </w:pPr>
    <w:rPr>
      <w:rFonts w:ascii="宋体" w:hAnsi="宋体" w:eastAsia="宋体"/>
      <w:sz w:val="24"/>
    </w:rPr>
  </w:style>
  <w:style w:type="paragraph" w:customStyle="1" w:styleId="186">
    <w:name w:val="Heading 2_1"/>
    <w:basedOn w:val="82"/>
    <w:next w:val="82"/>
    <w:qFormat/>
    <w:uiPriority w:val="0"/>
    <w:pPr>
      <w:keepNext/>
      <w:keepLines/>
      <w:spacing w:before="260" w:after="260" w:line="415" w:lineRule="auto"/>
      <w:outlineLvl w:val="1"/>
    </w:pPr>
    <w:rPr>
      <w:rFonts w:ascii="Arial" w:hAnsi="Arial"/>
      <w:bCs/>
      <w:szCs w:val="32"/>
    </w:rPr>
  </w:style>
  <w:style w:type="paragraph" w:customStyle="1" w:styleId="187">
    <w:name w:val="table"/>
    <w:qFormat/>
    <w:uiPriority w:val="0"/>
    <w:pPr>
      <w:framePr w:hSpace="180" w:wrap="around" w:vAnchor="text" w:hAnchor="margin" w:y="1418"/>
      <w:adjustRightInd w:val="0"/>
      <w:snapToGrid w:val="0"/>
    </w:pPr>
    <w:rPr>
      <w:rFonts w:ascii="宋体" w:hAnsi="Calibri" w:eastAsia="宋体" w:cs="Times New Roman"/>
      <w:kern w:val="2"/>
      <w:sz w:val="24"/>
      <w:szCs w:val="22"/>
      <w:lang w:val="en-US" w:eastAsia="zh-CN" w:bidi="ar-SA"/>
    </w:rPr>
  </w:style>
  <w:style w:type="paragraph" w:customStyle="1" w:styleId="188">
    <w:name w:val="通用标题2"/>
    <w:basedOn w:val="186"/>
    <w:next w:val="1"/>
    <w:qFormat/>
    <w:uiPriority w:val="0"/>
    <w:pPr>
      <w:keepNext w:val="0"/>
      <w:keepLines w:val="0"/>
      <w:numPr>
        <w:ilvl w:val="0"/>
        <w:numId w:val="5"/>
      </w:numPr>
      <w:tabs>
        <w:tab w:val="left" w:pos="993"/>
      </w:tabs>
      <w:spacing w:line="360" w:lineRule="auto"/>
    </w:pPr>
    <w:rPr>
      <w:rFonts w:ascii="黑体" w:hAnsi="黑体" w:eastAsia="Times New Roman"/>
    </w:rPr>
  </w:style>
  <w:style w:type="paragraph" w:customStyle="1" w:styleId="189">
    <w:name w:val="通用标题3"/>
    <w:next w:val="1"/>
    <w:qFormat/>
    <w:uiPriority w:val="0"/>
    <w:pPr>
      <w:widowControl w:val="0"/>
      <w:numPr>
        <w:ilvl w:val="1"/>
        <w:numId w:val="6"/>
      </w:numPr>
      <w:tabs>
        <w:tab w:val="left" w:pos="851"/>
      </w:tabs>
      <w:adjustRightInd w:val="0"/>
      <w:snapToGrid w:val="0"/>
      <w:spacing w:afterLines="50" w:line="360" w:lineRule="auto"/>
      <w:jc w:val="both"/>
      <w:outlineLvl w:val="2"/>
    </w:pPr>
    <w:rPr>
      <w:rFonts w:ascii="黑体" w:hAnsi="黑体" w:eastAsia="黑体" w:cs="Times New Roman"/>
      <w:b/>
      <w:kern w:val="2"/>
      <w:sz w:val="24"/>
      <w:szCs w:val="24"/>
      <w:lang w:val="en-US" w:eastAsia="zh-CN" w:bidi="ar-SA"/>
    </w:rPr>
  </w:style>
  <w:style w:type="paragraph" w:customStyle="1" w:styleId="190">
    <w:name w:val="通用标题4"/>
    <w:next w:val="1"/>
    <w:qFormat/>
    <w:uiPriority w:val="0"/>
    <w:pPr>
      <w:numPr>
        <w:ilvl w:val="2"/>
        <w:numId w:val="6"/>
      </w:numPr>
      <w:tabs>
        <w:tab w:val="left" w:pos="851"/>
      </w:tabs>
      <w:adjustRightInd w:val="0"/>
      <w:snapToGrid w:val="0"/>
      <w:spacing w:afterLines="50" w:line="360" w:lineRule="auto"/>
      <w:jc w:val="both"/>
      <w:outlineLvl w:val="3"/>
    </w:pPr>
    <w:rPr>
      <w:rFonts w:ascii="宋体" w:hAnsi="宋体" w:eastAsia="宋体" w:cs="Times New Roman"/>
      <w:kern w:val="2"/>
      <w:sz w:val="24"/>
      <w:szCs w:val="21"/>
      <w:lang w:val="en-US" w:eastAsia="zh-CN" w:bidi="ar-SA"/>
    </w:rPr>
  </w:style>
  <w:style w:type="paragraph" w:customStyle="1" w:styleId="191">
    <w:name w:val="通用标题5"/>
    <w:qFormat/>
    <w:uiPriority w:val="0"/>
    <w:pPr>
      <w:widowControl w:val="0"/>
      <w:numPr>
        <w:ilvl w:val="3"/>
        <w:numId w:val="6"/>
      </w:numPr>
      <w:tabs>
        <w:tab w:val="left" w:pos="1134"/>
      </w:tabs>
      <w:autoSpaceDE w:val="0"/>
      <w:autoSpaceDN w:val="0"/>
      <w:adjustRightInd w:val="0"/>
      <w:snapToGrid w:val="0"/>
      <w:spacing w:afterLines="50" w:line="360" w:lineRule="auto"/>
      <w:jc w:val="both"/>
    </w:pPr>
    <w:rPr>
      <w:rFonts w:ascii="宋体" w:hAnsi="宋体" w:eastAsia="宋体" w:cs="Times New Roman"/>
      <w:kern w:val="2"/>
      <w:sz w:val="24"/>
      <w:szCs w:val="21"/>
      <w:lang w:val="en-US" w:eastAsia="zh-CN" w:bidi="ar-SA"/>
    </w:rPr>
  </w:style>
  <w:style w:type="paragraph" w:customStyle="1" w:styleId="192">
    <w:name w:val="通用标题6"/>
    <w:basedOn w:val="82"/>
    <w:qFormat/>
    <w:uiPriority w:val="0"/>
    <w:pPr>
      <w:numPr>
        <w:ilvl w:val="4"/>
        <w:numId w:val="7"/>
      </w:numPr>
      <w:tabs>
        <w:tab w:val="left" w:pos="993"/>
      </w:tabs>
      <w:ind w:firstLine="425" w:firstLineChars="177"/>
    </w:pPr>
    <w:rPr>
      <w:rFonts w:eastAsia="Times New Roman"/>
    </w:rPr>
  </w:style>
  <w:style w:type="paragraph" w:styleId="193">
    <w:name w:val="List Paragraph"/>
    <w:basedOn w:val="194"/>
    <w:qFormat/>
    <w:uiPriority w:val="34"/>
    <w:pPr>
      <w:numPr>
        <w:ilvl w:val="0"/>
        <w:numId w:val="8"/>
      </w:numPr>
      <w:tabs>
        <w:tab w:val="left" w:pos="993"/>
      </w:tabs>
      <w:ind w:left="0" w:firstLine="504"/>
    </w:pPr>
    <w:rPr>
      <w:rFonts w:eastAsia="Times New Roman" w:cs="宋体"/>
    </w:rPr>
  </w:style>
  <w:style w:type="paragraph" w:customStyle="1" w:styleId="194">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5">
    <w:name w:val="列出段落_0"/>
    <w:basedOn w:val="21"/>
    <w:qFormat/>
    <w:uiPriority w:val="34"/>
    <w:pPr>
      <w:ind w:firstLine="420" w:firstLineChars="200"/>
    </w:pPr>
    <w:rPr>
      <w:rFonts w:ascii="Calibri" w:hAnsi="Calibri" w:eastAsia="Times New Roman"/>
    </w:rPr>
  </w:style>
  <w:style w:type="paragraph" w:customStyle="1" w:styleId="196">
    <w:name w:val="专用标题2"/>
    <w:basedOn w:val="186"/>
    <w:next w:val="1"/>
    <w:qFormat/>
    <w:uiPriority w:val="0"/>
    <w:pPr>
      <w:keepNext w:val="0"/>
      <w:keepLines w:val="0"/>
      <w:tabs>
        <w:tab w:val="left" w:pos="993"/>
      </w:tabs>
      <w:spacing w:line="360" w:lineRule="auto"/>
    </w:pPr>
    <w:rPr>
      <w:rFonts w:ascii="宋体" w:hAnsi="宋体" w:eastAsia="宋体" w:cs="Times"/>
    </w:rPr>
  </w:style>
  <w:style w:type="paragraph" w:customStyle="1" w:styleId="197">
    <w:name w:val="附件标题"/>
    <w:basedOn w:val="186"/>
    <w:next w:val="1"/>
    <w:qFormat/>
    <w:uiPriority w:val="0"/>
    <w:pPr>
      <w:tabs>
        <w:tab w:val="left" w:pos="1134"/>
      </w:tabs>
      <w:spacing w:line="360" w:lineRule="auto"/>
      <w:ind w:left="3538"/>
      <w:jc w:val="center"/>
    </w:pPr>
    <w:rPr>
      <w:rFonts w:ascii="黑体" w:hAnsi="黑体" w:eastAsia="Times New Roman"/>
      <w:sz w:val="30"/>
      <w:szCs w:val="30"/>
    </w:rPr>
  </w:style>
  <w:style w:type="paragraph" w:customStyle="1" w:styleId="198">
    <w:name w:val="正文文本缩进_2_0"/>
    <w:basedOn w:val="125"/>
    <w:qFormat/>
    <w:locked/>
    <w:uiPriority w:val="0"/>
    <w:pPr>
      <w:spacing w:line="500" w:lineRule="exact"/>
      <w:ind w:left="1588" w:leftChars="832" w:firstLine="433" w:firstLineChars="196"/>
    </w:pPr>
    <w:rPr>
      <w:rFonts w:ascii="Calibri" w:hAnsi="Calibri"/>
      <w:sz w:val="24"/>
    </w:rPr>
  </w:style>
  <w:style w:type="paragraph" w:customStyle="1" w:styleId="199">
    <w:name w:val="正文_0_0_3"/>
    <w:basedOn w:val="200"/>
    <w:qFormat/>
    <w:locked/>
    <w:uiPriority w:val="0"/>
    <w:pPr>
      <w:widowControl/>
      <w:spacing w:before="120" w:after="120" w:line="360" w:lineRule="auto"/>
      <w:ind w:left="1072" w:hanging="1072"/>
    </w:pPr>
    <w:rPr>
      <w:rFonts w:ascii="Calibri" w:hAnsi="Calibri" w:cs="Calibri"/>
      <w:sz w:val="28"/>
      <w:szCs w:val="28"/>
    </w:rPr>
  </w:style>
  <w:style w:type="paragraph" w:customStyle="1" w:styleId="200">
    <w:name w:val="正文_6_0_0"/>
    <w:qFormat/>
    <w:locked/>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1">
    <w:name w:val="Heading 3_0"/>
    <w:basedOn w:val="43"/>
    <w:next w:val="43"/>
    <w:qFormat/>
    <w:uiPriority w:val="0"/>
    <w:pPr>
      <w:keepNext/>
      <w:keepLines/>
      <w:spacing w:before="260" w:after="260" w:line="415" w:lineRule="auto"/>
      <w:ind w:firstLine="137" w:firstLineChars="49"/>
      <w:outlineLvl w:val="2"/>
    </w:pPr>
    <w:rPr>
      <w:rFonts w:hAnsi="宋体"/>
      <w:bCs/>
      <w:sz w:val="28"/>
      <w:szCs w:val="28"/>
    </w:rPr>
  </w:style>
  <w:style w:type="paragraph" w:customStyle="1" w:styleId="202">
    <w:name w:val="Normal_2_2"/>
    <w:next w:val="203"/>
    <w:qFormat/>
    <w:uiPriority w:val="0"/>
    <w:pPr>
      <w:widowControl w:val="0"/>
      <w:jc w:val="both"/>
    </w:pPr>
    <w:rPr>
      <w:rFonts w:ascii="Calibri" w:hAnsi="Calibri" w:eastAsia="Times New Roman" w:cs="Times New Roman"/>
      <w:kern w:val="2"/>
      <w:sz w:val="21"/>
      <w:szCs w:val="22"/>
      <w:lang w:val="en-US" w:eastAsia="zh-CN" w:bidi="ar-SA"/>
    </w:rPr>
  </w:style>
  <w:style w:type="paragraph" w:customStyle="1" w:styleId="203">
    <w:name w:val="Body Text_2_1"/>
    <w:basedOn w:val="202"/>
    <w:next w:val="204"/>
    <w:qFormat/>
    <w:uiPriority w:val="0"/>
    <w:pPr>
      <w:spacing w:after="120"/>
    </w:pPr>
    <w:rPr>
      <w:szCs w:val="24"/>
    </w:rPr>
  </w:style>
  <w:style w:type="paragraph" w:customStyle="1" w:styleId="204">
    <w:name w:val="Normal_2_1_0"/>
    <w:next w:val="203"/>
    <w:qFormat/>
    <w:uiPriority w:val="0"/>
    <w:rPr>
      <w:rFonts w:ascii="宋体" w:hAnsi="宋体" w:eastAsia="宋体" w:cs="Times New Roman"/>
      <w:sz w:val="24"/>
      <w:szCs w:val="24"/>
      <w:lang w:val="en-US" w:eastAsia="zh-CN" w:bidi="ar-SA"/>
    </w:rPr>
  </w:style>
  <w:style w:type="paragraph" w:customStyle="1" w:styleId="205">
    <w:name w:val="Normal_2_0_0"/>
    <w:next w:val="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6">
    <w:name w:val="Default_2"/>
    <w:qFormat/>
    <w:uiPriority w:val="99"/>
    <w:pPr>
      <w:widowControl w:val="0"/>
      <w:autoSpaceDE w:val="0"/>
      <w:autoSpaceDN w:val="0"/>
      <w:adjustRightInd w:val="0"/>
    </w:pPr>
    <w:rPr>
      <w:rFonts w:ascii="黑体" w:hAnsi="Times New Roman" w:eastAsia="黑体" w:cs="黑体"/>
      <w:color w:val="000000"/>
      <w:kern w:val="2"/>
      <w:sz w:val="24"/>
      <w:szCs w:val="24"/>
      <w:lang w:val="en-US" w:eastAsia="zh-CN" w:bidi="ar-SA"/>
    </w:rPr>
  </w:style>
  <w:style w:type="paragraph" w:customStyle="1" w:styleId="207">
    <w:name w:val="List Paragraph_0"/>
    <w:basedOn w:val="116"/>
    <w:qFormat/>
    <w:uiPriority w:val="34"/>
    <w:pPr>
      <w:numPr>
        <w:ilvl w:val="0"/>
        <w:numId w:val="9"/>
      </w:numPr>
      <w:tabs>
        <w:tab w:val="left" w:pos="993"/>
      </w:tabs>
      <w:ind w:left="0" w:firstLine="504"/>
    </w:pPr>
    <w:rPr>
      <w:rFonts w:eastAsia="Times New Roman" w:cs="宋体"/>
    </w:rPr>
  </w:style>
  <w:style w:type="paragraph" w:customStyle="1" w:styleId="208">
    <w:name w:val="Normal_2_2_0"/>
    <w:next w:val="209"/>
    <w:qFormat/>
    <w:uiPriority w:val="0"/>
    <w:pPr>
      <w:widowControl w:val="0"/>
      <w:jc w:val="both"/>
    </w:pPr>
    <w:rPr>
      <w:rFonts w:ascii="Calibri" w:hAnsi="Calibri" w:eastAsia="Times New Roman" w:cs="Times New Roman"/>
      <w:kern w:val="2"/>
      <w:sz w:val="21"/>
      <w:szCs w:val="22"/>
      <w:lang w:val="en-US" w:eastAsia="zh-CN" w:bidi="ar-SA"/>
    </w:rPr>
  </w:style>
  <w:style w:type="paragraph" w:customStyle="1" w:styleId="209">
    <w:name w:val="Body Text_2_0_0"/>
    <w:basedOn w:val="208"/>
    <w:next w:val="208"/>
    <w:qFormat/>
    <w:uiPriority w:val="0"/>
    <w:pPr>
      <w:spacing w:after="120"/>
    </w:pPr>
    <w:rPr>
      <w:szCs w:val="24"/>
    </w:rPr>
  </w:style>
  <w:style w:type="paragraph" w:customStyle="1" w:styleId="210">
    <w:name w:val="Default_0"/>
    <w:qFormat/>
    <w:uiPriority w:val="99"/>
    <w:pPr>
      <w:widowControl w:val="0"/>
      <w:autoSpaceDE w:val="0"/>
      <w:autoSpaceDN w:val="0"/>
      <w:adjustRightInd w:val="0"/>
    </w:pPr>
    <w:rPr>
      <w:rFonts w:ascii="黑体" w:hAnsi="Times New Roman" w:eastAsia="黑体" w:cs="黑体"/>
      <w:color w:val="000000"/>
      <w:kern w:val="2"/>
      <w:sz w:val="24"/>
      <w:szCs w:val="24"/>
      <w:lang w:val="en-US" w:eastAsia="zh-CN" w:bidi="ar-SA"/>
    </w:rPr>
  </w:style>
  <w:style w:type="paragraph" w:customStyle="1" w:styleId="211">
    <w:name w:val="Normal_2_0_1"/>
    <w:next w:val="2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2">
    <w:name w:val="Default_2_1"/>
    <w:qFormat/>
    <w:uiPriority w:val="99"/>
    <w:pPr>
      <w:widowControl w:val="0"/>
      <w:autoSpaceDE w:val="0"/>
      <w:autoSpaceDN w:val="0"/>
      <w:adjustRightInd w:val="0"/>
    </w:pPr>
    <w:rPr>
      <w:rFonts w:ascii="黑体" w:hAnsi="Times New Roman" w:eastAsia="黑体" w:cs="黑体"/>
      <w:color w:val="000000"/>
      <w:kern w:val="2"/>
      <w:sz w:val="24"/>
      <w:szCs w:val="24"/>
      <w:lang w:val="en-US" w:eastAsia="zh-CN" w:bidi="ar-SA"/>
    </w:rPr>
  </w:style>
  <w:style w:type="paragraph" w:customStyle="1" w:styleId="213">
    <w:name w:val="Normal"/>
    <w:qFormat/>
    <w:uiPriority w:val="0"/>
    <w:rPr>
      <w:rFonts w:ascii="Times New Roman" w:hAnsi="Times New Roman" w:eastAsia="Times New Roman" w:cs="Times New Roman"/>
      <w:sz w:val="24"/>
      <w:szCs w:val="24"/>
      <w:lang w:bidi="ar-SA"/>
    </w:rPr>
  </w:style>
  <w:style w:type="paragraph" w:customStyle="1" w:styleId="214">
    <w:name w:val="正文_6"/>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1"/>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3D2765-69E3-4A42-92A3-0918DBB5C90A}">
  <ds:schemaRefs/>
</ds:datastoreItem>
</file>

<file path=docProps/app.xml><?xml version="1.0" encoding="utf-8"?>
<Properties xmlns="http://schemas.openxmlformats.org/officeDocument/2006/extended-properties" xmlns:vt="http://schemas.openxmlformats.org/officeDocument/2006/docPropsVTypes">
  <Template>Normal</Template>
  <Pages>201</Pages>
  <Words>112581</Words>
  <Characters>117835</Characters>
  <Lines>1057</Lines>
  <Paragraphs>297</Paragraphs>
  <TotalTime>6</TotalTime>
  <ScaleCrop>false</ScaleCrop>
  <LinksUpToDate>false</LinksUpToDate>
  <CharactersWithSpaces>126275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2020-09-26T12:51:00Z</dcterms:created>
  <dc:creator>Administrator</dc:creator>
  <cp:lastModifiedBy>大圣</cp:lastModifiedBy>
  <cp:lastPrinted>2022-07-14T03:03:00Z</cp:lastPrinted>
  <dcterms:modified xsi:type="dcterms:W3CDTF">2022-11-24T04:44:18Z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A5872A0B5837434EB7BD8BF6D4D3053D</vt:lpwstr>
  </property>
</Properties>
</file>