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仿宋" w:hAnsi="仿宋" w:eastAsia="仿宋" w:cs="仿宋"/>
          <w:b/>
          <w:bCs/>
          <w:color w:val="000000" w:themeColor="text1"/>
          <w:w w:val="90"/>
          <w:sz w:val="52"/>
          <w:szCs w:val="52"/>
          <w:lang w:val="en-US" w:eastAsia="zh-CN"/>
          <w14:textFill>
            <w14:solidFill>
              <w14:schemeClr w14:val="tx1"/>
            </w14:solidFill>
          </w14:textFill>
        </w:rPr>
      </w:pPr>
      <w:r>
        <w:rPr>
          <w:rFonts w:hint="eastAsia" w:ascii="仿宋" w:hAnsi="仿宋" w:eastAsia="仿宋" w:cs="仿宋"/>
          <w:b/>
          <w:bCs/>
          <w:color w:val="000000" w:themeColor="text1"/>
          <w:w w:val="90"/>
          <w:sz w:val="52"/>
          <w:szCs w:val="5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b/>
          <w:bCs/>
          <w:color w:val="000000" w:themeColor="text1"/>
          <w:sz w:val="44"/>
          <w:szCs w:val="44"/>
          <w:lang w:val="en-US" w:eastAsia="zh-CN"/>
          <w14:textFill>
            <w14:solidFill>
              <w14:schemeClr w14:val="tx1"/>
            </w14:solidFill>
          </w14:textFill>
        </w:rPr>
      </w:pPr>
      <w:r>
        <w:rPr>
          <w:rFonts w:hint="eastAsia" w:ascii="仿宋" w:hAnsi="仿宋" w:eastAsia="仿宋" w:cs="仿宋"/>
          <w:b/>
          <w:bCs/>
          <w:color w:val="000000" w:themeColor="text1"/>
          <w:sz w:val="44"/>
          <w:szCs w:val="44"/>
          <w:lang w:val="en-US" w:eastAsia="zh-CN"/>
          <w14:textFill>
            <w14:solidFill>
              <w14:schemeClr w14:val="tx1"/>
            </w14:solidFill>
          </w14:textFill>
        </w:rPr>
        <w:t>克州广播电视台广电融合提升工程（二次）</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仿宋" w:hAnsi="仿宋" w:eastAsia="仿宋" w:cs="仿宋"/>
          <w:b/>
          <w:color w:val="000000" w:themeColor="text1"/>
          <w:kern w:val="0"/>
          <w:sz w:val="44"/>
          <w:szCs w:val="44"/>
          <w:lang w:val="en-US"/>
          <w14:textFill>
            <w14:solidFill>
              <w14:schemeClr w14:val="tx1"/>
            </w14:solidFill>
          </w14:textFill>
        </w:rPr>
      </w:pPr>
      <w:r>
        <w:rPr>
          <w:rFonts w:hint="eastAsia" w:ascii="仿宋" w:hAnsi="仿宋" w:eastAsia="仿宋" w:cs="仿宋"/>
          <w:b/>
          <w:bCs/>
          <w:color w:val="000000" w:themeColor="text1"/>
          <w:sz w:val="44"/>
          <w:szCs w:val="44"/>
          <w:lang w:eastAsia="zh-CN"/>
          <w14:textFill>
            <w14:solidFill>
              <w14:schemeClr w14:val="tx1"/>
            </w14:solidFill>
          </w14:textFill>
        </w:rPr>
        <w:t>项目编号：</w:t>
      </w:r>
      <w:r>
        <w:rPr>
          <w:rFonts w:hint="eastAsia" w:ascii="仿宋" w:hAnsi="仿宋" w:eastAsia="仿宋" w:cs="仿宋"/>
          <w:b/>
          <w:bCs/>
          <w:color w:val="000000" w:themeColor="text1"/>
          <w:sz w:val="44"/>
          <w:szCs w:val="44"/>
          <w:lang w:val="en-US" w:eastAsia="zh-CN"/>
          <w14:textFill>
            <w14:solidFill>
              <w14:schemeClr w14:val="tx1"/>
            </w14:solidFill>
          </w14:textFill>
        </w:rPr>
        <w:t>KZZB-2022100-2</w:t>
      </w:r>
    </w:p>
    <w:p>
      <w:pPr>
        <w:pStyle w:val="27"/>
        <w:keepNext w:val="0"/>
        <w:keepLines w:val="0"/>
        <w:pageBreakBefore w:val="0"/>
        <w:widowControl w:val="0"/>
        <w:kinsoku/>
        <w:wordWrap/>
        <w:overflowPunct/>
        <w:topLinePunct w:val="0"/>
        <w:bidi w:val="0"/>
        <w:snapToGrid/>
        <w:spacing w:line="760" w:lineRule="exact"/>
        <w:textAlignment w:val="auto"/>
        <w:rPr>
          <w:rFonts w:hint="eastAsia" w:ascii="仿宋" w:hAnsi="仿宋" w:eastAsia="仿宋" w:cs="仿宋"/>
          <w:color w:val="000000" w:themeColor="text1"/>
          <w14:textFill>
            <w14:solidFill>
              <w14:schemeClr w14:val="tx1"/>
            </w14:solidFill>
          </w14:textFill>
        </w:rPr>
      </w:pPr>
    </w:p>
    <w:p>
      <w:pPr>
        <w:pStyle w:val="27"/>
        <w:rPr>
          <w:rFonts w:hint="eastAsia" w:ascii="仿宋" w:hAnsi="仿宋" w:eastAsia="仿宋" w:cs="仿宋"/>
          <w:color w:val="000000" w:themeColor="text1"/>
          <w14:textFill>
            <w14:solidFill>
              <w14:schemeClr w14:val="tx1"/>
            </w14:solidFill>
          </w14:textFill>
        </w:rPr>
      </w:pPr>
    </w:p>
    <w:p>
      <w:pPr>
        <w:pStyle w:val="27"/>
        <w:jc w:val="center"/>
        <w:rPr>
          <w:rFonts w:hint="eastAsia" w:ascii="仿宋" w:hAnsi="仿宋" w:eastAsia="仿宋" w:cs="仿宋"/>
          <w:b/>
          <w:color w:val="000000" w:themeColor="text1"/>
          <w:sz w:val="96"/>
          <w:szCs w:val="96"/>
          <w:highlight w:val="none"/>
          <w:lang w:eastAsia="zh-CN"/>
          <w14:textFill>
            <w14:solidFill>
              <w14:schemeClr w14:val="tx1"/>
            </w14:solidFill>
          </w14:textFill>
        </w:rPr>
      </w:pPr>
      <w:r>
        <w:rPr>
          <w:rFonts w:hint="eastAsia" w:ascii="仿宋" w:hAnsi="仿宋" w:eastAsia="仿宋" w:cs="仿宋"/>
          <w:b/>
          <w:color w:val="000000" w:themeColor="text1"/>
          <w:sz w:val="96"/>
          <w:szCs w:val="96"/>
          <w:highlight w:val="none"/>
          <w:lang w:eastAsia="zh-CN"/>
          <w14:textFill>
            <w14:solidFill>
              <w14:schemeClr w14:val="tx1"/>
            </w14:solidFill>
          </w14:textFill>
        </w:rPr>
        <w:t>招</w:t>
      </w:r>
    </w:p>
    <w:p>
      <w:pPr>
        <w:pStyle w:val="27"/>
        <w:jc w:val="center"/>
        <w:rPr>
          <w:rFonts w:hint="eastAsia" w:ascii="仿宋" w:hAnsi="仿宋" w:eastAsia="仿宋" w:cs="仿宋"/>
          <w:b/>
          <w:bCs/>
          <w:color w:val="000000" w:themeColor="text1"/>
          <w:sz w:val="96"/>
          <w:szCs w:val="96"/>
          <w:lang w:eastAsia="zh-CN"/>
          <w14:textFill>
            <w14:solidFill>
              <w14:schemeClr w14:val="tx1"/>
            </w14:solidFill>
          </w14:textFill>
        </w:rPr>
      </w:pPr>
      <w:r>
        <w:rPr>
          <w:rFonts w:hint="eastAsia" w:ascii="仿宋" w:hAnsi="仿宋" w:eastAsia="仿宋" w:cs="仿宋"/>
          <w:b/>
          <w:color w:val="000000" w:themeColor="text1"/>
          <w:sz w:val="96"/>
          <w:szCs w:val="96"/>
          <w:highlight w:val="none"/>
          <w:lang w:eastAsia="zh-CN"/>
          <w14:textFill>
            <w14:solidFill>
              <w14:schemeClr w14:val="tx1"/>
            </w14:solidFill>
          </w14:textFill>
        </w:rPr>
        <w:t>标</w:t>
      </w:r>
    </w:p>
    <w:p>
      <w:pPr>
        <w:pStyle w:val="27"/>
        <w:jc w:val="center"/>
        <w:rPr>
          <w:rFonts w:hint="eastAsia" w:ascii="仿宋" w:hAnsi="仿宋" w:eastAsia="仿宋" w:cs="仿宋"/>
          <w:b/>
          <w:bCs/>
          <w:color w:val="000000" w:themeColor="text1"/>
          <w:sz w:val="96"/>
          <w:szCs w:val="96"/>
          <w:lang w:eastAsia="zh-CN"/>
          <w14:textFill>
            <w14:solidFill>
              <w14:schemeClr w14:val="tx1"/>
            </w14:solidFill>
          </w14:textFill>
        </w:rPr>
      </w:pPr>
      <w:r>
        <w:rPr>
          <w:rFonts w:hint="eastAsia" w:ascii="仿宋" w:hAnsi="仿宋" w:eastAsia="仿宋" w:cs="仿宋"/>
          <w:b/>
          <w:bCs/>
          <w:color w:val="000000" w:themeColor="text1"/>
          <w:sz w:val="96"/>
          <w:szCs w:val="96"/>
          <w:lang w:eastAsia="zh-CN"/>
          <w14:textFill>
            <w14:solidFill>
              <w14:schemeClr w14:val="tx1"/>
            </w14:solidFill>
          </w14:textFill>
        </w:rPr>
        <w:t>文</w:t>
      </w:r>
    </w:p>
    <w:p>
      <w:pPr>
        <w:pStyle w:val="27"/>
        <w:jc w:val="center"/>
        <w:rPr>
          <w:rFonts w:hint="eastAsia" w:ascii="仿宋" w:hAnsi="仿宋" w:eastAsia="仿宋" w:cs="仿宋"/>
          <w:color w:val="000000" w:themeColor="text1"/>
          <w:sz w:val="84"/>
          <w:szCs w:val="84"/>
          <w:lang w:eastAsia="zh-CN"/>
          <w14:textFill>
            <w14:solidFill>
              <w14:schemeClr w14:val="tx1"/>
            </w14:solidFill>
          </w14:textFill>
        </w:rPr>
      </w:pPr>
      <w:r>
        <w:rPr>
          <w:rFonts w:hint="eastAsia" w:ascii="仿宋" w:hAnsi="仿宋" w:eastAsia="仿宋" w:cs="仿宋"/>
          <w:b/>
          <w:bCs/>
          <w:color w:val="000000" w:themeColor="text1"/>
          <w:sz w:val="96"/>
          <w:szCs w:val="96"/>
          <w:lang w:eastAsia="zh-CN"/>
          <w14:textFill>
            <w14:solidFill>
              <w14:schemeClr w14:val="tx1"/>
            </w14:solidFill>
          </w14:textFill>
        </w:rPr>
        <w:t>件</w:t>
      </w:r>
    </w:p>
    <w:p>
      <w:pPr>
        <w:pStyle w:val="27"/>
        <w:rPr>
          <w:rFonts w:hint="eastAsia" w:ascii="仿宋" w:hAnsi="仿宋" w:eastAsia="仿宋" w:cs="仿宋"/>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color w:val="000000" w:themeColor="text1"/>
          <w:sz w:val="36"/>
          <w:szCs w:val="36"/>
          <w:lang w:val="en-US" w:eastAsia="zh-CN"/>
          <w14:textFill>
            <w14:solidFill>
              <w14:schemeClr w14:val="tx1"/>
            </w14:solidFill>
          </w14:textFill>
        </w:rPr>
      </w:pPr>
      <w:r>
        <w:rPr>
          <w:rFonts w:hint="eastAsia" w:ascii="仿宋" w:hAnsi="仿宋" w:eastAsia="仿宋" w:cs="仿宋"/>
          <w:color w:val="000000" w:themeColor="text1"/>
          <w:sz w:val="36"/>
          <w:szCs w:val="36"/>
          <w14:textFill>
            <w14:solidFill>
              <w14:schemeClr w14:val="tx1"/>
            </w14:solidFill>
          </w14:textFill>
        </w:rPr>
        <w:t>采购单位：</w:t>
      </w:r>
      <w:r>
        <w:rPr>
          <w:rFonts w:hint="eastAsia" w:ascii="仿宋" w:hAnsi="仿宋" w:eastAsia="仿宋" w:cs="仿宋"/>
          <w:color w:val="000000" w:themeColor="text1"/>
          <w:sz w:val="36"/>
          <w:szCs w:val="36"/>
          <w:lang w:val="en-US" w:eastAsia="zh-CN"/>
          <w14:textFill>
            <w14:solidFill>
              <w14:schemeClr w14:val="tx1"/>
            </w14:solidFill>
          </w14:textFill>
        </w:rPr>
        <w:t>克州广播电视台</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color w:val="000000" w:themeColor="text1"/>
          <w:sz w:val="36"/>
          <w:szCs w:val="36"/>
          <w:lang w:val="en-US" w:eastAsia="zh-CN"/>
          <w14:textFill>
            <w14:solidFill>
              <w14:schemeClr w14:val="tx1"/>
            </w14:solidFill>
          </w14:textFill>
        </w:rPr>
      </w:pPr>
      <w:r>
        <w:rPr>
          <w:rFonts w:hint="eastAsia" w:ascii="仿宋" w:hAnsi="仿宋" w:eastAsia="仿宋" w:cs="仿宋"/>
          <w:color w:val="000000" w:themeColor="text1"/>
          <w:sz w:val="36"/>
          <w:szCs w:val="36"/>
          <w:lang w:val="en-US" w:eastAsia="zh-CN"/>
          <w14:textFill>
            <w14:solidFill>
              <w14:schemeClr w14:val="tx1"/>
            </w14:solidFill>
          </w14:textFill>
        </w:rPr>
        <w:t xml:space="preserve">联 系 人：方先生  </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color w:val="000000" w:themeColor="text1"/>
          <w:sz w:val="36"/>
          <w:szCs w:val="36"/>
          <w:lang w:val="en-US" w:eastAsia="zh-CN"/>
          <w14:textFill>
            <w14:solidFill>
              <w14:schemeClr w14:val="tx1"/>
            </w14:solidFill>
          </w14:textFill>
        </w:rPr>
      </w:pPr>
      <w:r>
        <w:rPr>
          <w:rFonts w:hint="eastAsia" w:ascii="仿宋" w:hAnsi="仿宋" w:eastAsia="仿宋" w:cs="仿宋"/>
          <w:color w:val="000000" w:themeColor="text1"/>
          <w:sz w:val="36"/>
          <w:szCs w:val="36"/>
          <w:lang w:val="en-US" w:eastAsia="zh-CN"/>
          <w14:textFill>
            <w14:solidFill>
              <w14:schemeClr w14:val="tx1"/>
            </w14:solidFill>
          </w14:textFill>
        </w:rPr>
        <w:t>联系电话： 13779600940</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color w:val="000000" w:themeColor="text1"/>
          <w:sz w:val="36"/>
          <w:szCs w:val="36"/>
          <w14:textFill>
            <w14:solidFill>
              <w14:schemeClr w14:val="tx1"/>
            </w14:solidFill>
          </w14:textFill>
        </w:rPr>
      </w:pPr>
      <w:r>
        <w:rPr>
          <w:rFonts w:hint="eastAsia" w:ascii="仿宋" w:hAnsi="仿宋" w:eastAsia="仿宋" w:cs="仿宋"/>
          <w:color w:val="000000" w:themeColor="text1"/>
          <w:sz w:val="36"/>
          <w:szCs w:val="36"/>
          <w14:textFill>
            <w14:solidFill>
              <w14:schemeClr w14:val="tx1"/>
            </w14:solidFill>
          </w14:textFill>
        </w:rPr>
        <w:t>代理机构：</w:t>
      </w:r>
      <w:r>
        <w:rPr>
          <w:rFonts w:hint="eastAsia" w:ascii="仿宋" w:hAnsi="仿宋" w:eastAsia="仿宋" w:cs="仿宋"/>
          <w:color w:val="000000" w:themeColor="text1"/>
          <w:sz w:val="36"/>
          <w:szCs w:val="36"/>
          <w:lang w:eastAsia="zh-CN"/>
          <w14:textFill>
            <w14:solidFill>
              <w14:schemeClr w14:val="tx1"/>
            </w14:solidFill>
          </w14:textFill>
        </w:rPr>
        <w:t>新疆建艺工程造价咨询有限公司</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14:textFill>
            <w14:solidFill>
              <w14:schemeClr w14:val="tx1"/>
            </w14:solidFill>
          </w14:textFill>
        </w:rPr>
        <w:t>联 系 人：</w:t>
      </w:r>
      <w:r>
        <w:rPr>
          <w:rFonts w:hint="eastAsia" w:ascii="仿宋" w:hAnsi="仿宋" w:eastAsia="仿宋" w:cs="仿宋"/>
          <w:color w:val="000000" w:themeColor="text1"/>
          <w:sz w:val="36"/>
          <w:szCs w:val="36"/>
          <w:lang w:eastAsia="zh-CN"/>
          <w14:textFill>
            <w14:solidFill>
              <w14:schemeClr w14:val="tx1"/>
            </w14:solidFill>
          </w14:textFill>
        </w:rPr>
        <w:t>杨先生</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color w:val="000000" w:themeColor="text1"/>
          <w:sz w:val="36"/>
          <w:szCs w:val="36"/>
          <w:lang w:val="en-US" w:eastAsia="zh-CN"/>
          <w14:textFill>
            <w14:solidFill>
              <w14:schemeClr w14:val="tx1"/>
            </w14:solidFill>
          </w14:textFill>
        </w:rPr>
      </w:pPr>
      <w:r>
        <w:rPr>
          <w:rFonts w:hint="eastAsia" w:ascii="仿宋" w:hAnsi="仿宋" w:eastAsia="仿宋" w:cs="仿宋"/>
          <w:color w:val="000000" w:themeColor="text1"/>
          <w:sz w:val="36"/>
          <w:szCs w:val="36"/>
          <w:lang w:val="en-US" w:eastAsia="zh-CN"/>
          <w14:textFill>
            <w14:solidFill>
              <w14:schemeClr w14:val="tx1"/>
            </w14:solidFill>
          </w14:textFill>
        </w:rPr>
        <w:t>联系电话:13209087999</w:t>
      </w:r>
    </w:p>
    <w:p>
      <w:pPr>
        <w:jc w:val="center"/>
        <w:rPr>
          <w:rFonts w:hint="eastAsia" w:ascii="仿宋" w:hAnsi="仿宋" w:eastAsia="仿宋" w:cs="仿宋"/>
          <w:b/>
          <w:color w:val="000000" w:themeColor="text1"/>
          <w:sz w:val="36"/>
          <w:szCs w:val="36"/>
          <w14:textFill>
            <w14:solidFill>
              <w14:schemeClr w14:val="tx1"/>
            </w14:solidFill>
          </w14:textFill>
        </w:rPr>
      </w:pPr>
    </w:p>
    <w:p>
      <w:pPr>
        <w:jc w:val="cente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招投标监督管理机构备案登记栏</w:t>
      </w:r>
    </w:p>
    <w:tbl>
      <w:tblPr>
        <w:tblStyle w:val="19"/>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8527" w:type="dxa"/>
          </w:tcPr>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w w:val="95"/>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采购单位：</w:t>
            </w:r>
            <w:r>
              <w:rPr>
                <w:rFonts w:hint="eastAsia" w:ascii="仿宋" w:hAnsi="仿宋" w:eastAsia="仿宋" w:cs="仿宋"/>
                <w:color w:val="000000" w:themeColor="text1"/>
                <w:w w:val="95"/>
                <w:sz w:val="32"/>
                <w:szCs w:val="32"/>
                <w:lang w:val="en-US" w:eastAsia="zh-CN"/>
                <w14:textFill>
                  <w14:solidFill>
                    <w14:schemeClr w14:val="tx1"/>
                  </w14:solidFill>
                </w14:textFill>
              </w:rPr>
              <w:t>克州广播电视台</w:t>
            </w:r>
            <w:r>
              <w:rPr>
                <w:rFonts w:hint="eastAsia" w:ascii="仿宋" w:hAnsi="仿宋" w:eastAsia="仿宋" w:cs="仿宋"/>
                <w:color w:val="000000" w:themeColor="text1"/>
                <w:w w:val="95"/>
                <w:sz w:val="32"/>
                <w:szCs w:val="32"/>
                <w:lang w:eastAsia="zh-CN"/>
                <w14:textFill>
                  <w14:solidFill>
                    <w14:schemeClr w14:val="tx1"/>
                  </w14:solidFill>
                </w14:textFill>
              </w:rPr>
              <w:t>（盖章）</w:t>
            </w: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rPr>
                <w:rFonts w:hint="eastAsia" w:ascii="仿宋" w:hAnsi="仿宋" w:eastAsia="仿宋" w:cs="仿宋"/>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ind w:left="3520" w:hanging="3520" w:hangingChars="11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采购项目名称：</w:t>
            </w:r>
            <w:r>
              <w:rPr>
                <w:rFonts w:hint="eastAsia" w:ascii="仿宋" w:hAnsi="仿宋" w:eastAsia="仿宋" w:cs="仿宋"/>
                <w:color w:val="000000" w:themeColor="text1"/>
                <w:sz w:val="32"/>
                <w:szCs w:val="32"/>
                <w:lang w:val="en-US" w:eastAsia="zh-CN"/>
                <w14:textFill>
                  <w14:solidFill>
                    <w14:schemeClr w14:val="tx1"/>
                  </w14:solidFill>
                </w14:textFill>
              </w:rPr>
              <w:t>克州广播电视台广电融合提升工程（二次）</w:t>
            </w:r>
          </w:p>
          <w:p>
            <w:pPr>
              <w:pageBreakBefore w:val="0"/>
              <w:widowControl w:val="0"/>
              <w:kinsoku/>
              <w:wordWrap/>
              <w:overflowPunct/>
              <w:topLinePunct w:val="0"/>
              <w:autoSpaceDE/>
              <w:autoSpaceDN/>
              <w:bidi w:val="0"/>
              <w:adjustRightInd/>
              <w:snapToGrid/>
              <w:spacing w:line="500" w:lineRule="exact"/>
              <w:ind w:left="3520" w:hanging="3520" w:hangingChars="1100"/>
              <w:jc w:val="both"/>
              <w:textAlignment w:val="auto"/>
              <w:rPr>
                <w:rFonts w:hint="eastAsia" w:ascii="仿宋" w:hAnsi="仿宋" w:eastAsia="仿宋" w:cs="仿宋"/>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rPr>
                <w:rFonts w:hint="eastAsia" w:ascii="仿宋" w:hAnsi="仿宋" w:eastAsia="仿宋" w:cs="仿宋"/>
                <w:color w:val="000000" w:themeColor="text1"/>
                <w:sz w:val="32"/>
                <w:szCs w:val="32"/>
                <w:lang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rPr>
                <w:rFonts w:hint="eastAsia" w:ascii="仿宋" w:hAnsi="仿宋" w:eastAsia="仿宋" w:cs="仿宋"/>
                <w:color w:val="000000" w:themeColor="text1"/>
                <w:sz w:val="32"/>
                <w:szCs w:val="32"/>
                <w:lang w:eastAsia="zh-CN"/>
                <w14:textFill>
                  <w14:solidFill>
                    <w14:schemeClr w14:val="tx1"/>
                  </w14:solidFill>
                </w14:textFill>
              </w:rPr>
            </w:pPr>
          </w:p>
          <w:p>
            <w:pPr>
              <w:pStyle w:val="5"/>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代理机构：</w:t>
            </w:r>
            <w:r>
              <w:rPr>
                <w:rFonts w:hint="eastAsia" w:ascii="仿宋" w:hAnsi="仿宋" w:eastAsia="仿宋" w:cs="仿宋"/>
                <w:color w:val="000000" w:themeColor="text1"/>
                <w:sz w:val="32"/>
                <w:szCs w:val="32"/>
                <w:lang w:eastAsia="zh-CN"/>
                <w14:textFill>
                  <w14:solidFill>
                    <w14:schemeClr w14:val="tx1"/>
                  </w14:solidFill>
                </w14:textFill>
              </w:rPr>
              <w:t>新疆建艺工程造价咨询有限公司（盖章）</w:t>
            </w:r>
          </w:p>
          <w:p>
            <w:pPr>
              <w:pStyle w:val="5"/>
              <w:jc w:val="both"/>
              <w:rPr>
                <w:rFonts w:hint="eastAsia" w:ascii="仿宋" w:hAnsi="仿宋" w:eastAsia="仿宋" w:cs="仿宋"/>
                <w:color w:val="000000" w:themeColor="text1"/>
                <w14:textFill>
                  <w14:solidFill>
                    <w14:schemeClr w14:val="tx1"/>
                  </w14:solidFill>
                </w14:textFill>
              </w:rPr>
            </w:pPr>
          </w:p>
          <w:p>
            <w:pPr>
              <w:pStyle w:val="5"/>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  期：20</w:t>
            </w:r>
            <w:r>
              <w:rPr>
                <w:rFonts w:hint="eastAsia" w:ascii="仿宋" w:hAnsi="仿宋" w:eastAsia="仿宋" w:cs="仿宋"/>
                <w:color w:val="000000" w:themeColor="text1"/>
                <w:lang w:val="en-US" w:eastAsia="zh-CN"/>
                <w14:textFill>
                  <w14:solidFill>
                    <w14:schemeClr w14:val="tx1"/>
                  </w14:solidFill>
                </w14:textFill>
              </w:rPr>
              <w:t>22</w:t>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lang w:val="en-US" w:eastAsia="zh-CN"/>
                <w14:textFill>
                  <w14:solidFill>
                    <w14:schemeClr w14:val="tx1"/>
                  </w14:solidFill>
                </w14:textFill>
              </w:rPr>
              <w:t>7</w:t>
            </w:r>
            <w:r>
              <w:rPr>
                <w:rFonts w:hint="eastAsia" w:ascii="仿宋" w:hAnsi="仿宋" w:eastAsia="仿宋" w:cs="仿宋"/>
                <w:color w:val="000000" w:themeColor="text1"/>
                <w14:textFill>
                  <w14:solidFill>
                    <w14:schemeClr w14:val="tx1"/>
                  </w14:solidFill>
                </w14:textFill>
              </w:rPr>
              <w:t>月</w:t>
            </w:r>
          </w:p>
          <w:p>
            <w:pPr>
              <w:pStyle w:val="5"/>
              <w:rPr>
                <w:rFonts w:hint="eastAsia" w:ascii="仿宋" w:hAnsi="仿宋" w:eastAsia="仿宋" w:cs="仿宋"/>
                <w:color w:val="000000" w:themeColor="text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44"/>
          <w:szCs w:val="44"/>
          <w14:textFill>
            <w14:solidFill>
              <w14:schemeClr w14:val="tx1"/>
            </w14:solidFill>
          </w14:textFill>
        </w:rPr>
        <w:sectPr>
          <w:headerReference r:id="rId5" w:type="default"/>
          <w:footerReference r:id="rId6" w:type="default"/>
          <w:pgSz w:w="11906" w:h="16838"/>
          <w:pgMar w:top="1440" w:right="1080" w:bottom="1440" w:left="1080" w:header="851" w:footer="992" w:gutter="0"/>
          <w:pgNumType w:fmt="decimal" w:start="1"/>
          <w:cols w:space="720" w:num="1"/>
          <w:docGrid w:type="linesAndChars" w:linePitch="312" w:charSpace="0"/>
        </w:sectPr>
      </w:pPr>
    </w:p>
    <w:p>
      <w:pPr>
        <w:pStyle w:val="4"/>
        <w:rPr>
          <w:rFonts w:hint="eastAsia"/>
          <w:color w:val="000000" w:themeColor="text1"/>
          <w14:textFill>
            <w14:solidFill>
              <w14:schemeClr w14:val="tx1"/>
            </w14:solidFill>
          </w14:textFill>
        </w:rPr>
      </w:pPr>
    </w:p>
    <w:p>
      <w:pPr>
        <w:rPr>
          <w:rFonts w:hint="eastAsia" w:ascii="仿宋" w:hAnsi="仿宋" w:eastAsia="仿宋" w:cs="仿宋"/>
          <w:color w:val="000000" w:themeColor="text1"/>
          <w:lang w:val="zh-CN"/>
          <w14:textFill>
            <w14:solidFill>
              <w14:schemeClr w14:val="tx1"/>
            </w14:solidFill>
          </w14:textFill>
        </w:rPr>
      </w:pPr>
    </w:p>
    <w:p>
      <w:pPr>
        <w:pStyle w:val="28"/>
        <w:spacing w:before="0" w:line="360" w:lineRule="auto"/>
        <w:jc w:val="center"/>
        <w:rPr>
          <w:rFonts w:hint="eastAsia" w:ascii="仿宋" w:hAnsi="仿宋" w:eastAsia="仿宋" w:cs="仿宋"/>
          <w:color w:val="000000" w:themeColor="text1"/>
          <w:sz w:val="44"/>
          <w:szCs w:val="44"/>
          <w:lang w:val="zh-CN"/>
          <w14:textFill>
            <w14:solidFill>
              <w14:schemeClr w14:val="tx1"/>
            </w14:solidFill>
          </w14:textFill>
        </w:rPr>
      </w:pPr>
    </w:p>
    <w:p>
      <w:pPr>
        <w:pStyle w:val="28"/>
        <w:spacing w:before="0" w:line="360" w:lineRule="auto"/>
        <w:jc w:val="center"/>
        <w:rPr>
          <w:rFonts w:hint="eastAsia" w:ascii="仿宋" w:hAnsi="仿宋" w:eastAsia="仿宋" w:cs="仿宋"/>
          <w:color w:val="000000" w:themeColor="text1"/>
          <w:sz w:val="44"/>
          <w:szCs w:val="44"/>
          <w:lang w:val="zh-CN"/>
          <w14:textFill>
            <w14:solidFill>
              <w14:schemeClr w14:val="tx1"/>
            </w14:solidFill>
          </w14:textFill>
        </w:rPr>
      </w:pPr>
      <w:r>
        <w:rPr>
          <w:rFonts w:hint="eastAsia" w:ascii="仿宋" w:hAnsi="仿宋" w:eastAsia="仿宋" w:cs="仿宋"/>
          <w:color w:val="000000" w:themeColor="text1"/>
          <w:sz w:val="44"/>
          <w:szCs w:val="44"/>
          <w:lang w:val="zh-CN"/>
          <w14:textFill>
            <w14:solidFill>
              <w14:schemeClr w14:val="tx1"/>
            </w14:solidFill>
          </w14:textFill>
        </w:rPr>
        <w:t>目    录</w:t>
      </w:r>
    </w:p>
    <w:p>
      <w:pPr>
        <w:rPr>
          <w:rFonts w:hint="eastAsia" w:ascii="仿宋" w:hAnsi="仿宋" w:eastAsia="仿宋" w:cs="仿宋"/>
          <w:color w:val="000000" w:themeColor="text1"/>
          <w:sz w:val="30"/>
          <w:szCs w:val="30"/>
          <w:lang w:val="zh-CN"/>
          <w14:textFill>
            <w14:solidFill>
              <w14:schemeClr w14:val="tx1"/>
            </w14:solidFill>
          </w14:textFill>
        </w:rPr>
      </w:pPr>
    </w:p>
    <w:p>
      <w:pPr>
        <w:spacing w:line="360" w:lineRule="auto"/>
        <w:rPr>
          <w:rFonts w:hint="eastAsia" w:ascii="仿宋" w:hAnsi="仿宋" w:eastAsia="仿宋" w:cs="仿宋"/>
          <w:color w:val="000000" w:themeColor="text1"/>
          <w:sz w:val="30"/>
          <w:szCs w:val="30"/>
          <w14:textFill>
            <w14:solidFill>
              <w14:schemeClr w14:val="tx1"/>
            </w14:solidFill>
          </w14:textFill>
        </w:rPr>
      </w:pPr>
    </w:p>
    <w:p>
      <w:pPr>
        <w:widowControl/>
        <w:jc w:val="left"/>
        <w:rPr>
          <w:rFonts w:hint="eastAsia" w:ascii="仿宋" w:hAnsi="仿宋" w:eastAsia="仿宋" w:cs="仿宋"/>
          <w:color w:val="000000" w:themeColor="text1"/>
          <w:sz w:val="30"/>
          <w:szCs w:val="30"/>
          <w14:textFill>
            <w14:solidFill>
              <w14:schemeClr w14:val="tx1"/>
            </w14:solidFill>
          </w14:textFill>
        </w:rPr>
      </w:pPr>
    </w:p>
    <w:p>
      <w:pPr>
        <w:spacing w:line="360" w:lineRule="auto"/>
        <w:ind w:firstLine="1800" w:firstLineChars="600"/>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 xml:space="preserve">第一部分      </w:t>
      </w:r>
      <w:r>
        <w:rPr>
          <w:rFonts w:hint="eastAsia" w:ascii="仿宋" w:hAnsi="仿宋" w:eastAsia="仿宋" w:cs="仿宋"/>
          <w:b/>
          <w:color w:val="000000" w:themeColor="text1"/>
          <w:sz w:val="30"/>
          <w:szCs w:val="30"/>
          <w:lang w:eastAsia="zh-CN"/>
          <w14:textFill>
            <w14:solidFill>
              <w14:schemeClr w14:val="tx1"/>
            </w14:solidFill>
          </w14:textFill>
        </w:rPr>
        <w:t>招标</w:t>
      </w:r>
      <w:r>
        <w:rPr>
          <w:rFonts w:hint="eastAsia" w:ascii="仿宋" w:hAnsi="仿宋" w:eastAsia="仿宋" w:cs="仿宋"/>
          <w:b/>
          <w:color w:val="000000" w:themeColor="text1"/>
          <w:sz w:val="30"/>
          <w:szCs w:val="30"/>
          <w14:textFill>
            <w14:solidFill>
              <w14:schemeClr w14:val="tx1"/>
            </w14:solidFill>
          </w14:textFill>
        </w:rPr>
        <w:t>公告</w:t>
      </w:r>
    </w:p>
    <w:p>
      <w:pPr>
        <w:spacing w:line="360" w:lineRule="auto"/>
        <w:ind w:firstLine="1800" w:firstLineChars="6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第二部分      供应商须知</w:t>
      </w:r>
    </w:p>
    <w:p>
      <w:pPr>
        <w:spacing w:line="360" w:lineRule="auto"/>
        <w:ind w:firstLine="1800" w:firstLineChars="600"/>
        <w:rPr>
          <w:rFonts w:hint="eastAsia"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 xml:space="preserve">第三部分      </w:t>
      </w:r>
      <w:r>
        <w:rPr>
          <w:rFonts w:hint="eastAsia" w:ascii="仿宋" w:hAnsi="仿宋" w:eastAsia="仿宋" w:cs="仿宋"/>
          <w:b/>
          <w:color w:val="000000" w:themeColor="text1"/>
          <w:sz w:val="30"/>
          <w:szCs w:val="30"/>
          <w:lang w:eastAsia="zh-CN"/>
          <w14:textFill>
            <w14:solidFill>
              <w14:schemeClr w14:val="tx1"/>
            </w14:solidFill>
          </w14:textFill>
        </w:rPr>
        <w:t>评标办法</w:t>
      </w:r>
    </w:p>
    <w:p>
      <w:pPr>
        <w:spacing w:line="360" w:lineRule="auto"/>
        <w:ind w:firstLine="1800" w:firstLineChars="600"/>
        <w:rPr>
          <w:rFonts w:hint="eastAsia"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 xml:space="preserve">第四部分      </w:t>
      </w:r>
      <w:r>
        <w:rPr>
          <w:rFonts w:hint="eastAsia" w:ascii="仿宋" w:hAnsi="仿宋" w:eastAsia="仿宋" w:cs="仿宋"/>
          <w:b/>
          <w:color w:val="000000" w:themeColor="text1"/>
          <w:sz w:val="30"/>
          <w:szCs w:val="30"/>
          <w:lang w:eastAsia="zh-CN"/>
          <w14:textFill>
            <w14:solidFill>
              <w14:schemeClr w14:val="tx1"/>
            </w14:solidFill>
          </w14:textFill>
        </w:rPr>
        <w:t>技术规格数量及质量要求</w:t>
      </w:r>
    </w:p>
    <w:p>
      <w:pPr>
        <w:spacing w:line="360" w:lineRule="auto"/>
        <w:ind w:firstLine="1800" w:firstLineChars="600"/>
        <w:rPr>
          <w:rFonts w:hint="eastAsia"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 xml:space="preserve">第五部分      </w:t>
      </w:r>
      <w:r>
        <w:rPr>
          <w:rFonts w:hint="eastAsia" w:ascii="仿宋" w:hAnsi="仿宋" w:eastAsia="仿宋" w:cs="仿宋"/>
          <w:b/>
          <w:color w:val="000000" w:themeColor="text1"/>
          <w:sz w:val="30"/>
          <w:szCs w:val="30"/>
          <w:lang w:eastAsia="zh-CN"/>
          <w14:textFill>
            <w14:solidFill>
              <w14:schemeClr w14:val="tx1"/>
            </w14:solidFill>
          </w14:textFill>
        </w:rPr>
        <w:t>合同（参考）</w:t>
      </w:r>
    </w:p>
    <w:p>
      <w:pPr>
        <w:pStyle w:val="25"/>
        <w:ind w:firstLine="1800" w:firstLineChars="60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第六部分</w:t>
      </w:r>
      <w:r>
        <w:rPr>
          <w:rFonts w:hint="eastAsia" w:ascii="仿宋" w:hAnsi="仿宋" w:eastAsia="仿宋" w:cs="仿宋"/>
          <w:b/>
          <w:color w:val="000000" w:themeColor="text1"/>
          <w:sz w:val="30"/>
          <w:szCs w:val="30"/>
          <w:lang w:val="en-US" w:eastAsia="zh-CN"/>
          <w14:textFill>
            <w14:solidFill>
              <w14:schemeClr w14:val="tx1"/>
            </w14:solidFill>
          </w14:textFill>
        </w:rPr>
        <w:t xml:space="preserve">      投标文件格式</w:t>
      </w:r>
    </w:p>
    <w:p>
      <w:pPr>
        <w:pStyle w:val="8"/>
        <w:numPr>
          <w:ilvl w:val="0"/>
          <w:numId w:val="0"/>
        </w:numPr>
        <w:ind w:leftChars="0" w:right="0" w:rightChars="0"/>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5"/>
        <w:rPr>
          <w:rFonts w:hint="eastAsia" w:ascii="仿宋" w:hAnsi="仿宋" w:eastAsia="仿宋" w:cs="仿宋"/>
          <w:color w:val="000000" w:themeColor="text1"/>
          <w:lang w:val="en-US" w:eastAsia="zh-CN"/>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5"/>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5"/>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5"/>
        <w:rPr>
          <w:rFonts w:hint="eastAsia" w:ascii="仿宋" w:hAnsi="仿宋" w:eastAsia="仿宋" w:cs="仿宋"/>
          <w:color w:val="000000" w:themeColor="text1"/>
          <w14:textFill>
            <w14:solidFill>
              <w14:schemeClr w14:val="tx1"/>
            </w14:solidFill>
          </w14:textFill>
        </w:rPr>
      </w:pPr>
    </w:p>
    <w:p>
      <w:pPr>
        <w:pStyle w:val="29"/>
        <w:keepNext/>
        <w:keepLines/>
        <w:widowControl w:val="0"/>
        <w:shd w:val="clear" w:color="auto" w:fill="auto"/>
        <w:bidi w:val="0"/>
        <w:spacing w:before="120" w:after="300" w:line="240" w:lineRule="auto"/>
        <w:ind w:left="0" w:right="0" w:firstLine="0"/>
        <w:jc w:val="center"/>
        <w:rPr>
          <w:rFonts w:hint="eastAsia" w:ascii="仿宋" w:hAnsi="仿宋" w:eastAsia="仿宋" w:cs="仿宋"/>
          <w:b/>
          <w:bCs/>
          <w:color w:val="000000" w:themeColor="text1"/>
          <w:spacing w:val="0"/>
          <w:w w:val="100"/>
          <w:position w:val="0"/>
          <w:sz w:val="36"/>
          <w:szCs w:val="36"/>
          <w14:textFill>
            <w14:solidFill>
              <w14:schemeClr w14:val="tx1"/>
            </w14:solidFill>
          </w14:textFill>
        </w:rPr>
        <w:sectPr>
          <w:footerReference r:id="rId7" w:type="default"/>
          <w:pgSz w:w="11906" w:h="16838"/>
          <w:pgMar w:top="1440" w:right="1080" w:bottom="1440" w:left="1080" w:header="851" w:footer="992" w:gutter="0"/>
          <w:pgNumType w:fmt="decimal" w:start="1"/>
          <w:cols w:space="720" w:num="1"/>
          <w:docGrid w:type="linesAndChars" w:linePitch="312" w:charSpace="0"/>
        </w:sectPr>
      </w:pPr>
    </w:p>
    <w:p>
      <w:pPr>
        <w:pStyle w:val="29"/>
        <w:keepNext/>
        <w:keepLines/>
        <w:widowControl w:val="0"/>
        <w:shd w:val="clear" w:color="auto" w:fill="auto"/>
        <w:bidi w:val="0"/>
        <w:spacing w:before="120" w:after="300" w:line="240" w:lineRule="auto"/>
        <w:ind w:left="0" w:right="0" w:firstLine="0"/>
        <w:jc w:val="center"/>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克州广播电视台广电融合提升工程（二次）</w:t>
      </w:r>
    </w:p>
    <w:p>
      <w:pPr>
        <w:pStyle w:val="29"/>
        <w:keepNext/>
        <w:keepLines/>
        <w:widowControl w:val="0"/>
        <w:shd w:val="clear" w:color="auto" w:fill="auto"/>
        <w:bidi w:val="0"/>
        <w:spacing w:before="120" w:after="300" w:line="240" w:lineRule="auto"/>
        <w:ind w:left="0" w:right="0" w:firstLine="0"/>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 xml:space="preserve">公开招标公告 </w:t>
      </w:r>
    </w:p>
    <w:tbl>
      <w:tblPr>
        <w:tblStyle w:val="19"/>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9961" w:type="dxa"/>
            <w:noWrap w:val="0"/>
            <w:vAlign w:val="top"/>
          </w:tcPr>
          <w:p>
            <w:pPr>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项目概况</w:t>
            </w:r>
          </w:p>
          <w:p>
            <w:pPr>
              <w:ind w:firstLine="486" w:firstLineChars="200"/>
              <w:jc w:val="left"/>
              <w:rPr>
                <w:rFonts w:hint="eastAsia" w:ascii="仿宋" w:hAnsi="仿宋" w:eastAsia="仿宋" w:cs="仿宋"/>
                <w:color w:val="000000" w:themeColor="text1"/>
                <w:sz w:val="24"/>
                <w:szCs w:val="24"/>
                <w:vertAlign w:val="baseline"/>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克州广播电视台广电融合提升工程（二次）的潜在投标人应在供应商登陆政采云平台http://www.zcygov.cn/，在线申请获取采购文件（登录政府采购云平台 → 项目采购 → 获取采购文件 → 申请，审核通过后可下载招标文件，如有操作性问题，可与政采云在线客服进行咨询，咨询电话：400-881-7190）获取招标文件，</w:t>
            </w:r>
            <w:r>
              <w:rPr>
                <w:rFonts w:hint="eastAsia" w:ascii="仿宋" w:hAnsi="仿宋" w:eastAsia="仿宋" w:cs="仿宋"/>
                <w:color w:val="auto"/>
                <w:sz w:val="24"/>
                <w:szCs w:val="24"/>
                <w:lang w:eastAsia="zh-CN"/>
              </w:rPr>
              <w:t>并于</w:t>
            </w:r>
            <w:r>
              <w:rPr>
                <w:rFonts w:hint="eastAsia" w:ascii="仿宋" w:hAnsi="仿宋" w:eastAsia="仿宋" w:cs="仿宋"/>
                <w:color w:val="auto"/>
                <w:sz w:val="24"/>
                <w:szCs w:val="24"/>
                <w:lang w:val="en-US" w:eastAsia="zh-CN"/>
              </w:rPr>
              <w:t>2022</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u w:val="single"/>
                <w:lang w:val="en-US" w:eastAsia="zh-CN"/>
              </w:rPr>
              <w:t>7</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u w:val="single"/>
                <w:lang w:val="en-US" w:eastAsia="zh-CN"/>
              </w:rPr>
              <w:t>25</w:t>
            </w:r>
            <w:r>
              <w:rPr>
                <w:rFonts w:hint="eastAsia" w:ascii="仿宋" w:hAnsi="仿宋" w:eastAsia="仿宋" w:cs="仿宋"/>
                <w:color w:val="auto"/>
                <w:sz w:val="24"/>
                <w:szCs w:val="24"/>
                <w:lang w:eastAsia="zh-CN"/>
              </w:rPr>
              <w:t>日 11:00（北京时间）前（上传）电子投标文件。</w:t>
            </w:r>
          </w:p>
        </w:tc>
      </w:tr>
    </w:tbl>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项目编号：</w:t>
      </w:r>
      <w:r>
        <w:rPr>
          <w:rFonts w:hint="eastAsia" w:ascii="仿宋" w:hAnsi="仿宋" w:eastAsia="仿宋" w:cs="仿宋"/>
          <w:color w:val="000000" w:themeColor="text1"/>
          <w:sz w:val="24"/>
          <w:szCs w:val="24"/>
          <w:lang w:val="en-US" w:eastAsia="zh-CN"/>
          <w14:textFill>
            <w14:solidFill>
              <w14:schemeClr w14:val="tx1"/>
            </w14:solidFill>
          </w14:textFill>
        </w:rPr>
        <w:t xml:space="preserve">KZZB-2022100-2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项目名称：</w:t>
      </w:r>
      <w:r>
        <w:rPr>
          <w:rFonts w:hint="eastAsia" w:ascii="仿宋" w:hAnsi="仿宋" w:eastAsia="仿宋" w:cs="仿宋"/>
          <w:color w:val="000000" w:themeColor="text1"/>
          <w:sz w:val="24"/>
          <w:szCs w:val="24"/>
          <w:lang w:eastAsia="zh-CN"/>
          <w14:textFill>
            <w14:solidFill>
              <w14:schemeClr w14:val="tx1"/>
            </w14:solidFill>
          </w14:textFill>
        </w:rPr>
        <w:t>克州广播电视台广电融合提升工程（二次）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采购方式：</w:t>
      </w:r>
      <w:r>
        <w:rPr>
          <w:rFonts w:hint="eastAsia" w:ascii="仿宋" w:hAnsi="仿宋" w:eastAsia="仿宋" w:cs="仿宋"/>
          <w:color w:val="000000" w:themeColor="text1"/>
          <w:sz w:val="24"/>
          <w:szCs w:val="24"/>
          <w:lang w:eastAsia="zh-CN"/>
          <w14:textFill>
            <w14:solidFill>
              <w14:schemeClr w14:val="tx1"/>
            </w14:solidFill>
          </w14:textFill>
        </w:rPr>
        <w:t>公开招标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预算金额（元）：</w:t>
      </w:r>
      <w:r>
        <w:rPr>
          <w:rFonts w:hint="eastAsia" w:ascii="仿宋" w:hAnsi="仿宋" w:eastAsia="仿宋" w:cs="仿宋"/>
          <w:color w:val="000000" w:themeColor="text1"/>
          <w:sz w:val="24"/>
          <w:szCs w:val="24"/>
          <w:lang w:val="en-US" w:eastAsia="zh-CN"/>
          <w14:textFill>
            <w14:solidFill>
              <w14:schemeClr w14:val="tx1"/>
            </w14:solidFill>
          </w14:textFill>
        </w:rPr>
        <w:t>10000000.00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最高限价（元）：</w:t>
      </w:r>
      <w:r>
        <w:rPr>
          <w:rFonts w:hint="eastAsia" w:ascii="仿宋" w:hAnsi="仿宋" w:eastAsia="仿宋" w:cs="仿宋"/>
          <w:color w:val="000000" w:themeColor="text1"/>
          <w:sz w:val="24"/>
          <w:szCs w:val="24"/>
          <w:lang w:val="en-US" w:eastAsia="zh-CN"/>
          <w14:textFill>
            <w14:solidFill>
              <w14:schemeClr w14:val="tx1"/>
            </w14:solidFill>
          </w14:textFill>
        </w:rPr>
        <w:t>10000000.00</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486" w:leftChars="200" w:firstLine="0" w:firstLineChars="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采购需求：</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486" w:leftChars="200" w:firstLine="0" w:firstLineChars="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标项名称:</w:t>
      </w:r>
      <w:r>
        <w:rPr>
          <w:rFonts w:hint="eastAsia" w:ascii="仿宋" w:hAnsi="仿宋" w:eastAsia="仿宋" w:cs="仿宋"/>
          <w:color w:val="000000" w:themeColor="text1"/>
          <w:sz w:val="24"/>
          <w:szCs w:val="24"/>
          <w:lang w:eastAsia="zh-CN"/>
          <w14:textFill>
            <w14:solidFill>
              <w14:schemeClr w14:val="tx1"/>
            </w14:solidFill>
          </w14:textFill>
        </w:rPr>
        <w:t>克州广播电视台广电融合提升工程（二次）</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486" w:leftChars="200" w:firstLine="0" w:firstLineChars="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数量:</w:t>
      </w:r>
      <w:r>
        <w:rPr>
          <w:rFonts w:hint="eastAsia" w:ascii="仿宋" w:hAnsi="仿宋" w:eastAsia="仿宋" w:cs="仿宋"/>
          <w:color w:val="000000" w:themeColor="text1"/>
          <w:sz w:val="24"/>
          <w:szCs w:val="24"/>
          <w:lang w:val="en-US" w:eastAsia="zh-CN"/>
          <w14:textFill>
            <w14:solidFill>
              <w14:schemeClr w14:val="tx1"/>
            </w14:solidFill>
          </w14:textFill>
        </w:rPr>
        <w:t>1</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预算金额（元）:</w:t>
      </w:r>
      <w:r>
        <w:rPr>
          <w:rFonts w:hint="eastAsia" w:ascii="仿宋" w:hAnsi="仿宋" w:eastAsia="仿宋" w:cs="仿宋"/>
          <w:color w:val="000000" w:themeColor="text1"/>
          <w:sz w:val="24"/>
          <w:szCs w:val="24"/>
          <w:lang w:val="en-US" w:eastAsia="zh-CN"/>
          <w14:textFill>
            <w14:solidFill>
              <w14:schemeClr w14:val="tx1"/>
            </w14:solidFill>
          </w14:textFill>
        </w:rPr>
        <w:t>10000000.00</w:t>
      </w:r>
    </w:p>
    <w:p>
      <w:pPr>
        <w:pStyle w:val="25"/>
        <w:rPr>
          <w:rFonts w:hint="eastAsia" w:ascii="仿宋" w:hAnsi="仿宋" w:eastAsia="仿宋" w:cs="仿宋"/>
          <w:sz w:val="24"/>
          <w:szCs w:val="24"/>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单位：批</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000000" w:themeColor="text1"/>
          <w:sz w:val="24"/>
          <w:szCs w:val="24"/>
          <w:highlight w:val="none"/>
          <w:lang w:val="en-US" w:eastAsia="zh-CN"/>
          <w14:textFill>
            <w14:solidFill>
              <w14:schemeClr w14:val="tx1"/>
            </w14:solidFill>
          </w14:textFill>
        </w:rPr>
        <w:t>详见参数清单附件</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合同履约期限：</w:t>
      </w:r>
      <w:r>
        <w:rPr>
          <w:rFonts w:hint="eastAsia" w:ascii="仿宋" w:hAnsi="仿宋" w:eastAsia="仿宋" w:cs="仿宋"/>
          <w:color w:val="auto"/>
          <w:sz w:val="24"/>
          <w:szCs w:val="24"/>
          <w:highlight w:val="none"/>
          <w:lang w:val="en-US" w:eastAsia="zh-CN"/>
        </w:rPr>
        <w:t>合同签订后于90天内全部安装、调试、试运行完毕。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w:t>
      </w:r>
      <w:r>
        <w:rPr>
          <w:rFonts w:hint="eastAsia" w:ascii="仿宋" w:hAnsi="仿宋" w:eastAsia="仿宋" w:cs="仿宋"/>
          <w:color w:val="auto"/>
          <w:sz w:val="24"/>
          <w:szCs w:val="24"/>
          <w:lang w:eastAsia="zh-CN"/>
        </w:rPr>
        <w:t>不</w:t>
      </w:r>
      <w:r>
        <w:rPr>
          <w:rFonts w:hint="eastAsia" w:ascii="仿宋" w:hAnsi="仿宋" w:eastAsia="仿宋" w:cs="仿宋"/>
          <w:color w:val="auto"/>
          <w:sz w:val="24"/>
          <w:szCs w:val="24"/>
        </w:rPr>
        <w:t>接受联合体投标。</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申请人的资格要求：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1.满足《中华人民共和国政府采购法》第二十二条规定；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2.落实政府采购政策需满足的资格要求：</w:t>
      </w:r>
      <w:r>
        <w:rPr>
          <w:rFonts w:hint="eastAsia" w:ascii="仿宋" w:hAnsi="仿宋" w:eastAsia="仿宋" w:cs="仿宋"/>
          <w:color w:val="000000" w:themeColor="text1"/>
          <w:sz w:val="24"/>
          <w:szCs w:val="24"/>
          <w:lang w:eastAsia="zh-CN"/>
          <w14:textFill>
            <w14:solidFill>
              <w14:schemeClr w14:val="tx1"/>
            </w14:solidFill>
          </w14:textFill>
        </w:rPr>
        <w:t>无</w:t>
      </w:r>
      <w:r>
        <w:rPr>
          <w:rFonts w:hint="eastAsia" w:ascii="仿宋" w:hAnsi="仿宋" w:eastAsia="仿宋" w:cs="仿宋"/>
          <w:color w:val="000000" w:themeColor="text1"/>
          <w:sz w:val="24"/>
          <w:szCs w:val="24"/>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3.本项目的特定资格要求：</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1).具备三证合一营业执照副本；</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2).法定代表人投标需提供法定代表人资格证明书，委托代理人投标需提供法定代表人授权委托书；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3).投标企业须提供投标人（</w:t>
      </w:r>
      <w:r>
        <w:rPr>
          <w:rFonts w:hint="eastAsia" w:ascii="仿宋" w:hAnsi="仿宋" w:eastAsia="仿宋" w:cs="仿宋"/>
          <w:color w:val="000000" w:themeColor="text1"/>
          <w:sz w:val="24"/>
          <w:szCs w:val="24"/>
          <w:lang w:eastAsia="zh-CN"/>
          <w14:textFill>
            <w14:solidFill>
              <w14:schemeClr w14:val="tx1"/>
            </w14:solidFill>
          </w14:textFill>
        </w:rPr>
        <w:t>被授权本单位在职人员</w:t>
      </w:r>
      <w:r>
        <w:rPr>
          <w:rFonts w:hint="eastAsia" w:ascii="仿宋" w:hAnsi="仿宋" w:eastAsia="仿宋" w:cs="仿宋"/>
          <w:color w:val="000000" w:themeColor="text1"/>
          <w:sz w:val="24"/>
          <w:szCs w:val="24"/>
          <w14:textFill>
            <w14:solidFill>
              <w14:schemeClr w14:val="tx1"/>
            </w14:solidFill>
          </w14:textFill>
        </w:rPr>
        <w:t>）近6个月有效的社保</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sz w:val="24"/>
          <w:szCs w:val="24"/>
          <w:lang w:eastAsia="zh-CN"/>
        </w:rPr>
      </w:pPr>
      <w:r>
        <w:rPr>
          <w:rFonts w:hint="eastAsia" w:ascii="仿宋" w:hAnsi="仿宋" w:eastAsia="仿宋" w:cs="仿宋"/>
          <w:color w:val="000000" w:themeColor="text1"/>
          <w:sz w:val="24"/>
          <w:szCs w:val="24"/>
          <w14:textFill>
            <w14:solidFill>
              <w14:schemeClr w14:val="tx1"/>
            </w14:solidFill>
          </w14:textFill>
        </w:rPr>
        <w:t>证明；</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486" w:leftChars="100" w:hanging="243" w:hangingChars="1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  4</w:t>
      </w:r>
      <w:r>
        <w:rPr>
          <w:rFonts w:hint="eastAsia" w:ascii="仿宋" w:hAnsi="仿宋" w:eastAsia="仿宋" w:cs="仿宋"/>
          <w:color w:val="000000" w:themeColor="text1"/>
          <w:sz w:val="24"/>
          <w:szCs w:val="24"/>
          <w14:textFill>
            <w14:solidFill>
              <w14:schemeClr w14:val="tx1"/>
            </w14:solidFill>
          </w14:textFill>
        </w:rPr>
        <w:t>）参加采购活动前三年内，在经营活动中没有重大违法记录，供应商须提供 “信用中国”网站（http://www.creditchina.gov.cn/）、“中国政府采购网”网站（http://www.ccgp.gov.cn）无违法违规行为的查询纪录（提供查询结果网页截图并加盖供应商公章）</w:t>
      </w:r>
      <w:r>
        <w:rPr>
          <w:rFonts w:hint="eastAsia" w:ascii="仿宋" w:hAnsi="仿宋" w:eastAsia="仿宋" w:cs="仿宋"/>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三、获取采购文件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0000FF"/>
          <w:sz w:val="24"/>
          <w:szCs w:val="24"/>
          <w:highlight w:val="none"/>
        </w:rPr>
      </w:pPr>
      <w:r>
        <w:rPr>
          <w:rFonts w:hint="eastAsia" w:ascii="仿宋" w:hAnsi="仿宋" w:eastAsia="仿宋" w:cs="仿宋"/>
          <w:color w:val="0000FF"/>
          <w:sz w:val="24"/>
          <w:szCs w:val="24"/>
          <w:highlight w:val="none"/>
          <w:lang w:val="en-US" w:eastAsia="zh-CN"/>
        </w:rPr>
        <w:t>1、</w:t>
      </w:r>
      <w:r>
        <w:rPr>
          <w:rFonts w:hint="eastAsia" w:ascii="仿宋" w:hAnsi="仿宋" w:eastAsia="仿宋" w:cs="仿宋"/>
          <w:color w:val="0000FF"/>
          <w:sz w:val="24"/>
          <w:szCs w:val="24"/>
          <w:highlight w:val="none"/>
        </w:rPr>
        <w:t>时间：</w:t>
      </w:r>
      <w:r>
        <w:rPr>
          <w:rFonts w:hint="eastAsia" w:ascii="仿宋" w:hAnsi="仿宋" w:eastAsia="仿宋" w:cs="仿宋"/>
          <w:color w:val="0000FF"/>
          <w:sz w:val="24"/>
          <w:szCs w:val="24"/>
          <w:highlight w:val="none"/>
          <w:lang w:val="en-US" w:eastAsia="zh-CN"/>
        </w:rPr>
        <w:t xml:space="preserve">2022 </w:t>
      </w:r>
      <w:r>
        <w:rPr>
          <w:rFonts w:hint="eastAsia" w:ascii="仿宋" w:hAnsi="仿宋" w:eastAsia="仿宋" w:cs="仿宋"/>
          <w:color w:val="0000FF"/>
          <w:sz w:val="24"/>
          <w:szCs w:val="24"/>
          <w:highlight w:val="none"/>
        </w:rPr>
        <w:t>年</w:t>
      </w:r>
      <w:r>
        <w:rPr>
          <w:rFonts w:hint="eastAsia" w:ascii="仿宋" w:hAnsi="仿宋" w:eastAsia="仿宋" w:cs="仿宋"/>
          <w:color w:val="0000FF"/>
          <w:sz w:val="24"/>
          <w:szCs w:val="24"/>
          <w:highlight w:val="none"/>
          <w:u w:val="single"/>
          <w:lang w:val="en-US" w:eastAsia="zh-CN"/>
        </w:rPr>
        <w:t>7</w:t>
      </w:r>
      <w:r>
        <w:rPr>
          <w:rFonts w:hint="eastAsia" w:ascii="仿宋" w:hAnsi="仿宋" w:eastAsia="仿宋" w:cs="仿宋"/>
          <w:color w:val="0000FF"/>
          <w:sz w:val="24"/>
          <w:szCs w:val="24"/>
          <w:highlight w:val="none"/>
        </w:rPr>
        <w:t>月</w:t>
      </w:r>
      <w:r>
        <w:rPr>
          <w:rFonts w:hint="eastAsia" w:ascii="仿宋" w:hAnsi="仿宋" w:eastAsia="仿宋" w:cs="仿宋"/>
          <w:color w:val="0000FF"/>
          <w:sz w:val="24"/>
          <w:szCs w:val="24"/>
          <w:highlight w:val="none"/>
          <w:u w:val="single"/>
          <w:lang w:val="en-US" w:eastAsia="zh-CN"/>
        </w:rPr>
        <w:t>5</w:t>
      </w:r>
      <w:r>
        <w:rPr>
          <w:rFonts w:hint="eastAsia" w:ascii="仿宋" w:hAnsi="仿宋" w:eastAsia="仿宋" w:cs="仿宋"/>
          <w:color w:val="0000FF"/>
          <w:sz w:val="24"/>
          <w:szCs w:val="24"/>
          <w:highlight w:val="none"/>
        </w:rPr>
        <w:t>日至</w:t>
      </w:r>
      <w:r>
        <w:rPr>
          <w:rFonts w:hint="eastAsia" w:ascii="仿宋" w:hAnsi="仿宋" w:eastAsia="仿宋" w:cs="仿宋"/>
          <w:color w:val="0000FF"/>
          <w:sz w:val="24"/>
          <w:szCs w:val="24"/>
          <w:highlight w:val="none"/>
          <w:lang w:val="en-US" w:eastAsia="zh-CN"/>
        </w:rPr>
        <w:t xml:space="preserve">  2022 </w:t>
      </w:r>
      <w:r>
        <w:rPr>
          <w:rFonts w:hint="eastAsia" w:ascii="仿宋" w:hAnsi="仿宋" w:eastAsia="仿宋" w:cs="仿宋"/>
          <w:color w:val="0000FF"/>
          <w:sz w:val="24"/>
          <w:szCs w:val="24"/>
          <w:highlight w:val="none"/>
        </w:rPr>
        <w:t>年</w:t>
      </w:r>
      <w:r>
        <w:rPr>
          <w:rFonts w:hint="eastAsia" w:ascii="仿宋" w:hAnsi="仿宋" w:eastAsia="仿宋" w:cs="仿宋"/>
          <w:color w:val="0000FF"/>
          <w:sz w:val="24"/>
          <w:szCs w:val="24"/>
          <w:highlight w:val="none"/>
          <w:u w:val="single"/>
          <w:lang w:val="en-US" w:eastAsia="zh-CN"/>
        </w:rPr>
        <w:t>7</w:t>
      </w:r>
      <w:r>
        <w:rPr>
          <w:rFonts w:hint="eastAsia" w:ascii="仿宋" w:hAnsi="仿宋" w:eastAsia="仿宋" w:cs="仿宋"/>
          <w:color w:val="0000FF"/>
          <w:sz w:val="24"/>
          <w:szCs w:val="24"/>
          <w:highlight w:val="none"/>
        </w:rPr>
        <w:t>月</w:t>
      </w:r>
      <w:r>
        <w:rPr>
          <w:rFonts w:hint="eastAsia" w:ascii="仿宋" w:hAnsi="仿宋" w:eastAsia="仿宋" w:cs="仿宋"/>
          <w:color w:val="0000FF"/>
          <w:sz w:val="24"/>
          <w:szCs w:val="24"/>
          <w:highlight w:val="none"/>
          <w:u w:val="single"/>
          <w:lang w:val="en-US" w:eastAsia="zh-CN"/>
        </w:rPr>
        <w:t>21</w:t>
      </w:r>
      <w:r>
        <w:rPr>
          <w:rFonts w:hint="eastAsia" w:ascii="仿宋" w:hAnsi="仿宋" w:eastAsia="仿宋" w:cs="仿宋"/>
          <w:color w:val="0000FF"/>
          <w:sz w:val="24"/>
          <w:szCs w:val="24"/>
          <w:highlight w:val="none"/>
        </w:rPr>
        <w:t>日，每天上午10:00至14:00，下午16:</w:t>
      </w:r>
      <w:r>
        <w:rPr>
          <w:rFonts w:hint="eastAsia" w:ascii="仿宋" w:hAnsi="仿宋" w:eastAsia="仿宋" w:cs="仿宋"/>
          <w:color w:val="0000FF"/>
          <w:sz w:val="24"/>
          <w:szCs w:val="24"/>
          <w:highlight w:val="none"/>
          <w:lang w:val="en-US" w:eastAsia="zh-CN"/>
        </w:rPr>
        <w:t>30</w:t>
      </w:r>
      <w:r>
        <w:rPr>
          <w:rFonts w:hint="eastAsia" w:ascii="仿宋" w:hAnsi="仿宋" w:eastAsia="仿宋" w:cs="仿宋"/>
          <w:color w:val="0000FF"/>
          <w:sz w:val="24"/>
          <w:szCs w:val="24"/>
          <w:highlight w:val="none"/>
        </w:rPr>
        <w:t>至19：30（北京时间，节假日除外）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地点：供应商登陆政采云平台http://www.zcygov.cn/，在线申请获取</w:t>
      </w:r>
      <w:r>
        <w:rPr>
          <w:rFonts w:hint="eastAsia" w:ascii="仿宋" w:hAnsi="仿宋" w:eastAsia="仿宋" w:cs="仿宋"/>
          <w:color w:val="000000" w:themeColor="text1"/>
          <w:sz w:val="24"/>
          <w:szCs w:val="24"/>
          <w:lang w:eastAsia="zh-CN"/>
          <w14:textFill>
            <w14:solidFill>
              <w14:schemeClr w14:val="tx1"/>
            </w14:solidFill>
          </w14:textFill>
        </w:rPr>
        <w:t>招标文件</w:t>
      </w:r>
      <w:r>
        <w:rPr>
          <w:rFonts w:hint="eastAsia" w:ascii="仿宋" w:hAnsi="仿宋" w:eastAsia="仿宋" w:cs="仿宋"/>
          <w:color w:val="000000" w:themeColor="text1"/>
          <w:sz w:val="24"/>
          <w:szCs w:val="24"/>
          <w14:textFill>
            <w14:solidFill>
              <w14:schemeClr w14:val="tx1"/>
            </w14:solidFill>
          </w14:textFill>
        </w:rPr>
        <w:t>（登录政府采购云平台 → 项目采购 → 获取</w:t>
      </w:r>
      <w:r>
        <w:rPr>
          <w:rFonts w:hint="eastAsia" w:ascii="仿宋" w:hAnsi="仿宋" w:eastAsia="仿宋" w:cs="仿宋"/>
          <w:color w:val="000000" w:themeColor="text1"/>
          <w:sz w:val="24"/>
          <w:szCs w:val="24"/>
          <w:lang w:eastAsia="zh-CN"/>
          <w14:textFill>
            <w14:solidFill>
              <w14:schemeClr w14:val="tx1"/>
            </w14:solidFill>
          </w14:textFill>
        </w:rPr>
        <w:t>招标文件</w:t>
      </w:r>
      <w:r>
        <w:rPr>
          <w:rFonts w:hint="eastAsia" w:ascii="仿宋" w:hAnsi="仿宋" w:eastAsia="仿宋" w:cs="仿宋"/>
          <w:color w:val="000000" w:themeColor="text1"/>
          <w:sz w:val="24"/>
          <w:szCs w:val="24"/>
          <w14:textFill>
            <w14:solidFill>
              <w14:schemeClr w14:val="tx1"/>
            </w14:solidFill>
          </w14:textFill>
        </w:rPr>
        <w:t>→申请，审核通过后可下载</w:t>
      </w:r>
      <w:r>
        <w:rPr>
          <w:rFonts w:hint="eastAsia" w:ascii="仿宋" w:hAnsi="仿宋" w:eastAsia="仿宋" w:cs="仿宋"/>
          <w:color w:val="000000" w:themeColor="text1"/>
          <w:sz w:val="24"/>
          <w:szCs w:val="24"/>
          <w:lang w:eastAsia="zh-CN"/>
          <w14:textFill>
            <w14:solidFill>
              <w14:schemeClr w14:val="tx1"/>
            </w14:solidFill>
          </w14:textFill>
        </w:rPr>
        <w:t>招标文件</w:t>
      </w:r>
      <w:r>
        <w:rPr>
          <w:rFonts w:hint="eastAsia" w:ascii="仿宋" w:hAnsi="仿宋" w:eastAsia="仿宋" w:cs="仿宋"/>
          <w:color w:val="000000" w:themeColor="text1"/>
          <w:sz w:val="24"/>
          <w:szCs w:val="24"/>
          <w14:textFill>
            <w14:solidFill>
              <w14:schemeClr w14:val="tx1"/>
            </w14:solidFill>
          </w14:textFill>
        </w:rPr>
        <w:t>，如有操作性问题，可与政采云在线客服进行咨询，咨询电话：400-881-7190）。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方式：（1）线上获取（登录政府采购云平台 → 项目采购 → 获取</w:t>
      </w:r>
      <w:r>
        <w:rPr>
          <w:rFonts w:hint="eastAsia" w:ascii="仿宋" w:hAnsi="仿宋" w:eastAsia="仿宋" w:cs="仿宋"/>
          <w:color w:val="000000" w:themeColor="text1"/>
          <w:sz w:val="24"/>
          <w:szCs w:val="24"/>
          <w:lang w:eastAsia="zh-CN"/>
          <w14:textFill>
            <w14:solidFill>
              <w14:schemeClr w14:val="tx1"/>
            </w14:solidFill>
          </w14:textFill>
        </w:rPr>
        <w:t>招标文件</w:t>
      </w:r>
      <w:r>
        <w:rPr>
          <w:rFonts w:hint="eastAsia" w:ascii="仿宋" w:hAnsi="仿宋" w:eastAsia="仿宋" w:cs="仿宋"/>
          <w:color w:val="000000" w:themeColor="text1"/>
          <w:sz w:val="24"/>
          <w:szCs w:val="24"/>
          <w14:textFill>
            <w14:solidFill>
              <w14:schemeClr w14:val="tx1"/>
            </w14:solidFill>
          </w14:textFill>
        </w:rPr>
        <w:t>→ 申请，审核通过后可下载</w:t>
      </w:r>
      <w:r>
        <w:rPr>
          <w:rFonts w:hint="eastAsia" w:ascii="仿宋" w:hAnsi="仿宋" w:eastAsia="仿宋" w:cs="仿宋"/>
          <w:color w:val="000000" w:themeColor="text1"/>
          <w:sz w:val="24"/>
          <w:szCs w:val="24"/>
          <w:lang w:eastAsia="zh-CN"/>
          <w14:textFill>
            <w14:solidFill>
              <w14:schemeClr w14:val="tx1"/>
            </w14:solidFill>
          </w14:textFill>
        </w:rPr>
        <w:t>招标文件</w:t>
      </w:r>
      <w:r>
        <w:rPr>
          <w:rFonts w:hint="eastAsia" w:ascii="仿宋" w:hAnsi="仿宋" w:eastAsia="仿宋" w:cs="仿宋"/>
          <w:color w:val="000000" w:themeColor="text1"/>
          <w:sz w:val="24"/>
          <w:szCs w:val="24"/>
          <w14:textFill>
            <w14:solidFill>
              <w14:schemeClr w14:val="tx1"/>
            </w14:solidFill>
          </w14:textFill>
        </w:rPr>
        <w:t>）。本次招标不提供纸质版</w:t>
      </w:r>
      <w:r>
        <w:rPr>
          <w:rFonts w:hint="eastAsia" w:ascii="仿宋" w:hAnsi="仿宋" w:eastAsia="仿宋" w:cs="仿宋"/>
          <w:color w:val="000000" w:themeColor="text1"/>
          <w:sz w:val="24"/>
          <w:szCs w:val="24"/>
          <w:lang w:eastAsia="zh-CN"/>
          <w14:textFill>
            <w14:solidFill>
              <w14:schemeClr w14:val="tx1"/>
            </w14:solidFill>
          </w14:textFill>
        </w:rPr>
        <w:t>招标文件</w:t>
      </w:r>
      <w:r>
        <w:rPr>
          <w:rFonts w:hint="eastAsia" w:ascii="仿宋" w:hAnsi="仿宋" w:eastAsia="仿宋" w:cs="仿宋"/>
          <w:color w:val="000000" w:themeColor="text1"/>
          <w:sz w:val="24"/>
          <w:szCs w:val="24"/>
          <w14:textFill>
            <w14:solidFill>
              <w14:schemeClr w14:val="tx1"/>
            </w14:solidFill>
          </w14:textFill>
        </w:rPr>
        <w:t>。（2）供应商获取</w:t>
      </w:r>
      <w:r>
        <w:rPr>
          <w:rFonts w:hint="eastAsia" w:ascii="仿宋" w:hAnsi="仿宋" w:eastAsia="仿宋" w:cs="仿宋"/>
          <w:color w:val="000000" w:themeColor="text1"/>
          <w:sz w:val="24"/>
          <w:szCs w:val="24"/>
          <w:lang w:eastAsia="zh-CN"/>
          <w14:textFill>
            <w14:solidFill>
              <w14:schemeClr w14:val="tx1"/>
            </w14:solidFill>
          </w14:textFill>
        </w:rPr>
        <w:t>招标文件</w:t>
      </w:r>
      <w:r>
        <w:rPr>
          <w:rFonts w:hint="eastAsia" w:ascii="仿宋" w:hAnsi="仿宋" w:eastAsia="仿宋" w:cs="仿宋"/>
          <w:color w:val="000000" w:themeColor="text1"/>
          <w:sz w:val="24"/>
          <w:szCs w:val="24"/>
          <w14:textFill>
            <w14:solidFill>
              <w14:schemeClr w14:val="tx1"/>
            </w14:solidFill>
          </w14:textFill>
        </w:rPr>
        <w:t>前应注册成为政府采购云平台正式供应商。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4、售价（元）：0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四、提交投标文件截止时间、开标时间和地点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截止时间：2022年</w:t>
      </w:r>
      <w:r>
        <w:rPr>
          <w:rFonts w:hint="eastAsia" w:ascii="仿宋" w:hAnsi="仿宋" w:eastAsia="仿宋" w:cs="仿宋"/>
          <w:b w:val="0"/>
          <w:color w:val="auto"/>
          <w:kern w:val="2"/>
          <w:sz w:val="24"/>
          <w:szCs w:val="24"/>
          <w:u w:val="single"/>
          <w:lang w:val="en-US" w:eastAsia="zh-CN" w:bidi="ar-SA"/>
        </w:rPr>
        <w:t>7</w:t>
      </w:r>
      <w:r>
        <w:rPr>
          <w:rFonts w:hint="eastAsia" w:ascii="仿宋" w:hAnsi="仿宋" w:eastAsia="仿宋" w:cs="仿宋"/>
          <w:b w:val="0"/>
          <w:color w:val="auto"/>
          <w:kern w:val="2"/>
          <w:sz w:val="24"/>
          <w:szCs w:val="24"/>
          <w:lang w:val="en-US" w:eastAsia="zh-CN" w:bidi="ar-SA"/>
        </w:rPr>
        <w:t>月</w:t>
      </w:r>
      <w:r>
        <w:rPr>
          <w:rFonts w:hint="eastAsia" w:ascii="仿宋" w:hAnsi="仿宋" w:eastAsia="仿宋" w:cs="仿宋"/>
          <w:b w:val="0"/>
          <w:color w:val="auto"/>
          <w:kern w:val="2"/>
          <w:sz w:val="24"/>
          <w:szCs w:val="24"/>
          <w:u w:val="single"/>
          <w:lang w:val="en-US" w:eastAsia="zh-CN" w:bidi="ar-SA"/>
        </w:rPr>
        <w:t>25</w:t>
      </w:r>
      <w:r>
        <w:rPr>
          <w:rFonts w:hint="eastAsia" w:ascii="仿宋" w:hAnsi="仿宋" w:eastAsia="仿宋" w:cs="仿宋"/>
          <w:b w:val="0"/>
          <w:color w:val="auto"/>
          <w:kern w:val="2"/>
          <w:sz w:val="24"/>
          <w:szCs w:val="24"/>
          <w:lang w:val="en-US" w:eastAsia="zh-CN" w:bidi="ar-SA"/>
        </w:rPr>
        <w:t>日11:00（北京时间）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投标地点：政府采购云平台（www.zcygov.cn）</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开标时间：2022年</w:t>
      </w:r>
      <w:r>
        <w:rPr>
          <w:rFonts w:hint="eastAsia" w:ascii="仿宋" w:hAnsi="仿宋" w:eastAsia="仿宋" w:cs="仿宋"/>
          <w:b w:val="0"/>
          <w:color w:val="auto"/>
          <w:kern w:val="2"/>
          <w:sz w:val="24"/>
          <w:szCs w:val="24"/>
          <w:u w:val="single"/>
          <w:lang w:val="en-US" w:eastAsia="zh-CN" w:bidi="ar-SA"/>
        </w:rPr>
        <w:t>7</w:t>
      </w:r>
      <w:r>
        <w:rPr>
          <w:rFonts w:hint="eastAsia" w:ascii="仿宋" w:hAnsi="仿宋" w:eastAsia="仿宋" w:cs="仿宋"/>
          <w:b w:val="0"/>
          <w:color w:val="auto"/>
          <w:kern w:val="2"/>
          <w:sz w:val="24"/>
          <w:szCs w:val="24"/>
          <w:lang w:val="en-US" w:eastAsia="zh-CN" w:bidi="ar-SA"/>
        </w:rPr>
        <w:t>月</w:t>
      </w:r>
      <w:r>
        <w:rPr>
          <w:rFonts w:hint="eastAsia" w:ascii="仿宋" w:hAnsi="仿宋" w:eastAsia="仿宋" w:cs="仿宋"/>
          <w:b w:val="0"/>
          <w:color w:val="auto"/>
          <w:kern w:val="2"/>
          <w:sz w:val="24"/>
          <w:szCs w:val="24"/>
          <w:u w:val="single"/>
          <w:lang w:val="en-US" w:eastAsia="zh-CN" w:bidi="ar-SA"/>
        </w:rPr>
        <w:t>25</w:t>
      </w:r>
      <w:r>
        <w:rPr>
          <w:rFonts w:hint="eastAsia" w:ascii="仿宋" w:hAnsi="仿宋" w:eastAsia="仿宋" w:cs="仿宋"/>
          <w:b w:val="0"/>
          <w:color w:val="auto"/>
          <w:kern w:val="2"/>
          <w:sz w:val="24"/>
          <w:szCs w:val="24"/>
          <w:lang w:val="en-US" w:eastAsia="zh-CN" w:bidi="ar-SA"/>
        </w:rPr>
        <w:t>日11:00（北京时间）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开标地点：在政府采购云平台（www.zcygov.cn）上开启投标文件，开标时间后，待采购组织机构发出解密通知后30分钟内，供应商须登录“政采云”平台，用“项目采购-开标评标”功能解密投标文件。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五、公告期限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自本公告发布之日起5个工作日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六、其他补充事宜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1.本项目采用全流程不见面电子开评标，投标供应商需要使用CA加密设备，供应商可通过新疆数字证书认证中心官网（https://www.xjca.com.cn/）或下载“新疆政务通”APP自行进行申领。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2.本项目实行网上投标，采用加密电子投标文件(供应商须使用CA加密设备通过政采云电子投标客户端制作投标文件)。若供应商参与投标，自行承担投标一切费用。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5.供应商在开标时须使用制作加密电子投标文件所使用的CA锁及电脑，电脑须提前配置好浏览器（建议使用谷歌浏览器），以便开标时解锁。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7.为了保证开评标顺利进行，政采云线上开标功能完全实现，供应商开标所使用的电脑设备须具有视频及语音功能。</w:t>
      </w:r>
    </w:p>
    <w:p>
      <w:pPr>
        <w:keepNext w:val="0"/>
        <w:keepLines w:val="0"/>
        <w:pageBreakBefore w:val="0"/>
        <w:widowControl w:val="0"/>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8.申请获取采购文件前须上传的资格证明文件扫描件有：</w:t>
      </w:r>
    </w:p>
    <w:p>
      <w:pPr>
        <w:keepNext w:val="0"/>
        <w:keepLines w:val="0"/>
        <w:pageBreakBefore w:val="0"/>
        <w:widowControl w:val="0"/>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1).具备三证合一营业执照副本原件；</w:t>
      </w:r>
    </w:p>
    <w:p>
      <w:pPr>
        <w:keepNext w:val="0"/>
        <w:keepLines w:val="0"/>
        <w:pageBreakBefore w:val="0"/>
        <w:widowControl w:val="0"/>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2).法定代表人投标需提供法定代表人资格证明书，委托代理人投标需提供法定代表人授权委托书；</w:t>
      </w:r>
    </w:p>
    <w:p>
      <w:pPr>
        <w:keepNext w:val="0"/>
        <w:keepLines w:val="0"/>
        <w:pageBreakBefore w:val="0"/>
        <w:widowControl w:val="0"/>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 xml:space="preserve">    3).投标企业须提供投标人（被授权本单位在职人员）近6个月有效的社保证明原件；</w:t>
      </w:r>
    </w:p>
    <w:p>
      <w:pPr>
        <w:keepNext w:val="0"/>
        <w:keepLines w:val="0"/>
        <w:pageBreakBefore w:val="0"/>
        <w:widowControl w:val="0"/>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 xml:space="preserve">    4）.参加采购活动前三年内，在经营活动中没有重大违法记录，供应商须提供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七、对本次招标提出询问，请按以下方式联系。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1.采购人信息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 xml:space="preserve">名 称：克州广播电视台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 xml:space="preserve">地址：克州阿图什市    联系方式：13779600940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2.采购代理机构信息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名 称：新疆建艺工程造价咨询有限公司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地 址：新疆克州阿图什市松他克乡鲁克村前进路603楼二层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联系方式：杨先生　 13209087999</w:t>
      </w: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25"/>
        <w:ind w:left="0" w:leftChars="0" w:firstLine="0" w:firstLineChars="0"/>
        <w:rPr>
          <w:rFonts w:hint="eastAsia" w:ascii="仿宋" w:hAnsi="仿宋" w:eastAsia="仿宋" w:cs="仿宋"/>
          <w:color w:val="000000" w:themeColor="text1"/>
          <w14:textFill>
            <w14:solidFill>
              <w14:schemeClr w14:val="tx1"/>
            </w14:solidFill>
          </w14:textFill>
        </w:rPr>
      </w:pPr>
    </w:p>
    <w:p>
      <w:pPr>
        <w:pStyle w:val="29"/>
        <w:keepNext/>
        <w:keepLines/>
        <w:widowControl w:val="0"/>
        <w:shd w:val="clear" w:color="auto" w:fill="auto"/>
        <w:bidi w:val="0"/>
        <w:spacing w:before="0" w:after="240" w:line="240" w:lineRule="auto"/>
        <w:ind w:left="0" w:right="0" w:firstLine="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0"/>
          <w:w w:val="100"/>
          <w:position w:val="0"/>
          <w14:textFill>
            <w14:solidFill>
              <w14:schemeClr w14:val="tx1"/>
            </w14:solidFill>
          </w14:textFill>
        </w:rPr>
        <w:t>第二部分供应商须知</w:t>
      </w:r>
    </w:p>
    <w:p>
      <w:pPr>
        <w:pStyle w:val="30"/>
        <w:keepNext w:val="0"/>
        <w:keepLines w:val="0"/>
        <w:widowControl w:val="0"/>
        <w:shd w:val="clear" w:color="auto" w:fill="auto"/>
        <w:bidi w:val="0"/>
        <w:spacing w:before="0" w:after="0" w:line="240" w:lineRule="auto"/>
        <w:ind w:right="0"/>
        <w:jc w:val="center"/>
        <w:rPr>
          <w:rFonts w:hint="eastAsia" w:ascii="仿宋" w:hAnsi="仿宋" w:eastAsia="仿宋" w:cs="仿宋"/>
          <w:color w:val="000000" w:themeColor="text1"/>
          <w:spacing w:val="0"/>
          <w:w w:val="100"/>
          <w:position w:val="0"/>
          <w:sz w:val="28"/>
          <w:szCs w:val="28"/>
          <w14:textFill>
            <w14:solidFill>
              <w14:schemeClr w14:val="tx1"/>
            </w14:solidFill>
          </w14:textFill>
        </w:rPr>
      </w:pPr>
      <w:r>
        <w:rPr>
          <w:rFonts w:hint="eastAsia" w:ascii="仿宋" w:hAnsi="仿宋" w:eastAsia="仿宋" w:cs="仿宋"/>
          <w:b/>
          <w:bCs/>
          <w:color w:val="000000" w:themeColor="text1"/>
          <w:spacing w:val="0"/>
          <w:w w:val="100"/>
          <w:position w:val="0"/>
          <w:sz w:val="28"/>
          <w:szCs w:val="28"/>
          <w:lang w:eastAsia="zh-CN"/>
          <w14:textFill>
            <w14:solidFill>
              <w14:schemeClr w14:val="tx1"/>
            </w14:solidFill>
          </w14:textFill>
        </w:rPr>
        <w:t>供应商</w:t>
      </w:r>
      <w:r>
        <w:rPr>
          <w:rFonts w:hint="eastAsia" w:ascii="仿宋" w:hAnsi="仿宋" w:eastAsia="仿宋" w:cs="仿宋"/>
          <w:b/>
          <w:bCs/>
          <w:color w:val="000000" w:themeColor="text1"/>
          <w:spacing w:val="0"/>
          <w:w w:val="100"/>
          <w:position w:val="0"/>
          <w:sz w:val="28"/>
          <w:szCs w:val="28"/>
          <w14:textFill>
            <w14:solidFill>
              <w14:schemeClr w14:val="tx1"/>
            </w14:solidFill>
          </w14:textFill>
        </w:rPr>
        <w:t>须知前附表</w:t>
      </w:r>
    </w:p>
    <w:tbl>
      <w:tblPr>
        <w:tblStyle w:val="18"/>
        <w:tblW w:w="9365" w:type="dxa"/>
        <w:jc w:val="center"/>
        <w:tblLayout w:type="fixed"/>
        <w:tblCellMar>
          <w:top w:w="0" w:type="dxa"/>
          <w:left w:w="108" w:type="dxa"/>
          <w:bottom w:w="0" w:type="dxa"/>
          <w:right w:w="108" w:type="dxa"/>
        </w:tblCellMar>
      </w:tblPr>
      <w:tblGrid>
        <w:gridCol w:w="545"/>
        <w:gridCol w:w="1675"/>
        <w:gridCol w:w="7145"/>
      </w:tblGrid>
      <w:tr>
        <w:tblPrEx>
          <w:tblCellMar>
            <w:top w:w="0" w:type="dxa"/>
            <w:left w:w="108" w:type="dxa"/>
            <w:bottom w:w="0" w:type="dxa"/>
            <w:right w:w="108" w:type="dxa"/>
          </w:tblCellMar>
        </w:tblPrEx>
        <w:trPr>
          <w:trHeight w:val="28"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序 号</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名  称</w:t>
            </w:r>
          </w:p>
        </w:tc>
        <w:tc>
          <w:tcPr>
            <w:tcW w:w="7145"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编  列  内  容</w:t>
            </w:r>
          </w:p>
        </w:tc>
      </w:tr>
      <w:tr>
        <w:tblPrEx>
          <w:tblCellMar>
            <w:top w:w="0" w:type="dxa"/>
            <w:left w:w="108" w:type="dxa"/>
            <w:bottom w:w="0" w:type="dxa"/>
            <w:right w:w="108" w:type="dxa"/>
          </w:tblCellMar>
        </w:tblPrEx>
        <w:trPr>
          <w:trHeight w:val="1924"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pStyle w:val="25"/>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项目名称：</w:t>
            </w:r>
          </w:p>
          <w:p>
            <w:pPr>
              <w:pStyle w:val="25"/>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项目编号：</w:t>
            </w:r>
          </w:p>
          <w:p>
            <w:pPr>
              <w:pStyle w:val="25"/>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采购内容：</w:t>
            </w:r>
          </w:p>
          <w:p>
            <w:pPr>
              <w:pStyle w:val="25"/>
              <w:ind w:left="0" w:leftChars="0" w:firstLine="0" w:firstLineChars="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供货期：</w:t>
            </w:r>
          </w:p>
        </w:tc>
        <w:tc>
          <w:tcPr>
            <w:tcW w:w="71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项目名称：克州广播电视台广电融合提升工程（二次）</w:t>
            </w:r>
          </w:p>
          <w:p>
            <w:pPr>
              <w:shd w:val="clear" w:color="auto" w:fill="auto"/>
              <w:spacing w:line="36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项目编号：KZZB-2022100-2</w:t>
            </w:r>
          </w:p>
          <w:p>
            <w:pPr>
              <w:shd w:val="clear" w:color="auto" w:fill="auto"/>
              <w:spacing w:line="360" w:lineRule="auto"/>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采购内容：详见参数清单</w:t>
            </w:r>
          </w:p>
          <w:p>
            <w:pPr>
              <w:shd w:val="clear" w:color="auto" w:fill="auto"/>
              <w:spacing w:line="360" w:lineRule="auto"/>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auto"/>
                <w:sz w:val="24"/>
                <w:szCs w:val="24"/>
                <w:lang w:val="en-US" w:eastAsia="zh-CN"/>
              </w:rPr>
              <w:t>供货期：合同签订后</w:t>
            </w:r>
            <w:r>
              <w:rPr>
                <w:rFonts w:hint="eastAsia" w:ascii="仿宋" w:hAnsi="仿宋" w:eastAsia="仿宋" w:cs="仿宋"/>
                <w:color w:val="auto"/>
                <w:sz w:val="24"/>
                <w:szCs w:val="24"/>
                <w:highlight w:val="none"/>
                <w:lang w:val="en-US" w:eastAsia="zh-CN"/>
              </w:rPr>
              <w:t>于90天</w:t>
            </w:r>
            <w:r>
              <w:rPr>
                <w:rFonts w:hint="eastAsia" w:ascii="仿宋" w:hAnsi="仿宋" w:eastAsia="仿宋" w:cs="仿宋"/>
                <w:color w:val="auto"/>
                <w:sz w:val="24"/>
                <w:szCs w:val="24"/>
                <w:lang w:val="en-US" w:eastAsia="zh-CN"/>
              </w:rPr>
              <w:t>内全部安装、调试、试运行完毕 。</w:t>
            </w:r>
          </w:p>
        </w:tc>
      </w:tr>
      <w:tr>
        <w:tblPrEx>
          <w:tblCellMar>
            <w:top w:w="0" w:type="dxa"/>
            <w:left w:w="108" w:type="dxa"/>
            <w:bottom w:w="0" w:type="dxa"/>
            <w:right w:w="108" w:type="dxa"/>
          </w:tblCellMar>
        </w:tblPrEx>
        <w:trPr>
          <w:trHeight w:val="85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采购人信息</w:t>
            </w:r>
          </w:p>
        </w:tc>
        <w:tc>
          <w:tcPr>
            <w:tcW w:w="71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名  称：克州广播电视台</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联系人：方先生      电  话：</w:t>
            </w:r>
            <w:r>
              <w:rPr>
                <w:rFonts w:hint="eastAsia" w:ascii="仿宋" w:hAnsi="仿宋" w:eastAsia="仿宋" w:cs="仿宋"/>
                <w:i w:val="0"/>
                <w:iCs w:val="0"/>
                <w:caps w:val="0"/>
                <w:color w:val="000000"/>
                <w:spacing w:val="0"/>
                <w:sz w:val="24"/>
                <w:szCs w:val="24"/>
                <w:lang w:val="en-US" w:eastAsia="zh-CN"/>
              </w:rPr>
              <w:t>13779600940</w:t>
            </w:r>
          </w:p>
        </w:tc>
      </w:tr>
      <w:tr>
        <w:tblPrEx>
          <w:tblCellMar>
            <w:top w:w="0" w:type="dxa"/>
            <w:left w:w="108" w:type="dxa"/>
            <w:bottom w:w="0" w:type="dxa"/>
            <w:right w:w="108" w:type="dxa"/>
          </w:tblCellMar>
        </w:tblPrEx>
        <w:trPr>
          <w:trHeight w:val="1371"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3</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采购代理机构</w:t>
            </w:r>
          </w:p>
        </w:tc>
        <w:tc>
          <w:tcPr>
            <w:tcW w:w="71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名  称：新疆建艺工程造价咨询有限公司</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地  址：新疆克州阿图什市松他克乡鲁克村前进路603楼二层</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联系人：杨先生       电  话：13209087999</w:t>
            </w:r>
          </w:p>
        </w:tc>
      </w:tr>
      <w:tr>
        <w:tblPrEx>
          <w:tblCellMar>
            <w:top w:w="0" w:type="dxa"/>
            <w:left w:w="108" w:type="dxa"/>
            <w:bottom w:w="0" w:type="dxa"/>
            <w:right w:w="108" w:type="dxa"/>
          </w:tblCellMar>
        </w:tblPrEx>
        <w:trPr>
          <w:trHeight w:val="468"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4</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 xml:space="preserve">最终交货地点 </w:t>
            </w:r>
          </w:p>
        </w:tc>
        <w:tc>
          <w:tcPr>
            <w:tcW w:w="71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采购单位指定地点</w:t>
            </w:r>
          </w:p>
        </w:tc>
      </w:tr>
      <w:tr>
        <w:tblPrEx>
          <w:tblCellMar>
            <w:top w:w="0" w:type="dxa"/>
            <w:left w:w="108" w:type="dxa"/>
            <w:bottom w:w="0" w:type="dxa"/>
            <w:right w:w="108" w:type="dxa"/>
          </w:tblCellMar>
        </w:tblPrEx>
        <w:trPr>
          <w:trHeight w:val="366"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5</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资格要求</w:t>
            </w:r>
          </w:p>
        </w:tc>
        <w:tc>
          <w:tcPr>
            <w:tcW w:w="71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1.满足《中华人民共和国政府采购法》第二十二条规定；</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2.落实政府采购政策需满足的资格要求：无</w:t>
            </w:r>
          </w:p>
          <w:p>
            <w:pPr>
              <w:shd w:val="clear" w:color="auto" w:fill="auto"/>
              <w:spacing w:line="360" w:lineRule="auto"/>
              <w:jc w:val="left"/>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3.本项目的特定资格要求：1).具备三证合一营业执照副本；2).法定代表人投标需提供法定代表人资格证明书，委托代理人投标需提供法定代表人授权委托书；3).投标企业须提供投标人（被授权本单位在职人员）近6个月有效的社保证明；4）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4.本项目不接受联合体投标；</w:t>
            </w:r>
          </w:p>
        </w:tc>
      </w:tr>
      <w:tr>
        <w:tblPrEx>
          <w:tblCellMar>
            <w:top w:w="0" w:type="dxa"/>
            <w:left w:w="108" w:type="dxa"/>
            <w:bottom w:w="0" w:type="dxa"/>
            <w:right w:w="10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6</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资金来源</w:t>
            </w:r>
          </w:p>
        </w:tc>
        <w:tc>
          <w:tcPr>
            <w:tcW w:w="71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中央预算内资金</w:t>
            </w:r>
          </w:p>
        </w:tc>
      </w:tr>
      <w:tr>
        <w:tblPrEx>
          <w:tblCellMar>
            <w:top w:w="0" w:type="dxa"/>
            <w:left w:w="108" w:type="dxa"/>
            <w:bottom w:w="0" w:type="dxa"/>
            <w:right w:w="10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7</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招标方式</w:t>
            </w:r>
          </w:p>
        </w:tc>
        <w:tc>
          <w:tcPr>
            <w:tcW w:w="71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 xml:space="preserve">公开招标(本项目采用网上电子招投标)  </w:t>
            </w:r>
          </w:p>
        </w:tc>
      </w:tr>
      <w:tr>
        <w:tblPrEx>
          <w:tblCellMar>
            <w:top w:w="0" w:type="dxa"/>
            <w:left w:w="108" w:type="dxa"/>
            <w:bottom w:w="0" w:type="dxa"/>
            <w:right w:w="10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8</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供应商信用查询</w:t>
            </w:r>
          </w:p>
        </w:tc>
        <w:tc>
          <w:tcPr>
            <w:tcW w:w="71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1、查询渠道：信用中国（网址：http://www.creditchina.gov.cn）、中国政府采购网(网址：http://www.ccgp.gov.cn）。</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2、截止时点：开标后评标前。</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3、信用信息查询记录和证据留存的具体方式：由采购组织机构在规定查询时间内打印信用信息查询记录并归入项目档案。</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CellMar>
            <w:top w:w="0" w:type="dxa"/>
            <w:left w:w="108" w:type="dxa"/>
            <w:bottom w:w="0" w:type="dxa"/>
            <w:right w:w="108" w:type="dxa"/>
          </w:tblCellMar>
        </w:tblPrEx>
        <w:trPr>
          <w:trHeight w:val="535"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9</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是否接受联合体投标</w:t>
            </w:r>
          </w:p>
        </w:tc>
        <w:tc>
          <w:tcPr>
            <w:tcW w:w="71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■不接受</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□接  受</w:t>
            </w:r>
          </w:p>
        </w:tc>
      </w:tr>
      <w:tr>
        <w:tblPrEx>
          <w:tblCellMar>
            <w:top w:w="0" w:type="dxa"/>
            <w:left w:w="108" w:type="dxa"/>
            <w:bottom w:w="0" w:type="dxa"/>
            <w:right w:w="108" w:type="dxa"/>
          </w:tblCellMar>
        </w:tblPrEx>
        <w:trPr>
          <w:trHeight w:val="28"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10</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投标截止时间 （开标时间）</w:t>
            </w:r>
          </w:p>
        </w:tc>
        <w:tc>
          <w:tcPr>
            <w:tcW w:w="71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FF"/>
                <w:sz w:val="24"/>
                <w:szCs w:val="24"/>
                <w:highlight w:val="none"/>
                <w:lang w:val="en-US" w:eastAsia="zh-CN"/>
              </w:rPr>
              <w:t>截止时间： 2022 年7月25日上午11时00分</w:t>
            </w:r>
            <w:r>
              <w:rPr>
                <w:rFonts w:hint="eastAsia" w:ascii="仿宋" w:hAnsi="仿宋" w:eastAsia="仿宋" w:cs="仿宋"/>
                <w:b w:val="0"/>
                <w:bCs w:val="0"/>
                <w:color w:val="auto"/>
                <w:sz w:val="24"/>
                <w:szCs w:val="24"/>
                <w:lang w:val="en-US" w:eastAsia="zh-CN"/>
              </w:rPr>
              <w:t>（北京时间）</w:t>
            </w:r>
          </w:p>
        </w:tc>
      </w:tr>
      <w:tr>
        <w:tblPrEx>
          <w:tblCellMar>
            <w:top w:w="0" w:type="dxa"/>
            <w:left w:w="108" w:type="dxa"/>
            <w:bottom w:w="0" w:type="dxa"/>
            <w:right w:w="108" w:type="dxa"/>
          </w:tblCellMar>
        </w:tblPrEx>
        <w:trPr>
          <w:trHeight w:val="300"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11</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投标有效期</w:t>
            </w:r>
          </w:p>
        </w:tc>
        <w:tc>
          <w:tcPr>
            <w:tcW w:w="71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 xml:space="preserve"> 60 天</w:t>
            </w:r>
          </w:p>
        </w:tc>
      </w:tr>
      <w:tr>
        <w:tblPrEx>
          <w:tblCellMar>
            <w:top w:w="0" w:type="dxa"/>
            <w:left w:w="108" w:type="dxa"/>
            <w:bottom w:w="0" w:type="dxa"/>
            <w:right w:w="108" w:type="dxa"/>
          </w:tblCellMar>
        </w:tblPrEx>
        <w:trPr>
          <w:trHeight w:val="638"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12</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投标保证金</w:t>
            </w:r>
          </w:p>
        </w:tc>
        <w:tc>
          <w:tcPr>
            <w:tcW w:w="71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政府采购投标保证金要求∶</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投标保证金交纳方式∶投标保证金应当以支票、汇票、本票、网上银行支付或者金融机构、担保机构出具的保函等非现金形式交纳。</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投标保证金的金额∶200000.00元（大写：贰拾万元整）</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投标保证金交纳要求∶</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1、</w:t>
            </w:r>
            <w:r>
              <w:rPr>
                <w:rFonts w:hint="eastAsia" w:ascii="仿宋" w:hAnsi="仿宋" w:eastAsia="仿宋" w:cs="仿宋"/>
                <w:b w:val="0"/>
                <w:bCs w:val="0"/>
                <w:color w:val="auto"/>
                <w:sz w:val="24"/>
                <w:szCs w:val="24"/>
                <w:lang w:val="en-US" w:eastAsia="zh-CN"/>
              </w:rPr>
              <w:t>投标保证金以电汇、网银等转账形式提交的，应在投标截止时间 2022 年7月25日上午 11∶ 00 时前以总公司的基本账户一次性汇入指定账户（以到账时间为准），不接受现金及任何个人汇款。确认到账后，持银行交款单、基本户开户许可证（基本存款账户信息）到克州政务服务和公共资源交易中心二楼换取票据收据，开标现场持此项目开具的票据收据原件，标书内附此票据收据复印件。</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2、</w:t>
            </w:r>
            <w:r>
              <w:rPr>
                <w:rFonts w:hint="eastAsia" w:ascii="仿宋" w:hAnsi="仿宋" w:eastAsia="仿宋" w:cs="仿宋"/>
                <w:b w:val="0"/>
                <w:bCs w:val="0"/>
                <w:color w:val="auto"/>
                <w:sz w:val="24"/>
                <w:szCs w:val="24"/>
                <w:lang w:val="en-US" w:eastAsia="zh-CN"/>
              </w:rPr>
              <w:t xml:space="preserve">投标保证金以保函等票据形式提交的，在开标现场持金融机构、担保机构出具的票据原件，标书内附此票据复印件。 </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3、</w:t>
            </w:r>
            <w:r>
              <w:rPr>
                <w:rFonts w:hint="eastAsia" w:ascii="仿宋" w:hAnsi="仿宋" w:eastAsia="仿宋" w:cs="仿宋"/>
                <w:b w:val="0"/>
                <w:bCs w:val="0"/>
                <w:color w:val="auto"/>
                <w:sz w:val="24"/>
                <w:szCs w:val="24"/>
                <w:lang w:val="en-US" w:eastAsia="zh-CN"/>
              </w:rPr>
              <w:t>有效投标保证金成功交纳后，截止开标时间，供应商无正当理由不参加该项目投标且不递交弃标函，投标保证金不予退还。</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户名∶克孜勒苏柯尔克孜自治州政务服务和公共资源交易中心</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账号∶30456301040005069</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行名∶农行阿图什市天山分理处</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行号：103893045636</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联系人：张女士</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电话：0908-4220265、18199721001</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（备注：必须写清楚某某公司某某项目保证金）</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 xml:space="preserve">投标保证金退还：1、中标供应商持合同和票据收据5日内办理；2、未中标供应商持收据5日内办理；3、因供应商自身原因耽搁领取，超过退还时限，不承担延后退还责任。 </w:t>
            </w:r>
          </w:p>
        </w:tc>
      </w:tr>
      <w:tr>
        <w:tblPrEx>
          <w:tblCellMar>
            <w:top w:w="0" w:type="dxa"/>
            <w:left w:w="108" w:type="dxa"/>
            <w:bottom w:w="0" w:type="dxa"/>
            <w:right w:w="108" w:type="dxa"/>
          </w:tblCellMar>
        </w:tblPrEx>
        <w:trPr>
          <w:trHeight w:val="545"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13</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是否允许递交备选  投标方案</w:t>
            </w:r>
          </w:p>
        </w:tc>
        <w:tc>
          <w:tcPr>
            <w:tcW w:w="71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■不允许</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□允  许</w:t>
            </w:r>
          </w:p>
        </w:tc>
      </w:tr>
      <w:tr>
        <w:tblPrEx>
          <w:tblCellMar>
            <w:top w:w="0" w:type="dxa"/>
            <w:left w:w="108" w:type="dxa"/>
            <w:bottom w:w="0" w:type="dxa"/>
            <w:right w:w="108" w:type="dxa"/>
          </w:tblCellMar>
        </w:tblPrEx>
        <w:trPr>
          <w:trHeight w:val="670"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14</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招标文件领取</w:t>
            </w:r>
          </w:p>
        </w:tc>
        <w:tc>
          <w:tcPr>
            <w:tcW w:w="71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u w:val="none"/>
                <w:lang w:val="en-US" w:eastAsia="zh-CN"/>
              </w:rPr>
              <w:t>时间： 2022 年7月5日至2022年7月21日，</w:t>
            </w:r>
            <w:r>
              <w:rPr>
                <w:rFonts w:hint="eastAsia" w:ascii="仿宋" w:hAnsi="仿宋" w:eastAsia="仿宋" w:cs="仿宋"/>
                <w:b w:val="0"/>
                <w:bCs w:val="0"/>
                <w:color w:val="auto"/>
                <w:sz w:val="24"/>
                <w:szCs w:val="24"/>
                <w:lang w:val="en-US" w:eastAsia="zh-CN"/>
              </w:rPr>
              <w:t>每天上午10:00至14:00，下午16:30至19:30（北京时间，节假日除外）</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地点：供应商登陆政采云平台http://www.zcygov.cn/，在线申请获取招标文件 （登录政府采购云平台 → 项目采购 → 获取招标文件 →申请，审核通过后可下载招标文件 ，如有操作性问题，可与政采云在线客服进行咨询，咨询电话：400-881-7190）。</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方式：（1）线上获取（登录政府采购云平台 → 项目采购 → 获取招标文件 → 申请，审核通过后可下载招标文件 ）。本次招标不提供纸质版招标文件 。</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（2）供应商获取招标文件 前应注册成为政府采购云平台正式供应商。</w:t>
            </w:r>
          </w:p>
        </w:tc>
      </w:tr>
      <w:tr>
        <w:tblPrEx>
          <w:tblCellMar>
            <w:top w:w="0" w:type="dxa"/>
            <w:left w:w="108" w:type="dxa"/>
            <w:bottom w:w="0" w:type="dxa"/>
            <w:right w:w="108" w:type="dxa"/>
          </w:tblCellMar>
        </w:tblPrEx>
        <w:trPr>
          <w:trHeight w:val="670"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15</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投标文件形式</w:t>
            </w:r>
          </w:p>
        </w:tc>
        <w:tc>
          <w:tcPr>
            <w:tcW w:w="71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电子投标文件包括“电子加密投标文件”和“备份投标文件”，在投标文件编制完成后同时生成。</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1、“电子加密投标文件”是指通过“政采云电子交易客户端”完成投标文件编制后生成并加密的数据电文形式的投标文件。</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2、“备份投标文件”是指与“电子加密投标文件”同时生成的数据电文形式的电子文件（备份标书，用于供应商标书解密异常时应急使用），其他方式编制的备份投标文件视为无效备份投标文件。</w:t>
            </w:r>
          </w:p>
        </w:tc>
      </w:tr>
      <w:tr>
        <w:tblPrEx>
          <w:tblCellMar>
            <w:top w:w="0" w:type="dxa"/>
            <w:left w:w="108" w:type="dxa"/>
            <w:bottom w:w="0" w:type="dxa"/>
            <w:right w:w="108" w:type="dxa"/>
          </w:tblCellMar>
        </w:tblPrEx>
        <w:trPr>
          <w:trHeight w:val="731"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16</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投标文件份数及要求</w:t>
            </w:r>
          </w:p>
        </w:tc>
        <w:tc>
          <w:tcPr>
            <w:tcW w:w="71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1、一份电子加密标书（“.jmbs”格式），一份备份标书文件（“.bfbs”格式）。</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2、每份电子投标文件应包括资格证明文件和商务及技术文件两部分。</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3、待开标结束后，中标企业请于</w:t>
            </w:r>
            <w:r>
              <w:rPr>
                <w:rFonts w:hint="eastAsia" w:ascii="仿宋" w:hAnsi="仿宋" w:eastAsia="仿宋" w:cs="仿宋"/>
                <w:b w:val="0"/>
                <w:bCs w:val="0"/>
                <w:color w:val="auto"/>
                <w:sz w:val="24"/>
                <w:szCs w:val="24"/>
                <w:u w:val="none"/>
                <w:lang w:val="en-US" w:eastAsia="zh-CN"/>
              </w:rPr>
              <w:t>2022年7月31日</w:t>
            </w:r>
            <w:r>
              <w:rPr>
                <w:rFonts w:hint="eastAsia" w:ascii="仿宋" w:hAnsi="仿宋" w:eastAsia="仿宋" w:cs="仿宋"/>
                <w:b w:val="0"/>
                <w:bCs w:val="0"/>
                <w:color w:val="auto"/>
                <w:sz w:val="24"/>
                <w:szCs w:val="24"/>
                <w:u w:val="single"/>
                <w:lang w:val="en-US" w:eastAsia="zh-CN"/>
              </w:rPr>
              <w:t>20:00</w:t>
            </w:r>
            <w:r>
              <w:rPr>
                <w:rFonts w:hint="eastAsia" w:ascii="仿宋" w:hAnsi="仿宋" w:eastAsia="仿宋" w:cs="仿宋"/>
                <w:b w:val="0"/>
                <w:bCs w:val="0"/>
                <w:color w:val="auto"/>
                <w:sz w:val="24"/>
                <w:szCs w:val="24"/>
                <w:lang w:val="en-US" w:eastAsia="zh-CN"/>
              </w:rPr>
              <w:t>前提</w:t>
            </w:r>
            <w:r>
              <w:rPr>
                <w:rFonts w:hint="eastAsia" w:ascii="仿宋" w:hAnsi="仿宋" w:eastAsia="仿宋" w:cs="仿宋"/>
                <w:b w:val="0"/>
                <w:bCs w:val="0"/>
                <w:color w:val="000000" w:themeColor="text1"/>
                <w:sz w:val="24"/>
                <w:szCs w:val="24"/>
                <w:lang w:val="en-US" w:eastAsia="zh-CN"/>
                <w14:textFill>
                  <w14:solidFill>
                    <w14:schemeClr w14:val="tx1"/>
                  </w14:solidFill>
                </w14:textFill>
              </w:rPr>
              <w:t>供纸质投标文件伍份并承诺与电子投标文件内容一致的承诺书至新疆建艺工程造价咨询有限公司（新疆克州阿图什市松他克乡鲁克村前进路603楼二层）。中标人可采用邮寄方式提供纸质版投标文件（收件地址：新疆克州阿图什市松他克乡鲁克村前进路603楼二层，收件人：杨先生，电话：13209087999），费用自行承担。</w:t>
            </w:r>
          </w:p>
        </w:tc>
      </w:tr>
      <w:tr>
        <w:tblPrEx>
          <w:tblCellMar>
            <w:top w:w="0" w:type="dxa"/>
            <w:left w:w="108" w:type="dxa"/>
            <w:bottom w:w="0" w:type="dxa"/>
            <w:right w:w="108" w:type="dxa"/>
          </w:tblCellMar>
        </w:tblPrEx>
        <w:trPr>
          <w:trHeight w:val="731" w:hRule="atLeast"/>
          <w:jc w:val="center"/>
        </w:trPr>
        <w:tc>
          <w:tcPr>
            <w:tcW w:w="545" w:type="dxa"/>
            <w:vMerge w:val="restart"/>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17</w:t>
            </w:r>
          </w:p>
        </w:tc>
        <w:tc>
          <w:tcPr>
            <w:tcW w:w="1675" w:type="dxa"/>
            <w:vMerge w:val="restart"/>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投标文件的上传和递交</w:t>
            </w:r>
          </w:p>
        </w:tc>
        <w:tc>
          <w:tcPr>
            <w:tcW w:w="71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1.电子加密投标文件：投标文件制作完成并生成加密标书，在投标截止时间前，供应商需将加密的投标文件上传至政采云平台，在开标时间开始后，待采购组织机构发出解密通知后30分钟内解密投标文件。</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a.供应商未能在投标截止时间前成功上传电子加密投标文件的投标无效。</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b.供应商成功上传电子加密投标文件后，可自行打印投标文件接收回执。</w:t>
            </w:r>
          </w:p>
        </w:tc>
      </w:tr>
      <w:tr>
        <w:tblPrEx>
          <w:tblCellMar>
            <w:top w:w="0" w:type="dxa"/>
            <w:left w:w="108" w:type="dxa"/>
            <w:bottom w:w="0" w:type="dxa"/>
            <w:right w:w="108" w:type="dxa"/>
          </w:tblCellMar>
        </w:tblPrEx>
        <w:trPr>
          <w:trHeight w:val="731"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1675" w:type="dxa"/>
            <w:vMerge w:val="continue"/>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71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2.备份投标文件：供应商在投标截止时间前将加密的投标文件上传至政府采购云平台，还可以在投标截止时间前以电子邮件方式提供备份投标文件1份（</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接收人邮箱：122508432</w:t>
            </w:r>
            <w:r>
              <w:rPr>
                <w:rFonts w:hint="eastAsia" w:ascii="仿宋" w:hAnsi="仿宋" w:eastAsia="仿宋" w:cs="仿宋"/>
                <w:b w:val="0"/>
                <w:bCs w:val="0"/>
                <w:color w:val="auto"/>
                <w:sz w:val="24"/>
                <w:szCs w:val="24"/>
                <w:highlight w:val="none"/>
                <w:lang w:val="en-US" w:eastAsia="zh-CN"/>
              </w:rPr>
              <w:t>@qq.com</w:t>
            </w:r>
            <w:r>
              <w:rPr>
                <w:rFonts w:hint="eastAsia" w:ascii="仿宋" w:hAnsi="仿宋" w:eastAsia="仿宋" w:cs="仿宋"/>
                <w:b w:val="0"/>
                <w:bCs w:val="0"/>
                <w:color w:val="auto"/>
                <w:sz w:val="24"/>
                <w:szCs w:val="24"/>
                <w:lang w:val="en-US" w:eastAsia="zh-CN"/>
              </w:rPr>
              <w:t>，接</w:t>
            </w:r>
            <w:r>
              <w:rPr>
                <w:rFonts w:hint="eastAsia" w:ascii="仿宋" w:hAnsi="仿宋" w:eastAsia="仿宋" w:cs="仿宋"/>
                <w:b w:val="0"/>
                <w:bCs w:val="0"/>
                <w:color w:val="000000" w:themeColor="text1"/>
                <w:sz w:val="24"/>
                <w:szCs w:val="24"/>
                <w:lang w:val="en-US" w:eastAsia="zh-CN"/>
                <w14:textFill>
                  <w14:solidFill>
                    <w14:schemeClr w14:val="tx1"/>
                  </w14:solidFill>
                </w14:textFill>
              </w:rPr>
              <w:t>收人：杨先生，电话：13209087999），“备份投标文件”由供应商自愿提供，招标文件 不作强制性要求；如不提供或未按要求提供的，当电子投标文件无法解密时，将导致无备份投标文件而失去投标资格。</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CellMar>
            <w:top w:w="0" w:type="dxa"/>
            <w:left w:w="108" w:type="dxa"/>
            <w:bottom w:w="0" w:type="dxa"/>
            <w:right w:w="108" w:type="dxa"/>
          </w:tblCellMar>
        </w:tblPrEx>
        <w:trPr>
          <w:trHeight w:val="823"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18</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评标委员会的组建</w:t>
            </w:r>
          </w:p>
        </w:tc>
        <w:tc>
          <w:tcPr>
            <w:tcW w:w="71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zh-CN" w:eastAsia="zh-CN"/>
                <w14:textFill>
                  <w14:solidFill>
                    <w14:schemeClr w14:val="tx1"/>
                  </w14:solidFill>
                </w14:textFill>
              </w:rPr>
            </w:pPr>
            <w:r>
              <w:rPr>
                <w:rFonts w:hint="eastAsia" w:ascii="仿宋" w:hAnsi="仿宋" w:eastAsia="仿宋" w:cs="仿宋"/>
                <w:b w:val="0"/>
                <w:bCs w:val="0"/>
                <w:color w:val="000000" w:themeColor="text1"/>
                <w:sz w:val="24"/>
                <w:szCs w:val="24"/>
                <w:lang w:val="zh-CN" w:eastAsia="zh-CN"/>
                <w14:textFill>
                  <w14:solidFill>
                    <w14:schemeClr w14:val="tx1"/>
                  </w14:solidFill>
                </w14:textFill>
              </w:rPr>
              <w:t>评标委员会由招标人依法组建；</w:t>
            </w:r>
          </w:p>
          <w:p>
            <w:pPr>
              <w:shd w:val="clear" w:color="auto" w:fill="auto"/>
              <w:spacing w:line="360" w:lineRule="auto"/>
              <w:jc w:val="left"/>
              <w:rPr>
                <w:rFonts w:hint="default" w:ascii="仿宋" w:hAnsi="仿宋" w:eastAsia="仿宋" w:cs="仿宋"/>
                <w:b w:val="0"/>
                <w:bCs w:val="0"/>
                <w:color w:val="000000" w:themeColor="text1"/>
                <w:sz w:val="24"/>
                <w:szCs w:val="24"/>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zh-CN" w:eastAsia="zh-CN"/>
                <w14:textFill>
                  <w14:solidFill>
                    <w14:schemeClr w14:val="tx1"/>
                  </w14:solidFill>
                </w14:textFill>
              </w:rPr>
              <w:t>评标专家确定方式：评标委员会由招标人在开标前从政采云专家库中随机抽取</w:t>
            </w:r>
            <w:r>
              <w:rPr>
                <w:rFonts w:hint="eastAsia" w:ascii="仿宋" w:hAnsi="仿宋" w:eastAsia="仿宋" w:cs="仿宋"/>
                <w:b w:val="0"/>
                <w:bCs w:val="0"/>
                <w:color w:val="000000" w:themeColor="text1"/>
                <w:sz w:val="24"/>
                <w:szCs w:val="24"/>
                <w:u w:val="single"/>
                <w:lang w:val="en-US" w:eastAsia="zh-CN"/>
                <w14:textFill>
                  <w14:solidFill>
                    <w14:schemeClr w14:val="tx1"/>
                  </w14:solidFill>
                </w14:textFill>
              </w:rPr>
              <w:t>6</w:t>
            </w:r>
            <w:r>
              <w:rPr>
                <w:rFonts w:hint="eastAsia" w:ascii="仿宋" w:hAnsi="仿宋" w:eastAsia="仿宋" w:cs="仿宋"/>
                <w:b w:val="0"/>
                <w:bCs w:val="0"/>
                <w:color w:val="000000" w:themeColor="text1"/>
                <w:sz w:val="24"/>
                <w:szCs w:val="24"/>
                <w:u w:val="none"/>
                <w:lang w:val="en-US" w:eastAsia="zh-CN"/>
                <w14:textFill>
                  <w14:solidFill>
                    <w14:schemeClr w14:val="tx1"/>
                  </w14:solidFill>
                </w14:textFill>
              </w:rPr>
              <w:t>名，业主代表人</w:t>
            </w:r>
            <w:r>
              <w:rPr>
                <w:rFonts w:hint="eastAsia" w:ascii="仿宋" w:hAnsi="仿宋" w:eastAsia="仿宋" w:cs="仿宋"/>
                <w:b w:val="0"/>
                <w:bCs w:val="0"/>
                <w:color w:val="000000" w:themeColor="text1"/>
                <w:sz w:val="24"/>
                <w:szCs w:val="24"/>
                <w:u w:val="single"/>
                <w:lang w:val="en-US" w:eastAsia="zh-CN"/>
                <w14:textFill>
                  <w14:solidFill>
                    <w14:schemeClr w14:val="tx1"/>
                  </w14:solidFill>
                </w14:textFill>
              </w:rPr>
              <w:t>1</w:t>
            </w:r>
            <w:r>
              <w:rPr>
                <w:rFonts w:hint="eastAsia" w:ascii="仿宋" w:hAnsi="仿宋" w:eastAsia="仿宋" w:cs="仿宋"/>
                <w:b w:val="0"/>
                <w:bCs w:val="0"/>
                <w:color w:val="000000" w:themeColor="text1"/>
                <w:sz w:val="24"/>
                <w:szCs w:val="24"/>
                <w:u w:val="none"/>
                <w:lang w:val="en-US" w:eastAsia="zh-CN"/>
                <w14:textFill>
                  <w14:solidFill>
                    <w14:schemeClr w14:val="tx1"/>
                  </w14:solidFill>
                </w14:textFill>
              </w:rPr>
              <w:t>名。</w:t>
            </w:r>
          </w:p>
        </w:tc>
      </w:tr>
      <w:tr>
        <w:tblPrEx>
          <w:tblCellMar>
            <w:top w:w="0" w:type="dxa"/>
            <w:left w:w="108" w:type="dxa"/>
            <w:bottom w:w="0" w:type="dxa"/>
            <w:right w:w="108" w:type="dxa"/>
          </w:tblCellMar>
        </w:tblPrEx>
        <w:trPr>
          <w:trHeight w:val="823"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19</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是否授权评标委员会确定中标候选人</w:t>
            </w:r>
          </w:p>
        </w:tc>
        <w:tc>
          <w:tcPr>
            <w:tcW w:w="71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zh-CN"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是，评标委员会推荐3名中标候选人。</w:t>
            </w:r>
            <w:r>
              <w:rPr>
                <w:rFonts w:hint="eastAsia" w:ascii="仿宋" w:hAnsi="仿宋" w:eastAsia="仿宋" w:cs="仿宋"/>
                <w:b w:val="0"/>
                <w:bCs w:val="0"/>
                <w:color w:val="000000" w:themeColor="text1"/>
                <w:sz w:val="24"/>
                <w:szCs w:val="24"/>
                <w:lang w:val="en-US" w:eastAsia="zh-CN"/>
                <w14:textFill>
                  <w14:solidFill>
                    <w14:schemeClr w14:val="tx1"/>
                  </w14:solidFill>
                </w14:textFill>
              </w:rPr>
              <w:tab/>
            </w:r>
          </w:p>
        </w:tc>
      </w:tr>
      <w:tr>
        <w:tblPrEx>
          <w:tblCellMar>
            <w:top w:w="0" w:type="dxa"/>
            <w:left w:w="108" w:type="dxa"/>
            <w:bottom w:w="0" w:type="dxa"/>
            <w:right w:w="108" w:type="dxa"/>
          </w:tblCellMar>
        </w:tblPrEx>
        <w:trPr>
          <w:trHeight w:val="756"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20</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递交投标文件地点</w:t>
            </w:r>
          </w:p>
        </w:tc>
        <w:tc>
          <w:tcPr>
            <w:tcW w:w="71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投标截止时间：2022年7月25日上午 11时00  分（北京时间）</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投标地点：新疆政府采购云平台（www.zcygov.cn）</w:t>
            </w:r>
          </w:p>
        </w:tc>
      </w:tr>
      <w:tr>
        <w:tblPrEx>
          <w:tblCellMar>
            <w:top w:w="0" w:type="dxa"/>
            <w:left w:w="108" w:type="dxa"/>
            <w:bottom w:w="0" w:type="dxa"/>
            <w:right w:w="108" w:type="dxa"/>
          </w:tblCellMar>
        </w:tblPrEx>
        <w:trPr>
          <w:trHeight w:val="710" w:hRule="atLeast"/>
          <w:jc w:val="center"/>
        </w:trPr>
        <w:tc>
          <w:tcPr>
            <w:tcW w:w="545" w:type="dxa"/>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21</w:t>
            </w:r>
          </w:p>
        </w:tc>
        <w:tc>
          <w:tcPr>
            <w:tcW w:w="1675" w:type="dxa"/>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开标时间和地点</w:t>
            </w:r>
          </w:p>
        </w:tc>
        <w:tc>
          <w:tcPr>
            <w:tcW w:w="7145" w:type="dxa"/>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开标时间：2022年7月25日上午11时00分（北京时间）</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开标地点：新疆政府采购云平台（www.zcygov.cn）         </w:t>
            </w:r>
          </w:p>
        </w:tc>
      </w:tr>
      <w:tr>
        <w:tblPrEx>
          <w:tblCellMar>
            <w:top w:w="0" w:type="dxa"/>
            <w:left w:w="108" w:type="dxa"/>
            <w:bottom w:w="0" w:type="dxa"/>
            <w:right w:w="108" w:type="dxa"/>
          </w:tblCellMar>
        </w:tblPrEx>
        <w:trPr>
          <w:trHeight w:val="710" w:hRule="atLeast"/>
          <w:jc w:val="center"/>
        </w:trPr>
        <w:tc>
          <w:tcPr>
            <w:tcW w:w="545" w:type="dxa"/>
            <w:vMerge w:val="restart"/>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22</w:t>
            </w:r>
          </w:p>
        </w:tc>
        <w:tc>
          <w:tcPr>
            <w:tcW w:w="1675" w:type="dxa"/>
            <w:vMerge w:val="restart"/>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重要说明</w:t>
            </w:r>
          </w:p>
        </w:tc>
        <w:tc>
          <w:tcPr>
            <w:tcW w:w="71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1.本项目采用全流程不见面电子开评标，投标供应商需要使用CA加密设备，供应商可通过新疆数字证书认证中心官网（https://www.xjca.com.cn/）或下载“新疆政务通”APP自行进行申领。</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2.本项目实行网上投标，采用加密电子投标文件(供应商须使用CA加密设备通过政采云电子投标客户端制作投标文件)。若供应商参与投标，自行承担投标一切费用。</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3.各供应商在开标前应确保成为新疆维吾尔自治区政府采购网正式注册入库供应商，并完成CA数字证书申领。因未注册入库、未办理CA数字证书等原因造成无法投标或投标失败等后果由供应商自行承担。</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5.供应商在开标时须使用制作加密电子投标文件所使用的CA锁及电脑，电脑须提前配置好浏览器（建议使用谷歌浏览器），以便开标时解锁。</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7.为了保证开评标顺利进行，政采云线上开标功能完全实现，供应商开标所使用的电脑设备须具有视频及语音功能。</w:t>
            </w:r>
          </w:p>
        </w:tc>
      </w:tr>
      <w:tr>
        <w:tblPrEx>
          <w:tblCellMar>
            <w:top w:w="0" w:type="dxa"/>
            <w:left w:w="108" w:type="dxa"/>
            <w:bottom w:w="0" w:type="dxa"/>
            <w:right w:w="108" w:type="dxa"/>
          </w:tblCellMar>
        </w:tblPrEx>
        <w:trPr>
          <w:trHeight w:val="710"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1675" w:type="dxa"/>
            <w:vMerge w:val="continue"/>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71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1、电子招投标情况说明：</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（1）电子招投标：本项目以数据电文形式，依托“政府采购云平台（www.zcygov.cn）”进行招投标活动。</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（3）招标文件 的获取：使用账号登录或者短信验证码或者使用CA登录政采云平台；进入“项目采购”应用，在获取招标文件 菜单中选择项目，获取招标文件 。申请获取招标文件 前须上传的资格证明文件扫描件有：</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1).具备三证合一营业执照副本；</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2).法定代表人投标需提供法定代表人资格证明书，委托代理人投标需提供法定代表人授权委托书；</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3).投标企业须提供投标人（被授权本单位在职人员）近6个月有效的社保证明；</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4）参加采购活动前三年内，在经营活动中没有重大违法记录，供应商须提供 “信用中国”网（http://www.creditchina.gov.cn/）、“中国政府采购网”网站（http://www.ccgp.gov.cn）无违法违规行为的查询纪录（提供查询结果网页截图并加盖供应商公章）；</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（4）投标文件的制作：在“政采云电子交易客户端”中完成“填写基本信息”、“导入投标文件”、“标书关联”、“标书检查”、“电子签名”、“生成电子标书”等操作。</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（5）投标文件的传输递交：供应商在投标截止时间前将加密的投标文件上传至政府采购云平台，还可以在投标截止时间前以电子邮件方式提供备份投标文件1份</w:t>
            </w: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highlight w:val="none"/>
                <w:lang w:val="en-US" w:eastAsia="zh-CN"/>
              </w:rPr>
              <w:t>接收人邮箱：122508432@qq</w:t>
            </w:r>
            <w:r>
              <w:rPr>
                <w:rFonts w:hint="eastAsia" w:ascii="仿宋" w:hAnsi="仿宋" w:eastAsia="仿宋" w:cs="仿宋"/>
                <w:b w:val="0"/>
                <w:bCs w:val="0"/>
                <w:color w:val="auto"/>
                <w:sz w:val="24"/>
                <w:szCs w:val="24"/>
                <w:lang w:val="en-US" w:eastAsia="zh-CN"/>
              </w:rPr>
              <w:t>.com，接收人：杨先生，电话：13209087999），</w:t>
            </w:r>
            <w:r>
              <w:rPr>
                <w:rFonts w:hint="eastAsia" w:ascii="仿宋" w:hAnsi="仿宋" w:eastAsia="仿宋" w:cs="仿宋"/>
                <w:b w:val="0"/>
                <w:bCs w:val="0"/>
                <w:color w:val="000000" w:themeColor="text1"/>
                <w:sz w:val="24"/>
                <w:szCs w:val="24"/>
                <w:lang w:val="en-US" w:eastAsia="zh-CN"/>
                <w14:textFill>
                  <w14:solidFill>
                    <w14:schemeClr w14:val="tx1"/>
                  </w14:solidFill>
                </w14:textFill>
              </w:rPr>
              <w:t>备份投标文件可以打包压缩并加密，压缩包命名为“XX单位备份投标文件”，加密密码由供应商自行保管（“备份投标文件”由供应商自愿提供，招标文件 不作强制性要求；如不提供或未按要求提供的，当电子投标文件无法解密时，将导致无备份投标文件而失去投标资格）。</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（7）具体操作指南：详见政采云平台“服务中心-帮助文档-项目采购-操作流程-电子招投标-政府采购项目电子交易管理操作指南-供应商”。</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（8）供应商在进行上述操作时，如遇技术问题可登录政采云（https://</w:t>
            </w:r>
            <w:r>
              <w:rPr>
                <w:rFonts w:hint="eastAsia" w:ascii="仿宋" w:hAnsi="仿宋" w:eastAsia="仿宋" w:cs="仿宋"/>
                <w:b w:val="0"/>
                <w:bCs w:val="0"/>
                <w:color w:val="000000" w:themeColor="text1"/>
                <w:sz w:val="24"/>
                <w:szCs w:val="24"/>
                <w:lang w:val="en-US" w:eastAsia="zh-CN"/>
                <w14:textFill>
                  <w14:solidFill>
                    <w14:schemeClr w14:val="tx1"/>
                  </w14:solidFill>
                </w14:textFill>
              </w:rPr>
              <w:fldChar w:fldCharType="begin"/>
            </w:r>
            <w:r>
              <w:rPr>
                <w:rFonts w:hint="eastAsia" w:ascii="仿宋" w:hAnsi="仿宋" w:eastAsia="仿宋" w:cs="仿宋"/>
                <w:b w:val="0"/>
                <w:bCs w:val="0"/>
                <w:color w:val="000000" w:themeColor="text1"/>
                <w:sz w:val="24"/>
                <w:szCs w:val="24"/>
                <w:lang w:val="en-US" w:eastAsia="zh-CN"/>
                <w14:textFill>
                  <w14:solidFill>
                    <w14:schemeClr w14:val="tx1"/>
                  </w14:solidFill>
                </w14:textFill>
              </w:rPr>
              <w:instrText xml:space="preserve">HYPERLINK "http://www.zcygov.cn/" \h</w:instrText>
            </w:r>
            <w:r>
              <w:rPr>
                <w:rFonts w:hint="eastAsia" w:ascii="仿宋" w:hAnsi="仿宋" w:eastAsia="仿宋" w:cs="仿宋"/>
                <w:b w:val="0"/>
                <w:bCs w:val="0"/>
                <w:color w:val="000000" w:themeColor="text1"/>
                <w:sz w:val="24"/>
                <w:szCs w:val="24"/>
                <w:lang w:val="en-US" w:eastAsia="zh-CN"/>
                <w14:textFill>
                  <w14:solidFill>
                    <w14:schemeClr w14:val="tx1"/>
                  </w14:solidFill>
                </w14:textFill>
              </w:rPr>
              <w:fldChar w:fldCharType="separate"/>
            </w:r>
            <w:r>
              <w:rPr>
                <w:rFonts w:hint="eastAsia" w:ascii="仿宋" w:hAnsi="仿宋" w:eastAsia="仿宋" w:cs="仿宋"/>
                <w:b w:val="0"/>
                <w:bCs w:val="0"/>
                <w:color w:val="000000" w:themeColor="text1"/>
                <w:sz w:val="24"/>
                <w:szCs w:val="24"/>
                <w:lang w:val="en-US" w:eastAsia="zh-CN"/>
                <w14:textFill>
                  <w14:solidFill>
                    <w14:schemeClr w14:val="tx1"/>
                  </w14:solidFill>
                </w14:textFill>
              </w:rPr>
              <w:t>www.zcygov.cn/</w:t>
            </w:r>
            <w:r>
              <w:rPr>
                <w:rFonts w:hint="eastAsia" w:ascii="仿宋" w:hAnsi="仿宋" w:eastAsia="仿宋" w:cs="仿宋"/>
                <w:b w:val="0"/>
                <w:bCs w:val="0"/>
                <w:color w:val="000000" w:themeColor="text1"/>
                <w:sz w:val="24"/>
                <w:szCs w:val="24"/>
                <w:lang w:val="en-US" w:eastAsia="zh-CN"/>
                <w14:textFill>
                  <w14:solidFill>
                    <w14:schemeClr w14:val="tx1"/>
                  </w14:solidFill>
                </w14:textFill>
              </w:rPr>
              <w:fldChar w:fldCharType="end"/>
            </w:r>
            <w:r>
              <w:rPr>
                <w:rFonts w:hint="eastAsia" w:ascii="仿宋" w:hAnsi="仿宋" w:eastAsia="仿宋" w:cs="仿宋"/>
                <w:b w:val="0"/>
                <w:bCs w:val="0"/>
                <w:color w:val="000000" w:themeColor="text1"/>
                <w:sz w:val="24"/>
                <w:szCs w:val="24"/>
                <w:lang w:val="en-US" w:eastAsia="zh-CN"/>
                <w14:textFill>
                  <w14:solidFill>
                    <w14:schemeClr w14:val="tx1"/>
                  </w14:solidFill>
                </w14:textFill>
              </w:rPr>
              <w:t>），点击右侧咨询小采，获取采小蜜智能服务管家帮助，或拨打政采云服务热线 400-881-7190 获取热线服务帮助。</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温馨提醒：供应商应提前上传，以便在上传时遇到技术问题，有充足的时间请教平台的技术人员。</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2、供应商认为招标文件 使自己的权益受到损害的，可以自收到招标文件 之日（招标文件 公告期限届满之前收到招标文件 的，以完成获取招标文件 申请后下载招标文件 的时间为准）或者招标文件 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 或逾期提出的不予受理、答复。</w:t>
            </w:r>
          </w:p>
        </w:tc>
      </w:tr>
      <w:tr>
        <w:tblPrEx>
          <w:tblCellMar>
            <w:top w:w="0" w:type="dxa"/>
            <w:left w:w="108" w:type="dxa"/>
            <w:bottom w:w="0" w:type="dxa"/>
            <w:right w:w="108" w:type="dxa"/>
          </w:tblCellMar>
        </w:tblPrEx>
        <w:trPr>
          <w:trHeight w:val="915"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23</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中标候选人公示媒介</w:t>
            </w:r>
          </w:p>
        </w:tc>
        <w:tc>
          <w:tcPr>
            <w:tcW w:w="71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克州公共资源交易网、新疆政府采购网，公示期为一个工作日。</w:t>
            </w:r>
          </w:p>
        </w:tc>
      </w:tr>
      <w:tr>
        <w:tblPrEx>
          <w:tblCellMar>
            <w:top w:w="0" w:type="dxa"/>
            <w:left w:w="108" w:type="dxa"/>
            <w:bottom w:w="0" w:type="dxa"/>
            <w:right w:w="108" w:type="dxa"/>
          </w:tblCellMar>
        </w:tblPrEx>
        <w:trPr>
          <w:trHeight w:val="410"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24</w:t>
            </w:r>
          </w:p>
        </w:tc>
        <w:tc>
          <w:tcPr>
            <w:tcW w:w="8820"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招标代理服务费</w:t>
            </w:r>
          </w:p>
        </w:tc>
      </w:tr>
      <w:tr>
        <w:tblPrEx>
          <w:tblCellMar>
            <w:top w:w="0" w:type="dxa"/>
            <w:left w:w="108" w:type="dxa"/>
            <w:bottom w:w="0" w:type="dxa"/>
            <w:right w:w="108" w:type="dxa"/>
          </w:tblCellMar>
        </w:tblPrEx>
        <w:trPr>
          <w:trHeight w:val="655"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8820"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收费标准：中标单位在领取本采购项目中标通知书时，按照《国家计委关于印发招标代理服务收费管理暂行办法的通知（计价格[2002]1980号）中规定收费基准支付代理费及《招标代理服务收费有关问题》（发改办价格[2003]857号文）中规定收取代理费；</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招标代理服务收费标准( 费 率)</w:t>
            </w:r>
          </w:p>
          <w:tbl>
            <w:tblPr>
              <w:tblStyle w:val="18"/>
              <w:tblpPr w:leftFromText="180" w:rightFromText="180" w:vertAnchor="text" w:horzAnchor="page" w:tblpXSpec="center" w:tblpY="19"/>
              <w:tblOverlap w:val="never"/>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1530"/>
              <w:gridCol w:w="1335"/>
              <w:gridCol w:w="2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             费率中标金额</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货物招标</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服务招标</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100万元以下</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1.5%</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1.5%</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100～500万元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1.1%</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0.8%</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500～1000万元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0.8%</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0.45%</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1000～5000万元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0.5%</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0.25%</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5000万元～1亿元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0.25%</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0.1%</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0.2%</w:t>
                  </w:r>
                  <w:r>
                    <w:rPr>
                      <w:rFonts w:hint="eastAsia" w:ascii="仿宋" w:hAnsi="仿宋" w:eastAsia="仿宋" w:cs="仿宋"/>
                      <w:b w:val="0"/>
                      <w:bCs w:val="0"/>
                      <w:color w:val="000000" w:themeColor="text1"/>
                      <w:sz w:val="24"/>
                      <w:szCs w:val="24"/>
                      <w:lang w:val="en-US" w:eastAsia="zh-CN"/>
                      <w14:textFill>
                        <w14:solidFill>
                          <w14:schemeClr w14:val="tx1"/>
                        </w14:solidFill>
                      </w14:textFill>
                    </w:rPr>
                    <w:cr/>
                  </w:r>
                  <w:r>
                    <w:rPr>
                      <w:rFonts w:hint="eastAsia" w:ascii="仿宋" w:hAnsi="仿宋" w:eastAsia="仿宋" w:cs="仿宋"/>
                      <w:b w:val="0"/>
                      <w:bCs w:val="0"/>
                      <w:color w:val="000000" w:themeColor="text1"/>
                      <w:sz w:val="24"/>
                      <w:szCs w:val="24"/>
                      <w:lang w:val="en-US" w:eastAsia="zh-CN"/>
                      <w14:textFill>
                        <w14:solidFill>
                          <w14:schemeClr w14:val="tx1"/>
                        </w14:solidFill>
                      </w14:textFill>
                    </w:rPr>
                    <w:c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1～5亿元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0.05%</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0.05%</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0.05</w:t>
                  </w:r>
                  <w:r>
                    <w:rPr>
                      <w:rFonts w:hint="eastAsia" w:ascii="仿宋" w:hAnsi="仿宋" w:eastAsia="仿宋" w:cs="仿宋"/>
                      <w:b w:val="0"/>
                      <w:bCs w:val="0"/>
                      <w:color w:val="000000" w:themeColor="text1"/>
                      <w:sz w:val="24"/>
                      <w:szCs w:val="24"/>
                      <w:lang w:val="en-US" w:eastAsia="zh-CN"/>
                      <w14:textFill>
                        <w14:solidFill>
                          <w14:schemeClr w14:val="tx1"/>
                        </w14:solidFill>
                      </w14:textFill>
                    </w:rPr>
                    <w:cr/>
                  </w:r>
                  <w:r>
                    <w:rPr>
                      <w:rFonts w:hint="eastAsia" w:ascii="仿宋" w:hAnsi="仿宋" w:eastAsia="仿宋" w:cs="仿宋"/>
                      <w:b w:val="0"/>
                      <w:bCs w:val="0"/>
                      <w:color w:val="000000" w:themeColor="text1"/>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5～10亿元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0.035%</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0.035%</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10～50亿元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0.008%</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0.008%</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50～100亿元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0.006%</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0.006%</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100亿以上</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0.004%</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0.004%</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0.004%</w:t>
                  </w:r>
                </w:p>
              </w:tc>
            </w:tr>
          </w:tbl>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注：</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    1、按本表费率计算的收费为招标代理服务全过程的收费基准价格，单独提供编制招标文件（有标底的含标底）服务的，可按规定标准的30％计收。</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    2、招标代理服务收费按差额定率累进法计算。例如：某工程招标代理业务中标金额为6000万元，计算招标代理服务费额如下：</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     100万元×1.0％＝1万元</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    （500－100）万元×0.7％＝2.8万元</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    （1000－500）万元×0.55％＝2.75万元</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    （5000－1000）万元×0.35％＝14万元</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    （6000－5000）万元×0.2％＝2万元</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    合计收费＝1＋2.8＋2.75＋14＋2＝22.55(万元)</w:t>
            </w:r>
          </w:p>
        </w:tc>
      </w:tr>
      <w:tr>
        <w:tblPrEx>
          <w:tblCellMar>
            <w:top w:w="0" w:type="dxa"/>
            <w:left w:w="108" w:type="dxa"/>
            <w:bottom w:w="0" w:type="dxa"/>
            <w:right w:w="108" w:type="dxa"/>
          </w:tblCellMar>
        </w:tblPrEx>
        <w:trPr>
          <w:trHeight w:val="84"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25</w:t>
            </w:r>
          </w:p>
        </w:tc>
        <w:tc>
          <w:tcPr>
            <w:tcW w:w="8820"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评标办法：本项目采用综合评分法</w:t>
            </w:r>
          </w:p>
        </w:tc>
      </w:tr>
      <w:tr>
        <w:tblPrEx>
          <w:tblCellMar>
            <w:top w:w="0" w:type="dxa"/>
            <w:left w:w="108" w:type="dxa"/>
            <w:bottom w:w="0" w:type="dxa"/>
            <w:right w:w="108" w:type="dxa"/>
          </w:tblCellMar>
        </w:tblPrEx>
        <w:trPr>
          <w:trHeight w:val="84"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26</w:t>
            </w:r>
          </w:p>
        </w:tc>
        <w:tc>
          <w:tcPr>
            <w:tcW w:w="8820"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不管投标结果如何，投标人均应承担自己投标所需一切费用。</w:t>
            </w:r>
          </w:p>
        </w:tc>
      </w:tr>
      <w:tr>
        <w:tblPrEx>
          <w:tblCellMar>
            <w:top w:w="0" w:type="dxa"/>
            <w:left w:w="108" w:type="dxa"/>
            <w:bottom w:w="0" w:type="dxa"/>
            <w:right w:w="108" w:type="dxa"/>
          </w:tblCellMar>
        </w:tblPrEx>
        <w:trPr>
          <w:trHeight w:val="84"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27</w:t>
            </w:r>
          </w:p>
        </w:tc>
        <w:tc>
          <w:tcPr>
            <w:tcW w:w="8820"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本次招标预算价：</w:t>
            </w:r>
            <w:r>
              <w:rPr>
                <w:rFonts w:hint="eastAsia" w:ascii="仿宋" w:hAnsi="仿宋" w:eastAsia="仿宋" w:cs="仿宋"/>
                <w:color w:val="000000" w:themeColor="text1"/>
                <w:lang w:val="en-US" w:eastAsia="zh-CN"/>
                <w14:textFill>
                  <w14:solidFill>
                    <w14:schemeClr w14:val="tx1"/>
                  </w14:solidFill>
                </w14:textFill>
              </w:rPr>
              <w:t>10000000.00</w:t>
            </w:r>
            <w:r>
              <w:rPr>
                <w:rFonts w:hint="eastAsia" w:ascii="仿宋" w:hAnsi="仿宋" w:eastAsia="仿宋" w:cs="仿宋"/>
                <w:b w:val="0"/>
                <w:bCs w:val="0"/>
                <w:color w:val="000000" w:themeColor="text1"/>
                <w:sz w:val="24"/>
                <w:szCs w:val="24"/>
                <w:lang w:val="en-US" w:eastAsia="zh-CN"/>
                <w14:textFill>
                  <w14:solidFill>
                    <w14:schemeClr w14:val="tx1"/>
                  </w14:solidFill>
                </w14:textFill>
              </w:rPr>
              <w:t>元，投标总报价超过采购预算价的按废标处理。</w:t>
            </w:r>
          </w:p>
        </w:tc>
      </w:tr>
      <w:tr>
        <w:tblPrEx>
          <w:tblCellMar>
            <w:top w:w="0" w:type="dxa"/>
            <w:left w:w="108" w:type="dxa"/>
            <w:bottom w:w="0" w:type="dxa"/>
            <w:right w:w="108" w:type="dxa"/>
          </w:tblCellMar>
        </w:tblPrEx>
        <w:trPr>
          <w:trHeight w:val="84" w:hRule="atLeast"/>
          <w:jc w:val="center"/>
        </w:trPr>
        <w:tc>
          <w:tcPr>
            <w:tcW w:w="545" w:type="dxa"/>
            <w:vMerge w:val="restart"/>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28</w:t>
            </w:r>
          </w:p>
        </w:tc>
        <w:tc>
          <w:tcPr>
            <w:tcW w:w="1675" w:type="dxa"/>
            <w:vMerge w:val="restart"/>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中小微企业政策文件</w:t>
            </w:r>
          </w:p>
        </w:tc>
        <w:tc>
          <w:tcPr>
            <w:tcW w:w="71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根据财政部、工业和信息化部关于印发《政府采购促进中小企业发展管理办法》的通知（财库[2020]46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p>
        </w:tc>
      </w:tr>
      <w:tr>
        <w:tblPrEx>
          <w:tblCellMar>
            <w:top w:w="0" w:type="dxa"/>
            <w:left w:w="108" w:type="dxa"/>
            <w:bottom w:w="0" w:type="dxa"/>
            <w:right w:w="108" w:type="dxa"/>
          </w:tblCellMar>
        </w:tblPrEx>
        <w:trPr>
          <w:trHeight w:val="84"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1675" w:type="dxa"/>
            <w:vMerge w:val="continue"/>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71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CellMar>
            <w:top w:w="0" w:type="dxa"/>
            <w:left w:w="108" w:type="dxa"/>
            <w:bottom w:w="0" w:type="dxa"/>
            <w:right w:w="108" w:type="dxa"/>
          </w:tblCellMar>
        </w:tblPrEx>
        <w:trPr>
          <w:trHeight w:val="84"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1675" w:type="dxa"/>
            <w:vMerge w:val="continue"/>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71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tblPrEx>
          <w:tblCellMar>
            <w:top w:w="0" w:type="dxa"/>
            <w:left w:w="108" w:type="dxa"/>
            <w:bottom w:w="0" w:type="dxa"/>
            <w:right w:w="108" w:type="dxa"/>
          </w:tblCellMar>
        </w:tblPrEx>
        <w:trPr>
          <w:trHeight w:val="2020" w:hRule="atLeast"/>
          <w:jc w:val="center"/>
        </w:trPr>
        <w:tc>
          <w:tcPr>
            <w:tcW w:w="545" w:type="dxa"/>
            <w:vMerge w:val="restart"/>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29</w:t>
            </w:r>
          </w:p>
        </w:tc>
        <w:tc>
          <w:tcPr>
            <w:tcW w:w="1675" w:type="dxa"/>
            <w:vMerge w:val="restart"/>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中小微企业政策文件说明</w:t>
            </w:r>
          </w:p>
        </w:tc>
        <w:tc>
          <w:tcPr>
            <w:tcW w:w="71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（1）支持中小企业发展：给予小型和微型企业产品的价格10%-20%的扣除，用扣除后的价格参与评审，本项目具体扣除</w:t>
            </w:r>
            <w:r>
              <w:rPr>
                <w:rFonts w:hint="eastAsia" w:ascii="仿宋" w:hAnsi="仿宋" w:eastAsia="仿宋" w:cs="仿宋"/>
                <w:b w:val="0"/>
                <w:bCs w:val="0"/>
                <w:color w:val="0000FF"/>
                <w:sz w:val="24"/>
                <w:szCs w:val="24"/>
                <w:lang w:val="en-US" w:eastAsia="zh-CN"/>
                <w14:textFill>
                  <w14:gradFill>
                    <w14:gsLst>
                      <w14:gs w14:pos="0">
                        <w14:srgbClr w14:val="E30000"/>
                      </w14:gs>
                      <w14:gs w14:pos="100000">
                        <w14:srgbClr w14:val="760303"/>
                      </w14:gs>
                    </w14:gsLst>
                    <w14:lin w14:scaled="0"/>
                  </w14:gradFill>
                </w14:textFill>
              </w:rPr>
              <w:t>比例为10%。</w:t>
            </w:r>
            <w:r>
              <w:rPr>
                <w:rFonts w:hint="eastAsia" w:ascii="仿宋" w:hAnsi="仿宋" w:eastAsia="仿宋" w:cs="仿宋"/>
                <w:b w:val="0"/>
                <w:bCs w:val="0"/>
                <w:color w:val="000000" w:themeColor="text1"/>
                <w:sz w:val="24"/>
                <w:szCs w:val="24"/>
                <w:lang w:val="en-US" w:eastAsia="zh-CN"/>
                <w14:textFill>
                  <w14:solidFill>
                    <w14:schemeClr w14:val="tx1"/>
                  </w14:solidFill>
                </w14:textFill>
              </w:rPr>
              <w:t>用扣除后的价格参与评审。残疾人福利性单位视同小型、微型企业，享受同等价格扣除，但同时属于残疾人福利性单位和小微企业的，不重复价格扣除。</w:t>
            </w:r>
          </w:p>
        </w:tc>
      </w:tr>
      <w:tr>
        <w:tblPrEx>
          <w:tblCellMar>
            <w:top w:w="0" w:type="dxa"/>
            <w:left w:w="108" w:type="dxa"/>
            <w:bottom w:w="0" w:type="dxa"/>
            <w:right w:w="108" w:type="dxa"/>
          </w:tblCellMar>
        </w:tblPrEx>
        <w:trPr>
          <w:trHeight w:val="721"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1675" w:type="dxa"/>
            <w:vMerge w:val="continue"/>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71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（2）不符合上述适用情形的投标人无需提供上述声明函件。</w:t>
            </w:r>
          </w:p>
        </w:tc>
      </w:tr>
      <w:tr>
        <w:tblPrEx>
          <w:tblCellMar>
            <w:top w:w="0" w:type="dxa"/>
            <w:left w:w="108" w:type="dxa"/>
            <w:bottom w:w="0" w:type="dxa"/>
            <w:right w:w="10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30</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zh-CN" w:eastAsia="zh-CN"/>
                <w14:textFill>
                  <w14:solidFill>
                    <w14:schemeClr w14:val="tx1"/>
                  </w14:solidFill>
                </w14:textFill>
              </w:rPr>
            </w:pPr>
            <w:r>
              <w:rPr>
                <w:rFonts w:hint="eastAsia" w:ascii="仿宋" w:hAnsi="仿宋" w:eastAsia="仿宋" w:cs="仿宋"/>
                <w:b w:val="0"/>
                <w:bCs w:val="0"/>
                <w:color w:val="000000" w:themeColor="text1"/>
                <w:sz w:val="24"/>
                <w:szCs w:val="24"/>
                <w:lang w:val="zh-CN" w:eastAsia="zh-CN"/>
                <w14:textFill>
                  <w14:solidFill>
                    <w14:schemeClr w14:val="tx1"/>
                  </w14:solidFill>
                </w14:textFill>
              </w:rPr>
              <w:t>履约保证金</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71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zh-CN" w:eastAsia="zh-CN"/>
                <w14:textFill>
                  <w14:solidFill>
                    <w14:schemeClr w14:val="tx1"/>
                  </w14:solidFill>
                </w14:textFill>
              </w:rPr>
              <w:t>中标人</w:t>
            </w:r>
            <w:r>
              <w:rPr>
                <w:rFonts w:hint="eastAsia" w:ascii="仿宋" w:hAnsi="仿宋" w:eastAsia="仿宋" w:cs="仿宋"/>
                <w:b w:val="0"/>
                <w:bCs w:val="0"/>
                <w:color w:val="000000" w:themeColor="text1"/>
                <w:sz w:val="24"/>
                <w:szCs w:val="24"/>
                <w:lang w:val="en-US" w:eastAsia="zh-CN"/>
                <w14:textFill>
                  <w14:solidFill>
                    <w14:schemeClr w14:val="tx1"/>
                  </w14:solidFill>
                </w14:textFill>
              </w:rPr>
              <w:t>应在领取《中标通知书》后的十个日历日内，办理履约保证金，</w:t>
            </w:r>
            <w:r>
              <w:rPr>
                <w:rFonts w:hint="eastAsia" w:ascii="仿宋" w:hAnsi="仿宋" w:eastAsia="仿宋" w:cs="仿宋"/>
                <w:b w:val="0"/>
                <w:bCs w:val="0"/>
                <w:color w:val="000000" w:themeColor="text1"/>
                <w:sz w:val="24"/>
                <w:szCs w:val="24"/>
                <w:lang w:val="zh-CN" w:eastAsia="zh-CN"/>
                <w14:textFill>
                  <w14:solidFill>
                    <w14:schemeClr w14:val="tx1"/>
                  </w14:solidFill>
                </w14:textFill>
              </w:rPr>
              <w:t>金额不超过合同总价的10%，</w:t>
            </w:r>
            <w:r>
              <w:rPr>
                <w:rFonts w:hint="eastAsia" w:ascii="仿宋" w:hAnsi="仿宋" w:eastAsia="仿宋" w:cs="仿宋"/>
                <w:b w:val="0"/>
                <w:bCs w:val="0"/>
                <w:color w:val="000000" w:themeColor="text1"/>
                <w:sz w:val="24"/>
                <w:szCs w:val="24"/>
                <w:lang w:val="en-US" w:eastAsia="zh-CN"/>
                <w14:textFill>
                  <w14:solidFill>
                    <w14:schemeClr w14:val="tx1"/>
                  </w14:solidFill>
                </w14:textFill>
              </w:rPr>
              <w:t>否则招标人可取消</w:t>
            </w:r>
            <w:r>
              <w:rPr>
                <w:rFonts w:hint="eastAsia" w:ascii="仿宋" w:hAnsi="仿宋" w:eastAsia="仿宋" w:cs="仿宋"/>
                <w:b w:val="0"/>
                <w:bCs w:val="0"/>
                <w:color w:val="000000" w:themeColor="text1"/>
                <w:sz w:val="24"/>
                <w:szCs w:val="24"/>
                <w:lang w:val="zh-CN" w:eastAsia="zh-CN"/>
                <w14:textFill>
                  <w14:solidFill>
                    <w14:schemeClr w14:val="tx1"/>
                  </w14:solidFill>
                </w14:textFill>
              </w:rPr>
              <w:t>成交人</w:t>
            </w:r>
            <w:r>
              <w:rPr>
                <w:rFonts w:hint="eastAsia" w:ascii="仿宋" w:hAnsi="仿宋" w:eastAsia="仿宋" w:cs="仿宋"/>
                <w:b w:val="0"/>
                <w:bCs w:val="0"/>
                <w:color w:val="000000" w:themeColor="text1"/>
                <w:sz w:val="24"/>
                <w:szCs w:val="24"/>
                <w:lang w:val="en-US" w:eastAsia="zh-CN"/>
                <w14:textFill>
                  <w14:solidFill>
                    <w14:schemeClr w14:val="tx1"/>
                  </w14:solidFill>
                </w14:textFill>
              </w:rPr>
              <w:t>的</w:t>
            </w:r>
            <w:r>
              <w:rPr>
                <w:rFonts w:hint="eastAsia" w:ascii="仿宋" w:hAnsi="仿宋" w:eastAsia="仿宋" w:cs="仿宋"/>
                <w:b w:val="0"/>
                <w:bCs w:val="0"/>
                <w:color w:val="000000" w:themeColor="text1"/>
                <w:sz w:val="24"/>
                <w:szCs w:val="24"/>
                <w:lang w:val="zh-CN" w:eastAsia="zh-CN"/>
                <w14:textFill>
                  <w14:solidFill>
                    <w14:schemeClr w14:val="tx1"/>
                  </w14:solidFill>
                </w14:textFill>
              </w:rPr>
              <w:t>成交</w:t>
            </w:r>
            <w:r>
              <w:rPr>
                <w:rFonts w:hint="eastAsia" w:ascii="仿宋" w:hAnsi="仿宋" w:eastAsia="仿宋" w:cs="仿宋"/>
                <w:b w:val="0"/>
                <w:bCs w:val="0"/>
                <w:color w:val="000000" w:themeColor="text1"/>
                <w:sz w:val="24"/>
                <w:szCs w:val="24"/>
                <w:lang w:val="en-US" w:eastAsia="zh-CN"/>
                <w14:textFill>
                  <w14:solidFill>
                    <w14:schemeClr w14:val="tx1"/>
                  </w14:solidFill>
                </w14:textFill>
              </w:rPr>
              <w:t>资格，并没收其投标保证金。</w:t>
            </w:r>
          </w:p>
        </w:tc>
      </w:tr>
      <w:tr>
        <w:tblPrEx>
          <w:tblCellMar>
            <w:top w:w="0" w:type="dxa"/>
            <w:left w:w="108" w:type="dxa"/>
            <w:bottom w:w="0" w:type="dxa"/>
            <w:right w:w="108" w:type="dxa"/>
          </w:tblCellMar>
        </w:tblPrEx>
        <w:trPr>
          <w:trHeight w:val="84" w:hRule="atLeast"/>
          <w:jc w:val="center"/>
        </w:trPr>
        <w:tc>
          <w:tcPr>
            <w:tcW w:w="2220"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729" w:firstLineChars="300"/>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备注</w:t>
            </w:r>
          </w:p>
        </w:tc>
        <w:tc>
          <w:tcPr>
            <w:tcW w:w="714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1、着重提醒各投标人注意，并认真查看招标文件中的每一个条款及要求，因误读招标文件而造成的后果，招标人概不负责。</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2、投标人使用相同IP地址的，一经发现，相关部门将进一步核实，查实后按串通投标处理。</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3、为保证本项目质量，良好的售后服务，最低报价不作为中标的唯一依据。</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4、采购人若发现成交候选供应商在投标过程中提供虚假证明文件，故意隐瞒公司不良信誉和财务状况，以及其他可能对合同圆满履行造成风险的因素等，则按规定取消其成交资格，监管部门依法进行处理。</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5、其它：</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（1）投标企业严格遵守国家的法律法规及招标纪律，无违法违纪及商业贿赂行为。</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（2）不管投标结果如何，供应商均应自行承担投标所需一切费用。</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（3）供应商应以书面形式保证中标后由本公司组织实施，不得以任何理由将项目转包给其他机构。</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（4）招标文件中如出现前后不一致情况，均以前附表内容为准。</w:t>
            </w:r>
          </w:p>
          <w:p>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r>
    </w:tbl>
    <w:p>
      <w:pPr>
        <w:rPr>
          <w:rFonts w:hint="eastAsia" w:ascii="仿宋" w:hAnsi="仿宋" w:eastAsia="仿宋" w:cs="仿宋"/>
          <w:color w:val="000000" w:themeColor="text1"/>
          <w14:textFill>
            <w14:solidFill>
              <w14:schemeClr w14:val="tx1"/>
            </w14:solidFill>
          </w14:textFill>
        </w:rPr>
      </w:pPr>
    </w:p>
    <w:p>
      <w:pPr>
        <w:pStyle w:val="25"/>
        <w:rPr>
          <w:rFonts w:hint="eastAsia" w:ascii="仿宋" w:hAnsi="仿宋" w:eastAsia="仿宋" w:cs="仿宋"/>
          <w:color w:val="000000" w:themeColor="text1"/>
          <w14:textFill>
            <w14:solidFill>
              <w14:schemeClr w14:val="tx1"/>
            </w14:solidFill>
          </w14:textFill>
        </w:rPr>
      </w:pPr>
    </w:p>
    <w:p>
      <w:pPr>
        <w:pStyle w:val="25"/>
        <w:rPr>
          <w:rFonts w:hint="eastAsia" w:ascii="仿宋" w:hAnsi="仿宋" w:eastAsia="仿宋" w:cs="仿宋"/>
          <w:color w:val="000000" w:themeColor="text1"/>
          <w14:textFill>
            <w14:solidFill>
              <w14:schemeClr w14:val="tx1"/>
            </w14:solidFill>
          </w14:textFill>
        </w:rPr>
      </w:pPr>
    </w:p>
    <w:p>
      <w:pPr>
        <w:pStyle w:val="25"/>
        <w:rPr>
          <w:rFonts w:hint="eastAsia" w:ascii="仿宋" w:hAnsi="仿宋" w:eastAsia="仿宋" w:cs="仿宋"/>
          <w:color w:val="000000" w:themeColor="text1"/>
          <w14:textFill>
            <w14:solidFill>
              <w14:schemeClr w14:val="tx1"/>
            </w14:solidFill>
          </w14:textFill>
        </w:rPr>
      </w:pPr>
    </w:p>
    <w:p>
      <w:pPr>
        <w:pStyle w:val="25"/>
        <w:rPr>
          <w:rFonts w:hint="eastAsia" w:ascii="仿宋" w:hAnsi="仿宋" w:eastAsia="仿宋" w:cs="仿宋"/>
          <w:color w:val="000000" w:themeColor="text1"/>
          <w14:textFill>
            <w14:solidFill>
              <w14:schemeClr w14:val="tx1"/>
            </w14:solidFill>
          </w14:textFill>
        </w:rPr>
      </w:pPr>
    </w:p>
    <w:p>
      <w:pPr>
        <w:pStyle w:val="25"/>
        <w:rPr>
          <w:rFonts w:hint="eastAsia" w:ascii="仿宋" w:hAnsi="仿宋" w:eastAsia="仿宋" w:cs="仿宋"/>
          <w:color w:val="000000" w:themeColor="text1"/>
          <w14:textFill>
            <w14:solidFill>
              <w14:schemeClr w14:val="tx1"/>
            </w14:solidFill>
          </w14:textFill>
        </w:rPr>
      </w:pPr>
    </w:p>
    <w:p>
      <w:pPr>
        <w:pStyle w:val="25"/>
        <w:rPr>
          <w:rFonts w:hint="eastAsia" w:ascii="仿宋" w:hAnsi="仿宋" w:eastAsia="仿宋" w:cs="仿宋"/>
          <w:color w:val="000000" w:themeColor="text1"/>
          <w14:textFill>
            <w14:solidFill>
              <w14:schemeClr w14:val="tx1"/>
            </w14:solidFill>
          </w14:textFill>
        </w:rPr>
      </w:pPr>
    </w:p>
    <w:p>
      <w:pPr>
        <w:pStyle w:val="25"/>
        <w:rPr>
          <w:rFonts w:hint="eastAsia" w:ascii="仿宋" w:hAnsi="仿宋" w:eastAsia="仿宋" w:cs="仿宋"/>
          <w:color w:val="000000" w:themeColor="text1"/>
          <w14:textFill>
            <w14:solidFill>
              <w14:schemeClr w14:val="tx1"/>
            </w14:solidFill>
          </w14:textFill>
        </w:rPr>
      </w:pPr>
    </w:p>
    <w:p>
      <w:pPr>
        <w:pageBreakBefore/>
        <w:shd w:val="clear" w:color="auto" w:fill="auto"/>
        <w:spacing w:before="312" w:beforeLines="100" w:after="312" w:afterLines="100" w:line="440" w:lineRule="exact"/>
        <w:jc w:val="center"/>
        <w:outlineLvl w:val="1"/>
        <w:rPr>
          <w:rFonts w:hint="eastAsia" w:ascii="仿宋" w:hAnsi="仿宋" w:eastAsia="仿宋" w:cs="仿宋"/>
          <w:b/>
          <w:color w:val="000000" w:themeColor="text1"/>
          <w:sz w:val="28"/>
          <w:szCs w:val="32"/>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二、投标人须知</w:t>
      </w:r>
    </w:p>
    <w:p>
      <w:pPr>
        <w:shd w:val="clear" w:color="auto" w:fill="auto"/>
        <w:spacing w:line="440" w:lineRule="exact"/>
        <w:jc w:val="center"/>
        <w:outlineLvl w:val="2"/>
        <w:rPr>
          <w:rFonts w:hint="eastAsia" w:ascii="仿宋" w:hAnsi="仿宋" w:eastAsia="仿宋" w:cs="仿宋"/>
          <w:color w:val="000000" w:themeColor="text1"/>
          <w:sz w:val="28"/>
          <w:szCs w:val="28"/>
          <w:highlight w:val="none"/>
          <w14:textFill>
            <w14:solidFill>
              <w14:schemeClr w14:val="tx1"/>
            </w14:solidFill>
          </w14:textFill>
        </w:rPr>
      </w:pPr>
      <w:bookmarkStart w:id="0" w:name="_Toc469495724"/>
      <w:r>
        <w:rPr>
          <w:rFonts w:hint="eastAsia" w:ascii="仿宋" w:hAnsi="仿宋" w:eastAsia="仿宋" w:cs="仿宋"/>
          <w:b/>
          <w:color w:val="000000" w:themeColor="text1"/>
          <w:sz w:val="28"/>
          <w:szCs w:val="28"/>
          <w:highlight w:val="none"/>
          <w14:textFill>
            <w14:solidFill>
              <w14:schemeClr w14:val="tx1"/>
            </w14:solidFill>
          </w14:textFill>
        </w:rPr>
        <w:t>（一）</w:t>
      </w:r>
      <w:r>
        <w:rPr>
          <w:rFonts w:hint="eastAsia" w:ascii="仿宋" w:hAnsi="仿宋" w:eastAsia="仿宋" w:cs="仿宋"/>
          <w:b/>
          <w:color w:val="000000" w:themeColor="text1"/>
          <w:sz w:val="28"/>
          <w:szCs w:val="32"/>
          <w:highlight w:val="none"/>
          <w14:textFill>
            <w14:solidFill>
              <w14:schemeClr w14:val="tx1"/>
            </w14:solidFill>
          </w14:textFill>
        </w:rPr>
        <w:t>总  则</w:t>
      </w:r>
      <w:bookmarkEnd w:id="0"/>
    </w:p>
    <w:p>
      <w:pPr>
        <w:shd w:val="clear" w:color="auto" w:fill="auto"/>
        <w:snapToGrid w:val="0"/>
        <w:spacing w:line="440" w:lineRule="exact"/>
        <w:ind w:firstLine="486"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1.项目概况</w:t>
      </w:r>
    </w:p>
    <w:p>
      <w:pPr>
        <w:shd w:val="clear" w:color="auto" w:fill="auto"/>
        <w:snapToGrid w:val="0"/>
        <w:spacing w:line="440" w:lineRule="exact"/>
        <w:ind w:firstLine="486"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1.1本次招标采购项目名称：见投标人须知前附表。</w:t>
      </w:r>
    </w:p>
    <w:p>
      <w:pPr>
        <w:shd w:val="clear" w:color="auto" w:fill="auto"/>
        <w:snapToGrid w:val="0"/>
        <w:spacing w:line="440" w:lineRule="exact"/>
        <w:ind w:firstLine="486"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项目编号：见投标人须知前附表。</w:t>
      </w:r>
    </w:p>
    <w:p>
      <w:pPr>
        <w:shd w:val="clear" w:color="auto" w:fill="auto"/>
        <w:snapToGrid w:val="0"/>
        <w:spacing w:line="440" w:lineRule="exact"/>
        <w:ind w:firstLine="486"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招标人：见投标人须知前附表。</w:t>
      </w:r>
    </w:p>
    <w:p>
      <w:pPr>
        <w:shd w:val="clear" w:color="auto" w:fill="auto"/>
        <w:snapToGrid w:val="0"/>
        <w:spacing w:line="440" w:lineRule="exact"/>
        <w:ind w:firstLine="486"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 xml:space="preserve"> 供货期：见投标人须知前附表。</w:t>
      </w:r>
    </w:p>
    <w:p>
      <w:pPr>
        <w:shd w:val="clear" w:color="auto" w:fill="auto"/>
        <w:snapToGrid w:val="0"/>
        <w:spacing w:line="440" w:lineRule="exact"/>
        <w:ind w:firstLine="486"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供货地点：见投标人须知前附表。</w:t>
      </w:r>
    </w:p>
    <w:p>
      <w:pPr>
        <w:shd w:val="clear" w:color="auto" w:fill="auto"/>
        <w:snapToGrid w:val="0"/>
        <w:spacing w:line="440" w:lineRule="exact"/>
        <w:ind w:firstLine="486"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1.2招标人及联系人: 见投标人须知前附表。</w:t>
      </w:r>
    </w:p>
    <w:p>
      <w:pPr>
        <w:shd w:val="clear" w:color="auto" w:fill="auto"/>
        <w:snapToGrid w:val="0"/>
        <w:spacing w:line="440" w:lineRule="exact"/>
        <w:ind w:firstLine="607" w:firstLineChars="25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代理机构及联系人: 见投标人须知前附表。</w:t>
      </w:r>
    </w:p>
    <w:p>
      <w:pPr>
        <w:shd w:val="clear" w:color="auto" w:fill="auto"/>
        <w:snapToGrid w:val="0"/>
        <w:spacing w:line="44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1.3资金来源：见投标人须知前附表。</w:t>
      </w:r>
    </w:p>
    <w:p>
      <w:pPr>
        <w:shd w:val="clear" w:color="auto" w:fill="auto"/>
        <w:snapToGrid w:val="0"/>
        <w:spacing w:line="44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1.4本项目预算：见投标人须知前附表。</w:t>
      </w:r>
    </w:p>
    <w:p>
      <w:pPr>
        <w:shd w:val="clear" w:color="auto" w:fill="auto"/>
        <w:snapToGrid w:val="0"/>
        <w:spacing w:line="44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1.5本项目控制价：见投标人须知前附表。</w:t>
      </w:r>
    </w:p>
    <w:p>
      <w:pPr>
        <w:shd w:val="clear" w:color="auto" w:fill="auto"/>
        <w:snapToGrid w:val="0"/>
        <w:spacing w:line="440" w:lineRule="exact"/>
        <w:ind w:firstLine="486"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2.招标范围：</w:t>
      </w:r>
    </w:p>
    <w:p>
      <w:pPr>
        <w:shd w:val="clear" w:color="auto" w:fill="auto"/>
        <w:snapToGrid w:val="0"/>
        <w:spacing w:line="440" w:lineRule="exact"/>
        <w:ind w:firstLine="486"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 采购内容：见投标人须知前附表。</w:t>
      </w:r>
    </w:p>
    <w:p>
      <w:pPr>
        <w:shd w:val="clear" w:color="auto" w:fill="auto"/>
        <w:snapToGrid w:val="0"/>
        <w:spacing w:line="44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 技术要求：详见</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第四章采购内容及技术要求。</w:t>
      </w:r>
    </w:p>
    <w:p>
      <w:pPr>
        <w:shd w:val="clear" w:color="auto" w:fill="auto"/>
        <w:snapToGrid w:val="0"/>
        <w:spacing w:line="440" w:lineRule="exact"/>
        <w:ind w:firstLine="486"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3.标包划分：</w:t>
      </w:r>
    </w:p>
    <w:p>
      <w:pPr>
        <w:shd w:val="clear" w:color="auto" w:fill="auto"/>
        <w:snapToGrid w:val="0"/>
        <w:spacing w:line="440" w:lineRule="exact"/>
        <w:ind w:firstLine="486"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3.1本项目划分：</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  </w:t>
      </w:r>
      <w:r>
        <w:rPr>
          <w:rFonts w:hint="eastAsia" w:ascii="仿宋" w:hAnsi="仿宋" w:eastAsia="仿宋" w:cs="仿宋"/>
          <w:color w:val="000000" w:themeColor="text1"/>
          <w:szCs w:val="21"/>
          <w:highlight w:val="none"/>
          <w14:textFill>
            <w14:solidFill>
              <w14:schemeClr w14:val="tx1"/>
            </w14:solidFill>
          </w14:textFill>
        </w:rPr>
        <w:t>个包</w:t>
      </w:r>
      <w:r>
        <w:rPr>
          <w:rFonts w:hint="eastAsia" w:ascii="仿宋" w:hAnsi="仿宋" w:eastAsia="仿宋" w:cs="仿宋"/>
          <w:color w:val="000000" w:themeColor="text1"/>
          <w:kern w:val="0"/>
          <w:szCs w:val="21"/>
          <w:highlight w:val="none"/>
          <w14:textFill>
            <w14:solidFill>
              <w14:schemeClr w14:val="tx1"/>
            </w14:solidFill>
          </w14:textFill>
        </w:rPr>
        <w:t>。</w:t>
      </w:r>
    </w:p>
    <w:p>
      <w:pPr>
        <w:shd w:val="clear" w:color="auto" w:fill="auto"/>
        <w:snapToGrid w:val="0"/>
        <w:spacing w:line="440" w:lineRule="exact"/>
        <w:ind w:firstLine="486"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4.招标方式：</w:t>
      </w:r>
    </w:p>
    <w:p>
      <w:pPr>
        <w:shd w:val="clear" w:color="auto" w:fill="auto"/>
        <w:snapToGrid w:val="0"/>
        <w:spacing w:line="44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4.1本项目招标方式：见投标人须知前附表。</w:t>
      </w:r>
    </w:p>
    <w:p>
      <w:pPr>
        <w:shd w:val="clear" w:color="auto" w:fill="auto"/>
        <w:snapToGrid w:val="0"/>
        <w:spacing w:line="440" w:lineRule="exact"/>
        <w:ind w:firstLine="486"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5.计价方式：</w:t>
      </w:r>
    </w:p>
    <w:p>
      <w:pPr>
        <w:shd w:val="clear" w:color="auto" w:fill="auto"/>
        <w:snapToGrid w:val="0"/>
        <w:spacing w:line="44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5.1本次招标项目合同采用</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u w:val="single"/>
          <w:lang w:val="en-US" w:eastAsia="zh-CN"/>
          <w14:textFill>
            <w14:solidFill>
              <w14:schemeClr w14:val="tx1"/>
            </w14:solidFill>
          </w14:textFill>
        </w:rPr>
        <w:t>总价</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pPr>
        <w:shd w:val="clear" w:color="auto" w:fill="auto"/>
        <w:snapToGrid w:val="0"/>
        <w:spacing w:line="440" w:lineRule="exact"/>
        <w:ind w:firstLine="486"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6.评标办法：</w:t>
      </w:r>
    </w:p>
    <w:p>
      <w:pPr>
        <w:shd w:val="clear" w:color="auto" w:fill="auto"/>
        <w:snapToGrid w:val="0"/>
        <w:spacing w:line="44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6.1本次招标评标采用</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u w:val="single"/>
          <w:lang w:eastAsia="zh-CN"/>
          <w14:textFill>
            <w14:solidFill>
              <w14:schemeClr w14:val="tx1"/>
            </w14:solidFill>
          </w14:textFill>
        </w:rPr>
        <w:t>综合评分</w:t>
      </w:r>
      <w:r>
        <w:rPr>
          <w:rFonts w:hint="eastAsia" w:ascii="仿宋" w:hAnsi="仿宋" w:eastAsia="仿宋" w:cs="仿宋"/>
          <w:color w:val="000000" w:themeColor="text1"/>
          <w:szCs w:val="21"/>
          <w:highlight w:val="none"/>
          <w:u w:val="single"/>
          <w14:textFill>
            <w14:solidFill>
              <w14:schemeClr w14:val="tx1"/>
            </w14:solidFill>
          </w14:textFill>
        </w:rPr>
        <w:t xml:space="preserve">法 </w:t>
      </w:r>
      <w:r>
        <w:rPr>
          <w:rFonts w:hint="eastAsia" w:ascii="仿宋" w:hAnsi="仿宋" w:eastAsia="仿宋" w:cs="仿宋"/>
          <w:color w:val="000000" w:themeColor="text1"/>
          <w:szCs w:val="21"/>
          <w:highlight w:val="none"/>
          <w14:textFill>
            <w14:solidFill>
              <w14:schemeClr w14:val="tx1"/>
            </w14:solidFill>
          </w14:textFill>
        </w:rPr>
        <w:t>（详见第三章评标办法）</w:t>
      </w:r>
    </w:p>
    <w:p>
      <w:pPr>
        <w:shd w:val="clear" w:color="auto" w:fill="auto"/>
        <w:snapToGrid w:val="0"/>
        <w:spacing w:line="440" w:lineRule="exact"/>
        <w:ind w:firstLine="486"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7.投标人资格：</w:t>
      </w:r>
    </w:p>
    <w:p>
      <w:pPr>
        <w:shd w:val="clear" w:color="auto" w:fill="auto"/>
        <w:snapToGrid w:val="0"/>
        <w:spacing w:line="44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7.1参与采购活动的投标人必须是满足《中华人民共和国政府采购法》规定条件的法人、其他组织或者自然人：</w:t>
      </w:r>
    </w:p>
    <w:p>
      <w:pPr>
        <w:shd w:val="clear" w:color="auto" w:fill="auto"/>
        <w:snapToGrid w:val="0"/>
        <w:spacing w:line="44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7.2由于政府采购项目的差异性，投标人在参与具体政府采购项目活动时，应仔细阅读该项目的资质要求,具体见投标人须知前附表。</w:t>
      </w:r>
    </w:p>
    <w:p>
      <w:pPr>
        <w:shd w:val="clear" w:color="auto" w:fill="auto"/>
        <w:snapToGrid w:val="0"/>
        <w:spacing w:line="44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pPr>
        <w:shd w:val="clear" w:color="auto" w:fill="auto"/>
        <w:snapToGrid w:val="0"/>
        <w:spacing w:line="44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7.4投标人必须确保自己在信息库中注册的信息真实、准确，并保证投标文件中的有关信息与库中的信息相一致。否则，投标人因此蒙受损失，招标人概不负责。</w:t>
      </w:r>
    </w:p>
    <w:p>
      <w:pPr>
        <w:shd w:val="clear" w:color="auto" w:fill="auto"/>
        <w:spacing w:line="440" w:lineRule="exact"/>
        <w:ind w:firstLine="486"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8. 投标费用</w:t>
      </w:r>
    </w:p>
    <w:p>
      <w:pPr>
        <w:shd w:val="clear" w:color="auto" w:fill="auto"/>
        <w:snapToGrid w:val="0"/>
        <w:spacing w:line="44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8.1投标人准备和参加投标活动发生的费用自理。</w:t>
      </w:r>
    </w:p>
    <w:p>
      <w:pPr>
        <w:shd w:val="clear" w:color="auto" w:fill="auto"/>
        <w:spacing w:line="440" w:lineRule="exact"/>
        <w:ind w:firstLine="486"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9.</w:t>
      </w:r>
      <w:bookmarkStart w:id="1" w:name="_Toc152045539"/>
      <w:bookmarkStart w:id="2" w:name="_Toc144974507"/>
      <w:bookmarkStart w:id="3" w:name="_Toc152042315"/>
      <w:bookmarkStart w:id="4" w:name="_Toc247513962"/>
      <w:bookmarkStart w:id="5" w:name="_Toc296602429"/>
      <w:bookmarkStart w:id="6" w:name="_Toc247527563"/>
      <w:bookmarkStart w:id="7" w:name="_Toc247592876"/>
      <w:r>
        <w:rPr>
          <w:rFonts w:hint="eastAsia" w:ascii="仿宋" w:hAnsi="仿宋" w:eastAsia="仿宋" w:cs="仿宋"/>
          <w:b/>
          <w:color w:val="000000" w:themeColor="text1"/>
          <w:szCs w:val="21"/>
          <w:highlight w:val="none"/>
          <w14:textFill>
            <w14:solidFill>
              <w14:schemeClr w14:val="tx1"/>
            </w14:solidFill>
          </w14:textFill>
        </w:rPr>
        <w:t xml:space="preserve"> 踏勘现场</w:t>
      </w:r>
      <w:bookmarkEnd w:id="1"/>
      <w:bookmarkEnd w:id="2"/>
      <w:bookmarkEnd w:id="3"/>
      <w:bookmarkEnd w:id="4"/>
      <w:bookmarkEnd w:id="5"/>
      <w:bookmarkEnd w:id="6"/>
      <w:bookmarkEnd w:id="7"/>
    </w:p>
    <w:p>
      <w:pPr>
        <w:shd w:val="clear" w:color="auto" w:fill="auto"/>
        <w:spacing w:line="440" w:lineRule="exact"/>
        <w:ind w:firstLine="473"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9.1 投标人须知前附表规定组织踏勘现场的，招标人按投标人须知前附表规定的时间、地点组织投标人踏勘项目现场。</w:t>
      </w:r>
      <w:r>
        <w:rPr>
          <w:rFonts w:hint="eastAsia" w:ascii="仿宋" w:hAnsi="仿宋" w:eastAsia="仿宋" w:cs="仿宋"/>
          <w:color w:val="000000" w:themeColor="text1"/>
          <w:szCs w:val="21"/>
          <w:highlight w:val="none"/>
          <w:lang w:eastAsia="zh-CN"/>
          <w14:textFill>
            <w14:solidFill>
              <w14:schemeClr w14:val="tx1"/>
            </w14:solidFill>
          </w14:textFill>
        </w:rPr>
        <w:t>如需踏勘现场，</w:t>
      </w:r>
      <w:r>
        <w:rPr>
          <w:rFonts w:hint="eastAsia" w:ascii="仿宋" w:hAnsi="仿宋" w:eastAsia="仿宋" w:cs="仿宋"/>
          <w:color w:val="000000" w:themeColor="text1"/>
          <w:highlight w:val="none"/>
          <w:lang w:eastAsia="zh-CN"/>
          <w14:textFill>
            <w14:solidFill>
              <w14:schemeClr w14:val="tx1"/>
            </w14:solidFill>
          </w14:textFill>
        </w:rPr>
        <w:t>投标人自行踏勘现场的，可咨询本项目采购人或采购代理机构联系人。</w:t>
      </w:r>
      <w:r>
        <w:rPr>
          <w:rFonts w:hint="eastAsia" w:ascii="仿宋" w:hAnsi="仿宋" w:eastAsia="仿宋" w:cs="仿宋"/>
          <w:b/>
          <w:bCs/>
          <w:color w:val="000000" w:themeColor="text1"/>
          <w:highlight w:val="none"/>
          <w:lang w:eastAsia="zh-CN"/>
          <w14:textFill>
            <w14:solidFill>
              <w14:schemeClr w14:val="tx1"/>
            </w14:solidFill>
          </w14:textFill>
        </w:rPr>
        <w:t>投标人自行踏勘现场的，可咨询本项目采购人或采购代理机构联系人。</w:t>
      </w:r>
      <w:r>
        <w:rPr>
          <w:rFonts w:hint="eastAsia" w:ascii="仿宋" w:hAnsi="仿宋" w:eastAsia="仿宋" w:cs="仿宋"/>
          <w:b/>
          <w:bCs/>
          <w:color w:val="000000" w:themeColor="text1"/>
          <w:szCs w:val="21"/>
          <w:highlight w:val="none"/>
          <w14:textFill>
            <w14:solidFill>
              <w14:schemeClr w14:val="tx1"/>
            </w14:solidFill>
          </w14:textFill>
        </w:rPr>
        <w:t xml:space="preserve"> </w:t>
      </w:r>
    </w:p>
    <w:p>
      <w:pPr>
        <w:shd w:val="clear" w:color="auto" w:fill="auto"/>
        <w:spacing w:line="440" w:lineRule="exact"/>
        <w:ind w:firstLine="473"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9.2 投标人踏勘现场发生的费用自理。</w:t>
      </w:r>
    </w:p>
    <w:p>
      <w:pPr>
        <w:shd w:val="clear" w:color="auto" w:fill="auto"/>
        <w:spacing w:line="440" w:lineRule="exact"/>
        <w:ind w:firstLine="473"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9.3 除招标人的原因外，投标人自行负责在踏勘现场中所发生的人员伤亡和财产损失。</w:t>
      </w:r>
    </w:p>
    <w:p>
      <w:pPr>
        <w:shd w:val="clear" w:color="auto" w:fill="auto"/>
        <w:spacing w:line="440" w:lineRule="exact"/>
        <w:ind w:firstLine="473"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9.4 招标人在踏勘现场中介绍的场地和相关的周边环境情况，供投标人在编制投标文件时参考，招标人不对投标人据此作出的判断和决策负责。</w:t>
      </w:r>
      <w:bookmarkStart w:id="8" w:name="_Toc247513963"/>
      <w:bookmarkStart w:id="9" w:name="_Toc296602430"/>
      <w:bookmarkStart w:id="10" w:name="_Toc152042316"/>
      <w:bookmarkStart w:id="11" w:name="_Toc144974508"/>
      <w:bookmarkStart w:id="12" w:name="_Toc152045540"/>
      <w:bookmarkStart w:id="13" w:name="_Toc247592877"/>
      <w:bookmarkStart w:id="14" w:name="_Toc247527564"/>
    </w:p>
    <w:p>
      <w:pPr>
        <w:shd w:val="clear" w:color="auto" w:fill="auto"/>
        <w:spacing w:line="440" w:lineRule="exact"/>
        <w:ind w:firstLine="486"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10. 投标预备会</w:t>
      </w:r>
      <w:bookmarkEnd w:id="8"/>
      <w:bookmarkEnd w:id="9"/>
      <w:bookmarkEnd w:id="10"/>
      <w:bookmarkEnd w:id="11"/>
      <w:bookmarkEnd w:id="12"/>
      <w:bookmarkEnd w:id="13"/>
      <w:bookmarkEnd w:id="14"/>
    </w:p>
    <w:p>
      <w:pPr>
        <w:shd w:val="clear" w:color="auto" w:fill="auto"/>
        <w:spacing w:line="440" w:lineRule="exact"/>
        <w:ind w:firstLine="473"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10.1投标人须知前附表规定召开投标预备会的，招标人按投标人须知前附表规定的时间和地点召开投标预备会，澄清投标人提出的问题。</w:t>
      </w:r>
    </w:p>
    <w:p>
      <w:pPr>
        <w:shd w:val="clear" w:color="auto" w:fill="auto"/>
        <w:spacing w:line="440" w:lineRule="exact"/>
        <w:ind w:firstLine="473"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10.2投标人应在投标人须知前附表规定的时间前，将提出的问题送达招标人，以便招标人澄清。</w:t>
      </w:r>
    </w:p>
    <w:p>
      <w:pPr>
        <w:shd w:val="clear" w:color="auto" w:fill="auto"/>
        <w:spacing w:line="440" w:lineRule="exact"/>
        <w:ind w:firstLine="473"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10.3招标人在投标人须知前附表规定的时间，将对投标人所提的问题进行澄清。该澄清内容为</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的组成部分。</w:t>
      </w:r>
    </w:p>
    <w:p>
      <w:pPr>
        <w:shd w:val="clear" w:color="auto" w:fill="auto"/>
        <w:spacing w:line="440" w:lineRule="exact"/>
        <w:ind w:firstLine="486"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11. 联合投标</w:t>
      </w:r>
    </w:p>
    <w:p>
      <w:pPr>
        <w:shd w:val="clear" w:color="auto" w:fill="auto"/>
        <w:spacing w:line="440" w:lineRule="exact"/>
        <w:ind w:firstLine="473"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hd w:val="clear" w:color="auto" w:fill="auto"/>
        <w:spacing w:line="400" w:lineRule="exact"/>
        <w:ind w:firstLine="473"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hd w:val="clear" w:color="auto" w:fill="auto"/>
        <w:spacing w:line="400" w:lineRule="exact"/>
        <w:ind w:firstLine="475"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11.3 联合体应当确定其中一个单位为投标的全权代表，负责参加投标的一切事务，并承担投标及履约中应承担的全部责任与义务。</w:t>
      </w:r>
    </w:p>
    <w:p>
      <w:pPr>
        <w:pStyle w:val="9"/>
        <w:shd w:val="clear" w:color="auto" w:fill="auto"/>
        <w:spacing w:after="0" w:line="400" w:lineRule="exact"/>
        <w:ind w:left="0" w:leftChars="0" w:firstLine="490" w:firstLineChars="20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11.4 联合体各方应当共同与招标人签订采购合同，就采购合同约定的事项对招标人承担连带责任。</w:t>
      </w:r>
    </w:p>
    <w:p>
      <w:pPr>
        <w:shd w:val="clear" w:color="auto" w:fill="auto"/>
        <w:spacing w:line="440" w:lineRule="exact"/>
        <w:ind w:firstLine="475" w:firstLineChars="196"/>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12.招标代理费</w:t>
      </w:r>
    </w:p>
    <w:p>
      <w:pPr>
        <w:shd w:val="clear" w:color="auto" w:fill="auto"/>
        <w:spacing w:line="440" w:lineRule="exact"/>
        <w:ind w:firstLine="473"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w:t>
      </w:r>
      <w:r>
        <w:rPr>
          <w:rFonts w:hint="eastAsia" w:ascii="仿宋" w:hAnsi="仿宋" w:eastAsia="仿宋" w:cs="仿宋"/>
          <w:color w:val="000000" w:themeColor="text1"/>
          <w:szCs w:val="21"/>
          <w:highlight w:val="none"/>
          <w:lang w:val="en-US" w:eastAsia="zh-CN"/>
          <w14:textFill>
            <w14:solidFill>
              <w14:schemeClr w14:val="tx1"/>
            </w14:solidFill>
          </w14:textFill>
        </w:rPr>
        <w:t>中标单位在领取本项目中标通知书时，按照《国家计委关于印发招标代理服务收费管理暂行办法的通知（计价格[2002]1980号）及《招标代理服务收费有关问题》（发改办价格〔2003〕857号文）中规定由中标单位向招标代理机构支付本项目代理费。收费标准如下：</w:t>
      </w:r>
    </w:p>
    <w:p>
      <w:pPr>
        <w:keepNext w:val="0"/>
        <w:keepLines w:val="0"/>
        <w:pageBreakBefore w:val="0"/>
        <w:shd w:val="clear" w:color="auto" w:fill="auto"/>
        <w:kinsoku/>
        <w:wordWrap/>
        <w:overflowPunct/>
        <w:topLinePunct w:val="0"/>
        <w:bidi w:val="0"/>
        <w:snapToGrid/>
        <w:spacing w:line="360" w:lineRule="auto"/>
        <w:ind w:firstLine="486" w:firstLineChars="200"/>
        <w:jc w:val="center"/>
        <w:textAlignment w:val="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招标代理服务收费标准</w:t>
      </w:r>
    </w:p>
    <w:tbl>
      <w:tblPr>
        <w:tblStyle w:val="18"/>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中标</w:t>
            </w:r>
            <w:r>
              <w:rPr>
                <w:rFonts w:hint="eastAsia" w:ascii="仿宋" w:hAnsi="仿宋" w:eastAsia="仿宋" w:cs="仿宋"/>
                <w:b w:val="0"/>
                <w:bCs w:val="0"/>
                <w:color w:val="000000" w:themeColor="text1"/>
                <w:sz w:val="24"/>
                <w:szCs w:val="24"/>
                <w:highlight w:val="none"/>
                <w14:textFill>
                  <w14:solidFill>
                    <w14:schemeClr w14:val="tx1"/>
                  </w14:solidFill>
                </w14:textFill>
              </w:rPr>
              <w:t>金额（万元）</w:t>
            </w:r>
          </w:p>
        </w:tc>
        <w:tc>
          <w:tcPr>
            <w:tcW w:w="214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货物招标</w:t>
            </w:r>
          </w:p>
        </w:tc>
        <w:tc>
          <w:tcPr>
            <w:tcW w:w="214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服务招标</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100以下</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1.50%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1.50%</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100-500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1.10%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0.80</w:t>
            </w:r>
            <w:r>
              <w:rPr>
                <w:rFonts w:hint="eastAsia" w:ascii="仿宋" w:hAnsi="仿宋" w:eastAsia="仿宋" w:cs="仿宋"/>
                <w:b w:val="0"/>
                <w:bCs w:val="0"/>
                <w:color w:val="000000" w:themeColor="text1"/>
                <w:sz w:val="24"/>
                <w:szCs w:val="24"/>
                <w:highlight w:val="none"/>
                <w14:textFill>
                  <w14:solidFill>
                    <w14:schemeClr w14:val="tx1"/>
                  </w14:solidFill>
                </w14:textFill>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500-1000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0.80%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0.</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45</w:t>
            </w:r>
            <w:r>
              <w:rPr>
                <w:rFonts w:hint="eastAsia" w:ascii="仿宋" w:hAnsi="仿宋" w:eastAsia="仿宋" w:cs="仿宋"/>
                <w:b w:val="0"/>
                <w:bCs w:val="0"/>
                <w:color w:val="000000" w:themeColor="text1"/>
                <w:sz w:val="24"/>
                <w:szCs w:val="24"/>
                <w:highlight w:val="none"/>
                <w14:textFill>
                  <w14:solidFill>
                    <w14:schemeClr w14:val="tx1"/>
                  </w14:solidFill>
                </w14:textFill>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1000-5000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0.50%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0.</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25</w:t>
            </w:r>
            <w:r>
              <w:rPr>
                <w:rFonts w:hint="eastAsia" w:ascii="仿宋" w:hAnsi="仿宋" w:eastAsia="仿宋" w:cs="仿宋"/>
                <w:b w:val="0"/>
                <w:bCs w:val="0"/>
                <w:color w:val="000000" w:themeColor="text1"/>
                <w:sz w:val="24"/>
                <w:szCs w:val="24"/>
                <w:highlight w:val="none"/>
                <w14:textFill>
                  <w14:solidFill>
                    <w14:schemeClr w14:val="tx1"/>
                  </w14:solidFill>
                </w14:textFill>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p>
        </w:tc>
      </w:tr>
    </w:tbl>
    <w:p>
      <w:pPr>
        <w:shd w:val="clear" w:color="auto" w:fill="auto"/>
        <w:spacing w:line="440" w:lineRule="exact"/>
        <w:ind w:firstLine="473" w:firstLineChars="195"/>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招标代理服务收费按差额定率累进法计算。例如：某项目招标代理业务中标金额为2000万元，计算招标代理服务收费额如下：</w:t>
      </w:r>
    </w:p>
    <w:p>
      <w:pPr>
        <w:shd w:val="clear" w:color="auto" w:fill="auto"/>
        <w:spacing w:line="440" w:lineRule="exact"/>
        <w:ind w:firstLine="473" w:firstLineChars="195"/>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100万元×1.50%=1.5（万元）；</w:t>
      </w:r>
    </w:p>
    <w:p>
      <w:pPr>
        <w:shd w:val="clear" w:color="auto" w:fill="auto"/>
        <w:spacing w:line="440" w:lineRule="exact"/>
        <w:ind w:firstLine="473" w:firstLineChars="195"/>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（500-100）万元×1.10%=4.4（万元）</w:t>
      </w:r>
    </w:p>
    <w:p>
      <w:pPr>
        <w:shd w:val="clear" w:color="auto" w:fill="auto"/>
        <w:spacing w:line="440" w:lineRule="exact"/>
        <w:ind w:firstLine="473" w:firstLineChars="195"/>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（1000-500）万元×0.80%=4.0（万元）</w:t>
      </w:r>
    </w:p>
    <w:p>
      <w:pPr>
        <w:shd w:val="clear" w:color="auto" w:fill="auto"/>
        <w:spacing w:line="440" w:lineRule="exact"/>
        <w:ind w:firstLine="473" w:firstLineChars="195"/>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（2000-1000）万元×0.50%=5.0（万元）</w:t>
      </w:r>
    </w:p>
    <w:p>
      <w:pPr>
        <w:shd w:val="clear" w:color="auto" w:fill="auto"/>
        <w:spacing w:line="440" w:lineRule="exact"/>
        <w:ind w:firstLine="473" w:firstLineChars="195"/>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合计收费=1.5+4.4+4.0+5.0=14.9(万元)</w:t>
      </w:r>
    </w:p>
    <w:p>
      <w:pPr>
        <w:shd w:val="clear" w:color="auto" w:fill="auto"/>
        <w:spacing w:line="440" w:lineRule="exact"/>
        <w:ind w:firstLine="486"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13.投标人应注意的事项</w:t>
      </w:r>
    </w:p>
    <w:p>
      <w:pPr>
        <w:shd w:val="clear" w:color="auto" w:fill="auto"/>
        <w:spacing w:line="440" w:lineRule="exact"/>
        <w:ind w:firstLine="486"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13.1投标人一旦按规定缴纳了投标保证金并参加投标，即被认为接受了本</w:t>
      </w:r>
      <w:r>
        <w:rPr>
          <w:rFonts w:hint="eastAsia" w:ascii="仿宋" w:hAnsi="仿宋" w:eastAsia="仿宋" w:cs="仿宋"/>
          <w:color w:val="000000" w:themeColor="text1"/>
          <w:szCs w:val="21"/>
          <w:highlight w:val="none"/>
          <w:lang w:eastAsia="zh-CN"/>
          <w14:textFill>
            <w14:solidFill>
              <w14:schemeClr w14:val="tx1"/>
            </w14:solidFill>
          </w14:textFill>
        </w:rPr>
        <w:t>采购</w:t>
      </w:r>
      <w:r>
        <w:rPr>
          <w:rFonts w:hint="eastAsia" w:ascii="仿宋" w:hAnsi="仿宋" w:eastAsia="仿宋" w:cs="仿宋"/>
          <w:color w:val="000000" w:themeColor="text1"/>
          <w:szCs w:val="21"/>
          <w:highlight w:val="none"/>
          <w14:textFill>
            <w14:solidFill>
              <w14:schemeClr w14:val="tx1"/>
            </w14:solidFill>
          </w14:textFill>
        </w:rPr>
        <w:t>文件中的所有条件和规定。投标人必须严格按</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的要求编制投标文件，投标文件宜编制页码和目录，以便评委审核。否则，由此产生的一切后果由投标人承担。</w:t>
      </w:r>
    </w:p>
    <w:p>
      <w:pPr>
        <w:shd w:val="clear" w:color="auto" w:fill="auto"/>
        <w:spacing w:line="440" w:lineRule="exact"/>
        <w:ind w:firstLine="486"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2</w:t>
      </w:r>
      <w:r>
        <w:rPr>
          <w:rFonts w:hint="eastAsia" w:ascii="仿宋" w:hAnsi="仿宋" w:eastAsia="仿宋" w:cs="仿宋"/>
          <w:bCs/>
          <w:color w:val="000000" w:themeColor="text1"/>
          <w:szCs w:val="21"/>
          <w:highlight w:val="none"/>
          <w14:textFill>
            <w14:solidFill>
              <w14:schemeClr w14:val="tx1"/>
            </w14:solidFill>
          </w14:textFill>
        </w:rPr>
        <w:t xml:space="preserve"> 投标人对采购内容中规定的技术参数、规格等要求必须完全响应或优于</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中的要求。</w:t>
      </w:r>
    </w:p>
    <w:p>
      <w:pPr>
        <w:shd w:val="clear" w:color="auto" w:fill="auto"/>
        <w:spacing w:line="440" w:lineRule="exact"/>
        <w:ind w:firstLine="475" w:firstLineChars="196"/>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3</w:t>
      </w:r>
      <w:r>
        <w:rPr>
          <w:rFonts w:hint="eastAsia" w:ascii="仿宋" w:hAnsi="仿宋" w:eastAsia="仿宋" w:cs="仿宋"/>
          <w:bCs/>
          <w:color w:val="000000" w:themeColor="text1"/>
          <w:szCs w:val="21"/>
          <w:highlight w:val="none"/>
          <w14:textFill>
            <w14:solidFill>
              <w14:schemeClr w14:val="tx1"/>
            </w14:solidFill>
          </w14:textFill>
        </w:rPr>
        <w:t>所有投标人的投标保证金都应在</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规定的投标保证金缴纳截止日期前缴纳。</w:t>
      </w:r>
    </w:p>
    <w:p>
      <w:pPr>
        <w:shd w:val="clear" w:color="auto" w:fill="auto"/>
        <w:spacing w:line="440" w:lineRule="exact"/>
        <w:ind w:firstLine="475" w:firstLineChars="196"/>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4</w:t>
      </w:r>
      <w:r>
        <w:rPr>
          <w:rFonts w:hint="eastAsia" w:ascii="仿宋" w:hAnsi="仿宋" w:eastAsia="仿宋" w:cs="仿宋"/>
          <w:bCs/>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w:t>
      </w:r>
      <w:r>
        <w:rPr>
          <w:rFonts w:hint="eastAsia" w:ascii="仿宋" w:hAnsi="仿宋" w:eastAsia="仿宋" w:cs="仿宋"/>
          <w:color w:val="000000" w:themeColor="text1"/>
          <w:szCs w:val="21"/>
          <w:highlight w:val="none"/>
          <w14:textFill>
            <w14:solidFill>
              <w14:schemeClr w14:val="tx1"/>
            </w14:solidFill>
          </w14:textFill>
        </w:rPr>
        <w:t>为采购项目提供整体设计、规范编制或者项目管理、监理、检测等服务的供应商，不得再参加该采购项目的其他采购活动。</w:t>
      </w:r>
    </w:p>
    <w:p>
      <w:pPr>
        <w:shd w:val="clear" w:color="auto" w:fill="auto"/>
        <w:snapToGrid w:val="0"/>
        <w:spacing w:line="44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5</w:t>
      </w:r>
      <w:r>
        <w:rPr>
          <w:rFonts w:hint="eastAsia" w:ascii="仿宋" w:hAnsi="仿宋" w:eastAsia="仿宋" w:cs="仿宋"/>
          <w:bCs/>
          <w:color w:val="000000" w:themeColor="text1"/>
          <w:szCs w:val="21"/>
          <w:highlight w:val="none"/>
          <w14:textFill>
            <w14:solidFill>
              <w14:schemeClr w14:val="tx1"/>
            </w14:solidFill>
          </w14:textFill>
        </w:rPr>
        <w:t>本项目只接受</w:t>
      </w:r>
      <w:r>
        <w:rPr>
          <w:rFonts w:hint="eastAsia" w:ascii="仿宋" w:hAnsi="仿宋" w:eastAsia="仿宋" w:cs="仿宋"/>
          <w:color w:val="000000" w:themeColor="text1"/>
          <w:szCs w:val="21"/>
          <w:highlight w:val="none"/>
          <w14:textFill>
            <w14:solidFill>
              <w14:schemeClr w14:val="tx1"/>
            </w14:solidFill>
          </w14:textFill>
        </w:rPr>
        <w:t>成为新疆维吾尔自治区政府采购网正式注册入库并完成CA数字证书申领供应商</w:t>
      </w:r>
      <w:r>
        <w:rPr>
          <w:rFonts w:hint="eastAsia" w:ascii="仿宋" w:hAnsi="仿宋" w:eastAsia="仿宋" w:cs="仿宋"/>
          <w:color w:val="000000" w:themeColor="text1"/>
          <w:szCs w:val="21"/>
          <w:highlight w:val="none"/>
          <w:lang w:eastAsia="zh-CN"/>
          <w14:textFill>
            <w14:solidFill>
              <w14:schemeClr w14:val="tx1"/>
            </w14:solidFill>
          </w14:textFill>
        </w:rPr>
        <w:t>参与投标</w:t>
      </w:r>
      <w:r>
        <w:rPr>
          <w:rFonts w:hint="eastAsia" w:ascii="仿宋" w:hAnsi="仿宋" w:eastAsia="仿宋" w:cs="仿宋"/>
          <w:color w:val="000000" w:themeColor="text1"/>
          <w:szCs w:val="21"/>
          <w:highlight w:val="none"/>
          <w14:textFill>
            <w14:solidFill>
              <w14:schemeClr w14:val="tx1"/>
            </w14:solidFill>
          </w14:textFill>
        </w:rPr>
        <w:t>。因未注册入库、未办理CA数字证书等原因造成无法投标或投标失败等后果由供应商自行承担。</w:t>
      </w:r>
    </w:p>
    <w:p>
      <w:pPr>
        <w:shd w:val="clear" w:color="auto" w:fill="auto"/>
        <w:wordWrap w:val="0"/>
        <w:spacing w:line="440" w:lineRule="exact"/>
        <w:ind w:firstLine="486"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6</w:t>
      </w:r>
      <w:r>
        <w:rPr>
          <w:rFonts w:hint="eastAsia" w:ascii="仿宋" w:hAnsi="仿宋" w:eastAsia="仿宋" w:cs="仿宋"/>
          <w:bCs/>
          <w:color w:val="000000" w:themeColor="text1"/>
          <w:szCs w:val="21"/>
          <w:highlight w:val="none"/>
          <w14:textFill>
            <w14:solidFill>
              <w14:schemeClr w14:val="tx1"/>
            </w14:solidFill>
          </w14:textFill>
        </w:rPr>
        <w:t xml:space="preserve">  投标人被视为充分熟悉本招标项目所在地的与履行合同有关的各种情况，包括但不限于：</w:t>
      </w:r>
    </w:p>
    <w:p>
      <w:pPr>
        <w:shd w:val="clear" w:color="auto" w:fill="auto"/>
        <w:spacing w:line="400" w:lineRule="exact"/>
        <w:ind w:firstLine="364" w:firstLineChars="15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（1）国家对本次投标货物和服务的生产、安装调试、验收、维修等有关法律、法规及行业管理标准；</w:t>
      </w:r>
    </w:p>
    <w:p>
      <w:pPr>
        <w:shd w:val="clear" w:color="auto" w:fill="auto"/>
        <w:spacing w:line="400" w:lineRule="exact"/>
        <w:ind w:firstLine="364" w:firstLineChars="15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w:t>
      </w:r>
      <w:r>
        <w:rPr>
          <w:rFonts w:hint="eastAsia" w:ascii="仿宋" w:hAnsi="仿宋" w:eastAsia="仿宋" w:cs="仿宋"/>
          <w:bCs/>
          <w:color w:val="000000" w:themeColor="text1"/>
          <w:szCs w:val="21"/>
          <w:highlight w:val="none"/>
          <w:lang w:eastAsia="zh-CN"/>
          <w14:textFill>
            <w14:solidFill>
              <w14:schemeClr w14:val="tx1"/>
            </w14:solidFill>
          </w14:textFill>
        </w:rPr>
        <w:t>本地区</w:t>
      </w:r>
      <w:r>
        <w:rPr>
          <w:rFonts w:hint="eastAsia" w:ascii="仿宋" w:hAnsi="仿宋" w:eastAsia="仿宋" w:cs="仿宋"/>
          <w:bCs/>
          <w:color w:val="000000" w:themeColor="text1"/>
          <w:szCs w:val="21"/>
          <w:highlight w:val="none"/>
          <w14:textFill>
            <w14:solidFill>
              <w14:schemeClr w14:val="tx1"/>
            </w14:solidFill>
          </w14:textFill>
        </w:rPr>
        <w:t>有关管理部门的相关规定；</w:t>
      </w:r>
    </w:p>
    <w:p>
      <w:pPr>
        <w:shd w:val="clear" w:color="auto" w:fill="auto"/>
        <w:spacing w:line="400" w:lineRule="exact"/>
        <w:ind w:firstLine="364" w:firstLineChars="15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（3）招标人的相关场地情况、基础建设、电力供应情况及相关设计标准。</w:t>
      </w:r>
    </w:p>
    <w:p>
      <w:pPr>
        <w:shd w:val="clear" w:color="auto" w:fill="auto"/>
        <w:spacing w:line="400" w:lineRule="exact"/>
        <w:ind w:firstLine="364" w:firstLineChars="15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本</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不再对上述情况进行描述。</w:t>
      </w:r>
    </w:p>
    <w:p>
      <w:pPr>
        <w:shd w:val="clear" w:color="auto" w:fill="auto"/>
        <w:spacing w:before="312" w:beforeLines="100" w:after="312" w:afterLines="100" w:line="440" w:lineRule="exact"/>
        <w:jc w:val="center"/>
        <w:outlineLvl w:val="2"/>
        <w:rPr>
          <w:rFonts w:hint="eastAsia" w:ascii="仿宋" w:hAnsi="仿宋" w:eastAsia="仿宋" w:cs="仿宋"/>
          <w:b/>
          <w:color w:val="000000" w:themeColor="text1"/>
          <w:sz w:val="28"/>
          <w:szCs w:val="28"/>
          <w:highlight w:val="none"/>
          <w:lang w:eastAsia="zh-CN"/>
          <w14:textFill>
            <w14:solidFill>
              <w14:schemeClr w14:val="tx1"/>
            </w14:solidFill>
          </w14:textFill>
        </w:rPr>
      </w:pPr>
      <w:bookmarkStart w:id="15" w:name="_Toc469495725"/>
      <w:r>
        <w:rPr>
          <w:rFonts w:hint="eastAsia" w:ascii="仿宋" w:hAnsi="仿宋" w:eastAsia="仿宋" w:cs="仿宋"/>
          <w:b/>
          <w:color w:val="000000" w:themeColor="text1"/>
          <w:sz w:val="28"/>
          <w:szCs w:val="28"/>
          <w:highlight w:val="none"/>
          <w14:textFill>
            <w14:solidFill>
              <w14:schemeClr w14:val="tx1"/>
            </w14:solidFill>
          </w14:textFill>
        </w:rPr>
        <w:t>（二）</w:t>
      </w:r>
      <w:bookmarkEnd w:id="15"/>
      <w:r>
        <w:rPr>
          <w:rFonts w:hint="eastAsia" w:ascii="仿宋" w:hAnsi="仿宋" w:eastAsia="仿宋" w:cs="仿宋"/>
          <w:b/>
          <w:color w:val="000000" w:themeColor="text1"/>
          <w:sz w:val="28"/>
          <w:szCs w:val="28"/>
          <w:highlight w:val="none"/>
          <w:lang w:eastAsia="zh-CN"/>
          <w14:textFill>
            <w14:solidFill>
              <w14:schemeClr w14:val="tx1"/>
            </w14:solidFill>
          </w14:textFill>
        </w:rPr>
        <w:t>招标文件</w:t>
      </w:r>
    </w:p>
    <w:p>
      <w:pPr>
        <w:shd w:val="clear" w:color="auto" w:fill="auto"/>
        <w:spacing w:line="440" w:lineRule="exact"/>
        <w:ind w:firstLine="486"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15. </w:t>
      </w:r>
      <w:r>
        <w:rPr>
          <w:rFonts w:hint="eastAsia" w:ascii="仿宋" w:hAnsi="仿宋" w:eastAsia="仿宋" w:cs="仿宋"/>
          <w:b/>
          <w:color w:val="000000" w:themeColor="text1"/>
          <w:szCs w:val="21"/>
          <w:highlight w:val="none"/>
          <w:lang w:eastAsia="zh-CN"/>
          <w14:textFill>
            <w14:solidFill>
              <w14:schemeClr w14:val="tx1"/>
            </w14:solidFill>
          </w14:textFill>
        </w:rPr>
        <w:t>采购文件</w:t>
      </w:r>
      <w:r>
        <w:rPr>
          <w:rFonts w:hint="eastAsia" w:ascii="仿宋" w:hAnsi="仿宋" w:eastAsia="仿宋" w:cs="仿宋"/>
          <w:b/>
          <w:color w:val="000000" w:themeColor="text1"/>
          <w:szCs w:val="21"/>
          <w:highlight w:val="none"/>
          <w14:textFill>
            <w14:solidFill>
              <w14:schemeClr w14:val="tx1"/>
            </w14:solidFill>
          </w14:textFill>
        </w:rPr>
        <w:t>的编制依据</w:t>
      </w:r>
    </w:p>
    <w:p>
      <w:pPr>
        <w:shd w:val="clear" w:color="auto" w:fill="auto"/>
        <w:spacing w:line="44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根据《中华人民共和国政府采购法》、《政府采购货物和服务招标投标管理办法》</w:t>
      </w:r>
      <w:r>
        <w:rPr>
          <w:rFonts w:hint="eastAsia" w:ascii="仿宋" w:hAnsi="仿宋" w:eastAsia="仿宋" w:cs="仿宋"/>
          <w:color w:val="000000" w:themeColor="text1"/>
          <w:spacing w:val="-2"/>
          <w:szCs w:val="21"/>
          <w:highlight w:val="none"/>
          <w14:textFill>
            <w14:solidFill>
              <w14:schemeClr w14:val="tx1"/>
            </w14:solidFill>
          </w14:textFill>
        </w:rPr>
        <w:t>等相关法律法规和规章及部、省、市级规范性文件的规定，编制本</w:t>
      </w:r>
      <w:r>
        <w:rPr>
          <w:rFonts w:hint="eastAsia" w:ascii="仿宋" w:hAnsi="仿宋" w:eastAsia="仿宋" w:cs="仿宋"/>
          <w:color w:val="000000" w:themeColor="text1"/>
          <w:spacing w:val="-2"/>
          <w:szCs w:val="21"/>
          <w:highlight w:val="none"/>
          <w:lang w:eastAsia="zh-CN"/>
          <w14:textFill>
            <w14:solidFill>
              <w14:schemeClr w14:val="tx1"/>
            </w14:solidFill>
          </w14:textFill>
        </w:rPr>
        <w:t>采购文件</w:t>
      </w:r>
      <w:r>
        <w:rPr>
          <w:rFonts w:hint="eastAsia" w:ascii="仿宋" w:hAnsi="仿宋" w:eastAsia="仿宋" w:cs="仿宋"/>
          <w:color w:val="000000" w:themeColor="text1"/>
          <w:spacing w:val="-2"/>
          <w:szCs w:val="21"/>
          <w:highlight w:val="none"/>
          <w14:textFill>
            <w14:solidFill>
              <w14:schemeClr w14:val="tx1"/>
            </w14:solidFill>
          </w14:textFill>
        </w:rPr>
        <w:t>。</w:t>
      </w:r>
    </w:p>
    <w:p>
      <w:pPr>
        <w:shd w:val="clear" w:color="auto" w:fill="auto"/>
        <w:spacing w:line="440" w:lineRule="exact"/>
        <w:ind w:firstLine="486"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16. </w:t>
      </w:r>
      <w:r>
        <w:rPr>
          <w:rFonts w:hint="eastAsia" w:ascii="仿宋" w:hAnsi="仿宋" w:eastAsia="仿宋" w:cs="仿宋"/>
          <w:b/>
          <w:color w:val="000000" w:themeColor="text1"/>
          <w:szCs w:val="21"/>
          <w:highlight w:val="none"/>
          <w:lang w:eastAsia="zh-CN"/>
          <w14:textFill>
            <w14:solidFill>
              <w14:schemeClr w14:val="tx1"/>
            </w14:solidFill>
          </w14:textFill>
        </w:rPr>
        <w:t>采购文件</w:t>
      </w:r>
      <w:r>
        <w:rPr>
          <w:rFonts w:hint="eastAsia" w:ascii="仿宋" w:hAnsi="仿宋" w:eastAsia="仿宋" w:cs="仿宋"/>
          <w:b/>
          <w:color w:val="000000" w:themeColor="text1"/>
          <w:szCs w:val="21"/>
          <w:highlight w:val="none"/>
          <w14:textFill>
            <w14:solidFill>
              <w14:schemeClr w14:val="tx1"/>
            </w14:solidFill>
          </w14:textFill>
        </w:rPr>
        <w:t>的组成</w:t>
      </w:r>
    </w:p>
    <w:p>
      <w:pPr>
        <w:shd w:val="clear" w:color="auto" w:fill="auto"/>
        <w:tabs>
          <w:tab w:val="center" w:pos="4535"/>
        </w:tabs>
        <w:spacing w:line="440" w:lineRule="exact"/>
        <w:ind w:firstLine="486" w:firstLineChars="200"/>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16.1 </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包括内容：</w:t>
      </w:r>
      <w:r>
        <w:rPr>
          <w:rFonts w:hint="eastAsia" w:ascii="仿宋" w:hAnsi="仿宋" w:eastAsia="仿宋" w:cs="仿宋"/>
          <w:color w:val="000000" w:themeColor="text1"/>
          <w:szCs w:val="21"/>
          <w:highlight w:val="none"/>
          <w:lang w:eastAsia="zh-CN"/>
          <w14:textFill>
            <w14:solidFill>
              <w14:schemeClr w14:val="tx1"/>
            </w14:solidFill>
          </w14:textFill>
        </w:rPr>
        <w:tab/>
      </w:r>
    </w:p>
    <w:p>
      <w:pPr>
        <w:shd w:val="clear" w:color="auto" w:fill="auto"/>
        <w:spacing w:line="440" w:lineRule="exact"/>
        <w:ind w:firstLine="1701"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第一章  </w:t>
      </w:r>
      <w:r>
        <w:rPr>
          <w:rFonts w:hint="eastAsia" w:ascii="仿宋" w:hAnsi="仿宋" w:eastAsia="仿宋" w:cs="仿宋"/>
          <w:color w:val="000000" w:themeColor="text1"/>
          <w:szCs w:val="21"/>
          <w:highlight w:val="none"/>
          <w:lang w:eastAsia="zh-CN"/>
          <w14:textFill>
            <w14:solidFill>
              <w14:schemeClr w14:val="tx1"/>
            </w14:solidFill>
          </w14:textFill>
        </w:rPr>
        <w:t>招</w:t>
      </w:r>
      <w:r>
        <w:rPr>
          <w:rFonts w:hint="eastAsia" w:ascii="仿宋" w:hAnsi="仿宋" w:eastAsia="仿宋" w:cs="仿宋"/>
          <w:color w:val="000000" w:themeColor="text1"/>
          <w:szCs w:val="21"/>
          <w:highlight w:val="none"/>
          <w14:textFill>
            <w14:solidFill>
              <w14:schemeClr w14:val="tx1"/>
            </w14:solidFill>
          </w14:textFill>
        </w:rPr>
        <w:t>标公告</w:t>
      </w:r>
    </w:p>
    <w:p>
      <w:pPr>
        <w:shd w:val="clear" w:color="auto" w:fill="auto"/>
        <w:spacing w:line="440" w:lineRule="exact"/>
        <w:ind w:firstLine="1701"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第二章  投标须知</w:t>
      </w:r>
    </w:p>
    <w:p>
      <w:pPr>
        <w:shd w:val="clear" w:color="auto" w:fill="auto"/>
        <w:spacing w:line="440" w:lineRule="exact"/>
        <w:ind w:firstLine="1701"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第三章  评标办法</w:t>
      </w:r>
    </w:p>
    <w:p>
      <w:pPr>
        <w:shd w:val="clear" w:color="auto" w:fill="auto"/>
        <w:spacing w:line="440" w:lineRule="exact"/>
        <w:ind w:firstLine="1701"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第四章  采购内容及技术要求</w:t>
      </w:r>
    </w:p>
    <w:p>
      <w:pPr>
        <w:shd w:val="clear" w:color="auto" w:fill="auto"/>
        <w:spacing w:line="440" w:lineRule="exact"/>
        <w:ind w:firstLine="1701"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第五章  合同条款及格式</w:t>
      </w:r>
    </w:p>
    <w:p>
      <w:pPr>
        <w:shd w:val="clear" w:color="auto" w:fill="auto"/>
        <w:spacing w:line="440" w:lineRule="exact"/>
        <w:ind w:firstLine="1701"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第六章  投标文件格式文本</w:t>
      </w:r>
    </w:p>
    <w:p>
      <w:pPr>
        <w:shd w:val="clear" w:color="auto" w:fill="auto"/>
        <w:spacing w:line="440" w:lineRule="exact"/>
        <w:ind w:firstLine="1701"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第七章  招标单位、招标代理机构对本文件的确认</w:t>
      </w:r>
    </w:p>
    <w:p>
      <w:pPr>
        <w:shd w:val="clear" w:color="auto" w:fill="auto"/>
        <w:spacing w:line="44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16.2 除16.1内容外，招标答疑亦为</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的组成部分，对招标人和投标人起约束作用。</w:t>
      </w:r>
    </w:p>
    <w:p>
      <w:pPr>
        <w:pStyle w:val="10"/>
        <w:shd w:val="clear" w:color="auto" w:fill="auto"/>
        <w:wordWrap w:val="0"/>
        <w:spacing w:line="400" w:lineRule="exact"/>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16.3</w:t>
      </w:r>
      <w:r>
        <w:rPr>
          <w:rFonts w:hint="eastAsia" w:ascii="仿宋" w:hAnsi="仿宋" w:eastAsia="仿宋" w:cs="仿宋"/>
          <w:color w:val="000000" w:themeColor="text1"/>
          <w:szCs w:val="21"/>
          <w:highlight w:val="none"/>
          <w:u w:val="none" w:color="auto"/>
          <w14:textFill>
            <w14:solidFill>
              <w14:schemeClr w14:val="tx1"/>
            </w14:solidFill>
          </w14:textFill>
        </w:rPr>
        <w:t>投标人应仔细阅读和检查</w:t>
      </w:r>
      <w:r>
        <w:rPr>
          <w:rFonts w:hint="eastAsia" w:ascii="仿宋" w:hAnsi="仿宋" w:eastAsia="仿宋" w:cs="仿宋"/>
          <w:color w:val="000000" w:themeColor="text1"/>
          <w:szCs w:val="21"/>
          <w:highlight w:val="none"/>
          <w:u w:val="none" w:color="auto"/>
          <w:lang w:eastAsia="zh-CN"/>
          <w14:textFill>
            <w14:solidFill>
              <w14:schemeClr w14:val="tx1"/>
            </w14:solidFill>
          </w14:textFill>
        </w:rPr>
        <w:t>采购文件</w:t>
      </w:r>
      <w:r>
        <w:rPr>
          <w:rFonts w:hint="eastAsia" w:ascii="仿宋" w:hAnsi="仿宋" w:eastAsia="仿宋" w:cs="仿宋"/>
          <w:color w:val="000000" w:themeColor="text1"/>
          <w:szCs w:val="21"/>
          <w:highlight w:val="none"/>
          <w:u w:val="none" w:color="auto"/>
          <w14:textFill>
            <w14:solidFill>
              <w14:schemeClr w14:val="tx1"/>
            </w14:solidFill>
          </w14:textFill>
        </w:rPr>
        <w:t>的全部内容。如发现缺页或附件不全，应及时向招标人提出，以便补齐。如有疑问，投标人应在</w:t>
      </w:r>
      <w:r>
        <w:rPr>
          <w:rFonts w:hint="eastAsia" w:ascii="仿宋" w:hAnsi="仿宋" w:eastAsia="仿宋" w:cs="仿宋"/>
          <w:color w:val="000000" w:themeColor="text1"/>
          <w:szCs w:val="21"/>
          <w:highlight w:val="none"/>
          <w14:textFill>
            <w14:solidFill>
              <w14:schemeClr w14:val="tx1"/>
            </w14:solidFill>
          </w14:textFill>
        </w:rPr>
        <w:t>以书面形式一次性向采购人和采购代理机构提出同一环节的质疑</w:t>
      </w:r>
      <w:r>
        <w:rPr>
          <w:rFonts w:hint="eastAsia" w:ascii="仿宋" w:hAnsi="仿宋" w:eastAsia="仿宋" w:cs="仿宋"/>
          <w:color w:val="000000" w:themeColor="text1"/>
          <w:szCs w:val="21"/>
          <w:highlight w:val="none"/>
          <w:u w:val="none" w:color="auto"/>
          <w14:textFill>
            <w14:solidFill>
              <w14:schemeClr w14:val="tx1"/>
            </w14:solidFill>
          </w14:textFill>
        </w:rPr>
        <w:t>。</w:t>
      </w:r>
    </w:p>
    <w:p>
      <w:pPr>
        <w:pStyle w:val="11"/>
        <w:rPr>
          <w:rFonts w:hint="eastAsia"/>
          <w:lang w:val="en-US"/>
        </w:rPr>
      </w:pPr>
    </w:p>
    <w:p>
      <w:pPr>
        <w:shd w:val="clear" w:color="auto" w:fill="auto"/>
        <w:wordWrap w:val="0"/>
        <w:spacing w:line="44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16.4供应商认为采购文件使自己的权益受到损害的，可以自收到采购文件之日（采</w:t>
      </w:r>
    </w:p>
    <w:p>
      <w:pPr>
        <w:shd w:val="clear" w:color="auto" w:fill="auto"/>
        <w:wordWrap w:val="0"/>
        <w:spacing w:line="440" w:lineRule="exact"/>
        <w:rPr>
          <w:rFonts w:hint="eastAsia" w:ascii="仿宋" w:hAnsi="仿宋" w:eastAsia="仿宋" w:cs="仿宋"/>
          <w:color w:val="000000" w:themeColor="text1"/>
          <w:szCs w:val="21"/>
          <w:highlight w:val="none"/>
          <w14:textFill>
            <w14:solidFill>
              <w14:schemeClr w14:val="tx1"/>
            </w14:solidFill>
          </w14:textFill>
        </w:rPr>
      </w:pPr>
    </w:p>
    <w:p>
      <w:pPr>
        <w:shd w:val="clear" w:color="auto" w:fill="auto"/>
        <w:wordWrap w:val="0"/>
        <w:spacing w:line="44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的澄清将在</w:t>
      </w:r>
      <w:r>
        <w:rPr>
          <w:rFonts w:hint="eastAsia" w:ascii="仿宋" w:hAnsi="仿宋" w:eastAsia="仿宋" w:cs="仿宋"/>
          <w:color w:val="000000" w:themeColor="text1"/>
          <w:szCs w:val="21"/>
          <w:highlight w:val="none"/>
          <w:lang w:eastAsia="zh-CN"/>
          <w14:textFill>
            <w14:solidFill>
              <w14:schemeClr w14:val="tx1"/>
            </w14:solidFill>
          </w14:textFill>
        </w:rPr>
        <w:t>政采云平台“更正公告”栏目予以公告</w:t>
      </w:r>
      <w:r>
        <w:rPr>
          <w:rFonts w:hint="eastAsia" w:ascii="仿宋" w:hAnsi="仿宋" w:eastAsia="仿宋" w:cs="仿宋"/>
          <w:color w:val="000000" w:themeColor="text1"/>
          <w:szCs w:val="21"/>
          <w:highlight w:val="none"/>
          <w14:textFill>
            <w14:solidFill>
              <w14:schemeClr w14:val="tx1"/>
            </w14:solidFill>
          </w14:textFill>
        </w:rPr>
        <w:t>，但不指明澄清问题的来源。如果澄清内容影响投标文件编制的，将相应延长投标截止时间。</w:t>
      </w:r>
    </w:p>
    <w:p>
      <w:pPr>
        <w:shd w:val="clear" w:color="auto" w:fill="auto"/>
        <w:spacing w:line="440" w:lineRule="exact"/>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 xml:space="preserve">17. </w:t>
      </w:r>
      <w:r>
        <w:rPr>
          <w:rFonts w:hint="eastAsia" w:ascii="仿宋" w:hAnsi="仿宋" w:eastAsia="仿宋" w:cs="仿宋"/>
          <w:b/>
          <w:bCs/>
          <w:color w:val="000000" w:themeColor="text1"/>
          <w:szCs w:val="21"/>
          <w:highlight w:val="none"/>
          <w:lang w:eastAsia="zh-CN"/>
          <w14:textFill>
            <w14:solidFill>
              <w14:schemeClr w14:val="tx1"/>
            </w14:solidFill>
          </w14:textFill>
        </w:rPr>
        <w:t>采购文件</w:t>
      </w:r>
      <w:r>
        <w:rPr>
          <w:rFonts w:hint="eastAsia" w:ascii="仿宋" w:hAnsi="仿宋" w:eastAsia="仿宋" w:cs="仿宋"/>
          <w:b/>
          <w:bCs/>
          <w:color w:val="000000" w:themeColor="text1"/>
          <w:szCs w:val="21"/>
          <w:highlight w:val="none"/>
          <w14:textFill>
            <w14:solidFill>
              <w14:schemeClr w14:val="tx1"/>
            </w14:solidFill>
          </w14:textFill>
        </w:rPr>
        <w:t>的修改、补充、解释</w:t>
      </w:r>
    </w:p>
    <w:p>
      <w:pPr>
        <w:shd w:val="clear" w:color="auto" w:fill="auto"/>
        <w:wordWrap w:val="0"/>
        <w:spacing w:line="400" w:lineRule="exact"/>
        <w:ind w:firstLine="364"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17.1</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发出后，招标人在规定的投标截止时间前可对</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进行必要的修改和补充，并以</w:t>
      </w:r>
      <w:r>
        <w:rPr>
          <w:rFonts w:hint="eastAsia" w:ascii="仿宋" w:hAnsi="仿宋" w:eastAsia="仿宋" w:cs="仿宋"/>
          <w:color w:val="000000" w:themeColor="text1"/>
          <w:szCs w:val="21"/>
          <w:highlight w:val="none"/>
          <w:lang w:eastAsia="zh-CN"/>
          <w14:textFill>
            <w14:solidFill>
              <w14:schemeClr w14:val="tx1"/>
            </w14:solidFill>
          </w14:textFill>
        </w:rPr>
        <w:t>更正</w:t>
      </w:r>
      <w:r>
        <w:rPr>
          <w:rFonts w:hint="eastAsia" w:ascii="仿宋" w:hAnsi="仿宋" w:eastAsia="仿宋" w:cs="仿宋"/>
          <w:color w:val="000000" w:themeColor="text1"/>
          <w:szCs w:val="21"/>
          <w:highlight w:val="none"/>
          <w14:textFill>
            <w14:solidFill>
              <w14:schemeClr w14:val="tx1"/>
            </w14:solidFill>
          </w14:textFill>
        </w:rPr>
        <w:t>公告形式在</w:t>
      </w:r>
      <w:r>
        <w:rPr>
          <w:rFonts w:hint="eastAsia" w:ascii="仿宋" w:hAnsi="仿宋" w:eastAsia="仿宋" w:cs="仿宋"/>
          <w:color w:val="000000" w:themeColor="text1"/>
          <w:szCs w:val="21"/>
          <w:highlight w:val="none"/>
          <w:lang w:eastAsia="zh-CN"/>
          <w14:textFill>
            <w14:solidFill>
              <w14:schemeClr w14:val="tx1"/>
            </w14:solidFill>
          </w14:textFill>
        </w:rPr>
        <w:t>政采云平台</w:t>
      </w: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更正公告</w:t>
      </w:r>
      <w:r>
        <w:rPr>
          <w:rFonts w:hint="eastAsia" w:ascii="仿宋" w:hAnsi="仿宋" w:eastAsia="仿宋" w:cs="仿宋"/>
          <w:color w:val="000000" w:themeColor="text1"/>
          <w:szCs w:val="21"/>
          <w:highlight w:val="none"/>
          <w14:textFill>
            <w14:solidFill>
              <w14:schemeClr w14:val="tx1"/>
            </w14:solidFill>
          </w14:textFill>
        </w:rPr>
        <w:t>”栏目予以公告，请各位投标人注意查看有关澄清内容，如不及时查看造成后果由投标人自负。</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的修改、补充等内容作为</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的组成部分，具有约束作用。</w:t>
      </w:r>
    </w:p>
    <w:p>
      <w:pPr>
        <w:shd w:val="clear" w:color="auto" w:fill="auto"/>
        <w:wordWrap w:val="0"/>
        <w:spacing w:line="400" w:lineRule="exact"/>
        <w:ind w:firstLine="364"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shd w:val="clear" w:color="auto" w:fill="auto"/>
        <w:wordWrap w:val="0"/>
        <w:spacing w:line="400" w:lineRule="exact"/>
        <w:ind w:firstLine="364"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17.</w:t>
      </w:r>
      <w:r>
        <w:rPr>
          <w:rFonts w:hint="eastAsia" w:ascii="仿宋" w:hAnsi="仿宋" w:eastAsia="仿宋" w:cs="仿宋"/>
          <w:bCs/>
          <w:color w:val="000000" w:themeColor="text1"/>
          <w:szCs w:val="21"/>
          <w:highlight w:val="none"/>
          <w:lang w:val="en-US" w:eastAsia="zh-CN"/>
          <w14:textFill>
            <w14:solidFill>
              <w14:schemeClr w14:val="tx1"/>
            </w14:solidFill>
          </w14:textFill>
        </w:rPr>
        <w:t>3</w:t>
      </w:r>
      <w:r>
        <w:rPr>
          <w:rFonts w:hint="eastAsia" w:ascii="仿宋" w:hAnsi="仿宋" w:eastAsia="仿宋" w:cs="仿宋"/>
          <w:bCs/>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供应商在规定的时间内未对采购文件提出疑问、质疑或要求澄清的，将视其为无异议。</w:t>
      </w:r>
    </w:p>
    <w:p>
      <w:pPr>
        <w:shd w:val="clear" w:color="auto" w:fill="auto"/>
        <w:spacing w:line="400" w:lineRule="exact"/>
        <w:ind w:firstLine="243" w:firstLineChars="1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17.</w:t>
      </w:r>
      <w:r>
        <w:rPr>
          <w:rFonts w:hint="eastAsia" w:ascii="仿宋" w:hAnsi="仿宋" w:eastAsia="仿宋" w:cs="仿宋"/>
          <w:bCs/>
          <w:color w:val="000000" w:themeColor="text1"/>
          <w:szCs w:val="21"/>
          <w:highlight w:val="none"/>
          <w:lang w:val="en-US" w:eastAsia="zh-CN"/>
          <w14:textFill>
            <w14:solidFill>
              <w14:schemeClr w14:val="tx1"/>
            </w14:solidFill>
          </w14:textFill>
        </w:rPr>
        <w:t>4</w:t>
      </w:r>
      <w:r>
        <w:rPr>
          <w:rFonts w:hint="eastAsia" w:ascii="仿宋" w:hAnsi="仿宋" w:eastAsia="仿宋" w:cs="仿宋"/>
          <w:bCs/>
          <w:color w:val="000000" w:themeColor="text1"/>
          <w:szCs w:val="21"/>
          <w:highlight w:val="none"/>
          <w14:textFill>
            <w14:solidFill>
              <w14:schemeClr w14:val="tx1"/>
            </w14:solidFill>
          </w14:textFill>
        </w:rPr>
        <w:t xml:space="preserve"> </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的解释</w:t>
      </w:r>
    </w:p>
    <w:p>
      <w:pPr>
        <w:shd w:val="clear" w:color="auto" w:fill="auto"/>
        <w:spacing w:line="40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由招标人（或其委托的招标代理机构）负责解释。</w:t>
      </w:r>
    </w:p>
    <w:p>
      <w:pPr>
        <w:shd w:val="clear" w:color="auto" w:fill="auto"/>
        <w:spacing w:line="400" w:lineRule="exac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 18. </w:t>
      </w:r>
      <w:r>
        <w:rPr>
          <w:rFonts w:hint="eastAsia" w:ascii="仿宋" w:hAnsi="仿宋" w:eastAsia="仿宋" w:cs="仿宋"/>
          <w:b/>
          <w:color w:val="000000" w:themeColor="text1"/>
          <w:szCs w:val="21"/>
          <w:highlight w:val="none"/>
          <w:lang w:eastAsia="zh-CN"/>
          <w14:textFill>
            <w14:solidFill>
              <w14:schemeClr w14:val="tx1"/>
            </w14:solidFill>
          </w14:textFill>
        </w:rPr>
        <w:t>采购文件</w:t>
      </w:r>
      <w:r>
        <w:rPr>
          <w:rFonts w:hint="eastAsia" w:ascii="仿宋" w:hAnsi="仿宋" w:eastAsia="仿宋" w:cs="仿宋"/>
          <w:b/>
          <w:color w:val="000000" w:themeColor="text1"/>
          <w:szCs w:val="21"/>
          <w:highlight w:val="none"/>
          <w14:textFill>
            <w14:solidFill>
              <w14:schemeClr w14:val="tx1"/>
            </w14:solidFill>
          </w14:textFill>
        </w:rPr>
        <w:t>的发出</w:t>
      </w:r>
    </w:p>
    <w:p>
      <w:pPr>
        <w:shd w:val="clear" w:color="auto" w:fill="auto"/>
        <w:spacing w:line="400" w:lineRule="exact"/>
        <w:ind w:firstLine="364"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18.1  </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的澄清、修改、补充及招标答疑等均应报</w:t>
      </w:r>
      <w:r>
        <w:rPr>
          <w:rFonts w:hint="eastAsia" w:ascii="仿宋" w:hAnsi="仿宋" w:eastAsia="仿宋" w:cs="仿宋"/>
          <w:color w:val="000000" w:themeColor="text1"/>
          <w:szCs w:val="21"/>
          <w:highlight w:val="none"/>
          <w:lang w:eastAsia="zh-CN"/>
          <w14:textFill>
            <w14:solidFill>
              <w14:schemeClr w14:val="tx1"/>
            </w14:solidFill>
          </w14:textFill>
        </w:rPr>
        <w:t>相关部门</w:t>
      </w:r>
      <w:r>
        <w:rPr>
          <w:rFonts w:hint="eastAsia" w:ascii="仿宋" w:hAnsi="仿宋" w:eastAsia="仿宋" w:cs="仿宋"/>
          <w:color w:val="000000" w:themeColor="text1"/>
          <w:szCs w:val="21"/>
          <w:highlight w:val="none"/>
          <w14:textFill>
            <w14:solidFill>
              <w14:schemeClr w14:val="tx1"/>
            </w14:solidFill>
          </w14:textFill>
        </w:rPr>
        <w:t>备案后，方可发出。</w:t>
      </w:r>
    </w:p>
    <w:p>
      <w:pPr>
        <w:shd w:val="clear" w:color="auto" w:fill="auto"/>
        <w:spacing w:line="440" w:lineRule="exact"/>
        <w:ind w:firstLine="243" w:firstLineChars="100"/>
        <w:rPr>
          <w:rFonts w:hint="eastAsia" w:ascii="仿宋" w:hAnsi="仿宋" w:eastAsia="仿宋" w:cs="仿宋"/>
          <w:color w:val="000000" w:themeColor="text1"/>
          <w:szCs w:val="21"/>
          <w:highlight w:val="none"/>
          <w14:textFill>
            <w14:solidFill>
              <w14:schemeClr w14:val="tx1"/>
            </w14:solidFill>
          </w14:textFill>
        </w:rPr>
      </w:pPr>
      <w:bookmarkStart w:id="16" w:name="_Toc469495726"/>
      <w:r>
        <w:rPr>
          <w:rFonts w:hint="eastAsia" w:ascii="仿宋" w:hAnsi="仿宋" w:eastAsia="仿宋" w:cs="仿宋"/>
          <w:b/>
          <w:color w:val="000000" w:themeColor="text1"/>
          <w:szCs w:val="21"/>
          <w:highlight w:val="none"/>
          <w14:textFill>
            <w14:solidFill>
              <w14:schemeClr w14:val="tx1"/>
            </w14:solidFill>
          </w14:textFill>
        </w:rPr>
        <w:t xml:space="preserve">19. </w:t>
      </w:r>
      <w:r>
        <w:rPr>
          <w:rFonts w:hint="eastAsia" w:ascii="仿宋" w:hAnsi="仿宋" w:eastAsia="仿宋" w:cs="仿宋"/>
          <w:color w:val="000000" w:themeColor="text1"/>
          <w:szCs w:val="21"/>
          <w:highlight w:val="none"/>
          <w14:textFill>
            <w14:solidFill>
              <w14:schemeClr w14:val="tx1"/>
            </w14:solidFill>
          </w14:textFill>
        </w:rPr>
        <w:t>凡需要设置样品情形时，必须明确是否需要随样品提交检测报告，并明确检测机构的要求、检测内容、</w:t>
      </w:r>
      <w:r>
        <w:rPr>
          <w:rFonts w:hint="eastAsia" w:ascii="仿宋" w:hAnsi="仿宋" w:eastAsia="仿宋" w:cs="仿宋"/>
          <w:b w:val="0"/>
          <w:bCs w:val="0"/>
          <w:color w:val="000000" w:themeColor="text1"/>
          <w:szCs w:val="21"/>
          <w:highlight w:val="none"/>
          <w14:textFill>
            <w14:solidFill>
              <w14:schemeClr w14:val="tx1"/>
            </w14:solidFill>
          </w14:textFill>
        </w:rPr>
        <w:t>中标样品封存</w:t>
      </w:r>
      <w:r>
        <w:rPr>
          <w:rFonts w:hint="eastAsia" w:ascii="仿宋" w:hAnsi="仿宋" w:eastAsia="仿宋" w:cs="仿宋"/>
          <w:color w:val="000000" w:themeColor="text1"/>
          <w:szCs w:val="21"/>
          <w:highlight w:val="none"/>
          <w14:textFill>
            <w14:solidFill>
              <w14:schemeClr w14:val="tx1"/>
            </w14:solidFill>
          </w14:textFill>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pPr>
        <w:shd w:val="clear" w:color="auto" w:fill="auto"/>
        <w:spacing w:line="400" w:lineRule="exact"/>
        <w:ind w:firstLine="42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中应明确样品送检方式、检测费用支付方法、投标人在规定时间内无法提供第三方权威检测机构检测报告的处理方式。（</w:t>
      </w:r>
      <w:r>
        <w:rPr>
          <w:rFonts w:hint="eastAsia" w:ascii="仿宋" w:hAnsi="仿宋" w:eastAsia="仿宋" w:cs="仿宋"/>
          <w:color w:val="000000" w:themeColor="text1"/>
          <w:szCs w:val="21"/>
          <w:highlight w:val="none"/>
          <w:lang w:eastAsia="zh-CN"/>
          <w14:textFill>
            <w14:solidFill>
              <w14:schemeClr w14:val="tx1"/>
            </w14:solidFill>
          </w14:textFill>
        </w:rPr>
        <w:t>采购人</w:t>
      </w:r>
      <w:r>
        <w:rPr>
          <w:rFonts w:hint="eastAsia" w:ascii="仿宋" w:hAnsi="仿宋" w:eastAsia="仿宋" w:cs="仿宋"/>
          <w:color w:val="000000" w:themeColor="text1"/>
          <w:szCs w:val="21"/>
          <w:highlight w:val="none"/>
          <w14:textFill>
            <w14:solidFill>
              <w14:schemeClr w14:val="tx1"/>
            </w14:solidFill>
          </w14:textFill>
        </w:rPr>
        <w:t>根据项目需求按上述要求自行描述）</w:t>
      </w:r>
    </w:p>
    <w:p>
      <w:pPr>
        <w:shd w:val="clear" w:color="auto" w:fill="auto"/>
        <w:spacing w:before="312" w:beforeLines="100" w:after="312" w:afterLines="100" w:line="440" w:lineRule="exact"/>
        <w:jc w:val="center"/>
        <w:outlineLvl w:val="2"/>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（三）投标文件的编制</w:t>
      </w:r>
      <w:bookmarkEnd w:id="16"/>
    </w:p>
    <w:p>
      <w:pPr>
        <w:shd w:val="clear" w:color="auto" w:fill="auto"/>
        <w:spacing w:line="440" w:lineRule="exact"/>
        <w:ind w:firstLine="352" w:firstLineChars="145"/>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20. 投标的语言及度量衡单位</w:t>
      </w:r>
    </w:p>
    <w:p>
      <w:pPr>
        <w:shd w:val="clear" w:color="auto" w:fill="auto"/>
        <w:spacing w:line="440" w:lineRule="exact"/>
        <w:ind w:firstLine="328" w:firstLineChars="13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hd w:val="clear" w:color="auto" w:fill="auto"/>
        <w:spacing w:line="440" w:lineRule="exact"/>
        <w:ind w:firstLine="328" w:firstLineChars="13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20.2除</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中另有规定外，投标书所使用的度量衡均须采用法定计量单位。</w:t>
      </w:r>
    </w:p>
    <w:p>
      <w:pPr>
        <w:shd w:val="clear" w:color="auto" w:fill="auto"/>
        <w:spacing w:line="400" w:lineRule="exact"/>
        <w:ind w:firstLine="237" w:firstLineChars="98"/>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21. 投标文件的组成</w:t>
      </w:r>
    </w:p>
    <w:p>
      <w:pPr>
        <w:shd w:val="clear" w:color="auto" w:fill="auto"/>
        <w:spacing w:line="40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资格证明文件和商务及技术文件两部分。</w:t>
      </w:r>
    </w:p>
    <w:p>
      <w:pPr>
        <w:shd w:val="clear" w:color="auto" w:fill="auto"/>
        <w:spacing w:line="440" w:lineRule="exact"/>
        <w:ind w:firstLine="356" w:firstLineChars="147"/>
        <w:rPr>
          <w:rFonts w:hint="eastAsia"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21.1资格证明文件</w:t>
      </w:r>
      <w:r>
        <w:rPr>
          <w:rFonts w:hint="eastAsia" w:ascii="仿宋" w:hAnsi="仿宋" w:eastAsia="仿宋" w:cs="仿宋"/>
          <w:b/>
          <w:color w:val="000000" w:themeColor="text1"/>
          <w:szCs w:val="21"/>
          <w:highlight w:val="none"/>
          <w:lang w:eastAsia="zh-CN"/>
          <w14:textFill>
            <w14:solidFill>
              <w14:schemeClr w14:val="tx1"/>
            </w14:solidFill>
          </w14:textFill>
        </w:rPr>
        <w:t>（包括但不限于）</w:t>
      </w:r>
    </w:p>
    <w:p>
      <w:pPr>
        <w:shd w:val="clear" w:color="auto" w:fill="auto"/>
        <w:spacing w:line="440" w:lineRule="exact"/>
        <w:ind w:firstLine="356" w:firstLineChars="147"/>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资格证明</w:t>
      </w:r>
      <w:r>
        <w:rPr>
          <w:rFonts w:hint="eastAsia" w:ascii="仿宋" w:hAnsi="仿宋" w:eastAsia="仿宋" w:cs="仿宋"/>
          <w:color w:val="000000" w:themeColor="text1"/>
          <w:szCs w:val="21"/>
          <w:highlight w:val="none"/>
          <w:lang w:eastAsia="zh-CN"/>
          <w14:textFill>
            <w14:solidFill>
              <w14:schemeClr w14:val="tx1"/>
            </w14:solidFill>
          </w14:textFill>
        </w:rPr>
        <w:t>文件</w:t>
      </w:r>
      <w:r>
        <w:rPr>
          <w:rFonts w:hint="eastAsia" w:ascii="仿宋" w:hAnsi="仿宋" w:eastAsia="仿宋" w:cs="仿宋"/>
          <w:color w:val="000000" w:themeColor="text1"/>
          <w:szCs w:val="21"/>
          <w:highlight w:val="none"/>
          <w14:textFill>
            <w14:solidFill>
              <w14:schemeClr w14:val="tx1"/>
            </w14:solidFill>
          </w14:textFill>
        </w:rPr>
        <w:t>是证明投标人有资格参加投标和中标后有能力履行合同的文件，这些文件应能满足招标的要求，否则作无效投标处理。</w:t>
      </w:r>
    </w:p>
    <w:p>
      <w:pPr>
        <w:shd w:val="clear" w:color="auto" w:fill="auto"/>
        <w:spacing w:line="440" w:lineRule="exact"/>
        <w:ind w:firstLine="356" w:firstLineChars="147"/>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1、法人或者非法人组织的营业执照等证明文件复印件（须加盖本单位章）或自然人的身份证明复印件;</w:t>
      </w:r>
    </w:p>
    <w:p>
      <w:pPr>
        <w:shd w:val="clear" w:color="auto" w:fill="auto"/>
        <w:spacing w:line="440" w:lineRule="exact"/>
        <w:ind w:firstLine="356" w:firstLineChars="147"/>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2、法定代表人资格证明书</w:t>
      </w:r>
    </w:p>
    <w:p>
      <w:pPr>
        <w:shd w:val="clear" w:color="auto" w:fill="auto"/>
        <w:spacing w:line="440" w:lineRule="exact"/>
        <w:ind w:firstLine="356" w:firstLineChars="147"/>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3、法定代表人授权书</w:t>
      </w:r>
    </w:p>
    <w:p>
      <w:pPr>
        <w:shd w:val="clear" w:color="auto" w:fill="auto"/>
        <w:spacing w:line="440" w:lineRule="exact"/>
        <w:ind w:firstLine="356" w:firstLineChars="147"/>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4、投标保证金收据或投标担保函；</w:t>
      </w:r>
    </w:p>
    <w:p>
      <w:pPr>
        <w:shd w:val="clear" w:color="auto" w:fill="auto"/>
        <w:spacing w:line="440" w:lineRule="exact"/>
        <w:ind w:firstLine="356" w:firstLineChars="147"/>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5、投标企业须提供投标人（被授权本单位在职人员）近6个月有效的社保证明;</w:t>
      </w:r>
    </w:p>
    <w:p>
      <w:pPr>
        <w:shd w:val="clear" w:color="auto" w:fill="auto"/>
        <w:spacing w:line="440" w:lineRule="exact"/>
        <w:ind w:firstLine="486"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shd w:val="clear" w:color="auto" w:fill="auto"/>
        <w:spacing w:line="440" w:lineRule="exact"/>
        <w:ind w:firstLine="356" w:firstLineChars="147"/>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8、投标人须知资料表要求的其他资格证明文件; </w:t>
      </w:r>
    </w:p>
    <w:p>
      <w:pPr>
        <w:shd w:val="clear" w:color="auto" w:fill="auto"/>
        <w:spacing w:line="440" w:lineRule="exact"/>
        <w:ind w:firstLine="356" w:firstLineChars="147"/>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21.2</w:t>
      </w:r>
      <w:r>
        <w:rPr>
          <w:rFonts w:hint="eastAsia" w:ascii="仿宋" w:hAnsi="仿宋" w:eastAsia="仿宋" w:cs="仿宋"/>
          <w:b/>
          <w:color w:val="000000" w:themeColor="text1"/>
          <w:szCs w:val="21"/>
          <w:highlight w:val="none"/>
          <w:lang w:val="en-US" w:eastAsia="zh-CN"/>
          <w14:textFill>
            <w14:solidFill>
              <w14:schemeClr w14:val="tx1"/>
            </w14:solidFill>
          </w14:textFill>
        </w:rPr>
        <w:t xml:space="preserve"> 商务及技术文件</w:t>
      </w:r>
      <w:r>
        <w:rPr>
          <w:rFonts w:hint="eastAsia" w:ascii="仿宋" w:hAnsi="仿宋" w:eastAsia="仿宋" w:cs="仿宋"/>
          <w:b/>
          <w:color w:val="000000" w:themeColor="text1"/>
          <w:szCs w:val="21"/>
          <w:highlight w:val="none"/>
          <w:lang w:eastAsia="zh-CN"/>
          <w14:textFill>
            <w14:solidFill>
              <w14:schemeClr w14:val="tx1"/>
            </w14:solidFill>
          </w14:textFill>
        </w:rPr>
        <w:t>（包括但不限于）</w:t>
      </w:r>
    </w:p>
    <w:p>
      <w:pPr>
        <w:shd w:val="clear" w:color="auto" w:fill="auto"/>
        <w:spacing w:line="400" w:lineRule="exact"/>
        <w:ind w:firstLine="482" w:firstLineChars="199"/>
        <w:rPr>
          <w:rFonts w:hint="eastAsia" w:ascii="仿宋" w:hAnsi="仿宋" w:eastAsia="仿宋" w:cs="仿宋"/>
          <w:b w:val="0"/>
          <w:bCs/>
          <w:color w:val="000000" w:themeColor="text1"/>
          <w:kern w:val="0"/>
          <w:szCs w:val="21"/>
          <w:highlight w:val="none"/>
          <w:u w:val="none"/>
          <w14:textFill>
            <w14:solidFill>
              <w14:schemeClr w14:val="tx1"/>
            </w14:solidFill>
          </w14:textFill>
        </w:rPr>
      </w:pPr>
      <w:r>
        <w:rPr>
          <w:rFonts w:hint="eastAsia" w:ascii="仿宋" w:hAnsi="仿宋" w:eastAsia="仿宋" w:cs="仿宋"/>
          <w:b w:val="0"/>
          <w:bCs/>
          <w:color w:val="000000" w:themeColor="text1"/>
          <w:kern w:val="0"/>
          <w:szCs w:val="21"/>
          <w:highlight w:val="none"/>
          <w:u w:val="none"/>
          <w14:textFill>
            <w14:solidFill>
              <w14:schemeClr w14:val="tx1"/>
            </w14:solidFill>
          </w14:textFill>
        </w:rPr>
        <w:t>1、投标</w:t>
      </w:r>
      <w:r>
        <w:rPr>
          <w:rFonts w:hint="eastAsia" w:ascii="仿宋" w:hAnsi="仿宋" w:eastAsia="仿宋" w:cs="仿宋"/>
          <w:b w:val="0"/>
          <w:bCs/>
          <w:color w:val="000000" w:themeColor="text1"/>
          <w:kern w:val="0"/>
          <w:szCs w:val="21"/>
          <w:highlight w:val="none"/>
          <w:u w:val="none"/>
          <w:lang w:eastAsia="zh-CN"/>
          <w14:textFill>
            <w14:solidFill>
              <w14:schemeClr w14:val="tx1"/>
            </w14:solidFill>
          </w14:textFill>
        </w:rPr>
        <w:t>函</w:t>
      </w:r>
    </w:p>
    <w:p>
      <w:pPr>
        <w:shd w:val="clear" w:color="auto" w:fill="auto"/>
        <w:spacing w:line="400" w:lineRule="exact"/>
        <w:ind w:firstLine="482" w:firstLineChars="199"/>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pPr>
      <w:r>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t>2、开标一览表</w:t>
      </w:r>
    </w:p>
    <w:p>
      <w:pPr>
        <w:shd w:val="clear" w:color="auto" w:fill="auto"/>
        <w:spacing w:line="400" w:lineRule="exact"/>
        <w:ind w:firstLine="482" w:firstLineChars="199"/>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pPr>
      <w:r>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t>3、货物说明一览表</w:t>
      </w:r>
    </w:p>
    <w:p>
      <w:pPr>
        <w:shd w:val="clear" w:color="auto" w:fill="auto"/>
        <w:spacing w:line="400" w:lineRule="exact"/>
        <w:ind w:firstLine="482" w:firstLineChars="199"/>
        <w:rPr>
          <w:rFonts w:hint="eastAsia" w:ascii="仿宋" w:hAnsi="仿宋" w:eastAsia="仿宋" w:cs="仿宋"/>
          <w:b w:val="0"/>
          <w:bCs/>
          <w:color w:val="000000" w:themeColor="text1"/>
          <w:kern w:val="0"/>
          <w:szCs w:val="21"/>
          <w:highlight w:val="none"/>
          <w:u w:val="none"/>
          <w14:textFill>
            <w14:solidFill>
              <w14:schemeClr w14:val="tx1"/>
            </w14:solidFill>
          </w14:textFill>
        </w:rPr>
      </w:pPr>
      <w:r>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t>4</w:t>
      </w:r>
      <w:r>
        <w:rPr>
          <w:rFonts w:hint="eastAsia" w:ascii="仿宋" w:hAnsi="仿宋" w:eastAsia="仿宋" w:cs="仿宋"/>
          <w:b w:val="0"/>
          <w:bCs/>
          <w:color w:val="000000" w:themeColor="text1"/>
          <w:kern w:val="0"/>
          <w:szCs w:val="21"/>
          <w:highlight w:val="none"/>
          <w:u w:val="none"/>
          <w14:textFill>
            <w14:solidFill>
              <w14:schemeClr w14:val="tx1"/>
            </w14:solidFill>
          </w14:textFill>
        </w:rPr>
        <w:t>、投标分项报价表</w:t>
      </w:r>
    </w:p>
    <w:p>
      <w:pPr>
        <w:shd w:val="clear" w:color="auto" w:fill="auto"/>
        <w:spacing w:line="400" w:lineRule="exact"/>
        <w:ind w:firstLine="482" w:firstLineChars="199"/>
        <w:rPr>
          <w:rFonts w:hint="eastAsia" w:ascii="仿宋" w:hAnsi="仿宋" w:eastAsia="仿宋" w:cs="仿宋"/>
          <w:b w:val="0"/>
          <w:bCs/>
          <w:color w:val="000000" w:themeColor="text1"/>
          <w:kern w:val="0"/>
          <w:szCs w:val="21"/>
          <w:highlight w:val="none"/>
          <w:u w:val="none"/>
          <w14:textFill>
            <w14:solidFill>
              <w14:schemeClr w14:val="tx1"/>
            </w14:solidFill>
          </w14:textFill>
        </w:rPr>
      </w:pPr>
      <w:r>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t>5</w:t>
      </w:r>
      <w:r>
        <w:rPr>
          <w:rFonts w:hint="eastAsia" w:ascii="仿宋" w:hAnsi="仿宋" w:eastAsia="仿宋" w:cs="仿宋"/>
          <w:b w:val="0"/>
          <w:bCs/>
          <w:color w:val="000000" w:themeColor="text1"/>
          <w:kern w:val="0"/>
          <w:szCs w:val="21"/>
          <w:highlight w:val="none"/>
          <w:u w:val="none"/>
          <w14:textFill>
            <w14:solidFill>
              <w14:schemeClr w14:val="tx1"/>
            </w14:solidFill>
          </w14:textFill>
        </w:rPr>
        <w:t>、技术规格偏离表</w:t>
      </w:r>
    </w:p>
    <w:p>
      <w:pPr>
        <w:shd w:val="clear" w:color="auto" w:fill="auto"/>
        <w:spacing w:line="400" w:lineRule="exact"/>
        <w:ind w:firstLine="482" w:firstLineChars="199"/>
        <w:rPr>
          <w:rFonts w:hint="eastAsia" w:ascii="仿宋" w:hAnsi="仿宋" w:eastAsia="仿宋" w:cs="仿宋"/>
          <w:b w:val="0"/>
          <w:bCs/>
          <w:color w:val="000000" w:themeColor="text1"/>
          <w:kern w:val="0"/>
          <w:szCs w:val="21"/>
          <w:highlight w:val="none"/>
          <w:u w:val="none"/>
          <w14:textFill>
            <w14:solidFill>
              <w14:schemeClr w14:val="tx1"/>
            </w14:solidFill>
          </w14:textFill>
        </w:rPr>
      </w:pPr>
      <w:r>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t>6</w:t>
      </w:r>
      <w:r>
        <w:rPr>
          <w:rFonts w:hint="eastAsia" w:ascii="仿宋" w:hAnsi="仿宋" w:eastAsia="仿宋" w:cs="仿宋"/>
          <w:b w:val="0"/>
          <w:bCs/>
          <w:color w:val="000000" w:themeColor="text1"/>
          <w:kern w:val="0"/>
          <w:szCs w:val="21"/>
          <w:highlight w:val="none"/>
          <w:u w:val="none"/>
          <w14:textFill>
            <w14:solidFill>
              <w14:schemeClr w14:val="tx1"/>
            </w14:solidFill>
          </w14:textFill>
        </w:rPr>
        <w:t>、商务条款偏离表</w:t>
      </w:r>
    </w:p>
    <w:p>
      <w:pPr>
        <w:shd w:val="clear" w:color="auto" w:fill="auto"/>
        <w:spacing w:line="400" w:lineRule="exact"/>
        <w:ind w:firstLine="482" w:firstLineChars="199"/>
        <w:rPr>
          <w:rFonts w:hint="eastAsia" w:ascii="仿宋" w:hAnsi="仿宋" w:eastAsia="仿宋" w:cs="仿宋"/>
          <w:b w:val="0"/>
          <w:bCs/>
          <w:color w:val="000000" w:themeColor="text1"/>
          <w:kern w:val="0"/>
          <w:szCs w:val="21"/>
          <w:highlight w:val="none"/>
          <w:u w:val="none"/>
          <w:lang w:eastAsia="zh-CN"/>
          <w14:textFill>
            <w14:solidFill>
              <w14:schemeClr w14:val="tx1"/>
            </w14:solidFill>
          </w14:textFill>
        </w:rPr>
      </w:pPr>
      <w:r>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t>7、投标人基本情况表</w:t>
      </w:r>
    </w:p>
    <w:p>
      <w:pPr>
        <w:shd w:val="clear" w:color="auto" w:fill="auto"/>
        <w:spacing w:line="400" w:lineRule="exact"/>
        <w:ind w:firstLine="482" w:firstLineChars="199"/>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pPr>
      <w:r>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t>8、近三年（2019年1月1日至今）类似项目业绩表</w:t>
      </w:r>
    </w:p>
    <w:p>
      <w:pPr>
        <w:shd w:val="clear" w:color="auto" w:fill="auto"/>
        <w:spacing w:line="400" w:lineRule="exact"/>
        <w:ind w:firstLine="482" w:firstLineChars="199"/>
        <w:rPr>
          <w:rFonts w:hint="eastAsia" w:ascii="仿宋" w:hAnsi="仿宋" w:eastAsia="仿宋" w:cs="仿宋"/>
          <w:b w:val="0"/>
          <w:bCs/>
          <w:color w:val="000000" w:themeColor="text1"/>
          <w:kern w:val="0"/>
          <w:szCs w:val="21"/>
          <w:highlight w:val="none"/>
          <w:u w:val="none"/>
          <w14:textFill>
            <w14:solidFill>
              <w14:schemeClr w14:val="tx1"/>
            </w14:solidFill>
          </w14:textFill>
        </w:rPr>
      </w:pPr>
      <w:r>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t>9</w:t>
      </w:r>
      <w:r>
        <w:rPr>
          <w:rFonts w:hint="eastAsia" w:ascii="仿宋" w:hAnsi="仿宋" w:eastAsia="仿宋" w:cs="仿宋"/>
          <w:b w:val="0"/>
          <w:bCs/>
          <w:color w:val="000000" w:themeColor="text1"/>
          <w:kern w:val="0"/>
          <w:szCs w:val="21"/>
          <w:highlight w:val="none"/>
          <w:u w:val="none"/>
          <w14:textFill>
            <w14:solidFill>
              <w14:schemeClr w14:val="tx1"/>
            </w14:solidFill>
          </w14:textFill>
        </w:rPr>
        <w:t>、中小企业声明函(</w:t>
      </w:r>
      <w:r>
        <w:rPr>
          <w:rFonts w:hint="eastAsia" w:ascii="仿宋" w:hAnsi="仿宋" w:eastAsia="仿宋" w:cs="仿宋"/>
          <w:b w:val="0"/>
          <w:bCs/>
          <w:color w:val="000000" w:themeColor="text1"/>
          <w:kern w:val="0"/>
          <w:szCs w:val="21"/>
          <w:highlight w:val="none"/>
          <w:u w:val="none"/>
          <w:lang w:eastAsia="zh-CN"/>
          <w14:textFill>
            <w14:solidFill>
              <w14:schemeClr w14:val="tx1"/>
            </w14:solidFill>
          </w14:textFill>
        </w:rPr>
        <w:t>货物</w:t>
      </w:r>
      <w:r>
        <w:rPr>
          <w:rFonts w:hint="eastAsia" w:ascii="仿宋" w:hAnsi="仿宋" w:eastAsia="仿宋" w:cs="仿宋"/>
          <w:b w:val="0"/>
          <w:bCs/>
          <w:color w:val="000000" w:themeColor="text1"/>
          <w:kern w:val="0"/>
          <w:szCs w:val="21"/>
          <w:highlight w:val="none"/>
          <w:u w:val="none"/>
          <w14:textFill>
            <w14:solidFill>
              <w14:schemeClr w14:val="tx1"/>
            </w14:solidFill>
          </w14:textFill>
        </w:rPr>
        <w:t>)</w:t>
      </w:r>
    </w:p>
    <w:p>
      <w:pPr>
        <w:shd w:val="clear" w:color="auto" w:fill="auto"/>
        <w:spacing w:line="400" w:lineRule="exact"/>
        <w:ind w:firstLine="482" w:firstLineChars="199"/>
        <w:rPr>
          <w:rFonts w:hint="eastAsia" w:ascii="仿宋" w:hAnsi="仿宋" w:eastAsia="仿宋" w:cs="仿宋"/>
          <w:b w:val="0"/>
          <w:bCs/>
          <w:color w:val="000000" w:themeColor="text1"/>
          <w:kern w:val="0"/>
          <w:szCs w:val="21"/>
          <w:highlight w:val="none"/>
          <w:u w:val="none"/>
          <w14:textFill>
            <w14:solidFill>
              <w14:schemeClr w14:val="tx1"/>
            </w14:solidFill>
          </w14:textFill>
        </w:rPr>
      </w:pPr>
      <w:r>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t>10、</w:t>
      </w:r>
      <w:r>
        <w:rPr>
          <w:rFonts w:hint="eastAsia" w:ascii="仿宋" w:hAnsi="仿宋" w:eastAsia="仿宋" w:cs="仿宋"/>
          <w:b w:val="0"/>
          <w:bCs/>
          <w:color w:val="000000" w:themeColor="text1"/>
          <w:kern w:val="0"/>
          <w:szCs w:val="21"/>
          <w:highlight w:val="none"/>
          <w:u w:val="none"/>
          <w14:textFill>
            <w14:solidFill>
              <w14:schemeClr w14:val="tx1"/>
            </w14:solidFill>
          </w14:textFill>
        </w:rPr>
        <w:t>《残疾人福利性单位声明函》</w:t>
      </w:r>
    </w:p>
    <w:p>
      <w:pPr>
        <w:shd w:val="clear" w:color="auto" w:fill="auto"/>
        <w:spacing w:line="400" w:lineRule="exact"/>
        <w:ind w:firstLine="482" w:firstLineChars="199"/>
        <w:rPr>
          <w:rFonts w:hint="eastAsia" w:ascii="仿宋" w:hAnsi="仿宋" w:eastAsia="仿宋" w:cs="仿宋"/>
          <w:b w:val="0"/>
          <w:bCs/>
          <w:color w:val="000000" w:themeColor="text1"/>
          <w:kern w:val="0"/>
          <w:szCs w:val="21"/>
          <w:highlight w:val="none"/>
          <w:u w:val="none"/>
          <w:lang w:eastAsia="zh-CN"/>
          <w14:textFill>
            <w14:solidFill>
              <w14:schemeClr w14:val="tx1"/>
            </w14:solidFill>
          </w14:textFill>
        </w:rPr>
      </w:pPr>
      <w:r>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t>11、</w:t>
      </w:r>
      <w:r>
        <w:rPr>
          <w:rFonts w:hint="eastAsia" w:ascii="仿宋" w:hAnsi="仿宋" w:eastAsia="仿宋" w:cs="仿宋"/>
          <w:b w:val="0"/>
          <w:bCs/>
          <w:color w:val="000000" w:themeColor="text1"/>
          <w:kern w:val="0"/>
          <w:szCs w:val="21"/>
          <w:highlight w:val="none"/>
          <w:u w:val="none"/>
          <w:lang w:eastAsia="zh-CN"/>
          <w14:textFill>
            <w14:solidFill>
              <w14:schemeClr w14:val="tx1"/>
            </w14:solidFill>
          </w14:textFill>
        </w:rPr>
        <w:t>评分标准和细则中技术部分证明材料</w:t>
      </w:r>
    </w:p>
    <w:p>
      <w:pPr>
        <w:shd w:val="clear" w:color="auto" w:fill="auto"/>
        <w:spacing w:line="400" w:lineRule="exact"/>
        <w:ind w:firstLine="482" w:firstLineChars="199"/>
        <w:rPr>
          <w:rFonts w:hint="eastAsia" w:ascii="仿宋" w:hAnsi="仿宋" w:eastAsia="仿宋" w:cs="仿宋"/>
          <w:b w:val="0"/>
          <w:bCs/>
          <w:color w:val="000000" w:themeColor="text1"/>
          <w:kern w:val="0"/>
          <w:szCs w:val="21"/>
          <w:highlight w:val="none"/>
          <w:u w:val="none"/>
          <w:lang w:eastAsia="zh-CN"/>
          <w14:textFill>
            <w14:solidFill>
              <w14:schemeClr w14:val="tx1"/>
            </w14:solidFill>
          </w14:textFill>
        </w:rPr>
      </w:pPr>
      <w:r>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t>12、</w:t>
      </w:r>
      <w:r>
        <w:rPr>
          <w:rFonts w:hint="eastAsia" w:ascii="仿宋" w:hAnsi="仿宋" w:eastAsia="仿宋" w:cs="仿宋"/>
          <w:b w:val="0"/>
          <w:bCs/>
          <w:color w:val="000000" w:themeColor="text1"/>
          <w:kern w:val="0"/>
          <w:szCs w:val="21"/>
          <w:highlight w:val="none"/>
          <w:u w:val="none"/>
          <w:lang w:eastAsia="zh-CN"/>
          <w14:textFill>
            <w14:solidFill>
              <w14:schemeClr w14:val="tx1"/>
            </w14:solidFill>
          </w14:textFill>
        </w:rPr>
        <w:t>评分标准和细则中技术部分证明材料（格式自拟）</w:t>
      </w:r>
    </w:p>
    <w:p>
      <w:pPr>
        <w:shd w:val="clear" w:color="auto" w:fill="auto"/>
        <w:spacing w:line="400" w:lineRule="exact"/>
        <w:ind w:firstLine="482" w:firstLineChars="199"/>
        <w:rPr>
          <w:rFonts w:hint="eastAsia" w:ascii="仿宋" w:hAnsi="仿宋" w:eastAsia="仿宋" w:cs="仿宋"/>
          <w:b w:val="0"/>
          <w:bCs/>
          <w:color w:val="000000" w:themeColor="text1"/>
          <w:kern w:val="0"/>
          <w:szCs w:val="21"/>
          <w:highlight w:val="none"/>
          <w:u w:val="none"/>
          <w:lang w:eastAsia="zh-CN"/>
          <w14:textFill>
            <w14:solidFill>
              <w14:schemeClr w14:val="tx1"/>
            </w14:solidFill>
          </w14:textFill>
        </w:rPr>
      </w:pPr>
      <w:r>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t>13、</w:t>
      </w:r>
      <w:r>
        <w:rPr>
          <w:rFonts w:hint="eastAsia" w:ascii="仿宋" w:hAnsi="仿宋" w:eastAsia="仿宋" w:cs="仿宋"/>
          <w:b w:val="0"/>
          <w:bCs/>
          <w:color w:val="000000" w:themeColor="text1"/>
          <w:kern w:val="0"/>
          <w:szCs w:val="21"/>
          <w:highlight w:val="none"/>
          <w:u w:val="none"/>
          <w:lang w:eastAsia="zh-CN"/>
          <w14:textFill>
            <w14:solidFill>
              <w14:schemeClr w14:val="tx1"/>
            </w14:solidFill>
          </w14:textFill>
        </w:rPr>
        <w:t>投标人认为有必要提供的其他证明材料（格式自拟）</w:t>
      </w:r>
    </w:p>
    <w:p>
      <w:pPr>
        <w:shd w:val="clear" w:color="auto" w:fill="auto"/>
        <w:spacing w:line="400" w:lineRule="exact"/>
        <w:ind w:firstLine="482"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kern w:val="0"/>
          <w:szCs w:val="21"/>
          <w:highlight w:val="none"/>
          <w:u w:val="single"/>
          <w14:textFill>
            <w14:solidFill>
              <w14:schemeClr w14:val="tx1"/>
            </w14:solidFill>
          </w14:textFill>
        </w:rPr>
        <w:t>注：以上材料须</w:t>
      </w:r>
      <w:r>
        <w:rPr>
          <w:rFonts w:hint="eastAsia" w:ascii="仿宋" w:hAnsi="仿宋" w:eastAsia="仿宋" w:cs="仿宋"/>
          <w:b/>
          <w:color w:val="000000" w:themeColor="text1"/>
          <w:kern w:val="0"/>
          <w:szCs w:val="21"/>
          <w:highlight w:val="none"/>
          <w:u w:val="single"/>
          <w:lang w:eastAsia="zh-CN"/>
          <w14:textFill>
            <w14:solidFill>
              <w14:schemeClr w14:val="tx1"/>
            </w14:solidFill>
          </w14:textFill>
        </w:rPr>
        <w:t>逐页</w:t>
      </w:r>
      <w:r>
        <w:rPr>
          <w:rFonts w:hint="eastAsia" w:ascii="仿宋" w:hAnsi="仿宋" w:eastAsia="仿宋" w:cs="仿宋"/>
          <w:b/>
          <w:color w:val="000000" w:themeColor="text1"/>
          <w:kern w:val="0"/>
          <w:szCs w:val="21"/>
          <w:highlight w:val="none"/>
          <w:u w:val="single"/>
          <w14:textFill>
            <w14:solidFill>
              <w14:schemeClr w14:val="tx1"/>
            </w14:solidFill>
          </w14:textFill>
        </w:rPr>
        <w:t>加盖单位公章</w:t>
      </w:r>
      <w:r>
        <w:rPr>
          <w:rFonts w:hint="eastAsia" w:ascii="仿宋" w:hAnsi="仿宋" w:eastAsia="仿宋" w:cs="仿宋"/>
          <w:b/>
          <w:color w:val="000000" w:themeColor="text1"/>
          <w:kern w:val="0"/>
          <w:szCs w:val="21"/>
          <w:highlight w:val="none"/>
          <w:u w:val="single"/>
          <w:lang w:eastAsia="zh-CN"/>
          <w14:textFill>
            <w14:solidFill>
              <w14:schemeClr w14:val="tx1"/>
            </w14:solidFill>
          </w14:textFill>
        </w:rPr>
        <w:t>。</w:t>
      </w:r>
    </w:p>
    <w:p>
      <w:pPr>
        <w:shd w:val="clear" w:color="auto" w:fill="auto"/>
        <w:spacing w:line="400" w:lineRule="exact"/>
        <w:ind w:firstLine="482"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eastAsia="zh-CN"/>
          <w14:textFill>
            <w14:solidFill>
              <w14:schemeClr w14:val="tx1"/>
            </w14:solidFill>
          </w14:textFill>
        </w:rPr>
        <w:t>投标文件的要求</w:t>
      </w:r>
    </w:p>
    <w:p>
      <w:pPr>
        <w:shd w:val="clear" w:color="auto" w:fill="auto"/>
        <w:spacing w:line="400" w:lineRule="exact"/>
        <w:ind w:firstLine="482"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lang w:eastAsia="zh-CN"/>
          <w14:textFill>
            <w14:solidFill>
              <w14:schemeClr w14:val="tx1"/>
            </w14:solidFill>
          </w14:textFill>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hd w:val="clear" w:color="auto" w:fill="auto"/>
        <w:spacing w:line="400" w:lineRule="exact"/>
        <w:ind w:firstLine="482"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lang w:eastAsia="zh-CN"/>
          <w14:textFill>
            <w14:solidFill>
              <w14:schemeClr w14:val="tx1"/>
            </w14:solidFill>
          </w14:textFill>
        </w:rPr>
        <w:t>）投标文件格式应按本采购文件第六章格式要求编制，不得对采购文件格式进行增删更改，否则按无效标处理。</w:t>
      </w:r>
    </w:p>
    <w:p>
      <w:pPr>
        <w:shd w:val="clear" w:color="auto" w:fill="auto"/>
        <w:spacing w:line="400" w:lineRule="exact"/>
        <w:ind w:firstLine="482"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eastAsia="zh-CN"/>
          <w14:textFill>
            <w14:solidFill>
              <w14:schemeClr w14:val="tx1"/>
            </w14:solidFill>
          </w14:textFill>
        </w:rPr>
        <w:t xml:space="preserve">）对采购文件格式可更改的例外情况：采购文件第六章附件格式要求中明确规定表格中行数不够用时可按相同格式增加行数，其他一切内容和格式不得更改。 </w:t>
      </w:r>
    </w:p>
    <w:p>
      <w:pPr>
        <w:shd w:val="clear" w:color="auto" w:fill="auto"/>
        <w:spacing w:line="400" w:lineRule="exact"/>
        <w:ind w:firstLine="482"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lang w:eastAsia="zh-CN"/>
          <w14:textFill>
            <w14:solidFill>
              <w14:schemeClr w14:val="tx1"/>
            </w14:solidFill>
          </w14:textFill>
        </w:rPr>
        <w:t>）投标文件为电子投标文件，电子投标文件按“政采云供应商项目采购-电子招投标操作指南”及本采购文件要求制作、加密传输。</w:t>
      </w:r>
    </w:p>
    <w:p>
      <w:pPr>
        <w:shd w:val="clear" w:color="auto" w:fill="auto"/>
        <w:spacing w:line="400" w:lineRule="exact"/>
        <w:ind w:firstLine="482" w:firstLineChars="199"/>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lang w:eastAsia="zh-CN"/>
          <w14:textFill>
            <w14:solidFill>
              <w14:schemeClr w14:val="tx1"/>
            </w14:solidFill>
          </w14:textFill>
        </w:rPr>
        <w:t>）投标文件未在投标截止时间前完成传输的，视为投标文件撤回；投标文件未按时解密也未提供备份投标文件的，亦视为投标文件撤回。</w:t>
      </w:r>
    </w:p>
    <w:p>
      <w:pPr>
        <w:shd w:val="clear" w:color="auto" w:fill="auto"/>
        <w:spacing w:line="44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22</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b/>
          <w:color w:val="000000" w:themeColor="text1"/>
          <w:szCs w:val="21"/>
          <w:highlight w:val="none"/>
          <w14:textFill>
            <w14:solidFill>
              <w14:schemeClr w14:val="tx1"/>
            </w14:solidFill>
          </w14:textFill>
        </w:rPr>
        <w:t>投标报价</w:t>
      </w:r>
    </w:p>
    <w:p>
      <w:pPr>
        <w:shd w:val="clear" w:color="auto" w:fill="auto"/>
        <w:spacing w:line="44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22.1投标报价文件中的单价和总价全部采用人民币表示。</w:t>
      </w:r>
    </w:p>
    <w:p>
      <w:pPr>
        <w:shd w:val="clear" w:color="auto" w:fill="auto"/>
        <w:spacing w:line="44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22.2投标报价表上应清楚地标明投标人拟提供货物的名称、型号、生产厂家、数量、单价和总价。</w:t>
      </w:r>
    </w:p>
    <w:p>
      <w:pPr>
        <w:shd w:val="clear" w:color="auto" w:fill="auto"/>
        <w:spacing w:line="44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22.3投标人只允许有一个方案、一个报价。</w:t>
      </w:r>
    </w:p>
    <w:p>
      <w:pPr>
        <w:shd w:val="clear" w:color="auto" w:fill="auto"/>
        <w:spacing w:line="44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22.4投标人应按“采购内容及技术参数要求”所列货物逐项进行单价报价，并最终按货物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pPr>
        <w:shd w:val="clear" w:color="auto" w:fill="auto"/>
        <w:spacing w:line="44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22.5投标报价的价格是货物交货地验收价格，其总价即为履行合同的固定总价。</w:t>
      </w:r>
    </w:p>
    <w:p>
      <w:pPr>
        <w:shd w:val="clear" w:color="auto" w:fill="auto"/>
        <w:spacing w:line="44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22.6技术要求中规定的安装、调试和培训费用应包括在投标价格中。投标文件报价为含税价，招标人不再为此次招标支付任何费用。</w:t>
      </w:r>
    </w:p>
    <w:p>
      <w:pPr>
        <w:shd w:val="clear" w:color="auto" w:fill="auto"/>
        <w:spacing w:line="44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22.7投标报价应由法定代表人或被授权人签署。</w:t>
      </w:r>
    </w:p>
    <w:p>
      <w:pPr>
        <w:shd w:val="clear" w:color="auto" w:fill="auto"/>
        <w:spacing w:line="440" w:lineRule="exact"/>
        <w:ind w:firstLine="486"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22.8</w:t>
      </w:r>
      <w:r>
        <w:rPr>
          <w:rFonts w:hint="eastAsia" w:ascii="仿宋" w:hAnsi="仿宋" w:eastAsia="仿宋" w:cs="仿宋"/>
          <w:b/>
          <w:color w:val="000000" w:themeColor="text1"/>
          <w:szCs w:val="21"/>
          <w:highlight w:val="none"/>
          <w14:textFill>
            <w14:solidFill>
              <w14:schemeClr w14:val="tx1"/>
            </w14:solidFill>
          </w14:textFill>
        </w:rPr>
        <w:t>投标人投标总报价，不得高于本次招标设置的最高限价，</w:t>
      </w:r>
      <w:r>
        <w:rPr>
          <w:rFonts w:hint="eastAsia" w:ascii="仿宋" w:hAnsi="仿宋" w:eastAsia="仿宋" w:cs="仿宋"/>
          <w:b/>
          <w:bCs/>
          <w:color w:val="000000" w:themeColor="text1"/>
          <w:szCs w:val="21"/>
          <w:highlight w:val="none"/>
          <w14:textFill>
            <w14:solidFill>
              <w14:schemeClr w14:val="tx1"/>
            </w14:solidFill>
          </w14:textFill>
        </w:rPr>
        <w:t>否则将作为无效投标处理。</w:t>
      </w:r>
    </w:p>
    <w:p>
      <w:pPr>
        <w:shd w:val="clear" w:color="auto" w:fill="auto"/>
        <w:spacing w:line="44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22.9如投标文件中未列明全面实现投标货物功能而必须配置的配套或辅助设施及相应技术措施的费用，这些费用将被视为已包含在总投标价中。</w:t>
      </w:r>
    </w:p>
    <w:p>
      <w:pPr>
        <w:shd w:val="clear" w:color="auto" w:fill="auto"/>
        <w:spacing w:line="44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22.10总投标价中不得包含</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要求以外的内容，否则，在评标时不予核减，但在授予合同时，招标人有权将这部分价格从其中标价格中扣除。</w:t>
      </w:r>
    </w:p>
    <w:p>
      <w:pPr>
        <w:shd w:val="clear" w:color="auto" w:fill="auto"/>
        <w:spacing w:line="440" w:lineRule="exact"/>
        <w:ind w:firstLine="465" w:firstLineChars="192"/>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22.11总投标价中不得缺漏</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p>
    <w:p>
      <w:pPr>
        <w:shd w:val="clear" w:color="auto" w:fill="auto"/>
        <w:spacing w:line="440" w:lineRule="exact"/>
        <w:ind w:firstLine="465" w:firstLineChars="19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22.12投标人不得对从第三方采购货物的随机备品、备件另行收费，否则在计算评标价时这部分费用将不予扣除，在授予合同时将从中标价格中扣除该部分费用。</w:t>
      </w:r>
    </w:p>
    <w:p>
      <w:pPr>
        <w:shd w:val="clear" w:color="auto" w:fill="auto"/>
        <w:spacing w:line="440" w:lineRule="exact"/>
        <w:ind w:firstLine="465" w:firstLineChars="19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hd w:val="clear" w:color="auto" w:fill="auto"/>
        <w:spacing w:line="440" w:lineRule="exact"/>
        <w:ind w:firstLine="486"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23. 投标有效期</w:t>
      </w:r>
    </w:p>
    <w:p>
      <w:pPr>
        <w:shd w:val="clear" w:color="auto" w:fill="auto"/>
        <w:spacing w:line="44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23.1 除投标人须知前附表另有规定外，投标有效期为60天。</w:t>
      </w:r>
    </w:p>
    <w:p>
      <w:pPr>
        <w:shd w:val="clear" w:color="auto" w:fill="auto"/>
        <w:spacing w:line="44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23.2在投标有效期内，投标人撤销或修改其投标文件的，应承担</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和法律规定的责任。</w:t>
      </w:r>
    </w:p>
    <w:p>
      <w:pPr>
        <w:shd w:val="clear" w:color="auto" w:fill="auto"/>
        <w:spacing w:line="44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hd w:val="clear" w:color="auto" w:fill="auto"/>
        <w:spacing w:line="440" w:lineRule="exact"/>
        <w:ind w:firstLine="465" w:firstLineChars="192"/>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24. 投标保证金</w:t>
      </w:r>
    </w:p>
    <w:p>
      <w:pPr>
        <w:shd w:val="clear" w:color="auto" w:fill="auto"/>
        <w:spacing w:line="40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hd w:val="clear" w:color="auto" w:fill="auto"/>
        <w:spacing w:line="40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24.2自中标通知书发出之日起5个工作日内退还未中标投标人的投标保证金，自政府采购合同签订之日起5个工作日内退还中标人的投标保证金。</w:t>
      </w:r>
    </w:p>
    <w:p>
      <w:pPr>
        <w:shd w:val="clear" w:color="auto" w:fill="auto"/>
        <w:spacing w:line="40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24.3有下列情形之一的，投标保证金将不予退还： </w:t>
      </w:r>
    </w:p>
    <w:p>
      <w:pPr>
        <w:shd w:val="clear" w:color="auto" w:fill="auto"/>
        <w:spacing w:line="40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（1）投标人在规定的投标有效期内撤回或修改其投标文件；</w:t>
      </w:r>
    </w:p>
    <w:p>
      <w:pPr>
        <w:shd w:val="clear" w:color="auto" w:fill="auto"/>
        <w:spacing w:line="40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（2）中标通知书发出后三十天内，中标人无正当理由拒签合同协议书或未按</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规定提交履约担保。</w:t>
      </w:r>
    </w:p>
    <w:p>
      <w:pPr>
        <w:shd w:val="clear" w:color="auto" w:fill="auto"/>
        <w:spacing w:line="40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（3）提供虚假材料谋取中标的；</w:t>
      </w:r>
    </w:p>
    <w:p>
      <w:pPr>
        <w:shd w:val="clear" w:color="auto" w:fill="auto"/>
        <w:spacing w:line="40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（4）经查实属于陪标、串通投标的等。</w:t>
      </w:r>
    </w:p>
    <w:p>
      <w:pPr>
        <w:shd w:val="clear" w:color="auto" w:fill="auto"/>
        <w:spacing w:line="40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bookmarkStart w:id="17" w:name="_Toc469495727"/>
      <w:r>
        <w:rPr>
          <w:rFonts w:hint="eastAsia" w:ascii="仿宋" w:hAnsi="仿宋" w:eastAsia="仿宋" w:cs="仿宋"/>
          <w:color w:val="000000" w:themeColor="text1"/>
          <w:szCs w:val="21"/>
          <w:highlight w:val="none"/>
          <w14:textFill>
            <w14:solidFill>
              <w14:schemeClr w14:val="tx1"/>
            </w14:solidFill>
          </w14:textFill>
        </w:rPr>
        <w:t>24.4投标保证金按</w:t>
      </w:r>
      <w:r>
        <w:rPr>
          <w:rFonts w:hint="eastAsia" w:ascii="仿宋" w:hAnsi="仿宋" w:eastAsia="仿宋" w:cs="仿宋"/>
          <w:color w:val="000000" w:themeColor="text1"/>
          <w:szCs w:val="21"/>
          <w:highlight w:val="none"/>
          <w:lang w:eastAsia="zh-CN"/>
          <w14:textFill>
            <w14:solidFill>
              <w14:schemeClr w14:val="tx1"/>
            </w14:solidFill>
          </w14:textFill>
        </w:rPr>
        <w:t>投标人须知前附表第</w:t>
      </w:r>
      <w:r>
        <w:rPr>
          <w:rFonts w:hint="eastAsia" w:ascii="仿宋" w:hAnsi="仿宋" w:eastAsia="仿宋" w:cs="仿宋"/>
          <w:color w:val="000000" w:themeColor="text1"/>
          <w:szCs w:val="21"/>
          <w:highlight w:val="none"/>
          <w:lang w:val="en-US" w:eastAsia="zh-CN"/>
          <w14:textFill>
            <w14:solidFill>
              <w14:schemeClr w14:val="tx1"/>
            </w14:solidFill>
          </w14:textFill>
        </w:rPr>
        <w:t>24条</w:t>
      </w:r>
      <w:r>
        <w:rPr>
          <w:rFonts w:hint="eastAsia" w:ascii="仿宋" w:hAnsi="仿宋" w:eastAsia="仿宋" w:cs="仿宋"/>
          <w:color w:val="000000" w:themeColor="text1"/>
          <w:szCs w:val="21"/>
          <w:highlight w:val="none"/>
          <w14:textFill>
            <w14:solidFill>
              <w14:schemeClr w14:val="tx1"/>
            </w14:solidFill>
          </w14:textFill>
        </w:rPr>
        <w:t>规定执行。</w:t>
      </w:r>
    </w:p>
    <w:p>
      <w:pPr>
        <w:pStyle w:val="3"/>
        <w:shd w:val="clear" w:color="auto" w:fill="auto"/>
        <w:bidi w:val="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（四）</w:t>
      </w:r>
      <w:bookmarkEnd w:id="17"/>
      <w:r>
        <w:rPr>
          <w:rFonts w:hint="eastAsia" w:ascii="仿宋" w:hAnsi="仿宋" w:eastAsia="仿宋" w:cs="仿宋"/>
          <w:color w:val="000000" w:themeColor="text1"/>
          <w:sz w:val="28"/>
          <w:szCs w:val="28"/>
          <w:highlight w:val="none"/>
          <w14:textFill>
            <w14:solidFill>
              <w14:schemeClr w14:val="tx1"/>
            </w14:solidFill>
          </w14:textFill>
        </w:rPr>
        <w:t>投标文件的制作、上传及递交要求</w:t>
      </w:r>
    </w:p>
    <w:p>
      <w:pPr>
        <w:shd w:val="clear" w:color="auto" w:fill="auto"/>
        <w:snapToGrid w:val="0"/>
        <w:spacing w:line="360" w:lineRule="auto"/>
        <w:ind w:firstLine="486"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25.</w:t>
      </w:r>
      <w:r>
        <w:rPr>
          <w:rFonts w:hint="eastAsia" w:ascii="仿宋" w:hAnsi="仿宋" w:eastAsia="仿宋" w:cs="仿宋"/>
          <w:b/>
          <w:bCs/>
          <w:color w:val="000000" w:themeColor="text1"/>
          <w:sz w:val="24"/>
          <w:szCs w:val="24"/>
          <w:highlight w:val="none"/>
          <w14:textFill>
            <w14:solidFill>
              <w14:schemeClr w14:val="tx1"/>
            </w14:solidFill>
          </w14:textFill>
        </w:rPr>
        <w:t>投标文件的制作要求</w:t>
      </w:r>
    </w:p>
    <w:p>
      <w:pPr>
        <w:pStyle w:val="2"/>
        <w:shd w:val="clear" w:color="auto" w:fill="auto"/>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（1）供应商应按照投标文件组成内容及项目招标需求和</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新疆</w:t>
      </w:r>
      <w:r>
        <w:rPr>
          <w:rFonts w:hint="eastAsia" w:ascii="仿宋" w:hAnsi="仿宋" w:eastAsia="仿宋" w:cs="仿宋"/>
          <w:b w:val="0"/>
          <w:bCs/>
          <w:color w:val="000000" w:themeColor="text1"/>
          <w:sz w:val="24"/>
          <w:szCs w:val="24"/>
          <w:highlight w:val="none"/>
          <w14:textFill>
            <w14:solidFill>
              <w14:schemeClr w14:val="tx1"/>
            </w14:solidFill>
          </w14:textFill>
        </w:rPr>
        <w:t>政府采购云平台要求制作投标文件，不按采购文件和</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新疆</w:t>
      </w:r>
      <w:r>
        <w:rPr>
          <w:rFonts w:hint="eastAsia" w:ascii="仿宋" w:hAnsi="仿宋" w:eastAsia="仿宋" w:cs="仿宋"/>
          <w:b w:val="0"/>
          <w:bCs/>
          <w:color w:val="000000" w:themeColor="text1"/>
          <w:sz w:val="24"/>
          <w:szCs w:val="24"/>
          <w:highlight w:val="none"/>
          <w14:textFill>
            <w14:solidFill>
              <w14:schemeClr w14:val="tx1"/>
            </w14:solidFill>
          </w14:textFill>
        </w:rPr>
        <w:t>政府采购云平台要求制作投标文件的将视情况处理（拒收等），由此产生的责任由供应商自行承担。</w:t>
      </w:r>
    </w:p>
    <w:p>
      <w:pPr>
        <w:pStyle w:val="2"/>
        <w:shd w:val="clear" w:color="auto" w:fill="auto"/>
        <w:snapToGrid w:val="0"/>
        <w:spacing w:line="360" w:lineRule="auto"/>
        <w:ind w:firstLine="486" w:firstLineChars="200"/>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2"/>
        <w:shd w:val="clear" w:color="auto" w:fill="auto"/>
        <w:snapToGrid w:val="0"/>
        <w:spacing w:line="360" w:lineRule="auto"/>
        <w:ind w:firstLine="486" w:firstLineChars="20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备份电子投标文件：通过“政采云”平台电子投标工具制作投标文件所产生的备份文件。</w:t>
      </w:r>
    </w:p>
    <w:p>
      <w:pPr>
        <w:pStyle w:val="2"/>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（2）供应商应对所提供的全部资料的真实性、有效性承担法律责任，电子投标文件中所须加盖公章部分均采用CA签章。</w:t>
      </w:r>
    </w:p>
    <w:p>
      <w:pPr>
        <w:pStyle w:val="2"/>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（3）投标文件以及供应商与采购组织机构就有关投标事宜的所有来往函电，均应以中文汉语书写。除</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签章</w:t>
      </w:r>
      <w:r>
        <w:rPr>
          <w:rFonts w:hint="eastAsia" w:ascii="仿宋" w:hAnsi="仿宋" w:eastAsia="仿宋" w:cs="仿宋"/>
          <w:b w:val="0"/>
          <w:bCs/>
          <w:color w:val="000000" w:themeColor="text1"/>
          <w:sz w:val="24"/>
          <w:szCs w:val="24"/>
          <w:highlight w:val="none"/>
          <w14:textFill>
            <w14:solidFill>
              <w14:schemeClr w14:val="tx1"/>
            </w14:solidFill>
          </w14:textFill>
        </w:rPr>
        <w:t>、盖章、专用名称等特殊情形外，以中文汉语以外的文字表述的投标文件视同未提供。</w:t>
      </w:r>
    </w:p>
    <w:p>
      <w:pPr>
        <w:pStyle w:val="2"/>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（4）投标计量单位，采购文件已有明确规定的，使用采购文件规定的计量单位；采购文件没有规定的，应采用中华人民共和国法定计量单位（货币单位：人民币元）。</w:t>
      </w:r>
    </w:p>
    <w:p>
      <w:pPr>
        <w:pStyle w:val="2"/>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（5）若供应商不按采购文件的要求提供资格审查材料，其风险由供应商自行承担。</w:t>
      </w:r>
    </w:p>
    <w:p>
      <w:pPr>
        <w:pStyle w:val="2"/>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（6）与本次投标无关的内容请不要制作在内，确保投标文件有针对性、简洁明了。</w:t>
      </w:r>
    </w:p>
    <w:p>
      <w:pPr>
        <w:shd w:val="clear" w:color="auto" w:fill="auto"/>
        <w:snapToGrid w:val="0"/>
        <w:spacing w:line="360" w:lineRule="auto"/>
        <w:ind w:firstLine="486"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26.</w:t>
      </w:r>
      <w:r>
        <w:rPr>
          <w:rFonts w:hint="eastAsia" w:ascii="仿宋" w:hAnsi="仿宋" w:eastAsia="仿宋" w:cs="仿宋"/>
          <w:b/>
          <w:bCs/>
          <w:color w:val="000000" w:themeColor="text1"/>
          <w:sz w:val="24"/>
          <w:szCs w:val="24"/>
          <w:highlight w:val="none"/>
          <w14:textFill>
            <w14:solidFill>
              <w14:schemeClr w14:val="tx1"/>
            </w14:solidFill>
          </w14:textFill>
        </w:rPr>
        <w:t>投标文件的上传</w:t>
      </w:r>
    </w:p>
    <w:p>
      <w:pPr>
        <w:pStyle w:val="2"/>
        <w:shd w:val="clear" w:color="auto" w:fill="auto"/>
        <w:snapToGrid w:val="0"/>
        <w:spacing w:line="360"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lang w:bidi="zh-CN"/>
          <w14:textFill>
            <w14:solidFill>
              <w14:schemeClr w14:val="tx1"/>
            </w14:solidFill>
          </w14:textFill>
        </w:rPr>
        <w:t>电子加密投标文件（“.jmbs”格式）</w:t>
      </w:r>
      <w:r>
        <w:rPr>
          <w:rFonts w:hint="eastAsia" w:ascii="仿宋" w:hAnsi="仿宋" w:eastAsia="仿宋" w:cs="仿宋"/>
          <w:b/>
          <w:bCs/>
          <w:color w:val="000000" w:themeColor="text1"/>
          <w:sz w:val="24"/>
          <w:szCs w:val="24"/>
          <w:highlight w:val="none"/>
          <w14:textFill>
            <w14:solidFill>
              <w14:schemeClr w14:val="tx1"/>
            </w14:solidFill>
          </w14:textFill>
        </w:rPr>
        <w:t>：</w:t>
      </w:r>
    </w:p>
    <w:p>
      <w:pPr>
        <w:pStyle w:val="2"/>
        <w:shd w:val="clear" w:color="auto" w:fill="auto"/>
        <w:snapToGrid w:val="0"/>
        <w:spacing w:line="360" w:lineRule="auto"/>
        <w:ind w:firstLine="607" w:firstLineChars="250"/>
        <w:rPr>
          <w:rFonts w:hint="eastAsia" w:ascii="仿宋" w:hAnsi="仿宋" w:eastAsia="仿宋" w:cs="仿宋"/>
          <w:b w:val="0"/>
          <w:bCs/>
          <w:color w:val="000000" w:themeColor="text1"/>
          <w:sz w:val="24"/>
          <w:szCs w:val="24"/>
          <w:highlight w:val="none"/>
          <w:lang w:bidi="zh-CN"/>
          <w14:textFill>
            <w14:solidFill>
              <w14:schemeClr w14:val="tx1"/>
            </w14:solidFill>
          </w14:textFill>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a.</w:t>
      </w:r>
      <w:r>
        <w:rPr>
          <w:rFonts w:hint="eastAsia" w:ascii="仿宋" w:hAnsi="仿宋" w:eastAsia="仿宋" w:cs="仿宋"/>
          <w:b w:val="0"/>
          <w:bCs/>
          <w:color w:val="000000" w:themeColor="text1"/>
          <w:kern w:val="0"/>
          <w:sz w:val="24"/>
          <w:szCs w:val="24"/>
          <w:highlight w:val="none"/>
          <w14:textFill>
            <w14:solidFill>
              <w14:schemeClr w14:val="tx1"/>
            </w14:solidFill>
          </w14:textFill>
        </w:rPr>
        <w:t xml:space="preserve"> </w:t>
      </w:r>
      <w:r>
        <w:rPr>
          <w:rFonts w:hint="eastAsia" w:ascii="仿宋" w:hAnsi="仿宋" w:eastAsia="仿宋" w:cs="仿宋"/>
          <w:b w:val="0"/>
          <w:bCs/>
          <w:color w:val="000000" w:themeColor="text1"/>
          <w:sz w:val="24"/>
          <w:szCs w:val="24"/>
          <w:highlight w:val="none"/>
          <w:lang w:bidi="zh-CN"/>
          <w14:textFill>
            <w14:solidFill>
              <w14:schemeClr w14:val="tx1"/>
            </w14:solidFill>
          </w14:textFill>
        </w:rPr>
        <w:t>供应商应在投标截止时间前将电子加密投标文件成功上传递交至新疆政府采购云平台，否则投标无效；</w:t>
      </w:r>
    </w:p>
    <w:p>
      <w:pPr>
        <w:pStyle w:val="2"/>
        <w:shd w:val="clear" w:color="auto" w:fill="auto"/>
        <w:snapToGrid w:val="0"/>
        <w:spacing w:line="360" w:lineRule="auto"/>
        <w:ind w:firstLine="607" w:firstLineChars="25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b.供应商成功上传电子加密投标文件后，可自行打印投标文件接收回执。</w:t>
      </w:r>
    </w:p>
    <w:p>
      <w:pPr>
        <w:pStyle w:val="2"/>
        <w:shd w:val="clear" w:color="auto" w:fill="auto"/>
        <w:snapToGrid w:val="0"/>
        <w:spacing w:line="360" w:lineRule="auto"/>
        <w:rPr>
          <w:rFonts w:hint="eastAsia" w:ascii="仿宋" w:hAnsi="仿宋" w:eastAsia="仿宋" w:cs="仿宋"/>
          <w:b/>
          <w:bCs/>
          <w:color w:val="000000" w:themeColor="text1"/>
          <w:sz w:val="24"/>
          <w:szCs w:val="24"/>
          <w:highlight w:val="none"/>
          <w:lang w:bidi="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w:t>
      </w:r>
      <w:r>
        <w:rPr>
          <w:rFonts w:hint="eastAsia" w:ascii="仿宋" w:hAnsi="仿宋" w:eastAsia="仿宋" w:cs="仿宋"/>
          <w:b/>
          <w:bCs/>
          <w:color w:val="000000" w:themeColor="text1"/>
          <w:sz w:val="24"/>
          <w:szCs w:val="24"/>
          <w:highlight w:val="none"/>
          <w:lang w:bidi="zh-CN"/>
          <w14:textFill>
            <w14:solidFill>
              <w14:schemeClr w14:val="tx1"/>
            </w14:solidFill>
          </w14:textFill>
        </w:rPr>
        <w:t>备份投标文件（“.bfbs”格式）：</w:t>
      </w:r>
    </w:p>
    <w:p>
      <w:pPr>
        <w:pStyle w:val="2"/>
        <w:shd w:val="clear" w:color="auto" w:fill="auto"/>
        <w:snapToGrid w:val="0"/>
        <w:spacing w:line="360" w:lineRule="auto"/>
        <w:ind w:firstLine="607" w:firstLineChars="250"/>
        <w:rPr>
          <w:rFonts w:hint="eastAsia" w:ascii="仿宋" w:hAnsi="仿宋" w:eastAsia="仿宋" w:cs="仿宋"/>
          <w:color w:val="FF0000"/>
          <w:sz w:val="24"/>
          <w:szCs w:val="24"/>
          <w:highlight w:val="none"/>
          <w:lang w:bidi="zh-CN"/>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000000" w:themeColor="text1"/>
          <w:sz w:val="24"/>
          <w:szCs w:val="24"/>
          <w:highlight w:val="none"/>
          <w:lang w:bidi="zh-CN"/>
          <w14:textFill>
            <w14:solidFill>
              <w14:schemeClr w14:val="tx1"/>
            </w14:solidFill>
          </w14:textFill>
        </w:rPr>
        <w:t>“备份投标文件”以投标截止时间前指定接收邮箱最终收到的文件为准，逾期或未按要求提供的视为未提供，建议供应商提前1日办理邮件提供事宜</w:t>
      </w:r>
      <w:r>
        <w:rPr>
          <w:rFonts w:hint="eastAsia" w:ascii="仿宋" w:hAnsi="仿宋" w:eastAsia="仿宋" w:cs="仿宋"/>
          <w:color w:val="auto"/>
          <w:sz w:val="24"/>
          <w:szCs w:val="24"/>
          <w:highlight w:val="none"/>
          <w:lang w:bidi="zh-CN"/>
        </w:rPr>
        <w:t>（接收人邮箱：</w:t>
      </w:r>
      <w:r>
        <w:rPr>
          <w:rFonts w:hint="eastAsia" w:ascii="仿宋" w:hAnsi="仿宋" w:eastAsia="仿宋" w:cs="仿宋"/>
          <w:color w:val="auto"/>
          <w:sz w:val="24"/>
          <w:szCs w:val="24"/>
          <w:highlight w:val="none"/>
          <w:u w:val="single"/>
          <w:lang w:bidi="zh-CN"/>
        </w:rPr>
        <w:fldChar w:fldCharType="begin"/>
      </w:r>
      <w:r>
        <w:rPr>
          <w:rFonts w:hint="eastAsia" w:ascii="仿宋" w:hAnsi="仿宋" w:eastAsia="仿宋" w:cs="仿宋"/>
          <w:color w:val="auto"/>
          <w:sz w:val="24"/>
          <w:szCs w:val="24"/>
          <w:highlight w:val="none"/>
          <w:u w:val="single"/>
          <w:lang w:bidi="zh-CN"/>
        </w:rPr>
        <w:instrText xml:space="preserve"> HYPERLINK "mailto:1207446769@qq.com，接收人：陈加轲，电话：15157655122" </w:instrText>
      </w:r>
      <w:r>
        <w:rPr>
          <w:rFonts w:hint="eastAsia" w:ascii="仿宋" w:hAnsi="仿宋" w:eastAsia="仿宋" w:cs="仿宋"/>
          <w:color w:val="auto"/>
          <w:sz w:val="24"/>
          <w:szCs w:val="24"/>
          <w:highlight w:val="none"/>
          <w:u w:val="single"/>
          <w:lang w:bidi="zh-CN"/>
        </w:rPr>
        <w:fldChar w:fldCharType="separate"/>
      </w:r>
      <w:r>
        <w:rPr>
          <w:rFonts w:hint="eastAsia" w:ascii="仿宋" w:hAnsi="仿宋" w:eastAsia="仿宋" w:cs="仿宋"/>
          <w:color w:val="auto"/>
          <w:sz w:val="24"/>
          <w:szCs w:val="24"/>
          <w:highlight w:val="none"/>
          <w:u w:val="single"/>
          <w:lang w:val="en-US" w:bidi="zh-CN"/>
        </w:rPr>
        <w:t>122508432@qq.com</w:t>
      </w:r>
      <w:r>
        <w:rPr>
          <w:rStyle w:val="22"/>
          <w:rFonts w:hint="eastAsia" w:ascii="仿宋" w:hAnsi="仿宋" w:eastAsia="仿宋" w:cs="仿宋"/>
          <w:color w:val="auto"/>
          <w:sz w:val="24"/>
          <w:szCs w:val="24"/>
          <w:highlight w:val="none"/>
          <w:u w:val="single"/>
          <w:lang w:bidi="zh-CN"/>
        </w:rPr>
        <w:t>，接收人：</w:t>
      </w:r>
      <w:r>
        <w:rPr>
          <w:rFonts w:hint="eastAsia" w:ascii="仿宋" w:hAnsi="仿宋" w:eastAsia="仿宋" w:cs="仿宋"/>
          <w:color w:val="auto"/>
          <w:sz w:val="24"/>
          <w:szCs w:val="24"/>
          <w:highlight w:val="none"/>
          <w:u w:val="single"/>
          <w:lang w:bidi="zh-CN"/>
        </w:rPr>
        <w:t>杨先生</w:t>
      </w:r>
      <w:r>
        <w:rPr>
          <w:rStyle w:val="22"/>
          <w:rFonts w:hint="eastAsia" w:ascii="仿宋" w:hAnsi="仿宋" w:eastAsia="仿宋" w:cs="仿宋"/>
          <w:color w:val="auto"/>
          <w:sz w:val="24"/>
          <w:szCs w:val="24"/>
          <w:highlight w:val="none"/>
          <w:u w:val="single"/>
          <w:lang w:bidi="zh-CN"/>
        </w:rPr>
        <w:t>，电话：</w:t>
      </w:r>
      <w:r>
        <w:rPr>
          <w:rFonts w:hint="eastAsia" w:ascii="仿宋" w:hAnsi="仿宋" w:eastAsia="仿宋" w:cs="仿宋"/>
          <w:color w:val="auto"/>
          <w:sz w:val="24"/>
          <w:szCs w:val="24"/>
          <w:highlight w:val="none"/>
          <w:u w:val="single"/>
          <w:lang w:val="en-US" w:bidi="zh-CN"/>
        </w:rPr>
        <w:t>1</w:t>
      </w:r>
      <w:r>
        <w:rPr>
          <w:rFonts w:hint="eastAsia" w:ascii="仿宋" w:hAnsi="仿宋" w:eastAsia="仿宋" w:cs="仿宋"/>
          <w:color w:val="auto"/>
          <w:sz w:val="24"/>
          <w:szCs w:val="24"/>
          <w:highlight w:val="none"/>
          <w:u w:val="single"/>
          <w:lang w:bidi="zh-CN"/>
        </w:rPr>
        <w:fldChar w:fldCharType="end"/>
      </w:r>
      <w:r>
        <w:rPr>
          <w:rFonts w:hint="eastAsia" w:ascii="仿宋" w:hAnsi="仿宋" w:eastAsia="仿宋" w:cs="仿宋"/>
          <w:color w:val="auto"/>
          <w:sz w:val="24"/>
          <w:szCs w:val="24"/>
          <w:highlight w:val="none"/>
          <w:u w:val="single"/>
          <w:lang w:val="en-US" w:bidi="zh-CN"/>
        </w:rPr>
        <w:t>3209087999</w:t>
      </w:r>
      <w:r>
        <w:rPr>
          <w:rFonts w:hint="eastAsia" w:ascii="仿宋" w:hAnsi="仿宋" w:eastAsia="仿宋" w:cs="仿宋"/>
          <w:color w:val="auto"/>
          <w:sz w:val="24"/>
          <w:szCs w:val="24"/>
          <w:highlight w:val="none"/>
          <w:lang w:bidi="zh-CN"/>
        </w:rPr>
        <w:t>）；</w:t>
      </w:r>
    </w:p>
    <w:p>
      <w:pPr>
        <w:pStyle w:val="2"/>
        <w:shd w:val="clear" w:color="auto" w:fill="auto"/>
        <w:snapToGrid w:val="0"/>
        <w:spacing w:line="360" w:lineRule="auto"/>
        <w:ind w:firstLine="607" w:firstLineChars="250"/>
        <w:rPr>
          <w:rFonts w:hint="eastAsia" w:ascii="仿宋" w:hAnsi="仿宋" w:eastAsia="仿宋" w:cs="仿宋"/>
          <w:b w:val="0"/>
          <w:bCs/>
          <w:color w:val="000000" w:themeColor="text1"/>
          <w:sz w:val="24"/>
          <w:szCs w:val="24"/>
          <w:highlight w:val="none"/>
          <w:lang w:bidi="zh-CN"/>
          <w14:textFill>
            <w14:solidFill>
              <w14:schemeClr w14:val="tx1"/>
            </w14:solidFill>
          </w14:textFill>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hd w:val="clear" w:color="auto" w:fill="auto"/>
        <w:snapToGrid w:val="0"/>
        <w:spacing w:line="360" w:lineRule="auto"/>
        <w:ind w:firstLine="486"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27.</w:t>
      </w:r>
      <w:r>
        <w:rPr>
          <w:rFonts w:hint="eastAsia" w:ascii="仿宋" w:hAnsi="仿宋" w:eastAsia="仿宋" w:cs="仿宋"/>
          <w:b/>
          <w:color w:val="000000" w:themeColor="text1"/>
          <w:sz w:val="24"/>
          <w:szCs w:val="24"/>
          <w:highlight w:val="none"/>
          <w14:textFill>
            <w14:solidFill>
              <w14:schemeClr w14:val="tx1"/>
            </w14:solidFill>
          </w14:textFill>
        </w:rPr>
        <w:t>投标文件的递交要求</w:t>
      </w:r>
    </w:p>
    <w:p>
      <w:pPr>
        <w:shd w:val="clear" w:color="auto" w:fill="auto"/>
        <w:snapToGrid w:val="0"/>
        <w:spacing w:line="360" w:lineRule="auto"/>
        <w:ind w:firstLine="486"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（1）供应商须按照采购文件和政采云平台的要求编制并加密投标文件。在投标文件递交截止时间以前完成投标文件的传输递交，截止时间后递交的投标文件，将被拒收。</w:t>
      </w:r>
    </w:p>
    <w:p>
      <w:pPr>
        <w:shd w:val="clear" w:color="auto" w:fill="auto"/>
        <w:tabs>
          <w:tab w:val="left" w:pos="1418"/>
        </w:tabs>
        <w:autoSpaceDE w:val="0"/>
        <w:autoSpaceDN w:val="0"/>
        <w:adjustRightInd w:val="0"/>
        <w:snapToGrid w:val="0"/>
        <w:spacing w:line="360" w:lineRule="auto"/>
        <w:ind w:firstLine="486"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（2）备份电子投标文件必须在投标截止时间前送达指定的投标地点。备份电子投标文件在截止时间后提交，采购组织机构将拒绝接收。</w:t>
      </w:r>
    </w:p>
    <w:p>
      <w:pPr>
        <w:shd w:val="clear" w:color="auto" w:fill="auto"/>
        <w:tabs>
          <w:tab w:val="left" w:pos="1418"/>
        </w:tabs>
        <w:autoSpaceDE w:val="0"/>
        <w:autoSpaceDN w:val="0"/>
        <w:adjustRightInd w:val="0"/>
        <w:snapToGrid w:val="0"/>
        <w:spacing w:line="360" w:lineRule="auto"/>
        <w:ind w:firstLine="486"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（3）如有特殊情况，采购组织机构延长截止时间和开标时间，采购组织机构和供应商的权利和义务将受到新的截止时间和开标时间的约束。</w:t>
      </w:r>
    </w:p>
    <w:p>
      <w:pPr>
        <w:shd w:val="clear" w:color="auto" w:fill="auto"/>
        <w:snapToGrid w:val="0"/>
        <w:spacing w:line="360" w:lineRule="auto"/>
        <w:ind w:firstLine="486" w:firstLineChars="2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28．投标文件的补充、修改与撤回</w:t>
      </w:r>
    </w:p>
    <w:p>
      <w:pPr>
        <w:shd w:val="clear" w:color="auto" w:fill="auto"/>
        <w:tabs>
          <w:tab w:val="left" w:pos="960"/>
          <w:tab w:val="left" w:pos="1418"/>
        </w:tabs>
        <w:autoSpaceDE w:val="0"/>
        <w:autoSpaceDN w:val="0"/>
        <w:adjustRightInd w:val="0"/>
        <w:snapToGrid w:val="0"/>
        <w:spacing w:line="360" w:lineRule="auto"/>
        <w:ind w:firstLine="486"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仿宋" w:hAnsi="仿宋" w:eastAsia="仿宋" w:cs="仿宋"/>
          <w:b/>
          <w:bCs/>
          <w:color w:val="000000" w:themeColor="text1"/>
          <w:sz w:val="28"/>
          <w:szCs w:val="28"/>
          <w:highlight w:val="none"/>
          <w14:textFill>
            <w14:solidFill>
              <w14:schemeClr w14:val="tx1"/>
            </w14:solidFill>
          </w14:textFill>
        </w:rPr>
      </w:pPr>
      <w:bookmarkStart w:id="18" w:name="_Toc469495728"/>
      <w:r>
        <w:rPr>
          <w:rFonts w:hint="eastAsia" w:ascii="仿宋" w:hAnsi="仿宋" w:eastAsia="仿宋" w:cs="仿宋"/>
          <w:b/>
          <w:bCs/>
          <w:color w:val="000000" w:themeColor="text1"/>
          <w:sz w:val="28"/>
          <w:szCs w:val="28"/>
          <w:highlight w:val="none"/>
          <w14:textFill>
            <w14:solidFill>
              <w14:schemeClr w14:val="tx1"/>
            </w14:solidFill>
          </w14:textFill>
        </w:rPr>
        <w:t>（五）开标、评标和定标</w:t>
      </w:r>
      <w:bookmarkEnd w:id="18"/>
    </w:p>
    <w:p>
      <w:pPr>
        <w:shd w:val="clear" w:color="auto" w:fill="auto"/>
        <w:snapToGrid w:val="0"/>
        <w:spacing w:line="360" w:lineRule="auto"/>
        <w:ind w:firstLine="486" w:firstLineChars="2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29. 开标</w:t>
      </w:r>
    </w:p>
    <w:p>
      <w:pPr>
        <w:shd w:val="clear" w:color="auto" w:fill="auto"/>
        <w:snapToGrid w:val="0"/>
        <w:spacing w:line="360" w:lineRule="auto"/>
        <w:ind w:firstLine="486" w:firstLineChars="2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bookmarkStart w:id="19" w:name="_Toc73975822"/>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29.1开标邀请</w:t>
      </w:r>
      <w:bookmarkEnd w:id="19"/>
    </w:p>
    <w:p>
      <w:pPr>
        <w:pStyle w:val="10"/>
        <w:shd w:val="clear" w:color="auto" w:fill="auto"/>
        <w:snapToGrid w:val="0"/>
        <w:spacing w:line="360" w:lineRule="auto"/>
        <w:ind w:firstLine="486" w:firstLineChars="20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14:textFill>
            <w14:solidFill>
              <w14:schemeClr w14:val="tx1"/>
            </w14:solidFill>
          </w14:textFill>
        </w:rPr>
        <w:t>开标准备：本项目开标的准备工作由采购组织机构负责落实，开标过程由采购组织机构负责记录；</w:t>
      </w:r>
    </w:p>
    <w:p>
      <w:pPr>
        <w:pStyle w:val="10"/>
        <w:shd w:val="clear" w:color="auto" w:fill="auto"/>
        <w:snapToGrid w:val="0"/>
        <w:spacing w:line="360" w:lineRule="auto"/>
        <w:ind w:firstLine="486" w:firstLineChars="20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szCs w:val="24"/>
          <w:highlight w:val="none"/>
          <w14:textFill>
            <w14:solidFill>
              <w14:schemeClr w14:val="tx1"/>
            </w14:solidFill>
          </w14:textFill>
        </w:rPr>
        <w:t>开标主持：本项目开标由采购人或者采购代理机构主持；</w:t>
      </w:r>
    </w:p>
    <w:p>
      <w:pPr>
        <w:pStyle w:val="10"/>
        <w:shd w:val="clear" w:color="auto" w:fill="auto"/>
        <w:snapToGrid w:val="0"/>
        <w:spacing w:line="360" w:lineRule="auto"/>
        <w:ind w:firstLine="486" w:firstLineChars="200"/>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14:textFill>
            <w14:solidFill>
              <w14:schemeClr w14:val="tx1"/>
            </w14:solidFill>
          </w14:textFill>
        </w:rPr>
        <w:t>开标邀请：本项目采用电子交易，采购组织机构将按照采购文件规定的时间通过“</w:t>
      </w:r>
      <w:r>
        <w:rPr>
          <w:rFonts w:hint="eastAsia" w:ascii="仿宋" w:hAnsi="仿宋" w:eastAsia="仿宋" w:cs="仿宋"/>
          <w:b w:val="0"/>
          <w:color w:val="000000" w:themeColor="text1"/>
          <w:sz w:val="24"/>
          <w:szCs w:val="24"/>
          <w:highlight w:val="none"/>
          <w:lang w:eastAsia="zh-CN"/>
          <w14:textFill>
            <w14:solidFill>
              <w14:schemeClr w14:val="tx1"/>
            </w14:solidFill>
          </w14:textFill>
        </w:rPr>
        <w:t>新疆</w:t>
      </w:r>
      <w:r>
        <w:rPr>
          <w:rFonts w:hint="eastAsia" w:ascii="仿宋" w:hAnsi="仿宋" w:eastAsia="仿宋" w:cs="仿宋"/>
          <w:b w:val="0"/>
          <w:color w:val="000000" w:themeColor="text1"/>
          <w:sz w:val="24"/>
          <w:szCs w:val="24"/>
          <w:highlight w:val="none"/>
          <w14:textFill>
            <w14:solidFill>
              <w14:schemeClr w14:val="tx1"/>
            </w14:solidFill>
          </w14:textFill>
        </w:rPr>
        <w:t>政府采购云平台，网址：</w:t>
      </w:r>
      <w:r>
        <w:rPr>
          <w:rFonts w:hint="eastAsia" w:ascii="仿宋" w:hAnsi="仿宋" w:eastAsia="仿宋" w:cs="仿宋"/>
          <w:b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color w:val="000000" w:themeColor="text1"/>
          <w:sz w:val="24"/>
          <w:szCs w:val="24"/>
          <w:highlight w:val="none"/>
          <w14:textFill>
            <w14:solidFill>
              <w14:schemeClr w14:val="tx1"/>
            </w14:solidFill>
          </w14:textFill>
        </w:rPr>
        <w:instrText xml:space="preserve">HYPERLINK "http://www.zcygov.cn"</w:instrText>
      </w:r>
      <w:r>
        <w:rPr>
          <w:rFonts w:hint="eastAsia" w:ascii="仿宋" w:hAnsi="仿宋" w:eastAsia="仿宋" w:cs="仿宋"/>
          <w:b w:val="0"/>
          <w:color w:val="000000" w:themeColor="text1"/>
          <w:sz w:val="24"/>
          <w:szCs w:val="24"/>
          <w:highlight w:val="none"/>
          <w14:textFill>
            <w14:solidFill>
              <w14:schemeClr w14:val="tx1"/>
            </w14:solidFill>
          </w14:textFill>
        </w:rPr>
        <w:fldChar w:fldCharType="separate"/>
      </w:r>
      <w:r>
        <w:rPr>
          <w:rStyle w:val="22"/>
          <w:rFonts w:hint="eastAsia" w:ascii="仿宋" w:hAnsi="仿宋" w:eastAsia="仿宋" w:cs="仿宋"/>
          <w:b w:val="0"/>
          <w:color w:val="000000" w:themeColor="text1"/>
          <w:sz w:val="24"/>
          <w:szCs w:val="24"/>
          <w:highlight w:val="none"/>
          <w:u w:val="none"/>
          <w14:textFill>
            <w14:solidFill>
              <w14:schemeClr w14:val="tx1"/>
            </w14:solidFill>
          </w14:textFill>
        </w:rPr>
        <w:t>www.zcygov.cn</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b w:val="0"/>
          <w:color w:val="000000" w:themeColor="text1"/>
          <w:sz w:val="24"/>
          <w:szCs w:val="24"/>
          <w:highlight w:val="none"/>
          <w14:textFill>
            <w14:solidFill>
              <w14:schemeClr w14:val="tx1"/>
            </w14:solidFill>
          </w14:textFill>
        </w:rPr>
        <w:t>”组织开标、开启投标响应文件，所有供应商均应当准时在线参加。</w:t>
      </w:r>
    </w:p>
    <w:p>
      <w:pPr>
        <w:pStyle w:val="10"/>
        <w:shd w:val="clear" w:color="auto" w:fill="auto"/>
        <w:snapToGrid w:val="0"/>
        <w:spacing w:line="360" w:lineRule="auto"/>
        <w:ind w:firstLine="486" w:firstLineChars="200"/>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14:textFill>
            <w14:solidFill>
              <w14:schemeClr w14:val="tx1"/>
            </w14:solidFill>
          </w14:textFill>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hd w:val="clear" w:color="auto" w:fill="auto"/>
        <w:snapToGrid w:val="0"/>
        <w:spacing w:line="360" w:lineRule="auto"/>
        <w:ind w:firstLine="486" w:firstLineChars="200"/>
        <w:outlineLvl w:val="2"/>
        <w:rPr>
          <w:rFonts w:hint="eastAsia" w:ascii="仿宋" w:hAnsi="仿宋" w:eastAsia="仿宋" w:cs="仿宋"/>
          <w:b/>
          <w:color w:val="000000" w:themeColor="text1"/>
          <w:sz w:val="24"/>
          <w:szCs w:val="24"/>
          <w:highlight w:val="none"/>
          <w14:textFill>
            <w14:solidFill>
              <w14:schemeClr w14:val="tx1"/>
            </w14:solidFill>
          </w14:textFill>
        </w:rPr>
      </w:pPr>
      <w:bookmarkStart w:id="20" w:name="_Toc73975823"/>
      <w:r>
        <w:rPr>
          <w:rFonts w:hint="eastAsia" w:ascii="仿宋" w:hAnsi="仿宋" w:eastAsia="仿宋" w:cs="仿宋"/>
          <w:b/>
          <w:color w:val="000000" w:themeColor="text1"/>
          <w:sz w:val="24"/>
          <w:szCs w:val="24"/>
          <w:highlight w:val="none"/>
          <w:lang w:val="en-US" w:eastAsia="zh-CN"/>
          <w14:textFill>
            <w14:solidFill>
              <w14:schemeClr w14:val="tx1"/>
            </w14:solidFill>
          </w14:textFill>
        </w:rPr>
        <w:t>29.2</w:t>
      </w:r>
      <w:r>
        <w:rPr>
          <w:rFonts w:hint="eastAsia" w:ascii="仿宋" w:hAnsi="仿宋" w:eastAsia="仿宋" w:cs="仿宋"/>
          <w:b/>
          <w:bCs/>
          <w:color w:val="000000" w:themeColor="text1"/>
          <w:sz w:val="24"/>
          <w:szCs w:val="24"/>
          <w:highlight w:val="none"/>
          <w14:textFill>
            <w14:solidFill>
              <w14:schemeClr w14:val="tx1"/>
            </w14:solidFill>
          </w14:textFill>
        </w:rPr>
        <w:t>开标程序（先资格、商务技术后报价）</w:t>
      </w:r>
      <w:bookmarkEnd w:id="20"/>
    </w:p>
    <w:p>
      <w:pPr>
        <w:shd w:val="clear" w:color="auto" w:fill="auto"/>
        <w:snapToGrid w:val="0"/>
        <w:spacing w:line="360" w:lineRule="auto"/>
        <w:ind w:firstLine="486"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开标时间到后，主持人宣布开标会议开始。</w:t>
      </w:r>
    </w:p>
    <w:p>
      <w:pPr>
        <w:shd w:val="clear" w:color="auto" w:fill="auto"/>
        <w:snapToGrid w:val="0"/>
        <w:spacing w:line="360" w:lineRule="auto"/>
        <w:ind w:firstLine="486"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投标文件解密（</w:t>
      </w:r>
      <w:r>
        <w:rPr>
          <w:rFonts w:hint="eastAsia" w:ascii="仿宋" w:hAnsi="仿宋" w:eastAsia="仿宋" w:cs="仿宋"/>
          <w:b/>
          <w:color w:val="000000" w:themeColor="text1"/>
          <w:kern w:val="0"/>
          <w:sz w:val="24"/>
          <w:szCs w:val="24"/>
          <w:highlight w:val="none"/>
          <w14:textFill>
            <w14:solidFill>
              <w14:schemeClr w14:val="tx1"/>
            </w14:solidFill>
          </w14:textFill>
        </w:rPr>
        <w:t>解密规定见《供应商须知前附表》</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p>
    <w:p>
      <w:pPr>
        <w:shd w:val="clear" w:color="auto" w:fill="auto"/>
        <w:snapToGrid w:val="0"/>
        <w:spacing w:line="360" w:lineRule="auto"/>
        <w:ind w:firstLine="486"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投标文件解密异常情况处理（</w:t>
      </w:r>
      <w:r>
        <w:rPr>
          <w:rFonts w:hint="eastAsia" w:ascii="仿宋" w:hAnsi="仿宋" w:eastAsia="仿宋" w:cs="仿宋"/>
          <w:b/>
          <w:color w:val="000000" w:themeColor="text1"/>
          <w:kern w:val="0"/>
          <w:sz w:val="24"/>
          <w:szCs w:val="24"/>
          <w:highlight w:val="none"/>
          <w14:textFill>
            <w14:solidFill>
              <w14:schemeClr w14:val="tx1"/>
            </w14:solidFill>
          </w14:textFill>
        </w:rPr>
        <w:t>处理办法见《供应商须知前附表》</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p>
    <w:p>
      <w:pPr>
        <w:shd w:val="clear" w:color="auto" w:fill="auto"/>
        <w:snapToGrid w:val="0"/>
        <w:spacing w:line="360" w:lineRule="auto"/>
        <w:ind w:firstLine="486"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公布投标文件解密情况（投标文件成功解密的供应商名单等信息），组织签署</w:t>
      </w:r>
      <w:r>
        <w:rPr>
          <w:rFonts w:hint="eastAsia" w:ascii="仿宋" w:hAnsi="仿宋" w:eastAsia="仿宋" w:cs="仿宋"/>
          <w:b/>
          <w:bCs/>
          <w:color w:val="000000" w:themeColor="text1"/>
          <w:kern w:val="0"/>
          <w:sz w:val="24"/>
          <w:szCs w:val="24"/>
          <w:highlight w:val="none"/>
          <w14:textFill>
            <w14:solidFill>
              <w14:schemeClr w14:val="tx1"/>
            </w14:solidFill>
          </w14:textFill>
        </w:rPr>
        <w:t>《政府采购活动现场确认声明书》（疫情防控期间，将通过电子邮件形式组织签署），供应商应在20分钟内通过邮件形式将经签署的《政府采购活动现场确认声明书》发送至采购代理机构指定邮箱</w:t>
      </w:r>
      <w:r>
        <w:rPr>
          <w:rFonts w:hint="eastAsia" w:ascii="仿宋" w:hAnsi="仿宋" w:eastAsia="仿宋" w:cs="仿宋"/>
          <w:b/>
          <w:bCs/>
          <w:color w:val="auto"/>
          <w:kern w:val="0"/>
          <w:sz w:val="24"/>
          <w:szCs w:val="24"/>
          <w:highlight w:val="none"/>
          <w:lang w:val="en-US" w:eastAsia="zh-CN"/>
        </w:rPr>
        <w:t>122508432@qq.com</w:t>
      </w:r>
      <w:r>
        <w:rPr>
          <w:rFonts w:hint="eastAsia" w:ascii="仿宋" w:hAnsi="仿宋" w:eastAsia="仿宋" w:cs="仿宋"/>
          <w:b/>
          <w:bCs/>
          <w:color w:val="auto"/>
          <w:kern w:val="0"/>
          <w:sz w:val="24"/>
          <w:szCs w:val="24"/>
          <w:highlight w:val="none"/>
        </w:rPr>
        <w:t xml:space="preserve"> ，逾</w:t>
      </w:r>
      <w:r>
        <w:rPr>
          <w:rFonts w:hint="eastAsia" w:ascii="仿宋" w:hAnsi="仿宋" w:eastAsia="仿宋" w:cs="仿宋"/>
          <w:b/>
          <w:bCs/>
          <w:color w:val="000000" w:themeColor="text1"/>
          <w:kern w:val="0"/>
          <w:sz w:val="24"/>
          <w:szCs w:val="24"/>
          <w:highlight w:val="none"/>
          <w14:textFill>
            <w14:solidFill>
              <w14:schemeClr w14:val="tx1"/>
            </w14:solidFill>
          </w14:textFill>
        </w:rPr>
        <w:t>期发送或未发送的视为无异议</w:t>
      </w:r>
      <w:r>
        <w:rPr>
          <w:rFonts w:hint="eastAsia" w:ascii="仿宋" w:hAnsi="仿宋" w:eastAsia="仿宋" w:cs="仿宋"/>
          <w:color w:val="000000" w:themeColor="text1"/>
          <w:kern w:val="0"/>
          <w:sz w:val="24"/>
          <w:szCs w:val="24"/>
          <w:highlight w:val="none"/>
          <w14:textFill>
            <w14:solidFill>
              <w14:schemeClr w14:val="tx1"/>
            </w14:solidFill>
          </w14:textFill>
        </w:rPr>
        <w:t>。</w:t>
      </w:r>
    </w:p>
    <w:p>
      <w:pPr>
        <w:shd w:val="clear" w:color="auto" w:fill="auto"/>
        <w:snapToGrid w:val="0"/>
        <w:spacing w:line="360" w:lineRule="auto"/>
        <w:ind w:firstLine="486"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开启标书信息（资格</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证明</w:t>
      </w:r>
      <w:r>
        <w:rPr>
          <w:rFonts w:hint="eastAsia" w:ascii="仿宋" w:hAnsi="仿宋" w:eastAsia="仿宋" w:cs="仿宋"/>
          <w:color w:val="000000" w:themeColor="text1"/>
          <w:kern w:val="0"/>
          <w:sz w:val="24"/>
          <w:szCs w:val="24"/>
          <w:highlight w:val="none"/>
          <w14:textFill>
            <w14:solidFill>
              <w14:schemeClr w14:val="tx1"/>
            </w14:solidFill>
          </w14:textFill>
        </w:rPr>
        <w:t>文件、商务技术文件）。标书信息开启后，首先由采购人或采购代理机构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或评审小组</w:t>
      </w:r>
      <w:r>
        <w:rPr>
          <w:rFonts w:hint="eastAsia" w:ascii="仿宋" w:hAnsi="仿宋" w:eastAsia="仿宋" w:cs="仿宋"/>
          <w:color w:val="000000" w:themeColor="text1"/>
          <w:kern w:val="0"/>
          <w:sz w:val="24"/>
          <w:szCs w:val="24"/>
          <w:highlight w:val="none"/>
          <w14:textFill>
            <w14:solidFill>
              <w14:schemeClr w14:val="tx1"/>
            </w14:solidFill>
          </w14:textFill>
        </w:rPr>
        <w:t>依法对投标供应商的资格</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证明</w:t>
      </w:r>
      <w:r>
        <w:rPr>
          <w:rFonts w:hint="eastAsia" w:ascii="仿宋" w:hAnsi="仿宋" w:eastAsia="仿宋" w:cs="仿宋"/>
          <w:color w:val="000000" w:themeColor="text1"/>
          <w:kern w:val="0"/>
          <w:sz w:val="24"/>
          <w:szCs w:val="24"/>
          <w:highlight w:val="none"/>
          <w14:textFill>
            <w14:solidFill>
              <w14:schemeClr w14:val="tx1"/>
            </w14:solidFill>
          </w14:textFill>
        </w:rPr>
        <w:t>文件进行审查（具体见本章“</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29.3</w:t>
      </w:r>
      <w:r>
        <w:rPr>
          <w:rFonts w:hint="eastAsia" w:ascii="仿宋" w:hAnsi="仿宋" w:eastAsia="仿宋" w:cs="仿宋"/>
          <w:color w:val="000000" w:themeColor="text1"/>
          <w:kern w:val="0"/>
          <w:sz w:val="24"/>
          <w:szCs w:val="24"/>
          <w:highlight w:val="none"/>
          <w14:textFill>
            <w14:solidFill>
              <w14:schemeClr w14:val="tx1"/>
            </w14:solidFill>
          </w14:textFill>
        </w:rPr>
        <w:t xml:space="preserve"> 投标供应商资格审查”）， 审查结束公布投标供应商的资格符合情况。资格审查未获通过的供应商，其商务技术文件及报价文件不再进入评审。</w:t>
      </w:r>
    </w:p>
    <w:p>
      <w:pPr>
        <w:shd w:val="clear" w:color="auto" w:fill="auto"/>
        <w:snapToGrid w:val="0"/>
        <w:spacing w:line="360" w:lineRule="auto"/>
        <w:ind w:firstLine="486"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商务技术评审结束后，主持人公布商务技术评审无效投标供应商名单和商务技术评审有效投标供应商名单及其商务技术得分情况</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商务技术评审无效的供应商，其报价不再进入评审。</w:t>
      </w:r>
    </w:p>
    <w:p>
      <w:pPr>
        <w:shd w:val="clear" w:color="auto" w:fill="auto"/>
        <w:snapToGrid w:val="0"/>
        <w:spacing w:line="360" w:lineRule="auto"/>
        <w:ind w:firstLine="486"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开启有效投标供应商的报价，公布开标一览表有关内容，</w:t>
      </w:r>
      <w:r>
        <w:rPr>
          <w:rFonts w:hint="eastAsia" w:ascii="仿宋" w:hAnsi="仿宋" w:eastAsia="仿宋" w:cs="仿宋"/>
          <w:color w:val="000000" w:themeColor="text1"/>
          <w:sz w:val="24"/>
          <w:szCs w:val="24"/>
          <w:highlight w:val="none"/>
          <w:lang w:bidi="zh-CN"/>
          <w14:textFill>
            <w14:solidFill>
              <w14:schemeClr w14:val="tx1"/>
            </w14:solidFill>
          </w14:textFill>
        </w:rPr>
        <w:t>并【开启签章时段】，供应商对开标纪录进行在线签章确认（不予确认的应说明理由，否则视为无异议）</w:t>
      </w:r>
      <w:r>
        <w:rPr>
          <w:rFonts w:hint="eastAsia" w:ascii="仿宋" w:hAnsi="仿宋" w:eastAsia="仿宋" w:cs="仿宋"/>
          <w:color w:val="000000" w:themeColor="text1"/>
          <w:kern w:val="0"/>
          <w:sz w:val="24"/>
          <w:szCs w:val="24"/>
          <w:highlight w:val="none"/>
          <w14:textFill>
            <w14:solidFill>
              <w14:schemeClr w14:val="tx1"/>
            </w14:solidFill>
          </w14:textFill>
        </w:rPr>
        <w:t>。开标结束后，由评标委员会对报价的合理性、准确性等进行审查核实</w:t>
      </w:r>
      <w:r>
        <w:rPr>
          <w:rFonts w:hint="eastAsia" w:ascii="仿宋" w:hAnsi="仿宋" w:eastAsia="仿宋" w:cs="仿宋"/>
          <w:color w:val="000000" w:themeColor="text1"/>
          <w:sz w:val="24"/>
          <w:szCs w:val="24"/>
          <w:highlight w:val="none"/>
          <w14:textFill>
            <w14:solidFill>
              <w14:schemeClr w14:val="tx1"/>
            </w14:solidFill>
          </w14:textFill>
        </w:rPr>
        <w:t>。</w:t>
      </w:r>
    </w:p>
    <w:p>
      <w:pPr>
        <w:shd w:val="clear" w:color="auto" w:fill="auto"/>
        <w:snapToGrid w:val="0"/>
        <w:spacing w:line="360" w:lineRule="auto"/>
        <w:ind w:firstLine="486"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评审结束后，采购代理机构在系统上公布评审结果。</w:t>
      </w:r>
    </w:p>
    <w:p>
      <w:pPr>
        <w:shd w:val="clear" w:color="auto" w:fill="auto"/>
        <w:snapToGrid w:val="0"/>
        <w:spacing w:line="360" w:lineRule="auto"/>
        <w:ind w:left="48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特别情况说明：</w:t>
      </w:r>
    </w:p>
    <w:p>
      <w:pPr>
        <w:shd w:val="clear" w:color="auto" w:fill="auto"/>
        <w:snapToGrid w:val="0"/>
        <w:spacing w:line="360" w:lineRule="auto"/>
        <w:ind w:firstLine="429" w:firstLineChars="177"/>
        <w:jc w:val="left"/>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（1）本项目采用电子交易，如遇“</w:t>
      </w:r>
      <w:r>
        <w:rPr>
          <w:rFonts w:hint="eastAsia" w:ascii="仿宋" w:hAnsi="仿宋" w:eastAsia="仿宋" w:cs="仿宋"/>
          <w:b/>
          <w:color w:val="000000" w:themeColor="text1"/>
          <w:kern w:val="0"/>
          <w:sz w:val="24"/>
          <w:szCs w:val="24"/>
          <w:highlight w:val="none"/>
          <w:lang w:eastAsia="zh-CN"/>
          <w14:textFill>
            <w14:solidFill>
              <w14:schemeClr w14:val="tx1"/>
            </w14:solidFill>
          </w14:textFill>
        </w:rPr>
        <w:t>新疆</w:t>
      </w:r>
      <w:r>
        <w:rPr>
          <w:rFonts w:hint="eastAsia" w:ascii="仿宋" w:hAnsi="仿宋" w:eastAsia="仿宋" w:cs="仿宋"/>
          <w:b/>
          <w:color w:val="000000" w:themeColor="text1"/>
          <w:kern w:val="0"/>
          <w:sz w:val="24"/>
          <w:szCs w:val="24"/>
          <w:highlight w:val="none"/>
          <w14:textFill>
            <w14:solidFill>
              <w14:schemeClr w14:val="tx1"/>
            </w14:solidFill>
          </w14:textFill>
        </w:rPr>
        <w:t>政府采购云平台”电子化开标或评审程序调整的，按调整后程序执行。</w:t>
      </w:r>
    </w:p>
    <w:p>
      <w:pPr>
        <w:shd w:val="clear" w:color="auto" w:fill="auto"/>
        <w:snapToGrid w:val="0"/>
        <w:spacing w:line="360" w:lineRule="auto"/>
        <w:ind w:firstLine="429" w:firstLineChars="177"/>
        <w:jc w:val="left"/>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（2）开标过程中需要相关当事人进行</w:t>
      </w:r>
      <w:r>
        <w:rPr>
          <w:rFonts w:hint="eastAsia" w:ascii="仿宋" w:hAnsi="仿宋" w:eastAsia="仿宋" w:cs="仿宋"/>
          <w:b/>
          <w:color w:val="000000" w:themeColor="text1"/>
          <w:kern w:val="0"/>
          <w:sz w:val="24"/>
          <w:szCs w:val="24"/>
          <w:highlight w:val="non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14:textFill>
            <w14:solidFill>
              <w14:schemeClr w14:val="tx1"/>
            </w14:solidFill>
          </w14:textFill>
        </w:rPr>
        <w:t>或盖章确认的材料将通过“政府采购云平台”进行，若因“政府采购云平台”技术问题无法进行</w:t>
      </w:r>
      <w:r>
        <w:rPr>
          <w:rFonts w:hint="eastAsia" w:ascii="仿宋" w:hAnsi="仿宋" w:eastAsia="仿宋" w:cs="仿宋"/>
          <w:b/>
          <w:color w:val="000000" w:themeColor="text1"/>
          <w:kern w:val="0"/>
          <w:sz w:val="24"/>
          <w:szCs w:val="24"/>
          <w:highlight w:val="non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14:textFill>
            <w14:solidFill>
              <w14:schemeClr w14:val="tx1"/>
            </w14:solidFill>
          </w14:textFill>
        </w:rPr>
        <w:t>或盖章确认的，采购组织机构将通过电子邮件等形式予以确认，</w:t>
      </w:r>
      <w:r>
        <w:rPr>
          <w:rFonts w:hint="eastAsia" w:ascii="仿宋" w:hAnsi="仿宋" w:eastAsia="仿宋" w:cs="仿宋"/>
          <w:b/>
          <w:color w:val="000000" w:themeColor="text1"/>
          <w:kern w:val="0"/>
          <w:sz w:val="24"/>
          <w:szCs w:val="24"/>
          <w:highlight w:val="none"/>
          <w:u w:val="single"/>
          <w14:textFill>
            <w14:solidFill>
              <w14:schemeClr w14:val="tx1"/>
            </w14:solidFill>
          </w14:textFill>
        </w:rPr>
        <w:t>请供应商保证办理投标事宜人员电话畅通、网络在线，</w:t>
      </w:r>
      <w:r>
        <w:rPr>
          <w:rFonts w:hint="eastAsia" w:ascii="仿宋" w:hAnsi="仿宋" w:eastAsia="仿宋" w:cs="仿宋"/>
          <w:b/>
          <w:color w:val="000000" w:themeColor="text1"/>
          <w:kern w:val="0"/>
          <w:sz w:val="24"/>
          <w:szCs w:val="24"/>
          <w:highlight w:val="none"/>
          <w:u w:val="singl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u w:val="single"/>
          <w14:textFill>
            <w14:solidFill>
              <w14:schemeClr w14:val="tx1"/>
            </w14:solidFill>
          </w14:textFill>
        </w:rPr>
        <w:t>或盖章确认的时间为</w:t>
      </w:r>
      <w:r>
        <w:rPr>
          <w:rFonts w:hint="eastAsia" w:ascii="仿宋" w:hAnsi="仿宋" w:eastAsia="仿宋" w:cs="仿宋"/>
          <w:b/>
          <w:color w:val="auto"/>
          <w:kern w:val="0"/>
          <w:sz w:val="24"/>
          <w:szCs w:val="24"/>
          <w:highlight w:val="none"/>
          <w:u w:val="single"/>
        </w:rPr>
        <w:t>20分钟。如未及时</w:t>
      </w:r>
      <w:r>
        <w:rPr>
          <w:rFonts w:hint="eastAsia" w:ascii="仿宋" w:hAnsi="仿宋" w:eastAsia="仿宋" w:cs="仿宋"/>
          <w:b/>
          <w:color w:val="auto"/>
          <w:kern w:val="0"/>
          <w:sz w:val="24"/>
          <w:szCs w:val="24"/>
          <w:highlight w:val="none"/>
          <w:u w:val="single"/>
          <w:lang w:eastAsia="zh-CN"/>
        </w:rPr>
        <w:t>签章</w:t>
      </w:r>
      <w:r>
        <w:rPr>
          <w:rFonts w:hint="eastAsia" w:ascii="仿宋" w:hAnsi="仿宋" w:eastAsia="仿宋" w:cs="仿宋"/>
          <w:b/>
          <w:color w:val="auto"/>
          <w:kern w:val="0"/>
          <w:sz w:val="24"/>
          <w:szCs w:val="24"/>
          <w:highlight w:val="none"/>
          <w:u w:val="single"/>
        </w:rPr>
        <w:t>或盖章确认的，视为无异议</w:t>
      </w:r>
      <w:r>
        <w:rPr>
          <w:rFonts w:hint="eastAsia" w:ascii="仿宋" w:hAnsi="仿宋" w:eastAsia="仿宋" w:cs="仿宋"/>
          <w:b/>
          <w:color w:val="auto"/>
          <w:kern w:val="0"/>
          <w:sz w:val="24"/>
          <w:szCs w:val="24"/>
          <w:highlight w:val="none"/>
        </w:rPr>
        <w:t>。</w:t>
      </w:r>
    </w:p>
    <w:p>
      <w:pPr>
        <w:shd w:val="clear" w:color="auto" w:fill="auto"/>
        <w:snapToGrid w:val="0"/>
        <w:spacing w:line="360" w:lineRule="auto"/>
        <w:ind w:firstLine="486" w:firstLineChars="200"/>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lang w:val="en-US" w:eastAsia="zh-CN"/>
          <w14:textFill>
            <w14:solidFill>
              <w14:schemeClr w14:val="tx1"/>
            </w14:solidFill>
          </w14:textFill>
        </w:rPr>
        <w:t>29.3</w:t>
      </w:r>
      <w:r>
        <w:rPr>
          <w:rFonts w:hint="eastAsia" w:ascii="仿宋" w:hAnsi="仿宋" w:eastAsia="仿宋" w:cs="仿宋"/>
          <w:b/>
          <w:color w:val="000000" w:themeColor="text1"/>
          <w:kern w:val="0"/>
          <w:sz w:val="24"/>
          <w:szCs w:val="24"/>
          <w:highlight w:val="none"/>
          <w14:textFill>
            <w14:solidFill>
              <w14:schemeClr w14:val="tx1"/>
            </w14:solidFill>
          </w14:textFill>
        </w:rPr>
        <w:t xml:space="preserve"> 投标供应商资格审查：</w:t>
      </w:r>
    </w:p>
    <w:p>
      <w:pPr>
        <w:shd w:val="clear" w:color="auto" w:fill="auto"/>
        <w:snapToGrid w:val="0"/>
        <w:spacing w:line="360" w:lineRule="auto"/>
        <w:ind w:firstLine="486"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bCs/>
          <w:color w:val="000000" w:themeColor="text1"/>
          <w:kern w:val="0"/>
          <w:sz w:val="24"/>
          <w:szCs w:val="24"/>
          <w:highlight w:val="none"/>
          <w14:textFill>
            <w14:solidFill>
              <w14:schemeClr w14:val="tx1"/>
            </w14:solidFill>
          </w14:textFill>
        </w:rPr>
        <w:t>开标（标书信息开启）后，采购人或采购代理机构</w:t>
      </w:r>
      <w:r>
        <w:rPr>
          <w:rFonts w:hint="eastAsia" w:ascii="仿宋" w:hAnsi="仿宋" w:eastAsia="仿宋" w:cs="仿宋"/>
          <w:bCs/>
          <w:color w:val="000000" w:themeColor="text1"/>
          <w:kern w:val="0"/>
          <w:sz w:val="24"/>
          <w:szCs w:val="24"/>
          <w:highlight w:val="none"/>
          <w:lang w:eastAsia="zh-CN"/>
          <w14:textFill>
            <w14:solidFill>
              <w14:schemeClr w14:val="tx1"/>
            </w14:solidFill>
          </w14:textFill>
        </w:rPr>
        <w:t>或</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评审小组</w:t>
      </w:r>
      <w:r>
        <w:rPr>
          <w:rFonts w:hint="eastAsia" w:ascii="仿宋" w:hAnsi="仿宋" w:eastAsia="仿宋" w:cs="仿宋"/>
          <w:bCs/>
          <w:color w:val="000000" w:themeColor="text1"/>
          <w:kern w:val="0"/>
          <w:sz w:val="24"/>
          <w:szCs w:val="24"/>
          <w:highlight w:val="none"/>
          <w14:textFill>
            <w14:solidFill>
              <w14:schemeClr w14:val="tx1"/>
            </w14:solidFill>
          </w14:textFill>
        </w:rPr>
        <w:t>首先依法对投标供应商的资格文件进行审查，审查各投标供应商的资格符合情况。</w:t>
      </w:r>
      <w:r>
        <w:rPr>
          <w:rFonts w:hint="eastAsia" w:ascii="仿宋" w:hAnsi="仿宋" w:eastAsia="仿宋" w:cs="仿宋"/>
          <w:color w:val="000000" w:themeColor="text1"/>
          <w:sz w:val="24"/>
          <w:szCs w:val="24"/>
          <w:highlight w:val="none"/>
          <w14:textFill>
            <w14:solidFill>
              <w14:schemeClr w14:val="tx1"/>
            </w14:solidFill>
          </w14:textFill>
        </w:rPr>
        <w:t>采购人或采购代理机构</w:t>
      </w:r>
      <w:r>
        <w:rPr>
          <w:rFonts w:hint="eastAsia" w:ascii="仿宋" w:hAnsi="仿宋" w:eastAsia="仿宋" w:cs="仿宋"/>
          <w:bCs/>
          <w:color w:val="000000" w:themeColor="text1"/>
          <w:kern w:val="0"/>
          <w:sz w:val="24"/>
          <w:szCs w:val="24"/>
          <w:highlight w:val="none"/>
          <w:lang w:eastAsia="zh-CN"/>
          <w14:textFill>
            <w14:solidFill>
              <w14:schemeClr w14:val="tx1"/>
            </w14:solidFill>
          </w14:textFill>
        </w:rPr>
        <w:t>或</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评审小组</w:t>
      </w:r>
      <w:r>
        <w:rPr>
          <w:rFonts w:hint="eastAsia" w:ascii="仿宋" w:hAnsi="仿宋" w:eastAsia="仿宋" w:cs="仿宋"/>
          <w:color w:val="000000" w:themeColor="text1"/>
          <w:sz w:val="24"/>
          <w:szCs w:val="24"/>
          <w:highlight w:val="none"/>
          <w14:textFill>
            <w14:solidFill>
              <w14:schemeClr w14:val="tx1"/>
            </w14:solidFill>
          </w14:textFill>
        </w:rPr>
        <w:t>对投标供应商所提交的资格证明材料仅负审核的责任。如发现投标供应商所提交的资格证明材料不合法或与事实不符，采购人可取消其中标资格并追究投标供应商的法律责任。</w:t>
      </w:r>
    </w:p>
    <w:p>
      <w:pPr>
        <w:pStyle w:val="2"/>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2"/>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（3）</w:t>
      </w:r>
      <w:r>
        <w:rPr>
          <w:rFonts w:hint="eastAsia" w:ascii="仿宋" w:hAnsi="仿宋" w:eastAsia="仿宋" w:cs="仿宋"/>
          <w:b w:val="0"/>
          <w:bCs/>
          <w:color w:val="000000" w:themeColor="text1"/>
          <w:kern w:val="0"/>
          <w:sz w:val="24"/>
          <w:szCs w:val="24"/>
          <w:highlight w:val="none"/>
          <w14:textFill>
            <w14:solidFill>
              <w14:schemeClr w14:val="tx1"/>
            </w14:solidFill>
          </w14:textFill>
        </w:rPr>
        <w:t>供应商</w:t>
      </w:r>
      <w:r>
        <w:rPr>
          <w:rFonts w:hint="eastAsia" w:ascii="仿宋" w:hAnsi="仿宋" w:eastAsia="仿宋" w:cs="仿宋"/>
          <w:b w:val="0"/>
          <w:bCs/>
          <w:color w:val="000000" w:themeColor="text1"/>
          <w:sz w:val="24"/>
          <w:szCs w:val="24"/>
          <w:highlight w:val="none"/>
          <w14:textFill>
            <w14:solidFill>
              <w14:schemeClr w14:val="tx1"/>
            </w14:solidFill>
          </w14:textFill>
        </w:rPr>
        <w:t>信用记录查询与使用：</w:t>
      </w:r>
      <w:r>
        <w:rPr>
          <w:rFonts w:hint="eastAsia" w:ascii="仿宋" w:hAnsi="仿宋" w:eastAsia="仿宋" w:cs="仿宋"/>
          <w:b w:val="0"/>
          <w:bCs/>
          <w:color w:val="000000" w:themeColor="text1"/>
          <w:kern w:val="0"/>
          <w:sz w:val="24"/>
          <w:szCs w:val="24"/>
          <w:highlight w:val="none"/>
          <w14:textFill>
            <w14:solidFill>
              <w14:schemeClr w14:val="tx1"/>
            </w14:solidFill>
          </w14:textFill>
        </w:rPr>
        <w:t>见《供应商须知前附表》。</w:t>
      </w:r>
    </w:p>
    <w:p>
      <w:pPr>
        <w:widowControl/>
        <w:shd w:val="clear" w:color="auto" w:fill="auto"/>
        <w:spacing w:line="440" w:lineRule="exact"/>
        <w:ind w:firstLine="243"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30.</w:t>
      </w:r>
      <w:r>
        <w:rPr>
          <w:rFonts w:hint="eastAsia" w:ascii="仿宋" w:hAnsi="仿宋" w:eastAsia="仿宋" w:cs="仿宋"/>
          <w:color w:val="000000" w:themeColor="text1"/>
          <w:szCs w:val="21"/>
          <w:highlight w:val="none"/>
          <w14:textFill>
            <w14:solidFill>
              <w14:schemeClr w14:val="tx1"/>
            </w14:solidFill>
          </w14:textFill>
        </w:rPr>
        <w:t>评审工作的组织</w:t>
      </w:r>
    </w:p>
    <w:p>
      <w:pPr>
        <w:widowControl/>
        <w:shd w:val="clear" w:color="auto" w:fill="auto"/>
        <w:spacing w:line="440" w:lineRule="exact"/>
        <w:ind w:firstLine="243"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采购人或采购代理机构负责组织本项目的评审工作，并依据《政府采购货物和服务招标投标管理办法（财政部第87号令）》第四十五条的相关规定履行职责。</w:t>
      </w:r>
    </w:p>
    <w:p>
      <w:pPr>
        <w:widowControl/>
        <w:shd w:val="clear" w:color="auto" w:fill="auto"/>
        <w:spacing w:line="440" w:lineRule="exact"/>
        <w:ind w:firstLine="243"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 评标委员会的组建</w:t>
      </w:r>
    </w:p>
    <w:p>
      <w:pPr>
        <w:widowControl/>
        <w:shd w:val="clear" w:color="auto" w:fill="auto"/>
        <w:spacing w:line="440" w:lineRule="exact"/>
        <w:ind w:firstLine="243"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.1评标委员会由采购人或采购代理机构依法组建，成员由采购人代表和评审专家组成，成员人数为五人或以上单数，其中评审专家不少于成员总数的三分之二。</w:t>
      </w:r>
    </w:p>
    <w:p>
      <w:pPr>
        <w:widowControl/>
        <w:shd w:val="clear" w:color="auto" w:fill="auto"/>
        <w:spacing w:line="440" w:lineRule="exact"/>
        <w:ind w:firstLine="243"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.2评审专家从</w:t>
      </w:r>
      <w:r>
        <w:rPr>
          <w:rFonts w:hint="eastAsia" w:ascii="仿宋" w:hAnsi="仿宋" w:eastAsia="仿宋" w:cs="仿宋"/>
          <w:color w:val="000000" w:themeColor="text1"/>
          <w:szCs w:val="21"/>
          <w:highlight w:val="none"/>
          <w:lang w:eastAsia="zh-CN"/>
          <w14:textFill>
            <w14:solidFill>
              <w14:schemeClr w14:val="tx1"/>
            </w14:solidFill>
          </w14:textFill>
        </w:rPr>
        <w:t>新疆</w:t>
      </w:r>
      <w:r>
        <w:rPr>
          <w:rFonts w:hint="eastAsia" w:ascii="仿宋" w:hAnsi="仿宋" w:eastAsia="仿宋" w:cs="仿宋"/>
          <w:color w:val="000000" w:themeColor="text1"/>
          <w:szCs w:val="21"/>
          <w:highlight w:val="none"/>
          <w14:textFill>
            <w14:solidFill>
              <w14:schemeClr w14:val="tx1"/>
            </w14:solidFill>
          </w14:textFill>
        </w:rPr>
        <w:t>政府采购云平台专家库中通过随机方式抽取产生。评标委员会成员名单在采购结果公告前保密。</w:t>
      </w:r>
    </w:p>
    <w:p>
      <w:pPr>
        <w:widowControl/>
        <w:shd w:val="clear" w:color="auto" w:fill="auto"/>
        <w:spacing w:line="440" w:lineRule="exact"/>
        <w:ind w:firstLine="243"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.评标委员会的职责</w:t>
      </w:r>
    </w:p>
    <w:p>
      <w:pPr>
        <w:widowControl/>
        <w:shd w:val="clear" w:color="auto" w:fill="auto"/>
        <w:spacing w:line="440" w:lineRule="exact"/>
        <w:ind w:firstLine="243"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.1审查、评价投标文件是否符合采购文件的商务、技术等实质性要求。</w:t>
      </w:r>
    </w:p>
    <w:p>
      <w:pPr>
        <w:widowControl/>
        <w:shd w:val="clear" w:color="auto" w:fill="auto"/>
        <w:spacing w:line="440" w:lineRule="exact"/>
        <w:ind w:firstLine="243"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.2要求供应商对投标文件有关事项作出澄清或者说明。</w:t>
      </w:r>
    </w:p>
    <w:p>
      <w:pPr>
        <w:widowControl/>
        <w:shd w:val="clear" w:color="auto" w:fill="auto"/>
        <w:spacing w:line="440" w:lineRule="exact"/>
        <w:ind w:firstLine="243"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.3对投标文件进行比较和评价。</w:t>
      </w:r>
    </w:p>
    <w:p>
      <w:pPr>
        <w:widowControl/>
        <w:shd w:val="clear" w:color="auto" w:fill="auto"/>
        <w:spacing w:line="440" w:lineRule="exact"/>
        <w:ind w:firstLine="243"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.4确定中标候选人名单，以及根据采购人委托直接确定中标人。</w:t>
      </w:r>
    </w:p>
    <w:p>
      <w:pPr>
        <w:widowControl/>
        <w:shd w:val="clear" w:color="auto" w:fill="auto"/>
        <w:spacing w:line="440" w:lineRule="exact"/>
        <w:ind w:firstLine="243"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.5向采购人、采购代理机构或者有关部门报告评审中发现的违法行为。</w:t>
      </w:r>
    </w:p>
    <w:p>
      <w:pPr>
        <w:widowControl/>
        <w:shd w:val="clear" w:color="auto" w:fill="auto"/>
        <w:spacing w:line="440" w:lineRule="exact"/>
        <w:ind w:firstLine="243"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 评标原则</w:t>
      </w:r>
    </w:p>
    <w:p>
      <w:pPr>
        <w:widowControl/>
        <w:shd w:val="clear" w:color="auto" w:fill="auto"/>
        <w:spacing w:line="440" w:lineRule="exact"/>
        <w:ind w:firstLine="243"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.1评标委员会将遵循公平、公正、科学的原则，对供应商提交的投标文件进行综合评审，评标委员会按照采购文件规定的评标细则进行评分。</w:t>
      </w:r>
    </w:p>
    <w:p>
      <w:pPr>
        <w:widowControl/>
        <w:shd w:val="clear" w:color="auto" w:fill="auto"/>
        <w:spacing w:line="440" w:lineRule="exact"/>
        <w:ind w:firstLine="243"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 xml:space="preserve">.2客观公正对待所有供应商，对所有投标评价均采用相同的程序和标准。 </w:t>
      </w:r>
    </w:p>
    <w:p>
      <w:pPr>
        <w:widowControl/>
        <w:shd w:val="clear" w:color="auto" w:fill="auto"/>
        <w:spacing w:line="440" w:lineRule="exact"/>
        <w:ind w:firstLine="243"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.3评标委员会成员对需要共同认定的事项存在争议的，按照少数服从多数的原则作出结论。持不同意见的评标委员会成员应当在评审报告上签署不同意见及理由，否则视为同意评审报告。</w:t>
      </w:r>
    </w:p>
    <w:p>
      <w:pPr>
        <w:widowControl/>
        <w:shd w:val="clear" w:color="auto" w:fill="auto"/>
        <w:spacing w:line="440" w:lineRule="exact"/>
        <w:ind w:firstLine="243"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hd w:val="clear" w:color="auto" w:fill="auto"/>
        <w:spacing w:line="440" w:lineRule="exact"/>
        <w:ind w:firstLine="243"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非单一产品采购项目，采购人应当根据采购项目技术构成、产品价格比重等合理确定核心产品，并在采购文件中载明。多家供应商提供的核心产品品牌相同的，按前款规定处理。      </w:t>
      </w:r>
    </w:p>
    <w:p>
      <w:pPr>
        <w:widowControl/>
        <w:shd w:val="clear" w:color="auto" w:fill="auto"/>
        <w:spacing w:line="440" w:lineRule="exact"/>
        <w:ind w:firstLine="243"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34</w:t>
      </w:r>
      <w:r>
        <w:rPr>
          <w:rFonts w:hint="eastAsia" w:ascii="仿宋" w:hAnsi="仿宋" w:eastAsia="仿宋" w:cs="仿宋"/>
          <w:color w:val="000000" w:themeColor="text1"/>
          <w:szCs w:val="21"/>
          <w:highlight w:val="none"/>
          <w14:textFill>
            <w14:solidFill>
              <w14:schemeClr w14:val="tx1"/>
            </w14:solidFill>
          </w14:textFill>
        </w:rPr>
        <w:t>. 评委纪律</w:t>
      </w:r>
    </w:p>
    <w:p>
      <w:pPr>
        <w:widowControl/>
        <w:shd w:val="clear" w:color="auto" w:fill="auto"/>
        <w:spacing w:line="440" w:lineRule="exact"/>
        <w:ind w:firstLine="243"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pPr>
        <w:widowControl/>
        <w:shd w:val="clear" w:color="auto" w:fill="auto"/>
        <w:spacing w:line="440" w:lineRule="exact"/>
        <w:ind w:firstLine="243"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评标程序</w:t>
      </w:r>
    </w:p>
    <w:p>
      <w:pPr>
        <w:widowControl/>
        <w:shd w:val="clear" w:color="auto" w:fill="auto"/>
        <w:spacing w:line="440" w:lineRule="exact"/>
        <w:ind w:firstLine="243"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1 在评审专家中推选评标委员会组长，采购人代表不得担任评标委员会组长。</w:t>
      </w:r>
    </w:p>
    <w:p>
      <w:pPr>
        <w:widowControl/>
        <w:shd w:val="clear" w:color="auto" w:fill="auto"/>
        <w:spacing w:line="440" w:lineRule="exact"/>
        <w:ind w:firstLine="243"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hd w:val="clear" w:color="auto" w:fill="auto"/>
        <w:spacing w:line="440" w:lineRule="exact"/>
        <w:ind w:firstLine="243"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3 评审人员对符合资格的供应商的投标文件的有效性、符合性、完整性和响应程度进行审查，确定是否对采购文件作出实质性响应。</w:t>
      </w:r>
    </w:p>
    <w:p>
      <w:pPr>
        <w:widowControl/>
        <w:shd w:val="clear" w:color="auto" w:fill="auto"/>
        <w:spacing w:line="440" w:lineRule="exact"/>
        <w:ind w:firstLine="243"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4 评审人员按采购文件规定的评审方法和评审标准，依法独立对供应商投标文件进行评估、比较，并给予评价或打分，不受任何单位和个人的干预。</w:t>
      </w:r>
    </w:p>
    <w:p>
      <w:pPr>
        <w:widowControl/>
        <w:shd w:val="clear" w:color="auto" w:fill="auto"/>
        <w:spacing w:line="440" w:lineRule="exact"/>
        <w:ind w:firstLine="486"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auto"/>
          <w:kern w:val="0"/>
          <w:szCs w:val="21"/>
          <w:highlight w:val="none"/>
        </w:rPr>
        <w:t>综合评分法货物项目的价格分值占总分值的比重(即权值)为</w:t>
      </w:r>
      <w:r>
        <w:rPr>
          <w:rFonts w:hint="eastAsia" w:ascii="仿宋" w:hAnsi="仿宋" w:eastAsia="仿宋" w:cs="仿宋"/>
          <w:color w:val="0000FF"/>
          <w:kern w:val="0"/>
          <w:szCs w:val="21"/>
          <w:highlight w:val="none"/>
          <w:lang w:val="en-US" w:eastAsia="zh-CN"/>
        </w:rPr>
        <w:t>30</w:t>
      </w:r>
      <w:r>
        <w:rPr>
          <w:rFonts w:hint="eastAsia" w:ascii="仿宋" w:hAnsi="仿宋" w:eastAsia="仿宋" w:cs="仿宋"/>
          <w:color w:val="0000FF"/>
          <w:kern w:val="0"/>
          <w:szCs w:val="21"/>
          <w:highlight w:val="none"/>
        </w:rPr>
        <w:t>％</w:t>
      </w:r>
      <w:r>
        <w:rPr>
          <w:rFonts w:hint="eastAsia" w:ascii="仿宋" w:hAnsi="仿宋" w:eastAsia="仿宋" w:cs="仿宋"/>
          <w:color w:val="auto"/>
          <w:kern w:val="0"/>
          <w:szCs w:val="21"/>
          <w:highlight w:val="none"/>
        </w:rPr>
        <w:t>，采购项</w:t>
      </w:r>
      <w:r>
        <w:rPr>
          <w:rFonts w:hint="eastAsia" w:ascii="仿宋" w:hAnsi="仿宋" w:eastAsia="仿宋" w:cs="仿宋"/>
          <w:color w:val="000000" w:themeColor="text1"/>
          <w:kern w:val="0"/>
          <w:szCs w:val="21"/>
          <w:highlight w:val="none"/>
          <w14:textFill>
            <w14:solidFill>
              <w14:schemeClr w14:val="tx1"/>
            </w14:solidFill>
          </w14:textFill>
        </w:rPr>
        <w:t>目中含不同采购对象的，以占项目资金比例最高的采购对象确定其项目属性。其价格不列为评分因素，有特殊情况需要在上述规定范围外设定价格分权重的。</w:t>
      </w:r>
    </w:p>
    <w:p>
      <w:pPr>
        <w:widowControl/>
        <w:shd w:val="clear" w:color="auto" w:fill="auto"/>
        <w:spacing w:line="440" w:lineRule="exact"/>
        <w:ind w:firstLine="48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综合评分法中的价格分统一采用低价优先法计算，即满足</w:t>
      </w:r>
      <w:r>
        <w:rPr>
          <w:rFonts w:hint="eastAsia" w:ascii="仿宋" w:hAnsi="仿宋" w:eastAsia="仿宋" w:cs="仿宋"/>
          <w:color w:val="000000" w:themeColor="text1"/>
          <w:kern w:val="0"/>
          <w:szCs w:val="21"/>
          <w:highlight w:val="none"/>
          <w:lang w:eastAsia="zh-CN"/>
          <w14:textFill>
            <w14:solidFill>
              <w14:schemeClr w14:val="tx1"/>
            </w14:solidFill>
          </w14:textFill>
        </w:rPr>
        <w:t>招标</w:t>
      </w:r>
      <w:r>
        <w:rPr>
          <w:rFonts w:hint="eastAsia" w:ascii="仿宋" w:hAnsi="仿宋" w:eastAsia="仿宋" w:cs="仿宋"/>
          <w:color w:val="000000" w:themeColor="text1"/>
          <w:kern w:val="0"/>
          <w:szCs w:val="21"/>
          <w:highlight w:val="none"/>
          <w14:textFill>
            <w14:solidFill>
              <w14:schemeClr w14:val="tx1"/>
            </w14:solidFill>
          </w14:textFill>
        </w:rPr>
        <w:t>文件要求且最后报价最低的供应商的价格为</w:t>
      </w:r>
      <w:r>
        <w:rPr>
          <w:rFonts w:hint="eastAsia" w:ascii="仿宋" w:hAnsi="仿宋" w:eastAsia="仿宋" w:cs="仿宋"/>
          <w:color w:val="000000" w:themeColor="text1"/>
          <w:kern w:val="0"/>
          <w:szCs w:val="21"/>
          <w:highlight w:val="none"/>
          <w:lang w:eastAsia="zh-CN"/>
          <w14:textFill>
            <w14:solidFill>
              <w14:schemeClr w14:val="tx1"/>
            </w14:solidFill>
          </w14:textFill>
        </w:rPr>
        <w:t>招标</w:t>
      </w:r>
      <w:r>
        <w:rPr>
          <w:rFonts w:hint="eastAsia" w:ascii="仿宋" w:hAnsi="仿宋" w:eastAsia="仿宋" w:cs="仿宋"/>
          <w:color w:val="000000" w:themeColor="text1"/>
          <w:kern w:val="0"/>
          <w:szCs w:val="21"/>
          <w:highlight w:val="none"/>
          <w14:textFill>
            <w14:solidFill>
              <w14:schemeClr w14:val="tx1"/>
            </w14:solidFill>
          </w14:textFill>
        </w:rPr>
        <w:t>基准价，其价格分为满分。其他供应商的价格分统一按照下列公式计算：</w:t>
      </w:r>
    </w:p>
    <w:p>
      <w:pPr>
        <w:widowControl/>
        <w:shd w:val="clear" w:color="auto" w:fill="auto"/>
        <w:spacing w:line="440" w:lineRule="exact"/>
        <w:ind w:firstLine="48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投标</w:t>
      </w:r>
      <w:r>
        <w:rPr>
          <w:rFonts w:hint="eastAsia" w:ascii="仿宋" w:hAnsi="仿宋" w:eastAsia="仿宋" w:cs="仿宋"/>
          <w:color w:val="000000" w:themeColor="text1"/>
          <w:kern w:val="0"/>
          <w:szCs w:val="21"/>
          <w:highlight w:val="none"/>
          <w14:textFill>
            <w14:solidFill>
              <w14:schemeClr w14:val="tx1"/>
            </w14:solidFill>
          </w14:textFill>
        </w:rPr>
        <w:t>报价得分=（基准价/</w:t>
      </w:r>
      <w:r>
        <w:rPr>
          <w:rFonts w:hint="eastAsia" w:ascii="仿宋" w:hAnsi="仿宋" w:eastAsia="仿宋" w:cs="仿宋"/>
          <w:color w:val="000000" w:themeColor="text1"/>
          <w:kern w:val="0"/>
          <w:szCs w:val="21"/>
          <w:highlight w:val="none"/>
          <w:lang w:eastAsia="zh-CN"/>
          <w14:textFill>
            <w14:solidFill>
              <w14:schemeClr w14:val="tx1"/>
            </w14:solidFill>
          </w14:textFill>
        </w:rPr>
        <w:t>投标</w:t>
      </w:r>
      <w:r>
        <w:rPr>
          <w:rFonts w:hint="eastAsia" w:ascii="仿宋" w:hAnsi="仿宋" w:eastAsia="仿宋" w:cs="仿宋"/>
          <w:color w:val="000000" w:themeColor="text1"/>
          <w:kern w:val="0"/>
          <w:szCs w:val="21"/>
          <w:highlight w:val="none"/>
          <w14:textFill>
            <w14:solidFill>
              <w14:schemeClr w14:val="tx1"/>
            </w14:solidFill>
          </w14:textFill>
        </w:rPr>
        <w:t>报价）×价格权值×100</w:t>
      </w:r>
    </w:p>
    <w:p>
      <w:pPr>
        <w:widowControl/>
        <w:shd w:val="clear" w:color="auto" w:fill="auto"/>
        <w:spacing w:line="440" w:lineRule="exact"/>
        <w:ind w:firstLine="48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项目评审过程中，不得去掉最后报价中的最高报价和最低报价。</w:t>
      </w:r>
    </w:p>
    <w:p>
      <w:pPr>
        <w:widowControl/>
        <w:shd w:val="clear" w:color="auto" w:fill="auto"/>
        <w:spacing w:line="440" w:lineRule="exact"/>
        <w:ind w:firstLine="243"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hd w:val="clear" w:color="auto" w:fill="auto"/>
        <w:spacing w:line="440" w:lineRule="exact"/>
        <w:ind w:firstLine="243"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仿宋" w:hAnsi="仿宋" w:eastAsia="仿宋" w:cs="仿宋"/>
          <w:color w:val="0000FF"/>
          <w:szCs w:val="21"/>
          <w:highlight w:val="none"/>
          <w:lang w:val="en-US" w:eastAsia="zh-CN"/>
        </w:rPr>
        <w:t>30</w:t>
      </w:r>
      <w:r>
        <w:rPr>
          <w:rFonts w:hint="eastAsia" w:ascii="仿宋" w:hAnsi="仿宋" w:eastAsia="仿宋" w:cs="仿宋"/>
          <w:color w:val="0000FF"/>
          <w:szCs w:val="21"/>
          <w:highlight w:val="none"/>
        </w:rPr>
        <w:t>%</w:t>
      </w:r>
      <w:r>
        <w:rPr>
          <w:rFonts w:hint="eastAsia" w:ascii="仿宋" w:hAnsi="仿宋" w:eastAsia="仿宋" w:cs="仿宋"/>
          <w:color w:val="000000" w:themeColor="text1"/>
          <w:szCs w:val="21"/>
          <w:highlight w:val="none"/>
          <w14:textFill>
            <w14:solidFill>
              <w14:schemeClr w14:val="tx1"/>
            </w14:solidFill>
          </w14:textFill>
        </w:rPr>
        <w:t>以上的）情形的，应由相关人员当场改正或作出书面说明；拒不改正又不作书面说明的，由现场监督员如实记载后存入项目档案资料。</w:t>
      </w:r>
    </w:p>
    <w:p>
      <w:pPr>
        <w:widowControl/>
        <w:shd w:val="clear" w:color="auto" w:fill="auto"/>
        <w:spacing w:line="440" w:lineRule="exact"/>
        <w:ind w:firstLine="243"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7 评标委员会根据评审汇总情况和采购文件规定确定中标候选供应商排序名单。</w:t>
      </w:r>
    </w:p>
    <w:p>
      <w:pPr>
        <w:widowControl/>
        <w:shd w:val="clear" w:color="auto" w:fill="auto"/>
        <w:spacing w:line="440" w:lineRule="exact"/>
        <w:ind w:firstLine="243"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8 起草评审报告，所有评审人员须在评审报告上</w:t>
      </w:r>
      <w:r>
        <w:rPr>
          <w:rFonts w:hint="eastAsia" w:ascii="仿宋" w:hAnsi="仿宋" w:eastAsia="仿宋" w:cs="仿宋"/>
          <w:color w:val="000000" w:themeColor="text1"/>
          <w:szCs w:val="21"/>
          <w:highlight w:val="none"/>
          <w:lang w:eastAsia="zh-CN"/>
          <w14:textFill>
            <w14:solidFill>
              <w14:schemeClr w14:val="tx1"/>
            </w14:solidFill>
          </w14:textFill>
        </w:rPr>
        <w:t>签章</w:t>
      </w:r>
      <w:r>
        <w:rPr>
          <w:rFonts w:hint="eastAsia" w:ascii="仿宋" w:hAnsi="仿宋" w:eastAsia="仿宋" w:cs="仿宋"/>
          <w:color w:val="000000" w:themeColor="text1"/>
          <w:szCs w:val="21"/>
          <w:highlight w:val="none"/>
          <w14:textFill>
            <w14:solidFill>
              <w14:schemeClr w14:val="tx1"/>
            </w14:solidFill>
          </w14:textFill>
        </w:rPr>
        <w:t xml:space="preserve">确认，对自己的评审意见承担法律责任。 </w:t>
      </w:r>
    </w:p>
    <w:p>
      <w:pPr>
        <w:widowControl/>
        <w:shd w:val="clear" w:color="auto" w:fill="auto"/>
        <w:spacing w:line="440" w:lineRule="exact"/>
        <w:ind w:firstLine="243"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9 采购组织机构对评标委员会评审专家进行评价。</w:t>
      </w:r>
    </w:p>
    <w:p>
      <w:pPr>
        <w:widowControl/>
        <w:shd w:val="clear" w:color="auto" w:fill="auto"/>
        <w:spacing w:line="440" w:lineRule="exact"/>
        <w:ind w:firstLine="243"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10 修改评审结果</w:t>
      </w:r>
    </w:p>
    <w:p>
      <w:pPr>
        <w:widowControl/>
        <w:shd w:val="clear" w:color="auto" w:fill="auto"/>
        <w:spacing w:line="440" w:lineRule="exact"/>
        <w:ind w:firstLine="243"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评标结果汇总完成后，除下列情形外，任何人不得修改评标结果：</w:t>
      </w:r>
    </w:p>
    <w:p>
      <w:pPr>
        <w:widowControl/>
        <w:shd w:val="clear" w:color="auto" w:fill="auto"/>
        <w:spacing w:line="440" w:lineRule="exact"/>
        <w:ind w:firstLine="243"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（1）分值汇总计算错误的；</w:t>
      </w:r>
    </w:p>
    <w:p>
      <w:pPr>
        <w:widowControl/>
        <w:shd w:val="clear" w:color="auto" w:fill="auto"/>
        <w:spacing w:line="440" w:lineRule="exact"/>
        <w:ind w:firstLine="243"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（2）分项评分超出评分标准范围的；</w:t>
      </w:r>
    </w:p>
    <w:p>
      <w:pPr>
        <w:widowControl/>
        <w:shd w:val="clear" w:color="auto" w:fill="auto"/>
        <w:spacing w:line="440" w:lineRule="exact"/>
        <w:ind w:firstLine="243"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（3）评标委员会成员对客观评审因素评分不一致的；</w:t>
      </w:r>
    </w:p>
    <w:p>
      <w:pPr>
        <w:widowControl/>
        <w:shd w:val="clear" w:color="auto" w:fill="auto"/>
        <w:spacing w:line="440" w:lineRule="exact"/>
        <w:ind w:firstLine="243"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（4）经评标委员会认定评分畸高、畸低的。</w:t>
      </w:r>
    </w:p>
    <w:p>
      <w:pPr>
        <w:widowControl/>
        <w:shd w:val="clear" w:color="auto" w:fill="auto"/>
        <w:spacing w:line="440" w:lineRule="exact"/>
        <w:ind w:firstLine="243"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36．澄清、说明或补正的形式</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000000" w:themeColor="text1"/>
          <w:szCs w:val="21"/>
          <w:highlight w:val="none"/>
          <w:lang w:val="en-US" w:eastAsia="zh-CN"/>
          <w14:textFill>
            <w14:solidFill>
              <w14:schemeClr w14:val="tx1"/>
            </w14:solidFill>
          </w14:textFill>
        </w:rPr>
        <w:t>投标供应商澄清、说明或补正时间为20分钟</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37．错误修正的原则</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投标文件报价出现前后不一致的，除采购文件另有规定外，按照下列规定修正：</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37.1 投标函中表述的内容与报价表中不一致的，以报价表为准；报价表中的内容与报价明细表不一致的，以报价表为准；</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37.2 投标文件中的大写金额和小写金额不一致的，以大写金额为准；</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37.3 单价金额小数点或者百分比有明显错位的，以开标一览表的总价为准，并修改单价；</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37.4 总价金额与按单价汇总金额不一致的，以单价金额计算结果为准；</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37.5 若用文字表示的数值与用数字表示的数值不一致，以文字表示的数值为准；</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37.7 对不同文字文本投标文件的解释发生异议的，以中文文本为准；</w:t>
      </w:r>
    </w:p>
    <w:p>
      <w:pPr>
        <w:shd w:val="clear" w:color="auto" w:fill="auto"/>
        <w:spacing w:line="440" w:lineRule="exact"/>
        <w:ind w:firstLine="243" w:firstLineChars="100"/>
        <w:jc w:val="left"/>
        <w:rPr>
          <w:rFonts w:hint="eastAsia" w:ascii="仿宋" w:hAnsi="仿宋" w:eastAsia="仿宋" w:cs="仿宋"/>
          <w:b/>
          <w:bCs/>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000000" w:themeColor="text1"/>
          <w:szCs w:val="21"/>
          <w:highlight w:val="none"/>
          <w:lang w:val="en-US" w:eastAsia="zh-CN"/>
          <w14:textFill>
            <w14:solidFill>
              <w14:schemeClr w14:val="tx1"/>
            </w14:solidFill>
          </w14:textFill>
        </w:rPr>
        <w:t>修正应当采用电子询标的形式，并加盖公章（电子印章）。</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38．无效投标文件</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有下列情形之一的，投标文件按无效标处理：</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 报名的投标人与参加投标的投标人发生实质性变更的且未提供有效证明的；</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38.2投标人提交两份或两份以上内容不同的投标文件，未声明哪一份有效的；</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38.3 投标文件非投标人法定代表人签署的，未提供或提供无效的法定代表人授权书；</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38.4 未按招标文件规定装订；</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38.5 投标文件内容未按招标文件规定签章或盖章的；</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38.6 投标文件组成漏项或未按规定的格式编制或投标文件正、副本份数不足或内容不全或内容字迹模糊辨认不清的等而导致评标活动无法正常进行；</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38.7 投标人未按招标文件变更通知更改投标文件的；</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38.8 《开标一览表》和《投标分项报价表》内容不完整且不接受修正意见或字迹不能辨认的或未提供；</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38.9 标项投标报价超过招标文件规定的预算金额或最高限价</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38.10 因投标人原因编制错误造成经评标委员会修正后的报价达到或超过投标报价的0.5%；</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38.11 投标人的报价明显低于其他通过符合性审查投标人的报价，有可能影响产品质量或者不能诚信履约的，且在规定时间内不能合理说明原因并提供证明材料的；</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38.12 未实质性响应招标文件中条款要求的投标文件；</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38.13 不符合招标范围、技术规格、技术标准的要求无法满足采购人使用要求；</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38.14 投标文件附有采购人不能接受的条款；</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38.15 投标文件中提供了赠品或者与本项目采购无关的其他商品、服务；</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38.16 投标文件中承诺的投标有效期少于招标文件中载明的投标有效期；</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38.17投标人串通投标，妨碍其他投标人的竞争行为，损害采购人或者其他投标人的合法权益；</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38.18违反国家及政府部门相关法律、法规、文件规定或经评标委员会认定的其他属于重大偏离；</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39．废标</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39.1 符合招标文件规定废标情形的；</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39.2 出现影响采购公正的违法、违规行为的；</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39.3 供应商的报价均超过了采购预算（或最高限价），采购人不能支付的;</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39.4 因重大变故，采购任务取消的。</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40．突发情况处理</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40.1 采购过程中出现以下情形，导致电子交易平台无法正常运行，或者无法保证电子交易的公平、公正和安全时，采购组织机构可中止电子交易活动：</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（1）电子交易平台发生故障而无法登录访问的； </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（2）电子交易平台应用或数据库出现错误，不能进行正常操作的；</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（3）电子交易平台发现严重安全漏洞，有潜在泄密危险的；</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（4）病毒发作导致不能进行正常操作的； </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（5）其他无法保证电子交易的公平、公正和安全的情况。</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40.2 采购代理机构或评审小组因不可抗力（不可抗力包括但不限于自然灾害、断电、传播疫病等）原因造成电子交易活动无法正常运行的，将采取以下措施：</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（1）短时间内能消除不可抗力因素的，采购代理机构或评审小组在消除不可抗力因素后继续组织电子交易活动； </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（2）长时间内无法消除不可抗力因素的，采购代理机构或评审小组将中止电子交易活动。中止电子交易活动的，采购人应当重新组织政府采购活动。</w:t>
      </w:r>
    </w:p>
    <w:p>
      <w:pPr>
        <w:shd w:val="clear" w:color="auto" w:fill="auto"/>
        <w:snapToGrid w:val="0"/>
        <w:spacing w:line="360" w:lineRule="exact"/>
        <w:ind w:firstLine="421"/>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41</w:t>
      </w:r>
      <w:r>
        <w:rPr>
          <w:rFonts w:hint="eastAsia" w:ascii="仿宋" w:hAnsi="仿宋" w:eastAsia="仿宋" w:cs="仿宋"/>
          <w:b/>
          <w:color w:val="000000" w:themeColor="text1"/>
          <w:szCs w:val="21"/>
          <w:highlight w:val="none"/>
          <w14:textFill>
            <w14:solidFill>
              <w14:schemeClr w14:val="tx1"/>
            </w14:solidFill>
          </w14:textFill>
        </w:rPr>
        <w:t>. 定标</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 </w:t>
      </w:r>
      <w:bookmarkStart w:id="21" w:name="_Toc469495729"/>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41.1采购结果确认（确定中标供应商）</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采购结果确认（确定中标供应商）：本项目由采购人根据评标委员会提交的《评审报告》，通过“政府采购云平台”依法确认采购结果、确定中标供应商。具体流程如下：</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（1）采购代理机构将在评审结束后2个工作日内将评审报告送采购人。</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（2）采购人将在收到评审报告之日起5个工作日内，在评审报告推荐的中标候选供应商名单中按顺序确定中标供应商，并将确认意见以书面形式回复采购代理机构。 </w:t>
      </w:r>
    </w:p>
    <w:p>
      <w:pPr>
        <w:shd w:val="clear" w:color="auto" w:fill="auto"/>
        <w:spacing w:line="440" w:lineRule="exact"/>
        <w:ind w:firstLine="243" w:firstLineChars="100"/>
        <w:jc w:val="left"/>
        <w:rPr>
          <w:rFonts w:hint="eastAsia" w:ascii="仿宋" w:hAnsi="仿宋" w:eastAsia="仿宋" w:cs="仿宋"/>
          <w:b/>
          <w:bCs/>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41.2采购结果经采购人确认后2个工作日内，采购代理机构将在</w:t>
      </w:r>
      <w:r>
        <w:rPr>
          <w:rFonts w:hint="eastAsia" w:ascii="仿宋" w:hAnsi="仿宋" w:eastAsia="仿宋" w:cs="仿宋"/>
          <w:b/>
          <w:bCs/>
          <w:color w:val="000000" w:themeColor="text1"/>
          <w:szCs w:val="21"/>
          <w:highlight w:val="none"/>
          <w:lang w:val="en-US" w:eastAsia="zh-CN"/>
          <w14:textFill>
            <w14:solidFill>
              <w14:schemeClr w14:val="tx1"/>
            </w14:solidFill>
          </w14:textFill>
        </w:rPr>
        <w:t>克州公共资源交易网、新疆政府采购网（www.zjzfcg.gov.cn）上公告采购结果，中标公告期限为1个工作日。</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42. 中标通知书</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42.1</w:t>
      </w:r>
      <w:r>
        <w:rPr>
          <w:rFonts w:hint="eastAsia" w:ascii="仿宋" w:hAnsi="仿宋" w:eastAsia="仿宋" w:cs="仿宋"/>
          <w:color w:val="000000" w:themeColor="text1"/>
          <w:szCs w:val="21"/>
          <w:highlight w:val="none"/>
          <w14:textFill>
            <w14:solidFill>
              <w14:schemeClr w14:val="tx1"/>
            </w14:solidFill>
          </w14:textFill>
        </w:rPr>
        <w:t>在</w:t>
      </w:r>
      <w:r>
        <w:rPr>
          <w:rFonts w:hint="eastAsia" w:ascii="仿宋" w:hAnsi="仿宋" w:eastAsia="仿宋" w:cs="仿宋"/>
          <w:color w:val="000000" w:themeColor="text1"/>
          <w:szCs w:val="21"/>
          <w:highlight w:val="none"/>
          <w:lang w:eastAsia="zh-CN"/>
          <w14:textFill>
            <w14:solidFill>
              <w14:schemeClr w14:val="tx1"/>
            </w14:solidFill>
          </w14:textFill>
        </w:rPr>
        <w:t>中标</w:t>
      </w:r>
      <w:r>
        <w:rPr>
          <w:rFonts w:hint="eastAsia" w:ascii="仿宋" w:hAnsi="仿宋" w:eastAsia="仿宋" w:cs="仿宋"/>
          <w:color w:val="000000" w:themeColor="text1"/>
          <w:szCs w:val="21"/>
          <w:highlight w:val="none"/>
          <w14:textFill>
            <w14:solidFill>
              <w14:schemeClr w14:val="tx1"/>
            </w14:solidFill>
          </w14:textFill>
        </w:rPr>
        <w:t>通知书发出前，招标人将</w:t>
      </w:r>
      <w:r>
        <w:rPr>
          <w:rFonts w:hint="eastAsia" w:ascii="仿宋" w:hAnsi="仿宋" w:eastAsia="仿宋" w:cs="仿宋"/>
          <w:color w:val="000000" w:themeColor="text1"/>
          <w:szCs w:val="21"/>
          <w:highlight w:val="none"/>
          <w:lang w:eastAsia="zh-CN"/>
          <w14:textFill>
            <w14:solidFill>
              <w14:schemeClr w14:val="tx1"/>
            </w14:solidFill>
          </w14:textFill>
        </w:rPr>
        <w:t>中标</w:t>
      </w:r>
      <w:r>
        <w:rPr>
          <w:rFonts w:hint="eastAsia" w:ascii="仿宋" w:hAnsi="仿宋" w:eastAsia="仿宋" w:cs="仿宋"/>
          <w:color w:val="000000" w:themeColor="text1"/>
          <w:szCs w:val="21"/>
          <w:highlight w:val="none"/>
          <w14:textFill>
            <w14:solidFill>
              <w14:schemeClr w14:val="tx1"/>
            </w14:solidFill>
          </w14:textFill>
        </w:rPr>
        <w:t>侯选人的情况在</w:t>
      </w:r>
      <w:r>
        <w:rPr>
          <w:rFonts w:hint="eastAsia" w:ascii="仿宋" w:hAnsi="仿宋" w:eastAsia="仿宋" w:cs="仿宋"/>
          <w:color w:val="000000" w:themeColor="text1"/>
          <w:szCs w:val="21"/>
          <w:highlight w:val="none"/>
          <w:lang w:val="en-US" w:eastAsia="zh-CN"/>
          <w14:textFill>
            <w14:solidFill>
              <w14:schemeClr w14:val="tx1"/>
            </w14:solidFill>
          </w14:textFill>
        </w:rPr>
        <w:t>克州公共资源交易网、</w:t>
      </w:r>
      <w:r>
        <w:rPr>
          <w:rFonts w:hint="eastAsia" w:ascii="仿宋" w:hAnsi="仿宋" w:eastAsia="仿宋" w:cs="仿宋"/>
          <w:color w:val="000000" w:themeColor="text1"/>
          <w:szCs w:val="21"/>
          <w:highlight w:val="none"/>
          <w:lang w:eastAsia="zh-CN"/>
          <w14:textFill>
            <w14:solidFill>
              <w14:schemeClr w14:val="tx1"/>
            </w14:solidFill>
          </w14:textFill>
        </w:rPr>
        <w:t>新疆政府采购网</w:t>
      </w:r>
      <w:r>
        <w:rPr>
          <w:rFonts w:hint="eastAsia" w:ascii="仿宋" w:hAnsi="仿宋" w:eastAsia="仿宋" w:cs="仿宋"/>
          <w:color w:val="000000" w:themeColor="text1"/>
          <w:szCs w:val="21"/>
          <w:highlight w:val="none"/>
          <w14:textFill>
            <w14:solidFill>
              <w14:schemeClr w14:val="tx1"/>
            </w14:solidFill>
          </w14:textFill>
        </w:rPr>
        <w:t>予以公示，</w:t>
      </w:r>
      <w:r>
        <w:rPr>
          <w:rFonts w:hint="eastAsia" w:ascii="仿宋" w:hAnsi="仿宋" w:eastAsia="仿宋" w:cs="仿宋"/>
          <w:b/>
          <w:bCs/>
          <w:color w:val="000000" w:themeColor="text1"/>
          <w:szCs w:val="21"/>
          <w:highlight w:val="none"/>
          <w14:textFill>
            <w14:solidFill>
              <w14:schemeClr w14:val="tx1"/>
            </w14:solidFill>
          </w14:textFill>
        </w:rPr>
        <w:t>公示期为</w:t>
      </w:r>
      <w:r>
        <w:rPr>
          <w:rFonts w:hint="eastAsia" w:ascii="仿宋" w:hAnsi="仿宋" w:eastAsia="仿宋" w:cs="仿宋"/>
          <w:b/>
          <w:bCs/>
          <w:color w:val="000000" w:themeColor="text1"/>
          <w:szCs w:val="21"/>
          <w:highlight w:val="none"/>
          <w:lang w:eastAsia="zh-CN"/>
          <w14:textFill>
            <w14:solidFill>
              <w14:schemeClr w14:val="tx1"/>
            </w14:solidFill>
          </w14:textFill>
        </w:rPr>
        <w:t>一</w:t>
      </w:r>
      <w:r>
        <w:rPr>
          <w:rFonts w:hint="eastAsia" w:ascii="仿宋" w:hAnsi="仿宋" w:eastAsia="仿宋" w:cs="仿宋"/>
          <w:b/>
          <w:bCs/>
          <w:color w:val="000000" w:themeColor="text1"/>
          <w:szCs w:val="21"/>
          <w:highlight w:val="none"/>
          <w14:textFill>
            <w14:solidFill>
              <w14:schemeClr w14:val="tx1"/>
            </w14:solidFill>
          </w14:textFill>
        </w:rPr>
        <w:t>个工作日。</w:t>
      </w:r>
      <w:r>
        <w:rPr>
          <w:rFonts w:hint="eastAsia" w:ascii="仿宋" w:hAnsi="仿宋" w:eastAsia="仿宋" w:cs="仿宋"/>
          <w:b/>
          <w:bCs/>
          <w:color w:val="000000" w:themeColor="text1"/>
          <w:szCs w:val="21"/>
          <w:highlight w:val="none"/>
          <w:lang w:eastAsia="zh-CN"/>
          <w14:textFill>
            <w14:solidFill>
              <w14:schemeClr w14:val="tx1"/>
            </w14:solidFill>
          </w14:textFill>
        </w:rPr>
        <w:t>待公示期结束后，</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采购组织机构向中标人发出中标通知书。</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shd w:val="clear" w:color="auto" w:fill="auto"/>
        <w:spacing w:before="156" w:beforeLines="50" w:line="440" w:lineRule="exact"/>
        <w:jc w:val="center"/>
        <w:outlineLvl w:val="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（六）合同的授予</w:t>
      </w:r>
      <w:bookmarkEnd w:id="21"/>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bookmarkStart w:id="22" w:name="_Toc73975842"/>
      <w:bookmarkStart w:id="23" w:name="_Toc469495730"/>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43．履约保证金</w:t>
      </w:r>
      <w:bookmarkEnd w:id="22"/>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43.1 中标供应商在签订合同后5个工作日内向采购人交纳不超过中标价10%的履约保证金（鼓励以银行、保险公司出具的履约保函形式提交；若以电汇、银行转账方式提交的，必须转到采购人的指定账户）。</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43.2 签订合同后，如中标供应商不按合同约定履约的，履约保证金不予退还，履约保证金不足以赔偿损失的，按实际损失赔偿。</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43.3 如果中标供应商在建设期内没有涉及采购人的应付而未付金额或违约行为，采购人在项目验收合格后或提前终止合同后全额无息退还履约保证金。</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bookmarkStart w:id="24" w:name="_Toc73975843"/>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44．签订合同及公告</w:t>
      </w:r>
      <w:bookmarkEnd w:id="24"/>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44.1采购人在中标通知书发出之日起30日内与中标供应商签订合同。</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44.2中标供应商拖延、拒签合同的,取消中标资格。</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44.3 采购文件、中标供应商的投标文件及评标过程中有关澄清文件等均作为签订合同的依据。所签订的合同不得对采购文件和中标供应商的投标文件的内容作实质性修改。</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44.4采购人应当自政府采购合同签订之日起2个工作日内，在省级以上财政部门指定的政府采购信息发布媒体及相关网站上公告。</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44.5采购人应当自政府采购合同签订之日起7个工作日内，将政府采购合同副本报同级人民政府财政部门备案以及采购代理机构存档。</w:t>
      </w:r>
    </w:p>
    <w:p>
      <w:pPr>
        <w:shd w:val="clear" w:color="auto" w:fill="auto"/>
        <w:adjustRightInd w:val="0"/>
        <w:snapToGrid w:val="0"/>
        <w:spacing w:line="440" w:lineRule="exact"/>
        <w:jc w:val="center"/>
        <w:outlineLvl w:val="2"/>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（七）纪律和监督</w:t>
      </w:r>
      <w:bookmarkEnd w:id="23"/>
    </w:p>
    <w:p>
      <w:pPr>
        <w:shd w:val="clear" w:color="auto" w:fill="auto"/>
        <w:spacing w:line="440" w:lineRule="exact"/>
        <w:ind w:firstLine="356"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45</w:t>
      </w:r>
      <w:r>
        <w:rPr>
          <w:rFonts w:hint="eastAsia" w:ascii="仿宋" w:hAnsi="仿宋" w:eastAsia="仿宋" w:cs="仿宋"/>
          <w:b/>
          <w:color w:val="000000" w:themeColor="text1"/>
          <w:szCs w:val="21"/>
          <w:highlight w:val="none"/>
          <w14:textFill>
            <w14:solidFill>
              <w14:schemeClr w14:val="tx1"/>
            </w14:solidFill>
          </w14:textFill>
        </w:rPr>
        <w:t xml:space="preserve">. 对招标人的纪律要求 </w:t>
      </w:r>
    </w:p>
    <w:p>
      <w:pPr>
        <w:shd w:val="clear" w:color="auto" w:fill="auto"/>
        <w:adjustRightInd w:val="0"/>
        <w:snapToGrid w:val="0"/>
        <w:spacing w:line="440" w:lineRule="exact"/>
        <w:ind w:firstLine="364"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45</w:t>
      </w:r>
      <w:r>
        <w:rPr>
          <w:rFonts w:hint="eastAsia" w:ascii="仿宋" w:hAnsi="仿宋" w:eastAsia="仿宋" w:cs="仿宋"/>
          <w:color w:val="000000" w:themeColor="text1"/>
          <w:kern w:val="10"/>
          <w:szCs w:val="21"/>
          <w:highlight w:val="none"/>
          <w14:textFill>
            <w14:solidFill>
              <w14:schemeClr w14:val="tx1"/>
            </w14:solidFill>
          </w14:textFill>
        </w:rPr>
        <w:t xml:space="preserve">.1招标人不得泄漏招标投标活动中应当保密的情况和资料，不得与投标人串通损害国家利益，社会公共利益或者他人合法权益。 </w:t>
      </w:r>
    </w:p>
    <w:p>
      <w:pPr>
        <w:shd w:val="clear" w:color="auto" w:fill="auto"/>
        <w:spacing w:line="440" w:lineRule="exact"/>
        <w:ind w:firstLine="356"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46</w:t>
      </w:r>
      <w:r>
        <w:rPr>
          <w:rFonts w:hint="eastAsia" w:ascii="仿宋" w:hAnsi="仿宋" w:eastAsia="仿宋" w:cs="仿宋"/>
          <w:b/>
          <w:color w:val="000000" w:themeColor="text1"/>
          <w:szCs w:val="21"/>
          <w:highlight w:val="none"/>
          <w14:textFill>
            <w14:solidFill>
              <w14:schemeClr w14:val="tx1"/>
            </w14:solidFill>
          </w14:textFill>
        </w:rPr>
        <w:t xml:space="preserve">. 对投标人的纪律要求 </w:t>
      </w:r>
    </w:p>
    <w:p>
      <w:pPr>
        <w:shd w:val="clear" w:color="auto" w:fill="auto"/>
        <w:adjustRightInd w:val="0"/>
        <w:snapToGrid w:val="0"/>
        <w:spacing w:line="440" w:lineRule="exact"/>
        <w:ind w:firstLine="364"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46</w:t>
      </w:r>
      <w:r>
        <w:rPr>
          <w:rFonts w:hint="eastAsia" w:ascii="仿宋" w:hAnsi="仿宋" w:eastAsia="仿宋" w:cs="仿宋"/>
          <w:color w:val="000000" w:themeColor="text1"/>
          <w:kern w:val="10"/>
          <w:szCs w:val="21"/>
          <w:highlight w:val="none"/>
          <w14:textFill>
            <w14:solidFill>
              <w14:schemeClr w14:val="tx1"/>
            </w14:solidFill>
          </w14:textFill>
        </w:rPr>
        <w:t>.1投标人不得相互串通投标或者与招标人串通投标，不得向招标人或者评标委员会成员行贿谋取中标，不得以他人名义投标或者以其他方式弄虚作假骗取中标；投标人不得以任何方式干扰、影响评标工作。</w:t>
      </w:r>
    </w:p>
    <w:p>
      <w:pPr>
        <w:shd w:val="clear" w:color="auto" w:fill="auto"/>
        <w:spacing w:line="440" w:lineRule="exact"/>
        <w:ind w:firstLine="356"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47</w:t>
      </w:r>
      <w:r>
        <w:rPr>
          <w:rFonts w:hint="eastAsia" w:ascii="仿宋" w:hAnsi="仿宋" w:eastAsia="仿宋" w:cs="仿宋"/>
          <w:b/>
          <w:color w:val="000000" w:themeColor="text1"/>
          <w:szCs w:val="21"/>
          <w:highlight w:val="none"/>
          <w14:textFill>
            <w14:solidFill>
              <w14:schemeClr w14:val="tx1"/>
            </w14:solidFill>
          </w14:textFill>
        </w:rPr>
        <w:t xml:space="preserve">. 对评标委员会成员的纪律要求 </w:t>
      </w:r>
    </w:p>
    <w:p>
      <w:pPr>
        <w:shd w:val="clear" w:color="auto" w:fill="auto"/>
        <w:adjustRightInd w:val="0"/>
        <w:snapToGrid w:val="0"/>
        <w:spacing w:line="440" w:lineRule="exact"/>
        <w:ind w:firstLine="364"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47</w:t>
      </w:r>
      <w:r>
        <w:rPr>
          <w:rFonts w:hint="eastAsia" w:ascii="仿宋" w:hAnsi="仿宋" w:eastAsia="仿宋" w:cs="仿宋"/>
          <w:color w:val="000000" w:themeColor="text1"/>
          <w:kern w:val="10"/>
          <w:szCs w:val="21"/>
          <w:highlight w:val="none"/>
          <w14:textFill>
            <w14:solidFill>
              <w14:schemeClr w14:val="tx1"/>
            </w14:solidFill>
          </w14:textFill>
        </w:rPr>
        <w:t>.1评标委员会成员不得收受他人的财物或者其他好处，不得向他人透漏对投标文件的评审和比较、中标候选人的推荐情况以及评标有关的其他情况。</w:t>
      </w:r>
    </w:p>
    <w:p>
      <w:pPr>
        <w:shd w:val="clear" w:color="auto" w:fill="auto"/>
        <w:adjustRightInd w:val="0"/>
        <w:snapToGrid w:val="0"/>
        <w:spacing w:line="440" w:lineRule="exact"/>
        <w:ind w:firstLine="364"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47</w:t>
      </w:r>
      <w:r>
        <w:rPr>
          <w:rFonts w:hint="eastAsia" w:ascii="仿宋" w:hAnsi="仿宋" w:eastAsia="仿宋" w:cs="仿宋"/>
          <w:color w:val="000000" w:themeColor="text1"/>
          <w:kern w:val="10"/>
          <w:szCs w:val="21"/>
          <w:highlight w:val="none"/>
          <w14:textFill>
            <w14:solidFill>
              <w14:schemeClr w14:val="tx1"/>
            </w14:solidFill>
          </w14:textFill>
        </w:rPr>
        <w:t xml:space="preserve">.2在评标活动中，评标委员会成员不得擅离职守，影响评标程序正常进行，不得使用第三章“评标办法”没有规定的评审因素和标准进行评标。 </w:t>
      </w:r>
    </w:p>
    <w:p>
      <w:pPr>
        <w:shd w:val="clear" w:color="auto" w:fill="auto"/>
        <w:spacing w:line="440" w:lineRule="exact"/>
        <w:ind w:firstLine="356"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48</w:t>
      </w:r>
      <w:r>
        <w:rPr>
          <w:rFonts w:hint="eastAsia" w:ascii="仿宋" w:hAnsi="仿宋" w:eastAsia="仿宋" w:cs="仿宋"/>
          <w:b/>
          <w:color w:val="000000" w:themeColor="text1"/>
          <w:szCs w:val="21"/>
          <w:highlight w:val="none"/>
          <w14:textFill>
            <w14:solidFill>
              <w14:schemeClr w14:val="tx1"/>
            </w14:solidFill>
          </w14:textFill>
        </w:rPr>
        <w:t xml:space="preserve">. 对与评标活动有关的工作人员的纪律要求 </w:t>
      </w:r>
    </w:p>
    <w:p>
      <w:pPr>
        <w:shd w:val="clear" w:color="auto" w:fill="auto"/>
        <w:adjustRightInd w:val="0"/>
        <w:snapToGrid w:val="0"/>
        <w:spacing w:line="440" w:lineRule="exact"/>
        <w:ind w:firstLine="364"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14:textFill>
            <w14:solidFill>
              <w14:schemeClr w14:val="tx1"/>
            </w14:solidFill>
          </w14:textFill>
        </w:rPr>
        <w:t>4</w:t>
      </w:r>
      <w:r>
        <w:rPr>
          <w:rFonts w:hint="eastAsia" w:ascii="仿宋" w:hAnsi="仿宋" w:eastAsia="仿宋" w:cs="仿宋"/>
          <w:color w:val="000000" w:themeColor="text1"/>
          <w:kern w:val="10"/>
          <w:szCs w:val="21"/>
          <w:highlight w:val="none"/>
          <w:lang w:val="en-US" w:eastAsia="zh-CN"/>
          <w14:textFill>
            <w14:solidFill>
              <w14:schemeClr w14:val="tx1"/>
            </w14:solidFill>
          </w14:textFill>
        </w:rPr>
        <w:t>8</w:t>
      </w:r>
      <w:r>
        <w:rPr>
          <w:rFonts w:hint="eastAsia" w:ascii="仿宋" w:hAnsi="仿宋" w:eastAsia="仿宋" w:cs="仿宋"/>
          <w:color w:val="000000" w:themeColor="text1"/>
          <w:kern w:val="10"/>
          <w:szCs w:val="21"/>
          <w:highlight w:val="none"/>
          <w14:textFill>
            <w14:solidFill>
              <w14:schemeClr w14:val="tx1"/>
            </w14:solidFill>
          </w14:textFill>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hd w:val="clear" w:color="auto" w:fill="auto"/>
        <w:spacing w:before="156" w:beforeLines="50" w:after="156" w:afterLines="50" w:line="500" w:lineRule="exact"/>
        <w:ind w:firstLine="849" w:firstLineChars="30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（八）质疑与投诉</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49．质疑和投诉</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（一）对可以质疑的采购文件提出质疑的，为收到采购文件之日或者采购文件公告期限届满之日；</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（二）对采购过程提出质疑的，为各采购程序环节结束之日；</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（三）对中标或者成交结果提出质疑的，为中标或者成交结果公告期限届满之日。</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供应商为自然人的，应当由本人签章；供应商为法人或者其他组织的，应当由法定代表人、主要负责人，或者其授权代表签章或者盖章，并加盖公章。</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49.3供应商质疑、投诉应当有明确的请求和必要的证明材料。供应商投诉的事项不得超出已质疑事项的范围。采购人及采购代理机构按《政府采购质疑和投诉办法》进行处理供应商质疑事项。</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49.4质疑供应商对采购人、采购代理机构的质疑答复不满意，或者采购人、采购代理机构未在规定期限内作出答复的，供应商可以在答复期满后15个工作日内向同级财政部门提起投诉。</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49.5供应商有下列情形之一的，采购代理机构将报告克州财政局，将其列入不良行为记录名单：</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（一）一年内三次以上质疑均查无实据的；</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（二）捏造事实或者提供虚假质疑材料的。</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（三）以非法手段取得证明材料。证据来源的合法性存在明显疑问，质疑人无法证明其取得方式合法的，视为以非法手段取得证明材料。</w:t>
      </w:r>
    </w:p>
    <w:p>
      <w:pPr>
        <w:shd w:val="clear" w:color="auto" w:fill="auto"/>
        <w:spacing w:line="360" w:lineRule="exact"/>
        <w:jc w:val="center"/>
        <w:rPr>
          <w:rFonts w:hint="eastAsia" w:ascii="仿宋" w:hAnsi="仿宋" w:eastAsia="仿宋" w:cs="仿宋"/>
          <w:color w:val="000000" w:themeColor="text1"/>
          <w:sz w:val="30"/>
          <w:szCs w:val="30"/>
          <w:highlight w:val="none"/>
          <w14:textFill>
            <w14:solidFill>
              <w14:schemeClr w14:val="tx1"/>
            </w14:solidFill>
          </w14:textFill>
        </w:rPr>
      </w:pPr>
    </w:p>
    <w:p>
      <w:pPr>
        <w:pStyle w:val="25"/>
        <w:shd w:val="clear" w:color="auto" w:fill="auto"/>
        <w:rPr>
          <w:rFonts w:hint="eastAsia" w:ascii="仿宋" w:hAnsi="仿宋" w:eastAsia="仿宋" w:cs="仿宋"/>
          <w:color w:val="000000" w:themeColor="text1"/>
          <w:sz w:val="30"/>
          <w:szCs w:val="30"/>
          <w:highlight w:val="none"/>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pStyle w:val="25"/>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pStyle w:val="25"/>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pStyle w:val="25"/>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pStyle w:val="25"/>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pStyle w:val="25"/>
        <w:ind w:left="0" w:leftChars="0" w:firstLine="0" w:firstLineChars="0"/>
        <w:rPr>
          <w:rFonts w:hint="default" w:ascii="仿宋" w:hAnsi="仿宋" w:eastAsia="仿宋" w:cs="仿宋"/>
          <w:b/>
          <w:bCs/>
          <w:color w:val="000000" w:themeColor="text1"/>
          <w:sz w:val="21"/>
          <w:szCs w:val="21"/>
          <w:highlight w:val="none"/>
          <w:lang w:val="en-US"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r>
        <w:rPr>
          <w:rFonts w:hint="eastAsia" w:ascii="仿宋" w:hAnsi="仿宋" w:eastAsia="仿宋" w:cs="仿宋"/>
          <w:b/>
          <w:bCs/>
          <w:color w:val="000000" w:themeColor="text1"/>
          <w:sz w:val="21"/>
          <w:szCs w:val="21"/>
          <w:highlight w:val="none"/>
          <w:lang w:eastAsia="zh-CN"/>
          <w14:textFill>
            <w14:solidFill>
              <w14:schemeClr w14:val="tx1"/>
            </w14:solidFill>
          </w14:textFill>
        </w:rPr>
        <w:t>附件：</w:t>
      </w:r>
    </w:p>
    <w:p>
      <w:pPr>
        <w:shd w:val="clear" w:color="auto" w:fill="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政府采购投诉书（范本）、质疑函范本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政府采购投诉书（范本）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投诉人：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法定代表人：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电话：</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委托代理人姓名：</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职务：</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住址：</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被投诉人：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法定代表人：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电话：</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6"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6"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我公司参加了</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年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日被投诉人组织的</w:t>
      </w:r>
      <w:r>
        <w:rPr>
          <w:rFonts w:hint="eastAsia" w:ascii="仿宋" w:hAnsi="仿宋" w:eastAsia="仿宋" w:cs="仿宋"/>
          <w:color w:val="000000" w:themeColor="text1"/>
          <w:sz w:val="24"/>
          <w:szCs w:val="24"/>
          <w:highlight w:val="none"/>
          <w:u w:val="single"/>
          <w14:textFill>
            <w14:solidFill>
              <w14:schemeClr w14:val="tx1"/>
            </w14:solidFill>
          </w14:textFill>
        </w:rPr>
        <w:t>（采购人）（项目名称）（项目编号）</w:t>
      </w:r>
      <w:r>
        <w:rPr>
          <w:rFonts w:hint="eastAsia" w:ascii="仿宋" w:hAnsi="仿宋" w:eastAsia="仿宋" w:cs="仿宋"/>
          <w:color w:val="000000" w:themeColor="text1"/>
          <w:sz w:val="24"/>
          <w:szCs w:val="24"/>
          <w:highlight w:val="none"/>
          <w14:textFill>
            <w14:solidFill>
              <w14:schemeClr w14:val="tx1"/>
            </w14:solidFill>
          </w14:textFill>
        </w:rPr>
        <w:t>的采购活动，我公司认为该项目的</w:t>
      </w:r>
      <w:r>
        <w:rPr>
          <w:rFonts w:hint="eastAsia" w:ascii="仿宋" w:hAnsi="仿宋" w:eastAsia="仿宋" w:cs="仿宋"/>
          <w:color w:val="000000" w:themeColor="text1"/>
          <w:sz w:val="24"/>
          <w:szCs w:val="24"/>
          <w:highlight w:val="none"/>
          <w:u w:val="single"/>
          <w14:textFill>
            <w14:solidFill>
              <w14:schemeClr w14:val="tx1"/>
            </w14:solidFill>
          </w14:textFill>
        </w:rPr>
        <w:t>（采购文件/采购过程/中标（</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中标</w:t>
      </w:r>
      <w:r>
        <w:rPr>
          <w:rFonts w:hint="eastAsia" w:ascii="仿宋" w:hAnsi="仿宋" w:eastAsia="仿宋" w:cs="仿宋"/>
          <w:color w:val="000000" w:themeColor="text1"/>
          <w:sz w:val="24"/>
          <w:szCs w:val="24"/>
          <w:highlight w:val="none"/>
          <w:u w:val="single"/>
          <w14:textFill>
            <w14:solidFill>
              <w14:schemeClr w14:val="tx1"/>
            </w14:solidFill>
          </w14:textFill>
        </w:rPr>
        <w:t>）结果）</w:t>
      </w:r>
      <w:r>
        <w:rPr>
          <w:rFonts w:hint="eastAsia" w:ascii="仿宋" w:hAnsi="仿宋" w:eastAsia="仿宋" w:cs="仿宋"/>
          <w:color w:val="000000" w:themeColor="text1"/>
          <w:sz w:val="24"/>
          <w:szCs w:val="24"/>
          <w:highlight w:val="none"/>
          <w14:textFill>
            <w14:solidFill>
              <w14:schemeClr w14:val="tx1"/>
            </w14:solidFill>
          </w14:textFill>
        </w:rPr>
        <w:t>损害了我公司权益，对此，我公司于</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日向</w:t>
      </w:r>
      <w:r>
        <w:rPr>
          <w:rFonts w:hint="eastAsia" w:ascii="仿宋" w:hAnsi="仿宋" w:eastAsia="仿宋" w:cs="仿宋"/>
          <w:color w:val="000000" w:themeColor="text1"/>
          <w:sz w:val="24"/>
          <w:szCs w:val="24"/>
          <w:highlight w:val="none"/>
          <w:u w:val="single"/>
          <w14:textFill>
            <w14:solidFill>
              <w14:schemeClr w14:val="tx1"/>
            </w14:solidFill>
          </w14:textFill>
        </w:rPr>
        <w:t>（采购人或者政府采购代理机构）</w:t>
      </w:r>
      <w:r>
        <w:rPr>
          <w:rFonts w:hint="eastAsia" w:ascii="仿宋" w:hAnsi="仿宋" w:eastAsia="仿宋" w:cs="仿宋"/>
          <w:color w:val="000000" w:themeColor="text1"/>
          <w:sz w:val="24"/>
          <w:szCs w:val="24"/>
          <w:highlight w:val="none"/>
          <w14:textFill>
            <w14:solidFill>
              <w14:schemeClr w14:val="tx1"/>
            </w14:solidFill>
          </w14:textFill>
        </w:rPr>
        <w:t>提出了质疑，</w:t>
      </w:r>
      <w:r>
        <w:rPr>
          <w:rFonts w:hint="eastAsia" w:ascii="仿宋" w:hAnsi="仿宋" w:eastAsia="仿宋" w:cs="仿宋"/>
          <w:color w:val="000000" w:themeColor="text1"/>
          <w:sz w:val="24"/>
          <w:szCs w:val="24"/>
          <w:highlight w:val="none"/>
          <w:u w:val="single"/>
          <w14:textFill>
            <w14:solidFill>
              <w14:schemeClr w14:val="tx1"/>
            </w14:solidFill>
          </w14:textFill>
        </w:rPr>
        <w:t>（其于    年  月  日作出书面答复，因对其作出的答复不满意）/（被质疑人未在法定期内予以答复，按照政府采购有关规定）</w:t>
      </w:r>
      <w:r>
        <w:rPr>
          <w:rFonts w:hint="eastAsia" w:ascii="仿宋" w:hAnsi="仿宋" w:eastAsia="仿宋" w:cs="仿宋"/>
          <w:color w:val="000000" w:themeColor="text1"/>
          <w:sz w:val="24"/>
          <w:szCs w:val="24"/>
          <w:highlight w:val="none"/>
          <w14:textFill>
            <w14:solidFill>
              <w14:schemeClr w14:val="tx1"/>
            </w14:solidFill>
          </w14:textFill>
        </w:rPr>
        <w:t>，现向贵机关提起投诉：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6"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u w:val="single"/>
          <w14:textFill>
            <w14:solidFill>
              <w14:schemeClr w14:val="tx1"/>
            </w14:solidFill>
          </w14:textFill>
        </w:rPr>
        <w:t>具体的投诉事项及事实依据；</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6"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u w:val="single"/>
          <w14:textFill>
            <w14:solidFill>
              <w14:schemeClr w14:val="tx1"/>
            </w14:solidFill>
          </w14:textFill>
        </w:rPr>
        <w:t>质疑和质疑答复情况简要描述；</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6"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u w:val="single"/>
          <w14:textFill>
            <w14:solidFill>
              <w14:schemeClr w14:val="tx1"/>
            </w14:solidFill>
          </w14:textFill>
        </w:rPr>
        <w:t>投诉请求。</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1.质疑书和质疑答复书；</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2.证据材料（需注明证据来源），证人的姓名、住址和联系方式等；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3.营业执照；</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4.法定代表人身份证明函</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5.法定代表人授权委托书（包含法定代表人和委托代理人的身份证复印件）；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6.政府采购监管部门认为应当提供的其它材料。</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投诉供应商：（盖章）</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法定代表人（或主要负责人）：（</w:t>
      </w:r>
      <w:r>
        <w:rPr>
          <w:rFonts w:hint="eastAsia" w:ascii="仿宋" w:hAnsi="仿宋" w:eastAsia="仿宋" w:cs="仿宋"/>
          <w:color w:val="000000" w:themeColor="text1"/>
          <w:sz w:val="24"/>
          <w:szCs w:val="24"/>
          <w:highlight w:val="none"/>
          <w:lang w:eastAsia="zh-CN"/>
          <w14:textFill>
            <w14:solidFill>
              <w14:schemeClr w14:val="tx1"/>
            </w14:solidFill>
          </w14:textFill>
        </w:rPr>
        <w:t>签章</w:t>
      </w:r>
      <w:r>
        <w:rPr>
          <w:rFonts w:hint="eastAsia" w:ascii="仿宋" w:hAnsi="仿宋" w:eastAsia="仿宋" w:cs="仿宋"/>
          <w:color w:val="000000" w:themeColor="text1"/>
          <w:sz w:val="24"/>
          <w:szCs w:val="24"/>
          <w:highlight w:val="none"/>
          <w14:textFill>
            <w14:solidFill>
              <w14:schemeClr w14:val="tx1"/>
            </w14:solidFill>
          </w14:textFill>
        </w:rPr>
        <w:t>）</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888" w:firstLineChars="16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p>
    <w:p>
      <w:pPr>
        <w:pStyle w:val="5"/>
        <w:rPr>
          <w:rFonts w:hint="eastAsia" w:ascii="仿宋" w:hAnsi="仿宋" w:eastAsia="仿宋" w:cs="仿宋"/>
          <w:b/>
          <w:bCs/>
          <w:color w:val="000000" w:themeColor="text1"/>
          <w:sz w:val="32"/>
          <w:szCs w:val="32"/>
          <w:highlight w:val="none"/>
          <w14:textFill>
            <w14:solidFill>
              <w14:schemeClr w14:val="tx1"/>
            </w14:solidFill>
          </w14:textFill>
        </w:rPr>
      </w:pPr>
      <w:bookmarkStart w:id="25" w:name="_Toc17515"/>
    </w:p>
    <w:p>
      <w:pPr>
        <w:rPr>
          <w:rFonts w:hint="eastAsia"/>
        </w:rPr>
      </w:pPr>
    </w:p>
    <w:p>
      <w:pPr>
        <w:shd w:val="clear" w:color="auto" w:fill="auto"/>
        <w:ind w:left="7951" w:hanging="5814" w:hangingChars="1800"/>
        <w:jc w:val="center"/>
        <w:outlineLvl w:val="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投诉相关说明</w:t>
      </w:r>
      <w:bookmarkEnd w:id="25"/>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投诉人应当满足《政府采购法》、《政府采购法实施条例》和《政府采购供应商投诉处理办法》的相关规定。</w:t>
      </w:r>
    </w:p>
    <w:p>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ind w:left="4146" w:leftChars="304" w:hanging="3408" w:hangingChars="1600"/>
        <w:textAlignment w:val="auto"/>
        <w:outlineLvl w:val="0"/>
        <w:rPr>
          <w:rFonts w:hint="eastAsia" w:ascii="仿宋" w:hAnsi="仿宋" w:eastAsia="仿宋" w:cs="仿宋"/>
          <w:b/>
          <w:bCs/>
          <w:color w:val="000000" w:themeColor="text1"/>
          <w:sz w:val="21"/>
          <w:szCs w:val="21"/>
          <w:highlight w:val="none"/>
          <w14:textFill>
            <w14:solidFill>
              <w14:schemeClr w14:val="tx1"/>
            </w14:solidFill>
          </w14:textFill>
        </w:rPr>
      </w:pPr>
      <w:bookmarkStart w:id="26" w:name="_Toc11499"/>
      <w:r>
        <w:rPr>
          <w:rFonts w:hint="eastAsia" w:ascii="仿宋" w:hAnsi="仿宋" w:eastAsia="仿宋" w:cs="仿宋"/>
          <w:b/>
          <w:bCs/>
          <w:color w:val="000000" w:themeColor="text1"/>
          <w:sz w:val="21"/>
          <w:szCs w:val="21"/>
          <w:highlight w:val="none"/>
          <w14:textFill>
            <w14:solidFill>
              <w14:schemeClr w14:val="tx1"/>
            </w14:solidFill>
          </w14:textFill>
        </w:rPr>
        <w:t>质疑前置及时间要求</w:t>
      </w:r>
      <w:bookmarkEnd w:id="26"/>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《中华人民共和国政府采购法》</w:t>
      </w:r>
      <w:r>
        <w:rPr>
          <w:rFonts w:hint="eastAsia" w:ascii="仿宋" w:hAnsi="仿宋" w:eastAsia="仿宋" w:cs="仿宋"/>
          <w:color w:val="000000" w:themeColor="text1"/>
          <w:kern w:val="0"/>
          <w:sz w:val="24"/>
          <w:szCs w:val="24"/>
          <w:highlight w:val="none"/>
          <w:shd w:val="clear" w:color="auto" w:fill="FFFFFF"/>
          <w14:textFill>
            <w14:solidFill>
              <w14:schemeClr w14:val="tx1"/>
            </w14:solidFill>
          </w14:textFill>
        </w:rPr>
        <w:t>第五十一条：供应商对政府采购活动事项有疑问的，可以向采购人提出询问，采购人应当及时作出答复，但答复的内容不得涉及商业秘密。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14:textFill>
            <w14:solidFill>
              <w14:schemeClr w14:val="tx1"/>
            </w14:solidFill>
          </w14:textFill>
        </w:rPr>
        <w:t xml:space="preserve"> 第五十二条：供应商认为采购文件、采购过程和中标、</w:t>
      </w:r>
      <w:r>
        <w:rPr>
          <w:rFonts w:hint="eastAsia" w:ascii="仿宋" w:hAnsi="仿宋" w:eastAsia="仿宋" w:cs="仿宋"/>
          <w:color w:val="000000" w:themeColor="text1"/>
          <w:kern w:val="0"/>
          <w:sz w:val="24"/>
          <w:szCs w:val="24"/>
          <w:highlight w:val="none"/>
          <w:shd w:val="clear" w:color="auto" w:fill="FFFFFF"/>
          <w:lang w:eastAsia="zh-CN"/>
          <w14:textFill>
            <w14:solidFill>
              <w14:schemeClr w14:val="tx1"/>
            </w14:solidFill>
          </w14:textFill>
        </w:rPr>
        <w:t>中标</w:t>
      </w:r>
      <w:r>
        <w:rPr>
          <w:rFonts w:hint="eastAsia" w:ascii="仿宋" w:hAnsi="仿宋" w:eastAsia="仿宋" w:cs="仿宋"/>
          <w:color w:val="000000" w:themeColor="text1"/>
          <w:kern w:val="0"/>
          <w:sz w:val="24"/>
          <w:szCs w:val="24"/>
          <w:highlight w:val="none"/>
          <w:shd w:val="clear" w:color="auto" w:fill="FFFFFF"/>
          <w14:textFill>
            <w14:solidFill>
              <w14:schemeClr w14:val="tx1"/>
            </w14:solidFill>
          </w14:textFill>
        </w:rPr>
        <w:t>结果使自己的权益受到损害的，可以在知道或者应知其权益受到损害之日起七个工作日内，以书面形式向采购人提出质疑。</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14:textFill>
            <w14:solidFill>
              <w14:schemeClr w14:val="tx1"/>
            </w14:solidFill>
          </w14:textFill>
        </w:rPr>
        <w:t xml:space="preserve"> 第五十三条：采购人应当在收到供应商的书面质疑后七个工作日内作出答复，并以书面形式通知质疑供应商和其他有关供应商，但答复的内容不得涉及商业秘密。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14:textFill>
            <w14:solidFill>
              <w14:schemeClr w14:val="tx1"/>
            </w14:solidFill>
          </w14:textFill>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14:textFill>
            <w14:solidFill>
              <w14:schemeClr w14:val="tx1"/>
            </w14:solidFill>
          </w14:textFill>
        </w:rPr>
        <w:t xml:space="preserve">  《政府采购实施条例》第五十五条：供应商质疑、投诉应当有明确的请求和必要的证明材料。供应商投诉的事项不得超出质疑事项的范围。</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b/>
          <w:bCs/>
          <w:color w:val="000000" w:themeColor="text1"/>
          <w:sz w:val="21"/>
          <w:szCs w:val="21"/>
          <w:highlight w:val="none"/>
          <w14:textFill>
            <w14:solidFill>
              <w14:schemeClr w14:val="tx1"/>
            </w14:solidFill>
          </w14:textFill>
        </w:rPr>
        <w:t xml:space="preserve">   </w:t>
      </w:r>
      <w:bookmarkStart w:id="27" w:name="_Toc13508"/>
      <w:r>
        <w:rPr>
          <w:rFonts w:hint="eastAsia" w:ascii="仿宋" w:hAnsi="仿宋" w:eastAsia="仿宋" w:cs="仿宋"/>
          <w:b/>
          <w:bCs/>
          <w:color w:val="000000" w:themeColor="text1"/>
          <w:sz w:val="21"/>
          <w:szCs w:val="21"/>
          <w:highlight w:val="none"/>
          <w14:textFill>
            <w14:solidFill>
              <w14:schemeClr w14:val="tx1"/>
            </w14:solidFill>
          </w14:textFill>
        </w:rPr>
        <w:t>二、书面方式</w:t>
      </w:r>
      <w:bookmarkEnd w:id="27"/>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政府采购供应商投诉处理办法》第八条：投诉人投诉</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时，应当提交投诉书，并按照被投诉人以及与投诉事项有关的供应商数量提供投诉书的副本。</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4374" w:hangingChars="18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投诉书应当包括下列主要内容：</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投诉人和被投诉人的名称、地址、电话等；</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具体的投诉事项及事实依据；</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质疑和质疑答复情况及相关证明材料；</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提起投诉的日期。</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投诉书应当署名。投诉人为自然人，应当由本人</w:t>
      </w:r>
      <w:r>
        <w:rPr>
          <w:rFonts w:hint="eastAsia" w:ascii="仿宋" w:hAnsi="仿宋" w:eastAsia="仿宋" w:cs="仿宋"/>
          <w:color w:val="000000" w:themeColor="text1"/>
          <w:sz w:val="24"/>
          <w:szCs w:val="24"/>
          <w:highlight w:val="none"/>
          <w:lang w:eastAsia="zh-CN"/>
          <w14:textFill>
            <w14:solidFill>
              <w14:schemeClr w14:val="tx1"/>
            </w14:solidFill>
          </w14:textFill>
        </w:rPr>
        <w:t>签章</w:t>
      </w:r>
      <w:r>
        <w:rPr>
          <w:rFonts w:hint="eastAsia" w:ascii="仿宋" w:hAnsi="仿宋" w:eastAsia="仿宋" w:cs="仿宋"/>
          <w:color w:val="000000" w:themeColor="text1"/>
          <w:sz w:val="24"/>
          <w:szCs w:val="24"/>
          <w:highlight w:val="none"/>
          <w14:textFill>
            <w14:solidFill>
              <w14:schemeClr w14:val="tx1"/>
            </w14:solidFill>
          </w14:textFill>
        </w:rPr>
        <w:t>；投诉人为法人或者其他组织的，应当由法定代表人或者主要负责人</w:t>
      </w:r>
      <w:r>
        <w:rPr>
          <w:rFonts w:hint="eastAsia" w:ascii="仿宋" w:hAnsi="仿宋" w:eastAsia="仿宋" w:cs="仿宋"/>
          <w:color w:val="000000" w:themeColor="text1"/>
          <w:sz w:val="24"/>
          <w:szCs w:val="24"/>
          <w:highlight w:val="none"/>
          <w:lang w:eastAsia="zh-CN"/>
          <w14:textFill>
            <w14:solidFill>
              <w14:schemeClr w14:val="tx1"/>
            </w14:solidFill>
          </w14:textFill>
        </w:rPr>
        <w:t>签章</w:t>
      </w:r>
      <w:r>
        <w:rPr>
          <w:rFonts w:hint="eastAsia" w:ascii="仿宋" w:hAnsi="仿宋" w:eastAsia="仿宋" w:cs="仿宋"/>
          <w:color w:val="000000" w:themeColor="text1"/>
          <w:sz w:val="24"/>
          <w:szCs w:val="24"/>
          <w:highlight w:val="none"/>
          <w14:textFill>
            <w14:solidFill>
              <w14:schemeClr w14:val="tx1"/>
            </w14:solidFill>
          </w14:textFill>
        </w:rPr>
        <w:t>并加盖公章。</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《政府采购供应商投诉处理办法》第十条：投诉人提起投诉应当符合下列条件：</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投诉人是参与所投诉政府采购活动的供应商；</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提起投诉诉前已依法进行质疑；</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投诉书内容符合本办法的规定；</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在投诉有效期内提起投诉；</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属于本级财政部门管辖；</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同一投诉事项未经财政部门投诉处理；</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国务院财政部门规定的其他条件。</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p>
    <w:p>
      <w:pPr>
        <w:shd w:val="clear" w:color="auto" w:fill="auto"/>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b/>
          <w:bCs/>
          <w:color w:val="000000" w:themeColor="text1"/>
          <w:sz w:val="21"/>
          <w:szCs w:val="21"/>
          <w:highlight w:val="none"/>
          <w14:textFill>
            <w14:solidFill>
              <w14:schemeClr w14:val="tx1"/>
            </w14:solidFill>
          </w14:textFill>
        </w:rPr>
        <w:t xml:space="preserve">   </w:t>
      </w:r>
      <w:bookmarkStart w:id="28" w:name="_Toc5978"/>
      <w:r>
        <w:rPr>
          <w:rFonts w:hint="eastAsia" w:ascii="仿宋" w:hAnsi="仿宋" w:eastAsia="仿宋" w:cs="仿宋"/>
          <w:b/>
          <w:bCs/>
          <w:color w:val="000000" w:themeColor="text1"/>
          <w:sz w:val="21"/>
          <w:szCs w:val="21"/>
          <w:highlight w:val="none"/>
          <w14:textFill>
            <w14:solidFill>
              <w14:schemeClr w14:val="tx1"/>
            </w14:solidFill>
          </w14:textFill>
        </w:rPr>
        <w:t>三、虚假、恶意投诉法律责任</w:t>
      </w:r>
      <w:bookmarkEnd w:id="28"/>
    </w:p>
    <w:p>
      <w:pPr>
        <w:keepNext w:val="0"/>
        <w:keepLines w:val="0"/>
        <w:pageBreakBefore w:val="0"/>
        <w:shd w:val="clear" w:color="auto" w:fill="auto"/>
        <w:kinsoku/>
        <w:wordWrap/>
        <w:overflowPunct/>
        <w:topLinePunct w:val="0"/>
        <w:autoSpaceDE/>
        <w:autoSpaceDN/>
        <w:bidi w:val="0"/>
        <w:adjustRightInd/>
        <w:snapToGrid/>
        <w:spacing w:line="400" w:lineRule="exact"/>
        <w:ind w:firstLine="486"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第七十三条：供应商捏造实施、提供虚假材料或者以非法手段取得证明材料进行投诉的，由财政部门列入不良行为记录名单，禁止其1至3年内参加政府采购活动。</w:t>
      </w:r>
    </w:p>
    <w:p>
      <w:pPr>
        <w:keepNext w:val="0"/>
        <w:keepLines w:val="0"/>
        <w:pageBreakBefore w:val="0"/>
        <w:shd w:val="clear" w:color="auto" w:fill="auto"/>
        <w:kinsoku/>
        <w:wordWrap/>
        <w:overflowPunct/>
        <w:topLinePunct w:val="0"/>
        <w:autoSpaceDE/>
        <w:autoSpaceDN/>
        <w:bidi w:val="0"/>
        <w:adjustRightInd/>
        <w:snapToGrid/>
        <w:spacing w:line="400" w:lineRule="exact"/>
        <w:ind w:firstLine="486"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《政府采购供应商投诉处理办法》第二十六条：投诉人有下列情形之一的，属于虚假、恶意投诉，财政部门应当驳回投诉，将其列入不良行为记录名单，并依法予以处罚：</w:t>
      </w:r>
    </w:p>
    <w:p>
      <w:pPr>
        <w:keepNext w:val="0"/>
        <w:keepLines w:val="0"/>
        <w:pageBreakBefore w:val="0"/>
        <w:shd w:val="clear" w:color="auto" w:fill="auto"/>
        <w:kinsoku/>
        <w:wordWrap/>
        <w:overflowPunct/>
        <w:topLinePunct w:val="0"/>
        <w:autoSpaceDE/>
        <w:autoSpaceDN/>
        <w:bidi w:val="0"/>
        <w:adjustRightInd/>
        <w:snapToGrid/>
        <w:spacing w:line="400" w:lineRule="exact"/>
        <w:ind w:firstLine="486"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（一）1年内3次以上投诉均查无实据的；</w:t>
      </w:r>
    </w:p>
    <w:p>
      <w:pPr>
        <w:keepNext w:val="0"/>
        <w:keepLines w:val="0"/>
        <w:pageBreakBefore w:val="0"/>
        <w:shd w:val="clear" w:color="auto" w:fill="auto"/>
        <w:kinsoku/>
        <w:wordWrap/>
        <w:overflowPunct/>
        <w:topLinePunct w:val="0"/>
        <w:autoSpaceDE/>
        <w:autoSpaceDN/>
        <w:bidi w:val="0"/>
        <w:adjustRightInd/>
        <w:snapToGrid/>
        <w:spacing w:line="400" w:lineRule="exact"/>
        <w:ind w:firstLine="486"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（二）捏造事实或者提供虚假投诉材料的。</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p>
    <w:p>
      <w:pPr>
        <w:shd w:val="clear" w:color="auto" w:fill="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递交投诉书地址：</w:t>
      </w:r>
      <w:r>
        <w:rPr>
          <w:rFonts w:hint="eastAsia" w:ascii="仿宋" w:hAnsi="仿宋" w:eastAsia="仿宋" w:cs="仿宋"/>
          <w:color w:val="000000" w:themeColor="text1"/>
          <w:sz w:val="24"/>
          <w:szCs w:val="24"/>
          <w:highlight w:val="none"/>
          <w:lang w:val="en-US" w:eastAsia="zh-CN"/>
          <w14:textFill>
            <w14:solidFill>
              <w14:schemeClr w14:val="tx1"/>
            </w14:solidFill>
          </w14:textFill>
        </w:rPr>
        <w:t>克州政府采购办</w:t>
      </w:r>
      <w:r>
        <w:rPr>
          <w:rFonts w:hint="eastAsia" w:ascii="仿宋" w:hAnsi="仿宋" w:eastAsia="仿宋" w:cs="仿宋"/>
          <w:color w:val="000000" w:themeColor="text1"/>
          <w:sz w:val="24"/>
          <w:szCs w:val="24"/>
          <w:highlight w:val="none"/>
          <w14:textFill>
            <w14:solidFill>
              <w14:schemeClr w14:val="tx1"/>
            </w14:solidFill>
          </w14:textFill>
        </w:rPr>
        <w:t>监管办公室</w:t>
      </w:r>
    </w:p>
    <w:p>
      <w:pPr>
        <w:shd w:val="clear" w:color="auto" w:fill="auto"/>
        <w:jc w:val="right"/>
        <w:rPr>
          <w:rFonts w:hint="eastAsia" w:ascii="仿宋" w:hAnsi="仿宋" w:eastAsia="仿宋" w:cs="仿宋"/>
          <w:color w:val="000000" w:themeColor="text1"/>
          <w:sz w:val="32"/>
          <w:szCs w:val="32"/>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0"/>
        <w:rPr>
          <w:rFonts w:hint="eastAsia" w:ascii="仿宋" w:hAnsi="仿宋" w:eastAsia="仿宋" w:cs="仿宋"/>
          <w:b/>
          <w:bCs/>
          <w:color w:val="000000" w:themeColor="text1"/>
          <w:sz w:val="32"/>
          <w:szCs w:val="32"/>
          <w:highlight w:val="none"/>
          <w14:textFill>
            <w14:solidFill>
              <w14:schemeClr w14:val="tx1"/>
            </w14:solidFill>
          </w14:textFill>
        </w:rPr>
      </w:pPr>
      <w:bookmarkStart w:id="29" w:name="_Toc1697"/>
    </w:p>
    <w:p>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0"/>
        <w:rPr>
          <w:rFonts w:hint="eastAsia" w:ascii="仿宋" w:hAnsi="仿宋" w:eastAsia="仿宋" w:cs="仿宋"/>
          <w:b/>
          <w:bCs/>
          <w:color w:val="000000" w:themeColor="text1"/>
          <w:sz w:val="32"/>
          <w:szCs w:val="32"/>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0"/>
        <w:rPr>
          <w:rFonts w:hint="eastAsia" w:ascii="仿宋" w:hAnsi="仿宋" w:eastAsia="仿宋" w:cs="仿宋"/>
          <w:b/>
          <w:bCs/>
          <w:color w:val="000000" w:themeColor="text1"/>
          <w:sz w:val="32"/>
          <w:szCs w:val="32"/>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0"/>
        <w:rPr>
          <w:rFonts w:hint="eastAsia" w:ascii="仿宋" w:hAnsi="仿宋" w:eastAsia="仿宋" w:cs="仿宋"/>
          <w:b/>
          <w:bCs/>
          <w:color w:val="000000" w:themeColor="text1"/>
          <w:sz w:val="32"/>
          <w:szCs w:val="32"/>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0"/>
        <w:rPr>
          <w:rFonts w:hint="eastAsia" w:ascii="仿宋" w:hAnsi="仿宋" w:eastAsia="仿宋" w:cs="仿宋"/>
          <w:b/>
          <w:bCs/>
          <w:color w:val="000000" w:themeColor="text1"/>
          <w:sz w:val="32"/>
          <w:szCs w:val="32"/>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0"/>
        <w:rPr>
          <w:rFonts w:hint="eastAsia" w:ascii="仿宋" w:hAnsi="仿宋" w:eastAsia="仿宋" w:cs="仿宋"/>
          <w:b/>
          <w:bCs/>
          <w:color w:val="000000" w:themeColor="text1"/>
          <w:sz w:val="32"/>
          <w:szCs w:val="32"/>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0"/>
        <w:rPr>
          <w:rFonts w:hint="eastAsia" w:ascii="仿宋" w:hAnsi="仿宋" w:eastAsia="仿宋" w:cs="仿宋"/>
          <w:b/>
          <w:bCs/>
          <w:color w:val="000000" w:themeColor="text1"/>
          <w:sz w:val="32"/>
          <w:szCs w:val="32"/>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0"/>
        <w:rPr>
          <w:rFonts w:hint="eastAsia" w:ascii="仿宋" w:hAnsi="仿宋" w:eastAsia="仿宋" w:cs="仿宋"/>
          <w:b/>
          <w:bCs/>
          <w:color w:val="000000" w:themeColor="text1"/>
          <w:sz w:val="32"/>
          <w:szCs w:val="32"/>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0"/>
        <w:rPr>
          <w:rFonts w:hint="eastAsia" w:ascii="仿宋" w:hAnsi="仿宋" w:eastAsia="仿宋" w:cs="仿宋"/>
          <w:b/>
          <w:bCs/>
          <w:color w:val="000000" w:themeColor="text1"/>
          <w:sz w:val="32"/>
          <w:szCs w:val="32"/>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仿宋" w:hAnsi="仿宋" w:eastAsia="仿宋" w:cs="仿宋"/>
          <w:b/>
          <w:bCs/>
          <w:color w:val="000000" w:themeColor="text1"/>
          <w:sz w:val="32"/>
          <w:szCs w:val="32"/>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质疑函范本</w:t>
      </w:r>
      <w:bookmarkEnd w:id="29"/>
    </w:p>
    <w:p>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6" w:firstLineChars="200"/>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30" w:name="_Toc9061"/>
      <w:r>
        <w:rPr>
          <w:rFonts w:hint="eastAsia" w:ascii="仿宋" w:hAnsi="仿宋" w:eastAsia="仿宋" w:cs="仿宋"/>
          <w:bCs/>
          <w:color w:val="000000" w:themeColor="text1"/>
          <w:sz w:val="21"/>
          <w:szCs w:val="21"/>
          <w:highlight w:val="none"/>
          <w14:textFill>
            <w14:solidFill>
              <w14:schemeClr w14:val="tx1"/>
            </w14:solidFill>
          </w14:textFill>
        </w:rPr>
        <w:t>一、质疑供应商基本信息</w:t>
      </w:r>
      <w:bookmarkEnd w:id="30"/>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质疑供应商：</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地址：</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邮编：</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联系人：</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联系电话：</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授权代表：</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联系电话：</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地址： </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邮编：</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31" w:name="_Toc15938"/>
      <w:r>
        <w:rPr>
          <w:rFonts w:hint="eastAsia" w:ascii="仿宋" w:hAnsi="仿宋" w:eastAsia="仿宋" w:cs="仿宋"/>
          <w:bCs/>
          <w:color w:val="000000" w:themeColor="text1"/>
          <w:sz w:val="21"/>
          <w:szCs w:val="21"/>
          <w:highlight w:val="none"/>
          <w14:textFill>
            <w14:solidFill>
              <w14:schemeClr w14:val="tx1"/>
            </w14:solidFill>
          </w14:textFill>
        </w:rPr>
        <w:t>二、质疑项目基本情况</w:t>
      </w:r>
      <w:bookmarkEnd w:id="31"/>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质疑项目的名称：</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质疑项目的编号：</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包号：</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采购人名称：</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采购文件获取日期：</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32" w:name="_Toc18271"/>
      <w:r>
        <w:rPr>
          <w:rFonts w:hint="eastAsia" w:ascii="仿宋" w:hAnsi="仿宋" w:eastAsia="仿宋" w:cs="仿宋"/>
          <w:bCs/>
          <w:color w:val="000000" w:themeColor="text1"/>
          <w:sz w:val="21"/>
          <w:szCs w:val="21"/>
          <w:highlight w:val="none"/>
          <w14:textFill>
            <w14:solidFill>
              <w14:schemeClr w14:val="tx1"/>
            </w14:solidFill>
          </w14:textFill>
        </w:rPr>
        <w:t>三、质疑事项具体内容</w:t>
      </w:r>
      <w:bookmarkEnd w:id="32"/>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质疑事项1：</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事实依据：</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法律依据：</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质疑事项2</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33" w:name="_Toc22365"/>
      <w:r>
        <w:rPr>
          <w:rFonts w:hint="eastAsia" w:ascii="仿宋" w:hAnsi="仿宋" w:eastAsia="仿宋" w:cs="仿宋"/>
          <w:bCs/>
          <w:color w:val="000000" w:themeColor="text1"/>
          <w:sz w:val="21"/>
          <w:szCs w:val="21"/>
          <w:highlight w:val="none"/>
          <w14:textFill>
            <w14:solidFill>
              <w14:schemeClr w14:val="tx1"/>
            </w14:solidFill>
          </w14:textFill>
        </w:rPr>
        <w:t>四、与质疑事项相关的质疑请求</w:t>
      </w:r>
      <w:bookmarkEnd w:id="33"/>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请求：</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spacing w:line="540" w:lineRule="exact"/>
        <w:ind w:firstLine="426"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签章</w:t>
      </w:r>
      <w:r>
        <w:rPr>
          <w:rFonts w:hint="eastAsia" w:ascii="仿宋" w:hAnsi="仿宋" w:eastAsia="仿宋" w:cs="仿宋"/>
          <w:color w:val="000000" w:themeColor="text1"/>
          <w:sz w:val="21"/>
          <w:szCs w:val="21"/>
          <w:highlight w:val="none"/>
          <w14:textFill>
            <w14:solidFill>
              <w14:schemeClr w14:val="tx1"/>
            </w14:solidFill>
          </w14:textFill>
        </w:rPr>
        <w:t xml:space="preserve">(签章)：                   公章：                      </w:t>
      </w:r>
    </w:p>
    <w:p>
      <w:pPr>
        <w:keepNext w:val="0"/>
        <w:keepLines w:val="0"/>
        <w:pageBreakBefore w:val="0"/>
        <w:widowControl w:val="0"/>
        <w:shd w:val="clear" w:color="auto" w:fill="auto"/>
        <w:kinsoku/>
        <w:wordWrap/>
        <w:overflowPunct/>
        <w:topLinePunct w:val="0"/>
        <w:autoSpaceDE/>
        <w:autoSpaceDN/>
        <w:bidi w:val="0"/>
        <w:spacing w:line="540" w:lineRule="exact"/>
        <w:ind w:firstLine="426" w:firstLineChars="200"/>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日期：    </w:t>
      </w:r>
    </w:p>
    <w:p>
      <w:pPr>
        <w:keepNext w:val="0"/>
        <w:keepLines w:val="0"/>
        <w:pageBreakBefore w:val="0"/>
        <w:widowControl w:val="0"/>
        <w:shd w:val="clear" w:color="auto" w:fill="auto"/>
        <w:kinsoku/>
        <w:wordWrap/>
        <w:overflowPunct/>
        <w:topLinePunct w:val="0"/>
        <w:autoSpaceDE/>
        <w:autoSpaceDN/>
        <w:bidi w:val="0"/>
        <w:spacing w:line="540" w:lineRule="exact"/>
        <w:ind w:firstLine="426" w:firstLineChars="200"/>
        <w:textAlignment w:val="auto"/>
        <w:rPr>
          <w:rFonts w:hint="eastAsia" w:ascii="仿宋" w:hAnsi="仿宋" w:eastAsia="仿宋" w:cs="仿宋"/>
          <w:b/>
          <w:bCs/>
          <w:color w:val="000000" w:themeColor="text1"/>
          <w:sz w:val="21"/>
          <w:szCs w:val="21"/>
          <w:highlight w:val="none"/>
          <w14:textFill>
            <w14:solidFill>
              <w14:schemeClr w14:val="tx1"/>
            </w14:solidFill>
          </w14:textFill>
        </w:rPr>
      </w:pPr>
    </w:p>
    <w:p>
      <w:pPr>
        <w:pageBreakBefore/>
        <w:shd w:val="clear" w:color="auto" w:fill="auto"/>
        <w:spacing w:line="440" w:lineRule="exact"/>
        <w:jc w:val="center"/>
        <w:outlineLvl w:val="0"/>
        <w:rPr>
          <w:rFonts w:hint="eastAsia" w:ascii="仿宋" w:hAnsi="仿宋" w:eastAsia="仿宋" w:cs="仿宋"/>
          <w:color w:val="000000" w:themeColor="text1"/>
          <w:sz w:val="30"/>
          <w:szCs w:val="30"/>
          <w:highlight w:val="none"/>
          <w14:textFill>
            <w14:solidFill>
              <w14:schemeClr w14:val="tx1"/>
            </w14:solidFill>
          </w14:textFill>
        </w:rPr>
      </w:pPr>
      <w:bookmarkStart w:id="34" w:name="_Toc469495731"/>
      <w:r>
        <w:rPr>
          <w:rFonts w:hint="eastAsia" w:ascii="仿宋" w:hAnsi="仿宋" w:eastAsia="仿宋" w:cs="仿宋"/>
          <w:color w:val="000000" w:themeColor="text1"/>
          <w:sz w:val="30"/>
          <w:szCs w:val="30"/>
          <w:highlight w:val="none"/>
          <w14:textFill>
            <w14:solidFill>
              <w14:schemeClr w14:val="tx1"/>
            </w14:solidFill>
          </w14:textFill>
        </w:rPr>
        <w:t>第三章  评标办法</w:t>
      </w:r>
      <w:bookmarkEnd w:id="34"/>
    </w:p>
    <w:p>
      <w:pPr>
        <w:shd w:val="clear" w:color="auto" w:fill="auto"/>
        <w:jc w:val="center"/>
        <w:outlineLvl w:val="1"/>
        <w:rPr>
          <w:rFonts w:hint="eastAsia" w:ascii="仿宋" w:hAnsi="仿宋" w:eastAsia="仿宋" w:cs="仿宋"/>
          <w:b/>
          <w:color w:val="000000" w:themeColor="text1"/>
          <w:sz w:val="28"/>
          <w:szCs w:val="28"/>
          <w:highlight w:val="none"/>
          <w14:textFill>
            <w14:solidFill>
              <w14:schemeClr w14:val="tx1"/>
            </w14:solidFill>
          </w14:textFill>
        </w:rPr>
      </w:pPr>
      <w:bookmarkStart w:id="35" w:name="_Toc469495733"/>
      <w:bookmarkStart w:id="36" w:name="_Toc362983802"/>
      <w:bookmarkStart w:id="37" w:name="_Toc267320058"/>
      <w:bookmarkStart w:id="38" w:name="_Toc363135205"/>
      <w:r>
        <w:rPr>
          <w:rFonts w:hint="eastAsia" w:ascii="仿宋" w:hAnsi="仿宋" w:eastAsia="仿宋" w:cs="仿宋"/>
          <w:b/>
          <w:color w:val="000000" w:themeColor="text1"/>
          <w:sz w:val="28"/>
          <w:szCs w:val="28"/>
          <w:highlight w:val="none"/>
          <w14:textFill>
            <w14:solidFill>
              <w14:schemeClr w14:val="tx1"/>
            </w14:solidFill>
          </w14:textFill>
        </w:rPr>
        <w:t>一</w:t>
      </w:r>
      <w:r>
        <w:rPr>
          <w:rFonts w:hint="eastAsia" w:ascii="仿宋" w:hAnsi="仿宋" w:eastAsia="仿宋" w:cs="仿宋"/>
          <w:b/>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总  则</w:t>
      </w:r>
    </w:p>
    <w:p>
      <w:pPr>
        <w:shd w:val="clear" w:color="auto" w:fill="auto"/>
        <w:tabs>
          <w:tab w:val="left" w:pos="567"/>
          <w:tab w:val="left" w:pos="600"/>
        </w:tabs>
        <w:spacing w:line="440" w:lineRule="exact"/>
        <w:ind w:firstLine="619"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1、一般规定</w:t>
      </w:r>
    </w:p>
    <w:p>
      <w:pPr>
        <w:shd w:val="clear" w:color="auto" w:fill="auto"/>
        <w:spacing w:line="440" w:lineRule="exact"/>
        <w:ind w:firstLine="619"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1.1本项目的招标按照《中华人民共和国政府采购法》、《政府采购货物和服务招标投标管理办法》及政府采购的有关规定进行。</w:t>
      </w:r>
    </w:p>
    <w:p>
      <w:pPr>
        <w:shd w:val="clear" w:color="auto" w:fill="auto"/>
        <w:spacing w:line="440" w:lineRule="exact"/>
        <w:ind w:firstLine="619"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1.2评标必须遵循邀请、公平、公正、诚实信用的原则。</w:t>
      </w:r>
    </w:p>
    <w:p>
      <w:pPr>
        <w:shd w:val="clear" w:color="auto" w:fill="auto"/>
        <w:spacing w:line="440" w:lineRule="exact"/>
        <w:ind w:firstLine="619"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1.3招标代理机构组织招标、开标、评标工作，全过程接受政府采购有关部门的监督、管理和指导。</w:t>
      </w:r>
    </w:p>
    <w:p>
      <w:pPr>
        <w:shd w:val="clear" w:color="auto" w:fill="auto"/>
        <w:spacing w:line="440" w:lineRule="exact"/>
        <w:ind w:firstLine="619"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1.4评标按照招标文件规定的内容进行，采取符合招标文件要求的最低评标价法；</w:t>
      </w:r>
    </w:p>
    <w:p>
      <w:pPr>
        <w:shd w:val="clear" w:color="auto" w:fill="auto"/>
        <w:spacing w:line="440" w:lineRule="exact"/>
        <w:ind w:firstLine="619"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1.5本办法的评标对象是指投标人按照招标文件要求提供的有效投标文件，包括投标人应评标委员会要求对原投标文件作出的正式书面澄清文件。</w:t>
      </w:r>
    </w:p>
    <w:p>
      <w:pPr>
        <w:shd w:val="clear" w:color="auto" w:fill="auto"/>
        <w:tabs>
          <w:tab w:val="left" w:pos="567"/>
          <w:tab w:val="left" w:pos="1145"/>
        </w:tabs>
        <w:spacing w:line="440" w:lineRule="exact"/>
        <w:ind w:firstLine="619"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2、评标组织机构的组成</w:t>
      </w:r>
    </w:p>
    <w:p>
      <w:pPr>
        <w:widowControl/>
        <w:shd w:val="clear" w:color="auto" w:fill="auto"/>
        <w:spacing w:line="440" w:lineRule="exact"/>
        <w:ind w:firstLine="480"/>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2.1</w:t>
      </w:r>
      <w:r>
        <w:rPr>
          <w:rFonts w:hint="eastAsia" w:ascii="仿宋" w:hAnsi="仿宋" w:eastAsia="仿宋" w:cs="仿宋"/>
          <w:color w:val="000000" w:themeColor="text1"/>
          <w:spacing w:val="-2"/>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Cs w:val="21"/>
          <w:highlight w:val="none"/>
          <w:lang w:bidi="ar-SA"/>
          <w14:textFill>
            <w14:solidFill>
              <w14:schemeClr w14:val="tx1"/>
            </w14:solidFill>
          </w14:textFill>
        </w:rPr>
        <w:t>评标委员会由采购人代表和有关技术、经济等方面的专家组成，成员人数应当为5人</w:t>
      </w:r>
      <w:r>
        <w:rPr>
          <w:rFonts w:hint="eastAsia" w:ascii="仿宋" w:hAnsi="仿宋" w:eastAsia="仿宋" w:cs="仿宋"/>
          <w:color w:val="000000" w:themeColor="text1"/>
          <w:kern w:val="0"/>
          <w:szCs w:val="21"/>
          <w:highlight w:val="none"/>
          <w:lang w:eastAsia="zh-CN" w:bidi="ar-SA"/>
          <w14:textFill>
            <w14:solidFill>
              <w14:schemeClr w14:val="tx1"/>
            </w14:solidFill>
          </w14:textFill>
        </w:rPr>
        <w:t>或</w:t>
      </w:r>
      <w:r>
        <w:rPr>
          <w:rFonts w:hint="eastAsia" w:ascii="仿宋" w:hAnsi="仿宋" w:eastAsia="仿宋" w:cs="仿宋"/>
          <w:color w:val="000000" w:themeColor="text1"/>
          <w:kern w:val="0"/>
          <w:szCs w:val="21"/>
          <w:highlight w:val="none"/>
          <w:lang w:val="en-US" w:eastAsia="zh-CN" w:bidi="ar-SA"/>
          <w14:textFill>
            <w14:solidFill>
              <w14:schemeClr w14:val="tx1"/>
            </w14:solidFill>
          </w14:textFill>
        </w:rPr>
        <w:t>5人</w:t>
      </w:r>
      <w:r>
        <w:rPr>
          <w:rFonts w:hint="eastAsia" w:ascii="仿宋" w:hAnsi="仿宋" w:eastAsia="仿宋" w:cs="仿宋"/>
          <w:color w:val="000000" w:themeColor="text1"/>
          <w:kern w:val="0"/>
          <w:szCs w:val="21"/>
          <w:highlight w:val="none"/>
          <w:lang w:bidi="ar-SA"/>
          <w14:textFill>
            <w14:solidFill>
              <w14:schemeClr w14:val="tx1"/>
            </w14:solidFill>
          </w14:textFill>
        </w:rPr>
        <w:t>以上单数。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shd w:val="clear" w:color="auto" w:fill="auto"/>
        <w:tabs>
          <w:tab w:val="left" w:pos="567"/>
          <w:tab w:val="left" w:pos="1145"/>
        </w:tabs>
        <w:spacing w:line="440" w:lineRule="exact"/>
        <w:ind w:firstLine="619"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2.2评标工作组由招标人及有关专家组成，由评标委员会确认，并接受其领导。</w:t>
      </w:r>
    </w:p>
    <w:p>
      <w:pPr>
        <w:shd w:val="clear" w:color="auto" w:fill="auto"/>
        <w:tabs>
          <w:tab w:val="left" w:pos="567"/>
          <w:tab w:val="left" w:pos="1145"/>
        </w:tabs>
        <w:spacing w:line="440" w:lineRule="exact"/>
        <w:ind w:firstLine="619"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2.3评标委员会应相对独立工作，负责评标、撰写技术、商务评标报告。采购代理机构负责评标过程中资料的保管、发放、回收，整理、汇总评标资料。</w:t>
      </w:r>
    </w:p>
    <w:p>
      <w:pPr>
        <w:shd w:val="clear" w:color="auto" w:fill="auto"/>
        <w:tabs>
          <w:tab w:val="left" w:pos="567"/>
          <w:tab w:val="left" w:pos="600"/>
        </w:tabs>
        <w:spacing w:line="440" w:lineRule="exact"/>
        <w:ind w:firstLine="619"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3、评标委员会职责</w:t>
      </w:r>
    </w:p>
    <w:p>
      <w:pPr>
        <w:pStyle w:val="35"/>
        <w:shd w:val="clear" w:color="auto" w:fill="auto"/>
        <w:spacing w:before="0" w:beforeAutospacing="0" w:after="0" w:afterAutospacing="0" w:line="440" w:lineRule="exact"/>
        <w:ind w:firstLine="619" w:firstLineChars="255"/>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3.1审查投标文件是否符合招标文件要求，并作出评价；</w:t>
      </w:r>
    </w:p>
    <w:p>
      <w:pPr>
        <w:pStyle w:val="35"/>
        <w:shd w:val="clear" w:color="auto" w:fill="auto"/>
        <w:spacing w:before="0" w:beforeAutospacing="0" w:after="0" w:afterAutospacing="0" w:line="440" w:lineRule="exact"/>
        <w:ind w:firstLine="619" w:firstLineChars="255"/>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3.2要求投标人对投标文件有关事项作出解释或者澄清；</w:t>
      </w:r>
    </w:p>
    <w:p>
      <w:pPr>
        <w:pStyle w:val="35"/>
        <w:shd w:val="clear" w:color="auto" w:fill="auto"/>
        <w:spacing w:before="0" w:beforeAutospacing="0" w:after="0" w:afterAutospacing="0" w:line="440" w:lineRule="exact"/>
        <w:ind w:firstLine="619" w:firstLineChars="255"/>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3.3推荐中标候选人名单；</w:t>
      </w:r>
    </w:p>
    <w:p>
      <w:pPr>
        <w:pStyle w:val="35"/>
        <w:shd w:val="clear" w:color="auto" w:fill="auto"/>
        <w:spacing w:before="0" w:beforeAutospacing="0" w:after="0" w:afterAutospacing="0" w:line="440" w:lineRule="exact"/>
        <w:ind w:firstLine="619" w:firstLineChars="255"/>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3.4向招标人、招标代理机构或者有关部门报告非法干预评标工作的行为。</w:t>
      </w:r>
    </w:p>
    <w:p>
      <w:pPr>
        <w:shd w:val="clear" w:color="auto" w:fill="auto"/>
        <w:tabs>
          <w:tab w:val="left" w:pos="567"/>
          <w:tab w:val="left" w:pos="600"/>
        </w:tabs>
        <w:spacing w:line="440" w:lineRule="exact"/>
        <w:ind w:firstLine="619"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4、评标委员会义务</w:t>
      </w:r>
    </w:p>
    <w:p>
      <w:pPr>
        <w:shd w:val="clear" w:color="auto" w:fill="auto"/>
        <w:tabs>
          <w:tab w:val="left" w:pos="567"/>
          <w:tab w:val="left" w:pos="600"/>
        </w:tabs>
        <w:spacing w:line="440" w:lineRule="exact"/>
        <w:ind w:firstLine="619"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4.1遵纪守法，客观、公正、廉洁地履行职责；</w:t>
      </w:r>
    </w:p>
    <w:p>
      <w:pPr>
        <w:shd w:val="clear" w:color="auto" w:fill="auto"/>
        <w:tabs>
          <w:tab w:val="left" w:pos="567"/>
          <w:tab w:val="left" w:pos="600"/>
        </w:tabs>
        <w:spacing w:line="440" w:lineRule="exact"/>
        <w:ind w:firstLine="619"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4.2按照招标文件规定的评标方法和评标标准进行评标，对评审意见承担个人责任；</w:t>
      </w:r>
    </w:p>
    <w:p>
      <w:pPr>
        <w:shd w:val="clear" w:color="auto" w:fill="auto"/>
        <w:tabs>
          <w:tab w:val="left" w:pos="567"/>
          <w:tab w:val="left" w:pos="600"/>
        </w:tabs>
        <w:spacing w:line="440" w:lineRule="exact"/>
        <w:ind w:firstLine="619"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4.3对评标过程和结果，以及投标人的商业秘密保密；</w:t>
      </w:r>
    </w:p>
    <w:p>
      <w:pPr>
        <w:shd w:val="clear" w:color="auto" w:fill="auto"/>
        <w:tabs>
          <w:tab w:val="left" w:pos="567"/>
          <w:tab w:val="left" w:pos="600"/>
        </w:tabs>
        <w:spacing w:line="440" w:lineRule="exact"/>
        <w:ind w:firstLine="619"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4.4参与评标报告的起草；</w:t>
      </w:r>
    </w:p>
    <w:p>
      <w:pPr>
        <w:shd w:val="clear" w:color="auto" w:fill="auto"/>
        <w:tabs>
          <w:tab w:val="left" w:pos="567"/>
          <w:tab w:val="left" w:pos="600"/>
        </w:tabs>
        <w:spacing w:line="440" w:lineRule="exact"/>
        <w:ind w:firstLine="619"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4.5配合有关部门的投诉处理工作；</w:t>
      </w:r>
    </w:p>
    <w:p>
      <w:pPr>
        <w:shd w:val="clear" w:color="auto" w:fill="auto"/>
        <w:tabs>
          <w:tab w:val="left" w:pos="567"/>
          <w:tab w:val="left" w:pos="600"/>
        </w:tabs>
        <w:spacing w:line="440" w:lineRule="exact"/>
        <w:ind w:firstLine="619"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4.6配合招标人、招标代理机构答复投标供应商提出的质疑。</w:t>
      </w:r>
    </w:p>
    <w:p>
      <w:pPr>
        <w:shd w:val="clear" w:color="auto" w:fill="auto"/>
        <w:tabs>
          <w:tab w:val="left" w:pos="1547"/>
        </w:tabs>
        <w:spacing w:line="440" w:lineRule="exact"/>
        <w:ind w:firstLine="619" w:firstLineChars="255"/>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 评标程序</w:t>
      </w:r>
    </w:p>
    <w:p>
      <w:pPr>
        <w:pStyle w:val="16"/>
        <w:shd w:val="clear" w:color="auto" w:fill="auto"/>
        <w:tabs>
          <w:tab w:val="left" w:pos="720"/>
          <w:tab w:val="clear" w:pos="0"/>
        </w:tabs>
        <w:spacing w:line="440" w:lineRule="exact"/>
        <w:ind w:firstLine="619" w:firstLineChars="255"/>
        <w:rPr>
          <w:rFonts w:hint="eastAsia" w:ascii="仿宋" w:hAnsi="仿宋" w:eastAsia="仿宋" w:cs="仿宋"/>
          <w:bCs/>
          <w:color w:val="000000" w:themeColor="text1"/>
          <w:szCs w:val="21"/>
          <w:highlight w:val="none"/>
          <w:lang w:bidi="ar-SA"/>
          <w14:textFill>
            <w14:solidFill>
              <w14:schemeClr w14:val="tx1"/>
            </w14:solidFill>
          </w14:textFill>
        </w:rPr>
      </w:pPr>
      <w:r>
        <w:rPr>
          <w:rFonts w:hint="eastAsia" w:ascii="仿宋" w:hAnsi="仿宋" w:eastAsia="仿宋" w:cs="仿宋"/>
          <w:bCs/>
          <w:color w:val="000000" w:themeColor="text1"/>
          <w:szCs w:val="21"/>
          <w:highlight w:val="none"/>
          <w:lang w:bidi="ar-SA"/>
          <w14:textFill>
            <w14:solidFill>
              <w14:schemeClr w14:val="tx1"/>
            </w14:solidFill>
          </w14:textFill>
        </w:rPr>
        <w:t>5.1本次评标首先由评标委员会对投标人的投标文件进行初审，对未能通过初审的投标文件作无效标处理；</w:t>
      </w:r>
    </w:p>
    <w:p>
      <w:pPr>
        <w:shd w:val="clear" w:color="auto" w:fill="auto"/>
        <w:tabs>
          <w:tab w:val="left" w:pos="720"/>
        </w:tabs>
        <w:spacing w:line="440" w:lineRule="exact"/>
        <w:ind w:firstLine="619" w:firstLineChars="255"/>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5.2对通过初审的投标人的投标文件进行详细的比较和评价。如需要，进行必要的澄清工作；</w:t>
      </w:r>
    </w:p>
    <w:p>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82"/>
        <w:textAlignment w:val="auto"/>
        <w:outlineLvl w:val="9"/>
        <w:rPr>
          <w:rFonts w:hint="eastAsia" w:ascii="仿宋" w:hAnsi="仿宋" w:eastAsia="仿宋" w:cs="仿宋"/>
          <w:b/>
          <w:bCs/>
          <w:color w:val="000000" w:themeColor="text1"/>
          <w:kern w:val="0"/>
          <w:sz w:val="36"/>
          <w:szCs w:val="36"/>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5.3依据评分标准以及各项权值，各位评委单独就每个投标人的</w:t>
      </w:r>
      <w:r>
        <w:rPr>
          <w:rFonts w:hint="eastAsia" w:ascii="仿宋" w:hAnsi="仿宋" w:eastAsia="仿宋" w:cs="仿宋"/>
          <w:color w:val="000000" w:themeColor="text1"/>
          <w:kern w:val="0"/>
          <w:szCs w:val="21"/>
          <w:highlight w:val="none"/>
          <w:lang w:bidi="ar-SA"/>
          <w14:textFill>
            <w14:solidFill>
              <w14:schemeClr w14:val="tx1"/>
            </w14:solidFill>
          </w14:textFill>
        </w:rPr>
        <w:t>投标文件进行价格、技术、</w:t>
      </w:r>
      <w:r>
        <w:rPr>
          <w:rFonts w:hint="eastAsia" w:ascii="仿宋" w:hAnsi="仿宋" w:eastAsia="仿宋" w:cs="仿宋"/>
          <w:color w:val="000000" w:themeColor="text1"/>
          <w:kern w:val="0"/>
          <w:szCs w:val="21"/>
          <w:highlight w:val="none"/>
          <w:lang w:bidi="ar-SA"/>
          <w14:textFill>
            <w14:solidFill>
              <w14:schemeClr w14:val="tx1"/>
            </w14:solidFill>
          </w14:textFill>
        </w:rPr>
        <w:fldChar w:fldCharType="begin"/>
      </w:r>
      <w:r>
        <w:rPr>
          <w:rFonts w:hint="eastAsia" w:ascii="仿宋" w:hAnsi="仿宋" w:eastAsia="仿宋" w:cs="仿宋"/>
          <w:color w:val="000000" w:themeColor="text1"/>
          <w:kern w:val="0"/>
          <w:szCs w:val="21"/>
          <w:highlight w:val="none"/>
          <w:lang w:bidi="ar-SA"/>
          <w14:textFill>
            <w14:solidFill>
              <w14:schemeClr w14:val="tx1"/>
            </w14:solidFill>
          </w14:textFill>
        </w:rPr>
        <w:instrText xml:space="preserve">HYPERLINK "http://zhidao.baidu.com/search?word=%E8%B4%A2%E5%8A%A1%E7%8A%B6%E5%86%B5&amp;fr=qb_search_exp&amp;ie=utf8&amp;eid_gfrom=151"</w:instrText>
      </w:r>
      <w:r>
        <w:rPr>
          <w:rFonts w:hint="eastAsia" w:ascii="仿宋" w:hAnsi="仿宋" w:eastAsia="仿宋" w:cs="仿宋"/>
          <w:color w:val="000000" w:themeColor="text1"/>
          <w:kern w:val="0"/>
          <w:szCs w:val="21"/>
          <w:highlight w:val="none"/>
          <w:lang w:bidi="ar-SA"/>
          <w14:textFill>
            <w14:solidFill>
              <w14:schemeClr w14:val="tx1"/>
            </w14:solidFill>
          </w14:textFill>
        </w:rPr>
        <w:fldChar w:fldCharType="separate"/>
      </w:r>
      <w:r>
        <w:rPr>
          <w:rFonts w:hint="eastAsia" w:ascii="仿宋" w:hAnsi="仿宋" w:eastAsia="仿宋" w:cs="仿宋"/>
          <w:color w:val="000000" w:themeColor="text1"/>
          <w:kern w:val="0"/>
          <w:szCs w:val="21"/>
          <w:highlight w:val="none"/>
          <w:lang w:bidi="ar-SA"/>
          <w14:textFill>
            <w14:solidFill>
              <w14:schemeClr w14:val="tx1"/>
            </w14:solidFill>
          </w14:textFill>
        </w:rPr>
        <w:t>财务状况</w:t>
      </w:r>
      <w:r>
        <w:rPr>
          <w:rFonts w:hint="eastAsia" w:ascii="仿宋" w:hAnsi="仿宋" w:eastAsia="仿宋" w:cs="仿宋"/>
          <w:color w:val="000000" w:themeColor="text1"/>
          <w:kern w:val="0"/>
          <w:szCs w:val="21"/>
          <w:highlight w:val="none"/>
          <w:lang w:bidi="ar-SA"/>
          <w14:textFill>
            <w14:solidFill>
              <w14:schemeClr w14:val="tx1"/>
            </w14:solidFill>
          </w14:textFill>
        </w:rPr>
        <w:fldChar w:fldCharType="end"/>
      </w:r>
      <w:r>
        <w:rPr>
          <w:rFonts w:hint="eastAsia" w:ascii="仿宋" w:hAnsi="仿宋" w:eastAsia="仿宋" w:cs="仿宋"/>
          <w:color w:val="000000" w:themeColor="text1"/>
          <w:kern w:val="0"/>
          <w:szCs w:val="21"/>
          <w:highlight w:val="none"/>
          <w:lang w:bidi="ar-SA"/>
          <w14:textFill>
            <w14:solidFill>
              <w14:schemeClr w14:val="tx1"/>
            </w14:solidFill>
          </w14:textFill>
        </w:rPr>
        <w:t>、信誉、业绩、服务、对招标文件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pPr>
        <w:shd w:val="clear" w:color="auto" w:fill="auto"/>
        <w:jc w:val="center"/>
        <w:outlineLvl w:val="1"/>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二  投标文件初审</w:t>
      </w:r>
      <w:bookmarkEnd w:id="35"/>
      <w:bookmarkEnd w:id="36"/>
    </w:p>
    <w:p>
      <w:pPr>
        <w:shd w:val="clear" w:color="auto" w:fill="auto"/>
        <w:spacing w:line="400" w:lineRule="exact"/>
        <w:ind w:firstLine="356" w:firstLineChars="147"/>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6</w:t>
      </w:r>
      <w:r>
        <w:rPr>
          <w:rFonts w:hint="eastAsia" w:ascii="仿宋" w:hAnsi="仿宋" w:eastAsia="仿宋" w:cs="仿宋"/>
          <w:b/>
          <w:color w:val="000000" w:themeColor="text1"/>
          <w:szCs w:val="21"/>
          <w:highlight w:val="none"/>
          <w14:textFill>
            <w14:solidFill>
              <w14:schemeClr w14:val="tx1"/>
            </w14:solidFill>
          </w14:textFill>
        </w:rPr>
        <w:t>.资格性审查:</w:t>
      </w:r>
    </w:p>
    <w:p>
      <w:pPr>
        <w:shd w:val="clear" w:color="auto" w:fill="auto"/>
        <w:spacing w:line="400" w:lineRule="exact"/>
        <w:ind w:firstLine="356" w:firstLineChars="147"/>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.1评审细则</w:t>
      </w:r>
    </w:p>
    <w:tbl>
      <w:tblPr>
        <w:tblStyle w:val="1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649"/>
        <w:gridCol w:w="555"/>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noWrap w:val="0"/>
            <w:vAlign w:val="center"/>
          </w:tcPr>
          <w:p>
            <w:pPr>
              <w:shd w:val="clear" w:color="auto" w:fill="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项目</w:t>
            </w:r>
          </w:p>
        </w:tc>
        <w:tc>
          <w:tcPr>
            <w:tcW w:w="7196" w:type="dxa"/>
            <w:gridSpan w:val="2"/>
            <w:vMerge w:val="restart"/>
            <w:noWrap w:val="0"/>
            <w:vAlign w:val="center"/>
          </w:tcPr>
          <w:p>
            <w:pPr>
              <w:shd w:val="clear" w:color="auto" w:fill="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评审内容</w:t>
            </w:r>
          </w:p>
        </w:tc>
        <w:tc>
          <w:tcPr>
            <w:tcW w:w="1209" w:type="dxa"/>
            <w:gridSpan w:val="2"/>
            <w:noWrap w:val="0"/>
            <w:vAlign w:val="center"/>
          </w:tcPr>
          <w:p>
            <w:pPr>
              <w:shd w:val="clear" w:color="auto" w:fill="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81" w:type="dxa"/>
            <w:vMerge w:val="continue"/>
            <w:noWrap w:val="0"/>
            <w:vAlign w:val="center"/>
          </w:tcPr>
          <w:p>
            <w:pPr>
              <w:shd w:val="clear" w:color="auto" w:fill="auto"/>
              <w:rPr>
                <w:rFonts w:hint="eastAsia" w:ascii="仿宋" w:hAnsi="仿宋" w:eastAsia="仿宋" w:cs="仿宋"/>
                <w:color w:val="000000" w:themeColor="text1"/>
                <w:sz w:val="18"/>
                <w:szCs w:val="21"/>
                <w:highlight w:val="none"/>
                <w14:textFill>
                  <w14:solidFill>
                    <w14:schemeClr w14:val="tx1"/>
                  </w14:solidFill>
                </w14:textFill>
              </w:rPr>
            </w:pPr>
          </w:p>
        </w:tc>
        <w:tc>
          <w:tcPr>
            <w:tcW w:w="7196" w:type="dxa"/>
            <w:gridSpan w:val="2"/>
            <w:vMerge w:val="continue"/>
            <w:noWrap w:val="0"/>
            <w:vAlign w:val="top"/>
          </w:tcPr>
          <w:p>
            <w:pPr>
              <w:shd w:val="clear" w:color="auto" w:fill="auto"/>
              <w:rPr>
                <w:rFonts w:hint="eastAsia" w:ascii="仿宋" w:hAnsi="仿宋" w:eastAsia="仿宋" w:cs="仿宋"/>
                <w:color w:val="000000" w:themeColor="text1"/>
                <w:sz w:val="18"/>
                <w:szCs w:val="21"/>
                <w:highlight w:val="none"/>
                <w14:textFill>
                  <w14:solidFill>
                    <w14:schemeClr w14:val="tx1"/>
                  </w14:solidFill>
                </w14:textFill>
              </w:rPr>
            </w:pPr>
          </w:p>
        </w:tc>
        <w:tc>
          <w:tcPr>
            <w:tcW w:w="555" w:type="dxa"/>
            <w:noWrap w:val="0"/>
            <w:vAlign w:val="center"/>
          </w:tcPr>
          <w:p>
            <w:pPr>
              <w:shd w:val="clear" w:color="auto" w:fill="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是</w:t>
            </w:r>
          </w:p>
        </w:tc>
        <w:tc>
          <w:tcPr>
            <w:tcW w:w="654" w:type="dxa"/>
            <w:noWrap w:val="0"/>
            <w:vAlign w:val="center"/>
          </w:tcPr>
          <w:p>
            <w:pPr>
              <w:shd w:val="clear" w:color="auto" w:fill="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jc w:val="center"/>
        </w:trPr>
        <w:tc>
          <w:tcPr>
            <w:tcW w:w="881" w:type="dxa"/>
            <w:vMerge w:val="restart"/>
            <w:noWrap w:val="0"/>
            <w:vAlign w:val="center"/>
          </w:tcPr>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审</w:t>
            </w:r>
          </w:p>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查</w:t>
            </w:r>
          </w:p>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标</w:t>
            </w:r>
          </w:p>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准</w:t>
            </w:r>
          </w:p>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(适</w:t>
            </w:r>
          </w:p>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用</w:t>
            </w:r>
          </w:p>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于</w:t>
            </w:r>
          </w:p>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w:t>
            </w:r>
          </w:p>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格</w:t>
            </w:r>
          </w:p>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后</w:t>
            </w:r>
          </w:p>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审)</w:t>
            </w:r>
          </w:p>
        </w:tc>
        <w:tc>
          <w:tcPr>
            <w:tcW w:w="547" w:type="dxa"/>
            <w:noWrap w:val="0"/>
            <w:vAlign w:val="center"/>
          </w:tcPr>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6649" w:type="dxa"/>
            <w:noWrap w:val="0"/>
            <w:vAlign w:val="center"/>
          </w:tcPr>
          <w:p>
            <w:pPr>
              <w:widowControl/>
              <w:shd w:val="clear" w:color="auto" w:fill="auto"/>
              <w:jc w:val="left"/>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具备三证合一营业执照副本；</w:t>
            </w:r>
          </w:p>
        </w:tc>
        <w:tc>
          <w:tcPr>
            <w:tcW w:w="555" w:type="dxa"/>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654" w:type="dxa"/>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 w:hRule="atLeast"/>
          <w:jc w:val="center"/>
        </w:trPr>
        <w:tc>
          <w:tcPr>
            <w:tcW w:w="881" w:type="dxa"/>
            <w:vMerge w:val="continue"/>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547" w:type="dxa"/>
            <w:noWrap w:val="0"/>
            <w:vAlign w:val="center"/>
          </w:tcPr>
          <w:p>
            <w:pPr>
              <w:shd w:val="clear" w:color="auto" w:fill="auto"/>
              <w:jc w:val="center"/>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w:t>
            </w:r>
          </w:p>
        </w:tc>
        <w:tc>
          <w:tcPr>
            <w:tcW w:w="6649" w:type="dxa"/>
            <w:noWrap w:val="0"/>
            <w:vAlign w:val="center"/>
          </w:tcPr>
          <w:p>
            <w:pPr>
              <w:widowControl/>
              <w:shd w:val="clear" w:color="auto" w:fill="auto"/>
              <w:jc w:val="left"/>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法定代表人投标需提供法定代表人资格证明书，委托代理人投标需提供法定代表人授权委托书；</w:t>
            </w:r>
          </w:p>
        </w:tc>
        <w:tc>
          <w:tcPr>
            <w:tcW w:w="555" w:type="dxa"/>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654" w:type="dxa"/>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81" w:type="dxa"/>
            <w:vMerge w:val="continue"/>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547" w:type="dxa"/>
            <w:noWrap w:val="0"/>
            <w:vAlign w:val="center"/>
          </w:tcPr>
          <w:p>
            <w:pPr>
              <w:shd w:val="clear" w:color="auto" w:fill="auto"/>
              <w:jc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w:t>
            </w:r>
          </w:p>
        </w:tc>
        <w:tc>
          <w:tcPr>
            <w:tcW w:w="6649" w:type="dxa"/>
            <w:noWrap w:val="0"/>
            <w:vAlign w:val="center"/>
          </w:tcPr>
          <w:p>
            <w:pPr>
              <w:widowControl/>
              <w:shd w:val="clear" w:color="auto" w:fill="auto"/>
              <w:jc w:val="left"/>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投标企业须提供投标人（</w:t>
            </w:r>
            <w:r>
              <w:rPr>
                <w:rFonts w:hint="eastAsia" w:ascii="仿宋" w:hAnsi="仿宋" w:eastAsia="仿宋" w:cs="仿宋"/>
                <w:color w:val="000000" w:themeColor="text1"/>
                <w:kern w:val="0"/>
                <w:sz w:val="24"/>
                <w:szCs w:val="24"/>
                <w:highlight w:val="none"/>
                <w:lang w:eastAsia="zh-CN" w:bidi="ar"/>
                <w14:textFill>
                  <w14:solidFill>
                    <w14:schemeClr w14:val="tx1"/>
                  </w14:solidFill>
                </w14:textFill>
              </w:rPr>
              <w:t>被授权本单位在职人员</w:t>
            </w:r>
            <w:r>
              <w:rPr>
                <w:rFonts w:hint="eastAsia" w:ascii="仿宋" w:hAnsi="仿宋" w:eastAsia="仿宋" w:cs="仿宋"/>
                <w:color w:val="000000" w:themeColor="text1"/>
                <w:kern w:val="0"/>
                <w:sz w:val="24"/>
                <w:szCs w:val="24"/>
                <w:highlight w:val="none"/>
                <w:lang w:bidi="ar"/>
                <w14:textFill>
                  <w14:solidFill>
                    <w14:schemeClr w14:val="tx1"/>
                  </w14:solidFill>
                </w14:textFill>
              </w:rPr>
              <w:t>）近6个月有效的社保证明；</w:t>
            </w:r>
          </w:p>
        </w:tc>
        <w:tc>
          <w:tcPr>
            <w:tcW w:w="555" w:type="dxa"/>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654" w:type="dxa"/>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81" w:type="dxa"/>
            <w:vMerge w:val="continue"/>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547" w:type="dxa"/>
            <w:noWrap w:val="0"/>
            <w:vAlign w:val="center"/>
          </w:tcPr>
          <w:p>
            <w:pPr>
              <w:shd w:val="clear" w:color="auto" w:fill="auto"/>
              <w:jc w:val="center"/>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4</w:t>
            </w:r>
          </w:p>
        </w:tc>
        <w:tc>
          <w:tcPr>
            <w:tcW w:w="6649" w:type="dxa"/>
            <w:noWrap w:val="0"/>
            <w:vAlign w:val="center"/>
          </w:tcPr>
          <w:p>
            <w:pPr>
              <w:widowControl/>
              <w:shd w:val="clear" w:color="auto" w:fill="auto"/>
              <w:jc w:val="left"/>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参加采购活动前三年内，在经营活动中没有重大违法记录，供应商须提供 “信用中国”网站（http://www.creditchina.gov.cn/）、“中国政府采购网”网站（http://www.ccgp.gov.cn）无违法违规行为的查询纪录（提供查询结果网页截图并加盖供应商公章）</w:t>
            </w:r>
            <w:r>
              <w:rPr>
                <w:rFonts w:hint="eastAsia" w:ascii="仿宋" w:hAnsi="仿宋" w:eastAsia="仿宋" w:cs="仿宋"/>
                <w:color w:val="000000" w:themeColor="text1"/>
                <w:sz w:val="24"/>
                <w:szCs w:val="24"/>
                <w:lang w:eastAsia="zh-CN"/>
                <w14:textFill>
                  <w14:solidFill>
                    <w14:schemeClr w14:val="tx1"/>
                  </w14:solidFill>
                </w14:textFill>
              </w:rPr>
              <w:t>；</w:t>
            </w:r>
          </w:p>
        </w:tc>
        <w:tc>
          <w:tcPr>
            <w:tcW w:w="555" w:type="dxa"/>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654" w:type="dxa"/>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81" w:type="dxa"/>
            <w:vMerge w:val="continue"/>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547" w:type="dxa"/>
            <w:noWrap w:val="0"/>
            <w:vAlign w:val="center"/>
          </w:tcPr>
          <w:p>
            <w:pPr>
              <w:shd w:val="clear" w:color="auto" w:fill="auto"/>
              <w:jc w:val="center"/>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5</w:t>
            </w:r>
          </w:p>
        </w:tc>
        <w:tc>
          <w:tcPr>
            <w:tcW w:w="6649" w:type="dxa"/>
            <w:noWrap w:val="0"/>
            <w:vAlign w:val="center"/>
          </w:tcPr>
          <w:p>
            <w:pPr>
              <w:widowControl/>
              <w:shd w:val="clear" w:color="auto" w:fill="auto"/>
              <w:jc w:val="left"/>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eastAsia="zh-CN" w:bidi="ar"/>
                <w14:textFill>
                  <w14:solidFill>
                    <w14:schemeClr w14:val="tx1"/>
                  </w14:solidFill>
                </w14:textFill>
              </w:rPr>
              <w:t>投标</w:t>
            </w:r>
            <w:r>
              <w:rPr>
                <w:rFonts w:hint="eastAsia" w:ascii="仿宋" w:hAnsi="仿宋" w:eastAsia="仿宋" w:cs="仿宋"/>
                <w:color w:val="000000" w:themeColor="text1"/>
                <w:kern w:val="0"/>
                <w:sz w:val="24"/>
                <w:szCs w:val="24"/>
                <w:highlight w:val="none"/>
                <w:lang w:bidi="ar"/>
                <w14:textFill>
                  <w14:solidFill>
                    <w14:schemeClr w14:val="tx1"/>
                  </w14:solidFill>
                </w14:textFill>
              </w:rPr>
              <w:t>保证金收据</w:t>
            </w:r>
            <w:r>
              <w:rPr>
                <w:rFonts w:hint="eastAsia" w:ascii="仿宋" w:hAnsi="仿宋" w:eastAsia="仿宋" w:cs="仿宋"/>
                <w:color w:val="000000" w:themeColor="text1"/>
                <w:kern w:val="0"/>
                <w:sz w:val="24"/>
                <w:szCs w:val="24"/>
                <w:highlight w:val="none"/>
                <w:lang w:eastAsia="zh-CN" w:bidi="ar"/>
                <w14:textFill>
                  <w14:solidFill>
                    <w14:schemeClr w14:val="tx1"/>
                  </w14:solidFill>
                </w14:textFill>
              </w:rPr>
              <w:t>或保函等票据</w:t>
            </w:r>
          </w:p>
        </w:tc>
        <w:tc>
          <w:tcPr>
            <w:tcW w:w="555" w:type="dxa"/>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654" w:type="dxa"/>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noWrap w:val="0"/>
            <w:vAlign w:val="center"/>
          </w:tcPr>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p>
        </w:tc>
        <w:tc>
          <w:tcPr>
            <w:tcW w:w="547" w:type="dxa"/>
            <w:noWrap w:val="0"/>
            <w:vAlign w:val="top"/>
          </w:tcPr>
          <w:p>
            <w:pPr>
              <w:shd w:val="clear" w:color="auto" w:fill="auto"/>
              <w:spacing w:line="440" w:lineRule="exact"/>
              <w:rPr>
                <w:rFonts w:hint="eastAsia" w:ascii="仿宋" w:hAnsi="仿宋" w:eastAsia="仿宋" w:cs="仿宋"/>
                <w:color w:val="000000" w:themeColor="text1"/>
                <w:szCs w:val="21"/>
                <w:highlight w:val="none"/>
                <w14:textFill>
                  <w14:solidFill>
                    <w14:schemeClr w14:val="tx1"/>
                  </w14:solidFill>
                </w14:textFill>
              </w:rPr>
            </w:pPr>
          </w:p>
        </w:tc>
        <w:tc>
          <w:tcPr>
            <w:tcW w:w="6649" w:type="dxa"/>
            <w:noWrap w:val="0"/>
            <w:vAlign w:val="top"/>
          </w:tcPr>
          <w:p>
            <w:pPr>
              <w:shd w:val="clear" w:color="auto" w:fil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结论：是否通过评审（须填写通过或不通过）</w:t>
            </w:r>
          </w:p>
          <w:p>
            <w:pPr>
              <w:shd w:val="clear" w:color="auto" w:fil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注：如有一项不合格，作废标处理。</w:t>
            </w:r>
          </w:p>
        </w:tc>
        <w:tc>
          <w:tcPr>
            <w:tcW w:w="1209" w:type="dxa"/>
            <w:gridSpan w:val="2"/>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bl>
    <w:p>
      <w:pPr>
        <w:shd w:val="clear" w:color="auto" w:fill="auto"/>
        <w:spacing w:line="400" w:lineRule="exact"/>
        <w:ind w:firstLine="585" w:firstLineChars="241"/>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6</w:t>
      </w:r>
      <w:r>
        <w:rPr>
          <w:rFonts w:hint="eastAsia" w:ascii="仿宋" w:hAnsi="仿宋" w:eastAsia="仿宋" w:cs="仿宋"/>
          <w:b/>
          <w:color w:val="000000" w:themeColor="text1"/>
          <w:szCs w:val="21"/>
          <w:highlight w:val="none"/>
          <w14:textFill>
            <w14:solidFill>
              <w14:schemeClr w14:val="tx1"/>
            </w14:solidFill>
          </w14:textFill>
        </w:rPr>
        <w:t>.2如评标专家在检验电子标书过程中，如果由于投标人自身原因导致评标专家无法查看并检验电子标书中以上相关资料的，否决其投标。即使投标单位将原件携带至现场的，同样按无效投标处理。</w:t>
      </w:r>
    </w:p>
    <w:p>
      <w:pPr>
        <w:shd w:val="clear" w:color="auto" w:fill="auto"/>
        <w:spacing w:before="156" w:beforeLines="50" w:line="440" w:lineRule="exact"/>
        <w:ind w:firstLine="356" w:firstLineChars="147"/>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7</w:t>
      </w:r>
      <w:r>
        <w:rPr>
          <w:rFonts w:hint="eastAsia" w:ascii="仿宋" w:hAnsi="仿宋" w:eastAsia="仿宋" w:cs="仿宋"/>
          <w:b/>
          <w:color w:val="000000" w:themeColor="text1"/>
          <w:szCs w:val="21"/>
          <w:highlight w:val="none"/>
          <w14:textFill>
            <w14:solidFill>
              <w14:schemeClr w14:val="tx1"/>
            </w14:solidFill>
          </w14:textFill>
        </w:rPr>
        <w:t>.符合性审查</w:t>
      </w:r>
    </w:p>
    <w:p>
      <w:pPr>
        <w:shd w:val="clear" w:color="auto" w:fill="auto"/>
        <w:spacing w:line="440" w:lineRule="exact"/>
        <w:ind w:firstLine="364" w:firstLineChars="150"/>
        <w:rPr>
          <w:rFonts w:hint="eastAsia"/>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．1评审细则</w:t>
      </w:r>
    </w:p>
    <w:tbl>
      <w:tblPr>
        <w:tblStyle w:val="18"/>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597"/>
        <w:gridCol w:w="6378"/>
        <w:gridCol w:w="482"/>
        <w:gridCol w:w="8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80" w:hRule="atLeast"/>
        </w:trPr>
        <w:tc>
          <w:tcPr>
            <w:tcW w:w="1094" w:type="dxa"/>
            <w:tcBorders>
              <w:top w:val="single" w:color="auto" w:sz="4" w:space="0"/>
              <w:left w:val="single" w:color="auto" w:sz="4" w:space="0"/>
            </w:tcBorders>
            <w:noWrap w:val="0"/>
            <w:vAlign w:val="center"/>
          </w:tcPr>
          <w:p>
            <w:pPr>
              <w:shd w:val="clear" w:color="auto" w:fill="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w:t>
            </w:r>
          </w:p>
        </w:tc>
        <w:tc>
          <w:tcPr>
            <w:tcW w:w="6975" w:type="dxa"/>
            <w:gridSpan w:val="2"/>
            <w:tcBorders>
              <w:top w:val="single" w:color="auto" w:sz="4" w:space="0"/>
            </w:tcBorders>
            <w:noWrap w:val="0"/>
            <w:vAlign w:val="center"/>
          </w:tcPr>
          <w:p>
            <w:pPr>
              <w:shd w:val="clear" w:color="auto" w:fill="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评审内容</w:t>
            </w:r>
          </w:p>
        </w:tc>
        <w:tc>
          <w:tcPr>
            <w:tcW w:w="1366" w:type="dxa"/>
            <w:gridSpan w:val="2"/>
            <w:tcBorders>
              <w:top w:val="single" w:color="auto" w:sz="4" w:space="0"/>
              <w:right w:val="single" w:color="auto" w:sz="4" w:space="0"/>
            </w:tcBorders>
            <w:noWrap w:val="0"/>
            <w:vAlign w:val="center"/>
          </w:tcPr>
          <w:p>
            <w:pPr>
              <w:shd w:val="clear" w:color="auto" w:fill="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0" w:hRule="atLeast"/>
        </w:trPr>
        <w:tc>
          <w:tcPr>
            <w:tcW w:w="1094" w:type="dxa"/>
            <w:tcBorders>
              <w:left w:val="single" w:color="auto" w:sz="4" w:space="0"/>
              <w:bottom w:val="single" w:color="auto" w:sz="4" w:space="0"/>
            </w:tcBorders>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6975" w:type="dxa"/>
            <w:gridSpan w:val="2"/>
            <w:tcBorders>
              <w:bottom w:val="single" w:color="auto" w:sz="4" w:space="0"/>
            </w:tcBorders>
            <w:noWrap w:val="0"/>
            <w:vAlign w:val="top"/>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482" w:type="dxa"/>
            <w:noWrap w:val="0"/>
            <w:vAlign w:val="center"/>
          </w:tcPr>
          <w:p>
            <w:pPr>
              <w:shd w:val="clear" w:color="auto" w:fill="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是</w:t>
            </w:r>
          </w:p>
        </w:tc>
        <w:tc>
          <w:tcPr>
            <w:tcW w:w="884" w:type="dxa"/>
            <w:tcBorders>
              <w:right w:val="single" w:color="auto" w:sz="4" w:space="0"/>
            </w:tcBorders>
            <w:noWrap w:val="0"/>
            <w:vAlign w:val="center"/>
          </w:tcPr>
          <w:p>
            <w:pPr>
              <w:shd w:val="clear" w:color="auto" w:fill="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审</w:t>
            </w:r>
          </w:p>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查</w:t>
            </w:r>
          </w:p>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标</w:t>
            </w:r>
          </w:p>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准</w:t>
            </w:r>
          </w:p>
        </w:tc>
        <w:tc>
          <w:tcPr>
            <w:tcW w:w="597" w:type="dxa"/>
            <w:tcBorders>
              <w:top w:val="single" w:color="auto" w:sz="4" w:space="0"/>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6378" w:type="dxa"/>
            <w:tcBorders>
              <w:top w:val="single" w:color="auto" w:sz="4" w:space="0"/>
              <w:left w:val="single" w:color="auto" w:sz="4" w:space="0"/>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由政府立项核准、审批的采购项目, 报价高于设定的采购预算价的；</w:t>
            </w:r>
          </w:p>
        </w:tc>
        <w:tc>
          <w:tcPr>
            <w:tcW w:w="482" w:type="dxa"/>
            <w:tcBorders>
              <w:left w:val="single" w:color="auto" w:sz="4" w:space="0"/>
              <w:right w:val="single" w:color="auto" w:sz="4" w:space="0"/>
            </w:tcBorders>
            <w:noWrap w:val="0"/>
            <w:vAlign w:val="top"/>
          </w:tcPr>
          <w:p>
            <w:pPr>
              <w:shd w:val="clear" w:color="auto" w:fill="auto"/>
              <w:jc w:val="center"/>
              <w:rPr>
                <w:rFonts w:hint="eastAsia" w:ascii="仿宋" w:hAnsi="仿宋" w:eastAsia="仿宋" w:cs="仿宋"/>
                <w:b/>
                <w:color w:val="000000" w:themeColor="text1"/>
                <w:szCs w:val="21"/>
                <w:highlight w:val="none"/>
                <w14:textFill>
                  <w14:solidFill>
                    <w14:schemeClr w14:val="tx1"/>
                  </w14:solidFill>
                </w14:textFill>
              </w:rPr>
            </w:pPr>
          </w:p>
        </w:tc>
        <w:tc>
          <w:tcPr>
            <w:tcW w:w="884" w:type="dxa"/>
            <w:tcBorders>
              <w:left w:val="single" w:color="auto" w:sz="4" w:space="0"/>
              <w:right w:val="single" w:color="auto" w:sz="4" w:space="0"/>
            </w:tcBorders>
            <w:noWrap w:val="0"/>
            <w:vAlign w:val="top"/>
          </w:tcPr>
          <w:p>
            <w:pPr>
              <w:shd w:val="clear" w:color="auto" w:fill="auto"/>
              <w:jc w:val="center"/>
              <w:rPr>
                <w:rFonts w:hint="eastAsia" w:ascii="仿宋" w:hAnsi="仿宋" w:eastAsia="仿宋" w:cs="仿宋"/>
                <w:b/>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094"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5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p>
        </w:tc>
        <w:tc>
          <w:tcPr>
            <w:tcW w:w="6378"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法定代表人身份证明及授权委托书有效，且符合招标文件规定的格式。</w:t>
            </w:r>
          </w:p>
        </w:tc>
        <w:tc>
          <w:tcPr>
            <w:tcW w:w="482" w:type="dxa"/>
            <w:tcBorders>
              <w:lef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884" w:type="dxa"/>
            <w:tcBorders>
              <w:righ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597" w:type="dxa"/>
            <w:tcBorders>
              <w:top w:val="single" w:color="auto" w:sz="4" w:space="0"/>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p>
        </w:tc>
        <w:tc>
          <w:tcPr>
            <w:tcW w:w="6378" w:type="dxa"/>
            <w:tcBorders>
              <w:top w:val="single" w:color="auto" w:sz="4" w:space="0"/>
              <w:left w:val="single" w:color="auto" w:sz="4" w:space="0"/>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只有一个方案投标。</w:t>
            </w:r>
          </w:p>
        </w:tc>
        <w:tc>
          <w:tcPr>
            <w:tcW w:w="482" w:type="dxa"/>
            <w:tcBorders>
              <w:lef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884" w:type="dxa"/>
            <w:tcBorders>
              <w:righ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78" w:hRule="atLeast"/>
        </w:trPr>
        <w:tc>
          <w:tcPr>
            <w:tcW w:w="1094"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597" w:type="dxa"/>
            <w:tcBorders>
              <w:left w:val="single" w:color="auto" w:sz="4" w:space="0"/>
            </w:tcBorders>
            <w:noWrap w:val="0"/>
            <w:vAlign w:val="center"/>
          </w:tcPr>
          <w:p>
            <w:pPr>
              <w:shd w:val="clear" w:color="auto" w:fill="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c>
          <w:tcPr>
            <w:tcW w:w="6378" w:type="dxa"/>
            <w:tcBorders>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投标文件内容齐全、无遗漏。</w:t>
            </w:r>
          </w:p>
        </w:tc>
        <w:tc>
          <w:tcPr>
            <w:tcW w:w="482" w:type="dxa"/>
            <w:tcBorders>
              <w:lef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884" w:type="dxa"/>
            <w:tcBorders>
              <w:righ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597" w:type="dxa"/>
            <w:tcBorders>
              <w:left w:val="single" w:color="auto" w:sz="4" w:space="0"/>
              <w:bottom w:val="single" w:color="auto" w:sz="4" w:space="0"/>
            </w:tcBorders>
            <w:noWrap w:val="0"/>
            <w:vAlign w:val="center"/>
          </w:tcPr>
          <w:p>
            <w:pPr>
              <w:shd w:val="clear" w:color="auto" w:fill="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p>
        </w:tc>
        <w:tc>
          <w:tcPr>
            <w:tcW w:w="6378" w:type="dxa"/>
            <w:tcBorders>
              <w:bottom w:val="single" w:color="auto" w:sz="4" w:space="0"/>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对招标文件规定的招标内容全部作出响应。</w:t>
            </w:r>
          </w:p>
        </w:tc>
        <w:tc>
          <w:tcPr>
            <w:tcW w:w="482" w:type="dxa"/>
            <w:tcBorders>
              <w:left w:val="single" w:color="auto" w:sz="4" w:space="0"/>
              <w:bottom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884" w:type="dxa"/>
            <w:tcBorders>
              <w:bottom w:val="single" w:color="auto" w:sz="4" w:space="0"/>
              <w:righ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5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w:t>
            </w:r>
          </w:p>
        </w:tc>
        <w:tc>
          <w:tcPr>
            <w:tcW w:w="6378"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满足招标文件提出的技术和质量要求。</w:t>
            </w:r>
          </w:p>
        </w:tc>
        <w:tc>
          <w:tcPr>
            <w:tcW w:w="482" w:type="dxa"/>
            <w:tcBorders>
              <w:top w:val="single" w:color="auto" w:sz="4" w:space="0"/>
              <w:left w:val="single" w:color="auto" w:sz="4" w:space="0"/>
              <w:bottom w:val="single" w:color="auto" w:sz="4" w:space="0"/>
              <w:righ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094"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597" w:type="dxa"/>
            <w:tcBorders>
              <w:top w:val="single" w:color="auto" w:sz="4" w:space="0"/>
              <w:left w:val="single" w:color="auto" w:sz="4" w:space="0"/>
            </w:tcBorders>
            <w:noWrap w:val="0"/>
            <w:vAlign w:val="center"/>
          </w:tcPr>
          <w:p>
            <w:pPr>
              <w:shd w:val="clear" w:color="auto" w:fill="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w:t>
            </w:r>
          </w:p>
        </w:tc>
        <w:tc>
          <w:tcPr>
            <w:tcW w:w="6378" w:type="dxa"/>
            <w:tcBorders>
              <w:top w:val="single" w:color="auto" w:sz="4" w:space="0"/>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完成期限满足招标文件要求。</w:t>
            </w:r>
          </w:p>
        </w:tc>
        <w:tc>
          <w:tcPr>
            <w:tcW w:w="482" w:type="dxa"/>
            <w:tcBorders>
              <w:top w:val="single" w:color="auto" w:sz="4" w:space="0"/>
              <w:lef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884" w:type="dxa"/>
            <w:tcBorders>
              <w:top w:val="single" w:color="auto" w:sz="4" w:space="0"/>
              <w:righ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597" w:type="dxa"/>
            <w:tcBorders>
              <w:left w:val="single" w:color="auto" w:sz="4" w:space="0"/>
            </w:tcBorders>
            <w:noWrap w:val="0"/>
            <w:vAlign w:val="center"/>
          </w:tcPr>
          <w:p>
            <w:pPr>
              <w:shd w:val="clear" w:color="auto" w:fill="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w:t>
            </w:r>
          </w:p>
        </w:tc>
        <w:tc>
          <w:tcPr>
            <w:tcW w:w="6378" w:type="dxa"/>
            <w:tcBorders>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售后服务满足招标文件要求。</w:t>
            </w:r>
          </w:p>
        </w:tc>
        <w:tc>
          <w:tcPr>
            <w:tcW w:w="482" w:type="dxa"/>
            <w:tcBorders>
              <w:lef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884" w:type="dxa"/>
            <w:tcBorders>
              <w:righ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2" w:hRule="atLeast"/>
        </w:trPr>
        <w:tc>
          <w:tcPr>
            <w:tcW w:w="1094"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597" w:type="dxa"/>
            <w:tcBorders>
              <w:left w:val="single" w:color="auto" w:sz="4" w:space="0"/>
            </w:tcBorders>
            <w:noWrap w:val="0"/>
            <w:vAlign w:val="center"/>
          </w:tcPr>
          <w:p>
            <w:pPr>
              <w:shd w:val="clear" w:color="auto" w:fill="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w:t>
            </w:r>
          </w:p>
        </w:tc>
        <w:tc>
          <w:tcPr>
            <w:tcW w:w="6378" w:type="dxa"/>
            <w:tcBorders>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投标有效期满足招标文件要求。</w:t>
            </w:r>
          </w:p>
        </w:tc>
        <w:tc>
          <w:tcPr>
            <w:tcW w:w="482" w:type="dxa"/>
            <w:tcBorders>
              <w:lef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884" w:type="dxa"/>
            <w:tcBorders>
              <w:righ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0" w:hRule="atLeast"/>
        </w:trPr>
        <w:tc>
          <w:tcPr>
            <w:tcW w:w="1094"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597" w:type="dxa"/>
            <w:tcBorders>
              <w:left w:val="single" w:color="auto" w:sz="4" w:space="0"/>
            </w:tcBorders>
            <w:noWrap w:val="0"/>
            <w:vAlign w:val="center"/>
          </w:tcPr>
          <w:p>
            <w:pPr>
              <w:shd w:val="clear" w:color="auto" w:fill="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w:t>
            </w:r>
          </w:p>
        </w:tc>
        <w:tc>
          <w:tcPr>
            <w:tcW w:w="6378" w:type="dxa"/>
            <w:tcBorders>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bidi="ar"/>
                <w14:textFill>
                  <w14:solidFill>
                    <w14:schemeClr w14:val="tx1"/>
                  </w14:solidFill>
                </w14:textFill>
              </w:rPr>
              <w:t>投标人详细地址、联系人、电话</w:t>
            </w:r>
          </w:p>
        </w:tc>
        <w:tc>
          <w:tcPr>
            <w:tcW w:w="482" w:type="dxa"/>
            <w:tcBorders>
              <w:lef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884" w:type="dxa"/>
            <w:tcBorders>
              <w:righ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p>
        </w:tc>
        <w:tc>
          <w:tcPr>
            <w:tcW w:w="6975" w:type="dxa"/>
            <w:gridSpan w:val="2"/>
            <w:tcBorders>
              <w:left w:val="single" w:color="auto" w:sz="4" w:space="0"/>
              <w:bottom w:val="single" w:color="auto" w:sz="4" w:space="0"/>
              <w:right w:val="single" w:color="auto" w:sz="4" w:space="0"/>
            </w:tcBorders>
            <w:noWrap w:val="0"/>
            <w:vAlign w:val="top"/>
          </w:tcPr>
          <w:p>
            <w:pPr>
              <w:shd w:val="clear" w:color="auto" w:fil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结论：是否通过评审（须填写通过或不通过）</w:t>
            </w:r>
          </w:p>
          <w:p>
            <w:pPr>
              <w:shd w:val="clear" w:color="auto" w:fil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注：如有一项不合格，作废标处理。</w:t>
            </w:r>
          </w:p>
        </w:tc>
        <w:tc>
          <w:tcPr>
            <w:tcW w:w="1366" w:type="dxa"/>
            <w:gridSpan w:val="2"/>
            <w:tcBorders>
              <w:left w:val="single" w:color="auto" w:sz="4" w:space="0"/>
              <w:bottom w:val="single" w:color="auto" w:sz="4" w:space="0"/>
              <w:righ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bl>
    <w:p>
      <w:pPr>
        <w:shd w:val="clear" w:color="auto" w:fill="auto"/>
        <w:bidi w:val="0"/>
        <w:rPr>
          <w:rFonts w:hint="eastAsia" w:ascii="仿宋" w:hAnsi="仿宋" w:eastAsia="仿宋" w:cs="仿宋"/>
          <w:color w:val="000000" w:themeColor="text1"/>
          <w:highlight w:val="none"/>
          <w14:textFill>
            <w14:solidFill>
              <w14:schemeClr w14:val="tx1"/>
            </w14:solidFill>
          </w14:textFill>
        </w:rPr>
      </w:pPr>
    </w:p>
    <w:p>
      <w:pPr>
        <w:shd w:val="clear" w:color="auto" w:fill="auto"/>
        <w:spacing w:line="400" w:lineRule="exact"/>
        <w:ind w:firstLine="585" w:firstLineChars="241"/>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.2评委会判定投标文件的响应性只根据投标文件本身的内容，而不寻求外部的证据，但投标有不真实不正确的内容时除外。</w:t>
      </w:r>
    </w:p>
    <w:p>
      <w:pPr>
        <w:shd w:val="clear" w:color="auto" w:fill="auto"/>
        <w:spacing w:line="400" w:lineRule="exact"/>
        <w:ind w:firstLine="585" w:firstLineChars="241"/>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.3如果投标文件实质上没有响应</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的要求，评委会将予以拒绝，投标人不得通过修正或撤销不符合要求的偏离或保留，而使其投标成为实质上响应的投标。</w:t>
      </w:r>
    </w:p>
    <w:p>
      <w:pPr>
        <w:shd w:val="clear" w:color="auto" w:fill="auto"/>
        <w:spacing w:line="40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.4投标人可在现场20分钟内对评标委员会的评审结论提出异议，评标委员会根据</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及有关规定对投标人的异议进行复议</w:t>
      </w:r>
    </w:p>
    <w:p>
      <w:pPr>
        <w:shd w:val="clear" w:color="auto" w:fill="auto"/>
        <w:spacing w:line="400" w:lineRule="exact"/>
        <w:ind w:firstLine="607" w:firstLineChars="2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.5只有通过初审的投标人才能进入下一步评标程序。</w:t>
      </w:r>
    </w:p>
    <w:p>
      <w:pPr>
        <w:shd w:val="clear" w:color="auto" w:fill="auto"/>
        <w:spacing w:line="40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pPr>
        <w:shd w:val="clear" w:color="auto" w:fill="auto"/>
        <w:spacing w:before="156" w:beforeLines="50" w:line="400" w:lineRule="exact"/>
        <w:jc w:val="center"/>
        <w:outlineLvl w:val="1"/>
        <w:rPr>
          <w:rFonts w:hint="eastAsia" w:ascii="仿宋" w:hAnsi="仿宋" w:eastAsia="仿宋" w:cs="仿宋"/>
          <w:b/>
          <w:color w:val="000000" w:themeColor="text1"/>
          <w:sz w:val="24"/>
          <w:highlight w:val="none"/>
          <w14:textFill>
            <w14:solidFill>
              <w14:schemeClr w14:val="tx1"/>
            </w14:solidFill>
          </w14:textFill>
        </w:rPr>
      </w:pPr>
      <w:bookmarkStart w:id="39" w:name="_Toc469495734"/>
      <w:bookmarkStart w:id="40" w:name="_Toc362983803"/>
      <w:r>
        <w:rPr>
          <w:rFonts w:hint="eastAsia" w:ascii="仿宋" w:hAnsi="仿宋" w:eastAsia="仿宋" w:cs="仿宋"/>
          <w:b/>
          <w:color w:val="000000" w:themeColor="text1"/>
          <w:sz w:val="28"/>
          <w:szCs w:val="28"/>
          <w:highlight w:val="none"/>
          <w14:textFill>
            <w14:solidFill>
              <w14:schemeClr w14:val="tx1"/>
            </w14:solidFill>
          </w14:textFill>
        </w:rPr>
        <w:t xml:space="preserve">三  </w:t>
      </w:r>
      <w:r>
        <w:rPr>
          <w:rFonts w:hint="eastAsia" w:ascii="仿宋" w:hAnsi="仿宋" w:eastAsia="仿宋" w:cs="仿宋"/>
          <w:b/>
          <w:color w:val="000000" w:themeColor="text1"/>
          <w:sz w:val="24"/>
          <w:highlight w:val="none"/>
          <w14:textFill>
            <w14:solidFill>
              <w14:schemeClr w14:val="tx1"/>
            </w14:solidFill>
          </w14:textFill>
        </w:rPr>
        <w:t>投标文件的澄清和补正</w:t>
      </w:r>
      <w:bookmarkEnd w:id="39"/>
      <w:bookmarkEnd w:id="40"/>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8．澄清、说明或补正的形式</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9．错误修正的原则</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投标文件报价出现前后不一致的，除采购文件另有规定外，按照下列规定修正：</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9.1 投标函中表述的内容与报价表中不一致的，以报价表为准；报价表中的内容与报价明细表不一致的，以报价表为准；</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9.2 投标文件中的大写金额和小写金额不一致的，以大写金额为准；</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9.3 单价金额小数点或者百分比有明显错位的，以开标一览表的总价为准，并修改单价；</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9.4 总价金额与按单价汇总金额不一致的，以单价金额计算结果为准；</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9.5 若用文字表示的数值与用数字表示的数值不一致，以文字表示的数值为准；</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9.7 对不同文字文本投标文件的解释发生异议的，以中文文本为准；</w:t>
      </w:r>
    </w:p>
    <w:p>
      <w:pPr>
        <w:shd w:val="clear" w:color="auto" w:fill="auto"/>
        <w:spacing w:line="440" w:lineRule="exact"/>
        <w:ind w:firstLine="243"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hd w:val="clear" w:color="auto" w:fill="auto"/>
        <w:spacing w:line="400" w:lineRule="exact"/>
        <w:ind w:firstLine="465" w:firstLineChars="192"/>
        <w:rPr>
          <w:rFonts w:hint="eastAsia" w:ascii="仿宋" w:hAnsi="仿宋" w:eastAsia="仿宋" w:cs="仿宋"/>
          <w:color w:val="000000" w:themeColor="text1"/>
          <w:szCs w:val="21"/>
          <w:highlight w:val="none"/>
          <w14:textFill>
            <w14:solidFill>
              <w14:schemeClr w14:val="tx1"/>
            </w14:solidFill>
          </w14:textFill>
        </w:rPr>
      </w:pPr>
    </w:p>
    <w:p>
      <w:pPr>
        <w:shd w:val="clear" w:color="auto" w:fill="auto"/>
        <w:spacing w:line="400" w:lineRule="exact"/>
        <w:jc w:val="center"/>
        <w:outlineLvl w:val="1"/>
        <w:rPr>
          <w:rFonts w:hint="eastAsia" w:ascii="仿宋" w:hAnsi="仿宋" w:eastAsia="仿宋" w:cs="仿宋"/>
          <w:b/>
          <w:color w:val="000000" w:themeColor="text1"/>
          <w:sz w:val="24"/>
          <w:highlight w:val="none"/>
          <w14:textFill>
            <w14:solidFill>
              <w14:schemeClr w14:val="tx1"/>
            </w14:solidFill>
          </w14:textFill>
        </w:rPr>
      </w:pPr>
      <w:bookmarkStart w:id="41" w:name="_Toc469495735"/>
      <w:r>
        <w:rPr>
          <w:rFonts w:hint="eastAsia" w:ascii="仿宋" w:hAnsi="仿宋" w:eastAsia="仿宋" w:cs="仿宋"/>
          <w:b/>
          <w:color w:val="000000" w:themeColor="text1"/>
          <w:sz w:val="24"/>
          <w:highlight w:val="none"/>
          <w14:textFill>
            <w14:solidFill>
              <w14:schemeClr w14:val="tx1"/>
            </w14:solidFill>
          </w14:textFill>
        </w:rPr>
        <w:t>四 比较与评价</w:t>
      </w:r>
      <w:bookmarkEnd w:id="41"/>
    </w:p>
    <w:p>
      <w:pPr>
        <w:shd w:val="clear" w:color="auto" w:fill="auto"/>
        <w:tabs>
          <w:tab w:val="left" w:pos="720"/>
        </w:tabs>
        <w:spacing w:line="440" w:lineRule="exact"/>
        <w:ind w:firstLine="619" w:firstLineChars="255"/>
        <w:rPr>
          <w:rFonts w:hint="eastAsia" w:ascii="仿宋" w:hAnsi="仿宋" w:eastAsia="仿宋" w:cs="仿宋"/>
          <w:color w:val="000000" w:themeColor="text1"/>
          <w:szCs w:val="21"/>
          <w:highlight w:val="none"/>
          <w:lang w:bidi="ar-SA"/>
          <w14:textFill>
            <w14:solidFill>
              <w14:schemeClr w14:val="tx1"/>
            </w14:solidFill>
          </w14:textFill>
        </w:rPr>
      </w:pPr>
      <w:bookmarkStart w:id="42" w:name="_Toc362983805"/>
      <w:bookmarkStart w:id="43" w:name="_Toc469495736"/>
      <w:r>
        <w:rPr>
          <w:rFonts w:hint="eastAsia" w:ascii="仿宋" w:hAnsi="仿宋" w:eastAsia="仿宋" w:cs="仿宋"/>
          <w:color w:val="000000" w:themeColor="text1"/>
          <w:szCs w:val="21"/>
          <w:highlight w:val="none"/>
          <w:lang w:val="en-US" w:eastAsia="zh-CN" w:bidi="ar-SA"/>
          <w14:textFill>
            <w14:solidFill>
              <w14:schemeClr w14:val="tx1"/>
            </w14:solidFill>
          </w14:textFill>
        </w:rPr>
        <w:t>10.1</w:t>
      </w:r>
      <w:r>
        <w:rPr>
          <w:rFonts w:hint="eastAsia" w:ascii="仿宋" w:hAnsi="仿宋" w:eastAsia="仿宋" w:cs="仿宋"/>
          <w:color w:val="000000" w:themeColor="text1"/>
          <w:szCs w:val="21"/>
          <w:highlight w:val="none"/>
          <w:lang w:bidi="ar-SA"/>
          <w14:textFill>
            <w14:solidFill>
              <w14:schemeClr w14:val="tx1"/>
            </w14:solidFill>
          </w14:textFill>
        </w:rPr>
        <w:t>评标委员会按招标文件中规定的评标方法和标准，对资格性检查和符合性检查合格的投标文件进行商务和技术评估、综合比较与评价。</w:t>
      </w:r>
    </w:p>
    <w:p>
      <w:pPr>
        <w:shd w:val="clear" w:color="auto" w:fill="auto"/>
        <w:spacing w:line="440" w:lineRule="exact"/>
        <w:ind w:firstLine="623"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val="en-US" w:eastAsia="zh-CN" w:bidi="ar-SA"/>
          <w14:textFill>
            <w14:solidFill>
              <w14:schemeClr w14:val="tx1"/>
            </w14:solidFill>
          </w14:textFill>
        </w:rPr>
        <w:t>10.2</w:t>
      </w:r>
      <w:r>
        <w:rPr>
          <w:rFonts w:hint="eastAsia" w:ascii="仿宋" w:hAnsi="仿宋" w:eastAsia="仿宋" w:cs="仿宋"/>
          <w:color w:val="000000" w:themeColor="text1"/>
          <w:szCs w:val="21"/>
          <w:highlight w:val="none"/>
          <w:lang w:bidi="ar-SA"/>
          <w14:textFill>
            <w14:solidFill>
              <w14:schemeClr w14:val="tx1"/>
            </w14:solidFill>
          </w14:textFill>
        </w:rPr>
        <w:t>评标委员会根据商务和技术评估的结果，采用综合评分法，分别对投标文件的商务、技术、价格等内容进行打分。其中，商务评估、技术评估、价格评估的评分权值（详见附件1）。</w:t>
      </w:r>
    </w:p>
    <w:p>
      <w:pPr>
        <w:shd w:val="clear" w:color="auto" w:fill="auto"/>
        <w:spacing w:line="440" w:lineRule="exact"/>
        <w:ind w:firstLine="623" w:firstLineChars="257"/>
        <w:rPr>
          <w:rFonts w:hint="eastAsia" w:ascii="仿宋" w:hAnsi="仿宋" w:eastAsia="仿宋" w:cs="仿宋"/>
          <w:bCs/>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val="en-US" w:eastAsia="zh-CN" w:bidi="ar-SA"/>
          <w14:textFill>
            <w14:solidFill>
              <w14:schemeClr w14:val="tx1"/>
            </w14:solidFill>
          </w14:textFill>
        </w:rPr>
        <w:t>10.</w:t>
      </w:r>
      <w:r>
        <w:rPr>
          <w:rFonts w:hint="eastAsia" w:ascii="仿宋" w:hAnsi="仿宋" w:eastAsia="仿宋" w:cs="仿宋"/>
          <w:bCs/>
          <w:color w:val="000000" w:themeColor="text1"/>
          <w:szCs w:val="21"/>
          <w:highlight w:val="none"/>
          <w:lang w:val="en-US" w:eastAsia="zh-CN" w:bidi="ar-SA"/>
          <w14:textFill>
            <w14:solidFill>
              <w14:schemeClr w14:val="tx1"/>
            </w14:solidFill>
          </w14:textFill>
        </w:rPr>
        <w:t>2.1</w:t>
      </w:r>
      <w:r>
        <w:rPr>
          <w:rFonts w:hint="eastAsia" w:ascii="仿宋" w:hAnsi="仿宋" w:eastAsia="仿宋" w:cs="仿宋"/>
          <w:bCs/>
          <w:color w:val="000000" w:themeColor="text1"/>
          <w:szCs w:val="21"/>
          <w:highlight w:val="none"/>
          <w:lang w:bidi="ar-SA"/>
          <w14:textFill>
            <w14:solidFill>
              <w14:schemeClr w14:val="tx1"/>
            </w14:solidFill>
          </w14:textFill>
        </w:rPr>
        <w:t>评委打分办法</w:t>
      </w:r>
    </w:p>
    <w:p>
      <w:pPr>
        <w:shd w:val="clear" w:color="auto" w:fill="auto"/>
        <w:spacing w:line="440" w:lineRule="exact"/>
        <w:ind w:firstLine="623"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bCs/>
          <w:color w:val="000000" w:themeColor="text1"/>
          <w:szCs w:val="21"/>
          <w:highlight w:val="none"/>
          <w:lang w:bidi="ar-SA"/>
          <w14:textFill>
            <w14:solidFill>
              <w14:schemeClr w14:val="tx1"/>
            </w14:solidFill>
          </w14:textFill>
        </w:rPr>
        <w:t>（1）</w:t>
      </w:r>
      <w:r>
        <w:rPr>
          <w:rFonts w:hint="eastAsia" w:ascii="仿宋" w:hAnsi="仿宋" w:eastAsia="仿宋" w:cs="仿宋"/>
          <w:color w:val="000000" w:themeColor="text1"/>
          <w:szCs w:val="21"/>
          <w:highlight w:val="none"/>
          <w:lang w:bidi="ar-SA"/>
          <w14:textFill>
            <w14:solidFill>
              <w14:schemeClr w14:val="tx1"/>
            </w14:solidFill>
          </w14:textFill>
        </w:rPr>
        <w:t>参加评分的评委应尽力体现客观、实事求是，避免学派偏见和个人偏好。</w:t>
      </w:r>
    </w:p>
    <w:p>
      <w:pPr>
        <w:shd w:val="clear" w:color="auto" w:fill="auto"/>
        <w:spacing w:line="440" w:lineRule="exact"/>
        <w:ind w:firstLine="623"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（2）衡量、对比的依据，应以招标文件、投标文件、提供的正式试验数据、质询澄清中的文字为准，口头回答和收集的资料只作为参考。</w:t>
      </w:r>
    </w:p>
    <w:p>
      <w:pPr>
        <w:shd w:val="clear" w:color="auto" w:fill="auto"/>
        <w:spacing w:line="440" w:lineRule="exact"/>
        <w:ind w:firstLine="623"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（3）评分主要是为比较各投标人的价格、商务和技术综合排序。</w:t>
      </w:r>
    </w:p>
    <w:p>
      <w:pPr>
        <w:shd w:val="clear" w:color="auto" w:fill="auto"/>
        <w:spacing w:line="440" w:lineRule="exact"/>
        <w:ind w:firstLine="623"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（4）评委打分采取记名形式。</w:t>
      </w:r>
    </w:p>
    <w:p>
      <w:pPr>
        <w:shd w:val="clear" w:color="auto" w:fill="auto"/>
        <w:spacing w:line="440" w:lineRule="exact"/>
        <w:ind w:firstLine="623"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（5）各评委根据提供的技术打分表独立自主打分，任何人不得要求评委统一打分或统一确定等次顺序。</w:t>
      </w:r>
    </w:p>
    <w:p>
      <w:pPr>
        <w:shd w:val="clear" w:color="auto" w:fill="auto"/>
        <w:spacing w:line="440" w:lineRule="exact"/>
        <w:ind w:firstLine="623"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（6）对打分表中的每项条款，各评委应根据投标文件、澄清材料、招标文件要求，按满足的程度给投标人打分。</w:t>
      </w:r>
    </w:p>
    <w:p>
      <w:pPr>
        <w:shd w:val="clear" w:color="auto" w:fill="auto"/>
        <w:spacing w:line="440" w:lineRule="exact"/>
        <w:ind w:firstLine="623"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（7）评分程序</w:t>
      </w:r>
    </w:p>
    <w:p>
      <w:pPr>
        <w:shd w:val="clear" w:color="auto" w:fill="auto"/>
        <w:spacing w:line="440" w:lineRule="exact"/>
        <w:ind w:firstLine="623"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1)就投标人的投标文件对照整理出商务、技术评标因素对比表、偏差表，并在经过校核的基础上逐项打分。</w:t>
      </w:r>
    </w:p>
    <w:p>
      <w:pPr>
        <w:shd w:val="clear" w:color="auto" w:fill="auto"/>
        <w:spacing w:line="440" w:lineRule="exact"/>
        <w:ind w:firstLine="623"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2)各评委独立完成打分后，将评分表交给代理机构，由代理机构组织进行分数统计。</w:t>
      </w:r>
    </w:p>
    <w:p>
      <w:pPr>
        <w:shd w:val="clear" w:color="auto" w:fill="auto"/>
        <w:spacing w:line="440" w:lineRule="exact"/>
        <w:ind w:firstLine="623"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3)最终汇总表中各投标人得分应为评委打分的算术平均值。</w:t>
      </w:r>
    </w:p>
    <w:p>
      <w:pPr>
        <w:numPr>
          <w:ilvl w:val="0"/>
          <w:numId w:val="0"/>
        </w:numPr>
        <w:shd w:val="clear" w:color="auto" w:fill="auto"/>
        <w:spacing w:line="500" w:lineRule="exact"/>
        <w:ind w:firstLine="486" w:firstLineChars="200"/>
        <w:jc w:val="left"/>
        <w:rPr>
          <w:rFonts w:hint="eastAsia" w:ascii="仿宋" w:hAnsi="仿宋" w:eastAsia="仿宋" w:cs="仿宋"/>
          <w:color w:val="000000" w:themeColor="text1"/>
          <w:szCs w:val="21"/>
          <w:highlight w:val="none"/>
          <w:lang w:bidi="ar-SA"/>
          <w14:textFill>
            <w14:solidFill>
              <w14:schemeClr w14:val="tx1"/>
            </w14:solidFill>
          </w14:textFill>
        </w:rPr>
      </w:pPr>
    </w:p>
    <w:p>
      <w:pPr>
        <w:numPr>
          <w:ilvl w:val="0"/>
          <w:numId w:val="0"/>
        </w:numPr>
        <w:shd w:val="clear" w:color="auto" w:fill="auto"/>
        <w:spacing w:line="500" w:lineRule="exact"/>
        <w:ind w:firstLine="486" w:firstLineChars="200"/>
        <w:jc w:val="left"/>
        <w:rPr>
          <w:rFonts w:hint="eastAsia" w:ascii="仿宋" w:hAnsi="仿宋" w:eastAsia="仿宋" w:cs="仿宋"/>
          <w:color w:val="000000" w:themeColor="text1"/>
          <w:szCs w:val="21"/>
          <w:highlight w:val="none"/>
          <w:lang w:bidi="ar-SA"/>
          <w14:textFill>
            <w14:solidFill>
              <w14:schemeClr w14:val="tx1"/>
            </w14:solidFill>
          </w14:textFill>
        </w:rPr>
      </w:pPr>
    </w:p>
    <w:p>
      <w:pPr>
        <w:pStyle w:val="15"/>
        <w:rPr>
          <w:rFonts w:hint="eastAsia" w:ascii="仿宋" w:hAnsi="仿宋" w:eastAsia="仿宋" w:cs="仿宋"/>
          <w:color w:val="000000" w:themeColor="text1"/>
          <w:szCs w:val="21"/>
          <w:highlight w:val="none"/>
          <w:lang w:bidi="ar-SA"/>
          <w14:textFill>
            <w14:solidFill>
              <w14:schemeClr w14:val="tx1"/>
            </w14:solidFill>
          </w14:textFill>
        </w:rPr>
      </w:pPr>
    </w:p>
    <w:p>
      <w:pPr>
        <w:pStyle w:val="15"/>
        <w:rPr>
          <w:rFonts w:hint="eastAsia" w:ascii="仿宋" w:hAnsi="仿宋" w:eastAsia="仿宋" w:cs="仿宋"/>
          <w:color w:val="000000" w:themeColor="text1"/>
          <w:szCs w:val="21"/>
          <w:highlight w:val="none"/>
          <w:lang w:bidi="ar-SA"/>
          <w14:textFill>
            <w14:solidFill>
              <w14:schemeClr w14:val="tx1"/>
            </w14:solidFill>
          </w14:textFill>
        </w:rPr>
      </w:pPr>
    </w:p>
    <w:p>
      <w:pPr>
        <w:pStyle w:val="15"/>
        <w:rPr>
          <w:rFonts w:hint="eastAsia" w:ascii="仿宋" w:hAnsi="仿宋" w:eastAsia="仿宋" w:cs="仿宋"/>
          <w:color w:val="000000" w:themeColor="text1"/>
          <w:szCs w:val="21"/>
          <w:highlight w:val="none"/>
          <w:lang w:bidi="ar-SA"/>
          <w14:textFill>
            <w14:solidFill>
              <w14:schemeClr w14:val="tx1"/>
            </w14:solidFill>
          </w14:textFill>
        </w:rPr>
      </w:pPr>
    </w:p>
    <w:p>
      <w:pPr>
        <w:pStyle w:val="15"/>
        <w:rPr>
          <w:rFonts w:hint="eastAsia" w:ascii="仿宋" w:hAnsi="仿宋" w:eastAsia="仿宋" w:cs="仿宋"/>
          <w:color w:val="000000" w:themeColor="text1"/>
          <w:szCs w:val="21"/>
          <w:highlight w:val="none"/>
          <w:lang w:bidi="ar-SA"/>
          <w14:textFill>
            <w14:solidFill>
              <w14:schemeClr w14:val="tx1"/>
            </w14:solidFill>
          </w14:textFill>
        </w:rPr>
      </w:pPr>
    </w:p>
    <w:p>
      <w:pPr>
        <w:pStyle w:val="15"/>
        <w:rPr>
          <w:rFonts w:hint="eastAsia" w:ascii="仿宋" w:hAnsi="仿宋" w:eastAsia="仿宋" w:cs="仿宋"/>
          <w:color w:val="000000" w:themeColor="text1"/>
          <w:szCs w:val="21"/>
          <w:highlight w:val="none"/>
          <w:lang w:bidi="ar-SA"/>
          <w14:textFill>
            <w14:solidFill>
              <w14:schemeClr w14:val="tx1"/>
            </w14:solidFill>
          </w14:textFill>
        </w:rPr>
      </w:pPr>
    </w:p>
    <w:p>
      <w:pPr>
        <w:pStyle w:val="15"/>
        <w:rPr>
          <w:rFonts w:hint="eastAsia" w:ascii="仿宋" w:hAnsi="仿宋" w:eastAsia="仿宋" w:cs="仿宋"/>
          <w:color w:val="000000" w:themeColor="text1"/>
          <w:szCs w:val="21"/>
          <w:highlight w:val="none"/>
          <w:lang w:bidi="ar-SA"/>
          <w14:textFill>
            <w14:solidFill>
              <w14:schemeClr w14:val="tx1"/>
            </w14:solidFill>
          </w14:textFill>
        </w:rPr>
      </w:pPr>
    </w:p>
    <w:p>
      <w:pPr>
        <w:pStyle w:val="15"/>
        <w:rPr>
          <w:rFonts w:hint="eastAsia" w:ascii="仿宋" w:hAnsi="仿宋" w:eastAsia="仿宋" w:cs="仿宋"/>
          <w:color w:val="000000" w:themeColor="text1"/>
          <w:szCs w:val="21"/>
          <w:highlight w:val="none"/>
          <w:lang w:bidi="ar-SA"/>
          <w14:textFill>
            <w14:solidFill>
              <w14:schemeClr w14:val="tx1"/>
            </w14:solidFill>
          </w14:textFill>
        </w:rPr>
      </w:pPr>
    </w:p>
    <w:p>
      <w:pPr>
        <w:pStyle w:val="15"/>
        <w:rPr>
          <w:rFonts w:hint="eastAsia" w:ascii="仿宋" w:hAnsi="仿宋" w:eastAsia="仿宋" w:cs="仿宋"/>
          <w:color w:val="000000" w:themeColor="text1"/>
          <w:szCs w:val="21"/>
          <w:highlight w:val="none"/>
          <w:lang w:bidi="ar-SA"/>
          <w14:textFill>
            <w14:solidFill>
              <w14:schemeClr w14:val="tx1"/>
            </w14:solidFill>
          </w14:textFill>
        </w:rPr>
      </w:pPr>
    </w:p>
    <w:p>
      <w:pPr>
        <w:pStyle w:val="15"/>
        <w:rPr>
          <w:rFonts w:hint="eastAsia" w:ascii="仿宋" w:hAnsi="仿宋" w:eastAsia="仿宋" w:cs="仿宋"/>
          <w:color w:val="000000" w:themeColor="text1"/>
          <w:szCs w:val="21"/>
          <w:highlight w:val="none"/>
          <w:lang w:bidi="ar-SA"/>
          <w14:textFill>
            <w14:solidFill>
              <w14:schemeClr w14:val="tx1"/>
            </w14:solidFill>
          </w14:textFill>
        </w:rPr>
      </w:pPr>
    </w:p>
    <w:p>
      <w:pPr>
        <w:pStyle w:val="15"/>
        <w:rPr>
          <w:rFonts w:hint="eastAsia" w:ascii="仿宋" w:hAnsi="仿宋" w:eastAsia="仿宋" w:cs="仿宋"/>
          <w:color w:val="000000" w:themeColor="text1"/>
          <w:szCs w:val="21"/>
          <w:highlight w:val="none"/>
          <w:lang w:bidi="ar-SA"/>
          <w14:textFill>
            <w14:solidFill>
              <w14:schemeClr w14:val="tx1"/>
            </w14:solidFill>
          </w14:textFill>
        </w:rPr>
      </w:pPr>
    </w:p>
    <w:p>
      <w:pPr>
        <w:pStyle w:val="15"/>
        <w:rPr>
          <w:rFonts w:hint="eastAsia" w:ascii="仿宋" w:hAnsi="仿宋" w:eastAsia="仿宋" w:cs="仿宋"/>
          <w:color w:val="000000" w:themeColor="text1"/>
          <w:szCs w:val="21"/>
          <w:highlight w:val="none"/>
          <w:lang w:bidi="ar-SA"/>
          <w14:textFill>
            <w14:solidFill>
              <w14:schemeClr w14:val="tx1"/>
            </w14:solidFill>
          </w14:textFill>
        </w:rPr>
      </w:pPr>
    </w:p>
    <w:p>
      <w:pPr>
        <w:pStyle w:val="15"/>
        <w:rPr>
          <w:rFonts w:hint="eastAsia" w:ascii="仿宋" w:hAnsi="仿宋" w:eastAsia="仿宋" w:cs="仿宋"/>
          <w:color w:val="000000" w:themeColor="text1"/>
          <w:szCs w:val="21"/>
          <w:highlight w:val="none"/>
          <w:lang w:bidi="ar-SA"/>
          <w14:textFill>
            <w14:solidFill>
              <w14:schemeClr w14:val="tx1"/>
            </w14:solidFill>
          </w14:textFill>
        </w:rPr>
      </w:pPr>
    </w:p>
    <w:p>
      <w:pPr>
        <w:pStyle w:val="15"/>
        <w:rPr>
          <w:rFonts w:hint="eastAsia" w:ascii="仿宋" w:hAnsi="仿宋" w:eastAsia="仿宋" w:cs="仿宋"/>
          <w:color w:val="000000" w:themeColor="text1"/>
          <w:szCs w:val="21"/>
          <w:highlight w:val="none"/>
          <w:lang w:bidi="ar-SA"/>
          <w14:textFill>
            <w14:solidFill>
              <w14:schemeClr w14:val="tx1"/>
            </w14:solidFill>
          </w14:textFill>
        </w:rPr>
      </w:pPr>
    </w:p>
    <w:p>
      <w:pPr>
        <w:pStyle w:val="15"/>
        <w:rPr>
          <w:rFonts w:hint="eastAsia" w:ascii="仿宋" w:hAnsi="仿宋" w:eastAsia="仿宋" w:cs="仿宋"/>
          <w:color w:val="000000" w:themeColor="text1"/>
          <w:szCs w:val="21"/>
          <w:highlight w:val="none"/>
          <w:lang w:bidi="ar-SA"/>
          <w14:textFill>
            <w14:solidFill>
              <w14:schemeClr w14:val="tx1"/>
            </w14:solidFill>
          </w14:textFill>
        </w:rPr>
      </w:pPr>
    </w:p>
    <w:p>
      <w:pPr>
        <w:pStyle w:val="15"/>
        <w:tabs>
          <w:tab w:val="left" w:pos="3163"/>
        </w:tabs>
        <w:rPr>
          <w:rFonts w:hint="eastAsia" w:ascii="仿宋" w:hAnsi="仿宋" w:eastAsia="仿宋" w:cs="仿宋"/>
          <w:color w:val="000000" w:themeColor="text1"/>
          <w:szCs w:val="21"/>
          <w:highlight w:val="none"/>
          <w:lang w:eastAsia="zh-CN" w:bidi="ar-SA"/>
          <w14:textFill>
            <w14:solidFill>
              <w14:schemeClr w14:val="tx1"/>
            </w14:solidFill>
          </w14:textFill>
        </w:rPr>
      </w:pPr>
    </w:p>
    <w:p>
      <w:pPr>
        <w:shd w:val="clear" w:color="auto" w:fill="auto"/>
        <w:spacing w:line="440" w:lineRule="exact"/>
        <w:ind w:firstLine="972" w:firstLineChars="400"/>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（8）评分标准和细则（综合评分法评分标准）</w:t>
      </w:r>
    </w:p>
    <w:tbl>
      <w:tblPr>
        <w:tblStyle w:val="18"/>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76"/>
        <w:gridCol w:w="5"/>
        <w:gridCol w:w="6516"/>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adjustRightInd/>
              <w:snapToGrid/>
              <w:spacing w:after="120" w:line="240" w:lineRule="auto"/>
              <w:textAlignment w:val="auto"/>
              <w:rPr>
                <w:rFonts w:hint="eastAsia" w:ascii="仿宋" w:hAnsi="仿宋" w:eastAsia="仿宋" w:cs="仿宋"/>
                <w:b/>
                <w:kern w:val="2"/>
                <w:sz w:val="24"/>
                <w:szCs w:val="24"/>
                <w:highlight w:val="none"/>
                <w:u w:val="none"/>
              </w:rPr>
            </w:pPr>
            <w:r>
              <w:rPr>
                <w:rFonts w:hint="eastAsia" w:ascii="仿宋" w:hAnsi="仿宋" w:eastAsia="仿宋" w:cs="仿宋"/>
                <w:b/>
                <w:bCs/>
                <w:kern w:val="2"/>
                <w:sz w:val="24"/>
                <w:szCs w:val="24"/>
                <w:highlight w:val="none"/>
                <w:u w:val="none"/>
              </w:rPr>
              <w:t>评分项目</w:t>
            </w:r>
          </w:p>
        </w:tc>
        <w:tc>
          <w:tcPr>
            <w:tcW w:w="7797"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adjustRightInd/>
              <w:snapToGrid/>
              <w:spacing w:after="120" w:line="240" w:lineRule="auto"/>
              <w:jc w:val="center"/>
              <w:textAlignment w:val="auto"/>
              <w:rPr>
                <w:rFonts w:hint="eastAsia" w:ascii="仿宋" w:hAnsi="仿宋" w:eastAsia="仿宋" w:cs="仿宋"/>
                <w:b/>
                <w:kern w:val="2"/>
                <w:sz w:val="24"/>
                <w:szCs w:val="24"/>
                <w:highlight w:val="none"/>
                <w:u w:val="none"/>
              </w:rPr>
            </w:pPr>
            <w:r>
              <w:rPr>
                <w:rFonts w:hint="eastAsia" w:ascii="仿宋" w:hAnsi="仿宋" w:eastAsia="仿宋" w:cs="仿宋"/>
                <w:b/>
                <w:bCs/>
                <w:kern w:val="2"/>
                <w:sz w:val="24"/>
                <w:szCs w:val="24"/>
                <w:highlight w:val="none"/>
                <w:u w:val="none"/>
              </w:rPr>
              <w:t>评分标准及说明</w:t>
            </w:r>
          </w:p>
        </w:tc>
        <w:tc>
          <w:tcPr>
            <w:tcW w:w="70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adjustRightInd/>
              <w:snapToGrid/>
              <w:spacing w:after="120" w:line="240" w:lineRule="auto"/>
              <w:textAlignment w:val="auto"/>
              <w:rPr>
                <w:rFonts w:hint="eastAsia" w:ascii="仿宋" w:hAnsi="仿宋" w:eastAsia="仿宋" w:cs="仿宋"/>
                <w:b/>
                <w:bCs/>
                <w:kern w:val="2"/>
                <w:sz w:val="24"/>
                <w:szCs w:val="24"/>
                <w:highlight w:val="none"/>
                <w:u w:val="none"/>
              </w:rPr>
            </w:pPr>
            <w:r>
              <w:rPr>
                <w:rFonts w:hint="eastAsia" w:ascii="仿宋" w:hAnsi="仿宋" w:eastAsia="仿宋" w:cs="仿宋"/>
                <w:b/>
                <w:bCs/>
                <w:kern w:val="2"/>
                <w:sz w:val="24"/>
                <w:szCs w:val="24"/>
                <w:highlight w:val="none"/>
                <w:u w:val="none"/>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价格</w:t>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kern w:val="2"/>
                <w:sz w:val="24"/>
                <w:szCs w:val="24"/>
                <w:highlight w:val="none"/>
                <w:u w:val="none"/>
              </w:rPr>
            </w:pPr>
            <w:r>
              <w:rPr>
                <w:rFonts w:hint="eastAsia" w:ascii="仿宋" w:hAnsi="仿宋" w:eastAsia="仿宋" w:cs="仿宋"/>
                <w:color w:val="000000"/>
                <w:kern w:val="2"/>
                <w:sz w:val="24"/>
                <w:szCs w:val="24"/>
                <w:lang w:val="en-US" w:eastAsia="zh-CN" w:bidi="ar"/>
              </w:rPr>
              <w:t>（30分）</w:t>
            </w:r>
          </w:p>
        </w:tc>
        <w:tc>
          <w:tcPr>
            <w:tcW w:w="77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right="0" w:rightChars="0"/>
              <w:jc w:val="both"/>
              <w:rPr>
                <w:rFonts w:hint="eastAsia" w:ascii="仿宋" w:hAnsi="仿宋" w:eastAsia="仿宋" w:cs="仿宋"/>
                <w:kern w:val="2"/>
                <w:sz w:val="24"/>
                <w:szCs w:val="24"/>
                <w:lang w:val="en-US"/>
              </w:rPr>
            </w:pPr>
            <w:r>
              <w:rPr>
                <w:rFonts w:hint="eastAsia" w:ascii="仿宋" w:hAnsi="仿宋" w:eastAsia="仿宋" w:cs="仿宋"/>
                <w:kern w:val="2"/>
                <w:sz w:val="24"/>
                <w:szCs w:val="24"/>
                <w:lang w:val="en-US" w:eastAsia="zh-CN"/>
              </w:rPr>
              <w:t>（1）得分=</w:t>
            </w:r>
            <w:r>
              <w:rPr>
                <w:rFonts w:hint="eastAsia" w:ascii="仿宋" w:hAnsi="仿宋" w:eastAsia="仿宋" w:cs="仿宋"/>
                <w:kern w:val="2"/>
                <w:sz w:val="24"/>
                <w:szCs w:val="24"/>
                <w:lang w:val="en-US"/>
              </w:rPr>
              <w:t>(评标基准价/投标报价)×</w:t>
            </w:r>
            <w:r>
              <w:rPr>
                <w:rFonts w:hint="eastAsia" w:ascii="仿宋" w:hAnsi="仿宋" w:eastAsia="仿宋" w:cs="仿宋"/>
                <w:kern w:val="2"/>
                <w:sz w:val="24"/>
                <w:szCs w:val="24"/>
                <w:lang w:val="en-US" w:eastAsia="zh-CN"/>
              </w:rPr>
              <w:t>30</w:t>
            </w:r>
            <w:r>
              <w:rPr>
                <w:rFonts w:hint="eastAsia" w:ascii="仿宋" w:hAnsi="仿宋" w:eastAsia="仿宋" w:cs="仿宋"/>
                <w:kern w:val="2"/>
                <w:sz w:val="24"/>
                <w:szCs w:val="24"/>
                <w:lang w:val="en-US"/>
              </w:rPr>
              <w:t>%×100</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rPr>
              <w:t>（</w:t>
            </w:r>
            <w:r>
              <w:rPr>
                <w:rFonts w:hint="eastAsia" w:ascii="仿宋" w:hAnsi="仿宋" w:eastAsia="仿宋" w:cs="仿宋"/>
                <w:kern w:val="2"/>
                <w:sz w:val="24"/>
                <w:szCs w:val="24"/>
                <w:lang w:val="en-US" w:eastAsia="zh-CN"/>
              </w:rPr>
              <w:t>2</w:t>
            </w:r>
            <w:r>
              <w:rPr>
                <w:rFonts w:hint="eastAsia" w:ascii="仿宋" w:hAnsi="仿宋" w:eastAsia="仿宋" w:cs="仿宋"/>
                <w:kern w:val="2"/>
                <w:sz w:val="24"/>
                <w:szCs w:val="24"/>
                <w:lang w:val="en-US"/>
              </w:rPr>
              <w:t>）超出采购预算总价的为无效投标报价；</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kern w:val="2"/>
                <w:sz w:val="24"/>
                <w:szCs w:val="24"/>
                <w:highlight w:val="none"/>
                <w:u w:val="none"/>
              </w:rPr>
            </w:pPr>
            <w:r>
              <w:rPr>
                <w:rFonts w:hint="eastAsia" w:ascii="仿宋" w:hAnsi="仿宋" w:eastAsia="仿宋" w:cs="仿宋"/>
                <w:kern w:val="2"/>
                <w:sz w:val="24"/>
                <w:szCs w:val="24"/>
                <w:lang w:val="en-US"/>
              </w:rPr>
              <w:t>（</w:t>
            </w:r>
            <w:r>
              <w:rPr>
                <w:rFonts w:hint="eastAsia" w:ascii="仿宋" w:hAnsi="仿宋" w:eastAsia="仿宋" w:cs="仿宋"/>
                <w:kern w:val="2"/>
                <w:sz w:val="24"/>
                <w:szCs w:val="24"/>
                <w:lang w:val="en-US" w:eastAsia="zh-CN"/>
              </w:rPr>
              <w:t>3</w:t>
            </w:r>
            <w:r>
              <w:rPr>
                <w:rFonts w:hint="eastAsia" w:ascii="仿宋" w:hAnsi="仿宋" w:eastAsia="仿宋" w:cs="仿宋"/>
                <w:kern w:val="2"/>
                <w:sz w:val="24"/>
                <w:szCs w:val="24"/>
                <w:lang w:val="en-US"/>
              </w:rPr>
              <w:t>）</w:t>
            </w:r>
            <w:r>
              <w:rPr>
                <w:rFonts w:hint="eastAsia" w:ascii="仿宋" w:hAnsi="仿宋" w:eastAsia="仿宋" w:cs="仿宋"/>
                <w:kern w:val="2"/>
                <w:sz w:val="24"/>
                <w:szCs w:val="24"/>
                <w:lang w:val="en-US" w:eastAsia="zh-CN"/>
              </w:rPr>
              <w:t>评标委员会</w:t>
            </w:r>
            <w:r>
              <w:rPr>
                <w:rFonts w:hint="eastAsia" w:ascii="仿宋" w:hAnsi="仿宋" w:eastAsia="仿宋" w:cs="仿宋"/>
                <w:kern w:val="2"/>
                <w:sz w:val="24"/>
                <w:szCs w:val="24"/>
                <w:lang w:val="en-US"/>
              </w:rPr>
              <w:t>认为投标人的报价</w:t>
            </w:r>
            <w:r>
              <w:rPr>
                <w:rFonts w:hint="eastAsia" w:ascii="仿宋" w:hAnsi="仿宋" w:eastAsia="仿宋" w:cs="仿宋"/>
                <w:kern w:val="2"/>
                <w:sz w:val="24"/>
                <w:szCs w:val="24"/>
                <w:lang w:val="en-US" w:eastAsia="zh-CN"/>
              </w:rPr>
              <w:t>过低，</w:t>
            </w:r>
            <w:r>
              <w:rPr>
                <w:rFonts w:hint="eastAsia" w:ascii="仿宋" w:hAnsi="仿宋" w:eastAsia="仿宋" w:cs="仿宋"/>
                <w:kern w:val="2"/>
                <w:sz w:val="24"/>
                <w:szCs w:val="24"/>
                <w:lang w:val="en-US"/>
              </w:rPr>
              <w:t>有可能影响</w:t>
            </w:r>
            <w:r>
              <w:rPr>
                <w:rFonts w:hint="eastAsia" w:ascii="仿宋" w:hAnsi="仿宋" w:eastAsia="仿宋" w:cs="仿宋"/>
                <w:kern w:val="2"/>
                <w:sz w:val="24"/>
                <w:szCs w:val="24"/>
                <w:lang w:val="en-US" w:eastAsia="zh-CN"/>
              </w:rPr>
              <w:t>服务</w:t>
            </w:r>
            <w:r>
              <w:rPr>
                <w:rFonts w:hint="eastAsia" w:ascii="仿宋" w:hAnsi="仿宋" w:eastAsia="仿宋" w:cs="仿宋"/>
                <w:kern w:val="2"/>
                <w:sz w:val="24"/>
                <w:szCs w:val="24"/>
                <w:lang w:val="en-US"/>
              </w:rPr>
              <w:t>质量或者不能诚信履约的，应当要求其在</w:t>
            </w:r>
            <w:r>
              <w:rPr>
                <w:rFonts w:hint="eastAsia" w:ascii="仿宋" w:hAnsi="仿宋" w:eastAsia="仿宋" w:cs="仿宋"/>
                <w:kern w:val="2"/>
                <w:sz w:val="24"/>
                <w:szCs w:val="24"/>
                <w:lang w:val="en-US" w:eastAsia="zh-CN"/>
              </w:rPr>
              <w:t>评标</w:t>
            </w:r>
            <w:r>
              <w:rPr>
                <w:rFonts w:hint="eastAsia" w:ascii="仿宋" w:hAnsi="仿宋" w:eastAsia="仿宋" w:cs="仿宋"/>
                <w:kern w:val="2"/>
                <w:sz w:val="24"/>
                <w:szCs w:val="24"/>
                <w:lang w:val="en-US"/>
              </w:rPr>
              <w:t>现场合理的时间内提供书面说明，必要时提交相关证明材料；投标人不能证明其报价合理性的，</w:t>
            </w:r>
            <w:r>
              <w:rPr>
                <w:rFonts w:hint="eastAsia" w:ascii="仿宋" w:hAnsi="仿宋" w:eastAsia="仿宋" w:cs="仿宋"/>
                <w:kern w:val="2"/>
                <w:sz w:val="24"/>
                <w:szCs w:val="24"/>
                <w:lang w:val="en-US" w:eastAsia="zh-CN"/>
              </w:rPr>
              <w:t>评标</w:t>
            </w:r>
            <w:r>
              <w:rPr>
                <w:rFonts w:hint="eastAsia" w:ascii="仿宋" w:hAnsi="仿宋" w:eastAsia="仿宋" w:cs="仿宋"/>
                <w:kern w:val="2"/>
                <w:sz w:val="24"/>
                <w:szCs w:val="24"/>
                <w:lang w:val="en-US"/>
              </w:rPr>
              <w:t>小组应当将其作为无效投标处理。</w:t>
            </w:r>
          </w:p>
        </w:tc>
        <w:tc>
          <w:tcPr>
            <w:tcW w:w="70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kern w:val="2"/>
                <w:sz w:val="24"/>
                <w:szCs w:val="24"/>
                <w:highlight w:val="none"/>
                <w:u w:val="none"/>
              </w:rPr>
            </w:pPr>
            <w:r>
              <w:rPr>
                <w:rFonts w:hint="eastAsia" w:ascii="仿宋" w:hAnsi="仿宋" w:eastAsia="仿宋" w:cs="仿宋"/>
                <w:kern w:val="2"/>
                <w:sz w:val="24"/>
                <w:szCs w:val="24"/>
                <w:highlight w:val="none"/>
                <w:u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276" w:type="dxa"/>
            <w:vMerge w:val="restart"/>
            <w:tcBorders>
              <w:top w:val="single" w:color="auto" w:sz="4" w:space="0"/>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kern w:val="2"/>
                <w:sz w:val="24"/>
                <w:szCs w:val="24"/>
                <w:highlight w:val="none"/>
                <w:u w:val="none"/>
              </w:rPr>
            </w:pPr>
            <w:r>
              <w:rPr>
                <w:rFonts w:hint="eastAsia" w:ascii="仿宋" w:hAnsi="仿宋" w:eastAsia="仿宋" w:cs="仿宋"/>
                <w:bCs/>
                <w:kern w:val="2"/>
                <w:sz w:val="24"/>
                <w:szCs w:val="24"/>
                <w:highlight w:val="none"/>
                <w:u w:val="none"/>
              </w:rPr>
              <w:t>商务</w:t>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kern w:val="2"/>
                <w:sz w:val="24"/>
                <w:szCs w:val="24"/>
                <w:highlight w:val="none"/>
                <w:u w:val="none"/>
              </w:rPr>
            </w:pPr>
            <w:r>
              <w:rPr>
                <w:rFonts w:hint="eastAsia" w:ascii="仿宋" w:hAnsi="仿宋" w:eastAsia="仿宋" w:cs="仿宋"/>
                <w:bCs/>
                <w:kern w:val="2"/>
                <w:sz w:val="24"/>
                <w:szCs w:val="24"/>
                <w:highlight w:val="none"/>
                <w:u w:val="none"/>
              </w:rPr>
              <w:t>评分</w:t>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2"/>
                <w:sz w:val="24"/>
                <w:szCs w:val="24"/>
                <w:lang w:val="en-US" w:eastAsia="zh-CN" w:bidi="ar"/>
              </w:rPr>
            </w:pPr>
            <w:r>
              <w:rPr>
                <w:rFonts w:hint="eastAsia" w:ascii="仿宋" w:hAnsi="仿宋" w:eastAsia="仿宋" w:cs="仿宋"/>
                <w:bCs/>
                <w:kern w:val="2"/>
                <w:sz w:val="24"/>
                <w:szCs w:val="24"/>
                <w:highlight w:val="none"/>
                <w:u w:val="none"/>
              </w:rPr>
              <w:t>（</w:t>
            </w:r>
            <w:r>
              <w:rPr>
                <w:rFonts w:hint="eastAsia" w:ascii="仿宋" w:hAnsi="仿宋" w:eastAsia="仿宋" w:cs="仿宋"/>
                <w:bCs/>
                <w:kern w:val="2"/>
                <w:sz w:val="24"/>
                <w:szCs w:val="24"/>
                <w:highlight w:val="none"/>
                <w:u w:val="none"/>
                <w:lang w:val="en-US" w:eastAsia="zh-CN"/>
              </w:rPr>
              <w:t>5</w:t>
            </w:r>
            <w:r>
              <w:rPr>
                <w:rFonts w:hint="eastAsia" w:ascii="仿宋" w:hAnsi="仿宋" w:eastAsia="仿宋" w:cs="仿宋"/>
                <w:bCs/>
                <w:kern w:val="2"/>
                <w:sz w:val="24"/>
                <w:szCs w:val="24"/>
                <w:highlight w:val="none"/>
                <w:u w:val="none"/>
              </w:rPr>
              <w:t>分）</w:t>
            </w:r>
          </w:p>
        </w:tc>
        <w:tc>
          <w:tcPr>
            <w:tcW w:w="12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u w:val="none"/>
                <w:lang w:val="en-US" w:eastAsia="zh-CN"/>
              </w:rPr>
            </w:pPr>
            <w:r>
              <w:rPr>
                <w:rFonts w:hint="eastAsia" w:ascii="仿宋" w:hAnsi="仿宋" w:eastAsia="仿宋" w:cs="仿宋"/>
                <w:color w:val="auto"/>
                <w:kern w:val="2"/>
                <w:sz w:val="24"/>
                <w:szCs w:val="24"/>
                <w:highlight w:val="none"/>
                <w:u w:val="none"/>
              </w:rPr>
              <w:t>投标文件规范</w:t>
            </w:r>
            <w:r>
              <w:rPr>
                <w:rFonts w:hint="eastAsia" w:ascii="仿宋" w:hAnsi="仿宋" w:eastAsia="仿宋" w:cs="仿宋"/>
                <w:color w:val="auto"/>
                <w:kern w:val="2"/>
                <w:sz w:val="24"/>
                <w:szCs w:val="24"/>
                <w:highlight w:val="none"/>
                <w:u w:val="none"/>
                <w:lang w:val="en-US" w:eastAsia="zh-CN"/>
              </w:rPr>
              <w:t>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lang w:val="en-US"/>
              </w:rPr>
            </w:pPr>
            <w:r>
              <w:rPr>
                <w:rFonts w:hint="eastAsia" w:ascii="仿宋" w:hAnsi="仿宋" w:eastAsia="仿宋" w:cs="仿宋"/>
                <w:color w:val="auto"/>
                <w:kern w:val="2"/>
                <w:sz w:val="24"/>
                <w:szCs w:val="24"/>
                <w:highlight w:val="none"/>
                <w:u w:val="none"/>
                <w:lang w:eastAsia="zh-CN"/>
              </w:rPr>
              <w:t>（</w:t>
            </w:r>
            <w:r>
              <w:rPr>
                <w:rFonts w:hint="eastAsia" w:ascii="仿宋" w:hAnsi="仿宋" w:eastAsia="仿宋" w:cs="仿宋"/>
                <w:color w:val="auto"/>
                <w:kern w:val="2"/>
                <w:sz w:val="24"/>
                <w:szCs w:val="24"/>
                <w:highlight w:val="none"/>
                <w:u w:val="none"/>
                <w:lang w:val="en-US" w:eastAsia="zh-CN"/>
              </w:rPr>
              <w:t>3分</w:t>
            </w:r>
            <w:r>
              <w:rPr>
                <w:rFonts w:hint="eastAsia" w:ascii="仿宋" w:hAnsi="仿宋" w:eastAsia="仿宋" w:cs="仿宋"/>
                <w:color w:val="auto"/>
                <w:kern w:val="2"/>
                <w:sz w:val="24"/>
                <w:szCs w:val="24"/>
                <w:highlight w:val="none"/>
                <w:u w:val="none"/>
                <w:lang w:eastAsia="zh-CN"/>
              </w:rPr>
              <w:t>）</w:t>
            </w:r>
          </w:p>
        </w:tc>
        <w:tc>
          <w:tcPr>
            <w:tcW w:w="6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rPr>
            </w:pPr>
            <w:r>
              <w:rPr>
                <w:rFonts w:hint="eastAsia" w:ascii="仿宋" w:hAnsi="仿宋" w:eastAsia="仿宋" w:cs="仿宋"/>
                <w:sz w:val="24"/>
                <w:szCs w:val="24"/>
                <w:highlight w:val="none"/>
                <w:u w:val="none"/>
              </w:rPr>
              <w:t>投标文件目录、页码指向准确，内容无涂改、错页、漏页现象，完善合理</w:t>
            </w:r>
            <w:r>
              <w:rPr>
                <w:rFonts w:hint="eastAsia" w:ascii="仿宋" w:hAnsi="仿宋" w:eastAsia="仿宋" w:cs="仿宋"/>
                <w:sz w:val="24"/>
                <w:szCs w:val="24"/>
                <w:highlight w:val="none"/>
                <w:u w:val="none"/>
                <w:lang w:val="en-US" w:eastAsia="zh-CN"/>
              </w:rPr>
              <w:t>1.5</w:t>
            </w:r>
            <w:r>
              <w:rPr>
                <w:rFonts w:hint="eastAsia" w:ascii="仿宋" w:hAnsi="仿宋" w:eastAsia="仿宋" w:cs="仿宋"/>
                <w:sz w:val="24"/>
                <w:szCs w:val="24"/>
                <w:highlight w:val="none"/>
                <w:u w:val="none"/>
              </w:rPr>
              <w:t>分；投标文件制作完整，</w:t>
            </w:r>
            <w:r>
              <w:rPr>
                <w:rFonts w:hint="eastAsia" w:ascii="仿宋" w:hAnsi="仿宋" w:eastAsia="仿宋" w:cs="仿宋"/>
                <w:sz w:val="24"/>
                <w:szCs w:val="24"/>
                <w:highlight w:val="none"/>
                <w:u w:val="none"/>
                <w:lang w:val="en-US" w:eastAsia="zh-CN"/>
              </w:rPr>
              <w:t>无缺项漏项且</w:t>
            </w:r>
            <w:r>
              <w:rPr>
                <w:rFonts w:hint="eastAsia" w:ascii="仿宋" w:hAnsi="仿宋" w:eastAsia="仿宋" w:cs="仿宋"/>
                <w:sz w:val="24"/>
                <w:szCs w:val="24"/>
                <w:highlight w:val="none"/>
                <w:u w:val="none"/>
              </w:rPr>
              <w:t>内容全面有序1</w:t>
            </w: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分</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lang w:val="en-US" w:eastAsia="zh-CN"/>
              </w:rPr>
              <w:t>各项有较多瑕疵的不得分，</w:t>
            </w:r>
            <w:r>
              <w:rPr>
                <w:rFonts w:hint="eastAsia" w:ascii="仿宋" w:hAnsi="仿宋" w:eastAsia="仿宋" w:cs="仿宋"/>
                <w:sz w:val="24"/>
                <w:szCs w:val="24"/>
                <w:highlight w:val="none"/>
                <w:u w:val="none"/>
              </w:rPr>
              <w:t>满分</w:t>
            </w:r>
            <w:r>
              <w:rPr>
                <w:rFonts w:hint="eastAsia" w:ascii="仿宋" w:hAnsi="仿宋" w:eastAsia="仿宋" w:cs="仿宋"/>
                <w:sz w:val="24"/>
                <w:szCs w:val="24"/>
                <w:highlight w:val="none"/>
                <w:u w:val="none"/>
                <w:lang w:val="en-US" w:eastAsia="zh-CN"/>
              </w:rPr>
              <w:t>3</w:t>
            </w:r>
            <w:r>
              <w:rPr>
                <w:rFonts w:hint="eastAsia" w:ascii="仿宋" w:hAnsi="仿宋" w:eastAsia="仿宋" w:cs="仿宋"/>
                <w:sz w:val="24"/>
                <w:szCs w:val="24"/>
                <w:highlight w:val="none"/>
                <w:u w:val="none"/>
              </w:rPr>
              <w:t>分。</w:t>
            </w:r>
          </w:p>
        </w:tc>
        <w:tc>
          <w:tcPr>
            <w:tcW w:w="70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highlight w:val="none"/>
                <w:u w:val="none"/>
              </w:rPr>
            </w:pPr>
            <w:r>
              <w:rPr>
                <w:rFonts w:hint="eastAsia" w:ascii="仿宋" w:hAnsi="仿宋" w:eastAsia="仿宋" w:cs="仿宋"/>
                <w:color w:val="auto"/>
                <w:kern w:val="2"/>
                <w:sz w:val="24"/>
                <w:szCs w:val="24"/>
                <w:highlight w:val="none"/>
                <w:u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1276" w:type="dxa"/>
            <w:vMerge w:val="continue"/>
            <w:tcBorders>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kern w:val="2"/>
                <w:sz w:val="24"/>
                <w:szCs w:val="24"/>
                <w:lang w:val="en-US" w:eastAsia="zh-CN" w:bidi="ar"/>
              </w:rPr>
            </w:pPr>
          </w:p>
        </w:tc>
        <w:tc>
          <w:tcPr>
            <w:tcW w:w="128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highlight w:val="none"/>
                <w:u w:val="none"/>
              </w:rPr>
            </w:pPr>
            <w:r>
              <w:rPr>
                <w:rFonts w:hint="eastAsia" w:ascii="仿宋" w:hAnsi="仿宋" w:eastAsia="仿宋" w:cs="仿宋"/>
                <w:kern w:val="2"/>
                <w:sz w:val="24"/>
                <w:szCs w:val="24"/>
                <w:highlight w:val="none"/>
                <w:u w:val="none"/>
              </w:rPr>
              <w:t>以往业绩</w:t>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lang w:val="en-US"/>
              </w:rPr>
            </w:pPr>
            <w:r>
              <w:rPr>
                <w:rFonts w:hint="eastAsia" w:ascii="仿宋" w:hAnsi="仿宋" w:eastAsia="仿宋" w:cs="仿宋"/>
                <w:kern w:val="2"/>
                <w:sz w:val="24"/>
                <w:szCs w:val="24"/>
                <w:highlight w:val="none"/>
                <w:u w:val="none"/>
              </w:rPr>
              <w:t>（</w:t>
            </w:r>
            <w:r>
              <w:rPr>
                <w:rFonts w:hint="eastAsia" w:ascii="仿宋" w:hAnsi="仿宋" w:eastAsia="仿宋" w:cs="仿宋"/>
                <w:kern w:val="2"/>
                <w:sz w:val="24"/>
                <w:szCs w:val="24"/>
                <w:highlight w:val="none"/>
                <w:u w:val="none"/>
                <w:lang w:val="en-US" w:eastAsia="zh-CN"/>
              </w:rPr>
              <w:t>2</w:t>
            </w:r>
            <w:r>
              <w:rPr>
                <w:rFonts w:hint="eastAsia" w:ascii="仿宋" w:hAnsi="仿宋" w:eastAsia="仿宋" w:cs="仿宋"/>
                <w:kern w:val="2"/>
                <w:sz w:val="24"/>
                <w:szCs w:val="24"/>
                <w:highlight w:val="none"/>
                <w:u w:val="none"/>
              </w:rPr>
              <w:t>分）</w:t>
            </w:r>
          </w:p>
        </w:tc>
        <w:tc>
          <w:tcPr>
            <w:tcW w:w="6516"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kern w:val="2"/>
                <w:sz w:val="24"/>
                <w:szCs w:val="24"/>
                <w:lang w:val="en-US"/>
              </w:rPr>
            </w:pPr>
            <w:r>
              <w:rPr>
                <w:rFonts w:hint="eastAsia" w:ascii="仿宋" w:hAnsi="仿宋" w:eastAsia="仿宋" w:cs="仿宋"/>
                <w:bCs/>
                <w:kern w:val="2"/>
                <w:sz w:val="24"/>
                <w:szCs w:val="24"/>
                <w:lang w:val="en-US" w:eastAsia="zh-CN"/>
              </w:rPr>
              <w:t>投标人或所投产品供应商提供2020年至今同类项目业绩（以合同或中标通知书为准，复印件加盖公章）；每提供1份得1分，最高得2分；</w:t>
            </w:r>
          </w:p>
        </w:tc>
        <w:tc>
          <w:tcPr>
            <w:tcW w:w="70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highlight w:val="none"/>
                <w:u w:val="none"/>
              </w:rPr>
            </w:pPr>
            <w:r>
              <w:rPr>
                <w:rFonts w:hint="eastAsia" w:ascii="仿宋" w:hAnsi="仿宋" w:eastAsia="仿宋" w:cs="仿宋"/>
                <w:kern w:val="2"/>
                <w:sz w:val="24"/>
                <w:szCs w:val="24"/>
                <w:highlight w:val="none"/>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kern w:val="2"/>
                <w:sz w:val="24"/>
                <w:szCs w:val="24"/>
                <w:highlight w:val="none"/>
                <w:u w:val="none"/>
              </w:rPr>
            </w:pPr>
            <w:r>
              <w:rPr>
                <w:rFonts w:hint="eastAsia" w:ascii="仿宋" w:hAnsi="仿宋" w:eastAsia="仿宋" w:cs="仿宋"/>
                <w:bCs/>
                <w:kern w:val="2"/>
                <w:sz w:val="24"/>
                <w:szCs w:val="24"/>
                <w:highlight w:val="none"/>
                <w:u w:val="none"/>
              </w:rPr>
              <w:t>技术</w:t>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kern w:val="2"/>
                <w:sz w:val="24"/>
                <w:szCs w:val="24"/>
                <w:highlight w:val="none"/>
                <w:u w:val="none"/>
              </w:rPr>
            </w:pPr>
            <w:r>
              <w:rPr>
                <w:rFonts w:hint="eastAsia" w:ascii="仿宋" w:hAnsi="仿宋" w:eastAsia="仿宋" w:cs="仿宋"/>
                <w:bCs/>
                <w:kern w:val="2"/>
                <w:sz w:val="24"/>
                <w:szCs w:val="24"/>
                <w:highlight w:val="none"/>
                <w:u w:val="none"/>
              </w:rPr>
              <w:t>评分</w:t>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kern w:val="2"/>
                <w:sz w:val="24"/>
                <w:szCs w:val="24"/>
                <w:highlight w:val="none"/>
                <w:u w:val="none"/>
              </w:rPr>
            </w:pPr>
            <w:r>
              <w:rPr>
                <w:rFonts w:hint="eastAsia" w:ascii="仿宋" w:hAnsi="仿宋" w:eastAsia="仿宋" w:cs="仿宋"/>
                <w:bCs/>
                <w:kern w:val="2"/>
                <w:sz w:val="24"/>
                <w:szCs w:val="24"/>
                <w:highlight w:val="none"/>
                <w:u w:val="none"/>
              </w:rPr>
              <w:t>(</w:t>
            </w:r>
            <w:r>
              <w:rPr>
                <w:rFonts w:hint="eastAsia" w:ascii="仿宋" w:hAnsi="仿宋" w:eastAsia="仿宋" w:cs="仿宋"/>
                <w:bCs/>
                <w:kern w:val="2"/>
                <w:sz w:val="24"/>
                <w:szCs w:val="24"/>
                <w:highlight w:val="none"/>
                <w:u w:val="none"/>
                <w:lang w:val="en-US" w:eastAsia="zh-CN"/>
              </w:rPr>
              <w:t>65</w:t>
            </w:r>
            <w:r>
              <w:rPr>
                <w:rFonts w:hint="eastAsia" w:ascii="仿宋" w:hAnsi="仿宋" w:eastAsia="仿宋" w:cs="仿宋"/>
                <w:bCs/>
                <w:kern w:val="2"/>
                <w:sz w:val="24"/>
                <w:szCs w:val="24"/>
                <w:highlight w:val="none"/>
                <w:u w:val="none"/>
              </w:rPr>
              <w:t>分)</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u w:val="none"/>
              </w:rPr>
            </w:pPr>
            <w:r>
              <w:rPr>
                <w:rFonts w:hint="eastAsia" w:ascii="仿宋" w:hAnsi="仿宋" w:eastAsia="仿宋" w:cs="仿宋"/>
                <w:color w:val="auto"/>
                <w:kern w:val="2"/>
                <w:sz w:val="24"/>
                <w:szCs w:val="24"/>
                <w:highlight w:val="none"/>
                <w:u w:val="none"/>
              </w:rPr>
              <w:t>整体</w:t>
            </w:r>
            <w:r>
              <w:rPr>
                <w:rFonts w:hint="eastAsia" w:ascii="仿宋" w:hAnsi="仿宋" w:eastAsia="仿宋" w:cs="仿宋"/>
                <w:color w:val="auto"/>
                <w:kern w:val="2"/>
                <w:sz w:val="24"/>
                <w:szCs w:val="24"/>
                <w:highlight w:val="none"/>
                <w:u w:val="none"/>
                <w:lang w:val="en-US" w:eastAsia="zh-CN"/>
              </w:rPr>
              <w:t>技术</w:t>
            </w:r>
            <w:r>
              <w:rPr>
                <w:rFonts w:hint="eastAsia" w:ascii="仿宋" w:hAnsi="仿宋" w:eastAsia="仿宋" w:cs="仿宋"/>
                <w:color w:val="auto"/>
                <w:kern w:val="2"/>
                <w:sz w:val="24"/>
                <w:szCs w:val="24"/>
                <w:highlight w:val="none"/>
                <w:u w:val="none"/>
              </w:rPr>
              <w:t>解决方案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u w:val="none"/>
              </w:rPr>
            </w:pPr>
            <w:r>
              <w:rPr>
                <w:rFonts w:hint="eastAsia" w:ascii="仿宋" w:hAnsi="仿宋" w:eastAsia="仿宋" w:cs="仿宋"/>
                <w:color w:val="auto"/>
                <w:kern w:val="2"/>
                <w:sz w:val="24"/>
                <w:szCs w:val="24"/>
                <w:highlight w:val="none"/>
                <w:u w:val="none"/>
              </w:rPr>
              <w:t>（</w:t>
            </w:r>
            <w:r>
              <w:rPr>
                <w:rFonts w:hint="eastAsia" w:ascii="仿宋" w:hAnsi="仿宋" w:eastAsia="仿宋" w:cs="仿宋"/>
                <w:color w:val="auto"/>
                <w:kern w:val="2"/>
                <w:sz w:val="24"/>
                <w:szCs w:val="24"/>
                <w:highlight w:val="none"/>
                <w:u w:val="none"/>
                <w:lang w:val="en-US" w:eastAsia="zh-CN"/>
              </w:rPr>
              <w:t>5</w:t>
            </w:r>
            <w:r>
              <w:rPr>
                <w:rFonts w:hint="eastAsia" w:ascii="仿宋" w:hAnsi="仿宋" w:eastAsia="仿宋" w:cs="仿宋"/>
                <w:color w:val="auto"/>
                <w:kern w:val="2"/>
                <w:sz w:val="24"/>
                <w:szCs w:val="24"/>
                <w:highlight w:val="none"/>
                <w:u w:val="none"/>
              </w:rPr>
              <w:t>分）</w:t>
            </w:r>
          </w:p>
        </w:tc>
        <w:tc>
          <w:tcPr>
            <w:tcW w:w="652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响应文件编制内容完整，叙述严谨，建设目标，建设内容、时间安排全面准确，技术方案设计合理、准确，具有可行性，符合技术发展趋势，安全性和保密性较好</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符合项目建设需求和采购人要求</w:t>
            </w:r>
            <w:r>
              <w:rPr>
                <w:rFonts w:hint="eastAsia" w:ascii="仿宋" w:hAnsi="仿宋" w:eastAsia="仿宋" w:cs="仿宋"/>
                <w:sz w:val="24"/>
                <w:szCs w:val="24"/>
                <w:highlight w:val="none"/>
                <w:u w:val="none"/>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b w:val="0"/>
                <w:bCs w:val="0"/>
                <w:kern w:val="2"/>
                <w:sz w:val="24"/>
                <w:szCs w:val="24"/>
                <w:highlight w:val="none"/>
                <w:u w:val="none"/>
                <w:lang w:val="en-US" w:eastAsia="zh-CN" w:bidi="ar-SA"/>
              </w:rPr>
              <w:t>优4-5分，较好2-3分，一般0-1分，不符合要求不得分。</w:t>
            </w:r>
          </w:p>
        </w:tc>
        <w:tc>
          <w:tcPr>
            <w:tcW w:w="70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u w:val="none"/>
                <w:lang w:val="en-US" w:eastAsia="zh-CN"/>
              </w:rPr>
            </w:pPr>
            <w:r>
              <w:rPr>
                <w:rFonts w:hint="eastAsia" w:ascii="仿宋" w:hAnsi="仿宋" w:eastAsia="仿宋" w:cs="仿宋"/>
                <w:color w:val="auto"/>
                <w:kern w:val="2"/>
                <w:sz w:val="24"/>
                <w:szCs w:val="24"/>
                <w:highlight w:val="none"/>
                <w:u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kern w:val="2"/>
                <w:sz w:val="24"/>
                <w:szCs w:val="24"/>
                <w:highlight w:val="none"/>
                <w:u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u w:val="none"/>
                <w:lang w:val="en-US" w:eastAsia="zh-CN"/>
              </w:rPr>
            </w:pPr>
            <w:r>
              <w:rPr>
                <w:rFonts w:hint="eastAsia" w:ascii="仿宋" w:hAnsi="仿宋" w:eastAsia="仿宋" w:cs="仿宋"/>
                <w:color w:val="auto"/>
                <w:kern w:val="2"/>
                <w:sz w:val="24"/>
                <w:szCs w:val="24"/>
                <w:highlight w:val="none"/>
                <w:u w:val="none"/>
              </w:rPr>
              <w:t>设备</w:t>
            </w:r>
            <w:r>
              <w:rPr>
                <w:rFonts w:hint="eastAsia" w:ascii="仿宋" w:hAnsi="仿宋" w:eastAsia="仿宋" w:cs="仿宋"/>
                <w:color w:val="auto"/>
                <w:kern w:val="2"/>
                <w:sz w:val="24"/>
                <w:szCs w:val="24"/>
                <w:highlight w:val="none"/>
                <w:u w:val="none"/>
                <w:lang w:val="en-US" w:eastAsia="zh-CN"/>
              </w:rPr>
              <w:t>适配性</w:t>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u w:val="none"/>
              </w:rPr>
            </w:pPr>
            <w:r>
              <w:rPr>
                <w:rFonts w:hint="eastAsia" w:ascii="仿宋" w:hAnsi="仿宋" w:eastAsia="仿宋" w:cs="仿宋"/>
                <w:color w:val="auto"/>
                <w:kern w:val="2"/>
                <w:sz w:val="24"/>
                <w:szCs w:val="24"/>
                <w:highlight w:val="none"/>
                <w:u w:val="none"/>
              </w:rPr>
              <w:t>（</w:t>
            </w:r>
            <w:r>
              <w:rPr>
                <w:rFonts w:hint="eastAsia" w:ascii="仿宋" w:hAnsi="仿宋" w:eastAsia="仿宋" w:cs="仿宋"/>
                <w:color w:val="auto"/>
                <w:kern w:val="2"/>
                <w:sz w:val="24"/>
                <w:szCs w:val="24"/>
                <w:highlight w:val="none"/>
                <w:u w:val="none"/>
                <w:lang w:val="en-US" w:eastAsia="zh-CN"/>
              </w:rPr>
              <w:t>15</w:t>
            </w:r>
            <w:r>
              <w:rPr>
                <w:rFonts w:hint="eastAsia" w:ascii="仿宋" w:hAnsi="仿宋" w:eastAsia="仿宋" w:cs="仿宋"/>
                <w:color w:val="auto"/>
                <w:kern w:val="2"/>
                <w:sz w:val="24"/>
                <w:szCs w:val="24"/>
                <w:highlight w:val="none"/>
                <w:u w:val="none"/>
              </w:rPr>
              <w:t>分）</w:t>
            </w:r>
          </w:p>
        </w:tc>
        <w:tc>
          <w:tcPr>
            <w:tcW w:w="652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设备品牌化程度高，与项目其他软硬件</w:t>
            </w:r>
            <w:r>
              <w:rPr>
                <w:rFonts w:hint="eastAsia" w:ascii="仿宋" w:hAnsi="仿宋" w:eastAsia="仿宋" w:cs="仿宋"/>
                <w:sz w:val="24"/>
                <w:szCs w:val="24"/>
                <w:highlight w:val="none"/>
                <w:u w:val="none"/>
                <w:lang w:val="en-US" w:eastAsia="zh-CN"/>
              </w:rPr>
              <w:t>及原有软硬件</w:t>
            </w:r>
            <w:r>
              <w:rPr>
                <w:rFonts w:hint="eastAsia" w:ascii="仿宋" w:hAnsi="仿宋" w:eastAsia="仿宋" w:cs="仿宋"/>
                <w:sz w:val="24"/>
                <w:szCs w:val="24"/>
                <w:highlight w:val="none"/>
                <w:u w:val="none"/>
              </w:rPr>
              <w:t>适配性和兼容性好。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highlight w:val="none"/>
                <w:u w:val="none"/>
              </w:rPr>
            </w:pPr>
            <w:r>
              <w:rPr>
                <w:rFonts w:hint="eastAsia" w:ascii="仿宋" w:hAnsi="仿宋" w:eastAsia="仿宋" w:cs="仿宋"/>
                <w:sz w:val="24"/>
                <w:szCs w:val="24"/>
                <w:highlight w:val="none"/>
                <w:u w:val="none"/>
              </w:rPr>
              <w:t>优</w:t>
            </w:r>
            <w:r>
              <w:rPr>
                <w:rFonts w:hint="eastAsia" w:ascii="仿宋" w:hAnsi="仿宋" w:eastAsia="仿宋" w:cs="仿宋"/>
                <w:sz w:val="24"/>
                <w:szCs w:val="24"/>
                <w:highlight w:val="none"/>
                <w:u w:val="none"/>
                <w:lang w:eastAsia="zh-CN"/>
              </w:rPr>
              <w:t>1</w:t>
            </w:r>
            <w:r>
              <w:rPr>
                <w:rFonts w:hint="eastAsia" w:ascii="仿宋" w:hAnsi="仿宋" w:eastAsia="仿宋" w:cs="仿宋"/>
                <w:sz w:val="24"/>
                <w:szCs w:val="24"/>
                <w:highlight w:val="none"/>
                <w:u w:val="none"/>
                <w:lang w:val="en-US" w:eastAsia="zh-CN"/>
              </w:rPr>
              <w:t>1</w:t>
            </w:r>
            <w:r>
              <w:rPr>
                <w:rFonts w:hint="eastAsia" w:ascii="仿宋" w:hAnsi="仿宋" w:eastAsia="仿宋" w:cs="仿宋"/>
                <w:sz w:val="24"/>
                <w:szCs w:val="24"/>
                <w:highlight w:val="none"/>
                <w:u w:val="none"/>
                <w:lang w:eastAsia="zh-CN"/>
              </w:rPr>
              <w:t>-15</w:t>
            </w:r>
            <w:r>
              <w:rPr>
                <w:rFonts w:hint="eastAsia" w:ascii="仿宋" w:hAnsi="仿宋" w:eastAsia="仿宋" w:cs="仿宋"/>
                <w:sz w:val="24"/>
                <w:szCs w:val="24"/>
                <w:highlight w:val="none"/>
                <w:u w:val="none"/>
              </w:rPr>
              <w:t>分</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较好</w:t>
            </w:r>
            <w:r>
              <w:rPr>
                <w:rFonts w:hint="eastAsia" w:ascii="仿宋" w:hAnsi="仿宋" w:eastAsia="仿宋" w:cs="仿宋"/>
                <w:sz w:val="24"/>
                <w:szCs w:val="24"/>
                <w:highlight w:val="none"/>
                <w:u w:val="none"/>
                <w:lang w:val="en-US" w:eastAsia="zh-CN"/>
              </w:rPr>
              <w:t>6</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lang w:val="en-US" w:eastAsia="zh-CN"/>
              </w:rPr>
              <w:t>10</w:t>
            </w:r>
            <w:r>
              <w:rPr>
                <w:rFonts w:hint="eastAsia" w:ascii="仿宋" w:hAnsi="仿宋" w:eastAsia="仿宋" w:cs="仿宋"/>
                <w:sz w:val="24"/>
                <w:szCs w:val="24"/>
                <w:highlight w:val="none"/>
                <w:u w:val="none"/>
              </w:rPr>
              <w:t>分</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 xml:space="preserve">一般 </w:t>
            </w:r>
            <w:r>
              <w:rPr>
                <w:rFonts w:hint="eastAsia" w:ascii="仿宋" w:hAnsi="仿宋" w:eastAsia="仿宋" w:cs="仿宋"/>
                <w:sz w:val="24"/>
                <w:szCs w:val="24"/>
                <w:highlight w:val="none"/>
                <w:u w:val="none"/>
                <w:lang w:val="en-US" w:eastAsia="zh-CN"/>
              </w:rPr>
              <w:t>0-5</w:t>
            </w:r>
            <w:r>
              <w:rPr>
                <w:rFonts w:hint="eastAsia" w:ascii="仿宋" w:hAnsi="仿宋" w:eastAsia="仿宋" w:cs="仿宋"/>
                <w:sz w:val="24"/>
                <w:szCs w:val="24"/>
                <w:highlight w:val="none"/>
                <w:u w:val="none"/>
              </w:rPr>
              <w:t>分</w:t>
            </w:r>
            <w:r>
              <w:rPr>
                <w:rFonts w:hint="eastAsia" w:ascii="仿宋" w:hAnsi="仿宋" w:eastAsia="仿宋" w:cs="仿宋"/>
                <w:sz w:val="24"/>
                <w:szCs w:val="24"/>
                <w:highlight w:val="none"/>
                <w:u w:val="none"/>
                <w:lang w:eastAsia="zh-CN"/>
              </w:rPr>
              <w:t>。</w:t>
            </w:r>
          </w:p>
        </w:tc>
        <w:tc>
          <w:tcPr>
            <w:tcW w:w="70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2"/>
                <w:sz w:val="24"/>
                <w:szCs w:val="24"/>
                <w:highlight w:val="none"/>
                <w:u w:val="none"/>
                <w:lang w:val="en-US" w:eastAsia="zh-CN"/>
              </w:rPr>
            </w:pPr>
            <w:r>
              <w:rPr>
                <w:rFonts w:hint="eastAsia" w:ascii="仿宋" w:hAnsi="仿宋" w:eastAsia="仿宋" w:cs="仿宋"/>
                <w:color w:val="auto"/>
                <w:kern w:val="2"/>
                <w:sz w:val="24"/>
                <w:szCs w:val="24"/>
                <w:highlight w:val="none"/>
                <w:u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jc w:val="center"/>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kern w:val="2"/>
                <w:sz w:val="24"/>
                <w:szCs w:val="24"/>
                <w:highlight w:val="none"/>
                <w:u w:val="none"/>
              </w:rPr>
            </w:pPr>
          </w:p>
        </w:tc>
        <w:tc>
          <w:tcPr>
            <w:tcW w:w="1276" w:type="dxa"/>
            <w:tcBorders>
              <w:top w:val="single" w:color="auto" w:sz="4" w:space="0"/>
              <w:left w:val="single" w:color="auto" w:sz="4" w:space="0"/>
              <w:right w:val="single" w:color="auto" w:sz="4" w:space="0"/>
            </w:tcBorders>
            <w:vAlign w:val="center"/>
          </w:tcPr>
          <w:p>
            <w:pPr>
              <w:pStyle w:val="17"/>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auto"/>
                <w:kern w:val="2"/>
                <w:sz w:val="24"/>
                <w:szCs w:val="24"/>
                <w:highlight w:val="none"/>
                <w:u w:val="none"/>
                <w:lang w:val="en-US"/>
              </w:rPr>
            </w:pPr>
            <w:r>
              <w:rPr>
                <w:rFonts w:hint="eastAsia" w:ascii="仿宋" w:hAnsi="仿宋" w:eastAsia="仿宋" w:cs="仿宋"/>
                <w:color w:val="000000"/>
                <w:kern w:val="2"/>
                <w:sz w:val="24"/>
                <w:szCs w:val="24"/>
                <w:lang w:val="en-US" w:eastAsia="zh-CN" w:bidi="ar"/>
              </w:rPr>
              <w:t>设备配置与性能指标（25分）</w:t>
            </w:r>
          </w:p>
        </w:tc>
        <w:tc>
          <w:tcPr>
            <w:tcW w:w="6521" w:type="dxa"/>
            <w:gridSpan w:val="2"/>
            <w:tcBorders>
              <w:top w:val="single" w:color="auto" w:sz="4" w:space="0"/>
              <w:left w:val="single" w:color="auto" w:sz="4" w:space="0"/>
              <w:bottom w:val="single" w:color="auto" w:sz="4" w:space="0"/>
              <w:right w:val="single" w:color="auto" w:sz="4" w:space="0"/>
            </w:tcBorders>
            <w:vAlign w:val="center"/>
          </w:tcPr>
          <w:p>
            <w:pPr>
              <w:pStyle w:val="41"/>
              <w:numPr>
                <w:ilvl w:val="0"/>
                <w:numId w:val="0"/>
              </w:numPr>
              <w:suppressLineNumbers w:val="0"/>
              <w:spacing w:beforeAutospacing="0" w:afterAutospacing="0"/>
              <w:ind w:right="0" w:rightChars="0"/>
              <w:jc w:val="left"/>
              <w:rPr>
                <w:rFonts w:hint="eastAsia" w:ascii="仿宋" w:hAnsi="仿宋" w:eastAsia="仿宋" w:cs="仿宋"/>
                <w:color w:val="000000"/>
                <w:spacing w:val="0"/>
                <w:w w:val="100"/>
                <w:kern w:val="2"/>
                <w:position w:val="0"/>
                <w:sz w:val="24"/>
                <w:szCs w:val="24"/>
                <w:shd w:val="clear" w:color="auto" w:fill="auto"/>
                <w:lang w:val="en-US" w:eastAsia="zh-CN" w:bidi="ar"/>
              </w:rPr>
            </w:pPr>
            <w:r>
              <w:rPr>
                <w:rFonts w:hint="eastAsia" w:ascii="仿宋" w:hAnsi="仿宋" w:eastAsia="仿宋" w:cs="仿宋"/>
                <w:color w:val="000000"/>
                <w:spacing w:val="0"/>
                <w:w w:val="100"/>
                <w:kern w:val="2"/>
                <w:position w:val="0"/>
                <w:sz w:val="24"/>
                <w:szCs w:val="24"/>
                <w:shd w:val="clear" w:color="auto" w:fill="auto"/>
                <w:lang w:val="en-US" w:eastAsia="zh-CN" w:bidi="ar"/>
              </w:rPr>
              <w:t>以招标文件的技术参数要求为基准，提供详细技术偏离表。</w:t>
            </w:r>
          </w:p>
          <w:p>
            <w:pPr>
              <w:pStyle w:val="41"/>
              <w:numPr>
                <w:ilvl w:val="0"/>
                <w:numId w:val="0"/>
              </w:numPr>
              <w:suppressLineNumbers w:val="0"/>
              <w:spacing w:beforeAutospacing="0" w:afterAutospacing="0"/>
              <w:ind w:right="0" w:rightChars="0"/>
              <w:jc w:val="both"/>
              <w:rPr>
                <w:rFonts w:hint="eastAsia" w:ascii="仿宋" w:hAnsi="仿宋" w:eastAsia="仿宋" w:cs="仿宋"/>
                <w:color w:val="auto"/>
                <w:kern w:val="2"/>
                <w:sz w:val="24"/>
                <w:szCs w:val="24"/>
                <w:highlight w:val="none"/>
                <w:u w:val="none"/>
              </w:rPr>
            </w:pPr>
            <w:r>
              <w:rPr>
                <w:rFonts w:hint="eastAsia" w:ascii="仿宋" w:hAnsi="仿宋" w:eastAsia="仿宋" w:cs="仿宋"/>
                <w:color w:val="000000"/>
                <w:spacing w:val="0"/>
                <w:w w:val="100"/>
                <w:kern w:val="2"/>
                <w:position w:val="0"/>
                <w:sz w:val="24"/>
                <w:szCs w:val="24"/>
                <w:shd w:val="clear" w:color="auto" w:fill="auto"/>
                <w:lang w:val="en-US" w:eastAsia="zh-CN" w:bidi="ar"/>
              </w:rPr>
              <w:t>所投产品技术参数全部满足的</w:t>
            </w:r>
            <w:r>
              <w:rPr>
                <w:rFonts w:hint="eastAsia" w:ascii="仿宋" w:hAnsi="仿宋" w:eastAsia="仿宋" w:cs="仿宋"/>
                <w:color w:val="000000"/>
                <w:spacing w:val="0"/>
                <w:w w:val="100"/>
                <w:kern w:val="2"/>
                <w:position w:val="0"/>
                <w:sz w:val="24"/>
                <w:szCs w:val="24"/>
                <w:highlight w:val="none"/>
                <w:shd w:val="clear" w:color="auto" w:fill="auto"/>
                <w:lang w:val="en-US" w:eastAsia="zh-CN" w:bidi="ar"/>
              </w:rPr>
              <w:t>得20分；</w:t>
            </w:r>
          </w:p>
          <w:p>
            <w:pPr>
              <w:pStyle w:val="41"/>
              <w:numPr>
                <w:ilvl w:val="0"/>
                <w:numId w:val="0"/>
              </w:numPr>
              <w:suppressLineNumbers w:val="0"/>
              <w:spacing w:beforeAutospacing="0" w:afterAutospacing="0"/>
              <w:ind w:right="0" w:rightChars="0"/>
              <w:jc w:val="both"/>
              <w:rPr>
                <w:rFonts w:hint="eastAsia" w:ascii="仿宋" w:hAnsi="仿宋" w:eastAsia="仿宋" w:cs="仿宋"/>
                <w:color w:val="auto"/>
                <w:kern w:val="2"/>
                <w:sz w:val="24"/>
                <w:szCs w:val="24"/>
                <w:highlight w:val="none"/>
                <w:u w:val="none"/>
              </w:rPr>
            </w:pPr>
            <w:r>
              <w:rPr>
                <w:rFonts w:hint="eastAsia" w:ascii="仿宋" w:hAnsi="仿宋" w:eastAsia="仿宋" w:cs="仿宋"/>
                <w:color w:val="000000"/>
                <w:spacing w:val="0"/>
                <w:w w:val="100"/>
                <w:kern w:val="2"/>
                <w:position w:val="0"/>
                <w:sz w:val="24"/>
                <w:szCs w:val="24"/>
                <w:highlight w:val="none"/>
                <w:shd w:val="clear" w:color="auto" w:fill="auto"/>
                <w:lang w:val="en-US" w:eastAsia="zh-CN" w:bidi="ar"/>
              </w:rPr>
              <w:t>每有一项设备参数指标正偏离招标文件要求的加1分，正偏离加分最高得分为5分；</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highlight w:val="none"/>
                <w:u w:val="none"/>
              </w:rPr>
            </w:pPr>
            <w:r>
              <w:rPr>
                <w:rFonts w:hint="eastAsia" w:ascii="仿宋" w:hAnsi="仿宋" w:eastAsia="仿宋" w:cs="仿宋"/>
                <w:color w:val="000000"/>
                <w:spacing w:val="0"/>
                <w:w w:val="100"/>
                <w:kern w:val="2"/>
                <w:position w:val="0"/>
                <w:sz w:val="24"/>
                <w:szCs w:val="24"/>
                <w:shd w:val="clear" w:color="auto" w:fill="auto"/>
                <w:lang w:val="en-US" w:eastAsia="zh-CN" w:bidi="ar"/>
              </w:rPr>
              <w:t>招标文件的参数为基本要求参照，指标出现负偏离的视为无效投标。</w:t>
            </w:r>
          </w:p>
        </w:tc>
        <w:tc>
          <w:tcPr>
            <w:tcW w:w="708" w:type="dxa"/>
            <w:tcBorders>
              <w:top w:val="single" w:color="auto" w:sz="4" w:space="0"/>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2"/>
                <w:sz w:val="24"/>
                <w:szCs w:val="24"/>
                <w:highlight w:val="none"/>
                <w:u w:val="none"/>
                <w:lang w:val="en-US" w:eastAsia="zh-CN"/>
              </w:rPr>
            </w:pPr>
            <w:r>
              <w:rPr>
                <w:rFonts w:hint="eastAsia" w:ascii="仿宋" w:hAnsi="仿宋" w:eastAsia="仿宋" w:cs="仿宋"/>
                <w:color w:val="auto"/>
                <w:kern w:val="2"/>
                <w:sz w:val="24"/>
                <w:szCs w:val="24"/>
                <w:highlight w:val="none"/>
                <w:u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kern w:val="2"/>
                <w:sz w:val="24"/>
                <w:szCs w:val="24"/>
                <w:highlight w:val="none"/>
                <w:u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2"/>
                <w:sz w:val="24"/>
                <w:szCs w:val="24"/>
                <w:highlight w:val="none"/>
                <w:u w:val="none"/>
                <w:lang w:val="en-US" w:eastAsia="zh-CN"/>
              </w:rPr>
            </w:pPr>
            <w:r>
              <w:rPr>
                <w:rFonts w:hint="eastAsia" w:ascii="仿宋" w:hAnsi="仿宋" w:eastAsia="仿宋" w:cs="仿宋"/>
                <w:color w:val="auto"/>
                <w:kern w:val="2"/>
                <w:sz w:val="24"/>
                <w:szCs w:val="24"/>
                <w:highlight w:val="none"/>
                <w:u w:val="none"/>
                <w:lang w:val="en-US" w:eastAsia="zh-CN"/>
              </w:rPr>
              <w:t>产品可靠性（5分）</w:t>
            </w:r>
          </w:p>
        </w:tc>
        <w:tc>
          <w:tcPr>
            <w:tcW w:w="652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highlight w:val="none"/>
                <w:u w:val="none"/>
              </w:rPr>
            </w:pPr>
            <w:r>
              <w:rPr>
                <w:rFonts w:hint="eastAsia" w:ascii="仿宋" w:hAnsi="仿宋" w:eastAsia="仿宋" w:cs="仿宋"/>
                <w:color w:val="auto"/>
                <w:kern w:val="2"/>
                <w:sz w:val="24"/>
                <w:szCs w:val="24"/>
                <w:highlight w:val="none"/>
                <w:lang w:val="en-US" w:eastAsia="zh-CN"/>
              </w:rPr>
              <w:t>流媒体服务器（双屏嵌入式导播机）、高清监视器、核心存储设备、演播室摄像机及手持摄像机、非编系统、分别提供国家广电总局出具的检测报告（检测报告指标必须与招标文件要求指标一致或者高于招标要求），每提供1项计1分，最高得5分，不提供不得分。</w:t>
            </w:r>
          </w:p>
        </w:tc>
        <w:tc>
          <w:tcPr>
            <w:tcW w:w="70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2"/>
                <w:sz w:val="24"/>
                <w:szCs w:val="24"/>
                <w:highlight w:val="none"/>
                <w:u w:val="none"/>
                <w:lang w:val="en-US" w:eastAsia="zh-CN"/>
              </w:rPr>
            </w:pPr>
            <w:r>
              <w:rPr>
                <w:rFonts w:hint="eastAsia" w:ascii="仿宋" w:hAnsi="仿宋" w:eastAsia="仿宋" w:cs="仿宋"/>
                <w:color w:val="auto"/>
                <w:kern w:val="2"/>
                <w:sz w:val="24"/>
                <w:szCs w:val="24"/>
                <w:highlight w:val="none"/>
                <w:u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kern w:val="2"/>
                <w:sz w:val="24"/>
                <w:szCs w:val="24"/>
                <w:highlight w:val="none"/>
                <w:u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u w:val="none"/>
              </w:rPr>
            </w:pPr>
            <w:r>
              <w:rPr>
                <w:rFonts w:hint="eastAsia" w:ascii="仿宋" w:hAnsi="仿宋" w:eastAsia="仿宋" w:cs="仿宋"/>
                <w:color w:val="000000"/>
                <w:kern w:val="2"/>
                <w:sz w:val="24"/>
                <w:szCs w:val="24"/>
                <w:lang w:val="en-US" w:eastAsia="zh-CN" w:bidi="ar"/>
              </w:rPr>
              <w:t>培训方案（5分）</w:t>
            </w:r>
          </w:p>
        </w:tc>
        <w:tc>
          <w:tcPr>
            <w:tcW w:w="6521" w:type="dxa"/>
            <w:gridSpan w:val="2"/>
            <w:tcBorders>
              <w:top w:val="single" w:color="auto" w:sz="4" w:space="0"/>
              <w:left w:val="single" w:color="auto" w:sz="4" w:space="0"/>
              <w:bottom w:val="single" w:color="auto" w:sz="4" w:space="0"/>
              <w:right w:val="single" w:color="auto" w:sz="4" w:space="0"/>
            </w:tcBorders>
            <w:vAlign w:val="center"/>
          </w:tcPr>
          <w:p>
            <w:pPr>
              <w:pStyle w:val="17"/>
              <w:keepNext w:val="0"/>
              <w:keepLines w:val="0"/>
              <w:suppressLineNumbers w:val="0"/>
              <w:shd w:val="clear" w:color="auto" w:fill="auto"/>
              <w:adjustRightInd w:val="0"/>
              <w:snapToGrid w:val="0"/>
              <w:spacing w:before="0" w:beforeAutospacing="0" w:after="0" w:afterAutospacing="0"/>
              <w:ind w:left="0" w:right="0"/>
              <w:jc w:val="both"/>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针对本项目具有可行的技术培训方案，制定培训课程计划表，具有培训教材，培训内容应包括所提供产品的操作手册、产品使用方法等各个方面，培训的具体日期及人数由使用单位确定、使用培训及相应软件培训方案详细科学合理。根据供应商的培训措施评分：</w:t>
            </w:r>
          </w:p>
          <w:p>
            <w:pPr>
              <w:pStyle w:val="17"/>
              <w:keepNext w:val="0"/>
              <w:keepLines w:val="0"/>
              <w:suppressLineNumbers w:val="0"/>
              <w:shd w:val="clear" w:color="auto" w:fill="auto"/>
              <w:adjustRightInd w:val="0"/>
              <w:snapToGrid w:val="0"/>
              <w:spacing w:before="0" w:beforeAutospacing="0" w:after="0" w:afterAutospacing="0"/>
              <w:ind w:left="0" w:right="0"/>
              <w:jc w:val="both"/>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（1）培训方案完整，针对性强，具有可操作性得4-5分；</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highlight w:val="none"/>
                <w:u w:val="none"/>
              </w:rPr>
            </w:pPr>
            <w:r>
              <w:rPr>
                <w:rFonts w:hint="eastAsia" w:ascii="仿宋" w:hAnsi="仿宋" w:eastAsia="仿宋" w:cs="仿宋"/>
                <w:color w:val="000000"/>
                <w:kern w:val="2"/>
                <w:sz w:val="24"/>
                <w:szCs w:val="24"/>
                <w:lang w:val="en-US" w:eastAsia="zh-CN" w:bidi="ar"/>
              </w:rPr>
              <w:t>（2）培训方案、资源配置、操作性一般的得1-3分；</w:t>
            </w:r>
          </w:p>
        </w:tc>
        <w:tc>
          <w:tcPr>
            <w:tcW w:w="70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p>
          <w:p>
            <w:pPr>
              <w:bidi w:val="0"/>
              <w:rPr>
                <w:rFonts w:hint="eastAsia"/>
                <w:lang w:val="en-US" w:eastAsia="zh-CN"/>
              </w:rPr>
            </w:pPr>
          </w:p>
          <w:p>
            <w:pPr>
              <w:bidi w:val="0"/>
              <w:ind w:firstLine="202" w:firstLineChars="0"/>
              <w:jc w:val="left"/>
              <w:rPr>
                <w:rFonts w:hint="default"/>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kern w:val="2"/>
                <w:sz w:val="24"/>
                <w:szCs w:val="24"/>
                <w:highlight w:val="none"/>
                <w:u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u w:val="none"/>
              </w:rPr>
            </w:pPr>
            <w:r>
              <w:rPr>
                <w:rFonts w:hint="eastAsia" w:ascii="仿宋" w:hAnsi="仿宋" w:eastAsia="仿宋" w:cs="仿宋"/>
                <w:color w:val="auto"/>
                <w:kern w:val="2"/>
                <w:sz w:val="24"/>
                <w:szCs w:val="24"/>
                <w:highlight w:val="none"/>
                <w:u w:val="none"/>
              </w:rPr>
              <w:t>项目实施</w:t>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u w:val="none"/>
              </w:rPr>
            </w:pPr>
            <w:r>
              <w:rPr>
                <w:rFonts w:hint="eastAsia" w:ascii="仿宋" w:hAnsi="仿宋" w:eastAsia="仿宋" w:cs="仿宋"/>
                <w:color w:val="auto"/>
                <w:kern w:val="2"/>
                <w:sz w:val="24"/>
                <w:szCs w:val="24"/>
                <w:highlight w:val="none"/>
                <w:u w:val="none"/>
              </w:rPr>
              <w:t>（</w:t>
            </w:r>
            <w:r>
              <w:rPr>
                <w:rFonts w:hint="eastAsia" w:ascii="仿宋" w:hAnsi="仿宋" w:eastAsia="仿宋" w:cs="仿宋"/>
                <w:color w:val="auto"/>
                <w:kern w:val="2"/>
                <w:sz w:val="24"/>
                <w:szCs w:val="24"/>
                <w:highlight w:val="none"/>
                <w:u w:val="none"/>
                <w:lang w:val="en-US" w:eastAsia="zh-CN"/>
              </w:rPr>
              <w:t>5</w:t>
            </w:r>
            <w:r>
              <w:rPr>
                <w:rFonts w:hint="eastAsia" w:ascii="仿宋" w:hAnsi="仿宋" w:eastAsia="仿宋" w:cs="仿宋"/>
                <w:color w:val="auto"/>
                <w:kern w:val="2"/>
                <w:sz w:val="24"/>
                <w:szCs w:val="24"/>
                <w:highlight w:val="none"/>
                <w:u w:val="none"/>
              </w:rPr>
              <w:t>分）</w:t>
            </w:r>
          </w:p>
        </w:tc>
        <w:tc>
          <w:tcPr>
            <w:tcW w:w="6521" w:type="dxa"/>
            <w:gridSpan w:val="2"/>
            <w:tcBorders>
              <w:top w:val="single" w:color="auto" w:sz="4" w:space="0"/>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highlight w:val="none"/>
                <w:u w:val="none"/>
              </w:rPr>
            </w:pPr>
            <w:r>
              <w:rPr>
                <w:rFonts w:hint="eastAsia" w:ascii="仿宋" w:hAnsi="仿宋" w:eastAsia="仿宋" w:cs="仿宋"/>
                <w:color w:val="auto"/>
                <w:kern w:val="2"/>
                <w:sz w:val="24"/>
                <w:szCs w:val="24"/>
                <w:highlight w:val="none"/>
                <w:u w:val="none"/>
              </w:rPr>
              <w:t>实施方案合理，人员组织架构、工作分工、进度安排合理，达到项目工期、质量要求。</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highlight w:val="none"/>
                <w:u w:val="none"/>
              </w:rPr>
            </w:pPr>
            <w:r>
              <w:rPr>
                <w:rFonts w:hint="eastAsia" w:ascii="仿宋" w:hAnsi="仿宋" w:eastAsia="仿宋" w:cs="仿宋"/>
                <w:color w:val="auto"/>
                <w:kern w:val="2"/>
                <w:sz w:val="24"/>
                <w:szCs w:val="24"/>
                <w:highlight w:val="none"/>
                <w:u w:val="none"/>
              </w:rPr>
              <w:t>项目安装、调试、测试方案合理且操作性较强。</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highlight w:val="none"/>
                <w:u w:val="none"/>
              </w:rPr>
            </w:pPr>
            <w:r>
              <w:rPr>
                <w:rFonts w:hint="eastAsia" w:ascii="仿宋" w:hAnsi="仿宋" w:eastAsia="仿宋" w:cs="仿宋"/>
                <w:color w:val="auto"/>
                <w:kern w:val="2"/>
                <w:sz w:val="24"/>
                <w:szCs w:val="24"/>
                <w:highlight w:val="none"/>
                <w:u w:val="none"/>
              </w:rPr>
              <w:t>有明确的项目质量管理方案和制度，项目管理机构及职责分配合理，符合项目实际，具有操作性。</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highlight w:val="none"/>
                <w:u w:val="none"/>
              </w:rPr>
            </w:pPr>
            <w:r>
              <w:rPr>
                <w:rFonts w:hint="eastAsia" w:ascii="仿宋" w:hAnsi="仿宋" w:eastAsia="仿宋" w:cs="仿宋"/>
                <w:color w:val="auto"/>
                <w:kern w:val="2"/>
                <w:sz w:val="24"/>
                <w:szCs w:val="24"/>
                <w:highlight w:val="none"/>
                <w:u w:val="none"/>
              </w:rPr>
              <w:t>针对项目特点分析存在的风险，提出规避措施。</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highlight w:val="none"/>
                <w:u w:val="none"/>
              </w:rPr>
            </w:pPr>
            <w:r>
              <w:rPr>
                <w:rFonts w:hint="eastAsia" w:ascii="仿宋" w:hAnsi="仿宋" w:eastAsia="仿宋" w:cs="仿宋"/>
                <w:color w:val="auto"/>
                <w:kern w:val="2"/>
                <w:sz w:val="24"/>
                <w:szCs w:val="24"/>
                <w:highlight w:val="none"/>
                <w:u w:val="none"/>
              </w:rPr>
              <w:t>优</w:t>
            </w:r>
            <w:r>
              <w:rPr>
                <w:rFonts w:hint="eastAsia" w:ascii="仿宋" w:hAnsi="仿宋" w:eastAsia="仿宋" w:cs="仿宋"/>
                <w:color w:val="auto"/>
                <w:kern w:val="2"/>
                <w:sz w:val="24"/>
                <w:szCs w:val="24"/>
                <w:highlight w:val="none"/>
                <w:u w:val="none"/>
                <w:lang w:val="en-US" w:eastAsia="zh-CN"/>
              </w:rPr>
              <w:t>4-5</w:t>
            </w:r>
            <w:r>
              <w:rPr>
                <w:rFonts w:hint="eastAsia" w:ascii="仿宋" w:hAnsi="仿宋" w:eastAsia="仿宋" w:cs="仿宋"/>
                <w:color w:val="auto"/>
                <w:kern w:val="2"/>
                <w:sz w:val="24"/>
                <w:szCs w:val="24"/>
                <w:highlight w:val="none"/>
                <w:u w:val="none"/>
              </w:rPr>
              <w:t>分</w:t>
            </w:r>
            <w:r>
              <w:rPr>
                <w:rFonts w:hint="eastAsia" w:ascii="仿宋" w:hAnsi="仿宋" w:eastAsia="仿宋" w:cs="仿宋"/>
                <w:color w:val="auto"/>
                <w:kern w:val="2"/>
                <w:sz w:val="24"/>
                <w:szCs w:val="24"/>
                <w:highlight w:val="none"/>
                <w:u w:val="none"/>
                <w:lang w:eastAsia="zh-CN"/>
              </w:rPr>
              <w:t>，</w:t>
            </w:r>
            <w:r>
              <w:rPr>
                <w:rFonts w:hint="eastAsia" w:ascii="仿宋" w:hAnsi="仿宋" w:eastAsia="仿宋" w:cs="仿宋"/>
                <w:color w:val="auto"/>
                <w:kern w:val="2"/>
                <w:sz w:val="24"/>
                <w:szCs w:val="24"/>
                <w:highlight w:val="none"/>
                <w:u w:val="none"/>
              </w:rPr>
              <w:t>较好</w:t>
            </w:r>
            <w:r>
              <w:rPr>
                <w:rFonts w:hint="eastAsia" w:ascii="仿宋" w:hAnsi="仿宋" w:eastAsia="仿宋" w:cs="仿宋"/>
                <w:color w:val="auto"/>
                <w:kern w:val="2"/>
                <w:sz w:val="24"/>
                <w:szCs w:val="24"/>
                <w:highlight w:val="none"/>
                <w:u w:val="none"/>
                <w:lang w:val="en-US" w:eastAsia="zh-CN"/>
              </w:rPr>
              <w:t>2-3</w:t>
            </w:r>
            <w:r>
              <w:rPr>
                <w:rFonts w:hint="eastAsia" w:ascii="仿宋" w:hAnsi="仿宋" w:eastAsia="仿宋" w:cs="仿宋"/>
                <w:color w:val="auto"/>
                <w:kern w:val="2"/>
                <w:sz w:val="24"/>
                <w:szCs w:val="24"/>
                <w:highlight w:val="none"/>
                <w:u w:val="none"/>
              </w:rPr>
              <w:t>分</w:t>
            </w:r>
            <w:r>
              <w:rPr>
                <w:rFonts w:hint="eastAsia" w:ascii="仿宋" w:hAnsi="仿宋" w:eastAsia="仿宋" w:cs="仿宋"/>
                <w:color w:val="auto"/>
                <w:kern w:val="2"/>
                <w:sz w:val="24"/>
                <w:szCs w:val="24"/>
                <w:highlight w:val="none"/>
                <w:u w:val="none"/>
                <w:lang w:eastAsia="zh-CN"/>
              </w:rPr>
              <w:t>，</w:t>
            </w:r>
            <w:r>
              <w:rPr>
                <w:rFonts w:hint="eastAsia" w:ascii="仿宋" w:hAnsi="仿宋" w:eastAsia="仿宋" w:cs="仿宋"/>
                <w:color w:val="auto"/>
                <w:kern w:val="2"/>
                <w:sz w:val="24"/>
                <w:szCs w:val="24"/>
                <w:highlight w:val="none"/>
                <w:u w:val="none"/>
              </w:rPr>
              <w:t xml:space="preserve">一般 </w:t>
            </w:r>
            <w:r>
              <w:rPr>
                <w:rFonts w:hint="eastAsia" w:ascii="仿宋" w:hAnsi="仿宋" w:eastAsia="仿宋" w:cs="仿宋"/>
                <w:color w:val="auto"/>
                <w:kern w:val="2"/>
                <w:sz w:val="24"/>
                <w:szCs w:val="24"/>
                <w:highlight w:val="none"/>
                <w:u w:val="none"/>
                <w:lang w:val="en-US" w:eastAsia="zh-CN"/>
              </w:rPr>
              <w:t>0-1</w:t>
            </w:r>
            <w:r>
              <w:rPr>
                <w:rFonts w:hint="eastAsia" w:ascii="仿宋" w:hAnsi="仿宋" w:eastAsia="仿宋" w:cs="仿宋"/>
                <w:color w:val="auto"/>
                <w:kern w:val="2"/>
                <w:sz w:val="24"/>
                <w:szCs w:val="24"/>
                <w:highlight w:val="none"/>
                <w:u w:val="none"/>
              </w:rPr>
              <w:t>分</w:t>
            </w:r>
            <w:r>
              <w:rPr>
                <w:rFonts w:hint="eastAsia" w:ascii="仿宋" w:hAnsi="仿宋" w:eastAsia="仿宋" w:cs="仿宋"/>
                <w:color w:val="auto"/>
                <w:kern w:val="2"/>
                <w:sz w:val="24"/>
                <w:szCs w:val="24"/>
                <w:highlight w:val="none"/>
                <w:u w:val="none"/>
                <w:lang w:eastAsia="zh-CN"/>
              </w:rPr>
              <w:t>。</w:t>
            </w:r>
          </w:p>
        </w:tc>
        <w:tc>
          <w:tcPr>
            <w:tcW w:w="70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color w:val="auto"/>
                <w:kern w:val="2"/>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2"/>
                <w:sz w:val="24"/>
                <w:szCs w:val="24"/>
                <w:highlight w:val="none"/>
                <w:u w:val="none"/>
                <w:lang w:val="en-US" w:eastAsia="zh-CN"/>
              </w:rPr>
            </w:pPr>
            <w:r>
              <w:rPr>
                <w:rFonts w:hint="eastAsia" w:ascii="仿宋" w:hAnsi="仿宋" w:eastAsia="仿宋" w:cs="仿宋"/>
                <w:color w:val="auto"/>
                <w:kern w:val="2"/>
                <w:sz w:val="24"/>
                <w:szCs w:val="24"/>
                <w:highlight w:val="none"/>
                <w:u w:val="none"/>
                <w:lang w:val="en-US" w:eastAsia="zh-CN"/>
              </w:rPr>
              <w:t xml:space="preserve">   </w:t>
            </w:r>
          </w:p>
          <w:p>
            <w:pPr>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2"/>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2"/>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2"/>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color w:val="auto"/>
                <w:kern w:val="2"/>
                <w:sz w:val="24"/>
                <w:szCs w:val="24"/>
                <w:highlight w:val="none"/>
                <w:u w:val="none"/>
                <w:lang w:val="en-US" w:eastAsia="zh-CN"/>
              </w:rPr>
            </w:pPr>
            <w:r>
              <w:rPr>
                <w:rFonts w:hint="eastAsia" w:ascii="仿宋" w:hAnsi="仿宋" w:eastAsia="仿宋" w:cs="仿宋"/>
                <w:color w:val="auto"/>
                <w:kern w:val="2"/>
                <w:sz w:val="24"/>
                <w:szCs w:val="24"/>
                <w:highlight w:val="none"/>
                <w:u w:val="none"/>
                <w:lang w:val="en-US" w:eastAsia="zh-CN"/>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atLeast"/>
          <w:jc w:val="center"/>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kern w:val="2"/>
                <w:sz w:val="24"/>
                <w:szCs w:val="24"/>
                <w:highlight w:val="none"/>
                <w:u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u w:val="none"/>
              </w:rPr>
            </w:pPr>
            <w:r>
              <w:rPr>
                <w:rFonts w:hint="eastAsia" w:ascii="仿宋" w:hAnsi="仿宋" w:eastAsia="仿宋" w:cs="仿宋"/>
                <w:color w:val="auto"/>
                <w:kern w:val="2"/>
                <w:sz w:val="24"/>
                <w:szCs w:val="24"/>
                <w:highlight w:val="none"/>
                <w:u w:val="none"/>
              </w:rPr>
              <w:t>运维保障</w:t>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u w:val="none"/>
              </w:rPr>
            </w:pPr>
            <w:r>
              <w:rPr>
                <w:rFonts w:hint="eastAsia" w:ascii="仿宋" w:hAnsi="仿宋" w:eastAsia="仿宋" w:cs="仿宋"/>
                <w:color w:val="auto"/>
                <w:kern w:val="2"/>
                <w:sz w:val="24"/>
                <w:szCs w:val="24"/>
                <w:highlight w:val="none"/>
                <w:u w:val="none"/>
              </w:rPr>
              <w:t>（</w:t>
            </w:r>
            <w:r>
              <w:rPr>
                <w:rFonts w:hint="eastAsia" w:ascii="仿宋" w:hAnsi="仿宋" w:eastAsia="仿宋" w:cs="仿宋"/>
                <w:color w:val="auto"/>
                <w:kern w:val="2"/>
                <w:sz w:val="24"/>
                <w:szCs w:val="24"/>
                <w:highlight w:val="none"/>
                <w:u w:val="none"/>
                <w:lang w:val="en-US" w:eastAsia="zh-CN"/>
              </w:rPr>
              <w:t>5</w:t>
            </w:r>
            <w:r>
              <w:rPr>
                <w:rFonts w:hint="eastAsia" w:ascii="仿宋" w:hAnsi="仿宋" w:eastAsia="仿宋" w:cs="仿宋"/>
                <w:color w:val="auto"/>
                <w:kern w:val="2"/>
                <w:sz w:val="24"/>
                <w:szCs w:val="24"/>
                <w:highlight w:val="none"/>
                <w:u w:val="none"/>
              </w:rPr>
              <w:t>分）</w:t>
            </w:r>
          </w:p>
        </w:tc>
        <w:tc>
          <w:tcPr>
            <w:tcW w:w="6521" w:type="dxa"/>
            <w:gridSpan w:val="2"/>
            <w:tcBorders>
              <w:top w:val="single" w:color="auto" w:sz="4" w:space="0"/>
              <w:left w:val="single" w:color="auto" w:sz="4" w:space="0"/>
              <w:right w:val="single" w:color="auto" w:sz="4" w:space="0"/>
            </w:tcBorders>
            <w:vAlign w:val="center"/>
          </w:tcPr>
          <w:p>
            <w:pPr>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highlight w:val="none"/>
                <w:u w:val="none"/>
              </w:rPr>
            </w:pPr>
            <w:r>
              <w:rPr>
                <w:rFonts w:hint="eastAsia" w:ascii="仿宋" w:hAnsi="仿宋" w:eastAsia="仿宋" w:cs="仿宋"/>
                <w:color w:val="auto"/>
                <w:kern w:val="2"/>
                <w:sz w:val="24"/>
                <w:szCs w:val="24"/>
                <w:highlight w:val="none"/>
                <w:u w:val="none"/>
              </w:rPr>
              <w:t>运维保障方案合理、操作性强。</w:t>
            </w:r>
          </w:p>
          <w:p>
            <w:pPr>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highlight w:val="none"/>
                <w:u w:val="none"/>
              </w:rPr>
            </w:pPr>
            <w:r>
              <w:rPr>
                <w:rFonts w:hint="eastAsia" w:ascii="仿宋" w:hAnsi="仿宋" w:eastAsia="仿宋" w:cs="仿宋"/>
                <w:color w:val="auto"/>
                <w:kern w:val="2"/>
                <w:sz w:val="24"/>
                <w:szCs w:val="24"/>
                <w:highlight w:val="none"/>
                <w:u w:val="none"/>
                <w:lang w:val="en-US" w:eastAsia="zh-CN"/>
              </w:rPr>
              <w:t>保证整体项目实施工程师人数3人及以上，提供项目实施人员名单及相关证书。</w:t>
            </w:r>
          </w:p>
          <w:p>
            <w:pPr>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highlight w:val="none"/>
                <w:u w:val="none"/>
              </w:rPr>
            </w:pPr>
            <w:r>
              <w:rPr>
                <w:rFonts w:hint="eastAsia" w:ascii="仿宋" w:hAnsi="仿宋" w:eastAsia="仿宋" w:cs="仿宋"/>
                <w:color w:val="auto"/>
                <w:kern w:val="2"/>
                <w:sz w:val="24"/>
                <w:szCs w:val="24"/>
                <w:highlight w:val="none"/>
                <w:u w:val="none"/>
                <w:lang w:val="en-US" w:eastAsia="zh-CN"/>
              </w:rPr>
              <w:t>能够提供完善、可靠的实施服务保障，技术人员人数在3人及以上。（提供社保缴费证明）；</w:t>
            </w:r>
          </w:p>
          <w:p>
            <w:pPr>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highlight w:val="none"/>
                <w:u w:val="none"/>
                <w:lang w:val="en-US" w:eastAsia="zh-CN"/>
              </w:rPr>
            </w:pPr>
            <w:r>
              <w:rPr>
                <w:rFonts w:hint="eastAsia" w:ascii="仿宋" w:hAnsi="仿宋" w:eastAsia="仿宋" w:cs="仿宋"/>
                <w:color w:val="auto"/>
                <w:kern w:val="2"/>
                <w:sz w:val="24"/>
                <w:szCs w:val="24"/>
                <w:highlight w:val="none"/>
                <w:u w:val="none"/>
                <w:lang w:val="en-US" w:eastAsia="zh-CN"/>
              </w:rPr>
              <w:t>有售后服务平台，随时满足客户解决问题的需求。（提供售后服务平台截图证明）。</w:t>
            </w:r>
          </w:p>
          <w:p>
            <w:pPr>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highlight w:val="none"/>
                <w:u w:val="none"/>
              </w:rPr>
            </w:pPr>
            <w:r>
              <w:rPr>
                <w:rFonts w:hint="eastAsia" w:ascii="仿宋" w:hAnsi="仿宋" w:eastAsia="仿宋" w:cs="仿宋"/>
                <w:color w:val="auto"/>
                <w:kern w:val="2"/>
                <w:sz w:val="24"/>
                <w:szCs w:val="24"/>
                <w:highlight w:val="none"/>
                <w:u w:val="none"/>
              </w:rPr>
              <w:t>优</w:t>
            </w:r>
            <w:r>
              <w:rPr>
                <w:rFonts w:hint="eastAsia" w:ascii="仿宋" w:hAnsi="仿宋" w:eastAsia="仿宋" w:cs="仿宋"/>
                <w:color w:val="auto"/>
                <w:kern w:val="2"/>
                <w:sz w:val="24"/>
                <w:szCs w:val="24"/>
                <w:highlight w:val="none"/>
                <w:u w:val="none"/>
                <w:lang w:val="en-US" w:eastAsia="zh-CN"/>
              </w:rPr>
              <w:t>4-5</w:t>
            </w:r>
            <w:r>
              <w:rPr>
                <w:rFonts w:hint="eastAsia" w:ascii="仿宋" w:hAnsi="仿宋" w:eastAsia="仿宋" w:cs="仿宋"/>
                <w:color w:val="auto"/>
                <w:kern w:val="2"/>
                <w:sz w:val="24"/>
                <w:szCs w:val="24"/>
                <w:highlight w:val="none"/>
                <w:u w:val="none"/>
              </w:rPr>
              <w:t>分</w:t>
            </w:r>
            <w:r>
              <w:rPr>
                <w:rFonts w:hint="eastAsia" w:ascii="仿宋" w:hAnsi="仿宋" w:eastAsia="仿宋" w:cs="仿宋"/>
                <w:color w:val="auto"/>
                <w:kern w:val="2"/>
                <w:sz w:val="24"/>
                <w:szCs w:val="24"/>
                <w:highlight w:val="none"/>
                <w:u w:val="none"/>
                <w:lang w:eastAsia="zh-CN"/>
              </w:rPr>
              <w:t>，</w:t>
            </w:r>
            <w:r>
              <w:rPr>
                <w:rFonts w:hint="eastAsia" w:ascii="仿宋" w:hAnsi="仿宋" w:eastAsia="仿宋" w:cs="仿宋"/>
                <w:color w:val="auto"/>
                <w:kern w:val="2"/>
                <w:sz w:val="24"/>
                <w:szCs w:val="24"/>
                <w:highlight w:val="none"/>
                <w:u w:val="none"/>
              </w:rPr>
              <w:t>较好</w:t>
            </w:r>
            <w:r>
              <w:rPr>
                <w:rFonts w:hint="eastAsia" w:ascii="仿宋" w:hAnsi="仿宋" w:eastAsia="仿宋" w:cs="仿宋"/>
                <w:color w:val="auto"/>
                <w:kern w:val="2"/>
                <w:sz w:val="24"/>
                <w:szCs w:val="24"/>
                <w:highlight w:val="none"/>
                <w:u w:val="none"/>
                <w:lang w:val="en-US" w:eastAsia="zh-CN"/>
              </w:rPr>
              <w:t>2-3</w:t>
            </w:r>
            <w:r>
              <w:rPr>
                <w:rFonts w:hint="eastAsia" w:ascii="仿宋" w:hAnsi="仿宋" w:eastAsia="仿宋" w:cs="仿宋"/>
                <w:color w:val="auto"/>
                <w:kern w:val="2"/>
                <w:sz w:val="24"/>
                <w:szCs w:val="24"/>
                <w:highlight w:val="none"/>
                <w:u w:val="none"/>
              </w:rPr>
              <w:t>分</w:t>
            </w:r>
            <w:r>
              <w:rPr>
                <w:rFonts w:hint="eastAsia" w:ascii="仿宋" w:hAnsi="仿宋" w:eastAsia="仿宋" w:cs="仿宋"/>
                <w:color w:val="auto"/>
                <w:kern w:val="2"/>
                <w:sz w:val="24"/>
                <w:szCs w:val="24"/>
                <w:highlight w:val="none"/>
                <w:u w:val="none"/>
                <w:lang w:eastAsia="zh-CN"/>
              </w:rPr>
              <w:t>，</w:t>
            </w:r>
            <w:r>
              <w:rPr>
                <w:rFonts w:hint="eastAsia" w:ascii="仿宋" w:hAnsi="仿宋" w:eastAsia="仿宋" w:cs="仿宋"/>
                <w:color w:val="auto"/>
                <w:kern w:val="2"/>
                <w:sz w:val="24"/>
                <w:szCs w:val="24"/>
                <w:highlight w:val="none"/>
                <w:u w:val="none"/>
              </w:rPr>
              <w:t xml:space="preserve">一般 </w:t>
            </w:r>
            <w:r>
              <w:rPr>
                <w:rFonts w:hint="eastAsia" w:ascii="仿宋" w:hAnsi="仿宋" w:eastAsia="仿宋" w:cs="仿宋"/>
                <w:color w:val="auto"/>
                <w:kern w:val="2"/>
                <w:sz w:val="24"/>
                <w:szCs w:val="24"/>
                <w:highlight w:val="none"/>
                <w:u w:val="none"/>
                <w:lang w:val="en-US" w:eastAsia="zh-CN"/>
              </w:rPr>
              <w:t>0-1</w:t>
            </w:r>
            <w:r>
              <w:rPr>
                <w:rFonts w:hint="eastAsia" w:ascii="仿宋" w:hAnsi="仿宋" w:eastAsia="仿宋" w:cs="仿宋"/>
                <w:color w:val="auto"/>
                <w:kern w:val="2"/>
                <w:sz w:val="24"/>
                <w:szCs w:val="24"/>
                <w:highlight w:val="none"/>
                <w:u w:val="none"/>
              </w:rPr>
              <w:t>分</w:t>
            </w:r>
            <w:r>
              <w:rPr>
                <w:rFonts w:hint="eastAsia" w:ascii="仿宋" w:hAnsi="仿宋" w:eastAsia="仿宋" w:cs="仿宋"/>
                <w:color w:val="auto"/>
                <w:kern w:val="2"/>
                <w:sz w:val="24"/>
                <w:szCs w:val="24"/>
                <w:highlight w:val="none"/>
                <w:u w:val="none"/>
                <w:lang w:eastAsia="zh-CN"/>
              </w:rPr>
              <w:t>。</w:t>
            </w:r>
          </w:p>
        </w:tc>
        <w:tc>
          <w:tcPr>
            <w:tcW w:w="708" w:type="dxa"/>
            <w:tcBorders>
              <w:top w:val="single" w:color="auto" w:sz="4" w:space="0"/>
              <w:left w:val="single" w:color="auto" w:sz="4" w:space="0"/>
              <w:bottom w:val="single" w:color="auto" w:sz="4" w:space="0"/>
              <w:right w:val="single" w:color="auto" w:sz="4" w:space="0"/>
            </w:tcBorders>
            <w:vAlign w:val="center"/>
          </w:tcPr>
          <w:p>
            <w:pPr>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highlight w:val="none"/>
                <w:u w:val="none"/>
                <w:lang w:eastAsia="zh-CN"/>
              </w:rPr>
            </w:pPr>
            <w:r>
              <w:rPr>
                <w:rFonts w:hint="eastAsia" w:ascii="仿宋" w:hAnsi="仿宋" w:eastAsia="仿宋" w:cs="仿宋"/>
                <w:color w:val="auto"/>
                <w:kern w:val="2"/>
                <w:sz w:val="24"/>
                <w:szCs w:val="24"/>
                <w:highlight w:val="none"/>
                <w:u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9073" w:type="dxa"/>
            <w:gridSpan w:val="4"/>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highlight w:val="none"/>
                <w:u w:val="none"/>
              </w:rPr>
            </w:pPr>
            <w:r>
              <w:rPr>
                <w:rFonts w:hint="eastAsia" w:ascii="仿宋" w:hAnsi="仿宋" w:eastAsia="仿宋" w:cs="仿宋"/>
                <w:bCs/>
                <w:kern w:val="2"/>
                <w:sz w:val="24"/>
                <w:szCs w:val="24"/>
                <w:highlight w:val="none"/>
                <w:u w:val="none"/>
              </w:rPr>
              <w:t>合计</w:t>
            </w:r>
          </w:p>
        </w:tc>
        <w:tc>
          <w:tcPr>
            <w:tcW w:w="70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highlight w:val="none"/>
                <w:u w:val="none"/>
              </w:rPr>
            </w:pPr>
            <w:r>
              <w:rPr>
                <w:rFonts w:hint="eastAsia" w:ascii="仿宋" w:hAnsi="仿宋" w:eastAsia="仿宋" w:cs="仿宋"/>
                <w:kern w:val="2"/>
                <w:sz w:val="24"/>
                <w:szCs w:val="24"/>
                <w:highlight w:val="none"/>
                <w:u w:val="none"/>
              </w:rPr>
              <w:t>100</w:t>
            </w:r>
          </w:p>
        </w:tc>
      </w:tr>
    </w:tbl>
    <w:p/>
    <w:p>
      <w:pPr>
        <w:shd w:val="clear" w:color="auto" w:fill="auto"/>
        <w:spacing w:line="440" w:lineRule="exact"/>
        <w:ind w:firstLine="972" w:firstLineChars="400"/>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如评标专家在检验电子标书过程中，如果由于投标人自身原因导致评标专家无法查看并检验电子标书中以上相关资料的，否决其投标。即使投标单位将原件携带至现场的，同样按无效投标处理。</w:t>
      </w:r>
    </w:p>
    <w:p>
      <w:pPr>
        <w:pStyle w:val="38"/>
        <w:shd w:val="clear" w:color="auto" w:fill="auto"/>
        <w:tabs>
          <w:tab w:val="left" w:pos="1701"/>
        </w:tabs>
        <w:spacing w:line="440" w:lineRule="exact"/>
        <w:ind w:left="0" w:firstLine="623"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val="en-US" w:eastAsia="zh-CN" w:bidi="ar-SA"/>
          <w14:textFill>
            <w14:solidFill>
              <w14:schemeClr w14:val="tx1"/>
            </w14:solidFill>
          </w14:textFill>
        </w:rPr>
        <w:t>10.2.2</w:t>
      </w:r>
      <w:r>
        <w:rPr>
          <w:rFonts w:hint="eastAsia" w:ascii="仿宋" w:hAnsi="仿宋" w:eastAsia="仿宋" w:cs="仿宋"/>
          <w:color w:val="000000" w:themeColor="text1"/>
          <w:szCs w:val="21"/>
          <w:highlight w:val="none"/>
          <w:lang w:bidi="ar-SA"/>
          <w14:textFill>
            <w14:solidFill>
              <w14:schemeClr w14:val="tx1"/>
            </w14:solidFill>
          </w14:textFill>
        </w:rPr>
        <w:t>价格评分方法</w:t>
      </w:r>
    </w:p>
    <w:p>
      <w:pPr>
        <w:shd w:val="clear" w:color="auto" w:fill="auto"/>
        <w:spacing w:line="440" w:lineRule="exact"/>
        <w:ind w:firstLine="623" w:firstLineChars="257"/>
        <w:jc w:val="left"/>
        <w:rPr>
          <w:rFonts w:hint="eastAsia" w:ascii="仿宋" w:hAnsi="仿宋" w:eastAsia="仿宋" w:cs="仿宋"/>
          <w:color w:val="000000" w:themeColor="text1"/>
          <w:szCs w:val="21"/>
          <w:highlight w:val="none"/>
          <w:lang w:eastAsia="zh-CN"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满足招标文件技术要求且投标价格最低的投标报价为评标基准价，其价格分为满分。其他投标人的价格分别按照下列公式计算： 投标报价得分=（评标基准价/投标报价）×价格权重</w:t>
      </w:r>
      <w:r>
        <w:rPr>
          <w:rFonts w:hint="eastAsia" w:ascii="仿宋" w:hAnsi="仿宋" w:eastAsia="仿宋" w:cs="仿宋"/>
          <w:color w:val="000000" w:themeColor="text1"/>
          <w:szCs w:val="21"/>
          <w:highlight w:val="none"/>
          <w:lang w:eastAsia="zh-CN" w:bidi="ar-SA"/>
          <w14:textFill>
            <w14:solidFill>
              <w14:schemeClr w14:val="tx1"/>
            </w14:solidFill>
          </w14:textFill>
        </w:rPr>
        <w:t>。</w:t>
      </w:r>
    </w:p>
    <w:p>
      <w:pPr>
        <w:shd w:val="clear" w:color="auto" w:fill="auto"/>
        <w:spacing w:before="156" w:beforeLines="50" w:line="400" w:lineRule="exact"/>
        <w:jc w:val="center"/>
        <w:outlineLvl w:val="1"/>
        <w:rPr>
          <w:rFonts w:hint="eastAsia" w:ascii="仿宋" w:hAnsi="仿宋" w:eastAsia="仿宋" w:cs="仿宋"/>
          <w:b/>
          <w:color w:val="000000" w:themeColor="text1"/>
          <w:sz w:val="24"/>
          <w:highlight w:val="none"/>
          <w14:textFill>
            <w14:solidFill>
              <w14:schemeClr w14:val="tx1"/>
            </w14:solidFill>
          </w14:textFill>
        </w:rPr>
      </w:pPr>
    </w:p>
    <w:p>
      <w:pPr>
        <w:shd w:val="clear" w:color="auto" w:fill="auto"/>
        <w:spacing w:before="156" w:beforeLines="50" w:line="400" w:lineRule="exact"/>
        <w:jc w:val="center"/>
        <w:outlineLvl w:val="1"/>
        <w:rPr>
          <w:rFonts w:hint="eastAsia" w:ascii="仿宋" w:hAnsi="仿宋" w:eastAsia="仿宋" w:cs="仿宋"/>
          <w:b/>
          <w:color w:val="000000" w:themeColor="text1"/>
          <w:sz w:val="24"/>
          <w:highlight w:val="none"/>
          <w14:textFill>
            <w14:solidFill>
              <w14:schemeClr w14:val="tx1"/>
            </w14:solidFill>
          </w14:textFill>
        </w:rPr>
      </w:pPr>
    </w:p>
    <w:p>
      <w:pPr>
        <w:shd w:val="clear" w:color="auto" w:fill="auto"/>
        <w:spacing w:before="156" w:beforeLines="50" w:line="400" w:lineRule="exact"/>
        <w:jc w:val="center"/>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五  推荐中标候选人</w:t>
      </w:r>
      <w:bookmarkEnd w:id="42"/>
      <w:bookmarkEnd w:id="43"/>
    </w:p>
    <w:p>
      <w:pPr>
        <w:shd w:val="clear" w:color="auto" w:fill="auto"/>
        <w:snapToGrid w:val="0"/>
        <w:spacing w:line="400" w:lineRule="exact"/>
        <w:ind w:firstLine="486"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p>
    <w:p>
      <w:pPr>
        <w:shd w:val="clear" w:color="auto" w:fill="auto"/>
        <w:snapToGrid w:val="0"/>
        <w:spacing w:line="40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11.1</w:t>
      </w:r>
      <w:r>
        <w:rPr>
          <w:rFonts w:hint="eastAsia" w:ascii="仿宋" w:hAnsi="仿宋" w:eastAsia="仿宋" w:cs="仿宋"/>
          <w:color w:val="000000" w:themeColor="text1"/>
          <w:szCs w:val="21"/>
          <w:highlight w:val="none"/>
          <w14:textFill>
            <w14:solidFill>
              <w14:schemeClr w14:val="tx1"/>
            </w14:solidFill>
          </w14:textFill>
        </w:rPr>
        <w:t>评标委员会推荐</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名中标候选人，并标明排序。</w:t>
      </w:r>
    </w:p>
    <w:p>
      <w:pPr>
        <w:shd w:val="clear" w:color="auto" w:fill="auto"/>
        <w:spacing w:line="400" w:lineRule="exact"/>
        <w:ind w:firstLine="475"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11.2</w:t>
      </w:r>
      <w:r>
        <w:rPr>
          <w:rFonts w:hint="eastAsia" w:ascii="仿宋" w:hAnsi="仿宋" w:eastAsia="仿宋" w:cs="仿宋"/>
          <w:color w:val="000000" w:themeColor="text1"/>
          <w:szCs w:val="21"/>
          <w:highlight w:val="none"/>
          <w14:textFill>
            <w14:solidFill>
              <w14:schemeClr w14:val="tx1"/>
            </w14:solidFill>
          </w14:textFill>
        </w:rPr>
        <w:t>如出现报价相同情况，则由招标人现场抽签确定中标候选人排名顺序。</w:t>
      </w:r>
    </w:p>
    <w:bookmarkEnd w:id="37"/>
    <w:p>
      <w:pPr>
        <w:shd w:val="clear" w:color="auto" w:fill="auto"/>
        <w:snapToGrid w:val="0"/>
        <w:spacing w:line="400" w:lineRule="exact"/>
        <w:ind w:firstLine="486"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12.</w:t>
      </w:r>
      <w:r>
        <w:rPr>
          <w:rFonts w:hint="eastAsia" w:ascii="仿宋" w:hAnsi="仿宋" w:eastAsia="仿宋" w:cs="仿宋"/>
          <w:b/>
          <w:color w:val="000000" w:themeColor="text1"/>
          <w:szCs w:val="21"/>
          <w:highlight w:val="none"/>
          <w14:textFill>
            <w14:solidFill>
              <w14:schemeClr w14:val="tx1"/>
            </w14:solidFill>
          </w14:textFill>
        </w:rPr>
        <w:t>无效投标条款</w:t>
      </w:r>
    </w:p>
    <w:p>
      <w:pPr>
        <w:shd w:val="clear" w:color="auto" w:fill="auto"/>
        <w:snapToGrid w:val="0"/>
        <w:spacing w:line="40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.1投标文件有下列情形之一的,其投标文件拒收:</w:t>
      </w:r>
    </w:p>
    <w:p>
      <w:pPr>
        <w:shd w:val="clear" w:color="auto" w:fill="auto"/>
        <w:snapToGrid w:val="0"/>
        <w:spacing w:line="400" w:lineRule="exact"/>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b/>
          <w:bCs/>
          <w:color w:val="000000" w:themeColor="text1"/>
          <w:szCs w:val="21"/>
          <w:highlight w:val="none"/>
          <w14:textFill>
            <w14:solidFill>
              <w14:schemeClr w14:val="tx1"/>
            </w14:solidFill>
          </w14:textFill>
        </w:rPr>
        <w:t xml:space="preserve"> (1) 未在开标截止时间前通过网上招标投标系统递交有效电子投标文件的，开标系统不予接收。</w:t>
      </w:r>
    </w:p>
    <w:p>
      <w:pPr>
        <w:shd w:val="clear" w:color="auto" w:fill="auto"/>
        <w:snapToGrid w:val="0"/>
        <w:spacing w:line="400" w:lineRule="exact"/>
        <w:ind w:firstLine="486"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（2）</w:t>
      </w:r>
      <w:r>
        <w:rPr>
          <w:rFonts w:hint="eastAsia" w:ascii="仿宋" w:hAnsi="仿宋" w:eastAsia="仿宋" w:cs="仿宋"/>
          <w:b/>
          <w:color w:val="000000" w:themeColor="text1"/>
          <w:szCs w:val="21"/>
          <w:highlight w:val="none"/>
          <w14:textFill>
            <w14:solidFill>
              <w14:schemeClr w14:val="tx1"/>
            </w14:solidFill>
          </w14:textFill>
        </w:rPr>
        <w:t>所有投标人应在</w:t>
      </w:r>
      <w:r>
        <w:rPr>
          <w:rFonts w:hint="eastAsia" w:ascii="仿宋" w:hAnsi="仿宋" w:eastAsia="仿宋" w:cs="仿宋"/>
          <w:b/>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b/>
          <w:color w:val="000000" w:themeColor="text1"/>
          <w:szCs w:val="21"/>
          <w:highlight w:val="none"/>
          <w14:textFill>
            <w14:solidFill>
              <w14:schemeClr w14:val="tx1"/>
            </w14:solidFill>
          </w14:textFill>
        </w:rPr>
        <w:t>规定时间里完成投标文件的解密工作</w:t>
      </w:r>
      <w:r>
        <w:rPr>
          <w:rFonts w:hint="eastAsia" w:ascii="仿宋" w:hAnsi="仿宋" w:eastAsia="仿宋" w:cs="仿宋"/>
          <w:b/>
          <w:bCs/>
          <w:color w:val="000000" w:themeColor="text1"/>
          <w:szCs w:val="21"/>
          <w:highlight w:val="none"/>
          <w14:textFill>
            <w14:solidFill>
              <w14:schemeClr w14:val="tx1"/>
            </w14:solidFill>
          </w14:textFill>
        </w:rPr>
        <w:t>【投标人</w:t>
      </w:r>
      <w:r>
        <w:rPr>
          <w:rFonts w:hint="eastAsia" w:ascii="仿宋" w:hAnsi="仿宋" w:eastAsia="仿宋" w:cs="仿宋"/>
          <w:b/>
          <w:bCs/>
          <w:color w:val="000000" w:themeColor="text1"/>
          <w:szCs w:val="21"/>
          <w:highlight w:val="none"/>
          <w:lang w:eastAsia="zh-CN"/>
          <w14:textFill>
            <w14:solidFill>
              <w14:schemeClr w14:val="tx1"/>
            </w14:solidFill>
          </w14:textFill>
        </w:rPr>
        <w:t>使用</w:t>
      </w:r>
      <w:r>
        <w:rPr>
          <w:rFonts w:hint="eastAsia" w:ascii="仿宋" w:hAnsi="仿宋" w:eastAsia="仿宋" w:cs="仿宋"/>
          <w:b/>
          <w:bCs/>
          <w:color w:val="000000" w:themeColor="text1"/>
          <w:szCs w:val="21"/>
          <w:highlight w:val="none"/>
          <w14:textFill>
            <w14:solidFill>
              <w14:schemeClr w14:val="tx1"/>
            </w14:solidFill>
          </w14:textFill>
        </w:rPr>
        <w:t>其有效加密锁（CA锁）</w:t>
      </w:r>
      <w:r>
        <w:rPr>
          <w:rFonts w:hint="eastAsia" w:ascii="仿宋" w:hAnsi="仿宋" w:eastAsia="仿宋" w:cs="仿宋"/>
          <w:b/>
          <w:bCs/>
          <w:color w:val="000000" w:themeColor="text1"/>
          <w:szCs w:val="21"/>
          <w:highlight w:val="none"/>
          <w:lang w:eastAsia="zh-CN"/>
          <w14:textFill>
            <w14:solidFill>
              <w14:schemeClr w14:val="tx1"/>
            </w14:solidFill>
          </w14:textFill>
        </w:rPr>
        <w:t>进行</w:t>
      </w:r>
      <w:r>
        <w:rPr>
          <w:rFonts w:hint="eastAsia" w:ascii="仿宋" w:hAnsi="仿宋" w:eastAsia="仿宋" w:cs="仿宋"/>
          <w:b/>
          <w:bCs/>
          <w:color w:val="000000" w:themeColor="text1"/>
          <w:szCs w:val="21"/>
          <w:highlight w:val="none"/>
          <w14:textFill>
            <w14:solidFill>
              <w14:schemeClr w14:val="tx1"/>
            </w14:solidFill>
          </w14:textFill>
        </w:rPr>
        <w:t>解密（因投标人原因未能提供有效CA锁对其投标文件进行解密的，其投标文件按无效标处理），以网上招投标系统解密倒计时为准】</w:t>
      </w:r>
      <w:r>
        <w:rPr>
          <w:rFonts w:hint="eastAsia" w:ascii="仿宋" w:hAnsi="仿宋" w:eastAsia="仿宋" w:cs="仿宋"/>
          <w:b/>
          <w:color w:val="000000" w:themeColor="text1"/>
          <w:szCs w:val="21"/>
          <w:highlight w:val="none"/>
          <w14:textFill>
            <w14:solidFill>
              <w14:schemeClr w14:val="tx1"/>
            </w14:solidFill>
          </w14:textFill>
        </w:rPr>
        <w:t>，因系统原因未能成功解密的投标文件，可导入</w:t>
      </w:r>
      <w:r>
        <w:rPr>
          <w:rFonts w:hint="eastAsia" w:ascii="仿宋" w:hAnsi="仿宋" w:eastAsia="仿宋" w:cs="仿宋"/>
          <w:b/>
          <w:color w:val="000000" w:themeColor="text1"/>
          <w:szCs w:val="21"/>
          <w:highlight w:val="none"/>
          <w:lang w:eastAsia="zh-CN"/>
          <w14:textFill>
            <w14:solidFill>
              <w14:schemeClr w14:val="tx1"/>
            </w14:solidFill>
          </w14:textFill>
        </w:rPr>
        <w:t>备份投标文件</w:t>
      </w:r>
      <w:r>
        <w:rPr>
          <w:rFonts w:hint="eastAsia" w:ascii="仿宋" w:hAnsi="仿宋" w:eastAsia="仿宋" w:cs="仿宋"/>
          <w:b/>
          <w:color w:val="000000" w:themeColor="text1"/>
          <w:szCs w:val="21"/>
          <w:highlight w:val="none"/>
          <w14:textFill>
            <w14:solidFill>
              <w14:schemeClr w14:val="tx1"/>
            </w14:solidFill>
          </w14:textFill>
        </w:rPr>
        <w:t>。</w:t>
      </w:r>
      <w:r>
        <w:rPr>
          <w:rFonts w:hint="eastAsia" w:ascii="仿宋" w:hAnsi="仿宋" w:eastAsia="仿宋" w:cs="仿宋"/>
          <w:b/>
          <w:color w:val="000000" w:themeColor="text1"/>
          <w:szCs w:val="21"/>
          <w:highlight w:val="none"/>
          <w:lang w:eastAsia="zh-CN"/>
          <w14:textFill>
            <w14:solidFill>
              <w14:schemeClr w14:val="tx1"/>
            </w14:solidFill>
          </w14:textFill>
        </w:rPr>
        <w:t>备份投标文件</w:t>
      </w:r>
      <w:r>
        <w:rPr>
          <w:rFonts w:hint="eastAsia" w:ascii="仿宋" w:hAnsi="仿宋" w:eastAsia="仿宋" w:cs="仿宋"/>
          <w:b/>
          <w:color w:val="000000" w:themeColor="text1"/>
          <w:szCs w:val="21"/>
          <w:highlight w:val="none"/>
          <w14:textFill>
            <w14:solidFill>
              <w14:schemeClr w14:val="tx1"/>
            </w14:solidFill>
          </w14:textFill>
        </w:rPr>
        <w:t>也无法导入的，则投标文件被否决。</w:t>
      </w:r>
    </w:p>
    <w:p>
      <w:pPr>
        <w:shd w:val="clear" w:color="auto" w:fill="auto"/>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.2投标人有下列情形之一的,资格审查后其投标作无效投标处理：</w:t>
      </w:r>
    </w:p>
    <w:p>
      <w:pPr>
        <w:shd w:val="clear" w:color="auto" w:fill="auto"/>
        <w:snapToGrid w:val="0"/>
        <w:spacing w:line="40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(1)法定代表人参加开标会议未携带有效的法定代表人身份证明原件和本人身份证的；委托代理人参加开标会议未携带有效的法定代表人授权书和本人身份证；</w:t>
      </w:r>
    </w:p>
    <w:p>
      <w:pPr>
        <w:shd w:val="clear" w:color="auto" w:fill="auto"/>
        <w:snapToGrid w:val="0"/>
        <w:spacing w:line="40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(2)投标人为本项目提供招标代理服务的；</w:t>
      </w:r>
    </w:p>
    <w:p>
      <w:pPr>
        <w:shd w:val="clear" w:color="auto" w:fill="auto"/>
        <w:snapToGrid w:val="0"/>
        <w:spacing w:line="40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(3)投标人与在本项目代理机构存在相互任职或工作的；</w:t>
      </w:r>
    </w:p>
    <w:p>
      <w:pPr>
        <w:shd w:val="clear" w:color="auto" w:fill="auto"/>
        <w:snapToGrid w:val="0"/>
        <w:spacing w:line="40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(4)投标保证金未按规定要求缴纳的；</w:t>
      </w:r>
    </w:p>
    <w:p>
      <w:pPr>
        <w:shd w:val="clear" w:color="auto" w:fill="auto"/>
        <w:snapToGrid w:val="0"/>
        <w:spacing w:line="40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r>
        <w:rPr>
          <w:rFonts w:hint="eastAsia" w:ascii="仿宋" w:hAnsi="仿宋" w:eastAsia="仿宋" w:cs="仿宋"/>
          <w:b/>
          <w:bCs/>
          <w:color w:val="000000" w:themeColor="text1"/>
          <w:szCs w:val="21"/>
          <w:highlight w:val="none"/>
          <w14:textFill>
            <w14:solidFill>
              <w14:schemeClr w14:val="tx1"/>
            </w14:solidFill>
          </w14:textFill>
        </w:rPr>
        <w:t>评标专家无法查看并检验电子标书中相关资料的；</w:t>
      </w:r>
    </w:p>
    <w:p>
      <w:pPr>
        <w:shd w:val="clear" w:color="auto" w:fill="auto"/>
        <w:snapToGrid w:val="0"/>
        <w:spacing w:line="40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(6)投标人超出营业范围投标的；</w:t>
      </w:r>
    </w:p>
    <w:p>
      <w:pPr>
        <w:shd w:val="clear" w:color="auto" w:fill="auto"/>
        <w:snapToGrid w:val="0"/>
        <w:spacing w:line="40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(7)联合体投标未提交联合体协议的；</w:t>
      </w:r>
    </w:p>
    <w:p>
      <w:pPr>
        <w:shd w:val="clear" w:color="auto" w:fill="auto"/>
        <w:snapToGrid w:val="0"/>
        <w:spacing w:line="40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(8)被暂停营业的；</w:t>
      </w:r>
    </w:p>
    <w:p>
      <w:pPr>
        <w:shd w:val="clear" w:color="auto" w:fill="auto"/>
        <w:snapToGrid w:val="0"/>
        <w:spacing w:line="40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(9)被暂停或取消投标资格的；</w:t>
      </w:r>
    </w:p>
    <w:p>
      <w:pPr>
        <w:shd w:val="clear" w:color="auto" w:fill="auto"/>
        <w:snapToGrid w:val="0"/>
        <w:spacing w:line="40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(10)财产被接管或冻结的；</w:t>
      </w:r>
    </w:p>
    <w:p>
      <w:pPr>
        <w:shd w:val="clear" w:color="auto" w:fill="auto"/>
        <w:snapToGrid w:val="0"/>
        <w:spacing w:line="40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(11)投标人单位负责人为同一人或者存在控股、管理关系的不同单位的；</w:t>
      </w:r>
    </w:p>
    <w:p>
      <w:pPr>
        <w:shd w:val="clear" w:color="auto" w:fill="auto"/>
        <w:snapToGrid w:val="0"/>
        <w:spacing w:line="400" w:lineRule="exact"/>
        <w:ind w:firstLine="364"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（12）投标人基本资格条件和特定资格条件中有一项及以上不符合要求的；</w:t>
      </w:r>
    </w:p>
    <w:p>
      <w:pPr>
        <w:shd w:val="clear" w:color="auto" w:fill="auto"/>
        <w:snapToGrid w:val="0"/>
        <w:spacing w:line="40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（13）投标人使用相同的MAC地址进行报名的；</w:t>
      </w:r>
    </w:p>
    <w:p>
      <w:pPr>
        <w:shd w:val="clear" w:color="auto" w:fill="auto"/>
        <w:snapToGrid w:val="0"/>
        <w:spacing w:line="40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（14）其它情形，经评标委员会委提出按无效投标处理，并经公共资源交易监督部门核准的；</w:t>
      </w:r>
    </w:p>
    <w:p>
      <w:pPr>
        <w:shd w:val="clear" w:color="auto" w:fill="auto"/>
        <w:snapToGrid w:val="0"/>
        <w:spacing w:line="40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（15）投标人使用相同IP地址报名的，一经发现，监管部门将进一步核实，查实后按串通投标处理；</w:t>
      </w:r>
    </w:p>
    <w:p>
      <w:pPr>
        <w:shd w:val="clear" w:color="auto" w:fill="auto"/>
        <w:snapToGrid w:val="0"/>
        <w:spacing w:line="40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（16）</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规定的其它无效投标情形。</w:t>
      </w:r>
    </w:p>
    <w:p>
      <w:pPr>
        <w:shd w:val="clear" w:color="auto" w:fill="auto"/>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.3 投标人有下列情形之一的,符合性审查后其投标按无效投标处理：</w:t>
      </w:r>
    </w:p>
    <w:p>
      <w:pPr>
        <w:shd w:val="clear" w:color="auto" w:fill="auto"/>
        <w:snapToGrid w:val="0"/>
        <w:spacing w:line="40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 投标文件</w:t>
      </w:r>
      <w:r>
        <w:rPr>
          <w:rFonts w:hint="eastAsia" w:ascii="仿宋" w:hAnsi="仿宋" w:eastAsia="仿宋" w:cs="仿宋"/>
          <w:color w:val="000000" w:themeColor="text1"/>
          <w:szCs w:val="21"/>
          <w:highlight w:val="none"/>
          <w:lang w:eastAsia="zh-CN"/>
          <w14:textFill>
            <w14:solidFill>
              <w14:schemeClr w14:val="tx1"/>
            </w14:solidFill>
          </w14:textFill>
        </w:rPr>
        <w:t>签章</w:t>
      </w:r>
      <w:r>
        <w:rPr>
          <w:rFonts w:hint="eastAsia" w:ascii="仿宋" w:hAnsi="仿宋" w:eastAsia="仿宋" w:cs="仿宋"/>
          <w:color w:val="000000" w:themeColor="text1"/>
          <w:szCs w:val="21"/>
          <w:highlight w:val="none"/>
          <w14:textFill>
            <w14:solidFill>
              <w14:schemeClr w14:val="tx1"/>
            </w14:solidFill>
          </w14:textFill>
        </w:rPr>
        <w:t>、盖章不全，经评标委员会一致认定对开评标内容有实质性影响并经监督部门核准的；</w:t>
      </w:r>
    </w:p>
    <w:p>
      <w:pPr>
        <w:shd w:val="clear" w:color="auto" w:fill="auto"/>
        <w:snapToGrid w:val="0"/>
        <w:spacing w:line="40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)未按规定的格式填写，实质性内容不全或关键字迹模糊、无法辨认; 经监督部门核准的；</w:t>
      </w:r>
    </w:p>
    <w:p>
      <w:pPr>
        <w:shd w:val="clear" w:color="auto" w:fill="auto"/>
        <w:snapToGrid w:val="0"/>
        <w:spacing w:line="40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)同一投标人提交两个以上不同的投标文件或者投标报价，但</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规定提交备选方案的除外；</w:t>
      </w:r>
    </w:p>
    <w:p>
      <w:pPr>
        <w:shd w:val="clear" w:color="auto" w:fill="auto"/>
        <w:snapToGrid w:val="0"/>
        <w:spacing w:line="40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)投标文件没有对</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的实质性要求和条件作出响应;</w:t>
      </w:r>
    </w:p>
    <w:p>
      <w:pPr>
        <w:shd w:val="clear" w:color="auto" w:fill="auto"/>
        <w:snapToGrid w:val="0"/>
        <w:spacing w:line="40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)投标报价超出规定的投标限价或公布的采购预算的；注：投标人的投标报价各项单价均不得高于招标文件给定的单价最高限价，否则，其投标文件将按无效投标处理。</w:t>
      </w:r>
    </w:p>
    <w:p>
      <w:pPr>
        <w:shd w:val="clear" w:color="auto" w:fill="auto"/>
        <w:snapToGrid w:val="0"/>
        <w:spacing w:line="40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)不按评标委员会要求澄清、说明或补正的，或者评标委员会根据</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的规定对</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的计算错误进行修正后，投标人不接受修正的投标报价的。</w:t>
      </w:r>
    </w:p>
    <w:p>
      <w:pPr>
        <w:shd w:val="clear" w:color="auto" w:fill="auto"/>
        <w:snapToGrid w:val="0"/>
        <w:spacing w:line="40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）其它情形，经评标委员会委提出按无效投标处理，并经公共资源交易监督部门核准的；</w:t>
      </w:r>
    </w:p>
    <w:p>
      <w:pPr>
        <w:widowControl/>
        <w:shd w:val="clear" w:color="auto" w:fill="auto"/>
        <w:spacing w:line="500" w:lineRule="exact"/>
        <w:ind w:firstLine="486"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kern w:val="0"/>
          <w:szCs w:val="21"/>
          <w:highlight w:val="none"/>
          <w:shd w:val="clear" w:color="auto" w:fill="FFFFFF"/>
          <w:lang w:bidi="ar"/>
          <w14:textFill>
            <w14:solidFill>
              <w14:schemeClr w14:val="tx1"/>
            </w14:solidFill>
          </w14:textFill>
        </w:rPr>
        <w:t>未按照招标文件的规定提交投标保证金的；</w:t>
      </w:r>
    </w:p>
    <w:p>
      <w:pPr>
        <w:widowControl/>
        <w:shd w:val="clear" w:color="auto" w:fill="auto"/>
        <w:spacing w:line="500" w:lineRule="exact"/>
        <w:ind w:firstLine="486"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kern w:val="0"/>
          <w:szCs w:val="21"/>
          <w:highlight w:val="none"/>
          <w:shd w:val="clear" w:color="auto" w:fill="FFFFFF"/>
          <w:lang w:bidi="ar"/>
          <w14:textFill>
            <w14:solidFill>
              <w14:schemeClr w14:val="tx1"/>
            </w14:solidFill>
          </w14:textFill>
        </w:rPr>
        <w:t>投标文件含有采购人不能接受的附加条件的;</w:t>
      </w:r>
    </w:p>
    <w:p>
      <w:pPr>
        <w:shd w:val="clear" w:color="auto" w:fill="auto"/>
        <w:tabs>
          <w:tab w:val="left" w:pos="1123"/>
        </w:tabs>
        <w:snapToGrid w:val="0"/>
        <w:spacing w:line="50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10</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规定的其它无效投标情形。</w:t>
      </w:r>
    </w:p>
    <w:p>
      <w:pPr>
        <w:shd w:val="clear" w:color="auto" w:fill="auto"/>
        <w:snapToGrid w:val="0"/>
        <w:spacing w:line="40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.4 投标人有下列情形之一的, 详细评审后其投标按无效投标处理：</w:t>
      </w:r>
    </w:p>
    <w:p>
      <w:pPr>
        <w:shd w:val="clear" w:color="auto" w:fill="auto"/>
        <w:snapToGrid w:val="0"/>
        <w:spacing w:line="40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(1)投标产品不符合必须强制执行的国家标准的；</w:t>
      </w:r>
    </w:p>
    <w:p>
      <w:pPr>
        <w:shd w:val="clear" w:color="auto" w:fill="auto"/>
        <w:snapToGrid w:val="0"/>
        <w:spacing w:line="40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(2)投标人有串通投标、弄虚作假、行贿等违法行为；</w:t>
      </w:r>
    </w:p>
    <w:p>
      <w:pPr>
        <w:shd w:val="clear" w:color="auto" w:fill="auto"/>
        <w:snapToGrid w:val="0"/>
        <w:spacing w:line="40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(3)投标文件含有违反国家法律、法规的内容，或附有招标人不能接受的条件的；</w:t>
      </w:r>
    </w:p>
    <w:p>
      <w:pPr>
        <w:shd w:val="clear" w:color="auto" w:fill="auto"/>
        <w:spacing w:line="360" w:lineRule="auto"/>
        <w:ind w:firstLine="364"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（4）在同一项目（或同一标段）中有多个投标人有效投标报价接近最高限价，且评标委员会认为报价出现异常的，可以宣布其投标无效；</w:t>
      </w:r>
    </w:p>
    <w:p>
      <w:pPr>
        <w:shd w:val="clear" w:color="auto" w:fill="auto"/>
        <w:spacing w:line="360" w:lineRule="auto"/>
        <w:ind w:firstLine="364"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（5）报价明显低于其他投标人，且不能证明报价合理性的投标无效；</w:t>
      </w:r>
    </w:p>
    <w:p>
      <w:pPr>
        <w:shd w:val="clear" w:color="auto" w:fill="auto"/>
        <w:spacing w:line="360" w:lineRule="auto"/>
        <w:ind w:firstLine="364"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（6）拒不确认评标委员会评审修正的投标无效；</w:t>
      </w:r>
    </w:p>
    <w:p>
      <w:pPr>
        <w:shd w:val="clear" w:color="auto" w:fill="auto"/>
        <w:snapToGrid w:val="0"/>
        <w:spacing w:line="400" w:lineRule="exact"/>
        <w:ind w:firstLine="486"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（7）其它情形，经评标委员会委提出按无效投标处理，并经公共资源交易监督部门核准的；</w:t>
      </w:r>
    </w:p>
    <w:p>
      <w:pPr>
        <w:shd w:val="clear" w:color="auto" w:fill="auto"/>
        <w:snapToGrid w:val="0"/>
        <w:spacing w:line="400" w:lineRule="exact"/>
        <w:ind w:firstLine="486" w:firstLineChars="20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规定的其它无效投标情形。</w:t>
      </w:r>
    </w:p>
    <w:p>
      <w:pPr>
        <w:pStyle w:val="5"/>
        <w:rPr>
          <w:rFonts w:hint="eastAsia" w:ascii="仿宋" w:hAnsi="仿宋" w:eastAsia="仿宋" w:cs="仿宋"/>
          <w:b/>
          <w:color w:val="000000" w:themeColor="text1"/>
          <w:sz w:val="32"/>
          <w:szCs w:val="32"/>
          <w:highlight w:val="none"/>
          <w:lang w:val="en-US" w:eastAsia="zh-CN"/>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 xml:space="preserve"> 技术规格、数量及质量要求</w:t>
      </w:r>
      <w:r>
        <w:rPr>
          <w:rFonts w:hint="eastAsia" w:ascii="仿宋" w:hAnsi="仿宋" w:eastAsia="仿宋" w:cs="仿宋"/>
          <w:b/>
          <w:color w:val="000000" w:themeColor="text1"/>
          <w:sz w:val="32"/>
          <w:szCs w:val="32"/>
          <w:highlight w:val="none"/>
          <w:lang w:val="en-US" w:eastAsia="zh-CN"/>
          <w14:textFill>
            <w14:solidFill>
              <w14:schemeClr w14:val="tx1"/>
            </w14:solidFill>
          </w14:textFill>
        </w:rPr>
        <w:t xml:space="preserve"> </w:t>
      </w:r>
    </w:p>
    <w:p>
      <w:pPr>
        <w:rPr>
          <w:rFonts w:hint="default"/>
          <w:lang w:val="en-US" w:eastAsia="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1242"/>
        <w:gridCol w:w="593"/>
        <w:gridCol w:w="533"/>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dxa"/>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序号</w:t>
            </w:r>
          </w:p>
        </w:tc>
        <w:tc>
          <w:tcPr>
            <w:tcW w:w="1242" w:type="dxa"/>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名称</w:t>
            </w:r>
          </w:p>
        </w:tc>
        <w:tc>
          <w:tcPr>
            <w:tcW w:w="593" w:type="dxa"/>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数量</w:t>
            </w:r>
          </w:p>
        </w:tc>
        <w:tc>
          <w:tcPr>
            <w:tcW w:w="533" w:type="dxa"/>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单位</w:t>
            </w:r>
          </w:p>
        </w:tc>
        <w:tc>
          <w:tcPr>
            <w:tcW w:w="5637" w:type="dxa"/>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主要功能/参数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124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核心万兆交换机</w:t>
            </w:r>
          </w:p>
        </w:tc>
        <w:tc>
          <w:tcPr>
            <w:tcW w:w="59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53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台</w:t>
            </w:r>
          </w:p>
        </w:tc>
        <w:tc>
          <w:tcPr>
            <w:tcW w:w="5637" w:type="dxa"/>
            <w:noWrap w:val="0"/>
            <w:vAlign w:val="center"/>
          </w:tcPr>
          <w:p>
            <w:pPr>
              <w:widowControl/>
              <w:ind w:left="0" w:leftChars="0" w:right="0" w:rightChars="0" w:firstLine="0" w:firstLineChars="0"/>
              <w:jc w:val="left"/>
              <w:rPr>
                <w:rFonts w:hint="eastAsia" w:ascii="宋体" w:hAnsi="宋体" w:eastAsia="Times New Roman" w:cs="宋体"/>
                <w:color w:val="000000"/>
                <w:spacing w:val="0"/>
                <w:w w:val="100"/>
                <w:kern w:val="0"/>
                <w:position w:val="0"/>
                <w:sz w:val="24"/>
                <w:szCs w:val="21"/>
                <w:shd w:val="clear" w:color="auto" w:fill="auto"/>
                <w:lang w:val="en-US" w:eastAsia="en-US" w:bidi="en-US"/>
              </w:rPr>
            </w:pPr>
            <w:r>
              <w:rPr>
                <w:rFonts w:hint="eastAsia" w:ascii="宋体" w:hAnsi="宋体" w:cs="宋体"/>
                <w:color w:val="auto"/>
                <w:kern w:val="0"/>
                <w:sz w:val="18"/>
                <w:szCs w:val="18"/>
              </w:rPr>
              <w:t>以太网交换机主机(24SFP Plus+2QSFP Plus+2Slot)，无电源*1 40G QSFP+ 3m电缆*1 光模块-SFP-GE-多模模块-(850nm,0.55km,LC)*2 250W 交流电源模块（电源面板侧进风）*2 端口侧进风，电源侧出风风扇*2。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124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办公网交换机</w:t>
            </w:r>
          </w:p>
        </w:tc>
        <w:tc>
          <w:tcPr>
            <w:tcW w:w="59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53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台</w:t>
            </w:r>
          </w:p>
        </w:tc>
        <w:tc>
          <w:tcPr>
            <w:tcW w:w="5637"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支持48个10/100/1000BASE-T端口，支持4个10G/1GBASE-XSFP+端口，支持1个Slot，无电源 150W交流电源模块*2 风扇模块(电源侧出风)*2。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124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万兆模块</w:t>
            </w:r>
          </w:p>
        </w:tc>
        <w:tc>
          <w:tcPr>
            <w:tcW w:w="59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53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个</w:t>
            </w:r>
          </w:p>
        </w:tc>
        <w:tc>
          <w:tcPr>
            <w:tcW w:w="5637" w:type="dxa"/>
            <w:noWrap w:val="0"/>
            <w:vAlign w:val="center"/>
          </w:tcPr>
          <w:p>
            <w:pPr>
              <w:widowControl/>
              <w:jc w:val="left"/>
              <w:rPr>
                <w:rFonts w:hint="eastAsia" w:ascii="宋体" w:hAnsi="宋体" w:cs="宋体"/>
                <w:color w:val="auto"/>
                <w:kern w:val="0"/>
                <w:sz w:val="18"/>
                <w:szCs w:val="18"/>
              </w:rPr>
            </w:pPr>
            <w:bookmarkStart w:id="86" w:name="_GoBack"/>
            <w:bookmarkEnd w:id="86"/>
            <w:r>
              <w:rPr>
                <w:rFonts w:hint="eastAsia" w:ascii="宋体" w:hAnsi="宋体" w:cs="宋体"/>
                <w:kern w:val="0"/>
                <w:szCs w:val="21"/>
              </w:rPr>
              <w:t>SFP+万兆短波模块（850nm,300m,LC）。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124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数据库服务器</w:t>
            </w:r>
          </w:p>
        </w:tc>
        <w:tc>
          <w:tcPr>
            <w:tcW w:w="59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53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台</w:t>
            </w:r>
          </w:p>
        </w:tc>
        <w:tc>
          <w:tcPr>
            <w:tcW w:w="5637"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2U机架式服务器（8SFF）/2个10核至强 Silver 4210 2.2 GHZ CPU/32GB（2*16G） DDR4 内存/1个4*1GbE（RJ45）mLOM网络模块/12Gb 2端口SAS HBA卡(支持8个SAS口，支持0/1/10)/6块 600GB 2.5" SAS硬盘 10krpm/1个PCIe Riser卡（UN-RS-3*FHHL-R4900，3个PCI-e 3.0 8X插槽）/2个550W 热插拔冗余电源。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dxa"/>
            <w:vMerge w:val="restart"/>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w:t>
            </w:r>
          </w:p>
        </w:tc>
        <w:tc>
          <w:tcPr>
            <w:tcW w:w="1242" w:type="dxa"/>
            <w:vMerge w:val="restart"/>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后台应用服务器</w:t>
            </w:r>
          </w:p>
        </w:tc>
        <w:tc>
          <w:tcPr>
            <w:tcW w:w="59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53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台</w:t>
            </w:r>
          </w:p>
        </w:tc>
        <w:tc>
          <w:tcPr>
            <w:tcW w:w="5637"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2U机架式服务器（8SFF）/2个10核至强 Silver 4210 2.2 GHZ CPU/32GB（2*16G） DDR4 内存/1个4*1GbE（RJ45）mLOM网络模块/12Gb 2端口SAS HBA卡(支持8个SAS口，支持0/1/10)/6块 600GB 2.5" SAS硬盘 10krpm/1个PCIe Riser卡（UN-RS-3*FHHL-R4900，3个PCI-e 3.0 8X插槽）/2个550W 热插拔冗余电源。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dxa"/>
            <w:vMerge w:val="continue"/>
            <w:noWrap w:val="0"/>
            <w:vAlign w:val="center"/>
          </w:tcPr>
          <w:p>
            <w:pPr>
              <w:rPr>
                <w:rFonts w:hint="eastAsia" w:ascii="宋体" w:hAnsi="宋体" w:cs="宋体"/>
                <w:color w:val="auto"/>
                <w:kern w:val="0"/>
                <w:sz w:val="18"/>
                <w:szCs w:val="18"/>
              </w:rPr>
            </w:pPr>
          </w:p>
        </w:tc>
        <w:tc>
          <w:tcPr>
            <w:tcW w:w="1242" w:type="dxa"/>
            <w:vMerge w:val="continue"/>
            <w:noWrap w:val="0"/>
            <w:vAlign w:val="center"/>
          </w:tcPr>
          <w:p>
            <w:pPr>
              <w:widowControl/>
              <w:jc w:val="center"/>
              <w:rPr>
                <w:rFonts w:hint="eastAsia" w:ascii="宋体" w:hAnsi="宋体" w:cs="宋体"/>
                <w:color w:val="auto"/>
                <w:kern w:val="0"/>
                <w:sz w:val="18"/>
                <w:szCs w:val="18"/>
              </w:rPr>
            </w:pPr>
          </w:p>
        </w:tc>
        <w:tc>
          <w:tcPr>
            <w:tcW w:w="59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53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套</w:t>
            </w:r>
          </w:p>
        </w:tc>
        <w:tc>
          <w:tcPr>
            <w:tcW w:w="5637"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融媒体企业服务总线系统用于新闻制作系统中各业务流程的编排和管理，实现新闻制作业务在文稿、非编、打包、内审、技审、迁移、演播室等相关环节的自动流转，也支持新闻制作系统与外系统的互联互通。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dxa"/>
            <w:vMerge w:val="continue"/>
            <w:noWrap w:val="0"/>
            <w:vAlign w:val="center"/>
          </w:tcPr>
          <w:p>
            <w:pPr>
              <w:rPr>
                <w:rFonts w:hint="eastAsia" w:ascii="宋体" w:hAnsi="宋体" w:cs="宋体"/>
                <w:color w:val="auto"/>
                <w:kern w:val="0"/>
                <w:sz w:val="18"/>
                <w:szCs w:val="18"/>
              </w:rPr>
            </w:pPr>
          </w:p>
        </w:tc>
        <w:tc>
          <w:tcPr>
            <w:tcW w:w="1242" w:type="dxa"/>
            <w:vMerge w:val="continue"/>
            <w:noWrap w:val="0"/>
            <w:vAlign w:val="center"/>
          </w:tcPr>
          <w:p>
            <w:pPr>
              <w:widowControl/>
              <w:jc w:val="center"/>
              <w:rPr>
                <w:rFonts w:hint="eastAsia" w:ascii="宋体" w:hAnsi="宋体" w:cs="宋体"/>
                <w:color w:val="auto"/>
                <w:kern w:val="0"/>
                <w:sz w:val="18"/>
                <w:szCs w:val="18"/>
              </w:rPr>
            </w:pPr>
          </w:p>
        </w:tc>
        <w:tc>
          <w:tcPr>
            <w:tcW w:w="59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53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套</w:t>
            </w:r>
          </w:p>
        </w:tc>
        <w:tc>
          <w:tcPr>
            <w:tcW w:w="5637"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信息管理控制平台软件作为信息制作网、新闻网、收录网等网络解决方案的核心管理软件，具备完善的管理功能。实现对网络用户定义、权限配置、空间分配、组织结构定义、业务定义等功能。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dxa"/>
            <w:vMerge w:val="restart"/>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6</w:t>
            </w:r>
          </w:p>
        </w:tc>
        <w:tc>
          <w:tcPr>
            <w:tcW w:w="1242" w:type="dxa"/>
            <w:vMerge w:val="restart"/>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文稿应用服务器</w:t>
            </w:r>
          </w:p>
        </w:tc>
        <w:tc>
          <w:tcPr>
            <w:tcW w:w="59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53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台</w:t>
            </w:r>
          </w:p>
        </w:tc>
        <w:tc>
          <w:tcPr>
            <w:tcW w:w="5637" w:type="dxa"/>
            <w:noWrap w:val="0"/>
            <w:vAlign w:val="top"/>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2U机架式服务器（8SFF）/2个10核至强 Silver 4210 2.2 GHZ CPU/32GB（2*16G） DDR4 内存/1个4*1GbE（RJ45）mLOM网络模块/12Gb 2端口SAS HBA卡(支持8个SAS口，支持0/1/10)/6块 600GB 2.5" SAS硬盘 10krpm/1个PCIe Riser卡（UN-RS-3*FHHL-R4900，3个PCI-e 3.0 8X插槽）/2个550W 热插拔冗余电源。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dxa"/>
            <w:vMerge w:val="continue"/>
            <w:noWrap w:val="0"/>
            <w:vAlign w:val="center"/>
          </w:tcPr>
          <w:p>
            <w:pPr>
              <w:widowControl/>
              <w:jc w:val="center"/>
              <w:rPr>
                <w:rFonts w:hint="eastAsia" w:ascii="宋体" w:hAnsi="宋体" w:cs="宋体"/>
                <w:color w:val="auto"/>
                <w:kern w:val="0"/>
                <w:sz w:val="18"/>
                <w:szCs w:val="18"/>
              </w:rPr>
            </w:pPr>
          </w:p>
        </w:tc>
        <w:tc>
          <w:tcPr>
            <w:tcW w:w="1242" w:type="dxa"/>
            <w:vMerge w:val="continue"/>
            <w:noWrap w:val="0"/>
            <w:vAlign w:val="center"/>
          </w:tcPr>
          <w:p>
            <w:pPr>
              <w:widowControl/>
              <w:jc w:val="center"/>
              <w:rPr>
                <w:rFonts w:hint="eastAsia" w:ascii="宋体" w:hAnsi="宋体" w:cs="宋体"/>
                <w:color w:val="auto"/>
                <w:kern w:val="0"/>
                <w:sz w:val="18"/>
                <w:szCs w:val="18"/>
              </w:rPr>
            </w:pPr>
          </w:p>
        </w:tc>
        <w:tc>
          <w:tcPr>
            <w:tcW w:w="59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53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套</w:t>
            </w:r>
          </w:p>
        </w:tc>
        <w:tc>
          <w:tcPr>
            <w:tcW w:w="5637" w:type="dxa"/>
            <w:noWrap w:val="0"/>
            <w:vAlign w:val="top"/>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专业B/S电视文稿服务器软件，基于Web页面进行新闻选题、稿件撰写和串联单编排管理，支持与新闻通联系统、全媒体信息汇聚系统、全媒体稿件系统、新闻指挥调度系统、融合资源平台、媒体资产管理系统对接。支持与C/S电视文稿工作站软件协同工作。提供无限客户端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7</w:t>
            </w:r>
          </w:p>
        </w:tc>
        <w:tc>
          <w:tcPr>
            <w:tcW w:w="1242"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多媒体处理平台</w:t>
            </w:r>
          </w:p>
        </w:tc>
        <w:tc>
          <w:tcPr>
            <w:tcW w:w="593"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533"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套</w:t>
            </w:r>
          </w:p>
        </w:tc>
        <w:tc>
          <w:tcPr>
            <w:tcW w:w="5637" w:type="dxa"/>
            <w:tcBorders>
              <w:bottom w:val="single" w:color="auto" w:sz="4" w:space="0"/>
            </w:tcBorders>
            <w:noWrap w:val="0"/>
            <w:vAlign w:val="center"/>
          </w:tcPr>
          <w:p>
            <w:pPr>
              <w:widowControl/>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其中转码服务器是面向视音频处理的广播级专业设备，提供了视音频文件转码、图像处理、技审和传输分发服务，计算密度高，功耗低，易于扩展。</w:t>
            </w:r>
            <w:r>
              <w:rPr>
                <w:rFonts w:ascii="宋体" w:hAnsi="宋体" w:cs="宋体"/>
                <w:color w:val="auto"/>
                <w:kern w:val="0"/>
                <w:sz w:val="18"/>
                <w:szCs w:val="18"/>
              </w:rPr>
              <w:t>支持技审功能：技审项包括黑场检测、彩条检测、彩帧检测、静帧检测、花屏检测、静音检测、响度检测等，任务完成后，可查看到与所设置参数技审的预期效果一致。支持响度控制功能：一个立体声文件作作为测试源素材，设置节目的平均响度目标值应为不超过-24LKFS，节目音频最大真峰值电平为不低于-2dB TP，执行响度控制任务，执行完成后查看平均响度目标值为-24LKFS和最大峰值电平为-2dB TP。</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S122G3 (Intel i7-8700K(含散热器)*2/8G DDR4 2400*4/240G SSD 2.5寸*2/400W冗余电源*2)。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8</w:t>
            </w:r>
          </w:p>
        </w:tc>
        <w:tc>
          <w:tcPr>
            <w:tcW w:w="1242"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文稿工作站</w:t>
            </w:r>
          </w:p>
        </w:tc>
        <w:tc>
          <w:tcPr>
            <w:tcW w:w="593"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w:t>
            </w:r>
          </w:p>
        </w:tc>
        <w:tc>
          <w:tcPr>
            <w:tcW w:w="533"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台</w:t>
            </w:r>
          </w:p>
        </w:tc>
        <w:tc>
          <w:tcPr>
            <w:tcW w:w="5637" w:type="dxa"/>
            <w:tcBorders>
              <w:bottom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工作站/CPU：Intel Xeon W-2102 2.9GHz 4C/内存:8GB/系统盘；1TB SATA/网卡；集成1个千兆以太网接口/光驱；DVD-ROM/COM口/USB键鼠，27英寸IPS显示器。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ascii="宋体" w:hAnsi="宋体" w:cs="宋体"/>
                <w:color w:val="auto"/>
                <w:kern w:val="0"/>
                <w:sz w:val="18"/>
                <w:szCs w:val="18"/>
              </w:rPr>
              <w:t>9</w:t>
            </w:r>
          </w:p>
        </w:tc>
        <w:tc>
          <w:tcPr>
            <w:tcW w:w="1242"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xml:space="preserve">审读工作站  </w:t>
            </w:r>
          </w:p>
        </w:tc>
        <w:tc>
          <w:tcPr>
            <w:tcW w:w="593"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w:t>
            </w:r>
          </w:p>
        </w:tc>
        <w:tc>
          <w:tcPr>
            <w:tcW w:w="533"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台</w:t>
            </w:r>
          </w:p>
        </w:tc>
        <w:tc>
          <w:tcPr>
            <w:tcW w:w="5637" w:type="dxa"/>
            <w:tcBorders>
              <w:bottom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工作站/CPU：Intel Xeon W-2102 2.9GHz 4C/内存；8GB/系统盘；1TB SATA/网卡；集成1个千兆以太网接口/光驱:DVD-ROM/COM口/USB键鼠，27英寸IPS显示器。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517" w:type="dxa"/>
            <w:vMerge w:val="restart"/>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1242" w:type="dxa"/>
            <w:vMerge w:val="restart"/>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高清有卡非编工作站</w:t>
            </w:r>
          </w:p>
        </w:tc>
        <w:tc>
          <w:tcPr>
            <w:tcW w:w="59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8</w:t>
            </w:r>
          </w:p>
        </w:tc>
        <w:tc>
          <w:tcPr>
            <w:tcW w:w="53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台</w:t>
            </w:r>
          </w:p>
        </w:tc>
        <w:tc>
          <w:tcPr>
            <w:tcW w:w="5637"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品牌图形工作站主机，提供4K HDMI及3Gb SDI专业接口，PCI-E图形加速卡进行加速；配专业接口线缆和专业版后期制作软件套装，可编辑标清、高清</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4K</w:t>
            </w:r>
            <w:r>
              <w:rPr>
                <w:rFonts w:hint="eastAsia" w:ascii="宋体" w:hAnsi="宋体" w:cs="宋体"/>
                <w:color w:val="auto"/>
                <w:kern w:val="0"/>
                <w:sz w:val="18"/>
                <w:szCs w:val="18"/>
              </w:rPr>
              <w:t>的无压缩、MPEG-2 I、MPEG-2 IBP、DV/DVCPRO、DVCPRO 50、DVCPRO HD、XAVC、AVC-Intra、XDCAM/XDCAM HD、AVC-Ultra、AVC-LongG、H.264、H.265、ZSVISION等格式的高清非线性编辑系统</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系统配置不低于</w:t>
            </w:r>
            <w:r>
              <w:rPr>
                <w:rFonts w:hint="eastAsia" w:ascii="宋体" w:hAnsi="宋体" w:cs="宋体"/>
                <w:color w:val="auto"/>
                <w:kern w:val="0"/>
                <w:sz w:val="18"/>
                <w:szCs w:val="18"/>
              </w:rPr>
              <w:t>Intel Xeon 4210 2.2G*2/16G/256G SSD/2TB*4 SATA/DVD刻录/COM口/键盘鼠标)、4GB、RB6A-Studio UHD套卡及线缆。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517" w:type="dxa"/>
            <w:vMerge w:val="continue"/>
            <w:noWrap w:val="0"/>
            <w:vAlign w:val="center"/>
          </w:tcPr>
          <w:p>
            <w:pPr>
              <w:widowControl/>
              <w:jc w:val="center"/>
              <w:rPr>
                <w:rFonts w:hint="eastAsia" w:ascii="宋体" w:hAnsi="宋体" w:cs="宋体"/>
                <w:color w:val="auto"/>
                <w:kern w:val="0"/>
                <w:sz w:val="18"/>
                <w:szCs w:val="18"/>
              </w:rPr>
            </w:pPr>
          </w:p>
        </w:tc>
        <w:tc>
          <w:tcPr>
            <w:tcW w:w="1242" w:type="dxa"/>
            <w:vMerge w:val="continue"/>
            <w:noWrap w:val="0"/>
            <w:vAlign w:val="center"/>
          </w:tcPr>
          <w:p>
            <w:pPr>
              <w:widowControl/>
              <w:jc w:val="center"/>
              <w:rPr>
                <w:rFonts w:hint="eastAsia" w:ascii="宋体" w:hAnsi="宋体" w:cs="宋体"/>
                <w:color w:val="auto"/>
                <w:kern w:val="0"/>
                <w:sz w:val="18"/>
                <w:szCs w:val="18"/>
              </w:rPr>
            </w:pPr>
          </w:p>
        </w:tc>
        <w:tc>
          <w:tcPr>
            <w:tcW w:w="59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8</w:t>
            </w:r>
          </w:p>
        </w:tc>
        <w:tc>
          <w:tcPr>
            <w:tcW w:w="53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台</w:t>
            </w:r>
          </w:p>
        </w:tc>
        <w:tc>
          <w:tcPr>
            <w:tcW w:w="5637"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4K高清 IPS广视角 微框 99% sRGB 商用办公节能 低蓝光不闪旋转升降PS4液晶显示器。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517" w:type="dxa"/>
            <w:vMerge w:val="continue"/>
            <w:noWrap w:val="0"/>
            <w:vAlign w:val="center"/>
          </w:tcPr>
          <w:p>
            <w:pPr>
              <w:widowControl/>
              <w:jc w:val="center"/>
              <w:rPr>
                <w:rFonts w:hint="eastAsia" w:ascii="宋体" w:hAnsi="宋体" w:cs="宋体"/>
                <w:color w:val="auto"/>
                <w:kern w:val="0"/>
                <w:sz w:val="18"/>
                <w:szCs w:val="18"/>
              </w:rPr>
            </w:pPr>
          </w:p>
        </w:tc>
        <w:tc>
          <w:tcPr>
            <w:tcW w:w="1242" w:type="dxa"/>
            <w:vMerge w:val="continue"/>
            <w:noWrap w:val="0"/>
            <w:vAlign w:val="center"/>
          </w:tcPr>
          <w:p>
            <w:pPr>
              <w:widowControl/>
              <w:jc w:val="center"/>
              <w:rPr>
                <w:rFonts w:hint="eastAsia" w:ascii="宋体" w:hAnsi="宋体" w:cs="宋体"/>
                <w:color w:val="auto"/>
                <w:kern w:val="0"/>
                <w:sz w:val="18"/>
                <w:szCs w:val="18"/>
              </w:rPr>
            </w:pPr>
          </w:p>
        </w:tc>
        <w:tc>
          <w:tcPr>
            <w:tcW w:w="59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8</w:t>
            </w:r>
          </w:p>
        </w:tc>
        <w:tc>
          <w:tcPr>
            <w:tcW w:w="53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套</w:t>
            </w:r>
          </w:p>
        </w:tc>
        <w:tc>
          <w:tcPr>
            <w:tcW w:w="5637"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专业C/S电视文稿工作站软件，支持新闻选题、稿件撰写和串联单编排管理，支持与新闻通联系统、全媒体信息汇聚系统、全媒体稿件系统、新闻指挥调度系统、融合资源平台、媒体资产管理系统对接。为非编提供新闻插件，支持新闻文稿和视音频同屏编辑，支持新闻稿件与非编素材、故事板的关联，进行协同工作，共同完成电视新闻生产流程。采用国产自主研发，提供丰富的视频音频</w:t>
            </w:r>
            <w:r>
              <w:rPr>
                <w:rFonts w:ascii="宋体" w:hAnsi="宋体" w:cs="宋体"/>
                <w:color w:val="auto"/>
                <w:kern w:val="0"/>
                <w:sz w:val="18"/>
                <w:szCs w:val="18"/>
              </w:rPr>
              <w:t>I/O</w:t>
            </w:r>
            <w:r>
              <w:rPr>
                <w:rFonts w:hint="eastAsia" w:ascii="宋体" w:hAnsi="宋体" w:cs="宋体"/>
                <w:color w:val="auto"/>
                <w:kern w:val="0"/>
                <w:sz w:val="18"/>
                <w:szCs w:val="18"/>
              </w:rPr>
              <w:t>通道。输出的两路SDI信号可以是两路高清、两路标清或一高一标，下变换不占用系统CPU资源，对软件操作无影响。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517" w:type="dxa"/>
            <w:vMerge w:val="continue"/>
            <w:noWrap w:val="0"/>
            <w:vAlign w:val="center"/>
          </w:tcPr>
          <w:p>
            <w:pPr>
              <w:widowControl/>
              <w:jc w:val="center"/>
              <w:rPr>
                <w:rFonts w:hint="eastAsia" w:ascii="宋体" w:hAnsi="宋体" w:cs="宋体"/>
                <w:color w:val="auto"/>
                <w:kern w:val="0"/>
                <w:sz w:val="18"/>
                <w:szCs w:val="18"/>
              </w:rPr>
            </w:pPr>
          </w:p>
        </w:tc>
        <w:tc>
          <w:tcPr>
            <w:tcW w:w="1242" w:type="dxa"/>
            <w:vMerge w:val="continue"/>
            <w:noWrap w:val="0"/>
            <w:vAlign w:val="center"/>
          </w:tcPr>
          <w:p>
            <w:pPr>
              <w:widowControl/>
              <w:jc w:val="center"/>
              <w:rPr>
                <w:rFonts w:hint="eastAsia" w:ascii="宋体" w:hAnsi="宋体" w:cs="宋体"/>
                <w:color w:val="auto"/>
                <w:kern w:val="0"/>
                <w:sz w:val="18"/>
                <w:szCs w:val="18"/>
              </w:rPr>
            </w:pPr>
          </w:p>
        </w:tc>
        <w:tc>
          <w:tcPr>
            <w:tcW w:w="59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8</w:t>
            </w:r>
          </w:p>
        </w:tc>
        <w:tc>
          <w:tcPr>
            <w:tcW w:w="53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套</w:t>
            </w:r>
          </w:p>
        </w:tc>
        <w:tc>
          <w:tcPr>
            <w:tcW w:w="5637"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配套软件，支持网络编辑功能、项目化的组网节目制作、支持全新的协同共享制作生产模式。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124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21.5寸</w:t>
            </w:r>
          </w:p>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高清监视器</w:t>
            </w:r>
          </w:p>
        </w:tc>
        <w:tc>
          <w:tcPr>
            <w:tcW w:w="593" w:type="dxa"/>
            <w:noWrap w:val="0"/>
            <w:vAlign w:val="center"/>
          </w:tcPr>
          <w:p>
            <w:pPr>
              <w:widowControl/>
              <w:jc w:val="center"/>
              <w:rPr>
                <w:rFonts w:hint="eastAsia" w:ascii="宋体" w:hAnsi="宋体" w:cs="宋体"/>
                <w:color w:val="auto"/>
                <w:kern w:val="0"/>
                <w:sz w:val="18"/>
                <w:szCs w:val="18"/>
              </w:rPr>
            </w:pPr>
            <w:r>
              <w:rPr>
                <w:rFonts w:ascii="宋体" w:hAnsi="宋体" w:cs="宋体"/>
                <w:color w:val="auto"/>
                <w:kern w:val="0"/>
                <w:sz w:val="18"/>
                <w:szCs w:val="18"/>
              </w:rPr>
              <w:t>12</w:t>
            </w:r>
          </w:p>
        </w:tc>
        <w:tc>
          <w:tcPr>
            <w:tcW w:w="53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台</w:t>
            </w:r>
          </w:p>
        </w:tc>
        <w:tc>
          <w:tcPr>
            <w:tcW w:w="5637"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屏幕尺寸: 21.5〞  屏显比例: 16:9  分辨率: 1920×1080  色深:16.7M  视角:178°H×178° 亮度:250cd/㎡  对比度: 1000:1； 2路3G/HD/SD-SDI输入，2路SDI环出，支持SMPTE425-AB 4:4:4 12bit及2K信号；1路HDMI输入，1路DVI输入兼容HDMI/VGA信号，1路复合输入带环出，1路YUV输入带环出；SDI和HDMI信号都支持波形图、矢量图、直方图同时显示；暗部细节查看功能（Black stretch）；左右声道选择；支持SDI信号16路嵌入音频表水平/垂直两种显示方式，支持音频相位功能；支持HDMI信号2路嵌入音频表水平/垂直两种显示方式；内置3D LUT色彩校正信号发生器,支持自动色彩校正功能；双画面PBP/PIP显示，极速交换功能，PIP子窗口画幅大小、任意位置可调； 支持像素点测量功能，信号报警功能(无信号、黑场、静帧、无音频）；支持任意位置局部放大, 水平镜像功能，支持伪彩色、辅助聚焦、斑马线；支持静态和动态UMD功能(支持TSL3.1/4.0协议)；</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支持Tally、TC码、快速模式功能；支持按键锁定功能；支持全蓝/黑白模式, Over scan，Aspect Ratio，Safe &amp; Area Marker，H/V Delay；RS422输入带输出； 以太网/GPI控制接口；双电源输入：DC直流电源和内置220V交流电源、电源状态断电记忆功能；铝合金机壳，内置扬声器，TALLY指示灯。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1242"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高清移动非编工作站</w:t>
            </w:r>
          </w:p>
        </w:tc>
        <w:tc>
          <w:tcPr>
            <w:tcW w:w="593"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ascii="宋体" w:hAnsi="宋体" w:cs="宋体"/>
                <w:color w:val="auto"/>
                <w:kern w:val="0"/>
                <w:sz w:val="18"/>
                <w:szCs w:val="18"/>
              </w:rPr>
              <w:t>6</w:t>
            </w:r>
          </w:p>
        </w:tc>
        <w:tc>
          <w:tcPr>
            <w:tcW w:w="533"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台</w:t>
            </w:r>
          </w:p>
        </w:tc>
        <w:tc>
          <w:tcPr>
            <w:tcW w:w="5637" w:type="dxa"/>
            <w:tcBorders>
              <w:bottom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基于笔记本平台，配备专业版后期制作软件套装的移动便携式非线性编辑系统，(</w:t>
            </w:r>
            <w:r>
              <w:rPr>
                <w:rFonts w:hint="eastAsia" w:ascii="宋体" w:hAnsi="宋体" w:cs="宋体"/>
                <w:color w:val="auto"/>
                <w:kern w:val="0"/>
                <w:sz w:val="18"/>
                <w:szCs w:val="18"/>
                <w:lang w:val="en-US" w:eastAsia="zh-CN"/>
              </w:rPr>
              <w:t>系统配置不低于</w:t>
            </w:r>
            <w:r>
              <w:rPr>
                <w:rFonts w:hint="eastAsia" w:ascii="宋体" w:hAnsi="宋体" w:cs="宋体"/>
                <w:color w:val="auto"/>
                <w:kern w:val="0"/>
                <w:sz w:val="18"/>
                <w:szCs w:val="18"/>
              </w:rPr>
              <w:t>Intel Core i7-10850H/16G DDR4 Non-ECC内存/512G SSD/1T SATA/1920*1080/NVIDIA QUADRO T1000(4GB GDDR5独显)/蓝牙/HDMI/USB 3.0/ThunderBolt3.0/含笔记本背包及鼠标/RH）、U/PPK-PRO-ASC/AC3D/AC3E。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124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核心存储</w:t>
            </w:r>
          </w:p>
        </w:tc>
        <w:tc>
          <w:tcPr>
            <w:tcW w:w="59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53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台</w:t>
            </w:r>
          </w:p>
        </w:tc>
        <w:tc>
          <w:tcPr>
            <w:tcW w:w="5637"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4U机架式设备，配置冗余电源，冗余风扇；36个磁盘位，支持SSD、SAS和SATA硬盘混插；1颗企业级高性能Intel Xeon 3.4GHz 处理器；32GB内存，可扩展至512GB；配置独立RAID卡，支持RAID 0/1/5/6/10/50/60；2个万兆以太网口（含2个万兆模块），4个千兆以太网口，可升级至8个万兆以太网接口或4个40Gb以太网接口；集成存储管理系统软件，支持存储扩容功能，远程备份功能，阵列容灾功能，带宽控制功能，可读写不可删除功能，文件秒传（零拷贝）功能，文件秒速合并，网络回收站功能，黑名单过滤功能，文件操作审计功能，存储访问控制功能。配置虚拟化软件，可以虚拟出虚拟服务器，虚拟化软件和存储管理软件在同一个WEB界面进行管理；配置36块3.5英寸SATA 7.2K 6TB企业级硬盘；配置2块240G 企业级SSD系统盘（RAID1保护）。支持专家远程协助能力，可提供远程诊断和排错服务， 原厂技术专家经过授权后，可采用私有协议进行设备故障的排除和维修。标配集成虚拟化软件，可以虚拟出虚拟机，支持轻量级应用部署功能（可部署:微软SQL Server、Apache、 Tomcat等应用），用于应急生产。要求在同一个图形化管理软件里，既能管理存储资源，又能管理虚拟主机资源；具备手机端自助报修功能，在手机端可扫描存储设备上的二维码，进行项目报修。无须第三方设备即可支持两台存储间的备份容灾功能，任何一台存储发生故障，业务都可以自动切换到另一台存储上运行，数据不丢失，业务不中断。提供存储数据的恢复及管理功能，当发生文件误删除等操作时，可通过内置的存储数据恢复功能恢复误删除的文件，确保数据使用安全。具备磁盘故障预警处置意见功能以及磁盘故障预警处置意见功能；支持缓存掉电保护技术（NV-RAM,NV-DIMM或其他技术），意外断电后可自动将存储缓存内的数据下刷到硬盘，确保数据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124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安装调试</w:t>
            </w:r>
          </w:p>
        </w:tc>
        <w:tc>
          <w:tcPr>
            <w:tcW w:w="59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53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套</w:t>
            </w:r>
          </w:p>
        </w:tc>
        <w:tc>
          <w:tcPr>
            <w:tcW w:w="5637"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设备安装，调试，物料费等。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1242"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硬盘</w:t>
            </w:r>
          </w:p>
        </w:tc>
        <w:tc>
          <w:tcPr>
            <w:tcW w:w="593"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12</w:t>
            </w:r>
          </w:p>
        </w:tc>
        <w:tc>
          <w:tcPr>
            <w:tcW w:w="533"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块</w:t>
            </w:r>
          </w:p>
        </w:tc>
        <w:tc>
          <w:tcPr>
            <w:tcW w:w="5637" w:type="dxa"/>
            <w:tcBorders>
              <w:bottom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3.5英寸SATA 7.2K 6TB企业级硬盘。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517" w:type="dxa"/>
            <w:vMerge w:val="restart"/>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1242" w:type="dxa"/>
            <w:vMerge w:val="restart"/>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译制工作站主机</w:t>
            </w:r>
          </w:p>
        </w:tc>
        <w:tc>
          <w:tcPr>
            <w:tcW w:w="59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12</w:t>
            </w:r>
          </w:p>
        </w:tc>
        <w:tc>
          <w:tcPr>
            <w:tcW w:w="53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台</w:t>
            </w:r>
          </w:p>
        </w:tc>
        <w:tc>
          <w:tcPr>
            <w:tcW w:w="5637"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I7 10700  8G*2  M.2固态 256G+1T  DVDRW  集成显卡 ，27英寸IPS显示器。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517" w:type="dxa"/>
            <w:vMerge w:val="continue"/>
            <w:tcBorders>
              <w:bottom w:val="single" w:color="auto" w:sz="4" w:space="0"/>
            </w:tcBorders>
            <w:noWrap w:val="0"/>
            <w:vAlign w:val="center"/>
          </w:tcPr>
          <w:p>
            <w:pPr>
              <w:widowControl/>
              <w:jc w:val="center"/>
              <w:rPr>
                <w:rFonts w:hint="eastAsia" w:ascii="宋体" w:hAnsi="宋体" w:cs="宋体"/>
                <w:color w:val="auto"/>
                <w:kern w:val="0"/>
                <w:sz w:val="18"/>
                <w:szCs w:val="18"/>
              </w:rPr>
            </w:pPr>
          </w:p>
        </w:tc>
        <w:tc>
          <w:tcPr>
            <w:tcW w:w="1242" w:type="dxa"/>
            <w:vMerge w:val="continue"/>
            <w:tcBorders>
              <w:bottom w:val="single" w:color="auto" w:sz="4" w:space="0"/>
            </w:tcBorders>
            <w:noWrap w:val="0"/>
            <w:vAlign w:val="center"/>
          </w:tcPr>
          <w:p>
            <w:pPr>
              <w:widowControl/>
              <w:jc w:val="center"/>
              <w:rPr>
                <w:rFonts w:hint="eastAsia" w:ascii="宋体" w:hAnsi="宋体" w:cs="宋体"/>
                <w:color w:val="auto"/>
                <w:kern w:val="0"/>
                <w:sz w:val="18"/>
                <w:szCs w:val="18"/>
              </w:rPr>
            </w:pPr>
          </w:p>
        </w:tc>
        <w:tc>
          <w:tcPr>
            <w:tcW w:w="593" w:type="dxa"/>
            <w:tcBorders>
              <w:bottom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533"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套</w:t>
            </w:r>
          </w:p>
        </w:tc>
        <w:tc>
          <w:tcPr>
            <w:tcW w:w="5637" w:type="dxa"/>
            <w:tcBorders>
              <w:bottom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支持电视节目的同期声（对白）的抄写、翻译、校对和与视音频文件的时间对位等功能，并可根据抄写、译制稿生成带时间信息的对白文件和进行不同语言的配音。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1242"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双通道光端机</w:t>
            </w:r>
          </w:p>
        </w:tc>
        <w:tc>
          <w:tcPr>
            <w:tcW w:w="593"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533"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台</w:t>
            </w:r>
          </w:p>
        </w:tc>
        <w:tc>
          <w:tcPr>
            <w:tcW w:w="5637" w:type="dxa"/>
            <w:tcBorders>
              <w:bottom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单向传输2路HD/SD-SDI高标清数字视频（支持嵌入式音频）或DVB-ASI码流，视频接口：75欧姆BNC，光纤类型：单模光纤，光纤数量：1根，光纤接口：FC/PC，传输距离：0-40公里，19英寸1U标准机箱，内置双电源。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124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安装调试</w:t>
            </w:r>
          </w:p>
        </w:tc>
        <w:tc>
          <w:tcPr>
            <w:tcW w:w="59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53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套</w:t>
            </w:r>
          </w:p>
        </w:tc>
        <w:tc>
          <w:tcPr>
            <w:tcW w:w="5637"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安装调试</w:t>
            </w:r>
          </w:p>
        </w:tc>
      </w:tr>
    </w:tbl>
    <w:tbl>
      <w:tblPr>
        <w:tblStyle w:val="18"/>
        <w:tblpPr w:leftFromText="180" w:rightFromText="180" w:vertAnchor="text" w:horzAnchor="page" w:tblpX="1904" w:tblpY="4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1182"/>
        <w:gridCol w:w="588"/>
        <w:gridCol w:w="517"/>
        <w:gridCol w:w="5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503" w:type="dxa"/>
            <w:vMerge w:val="restart"/>
            <w:noWrap w:val="0"/>
            <w:vAlign w:val="center"/>
          </w:tcPr>
          <w:p>
            <w:pPr>
              <w:widowControl/>
              <w:jc w:val="center"/>
              <w:rPr>
                <w:rFonts w:hint="eastAsia" w:ascii="宋体" w:hAnsi="宋体" w:cs="宋体"/>
                <w:color w:val="auto"/>
                <w:kern w:val="0"/>
                <w:sz w:val="18"/>
                <w:szCs w:val="18"/>
              </w:rPr>
            </w:pPr>
            <w:bookmarkStart w:id="44" w:name="_Toc79424701"/>
            <w:r>
              <w:rPr>
                <w:rFonts w:hint="eastAsia" w:ascii="宋体" w:hAnsi="宋体" w:cs="宋体"/>
                <w:color w:val="auto"/>
                <w:kern w:val="0"/>
                <w:sz w:val="18"/>
                <w:szCs w:val="18"/>
              </w:rPr>
              <w:t>1　</w:t>
            </w:r>
          </w:p>
        </w:tc>
        <w:tc>
          <w:tcPr>
            <w:tcW w:w="1182" w:type="dxa"/>
            <w:vMerge w:val="restart"/>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高清演播室摄像机</w:t>
            </w:r>
          </w:p>
        </w:tc>
        <w:tc>
          <w:tcPr>
            <w:tcW w:w="588" w:type="dxa"/>
            <w:noWrap w:val="0"/>
            <w:vAlign w:val="center"/>
          </w:tcPr>
          <w:p>
            <w:pPr>
              <w:widowControl/>
              <w:jc w:val="center"/>
              <w:rPr>
                <w:rFonts w:hint="eastAsia" w:ascii="宋体" w:hAnsi="宋体" w:cs="宋体"/>
                <w:color w:val="auto"/>
                <w:kern w:val="0"/>
                <w:sz w:val="18"/>
                <w:szCs w:val="18"/>
              </w:rPr>
            </w:pPr>
            <w:r>
              <w:rPr>
                <w:rFonts w:ascii="宋体" w:hAnsi="宋体" w:cs="宋体"/>
                <w:color w:val="auto"/>
                <w:kern w:val="0"/>
                <w:sz w:val="18"/>
                <w:szCs w:val="18"/>
              </w:rPr>
              <w:t>4</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台</w:t>
            </w:r>
          </w:p>
        </w:tc>
        <w:tc>
          <w:tcPr>
            <w:tcW w:w="5732" w:type="dxa"/>
            <w:noWrap w:val="0"/>
            <w:vAlign w:val="center"/>
          </w:tcPr>
          <w:p>
            <w:pPr>
              <w:widowControl/>
              <w:shd w:val="clear" w:color="auto" w:fill="auto"/>
              <w:jc w:val="left"/>
              <w:rPr>
                <w:rFonts w:hint="eastAsia" w:ascii="宋体" w:hAnsi="宋体" w:cs="宋体"/>
                <w:color w:val="auto"/>
                <w:kern w:val="0"/>
                <w:sz w:val="18"/>
                <w:szCs w:val="18"/>
              </w:rPr>
            </w:pPr>
            <w:r>
              <w:rPr>
                <w:rFonts w:hint="eastAsia" w:ascii="宋体" w:hAnsi="宋体" w:cs="宋体"/>
                <w:color w:val="auto"/>
                <w:kern w:val="0"/>
                <w:sz w:val="18"/>
                <w:szCs w:val="18"/>
              </w:rPr>
              <w:t>光学成像器尺寸不低于2/3英寸，肩扛式高清摄像机，机头具有一路卡农通话耳机接口，具有两个独立的通话线路并可独立调整ENG/PROD，具有光学ND滤镜手动控制；</w:t>
            </w:r>
          </w:p>
          <w:p>
            <w:pPr>
              <w:widowControl/>
              <w:shd w:val="clear" w:color="auto" w:fill="auto"/>
              <w:jc w:val="left"/>
              <w:rPr>
                <w:rFonts w:hint="eastAsia" w:ascii="宋体" w:hAnsi="宋体" w:cs="宋体"/>
                <w:color w:val="auto"/>
                <w:kern w:val="0"/>
                <w:sz w:val="18"/>
                <w:szCs w:val="18"/>
              </w:rPr>
            </w:pPr>
            <w:r>
              <w:rPr>
                <w:rFonts w:hint="eastAsia" w:ascii="宋体" w:hAnsi="宋体" w:cs="宋体"/>
                <w:color w:val="auto"/>
                <w:kern w:val="0"/>
                <w:sz w:val="18"/>
                <w:szCs w:val="18"/>
              </w:rPr>
              <w:t>机头可输出本机信号\返送信号\题词器信号（HDSDI）三种信号选择两个同时输出，具有不少于5个功能指派键；</w:t>
            </w:r>
          </w:p>
          <w:p>
            <w:pPr>
              <w:widowControl/>
              <w:shd w:val="clear" w:color="auto" w:fill="auto"/>
              <w:jc w:val="left"/>
              <w:rPr>
                <w:rFonts w:hint="eastAsia" w:ascii="宋体" w:hAnsi="宋体" w:cs="宋体"/>
                <w:color w:val="auto"/>
                <w:kern w:val="0"/>
                <w:sz w:val="18"/>
                <w:szCs w:val="18"/>
              </w:rPr>
            </w:pPr>
            <w:r>
              <w:rPr>
                <w:rFonts w:hint="eastAsia" w:ascii="宋体" w:hAnsi="宋体" w:cs="宋体"/>
                <w:color w:val="auto"/>
                <w:kern w:val="0"/>
                <w:sz w:val="18"/>
                <w:szCs w:val="18"/>
              </w:rPr>
              <w:t>采用光纤传输，Lemo 或者 Tajimi接口, 最大传输距离可达2公里；</w:t>
            </w:r>
          </w:p>
          <w:p>
            <w:pPr>
              <w:widowControl/>
              <w:shd w:val="clear" w:color="auto" w:fill="auto"/>
              <w:jc w:val="left"/>
              <w:rPr>
                <w:rFonts w:hint="eastAsia" w:ascii="宋体" w:hAnsi="宋体" w:cs="宋体"/>
                <w:color w:val="auto"/>
                <w:kern w:val="0"/>
                <w:sz w:val="18"/>
                <w:szCs w:val="18"/>
              </w:rPr>
            </w:pPr>
            <w:r>
              <w:rPr>
                <w:rFonts w:hint="eastAsia" w:ascii="宋体" w:hAnsi="宋体" w:cs="宋体"/>
                <w:color w:val="auto"/>
                <w:kern w:val="0"/>
                <w:sz w:val="18"/>
                <w:szCs w:val="18"/>
              </w:rPr>
              <w:t>摄像机具有HD提词器信号传输的能力，即由基站至机头传输一路高清HD-SDI信号的能力（HD 提词器功能与HD TRUNK不能同时使用）；</w:t>
            </w:r>
          </w:p>
          <w:p>
            <w:pPr>
              <w:widowControl/>
              <w:shd w:val="clear" w:color="auto" w:fill="auto"/>
              <w:jc w:val="left"/>
              <w:rPr>
                <w:rFonts w:hint="eastAsia" w:ascii="宋体" w:hAnsi="宋体" w:cs="宋体"/>
                <w:color w:val="auto"/>
                <w:kern w:val="0"/>
                <w:sz w:val="18"/>
                <w:szCs w:val="18"/>
              </w:rPr>
            </w:pPr>
            <w:r>
              <w:rPr>
                <w:rFonts w:hint="eastAsia" w:ascii="宋体" w:hAnsi="宋体" w:cs="宋体"/>
                <w:color w:val="auto"/>
                <w:kern w:val="0"/>
                <w:sz w:val="18"/>
                <w:szCs w:val="18"/>
              </w:rPr>
              <w:t>摄像机具有HD TRUNK信号传输的能力，即由摄像机至基站传输一路高清HD-SDI信号的能力（HD 提词器功能 与 HD TRUNK 不能同时使用）；</w:t>
            </w:r>
          </w:p>
          <w:p>
            <w:pPr>
              <w:widowControl/>
              <w:shd w:val="clear" w:color="auto" w:fill="auto"/>
              <w:jc w:val="left"/>
              <w:rPr>
                <w:rFonts w:hint="eastAsia" w:ascii="宋体" w:hAnsi="宋体" w:cs="宋体"/>
                <w:color w:val="auto"/>
                <w:kern w:val="0"/>
                <w:sz w:val="18"/>
                <w:szCs w:val="18"/>
              </w:rPr>
            </w:pPr>
            <w:r>
              <w:rPr>
                <w:rFonts w:hint="eastAsia" w:ascii="宋体" w:hAnsi="宋体" w:cs="宋体"/>
                <w:color w:val="auto"/>
                <w:kern w:val="0"/>
                <w:sz w:val="18"/>
                <w:szCs w:val="18"/>
              </w:rPr>
              <w:t>摄像机机头配备2个SDI接口，可以输出本机，返送信号，HD提词器信号。（三种信号选择两个输出。）</w:t>
            </w:r>
          </w:p>
          <w:p>
            <w:pPr>
              <w:widowControl/>
              <w:shd w:val="clear" w:color="auto" w:fill="auto"/>
              <w:jc w:val="left"/>
              <w:rPr>
                <w:rFonts w:hint="eastAsia" w:ascii="宋体" w:hAnsi="宋体" w:cs="宋体"/>
                <w:color w:val="auto"/>
                <w:kern w:val="0"/>
                <w:sz w:val="18"/>
                <w:szCs w:val="18"/>
              </w:rPr>
            </w:pPr>
            <w:r>
              <w:rPr>
                <w:rFonts w:hint="eastAsia" w:ascii="宋体" w:hAnsi="宋体" w:cs="宋体"/>
                <w:color w:val="auto"/>
                <w:kern w:val="0"/>
                <w:sz w:val="18"/>
                <w:szCs w:val="18"/>
              </w:rPr>
              <w:t>支持HDR流程，HDC3100可以拍摄HD HDR格式，SLOG3_Live，HLG，HLG_LIVE。</w:t>
            </w:r>
          </w:p>
          <w:p>
            <w:pPr>
              <w:widowControl/>
              <w:shd w:val="clear" w:color="auto" w:fill="auto"/>
              <w:jc w:val="left"/>
              <w:rPr>
                <w:rFonts w:hint="eastAsia" w:ascii="宋体" w:hAnsi="宋体" w:cs="宋体"/>
                <w:color w:val="auto"/>
                <w:kern w:val="0"/>
                <w:sz w:val="18"/>
                <w:szCs w:val="18"/>
              </w:rPr>
            </w:pPr>
            <w:r>
              <w:rPr>
                <w:rFonts w:hint="eastAsia" w:ascii="宋体" w:hAnsi="宋体" w:cs="宋体"/>
                <w:color w:val="auto"/>
                <w:kern w:val="0"/>
                <w:sz w:val="18"/>
                <w:szCs w:val="18"/>
              </w:rPr>
              <w:t>可以同时输出HD-HDR和HD-SDR的图像。</w:t>
            </w:r>
          </w:p>
          <w:p>
            <w:pPr>
              <w:widowControl/>
              <w:shd w:val="clear" w:color="auto" w:fill="auto"/>
              <w:jc w:val="left"/>
              <w:rPr>
                <w:rFonts w:hint="eastAsia" w:ascii="宋体" w:hAnsi="宋体" w:cs="宋体"/>
                <w:color w:val="auto"/>
                <w:kern w:val="0"/>
                <w:sz w:val="18"/>
                <w:szCs w:val="18"/>
              </w:rPr>
            </w:pPr>
            <w:r>
              <w:rPr>
                <w:rFonts w:hint="eastAsia" w:ascii="宋体" w:hAnsi="宋体" w:cs="宋体"/>
                <w:color w:val="auto"/>
                <w:kern w:val="0"/>
                <w:sz w:val="18"/>
                <w:szCs w:val="18"/>
              </w:rPr>
              <w:t>并进行增益差、黑电平偏移、HDR拐点等设置。</w:t>
            </w:r>
          </w:p>
          <w:p>
            <w:pPr>
              <w:widowControl/>
              <w:shd w:val="clear" w:color="auto" w:fill="auto"/>
              <w:jc w:val="left"/>
              <w:rPr>
                <w:rFonts w:hint="eastAsia" w:ascii="宋体" w:hAnsi="宋体" w:cs="宋体"/>
                <w:color w:val="auto"/>
                <w:kern w:val="0"/>
                <w:sz w:val="18"/>
                <w:szCs w:val="18"/>
              </w:rPr>
            </w:pPr>
            <w:r>
              <w:rPr>
                <w:rFonts w:hint="eastAsia" w:ascii="宋体" w:hAnsi="宋体" w:cs="宋体"/>
                <w:color w:val="auto"/>
                <w:kern w:val="0"/>
                <w:sz w:val="18"/>
                <w:szCs w:val="18"/>
              </w:rPr>
              <w:t>摄像机机头输出12V直流电，2.5A电流。</w:t>
            </w:r>
          </w:p>
          <w:p>
            <w:pPr>
              <w:widowControl/>
              <w:shd w:val="clear" w:color="auto" w:fill="auto"/>
              <w:jc w:val="left"/>
              <w:rPr>
                <w:rFonts w:hint="eastAsia" w:ascii="宋体" w:hAnsi="宋体" w:cs="宋体"/>
                <w:color w:val="auto"/>
                <w:kern w:val="0"/>
                <w:sz w:val="18"/>
                <w:szCs w:val="18"/>
              </w:rPr>
            </w:pPr>
            <w:r>
              <w:rPr>
                <w:rFonts w:hint="eastAsia" w:ascii="宋体" w:hAnsi="宋体" w:cs="宋体"/>
                <w:color w:val="auto"/>
                <w:kern w:val="0"/>
                <w:sz w:val="18"/>
                <w:szCs w:val="18"/>
              </w:rPr>
              <w:t>配备8个HD-SDI接口。支持HD提词器信号输入、支持HD TRUNK输出。通过选件支持ST2110标准的IP信号，双口主备。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503" w:type="dxa"/>
            <w:vMerge w:val="continue"/>
            <w:noWrap w:val="0"/>
            <w:vAlign w:val="center"/>
          </w:tcPr>
          <w:p>
            <w:pPr>
              <w:widowControl/>
              <w:jc w:val="center"/>
              <w:rPr>
                <w:rFonts w:hint="eastAsia" w:ascii="宋体" w:hAnsi="宋体" w:cs="宋体"/>
                <w:color w:val="auto"/>
                <w:kern w:val="0"/>
                <w:sz w:val="18"/>
                <w:szCs w:val="18"/>
              </w:rPr>
            </w:pPr>
          </w:p>
        </w:tc>
        <w:tc>
          <w:tcPr>
            <w:tcW w:w="1182" w:type="dxa"/>
            <w:vMerge w:val="continue"/>
            <w:noWrap w:val="0"/>
            <w:vAlign w:val="center"/>
          </w:tcPr>
          <w:p>
            <w:pPr>
              <w:widowControl/>
              <w:jc w:val="center"/>
              <w:rPr>
                <w:rFonts w:hint="eastAsia" w:ascii="宋体" w:hAnsi="宋体" w:cs="宋体"/>
                <w:color w:val="auto"/>
                <w:kern w:val="0"/>
                <w:sz w:val="18"/>
                <w:szCs w:val="18"/>
              </w:rPr>
            </w:pP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个</w:t>
            </w:r>
          </w:p>
        </w:tc>
        <w:tc>
          <w:tcPr>
            <w:tcW w:w="5732"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彩色寻像器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503" w:type="dxa"/>
            <w:vMerge w:val="continue"/>
            <w:noWrap w:val="0"/>
            <w:vAlign w:val="center"/>
          </w:tcPr>
          <w:p>
            <w:pPr>
              <w:widowControl/>
              <w:jc w:val="center"/>
              <w:rPr>
                <w:rFonts w:hint="eastAsia" w:ascii="宋体" w:hAnsi="宋体" w:cs="宋体"/>
                <w:color w:val="auto"/>
                <w:kern w:val="0"/>
                <w:sz w:val="18"/>
                <w:szCs w:val="18"/>
              </w:rPr>
            </w:pPr>
          </w:p>
        </w:tc>
        <w:tc>
          <w:tcPr>
            <w:tcW w:w="1182" w:type="dxa"/>
            <w:vMerge w:val="continue"/>
            <w:noWrap w:val="0"/>
            <w:vAlign w:val="center"/>
          </w:tcPr>
          <w:p>
            <w:pPr>
              <w:widowControl/>
              <w:jc w:val="center"/>
              <w:rPr>
                <w:rFonts w:hint="eastAsia" w:ascii="宋体" w:hAnsi="宋体" w:cs="宋体"/>
                <w:color w:val="auto"/>
                <w:kern w:val="0"/>
                <w:sz w:val="18"/>
                <w:szCs w:val="18"/>
              </w:rPr>
            </w:pP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个</w:t>
            </w:r>
          </w:p>
        </w:tc>
        <w:tc>
          <w:tcPr>
            <w:tcW w:w="5732"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摄像机遥控面板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503" w:type="dxa"/>
            <w:vMerge w:val="continue"/>
            <w:noWrap w:val="0"/>
            <w:vAlign w:val="center"/>
          </w:tcPr>
          <w:p>
            <w:pPr>
              <w:widowControl/>
              <w:jc w:val="center"/>
              <w:rPr>
                <w:rFonts w:hint="eastAsia" w:ascii="宋体" w:hAnsi="宋体" w:cs="宋体"/>
                <w:color w:val="auto"/>
                <w:kern w:val="0"/>
                <w:sz w:val="18"/>
                <w:szCs w:val="18"/>
              </w:rPr>
            </w:pPr>
          </w:p>
        </w:tc>
        <w:tc>
          <w:tcPr>
            <w:tcW w:w="1182" w:type="dxa"/>
            <w:vMerge w:val="continue"/>
            <w:noWrap w:val="0"/>
            <w:vAlign w:val="center"/>
          </w:tcPr>
          <w:p>
            <w:pPr>
              <w:widowControl/>
              <w:jc w:val="center"/>
              <w:rPr>
                <w:rFonts w:hint="eastAsia" w:ascii="宋体" w:hAnsi="宋体" w:cs="宋体"/>
                <w:color w:val="auto"/>
                <w:kern w:val="0"/>
                <w:sz w:val="18"/>
                <w:szCs w:val="18"/>
              </w:rPr>
            </w:pP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根</w:t>
            </w:r>
          </w:p>
        </w:tc>
        <w:tc>
          <w:tcPr>
            <w:tcW w:w="5732"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摄像机控制线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503" w:type="dxa"/>
            <w:vMerge w:val="continue"/>
            <w:noWrap w:val="0"/>
            <w:vAlign w:val="center"/>
          </w:tcPr>
          <w:p>
            <w:pPr>
              <w:widowControl/>
              <w:jc w:val="center"/>
              <w:rPr>
                <w:rFonts w:hint="eastAsia" w:ascii="宋体" w:hAnsi="宋体" w:cs="宋体"/>
                <w:color w:val="auto"/>
                <w:kern w:val="0"/>
                <w:sz w:val="18"/>
                <w:szCs w:val="18"/>
              </w:rPr>
            </w:pPr>
          </w:p>
        </w:tc>
        <w:tc>
          <w:tcPr>
            <w:tcW w:w="1182" w:type="dxa"/>
            <w:vMerge w:val="continue"/>
            <w:noWrap w:val="0"/>
            <w:vAlign w:val="center"/>
          </w:tcPr>
          <w:p>
            <w:pPr>
              <w:widowControl/>
              <w:jc w:val="center"/>
              <w:rPr>
                <w:rFonts w:hint="eastAsia" w:ascii="宋体" w:hAnsi="宋体" w:cs="宋体"/>
                <w:color w:val="auto"/>
                <w:kern w:val="0"/>
                <w:sz w:val="18"/>
                <w:szCs w:val="18"/>
              </w:rPr>
            </w:pP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付</w:t>
            </w:r>
          </w:p>
        </w:tc>
        <w:tc>
          <w:tcPr>
            <w:tcW w:w="5732"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单耳耳麦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503" w:type="dxa"/>
            <w:vMerge w:val="continue"/>
            <w:noWrap w:val="0"/>
            <w:vAlign w:val="center"/>
          </w:tcPr>
          <w:p>
            <w:pPr>
              <w:widowControl/>
              <w:jc w:val="center"/>
              <w:rPr>
                <w:rFonts w:hint="eastAsia" w:ascii="宋体" w:hAnsi="宋体" w:cs="宋体"/>
                <w:color w:val="auto"/>
                <w:kern w:val="0"/>
                <w:sz w:val="18"/>
                <w:szCs w:val="18"/>
              </w:rPr>
            </w:pPr>
          </w:p>
        </w:tc>
        <w:tc>
          <w:tcPr>
            <w:tcW w:w="1182" w:type="dxa"/>
            <w:vMerge w:val="continue"/>
            <w:noWrap w:val="0"/>
            <w:vAlign w:val="center"/>
          </w:tcPr>
          <w:p>
            <w:pPr>
              <w:widowControl/>
              <w:jc w:val="center"/>
              <w:rPr>
                <w:rFonts w:hint="eastAsia" w:ascii="宋体" w:hAnsi="宋体" w:cs="宋体"/>
                <w:color w:val="auto"/>
                <w:kern w:val="0"/>
                <w:sz w:val="18"/>
                <w:szCs w:val="18"/>
              </w:rPr>
            </w:pP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个</w:t>
            </w:r>
          </w:p>
        </w:tc>
        <w:tc>
          <w:tcPr>
            <w:tcW w:w="5732"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摄像机托板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摄像机光纤电缆</w:t>
            </w:r>
          </w:p>
        </w:tc>
        <w:tc>
          <w:tcPr>
            <w:tcW w:w="588" w:type="dxa"/>
            <w:noWrap w:val="0"/>
            <w:vAlign w:val="center"/>
          </w:tcPr>
          <w:p>
            <w:pPr>
              <w:widowControl/>
              <w:jc w:val="center"/>
              <w:rPr>
                <w:rFonts w:hint="eastAsia" w:ascii="宋体" w:hAnsi="宋体" w:cs="宋体"/>
                <w:color w:val="auto"/>
                <w:kern w:val="0"/>
                <w:sz w:val="18"/>
                <w:szCs w:val="18"/>
              </w:rPr>
            </w:pPr>
            <w:r>
              <w:rPr>
                <w:rFonts w:ascii="宋体" w:hAnsi="宋体" w:cs="宋体"/>
                <w:color w:val="auto"/>
                <w:kern w:val="0"/>
                <w:sz w:val="18"/>
                <w:szCs w:val="18"/>
              </w:rPr>
              <w:t>4</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根</w:t>
            </w:r>
          </w:p>
        </w:tc>
        <w:tc>
          <w:tcPr>
            <w:tcW w:w="5732"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50米9.2mm 摄像机光缆（LEMO接口）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光缆拔插工具</w:t>
            </w:r>
          </w:p>
        </w:tc>
        <w:tc>
          <w:tcPr>
            <w:tcW w:w="588" w:type="dxa"/>
            <w:noWrap w:val="0"/>
            <w:vAlign w:val="center"/>
          </w:tcPr>
          <w:p>
            <w:pPr>
              <w:widowControl/>
              <w:jc w:val="center"/>
              <w:rPr>
                <w:rFonts w:hint="eastAsia" w:ascii="宋体" w:hAnsi="宋体" w:cs="宋体"/>
                <w:color w:val="auto"/>
                <w:kern w:val="0"/>
                <w:sz w:val="18"/>
                <w:szCs w:val="18"/>
              </w:rPr>
            </w:pPr>
            <w:r>
              <w:rPr>
                <w:rFonts w:ascii="宋体" w:hAnsi="宋体" w:cs="宋体"/>
                <w:color w:val="auto"/>
                <w:kern w:val="0"/>
                <w:sz w:val="18"/>
                <w:szCs w:val="18"/>
              </w:rPr>
              <w:t>1</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套</w:t>
            </w:r>
          </w:p>
        </w:tc>
        <w:tc>
          <w:tcPr>
            <w:tcW w:w="5732"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光缆拔插工具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1182"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光纤清洁工具</w:t>
            </w:r>
          </w:p>
        </w:tc>
        <w:tc>
          <w:tcPr>
            <w:tcW w:w="588"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517"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个</w:t>
            </w:r>
          </w:p>
        </w:tc>
        <w:tc>
          <w:tcPr>
            <w:tcW w:w="5732" w:type="dxa"/>
            <w:tcBorders>
              <w:bottom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光缆一键式清洁工具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503" w:type="dxa"/>
            <w:vMerge w:val="restart"/>
            <w:noWrap w:val="0"/>
            <w:vAlign w:val="center"/>
          </w:tcPr>
          <w:p>
            <w:pPr>
              <w:widowControl/>
              <w:jc w:val="center"/>
              <w:rPr>
                <w:rFonts w:hint="eastAsia" w:ascii="宋体" w:hAnsi="宋体" w:cs="宋体"/>
                <w:color w:val="auto"/>
                <w:kern w:val="0"/>
                <w:sz w:val="18"/>
                <w:szCs w:val="18"/>
              </w:rPr>
            </w:pPr>
            <w:r>
              <w:rPr>
                <w:rFonts w:ascii="宋体" w:hAnsi="宋体" w:cs="宋体"/>
                <w:color w:val="auto"/>
                <w:kern w:val="0"/>
                <w:sz w:val="18"/>
                <w:szCs w:val="18"/>
              </w:rPr>
              <w:t>1</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广播级便携式标准镜头</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套</w:t>
            </w:r>
          </w:p>
        </w:tc>
        <w:tc>
          <w:tcPr>
            <w:tcW w:w="5732"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2/3英寸CCD高清摄像机适用镜头，高清演播室摄像机</w:t>
            </w:r>
            <w:r>
              <w:rPr>
                <w:rFonts w:hint="eastAsia" w:ascii="宋体" w:hAnsi="宋体" w:cs="宋体"/>
                <w:color w:val="auto"/>
                <w:kern w:val="0"/>
                <w:sz w:val="18"/>
                <w:szCs w:val="18"/>
                <w:lang w:val="en-US" w:eastAsia="zh-CN"/>
              </w:rPr>
              <w:t>配适</w:t>
            </w:r>
            <w:r>
              <w:rPr>
                <w:rFonts w:hint="eastAsia" w:ascii="宋体" w:hAnsi="宋体" w:cs="宋体"/>
                <w:color w:val="auto"/>
                <w:kern w:val="0"/>
                <w:sz w:val="18"/>
                <w:szCs w:val="18"/>
              </w:rPr>
              <w:t>卡口；</w:t>
            </w:r>
          </w:p>
          <w:p>
            <w:pPr>
              <w:widowControl/>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变焦倍率22倍，焦距7.6-167mm，最小物距 0.8m全伺服控制</w:t>
            </w:r>
            <w:r>
              <w:rPr>
                <w:rFonts w:hint="eastAsia" w:ascii="宋体" w:hAnsi="宋体" w:cs="宋体"/>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503" w:type="dxa"/>
            <w:vMerge w:val="continue"/>
            <w:noWrap w:val="0"/>
            <w:vAlign w:val="center"/>
          </w:tcPr>
          <w:p>
            <w:pPr>
              <w:widowControl/>
              <w:jc w:val="center"/>
              <w:rPr>
                <w:rFonts w:ascii="宋体" w:hAnsi="宋体" w:cs="宋体"/>
                <w:color w:val="auto"/>
                <w:kern w:val="0"/>
                <w:sz w:val="18"/>
                <w:szCs w:val="18"/>
              </w:rPr>
            </w:pP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UV镜</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块</w:t>
            </w:r>
          </w:p>
        </w:tc>
        <w:tc>
          <w:tcPr>
            <w:tcW w:w="5732"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UV镜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50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广播级便携广角镜头</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套</w:t>
            </w:r>
          </w:p>
        </w:tc>
        <w:tc>
          <w:tcPr>
            <w:tcW w:w="5732"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2/3英寸CCD高清摄像机适用镜头，高清演播室摄像机</w:t>
            </w:r>
            <w:r>
              <w:rPr>
                <w:rFonts w:hint="eastAsia" w:ascii="宋体" w:hAnsi="宋体" w:cs="宋体"/>
                <w:color w:val="auto"/>
                <w:kern w:val="0"/>
                <w:sz w:val="18"/>
                <w:szCs w:val="18"/>
                <w:lang w:val="en-US" w:eastAsia="zh-CN"/>
              </w:rPr>
              <w:t>配适</w:t>
            </w:r>
            <w:r>
              <w:rPr>
                <w:rFonts w:hint="eastAsia" w:ascii="宋体" w:hAnsi="宋体" w:cs="宋体"/>
                <w:color w:val="auto"/>
                <w:kern w:val="0"/>
                <w:sz w:val="18"/>
                <w:szCs w:val="18"/>
              </w:rPr>
              <w:t>卡口；</w:t>
            </w:r>
          </w:p>
          <w:p>
            <w:pPr>
              <w:widowControl/>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变焦倍率12倍，2倍扩展，焦距4.5-54mm，最小物距为0.3m，广角端焦距不大于4.5mm；全伺服控制</w:t>
            </w:r>
            <w:r>
              <w:rPr>
                <w:rFonts w:hint="eastAsia" w:ascii="宋体" w:hAnsi="宋体" w:cs="宋体"/>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503" w:type="dxa"/>
            <w:vMerge w:val="continue"/>
            <w:noWrap w:val="0"/>
            <w:vAlign w:val="center"/>
          </w:tcPr>
          <w:p>
            <w:pPr>
              <w:widowControl/>
              <w:jc w:val="center"/>
              <w:rPr>
                <w:rFonts w:ascii="宋体" w:hAnsi="宋体" w:cs="宋体"/>
                <w:color w:val="auto"/>
                <w:kern w:val="0"/>
                <w:sz w:val="18"/>
                <w:szCs w:val="18"/>
              </w:rPr>
            </w:pP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UV镜</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块</w:t>
            </w:r>
          </w:p>
        </w:tc>
        <w:tc>
          <w:tcPr>
            <w:tcW w:w="5732"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UV镜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ascii="宋体" w:hAnsi="宋体" w:cs="宋体"/>
                <w:color w:val="auto"/>
                <w:kern w:val="0"/>
                <w:sz w:val="18"/>
                <w:szCs w:val="18"/>
              </w:rPr>
              <w:t>3</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伺服</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套</w:t>
            </w:r>
          </w:p>
        </w:tc>
        <w:tc>
          <w:tcPr>
            <w:tcW w:w="5732"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全伺服控制器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高清摄录一体机</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含进口商品</w:t>
            </w:r>
            <w:r>
              <w:rPr>
                <w:rFonts w:hint="eastAsia" w:ascii="宋体" w:hAnsi="宋体" w:cs="宋体"/>
                <w:color w:val="auto"/>
                <w:kern w:val="0"/>
                <w:sz w:val="18"/>
                <w:szCs w:val="18"/>
                <w:lang w:eastAsia="zh-CN"/>
              </w:rPr>
              <w:t>）</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台</w:t>
            </w:r>
          </w:p>
        </w:tc>
        <w:tc>
          <w:tcPr>
            <w:tcW w:w="5732"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肩扛式摄录一体机 专业摄像机 （含16倍镜头）；</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光学传感器不低于</w:t>
            </w:r>
            <w:r>
              <w:rPr>
                <w:rFonts w:hint="eastAsia" w:ascii="宋体" w:hAnsi="宋体" w:cs="宋体"/>
                <w:color w:val="auto"/>
                <w:kern w:val="0"/>
                <w:sz w:val="18"/>
                <w:szCs w:val="18"/>
              </w:rPr>
              <w:t>2/3 英寸；</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格式录制 50p 和 59.94p；</w:t>
            </w:r>
          </w:p>
          <w:p>
            <w:pPr>
              <w:widowControl/>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含摄像机托板</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2张128GB存储卡，2块电池1个充电器，一套三脚架，机头灯，无线麦克风，uv保护镜，便携箱</w:t>
            </w:r>
            <w:r>
              <w:rPr>
                <w:rFonts w:hint="eastAsia" w:ascii="宋体" w:hAnsi="宋体" w:cs="宋体"/>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4K摄录一体机</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含进口商品</w:t>
            </w:r>
            <w:r>
              <w:rPr>
                <w:rFonts w:hint="eastAsia" w:ascii="宋体" w:hAnsi="宋体" w:cs="宋体"/>
                <w:color w:val="auto"/>
                <w:kern w:val="0"/>
                <w:sz w:val="18"/>
                <w:szCs w:val="18"/>
                <w:lang w:eastAsia="zh-CN"/>
              </w:rPr>
              <w:t>）</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台</w:t>
            </w:r>
          </w:p>
        </w:tc>
        <w:tc>
          <w:tcPr>
            <w:tcW w:w="5732" w:type="dxa"/>
            <w:noWrap w:val="0"/>
            <w:vAlign w:val="center"/>
          </w:tcPr>
          <w:p>
            <w:pPr>
              <w:widowControl/>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光学传感器尺寸不低于</w:t>
            </w:r>
            <w:r>
              <w:rPr>
                <w:rFonts w:hint="eastAsia" w:ascii="宋体" w:hAnsi="宋体" w:cs="宋体"/>
                <w:color w:val="auto"/>
                <w:kern w:val="0"/>
                <w:sz w:val="18"/>
                <w:szCs w:val="18"/>
              </w:rPr>
              <w:t xml:space="preserve"> 2/3英寸</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 xml:space="preserve">      </w:t>
            </w:r>
          </w:p>
          <w:p>
            <w:pPr>
              <w:widowControl/>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具有SDI输出接口，高清SDI输入接口</w:t>
            </w:r>
            <w:r>
              <w:rPr>
                <w:rFonts w:hint="eastAsia" w:ascii="宋体" w:hAnsi="宋体" w:cs="宋体"/>
                <w:color w:val="auto"/>
                <w:kern w:val="0"/>
                <w:sz w:val="18"/>
                <w:szCs w:val="18"/>
                <w:lang w:eastAsia="zh-CN"/>
              </w:rPr>
              <w:t>。</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支持高清HD 120帧拍摄；</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18倍4K镜头、摄像机托板、2张128GB存储卡，2块电池1个充电器，一套三脚架，机头灯，无线麦克风，uv保护镜，便携箱。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tcBorders>
              <w:bottom w:val="single" w:color="auto" w:sz="4" w:space="0"/>
            </w:tcBorders>
            <w:noWrap w:val="0"/>
            <w:vAlign w:val="center"/>
          </w:tcPr>
          <w:p>
            <w:pPr>
              <w:widowControl/>
              <w:jc w:val="center"/>
              <w:rPr>
                <w:rFonts w:hint="eastAsia" w:ascii="宋体" w:hAnsi="宋体" w:eastAsia="等线" w:cs="宋体"/>
                <w:color w:val="auto"/>
                <w:kern w:val="0"/>
                <w:sz w:val="18"/>
                <w:szCs w:val="18"/>
              </w:rPr>
            </w:pPr>
            <w:r>
              <w:rPr>
                <w:rFonts w:ascii="宋体" w:hAnsi="宋体" w:eastAsia="等线" w:cs="宋体"/>
                <w:color w:val="auto"/>
                <w:kern w:val="0"/>
                <w:sz w:val="18"/>
                <w:szCs w:val="18"/>
              </w:rPr>
              <w:t>3</w:t>
            </w:r>
          </w:p>
        </w:tc>
        <w:tc>
          <w:tcPr>
            <w:tcW w:w="1182"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摄像机存储卡</w:t>
            </w:r>
          </w:p>
        </w:tc>
        <w:tc>
          <w:tcPr>
            <w:tcW w:w="588"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r>
              <w:rPr>
                <w:rFonts w:ascii="宋体" w:hAnsi="宋体" w:cs="宋体"/>
                <w:color w:val="auto"/>
                <w:kern w:val="0"/>
                <w:sz w:val="18"/>
                <w:szCs w:val="18"/>
              </w:rPr>
              <w:t>0</w:t>
            </w:r>
          </w:p>
        </w:tc>
        <w:tc>
          <w:tcPr>
            <w:tcW w:w="517"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个</w:t>
            </w:r>
          </w:p>
        </w:tc>
        <w:tc>
          <w:tcPr>
            <w:tcW w:w="5732" w:type="dxa"/>
            <w:tcBorders>
              <w:bottom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配适摄像机</w:t>
            </w:r>
            <w:r>
              <w:rPr>
                <w:rFonts w:hint="eastAsia" w:ascii="宋体" w:hAnsi="宋体" w:cs="宋体"/>
                <w:color w:val="auto"/>
                <w:kern w:val="0"/>
                <w:sz w:val="18"/>
                <w:szCs w:val="18"/>
              </w:rPr>
              <w:t>存储卡；至少 440MB/s 的传输速度缩；10年保修。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4K摄录一体机</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含进口商品</w:t>
            </w:r>
            <w:r>
              <w:rPr>
                <w:rFonts w:hint="eastAsia" w:ascii="宋体" w:hAnsi="宋体" w:cs="宋体"/>
                <w:color w:val="auto"/>
                <w:kern w:val="0"/>
                <w:sz w:val="18"/>
                <w:szCs w:val="18"/>
                <w:lang w:eastAsia="zh-CN"/>
              </w:rPr>
              <w:t>）</w:t>
            </w:r>
          </w:p>
        </w:tc>
        <w:tc>
          <w:tcPr>
            <w:tcW w:w="588" w:type="dxa"/>
            <w:noWrap w:val="0"/>
            <w:vAlign w:val="center"/>
          </w:tcPr>
          <w:p>
            <w:pPr>
              <w:widowControl/>
              <w:jc w:val="center"/>
              <w:rPr>
                <w:rFonts w:hint="eastAsia" w:ascii="宋体" w:hAnsi="宋体" w:cs="宋体"/>
                <w:color w:val="auto"/>
                <w:kern w:val="0"/>
                <w:sz w:val="18"/>
                <w:szCs w:val="18"/>
              </w:rPr>
            </w:pPr>
            <w:r>
              <w:rPr>
                <w:rFonts w:ascii="宋体" w:hAnsi="宋体" w:cs="宋体"/>
                <w:color w:val="auto"/>
                <w:kern w:val="0"/>
                <w:sz w:val="18"/>
                <w:szCs w:val="18"/>
              </w:rPr>
              <w:t>9</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台</w:t>
            </w:r>
          </w:p>
        </w:tc>
        <w:tc>
          <w:tcPr>
            <w:tcW w:w="5732"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光学光学传感器尺寸不低于</w:t>
            </w:r>
            <w:r>
              <w:rPr>
                <w:rFonts w:hint="eastAsia" w:ascii="宋体" w:hAnsi="宋体" w:cs="宋体"/>
                <w:color w:val="auto"/>
                <w:kern w:val="0"/>
                <w:sz w:val="18"/>
                <w:szCs w:val="18"/>
              </w:rPr>
              <w:t>1/2 英寸；</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具有 4K 50p/60p 录制功能；</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配有 17 倍专业光学变焦镜头，变焦范围从 30.3mm 到 515mm（35mm 等效）。</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可手动控制聚焦、变焦和光圈，实现快速、准确的调节；</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高级人脸检测 AF 功能；</w:t>
            </w:r>
          </w:p>
          <w:p>
            <w:pPr>
              <w:widowControl/>
              <w:jc w:val="left"/>
              <w:rPr>
                <w:rFonts w:hint="eastAsia" w:ascii="宋体" w:hAnsi="宋体" w:cs="宋体"/>
                <w:color w:val="auto"/>
                <w:kern w:val="0"/>
                <w:sz w:val="18"/>
                <w:szCs w:val="18"/>
                <w:lang w:eastAsia="zh-CN"/>
              </w:rPr>
            </w:pPr>
            <w:r>
              <w:rPr>
                <w:rFonts w:hint="eastAsia" w:ascii="宋体" w:hAnsi="宋体" w:cs="宋体"/>
                <w:color w:val="auto"/>
                <w:kern w:val="0"/>
                <w:sz w:val="18"/>
                <w:szCs w:val="18"/>
              </w:rPr>
              <w:t>双MI热靴</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MI 热靴可实现电源、信号连接，并协调与兼容的配件的开/关切换功能</w:t>
            </w:r>
            <w:r>
              <w:rPr>
                <w:rFonts w:hint="eastAsia" w:ascii="宋体" w:hAnsi="宋体" w:cs="宋体"/>
                <w:color w:val="auto"/>
                <w:kern w:val="0"/>
                <w:sz w:val="18"/>
                <w:szCs w:val="18"/>
                <w:lang w:eastAsia="zh-CN"/>
              </w:rPr>
              <w:t>；</w:t>
            </w:r>
          </w:p>
          <w:p>
            <w:pPr>
              <w:widowControl/>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配备两个存储卡插槽</w:t>
            </w:r>
            <w:r>
              <w:rPr>
                <w:rFonts w:hint="eastAsia" w:ascii="宋体" w:hAnsi="宋体" w:cs="宋体"/>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存储卡</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r>
              <w:rPr>
                <w:rFonts w:ascii="宋体" w:hAnsi="宋体" w:cs="宋体"/>
                <w:color w:val="auto"/>
                <w:kern w:val="0"/>
                <w:sz w:val="18"/>
                <w:szCs w:val="18"/>
              </w:rPr>
              <w:t>7</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个</w:t>
            </w:r>
          </w:p>
        </w:tc>
        <w:tc>
          <w:tcPr>
            <w:tcW w:w="5732"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配适摄像机</w:t>
            </w:r>
            <w:r>
              <w:rPr>
                <w:rFonts w:hint="eastAsia" w:ascii="宋体" w:hAnsi="宋体" w:cs="宋体"/>
                <w:color w:val="auto"/>
                <w:kern w:val="0"/>
                <w:sz w:val="18"/>
                <w:szCs w:val="18"/>
              </w:rPr>
              <w:t>存储卡存储卡；至少 440MB/s 的传输速度缩；10年保修。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读卡器</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9</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个</w:t>
            </w:r>
          </w:p>
        </w:tc>
        <w:tc>
          <w:tcPr>
            <w:tcW w:w="5732"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配适摄像机</w:t>
            </w:r>
            <w:r>
              <w:rPr>
                <w:rFonts w:hint="eastAsia" w:ascii="宋体" w:hAnsi="宋体" w:cs="宋体"/>
                <w:color w:val="auto"/>
                <w:kern w:val="0"/>
                <w:sz w:val="18"/>
                <w:szCs w:val="18"/>
              </w:rPr>
              <w:t>存储卡</w:t>
            </w:r>
            <w:r>
              <w:rPr>
                <w:rFonts w:hint="eastAsia" w:ascii="宋体" w:hAnsi="宋体" w:cs="宋体"/>
                <w:color w:val="auto"/>
                <w:kern w:val="0"/>
                <w:sz w:val="18"/>
                <w:szCs w:val="18"/>
                <w:lang w:val="en-US" w:eastAsia="zh-CN"/>
              </w:rPr>
              <w:t>读卡器</w:t>
            </w:r>
            <w:r>
              <w:rPr>
                <w:rFonts w:hint="eastAsia" w:ascii="宋体" w:hAnsi="宋体" w:cs="宋体"/>
                <w:color w:val="auto"/>
                <w:kern w:val="0"/>
                <w:sz w:val="18"/>
                <w:szCs w:val="18"/>
              </w:rPr>
              <w:t>；</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接口：雷电3接口；</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电源：通过USB供电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三脚架</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9</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个</w:t>
            </w:r>
          </w:p>
        </w:tc>
        <w:tc>
          <w:tcPr>
            <w:tcW w:w="5732"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承重：不低于4公斤；</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高度：75.5到159厘米；</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俯仰角度：+90°/-80°；</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托板滑行长度：+/-30mm；</w:t>
            </w:r>
          </w:p>
          <w:p>
            <w:pPr>
              <w:widowControl/>
              <w:jc w:val="left"/>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领夹式无线采访话筒</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9</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个</w:t>
            </w:r>
          </w:p>
        </w:tc>
        <w:tc>
          <w:tcPr>
            <w:tcW w:w="5732"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包括腰包式发射器和便携式接收器。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ascii="宋体" w:hAnsi="宋体" w:cs="宋体"/>
                <w:color w:val="auto"/>
                <w:kern w:val="0"/>
                <w:sz w:val="18"/>
                <w:szCs w:val="18"/>
              </w:rPr>
              <w:t>6</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无线麦克风适配器</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9</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个</w:t>
            </w:r>
          </w:p>
        </w:tc>
        <w:tc>
          <w:tcPr>
            <w:tcW w:w="5732"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使用 MI 热靴连接时，来自无线麦克风套件的音频信号可从无线麦克风接收器输入到摄像机，而无需 XLR 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ascii="宋体" w:hAnsi="宋体" w:cs="宋体"/>
                <w:color w:val="auto"/>
                <w:kern w:val="0"/>
                <w:sz w:val="18"/>
                <w:szCs w:val="18"/>
              </w:rPr>
              <w:t>7</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新闻摄影灯</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9</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个</w:t>
            </w:r>
          </w:p>
        </w:tc>
        <w:tc>
          <w:tcPr>
            <w:tcW w:w="5732"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输入电压：DC 6V-17V；</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功率：13W；</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照度：800LX(距离1M)；</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光速角度：H 45 / V 45；</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色温：5000K/3200K/5600K。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ascii="宋体" w:hAnsi="宋体" w:cs="宋体"/>
                <w:color w:val="auto"/>
                <w:kern w:val="0"/>
                <w:sz w:val="18"/>
                <w:szCs w:val="18"/>
              </w:rPr>
              <w:t>8</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电池</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9</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个</w:t>
            </w:r>
          </w:p>
        </w:tc>
        <w:tc>
          <w:tcPr>
            <w:tcW w:w="5732"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4K摄录一体机</w:t>
            </w:r>
            <w:r>
              <w:rPr>
                <w:rFonts w:hint="eastAsia" w:ascii="宋体" w:hAnsi="宋体" w:cs="宋体"/>
                <w:color w:val="auto"/>
                <w:kern w:val="0"/>
                <w:sz w:val="18"/>
                <w:szCs w:val="18"/>
                <w:lang w:val="en-US" w:eastAsia="zh-CN"/>
              </w:rPr>
              <w:t>配适电池；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ascii="宋体" w:hAnsi="宋体" w:cs="宋体"/>
                <w:color w:val="auto"/>
                <w:kern w:val="0"/>
                <w:sz w:val="18"/>
                <w:szCs w:val="18"/>
              </w:rPr>
              <w:t>9</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充电器</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9</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个</w:t>
            </w:r>
          </w:p>
        </w:tc>
        <w:tc>
          <w:tcPr>
            <w:tcW w:w="5732"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双通道独立设计，可以同时双路充电或一路适配输出，具有自动识别功能，当适配器输出时，该通道自动停止充电，充电智能芯片控制，更安全、更可靠。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r>
              <w:rPr>
                <w:rFonts w:ascii="宋体" w:hAnsi="宋体" w:cs="宋体"/>
                <w:color w:val="auto"/>
                <w:kern w:val="0"/>
                <w:sz w:val="18"/>
                <w:szCs w:val="18"/>
              </w:rPr>
              <w:t>0</w:t>
            </w:r>
          </w:p>
        </w:tc>
        <w:tc>
          <w:tcPr>
            <w:tcW w:w="1182"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摄像机包</w:t>
            </w:r>
          </w:p>
        </w:tc>
        <w:tc>
          <w:tcPr>
            <w:tcW w:w="588"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9</w:t>
            </w:r>
          </w:p>
        </w:tc>
        <w:tc>
          <w:tcPr>
            <w:tcW w:w="517"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个</w:t>
            </w:r>
          </w:p>
        </w:tc>
        <w:tc>
          <w:tcPr>
            <w:tcW w:w="5732" w:type="dxa"/>
            <w:tcBorders>
              <w:bottom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高强度防水尼龙；无纺纱布+海绵里衬；两块海绵隔断层。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ascii="宋体" w:hAnsi="宋体" w:cs="宋体"/>
                <w:color w:val="auto"/>
                <w:kern w:val="0"/>
                <w:sz w:val="18"/>
                <w:szCs w:val="18"/>
              </w:rPr>
              <w:t>1</w:t>
            </w:r>
          </w:p>
        </w:tc>
        <w:tc>
          <w:tcPr>
            <w:tcW w:w="1182"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流媒体服务器</w:t>
            </w:r>
          </w:p>
        </w:tc>
        <w:tc>
          <w:tcPr>
            <w:tcW w:w="588"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517"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套</w:t>
            </w:r>
          </w:p>
        </w:tc>
        <w:tc>
          <w:tcPr>
            <w:tcW w:w="5732" w:type="dxa"/>
            <w:tcBorders>
              <w:bottom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广播级6讯道数字高清导播切换、字幕、虚拟演播室制作、直播发布、录制系统。</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提供4路SDI信号输入、2路HDMI信号输入、4路IP流信号输入、2路SDI输出、1路HDMI信号输出，支持Ref信号1路输入、1路色键器、2路字幕图文包装；</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配有Tally信号输出接口，模拟音频输入输出接口；</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采用17寸液晶便携机箱，方便手提、背包携带。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1182" w:type="dxa"/>
            <w:noWrap w:val="0"/>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单反机身</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含进口商品</w:t>
            </w:r>
            <w:r>
              <w:rPr>
                <w:rFonts w:hint="eastAsia" w:ascii="宋体" w:hAnsi="宋体" w:cs="宋体"/>
                <w:color w:val="auto"/>
                <w:kern w:val="0"/>
                <w:sz w:val="18"/>
                <w:szCs w:val="18"/>
                <w:lang w:eastAsia="zh-CN"/>
              </w:rPr>
              <w:t>）</w:t>
            </w:r>
          </w:p>
        </w:tc>
        <w:tc>
          <w:tcPr>
            <w:tcW w:w="588" w:type="dxa"/>
            <w:noWrap w:val="0"/>
            <w:vAlign w:val="center"/>
          </w:tcPr>
          <w:p>
            <w:pPr>
              <w:widowControl/>
              <w:jc w:val="center"/>
              <w:rPr>
                <w:rFonts w:hint="eastAsia" w:ascii="宋体" w:hAnsi="宋体" w:cs="宋体"/>
                <w:color w:val="auto"/>
                <w:kern w:val="0"/>
                <w:sz w:val="18"/>
                <w:szCs w:val="18"/>
              </w:rPr>
            </w:pPr>
            <w:r>
              <w:rPr>
                <w:rFonts w:ascii="宋体" w:hAnsi="宋体" w:cs="宋体"/>
                <w:color w:val="auto"/>
                <w:kern w:val="0"/>
                <w:sz w:val="18"/>
                <w:szCs w:val="18"/>
              </w:rPr>
              <w:t>13</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台</w:t>
            </w:r>
          </w:p>
        </w:tc>
        <w:tc>
          <w:tcPr>
            <w:tcW w:w="5732"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专业级全画幅高级单反摄影像照相机；</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单机身/拆单机；</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支持</w:t>
            </w:r>
            <w:r>
              <w:rPr>
                <w:rFonts w:hint="eastAsia" w:ascii="宋体" w:hAnsi="宋体" w:cs="宋体"/>
                <w:color w:val="auto"/>
                <w:kern w:val="0"/>
                <w:sz w:val="18"/>
                <w:szCs w:val="18"/>
              </w:rPr>
              <w:t>高清</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4K视频</w:t>
            </w:r>
            <w:r>
              <w:rPr>
                <w:rFonts w:hint="eastAsia" w:ascii="宋体" w:hAnsi="宋体" w:cs="宋体"/>
                <w:color w:val="auto"/>
                <w:kern w:val="0"/>
                <w:sz w:val="18"/>
                <w:szCs w:val="18"/>
                <w:lang w:val="en-US" w:eastAsia="zh-CN"/>
              </w:rPr>
              <w:t>拍摄</w:t>
            </w:r>
            <w:r>
              <w:rPr>
                <w:rFonts w:hint="eastAsia" w:ascii="宋体" w:hAnsi="宋体" w:cs="宋体"/>
                <w:color w:val="auto"/>
                <w:kern w:val="0"/>
                <w:sz w:val="18"/>
                <w:szCs w:val="18"/>
              </w:rPr>
              <w:t>；</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传感器类型：CMOS；</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传感器尺寸：全画幅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标准全画幅变焦镜头</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r>
              <w:rPr>
                <w:rFonts w:ascii="宋体" w:hAnsi="宋体" w:cs="宋体"/>
                <w:color w:val="auto"/>
                <w:kern w:val="0"/>
                <w:sz w:val="18"/>
                <w:szCs w:val="18"/>
              </w:rPr>
              <w:t>3</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个</w:t>
            </w:r>
          </w:p>
        </w:tc>
        <w:tc>
          <w:tcPr>
            <w:tcW w:w="5732" w:type="dxa"/>
            <w:noWrap w:val="0"/>
            <w:vAlign w:val="center"/>
          </w:tcPr>
          <w:p>
            <w:pPr>
              <w:widowControl/>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与单反机身匹配；</w:t>
            </w:r>
          </w:p>
          <w:p>
            <w:pPr>
              <w:widowControl/>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全画幅镜头；</w:t>
            </w:r>
          </w:p>
          <w:p>
            <w:pPr>
              <w:widowControl/>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镜头焦距 24-70mm；</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最近对焦距离</w:t>
            </w:r>
            <w:r>
              <w:rPr>
                <w:rFonts w:hint="eastAsia" w:ascii="宋体" w:hAnsi="宋体" w:cs="宋体"/>
                <w:color w:val="auto"/>
                <w:kern w:val="0"/>
                <w:sz w:val="18"/>
                <w:szCs w:val="18"/>
                <w:lang w:val="en-US" w:eastAsia="zh-CN"/>
              </w:rPr>
              <w:t>不高于</w:t>
            </w:r>
            <w:r>
              <w:rPr>
                <w:rFonts w:hint="eastAsia" w:ascii="宋体" w:hAnsi="宋体" w:cs="宋体"/>
                <w:color w:val="auto"/>
                <w:kern w:val="0"/>
                <w:sz w:val="18"/>
                <w:szCs w:val="18"/>
              </w:rPr>
              <w:t>0.38米；</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最大放大倍率</w:t>
            </w:r>
            <w:r>
              <w:rPr>
                <w:rFonts w:hint="eastAsia" w:ascii="宋体" w:hAnsi="宋体" w:cs="宋体"/>
                <w:color w:val="auto"/>
                <w:kern w:val="0"/>
                <w:sz w:val="18"/>
                <w:szCs w:val="18"/>
                <w:lang w:val="en-US" w:eastAsia="zh-CN"/>
              </w:rPr>
              <w:t>不低于</w:t>
            </w:r>
            <w:r>
              <w:rPr>
                <w:rFonts w:hint="eastAsia" w:ascii="宋体" w:hAnsi="宋体" w:cs="宋体"/>
                <w:color w:val="auto"/>
                <w:kern w:val="0"/>
                <w:sz w:val="18"/>
                <w:szCs w:val="18"/>
              </w:rPr>
              <w:t>0.21倍；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长焦镜头</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个</w:t>
            </w:r>
          </w:p>
        </w:tc>
        <w:tc>
          <w:tcPr>
            <w:tcW w:w="5732" w:type="dxa"/>
            <w:noWrap w:val="0"/>
            <w:vAlign w:val="center"/>
          </w:tcPr>
          <w:p>
            <w:pPr>
              <w:widowControl/>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与单反机身匹配；</w:t>
            </w:r>
          </w:p>
          <w:p>
            <w:pPr>
              <w:widowControl/>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全画幅镜头；</w:t>
            </w:r>
          </w:p>
          <w:p>
            <w:pPr>
              <w:widowControl/>
              <w:jc w:val="left"/>
              <w:rPr>
                <w:rFonts w:hint="eastAsia" w:ascii="宋体" w:hAnsi="宋体" w:cs="宋体"/>
                <w:color w:val="auto"/>
                <w:kern w:val="0"/>
                <w:sz w:val="18"/>
                <w:szCs w:val="18"/>
                <w:lang w:eastAsia="zh-CN"/>
              </w:rPr>
            </w:pPr>
            <w:r>
              <w:rPr>
                <w:rFonts w:hint="eastAsia" w:ascii="宋体" w:hAnsi="宋体" w:cs="宋体"/>
                <w:color w:val="auto"/>
                <w:kern w:val="0"/>
                <w:sz w:val="18"/>
                <w:szCs w:val="18"/>
              </w:rPr>
              <w:t>镜头焦距 70-200mm</w:t>
            </w:r>
            <w:r>
              <w:rPr>
                <w:rFonts w:hint="eastAsia" w:ascii="宋体" w:hAnsi="宋体" w:cs="宋体"/>
                <w:color w:val="auto"/>
                <w:kern w:val="0"/>
                <w:sz w:val="18"/>
                <w:szCs w:val="18"/>
                <w:lang w:eastAsia="zh-CN"/>
              </w:rPr>
              <w:t>；</w:t>
            </w:r>
          </w:p>
          <w:p>
            <w:pPr>
              <w:widowControl/>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最近对焦距离不高于1.2米；</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最大放大倍数不低于0.21倍；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广角镜头</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个</w:t>
            </w:r>
          </w:p>
        </w:tc>
        <w:tc>
          <w:tcPr>
            <w:tcW w:w="5732" w:type="dxa"/>
            <w:noWrap w:val="0"/>
            <w:vAlign w:val="center"/>
          </w:tcPr>
          <w:p>
            <w:pPr>
              <w:widowControl/>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与单反机身匹配；</w:t>
            </w:r>
          </w:p>
          <w:p>
            <w:pPr>
              <w:widowControl/>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全画幅镜头；</w:t>
            </w:r>
          </w:p>
          <w:p>
            <w:pPr>
              <w:widowControl/>
              <w:jc w:val="left"/>
              <w:rPr>
                <w:rFonts w:hint="eastAsia" w:ascii="宋体" w:hAnsi="宋体" w:cs="宋体"/>
                <w:color w:val="auto"/>
                <w:kern w:val="0"/>
                <w:sz w:val="18"/>
                <w:szCs w:val="18"/>
                <w:lang w:eastAsia="zh-CN"/>
              </w:rPr>
            </w:pPr>
            <w:r>
              <w:rPr>
                <w:rFonts w:hint="eastAsia" w:ascii="宋体" w:hAnsi="宋体" w:cs="宋体"/>
                <w:color w:val="auto"/>
                <w:kern w:val="0"/>
                <w:sz w:val="18"/>
                <w:szCs w:val="18"/>
              </w:rPr>
              <w:t xml:space="preserve">镜头焦距 </w:t>
            </w:r>
            <w:r>
              <w:rPr>
                <w:rFonts w:hint="eastAsia" w:ascii="宋体" w:hAnsi="宋体" w:cs="宋体"/>
                <w:color w:val="auto"/>
                <w:kern w:val="0"/>
                <w:sz w:val="18"/>
                <w:szCs w:val="18"/>
                <w:lang w:val="en-US" w:eastAsia="zh-CN"/>
              </w:rPr>
              <w:t>16</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35</w:t>
            </w:r>
            <w:r>
              <w:rPr>
                <w:rFonts w:hint="eastAsia" w:ascii="宋体" w:hAnsi="宋体" w:cs="宋体"/>
                <w:color w:val="auto"/>
                <w:kern w:val="0"/>
                <w:sz w:val="18"/>
                <w:szCs w:val="18"/>
              </w:rPr>
              <w:t>mm</w:t>
            </w:r>
            <w:r>
              <w:rPr>
                <w:rFonts w:hint="eastAsia" w:ascii="宋体" w:hAnsi="宋体" w:cs="宋体"/>
                <w:color w:val="auto"/>
                <w:kern w:val="0"/>
                <w:sz w:val="18"/>
                <w:szCs w:val="18"/>
                <w:lang w:eastAsia="zh-CN"/>
              </w:rPr>
              <w:t>；</w:t>
            </w:r>
          </w:p>
          <w:p>
            <w:pPr>
              <w:widowControl/>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最近对焦距离不高于0.28米；</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最大放大倍数不低于0.25倍；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w:t>
            </w:r>
          </w:p>
        </w:tc>
        <w:tc>
          <w:tcPr>
            <w:tcW w:w="1182" w:type="dxa"/>
            <w:noWrap w:val="0"/>
            <w:vAlign w:val="center"/>
          </w:tcPr>
          <w:p>
            <w:pPr>
              <w:widowControl/>
              <w:jc w:val="center"/>
              <w:rPr>
                <w:rFonts w:hint="eastAsia" w:ascii="宋体" w:hAnsi="宋体" w:cs="宋体"/>
                <w:color w:val="auto"/>
                <w:kern w:val="0"/>
                <w:sz w:val="18"/>
                <w:szCs w:val="18"/>
              </w:rPr>
            </w:pPr>
          </w:p>
        </w:tc>
        <w:tc>
          <w:tcPr>
            <w:tcW w:w="588" w:type="dxa"/>
            <w:noWrap w:val="0"/>
            <w:vAlign w:val="center"/>
          </w:tcPr>
          <w:p>
            <w:pPr>
              <w:widowControl/>
              <w:jc w:val="center"/>
              <w:rPr>
                <w:rFonts w:hint="eastAsia" w:ascii="宋体" w:hAnsi="宋体" w:cs="宋体"/>
                <w:color w:val="auto"/>
                <w:kern w:val="0"/>
                <w:sz w:val="18"/>
                <w:szCs w:val="18"/>
              </w:rPr>
            </w:pPr>
            <w:r>
              <w:rPr>
                <w:rFonts w:ascii="宋体" w:hAnsi="宋体" w:cs="宋体"/>
                <w:color w:val="auto"/>
                <w:kern w:val="0"/>
                <w:sz w:val="18"/>
                <w:szCs w:val="18"/>
              </w:rPr>
              <w:t>29</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块</w:t>
            </w:r>
          </w:p>
        </w:tc>
        <w:tc>
          <w:tcPr>
            <w:tcW w:w="5732"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原装电池和相机电池充电器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6</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单反存储卡</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26</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个</w:t>
            </w:r>
          </w:p>
        </w:tc>
        <w:tc>
          <w:tcPr>
            <w:tcW w:w="5732" w:type="dxa"/>
            <w:noWrap w:val="0"/>
            <w:vAlign w:val="center"/>
          </w:tcPr>
          <w:p>
            <w:pPr>
              <w:widowControl/>
              <w:shd w:val="clear" w:color="auto" w:fill="auto"/>
              <w:jc w:val="left"/>
              <w:rPr>
                <w:rFonts w:hint="eastAsia" w:ascii="宋体" w:hAnsi="宋体" w:cs="宋体"/>
                <w:color w:val="auto"/>
                <w:kern w:val="0"/>
                <w:sz w:val="18"/>
                <w:szCs w:val="18"/>
              </w:rPr>
            </w:pPr>
            <w:r>
              <w:rPr>
                <w:rFonts w:hint="eastAsia" w:ascii="宋体" w:hAnsi="宋体" w:cs="宋体"/>
                <w:color w:val="auto"/>
                <w:kern w:val="0"/>
                <w:sz w:val="18"/>
                <w:szCs w:val="18"/>
              </w:rPr>
              <w:t>内存不低于64Gb高速SD卡，读速160MB/s 写速60MB/s。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7</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单反相机包</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13</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个</w:t>
            </w:r>
          </w:p>
        </w:tc>
        <w:tc>
          <w:tcPr>
            <w:tcW w:w="5732" w:type="dxa"/>
            <w:noWrap w:val="0"/>
            <w:vAlign w:val="center"/>
          </w:tcPr>
          <w:p>
            <w:pPr>
              <w:widowControl/>
              <w:shd w:val="clear" w:color="auto" w:fill="auto"/>
              <w:jc w:val="left"/>
              <w:rPr>
                <w:rFonts w:hint="eastAsia" w:ascii="宋体" w:hAnsi="宋体" w:cs="宋体"/>
                <w:color w:val="auto"/>
                <w:kern w:val="0"/>
                <w:sz w:val="18"/>
                <w:szCs w:val="18"/>
              </w:rPr>
            </w:pPr>
            <w:r>
              <w:rPr>
                <w:rFonts w:hint="eastAsia" w:ascii="宋体" w:hAnsi="宋体" w:cs="宋体"/>
                <w:color w:val="auto"/>
                <w:kern w:val="0"/>
                <w:sz w:val="18"/>
                <w:szCs w:val="18"/>
              </w:rPr>
              <w:t>原装相机包数码单反原厂摄影包。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8</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单反稳定器</w:t>
            </w:r>
          </w:p>
        </w:tc>
        <w:tc>
          <w:tcPr>
            <w:tcW w:w="58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13</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个</w:t>
            </w:r>
          </w:p>
        </w:tc>
        <w:tc>
          <w:tcPr>
            <w:tcW w:w="5732" w:type="dxa"/>
            <w:noWrap w:val="0"/>
            <w:vAlign w:val="center"/>
          </w:tcPr>
          <w:p>
            <w:pPr>
              <w:widowControl/>
              <w:shd w:val="clear" w:color="auto" w:fill="auto"/>
              <w:jc w:val="left"/>
              <w:rPr>
                <w:rFonts w:hint="eastAsia" w:ascii="宋体" w:hAnsi="宋体" w:cs="宋体"/>
                <w:color w:val="auto"/>
                <w:kern w:val="0"/>
                <w:sz w:val="18"/>
                <w:szCs w:val="18"/>
              </w:rPr>
            </w:pPr>
            <w:r>
              <w:rPr>
                <w:rFonts w:hint="eastAsia" w:ascii="宋体" w:hAnsi="宋体" w:cs="宋体"/>
                <w:color w:val="auto"/>
                <w:kern w:val="0"/>
                <w:sz w:val="18"/>
                <w:szCs w:val="18"/>
              </w:rPr>
              <w:t>专业单反相机防抖手持稳定器 云台稳定器 ；云台类型：三轴云台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9</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便携式转换器</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个</w:t>
            </w:r>
          </w:p>
        </w:tc>
        <w:tc>
          <w:tcPr>
            <w:tcW w:w="5732" w:type="dxa"/>
            <w:noWrap w:val="0"/>
            <w:vAlign w:val="center"/>
          </w:tcPr>
          <w:p>
            <w:pPr>
              <w:widowControl/>
              <w:shd w:val="clear" w:color="auto" w:fill="auto"/>
              <w:jc w:val="left"/>
              <w:rPr>
                <w:rFonts w:hint="eastAsia" w:ascii="宋体" w:hAnsi="宋体" w:cs="宋体"/>
                <w:color w:val="auto"/>
                <w:kern w:val="0"/>
                <w:sz w:val="18"/>
                <w:szCs w:val="18"/>
              </w:rPr>
            </w:pPr>
            <w:r>
              <w:rPr>
                <w:rFonts w:hint="eastAsia" w:ascii="宋体" w:hAnsi="宋体" w:cs="宋体"/>
                <w:color w:val="auto"/>
                <w:kern w:val="0"/>
                <w:sz w:val="18"/>
                <w:szCs w:val="18"/>
              </w:rPr>
              <w:t>3G SDI转HDMI转化器，带LCD液晶屏。带SDI眼图测量功能，带格式转换功能，输出信号可是可以从480i到1080p之间选择。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r>
              <w:rPr>
                <w:rFonts w:ascii="宋体" w:hAnsi="宋体" w:cs="宋体"/>
                <w:color w:val="auto"/>
                <w:kern w:val="0"/>
                <w:sz w:val="18"/>
                <w:szCs w:val="18"/>
              </w:rPr>
              <w:t>0</w:t>
            </w:r>
          </w:p>
        </w:tc>
        <w:tc>
          <w:tcPr>
            <w:tcW w:w="1182"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带监看多格式上</w:t>
            </w:r>
            <w:r>
              <w:rPr>
                <w:rFonts w:ascii="Arial" w:hAnsi="Arial" w:cs="Arial"/>
                <w:color w:val="auto"/>
                <w:kern w:val="0"/>
                <w:sz w:val="18"/>
                <w:szCs w:val="18"/>
              </w:rPr>
              <w:t>/</w:t>
            </w:r>
            <w:r>
              <w:rPr>
                <w:rFonts w:hint="eastAsia" w:ascii="宋体" w:hAnsi="宋体" w:cs="宋体"/>
                <w:color w:val="auto"/>
                <w:kern w:val="0"/>
                <w:sz w:val="18"/>
                <w:szCs w:val="18"/>
              </w:rPr>
              <w:t>下</w:t>
            </w:r>
            <w:r>
              <w:rPr>
                <w:rFonts w:ascii="Arial" w:hAnsi="Arial" w:cs="Arial"/>
                <w:color w:val="auto"/>
                <w:kern w:val="0"/>
                <w:sz w:val="18"/>
                <w:szCs w:val="18"/>
              </w:rPr>
              <w:t>/</w:t>
            </w:r>
            <w:r>
              <w:rPr>
                <w:rFonts w:hint="eastAsia" w:ascii="宋体" w:hAnsi="宋体" w:cs="宋体"/>
                <w:color w:val="auto"/>
                <w:kern w:val="0"/>
                <w:sz w:val="18"/>
                <w:szCs w:val="18"/>
              </w:rPr>
              <w:t>交叉</w:t>
            </w:r>
            <w:r>
              <w:rPr>
                <w:rFonts w:ascii="Arial" w:hAnsi="Arial" w:cs="Arial"/>
                <w:color w:val="auto"/>
                <w:kern w:val="0"/>
                <w:sz w:val="18"/>
                <w:szCs w:val="18"/>
              </w:rPr>
              <w:t>/</w:t>
            </w:r>
            <w:r>
              <w:rPr>
                <w:rFonts w:hint="eastAsia" w:ascii="宋体" w:hAnsi="宋体" w:cs="宋体"/>
                <w:color w:val="auto"/>
                <w:kern w:val="0"/>
                <w:sz w:val="18"/>
                <w:szCs w:val="18"/>
              </w:rPr>
              <w:t>扫描转换器套装</w:t>
            </w:r>
          </w:p>
        </w:tc>
        <w:tc>
          <w:tcPr>
            <w:tcW w:w="588"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517"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套</w:t>
            </w:r>
          </w:p>
        </w:tc>
        <w:tc>
          <w:tcPr>
            <w:tcW w:w="5732" w:type="dxa"/>
            <w:tcBorders>
              <w:bottom w:val="single" w:color="auto" w:sz="4" w:space="0"/>
            </w:tcBorders>
            <w:noWrap w:val="0"/>
            <w:vAlign w:val="center"/>
          </w:tcPr>
          <w:p>
            <w:pPr>
              <w:widowControl/>
              <w:shd w:val="clear" w:color="auto" w:fill="auto"/>
              <w:jc w:val="left"/>
              <w:rPr>
                <w:rFonts w:hint="eastAsia" w:ascii="宋体" w:hAnsi="宋体" w:cs="宋体"/>
                <w:kern w:val="0"/>
                <w:sz w:val="18"/>
                <w:szCs w:val="18"/>
              </w:rPr>
            </w:pPr>
            <w:r>
              <w:rPr>
                <w:rFonts w:hint="eastAsia" w:ascii="宋体" w:hAnsi="宋体" w:cs="宋体"/>
                <w:kern w:val="0"/>
                <w:sz w:val="18"/>
                <w:szCs w:val="18"/>
              </w:rPr>
              <w:t>上/下/交叉/扫描转换器、支持多种视音频信号格式（CVBS,AES/EBU,SDI,VGA,复合视频,模拟音频,HDMI）、支持音视频加嵌解嵌、支持OSD菜单设置输出视频信号格式、可输出视频彩条信号以及显示音频电平、内置5英寸LCD触摸屏进行输入信号监测，监测SDI信号矢量图，波形图和显示线缆长度的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无人机</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台</w:t>
            </w:r>
          </w:p>
        </w:tc>
        <w:tc>
          <w:tcPr>
            <w:tcW w:w="5732" w:type="dxa"/>
            <w:noWrap w:val="0"/>
            <w:vAlign w:val="center"/>
          </w:tcPr>
          <w:p>
            <w:pPr>
              <w:widowControl/>
              <w:shd w:val="clear" w:color="auto" w:fill="auto"/>
              <w:jc w:val="left"/>
              <w:rPr>
                <w:rFonts w:hint="eastAsia" w:ascii="宋体" w:hAnsi="宋体" w:cs="宋体"/>
                <w:kern w:val="0"/>
                <w:sz w:val="18"/>
                <w:szCs w:val="18"/>
              </w:rPr>
            </w:pPr>
            <w:r>
              <w:rPr>
                <w:rFonts w:hint="eastAsia" w:ascii="宋体" w:hAnsi="宋体" w:cs="宋体"/>
                <w:kern w:val="0"/>
                <w:sz w:val="18"/>
                <w:szCs w:val="18"/>
              </w:rPr>
              <w:t>带屏幕遥控器（5.5寸，1080，1000CD/M2亮度）；智能飞行电池*4；降噪螺旋桨*10对。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1182"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无人机</w:t>
            </w:r>
          </w:p>
        </w:tc>
        <w:tc>
          <w:tcPr>
            <w:tcW w:w="588"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517" w:type="dxa"/>
            <w:tcBorders>
              <w:bottom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台</w:t>
            </w:r>
          </w:p>
        </w:tc>
        <w:tc>
          <w:tcPr>
            <w:tcW w:w="5732" w:type="dxa"/>
            <w:tcBorders>
              <w:bottom w:val="single" w:color="auto" w:sz="4" w:space="0"/>
            </w:tcBorders>
            <w:noWrap w:val="0"/>
            <w:vAlign w:val="center"/>
          </w:tcPr>
          <w:p>
            <w:pPr>
              <w:widowControl/>
              <w:shd w:val="clear" w:color="auto" w:fill="auto"/>
              <w:jc w:val="left"/>
              <w:rPr>
                <w:rFonts w:hint="eastAsia" w:ascii="宋体" w:hAnsi="宋体" w:cs="宋体"/>
                <w:kern w:val="0"/>
                <w:sz w:val="18"/>
                <w:szCs w:val="18"/>
              </w:rPr>
            </w:pPr>
            <w:r>
              <w:rPr>
                <w:rFonts w:hint="eastAsia" w:ascii="宋体" w:hAnsi="宋体" w:cs="宋体"/>
                <w:kern w:val="0"/>
                <w:sz w:val="18"/>
                <w:szCs w:val="18"/>
              </w:rPr>
              <w:t>microSD 卡 128GB；全能配件包；安全保护箱； 智能飞行电池*4；降噪螺旋桨*10对。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安装调试</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套</w:t>
            </w:r>
          </w:p>
        </w:tc>
        <w:tc>
          <w:tcPr>
            <w:tcW w:w="5732" w:type="dxa"/>
            <w:noWrap w:val="0"/>
            <w:vAlign w:val="center"/>
          </w:tcPr>
          <w:p>
            <w:pPr>
              <w:widowControl/>
              <w:shd w:val="clear" w:color="auto" w:fill="auto"/>
              <w:jc w:val="left"/>
              <w:rPr>
                <w:rFonts w:hint="eastAsia" w:ascii="宋体" w:hAnsi="宋体" w:cs="宋体"/>
                <w:kern w:val="0"/>
                <w:sz w:val="18"/>
                <w:szCs w:val="18"/>
              </w:rPr>
            </w:pPr>
            <w:r>
              <w:rPr>
                <w:rFonts w:hint="eastAsia" w:ascii="宋体" w:hAnsi="宋体" w:cs="宋体"/>
                <w:kern w:val="0"/>
                <w:sz w:val="18"/>
                <w:szCs w:val="18"/>
              </w:rPr>
              <w:t>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全彩小间距LED显示屏</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18</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c>
          <w:tcPr>
            <w:tcW w:w="5732" w:type="dxa"/>
            <w:noWrap w:val="0"/>
            <w:vAlign w:val="center"/>
          </w:tcPr>
          <w:p>
            <w:pPr>
              <w:widowControl/>
              <w:shd w:val="clear" w:color="auto" w:fill="auto"/>
              <w:jc w:val="left"/>
              <w:rPr>
                <w:rFonts w:hint="eastAsia" w:ascii="宋体" w:hAnsi="宋体" w:cs="宋体"/>
                <w:kern w:val="0"/>
                <w:sz w:val="18"/>
                <w:szCs w:val="18"/>
              </w:rPr>
            </w:pPr>
            <w:r>
              <w:rPr>
                <w:rFonts w:hint="eastAsia" w:ascii="宋体" w:hAnsi="宋体" w:cs="宋体"/>
                <w:kern w:val="0"/>
                <w:sz w:val="18"/>
                <w:szCs w:val="18"/>
              </w:rPr>
              <w:t>1、像素点间距：≤1.875mm；</w:t>
            </w:r>
          </w:p>
          <w:p>
            <w:pPr>
              <w:widowControl/>
              <w:shd w:val="clear" w:color="auto" w:fill="auto"/>
              <w:jc w:val="left"/>
              <w:rPr>
                <w:rFonts w:hint="eastAsia" w:ascii="宋体" w:hAnsi="宋体" w:cs="宋体"/>
                <w:kern w:val="0"/>
                <w:sz w:val="18"/>
                <w:szCs w:val="18"/>
              </w:rPr>
            </w:pPr>
            <w:r>
              <w:rPr>
                <w:rFonts w:hint="eastAsia" w:ascii="宋体" w:hAnsi="宋体" w:cs="宋体"/>
                <w:kern w:val="0"/>
                <w:sz w:val="18"/>
                <w:szCs w:val="18"/>
              </w:rPr>
              <w:t>2、维护方式：电源，模组，接收卡，HUB卡全前维护，支持热插拔；</w:t>
            </w:r>
          </w:p>
          <w:p>
            <w:pPr>
              <w:widowControl/>
              <w:shd w:val="clear" w:color="auto" w:fill="auto"/>
              <w:jc w:val="left"/>
              <w:rPr>
                <w:rFonts w:hint="eastAsia" w:ascii="宋体" w:hAnsi="宋体" w:cs="宋体"/>
                <w:kern w:val="0"/>
                <w:sz w:val="18"/>
                <w:szCs w:val="18"/>
              </w:rPr>
            </w:pPr>
            <w:r>
              <w:rPr>
                <w:rFonts w:hint="eastAsia" w:ascii="宋体" w:hAnsi="宋体" w:cs="宋体"/>
                <w:kern w:val="0"/>
                <w:sz w:val="18"/>
                <w:szCs w:val="18"/>
              </w:rPr>
              <w:t>3、像素密度（点/m2）≥284444；</w:t>
            </w:r>
          </w:p>
          <w:p>
            <w:pPr>
              <w:widowControl/>
              <w:shd w:val="clear" w:color="auto" w:fill="auto"/>
              <w:jc w:val="left"/>
              <w:rPr>
                <w:rFonts w:hint="eastAsia" w:ascii="宋体" w:hAnsi="宋体" w:cs="宋体"/>
                <w:kern w:val="0"/>
                <w:sz w:val="18"/>
                <w:szCs w:val="18"/>
              </w:rPr>
            </w:pPr>
            <w:r>
              <w:rPr>
                <w:rFonts w:hint="eastAsia" w:ascii="宋体" w:hAnsi="宋体" w:cs="宋体"/>
                <w:kern w:val="0"/>
                <w:sz w:val="18"/>
                <w:szCs w:val="18"/>
              </w:rPr>
              <w:t>4、箱体平整度（mm）：≤0.1；箱体间缝隙≤0.1；</w:t>
            </w:r>
          </w:p>
          <w:p>
            <w:pPr>
              <w:widowControl/>
              <w:shd w:val="clear" w:color="auto" w:fill="auto"/>
              <w:jc w:val="left"/>
              <w:rPr>
                <w:rFonts w:hint="eastAsia" w:ascii="宋体" w:hAnsi="宋体" w:cs="宋体"/>
                <w:kern w:val="0"/>
                <w:sz w:val="18"/>
                <w:szCs w:val="18"/>
              </w:rPr>
            </w:pPr>
            <w:r>
              <w:rPr>
                <w:rFonts w:hint="eastAsia" w:ascii="宋体" w:hAnsi="宋体" w:cs="宋体"/>
                <w:kern w:val="0"/>
                <w:sz w:val="18"/>
                <w:szCs w:val="18"/>
              </w:rPr>
              <w:t>5、单点亮度校正：有；单点颜色校正：有；支持屏体拼缝亮线、暗线校正：有；</w:t>
            </w:r>
          </w:p>
          <w:p>
            <w:pPr>
              <w:widowControl/>
              <w:shd w:val="clear" w:color="auto" w:fill="auto"/>
              <w:jc w:val="left"/>
              <w:rPr>
                <w:rFonts w:hint="eastAsia" w:ascii="宋体" w:hAnsi="宋体" w:cs="宋体"/>
                <w:kern w:val="0"/>
                <w:sz w:val="18"/>
                <w:szCs w:val="18"/>
              </w:rPr>
            </w:pPr>
            <w:r>
              <w:rPr>
                <w:rFonts w:hint="eastAsia" w:ascii="宋体" w:hAnsi="宋体" w:cs="宋体"/>
                <w:kern w:val="0"/>
                <w:sz w:val="18"/>
                <w:szCs w:val="18"/>
              </w:rPr>
              <w:t>6、显示屏亮度（nits）：≥600-800cd；</w:t>
            </w:r>
          </w:p>
          <w:p>
            <w:pPr>
              <w:widowControl/>
              <w:shd w:val="clear" w:color="auto" w:fill="auto"/>
              <w:jc w:val="left"/>
              <w:rPr>
                <w:rFonts w:hint="eastAsia" w:ascii="宋体" w:hAnsi="宋体" w:cs="宋体"/>
                <w:kern w:val="0"/>
                <w:sz w:val="18"/>
                <w:szCs w:val="18"/>
              </w:rPr>
            </w:pPr>
            <w:r>
              <w:rPr>
                <w:rFonts w:hint="eastAsia" w:ascii="宋体" w:hAnsi="宋体" w:cs="宋体"/>
                <w:kern w:val="0"/>
                <w:sz w:val="18"/>
                <w:szCs w:val="18"/>
              </w:rPr>
              <w:t>7、色温（K）：3000—10000可调；</w:t>
            </w:r>
          </w:p>
          <w:p>
            <w:pPr>
              <w:widowControl/>
              <w:shd w:val="clear" w:color="auto" w:fill="auto"/>
              <w:jc w:val="left"/>
              <w:rPr>
                <w:rFonts w:hint="eastAsia" w:ascii="宋体" w:hAnsi="宋体" w:cs="宋体"/>
                <w:kern w:val="0"/>
                <w:sz w:val="18"/>
                <w:szCs w:val="18"/>
              </w:rPr>
            </w:pPr>
            <w:r>
              <w:rPr>
                <w:rFonts w:hint="eastAsia" w:ascii="宋体" w:hAnsi="宋体" w:cs="宋体"/>
                <w:kern w:val="0"/>
                <w:sz w:val="18"/>
                <w:szCs w:val="18"/>
              </w:rPr>
              <w:t>8、水平视角（ °）≥160，垂直视角（ °）≥160；</w:t>
            </w:r>
          </w:p>
          <w:p>
            <w:pPr>
              <w:widowControl/>
              <w:shd w:val="clear" w:color="auto" w:fill="auto"/>
              <w:jc w:val="left"/>
              <w:rPr>
                <w:rFonts w:hint="eastAsia" w:ascii="宋体" w:hAnsi="宋体" w:cs="宋体"/>
                <w:kern w:val="0"/>
                <w:sz w:val="18"/>
                <w:szCs w:val="18"/>
              </w:rPr>
            </w:pPr>
            <w:r>
              <w:rPr>
                <w:rFonts w:hint="eastAsia" w:ascii="宋体" w:hAnsi="宋体" w:cs="宋体"/>
                <w:kern w:val="0"/>
                <w:sz w:val="18"/>
                <w:szCs w:val="18"/>
              </w:rPr>
              <w:t>9、发光点中心距偏差：&lt;3%；亮度均匀性：≥98%；色度均匀性；±0.003Cx,Cy之内；</w:t>
            </w:r>
          </w:p>
          <w:p>
            <w:pPr>
              <w:widowControl/>
              <w:shd w:val="clear" w:color="auto" w:fill="auto"/>
              <w:jc w:val="left"/>
              <w:rPr>
                <w:rFonts w:hint="eastAsia" w:ascii="宋体" w:hAnsi="宋体" w:cs="宋体"/>
                <w:kern w:val="0"/>
                <w:sz w:val="18"/>
                <w:szCs w:val="18"/>
              </w:rPr>
            </w:pPr>
            <w:r>
              <w:rPr>
                <w:rFonts w:hint="eastAsia" w:ascii="宋体" w:hAnsi="宋体" w:cs="宋体"/>
                <w:kern w:val="0"/>
                <w:sz w:val="18"/>
                <w:szCs w:val="18"/>
              </w:rPr>
              <w:t>10、对比度：≥10000:1；</w:t>
            </w:r>
          </w:p>
          <w:p>
            <w:pPr>
              <w:widowControl/>
              <w:shd w:val="clear" w:color="auto" w:fill="auto"/>
              <w:jc w:val="left"/>
              <w:rPr>
                <w:rFonts w:hint="eastAsia" w:ascii="宋体" w:hAnsi="宋体" w:cs="宋体"/>
                <w:kern w:val="0"/>
                <w:sz w:val="18"/>
                <w:szCs w:val="18"/>
              </w:rPr>
            </w:pPr>
            <w:r>
              <w:rPr>
                <w:rFonts w:hint="eastAsia" w:ascii="宋体" w:hAnsi="宋体" w:cs="宋体"/>
                <w:kern w:val="0"/>
                <w:sz w:val="18"/>
                <w:szCs w:val="18"/>
              </w:rPr>
              <w:t>11、LED 显示屏灰度等级测试，亮度100%时，灰度为16bit；亮度20%时，灰度等级为15bit；</w:t>
            </w:r>
          </w:p>
          <w:p>
            <w:pPr>
              <w:widowControl/>
              <w:shd w:val="clear" w:color="auto" w:fill="auto"/>
              <w:jc w:val="left"/>
              <w:rPr>
                <w:rFonts w:hint="eastAsia" w:ascii="宋体" w:hAnsi="宋体" w:cs="宋体"/>
                <w:kern w:val="0"/>
                <w:sz w:val="18"/>
                <w:szCs w:val="18"/>
              </w:rPr>
            </w:pPr>
            <w:r>
              <w:rPr>
                <w:rFonts w:hint="eastAsia" w:ascii="宋体" w:hAnsi="宋体" w:cs="宋体"/>
                <w:kern w:val="0"/>
                <w:sz w:val="18"/>
                <w:szCs w:val="18"/>
              </w:rPr>
              <w:t>12、峰值功耗（W/m2）≤650；平均功耗（W/m2）≤200；</w:t>
            </w:r>
          </w:p>
          <w:p>
            <w:pPr>
              <w:widowControl/>
              <w:shd w:val="clear" w:color="auto" w:fill="auto"/>
              <w:jc w:val="left"/>
              <w:rPr>
                <w:rFonts w:hint="eastAsia" w:ascii="宋体" w:hAnsi="宋体" w:cs="宋体"/>
                <w:kern w:val="0"/>
                <w:sz w:val="18"/>
                <w:szCs w:val="18"/>
              </w:rPr>
            </w:pPr>
            <w:r>
              <w:rPr>
                <w:rFonts w:hint="eastAsia" w:ascii="宋体" w:hAnsi="宋体" w:cs="宋体"/>
                <w:kern w:val="0"/>
                <w:sz w:val="18"/>
                <w:szCs w:val="18"/>
              </w:rPr>
              <w:t>13、换帧频率（Hz）≥50、60；刷新率（Hz）≥3840；</w:t>
            </w:r>
          </w:p>
          <w:p>
            <w:pPr>
              <w:widowControl/>
              <w:shd w:val="clear" w:color="auto" w:fill="auto"/>
              <w:jc w:val="left"/>
              <w:rPr>
                <w:rFonts w:hint="eastAsia" w:ascii="宋体" w:hAnsi="宋体" w:cs="宋体"/>
                <w:kern w:val="0"/>
                <w:sz w:val="18"/>
                <w:szCs w:val="18"/>
              </w:rPr>
            </w:pPr>
            <w:r>
              <w:rPr>
                <w:rFonts w:hint="eastAsia" w:ascii="宋体" w:hAnsi="宋体" w:cs="宋体"/>
                <w:kern w:val="0"/>
                <w:sz w:val="18"/>
                <w:szCs w:val="18"/>
              </w:rPr>
              <w:t>14、驱动方式：恒流驱动；</w:t>
            </w:r>
          </w:p>
          <w:p>
            <w:pPr>
              <w:widowControl/>
              <w:shd w:val="clear" w:color="auto" w:fill="auto"/>
              <w:jc w:val="left"/>
              <w:rPr>
                <w:rFonts w:hint="eastAsia" w:ascii="宋体" w:hAnsi="宋体" w:cs="宋体"/>
                <w:kern w:val="0"/>
                <w:sz w:val="18"/>
                <w:szCs w:val="18"/>
              </w:rPr>
            </w:pPr>
            <w:r>
              <w:rPr>
                <w:rFonts w:hint="eastAsia" w:ascii="宋体" w:hAnsi="宋体" w:cs="宋体"/>
                <w:kern w:val="0"/>
                <w:sz w:val="18"/>
                <w:szCs w:val="18"/>
              </w:rPr>
              <w:t xml:space="preserve">15、屏幕尺寸：(6.6m×2.7m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控制软件</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套</w:t>
            </w:r>
          </w:p>
        </w:tc>
        <w:tc>
          <w:tcPr>
            <w:tcW w:w="5732" w:type="dxa"/>
            <w:noWrap w:val="0"/>
            <w:vAlign w:val="center"/>
          </w:tcPr>
          <w:p>
            <w:pPr>
              <w:widowControl/>
              <w:shd w:val="clear" w:color="auto" w:fill="auto"/>
              <w:jc w:val="left"/>
              <w:rPr>
                <w:rFonts w:hint="eastAsia" w:ascii="宋体" w:hAnsi="宋体" w:cs="宋体"/>
                <w:kern w:val="0"/>
                <w:sz w:val="18"/>
                <w:szCs w:val="18"/>
              </w:rPr>
            </w:pPr>
            <w:r>
              <w:rPr>
                <w:rFonts w:hint="eastAsia" w:ascii="宋体" w:hAnsi="宋体" w:cs="宋体"/>
                <w:kern w:val="0"/>
                <w:sz w:val="18"/>
                <w:szCs w:val="18"/>
              </w:rPr>
              <w:t>控制LED大屏。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LED控制器</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台</w:t>
            </w:r>
          </w:p>
        </w:tc>
        <w:tc>
          <w:tcPr>
            <w:tcW w:w="5732" w:type="dxa"/>
            <w:noWrap w:val="0"/>
            <w:vAlign w:val="center"/>
          </w:tcPr>
          <w:p>
            <w:pPr>
              <w:widowControl/>
              <w:shd w:val="clear" w:color="auto" w:fill="auto"/>
              <w:jc w:val="left"/>
              <w:rPr>
                <w:rFonts w:hint="eastAsia" w:ascii="宋体" w:hAnsi="宋体" w:cs="宋体"/>
                <w:kern w:val="0"/>
                <w:sz w:val="18"/>
                <w:szCs w:val="18"/>
                <w:lang w:eastAsia="zh-CN"/>
              </w:rPr>
            </w:pPr>
            <w:r>
              <w:rPr>
                <w:rFonts w:hint="eastAsia" w:ascii="宋体" w:hAnsi="宋体" w:cs="宋体"/>
                <w:kern w:val="0"/>
                <w:sz w:val="18"/>
                <w:szCs w:val="18"/>
              </w:rPr>
              <w:t>1.最大带载分辨率 2048×1152 或 1920×1200；</w:t>
            </w:r>
          </w:p>
          <w:p>
            <w:pPr>
              <w:widowControl/>
              <w:shd w:val="clear" w:color="auto" w:fill="auto"/>
              <w:jc w:val="left"/>
              <w:rPr>
                <w:rFonts w:hint="eastAsia" w:ascii="宋体" w:hAnsi="宋体" w:cs="宋体"/>
                <w:kern w:val="0"/>
                <w:sz w:val="18"/>
                <w:szCs w:val="18"/>
                <w:lang w:eastAsia="zh-CN"/>
              </w:rPr>
            </w:pPr>
            <w:r>
              <w:rPr>
                <w:rFonts w:hint="eastAsia" w:ascii="宋体" w:hAnsi="宋体" w:cs="宋体"/>
                <w:kern w:val="0"/>
                <w:sz w:val="18"/>
                <w:szCs w:val="18"/>
              </w:rPr>
              <w:t>2.DVI 视频输出，用于级联或监视；</w:t>
            </w:r>
          </w:p>
          <w:p>
            <w:pPr>
              <w:widowControl/>
              <w:shd w:val="clear" w:color="auto" w:fill="auto"/>
              <w:jc w:val="left"/>
              <w:rPr>
                <w:rFonts w:hint="eastAsia" w:ascii="宋体" w:hAnsi="宋体" w:cs="宋体"/>
                <w:kern w:val="0"/>
                <w:sz w:val="18"/>
                <w:szCs w:val="18"/>
                <w:lang w:eastAsia="zh-CN"/>
              </w:rPr>
            </w:pPr>
            <w:r>
              <w:rPr>
                <w:rFonts w:hint="eastAsia" w:ascii="宋体" w:hAnsi="宋体" w:cs="宋体"/>
                <w:kern w:val="0"/>
                <w:sz w:val="18"/>
                <w:szCs w:val="18"/>
              </w:rPr>
              <w:t>3.至少满足一路 DVI视频输入；</w:t>
            </w:r>
          </w:p>
          <w:p>
            <w:pPr>
              <w:widowControl/>
              <w:shd w:val="clear" w:color="auto" w:fill="auto"/>
              <w:jc w:val="left"/>
              <w:rPr>
                <w:rFonts w:hint="eastAsia" w:ascii="宋体" w:hAnsi="宋体" w:cs="宋体"/>
                <w:kern w:val="0"/>
                <w:sz w:val="18"/>
                <w:szCs w:val="18"/>
                <w:lang w:eastAsia="zh-CN"/>
              </w:rPr>
            </w:pPr>
            <w:r>
              <w:rPr>
                <w:rFonts w:hint="eastAsia" w:ascii="宋体" w:hAnsi="宋体" w:cs="宋体"/>
                <w:kern w:val="0"/>
                <w:sz w:val="18"/>
                <w:szCs w:val="18"/>
              </w:rPr>
              <w:t>4.至少满足四个网口输出；</w:t>
            </w:r>
          </w:p>
          <w:p>
            <w:pPr>
              <w:widowControl/>
              <w:shd w:val="clear" w:color="auto" w:fill="auto"/>
              <w:jc w:val="left"/>
              <w:rPr>
                <w:rFonts w:hint="eastAsia" w:ascii="宋体" w:hAnsi="宋体" w:cs="宋体"/>
                <w:kern w:val="0"/>
                <w:sz w:val="18"/>
                <w:szCs w:val="18"/>
                <w:lang w:eastAsia="zh-CN"/>
              </w:rPr>
            </w:pPr>
            <w:r>
              <w:rPr>
                <w:rFonts w:hint="eastAsia" w:ascii="宋体" w:hAnsi="宋体" w:cs="宋体"/>
                <w:kern w:val="0"/>
                <w:sz w:val="18"/>
                <w:szCs w:val="18"/>
              </w:rPr>
              <w:t>5.主备信号；</w:t>
            </w:r>
          </w:p>
          <w:p>
            <w:pPr>
              <w:widowControl/>
              <w:shd w:val="clear" w:color="auto" w:fill="auto"/>
              <w:jc w:val="left"/>
              <w:rPr>
                <w:rFonts w:hint="eastAsia" w:ascii="宋体" w:hAnsi="宋体" w:cs="宋体"/>
                <w:kern w:val="0"/>
                <w:sz w:val="18"/>
                <w:szCs w:val="18"/>
              </w:rPr>
            </w:pPr>
            <w:r>
              <w:rPr>
                <w:rFonts w:hint="eastAsia" w:ascii="宋体" w:hAnsi="宋体" w:cs="宋体"/>
                <w:kern w:val="0"/>
                <w:sz w:val="18"/>
                <w:szCs w:val="18"/>
              </w:rPr>
              <w:t>6.19英寸标准机架式安装。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视频拼接处理器</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台</w:t>
            </w:r>
          </w:p>
        </w:tc>
        <w:tc>
          <w:tcPr>
            <w:tcW w:w="5732" w:type="dxa"/>
            <w:noWrap w:val="0"/>
            <w:vAlign w:val="center"/>
          </w:tcPr>
          <w:p>
            <w:pPr>
              <w:widowControl/>
              <w:shd w:val="clear" w:color="auto" w:fill="auto"/>
              <w:jc w:val="left"/>
              <w:rPr>
                <w:rFonts w:hint="eastAsia" w:ascii="宋体" w:hAnsi="宋体" w:cs="宋体"/>
                <w:kern w:val="0"/>
                <w:sz w:val="18"/>
                <w:szCs w:val="18"/>
              </w:rPr>
            </w:pPr>
            <w:r>
              <w:rPr>
                <w:rFonts w:hint="eastAsia" w:ascii="宋体" w:hAnsi="宋体" w:cs="宋体"/>
                <w:kern w:val="0"/>
                <w:sz w:val="18"/>
                <w:szCs w:val="18"/>
              </w:rPr>
              <w:t>输入：4路HDMI，4路SDI，1路4K60hz；输出：4路DVI满足大屏点对点显示。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接收卡</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90</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个</w:t>
            </w:r>
          </w:p>
        </w:tc>
        <w:tc>
          <w:tcPr>
            <w:tcW w:w="5732" w:type="dxa"/>
            <w:noWrap w:val="0"/>
            <w:vAlign w:val="center"/>
          </w:tcPr>
          <w:p>
            <w:pPr>
              <w:widowControl/>
              <w:shd w:val="clear" w:color="auto" w:fill="auto"/>
              <w:jc w:val="left"/>
              <w:rPr>
                <w:rFonts w:hint="eastAsia" w:ascii="宋体" w:hAnsi="宋体" w:cs="宋体"/>
                <w:kern w:val="0"/>
                <w:sz w:val="18"/>
                <w:szCs w:val="18"/>
                <w:lang w:eastAsia="zh-CN"/>
              </w:rPr>
            </w:pPr>
            <w:r>
              <w:rPr>
                <w:rFonts w:hint="eastAsia" w:ascii="宋体" w:hAnsi="宋体" w:cs="宋体"/>
                <w:kern w:val="0"/>
                <w:sz w:val="18"/>
                <w:szCs w:val="18"/>
              </w:rPr>
              <w:t>1.单卡支持不少于256*256像素点；</w:t>
            </w:r>
          </w:p>
          <w:p>
            <w:pPr>
              <w:widowControl/>
              <w:shd w:val="clear" w:color="auto" w:fill="auto"/>
              <w:jc w:val="left"/>
              <w:rPr>
                <w:rFonts w:hint="eastAsia" w:ascii="宋体" w:hAnsi="宋体" w:cs="宋体"/>
                <w:kern w:val="0"/>
                <w:sz w:val="18"/>
                <w:szCs w:val="18"/>
                <w:lang w:eastAsia="zh-CN"/>
              </w:rPr>
            </w:pPr>
            <w:r>
              <w:rPr>
                <w:rFonts w:hint="eastAsia" w:ascii="宋体" w:hAnsi="宋体" w:cs="宋体"/>
                <w:kern w:val="0"/>
                <w:sz w:val="18"/>
                <w:szCs w:val="18"/>
              </w:rPr>
              <w:t>2.单卡支持不少于32组RGB信号并行输出；</w:t>
            </w:r>
          </w:p>
          <w:p>
            <w:pPr>
              <w:widowControl/>
              <w:shd w:val="clear" w:color="auto" w:fill="auto"/>
              <w:jc w:val="left"/>
              <w:rPr>
                <w:rFonts w:hint="eastAsia" w:ascii="宋体" w:hAnsi="宋体" w:cs="宋体"/>
                <w:kern w:val="0"/>
                <w:sz w:val="18"/>
                <w:szCs w:val="18"/>
                <w:lang w:eastAsia="zh-CN"/>
              </w:rPr>
            </w:pPr>
            <w:r>
              <w:rPr>
                <w:rFonts w:hint="eastAsia" w:ascii="宋体" w:hAnsi="宋体" w:cs="宋体"/>
                <w:kern w:val="0"/>
                <w:sz w:val="18"/>
                <w:szCs w:val="18"/>
              </w:rPr>
              <w:t>3.支持 1~1/32扫之间的任意扫描类型，支持 595 等串行译码扫描；</w:t>
            </w:r>
          </w:p>
          <w:p>
            <w:pPr>
              <w:widowControl/>
              <w:shd w:val="clear" w:color="auto" w:fill="auto"/>
              <w:jc w:val="left"/>
              <w:rPr>
                <w:rFonts w:hint="eastAsia" w:ascii="宋体" w:hAnsi="宋体" w:cs="宋体"/>
                <w:kern w:val="0"/>
                <w:sz w:val="18"/>
                <w:szCs w:val="18"/>
                <w:lang w:eastAsia="zh-CN"/>
              </w:rPr>
            </w:pPr>
            <w:r>
              <w:rPr>
                <w:rFonts w:hint="eastAsia" w:ascii="宋体" w:hAnsi="宋体" w:cs="宋体"/>
                <w:kern w:val="0"/>
                <w:sz w:val="18"/>
                <w:szCs w:val="18"/>
              </w:rPr>
              <w:t>4.支持常规芯片、PWM 芯片等主流 LED 驱动芯片；</w:t>
            </w:r>
          </w:p>
          <w:p>
            <w:pPr>
              <w:widowControl/>
              <w:shd w:val="clear" w:color="auto" w:fill="auto"/>
              <w:jc w:val="left"/>
              <w:rPr>
                <w:rFonts w:hint="eastAsia" w:ascii="宋体" w:hAnsi="宋体" w:cs="宋体"/>
                <w:kern w:val="0"/>
                <w:sz w:val="18"/>
                <w:szCs w:val="18"/>
                <w:lang w:eastAsia="zh-CN"/>
              </w:rPr>
            </w:pPr>
            <w:r>
              <w:rPr>
                <w:rFonts w:hint="eastAsia" w:ascii="宋体" w:hAnsi="宋体" w:cs="宋体"/>
                <w:kern w:val="0"/>
                <w:sz w:val="18"/>
                <w:szCs w:val="18"/>
              </w:rPr>
              <w:t>5.支持高灰阶高刷新率；</w:t>
            </w:r>
          </w:p>
          <w:p>
            <w:pPr>
              <w:widowControl/>
              <w:shd w:val="clear" w:color="auto" w:fill="auto"/>
              <w:jc w:val="left"/>
              <w:rPr>
                <w:rFonts w:hint="eastAsia" w:ascii="宋体" w:hAnsi="宋体" w:cs="宋体"/>
                <w:kern w:val="0"/>
                <w:sz w:val="18"/>
                <w:szCs w:val="18"/>
                <w:lang w:eastAsia="zh-CN"/>
              </w:rPr>
            </w:pPr>
            <w:r>
              <w:rPr>
                <w:rFonts w:hint="eastAsia" w:ascii="宋体" w:hAnsi="宋体" w:cs="宋体"/>
                <w:kern w:val="0"/>
                <w:sz w:val="18"/>
                <w:szCs w:val="18"/>
              </w:rPr>
              <w:t>6.支持亮色度逐点校正；</w:t>
            </w:r>
          </w:p>
          <w:p>
            <w:pPr>
              <w:widowControl/>
              <w:shd w:val="clear" w:color="auto" w:fill="auto"/>
              <w:jc w:val="left"/>
              <w:rPr>
                <w:rFonts w:hint="eastAsia" w:ascii="宋体" w:hAnsi="宋体" w:cs="宋体"/>
                <w:kern w:val="0"/>
                <w:sz w:val="18"/>
                <w:szCs w:val="18"/>
                <w:lang w:eastAsia="zh-CN"/>
              </w:rPr>
            </w:pPr>
            <w:r>
              <w:rPr>
                <w:rFonts w:hint="eastAsia" w:ascii="宋体" w:hAnsi="宋体" w:cs="宋体"/>
                <w:kern w:val="0"/>
                <w:sz w:val="18"/>
                <w:szCs w:val="18"/>
              </w:rPr>
              <w:t>7.支持智能模组，其功能包括存储管理校正系数、灯板信息、模组参数等信息；</w:t>
            </w:r>
          </w:p>
          <w:p>
            <w:pPr>
              <w:widowControl/>
              <w:shd w:val="clear" w:color="auto" w:fill="auto"/>
              <w:jc w:val="left"/>
              <w:rPr>
                <w:rFonts w:hint="eastAsia" w:ascii="宋体" w:hAnsi="宋体" w:cs="宋体"/>
                <w:kern w:val="0"/>
                <w:sz w:val="18"/>
                <w:szCs w:val="18"/>
              </w:rPr>
            </w:pPr>
            <w:r>
              <w:rPr>
                <w:rFonts w:hint="eastAsia" w:ascii="宋体" w:hAnsi="宋体" w:cs="宋体"/>
                <w:kern w:val="0"/>
                <w:sz w:val="18"/>
                <w:szCs w:val="18"/>
              </w:rPr>
              <w:t xml:space="preserve">8.EMC设计，有效降低电磁辐射。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6</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配电系统</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台</w:t>
            </w:r>
          </w:p>
        </w:tc>
        <w:tc>
          <w:tcPr>
            <w:tcW w:w="5732" w:type="dxa"/>
            <w:noWrap w:val="0"/>
            <w:vAlign w:val="center"/>
          </w:tcPr>
          <w:p>
            <w:pPr>
              <w:widowControl/>
              <w:shd w:val="clear" w:color="auto" w:fill="auto"/>
              <w:jc w:val="left"/>
              <w:rPr>
                <w:rFonts w:hint="eastAsia" w:ascii="宋体" w:hAnsi="宋体" w:cs="宋体"/>
                <w:kern w:val="0"/>
                <w:sz w:val="18"/>
                <w:szCs w:val="18"/>
                <w:lang w:eastAsia="zh-CN"/>
              </w:rPr>
            </w:pPr>
            <w:r>
              <w:rPr>
                <w:rFonts w:hint="eastAsia" w:ascii="宋体" w:hAnsi="宋体" w:cs="宋体"/>
                <w:kern w:val="0"/>
                <w:sz w:val="18"/>
                <w:szCs w:val="18"/>
              </w:rPr>
              <w:t>1.不低于20KW的标准配电柜(PLC)；</w:t>
            </w:r>
          </w:p>
          <w:p>
            <w:pPr>
              <w:widowControl/>
              <w:shd w:val="clear" w:color="auto" w:fill="auto"/>
              <w:jc w:val="left"/>
              <w:rPr>
                <w:rFonts w:hint="eastAsia" w:ascii="宋体" w:hAnsi="宋体" w:cs="宋体"/>
                <w:kern w:val="0"/>
                <w:sz w:val="18"/>
                <w:szCs w:val="18"/>
                <w:lang w:eastAsia="zh-CN"/>
              </w:rPr>
            </w:pPr>
            <w:r>
              <w:rPr>
                <w:rFonts w:hint="eastAsia" w:ascii="宋体" w:hAnsi="宋体" w:cs="宋体"/>
                <w:kern w:val="0"/>
                <w:sz w:val="18"/>
                <w:szCs w:val="18"/>
              </w:rPr>
              <w:t>2.采用可编程的存储器，用来在内部存储执行逻辑运算、顺序控制、定时、计数和算术运算等操作的指令，并通过数字式或模拟式的输人和输出，控制各种类型的机械或生产过程。功能满足可设置定时开关；</w:t>
            </w:r>
          </w:p>
          <w:p>
            <w:pPr>
              <w:widowControl/>
              <w:shd w:val="clear" w:color="auto" w:fill="auto"/>
              <w:jc w:val="left"/>
              <w:rPr>
                <w:rFonts w:hint="eastAsia" w:ascii="宋体" w:hAnsi="宋体" w:cs="宋体"/>
                <w:kern w:val="0"/>
                <w:sz w:val="18"/>
                <w:szCs w:val="18"/>
              </w:rPr>
            </w:pPr>
            <w:r>
              <w:rPr>
                <w:rFonts w:hint="eastAsia" w:ascii="宋体" w:hAnsi="宋体" w:cs="宋体"/>
                <w:kern w:val="0"/>
                <w:sz w:val="18"/>
                <w:szCs w:val="18"/>
              </w:rPr>
              <w:t>3.提供LED显示屏所需的配电设备，负责配电系统的安装、连接及调试，并根据现场的配电情况合理配置和安放配电设备。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7</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屏体支架</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套</w:t>
            </w:r>
          </w:p>
        </w:tc>
        <w:tc>
          <w:tcPr>
            <w:tcW w:w="5732" w:type="dxa"/>
            <w:noWrap w:val="0"/>
            <w:vAlign w:val="center"/>
          </w:tcPr>
          <w:p>
            <w:pPr>
              <w:widowControl/>
              <w:shd w:val="clear" w:color="auto" w:fill="auto"/>
              <w:jc w:val="left"/>
              <w:rPr>
                <w:rFonts w:hint="eastAsia" w:ascii="宋体" w:hAnsi="宋体" w:cs="宋体"/>
                <w:kern w:val="0"/>
                <w:sz w:val="18"/>
                <w:szCs w:val="18"/>
                <w:lang w:eastAsia="zh-CN"/>
              </w:rPr>
            </w:pPr>
            <w:r>
              <w:rPr>
                <w:rFonts w:hint="eastAsia" w:ascii="宋体" w:hAnsi="宋体" w:cs="宋体"/>
                <w:kern w:val="0"/>
                <w:sz w:val="18"/>
                <w:szCs w:val="18"/>
              </w:rPr>
              <w:t>1、安装支架、结构件并安装调试；</w:t>
            </w:r>
          </w:p>
          <w:p>
            <w:pPr>
              <w:widowControl/>
              <w:shd w:val="clear" w:color="auto" w:fill="auto"/>
              <w:jc w:val="left"/>
              <w:rPr>
                <w:rFonts w:hint="eastAsia" w:ascii="宋体" w:hAnsi="宋体" w:cs="宋体"/>
                <w:kern w:val="0"/>
                <w:sz w:val="18"/>
                <w:szCs w:val="18"/>
              </w:rPr>
            </w:pPr>
            <w:r>
              <w:rPr>
                <w:rFonts w:hint="eastAsia" w:ascii="宋体" w:hAnsi="宋体" w:cs="宋体"/>
                <w:kern w:val="0"/>
                <w:sz w:val="18"/>
                <w:szCs w:val="18"/>
              </w:rPr>
              <w:t>2、支架及LED显示屏安装时，严格按照方案实施，并据现场实际情况按照采购方要求进行适当调节，确保合理衔接。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8</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安装调试</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套</w:t>
            </w:r>
          </w:p>
        </w:tc>
        <w:tc>
          <w:tcPr>
            <w:tcW w:w="5732" w:type="dxa"/>
            <w:noWrap w:val="0"/>
            <w:vAlign w:val="center"/>
          </w:tcPr>
          <w:p>
            <w:pPr>
              <w:widowControl/>
              <w:shd w:val="clear" w:color="auto" w:fill="auto"/>
              <w:jc w:val="left"/>
              <w:rPr>
                <w:rFonts w:hint="eastAsia" w:ascii="宋体" w:hAnsi="宋体" w:cs="宋体"/>
                <w:kern w:val="0"/>
                <w:sz w:val="18"/>
                <w:szCs w:val="18"/>
              </w:rPr>
            </w:pPr>
            <w:r>
              <w:rPr>
                <w:rFonts w:hint="eastAsia" w:ascii="宋体" w:hAnsi="宋体" w:cs="宋体"/>
                <w:kern w:val="0"/>
                <w:sz w:val="18"/>
                <w:szCs w:val="18"/>
              </w:rPr>
              <w:t>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柴油发电机组</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套</w:t>
            </w:r>
          </w:p>
        </w:tc>
        <w:tc>
          <w:tcPr>
            <w:tcW w:w="5732" w:type="dxa"/>
            <w:noWrap w:val="0"/>
            <w:vAlign w:val="center"/>
          </w:tcPr>
          <w:p>
            <w:pPr>
              <w:widowControl/>
              <w:shd w:val="clear" w:color="auto" w:fill="auto"/>
              <w:jc w:val="left"/>
              <w:rPr>
                <w:rFonts w:hint="eastAsia" w:ascii="宋体" w:hAnsi="宋体" w:cs="宋体"/>
                <w:kern w:val="0"/>
                <w:sz w:val="18"/>
                <w:szCs w:val="18"/>
              </w:rPr>
            </w:pPr>
            <w:r>
              <w:rPr>
                <w:rFonts w:hint="eastAsia" w:ascii="宋体" w:hAnsi="宋体" w:cs="宋体"/>
                <w:kern w:val="0"/>
                <w:sz w:val="18"/>
                <w:szCs w:val="18"/>
              </w:rPr>
              <w:t>柴油发电机组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发电机</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台</w:t>
            </w:r>
          </w:p>
        </w:tc>
        <w:tc>
          <w:tcPr>
            <w:tcW w:w="5732" w:type="dxa"/>
            <w:noWrap w:val="0"/>
            <w:vAlign w:val="center"/>
          </w:tcPr>
          <w:p>
            <w:pPr>
              <w:widowControl/>
              <w:shd w:val="clear" w:color="auto" w:fill="auto"/>
              <w:jc w:val="left"/>
              <w:rPr>
                <w:rFonts w:hint="eastAsia" w:ascii="宋体" w:hAnsi="宋体" w:cs="宋体"/>
                <w:kern w:val="0"/>
                <w:sz w:val="18"/>
                <w:szCs w:val="18"/>
              </w:rPr>
            </w:pPr>
            <w:r>
              <w:rPr>
                <w:rFonts w:hint="eastAsia" w:ascii="宋体" w:hAnsi="宋体" w:cs="宋体"/>
                <w:kern w:val="0"/>
                <w:sz w:val="18"/>
                <w:szCs w:val="18"/>
              </w:rPr>
              <w:t>发电机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柴油发动机</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台</w:t>
            </w:r>
          </w:p>
        </w:tc>
        <w:tc>
          <w:tcPr>
            <w:tcW w:w="5732" w:type="dxa"/>
            <w:noWrap w:val="0"/>
            <w:vAlign w:val="center"/>
          </w:tcPr>
          <w:p>
            <w:pPr>
              <w:widowControl/>
              <w:shd w:val="clear" w:color="auto" w:fill="auto"/>
              <w:jc w:val="left"/>
              <w:rPr>
                <w:rFonts w:hint="eastAsia" w:ascii="宋体" w:hAnsi="宋体" w:cs="宋体"/>
                <w:kern w:val="0"/>
                <w:sz w:val="18"/>
                <w:szCs w:val="18"/>
              </w:rPr>
            </w:pPr>
            <w:r>
              <w:rPr>
                <w:rFonts w:hint="eastAsia" w:ascii="宋体" w:hAnsi="宋体" w:cs="宋体"/>
                <w:kern w:val="0"/>
                <w:sz w:val="18"/>
                <w:szCs w:val="18"/>
              </w:rPr>
              <w:t>柴油发动机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水  箱</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个</w:t>
            </w:r>
          </w:p>
        </w:tc>
        <w:tc>
          <w:tcPr>
            <w:tcW w:w="5732" w:type="dxa"/>
            <w:noWrap w:val="0"/>
            <w:vAlign w:val="center"/>
          </w:tcPr>
          <w:p>
            <w:pPr>
              <w:widowControl/>
              <w:shd w:val="clear" w:color="auto" w:fill="auto"/>
              <w:jc w:val="left"/>
              <w:rPr>
                <w:rFonts w:hint="eastAsia" w:ascii="宋体" w:hAnsi="宋体" w:cs="宋体"/>
                <w:kern w:val="0"/>
                <w:sz w:val="18"/>
                <w:szCs w:val="18"/>
              </w:rPr>
            </w:pPr>
            <w:r>
              <w:rPr>
                <w:rFonts w:hint="eastAsia" w:ascii="宋体" w:hAnsi="宋体" w:cs="宋体"/>
                <w:kern w:val="0"/>
                <w:sz w:val="18"/>
                <w:szCs w:val="18"/>
              </w:rPr>
              <w:t>水箱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底座</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个</w:t>
            </w:r>
          </w:p>
        </w:tc>
        <w:tc>
          <w:tcPr>
            <w:tcW w:w="5732" w:type="dxa"/>
            <w:noWrap w:val="0"/>
            <w:vAlign w:val="center"/>
          </w:tcPr>
          <w:p>
            <w:pPr>
              <w:widowControl/>
              <w:shd w:val="clear" w:color="auto" w:fill="auto"/>
              <w:jc w:val="left"/>
              <w:rPr>
                <w:rFonts w:hint="eastAsia" w:ascii="宋体" w:hAnsi="宋体" w:cs="宋体"/>
                <w:kern w:val="0"/>
                <w:sz w:val="18"/>
                <w:szCs w:val="18"/>
              </w:rPr>
            </w:pPr>
            <w:r>
              <w:rPr>
                <w:rFonts w:hint="eastAsia" w:ascii="宋体" w:hAnsi="宋体" w:cs="宋体"/>
                <w:kern w:val="0"/>
                <w:sz w:val="18"/>
                <w:szCs w:val="18"/>
              </w:rPr>
              <w:t>底座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6</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消声器</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个</w:t>
            </w:r>
          </w:p>
        </w:tc>
        <w:tc>
          <w:tcPr>
            <w:tcW w:w="5732" w:type="dxa"/>
            <w:noWrap w:val="0"/>
            <w:vAlign w:val="center"/>
          </w:tcPr>
          <w:p>
            <w:pPr>
              <w:widowControl/>
              <w:shd w:val="clear" w:color="auto" w:fill="auto"/>
              <w:jc w:val="left"/>
              <w:rPr>
                <w:rFonts w:hint="eastAsia" w:ascii="宋体" w:hAnsi="宋体" w:cs="宋体"/>
                <w:kern w:val="0"/>
                <w:sz w:val="18"/>
                <w:szCs w:val="18"/>
              </w:rPr>
            </w:pPr>
            <w:r>
              <w:rPr>
                <w:rFonts w:hint="eastAsia" w:ascii="宋体" w:hAnsi="宋体" w:cs="宋体"/>
                <w:kern w:val="0"/>
                <w:sz w:val="18"/>
                <w:szCs w:val="18"/>
              </w:rPr>
              <w:t>消声器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7</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电瓶</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个</w:t>
            </w:r>
          </w:p>
        </w:tc>
        <w:tc>
          <w:tcPr>
            <w:tcW w:w="5732" w:type="dxa"/>
            <w:noWrap w:val="0"/>
            <w:vAlign w:val="center"/>
          </w:tcPr>
          <w:p>
            <w:pPr>
              <w:widowControl/>
              <w:shd w:val="clear" w:color="auto" w:fill="auto"/>
              <w:jc w:val="left"/>
              <w:rPr>
                <w:rFonts w:hint="eastAsia" w:ascii="宋体" w:hAnsi="宋体" w:cs="宋体"/>
                <w:kern w:val="0"/>
                <w:sz w:val="18"/>
                <w:szCs w:val="18"/>
              </w:rPr>
            </w:pPr>
            <w:r>
              <w:rPr>
                <w:rFonts w:hint="eastAsia" w:ascii="宋体" w:hAnsi="宋体" w:cs="宋体"/>
                <w:kern w:val="0"/>
                <w:sz w:val="18"/>
                <w:szCs w:val="18"/>
              </w:rPr>
              <w:t>电瓶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8</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机油</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套</w:t>
            </w:r>
          </w:p>
        </w:tc>
        <w:tc>
          <w:tcPr>
            <w:tcW w:w="5732" w:type="dxa"/>
            <w:noWrap w:val="0"/>
            <w:vAlign w:val="center"/>
          </w:tcPr>
          <w:p>
            <w:pPr>
              <w:widowControl/>
              <w:shd w:val="clear" w:color="auto" w:fill="auto"/>
              <w:jc w:val="left"/>
              <w:rPr>
                <w:rFonts w:hint="eastAsia" w:ascii="宋体" w:hAnsi="宋体" w:cs="宋体"/>
                <w:kern w:val="0"/>
                <w:sz w:val="18"/>
                <w:szCs w:val="18"/>
              </w:rPr>
            </w:pPr>
            <w:r>
              <w:rPr>
                <w:rFonts w:hint="eastAsia" w:ascii="宋体" w:hAnsi="宋体" w:cs="宋体"/>
                <w:kern w:val="0"/>
                <w:sz w:val="18"/>
                <w:szCs w:val="18"/>
              </w:rPr>
              <w:t>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9</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防冻液</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套</w:t>
            </w:r>
          </w:p>
        </w:tc>
        <w:tc>
          <w:tcPr>
            <w:tcW w:w="5732" w:type="dxa"/>
            <w:noWrap w:val="0"/>
            <w:vAlign w:val="center"/>
          </w:tcPr>
          <w:p>
            <w:pPr>
              <w:widowControl/>
              <w:shd w:val="clear" w:color="auto" w:fill="auto"/>
              <w:jc w:val="left"/>
              <w:rPr>
                <w:rFonts w:hint="eastAsia" w:ascii="宋体" w:hAnsi="宋体" w:cs="宋体"/>
                <w:kern w:val="0"/>
                <w:sz w:val="18"/>
                <w:szCs w:val="18"/>
              </w:rPr>
            </w:pPr>
            <w:r>
              <w:rPr>
                <w:rFonts w:hint="eastAsia" w:ascii="宋体" w:hAnsi="宋体" w:cs="宋体"/>
                <w:kern w:val="0"/>
                <w:sz w:val="18"/>
                <w:szCs w:val="18"/>
              </w:rPr>
              <w:t>防冻液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进出油管</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个</w:t>
            </w:r>
          </w:p>
        </w:tc>
        <w:tc>
          <w:tcPr>
            <w:tcW w:w="5732" w:type="dxa"/>
            <w:noWrap w:val="0"/>
            <w:vAlign w:val="center"/>
          </w:tcPr>
          <w:p>
            <w:pPr>
              <w:widowControl/>
              <w:shd w:val="clear" w:color="auto" w:fill="auto"/>
              <w:jc w:val="left"/>
              <w:rPr>
                <w:rFonts w:hint="eastAsia" w:ascii="宋体" w:hAnsi="宋体" w:cs="宋体"/>
                <w:kern w:val="0"/>
                <w:sz w:val="18"/>
                <w:szCs w:val="18"/>
              </w:rPr>
            </w:pPr>
            <w:r>
              <w:rPr>
                <w:rFonts w:hint="eastAsia" w:ascii="宋体" w:hAnsi="宋体" w:cs="宋体"/>
                <w:kern w:val="0"/>
                <w:sz w:val="18"/>
                <w:szCs w:val="18"/>
              </w:rPr>
              <w:t>进出油管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11</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电瓶连接线</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根</w:t>
            </w:r>
          </w:p>
        </w:tc>
        <w:tc>
          <w:tcPr>
            <w:tcW w:w="5732" w:type="dxa"/>
            <w:noWrap w:val="0"/>
            <w:vAlign w:val="center"/>
          </w:tcPr>
          <w:p>
            <w:pPr>
              <w:widowControl/>
              <w:shd w:val="clear" w:color="auto" w:fill="auto"/>
              <w:jc w:val="left"/>
              <w:rPr>
                <w:rFonts w:hint="eastAsia" w:ascii="宋体" w:hAnsi="宋体" w:cs="宋体"/>
                <w:kern w:val="0"/>
                <w:sz w:val="18"/>
                <w:szCs w:val="18"/>
              </w:rPr>
            </w:pPr>
            <w:r>
              <w:rPr>
                <w:rFonts w:hint="eastAsia" w:ascii="宋体" w:hAnsi="宋体" w:cs="宋体"/>
                <w:kern w:val="0"/>
                <w:sz w:val="18"/>
                <w:szCs w:val="18"/>
              </w:rPr>
              <w:t>电瓶连接线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12</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静音箱</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个</w:t>
            </w:r>
          </w:p>
        </w:tc>
        <w:tc>
          <w:tcPr>
            <w:tcW w:w="5732" w:type="dxa"/>
            <w:noWrap w:val="0"/>
            <w:vAlign w:val="center"/>
          </w:tcPr>
          <w:p>
            <w:pPr>
              <w:widowControl/>
              <w:shd w:val="clear" w:color="auto" w:fill="auto"/>
              <w:jc w:val="left"/>
              <w:rPr>
                <w:rFonts w:hint="eastAsia" w:ascii="宋体" w:hAnsi="宋体" w:cs="宋体"/>
                <w:kern w:val="0"/>
                <w:sz w:val="18"/>
                <w:szCs w:val="18"/>
              </w:rPr>
            </w:pPr>
            <w:r>
              <w:rPr>
                <w:rFonts w:hint="eastAsia" w:ascii="宋体" w:hAnsi="宋体" w:cs="宋体"/>
                <w:kern w:val="0"/>
                <w:sz w:val="18"/>
                <w:szCs w:val="18"/>
              </w:rPr>
              <w:t>静音箱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13</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ATS（自动切换柜）</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个</w:t>
            </w:r>
          </w:p>
        </w:tc>
        <w:tc>
          <w:tcPr>
            <w:tcW w:w="5732" w:type="dxa"/>
            <w:noWrap w:val="0"/>
            <w:vAlign w:val="center"/>
          </w:tcPr>
          <w:p>
            <w:pPr>
              <w:widowControl/>
              <w:shd w:val="clear" w:color="auto" w:fill="auto"/>
              <w:jc w:val="left"/>
              <w:rPr>
                <w:rFonts w:hint="eastAsia" w:ascii="宋体" w:hAnsi="宋体" w:cs="宋体"/>
                <w:kern w:val="0"/>
                <w:sz w:val="18"/>
                <w:szCs w:val="18"/>
              </w:rPr>
            </w:pPr>
            <w:r>
              <w:rPr>
                <w:rFonts w:hint="eastAsia" w:ascii="宋体" w:hAnsi="宋体" w:cs="宋体"/>
                <w:kern w:val="0"/>
                <w:sz w:val="18"/>
                <w:szCs w:val="18"/>
              </w:rPr>
              <w:t>ATS（自动切换柜）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14</w:t>
            </w:r>
          </w:p>
        </w:tc>
        <w:tc>
          <w:tcPr>
            <w:tcW w:w="1182"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运输搬运、安装调试费</w:t>
            </w:r>
          </w:p>
        </w:tc>
        <w:tc>
          <w:tcPr>
            <w:tcW w:w="588"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517"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套</w:t>
            </w:r>
          </w:p>
        </w:tc>
        <w:tc>
          <w:tcPr>
            <w:tcW w:w="5732" w:type="dxa"/>
            <w:noWrap w:val="0"/>
            <w:vAlign w:val="center"/>
          </w:tcPr>
          <w:p>
            <w:pPr>
              <w:widowControl/>
              <w:shd w:val="clear" w:color="auto" w:fill="auto"/>
              <w:jc w:val="left"/>
              <w:rPr>
                <w:rFonts w:hint="eastAsia" w:ascii="宋体" w:hAnsi="宋体" w:cs="宋体"/>
                <w:kern w:val="0"/>
                <w:sz w:val="18"/>
                <w:szCs w:val="18"/>
              </w:rPr>
            </w:pPr>
            <w:r>
              <w:rPr>
                <w:rFonts w:hint="eastAsia" w:ascii="宋体" w:hAnsi="宋体" w:cs="宋体"/>
                <w:kern w:val="0"/>
                <w:sz w:val="18"/>
                <w:szCs w:val="18"/>
              </w:rPr>
              <w:t>运输搬运、安装调试费</w:t>
            </w:r>
          </w:p>
        </w:tc>
      </w:tr>
      <w:bookmarkEnd w:id="44"/>
    </w:tbl>
    <w:p>
      <w:pPr>
        <w:topLinePunct/>
        <w:spacing w:line="360" w:lineRule="auto"/>
        <w:jc w:val="both"/>
        <w:rPr>
          <w:rFonts w:ascii="黑体" w:hAnsi="Courier New" w:eastAsia="黑体"/>
          <w:sz w:val="18"/>
          <w:szCs w:val="18"/>
        </w:rPr>
      </w:pPr>
    </w:p>
    <w:p>
      <w:pPr>
        <w:spacing w:before="240"/>
        <w:outlineLvl w:val="2"/>
        <w:rPr>
          <w:rFonts w:hint="eastAsia" w:ascii="仿宋" w:hAnsi="仿宋" w:eastAsia="仿宋" w:cs="宋体"/>
          <w:sz w:val="18"/>
          <w:szCs w:val="18"/>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526"/>
        <w:gridCol w:w="659"/>
        <w:gridCol w:w="590"/>
        <w:gridCol w:w="5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2014"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入侵防御IPS</w:t>
            </w:r>
          </w:p>
        </w:tc>
        <w:tc>
          <w:tcPr>
            <w:tcW w:w="841"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689"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7176" w:type="dxa"/>
            <w:noWrap w:val="0"/>
            <w:vAlign w:val="center"/>
          </w:tcPr>
          <w:p>
            <w:pPr>
              <w:widowControl/>
              <w:ind w:left="0" w:leftChars="0" w:right="0" w:rightChars="0" w:firstLine="0" w:firstLineChars="0"/>
              <w:jc w:val="left"/>
              <w:rPr>
                <w:rFonts w:hint="eastAsia" w:ascii="宋体" w:hAnsi="宋体" w:cs="宋体"/>
                <w:kern w:val="0"/>
                <w:sz w:val="18"/>
                <w:szCs w:val="18"/>
              </w:rPr>
            </w:pPr>
            <w:r>
              <w:rPr>
                <w:rFonts w:hint="eastAsia" w:ascii="宋体" w:hAnsi="宋体" w:cs="宋体"/>
                <w:kern w:val="0"/>
                <w:sz w:val="18"/>
                <w:szCs w:val="18"/>
              </w:rPr>
              <w:t>1U上架设备，1个RJ-45 Console口，4个具备BYPASS功能10/100/1000Base-T接口，1个HA口，1个管理口，额外具有一个网络接口扩展槽位（可扩展2GE2SFP/4GE/4SFP/4GE4SFP/8GE/8SFP）。最大网络吞吐量≥8G，最大并发连接数≥500W，每秒新建连接数≥6；三年IPS特征库升级服务，三年原厂新疆本地化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2014"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防火墙</w:t>
            </w:r>
          </w:p>
        </w:tc>
        <w:tc>
          <w:tcPr>
            <w:tcW w:w="841"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689"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7176" w:type="dxa"/>
            <w:noWrap w:val="0"/>
            <w:vAlign w:val="center"/>
          </w:tcPr>
          <w:p>
            <w:pPr>
              <w:widowControl/>
              <w:shd w:val="clear" w:color="auto" w:fill="auto"/>
              <w:jc w:val="center"/>
              <w:rPr>
                <w:rFonts w:hint="eastAsia" w:ascii="宋体" w:hAnsi="宋体" w:cs="宋体"/>
                <w:kern w:val="0"/>
                <w:sz w:val="18"/>
                <w:szCs w:val="18"/>
              </w:rPr>
            </w:pPr>
            <w:r>
              <w:rPr>
                <w:rFonts w:hint="eastAsia" w:ascii="宋体" w:hAnsi="宋体" w:cs="宋体"/>
                <w:kern w:val="0"/>
                <w:sz w:val="18"/>
                <w:szCs w:val="18"/>
              </w:rPr>
              <w:t>标准1U机架式设备；配置6个10/100/1000M 千兆电口，4个SFP插槽，提供不少于4个千兆光模块；1个Console（RJ45）管理口、2个USB口；整机最大吞吐量≥4G，应用层吞吐量≥2G，最大并发连接数≥500万、每秒新建连接数≥5万、VPN IPSec 隧道数≥20000个、VPN AES加密吞吐量≥300Mbps、稳定运行时间（MTBF）≥8万小时；出于可靠性考虑，防火墙需要具备2个操作系统互为备份，且需要支持一个可用于恢复的操作系统，且系统切换可在web页面完成，支持按功能模块的配置导入导出功能。支持HTTP类攻击重定向功能，能够把HTTP协议的攻击类型重定向到指定蜜罐系统，便于对攻击进行审计与分析。要求产品支持具有云计算相关专利技术的主动云防御功能，实现全网计算资源、特征资源的共享。支持日志告警的方式定位到存在弱口令的账户，提示用户提高口令复杂度，保障数据安全。支持针对单条策略中的源、目的地址进行新建、并发限制，可以针对单IP(或地址范围)进行新建、并发控制；支持web界面下对攻击流量进行抓包分析，支持自定义抓包参数，支持端口联动，支持上下行端口组的联动，可以实现单端口决定同组中的任意接口失效启动链路切换。自动同步、心跳接口多级（≥2级）物理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w:t>
            </w:r>
          </w:p>
        </w:tc>
        <w:tc>
          <w:tcPr>
            <w:tcW w:w="2014"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网络版杀毒（不含硬件服务器）</w:t>
            </w:r>
          </w:p>
        </w:tc>
        <w:tc>
          <w:tcPr>
            <w:tcW w:w="841"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689"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7176" w:type="dxa"/>
            <w:noWrap w:val="0"/>
            <w:vAlign w:val="center"/>
          </w:tcPr>
          <w:p>
            <w:pPr>
              <w:widowControl/>
              <w:shd w:val="clear" w:color="auto" w:fill="auto"/>
              <w:jc w:val="center"/>
              <w:rPr>
                <w:rFonts w:hint="eastAsia" w:ascii="宋体" w:hAnsi="宋体" w:cs="宋体"/>
                <w:kern w:val="0"/>
                <w:sz w:val="18"/>
                <w:szCs w:val="18"/>
              </w:rPr>
            </w:pPr>
            <w:r>
              <w:rPr>
                <w:rFonts w:hint="eastAsia" w:ascii="宋体" w:hAnsi="宋体" w:cs="宋体"/>
                <w:kern w:val="0"/>
                <w:sz w:val="18"/>
                <w:szCs w:val="18"/>
              </w:rPr>
              <w:t>B/S+C/S架构，服务端采用WEB界面管理（服务端需单另配服务器），客户端为C/S架构。支持服务端统一向客户端推送病毒库，客户端也可实时升级。查看全网安全概况、分组管理、终端管理、威胁管理、漏洞管理、企业白名单等功能。支持查杀永恒之蓝、勒索病毒等各类病毒。三年病毒库升级服务，三年原厂新疆本地化维保服务。提供100点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w:t>
            </w:r>
          </w:p>
        </w:tc>
        <w:tc>
          <w:tcPr>
            <w:tcW w:w="2014"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日志审计</w:t>
            </w:r>
          </w:p>
        </w:tc>
        <w:tc>
          <w:tcPr>
            <w:tcW w:w="841"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689"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台</w:t>
            </w:r>
          </w:p>
        </w:tc>
        <w:tc>
          <w:tcPr>
            <w:tcW w:w="7176" w:type="dxa"/>
            <w:noWrap w:val="0"/>
            <w:vAlign w:val="center"/>
          </w:tcPr>
          <w:p>
            <w:pPr>
              <w:widowControl/>
              <w:shd w:val="clear" w:color="auto" w:fill="auto"/>
              <w:jc w:val="center"/>
              <w:rPr>
                <w:rFonts w:hint="eastAsia" w:ascii="宋体" w:hAnsi="宋体" w:cs="宋体"/>
                <w:kern w:val="0"/>
                <w:sz w:val="18"/>
                <w:szCs w:val="18"/>
              </w:rPr>
            </w:pPr>
            <w:r>
              <w:rPr>
                <w:rFonts w:hint="eastAsia" w:ascii="宋体" w:hAnsi="宋体" w:cs="宋体"/>
                <w:kern w:val="0"/>
                <w:sz w:val="18"/>
                <w:szCs w:val="18"/>
              </w:rPr>
              <w:t>标准1U机架式设备，单电源，日志处理性能≥4000EPS、集成日志审计系统，6个千兆电口，1个管理口，2个USB接口，1个扩展插槽（可扩4口千兆SFP接口卡，8口千兆SFP接口卡，2口万兆SFP接口卡），存储容量2TB，8G内存。日志审计对象≥30台，可扩充。提供原厂新疆本地化三年软件维护升级服务。原厂实施及售后技术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2014"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堡垒机</w:t>
            </w:r>
          </w:p>
        </w:tc>
        <w:tc>
          <w:tcPr>
            <w:tcW w:w="841"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689"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台</w:t>
            </w:r>
          </w:p>
        </w:tc>
        <w:tc>
          <w:tcPr>
            <w:tcW w:w="7176" w:type="dxa"/>
            <w:noWrap w:val="0"/>
            <w:vAlign w:val="center"/>
          </w:tcPr>
          <w:p>
            <w:pPr>
              <w:widowControl/>
              <w:shd w:val="clear" w:color="auto" w:fill="auto"/>
              <w:jc w:val="center"/>
              <w:rPr>
                <w:rFonts w:hint="eastAsia" w:ascii="宋体" w:hAnsi="宋体" w:cs="宋体"/>
                <w:kern w:val="0"/>
                <w:sz w:val="18"/>
                <w:szCs w:val="18"/>
              </w:rPr>
            </w:pPr>
            <w:r>
              <w:rPr>
                <w:rFonts w:hint="eastAsia" w:ascii="宋体" w:hAnsi="宋体" w:cs="宋体"/>
                <w:kern w:val="0"/>
                <w:sz w:val="18"/>
                <w:szCs w:val="18"/>
              </w:rPr>
              <w:t>1U机架式软硬一体设备，专用硬件平台和安全操作系统，6个千兆电口，1个Console管理口，存储容量1TB。支持1000路字符会话或300路图形会话并发。可管理设备授权不低于50台；三年原厂新疆本地化维保服务。原厂实施及售后技术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w:t>
            </w:r>
          </w:p>
        </w:tc>
        <w:tc>
          <w:tcPr>
            <w:tcW w:w="2014"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上网行为管理</w:t>
            </w:r>
          </w:p>
        </w:tc>
        <w:tc>
          <w:tcPr>
            <w:tcW w:w="841"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689"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台</w:t>
            </w:r>
          </w:p>
        </w:tc>
        <w:tc>
          <w:tcPr>
            <w:tcW w:w="7176" w:type="dxa"/>
            <w:noWrap w:val="0"/>
            <w:vAlign w:val="center"/>
          </w:tcPr>
          <w:p>
            <w:pPr>
              <w:widowControl/>
              <w:shd w:val="clear" w:color="auto" w:fill="auto"/>
              <w:jc w:val="center"/>
              <w:rPr>
                <w:rFonts w:hint="eastAsia" w:ascii="宋体" w:hAnsi="宋体" w:cs="宋体"/>
                <w:kern w:val="0"/>
                <w:sz w:val="18"/>
                <w:szCs w:val="18"/>
              </w:rPr>
            </w:pPr>
            <w:r>
              <w:rPr>
                <w:rFonts w:hint="eastAsia" w:ascii="宋体" w:hAnsi="宋体" w:cs="宋体"/>
                <w:kern w:val="0"/>
                <w:sz w:val="18"/>
                <w:szCs w:val="18"/>
              </w:rPr>
              <w:t>标准1U机架式设备，配置10M/100M/1000M自适应电接口数量≥14，支持Combo千兆接口数量≥4，千兆接口总数≥18（支持Bypass），支持1个扩展插槽。1个Console（RJ45）管理口，1个USB口；整机最大吞吐量≥8G；4G内存、500G存储；MTBF≥10万小时；推荐接入带宽＜200M，最大支持人员≥6000人；支持WEB防护功能，可对防盗链、CSRF攻击、CC等攻击行为进行防护；支持IC卡认证，通过客户机刷卡器与上网行为管理产品进行交互认证；支持二维码认证，终端可以通过管理员扫描二维码授权方式上网；支持杀毒功能，可对HTTP、FTP、POP3、SNMP、IMAP协议的病毒进行查杀；支持ZIP、RAR等压缩文件的病毒查杀。压缩默认支持5层，最大20层。三年URL特征库升级服务，三年应用分类特征库升级服务，三年原厂新疆本地化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dxa"/>
            <w:noWrap w:val="0"/>
            <w:vAlign w:val="center"/>
          </w:tcPr>
          <w:p>
            <w:pPr>
              <w:widowControl/>
              <w:jc w:val="center"/>
              <w:rPr>
                <w:rFonts w:ascii="宋体" w:hAnsi="宋体" w:cs="宋体"/>
                <w:kern w:val="0"/>
                <w:sz w:val="18"/>
                <w:szCs w:val="18"/>
              </w:rPr>
            </w:pPr>
            <w:r>
              <w:rPr>
                <w:rFonts w:ascii="宋体" w:hAnsi="宋体" w:cs="宋体"/>
                <w:kern w:val="0"/>
                <w:sz w:val="18"/>
                <w:szCs w:val="18"/>
              </w:rPr>
              <w:t>7</w:t>
            </w:r>
          </w:p>
        </w:tc>
        <w:tc>
          <w:tcPr>
            <w:tcW w:w="2014" w:type="dxa"/>
            <w:noWrap w:val="0"/>
            <w:vAlign w:val="center"/>
          </w:tcPr>
          <w:p>
            <w:pPr>
              <w:widowControl/>
              <w:jc w:val="center"/>
              <w:rPr>
                <w:rFonts w:ascii="宋体" w:hAnsi="宋体" w:cs="宋体"/>
                <w:kern w:val="0"/>
                <w:sz w:val="18"/>
                <w:szCs w:val="18"/>
              </w:rPr>
            </w:pPr>
            <w:r>
              <w:rPr>
                <w:rFonts w:ascii="宋体" w:hAnsi="宋体" w:cs="宋体"/>
                <w:kern w:val="0"/>
                <w:sz w:val="18"/>
                <w:szCs w:val="18"/>
              </w:rPr>
              <w:t>VPN</w:t>
            </w:r>
          </w:p>
        </w:tc>
        <w:tc>
          <w:tcPr>
            <w:tcW w:w="841"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689"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台</w:t>
            </w:r>
          </w:p>
        </w:tc>
        <w:tc>
          <w:tcPr>
            <w:tcW w:w="7176" w:type="dxa"/>
            <w:noWrap w:val="0"/>
            <w:vAlign w:val="center"/>
          </w:tcPr>
          <w:p>
            <w:pPr>
              <w:widowControl/>
              <w:shd w:val="clear" w:color="auto" w:fill="auto"/>
              <w:jc w:val="center"/>
              <w:rPr>
                <w:rFonts w:hint="eastAsia" w:ascii="宋体" w:hAnsi="宋体" w:cs="宋体"/>
                <w:kern w:val="0"/>
                <w:sz w:val="18"/>
                <w:szCs w:val="18"/>
              </w:rPr>
            </w:pPr>
            <w:r>
              <w:rPr>
                <w:rFonts w:hint="eastAsia" w:ascii="宋体" w:hAnsi="宋体" w:cs="宋体"/>
                <w:kern w:val="0"/>
                <w:sz w:val="18"/>
                <w:szCs w:val="18"/>
              </w:rPr>
              <w:t>1U机架式设备，标配6个10/100/1000MBASE-T端口，1个扩展槽，4G内存；2个USB接口，1个串口。整机吞吐率：≥1.5Gbps;最大并发连接数180W，最大每秒新建连接数1.2W；SSL加密吞吐100M，IPSSL建议并发用户数300，IPSec加密吞吐150M；IPSec隧道数5000；最大无故障时间(MTBF)≥100000小时，支持用户组及用户分级管理，支持上下级认证策略、关联角色、认证方式的继承关系配置;支持CAS认证服务联动，通过简单配置即可实现基于身份票据的单点登录;支持基于用户组的并发用户数限制;支持IPSec手动隧道，手动输入密钥参数，无需协商，可以满足IPSec VPN跨越单向光闸传输加密要求;三年原厂新疆本地化维保服务。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8</w:t>
            </w:r>
          </w:p>
        </w:tc>
        <w:tc>
          <w:tcPr>
            <w:tcW w:w="2014"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漏洞扫描</w:t>
            </w:r>
          </w:p>
        </w:tc>
        <w:tc>
          <w:tcPr>
            <w:tcW w:w="841"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689"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台</w:t>
            </w:r>
          </w:p>
        </w:tc>
        <w:tc>
          <w:tcPr>
            <w:tcW w:w="7176" w:type="dxa"/>
            <w:noWrap w:val="0"/>
            <w:vAlign w:val="center"/>
          </w:tcPr>
          <w:p>
            <w:pPr>
              <w:widowControl/>
              <w:shd w:val="clear" w:color="auto" w:fill="auto"/>
              <w:jc w:val="center"/>
              <w:rPr>
                <w:rFonts w:hint="eastAsia" w:ascii="宋体" w:hAnsi="宋体" w:cs="宋体"/>
                <w:kern w:val="0"/>
                <w:sz w:val="18"/>
                <w:szCs w:val="18"/>
                <w:lang w:eastAsia="zh-CN"/>
              </w:rPr>
            </w:pPr>
            <w:r>
              <w:rPr>
                <w:rFonts w:hint="eastAsia" w:ascii="宋体" w:hAnsi="宋体" w:cs="宋体"/>
                <w:kern w:val="0"/>
                <w:sz w:val="18"/>
                <w:szCs w:val="18"/>
              </w:rPr>
              <w:t>硬件规格：1U上架设备，标配1个100/1000M管理口（可做扫描口）、5个100/1000M扫描电口、1个RJ45 Console口，2个USB接口，1个接口扩展插槽。可扫描一个C段IP地址，具体IP地址不限，并发扫描20IP。三年维保和漏洞库升级服务。</w:t>
            </w:r>
          </w:p>
          <w:p>
            <w:pPr>
              <w:widowControl/>
              <w:shd w:val="clear" w:color="auto" w:fill="auto"/>
              <w:jc w:val="center"/>
              <w:rPr>
                <w:rFonts w:hint="eastAsia" w:ascii="宋体" w:hAnsi="宋体" w:cs="宋体"/>
                <w:kern w:val="0"/>
                <w:sz w:val="18"/>
                <w:szCs w:val="18"/>
              </w:rPr>
            </w:pPr>
            <w:r>
              <w:rPr>
                <w:rFonts w:hint="eastAsia" w:ascii="宋体" w:hAnsi="宋体" w:cs="宋体"/>
                <w:kern w:val="0"/>
                <w:sz w:val="18"/>
                <w:szCs w:val="18"/>
              </w:rPr>
              <w:t>功能规格：支持能对扫描目标的安全脆弱性进行全面检查，检查内容包括缺少的安全补丁、暴露的危害信息、不安全的服务配置等；支持国际CVE标准；应支持对主流数据库包括：Sybase、SQLServer、Oracle、MySQL、DB2等的扫描检测功能。三年新疆原厂维保服务、漏洞库升级服务。原厂实施及售后技术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9</w:t>
            </w:r>
          </w:p>
        </w:tc>
        <w:tc>
          <w:tcPr>
            <w:tcW w:w="2014"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服务器</w:t>
            </w:r>
          </w:p>
        </w:tc>
        <w:tc>
          <w:tcPr>
            <w:tcW w:w="841"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689"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台</w:t>
            </w:r>
          </w:p>
        </w:tc>
        <w:tc>
          <w:tcPr>
            <w:tcW w:w="7176" w:type="dxa"/>
            <w:noWrap w:val="0"/>
            <w:vAlign w:val="center"/>
          </w:tcPr>
          <w:p>
            <w:pPr>
              <w:widowControl/>
              <w:shd w:val="clear" w:color="auto" w:fill="auto"/>
              <w:jc w:val="center"/>
              <w:rPr>
                <w:rFonts w:hint="eastAsia" w:ascii="宋体" w:hAnsi="宋体" w:cs="宋体"/>
                <w:kern w:val="0"/>
                <w:sz w:val="18"/>
                <w:szCs w:val="18"/>
              </w:rPr>
            </w:pPr>
            <w:r>
              <w:rPr>
                <w:rFonts w:hint="eastAsia" w:ascii="宋体" w:hAnsi="宋体" w:cs="宋体"/>
                <w:kern w:val="0"/>
                <w:sz w:val="18"/>
                <w:szCs w:val="18"/>
              </w:rPr>
              <w:t>机架式服务器主机 GPU深度学习 SR588/1*3204（ 6核心6线程）8G 内存丨1T SATA丨530-8i。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w:t>
            </w:r>
          </w:p>
        </w:tc>
        <w:tc>
          <w:tcPr>
            <w:tcW w:w="201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安装调试</w:t>
            </w:r>
          </w:p>
        </w:tc>
        <w:tc>
          <w:tcPr>
            <w:tcW w:w="841"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689"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套</w:t>
            </w:r>
          </w:p>
        </w:tc>
        <w:tc>
          <w:tcPr>
            <w:tcW w:w="7176" w:type="dxa"/>
            <w:noWrap w:val="0"/>
            <w:vAlign w:val="center"/>
          </w:tcPr>
          <w:p>
            <w:pPr>
              <w:widowControl/>
              <w:shd w:val="clear" w:color="auto" w:fill="auto"/>
              <w:jc w:val="center"/>
              <w:rPr>
                <w:rFonts w:hint="eastAsia" w:ascii="宋体" w:hAnsi="宋体" w:cs="宋体"/>
                <w:kern w:val="0"/>
                <w:sz w:val="18"/>
                <w:szCs w:val="18"/>
              </w:rPr>
            </w:pPr>
            <w:r>
              <w:rPr>
                <w:rFonts w:hint="eastAsia" w:ascii="宋体" w:hAnsi="宋体" w:cs="宋体"/>
                <w:kern w:val="0"/>
                <w:sz w:val="18"/>
                <w:szCs w:val="18"/>
              </w:rPr>
              <w:t>安装调试。</w:t>
            </w:r>
          </w:p>
        </w:tc>
      </w:tr>
    </w:tbl>
    <w:p>
      <w:pPr>
        <w:topLinePunct/>
        <w:spacing w:line="360" w:lineRule="auto"/>
        <w:jc w:val="both"/>
        <w:rPr>
          <w:rFonts w:hint="eastAsia" w:ascii="黑体" w:hAnsi="Courier New" w:eastAsia="黑体"/>
          <w:sz w:val="18"/>
          <w:szCs w:val="18"/>
        </w:rPr>
      </w:pPr>
      <w:bookmarkStart w:id="45" w:name="_Toc79588752"/>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1477"/>
        <w:gridCol w:w="670"/>
        <w:gridCol w:w="594"/>
        <w:gridCol w:w="5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6" w:type="dxa"/>
            <w:noWrap w:val="0"/>
            <w:vAlign w:val="center"/>
          </w:tcPr>
          <w:p>
            <w:pPr>
              <w:widowControl/>
              <w:jc w:val="center"/>
              <w:rPr>
                <w:rFonts w:hint="eastAsia" w:ascii="宋体" w:hAnsi="宋体" w:cs="宋体"/>
                <w:kern w:val="0"/>
                <w:sz w:val="18"/>
                <w:szCs w:val="18"/>
              </w:rPr>
            </w:pPr>
            <w:r>
              <w:rPr>
                <w:rFonts w:ascii="宋体" w:hAnsi="宋体" w:cs="宋体"/>
                <w:kern w:val="0"/>
                <w:sz w:val="18"/>
                <w:szCs w:val="18"/>
              </w:rPr>
              <w:t>1</w:t>
            </w:r>
          </w:p>
        </w:tc>
        <w:tc>
          <w:tcPr>
            <w:tcW w:w="1477"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系统总体集成</w:t>
            </w:r>
          </w:p>
        </w:tc>
        <w:tc>
          <w:tcPr>
            <w:tcW w:w="670" w:type="dxa"/>
            <w:noWrap w:val="0"/>
            <w:vAlign w:val="center"/>
          </w:tcPr>
          <w:p>
            <w:pPr>
              <w:widowControl/>
              <w:jc w:val="center"/>
              <w:rPr>
                <w:rFonts w:hint="eastAsia" w:ascii="宋体" w:hAnsi="宋体" w:cs="宋体"/>
                <w:kern w:val="0"/>
                <w:sz w:val="18"/>
                <w:szCs w:val="18"/>
              </w:rPr>
            </w:pPr>
            <w:r>
              <w:rPr>
                <w:rFonts w:ascii="宋体" w:hAnsi="宋体" w:cs="宋体"/>
                <w:kern w:val="0"/>
                <w:sz w:val="18"/>
                <w:szCs w:val="18"/>
              </w:rPr>
              <w:t>1</w:t>
            </w:r>
          </w:p>
        </w:tc>
        <w:tc>
          <w:tcPr>
            <w:tcW w:w="594"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项</w:t>
            </w:r>
          </w:p>
        </w:tc>
        <w:tc>
          <w:tcPr>
            <w:tcW w:w="5235" w:type="dxa"/>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提供总体集成服务，包括综合统筹设计，解决各类设备、子系统间的接口、协议、系统联调、施工配合等工作。</w:t>
            </w:r>
          </w:p>
        </w:tc>
      </w:tr>
      <w:bookmarkEnd w:id="45"/>
    </w:tbl>
    <w:p>
      <w:pPr>
        <w:shd w:val="clear" w:color="auto" w:fill="auto"/>
        <w:snapToGrid w:val="0"/>
        <w:spacing w:line="400" w:lineRule="exact"/>
        <w:ind w:firstLine="486"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注：1)设备应符合国家及行业相关技术标准或规范；单一设备各项技术指标达到或优于广播级以上。</w:t>
      </w:r>
    </w:p>
    <w:p>
      <w:pPr>
        <w:shd w:val="clear" w:color="auto" w:fill="auto"/>
        <w:snapToGrid w:val="0"/>
        <w:spacing w:line="400" w:lineRule="exact"/>
        <w:ind w:firstLine="486"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2)以下提供的设备清单不是此项目所需的全部，投标人根据现场及利旧设备情况组织必备设备及配套线材确保系统正常使用（以现场实际使用为主）</w:t>
      </w:r>
      <w:bookmarkEnd w:id="38"/>
      <w:bookmarkStart w:id="46" w:name="_Toc267320052"/>
      <w:bookmarkStart w:id="47" w:name="OLE_LINK4"/>
      <w:bookmarkStart w:id="48" w:name="_Toc340225294"/>
      <w:r>
        <w:rPr>
          <w:rFonts w:hint="eastAsia" w:ascii="仿宋" w:hAnsi="仿宋" w:eastAsia="仿宋" w:cs="仿宋"/>
          <w:color w:val="000000" w:themeColor="text1"/>
          <w:szCs w:val="21"/>
          <w:highlight w:val="none"/>
          <w:lang w:val="en-US" w:eastAsia="zh-CN"/>
          <w14:textFill>
            <w14:solidFill>
              <w14:schemeClr w14:val="tx1"/>
            </w14:solidFill>
          </w14:textFill>
        </w:rPr>
        <w:t>：</w:t>
      </w:r>
    </w:p>
    <w:p>
      <w:pPr>
        <w:shd w:val="clear" w:color="auto" w:fill="auto"/>
        <w:snapToGrid w:val="0"/>
        <w:spacing w:line="400" w:lineRule="exact"/>
        <w:ind w:firstLine="486"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3)要求投标企业提供以上投标产品针对本项目3年质保的售后服务承诺书。</w:t>
      </w:r>
    </w:p>
    <w:p>
      <w:pPr>
        <w:shd w:val="clear" w:color="auto" w:fill="auto"/>
        <w:snapToGrid w:val="0"/>
        <w:spacing w:line="400" w:lineRule="exact"/>
        <w:ind w:firstLine="486"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4）为更好满足招标设备与现使用设备的兼容性，招标参数与可研报告参数略有微调，具体以本次招标参数为准。</w:t>
      </w:r>
    </w:p>
    <w:p>
      <w:pPr>
        <w:spacing w:line="360" w:lineRule="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商务要求：</w:t>
      </w:r>
    </w:p>
    <w:p>
      <w:pPr>
        <w:spacing w:line="360" w:lineRule="auto"/>
        <w:ind w:firstLine="486" w:firstLineChars="200"/>
        <w:rPr>
          <w:rFonts w:hint="eastAsia" w:ascii="仿宋" w:hAnsi="仿宋" w:eastAsia="仿宋" w:cs="仿宋"/>
          <w:color w:val="auto"/>
          <w:sz w:val="24"/>
          <w:szCs w:val="24"/>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（一）实施（供货）期 ：</w:t>
      </w:r>
      <w:r>
        <w:rPr>
          <w:rFonts w:hint="eastAsia" w:ascii="仿宋" w:hAnsi="仿宋" w:eastAsia="仿宋" w:cs="仿宋"/>
          <w:color w:val="auto"/>
          <w:sz w:val="24"/>
          <w:szCs w:val="24"/>
          <w:lang w:val="en-US" w:eastAsia="zh-CN"/>
        </w:rPr>
        <w:t>合同签订后于90天内全部安装、调试、试运行完毕。</w:t>
      </w:r>
    </w:p>
    <w:p>
      <w:pPr>
        <w:spacing w:line="360" w:lineRule="auto"/>
        <w:ind w:firstLine="486"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（二）实施（交货）地点 ：甲方指定地点</w:t>
      </w:r>
    </w:p>
    <w:p>
      <w:pPr>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（三）报价要求</w:t>
      </w:r>
    </w:p>
    <w:p>
      <w:pPr>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本次报价为人民币报价，投标报价应包括：货物本身价格、保险费用、培训费、养护费、包装费、运输费用、二次搬运费、装卸费、损耗、税金费用、自检费、人工费、其他配件费及验收合格前和质保期内发生的一切费用、应当提供的伴随服务/售后服务费用。</w:t>
      </w:r>
    </w:p>
    <w:p>
      <w:pPr>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（四）质保要求</w:t>
      </w:r>
    </w:p>
    <w:p>
      <w:pPr>
        <w:spacing w:line="360" w:lineRule="auto"/>
        <w:ind w:firstLine="486" w:firstLineChars="200"/>
        <w:rPr>
          <w:rFonts w:hint="eastAsia" w:ascii="仿宋" w:hAnsi="仿宋" w:eastAsia="仿宋" w:cs="仿宋"/>
          <w:color w:val="0000FF"/>
          <w:sz w:val="24"/>
          <w:szCs w:val="24"/>
          <w:highlight w:val="none"/>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0000FF"/>
          <w:sz w:val="24"/>
          <w:szCs w:val="24"/>
          <w:highlight w:val="none"/>
          <w:lang w:val="en-US" w:eastAsia="zh-CN"/>
        </w:rPr>
        <w:t>整机设备质保期为3年</w:t>
      </w:r>
    </w:p>
    <w:p>
      <w:pPr>
        <w:spacing w:line="360" w:lineRule="auto"/>
        <w:ind w:firstLine="486"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2、质保期内乙方负责设备免费维修及抢修。</w:t>
      </w:r>
    </w:p>
    <w:p>
      <w:pPr>
        <w:spacing w:line="360" w:lineRule="auto"/>
        <w:ind w:firstLine="243" w:firstLineChars="1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（五）售后服务、理赔、质量技术及验收保证的承诺</w:t>
      </w:r>
    </w:p>
    <w:p>
      <w:pPr>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1、售后服务</w:t>
      </w:r>
    </w:p>
    <w:p>
      <w:pPr>
        <w:spacing w:line="360" w:lineRule="auto"/>
        <w:ind w:firstLine="486"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1.1质保期内，当采购人遇到使用及技术问题电话咨询不能解决的，须在12小时内到达现场进行处理。    </w:t>
      </w:r>
    </w:p>
    <w:p>
      <w:pPr>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auto"/>
          <w:sz w:val="24"/>
          <w:szCs w:val="24"/>
          <w:lang w:val="en-US" w:eastAsia="zh-CN"/>
        </w:rPr>
        <w:t>1.2质保期内，设备出现故障，须在2小时内响应，12小时内到达现场，一般故障8小时内修复，较大故障24小时内解决问题。每年提供不少于2次回访。</w:t>
      </w:r>
    </w:p>
    <w:p>
      <w:pPr>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2、交货时应提供以下技术或培训资料（如涉及）</w:t>
      </w:r>
    </w:p>
    <w:p>
      <w:pPr>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2.1原产地证明书(由制造厂签发)；</w:t>
      </w:r>
    </w:p>
    <w:p>
      <w:pPr>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2.2提供主机及配套设备的安装图纸及说明；</w:t>
      </w:r>
    </w:p>
    <w:p>
      <w:pPr>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2.3提供主机及配套设备使用说明书、维护手册；</w:t>
      </w:r>
    </w:p>
    <w:p>
      <w:pPr>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2.4备件手册、零件及易损件的图纸及相关资料；</w:t>
      </w:r>
    </w:p>
    <w:p>
      <w:pPr>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2.5其它相关技术资料。</w:t>
      </w:r>
    </w:p>
    <w:p>
      <w:pPr>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3、设备到场后，供应商需至少派1名工程师现场指导安装调试。</w:t>
      </w:r>
    </w:p>
    <w:p>
      <w:pPr>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4、投标人设有健全的售后服务机构网点，终端售后服务机构网点有明细以便监督（包括电话、地址、店名、联系人）(附有效的证明资料；如房屋租赁合同或产权证)。如发生以下情况，及时响应并解决故障。</w:t>
      </w:r>
    </w:p>
    <w:p>
      <w:pPr>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5、随仪器配备必备的原厂易损坏零配件，零配件必须满足正常使用3年的零配件损耗，保证设备正常运行。</w:t>
      </w:r>
    </w:p>
    <w:p>
      <w:pPr>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6、新购设备随仪器配备必要的维修工具，工具能满足实验室维护人员对设备的正常维护、维修。</w:t>
      </w:r>
    </w:p>
    <w:p>
      <w:pPr>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7、在质保期内，如果投标人的产品技术升级，投标人应及时通知采购人，如采购人有相应要求，投标人应对采购人购买的产品进行升级服务。</w:t>
      </w:r>
    </w:p>
    <w:p>
      <w:pPr>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8、质保期过后，投标人应同样提供免费电话咨询服务，并应承诺提供该产品上门维护服务。</w:t>
      </w:r>
    </w:p>
    <w:p>
      <w:pPr>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（六）验收</w:t>
      </w:r>
    </w:p>
    <w:p>
      <w:pPr>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1、供应商提供的产品为全新未使用且符合相关法律法规要求的合格产品；</w:t>
      </w:r>
    </w:p>
    <w:p>
      <w:pPr>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2、供应商提供的产品型号、规格等特性需与投标文件、合同规定内容完全一致，且满足采购方提出的采购需求。</w:t>
      </w:r>
    </w:p>
    <w:p>
      <w:pPr>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3、供应商提供的产品需经采购人验收小组验收，进行试验检测，按照技术要求逐项进行测试，测试结果应满足相关要求，试验通过并满足要求为验收合格。</w:t>
      </w:r>
    </w:p>
    <w:p>
      <w:pPr>
        <w:spacing w:line="360" w:lineRule="auto"/>
        <w:ind w:firstLine="486"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（七）付款方式</w:t>
      </w:r>
    </w:p>
    <w:tbl>
      <w:tblPr>
        <w:tblStyle w:val="1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12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center"/>
          </w:tcPr>
          <w:p>
            <w:pPr>
              <w:shd w:val="clear" w:color="auto" w:fill="auto"/>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支付次数</w:t>
            </w:r>
          </w:p>
        </w:tc>
        <w:tc>
          <w:tcPr>
            <w:tcW w:w="2127" w:type="dxa"/>
            <w:noWrap w:val="0"/>
            <w:vAlign w:val="center"/>
          </w:tcPr>
          <w:p>
            <w:pPr>
              <w:shd w:val="clear" w:color="auto" w:fill="auto"/>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支付时间</w:t>
            </w:r>
          </w:p>
        </w:tc>
        <w:tc>
          <w:tcPr>
            <w:tcW w:w="1559" w:type="dxa"/>
            <w:noWrap w:val="0"/>
            <w:vAlign w:val="top"/>
          </w:tcPr>
          <w:p>
            <w:pPr>
              <w:shd w:val="clear" w:color="auto" w:fill="auto"/>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支付比例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center"/>
          </w:tcPr>
          <w:p>
            <w:pPr>
              <w:shd w:val="clear" w:color="auto" w:fill="auto"/>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首付款</w:t>
            </w:r>
          </w:p>
        </w:tc>
        <w:tc>
          <w:tcPr>
            <w:tcW w:w="2127" w:type="dxa"/>
            <w:noWrap w:val="0"/>
            <w:vAlign w:val="center"/>
          </w:tcPr>
          <w:p>
            <w:pPr>
              <w:shd w:val="clear" w:color="auto" w:fill="auto"/>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本合同签订后30天内</w:t>
            </w:r>
          </w:p>
        </w:tc>
        <w:tc>
          <w:tcPr>
            <w:tcW w:w="1559" w:type="dxa"/>
            <w:noWrap w:val="0"/>
            <w:vAlign w:val="center"/>
          </w:tcPr>
          <w:p>
            <w:pPr>
              <w:shd w:val="clear" w:color="auto" w:fill="auto"/>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center"/>
          </w:tcPr>
          <w:p>
            <w:pPr>
              <w:shd w:val="clear" w:color="auto" w:fill="auto"/>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第二次付款</w:t>
            </w:r>
          </w:p>
        </w:tc>
        <w:tc>
          <w:tcPr>
            <w:tcW w:w="2127" w:type="dxa"/>
            <w:noWrap w:val="0"/>
            <w:vAlign w:val="center"/>
          </w:tcPr>
          <w:p>
            <w:pPr>
              <w:shd w:val="clear" w:color="auto" w:fill="auto"/>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工程量完成50%</w:t>
            </w:r>
          </w:p>
        </w:tc>
        <w:tc>
          <w:tcPr>
            <w:tcW w:w="1559" w:type="dxa"/>
            <w:noWrap w:val="0"/>
            <w:vAlign w:val="center"/>
          </w:tcPr>
          <w:p>
            <w:pPr>
              <w:shd w:val="clear" w:color="auto" w:fill="auto"/>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center"/>
          </w:tcPr>
          <w:p>
            <w:pPr>
              <w:shd w:val="clear" w:color="auto" w:fill="auto"/>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第三次付款</w:t>
            </w:r>
          </w:p>
        </w:tc>
        <w:tc>
          <w:tcPr>
            <w:tcW w:w="2127" w:type="dxa"/>
            <w:noWrap w:val="0"/>
            <w:vAlign w:val="center"/>
          </w:tcPr>
          <w:p>
            <w:pPr>
              <w:shd w:val="clear" w:color="auto" w:fill="auto"/>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验收后30天内</w:t>
            </w:r>
          </w:p>
        </w:tc>
        <w:tc>
          <w:tcPr>
            <w:tcW w:w="1559" w:type="dxa"/>
            <w:noWrap w:val="0"/>
            <w:vAlign w:val="center"/>
          </w:tcPr>
          <w:p>
            <w:pPr>
              <w:shd w:val="clear" w:color="auto" w:fill="auto"/>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center"/>
          </w:tcPr>
          <w:p>
            <w:pPr>
              <w:shd w:val="clear" w:color="auto" w:fill="auto"/>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最后付款</w:t>
            </w:r>
          </w:p>
        </w:tc>
        <w:tc>
          <w:tcPr>
            <w:tcW w:w="2127" w:type="dxa"/>
            <w:noWrap w:val="0"/>
            <w:vAlign w:val="center"/>
          </w:tcPr>
          <w:p>
            <w:pPr>
              <w:shd w:val="clear" w:color="auto" w:fill="auto"/>
              <w:spacing w:line="360"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相关服务期届满一年后。</w:t>
            </w:r>
          </w:p>
        </w:tc>
        <w:tc>
          <w:tcPr>
            <w:tcW w:w="1559" w:type="dxa"/>
            <w:noWrap w:val="0"/>
            <w:vAlign w:val="center"/>
          </w:tcPr>
          <w:p>
            <w:pPr>
              <w:shd w:val="clear" w:color="auto" w:fill="auto"/>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p>
        </w:tc>
      </w:tr>
    </w:tbl>
    <w:p>
      <w:pPr>
        <w:spacing w:line="360" w:lineRule="auto"/>
        <w:ind w:firstLine="972" w:firstLineChars="400"/>
        <w:rPr>
          <w:rFonts w:hint="default" w:ascii="仿宋" w:hAnsi="仿宋" w:eastAsia="仿宋" w:cs="仿宋"/>
          <w:color w:val="auto"/>
          <w:sz w:val="24"/>
          <w:szCs w:val="24"/>
          <w:lang w:val="en-US" w:eastAsia="zh-CN"/>
        </w:rPr>
      </w:pPr>
    </w:p>
    <w:p>
      <w:pPr>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（八）知识产权</w:t>
      </w:r>
    </w:p>
    <w:p>
      <w:pPr>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采购人在中华人民共和国境内使用投标人提供的货物及服务时免受第三方提出的侵犯其专利权或其它知识产权的起诉。如果第三方提出侵权指控，中标人应承担由此而引起的一切法律责任和费用。</w:t>
      </w:r>
    </w:p>
    <w:bookmarkEnd w:id="46"/>
    <w:bookmarkEnd w:id="47"/>
    <w:bookmarkEnd w:id="48"/>
    <w:p>
      <w:pPr>
        <w:shd w:val="clear" w:color="auto" w:fill="auto"/>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bookmarkStart w:id="49" w:name="_Toc7598"/>
      <w:bookmarkStart w:id="50" w:name="_Toc20832"/>
      <w:bookmarkStart w:id="51" w:name="_Toc12239"/>
      <w:bookmarkStart w:id="52" w:name="_Toc12840_WPSOffice_Level1"/>
      <w:bookmarkStart w:id="53" w:name="_Toc439255252"/>
      <w:bookmarkStart w:id="54" w:name="_Toc267320054"/>
      <w:bookmarkStart w:id="55" w:name="_Toc469495740"/>
      <w:r>
        <w:rPr>
          <w:rFonts w:hint="eastAsia" w:ascii="仿宋" w:hAnsi="仿宋" w:eastAsia="仿宋" w:cs="仿宋"/>
          <w:color w:val="000000" w:themeColor="text1"/>
          <w:sz w:val="24"/>
          <w:szCs w:val="24"/>
          <w:lang w:val="en-US" w:eastAsia="zh-CN"/>
          <w14:textFill>
            <w14:solidFill>
              <w14:schemeClr w14:val="tx1"/>
            </w14:solidFill>
          </w14:textFill>
        </w:rPr>
        <w:t>（九）、 其他</w:t>
      </w:r>
      <w:bookmarkEnd w:id="49"/>
      <w:bookmarkEnd w:id="50"/>
      <w:bookmarkEnd w:id="51"/>
    </w:p>
    <w:bookmarkEnd w:id="52"/>
    <w:bookmarkEnd w:id="53"/>
    <w:bookmarkEnd w:id="54"/>
    <w:p>
      <w:pPr>
        <w:spacing w:line="360" w:lineRule="auto"/>
        <w:ind w:firstLine="486"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投标人必须在投标文件中对以上条款和服务承诺明确列出，承诺内容必须达到本篇及招标文件其他条款的要求。</w:t>
      </w:r>
    </w:p>
    <w:p>
      <w:pPr>
        <w:spacing w:line="360" w:lineRule="auto"/>
        <w:ind w:firstLine="486"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eastAsia="zh-CN"/>
          <w14:textFill>
            <w14:solidFill>
              <w14:schemeClr w14:val="tx1"/>
            </w14:solidFill>
          </w14:textFill>
        </w:rPr>
        <w:t>中标人与采购人签订《协议》后，须与用户方签订《货物采购供应合同》（包括供货范围、需求数量、单价等），明确具体供货数量、供货时间、送达地点等内容。</w:t>
      </w:r>
    </w:p>
    <w:p>
      <w:pPr>
        <w:spacing w:line="360" w:lineRule="auto"/>
        <w:ind w:firstLine="486"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其他未尽事宜由供需双方在采购合同中详细约定。</w:t>
      </w:r>
    </w:p>
    <w:p>
      <w:pPr>
        <w:spacing w:line="360" w:lineRule="auto"/>
        <w:ind w:firstLine="486"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4、 </w:t>
      </w:r>
      <w:r>
        <w:rPr>
          <w:rFonts w:hint="eastAsia" w:ascii="仿宋" w:hAnsi="仿宋" w:eastAsia="仿宋" w:cs="仿宋"/>
          <w:color w:val="000000" w:themeColor="text1"/>
          <w:sz w:val="24"/>
          <w:szCs w:val="24"/>
          <w:lang w:eastAsia="zh-CN"/>
          <w14:textFill>
            <w14:solidFill>
              <w14:schemeClr w14:val="tx1"/>
            </w14:solidFill>
          </w14:textFill>
        </w:rPr>
        <w:t>若供应商不能按招标文件规定的交货期正常交货，采购方有权终止采购合同，并将相关情况上报给采购计划主管部门，取消其中标资格。</w:t>
      </w:r>
    </w:p>
    <w:p>
      <w:pPr>
        <w:spacing w:line="360" w:lineRule="auto"/>
        <w:ind w:firstLine="486" w:firstLineChars="200"/>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其他未尽事宜由供需双方在采购合同中详细约定。</w:t>
      </w:r>
    </w:p>
    <w:p>
      <w:pPr>
        <w:pStyle w:val="25"/>
        <w:ind w:left="0" w:leftChars="0" w:firstLine="0" w:firstLineChars="0"/>
        <w:rPr>
          <w:rFonts w:hint="eastAsia" w:ascii="仿宋" w:hAnsi="仿宋" w:eastAsia="仿宋" w:cs="仿宋"/>
          <w:color w:val="000000" w:themeColor="text1"/>
          <w14:textFill>
            <w14:solidFill>
              <w14:schemeClr w14:val="tx1"/>
            </w14:solidFill>
          </w14:textFill>
        </w:rPr>
      </w:pPr>
    </w:p>
    <w:p>
      <w:pPr>
        <w:pStyle w:val="25"/>
        <w:ind w:left="0" w:leftChars="0" w:firstLine="0" w:firstLineChars="0"/>
        <w:rPr>
          <w:rFonts w:hint="eastAsia" w:ascii="仿宋" w:hAnsi="仿宋" w:eastAsia="仿宋" w:cs="仿宋"/>
          <w:color w:val="000000" w:themeColor="text1"/>
          <w14:textFill>
            <w14:solidFill>
              <w14:schemeClr w14:val="tx1"/>
            </w14:solidFill>
          </w14:textFill>
        </w:rPr>
      </w:pPr>
    </w:p>
    <w:p>
      <w:pPr>
        <w:pStyle w:val="25"/>
        <w:ind w:left="0" w:leftChars="0" w:firstLine="0" w:firstLineChars="0"/>
        <w:rPr>
          <w:rFonts w:hint="eastAsia" w:ascii="仿宋" w:hAnsi="仿宋" w:eastAsia="仿宋" w:cs="仿宋"/>
          <w:color w:val="000000" w:themeColor="text1"/>
          <w14:textFill>
            <w14:solidFill>
              <w14:schemeClr w14:val="tx1"/>
            </w14:solidFill>
          </w14:textFill>
        </w:rPr>
      </w:pPr>
    </w:p>
    <w:p>
      <w:pPr>
        <w:pStyle w:val="25"/>
        <w:rPr>
          <w:rFonts w:hint="eastAsia" w:ascii="仿宋" w:hAnsi="仿宋" w:eastAsia="仿宋" w:cs="仿宋"/>
          <w:color w:val="000000" w:themeColor="text1"/>
          <w14:textFill>
            <w14:solidFill>
              <w14:schemeClr w14:val="tx1"/>
            </w14:solidFill>
          </w14:textFill>
        </w:rPr>
      </w:pPr>
    </w:p>
    <w:p>
      <w:pPr>
        <w:pStyle w:val="25"/>
        <w:rPr>
          <w:rFonts w:hint="eastAsia" w:ascii="仿宋" w:hAnsi="仿宋" w:eastAsia="仿宋" w:cs="仿宋"/>
          <w:color w:val="000000" w:themeColor="text1"/>
          <w14:textFill>
            <w14:solidFill>
              <w14:schemeClr w14:val="tx1"/>
            </w14:solidFill>
          </w14:textFill>
        </w:rPr>
      </w:pPr>
    </w:p>
    <w:p>
      <w:pPr>
        <w:pStyle w:val="25"/>
        <w:rPr>
          <w:rFonts w:hint="eastAsia" w:ascii="仿宋" w:hAnsi="仿宋" w:eastAsia="仿宋" w:cs="仿宋"/>
          <w:color w:val="000000" w:themeColor="text1"/>
          <w14:textFill>
            <w14:solidFill>
              <w14:schemeClr w14:val="tx1"/>
            </w14:solidFill>
          </w14:textFill>
        </w:rPr>
      </w:pPr>
    </w:p>
    <w:p>
      <w:pPr>
        <w:pStyle w:val="25"/>
        <w:rPr>
          <w:rFonts w:hint="eastAsia" w:ascii="仿宋" w:hAnsi="仿宋" w:eastAsia="仿宋" w:cs="仿宋"/>
          <w:color w:val="000000" w:themeColor="text1"/>
          <w14:textFill>
            <w14:solidFill>
              <w14:schemeClr w14:val="tx1"/>
            </w14:solidFill>
          </w14:textFill>
        </w:rPr>
      </w:pPr>
    </w:p>
    <w:p>
      <w:pPr>
        <w:pStyle w:val="25"/>
        <w:rPr>
          <w:rFonts w:hint="eastAsia" w:ascii="仿宋" w:hAnsi="仿宋" w:eastAsia="仿宋" w:cs="仿宋"/>
          <w:color w:val="000000" w:themeColor="text1"/>
          <w14:textFill>
            <w14:solidFill>
              <w14:schemeClr w14:val="tx1"/>
            </w14:solidFill>
          </w14:textFill>
        </w:rPr>
      </w:pPr>
    </w:p>
    <w:p>
      <w:pPr>
        <w:pStyle w:val="25"/>
        <w:rPr>
          <w:rFonts w:hint="eastAsia" w:ascii="仿宋" w:hAnsi="仿宋" w:eastAsia="仿宋" w:cs="仿宋"/>
          <w:color w:val="000000" w:themeColor="text1"/>
          <w14:textFill>
            <w14:solidFill>
              <w14:schemeClr w14:val="tx1"/>
            </w14:solidFill>
          </w14:textFill>
        </w:rPr>
      </w:pPr>
    </w:p>
    <w:p>
      <w:pPr>
        <w:pStyle w:val="25"/>
        <w:ind w:left="0" w:leftChars="0" w:firstLine="0" w:firstLineChars="0"/>
        <w:rPr>
          <w:rFonts w:hint="eastAsia" w:ascii="仿宋" w:hAnsi="仿宋" w:eastAsia="仿宋" w:cs="仿宋"/>
          <w:color w:val="000000" w:themeColor="text1"/>
          <w14:textFill>
            <w14:solidFill>
              <w14:schemeClr w14:val="tx1"/>
            </w14:solidFill>
          </w14:textFill>
        </w:rPr>
      </w:pPr>
    </w:p>
    <w:p>
      <w:pPr>
        <w:pStyle w:val="25"/>
        <w:ind w:left="0" w:leftChars="0" w:firstLine="0" w:firstLineChars="0"/>
        <w:rPr>
          <w:rFonts w:hint="eastAsia" w:ascii="仿宋" w:hAnsi="仿宋" w:eastAsia="仿宋" w:cs="仿宋"/>
          <w:color w:val="000000" w:themeColor="text1"/>
          <w14:textFill>
            <w14:solidFill>
              <w14:schemeClr w14:val="tx1"/>
            </w14:solidFill>
          </w14:textFill>
        </w:rPr>
      </w:pPr>
    </w:p>
    <w:p>
      <w:pPr>
        <w:pStyle w:val="25"/>
        <w:ind w:left="0" w:leftChars="0" w:firstLine="0" w:firstLineChars="0"/>
        <w:rPr>
          <w:rFonts w:hint="eastAsia" w:ascii="仿宋" w:hAnsi="仿宋" w:eastAsia="仿宋" w:cs="仿宋"/>
          <w:color w:val="000000" w:themeColor="text1"/>
          <w14:textFill>
            <w14:solidFill>
              <w14:schemeClr w14:val="tx1"/>
            </w14:solidFill>
          </w14:textFill>
        </w:rPr>
      </w:pPr>
    </w:p>
    <w:p>
      <w:pPr>
        <w:pStyle w:val="25"/>
        <w:ind w:left="0" w:leftChars="0" w:firstLine="0" w:firstLineChars="0"/>
        <w:rPr>
          <w:rFonts w:hint="eastAsia" w:ascii="仿宋" w:hAnsi="仿宋" w:eastAsia="仿宋" w:cs="仿宋"/>
          <w:color w:val="000000" w:themeColor="text1"/>
          <w14:textFill>
            <w14:solidFill>
              <w14:schemeClr w14:val="tx1"/>
            </w14:solidFill>
          </w14:textFill>
        </w:rPr>
      </w:pPr>
    </w:p>
    <w:p>
      <w:pPr>
        <w:pStyle w:val="25"/>
        <w:ind w:left="0" w:leftChars="0" w:firstLine="0" w:firstLineChars="0"/>
        <w:rPr>
          <w:rFonts w:hint="eastAsia" w:ascii="仿宋" w:hAnsi="仿宋" w:eastAsia="仿宋" w:cs="仿宋"/>
          <w:color w:val="000000" w:themeColor="text1"/>
          <w14:textFill>
            <w14:solidFill>
              <w14:schemeClr w14:val="tx1"/>
            </w14:solidFill>
          </w14:textFill>
        </w:rPr>
      </w:pPr>
    </w:p>
    <w:p>
      <w:pPr>
        <w:pStyle w:val="25"/>
        <w:ind w:left="0" w:leftChars="0" w:firstLine="0" w:firstLineChars="0"/>
        <w:rPr>
          <w:rFonts w:hint="eastAsia" w:ascii="仿宋" w:hAnsi="仿宋" w:eastAsia="仿宋" w:cs="仿宋"/>
          <w:color w:val="000000" w:themeColor="text1"/>
          <w14:textFill>
            <w14:solidFill>
              <w14:schemeClr w14:val="tx1"/>
            </w14:solidFill>
          </w14:textFill>
        </w:rPr>
      </w:pPr>
    </w:p>
    <w:p>
      <w:pPr>
        <w:pStyle w:val="25"/>
        <w:ind w:left="0" w:leftChars="0" w:firstLine="0" w:firstLineChars="0"/>
        <w:rPr>
          <w:rFonts w:hint="eastAsia" w:ascii="仿宋" w:hAnsi="仿宋" w:eastAsia="仿宋" w:cs="仿宋"/>
          <w:color w:val="000000" w:themeColor="text1"/>
          <w14:textFill>
            <w14:solidFill>
              <w14:schemeClr w14:val="tx1"/>
            </w14:solidFill>
          </w14:textFill>
        </w:rPr>
      </w:pPr>
    </w:p>
    <w:p>
      <w:pPr>
        <w:pStyle w:val="25"/>
        <w:ind w:left="0" w:leftChars="0" w:firstLine="0" w:firstLineChars="0"/>
        <w:rPr>
          <w:rFonts w:hint="eastAsia" w:ascii="仿宋" w:hAnsi="仿宋" w:eastAsia="仿宋" w:cs="仿宋"/>
          <w:color w:val="000000" w:themeColor="text1"/>
          <w14:textFill>
            <w14:solidFill>
              <w14:schemeClr w14:val="tx1"/>
            </w14:solidFill>
          </w14:textFill>
        </w:rPr>
      </w:pPr>
    </w:p>
    <w:p>
      <w:pPr>
        <w:pStyle w:val="25"/>
        <w:ind w:left="0" w:leftChars="0" w:firstLine="0" w:firstLineChars="0"/>
        <w:rPr>
          <w:rFonts w:hint="eastAsia" w:ascii="仿宋" w:hAnsi="仿宋" w:eastAsia="仿宋" w:cs="仿宋"/>
          <w:color w:val="000000" w:themeColor="text1"/>
          <w14:textFill>
            <w14:solidFill>
              <w14:schemeClr w14:val="tx1"/>
            </w14:solidFill>
          </w14:textFill>
        </w:rPr>
      </w:pPr>
    </w:p>
    <w:p>
      <w:pPr>
        <w:pStyle w:val="25"/>
        <w:ind w:left="0" w:leftChars="0" w:firstLine="0" w:firstLineChars="0"/>
        <w:rPr>
          <w:rFonts w:hint="eastAsia" w:ascii="仿宋" w:hAnsi="仿宋" w:eastAsia="仿宋" w:cs="仿宋"/>
          <w:color w:val="000000" w:themeColor="text1"/>
          <w14:textFill>
            <w14:solidFill>
              <w14:schemeClr w14:val="tx1"/>
            </w14:solidFill>
          </w14:textFill>
        </w:rPr>
      </w:pPr>
    </w:p>
    <w:p>
      <w:pPr>
        <w:pStyle w:val="25"/>
        <w:ind w:left="0" w:leftChars="0" w:firstLine="0" w:firstLineChars="0"/>
        <w:rPr>
          <w:rFonts w:hint="eastAsia" w:ascii="仿宋" w:hAnsi="仿宋" w:eastAsia="仿宋" w:cs="仿宋"/>
          <w:color w:val="000000" w:themeColor="text1"/>
          <w14:textFill>
            <w14:solidFill>
              <w14:schemeClr w14:val="tx1"/>
            </w14:solidFill>
          </w14:textFill>
        </w:rPr>
      </w:pPr>
    </w:p>
    <w:p>
      <w:pPr>
        <w:pStyle w:val="25"/>
        <w:ind w:left="0" w:leftChars="0" w:firstLine="0" w:firstLineChars="0"/>
        <w:rPr>
          <w:rFonts w:hint="eastAsia" w:ascii="仿宋" w:hAnsi="仿宋" w:eastAsia="仿宋" w:cs="仿宋"/>
          <w:color w:val="000000" w:themeColor="text1"/>
          <w14:textFill>
            <w14:solidFill>
              <w14:schemeClr w14:val="tx1"/>
            </w14:solidFill>
          </w14:textFill>
        </w:rPr>
      </w:pPr>
    </w:p>
    <w:p>
      <w:pPr>
        <w:pStyle w:val="25"/>
        <w:ind w:left="0" w:leftChars="0" w:firstLine="0" w:firstLineChars="0"/>
        <w:rPr>
          <w:rFonts w:hint="eastAsia" w:ascii="仿宋" w:hAnsi="仿宋" w:eastAsia="仿宋" w:cs="仿宋"/>
          <w:color w:val="000000" w:themeColor="text1"/>
          <w14:textFill>
            <w14:solidFill>
              <w14:schemeClr w14:val="tx1"/>
            </w14:solidFill>
          </w14:textFill>
        </w:rPr>
      </w:pPr>
    </w:p>
    <w:p>
      <w:pPr>
        <w:pStyle w:val="25"/>
        <w:ind w:left="0" w:leftChars="0" w:firstLine="0" w:firstLineChars="0"/>
        <w:rPr>
          <w:rFonts w:hint="eastAsia" w:ascii="仿宋" w:hAnsi="仿宋" w:eastAsia="仿宋" w:cs="仿宋"/>
          <w:color w:val="000000" w:themeColor="text1"/>
          <w14:textFill>
            <w14:solidFill>
              <w14:schemeClr w14:val="tx1"/>
            </w14:solidFill>
          </w14:textFill>
        </w:rPr>
      </w:pPr>
    </w:p>
    <w:p>
      <w:pPr>
        <w:pStyle w:val="25"/>
        <w:ind w:left="0" w:leftChars="0" w:firstLine="0" w:firstLineChars="0"/>
        <w:rPr>
          <w:rFonts w:hint="eastAsia" w:ascii="仿宋" w:hAnsi="仿宋" w:eastAsia="仿宋" w:cs="仿宋"/>
          <w:color w:val="000000" w:themeColor="text1"/>
          <w14:textFill>
            <w14:solidFill>
              <w14:schemeClr w14:val="tx1"/>
            </w14:solidFill>
          </w14:textFill>
        </w:rPr>
      </w:pPr>
    </w:p>
    <w:p>
      <w:pPr>
        <w:pStyle w:val="25"/>
        <w:ind w:left="0" w:leftChars="0" w:firstLine="0" w:firstLineChars="0"/>
        <w:rPr>
          <w:rFonts w:hint="eastAsia" w:ascii="仿宋" w:hAnsi="仿宋" w:eastAsia="仿宋" w:cs="仿宋"/>
          <w:color w:val="000000" w:themeColor="text1"/>
          <w14:textFill>
            <w14:solidFill>
              <w14:schemeClr w14:val="tx1"/>
            </w14:solidFill>
          </w14:textFill>
        </w:rPr>
      </w:pPr>
    </w:p>
    <w:p>
      <w:pPr>
        <w:pStyle w:val="25"/>
        <w:ind w:left="0" w:leftChars="0" w:firstLine="0" w:firstLineChars="0"/>
        <w:rPr>
          <w:rFonts w:hint="eastAsia" w:ascii="仿宋" w:hAnsi="仿宋" w:eastAsia="仿宋" w:cs="仿宋"/>
          <w:color w:val="000000" w:themeColor="text1"/>
          <w14:textFill>
            <w14:solidFill>
              <w14:schemeClr w14:val="tx1"/>
            </w14:solidFill>
          </w14:textFill>
        </w:rPr>
      </w:pPr>
    </w:p>
    <w:bookmarkEnd w:id="55"/>
    <w:p>
      <w:pPr>
        <w:keepNext w:val="0"/>
        <w:keepLines w:val="0"/>
        <w:pageBreakBefore w:val="0"/>
        <w:widowControl w:val="0"/>
        <w:numPr>
          <w:ilvl w:val="0"/>
          <w:numId w:val="7"/>
        </w:numPr>
        <w:kinsoku/>
        <w:wordWrap/>
        <w:overflowPunct/>
        <w:topLinePunct w:val="0"/>
        <w:autoSpaceDE/>
        <w:autoSpaceDN/>
        <w:bidi w:val="0"/>
        <w:adjustRightInd/>
        <w:snapToGrid/>
        <w:spacing w:line="480" w:lineRule="exact"/>
        <w:jc w:val="center"/>
        <w:textAlignment w:val="auto"/>
        <w:outlineLvl w:val="1"/>
        <w:rPr>
          <w:rFonts w:hint="eastAsia" w:ascii="宋体"/>
          <w:b/>
          <w:color w:val="auto"/>
          <w:sz w:val="30"/>
          <w:szCs w:val="30"/>
          <w:highlight w:val="none"/>
        </w:rPr>
      </w:pPr>
      <w:r>
        <w:rPr>
          <w:rFonts w:hint="eastAsia" w:ascii="仿宋" w:hAnsi="仿宋" w:eastAsia="仿宋" w:cs="仿宋"/>
          <w:color w:val="000000" w:themeColor="text1"/>
          <w14:textFill>
            <w14:solidFill>
              <w14:schemeClr w14:val="tx1"/>
            </w14:solidFill>
          </w14:textFill>
        </w:rPr>
        <w:t xml:space="preserve"> </w:t>
      </w:r>
      <w:r>
        <w:rPr>
          <w:rFonts w:hint="eastAsia" w:ascii="宋体"/>
          <w:b/>
          <w:color w:val="auto"/>
          <w:sz w:val="30"/>
          <w:szCs w:val="30"/>
          <w:highlight w:val="none"/>
        </w:rPr>
        <w:t xml:space="preserve"> 合同条款及格式</w:t>
      </w:r>
      <w:bookmarkStart w:id="56" w:name="_Toc20669"/>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（本合同为合同样稿，最终稿由供需双方协商后确定）</w:t>
      </w:r>
      <w:bookmarkEnd w:id="56"/>
    </w:p>
    <w:p>
      <w:pPr>
        <w:widowControl/>
        <w:numPr>
          <w:ilvl w:val="0"/>
          <w:numId w:val="8"/>
        </w:numPr>
        <w:shd w:val="clear" w:color="auto" w:fill="auto"/>
        <w:spacing w:line="600" w:lineRule="exact"/>
        <w:jc w:val="center"/>
        <w:textAlignment w:val="baseline"/>
        <w:outlineLvl w:val="1"/>
        <w:rPr>
          <w:rFonts w:hint="eastAsia" w:ascii="宋体"/>
          <w:color w:val="auto"/>
          <w:sz w:val="24"/>
          <w:highlight w:val="none"/>
        </w:rPr>
      </w:pPr>
      <w:r>
        <w:rPr>
          <w:rFonts w:hint="eastAsia" w:ascii="宋体"/>
          <w:b/>
          <w:color w:val="auto"/>
          <w:sz w:val="30"/>
          <w:szCs w:val="30"/>
          <w:highlight w:val="none"/>
        </w:rPr>
        <w:t xml:space="preserve"> </w:t>
      </w:r>
      <w:bookmarkStart w:id="57" w:name="_Toc469495741"/>
      <w:r>
        <w:rPr>
          <w:rFonts w:hint="eastAsia" w:ascii="宋体"/>
          <w:b/>
          <w:color w:val="auto"/>
          <w:sz w:val="30"/>
          <w:szCs w:val="30"/>
          <w:highlight w:val="none"/>
        </w:rPr>
        <w:t>合同协议书</w:t>
      </w:r>
      <w:bookmarkEnd w:id="57"/>
      <w:r>
        <w:rPr>
          <w:rFonts w:hint="eastAsia" w:ascii="宋体" w:eastAsia="宋体"/>
          <w:b/>
          <w:color w:val="auto"/>
          <w:sz w:val="30"/>
          <w:szCs w:val="30"/>
          <w:highlight w:val="none"/>
          <w:lang w:val="en-US" w:eastAsia="zh-CN"/>
        </w:rPr>
        <w:t xml:space="preserve">      </w:t>
      </w:r>
      <w:r>
        <w:rPr>
          <w:rFonts w:hint="eastAsia" w:ascii="宋体"/>
          <w:b/>
          <w:color w:val="auto"/>
          <w:sz w:val="32"/>
          <w:szCs w:val="32"/>
          <w:highlight w:val="none"/>
        </w:rPr>
        <w:t>合同名称</w:t>
      </w:r>
      <w:r>
        <w:rPr>
          <w:rFonts w:hint="eastAsia" w:ascii="宋体"/>
          <w:b/>
          <w:color w:val="auto"/>
          <w:sz w:val="24"/>
          <w:highlight w:val="none"/>
        </w:rPr>
        <w:t xml:space="preserve">  </w:t>
      </w:r>
    </w:p>
    <w:p>
      <w:pPr>
        <w:widowControl/>
        <w:numPr>
          <w:ilvl w:val="0"/>
          <w:numId w:val="0"/>
        </w:numPr>
        <w:shd w:val="clear" w:color="auto" w:fill="auto"/>
        <w:spacing w:line="600" w:lineRule="exact"/>
        <w:ind w:leftChars="0" w:right="0" w:rightChars="0"/>
        <w:jc w:val="both"/>
        <w:textAlignment w:val="baseline"/>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编号</w:t>
      </w:r>
    </w:p>
    <w:p>
      <w:pPr>
        <w:shd w:val="clear" w:color="auto" w:fill="auto"/>
        <w:spacing w:line="420" w:lineRule="exact"/>
        <w:ind w:firstLine="486" w:firstLineChars="200"/>
        <w:rPr>
          <w:rFonts w:hint="eastAsia" w:ascii="仿宋" w:hAnsi="仿宋" w:eastAsia="仿宋" w:cs="仿宋"/>
          <w:color w:val="auto"/>
          <w:sz w:val="24"/>
          <w:szCs w:val="24"/>
          <w:highlight w:val="none"/>
        </w:rPr>
      </w:pPr>
      <w:bookmarkStart w:id="58" w:name="_Toc144974578"/>
      <w:bookmarkStart w:id="59" w:name="_Toc179632628"/>
      <w:bookmarkStart w:id="60" w:name="_Toc469495742"/>
      <w:bookmarkStart w:id="61" w:name="_Toc152045610"/>
      <w:bookmarkStart w:id="62" w:name="_Toc247085768"/>
      <w:bookmarkStart w:id="63" w:name="_Toc296602498"/>
      <w:bookmarkStart w:id="64" w:name="_Toc246996253"/>
      <w:bookmarkStart w:id="65" w:name="_Toc152042388"/>
      <w:bookmarkStart w:id="66" w:name="_Toc246996996"/>
      <w:r>
        <w:rPr>
          <w:rFonts w:hint="eastAsia" w:ascii="仿宋" w:hAnsi="仿宋" w:eastAsia="仿宋" w:cs="仿宋"/>
          <w:color w:val="auto"/>
          <w:sz w:val="24"/>
          <w:szCs w:val="24"/>
          <w:highlight w:val="none"/>
        </w:rPr>
        <w:t>买    方：                                   卖    方：</w:t>
      </w:r>
    </w:p>
    <w:p>
      <w:pPr>
        <w:shd w:val="clear" w:color="auto" w:fill="auto"/>
        <w:spacing w:line="42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                                   电    话：</w:t>
      </w:r>
    </w:p>
    <w:p>
      <w:pPr>
        <w:shd w:val="clear" w:color="auto" w:fill="auto"/>
        <w:spacing w:line="42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住    所：                                   住    所：                       </w:t>
      </w:r>
    </w:p>
    <w:p>
      <w:pPr>
        <w:shd w:val="clear" w:color="auto" w:fill="auto"/>
        <w:spacing w:line="42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（买方）</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中所需</w:t>
      </w:r>
      <w:r>
        <w:rPr>
          <w:rFonts w:hint="eastAsia" w:ascii="仿宋" w:hAnsi="仿宋" w:eastAsia="仿宋" w:cs="仿宋"/>
          <w:color w:val="auto"/>
          <w:sz w:val="24"/>
          <w:szCs w:val="24"/>
          <w:highlight w:val="none"/>
          <w:u w:val="single"/>
        </w:rPr>
        <w:t>（产品名称）</w:t>
      </w:r>
      <w:r>
        <w:rPr>
          <w:rFonts w:hint="eastAsia" w:ascii="仿宋" w:hAnsi="仿宋" w:eastAsia="仿宋" w:cs="仿宋"/>
          <w:color w:val="auto"/>
          <w:sz w:val="24"/>
          <w:szCs w:val="24"/>
          <w:highlight w:val="none"/>
        </w:rPr>
        <w:t xml:space="preserve"> 经公开招标，确定</w:t>
      </w:r>
      <w:r>
        <w:rPr>
          <w:rFonts w:hint="eastAsia" w:ascii="仿宋" w:hAnsi="仿宋" w:eastAsia="仿宋" w:cs="仿宋"/>
          <w:color w:val="auto"/>
          <w:sz w:val="24"/>
          <w:szCs w:val="24"/>
          <w:highlight w:val="none"/>
          <w:u w:val="single"/>
        </w:rPr>
        <w:t>（卖方）</w:t>
      </w:r>
      <w:r>
        <w:rPr>
          <w:rFonts w:hint="eastAsia" w:ascii="仿宋" w:hAnsi="仿宋" w:eastAsia="仿宋" w:cs="仿宋"/>
          <w:color w:val="auto"/>
          <w:sz w:val="24"/>
          <w:szCs w:val="24"/>
          <w:highlight w:val="none"/>
        </w:rPr>
        <w:t>为中标人。按照中华人民共和国合同法的规定，买卖双方同意按照下述的条款和条件，签署本合同。</w:t>
      </w:r>
    </w:p>
    <w:p>
      <w:pPr>
        <w:shd w:val="clear" w:color="auto" w:fill="auto"/>
        <w:spacing w:line="42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1、本合同文件</w:t>
      </w:r>
    </w:p>
    <w:p>
      <w:pPr>
        <w:shd w:val="clear" w:color="auto" w:fill="auto"/>
        <w:spacing w:line="42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下列每一文件均应作为合同的组成部分进行阅读和解释：</w:t>
      </w:r>
    </w:p>
    <w:p>
      <w:pPr>
        <w:shd w:val="clear" w:color="auto" w:fill="auto"/>
        <w:spacing w:line="42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（2）投标文件（3）中标通知书</w:t>
      </w:r>
    </w:p>
    <w:p>
      <w:pPr>
        <w:shd w:val="clear" w:color="auto" w:fill="auto"/>
        <w:spacing w:line="42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（4）经双方确认进入合同的其它文件、补充条款或说明</w:t>
      </w:r>
    </w:p>
    <w:p>
      <w:pPr>
        <w:shd w:val="clear" w:color="auto" w:fill="auto"/>
        <w:spacing w:line="42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2、采购标的、数量、质量要求</w:t>
      </w:r>
    </w:p>
    <w:p>
      <w:pPr>
        <w:shd w:val="clear" w:color="auto" w:fill="auto"/>
        <w:spacing w:line="42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3、合同总价</w:t>
      </w:r>
    </w:p>
    <w:p>
      <w:pPr>
        <w:shd w:val="clear" w:color="auto" w:fill="auto"/>
        <w:spacing w:line="42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合同总价为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元人民币。</w:t>
      </w:r>
    </w:p>
    <w:p>
      <w:pPr>
        <w:shd w:val="clear" w:color="auto" w:fill="auto"/>
        <w:autoSpaceDN w:val="0"/>
        <w:spacing w:line="240" w:lineRule="atLeast"/>
        <w:ind w:firstLine="486" w:firstLineChars="200"/>
        <w:rPr>
          <w:rFonts w:hint="eastAsia" w:ascii="仿宋" w:hAnsi="仿宋" w:eastAsia="仿宋" w:cs="仿宋"/>
          <w:b/>
          <w:bCs/>
          <w:color w:val="auto"/>
          <w:sz w:val="24"/>
          <w:szCs w:val="24"/>
          <w:highlight w:val="none"/>
          <w:lang w:val="en-US" w:eastAsia="zh-CN"/>
          <w14:textFill>
            <w14:gradFill>
              <w14:gsLst>
                <w14:gs w14:pos="0">
                  <w14:srgbClr w14:val="E30000"/>
                </w14:gs>
                <w14:gs w14:pos="100000">
                  <w14:srgbClr w14:val="760303"/>
                </w14:gs>
              </w14:gsLst>
              <w14:lin w14:scaled="0"/>
            </w14:gradFill>
          </w14:textFill>
        </w:rPr>
      </w:pPr>
      <w:r>
        <w:rPr>
          <w:rFonts w:hint="eastAsia" w:ascii="仿宋" w:hAnsi="仿宋" w:eastAsia="仿宋" w:cs="仿宋"/>
          <w:color w:val="auto"/>
          <w:sz w:val="24"/>
          <w:szCs w:val="24"/>
          <w:highlight w:val="none"/>
          <w14:textFill>
            <w14:gradFill>
              <w14:gsLst>
                <w14:gs w14:pos="0">
                  <w14:srgbClr w14:val="E30000"/>
                </w14:gs>
                <w14:gs w14:pos="100000">
                  <w14:srgbClr w14:val="760303"/>
                </w14:gs>
              </w14:gsLst>
              <w14:lin w14:scaled="0"/>
            </w14:gradFill>
          </w14:textFill>
        </w:rPr>
        <w:t>4、付款方式</w:t>
      </w:r>
      <w:r>
        <w:rPr>
          <w:rFonts w:hint="eastAsia" w:ascii="仿宋" w:hAnsi="仿宋" w:eastAsia="仿宋" w:cs="仿宋"/>
          <w:b/>
          <w:bCs/>
          <w:color w:val="auto"/>
          <w:sz w:val="24"/>
          <w:szCs w:val="24"/>
          <w:highlight w:val="none"/>
          <w14:textFill>
            <w14:gradFill>
              <w14:gsLst>
                <w14:gs w14:pos="0">
                  <w14:srgbClr w14:val="E30000"/>
                </w14:gs>
                <w14:gs w14:pos="100000">
                  <w14:srgbClr w14:val="760303"/>
                </w14:gs>
              </w14:gsLst>
              <w14:lin w14:scaled="0"/>
            </w14:gradFill>
          </w14:textFill>
        </w:rPr>
        <w:t>：</w:t>
      </w:r>
    </w:p>
    <w:tbl>
      <w:tblPr>
        <w:tblStyle w:val="1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12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center"/>
          </w:tcPr>
          <w:p>
            <w:pPr>
              <w:shd w:val="clear" w:color="auto" w:fill="auto"/>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支付次数</w:t>
            </w:r>
          </w:p>
        </w:tc>
        <w:tc>
          <w:tcPr>
            <w:tcW w:w="2127" w:type="dxa"/>
            <w:noWrap w:val="0"/>
            <w:vAlign w:val="center"/>
          </w:tcPr>
          <w:p>
            <w:pPr>
              <w:shd w:val="clear" w:color="auto" w:fill="auto"/>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支付时间</w:t>
            </w:r>
          </w:p>
        </w:tc>
        <w:tc>
          <w:tcPr>
            <w:tcW w:w="1559" w:type="dxa"/>
            <w:noWrap w:val="0"/>
            <w:vAlign w:val="top"/>
          </w:tcPr>
          <w:p>
            <w:pPr>
              <w:shd w:val="clear" w:color="auto" w:fill="auto"/>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支付比例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center"/>
          </w:tcPr>
          <w:p>
            <w:pPr>
              <w:shd w:val="clear" w:color="auto" w:fill="auto"/>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首付款</w:t>
            </w:r>
          </w:p>
        </w:tc>
        <w:tc>
          <w:tcPr>
            <w:tcW w:w="2127" w:type="dxa"/>
            <w:noWrap w:val="0"/>
            <w:vAlign w:val="center"/>
          </w:tcPr>
          <w:p>
            <w:pPr>
              <w:shd w:val="clear" w:color="auto" w:fill="auto"/>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本合同签订后7天内</w:t>
            </w:r>
          </w:p>
        </w:tc>
        <w:tc>
          <w:tcPr>
            <w:tcW w:w="1559" w:type="dxa"/>
            <w:noWrap w:val="0"/>
            <w:vAlign w:val="center"/>
          </w:tcPr>
          <w:p>
            <w:pPr>
              <w:shd w:val="clear" w:color="auto" w:fill="auto"/>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center"/>
          </w:tcPr>
          <w:p>
            <w:pPr>
              <w:shd w:val="clear" w:color="auto" w:fill="auto"/>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第二次付款</w:t>
            </w:r>
          </w:p>
        </w:tc>
        <w:tc>
          <w:tcPr>
            <w:tcW w:w="2127" w:type="dxa"/>
            <w:noWrap w:val="0"/>
            <w:vAlign w:val="center"/>
          </w:tcPr>
          <w:p>
            <w:pPr>
              <w:shd w:val="clear" w:color="auto" w:fill="auto"/>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工程量完成50%</w:t>
            </w:r>
          </w:p>
        </w:tc>
        <w:tc>
          <w:tcPr>
            <w:tcW w:w="1559" w:type="dxa"/>
            <w:noWrap w:val="0"/>
            <w:vAlign w:val="center"/>
          </w:tcPr>
          <w:p>
            <w:pPr>
              <w:shd w:val="clear" w:color="auto" w:fill="auto"/>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center"/>
          </w:tcPr>
          <w:p>
            <w:pPr>
              <w:shd w:val="clear" w:color="auto" w:fill="auto"/>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第三次付款</w:t>
            </w:r>
          </w:p>
        </w:tc>
        <w:tc>
          <w:tcPr>
            <w:tcW w:w="2127" w:type="dxa"/>
            <w:noWrap w:val="0"/>
            <w:vAlign w:val="center"/>
          </w:tcPr>
          <w:p>
            <w:pPr>
              <w:shd w:val="clear" w:color="auto" w:fill="auto"/>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验收后14天内</w:t>
            </w:r>
          </w:p>
        </w:tc>
        <w:tc>
          <w:tcPr>
            <w:tcW w:w="1559" w:type="dxa"/>
            <w:noWrap w:val="0"/>
            <w:vAlign w:val="center"/>
          </w:tcPr>
          <w:p>
            <w:pPr>
              <w:shd w:val="clear" w:color="auto" w:fill="auto"/>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center"/>
          </w:tcPr>
          <w:p>
            <w:pPr>
              <w:shd w:val="clear" w:color="auto" w:fill="auto"/>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最后付款</w:t>
            </w:r>
          </w:p>
        </w:tc>
        <w:tc>
          <w:tcPr>
            <w:tcW w:w="2127" w:type="dxa"/>
            <w:noWrap w:val="0"/>
            <w:vAlign w:val="center"/>
          </w:tcPr>
          <w:p>
            <w:pPr>
              <w:shd w:val="clear" w:color="auto" w:fill="auto"/>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相关服务期届满14天内</w:t>
            </w:r>
          </w:p>
        </w:tc>
        <w:tc>
          <w:tcPr>
            <w:tcW w:w="1559" w:type="dxa"/>
            <w:noWrap w:val="0"/>
            <w:vAlign w:val="center"/>
          </w:tcPr>
          <w:p>
            <w:pPr>
              <w:shd w:val="clear" w:color="auto" w:fill="auto"/>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p>
        </w:tc>
      </w:tr>
    </w:tbl>
    <w:p>
      <w:pPr>
        <w:shd w:val="clear" w:color="auto" w:fill="auto"/>
        <w:autoSpaceDN w:val="0"/>
        <w:spacing w:line="240" w:lineRule="atLeast"/>
        <w:rPr>
          <w:rFonts w:hint="eastAsia" w:ascii="仿宋" w:hAnsi="仿宋" w:eastAsia="仿宋" w:cs="仿宋"/>
          <w:b/>
          <w:color w:val="auto"/>
          <w:kern w:val="0"/>
          <w:sz w:val="24"/>
          <w:szCs w:val="24"/>
          <w:highlight w:val="none"/>
        </w:rPr>
      </w:pPr>
    </w:p>
    <w:p>
      <w:pPr>
        <w:shd w:val="clear" w:color="auto" w:fill="auto"/>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5、合同供货（服务）期限及地点和方式</w:t>
      </w:r>
    </w:p>
    <w:p>
      <w:pPr>
        <w:shd w:val="clear" w:color="auto" w:fill="auto"/>
        <w:spacing w:line="42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6、验收要求及违约责任</w:t>
      </w:r>
    </w:p>
    <w:p>
      <w:pPr>
        <w:shd w:val="clear" w:color="auto" w:fill="auto"/>
        <w:spacing w:line="42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7、违约责任及解决争议方法</w:t>
      </w:r>
    </w:p>
    <w:p>
      <w:pPr>
        <w:shd w:val="clear" w:color="auto" w:fill="auto"/>
        <w:spacing w:line="42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8、合同的生效</w:t>
      </w:r>
    </w:p>
    <w:p>
      <w:pPr>
        <w:pStyle w:val="9"/>
        <w:shd w:val="clear" w:color="auto" w:fill="auto"/>
        <w:spacing w:after="0" w:line="420" w:lineRule="exact"/>
        <w:ind w:left="0" w:leftChars="0" w:firstLine="486" w:firstLineChars="200"/>
        <w:rPr>
          <w:rFonts w:hint="eastAsia" w:ascii="仿宋" w:hAnsi="仿宋" w:eastAsia="仿宋" w:cs="仿宋"/>
          <w:color w:val="auto"/>
          <w:kern w:val="0"/>
          <w:sz w:val="24"/>
          <w:szCs w:val="24"/>
          <w:highlight w:val="none"/>
          <w:u w:val="none" w:color="000000"/>
        </w:rPr>
      </w:pPr>
      <w:r>
        <w:rPr>
          <w:rFonts w:hint="eastAsia" w:ascii="仿宋" w:hAnsi="仿宋" w:eastAsia="仿宋" w:cs="仿宋"/>
          <w:color w:val="auto"/>
          <w:kern w:val="0"/>
          <w:sz w:val="24"/>
          <w:szCs w:val="24"/>
          <w:highlight w:val="none"/>
          <w:u w:val="none" w:color="000000"/>
        </w:rPr>
        <w:t>合同经双方授权代表签署，买卖双方加盖印章之后生效。</w:t>
      </w:r>
    </w:p>
    <w:p>
      <w:pPr>
        <w:pStyle w:val="9"/>
        <w:shd w:val="clear" w:color="auto" w:fill="auto"/>
        <w:spacing w:after="0" w:line="420" w:lineRule="exact"/>
        <w:ind w:left="0" w:leftChars="0" w:firstLine="486" w:firstLineChars="200"/>
        <w:rPr>
          <w:rFonts w:hint="eastAsia" w:ascii="仿宋" w:hAnsi="仿宋" w:eastAsia="仿宋" w:cs="仿宋"/>
          <w:color w:val="auto"/>
          <w:kern w:val="0"/>
          <w:sz w:val="24"/>
          <w:szCs w:val="24"/>
          <w:highlight w:val="none"/>
          <w:u w:val="none" w:color="000000"/>
        </w:rPr>
      </w:pPr>
      <w:r>
        <w:rPr>
          <w:rFonts w:hint="eastAsia" w:ascii="仿宋" w:hAnsi="仿宋" w:eastAsia="仿宋" w:cs="仿宋"/>
          <w:color w:val="auto"/>
          <w:kern w:val="0"/>
          <w:sz w:val="24"/>
          <w:szCs w:val="24"/>
          <w:highlight w:val="none"/>
          <w:u w:val="none" w:color="000000"/>
        </w:rPr>
        <w:t>本合同一式     份，双方各执     份。</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auto"/>
          <w:kern w:val="0"/>
          <w:sz w:val="24"/>
          <w:szCs w:val="24"/>
          <w:highlight w:val="none"/>
          <w:u w:val="none" w:color="000000"/>
        </w:rPr>
      </w:pPr>
      <w:r>
        <w:rPr>
          <w:rFonts w:hint="eastAsia" w:ascii="仿宋" w:hAnsi="仿宋" w:eastAsia="仿宋" w:cs="仿宋"/>
          <w:color w:val="auto"/>
          <w:kern w:val="0"/>
          <w:sz w:val="24"/>
          <w:szCs w:val="24"/>
          <w:highlight w:val="none"/>
          <w:u w:val="none" w:color="000000"/>
        </w:rPr>
        <w:t xml:space="preserve">买  方：                          </w:t>
      </w:r>
      <w:r>
        <w:rPr>
          <w:rFonts w:hint="eastAsia" w:ascii="仿宋" w:hAnsi="仿宋" w:eastAsia="仿宋" w:cs="仿宋"/>
          <w:color w:val="auto"/>
          <w:kern w:val="0"/>
          <w:sz w:val="24"/>
          <w:szCs w:val="24"/>
          <w:highlight w:val="none"/>
          <w:u w:val="none" w:color="000000"/>
          <w:lang w:val="en-US" w:eastAsia="zh-CN"/>
        </w:rPr>
        <w:t xml:space="preserve">  </w:t>
      </w:r>
      <w:r>
        <w:rPr>
          <w:rFonts w:hint="eastAsia" w:ascii="仿宋" w:hAnsi="仿宋" w:eastAsia="仿宋" w:cs="仿宋"/>
          <w:color w:val="auto"/>
          <w:kern w:val="0"/>
          <w:sz w:val="24"/>
          <w:szCs w:val="24"/>
          <w:highlight w:val="none"/>
          <w:u w:val="none" w:color="000000"/>
        </w:rPr>
        <w:t>卖  方：</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auto"/>
          <w:kern w:val="0"/>
          <w:sz w:val="24"/>
          <w:szCs w:val="24"/>
          <w:highlight w:val="none"/>
          <w:u w:val="none" w:color="000000"/>
        </w:rPr>
      </w:pPr>
      <w:r>
        <w:rPr>
          <w:rFonts w:hint="eastAsia" w:ascii="仿宋" w:hAnsi="仿宋" w:eastAsia="仿宋" w:cs="仿宋"/>
          <w:color w:val="auto"/>
          <w:kern w:val="0"/>
          <w:sz w:val="24"/>
          <w:szCs w:val="24"/>
          <w:highlight w:val="none"/>
          <w:u w:val="none" w:color="000000"/>
        </w:rPr>
        <w:t xml:space="preserve">名  称：（盖章）                  </w:t>
      </w:r>
      <w:r>
        <w:rPr>
          <w:rFonts w:hint="eastAsia" w:ascii="仿宋" w:hAnsi="仿宋" w:eastAsia="仿宋" w:cs="仿宋"/>
          <w:color w:val="auto"/>
          <w:kern w:val="0"/>
          <w:sz w:val="24"/>
          <w:szCs w:val="24"/>
          <w:highlight w:val="none"/>
          <w:u w:val="none" w:color="000000"/>
          <w:lang w:val="en-US" w:eastAsia="zh-CN"/>
        </w:rPr>
        <w:t xml:space="preserve"> </w:t>
      </w:r>
      <w:r>
        <w:rPr>
          <w:rFonts w:hint="eastAsia" w:ascii="仿宋" w:hAnsi="仿宋" w:eastAsia="仿宋" w:cs="仿宋"/>
          <w:color w:val="auto"/>
          <w:kern w:val="0"/>
          <w:sz w:val="24"/>
          <w:szCs w:val="24"/>
          <w:highlight w:val="none"/>
          <w:u w:val="none" w:color="000000"/>
        </w:rPr>
        <w:t xml:space="preserve"> 名  称：（盖章）</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auto"/>
          <w:kern w:val="0"/>
          <w:sz w:val="24"/>
          <w:szCs w:val="24"/>
          <w:highlight w:val="none"/>
          <w:u w:val="none" w:color="000000"/>
        </w:rPr>
      </w:pPr>
      <w:r>
        <w:rPr>
          <w:rFonts w:hint="eastAsia" w:ascii="仿宋" w:hAnsi="仿宋" w:eastAsia="仿宋" w:cs="仿宋"/>
          <w:color w:val="auto"/>
          <w:kern w:val="0"/>
          <w:sz w:val="24"/>
          <w:szCs w:val="24"/>
          <w:highlight w:val="none"/>
          <w:u w:val="none" w:color="000000"/>
        </w:rPr>
        <w:t>法定代表人（或委托代理人签</w:t>
      </w:r>
      <w:r>
        <w:rPr>
          <w:rFonts w:hint="eastAsia" w:ascii="仿宋" w:hAnsi="仿宋" w:eastAsia="仿宋" w:cs="仿宋"/>
          <w:color w:val="auto"/>
          <w:kern w:val="0"/>
          <w:sz w:val="24"/>
          <w:szCs w:val="24"/>
          <w:highlight w:val="none"/>
          <w:u w:val="none" w:color="000000"/>
          <w:lang w:eastAsia="zh-CN"/>
        </w:rPr>
        <w:t>章</w:t>
      </w:r>
      <w:r>
        <w:rPr>
          <w:rFonts w:hint="eastAsia" w:ascii="仿宋" w:hAnsi="仿宋" w:eastAsia="仿宋" w:cs="仿宋"/>
          <w:color w:val="auto"/>
          <w:kern w:val="0"/>
          <w:sz w:val="24"/>
          <w:szCs w:val="24"/>
          <w:highlight w:val="none"/>
          <w:u w:val="none" w:color="000000"/>
        </w:rPr>
        <w:t>）：    法定代表人（或委托代理人签</w:t>
      </w:r>
      <w:r>
        <w:rPr>
          <w:rFonts w:hint="eastAsia" w:ascii="仿宋" w:hAnsi="仿宋" w:eastAsia="仿宋" w:cs="仿宋"/>
          <w:color w:val="auto"/>
          <w:kern w:val="0"/>
          <w:sz w:val="24"/>
          <w:szCs w:val="24"/>
          <w:highlight w:val="none"/>
          <w:u w:val="none" w:color="000000"/>
          <w:lang w:eastAsia="zh-CN"/>
        </w:rPr>
        <w:t>章</w:t>
      </w:r>
      <w:r>
        <w:rPr>
          <w:rFonts w:hint="eastAsia" w:ascii="仿宋" w:hAnsi="仿宋" w:eastAsia="仿宋" w:cs="仿宋"/>
          <w:color w:val="auto"/>
          <w:kern w:val="0"/>
          <w:sz w:val="24"/>
          <w:szCs w:val="24"/>
          <w:highlight w:val="none"/>
          <w:u w:val="none" w:color="000000"/>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auto"/>
          <w:kern w:val="0"/>
          <w:sz w:val="24"/>
          <w:szCs w:val="24"/>
          <w:highlight w:val="none"/>
          <w:u w:val="none" w:color="000000"/>
        </w:rPr>
      </w:pPr>
      <w:r>
        <w:rPr>
          <w:rFonts w:hint="eastAsia" w:ascii="仿宋" w:hAnsi="仿宋" w:eastAsia="仿宋" w:cs="仿宋"/>
          <w:color w:val="auto"/>
          <w:kern w:val="0"/>
          <w:sz w:val="24"/>
          <w:szCs w:val="24"/>
          <w:highlight w:val="none"/>
          <w:u w:val="none" w:color="000000"/>
        </w:rPr>
        <w:t xml:space="preserve">地    址：                       </w:t>
      </w:r>
      <w:r>
        <w:rPr>
          <w:rFonts w:hint="eastAsia" w:ascii="仿宋" w:hAnsi="仿宋" w:eastAsia="仿宋" w:cs="仿宋"/>
          <w:color w:val="auto"/>
          <w:kern w:val="0"/>
          <w:sz w:val="24"/>
          <w:szCs w:val="24"/>
          <w:highlight w:val="none"/>
          <w:u w:val="none" w:color="000000"/>
          <w:lang w:val="en-US" w:eastAsia="zh-CN"/>
        </w:rPr>
        <w:t xml:space="preserve">  </w:t>
      </w:r>
      <w:r>
        <w:rPr>
          <w:rFonts w:hint="eastAsia" w:ascii="仿宋" w:hAnsi="仿宋" w:eastAsia="仿宋" w:cs="仿宋"/>
          <w:color w:val="auto"/>
          <w:kern w:val="0"/>
          <w:sz w:val="24"/>
          <w:szCs w:val="24"/>
          <w:highlight w:val="none"/>
          <w:u w:val="none" w:color="000000"/>
        </w:rPr>
        <w:t xml:space="preserve"> 地    址：</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auto"/>
          <w:kern w:val="0"/>
          <w:sz w:val="24"/>
          <w:szCs w:val="24"/>
          <w:highlight w:val="none"/>
          <w:u w:val="none" w:color="000000"/>
        </w:rPr>
      </w:pPr>
      <w:r>
        <w:rPr>
          <w:rFonts w:hint="eastAsia" w:ascii="仿宋" w:hAnsi="仿宋" w:eastAsia="仿宋" w:cs="仿宋"/>
          <w:color w:val="auto"/>
          <w:kern w:val="0"/>
          <w:sz w:val="24"/>
          <w:szCs w:val="24"/>
          <w:highlight w:val="none"/>
          <w:u w:val="none" w:color="000000"/>
        </w:rPr>
        <w:t xml:space="preserve">邮政编码：                       </w:t>
      </w:r>
      <w:r>
        <w:rPr>
          <w:rFonts w:hint="eastAsia" w:ascii="仿宋" w:hAnsi="仿宋" w:eastAsia="仿宋" w:cs="仿宋"/>
          <w:color w:val="auto"/>
          <w:kern w:val="0"/>
          <w:sz w:val="24"/>
          <w:szCs w:val="24"/>
          <w:highlight w:val="none"/>
          <w:u w:val="none" w:color="000000"/>
          <w:lang w:val="en-US" w:eastAsia="zh-CN"/>
        </w:rPr>
        <w:t xml:space="preserve">  </w:t>
      </w:r>
      <w:r>
        <w:rPr>
          <w:rFonts w:hint="eastAsia" w:ascii="仿宋" w:hAnsi="仿宋" w:eastAsia="仿宋" w:cs="仿宋"/>
          <w:color w:val="auto"/>
          <w:kern w:val="0"/>
          <w:sz w:val="24"/>
          <w:szCs w:val="24"/>
          <w:highlight w:val="none"/>
          <w:u w:val="none" w:color="000000"/>
        </w:rPr>
        <w:t xml:space="preserve"> 邮政编码：</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auto"/>
          <w:kern w:val="0"/>
          <w:sz w:val="24"/>
          <w:szCs w:val="24"/>
          <w:highlight w:val="none"/>
          <w:u w:val="none" w:color="000000"/>
        </w:rPr>
      </w:pPr>
      <w:r>
        <w:rPr>
          <w:rFonts w:hint="eastAsia" w:ascii="仿宋" w:hAnsi="仿宋" w:eastAsia="仿宋" w:cs="仿宋"/>
          <w:color w:val="auto"/>
          <w:kern w:val="0"/>
          <w:sz w:val="24"/>
          <w:szCs w:val="24"/>
          <w:highlight w:val="none"/>
          <w:u w:val="none" w:color="000000"/>
        </w:rPr>
        <w:t xml:space="preserve">电    话：                        </w:t>
      </w:r>
      <w:r>
        <w:rPr>
          <w:rFonts w:hint="eastAsia" w:ascii="仿宋" w:hAnsi="仿宋" w:eastAsia="仿宋" w:cs="仿宋"/>
          <w:color w:val="auto"/>
          <w:kern w:val="0"/>
          <w:sz w:val="24"/>
          <w:szCs w:val="24"/>
          <w:highlight w:val="none"/>
          <w:u w:val="none" w:color="000000"/>
          <w:lang w:val="en-US" w:eastAsia="zh-CN"/>
        </w:rPr>
        <w:t xml:space="preserve">  </w:t>
      </w:r>
      <w:r>
        <w:rPr>
          <w:rFonts w:hint="eastAsia" w:ascii="仿宋" w:hAnsi="仿宋" w:eastAsia="仿宋" w:cs="仿宋"/>
          <w:color w:val="auto"/>
          <w:kern w:val="0"/>
          <w:sz w:val="24"/>
          <w:szCs w:val="24"/>
          <w:highlight w:val="none"/>
          <w:u w:val="none" w:color="000000"/>
        </w:rPr>
        <w:t>电    话：</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auto"/>
          <w:kern w:val="0"/>
          <w:sz w:val="24"/>
          <w:szCs w:val="24"/>
          <w:highlight w:val="none"/>
          <w:u w:val="none" w:color="000000"/>
        </w:rPr>
      </w:pPr>
      <w:r>
        <w:rPr>
          <w:rFonts w:hint="eastAsia" w:ascii="仿宋" w:hAnsi="仿宋" w:eastAsia="仿宋" w:cs="仿宋"/>
          <w:color w:val="auto"/>
          <w:kern w:val="0"/>
          <w:sz w:val="24"/>
          <w:szCs w:val="24"/>
          <w:highlight w:val="none"/>
          <w:u w:val="none" w:color="000000"/>
        </w:rPr>
        <w:t xml:space="preserve">开户银行：                       </w:t>
      </w:r>
      <w:r>
        <w:rPr>
          <w:rFonts w:hint="eastAsia" w:ascii="仿宋" w:hAnsi="仿宋" w:eastAsia="仿宋" w:cs="仿宋"/>
          <w:color w:val="auto"/>
          <w:kern w:val="0"/>
          <w:sz w:val="24"/>
          <w:szCs w:val="24"/>
          <w:highlight w:val="none"/>
          <w:u w:val="none" w:color="000000"/>
          <w:lang w:val="en-US" w:eastAsia="zh-CN"/>
        </w:rPr>
        <w:t xml:space="preserve">  </w:t>
      </w:r>
      <w:r>
        <w:rPr>
          <w:rFonts w:hint="eastAsia" w:ascii="仿宋" w:hAnsi="仿宋" w:eastAsia="仿宋" w:cs="仿宋"/>
          <w:color w:val="auto"/>
          <w:kern w:val="0"/>
          <w:sz w:val="24"/>
          <w:szCs w:val="24"/>
          <w:highlight w:val="none"/>
          <w:u w:val="none" w:color="000000"/>
        </w:rPr>
        <w:t xml:space="preserve"> 开户银行：</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auto"/>
          <w:kern w:val="0"/>
          <w:sz w:val="24"/>
          <w:szCs w:val="24"/>
          <w:highlight w:val="none"/>
          <w:u w:val="none" w:color="000000"/>
        </w:rPr>
      </w:pPr>
      <w:r>
        <w:rPr>
          <w:rFonts w:hint="eastAsia" w:ascii="仿宋" w:hAnsi="仿宋" w:eastAsia="仿宋" w:cs="仿宋"/>
          <w:color w:val="auto"/>
          <w:kern w:val="0"/>
          <w:sz w:val="24"/>
          <w:szCs w:val="24"/>
          <w:highlight w:val="none"/>
          <w:u w:val="none" w:color="000000"/>
        </w:rPr>
        <w:t xml:space="preserve">帐    号：                       </w:t>
      </w:r>
      <w:r>
        <w:rPr>
          <w:rFonts w:hint="eastAsia" w:ascii="仿宋" w:hAnsi="仿宋" w:eastAsia="仿宋" w:cs="仿宋"/>
          <w:color w:val="auto"/>
          <w:kern w:val="0"/>
          <w:sz w:val="24"/>
          <w:szCs w:val="24"/>
          <w:highlight w:val="none"/>
          <w:u w:val="none" w:color="000000"/>
          <w:lang w:val="en-US" w:eastAsia="zh-CN"/>
        </w:rPr>
        <w:t xml:space="preserve">  </w:t>
      </w:r>
      <w:r>
        <w:rPr>
          <w:rFonts w:hint="eastAsia" w:ascii="仿宋" w:hAnsi="仿宋" w:eastAsia="仿宋" w:cs="仿宋"/>
          <w:color w:val="auto"/>
          <w:kern w:val="0"/>
          <w:sz w:val="24"/>
          <w:szCs w:val="24"/>
          <w:highlight w:val="none"/>
          <w:u w:val="none" w:color="000000"/>
        </w:rPr>
        <w:t xml:space="preserve"> 帐    号：</w:t>
      </w:r>
    </w:p>
    <w:p>
      <w:pPr>
        <w:pStyle w:val="9"/>
        <w:shd w:val="clear" w:color="auto" w:fill="auto"/>
        <w:spacing w:after="0" w:line="420" w:lineRule="exact"/>
        <w:ind w:left="0" w:leftChars="0" w:firstLine="606" w:firstLineChars="200"/>
        <w:jc w:val="center"/>
        <w:rPr>
          <w:rFonts w:hint="eastAsia" w:ascii="仿宋" w:hAnsi="仿宋" w:eastAsia="仿宋" w:cs="仿宋"/>
          <w:b/>
          <w:color w:val="auto"/>
          <w:sz w:val="30"/>
          <w:szCs w:val="30"/>
          <w:highlight w:val="none"/>
        </w:rPr>
      </w:pPr>
    </w:p>
    <w:p>
      <w:pPr>
        <w:pStyle w:val="9"/>
        <w:shd w:val="clear" w:color="auto" w:fill="auto"/>
        <w:spacing w:after="0" w:line="420" w:lineRule="exact"/>
        <w:ind w:left="0" w:leftChars="0" w:firstLine="606" w:firstLineChars="200"/>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二  合同条款</w:t>
      </w:r>
      <w:bookmarkEnd w:id="58"/>
      <w:bookmarkEnd w:id="59"/>
      <w:bookmarkEnd w:id="60"/>
      <w:bookmarkEnd w:id="61"/>
      <w:bookmarkEnd w:id="62"/>
      <w:bookmarkEnd w:id="63"/>
      <w:bookmarkEnd w:id="64"/>
      <w:bookmarkEnd w:id="65"/>
      <w:bookmarkEnd w:id="66"/>
    </w:p>
    <w:p>
      <w:pPr>
        <w:shd w:val="clear" w:color="auto" w:fill="auto"/>
        <w:spacing w:line="44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一.  合同文件</w:t>
      </w:r>
    </w:p>
    <w:p>
      <w:pPr>
        <w:shd w:val="clear" w:color="auto" w:fill="auto"/>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1、合同文件适用法律</w:t>
      </w:r>
    </w:p>
    <w:p>
      <w:pPr>
        <w:shd w:val="clear" w:color="auto" w:fill="auto"/>
        <w:spacing w:line="440" w:lineRule="exact"/>
        <w:ind w:firstLine="729"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适用于合同文件的法律是中华人民共和国现行法律、法规及招标人所在地的地方性法规。</w:t>
      </w:r>
    </w:p>
    <w:p>
      <w:pPr>
        <w:shd w:val="clear" w:color="auto" w:fill="auto"/>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2、合同文件组成和解释顺序</w:t>
      </w:r>
    </w:p>
    <w:p>
      <w:pPr>
        <w:shd w:val="clear" w:color="auto" w:fill="auto"/>
        <w:spacing w:line="440" w:lineRule="exact"/>
        <w:ind w:firstLine="607"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(1)合同文件的组成和解释顺序如下：</w:t>
      </w:r>
    </w:p>
    <w:p>
      <w:pPr>
        <w:shd w:val="clear" w:color="auto" w:fill="auto"/>
        <w:spacing w:line="440" w:lineRule="exact"/>
        <w:ind w:firstLine="607"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&lt;1&gt;合同的主要条款；</w:t>
      </w:r>
    </w:p>
    <w:p>
      <w:pPr>
        <w:shd w:val="clear" w:color="auto" w:fill="auto"/>
        <w:spacing w:line="440" w:lineRule="exact"/>
        <w:ind w:firstLine="607"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&lt;2&gt;合同的一般性条款；</w:t>
      </w:r>
    </w:p>
    <w:p>
      <w:pPr>
        <w:shd w:val="clear" w:color="auto" w:fill="auto"/>
        <w:spacing w:line="440" w:lineRule="exact"/>
        <w:ind w:firstLine="607"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&lt;3&gt;洽商、变更等明确双方权利义务的纪要、协议；</w:t>
      </w:r>
    </w:p>
    <w:p>
      <w:pPr>
        <w:shd w:val="clear" w:color="auto" w:fill="auto"/>
        <w:spacing w:line="440" w:lineRule="exact"/>
        <w:ind w:firstLine="607"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&lt;4&gt;中标通知书、投标文件和</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w:t>
      </w:r>
    </w:p>
    <w:p>
      <w:pPr>
        <w:shd w:val="clear" w:color="auto" w:fill="auto"/>
        <w:spacing w:line="440" w:lineRule="exact"/>
        <w:ind w:firstLine="607"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&lt;5&gt;有关图纸、标准、规范和其它有关技术资料、技术要求。</w:t>
      </w:r>
    </w:p>
    <w:p>
      <w:pPr>
        <w:shd w:val="clear" w:color="auto" w:fill="auto"/>
        <w:spacing w:line="440" w:lineRule="exact"/>
        <w:ind w:firstLine="607"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&lt;6&gt;合同的主要条款的效力优于合同的一般性条款的效力。</w:t>
      </w:r>
    </w:p>
    <w:p>
      <w:pPr>
        <w:shd w:val="clear" w:color="auto" w:fill="auto"/>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3、合同文件使用文字</w:t>
      </w:r>
    </w:p>
    <w:p>
      <w:pPr>
        <w:pStyle w:val="2"/>
        <w:shd w:val="clear" w:color="auto" w:fill="auto"/>
        <w:spacing w:line="440" w:lineRule="exact"/>
        <w:ind w:firstLine="607" w:firstLineChars="250"/>
        <w:rPr>
          <w:rFonts w:hint="eastAsia" w:ascii="仿宋" w:hAnsi="仿宋" w:eastAsia="仿宋" w:cs="仿宋"/>
          <w:color w:val="auto"/>
          <w:spacing w:val="0"/>
          <w:w w:val="100"/>
          <w:kern w:val="0"/>
          <w:position w:val="0"/>
          <w:sz w:val="24"/>
          <w:szCs w:val="21"/>
          <w:highlight w:val="none"/>
          <w:shd w:val="clear" w:color="auto" w:fill="auto"/>
          <w:lang w:val="en-US" w:eastAsia="en-US" w:bidi="en-US"/>
        </w:rPr>
      </w:pPr>
      <w:r>
        <w:rPr>
          <w:rFonts w:hint="eastAsia" w:ascii="仿宋" w:hAnsi="仿宋" w:eastAsia="仿宋" w:cs="仿宋"/>
          <w:color w:val="auto"/>
          <w:spacing w:val="0"/>
          <w:w w:val="100"/>
          <w:kern w:val="0"/>
          <w:position w:val="0"/>
          <w:sz w:val="24"/>
          <w:szCs w:val="21"/>
          <w:highlight w:val="none"/>
          <w:shd w:val="clear" w:color="auto" w:fill="auto"/>
          <w:lang w:val="en-US" w:eastAsia="en-US" w:bidi="en-US"/>
        </w:rPr>
        <w:t>(1)合同文件使用中文书写、解释和说明。</w:t>
      </w:r>
    </w:p>
    <w:p>
      <w:pPr>
        <w:pStyle w:val="2"/>
        <w:shd w:val="clear" w:color="auto" w:fill="auto"/>
        <w:overflowPunct w:val="0"/>
        <w:spacing w:line="440" w:lineRule="exact"/>
        <w:ind w:firstLine="607" w:firstLineChars="250"/>
        <w:rPr>
          <w:rFonts w:hint="eastAsia" w:ascii="仿宋" w:hAnsi="仿宋" w:eastAsia="仿宋" w:cs="仿宋"/>
          <w:color w:val="auto"/>
          <w:spacing w:val="0"/>
          <w:w w:val="100"/>
          <w:kern w:val="0"/>
          <w:position w:val="0"/>
          <w:sz w:val="24"/>
          <w:szCs w:val="21"/>
          <w:highlight w:val="none"/>
          <w:shd w:val="clear" w:color="auto" w:fill="auto"/>
          <w:lang w:val="en-US" w:eastAsia="en-US" w:bidi="en-US"/>
        </w:rPr>
      </w:pPr>
      <w:r>
        <w:rPr>
          <w:rFonts w:hint="eastAsia" w:ascii="仿宋" w:hAnsi="仿宋" w:eastAsia="仿宋" w:cs="仿宋"/>
          <w:color w:val="auto"/>
          <w:spacing w:val="0"/>
          <w:w w:val="100"/>
          <w:kern w:val="0"/>
          <w:position w:val="0"/>
          <w:sz w:val="24"/>
          <w:szCs w:val="21"/>
          <w:highlight w:val="none"/>
          <w:shd w:val="clear" w:color="auto" w:fill="auto"/>
          <w:lang w:val="en-US" w:eastAsia="en-US" w:bidi="en-US"/>
        </w:rPr>
        <w:t xml:space="preserve">(2)合同文件使用技术性条款约定的为国家标准和规范；国家没有相应标准、规范时，可使用行业标准、规范。非标货物应按约定的技术性条款的标准和规范。 </w:t>
      </w:r>
    </w:p>
    <w:p>
      <w:pPr>
        <w:shd w:val="clear" w:color="auto" w:fill="auto"/>
        <w:spacing w:line="44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  标的物的一般条款</w:t>
      </w:r>
    </w:p>
    <w:p>
      <w:pPr>
        <w:shd w:val="clear" w:color="auto" w:fill="auto"/>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4、完整物权</w:t>
      </w:r>
    </w:p>
    <w:p>
      <w:pPr>
        <w:shd w:val="clear" w:color="auto" w:fill="auto"/>
        <w:tabs>
          <w:tab w:val="left" w:pos="660"/>
        </w:tabs>
        <w:spacing w:line="440" w:lineRule="exact"/>
        <w:rPr>
          <w:rFonts w:hint="eastAsia" w:ascii="仿宋" w:hAnsi="仿宋" w:eastAsia="仿宋" w:cs="仿宋"/>
          <w:color w:val="auto"/>
          <w:spacing w:val="0"/>
          <w:w w:val="100"/>
          <w:kern w:val="0"/>
          <w:position w:val="0"/>
          <w:sz w:val="24"/>
          <w:szCs w:val="21"/>
          <w:highlight w:val="none"/>
          <w:shd w:val="clear" w:color="auto" w:fill="auto"/>
          <w:lang w:val="en-US" w:eastAsia="en-US" w:bidi="en-US"/>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rPr>
        <w:tab/>
      </w:r>
      <w:r>
        <w:rPr>
          <w:rFonts w:hint="eastAsia" w:ascii="仿宋" w:hAnsi="仿宋" w:eastAsia="仿宋" w:cs="仿宋"/>
          <w:color w:val="auto"/>
          <w:spacing w:val="0"/>
          <w:w w:val="100"/>
          <w:kern w:val="0"/>
          <w:position w:val="0"/>
          <w:sz w:val="24"/>
          <w:szCs w:val="21"/>
          <w:highlight w:val="none"/>
          <w:shd w:val="clear" w:color="auto" w:fill="auto"/>
          <w:lang w:val="en-US" w:eastAsia="en-US" w:bidi="en-US"/>
        </w:rPr>
        <w:t>对于出卖的标的物，卖方应当拥有完整物权，并且卖方负有保证第三人不得向买方主张任何权利（包括知识产权）的义务。</w:t>
      </w:r>
    </w:p>
    <w:p>
      <w:pPr>
        <w:shd w:val="clear" w:color="auto" w:fill="auto"/>
        <w:spacing w:line="440" w:lineRule="exact"/>
        <w:rPr>
          <w:rFonts w:hint="eastAsia" w:ascii="仿宋" w:hAnsi="仿宋" w:eastAsia="仿宋" w:cs="仿宋"/>
          <w:color w:val="auto"/>
          <w:spacing w:val="0"/>
          <w:w w:val="100"/>
          <w:kern w:val="0"/>
          <w:position w:val="0"/>
          <w:sz w:val="24"/>
          <w:szCs w:val="21"/>
          <w:highlight w:val="none"/>
          <w:shd w:val="clear" w:color="auto" w:fill="auto"/>
          <w:lang w:val="en-US" w:eastAsia="en-US" w:bidi="en-US"/>
        </w:rPr>
      </w:pPr>
      <w:r>
        <w:rPr>
          <w:rFonts w:hint="eastAsia" w:ascii="仿宋" w:hAnsi="仿宋" w:eastAsia="仿宋" w:cs="仿宋"/>
          <w:color w:val="auto"/>
          <w:spacing w:val="0"/>
          <w:w w:val="100"/>
          <w:kern w:val="0"/>
          <w:position w:val="0"/>
          <w:sz w:val="24"/>
          <w:szCs w:val="21"/>
          <w:highlight w:val="none"/>
          <w:shd w:val="clear" w:color="auto" w:fill="auto"/>
          <w:lang w:val="en-US" w:eastAsia="en-US" w:bidi="en-US"/>
        </w:rPr>
        <w:t>5、质量保证</w:t>
      </w:r>
    </w:p>
    <w:p>
      <w:pPr>
        <w:pStyle w:val="2"/>
        <w:shd w:val="clear" w:color="auto" w:fill="auto"/>
        <w:overflowPunct w:val="0"/>
        <w:spacing w:line="440" w:lineRule="exact"/>
        <w:ind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2"/>
        <w:shd w:val="clear" w:color="auto" w:fill="auto"/>
        <w:overflowPunct w:val="0"/>
        <w:spacing w:line="440" w:lineRule="exact"/>
        <w:ind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2"/>
        <w:shd w:val="clear" w:color="auto" w:fill="auto"/>
        <w:tabs>
          <w:tab w:val="left" w:pos="900"/>
        </w:tabs>
        <w:overflowPunct w:val="0"/>
        <w:spacing w:line="440" w:lineRule="exact"/>
        <w:ind w:firstLine="607" w:firstLineChars="250"/>
        <w:rPr>
          <w:rFonts w:hint="eastAsia" w:ascii="宋体" w:cs="宋体"/>
          <w:color w:val="auto"/>
          <w:sz w:val="21"/>
          <w:szCs w:val="21"/>
          <w:highlight w:val="none"/>
          <w:u w:val="none" w:color="000000"/>
        </w:rPr>
      </w:pPr>
      <w:r>
        <w:rPr>
          <w:rFonts w:hint="eastAsia" w:ascii="仿宋" w:hAnsi="仿宋" w:eastAsia="仿宋" w:cs="仿宋"/>
          <w:color w:val="auto"/>
          <w:sz w:val="24"/>
          <w:szCs w:val="24"/>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w:t>
      </w:r>
      <w:r>
        <w:rPr>
          <w:rFonts w:hint="eastAsia" w:ascii="宋体" w:cs="宋体"/>
          <w:color w:val="auto"/>
          <w:sz w:val="21"/>
          <w:szCs w:val="21"/>
          <w:highlight w:val="none"/>
          <w:u w:val="none" w:color="000000"/>
        </w:rPr>
        <w:t>外）。</w:t>
      </w:r>
    </w:p>
    <w:p>
      <w:pPr>
        <w:shd w:val="clear" w:color="auto" w:fill="auto"/>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6、包装</w:t>
      </w:r>
    </w:p>
    <w:p>
      <w:pPr>
        <w:pStyle w:val="2"/>
        <w:shd w:val="clear" w:color="auto" w:fill="auto"/>
        <w:tabs>
          <w:tab w:val="left" w:pos="900"/>
        </w:tabs>
        <w:spacing w:line="440" w:lineRule="exact"/>
        <w:ind w:firstLine="546" w:firstLineChars="225"/>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hd w:val="clear" w:color="auto" w:fill="auto"/>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7、伴随服务</w:t>
      </w:r>
    </w:p>
    <w:p>
      <w:pPr>
        <w:pStyle w:val="2"/>
        <w:shd w:val="clear" w:color="auto" w:fill="auto"/>
        <w:overflowPunct w:val="0"/>
        <w:spacing w:line="440" w:lineRule="exact"/>
        <w:ind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(1)卖方除应履行按期按量交付合格标的物的义务之外，还应提供下列服务：</w:t>
      </w:r>
    </w:p>
    <w:p>
      <w:pPr>
        <w:pStyle w:val="2"/>
        <w:shd w:val="clear" w:color="auto" w:fill="auto"/>
        <w:overflowPunct w:val="0"/>
        <w:spacing w:line="440" w:lineRule="exact"/>
        <w:ind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&lt;1&gt;标的物的现场安装或指导安装、启动、调试、监督（如果必须安装、调试的话）；</w:t>
      </w:r>
    </w:p>
    <w:p>
      <w:pPr>
        <w:pStyle w:val="2"/>
        <w:shd w:val="clear" w:color="auto" w:fill="auto"/>
        <w:overflowPunct w:val="0"/>
        <w:spacing w:line="440" w:lineRule="exact"/>
        <w:ind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&lt;2&gt;提供标的物组装和一般维修所必须的工具；</w:t>
      </w:r>
    </w:p>
    <w:p>
      <w:pPr>
        <w:pStyle w:val="2"/>
        <w:shd w:val="clear" w:color="auto" w:fill="auto"/>
        <w:overflowPunct w:val="0"/>
        <w:spacing w:line="440" w:lineRule="exact"/>
        <w:ind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&lt;3&gt;在合同规定的期限内对所提供标的物实行运行监督、维修服务的前提条件是该服务并不能免除卖方在质量保证期内所承担的义务；</w:t>
      </w:r>
    </w:p>
    <w:p>
      <w:pPr>
        <w:pStyle w:val="2"/>
        <w:shd w:val="clear" w:color="auto" w:fill="auto"/>
        <w:overflowPunct w:val="0"/>
        <w:spacing w:line="440" w:lineRule="exact"/>
        <w:ind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&lt;4&gt;对买方技术人员的技术指导或培训。</w:t>
      </w:r>
    </w:p>
    <w:p>
      <w:pPr>
        <w:pStyle w:val="2"/>
        <w:shd w:val="clear" w:color="auto" w:fill="auto"/>
        <w:overflowPunct w:val="0"/>
        <w:spacing w:line="440" w:lineRule="exact"/>
        <w:ind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(2)除合同另有规定之外，伴随服务的费用均已含在合同价款中，买方不再另行进行支付。</w:t>
      </w:r>
    </w:p>
    <w:p>
      <w:pPr>
        <w:shd w:val="clear" w:color="auto" w:fill="auto"/>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  标的物的交付、检验和验收</w:t>
      </w:r>
    </w:p>
    <w:p>
      <w:pPr>
        <w:shd w:val="clear" w:color="auto" w:fill="auto"/>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8、标的物的交付</w:t>
      </w:r>
    </w:p>
    <w:p>
      <w:pPr>
        <w:pStyle w:val="2"/>
        <w:shd w:val="clear" w:color="auto" w:fill="auto"/>
        <w:spacing w:line="440" w:lineRule="exact"/>
        <w:ind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(1)标的物的所有权自标的物交付时转移。</w:t>
      </w:r>
    </w:p>
    <w:p>
      <w:pPr>
        <w:pStyle w:val="2"/>
        <w:shd w:val="clear" w:color="auto" w:fill="auto"/>
        <w:spacing w:line="440" w:lineRule="exact"/>
        <w:ind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(2)卖方应当按照约定的期限和约定的地点交付符合</w:t>
      </w:r>
      <w:r>
        <w:rPr>
          <w:rFonts w:hint="eastAsia" w:ascii="仿宋" w:hAnsi="仿宋" w:eastAsia="仿宋" w:cs="仿宋"/>
          <w:color w:val="auto"/>
          <w:sz w:val="24"/>
          <w:szCs w:val="24"/>
          <w:highlight w:val="none"/>
          <w:u w:val="none" w:color="000000"/>
          <w:lang w:eastAsia="zh-CN"/>
        </w:rPr>
        <w:t>采购文件</w:t>
      </w:r>
      <w:r>
        <w:rPr>
          <w:rFonts w:hint="eastAsia" w:ascii="仿宋" w:hAnsi="仿宋" w:eastAsia="仿宋" w:cs="仿宋"/>
          <w:color w:val="auto"/>
          <w:sz w:val="24"/>
          <w:szCs w:val="24"/>
          <w:highlight w:val="none"/>
          <w:u w:val="none" w:color="000000"/>
        </w:rPr>
        <w:t>要求的标的物。</w:t>
      </w:r>
    </w:p>
    <w:p>
      <w:pPr>
        <w:pStyle w:val="2"/>
        <w:shd w:val="clear" w:color="auto" w:fill="auto"/>
        <w:spacing w:line="440" w:lineRule="exact"/>
        <w:ind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(3)卖方应当按照约定或者交易习惯向招标人交付提取标的物单证以外的有关单证和资料。</w:t>
      </w:r>
    </w:p>
    <w:p>
      <w:pPr>
        <w:shd w:val="clear" w:color="auto" w:fill="auto"/>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9、检验和验收</w:t>
      </w:r>
    </w:p>
    <w:p>
      <w:pPr>
        <w:pStyle w:val="2"/>
        <w:shd w:val="clear" w:color="auto" w:fill="auto"/>
        <w:overflowPunct w:val="0"/>
        <w:spacing w:line="440" w:lineRule="exact"/>
        <w:ind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pPr>
        <w:pStyle w:val="2"/>
        <w:shd w:val="clear" w:color="auto" w:fill="auto"/>
        <w:overflowPunct w:val="0"/>
        <w:spacing w:line="440" w:lineRule="exact"/>
        <w:ind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(2)买方根据合同规定的内容和验收标准进行验收，经检验无误后出具验收合格证明，该证明作为最终付款所需文件的组成部分。</w:t>
      </w:r>
    </w:p>
    <w:p>
      <w:pPr>
        <w:pStyle w:val="2"/>
        <w:shd w:val="clear" w:color="auto" w:fill="auto"/>
        <w:overflowPunct w:val="0"/>
        <w:spacing w:line="440" w:lineRule="exact"/>
        <w:ind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(3)验收期限自标的物交付之日起三十天内。特殊情况需延长的，双方应在合同条款中约定。</w:t>
      </w:r>
    </w:p>
    <w:p>
      <w:pPr>
        <w:shd w:val="clear" w:color="auto" w:fill="auto"/>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 对标的物提出异议的时间和办法</w:t>
      </w:r>
    </w:p>
    <w:p>
      <w:pPr>
        <w:shd w:val="clear" w:color="auto" w:fill="auto"/>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10、对标的物提出异议的时间和办法 </w:t>
      </w:r>
    </w:p>
    <w:p>
      <w:pPr>
        <w:pStyle w:val="2"/>
        <w:shd w:val="clear" w:color="auto" w:fill="auto"/>
        <w:overflowPunct w:val="0"/>
        <w:spacing w:line="440" w:lineRule="exact"/>
        <w:ind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(1)买方在验收过程中，应当于双方约定的检验期间内将标的物的数量或质量不符合约定的情形及处理方式以书面形式通知卖方。</w:t>
      </w:r>
    </w:p>
    <w:p>
      <w:pPr>
        <w:pStyle w:val="2"/>
        <w:shd w:val="clear" w:color="auto" w:fill="auto"/>
        <w:overflowPunct w:val="0"/>
        <w:spacing w:line="440" w:lineRule="exact"/>
        <w:ind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(2)如买方在验收期满后既不出具验收合格证明又未提出书面异议的视为卖方所交标的物符合合同规定。</w:t>
      </w:r>
    </w:p>
    <w:p>
      <w:pPr>
        <w:pStyle w:val="2"/>
        <w:shd w:val="clear" w:color="auto" w:fill="auto"/>
        <w:overflowPunct w:val="0"/>
        <w:spacing w:line="440" w:lineRule="exact"/>
        <w:ind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(3)卖方应在收到买方书面异议后七天内负责处理问题，否则将视为默认买方提出的异议和处理意见。</w:t>
      </w:r>
    </w:p>
    <w:p>
      <w:pPr>
        <w:shd w:val="clear" w:color="auto" w:fill="auto"/>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 合同价款和支付</w:t>
      </w:r>
    </w:p>
    <w:p>
      <w:pPr>
        <w:shd w:val="clear" w:color="auto" w:fill="auto"/>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11、合同价款和支付</w:t>
      </w:r>
    </w:p>
    <w:p>
      <w:pPr>
        <w:pStyle w:val="2"/>
        <w:shd w:val="clear" w:color="auto" w:fill="auto"/>
        <w:overflowPunct w:val="0"/>
        <w:spacing w:line="440" w:lineRule="exact"/>
        <w:ind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(1)本合同的结算货币为人民币，单位元。</w:t>
      </w:r>
    </w:p>
    <w:p>
      <w:pPr>
        <w:pStyle w:val="2"/>
        <w:shd w:val="clear" w:color="auto" w:fill="auto"/>
        <w:overflowPunct w:val="0"/>
        <w:spacing w:line="440" w:lineRule="exact"/>
        <w:ind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(2)卖方应按照双方签订的合同规定交货并在合同主要条款规定的期限内持下列单据结算货款：</w:t>
      </w:r>
    </w:p>
    <w:p>
      <w:pPr>
        <w:pStyle w:val="2"/>
        <w:shd w:val="clear" w:color="auto" w:fill="auto"/>
        <w:overflowPunct w:val="0"/>
        <w:spacing w:line="440" w:lineRule="exact"/>
        <w:ind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&lt;1&gt;合格的销售发票；</w:t>
      </w:r>
    </w:p>
    <w:p>
      <w:pPr>
        <w:pStyle w:val="2"/>
        <w:shd w:val="clear" w:color="auto" w:fill="auto"/>
        <w:overflowPunct w:val="0"/>
        <w:spacing w:line="440" w:lineRule="exact"/>
        <w:ind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&lt;2&gt;买方盖章签收后的送货回单和验收合格证明。</w:t>
      </w:r>
    </w:p>
    <w:p>
      <w:pPr>
        <w:pStyle w:val="2"/>
        <w:shd w:val="clear" w:color="auto" w:fill="auto"/>
        <w:overflowPunct w:val="0"/>
        <w:spacing w:line="440" w:lineRule="exact"/>
        <w:ind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(3)买方应按合同主要条款规定的期限和方式付款。</w:t>
      </w:r>
    </w:p>
    <w:p>
      <w:pPr>
        <w:pStyle w:val="2"/>
        <w:shd w:val="clear" w:color="auto" w:fill="auto"/>
        <w:tabs>
          <w:tab w:val="left" w:pos="540"/>
        </w:tabs>
        <w:overflowPunct w:val="0"/>
        <w:spacing w:line="440" w:lineRule="exact"/>
        <w:ind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(4)根据现行税法对买方征收的与本合同有关的一切税费均由买方承担；根据现行税法对卖方征收的与本合同有关的一切税费均由卖方承担。</w:t>
      </w:r>
    </w:p>
    <w:p>
      <w:pPr>
        <w:shd w:val="clear" w:color="auto" w:fill="auto"/>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 违约责任</w:t>
      </w:r>
    </w:p>
    <w:p>
      <w:pPr>
        <w:shd w:val="clear" w:color="auto" w:fill="auto"/>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12、违约责任</w:t>
      </w:r>
    </w:p>
    <w:p>
      <w:pPr>
        <w:pStyle w:val="2"/>
        <w:shd w:val="clear" w:color="auto" w:fill="auto"/>
        <w:spacing w:line="440" w:lineRule="exact"/>
        <w:ind w:firstLine="546" w:firstLineChars="225"/>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合同一方不履行合同义务或者履行合同义务不符合约定的，应当承担继续履行、采取补救措施或者赔偿损失等违约责任。</w:t>
      </w:r>
    </w:p>
    <w:p>
      <w:pPr>
        <w:shd w:val="clear" w:color="auto" w:fill="auto"/>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13、买方违约责任</w:t>
      </w:r>
    </w:p>
    <w:p>
      <w:pPr>
        <w:pStyle w:val="2"/>
        <w:shd w:val="clear" w:color="auto" w:fill="auto"/>
        <w:overflowPunct w:val="0"/>
        <w:spacing w:line="440" w:lineRule="exact"/>
        <w:ind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(1)在合同生效后，买方要求退货的，应向卖方偿付合同总价款的5%，作为违约金，违约金不足以补偿损失的，卖方有权要求甲方补足。</w:t>
      </w:r>
    </w:p>
    <w:p>
      <w:pPr>
        <w:pStyle w:val="2"/>
        <w:shd w:val="clear" w:color="auto" w:fill="auto"/>
        <w:overflowPunct w:val="0"/>
        <w:spacing w:line="440" w:lineRule="exact"/>
        <w:ind w:right="-386" w:rightChars="-159"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(2)买方逾期付款的应按照逾期付款金额的每天万分之四支付逾期付款违约金。</w:t>
      </w:r>
    </w:p>
    <w:p>
      <w:pPr>
        <w:pStyle w:val="2"/>
        <w:shd w:val="clear" w:color="auto" w:fill="auto"/>
        <w:overflowPunct w:val="0"/>
        <w:spacing w:line="440" w:lineRule="exact"/>
        <w:ind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(3)买方违反合同规定，拒绝接收卖方交付的符合</w:t>
      </w:r>
      <w:r>
        <w:rPr>
          <w:rFonts w:hint="eastAsia" w:ascii="仿宋" w:hAnsi="仿宋" w:eastAsia="仿宋" w:cs="仿宋"/>
          <w:color w:val="auto"/>
          <w:sz w:val="24"/>
          <w:szCs w:val="24"/>
          <w:highlight w:val="none"/>
          <w:u w:val="none" w:color="000000"/>
          <w:lang w:eastAsia="zh-CN"/>
        </w:rPr>
        <w:t>采购文件</w:t>
      </w:r>
      <w:r>
        <w:rPr>
          <w:rFonts w:hint="eastAsia" w:ascii="仿宋" w:hAnsi="仿宋" w:eastAsia="仿宋" w:cs="仿宋"/>
          <w:color w:val="auto"/>
          <w:sz w:val="24"/>
          <w:szCs w:val="24"/>
          <w:highlight w:val="none"/>
          <w:u w:val="none" w:color="000000"/>
        </w:rPr>
        <w:t>要求的合格标的物，应当承担卖方由此造成的损失。</w:t>
      </w:r>
    </w:p>
    <w:p>
      <w:pPr>
        <w:shd w:val="clear" w:color="auto" w:fill="auto"/>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14、卖方违约责任</w:t>
      </w:r>
    </w:p>
    <w:p>
      <w:pPr>
        <w:pStyle w:val="2"/>
        <w:shd w:val="clear" w:color="auto" w:fill="auto"/>
        <w:overflowPunct w:val="0"/>
        <w:spacing w:line="440" w:lineRule="exact"/>
        <w:ind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(1)卖方不能交货（逾期超过五天视为不能交货），或交货不合格从而影响买方按期正常使用的，应向买方偿付合同总价款5%的违约金，违约金不足以补偿损失的，买方有权要求卖方补足。</w:t>
      </w:r>
    </w:p>
    <w:p>
      <w:pPr>
        <w:pStyle w:val="2"/>
        <w:shd w:val="clear" w:color="auto" w:fill="auto"/>
        <w:overflowPunct w:val="0"/>
        <w:spacing w:line="440" w:lineRule="exact"/>
        <w:ind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pPr>
        <w:shd w:val="clear" w:color="auto" w:fill="auto"/>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15、不可抗力</w:t>
      </w:r>
    </w:p>
    <w:p>
      <w:pPr>
        <w:pStyle w:val="2"/>
        <w:shd w:val="clear" w:color="auto" w:fill="auto"/>
        <w:spacing w:line="440" w:lineRule="exact"/>
        <w:ind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(1)因水灾、火灾、地震、战争等不可抗力不能履行合同的，根据不可抗力的影响，部分或者全部免除责任。但合同一方迟延履行后发生不可抗力的，不能免除责任。</w:t>
      </w:r>
    </w:p>
    <w:p>
      <w:pPr>
        <w:pStyle w:val="2"/>
        <w:shd w:val="clear" w:color="auto" w:fill="auto"/>
        <w:spacing w:line="440" w:lineRule="exact"/>
        <w:ind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(2)合同一方因不可抗力不能履行合同的，应当及时通知对方，以减轻可能给对方造成的损失，并应当在合理期限内提供证明。</w:t>
      </w:r>
    </w:p>
    <w:p>
      <w:pPr>
        <w:shd w:val="clear" w:color="auto" w:fill="auto"/>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 索赔</w:t>
      </w:r>
    </w:p>
    <w:p>
      <w:pPr>
        <w:shd w:val="clear" w:color="auto" w:fill="auto"/>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16、索赔</w:t>
      </w:r>
    </w:p>
    <w:p>
      <w:pPr>
        <w:pStyle w:val="2"/>
        <w:shd w:val="clear" w:color="auto" w:fill="auto"/>
        <w:overflowPunct w:val="0"/>
        <w:spacing w:line="440" w:lineRule="exact"/>
        <w:ind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(1)买方有权根据当地产品质量检验机构或其它有权威部门出具的检验证书向卖方提出索赔。</w:t>
      </w:r>
    </w:p>
    <w:p>
      <w:pPr>
        <w:pStyle w:val="2"/>
        <w:shd w:val="clear" w:color="auto" w:fill="auto"/>
        <w:overflowPunct w:val="0"/>
        <w:spacing w:line="440" w:lineRule="exact"/>
        <w:ind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(2)在本合同规定的检验期和质量保证期内，如果卖方对买方提出的索赔或差异有责任，则卖方应按买方同意的下列一种或多种方式解决索赔事宜：</w:t>
      </w:r>
    </w:p>
    <w:p>
      <w:pPr>
        <w:pStyle w:val="2"/>
        <w:shd w:val="clear" w:color="auto" w:fill="auto"/>
        <w:overflowPunct w:val="0"/>
        <w:spacing w:line="440" w:lineRule="exact"/>
        <w:ind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2"/>
        <w:shd w:val="clear" w:color="auto" w:fill="auto"/>
        <w:overflowPunct w:val="0"/>
        <w:spacing w:line="440" w:lineRule="exact"/>
        <w:ind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&lt;2&gt;根据标的物的低劣程度、损坏程度以及甲方遭受损失的数额，经双方协商确定降低标的物的价格；</w:t>
      </w:r>
    </w:p>
    <w:p>
      <w:pPr>
        <w:pStyle w:val="2"/>
        <w:shd w:val="clear" w:color="auto" w:fill="auto"/>
        <w:overflowPunct w:val="0"/>
        <w:spacing w:line="440" w:lineRule="exact"/>
        <w:ind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2"/>
        <w:shd w:val="clear" w:color="auto" w:fill="auto"/>
        <w:overflowPunct w:val="0"/>
        <w:spacing w:line="440" w:lineRule="exact"/>
        <w:ind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2"/>
        <w:shd w:val="clear" w:color="auto" w:fill="auto"/>
        <w:overflowPunct w:val="0"/>
        <w:spacing w:line="440" w:lineRule="exact"/>
        <w:ind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(4)买方提出索赔的书面材料应报当地政府采购管理部门备案。卖方同意的索赔方案应报当地政府采购管理部门审核。</w:t>
      </w:r>
    </w:p>
    <w:p>
      <w:pPr>
        <w:shd w:val="clear" w:color="auto" w:fill="auto"/>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 履约保证金</w:t>
      </w:r>
    </w:p>
    <w:p>
      <w:pPr>
        <w:shd w:val="clear" w:color="auto" w:fill="auto"/>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17、履约保证金</w:t>
      </w:r>
    </w:p>
    <w:p>
      <w:pPr>
        <w:pStyle w:val="2"/>
        <w:shd w:val="clear" w:color="auto" w:fill="auto"/>
        <w:overflowPunct w:val="0"/>
        <w:spacing w:line="440" w:lineRule="exact"/>
        <w:ind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(1)卖方应在本合同签订时，按</w:t>
      </w:r>
      <w:r>
        <w:rPr>
          <w:rFonts w:hint="eastAsia" w:ascii="仿宋" w:hAnsi="仿宋" w:eastAsia="仿宋" w:cs="仿宋"/>
          <w:color w:val="auto"/>
          <w:sz w:val="24"/>
          <w:szCs w:val="24"/>
          <w:highlight w:val="none"/>
          <w:u w:val="none" w:color="000000"/>
          <w:lang w:eastAsia="zh-CN"/>
        </w:rPr>
        <w:t>采购文件</w:t>
      </w:r>
      <w:r>
        <w:rPr>
          <w:rFonts w:hint="eastAsia" w:ascii="仿宋" w:hAnsi="仿宋" w:eastAsia="仿宋" w:cs="仿宋"/>
          <w:color w:val="auto"/>
          <w:sz w:val="24"/>
          <w:szCs w:val="24"/>
          <w:highlight w:val="none"/>
          <w:u w:val="none" w:color="000000"/>
        </w:rPr>
        <w:t>的约定提供相应的履约保证金，保证金的有效期应不低于合同有效期。</w:t>
      </w:r>
    </w:p>
    <w:p>
      <w:pPr>
        <w:pStyle w:val="2"/>
        <w:shd w:val="clear" w:color="auto" w:fill="auto"/>
        <w:overflowPunct w:val="0"/>
        <w:spacing w:line="440" w:lineRule="exact"/>
        <w:ind w:right="-386" w:rightChars="-159"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(2)如果卖方未能履行合同规定的任何义务，买方有权从履约保证金中取得补偿。</w:t>
      </w:r>
    </w:p>
    <w:p>
      <w:pPr>
        <w:pStyle w:val="2"/>
        <w:shd w:val="clear" w:color="auto" w:fill="auto"/>
        <w:overflowPunct w:val="0"/>
        <w:spacing w:line="440" w:lineRule="exact"/>
        <w:ind w:right="-1010" w:rightChars="-416"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(3)履约保证金（无息）将在卖方履行完合同义务，买方支付合同价款的五天内</w:t>
      </w:r>
    </w:p>
    <w:p>
      <w:pPr>
        <w:pStyle w:val="2"/>
        <w:shd w:val="clear" w:color="auto" w:fill="auto"/>
        <w:overflowPunct w:val="0"/>
        <w:spacing w:line="440" w:lineRule="exact"/>
        <w:ind w:right="-1010" w:rightChars="-416" w:firstLine="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退回。</w:t>
      </w:r>
    </w:p>
    <w:p>
      <w:pPr>
        <w:shd w:val="clear" w:color="auto" w:fill="auto"/>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  合同的解除和转让</w:t>
      </w:r>
    </w:p>
    <w:p>
      <w:pPr>
        <w:shd w:val="clear" w:color="auto" w:fill="auto"/>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18、合同的解除</w:t>
      </w:r>
    </w:p>
    <w:p>
      <w:pPr>
        <w:pStyle w:val="2"/>
        <w:shd w:val="clear" w:color="auto" w:fill="auto"/>
        <w:spacing w:line="440" w:lineRule="exact"/>
        <w:ind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(1)买方和卖方协商一致，可以解除合同。</w:t>
      </w:r>
    </w:p>
    <w:p>
      <w:pPr>
        <w:pStyle w:val="2"/>
        <w:shd w:val="clear" w:color="auto" w:fill="auto"/>
        <w:spacing w:line="440" w:lineRule="exact"/>
        <w:ind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(2)有下列情形之一，合同一方可以解除合同：</w:t>
      </w:r>
    </w:p>
    <w:p>
      <w:pPr>
        <w:pStyle w:val="2"/>
        <w:shd w:val="clear" w:color="auto" w:fill="auto"/>
        <w:spacing w:line="440" w:lineRule="exact"/>
        <w:ind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&lt;1&gt;因不可抗力致使不能实现合同目的，未受不可抗力影响的一方有权解除合同；</w:t>
      </w:r>
    </w:p>
    <w:p>
      <w:pPr>
        <w:pStyle w:val="2"/>
        <w:shd w:val="clear" w:color="auto" w:fill="auto"/>
        <w:spacing w:line="440" w:lineRule="exact"/>
        <w:ind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&lt;2&gt;因合同一方违约导致合同不能履行，另一方有权解除合同。</w:t>
      </w:r>
    </w:p>
    <w:p>
      <w:pPr>
        <w:pStyle w:val="2"/>
        <w:shd w:val="clear" w:color="auto" w:fill="auto"/>
        <w:spacing w:line="440" w:lineRule="exact"/>
        <w:ind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(3)有权解除合同的一方，应当在违约事实或不可抗力发生之后三十天内书面通知对方以主张解除合同，合同在书面通知到达对方时解除。</w:t>
      </w:r>
    </w:p>
    <w:p>
      <w:pPr>
        <w:shd w:val="clear" w:color="auto" w:fill="auto"/>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19、合同的转让</w:t>
      </w:r>
    </w:p>
    <w:p>
      <w:pPr>
        <w:shd w:val="clear" w:color="auto" w:fill="auto"/>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合同的部分和全部都不得转让。</w:t>
      </w:r>
    </w:p>
    <w:p>
      <w:pPr>
        <w:shd w:val="clear" w:color="auto" w:fill="auto"/>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 合同的生效</w:t>
      </w:r>
    </w:p>
    <w:p>
      <w:pPr>
        <w:shd w:val="clear" w:color="auto" w:fill="auto"/>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20、合同的生效</w:t>
      </w:r>
    </w:p>
    <w:p>
      <w:pPr>
        <w:shd w:val="clear" w:color="auto" w:fill="auto"/>
        <w:spacing w:line="440" w:lineRule="exact"/>
        <w:ind w:firstLine="672" w:firstLineChars="2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本合同在双方签字盖章并在招标人收到中标人提交的履约保证金后，经招标采购管理部门备案后生效。</w:t>
      </w:r>
    </w:p>
    <w:p>
      <w:pPr>
        <w:shd w:val="clear" w:color="auto" w:fill="auto"/>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十一. 争议解决</w:t>
      </w:r>
    </w:p>
    <w:p>
      <w:pPr>
        <w:shd w:val="clear" w:color="auto" w:fill="auto"/>
        <w:spacing w:line="440" w:lineRule="exact"/>
        <w:ind w:firstLine="243"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21、争议解决</w:t>
      </w:r>
    </w:p>
    <w:p>
      <w:pPr>
        <w:pStyle w:val="2"/>
        <w:shd w:val="clear" w:color="auto" w:fill="auto"/>
        <w:overflowPunct w:val="0"/>
        <w:spacing w:line="440" w:lineRule="exact"/>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 xml:space="preserve"> 买卖双方因合同发生争议，进行调解，协商不成，可选择：</w:t>
      </w:r>
    </w:p>
    <w:p>
      <w:pPr>
        <w:pStyle w:val="2"/>
        <w:shd w:val="clear" w:color="auto" w:fill="auto"/>
        <w:overflowPunct w:val="0"/>
        <w:spacing w:line="440" w:lineRule="exact"/>
        <w:ind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(1)双方同时申请仲裁；</w:t>
      </w:r>
    </w:p>
    <w:p>
      <w:pPr>
        <w:pStyle w:val="2"/>
        <w:shd w:val="clear" w:color="auto" w:fill="auto"/>
        <w:tabs>
          <w:tab w:val="left" w:pos="900"/>
        </w:tabs>
        <w:overflowPunct w:val="0"/>
        <w:spacing w:line="440" w:lineRule="exact"/>
        <w:ind w:firstLine="607" w:firstLineChars="250"/>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(2)向买方所在地人民法院提起诉讼。</w:t>
      </w:r>
    </w:p>
    <w:p>
      <w:pPr>
        <w:shd w:val="clear" w:color="auto" w:fill="auto"/>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十二 .附则</w:t>
      </w:r>
    </w:p>
    <w:p>
      <w:pPr>
        <w:shd w:val="clear" w:color="auto" w:fill="auto"/>
        <w:spacing w:line="440" w:lineRule="exact"/>
        <w:ind w:firstLine="243"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22、合同份数。</w:t>
      </w:r>
    </w:p>
    <w:p>
      <w:pPr>
        <w:shd w:val="clear" w:color="auto" w:fill="auto"/>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本合同一式陆份，买卖双方各执二份，招标代理机构一份，招标采购管理部门一份。</w:t>
      </w:r>
    </w:p>
    <w:p>
      <w:pPr>
        <w:shd w:val="clear" w:color="auto" w:fill="auto"/>
        <w:spacing w:line="440" w:lineRule="exact"/>
        <w:ind w:firstLine="243"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23、未尽事宜</w:t>
      </w:r>
    </w:p>
    <w:p>
      <w:pPr>
        <w:shd w:val="clear" w:color="auto" w:fill="auto"/>
        <w:spacing w:line="440" w:lineRule="exact"/>
        <w:ind w:firstLine="607" w:firstLineChars="250"/>
        <w:rPr>
          <w:rFonts w:hint="eastAsia" w:ascii="宋体" w:cs="宋体"/>
          <w:color w:val="auto"/>
          <w:szCs w:val="21"/>
          <w:highlight w:val="none"/>
        </w:rPr>
      </w:pPr>
      <w:r>
        <w:rPr>
          <w:rFonts w:hint="eastAsia" w:ascii="仿宋" w:hAnsi="仿宋" w:eastAsia="仿宋" w:cs="仿宋"/>
          <w:color w:val="auto"/>
          <w:sz w:val="24"/>
          <w:szCs w:val="24"/>
          <w:highlight w:val="none"/>
        </w:rPr>
        <w:t>本合同未尽事宜应按《中华人民共和国政府采购法》、《中华人民共和国合同法》、《中华人民共和国产品质量法》之规定解释。</w:t>
      </w:r>
    </w:p>
    <w:p>
      <w:pPr>
        <w:pStyle w:val="8"/>
        <w:numPr>
          <w:ilvl w:val="0"/>
          <w:numId w:val="0"/>
        </w:numPr>
        <w:tabs>
          <w:tab w:val="left" w:pos="780"/>
        </w:tabs>
        <w:ind w:leftChars="0"/>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b/>
          <w:bCs/>
          <w:color w:val="000000" w:themeColor="text1"/>
          <w14:textFill>
            <w14:solidFill>
              <w14:schemeClr w14:val="tx1"/>
            </w14:solidFill>
          </w14:textFill>
        </w:rPr>
      </w:pPr>
    </w:p>
    <w:p>
      <w:pPr>
        <w:pStyle w:val="5"/>
        <w:rPr>
          <w:rFonts w:hint="eastAsia" w:ascii="仿宋" w:hAnsi="仿宋" w:eastAsia="仿宋" w:cs="仿宋"/>
          <w:b/>
          <w:bCs/>
          <w:color w:val="000000" w:themeColor="text1"/>
          <w14:textFill>
            <w14:solidFill>
              <w14:schemeClr w14:val="tx1"/>
            </w14:solidFill>
          </w14:textFill>
        </w:rPr>
      </w:pPr>
    </w:p>
    <w:p>
      <w:pPr>
        <w:rPr>
          <w:rFonts w:hint="eastAsia" w:ascii="仿宋" w:hAnsi="仿宋" w:eastAsia="仿宋" w:cs="仿宋"/>
          <w:b/>
          <w:bCs/>
          <w:color w:val="000000" w:themeColor="text1"/>
          <w14:textFill>
            <w14:solidFill>
              <w14:schemeClr w14:val="tx1"/>
            </w14:solidFill>
          </w14:textFill>
        </w:rPr>
      </w:pPr>
    </w:p>
    <w:p>
      <w:pPr>
        <w:pStyle w:val="5"/>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5"/>
        <w:keepNext/>
        <w:keepLines/>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25"/>
        <w:rPr>
          <w:rFonts w:hint="eastAsia" w:ascii="仿宋" w:hAnsi="仿宋" w:eastAsia="仿宋" w:cs="仿宋"/>
          <w:color w:val="000000" w:themeColor="text1"/>
          <w14:textFill>
            <w14:solidFill>
              <w14:schemeClr w14:val="tx1"/>
            </w14:solidFill>
          </w14:textFill>
        </w:rPr>
      </w:pPr>
    </w:p>
    <w:p>
      <w:pPr>
        <w:pStyle w:val="25"/>
        <w:ind w:left="0" w:leftChars="0" w:firstLine="0" w:firstLineChars="0"/>
        <w:rPr>
          <w:rFonts w:hint="eastAsia" w:ascii="仿宋" w:hAnsi="仿宋" w:eastAsia="仿宋" w:cs="仿宋"/>
          <w:color w:val="000000" w:themeColor="text1"/>
          <w14:textFill>
            <w14:solidFill>
              <w14:schemeClr w14:val="tx1"/>
            </w14:solidFill>
          </w14:textFill>
        </w:rPr>
      </w:pPr>
    </w:p>
    <w:p>
      <w:pPr>
        <w:pStyle w:val="25"/>
        <w:rPr>
          <w:rFonts w:hint="eastAsia" w:ascii="仿宋" w:hAnsi="仿宋" w:eastAsia="仿宋" w:cs="仿宋"/>
          <w:color w:val="000000" w:themeColor="text1"/>
          <w14:textFill>
            <w14:solidFill>
              <w14:schemeClr w14:val="tx1"/>
            </w14:solidFill>
          </w14:textFill>
        </w:rPr>
      </w:pPr>
    </w:p>
    <w:p>
      <w:pPr>
        <w:pStyle w:val="25"/>
        <w:rPr>
          <w:rFonts w:hint="eastAsia" w:ascii="仿宋" w:hAnsi="仿宋" w:eastAsia="仿宋" w:cs="仿宋"/>
          <w:color w:val="000000" w:themeColor="text1"/>
          <w14:textFill>
            <w14:solidFill>
              <w14:schemeClr w14:val="tx1"/>
            </w14:solidFill>
          </w14:textFill>
        </w:rPr>
      </w:pPr>
    </w:p>
    <w:p>
      <w:pPr>
        <w:pStyle w:val="25"/>
        <w:rPr>
          <w:rFonts w:hint="eastAsia" w:ascii="仿宋" w:hAnsi="仿宋" w:eastAsia="仿宋" w:cs="仿宋"/>
          <w:color w:val="000000" w:themeColor="text1"/>
          <w14:textFill>
            <w14:solidFill>
              <w14:schemeClr w14:val="tx1"/>
            </w14:solidFill>
          </w14:textFill>
        </w:rPr>
      </w:pPr>
    </w:p>
    <w:p>
      <w:pPr>
        <w:pStyle w:val="25"/>
        <w:rPr>
          <w:rFonts w:hint="eastAsia" w:ascii="仿宋" w:hAnsi="仿宋" w:eastAsia="仿宋" w:cs="仿宋"/>
          <w:color w:val="000000" w:themeColor="text1"/>
          <w14:textFill>
            <w14:solidFill>
              <w14:schemeClr w14:val="tx1"/>
            </w14:solidFill>
          </w14:textFill>
        </w:rPr>
      </w:pPr>
    </w:p>
    <w:p>
      <w:pPr>
        <w:pStyle w:val="25"/>
        <w:rPr>
          <w:rFonts w:hint="eastAsia" w:ascii="仿宋" w:hAnsi="仿宋" w:eastAsia="仿宋" w:cs="仿宋"/>
          <w:color w:val="000000" w:themeColor="text1"/>
          <w14:textFill>
            <w14:solidFill>
              <w14:schemeClr w14:val="tx1"/>
            </w14:solidFill>
          </w14:textFill>
        </w:rPr>
      </w:pPr>
    </w:p>
    <w:p>
      <w:pPr>
        <w:pStyle w:val="25"/>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29"/>
        <w:keepNext/>
        <w:keepLines/>
        <w:widowControl w:val="0"/>
        <w:shd w:val="clear" w:color="auto" w:fill="auto"/>
        <w:bidi w:val="0"/>
        <w:spacing w:before="0" w:after="1160" w:line="240" w:lineRule="auto"/>
        <w:ind w:left="0" w:right="0" w:firstLine="0"/>
        <w:jc w:val="center"/>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pacing w:val="0"/>
          <w:w w:val="100"/>
          <w:position w:val="0"/>
          <w:sz w:val="36"/>
          <w:szCs w:val="36"/>
          <w14:textFill>
            <w14:solidFill>
              <w14:schemeClr w14:val="tx1"/>
            </w14:solidFill>
          </w14:textFill>
        </w:rPr>
        <w:t>第</w:t>
      </w:r>
      <w:r>
        <w:rPr>
          <w:rFonts w:hint="eastAsia" w:ascii="仿宋" w:hAnsi="仿宋" w:eastAsia="仿宋" w:cs="仿宋"/>
          <w:b/>
          <w:bCs/>
          <w:color w:val="000000" w:themeColor="text1"/>
          <w:spacing w:val="0"/>
          <w:w w:val="100"/>
          <w:position w:val="0"/>
          <w:sz w:val="36"/>
          <w:szCs w:val="36"/>
          <w:lang w:eastAsia="zh-CN"/>
          <w14:textFill>
            <w14:solidFill>
              <w14:schemeClr w14:val="tx1"/>
            </w14:solidFill>
          </w14:textFill>
        </w:rPr>
        <w:t>六</w:t>
      </w:r>
      <w:r>
        <w:rPr>
          <w:rFonts w:hint="eastAsia" w:ascii="仿宋" w:hAnsi="仿宋" w:eastAsia="仿宋" w:cs="仿宋"/>
          <w:b/>
          <w:bCs/>
          <w:color w:val="000000" w:themeColor="text1"/>
          <w:spacing w:val="0"/>
          <w:w w:val="100"/>
          <w:position w:val="0"/>
          <w:sz w:val="36"/>
          <w:szCs w:val="36"/>
          <w14:textFill>
            <w14:solidFill>
              <w14:schemeClr w14:val="tx1"/>
            </w14:solidFill>
          </w14:textFill>
        </w:rPr>
        <w:t>部分</w:t>
      </w:r>
      <w:r>
        <w:rPr>
          <w:rFonts w:hint="eastAsia" w:ascii="仿宋" w:hAnsi="仿宋" w:eastAsia="仿宋" w:cs="仿宋"/>
          <w:b/>
          <w:bCs/>
          <w:color w:val="000000" w:themeColor="text1"/>
          <w:spacing w:val="0"/>
          <w:w w:val="100"/>
          <w:position w:val="0"/>
          <w:sz w:val="36"/>
          <w:szCs w:val="36"/>
          <w:lang w:val="en-US" w:eastAsia="zh-CN"/>
          <w14:textFill>
            <w14:solidFill>
              <w14:schemeClr w14:val="tx1"/>
            </w14:solidFill>
          </w14:textFill>
        </w:rPr>
        <w:t xml:space="preserve">  </w:t>
      </w:r>
      <w:r>
        <w:rPr>
          <w:rFonts w:hint="eastAsia" w:ascii="仿宋" w:hAnsi="仿宋" w:eastAsia="仿宋" w:cs="仿宋"/>
          <w:b/>
          <w:bCs/>
          <w:color w:val="000000" w:themeColor="text1"/>
          <w:spacing w:val="0"/>
          <w:w w:val="100"/>
          <w:position w:val="0"/>
          <w:sz w:val="36"/>
          <w:szCs w:val="36"/>
          <w14:textFill>
            <w14:solidFill>
              <w14:schemeClr w14:val="tx1"/>
            </w14:solidFill>
          </w14:textFill>
        </w:rPr>
        <w:t>投标文件格式</w:t>
      </w:r>
    </w:p>
    <w:p>
      <w:pPr>
        <w:adjustRightInd w:val="0"/>
        <w:snapToGrid w:val="0"/>
        <w:spacing w:line="360" w:lineRule="auto"/>
        <w:ind w:left="602" w:right="70" w:hanging="602"/>
        <w:jc w:val="right"/>
        <w:rPr>
          <w:rFonts w:hint="eastAsia" w:ascii="仿宋" w:hAnsi="仿宋" w:eastAsia="仿宋" w:cs="仿宋"/>
          <w:b/>
          <w:bCs/>
          <w:color w:val="000000" w:themeColor="text1"/>
          <w:sz w:val="28"/>
          <w:szCs w:val="28"/>
          <w:bdr w:val="single" w:color="auto" w:sz="4" w:space="0"/>
          <w14:textFill>
            <w14:solidFill>
              <w14:schemeClr w14:val="tx1"/>
            </w14:solidFill>
          </w14:textFill>
        </w:rPr>
      </w:pPr>
      <w:bookmarkStart w:id="67" w:name="bookmark196"/>
      <w:r>
        <w:rPr>
          <w:rFonts w:hint="eastAsia" w:ascii="仿宋" w:hAnsi="仿宋" w:eastAsia="仿宋" w:cs="仿宋"/>
          <w:b/>
          <w:bCs/>
          <w:color w:val="000000" w:themeColor="text1"/>
          <w:sz w:val="28"/>
          <w:szCs w:val="28"/>
          <w:bdr w:val="single" w:color="auto" w:sz="4" w:space="0"/>
          <w14:textFill>
            <w14:solidFill>
              <w14:schemeClr w14:val="tx1"/>
            </w14:solidFill>
          </w14:textFill>
        </w:rPr>
        <w:t>正/副 本</w:t>
      </w:r>
    </w:p>
    <w:p>
      <w:pPr>
        <w:adjustRightInd w:val="0"/>
        <w:snapToGrid w:val="0"/>
        <w:spacing w:line="360" w:lineRule="auto"/>
        <w:jc w:val="center"/>
        <w:rPr>
          <w:rFonts w:hint="eastAsia" w:ascii="仿宋" w:hAnsi="仿宋" w:eastAsia="仿宋" w:cs="仿宋"/>
          <w:b/>
          <w:caps/>
          <w:color w:val="000000" w:themeColor="text1"/>
          <w:sz w:val="24"/>
          <w:szCs w:val="24"/>
          <w14:textFill>
            <w14:solidFill>
              <w14:schemeClr w14:val="tx1"/>
            </w14:solidFill>
          </w14:textFill>
        </w:rPr>
      </w:pPr>
    </w:p>
    <w:p>
      <w:pPr>
        <w:adjustRightInd w:val="0"/>
        <w:snapToGrid w:val="0"/>
        <w:spacing w:line="360" w:lineRule="auto"/>
        <w:jc w:val="center"/>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
          <w:caps/>
          <w:color w:val="000000" w:themeColor="text1"/>
          <w:sz w:val="32"/>
          <w:szCs w:val="32"/>
          <w14:textFill>
            <w14:solidFill>
              <w14:schemeClr w14:val="tx1"/>
            </w14:solidFill>
          </w14:textFill>
        </w:rPr>
        <w:t>（项目名称）</w:t>
      </w:r>
    </w:p>
    <w:p>
      <w:pPr>
        <w:adjustRightInd w:val="0"/>
        <w:snapToGrid w:val="0"/>
        <w:spacing w:line="360" w:lineRule="auto"/>
        <w:jc w:val="both"/>
        <w:rPr>
          <w:rFonts w:hint="eastAsia" w:ascii="仿宋" w:hAnsi="仿宋" w:eastAsia="仿宋" w:cs="仿宋"/>
          <w:bCs/>
          <w:color w:val="000000" w:themeColor="text1"/>
          <w:sz w:val="32"/>
          <w:szCs w:val="32"/>
          <w14:textFill>
            <w14:solidFill>
              <w14:schemeClr w14:val="tx1"/>
            </w14:solidFill>
          </w14:textFill>
        </w:rPr>
      </w:pPr>
    </w:p>
    <w:p>
      <w:pPr>
        <w:adjustRightInd w:val="0"/>
        <w:snapToGrid w:val="0"/>
        <w:spacing w:line="360" w:lineRule="auto"/>
        <w:jc w:val="center"/>
        <w:rPr>
          <w:rFonts w:hint="eastAsia" w:ascii="仿宋" w:hAnsi="仿宋" w:eastAsia="仿宋" w:cs="仿宋"/>
          <w:bCs/>
          <w:color w:val="000000" w:themeColor="text1"/>
          <w:sz w:val="32"/>
          <w:szCs w:val="32"/>
          <w14:textFill>
            <w14:solidFill>
              <w14:schemeClr w14:val="tx1"/>
            </w14:solidFill>
          </w14:textFill>
        </w:rPr>
      </w:pPr>
    </w:p>
    <w:p>
      <w:pPr>
        <w:adjustRightInd w:val="0"/>
        <w:snapToGrid w:val="0"/>
        <w:spacing w:line="360" w:lineRule="auto"/>
        <w:jc w:val="center"/>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44"/>
          <w:szCs w:val="44"/>
          <w:lang w:eastAsia="zh-CN"/>
          <w14:textFill>
            <w14:solidFill>
              <w14:schemeClr w14:val="tx1"/>
            </w14:solidFill>
          </w14:textFill>
        </w:rPr>
        <w:t>投标文件</w:t>
      </w:r>
    </w:p>
    <w:p>
      <w:pPr>
        <w:adjustRightInd w:val="0"/>
        <w:snapToGrid w:val="0"/>
        <w:spacing w:line="360" w:lineRule="auto"/>
        <w:jc w:val="center"/>
        <w:rPr>
          <w:rFonts w:hint="eastAsia" w:ascii="仿宋" w:hAnsi="仿宋" w:eastAsia="仿宋" w:cs="仿宋"/>
          <w:bCs/>
          <w:color w:val="000000" w:themeColor="text1"/>
          <w:sz w:val="32"/>
          <w:szCs w:val="32"/>
          <w14:textFill>
            <w14:solidFill>
              <w14:schemeClr w14:val="tx1"/>
            </w14:solidFill>
          </w14:textFill>
        </w:rPr>
      </w:pPr>
    </w:p>
    <w:p>
      <w:pPr>
        <w:adjustRightInd w:val="0"/>
        <w:snapToGrid w:val="0"/>
        <w:spacing w:line="360" w:lineRule="auto"/>
        <w:jc w:val="both"/>
        <w:rPr>
          <w:rFonts w:hint="eastAsia" w:ascii="仿宋" w:hAnsi="仿宋" w:eastAsia="仿宋" w:cs="仿宋"/>
          <w:bCs/>
          <w:color w:val="000000" w:themeColor="text1"/>
          <w:sz w:val="32"/>
          <w:szCs w:val="32"/>
          <w14:textFill>
            <w14:solidFill>
              <w14:schemeClr w14:val="tx1"/>
            </w14:solidFill>
          </w14:textFill>
        </w:rPr>
      </w:pP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0"/>
          <w:kern w:val="0"/>
          <w:sz w:val="28"/>
          <w:szCs w:val="28"/>
          <w:fitText w:val="2810" w:id="1470909418"/>
          <w14:textFill>
            <w14:solidFill>
              <w14:schemeClr w14:val="tx1"/>
            </w14:solidFill>
          </w14:textFill>
        </w:rPr>
        <w:t>供应商名称（公章）：</w:t>
      </w: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0"/>
          <w:w w:val="77"/>
          <w:kern w:val="0"/>
          <w:sz w:val="28"/>
          <w:szCs w:val="28"/>
          <w:fitText w:val="2810" w:id="1"/>
          <w14:textFill>
            <w14:solidFill>
              <w14:schemeClr w14:val="tx1"/>
            </w14:solidFill>
          </w14:textFill>
        </w:rPr>
        <w:t>法定代表人（</w:t>
      </w:r>
      <w:r>
        <w:rPr>
          <w:rFonts w:hint="eastAsia" w:ascii="仿宋" w:hAnsi="仿宋" w:eastAsia="仿宋" w:cs="仿宋"/>
          <w:b/>
          <w:caps/>
          <w:color w:val="000000" w:themeColor="text1"/>
          <w:spacing w:val="0"/>
          <w:w w:val="77"/>
          <w:kern w:val="0"/>
          <w:sz w:val="28"/>
          <w:szCs w:val="28"/>
          <w:fitText w:val="2810" w:id="1"/>
          <w:lang w:eastAsia="zh-CN"/>
          <w14:textFill>
            <w14:solidFill>
              <w14:schemeClr w14:val="tx1"/>
            </w14:solidFill>
          </w14:textFill>
        </w:rPr>
        <w:t>签章</w:t>
      </w:r>
      <w:r>
        <w:rPr>
          <w:rFonts w:hint="eastAsia" w:ascii="仿宋" w:hAnsi="仿宋" w:eastAsia="仿宋" w:cs="仿宋"/>
          <w:b/>
          <w:caps/>
          <w:color w:val="000000" w:themeColor="text1"/>
          <w:spacing w:val="0"/>
          <w:w w:val="77"/>
          <w:kern w:val="0"/>
          <w:sz w:val="28"/>
          <w:szCs w:val="28"/>
          <w:fitText w:val="2810" w:id="1"/>
          <w14:textFill>
            <w14:solidFill>
              <w14:schemeClr w14:val="tx1"/>
            </w14:solidFill>
          </w14:textFill>
        </w:rPr>
        <w:t>或盖章）</w:t>
      </w:r>
      <w:r>
        <w:rPr>
          <w:rFonts w:hint="eastAsia" w:ascii="仿宋" w:hAnsi="仿宋" w:eastAsia="仿宋" w:cs="仿宋"/>
          <w:b/>
          <w:caps/>
          <w:color w:val="000000" w:themeColor="text1"/>
          <w:spacing w:val="-1"/>
          <w:w w:val="77"/>
          <w:kern w:val="0"/>
          <w:sz w:val="28"/>
          <w:szCs w:val="28"/>
          <w:fitText w:val="2810" w:id="1"/>
          <w14:textFill>
            <w14:solidFill>
              <w14:schemeClr w14:val="tx1"/>
            </w14:solidFill>
          </w14:textFill>
        </w:rPr>
        <w:t>：</w:t>
      </w: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113"/>
          <w:kern w:val="0"/>
          <w:sz w:val="28"/>
          <w:szCs w:val="28"/>
          <w:fitText w:val="2810" w:id="2"/>
          <w14:textFill>
            <w14:solidFill>
              <w14:schemeClr w14:val="tx1"/>
            </w14:solidFill>
          </w14:textFill>
        </w:rPr>
        <w:t>供应商地址</w:t>
      </w:r>
      <w:r>
        <w:rPr>
          <w:rFonts w:hint="eastAsia" w:ascii="仿宋" w:hAnsi="仿宋" w:eastAsia="仿宋" w:cs="仿宋"/>
          <w:b/>
          <w:caps/>
          <w:color w:val="000000" w:themeColor="text1"/>
          <w:spacing w:val="0"/>
          <w:kern w:val="0"/>
          <w:sz w:val="28"/>
          <w:szCs w:val="28"/>
          <w:fitText w:val="2810" w:id="2"/>
          <w14:textFill>
            <w14:solidFill>
              <w14:schemeClr w14:val="tx1"/>
            </w14:solidFill>
          </w14:textFill>
        </w:rPr>
        <w:t>：</w:t>
      </w: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281"/>
          <w:kern w:val="0"/>
          <w:sz w:val="28"/>
          <w:szCs w:val="28"/>
          <w:fitText w:val="2810" w:id="3"/>
          <w14:textFill>
            <w14:solidFill>
              <w14:schemeClr w14:val="tx1"/>
            </w14:solidFill>
          </w14:textFill>
        </w:rPr>
        <w:t>联系人</w:t>
      </w:r>
      <w:r>
        <w:rPr>
          <w:rFonts w:hint="eastAsia" w:ascii="仿宋" w:hAnsi="仿宋" w:eastAsia="仿宋" w:cs="仿宋"/>
          <w:b/>
          <w:caps/>
          <w:color w:val="000000" w:themeColor="text1"/>
          <w:spacing w:val="2"/>
          <w:kern w:val="0"/>
          <w:sz w:val="28"/>
          <w:szCs w:val="28"/>
          <w:fitText w:val="2810" w:id="3"/>
          <w14:textFill>
            <w14:solidFill>
              <w14:schemeClr w14:val="tx1"/>
            </w14:solidFill>
          </w14:textFill>
        </w:rPr>
        <w:t>：</w:t>
      </w: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176"/>
          <w:kern w:val="0"/>
          <w:sz w:val="28"/>
          <w:szCs w:val="28"/>
          <w:fitText w:val="2810" w:id="4"/>
          <w14:textFill>
            <w14:solidFill>
              <w14:schemeClr w14:val="tx1"/>
            </w14:solidFill>
          </w14:textFill>
        </w:rPr>
        <w:t>联系电话</w:t>
      </w:r>
      <w:r>
        <w:rPr>
          <w:rFonts w:hint="eastAsia" w:ascii="仿宋" w:hAnsi="仿宋" w:eastAsia="仿宋" w:cs="仿宋"/>
          <w:b/>
          <w:caps/>
          <w:color w:val="000000" w:themeColor="text1"/>
          <w:spacing w:val="1"/>
          <w:kern w:val="0"/>
          <w:sz w:val="28"/>
          <w:szCs w:val="28"/>
          <w:fitText w:val="2810" w:id="4"/>
          <w14:textFill>
            <w14:solidFill>
              <w14:schemeClr w14:val="tx1"/>
            </w14:solidFill>
          </w14:textFill>
        </w:rPr>
        <w:t>：</w:t>
      </w:r>
    </w:p>
    <w:p>
      <w:pPr>
        <w:adjustRightInd w:val="0"/>
        <w:snapToGrid w:val="0"/>
        <w:spacing w:line="360" w:lineRule="auto"/>
        <w:jc w:val="center"/>
        <w:rPr>
          <w:rFonts w:hint="eastAsia" w:ascii="仿宋" w:hAnsi="仿宋" w:eastAsia="仿宋" w:cs="仿宋"/>
          <w:b/>
          <w:caps/>
          <w:color w:val="000000" w:themeColor="text1"/>
          <w:sz w:val="28"/>
          <w:szCs w:val="28"/>
          <w14:textFill>
            <w14:solidFill>
              <w14:schemeClr w14:val="tx1"/>
            </w14:solidFill>
          </w14:textFill>
        </w:rPr>
      </w:pPr>
    </w:p>
    <w:p>
      <w:pPr>
        <w:adjustRightInd w:val="0"/>
        <w:snapToGrid w:val="0"/>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_</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_年__</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_月__</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_日</w:t>
      </w:r>
    </w:p>
    <w:p>
      <w:pPr>
        <w:pStyle w:val="31"/>
        <w:keepNext w:val="0"/>
        <w:keepLines w:val="0"/>
        <w:widowControl w:val="0"/>
        <w:shd w:val="clear" w:color="auto" w:fill="auto"/>
        <w:bidi w:val="0"/>
        <w:spacing w:before="0" w:after="340" w:line="240" w:lineRule="auto"/>
        <w:ind w:left="0" w:right="0" w:firstLine="0"/>
        <w:jc w:val="left"/>
        <w:rPr>
          <w:rFonts w:hint="eastAsia" w:ascii="仿宋" w:hAnsi="仿宋" w:eastAsia="仿宋" w:cs="仿宋"/>
          <w:color w:val="000000" w:themeColor="text1"/>
          <w:spacing w:val="0"/>
          <w:w w:val="100"/>
          <w:position w:val="0"/>
          <w14:textFill>
            <w14:solidFill>
              <w14:schemeClr w14:val="tx1"/>
            </w14:solidFill>
          </w14:textFill>
        </w:rPr>
      </w:pPr>
    </w:p>
    <w:p>
      <w:pPr>
        <w:pStyle w:val="31"/>
        <w:keepNext w:val="0"/>
        <w:keepLines w:val="0"/>
        <w:widowControl w:val="0"/>
        <w:shd w:val="clear" w:color="auto" w:fill="auto"/>
        <w:bidi w:val="0"/>
        <w:spacing w:before="0" w:after="340" w:line="240" w:lineRule="auto"/>
        <w:ind w:left="0" w:right="0" w:firstLine="0"/>
        <w:jc w:val="left"/>
        <w:rPr>
          <w:rFonts w:hint="eastAsia" w:ascii="仿宋" w:hAnsi="仿宋" w:eastAsia="仿宋" w:cs="仿宋"/>
          <w:color w:val="000000" w:themeColor="text1"/>
          <w:spacing w:val="0"/>
          <w:w w:val="100"/>
          <w:position w:val="0"/>
          <w14:textFill>
            <w14:solidFill>
              <w14:schemeClr w14:val="tx1"/>
            </w14:solidFill>
          </w14:textFill>
        </w:rPr>
      </w:pPr>
    </w:p>
    <w:p>
      <w:pPr>
        <w:pStyle w:val="4"/>
        <w:numPr>
          <w:ilvl w:val="0"/>
          <w:numId w:val="0"/>
        </w:numPr>
        <w:shd w:val="clear" w:color="auto" w:fill="auto"/>
        <w:spacing w:before="0" w:line="240" w:lineRule="atLeast"/>
        <w:rPr>
          <w:rFonts w:hint="eastAsia" w:ascii="仿宋" w:hAnsi="仿宋" w:eastAsia="仿宋" w:cs="仿宋"/>
          <w:b/>
          <w:bCs/>
          <w:color w:val="000000" w:themeColor="text1"/>
          <w:sz w:val="28"/>
          <w:szCs w:val="21"/>
          <w:highlight w:val="none"/>
          <w14:textFill>
            <w14:solidFill>
              <w14:schemeClr w14:val="tx1"/>
            </w14:solidFill>
          </w14:textFill>
        </w:rPr>
      </w:pPr>
    </w:p>
    <w:p>
      <w:pPr>
        <w:pStyle w:val="4"/>
        <w:numPr>
          <w:ilvl w:val="0"/>
          <w:numId w:val="0"/>
        </w:numPr>
        <w:shd w:val="clear" w:color="auto" w:fill="auto"/>
        <w:spacing w:before="0" w:line="240" w:lineRule="atLeast"/>
        <w:rPr>
          <w:rFonts w:hint="eastAsia" w:ascii="仿宋" w:hAnsi="仿宋" w:eastAsia="仿宋" w:cs="仿宋"/>
          <w:color w:val="000000" w:themeColor="text1"/>
          <w:sz w:val="28"/>
          <w:szCs w:val="21"/>
          <w:highlight w:val="none"/>
          <w14:textFill>
            <w14:solidFill>
              <w14:schemeClr w14:val="tx1"/>
            </w14:solidFill>
          </w14:textFill>
        </w:rPr>
      </w:pPr>
      <w:r>
        <w:rPr>
          <w:rFonts w:hint="eastAsia" w:ascii="仿宋" w:hAnsi="仿宋" w:eastAsia="仿宋" w:cs="仿宋"/>
          <w:b/>
          <w:bCs/>
          <w:color w:val="000000" w:themeColor="text1"/>
          <w:sz w:val="28"/>
          <w:szCs w:val="21"/>
          <w:highlight w:val="none"/>
          <w14:textFill>
            <w14:solidFill>
              <w14:schemeClr w14:val="tx1"/>
            </w14:solidFill>
          </w14:textFill>
        </w:rPr>
        <w:t>第一部分 资格证明文件</w:t>
      </w:r>
    </w:p>
    <w:p>
      <w:pPr>
        <w:pStyle w:val="31"/>
        <w:keepNext w:val="0"/>
        <w:keepLines w:val="0"/>
        <w:widowControl w:val="0"/>
        <w:shd w:val="clear" w:color="auto" w:fill="auto"/>
        <w:bidi w:val="0"/>
        <w:spacing w:before="0" w:after="340" w:line="240" w:lineRule="auto"/>
        <w:ind w:left="0" w:right="0" w:firstLine="0"/>
        <w:jc w:val="left"/>
        <w:rPr>
          <w:rFonts w:hint="eastAsia" w:ascii="仿宋" w:hAnsi="仿宋" w:eastAsia="仿宋" w:cs="仿宋"/>
          <w:color w:val="000000" w:themeColor="text1"/>
          <w:spacing w:val="0"/>
          <w:w w:val="100"/>
          <w:position w:val="0"/>
          <w14:textFill>
            <w14:solidFill>
              <w14:schemeClr w14:val="tx1"/>
            </w14:solidFill>
          </w14:textFill>
        </w:rPr>
      </w:pPr>
    </w:p>
    <w:bookmarkEnd w:id="67"/>
    <w:p>
      <w:pPr>
        <w:pStyle w:val="4"/>
        <w:numPr>
          <w:ilvl w:val="0"/>
          <w:numId w:val="0"/>
        </w:numPr>
        <w:shd w:val="clear" w:color="auto" w:fill="auto"/>
        <w:spacing w:before="0" w:line="240" w:lineRule="atLeast"/>
        <w:rPr>
          <w:rFonts w:hint="eastAsia" w:ascii="仿宋" w:hAnsi="仿宋" w:eastAsia="仿宋" w:cs="仿宋"/>
          <w:b/>
          <w:bCs/>
          <w:color w:val="000000" w:themeColor="text1"/>
          <w:sz w:val="24"/>
          <w:highlight w:val="none"/>
          <w14:textFill>
            <w14:solidFill>
              <w14:schemeClr w14:val="tx1"/>
            </w14:solidFill>
          </w14:textFill>
        </w:rPr>
      </w:pPr>
      <w:bookmarkStart w:id="68" w:name="_Toc18974"/>
      <w:bookmarkStart w:id="69" w:name="_Toc515647803"/>
      <w:bookmarkStart w:id="70" w:name="_Toc8919"/>
      <w:bookmarkStart w:id="71" w:name="_Toc18694"/>
    </w:p>
    <w:bookmarkEnd w:id="68"/>
    <w:bookmarkEnd w:id="69"/>
    <w:bookmarkEnd w:id="70"/>
    <w:bookmarkEnd w:id="71"/>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、法人或者非法人组织的营业执照等证明文件复印件（须加盖本单位章）或自然人的身份证明复印件;</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、法定代表人资格证明书</w:t>
      </w:r>
      <w:r>
        <w:rPr>
          <w:rFonts w:hint="eastAsia" w:ascii="仿宋" w:hAnsi="仿宋" w:eastAsia="仿宋" w:cs="仿宋"/>
          <w:color w:val="000000" w:themeColor="text1"/>
          <w:sz w:val="24"/>
          <w:highlight w:val="none"/>
          <w:lang w:eastAsia="zh-CN"/>
          <w14:textFill>
            <w14:solidFill>
              <w14:schemeClr w14:val="tx1"/>
            </w14:solidFill>
          </w14:textFill>
        </w:rPr>
        <w:t>；</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法定代表人授权书</w:t>
      </w:r>
      <w:r>
        <w:rPr>
          <w:rFonts w:hint="eastAsia" w:ascii="仿宋" w:hAnsi="仿宋" w:eastAsia="仿宋" w:cs="仿宋"/>
          <w:color w:val="000000" w:themeColor="text1"/>
          <w:sz w:val="24"/>
          <w:highlight w:val="none"/>
          <w:lang w:eastAsia="zh-CN"/>
          <w14:textFill>
            <w14:solidFill>
              <w14:schemeClr w14:val="tx1"/>
            </w14:solidFill>
          </w14:textFill>
        </w:rPr>
        <w:t>；</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4、投标保证金收据或投标担保函；</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投</w:t>
      </w:r>
      <w:r>
        <w:rPr>
          <w:rFonts w:hint="eastAsia" w:ascii="仿宋" w:hAnsi="仿宋" w:eastAsia="仿宋" w:cs="仿宋"/>
          <w:color w:val="000000" w:themeColor="text1"/>
          <w:sz w:val="24"/>
          <w:highlight w:val="none"/>
          <w14:textFill>
            <w14:solidFill>
              <w14:schemeClr w14:val="tx1"/>
            </w14:solidFill>
          </w14:textFill>
        </w:rPr>
        <w:t>标企业须提供投标人（</w:t>
      </w:r>
      <w:r>
        <w:rPr>
          <w:rFonts w:hint="eastAsia" w:ascii="仿宋" w:hAnsi="仿宋" w:eastAsia="仿宋" w:cs="仿宋"/>
          <w:color w:val="000000" w:themeColor="text1"/>
          <w:sz w:val="24"/>
          <w:highlight w:val="none"/>
          <w:lang w:eastAsia="zh-CN"/>
          <w14:textFill>
            <w14:solidFill>
              <w14:schemeClr w14:val="tx1"/>
            </w14:solidFill>
          </w14:textFill>
        </w:rPr>
        <w:t>被授权本单位在职人员</w:t>
      </w:r>
      <w:r>
        <w:rPr>
          <w:rFonts w:hint="eastAsia" w:ascii="仿宋" w:hAnsi="仿宋" w:eastAsia="仿宋" w:cs="仿宋"/>
          <w:color w:val="000000" w:themeColor="text1"/>
          <w:sz w:val="24"/>
          <w:highlight w:val="none"/>
          <w14:textFill>
            <w14:solidFill>
              <w14:schemeClr w14:val="tx1"/>
            </w14:solidFill>
          </w14:textFill>
        </w:rPr>
        <w:t>）近6个月有效的社保证明;</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0"/>
          <w:w w:val="100"/>
          <w:kern w:val="0"/>
          <w:position w:val="0"/>
          <w:sz w:val="24"/>
          <w:szCs w:val="24"/>
          <w:highlight w:val="none"/>
          <w:shd w:val="clear" w:color="auto" w:fill="auto"/>
          <w:lang w:val="en-US" w:eastAsia="zh-CN" w:bidi="en-US"/>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参加政府采购活动前3年内在经营活动中没有重大违法记录的书面声明;</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pacing w:val="0"/>
          <w:w w:val="100"/>
          <w:kern w:val="0"/>
          <w:position w:val="0"/>
          <w:sz w:val="24"/>
          <w:szCs w:val="24"/>
          <w:highlight w:val="none"/>
          <w:shd w:val="clear" w:color="auto" w:fill="auto"/>
          <w:lang w:val="en-US" w:eastAsia="en-US" w:bidi="en-US"/>
          <w14:textFill>
            <w14:solidFill>
              <w14:schemeClr w14:val="tx1"/>
            </w14:solidFill>
          </w14:textFill>
        </w:rPr>
      </w:pPr>
      <w:r>
        <w:rPr>
          <w:rFonts w:hint="eastAsia" w:ascii="仿宋" w:hAnsi="仿宋" w:eastAsia="仿宋" w:cs="仿宋"/>
          <w:color w:val="000000" w:themeColor="text1"/>
          <w:spacing w:val="0"/>
          <w:w w:val="100"/>
          <w:kern w:val="0"/>
          <w:position w:val="0"/>
          <w:sz w:val="24"/>
          <w:szCs w:val="24"/>
          <w:highlight w:val="none"/>
          <w:shd w:val="clear" w:color="auto" w:fill="auto"/>
          <w:lang w:val="en-US" w:eastAsia="zh-CN" w:bidi="en-US"/>
          <w14:textFill>
            <w14:solidFill>
              <w14:schemeClr w14:val="tx1"/>
            </w14:solidFill>
          </w14:textFill>
        </w:rPr>
        <w:t>8、</w:t>
      </w:r>
      <w:r>
        <w:rPr>
          <w:rFonts w:hint="eastAsia" w:ascii="仿宋" w:hAnsi="仿宋" w:eastAsia="仿宋" w:cs="仿宋"/>
          <w:color w:val="000000" w:themeColor="text1"/>
          <w:spacing w:val="0"/>
          <w:w w:val="100"/>
          <w:kern w:val="0"/>
          <w:position w:val="0"/>
          <w:sz w:val="24"/>
          <w:szCs w:val="24"/>
          <w:highlight w:val="none"/>
          <w:shd w:val="clear" w:color="auto" w:fill="auto"/>
          <w:lang w:val="en-US" w:eastAsia="en-US" w:bidi="en-US"/>
          <w14:textFill>
            <w14:solidFill>
              <w14:schemeClr w14:val="tx1"/>
            </w14:solidFill>
          </w14:textFill>
        </w:rPr>
        <w:t>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、投标人须知资料表要求的其他资格证明文件;</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14:textFill>
            <w14:solidFill>
              <w14:schemeClr w14:val="tx1"/>
            </w14:solidFill>
          </w14:textFill>
        </w:rPr>
      </w:pPr>
    </w:p>
    <w:p>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000000" w:themeColor="text1"/>
          <w:sz w:val="36"/>
          <w:szCs w:val="36"/>
          <w14:textFill>
            <w14:solidFill>
              <w14:schemeClr w14:val="tx1"/>
            </w14:solidFill>
          </w14:textFill>
        </w:rPr>
      </w:pPr>
    </w:p>
    <w:p>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000000" w:themeColor="text1"/>
          <w:sz w:val="36"/>
          <w:szCs w:val="36"/>
          <w14:textFill>
            <w14:solidFill>
              <w14:schemeClr w14:val="tx1"/>
            </w14:solidFill>
          </w14:textFill>
        </w:rPr>
      </w:pPr>
    </w:p>
    <w:p>
      <w:pPr>
        <w:rPr>
          <w:rFonts w:hint="eastAsia" w:ascii="仿宋" w:hAnsi="仿宋" w:eastAsia="仿宋" w:cs="仿宋"/>
          <w:b/>
          <w:bCs/>
          <w:color w:val="000000" w:themeColor="text1"/>
          <w:sz w:val="36"/>
          <w:szCs w:val="36"/>
          <w14:textFill>
            <w14:solidFill>
              <w14:schemeClr w14:val="tx1"/>
            </w14:solidFill>
          </w14:textFill>
        </w:rPr>
      </w:pPr>
    </w:p>
    <w:p>
      <w:pPr>
        <w:pStyle w:val="25"/>
        <w:rPr>
          <w:rFonts w:hint="eastAsia" w:ascii="仿宋" w:hAnsi="仿宋" w:eastAsia="仿宋" w:cs="仿宋"/>
          <w:b/>
          <w:bCs/>
          <w:color w:val="000000" w:themeColor="text1"/>
          <w:sz w:val="36"/>
          <w:szCs w:val="36"/>
          <w14:textFill>
            <w14:solidFill>
              <w14:schemeClr w14:val="tx1"/>
            </w14:solidFill>
          </w14:textFill>
        </w:rPr>
      </w:pPr>
    </w:p>
    <w:p>
      <w:pPr>
        <w:pStyle w:val="25"/>
        <w:rPr>
          <w:rFonts w:hint="eastAsia" w:ascii="仿宋" w:hAnsi="仿宋" w:eastAsia="仿宋" w:cs="仿宋"/>
          <w:b/>
          <w:bCs/>
          <w:color w:val="000000" w:themeColor="text1"/>
          <w:sz w:val="36"/>
          <w:szCs w:val="36"/>
          <w14:textFill>
            <w14:solidFill>
              <w14:schemeClr w14:val="tx1"/>
            </w14:solidFill>
          </w14:textFill>
        </w:rPr>
      </w:pPr>
    </w:p>
    <w:p>
      <w:pPr>
        <w:pStyle w:val="25"/>
        <w:rPr>
          <w:rFonts w:hint="eastAsia" w:ascii="仿宋" w:hAnsi="仿宋" w:eastAsia="仿宋" w:cs="仿宋"/>
          <w:b/>
          <w:bCs/>
          <w:color w:val="000000" w:themeColor="text1"/>
          <w:sz w:val="36"/>
          <w:szCs w:val="36"/>
          <w14:textFill>
            <w14:solidFill>
              <w14:schemeClr w14:val="tx1"/>
            </w14:solidFill>
          </w14:textFill>
        </w:rPr>
      </w:pPr>
    </w:p>
    <w:p>
      <w:pPr>
        <w:pStyle w:val="25"/>
        <w:rPr>
          <w:rFonts w:hint="eastAsia" w:ascii="仿宋" w:hAnsi="仿宋" w:eastAsia="仿宋" w:cs="仿宋"/>
          <w:b/>
          <w:bCs/>
          <w:color w:val="000000" w:themeColor="text1"/>
          <w:sz w:val="36"/>
          <w:szCs w:val="36"/>
          <w14:textFill>
            <w14:solidFill>
              <w14:schemeClr w14:val="tx1"/>
            </w14:solidFill>
          </w14:textFill>
        </w:rPr>
      </w:pPr>
    </w:p>
    <w:p>
      <w:pPr>
        <w:pStyle w:val="25"/>
        <w:rPr>
          <w:rFonts w:hint="eastAsia" w:ascii="仿宋" w:hAnsi="仿宋" w:eastAsia="仿宋" w:cs="仿宋"/>
          <w:b/>
          <w:bCs/>
          <w:color w:val="000000" w:themeColor="text1"/>
          <w:sz w:val="36"/>
          <w:szCs w:val="36"/>
          <w14:textFill>
            <w14:solidFill>
              <w14:schemeClr w14:val="tx1"/>
            </w14:solidFill>
          </w14:textFill>
        </w:rPr>
      </w:pPr>
    </w:p>
    <w:p>
      <w:pPr>
        <w:pStyle w:val="25"/>
        <w:rPr>
          <w:rFonts w:hint="eastAsia" w:ascii="仿宋" w:hAnsi="仿宋" w:eastAsia="仿宋" w:cs="仿宋"/>
          <w:b/>
          <w:bCs/>
          <w:color w:val="000000" w:themeColor="text1"/>
          <w:sz w:val="36"/>
          <w:szCs w:val="36"/>
          <w14:textFill>
            <w14:solidFill>
              <w14:schemeClr w14:val="tx1"/>
            </w14:solidFill>
          </w14:textFill>
        </w:rPr>
      </w:pPr>
    </w:p>
    <w:p>
      <w:pPr>
        <w:pStyle w:val="25"/>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Chars="0" w:right="126" w:rightChars="0"/>
        <w:jc w:val="center"/>
        <w:textAlignment w:val="auto"/>
        <w:rPr>
          <w:rFonts w:hint="eastAsia" w:ascii="仿宋" w:hAnsi="仿宋" w:eastAsia="仿宋" w:cs="仿宋"/>
          <w:b/>
          <w:bCs/>
          <w:color w:val="000000" w:themeColor="text1"/>
          <w:sz w:val="36"/>
          <w:szCs w:val="36"/>
          <w:lang w:val="en-US" w:eastAsia="zh-CN"/>
          <w14:textFill>
            <w14:solidFill>
              <w14:schemeClr w14:val="tx1"/>
            </w14:solidFill>
          </w14:textFill>
        </w:rPr>
      </w:pPr>
      <w:bookmarkStart w:id="72" w:name="_Toc515647805"/>
      <w:bookmarkStart w:id="73" w:name="_Toc4844"/>
      <w:bookmarkStart w:id="74" w:name="_Toc29899"/>
      <w:bookmarkStart w:id="75" w:name="_Toc17577"/>
      <w:r>
        <w:rPr>
          <w:rFonts w:hint="eastAsia" w:ascii="仿宋" w:hAnsi="仿宋" w:eastAsia="仿宋" w:cs="仿宋"/>
          <w:b/>
          <w:bCs/>
          <w:color w:val="000000" w:themeColor="text1"/>
          <w:sz w:val="36"/>
          <w:szCs w:val="36"/>
          <w:lang w:val="en-US" w:eastAsia="zh-CN"/>
          <w14:textFill>
            <w14:solidFill>
              <w14:schemeClr w14:val="tx1"/>
            </w14:solidFill>
          </w14:textFill>
        </w:rPr>
        <w:t>1、 法人或者非法人组织的营业执照等证明文件</w:t>
      </w:r>
      <w:bookmarkEnd w:id="72"/>
      <w:bookmarkStart w:id="76" w:name="_Toc515647806"/>
      <w:r>
        <w:rPr>
          <w:rFonts w:hint="eastAsia" w:ascii="仿宋" w:hAnsi="仿宋" w:eastAsia="仿宋" w:cs="仿宋"/>
          <w:b/>
          <w:bCs/>
          <w:color w:val="000000" w:themeColor="text1"/>
          <w:sz w:val="36"/>
          <w:szCs w:val="36"/>
          <w:lang w:val="en-US" w:eastAsia="zh-CN"/>
          <w14:textFill>
            <w14:solidFill>
              <w14:schemeClr w14:val="tx1"/>
            </w14:solidFill>
          </w14:textFill>
        </w:rPr>
        <w:t>或自然人的身份证明</w:t>
      </w:r>
      <w:bookmarkEnd w:id="73"/>
      <w:bookmarkEnd w:id="74"/>
      <w:bookmarkEnd w:id="75"/>
      <w:bookmarkEnd w:id="76"/>
    </w:p>
    <w:p>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jc w:val="center"/>
        <w:rPr>
          <w:rFonts w:hint="eastAsia" w:ascii="仿宋" w:hAnsi="仿宋" w:eastAsia="仿宋" w:cs="仿宋"/>
          <w:b/>
          <w:color w:val="000000" w:themeColor="text1"/>
          <w:sz w:val="24"/>
          <w:highlight w:val="none"/>
          <w14:textFill>
            <w14:solidFill>
              <w14:schemeClr w14:val="tx1"/>
            </w14:solidFill>
          </w14:textFill>
        </w:rPr>
      </w:pPr>
    </w:p>
    <w:p>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000000" w:themeColor="text1"/>
          <w:sz w:val="24"/>
          <w:highlight w:val="none"/>
          <w14:textFill>
            <w14:solidFill>
              <w14:schemeClr w14:val="tx1"/>
            </w14:solidFill>
          </w14:textFill>
        </w:rPr>
      </w:pPr>
    </w:p>
    <w:p>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000000" w:themeColor="text1"/>
          <w:sz w:val="24"/>
          <w:highlight w:val="none"/>
          <w14:textFill>
            <w14:solidFill>
              <w14:schemeClr w14:val="tx1"/>
            </w14:solidFill>
          </w14:textFill>
        </w:rPr>
      </w:pPr>
    </w:p>
    <w:p>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说明：1.提供有效的营业执照等证明文件复印件，复印件上应加盖本单位章。</w:t>
      </w:r>
    </w:p>
    <w:p>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 投标人为自然人的，应提供身份证明的复印件。</w:t>
      </w: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000000" w:themeColor="text1"/>
          <w:sz w:val="36"/>
          <w:szCs w:val="36"/>
          <w14:textFill>
            <w14:solidFill>
              <w14:schemeClr w14:val="tx1"/>
            </w14:solidFill>
          </w14:textFill>
        </w:rPr>
      </w:pPr>
    </w:p>
    <w:p>
      <w:pPr>
        <w:rPr>
          <w:rFonts w:hint="eastAsia" w:ascii="仿宋" w:hAnsi="仿宋" w:eastAsia="仿宋" w:cs="仿宋"/>
          <w:b/>
          <w:bCs/>
          <w:color w:val="000000" w:themeColor="text1"/>
          <w:sz w:val="36"/>
          <w:szCs w:val="36"/>
          <w14:textFill>
            <w14:solidFill>
              <w14:schemeClr w14:val="tx1"/>
            </w14:solidFill>
          </w14:textFill>
        </w:rPr>
      </w:pPr>
    </w:p>
    <w:p>
      <w:pPr>
        <w:pStyle w:val="25"/>
        <w:rPr>
          <w:rFonts w:hint="eastAsia" w:ascii="仿宋" w:hAnsi="仿宋" w:eastAsia="仿宋" w:cs="仿宋"/>
          <w:b/>
          <w:bCs/>
          <w:color w:val="000000" w:themeColor="text1"/>
          <w:sz w:val="36"/>
          <w:szCs w:val="36"/>
          <w14:textFill>
            <w14:solidFill>
              <w14:schemeClr w14:val="tx1"/>
            </w14:solidFill>
          </w14:textFill>
        </w:rPr>
      </w:pPr>
    </w:p>
    <w:p>
      <w:pPr>
        <w:pStyle w:val="25"/>
        <w:rPr>
          <w:rFonts w:hint="eastAsia" w:ascii="仿宋" w:hAnsi="仿宋" w:eastAsia="仿宋" w:cs="仿宋"/>
          <w:b/>
          <w:bCs/>
          <w:color w:val="000000" w:themeColor="text1"/>
          <w:sz w:val="36"/>
          <w:szCs w:val="36"/>
          <w14:textFill>
            <w14:solidFill>
              <w14:schemeClr w14:val="tx1"/>
            </w14:solidFill>
          </w14:textFill>
        </w:rPr>
      </w:pPr>
    </w:p>
    <w:p>
      <w:pPr>
        <w:pStyle w:val="25"/>
        <w:rPr>
          <w:rFonts w:hint="eastAsia" w:ascii="仿宋" w:hAnsi="仿宋" w:eastAsia="仿宋" w:cs="仿宋"/>
          <w:b/>
          <w:bCs/>
          <w:color w:val="000000" w:themeColor="text1"/>
          <w:sz w:val="36"/>
          <w:szCs w:val="36"/>
          <w14:textFill>
            <w14:solidFill>
              <w14:schemeClr w14:val="tx1"/>
            </w14:solidFill>
          </w14:textFill>
        </w:rPr>
      </w:pPr>
    </w:p>
    <w:p>
      <w:pPr>
        <w:pStyle w:val="25"/>
        <w:rPr>
          <w:rFonts w:hint="eastAsia" w:ascii="仿宋" w:hAnsi="仿宋" w:eastAsia="仿宋" w:cs="仿宋"/>
          <w:b/>
          <w:bCs/>
          <w:color w:val="000000" w:themeColor="text1"/>
          <w:sz w:val="36"/>
          <w:szCs w:val="36"/>
          <w14:textFill>
            <w14:solidFill>
              <w14:schemeClr w14:val="tx1"/>
            </w14:solidFill>
          </w14:textFill>
        </w:rPr>
      </w:pPr>
    </w:p>
    <w:p>
      <w:pPr>
        <w:pStyle w:val="25"/>
        <w:rPr>
          <w:rFonts w:hint="eastAsia" w:ascii="仿宋" w:hAnsi="仿宋" w:eastAsia="仿宋" w:cs="仿宋"/>
          <w:b/>
          <w:bCs/>
          <w:color w:val="000000" w:themeColor="text1"/>
          <w:sz w:val="36"/>
          <w:szCs w:val="36"/>
          <w14:textFill>
            <w14:solidFill>
              <w14:schemeClr w14:val="tx1"/>
            </w14:solidFill>
          </w14:textFill>
        </w:rPr>
      </w:pPr>
    </w:p>
    <w:p>
      <w:pPr>
        <w:pStyle w:val="25"/>
        <w:rPr>
          <w:rFonts w:hint="eastAsia" w:ascii="仿宋" w:hAnsi="仿宋" w:eastAsia="仿宋" w:cs="仿宋"/>
          <w:b/>
          <w:bCs/>
          <w:color w:val="000000" w:themeColor="text1"/>
          <w:sz w:val="36"/>
          <w:szCs w:val="36"/>
          <w14:textFill>
            <w14:solidFill>
              <w14:schemeClr w14:val="tx1"/>
            </w14:solidFill>
          </w14:textFill>
        </w:rPr>
      </w:pPr>
    </w:p>
    <w:p>
      <w:pPr>
        <w:pStyle w:val="25"/>
        <w:rPr>
          <w:rFonts w:hint="eastAsia" w:ascii="仿宋" w:hAnsi="仿宋" w:eastAsia="仿宋" w:cs="仿宋"/>
          <w:b/>
          <w:bCs/>
          <w:color w:val="000000" w:themeColor="text1"/>
          <w:sz w:val="36"/>
          <w:szCs w:val="36"/>
          <w14:textFill>
            <w14:solidFill>
              <w14:schemeClr w14:val="tx1"/>
            </w14:solidFill>
          </w14:textFill>
        </w:rPr>
      </w:pPr>
    </w:p>
    <w:p>
      <w:pPr>
        <w:pStyle w:val="25"/>
        <w:rPr>
          <w:rFonts w:hint="eastAsia" w:ascii="仿宋" w:hAnsi="仿宋" w:eastAsia="仿宋" w:cs="仿宋"/>
          <w:b/>
          <w:bCs/>
          <w:color w:val="000000" w:themeColor="text1"/>
          <w:sz w:val="36"/>
          <w:szCs w:val="36"/>
          <w14:textFill>
            <w14:solidFill>
              <w14:schemeClr w14:val="tx1"/>
            </w14:solidFill>
          </w14:textFill>
        </w:rPr>
      </w:pPr>
    </w:p>
    <w:p>
      <w:pPr>
        <w:pStyle w:val="25"/>
        <w:rPr>
          <w:rFonts w:hint="eastAsia" w:ascii="仿宋" w:hAnsi="仿宋" w:eastAsia="仿宋" w:cs="仿宋"/>
          <w:b/>
          <w:bCs/>
          <w:color w:val="000000" w:themeColor="text1"/>
          <w:sz w:val="36"/>
          <w:szCs w:val="36"/>
          <w14:textFill>
            <w14:solidFill>
              <w14:schemeClr w14:val="tx1"/>
            </w14:solidFill>
          </w14:textFill>
        </w:rPr>
      </w:pPr>
    </w:p>
    <w:p>
      <w:pPr>
        <w:pStyle w:val="25"/>
        <w:rPr>
          <w:rFonts w:hint="eastAsia" w:ascii="仿宋" w:hAnsi="仿宋" w:eastAsia="仿宋" w:cs="仿宋"/>
          <w:b/>
          <w:bCs/>
          <w:color w:val="000000" w:themeColor="text1"/>
          <w:sz w:val="36"/>
          <w:szCs w:val="36"/>
          <w14:textFill>
            <w14:solidFill>
              <w14:schemeClr w14:val="tx1"/>
            </w14:solidFill>
          </w14:textFill>
        </w:rPr>
      </w:pPr>
    </w:p>
    <w:p>
      <w:pPr>
        <w:pStyle w:val="25"/>
        <w:rPr>
          <w:rFonts w:hint="eastAsia" w:ascii="仿宋" w:hAnsi="仿宋" w:eastAsia="仿宋" w:cs="仿宋"/>
          <w:b/>
          <w:bCs/>
          <w:color w:val="000000" w:themeColor="text1"/>
          <w:sz w:val="36"/>
          <w:szCs w:val="36"/>
          <w14:textFill>
            <w14:solidFill>
              <w14:schemeClr w14:val="tx1"/>
            </w14:solidFill>
          </w14:textFill>
        </w:rPr>
      </w:pPr>
    </w:p>
    <w:p>
      <w:pPr>
        <w:pStyle w:val="25"/>
        <w:rPr>
          <w:rFonts w:hint="eastAsia" w:ascii="仿宋" w:hAnsi="仿宋" w:eastAsia="仿宋" w:cs="仿宋"/>
          <w:b/>
          <w:bCs/>
          <w:color w:val="000000" w:themeColor="text1"/>
          <w:sz w:val="36"/>
          <w:szCs w:val="36"/>
          <w14:textFill>
            <w14:solidFill>
              <w14:schemeClr w14:val="tx1"/>
            </w14:solidFill>
          </w14:textFill>
        </w:rPr>
      </w:pPr>
    </w:p>
    <w:p>
      <w:pPr>
        <w:pStyle w:val="25"/>
        <w:rPr>
          <w:rFonts w:hint="eastAsia" w:ascii="仿宋" w:hAnsi="仿宋" w:eastAsia="仿宋" w:cs="仿宋"/>
          <w:b/>
          <w:bCs/>
          <w:color w:val="000000" w:themeColor="text1"/>
          <w:sz w:val="36"/>
          <w:szCs w:val="36"/>
          <w14:textFill>
            <w14:solidFill>
              <w14:schemeClr w14:val="tx1"/>
            </w14:solidFill>
          </w14:textFill>
        </w:rPr>
      </w:pPr>
    </w:p>
    <w:p>
      <w:pPr>
        <w:pStyle w:val="25"/>
        <w:rPr>
          <w:rFonts w:hint="eastAsia" w:ascii="仿宋" w:hAnsi="仿宋" w:eastAsia="仿宋" w:cs="仿宋"/>
          <w:b/>
          <w:bCs/>
          <w:color w:val="000000" w:themeColor="text1"/>
          <w:sz w:val="36"/>
          <w:szCs w:val="36"/>
          <w14:textFill>
            <w14:solidFill>
              <w14:schemeClr w14:val="tx1"/>
            </w14:solidFill>
          </w14:textFill>
        </w:rPr>
      </w:pPr>
    </w:p>
    <w:p>
      <w:pPr>
        <w:pStyle w:val="25"/>
        <w:rPr>
          <w:rFonts w:hint="eastAsia" w:ascii="仿宋" w:hAnsi="仿宋" w:eastAsia="仿宋" w:cs="仿宋"/>
          <w:b/>
          <w:bCs/>
          <w:color w:val="000000" w:themeColor="text1"/>
          <w:sz w:val="36"/>
          <w:szCs w:val="36"/>
          <w14:textFill>
            <w14:solidFill>
              <w14:schemeClr w14:val="tx1"/>
            </w14:solidFill>
          </w14:textFill>
        </w:rPr>
      </w:pPr>
    </w:p>
    <w:p>
      <w:pPr>
        <w:pStyle w:val="25"/>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2</w:t>
      </w:r>
      <w:r>
        <w:rPr>
          <w:rFonts w:hint="eastAsia" w:ascii="仿宋" w:hAnsi="仿宋" w:eastAsia="仿宋" w:cs="仿宋"/>
          <w:b/>
          <w:bCs/>
          <w:color w:val="000000" w:themeColor="text1"/>
          <w:sz w:val="36"/>
          <w:szCs w:val="36"/>
          <w14:textFill>
            <w14:solidFill>
              <w14:schemeClr w14:val="tx1"/>
            </w14:solidFill>
          </w14:textFill>
        </w:rPr>
        <w:t>、法定代表人身份证明</w:t>
      </w:r>
    </w:p>
    <w:p>
      <w:pPr>
        <w:spacing w:line="420" w:lineRule="exact"/>
        <w:ind w:firstLine="486" w:firstLineChars="200"/>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投标单位名称：</w:t>
      </w:r>
      <w:r>
        <w:rPr>
          <w:rFonts w:hint="eastAsia" w:ascii="仿宋" w:hAnsi="仿宋" w:eastAsia="仿宋" w:cs="仿宋"/>
          <w:color w:val="000000" w:themeColor="text1"/>
          <w:kern w:val="0"/>
          <w:sz w:val="24"/>
          <w:u w:val="single"/>
          <w14:textFill>
            <w14:solidFill>
              <w14:schemeClr w14:val="tx1"/>
            </w14:solidFill>
          </w14:textFill>
        </w:rPr>
        <w:t xml:space="preserve">                       </w:t>
      </w:r>
    </w:p>
    <w:p>
      <w:pPr>
        <w:spacing w:line="420" w:lineRule="exact"/>
        <w:ind w:firstLine="486" w:firstLineChars="200"/>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单位性质：</w:t>
      </w:r>
      <w:r>
        <w:rPr>
          <w:rFonts w:hint="eastAsia" w:ascii="仿宋" w:hAnsi="仿宋" w:eastAsia="仿宋" w:cs="仿宋"/>
          <w:color w:val="000000" w:themeColor="text1"/>
          <w:kern w:val="0"/>
          <w:sz w:val="24"/>
          <w:u w:val="single"/>
          <w14:textFill>
            <w14:solidFill>
              <w14:schemeClr w14:val="tx1"/>
            </w14:solidFill>
          </w14:textFill>
        </w:rPr>
        <w:t xml:space="preserve">                           </w:t>
      </w:r>
    </w:p>
    <w:p>
      <w:pPr>
        <w:spacing w:line="420" w:lineRule="exact"/>
        <w:ind w:firstLine="486" w:firstLineChars="200"/>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地址：</w:t>
      </w:r>
      <w:r>
        <w:rPr>
          <w:rFonts w:hint="eastAsia" w:ascii="仿宋" w:hAnsi="仿宋" w:eastAsia="仿宋" w:cs="仿宋"/>
          <w:color w:val="000000" w:themeColor="text1"/>
          <w:kern w:val="0"/>
          <w:sz w:val="24"/>
          <w:u w:val="single"/>
          <w14:textFill>
            <w14:solidFill>
              <w14:schemeClr w14:val="tx1"/>
            </w14:solidFill>
          </w14:textFill>
        </w:rPr>
        <w:t xml:space="preserve">                               </w:t>
      </w:r>
    </w:p>
    <w:p>
      <w:pPr>
        <w:spacing w:line="420" w:lineRule="exact"/>
        <w:ind w:firstLine="486"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成立时间：</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年</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月</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日</w:t>
      </w:r>
    </w:p>
    <w:p>
      <w:pPr>
        <w:spacing w:line="420" w:lineRule="exact"/>
        <w:ind w:firstLine="486" w:firstLineChars="200"/>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经营期限：</w:t>
      </w:r>
      <w:r>
        <w:rPr>
          <w:rFonts w:hint="eastAsia" w:ascii="仿宋" w:hAnsi="仿宋" w:eastAsia="仿宋" w:cs="仿宋"/>
          <w:color w:val="000000" w:themeColor="text1"/>
          <w:kern w:val="0"/>
          <w:sz w:val="24"/>
          <w:u w:val="single"/>
          <w14:textFill>
            <w14:solidFill>
              <w14:schemeClr w14:val="tx1"/>
            </w14:solidFill>
          </w14:textFill>
        </w:rPr>
        <w:t xml:space="preserve">             </w:t>
      </w:r>
    </w:p>
    <w:p>
      <w:pPr>
        <w:spacing w:line="420" w:lineRule="exact"/>
        <w:ind w:firstLine="486" w:firstLineChars="200"/>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姓名：</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性别：</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年龄：</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职务：</w:t>
      </w:r>
      <w:r>
        <w:rPr>
          <w:rFonts w:hint="eastAsia" w:ascii="仿宋" w:hAnsi="仿宋" w:eastAsia="仿宋" w:cs="仿宋"/>
          <w:color w:val="000000" w:themeColor="text1"/>
          <w:kern w:val="0"/>
          <w:sz w:val="24"/>
          <w:u w:val="single"/>
          <w14:textFill>
            <w14:solidFill>
              <w14:schemeClr w14:val="tx1"/>
            </w14:solidFill>
          </w14:textFill>
        </w:rPr>
        <w:t xml:space="preserve">           </w:t>
      </w:r>
    </w:p>
    <w:p>
      <w:pPr>
        <w:spacing w:line="420" w:lineRule="exact"/>
        <w:ind w:firstLine="486" w:firstLineChars="200"/>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身份证号码：</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u w:val="single"/>
          <w14:textFill>
            <w14:solidFill>
              <w14:schemeClr w14:val="tx1"/>
            </w14:solidFill>
          </w14:textFill>
        </w:rPr>
        <w:t xml:space="preserve">     </w:t>
      </w:r>
    </w:p>
    <w:p>
      <w:pPr>
        <w:spacing w:line="420" w:lineRule="exact"/>
        <w:ind w:firstLine="486"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系</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（投标单位名称）的法定代表人。</w:t>
      </w:r>
    </w:p>
    <w:p>
      <w:pPr>
        <w:spacing w:line="420" w:lineRule="exact"/>
        <w:ind w:firstLine="972" w:firstLineChars="4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特此证明。</w:t>
      </w:r>
    </w:p>
    <w:p>
      <w:pPr>
        <w:pStyle w:val="8"/>
        <w:numPr>
          <w:ilvl w:val="0"/>
          <w:numId w:val="0"/>
        </w:numPr>
        <w:kinsoku w:val="0"/>
        <w:overflowPunct w:val="0"/>
        <w:ind w:leftChars="0" w:right="0" w:rightChars="0"/>
        <w:rPr>
          <w:rFonts w:hint="eastAsia" w:ascii="仿宋" w:hAnsi="仿宋" w:eastAsia="仿宋" w:cs="仿宋"/>
          <w:color w:val="000000" w:themeColor="text1"/>
          <w:sz w:val="20"/>
          <w:szCs w:val="20"/>
          <w14:textFill>
            <w14:solidFill>
              <w14:schemeClr w14:val="tx1"/>
            </w14:solidFill>
          </w14:textFill>
        </w:rPr>
      </w:pPr>
    </w:p>
    <w:p>
      <w:pPr>
        <w:pStyle w:val="8"/>
        <w:numPr>
          <w:ilvl w:val="0"/>
          <w:numId w:val="0"/>
        </w:numPr>
        <w:kinsoku w:val="0"/>
        <w:overflowPunct w:val="0"/>
        <w:spacing w:before="7"/>
        <w:ind w:leftChars="0" w:right="0" w:rightChars="0"/>
        <w:rPr>
          <w:rFonts w:hint="eastAsia" w:ascii="仿宋" w:hAnsi="仿宋" w:eastAsia="仿宋" w:cs="仿宋"/>
          <w:color w:val="000000" w:themeColor="text1"/>
          <w:sz w:val="25"/>
          <w:szCs w:val="25"/>
          <w14:textFill>
            <w14:solidFill>
              <w14:schemeClr w14:val="tx1"/>
            </w14:solidFill>
          </w14:textFill>
        </w:rPr>
      </w:pPr>
    </w:p>
    <w:p>
      <w:pPr>
        <w:pStyle w:val="8"/>
        <w:numPr>
          <w:ilvl w:val="0"/>
          <w:numId w:val="0"/>
        </w:numPr>
        <w:kinsoku w:val="0"/>
        <w:overflowPunct w:val="0"/>
        <w:spacing w:line="200" w:lineRule="atLeast"/>
        <w:ind w:right="0" w:rightChars="0"/>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mc:AlternateContent>
          <mc:Choice Requires="wpg">
            <w:drawing>
              <wp:inline distT="0" distB="0" distL="114300" distR="114300">
                <wp:extent cx="5136515" cy="1458595"/>
                <wp:effectExtent l="0" t="0" r="8255" b="9525"/>
                <wp:docPr id="34" name="组合 34"/>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14" name="任意多边形 1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5" name="任意多边形 1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6" name="任意多边形 16"/>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7" name="任意多边形 17"/>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9" name="任意多边形 19"/>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20" name="任意多边形 20"/>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21" name="任意多边形 21"/>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2" name="任意多边形 22"/>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3" name="任意多边形 23"/>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4" name="任意多边形 24"/>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27" name="文本框 27"/>
                        <wps:cNvSpPr txBox="1"/>
                        <wps:spPr>
                          <a:xfrm>
                            <a:off x="19" y="19"/>
                            <a:ext cx="4025" cy="2258"/>
                          </a:xfrm>
                          <a:prstGeom prst="rect">
                            <a:avLst/>
                          </a:prstGeom>
                          <a:noFill/>
                          <a:ln>
                            <a:noFill/>
                          </a:ln>
                        </wps:spPr>
                        <wps:txbx>
                          <w:txbxContent>
                            <w:p>
                              <w:pPr>
                                <w:pStyle w:val="8"/>
                                <w:numPr>
                                  <w:ilvl w:val="0"/>
                                  <w:numId w:val="0"/>
                                </w:numPr>
                                <w:kinsoku w:val="0"/>
                                <w:overflowPunct w:val="0"/>
                                <w:spacing w:before="13"/>
                                <w:ind w:leftChars="0" w:right="0" w:rightChars="0"/>
                                <w:rPr>
                                  <w:rFonts w:hint="eastAsia"/>
                                  <w:sz w:val="28"/>
                                  <w:szCs w:val="28"/>
                                </w:rPr>
                              </w:pPr>
                            </w:p>
                            <w:p>
                              <w:pPr>
                                <w:pStyle w:val="8"/>
                                <w:numPr>
                                  <w:ilvl w:val="0"/>
                                  <w:numId w:val="0"/>
                                </w:numPr>
                                <w:kinsoku w:val="0"/>
                                <w:overflowPunct w:val="0"/>
                                <w:ind w:right="0" w:rightChars="0"/>
                                <w:jc w:val="center"/>
                              </w:pPr>
                              <w:r>
                                <w:rPr>
                                  <w:rFonts w:hint="eastAsia"/>
                                </w:rPr>
                                <w:t>法定代表人身份证复印件（正面）</w:t>
                              </w:r>
                            </w:p>
                          </w:txbxContent>
                        </wps:txbx>
                        <wps:bodyPr lIns="0" tIns="0" rIns="0" bIns="0" upright="1"/>
                      </wps:wsp>
                      <wps:wsp>
                        <wps:cNvPr id="32" name="文本框 32"/>
                        <wps:cNvSpPr txBox="1"/>
                        <wps:spPr>
                          <a:xfrm>
                            <a:off x="4044" y="19"/>
                            <a:ext cx="4025" cy="2258"/>
                          </a:xfrm>
                          <a:prstGeom prst="rect">
                            <a:avLst/>
                          </a:prstGeom>
                          <a:noFill/>
                          <a:ln>
                            <a:noFill/>
                          </a:ln>
                        </wps:spPr>
                        <wps:txbx>
                          <w:txbxContent>
                            <w:p>
                              <w:pPr>
                                <w:pStyle w:val="8"/>
                                <w:numPr>
                                  <w:ilvl w:val="0"/>
                                  <w:numId w:val="0"/>
                                </w:numPr>
                                <w:kinsoku w:val="0"/>
                                <w:overflowPunct w:val="0"/>
                                <w:spacing w:before="13"/>
                                <w:ind w:leftChars="0" w:right="0" w:rightChars="0"/>
                                <w:rPr>
                                  <w:rFonts w:hint="eastAsia"/>
                                  <w:sz w:val="28"/>
                                  <w:szCs w:val="28"/>
                                </w:rPr>
                              </w:pPr>
                            </w:p>
                            <w:p>
                              <w:pPr>
                                <w:pStyle w:val="8"/>
                                <w:numPr>
                                  <w:ilvl w:val="0"/>
                                  <w:numId w:val="0"/>
                                </w:numPr>
                                <w:kinsoku w:val="0"/>
                                <w:overflowPunct w:val="0"/>
                                <w:ind w:right="0" w:rightChars="0"/>
                              </w:pPr>
                              <w:r>
                                <w:rPr>
                                  <w:rFonts w:hint="eastAsia"/>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">
                <o:lock v:ext="edit" rotation="t" aspectratio="f"/>
                <v:shape id="_x0000_s1026" o:spid="_x0000_s1026" o:spt="100" style="position:absolute;left:4;top:9;height:20;width:8079;" filled="f" stroked="t" coordsize="8079,20" o:gfxdata="UEsDBAoAAAAAAIdO4kAAAAAAAAAAAAAAAAAEAAAAZHJzL1BLAwQUAAAACACHTuJAip4kxboAAADb&#10;AAAADwAAAGRycy9kb3ducmV2LnhtbEVPTWsCMRC9C/0PYQq9aeJS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niTF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g+z0TroAAADb&#10;AAAADwAAAGRycy9kb3ducmV2LnhtbEVPzYrCMBC+L/gOYYS9rUkXFK1GD8qC7OLB6gMMzdiWNpOS&#10;RK0+vVlY2Nt8fL+z2gy2EzfyoXGsIZsoEMSlMw1XGs6nr485iBCRDXaOScODAmzWo7cV5sbd+Ui3&#10;IlYihXDIUUMdY59LGcqaLIaJ64kTd3HeYkzQV9J4vKdw28lPpWbSYsOpocaetjWVbXG1Gnbenw6y&#10;vxTP75+dyyrVThdDq/X7OFNLEJGG+C/+c+9Nmj+F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7PRO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cz5qOboAAADb&#10;AAAADwAAAGRycy9kb3ducmV2LnhtbEVPzYrCMBC+L/gOYYS9rUkXVrQaPSgLsrIHqw8wNGNb2kxK&#10;ErXu05sFwdt8fL+zXA+2E1fyoXGsIZsoEMSlMw1XGk7H748ZiBCRDXaOScOdAqxXo7cl5sbd+EDX&#10;IlYihXDIUUMdY59LGcqaLIaJ64kTd3beYkzQV9J4vKVw28lPpabSYsOpocaeNjWVbXGxGrbeH39l&#10;fy7+fvZbl1Wq/ZoPrdbv40wtQEQa4kv8dO9Mmj+F/1/SA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Pmo5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eky6sroAAADb&#10;AAAADwAAAGRycy9kb3ducmV2LnhtbEVPS2sCMRC+F/ofwhS81cQFW9kaPUh90J6qHjwOm9nN4may&#10;JFHXf28Khd7m43vOfDm4TlwpxNazhslYgSCuvGm50XA8rF9nIGJCNth5Jg13irBcPD/NsTT+xj90&#10;3adG5BCOJWqwKfWllLGy5DCOfU+cudoHhynD0EgT8JbDXScLpd6kw5Zzg8WeVpaq8/7iNHzXdXEO&#10;qviabrafiMO0bU52pfXoZaI+QCQa0r/4z70zef47/P6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TLqy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EhFfyboAAADb&#10;AAAADwAAAGRycy9kb3ducmV2LnhtbEVPS2sCMRC+F/ofwhS8FE0ULOvW6EEUhJ7c6n3YjJulm8k2&#10;SX301xtB8DYf33Pmy4vrxIlCbD1rGI8UCOLam5YbDfvvzbAAEROywc4zabhShOXi9WWOpfFn3tGp&#10;So3IIRxL1GBT6kspY23JYRz5njhzRx8cpgxDI03Acw53nZwo9SEdtpwbLPa0slT/VH9Ow//xfTtd&#10;W1xXdXFQX8Vs9Yuh0nrwNlafIBJd0lP8cG9Nnj+D+y/5ALm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EV/JugAAANsA&#10;AAAPAAAAAAAAAAEAIAAAACIAAABkcnMvZG93bnJldi54bWxQSwECFAAUAAAACACHTuJAMy8FnjsA&#10;AAA5AAAAEAAAAAAAAAABACAAAAAJAQAAZHJzL3NoYXBleG1sLnhtbFBLBQYAAAAABgAGAFsBAACz&#10;Aw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2jQUM7wAAADb&#10;AAAADwAAAGRycy9kb3ducmV2LnhtbEVPTYvCMBC9L/gfwgheFpsqItptlGVF8CCo1YPehma27W4z&#10;KU20+u/NQfD4eN/p8m5qcaPWVZYVjKIYBHFudcWFgtNxPZyBcB5ZY22ZFDzIwXLR+0gx0bbjA90y&#10;X4gQwi5BBaX3TSKly0sy6CLbEAfu17YGfYBtIXWLXQg3tRzH8VQarDg0lNjQT0n5f3Y1CrrNSlYn&#10;v8s/i8P2OJmfv5u/y16pQX8Uf4HwdPdv8cu90QrGYX34En6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0FDO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NM7irbsAAADb&#10;AAAADwAAAGRycy9kb3ducmV2LnhtbEWPzWrDMBCE74G+g9hCb7HsmITgWgnFUMipELe5L9bWMrVW&#10;tqTm5+2jQiHHYWa+Yer91Y7iTD4MjhUUWQ6CuHN64F7B1+f7cgsiRGSNo2NScKMA+93TosZKuwsf&#10;6dzGXiQIhwoVmBinSsrQGbIYMjcRJ+/beYsxSd9L7fGS4HaUqzzfSIsDpwWDEzWGup/21yrwXWj0&#10;XM7m1MwfJ37DyW3KtVIvz0X+CiLSNT7C/+2DVrAq4O9L+gF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7ir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xBx82rsAAADb&#10;AAAADwAAAGRycy9kb3ducmV2LnhtbEWPzWrDMBCE74W8g9hAb438Q0Nwo5hgKPRUqFvfF2trmVgr&#10;W1KT9O2rQKDHYWa+Yfb11U7iTD6MjhXkmwwEce/0yIOCr8/Xpx2IEJE1To5JwS8FqA+rhz1W2l34&#10;g85tHESCcKhQgYlxrqQMvSGLYeNm4uR9O28xJukHqT1eEtxOssiyrbQ4clowOFNjqD+1P1aB70Oj&#10;l3IxXbO8d3zE2W3LZ6Ue13n2AiLSNf6H7+03raAo4PYl/QB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Bx82r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q1DZQbkAAADb&#10;AAAADwAAAGRycy9kb3ducmV2LnhtbEWPW4vCMBSE3wX/QziCb5pqUaQaZSkI+yR4ez80x6Zsc9Im&#10;8bL/3iws+DjMzDfMZveyrXiQD41jBbNpBoK4crrhWsHlvJ+sQISIrLF1TAp+KcBuOxxssNDuyUd6&#10;nGItEoRDgQpMjF0hZagMWQxT1xEn7+a8xZikr6X2+Exw28p5li2lxYbTgsGOSkPVz+luFfgqlLrP&#10;e3Mt+8OVv7Bzy3yh1Hg0y9YgIr3iJ/zf/tYK5jn8fUk/QG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tQ2UG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sQfsO70AAADb&#10;AAAADwAAAGRycy9kb3ducmV2LnhtbEWPQWsCMRSE7wX/Q3hCb5rViuhqFBTbehFxFbw+N8/N4uZl&#10;2aSr/feNIPQ4zMw3zHz5sJVoqfGlYwWDfgKCOHe65ELB6fjZm4DwAVlj5ZgU/JKH5aLzNsdUuzsf&#10;qM1CISKEfYoKTAh1KqXPDVn0fVcTR+/qGoshyqaQusF7hNtKDpNkLC2WHBcM1rQ2lN+yH6vg5luz&#10;uoy+vvcfPN1NssumPl83Sr13B8kMRKBH+A+/2lutYDiC55f4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B+w7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8"/>
                          <w:numPr>
                            <w:ilvl w:val="0"/>
                            <w:numId w:val="0"/>
                          </w:numPr>
                          <w:kinsoku w:val="0"/>
                          <w:overflowPunct w:val="0"/>
                          <w:spacing w:before="13"/>
                          <w:ind w:leftChars="0" w:right="0" w:rightChars="0"/>
                          <w:rPr>
                            <w:rFonts w:hint="eastAsia"/>
                            <w:sz w:val="28"/>
                            <w:szCs w:val="28"/>
                          </w:rPr>
                        </w:pPr>
                      </w:p>
                      <w:p>
                        <w:pPr>
                          <w:pStyle w:val="8"/>
                          <w:numPr>
                            <w:ilvl w:val="0"/>
                            <w:numId w:val="0"/>
                          </w:numPr>
                          <w:kinsoku w:val="0"/>
                          <w:overflowPunct w:val="0"/>
                          <w:ind w:right="0" w:rightChars="0"/>
                          <w:jc w:val="center"/>
                        </w:pPr>
                        <w:r>
                          <w:rPr>
                            <w:rFonts w:hint="eastAsia"/>
                          </w:rPr>
                          <w:t>法定代表人身份证复印件（正面）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8"/>
                          <w:numPr>
                            <w:ilvl w:val="0"/>
                            <w:numId w:val="0"/>
                          </w:numPr>
                          <w:kinsoku w:val="0"/>
                          <w:overflowPunct w:val="0"/>
                          <w:spacing w:before="13"/>
                          <w:ind w:leftChars="0" w:right="0" w:rightChars="0"/>
                          <w:rPr>
                            <w:rFonts w:hint="eastAsia"/>
                            <w:sz w:val="28"/>
                            <w:szCs w:val="28"/>
                          </w:rPr>
                        </w:pPr>
                      </w:p>
                      <w:p>
                        <w:pPr>
                          <w:pStyle w:val="8"/>
                          <w:numPr>
                            <w:ilvl w:val="0"/>
                            <w:numId w:val="0"/>
                          </w:numPr>
                          <w:kinsoku w:val="0"/>
                          <w:overflowPunct w:val="0"/>
                          <w:ind w:right="0" w:rightChars="0"/>
                        </w:pPr>
                        <w:r>
                          <w:rPr>
                            <w:rFonts w:hint="eastAsia"/>
                          </w:rPr>
                          <w:t>法定代表人身份证复印件（反面）</w:t>
                        </w:r>
                      </w:p>
                    </w:txbxContent>
                  </v:textbox>
                </v:shape>
                <w10:wrap type="none"/>
                <w10:anchorlock/>
              </v:group>
            </w:pict>
          </mc:Fallback>
        </mc:AlternateContent>
      </w:r>
    </w:p>
    <w:p>
      <w:pPr>
        <w:wordWrap w:val="0"/>
        <w:spacing w:line="420" w:lineRule="exact"/>
        <w:ind w:firstLine="486" w:firstLineChars="200"/>
        <w:jc w:val="right"/>
        <w:rPr>
          <w:rFonts w:hint="eastAsia" w:ascii="仿宋" w:hAnsi="仿宋" w:eastAsia="仿宋" w:cs="仿宋"/>
          <w:color w:val="000000" w:themeColor="text1"/>
          <w:kern w:val="0"/>
          <w:sz w:val="24"/>
          <w14:textFill>
            <w14:solidFill>
              <w14:schemeClr w14:val="tx1"/>
            </w14:solidFill>
          </w14:textFill>
        </w:rPr>
      </w:pPr>
    </w:p>
    <w:p>
      <w:pPr>
        <w:spacing w:line="420" w:lineRule="exact"/>
        <w:ind w:firstLine="486" w:firstLineChars="200"/>
        <w:jc w:val="right"/>
        <w:rPr>
          <w:rFonts w:hint="eastAsia" w:ascii="仿宋" w:hAnsi="仿宋" w:eastAsia="仿宋" w:cs="仿宋"/>
          <w:color w:val="000000" w:themeColor="text1"/>
          <w:kern w:val="0"/>
          <w:sz w:val="24"/>
          <w14:textFill>
            <w14:solidFill>
              <w14:schemeClr w14:val="tx1"/>
            </w14:solidFill>
          </w14:textFill>
        </w:rPr>
      </w:pPr>
    </w:p>
    <w:p>
      <w:pPr>
        <w:spacing w:line="420" w:lineRule="exact"/>
        <w:ind w:firstLine="486" w:firstLineChars="200"/>
        <w:jc w:val="righ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投标人：</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（公章）</w:t>
      </w:r>
    </w:p>
    <w:p>
      <w:pPr>
        <w:wordWrap w:val="0"/>
        <w:spacing w:line="420" w:lineRule="exact"/>
        <w:ind w:right="480" w:firstLine="486" w:firstLineChars="20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年</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月</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日 </w:t>
      </w:r>
    </w:p>
    <w:p>
      <w:pPr>
        <w:pStyle w:val="8"/>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r>
        <w:rPr>
          <w:rFonts w:hint="eastAsia" w:ascii="仿宋" w:hAnsi="仿宋" w:eastAsia="仿宋" w:cs="仿宋"/>
          <w:b/>
          <w:bCs/>
          <w:color w:val="000000" w:themeColor="text1"/>
          <w:sz w:val="36"/>
          <w:szCs w:val="36"/>
          <w:lang w:val="en-US" w:eastAsia="zh-CN"/>
          <w14:textFill>
            <w14:solidFill>
              <w14:schemeClr w14:val="tx1"/>
            </w14:solidFill>
          </w14:textFill>
        </w:rPr>
        <w:t>3</w:t>
      </w:r>
      <w:r>
        <w:rPr>
          <w:rFonts w:hint="eastAsia" w:ascii="仿宋" w:hAnsi="仿宋" w:eastAsia="仿宋" w:cs="仿宋"/>
          <w:b/>
          <w:bCs/>
          <w:color w:val="000000" w:themeColor="text1"/>
          <w:sz w:val="36"/>
          <w:szCs w:val="36"/>
          <w14:textFill>
            <w14:solidFill>
              <w14:schemeClr w14:val="tx1"/>
            </w14:solidFill>
          </w14:textFill>
        </w:rPr>
        <w:t>、授权委托书</w:t>
      </w:r>
    </w:p>
    <w:p>
      <w:pPr>
        <w:spacing w:line="420" w:lineRule="exac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致：采购人名称 </w:t>
      </w:r>
    </w:p>
    <w:p>
      <w:pPr>
        <w:spacing w:line="420" w:lineRule="exact"/>
        <w:ind w:firstLine="486"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本授权书声明：注册于</w:t>
      </w:r>
      <w:r>
        <w:rPr>
          <w:rFonts w:hint="eastAsia" w:ascii="仿宋" w:hAnsi="仿宋" w:eastAsia="仿宋" w:cs="仿宋"/>
          <w:color w:val="000000" w:themeColor="text1"/>
          <w:kern w:val="0"/>
          <w:sz w:val="24"/>
          <w:u w:val="single"/>
          <w14:textFill>
            <w14:solidFill>
              <w14:schemeClr w14:val="tx1"/>
            </w14:solidFill>
          </w14:textFill>
        </w:rPr>
        <w:t>（投标人地址）</w:t>
      </w:r>
      <w:r>
        <w:rPr>
          <w:rFonts w:hint="eastAsia" w:ascii="仿宋" w:hAnsi="仿宋" w:eastAsia="仿宋" w:cs="仿宋"/>
          <w:color w:val="000000" w:themeColor="text1"/>
          <w:kern w:val="0"/>
          <w:sz w:val="24"/>
          <w14:textFill>
            <w14:solidFill>
              <w14:schemeClr w14:val="tx1"/>
            </w14:solidFill>
          </w14:textFill>
        </w:rPr>
        <w:t>的</w:t>
      </w:r>
      <w:r>
        <w:rPr>
          <w:rFonts w:hint="eastAsia" w:ascii="仿宋" w:hAnsi="仿宋" w:eastAsia="仿宋" w:cs="仿宋"/>
          <w:color w:val="000000" w:themeColor="text1"/>
          <w:kern w:val="0"/>
          <w:sz w:val="24"/>
          <w:u w:val="single"/>
          <w14:textFill>
            <w14:solidFill>
              <w14:schemeClr w14:val="tx1"/>
            </w14:solidFill>
          </w14:textFill>
        </w:rPr>
        <w:t>（投标人名称）</w:t>
      </w:r>
      <w:r>
        <w:rPr>
          <w:rFonts w:hint="eastAsia" w:ascii="仿宋" w:hAnsi="仿宋" w:eastAsia="仿宋" w:cs="仿宋"/>
          <w:color w:val="000000" w:themeColor="text1"/>
          <w:kern w:val="0"/>
          <w:sz w:val="24"/>
          <w14:textFill>
            <w14:solidFill>
              <w14:schemeClr w14:val="tx1"/>
            </w14:solidFill>
          </w14:textFill>
        </w:rPr>
        <w:t>法定代表人（负责人）</w:t>
      </w:r>
      <w:r>
        <w:rPr>
          <w:rFonts w:hint="eastAsia" w:ascii="仿宋" w:hAnsi="仿宋" w:eastAsia="仿宋" w:cs="仿宋"/>
          <w:color w:val="000000" w:themeColor="text1"/>
          <w:kern w:val="0"/>
          <w:sz w:val="24"/>
          <w:u w:val="single"/>
          <w14:textFill>
            <w14:solidFill>
              <w14:schemeClr w14:val="tx1"/>
            </w14:solidFill>
          </w14:textFill>
        </w:rPr>
        <w:t>姓名、职务或职称）</w:t>
      </w:r>
      <w:r>
        <w:rPr>
          <w:rFonts w:hint="eastAsia" w:ascii="仿宋" w:hAnsi="仿宋" w:eastAsia="仿宋" w:cs="仿宋"/>
          <w:color w:val="000000" w:themeColor="text1"/>
          <w:kern w:val="0"/>
          <w:sz w:val="24"/>
          <w14:textFill>
            <w14:solidFill>
              <w14:schemeClr w14:val="tx1"/>
            </w14:solidFill>
          </w14:textFill>
        </w:rPr>
        <w:t>代表本公司授权</w:t>
      </w:r>
      <w:r>
        <w:rPr>
          <w:rFonts w:hint="eastAsia" w:ascii="仿宋" w:hAnsi="仿宋" w:eastAsia="仿宋" w:cs="仿宋"/>
          <w:color w:val="000000" w:themeColor="text1"/>
          <w:kern w:val="0"/>
          <w:sz w:val="24"/>
          <w:u w:val="single"/>
          <w14:textFill>
            <w14:solidFill>
              <w14:schemeClr w14:val="tx1"/>
            </w14:solidFill>
          </w14:textFill>
        </w:rPr>
        <w:t>（姓名）</w:t>
      </w:r>
      <w:r>
        <w:rPr>
          <w:rFonts w:hint="eastAsia" w:ascii="仿宋" w:hAnsi="仿宋" w:eastAsia="仿宋" w:cs="仿宋"/>
          <w:color w:val="000000" w:themeColor="text1"/>
          <w:kern w:val="0"/>
          <w:sz w:val="24"/>
          <w14:textFill>
            <w14:solidFill>
              <w14:schemeClr w14:val="tx1"/>
            </w14:solidFill>
          </w14:textFill>
        </w:rPr>
        <w:t>为本单位的合法代理人，参与贵方组织的</w:t>
      </w:r>
      <w:r>
        <w:rPr>
          <w:rFonts w:hint="eastAsia" w:ascii="仿宋" w:hAnsi="仿宋" w:eastAsia="仿宋" w:cs="仿宋"/>
          <w:color w:val="000000" w:themeColor="text1"/>
          <w:kern w:val="0"/>
          <w:sz w:val="24"/>
          <w:u w:val="single"/>
          <w14:textFill>
            <w14:solidFill>
              <w14:schemeClr w14:val="tx1"/>
            </w14:solidFill>
          </w14:textFill>
        </w:rPr>
        <w:t>（项目名称及项目编号）</w:t>
      </w:r>
      <w:r>
        <w:rPr>
          <w:rFonts w:hint="eastAsia" w:ascii="仿宋" w:hAnsi="仿宋" w:eastAsia="仿宋" w:cs="仿宋"/>
          <w:color w:val="000000" w:themeColor="text1"/>
          <w:kern w:val="0"/>
          <w:sz w:val="24"/>
          <w14:textFill>
            <w14:solidFill>
              <w14:schemeClr w14:val="tx1"/>
            </w14:solidFill>
          </w14:textFill>
        </w:rPr>
        <w:t xml:space="preserve"> 的投标、谈判、签约等具体工作，并签署全部有关文件、协议及合同。</w:t>
      </w:r>
    </w:p>
    <w:p>
      <w:pPr>
        <w:adjustRightInd w:val="0"/>
        <w:snapToGrid w:val="0"/>
        <w:spacing w:line="420" w:lineRule="exact"/>
        <w:ind w:firstLine="486"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我单位对被授权人的上述经济活动负全部责任。在撤销授权的书面通知前，本授权书一直有效。被授权人在授权书有效期内签署的所有文件不因授权的撤消而失效。</w:t>
      </w:r>
    </w:p>
    <w:p>
      <w:pPr>
        <w:pStyle w:val="8"/>
        <w:tabs>
          <w:tab w:val="left" w:pos="780"/>
        </w:tabs>
        <w:kinsoku w:val="0"/>
        <w:overflowPunct w:val="0"/>
        <w:adjustRightInd w:val="0"/>
        <w:snapToGrid w:val="0"/>
        <w:spacing w:before="12"/>
        <w:rPr>
          <w:rFonts w:hint="eastAsia" w:ascii="仿宋" w:hAnsi="仿宋" w:eastAsia="仿宋" w:cs="仿宋"/>
          <w:color w:val="000000" w:themeColor="text1"/>
          <w:sz w:val="4"/>
          <w:szCs w:val="4"/>
          <w14:textFill>
            <w14:solidFill>
              <w14:schemeClr w14:val="tx1"/>
            </w14:solidFill>
          </w14:textFill>
        </w:rPr>
      </w:pPr>
    </w:p>
    <w:p>
      <w:pPr>
        <w:pStyle w:val="8"/>
        <w:numPr>
          <w:ilvl w:val="0"/>
          <w:numId w:val="0"/>
        </w:numPr>
        <w:kinsoku w:val="0"/>
        <w:overflowPunct w:val="0"/>
        <w:adjustRightInd w:val="0"/>
        <w:snapToGrid w:val="0"/>
        <w:spacing w:line="200" w:lineRule="atLeast"/>
        <w:ind w:right="1931" w:rightChars="795"/>
        <w:jc w:val="center"/>
        <w:rPr>
          <w:rFonts w:hint="eastAsia" w:ascii="仿宋" w:hAnsi="仿宋" w:eastAsia="仿宋" w:cs="仿宋"/>
          <w:color w:val="000000" w:themeColor="text1"/>
          <w:sz w:val="18"/>
          <w:szCs w:val="20"/>
          <w14:textFill>
            <w14:solidFill>
              <w14:schemeClr w14:val="tx1"/>
            </w14:solidFill>
          </w14:textFill>
        </w:rPr>
      </w:pPr>
      <w:r>
        <w:rPr>
          <w:rFonts w:hint="eastAsia" w:ascii="仿宋" w:hAnsi="仿宋" w:eastAsia="仿宋" w:cs="仿宋"/>
          <w:color w:val="000000" w:themeColor="text1"/>
          <w:sz w:val="18"/>
          <w:szCs w:val="20"/>
          <w14:textFill>
            <w14:solidFill>
              <w14:schemeClr w14:val="tx1"/>
            </w14:solidFill>
          </w14:textFill>
        </w:rPr>
        <mc:AlternateContent>
          <mc:Choice Requires="wpg">
            <w:drawing>
              <wp:inline distT="0" distB="0" distL="114300" distR="114300">
                <wp:extent cx="5136515" cy="1458595"/>
                <wp:effectExtent l="0" t="0" r="8255" b="9525"/>
                <wp:docPr id="35" name="组合 35"/>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28" name="任意多边形 1"/>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 name="任意多边形 2"/>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 name="任意多边形 3"/>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 name="任意多边形 4"/>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5" name="任意多边形 5"/>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6" name="任意多边形 6"/>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7" name="任意多边形 7"/>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8" name="任意多边形 8"/>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9" name="任意多边形 9"/>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10" name="任意多边形 10"/>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11" name="文本框 11"/>
                        <wps:cNvSpPr txBox="1"/>
                        <wps:spPr>
                          <a:xfrm>
                            <a:off x="19" y="19"/>
                            <a:ext cx="4025" cy="2258"/>
                          </a:xfrm>
                          <a:prstGeom prst="rect">
                            <a:avLst/>
                          </a:prstGeom>
                          <a:noFill/>
                          <a:ln>
                            <a:noFill/>
                          </a:ln>
                        </wps:spPr>
                        <wps:txbx>
                          <w:txbxContent>
                            <w:p>
                              <w:pPr>
                                <w:pStyle w:val="8"/>
                                <w:numPr>
                                  <w:ilvl w:val="0"/>
                                  <w:numId w:val="0"/>
                                </w:numPr>
                                <w:kinsoku w:val="0"/>
                                <w:overflowPunct w:val="0"/>
                                <w:spacing w:before="12"/>
                                <w:ind w:leftChars="0" w:right="0" w:rightChars="0"/>
                                <w:rPr>
                                  <w:rFonts w:hint="eastAsia"/>
                                  <w:sz w:val="28"/>
                                  <w:szCs w:val="28"/>
                                </w:rPr>
                              </w:pPr>
                            </w:p>
                            <w:p>
                              <w:pPr>
                                <w:pStyle w:val="8"/>
                                <w:numPr>
                                  <w:ilvl w:val="0"/>
                                  <w:numId w:val="0"/>
                                </w:numPr>
                                <w:kinsoku w:val="0"/>
                                <w:overflowPunct w:val="0"/>
                                <w:ind w:right="0" w:rightChars="0"/>
                                <w:jc w:val="center"/>
                                <w:rPr>
                                  <w:rFonts w:hint="eastAsia"/>
                                </w:rPr>
                              </w:pPr>
                            </w:p>
                            <w:p>
                              <w:pPr>
                                <w:pStyle w:val="8"/>
                                <w:numPr>
                                  <w:ilvl w:val="0"/>
                                  <w:numId w:val="0"/>
                                </w:numPr>
                                <w:kinsoku w:val="0"/>
                                <w:overflowPunct w:val="0"/>
                                <w:ind w:right="0" w:rightChars="0"/>
                                <w:jc w:val="center"/>
                              </w:pPr>
                              <w:r>
                                <w:rPr>
                                  <w:rFonts w:hint="eastAsia"/>
                                </w:rPr>
                                <w:t>授权人身份证复印件（正面）</w:t>
                              </w:r>
                            </w:p>
                          </w:txbxContent>
                        </wps:txbx>
                        <wps:bodyPr lIns="0" tIns="0" rIns="0" bIns="0" upright="1"/>
                      </wps:wsp>
                      <wps:wsp>
                        <wps:cNvPr id="12" name="文本框 12"/>
                        <wps:cNvSpPr txBox="1"/>
                        <wps:spPr>
                          <a:xfrm>
                            <a:off x="4044" y="19"/>
                            <a:ext cx="4025" cy="2258"/>
                          </a:xfrm>
                          <a:prstGeom prst="rect">
                            <a:avLst/>
                          </a:prstGeom>
                          <a:noFill/>
                          <a:ln>
                            <a:noFill/>
                          </a:ln>
                        </wps:spPr>
                        <wps:txbx>
                          <w:txbxContent>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pPr>
                              <w:r>
                                <w:rPr>
                                  <w:rFonts w:hint="eastAsia"/>
                                </w:rPr>
                                <w:t>授权人身份证复印件（反面）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">
                <o:lock v:ext="edit" rotation="t" aspectratio="f"/>
                <v:shape id="任意多边形 1" o:spid="_x0000_s1026" o:spt="100" style="position:absolute;left:4;top:9;height:20;width:8079;" filled="f" stroked="t" coordsize="8079,20" o:gfxdata="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W/5H2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aZdvXrwAAADa&#10;AAAADwAAAGRycy9kb3ducmV2LnhtbEWPQWsCMRSE7wX/Q3iCt5qs0q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Xb16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fEKzhbwAAADa&#10;AAAADwAAAGRycy9kb3ducmV2LnhtbEWPQWsCMRSE70L/Q3iF3jRxqVK2Rg9StbQntx48PjZvN4ub&#10;lyWJuv33TaHQ4zAz3zCrzeh6caMQO88a5jMFgrj2puNWw+lrN30BEROywd4zafimCJv1w2SFpfF3&#10;PtKtSq3IEI4larApDaWUsbbkMM78QJy9xgeHKcvQShPwnuGul4VSS+mw47xgcaCtpfpSXZ2Gz6Yp&#10;LkEVH4v94Q1xXHTt2W61fnqcq1cQicb0H/5rvxsNz/B7Jd8A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Cs4W8AAAA&#10;2g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3+MWGLsAAADa&#10;AAAADwAAAGRycy9kb3ducmV2LnhtbEWPQWsCMRSE74L/IbyCF6mJgmXdGj2IBcGTW70/Ns/N0s3L&#10;mqRq++uNUOhxmJlvmOX67jpxpRBbzxqmEwWCuPam5UbD8fPjtQARE7LBzjNp+KEI69VwsMTS+Bsf&#10;6FqlRmQIxxI12JT6UspYW3IYJ74nzt7ZB4cpy9BIE/CW4a6TM6XepMOW84LFnjaW6q/q22n4PY93&#10;863FbVUXJ7UvFpsLhkrr0ctUvYNIdE//4b/2zmiYw/NKv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MWGL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RHZDJ74AAADa&#10;AAAADwAAAGRycy9kb3ducmV2LnhtbEWPT4vCMBTE7wt+h/AEL4umyiJaG0V2EXpYcP1z0NujebbV&#10;5qU00eq3N8KCx2FmfsMki7upxI0aV1pWMBxEIIgzq0vOFex3q/4EhPPIGivLpOBBDhbzzkeCsbYt&#10;b+i29bkIEHYxKii8r2MpXVaQQTewNXHwTrYx6INscqkbbAPcVHIURWNpsOSwUGBN3wVll+3VKGjT&#10;H1nu/Tr7zDe/u6/pYVmfj39K9brDaAbC092/w//tVCsYw+tKuA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ZDJ74A&#10;AADa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7KgH77oAAADa&#10;AAAADwAAAGRycy9kb3ducmV2LnhtbEWPW4vCMBSE34X9D+EI+6apiu5SjbIUFvZJ8NL3Q3Nsis1J&#10;m8TL/nsjCD4OM/MNs9rcbSuu5EPjWMFknIEgrpxuuFZwPPyOvkGEiKyxdUwK/inAZv0xWGGu3Y13&#10;dN3HWiQIhxwVmBi7XMpQGbIYxq4jTt7JeYsxSV9L7fGW4LaV0yxbSIsNpwWDHRWGqvP+YhX4KhS6&#10;n/WmLPptyT/YucVsrtTncJItQUS6x3f41f7TCr7g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qAfv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AFAghb4AAADb&#10;AAAADwAAAGRycy9kb3ducmV2LnhtbEWPT2vCQBDF74V+h2UEb3VjLcVGV6HFf5dSmgpex+yYDWZn&#10;Q3aN9ts7h0JvM7w37/1mvrz5RvXUxTqwgfEoA0VcBltzZWD/s36agooJ2WITmAz8UoTl4vFhjrkN&#10;V/6mvkiVkhCOORpwKbW51rF05DGOQkss2il0HpOsXaVth1cJ941+zrJX7bFmaXDY0oej8lxcvIFz&#10;7N378WWz/Zrw2+e0OK7aw2llzHAwzmagEt3Sv/nvemcFX+jlFxlA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Aghb4A&#10;AADbAAAADwAAAAAAAAABACAAAAAiAAAAZHJzL2Rvd25yZXYueG1sUEsBAhQAFAAAAAgAh07iQDMv&#10;BZ47AAAAOQAAABAAAAAAAAAAAQAgAAAADQEAAGRycy9zaGFwZXhtbC54bWxQSwUGAAAAAAYABgBb&#10;AQAAtwM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pStyle w:val="8"/>
                          <w:numPr>
                            <w:ilvl w:val="0"/>
                            <w:numId w:val="0"/>
                          </w:numPr>
                          <w:kinsoku w:val="0"/>
                          <w:overflowPunct w:val="0"/>
                          <w:spacing w:before="12"/>
                          <w:ind w:leftChars="0" w:right="0" w:rightChars="0"/>
                          <w:rPr>
                            <w:rFonts w:hint="eastAsia"/>
                            <w:sz w:val="28"/>
                            <w:szCs w:val="28"/>
                          </w:rPr>
                        </w:pPr>
                      </w:p>
                      <w:p>
                        <w:pPr>
                          <w:pStyle w:val="8"/>
                          <w:numPr>
                            <w:ilvl w:val="0"/>
                            <w:numId w:val="0"/>
                          </w:numPr>
                          <w:kinsoku w:val="0"/>
                          <w:overflowPunct w:val="0"/>
                          <w:ind w:right="0" w:rightChars="0"/>
                          <w:jc w:val="center"/>
                          <w:rPr>
                            <w:rFonts w:hint="eastAsia"/>
                          </w:rPr>
                        </w:pPr>
                      </w:p>
                      <w:p>
                        <w:pPr>
                          <w:pStyle w:val="8"/>
                          <w:numPr>
                            <w:ilvl w:val="0"/>
                            <w:numId w:val="0"/>
                          </w:numPr>
                          <w:kinsoku w:val="0"/>
                          <w:overflowPunct w:val="0"/>
                          <w:ind w:right="0" w:rightChars="0"/>
                          <w:jc w:val="center"/>
                        </w:pPr>
                        <w:r>
                          <w:rPr>
                            <w:rFonts w:hint="eastAsia"/>
                          </w:rPr>
                          <w:t>授权人身份证复印件（正面）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pPr>
                        <w:r>
                          <w:rPr>
                            <w:rFonts w:hint="eastAsia"/>
                          </w:rPr>
                          <w:t>授权人身份证复印件（反面）</w:t>
                        </w:r>
                      </w:p>
                    </w:txbxContent>
                  </v:textbox>
                </v:shape>
                <w10:wrap type="none"/>
                <w10:anchorlock/>
              </v:group>
            </w:pict>
          </mc:Fallback>
        </mc:AlternateContent>
      </w:r>
    </w:p>
    <w:p>
      <w:pPr>
        <w:pStyle w:val="8"/>
        <w:numPr>
          <w:ilvl w:val="0"/>
          <w:numId w:val="0"/>
        </w:numPr>
        <w:kinsoku w:val="0"/>
        <w:overflowPunct w:val="0"/>
        <w:adjustRightInd w:val="0"/>
        <w:snapToGrid w:val="0"/>
        <w:spacing w:line="200" w:lineRule="atLeast"/>
        <w:ind w:right="0" w:rightChars="0"/>
        <w:rPr>
          <w:rFonts w:hint="eastAsia" w:ascii="仿宋" w:hAnsi="仿宋" w:eastAsia="仿宋" w:cs="仿宋"/>
          <w:color w:val="000000" w:themeColor="text1"/>
          <w:sz w:val="18"/>
          <w:szCs w:val="20"/>
          <w14:textFill>
            <w14:solidFill>
              <w14:schemeClr w14:val="tx1"/>
            </w14:solidFill>
          </w14:textFill>
        </w:rPr>
      </w:pPr>
      <w:r>
        <w:rPr>
          <w:rFonts w:hint="eastAsia" w:ascii="仿宋" w:hAnsi="仿宋" w:eastAsia="仿宋" w:cs="仿宋"/>
          <w:color w:val="000000" w:themeColor="text1"/>
          <w:sz w:val="18"/>
          <w:szCs w:val="20"/>
          <w14:textFill>
            <w14:solidFill>
              <w14:schemeClr w14:val="tx1"/>
            </w14:solidFill>
          </w14:textFill>
        </w:rPr>
        <mc:AlternateContent>
          <mc:Choice Requires="wpg">
            <w:drawing>
              <wp:inline distT="0" distB="0" distL="114300" distR="114300">
                <wp:extent cx="5136515" cy="1384935"/>
                <wp:effectExtent l="0" t="0" r="7620" b="6985"/>
                <wp:docPr id="36" name="组合 36"/>
                <wp:cNvGraphicFramePr/>
                <a:graphic xmlns:a="http://schemas.openxmlformats.org/drawingml/2006/main">
                  <a:graphicData uri="http://schemas.microsoft.com/office/word/2010/wordprocessingGroup">
                    <wpg:wgp>
                      <wpg:cNvGrpSpPr>
                        <a:grpSpLocks noRot="1"/>
                      </wpg:cNvGrpSpPr>
                      <wpg:grpSpPr>
                        <a:xfrm>
                          <a:off x="0" y="0"/>
                          <a:ext cx="5136515" cy="1384935"/>
                          <a:chOff x="0" y="0"/>
                          <a:chExt cx="8089" cy="2181"/>
                        </a:xfrm>
                      </wpg:grpSpPr>
                      <wps:wsp>
                        <wps:cNvPr id="37" name="任意多边形 3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38" name="任意多边形 3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9" name="任意多边形 36"/>
                        <wps:cNvSpPr/>
                        <wps:spPr>
                          <a:xfrm>
                            <a:off x="24" y="2151"/>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0" name="任意多边形 37"/>
                        <wps:cNvSpPr/>
                        <wps:spPr>
                          <a:xfrm>
                            <a:off x="4" y="2170"/>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41" name="任意多边形 38"/>
                        <wps:cNvSpPr/>
                        <wps:spPr>
                          <a:xfrm>
                            <a:off x="9" y="4"/>
                            <a:ext cx="20" cy="2171"/>
                          </a:xfrm>
                          <a:custGeom>
                            <a:avLst/>
                            <a:gdLst/>
                            <a:ahLst/>
                            <a:cxnLst/>
                            <a:pathLst>
                              <a:path w="20" h="2171">
                                <a:moveTo>
                                  <a:pt x="0" y="0"/>
                                </a:moveTo>
                                <a:lnTo>
                                  <a:pt x="0" y="2170"/>
                                </a:lnTo>
                              </a:path>
                            </a:pathLst>
                          </a:custGeom>
                          <a:noFill/>
                          <a:ln w="6096" cap="flat" cmpd="sng">
                            <a:solidFill>
                              <a:srgbClr val="000000"/>
                            </a:solidFill>
                            <a:prstDash val="solid"/>
                            <a:headEnd type="none" w="med" len="med"/>
                            <a:tailEnd type="none" w="med" len="med"/>
                          </a:ln>
                        </wps:spPr>
                        <wps:bodyPr upright="1"/>
                      </wps:wsp>
                      <wps:wsp>
                        <wps:cNvPr id="42" name="任意多边形 39"/>
                        <wps:cNvSpPr/>
                        <wps:spPr>
                          <a:xfrm>
                            <a:off x="28" y="24"/>
                            <a:ext cx="20" cy="2133"/>
                          </a:xfrm>
                          <a:custGeom>
                            <a:avLst/>
                            <a:gdLst/>
                            <a:ahLst/>
                            <a:cxnLst/>
                            <a:pathLst>
                              <a:path w="20" h="2133">
                                <a:moveTo>
                                  <a:pt x="0" y="0"/>
                                </a:moveTo>
                                <a:lnTo>
                                  <a:pt x="0" y="2132"/>
                                </a:lnTo>
                              </a:path>
                            </a:pathLst>
                          </a:custGeom>
                          <a:noFill/>
                          <a:ln w="6096" cap="flat" cmpd="sng">
                            <a:solidFill>
                              <a:srgbClr val="000000"/>
                            </a:solidFill>
                            <a:prstDash val="solid"/>
                            <a:headEnd type="none" w="med" len="med"/>
                            <a:tailEnd type="none" w="med" len="med"/>
                          </a:ln>
                        </wps:spPr>
                        <wps:bodyPr upright="1"/>
                      </wps:wsp>
                      <wps:wsp>
                        <wps:cNvPr id="43" name="任意多边形 40"/>
                        <wps:cNvSpPr/>
                        <wps:spPr>
                          <a:xfrm>
                            <a:off x="4034"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4" name="任意多边形 41"/>
                        <wps:cNvSpPr/>
                        <wps:spPr>
                          <a:xfrm>
                            <a:off x="4053"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5" name="任意多边形 42"/>
                        <wps:cNvSpPr/>
                        <wps:spPr>
                          <a:xfrm>
                            <a:off x="8059" y="33"/>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6" name="任意多边形 43"/>
                        <wps:cNvSpPr/>
                        <wps:spPr>
                          <a:xfrm>
                            <a:off x="8078" y="14"/>
                            <a:ext cx="20" cy="2162"/>
                          </a:xfrm>
                          <a:custGeom>
                            <a:avLst/>
                            <a:gdLst/>
                            <a:ahLst/>
                            <a:cxnLst/>
                            <a:pathLst>
                              <a:path w="20" h="2162">
                                <a:moveTo>
                                  <a:pt x="0" y="0"/>
                                </a:moveTo>
                                <a:lnTo>
                                  <a:pt x="0" y="2161"/>
                                </a:lnTo>
                              </a:path>
                            </a:pathLst>
                          </a:custGeom>
                          <a:noFill/>
                          <a:ln w="6096" cap="flat" cmpd="sng">
                            <a:solidFill>
                              <a:srgbClr val="000000"/>
                            </a:solidFill>
                            <a:prstDash val="solid"/>
                            <a:headEnd type="none" w="med" len="med"/>
                            <a:tailEnd type="none" w="med" len="med"/>
                          </a:ln>
                        </wps:spPr>
                        <wps:bodyPr upright="1"/>
                      </wps:wsp>
                      <wps:wsp>
                        <wps:cNvPr id="47" name="文本框 44"/>
                        <wps:cNvSpPr txBox="1"/>
                        <wps:spPr>
                          <a:xfrm>
                            <a:off x="19" y="19"/>
                            <a:ext cx="4025" cy="2142"/>
                          </a:xfrm>
                          <a:prstGeom prst="rect">
                            <a:avLst/>
                          </a:prstGeom>
                          <a:noFill/>
                          <a:ln>
                            <a:noFill/>
                          </a:ln>
                        </wps:spPr>
                        <wps:txbx>
                          <w:txbxContent>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jc w:val="center"/>
                              </w:pPr>
                              <w:r>
                                <w:rPr>
                                  <w:rFonts w:hint="eastAsia"/>
                                </w:rPr>
                                <w:t>被授权代表身份证复印件（正面）</w:t>
                              </w:r>
                            </w:p>
                          </w:txbxContent>
                        </wps:txbx>
                        <wps:bodyPr lIns="0" tIns="0" rIns="0" bIns="0" upright="1"/>
                      </wps:wsp>
                      <wps:wsp>
                        <wps:cNvPr id="48" name="文本框 45"/>
                        <wps:cNvSpPr txBox="1"/>
                        <wps:spPr>
                          <a:xfrm>
                            <a:off x="4044" y="19"/>
                            <a:ext cx="4025" cy="2142"/>
                          </a:xfrm>
                          <a:prstGeom prst="rect">
                            <a:avLst/>
                          </a:prstGeom>
                          <a:noFill/>
                          <a:ln>
                            <a:noFill/>
                          </a:ln>
                        </wps:spPr>
                        <wps:txbx>
                          <w:txbxContent>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pPr>
                              <w:r>
                                <w:rPr>
                                  <w:rFonts w:hint="eastAsia"/>
                                </w:rPr>
                                <w:t>被授权代表身份证复印件（反面）</w:t>
                              </w:r>
                            </w:p>
                          </w:txbxContent>
                        </wps:txbx>
                        <wps:bodyPr lIns="0" tIns="0" rIns="0" bIns="0" upright="1"/>
                      </wps:wsp>
                    </wpg:wgp>
                  </a:graphicData>
                </a:graphic>
              </wp:inline>
            </w:drawing>
          </mc:Choice>
          <mc:Fallback>
            <w:pict>
              <v:group id="_x0000_s1026" o:spid="_x0000_s1026"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">
                <o:lock v:ext="edit" rotation="t" aspectratio="f"/>
                <v:shape id="任意多边形 34" o:spid="_x0000_s1026" o:spt="100"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026" o:spt="100"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026" o:spt="100"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026" o:spt="100"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026" o:spt="100"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026" o:spt="100"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026" o:spt="100"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026" o:spt="100"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026" o:spt="10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026" o:spt="100"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026" o:spt="202" type="#_x0000_t202" style="position:absolute;left:19;top:19;height:2142;width:4025;"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jc w:val="center"/>
                        </w:pPr>
                        <w:r>
                          <w:rPr>
                            <w:rFonts w:hint="eastAsia"/>
                          </w:rPr>
                          <w:t>被授权代表身份证复印件（正面）</w:t>
                        </w:r>
                      </w:p>
                    </w:txbxContent>
                  </v:textbox>
                </v:shape>
                <v:shape id="文本框 45" o:spid="_x0000_s1026" o:spt="202" type="#_x0000_t202" style="position:absolute;left:4044;top:19;height:2142;width:4025;"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pPr>
                        <w:r>
                          <w:rPr>
                            <w:rFonts w:hint="eastAsia"/>
                          </w:rPr>
                          <w:t>被授权代表身份证复印件（反面）</w:t>
                        </w:r>
                      </w:p>
                    </w:txbxContent>
                  </v:textbox>
                </v:shape>
                <w10:wrap type="none"/>
                <w10:anchorlock/>
              </v:group>
            </w:pict>
          </mc:Fallback>
        </mc:AlternateContent>
      </w:r>
    </w:p>
    <w:p>
      <w:pPr>
        <w:pStyle w:val="8"/>
        <w:numPr>
          <w:ilvl w:val="0"/>
          <w:numId w:val="0"/>
        </w:numPr>
        <w:tabs>
          <w:tab w:val="left" w:pos="5295"/>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被授权代表（</w:t>
      </w:r>
      <w:r>
        <w:rPr>
          <w:rFonts w:hint="eastAsia" w:ascii="仿宋" w:hAnsi="仿宋" w:eastAsia="仿宋" w:cs="仿宋"/>
          <w:color w:val="000000" w:themeColor="text1"/>
          <w:sz w:val="24"/>
          <w:lang w:eastAsia="zh-CN"/>
          <w14:textFill>
            <w14:solidFill>
              <w14:schemeClr w14:val="tx1"/>
            </w14:solidFill>
          </w14:textFill>
        </w:rPr>
        <w:t>签章</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投标人法定代表人（</w:t>
      </w:r>
      <w:r>
        <w:rPr>
          <w:rFonts w:hint="eastAsia" w:ascii="仿宋" w:hAnsi="仿宋" w:eastAsia="仿宋" w:cs="仿宋"/>
          <w:color w:val="000000" w:themeColor="text1"/>
          <w:sz w:val="24"/>
          <w:lang w:eastAsia="zh-CN"/>
          <w14:textFill>
            <w14:solidFill>
              <w14:schemeClr w14:val="tx1"/>
            </w14:solidFill>
          </w14:textFill>
        </w:rPr>
        <w:t>签章</w:t>
      </w:r>
      <w:r>
        <w:rPr>
          <w:rFonts w:hint="eastAsia" w:ascii="仿宋" w:hAnsi="仿宋" w:eastAsia="仿宋" w:cs="仿宋"/>
          <w:color w:val="000000" w:themeColor="text1"/>
          <w:sz w:val="24"/>
          <w14:textFill>
            <w14:solidFill>
              <w14:schemeClr w14:val="tx1"/>
            </w14:solidFill>
          </w14:textFill>
        </w:rPr>
        <w:t>）：</w:t>
      </w:r>
    </w:p>
    <w:p>
      <w:pPr>
        <w:pStyle w:val="8"/>
        <w:numPr>
          <w:ilvl w:val="0"/>
          <w:numId w:val="0"/>
        </w:numPr>
        <w:tabs>
          <w:tab w:val="left" w:pos="1098"/>
          <w:tab w:val="left" w:pos="5298"/>
          <w:tab w:val="left" w:pos="5778"/>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务：</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职</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务：</w:t>
      </w:r>
    </w:p>
    <w:p>
      <w:pPr>
        <w:pStyle w:val="8"/>
        <w:numPr>
          <w:ilvl w:val="0"/>
          <w:numId w:val="0"/>
        </w:numPr>
        <w:tabs>
          <w:tab w:val="left" w:pos="1098"/>
          <w:tab w:val="left" w:pos="5298"/>
          <w:tab w:val="left" w:pos="5778"/>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话：</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电</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话：</w:t>
      </w:r>
    </w:p>
    <w:p>
      <w:pPr>
        <w:pStyle w:val="8"/>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leftChars="0" w:right="238" w:right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（盖章）</w:t>
      </w:r>
    </w:p>
    <w:p>
      <w:pPr>
        <w:pStyle w:val="8"/>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Chars="50" w:right="238" w:rightChars="0" w:firstLine="2916" w:firstLineChars="1200"/>
        <w:jc w:val="both"/>
        <w:rPr>
          <w:rFonts w:hint="eastAsia" w:ascii="仿宋" w:hAnsi="仿宋" w:eastAsia="仿宋" w:cs="仿宋"/>
          <w:color w:val="000000" w:themeColor="text1"/>
          <w:sz w:val="20"/>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日 </w:t>
      </w:r>
      <w:r>
        <w:rPr>
          <w:rFonts w:hint="eastAsia" w:ascii="仿宋" w:hAnsi="仿宋" w:eastAsia="仿宋" w:cs="仿宋"/>
          <w:color w:val="000000" w:themeColor="text1"/>
          <w:sz w:val="20"/>
          <w14:textFill>
            <w14:solidFill>
              <w14:schemeClr w14:val="tx1"/>
            </w14:solidFill>
          </w14:textFill>
        </w:rPr>
        <w:t xml:space="preserve">               </w:t>
      </w:r>
    </w:p>
    <w:p>
      <w:pPr>
        <w:pStyle w:val="25"/>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pPr>
        <w:pStyle w:val="4"/>
        <w:numPr>
          <w:ilvl w:val="0"/>
          <w:numId w:val="0"/>
        </w:numPr>
        <w:shd w:val="clear" w:color="auto" w:fill="auto"/>
        <w:spacing w:before="0" w:line="240" w:lineRule="atLeas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参加政府采购活动前3年内</w:t>
      </w:r>
      <w:bookmarkStart w:id="77" w:name="_Toc6008"/>
      <w:bookmarkStart w:id="78" w:name="_Toc515647812"/>
      <w:bookmarkStart w:id="79" w:name="_Toc1137"/>
      <w:r>
        <w:rPr>
          <w:rFonts w:hint="eastAsia" w:ascii="仿宋" w:hAnsi="仿宋" w:eastAsia="仿宋" w:cs="仿宋"/>
          <w:color w:val="000000" w:themeColor="text1"/>
          <w:sz w:val="24"/>
          <w:highlight w:val="none"/>
          <w14:textFill>
            <w14:solidFill>
              <w14:schemeClr w14:val="tx1"/>
            </w14:solidFill>
          </w14:textFill>
        </w:rPr>
        <w:t>在经营活动中没有重大违法记录的书面声明</w:t>
      </w:r>
      <w:bookmarkEnd w:id="77"/>
      <w:bookmarkEnd w:id="78"/>
      <w:bookmarkEnd w:id="79"/>
    </w:p>
    <w:p>
      <w:pPr>
        <w:pStyle w:val="10"/>
        <w:shd w:val="clear" w:color="auto" w:fill="auto"/>
        <w:tabs>
          <w:tab w:val="left" w:pos="5580"/>
        </w:tabs>
        <w:spacing w:line="240" w:lineRule="atLeast"/>
        <w:ind w:left="1164" w:leftChars="257" w:hanging="540"/>
        <w:jc w:val="center"/>
        <w:rPr>
          <w:rFonts w:hint="eastAsia" w:ascii="仿宋" w:hAnsi="仿宋" w:eastAsia="仿宋" w:cs="仿宋"/>
          <w:b/>
          <w:color w:val="000000" w:themeColor="text1"/>
          <w:sz w:val="24"/>
          <w:highlight w:val="none"/>
          <w14:textFill>
            <w14:solidFill>
              <w14:schemeClr w14:val="tx1"/>
            </w14:solidFill>
          </w14:textFill>
        </w:rPr>
      </w:pPr>
    </w:p>
    <w:p>
      <w:pPr>
        <w:pStyle w:val="10"/>
        <w:shd w:val="clear" w:color="auto" w:fill="auto"/>
        <w:tabs>
          <w:tab w:val="left" w:pos="5580"/>
        </w:tabs>
        <w:spacing w:line="240" w:lineRule="atLeast"/>
        <w:ind w:left="1164" w:leftChars="257" w:hanging="540"/>
        <w:rPr>
          <w:rFonts w:hint="eastAsia" w:ascii="仿宋" w:hAnsi="仿宋" w:eastAsia="仿宋" w:cs="仿宋"/>
          <w:color w:val="000000" w:themeColor="text1"/>
          <w:sz w:val="24"/>
          <w:highlight w:val="none"/>
          <w14:textFill>
            <w14:solidFill>
              <w14:schemeClr w14:val="tx1"/>
            </w14:solidFill>
          </w14:textFill>
        </w:rPr>
      </w:pPr>
    </w:p>
    <w:p>
      <w:pPr>
        <w:pStyle w:val="10"/>
        <w:shd w:val="clear" w:color="auto" w:fill="auto"/>
        <w:tabs>
          <w:tab w:val="left" w:pos="5580"/>
        </w:tabs>
        <w:spacing w:line="240" w:lineRule="atLeast"/>
        <w:ind w:left="1164" w:leftChars="257" w:hanging="540"/>
        <w:rPr>
          <w:rFonts w:hint="eastAsia" w:ascii="仿宋" w:hAnsi="仿宋" w:eastAsia="仿宋" w:cs="仿宋"/>
          <w:color w:val="000000" w:themeColor="text1"/>
          <w:sz w:val="24"/>
          <w:highlight w:val="none"/>
          <w14:textFill>
            <w14:solidFill>
              <w14:schemeClr w14:val="tx1"/>
            </w14:solidFill>
          </w14:textFill>
        </w:rPr>
      </w:pPr>
    </w:p>
    <w:p>
      <w:pPr>
        <w:pStyle w:val="10"/>
        <w:shd w:val="clear" w:color="auto" w:fill="auto"/>
        <w:tabs>
          <w:tab w:val="left" w:pos="5580"/>
        </w:tabs>
        <w:spacing w:line="240" w:lineRule="atLeast"/>
        <w:ind w:left="1164" w:leftChars="257" w:hanging="54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说明：1.投标人应按照相关法规规定如实作出说明。</w:t>
      </w:r>
    </w:p>
    <w:p>
      <w:pPr>
        <w:pStyle w:val="10"/>
        <w:shd w:val="clear" w:color="auto" w:fill="auto"/>
        <w:tabs>
          <w:tab w:val="left" w:pos="5580"/>
        </w:tabs>
        <w:spacing w:line="240" w:lineRule="atLeast"/>
        <w:ind w:left="746" w:leftChars="307" w:firstLine="607"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2．按照招标文件的规定加盖单位章（自然人投标的无需盖章，需要签字）。</w:t>
      </w:r>
    </w:p>
    <w:p>
      <w:pPr>
        <w:pStyle w:val="10"/>
        <w:shd w:val="clear" w:color="auto" w:fill="auto"/>
        <w:tabs>
          <w:tab w:val="left" w:pos="5580"/>
        </w:tabs>
        <w:spacing w:line="240" w:lineRule="atLeast"/>
        <w:ind w:left="1164" w:leftChars="257" w:hanging="54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pStyle w:val="5"/>
        <w:rPr>
          <w:rFonts w:hint="eastAsia" w:ascii="仿宋" w:hAnsi="仿宋" w:eastAsia="仿宋" w:cs="仿宋"/>
          <w:b/>
          <w:bCs/>
          <w:color w:val="000000" w:themeColor="text1"/>
          <w:sz w:val="36"/>
          <w:szCs w:val="36"/>
          <w14:textFill>
            <w14:solidFill>
              <w14:schemeClr w14:val="tx1"/>
            </w14:solidFill>
          </w14:textFill>
        </w:rPr>
      </w:pPr>
    </w:p>
    <w:p>
      <w:pPr>
        <w:rPr>
          <w:rFonts w:hint="eastAsia" w:ascii="仿宋" w:hAnsi="仿宋" w:eastAsia="仿宋" w:cs="仿宋"/>
          <w:b/>
          <w:bCs/>
          <w:color w:val="000000" w:themeColor="text1"/>
          <w:sz w:val="36"/>
          <w:szCs w:val="36"/>
          <w14:textFill>
            <w14:solidFill>
              <w14:schemeClr w14:val="tx1"/>
            </w14:solidFill>
          </w14:textFill>
        </w:rPr>
      </w:pPr>
    </w:p>
    <w:p>
      <w:pPr>
        <w:pStyle w:val="5"/>
        <w:rPr>
          <w:rFonts w:hint="eastAsia" w:ascii="仿宋" w:hAnsi="仿宋" w:eastAsia="仿宋" w:cs="仿宋"/>
          <w:b/>
          <w:bCs/>
          <w:color w:val="000000" w:themeColor="text1"/>
          <w:sz w:val="36"/>
          <w:szCs w:val="36"/>
          <w14:textFill>
            <w14:solidFill>
              <w14:schemeClr w14:val="tx1"/>
            </w14:solidFill>
          </w14:textFill>
        </w:rPr>
      </w:pPr>
    </w:p>
    <w:p>
      <w:pPr>
        <w:rPr>
          <w:rFonts w:hint="eastAsia" w:ascii="仿宋" w:hAnsi="仿宋" w:eastAsia="仿宋" w:cs="仿宋"/>
          <w:b/>
          <w:bCs/>
          <w:color w:val="000000" w:themeColor="text1"/>
          <w:sz w:val="36"/>
          <w:szCs w:val="36"/>
          <w14:textFill>
            <w14:solidFill>
              <w14:schemeClr w14:val="tx1"/>
            </w14:solidFill>
          </w14:textFill>
        </w:rPr>
      </w:pPr>
    </w:p>
    <w:p>
      <w:pPr>
        <w:pStyle w:val="5"/>
        <w:rPr>
          <w:rFonts w:hint="eastAsia" w:ascii="仿宋" w:hAnsi="仿宋" w:eastAsia="仿宋" w:cs="仿宋"/>
          <w:b/>
          <w:bCs/>
          <w:color w:val="000000" w:themeColor="text1"/>
          <w:sz w:val="36"/>
          <w:szCs w:val="36"/>
          <w14:textFill>
            <w14:solidFill>
              <w14:schemeClr w14:val="tx1"/>
            </w14:solidFill>
          </w14:textFill>
        </w:rPr>
      </w:pPr>
    </w:p>
    <w:p>
      <w:pPr>
        <w:rPr>
          <w:rFonts w:hint="eastAsia" w:ascii="仿宋" w:hAnsi="仿宋" w:eastAsia="仿宋" w:cs="仿宋"/>
          <w:b/>
          <w:bCs/>
          <w:color w:val="000000" w:themeColor="text1"/>
          <w:sz w:val="36"/>
          <w:szCs w:val="36"/>
          <w14:textFill>
            <w14:solidFill>
              <w14:schemeClr w14:val="tx1"/>
            </w14:solidFill>
          </w14:textFill>
        </w:rPr>
      </w:pPr>
    </w:p>
    <w:p>
      <w:pPr>
        <w:pStyle w:val="5"/>
        <w:rPr>
          <w:rFonts w:hint="eastAsia" w:ascii="仿宋" w:hAnsi="仿宋" w:eastAsia="仿宋" w:cs="仿宋"/>
          <w:b/>
          <w:bCs/>
          <w:color w:val="000000" w:themeColor="text1"/>
          <w:sz w:val="36"/>
          <w:szCs w:val="36"/>
          <w14:textFill>
            <w14:solidFill>
              <w14:schemeClr w14:val="tx1"/>
            </w14:solidFill>
          </w14:textFill>
        </w:rPr>
      </w:pPr>
    </w:p>
    <w:p>
      <w:pPr>
        <w:rPr>
          <w:rFonts w:hint="eastAsia" w:ascii="仿宋" w:hAnsi="仿宋" w:eastAsia="仿宋" w:cs="仿宋"/>
          <w:b/>
          <w:bCs/>
          <w:color w:val="000000" w:themeColor="text1"/>
          <w:sz w:val="36"/>
          <w:szCs w:val="36"/>
          <w14:textFill>
            <w14:solidFill>
              <w14:schemeClr w14:val="tx1"/>
            </w14:solidFill>
          </w14:textFill>
        </w:rPr>
      </w:pPr>
    </w:p>
    <w:p>
      <w:pPr>
        <w:pStyle w:val="5"/>
        <w:rPr>
          <w:rFonts w:hint="eastAsia" w:ascii="仿宋" w:hAnsi="仿宋" w:eastAsia="仿宋" w:cs="仿宋"/>
          <w:b/>
          <w:bCs/>
          <w:color w:val="000000" w:themeColor="text1"/>
          <w:sz w:val="36"/>
          <w:szCs w:val="36"/>
          <w14:textFill>
            <w14:solidFill>
              <w14:schemeClr w14:val="tx1"/>
            </w14:solidFill>
          </w14:textFill>
        </w:rPr>
      </w:pPr>
    </w:p>
    <w:p>
      <w:pPr>
        <w:rPr>
          <w:rFonts w:hint="eastAsia" w:ascii="仿宋" w:hAnsi="仿宋" w:eastAsia="仿宋" w:cs="仿宋"/>
          <w:b/>
          <w:bCs/>
          <w:color w:val="000000" w:themeColor="text1"/>
          <w:sz w:val="36"/>
          <w:szCs w:val="36"/>
          <w14:textFill>
            <w14:solidFill>
              <w14:schemeClr w14:val="tx1"/>
            </w14:solidFill>
          </w14:textFill>
        </w:rPr>
      </w:pPr>
    </w:p>
    <w:p>
      <w:pPr>
        <w:pStyle w:val="5"/>
        <w:rPr>
          <w:rFonts w:hint="eastAsia" w:ascii="仿宋" w:hAnsi="仿宋" w:eastAsia="仿宋" w:cs="仿宋"/>
          <w:b/>
          <w:bCs/>
          <w:color w:val="000000" w:themeColor="text1"/>
          <w:sz w:val="36"/>
          <w:szCs w:val="36"/>
          <w14:textFill>
            <w14:solidFill>
              <w14:schemeClr w14:val="tx1"/>
            </w14:solidFill>
          </w14:textFill>
        </w:rPr>
      </w:pPr>
    </w:p>
    <w:p>
      <w:pPr>
        <w:rPr>
          <w:rFonts w:hint="eastAsia" w:ascii="仿宋" w:hAnsi="仿宋" w:eastAsia="仿宋" w:cs="仿宋"/>
          <w:b/>
          <w:bCs/>
          <w:color w:val="000000" w:themeColor="text1"/>
          <w:sz w:val="36"/>
          <w:szCs w:val="36"/>
          <w14:textFill>
            <w14:solidFill>
              <w14:schemeClr w14:val="tx1"/>
            </w14:solidFill>
          </w14:textFill>
        </w:rPr>
      </w:pPr>
    </w:p>
    <w:p>
      <w:pPr>
        <w:pStyle w:val="4"/>
        <w:numPr>
          <w:ilvl w:val="0"/>
          <w:numId w:val="0"/>
        </w:numPr>
        <w:shd w:val="clear" w:color="auto" w:fill="auto"/>
        <w:spacing w:before="0" w:line="240" w:lineRule="atLeast"/>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pPr>
        <w:pStyle w:val="4"/>
        <w:numPr>
          <w:ilvl w:val="0"/>
          <w:numId w:val="0"/>
        </w:numPr>
        <w:shd w:val="clear" w:color="auto" w:fill="auto"/>
        <w:spacing w:before="0" w:line="240" w:lineRule="atLeast"/>
        <w:rPr>
          <w:rFonts w:hint="eastAsia" w:ascii="仿宋" w:hAnsi="仿宋" w:eastAsia="仿宋" w:cs="仿宋"/>
          <w:b/>
          <w:bCs/>
          <w:color w:val="000000" w:themeColor="text1"/>
          <w:spacing w:val="0"/>
          <w:w w:val="100"/>
          <w:position w:val="0"/>
          <w:sz w:val="36"/>
          <w:szCs w:val="36"/>
          <w:shd w:val="clear" w:color="auto" w:fill="auto"/>
          <w:lang w:val="en-US" w:eastAsia="en-US" w:bidi="en-US"/>
          <w14:textFill>
            <w14:solidFill>
              <w14:schemeClr w14:val="tx1"/>
            </w14:solidFill>
          </w14:textFill>
        </w:rPr>
      </w:pPr>
      <w: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t>5、</w:t>
      </w:r>
      <w:r>
        <w:rPr>
          <w:rFonts w:hint="eastAsia" w:ascii="仿宋" w:hAnsi="仿宋" w:eastAsia="仿宋" w:cs="仿宋"/>
          <w:b/>
          <w:bCs/>
          <w:color w:val="000000" w:themeColor="text1"/>
          <w:spacing w:val="0"/>
          <w:w w:val="100"/>
          <w:position w:val="0"/>
          <w:sz w:val="36"/>
          <w:szCs w:val="36"/>
          <w:shd w:val="clear" w:color="auto" w:fill="auto"/>
          <w:lang w:val="en-US" w:eastAsia="en-US" w:bidi="en-US"/>
          <w14:textFill>
            <w14:solidFill>
              <w14:schemeClr w14:val="tx1"/>
            </w14:solidFill>
          </w14:textFill>
        </w:rPr>
        <w:t>投标保证金缴纳凭证或投标担保函</w:t>
      </w:r>
    </w:p>
    <w:p>
      <w:pPr>
        <w:shd w:val="clear" w:color="auto" w:fill="auto"/>
        <w:ind w:firstLine="486" w:firstLineChars="200"/>
        <w:rPr>
          <w:rFonts w:hint="eastAsia" w:ascii="仿宋" w:hAnsi="仿宋" w:eastAsia="仿宋" w:cs="仿宋"/>
          <w:color w:val="000000" w:themeColor="text1"/>
          <w:sz w:val="24"/>
          <w:highlight w:val="none"/>
          <w14:textFill>
            <w14:solidFill>
              <w14:schemeClr w14:val="tx1"/>
            </w14:solidFill>
          </w14:textFill>
        </w:rPr>
      </w:pPr>
      <w:bookmarkStart w:id="80" w:name="_Toc494296665"/>
      <w:bookmarkStart w:id="81" w:name="_Toc494296991"/>
    </w:p>
    <w:bookmarkEnd w:id="80"/>
    <w:bookmarkEnd w:id="81"/>
    <w:p>
      <w:pPr>
        <w:pStyle w:val="2"/>
        <w:shd w:val="clear" w:color="auto" w:fill="auto"/>
        <w:rPr>
          <w:rFonts w:hint="eastAsia" w:ascii="仿宋" w:hAnsi="仿宋" w:eastAsia="仿宋" w:cs="仿宋"/>
          <w:color w:val="000000" w:themeColor="text1"/>
          <w:highlight w:val="none"/>
          <w14:textFill>
            <w14:solidFill>
              <w14:schemeClr w14:val="tx1"/>
            </w14:solidFill>
          </w14:textFill>
        </w:rPr>
      </w:pPr>
    </w:p>
    <w:tbl>
      <w:tblPr>
        <w:tblStyle w:val="18"/>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投标保证金收据</w:t>
            </w:r>
          </w:p>
        </w:tc>
      </w:tr>
    </w:tbl>
    <w:p>
      <w:pPr>
        <w:pStyle w:val="2"/>
        <w:shd w:val="clear" w:color="auto" w:fill="auto"/>
        <w:rPr>
          <w:rFonts w:hint="eastAsia" w:ascii="仿宋" w:hAnsi="仿宋" w:eastAsia="仿宋" w:cs="仿宋"/>
          <w:color w:val="000000" w:themeColor="text1"/>
          <w:highlight w:val="none"/>
          <w14:textFill>
            <w14:solidFill>
              <w14:schemeClr w14:val="tx1"/>
            </w14:solidFill>
          </w14:textFill>
        </w:rPr>
      </w:pPr>
    </w:p>
    <w:p>
      <w:pPr>
        <w:shd w:val="clear" w:color="auto" w:fill="auto"/>
        <w:spacing w:line="240" w:lineRule="atLeast"/>
        <w:ind w:left="1164" w:leftChars="257" w:hanging="540"/>
        <w:jc w:val="center"/>
        <w:rPr>
          <w:rFonts w:hint="eastAsia" w:ascii="仿宋" w:hAnsi="仿宋" w:eastAsia="仿宋" w:cs="仿宋"/>
          <w:color w:val="000000" w:themeColor="text1"/>
          <w:sz w:val="24"/>
          <w:highlight w:val="none"/>
          <w14:textFill>
            <w14:solidFill>
              <w14:schemeClr w14:val="tx1"/>
            </w14:solidFill>
          </w14:textFill>
        </w:rPr>
      </w:pPr>
    </w:p>
    <w:p>
      <w:pPr>
        <w:shd w:val="clear" w:color="auto" w:fill="auto"/>
        <w:rPr>
          <w:rFonts w:hint="eastAsia" w:ascii="仿宋" w:hAnsi="仿宋" w:eastAsia="仿宋" w:cs="仿宋"/>
          <w:color w:val="000000" w:themeColor="text1"/>
          <w:sz w:val="28"/>
          <w:szCs w:val="28"/>
          <w:highlight w:val="none"/>
          <w14:textFill>
            <w14:solidFill>
              <w14:schemeClr w14:val="tx1"/>
            </w14:solidFill>
          </w14:textFill>
        </w:rPr>
      </w:pPr>
    </w:p>
    <w:tbl>
      <w:tblPr>
        <w:tblStyle w:val="18"/>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lang w:eastAsia="zh-CN"/>
                <w14:textFill>
                  <w14:solidFill>
                    <w14:schemeClr w14:val="tx1"/>
                  </w14:solidFill>
                </w14:textFill>
              </w:rPr>
            </w:pPr>
            <w:r>
              <w:rPr>
                <w:rFonts w:hint="eastAsia" w:ascii="仿宋" w:hAnsi="仿宋" w:eastAsia="仿宋" w:cs="仿宋"/>
                <w:b/>
                <w:bCs/>
                <w:color w:val="000000" w:themeColor="text1"/>
                <w:sz w:val="30"/>
                <w:szCs w:val="30"/>
                <w:highlight w:val="none"/>
                <w:lang w:eastAsia="zh-CN"/>
                <w14:textFill>
                  <w14:solidFill>
                    <w14:schemeClr w14:val="tx1"/>
                  </w14:solidFill>
                </w14:textFill>
              </w:rPr>
              <w:t>打款凭证</w:t>
            </w:r>
          </w:p>
        </w:tc>
      </w:tr>
    </w:tbl>
    <w:p>
      <w:pPr>
        <w:pStyle w:val="2"/>
        <w:shd w:val="clear" w:color="auto" w:fill="auto"/>
        <w:rPr>
          <w:rFonts w:hint="eastAsia" w:ascii="仿宋" w:hAnsi="仿宋" w:eastAsia="仿宋" w:cs="仿宋"/>
          <w:color w:val="000000" w:themeColor="text1"/>
          <w:highlight w:val="none"/>
          <w14:textFill>
            <w14:solidFill>
              <w14:schemeClr w14:val="tx1"/>
            </w14:solidFill>
          </w14:textFill>
        </w:rPr>
      </w:pPr>
    </w:p>
    <w:p>
      <w:pPr>
        <w:pStyle w:val="2"/>
        <w:shd w:val="clear" w:color="auto" w:fill="auto"/>
        <w:rPr>
          <w:rFonts w:hint="eastAsia" w:ascii="仿宋" w:hAnsi="仿宋" w:eastAsia="仿宋" w:cs="仿宋"/>
          <w:color w:val="000000" w:themeColor="text1"/>
          <w:highlight w:val="none"/>
          <w14:textFill>
            <w14:solidFill>
              <w14:schemeClr w14:val="tx1"/>
            </w14:solidFill>
          </w14:textFill>
        </w:rPr>
      </w:pPr>
    </w:p>
    <w:p>
      <w:pPr>
        <w:pStyle w:val="2"/>
        <w:shd w:val="clear" w:color="auto" w:fill="auto"/>
        <w:rPr>
          <w:rFonts w:hint="eastAsia" w:ascii="仿宋" w:hAnsi="仿宋" w:eastAsia="仿宋" w:cs="仿宋"/>
          <w:color w:val="000000" w:themeColor="text1"/>
          <w:highlight w:val="none"/>
          <w14:textFill>
            <w14:solidFill>
              <w14:schemeClr w14:val="tx1"/>
            </w14:solidFill>
          </w14:textFill>
        </w:rPr>
      </w:pPr>
    </w:p>
    <w:p>
      <w:pPr>
        <w:pStyle w:val="2"/>
        <w:shd w:val="clear" w:color="auto" w:fill="auto"/>
        <w:rPr>
          <w:rFonts w:hint="eastAsia" w:ascii="仿宋" w:hAnsi="仿宋" w:eastAsia="仿宋" w:cs="仿宋"/>
          <w:color w:val="000000" w:themeColor="text1"/>
          <w:highlight w:val="none"/>
          <w14:textFill>
            <w14:solidFill>
              <w14:schemeClr w14:val="tx1"/>
            </w14:solidFill>
          </w14:textFill>
        </w:rPr>
      </w:pPr>
    </w:p>
    <w:p>
      <w:pPr>
        <w:pStyle w:val="2"/>
        <w:shd w:val="clear" w:color="auto" w:fill="auto"/>
        <w:rPr>
          <w:rFonts w:hint="eastAsia" w:ascii="仿宋" w:hAnsi="仿宋" w:eastAsia="仿宋" w:cs="仿宋"/>
          <w:color w:val="000000" w:themeColor="text1"/>
          <w:highlight w:val="none"/>
          <w14:textFill>
            <w14:solidFill>
              <w14:schemeClr w14:val="tx1"/>
            </w14:solidFill>
          </w14:textFill>
        </w:rPr>
      </w:pPr>
    </w:p>
    <w:p>
      <w:pPr>
        <w:pStyle w:val="2"/>
        <w:shd w:val="clear" w:color="auto" w:fill="auto"/>
        <w:rPr>
          <w:rFonts w:hint="eastAsia" w:ascii="仿宋" w:hAnsi="仿宋" w:eastAsia="仿宋" w:cs="仿宋"/>
          <w:color w:val="000000" w:themeColor="text1"/>
          <w:highlight w:val="none"/>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5"/>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shd w:val="clear" w:color="auto" w:fill="auto"/>
        <w:jc w:val="center"/>
        <w:rPr>
          <w:rFonts w:hint="eastAsia" w:ascii="仿宋" w:hAnsi="仿宋" w:eastAsia="仿宋" w:cs="仿宋"/>
          <w:color w:val="000000" w:themeColor="text1"/>
          <w:sz w:val="28"/>
          <w:szCs w:val="28"/>
          <w:highlight w:val="none"/>
          <w14:textFill>
            <w14:solidFill>
              <w14:schemeClr w14:val="tx1"/>
            </w14:solidFill>
          </w14:textFill>
        </w:rPr>
      </w:pPr>
    </w:p>
    <w:p>
      <w:pPr>
        <w:shd w:val="clear" w:color="auto" w:fill="auto"/>
        <w:jc w:val="center"/>
        <w:rPr>
          <w:rFonts w:hint="eastAsia" w:ascii="仿宋" w:hAnsi="仿宋" w:eastAsia="仿宋" w:cs="仿宋"/>
          <w:color w:val="000000" w:themeColor="text1"/>
          <w:sz w:val="28"/>
          <w:szCs w:val="28"/>
          <w:highlight w:val="none"/>
          <w14:textFill>
            <w14:solidFill>
              <w14:schemeClr w14:val="tx1"/>
            </w14:solidFill>
          </w14:textFill>
        </w:rPr>
      </w:pPr>
    </w:p>
    <w:p>
      <w:pPr>
        <w:shd w:val="clear" w:color="auto" w:fill="auto"/>
        <w:jc w:val="center"/>
        <w:rPr>
          <w:rFonts w:hint="eastAsia" w:ascii="仿宋" w:hAnsi="仿宋" w:eastAsia="仿宋" w:cs="仿宋"/>
          <w:color w:val="000000" w:themeColor="text1"/>
          <w:sz w:val="28"/>
          <w:szCs w:val="28"/>
          <w:highlight w:val="none"/>
          <w14:textFill>
            <w14:solidFill>
              <w14:schemeClr w14:val="tx1"/>
            </w14:solidFill>
          </w14:textFill>
        </w:rPr>
      </w:pPr>
    </w:p>
    <w:p>
      <w:pPr>
        <w:shd w:val="clear" w:color="auto" w:fill="auto"/>
        <w:jc w:val="center"/>
        <w:rPr>
          <w:rFonts w:hint="eastAsia" w:ascii="仿宋" w:hAnsi="仿宋" w:eastAsia="仿宋" w:cs="仿宋"/>
          <w:color w:val="000000" w:themeColor="text1"/>
          <w:sz w:val="28"/>
          <w:szCs w:val="28"/>
          <w:highlight w:val="none"/>
          <w14:textFill>
            <w14:solidFill>
              <w14:schemeClr w14:val="tx1"/>
            </w14:solidFill>
          </w14:textFill>
        </w:rPr>
      </w:pPr>
    </w:p>
    <w:p>
      <w:pPr>
        <w:shd w:val="clear" w:color="auto" w:fill="auto"/>
        <w:jc w:val="center"/>
        <w:rPr>
          <w:rFonts w:hint="eastAsia" w:ascii="仿宋" w:hAnsi="仿宋" w:eastAsia="仿宋" w:cs="仿宋"/>
          <w:color w:val="000000" w:themeColor="text1"/>
          <w:sz w:val="28"/>
          <w:szCs w:val="28"/>
          <w:highlight w:val="none"/>
          <w14:textFill>
            <w14:solidFill>
              <w14:schemeClr w14:val="tx1"/>
            </w14:solidFill>
          </w14:textFill>
        </w:rPr>
      </w:pPr>
    </w:p>
    <w:p>
      <w:pPr>
        <w:shd w:val="clear" w:color="auto" w:fill="auto"/>
        <w:jc w:val="center"/>
        <w:rPr>
          <w:rFonts w:hint="eastAsia" w:ascii="仿宋" w:hAnsi="仿宋" w:eastAsia="仿宋" w:cs="仿宋"/>
          <w:color w:val="000000" w:themeColor="text1"/>
          <w:sz w:val="28"/>
          <w:szCs w:val="28"/>
          <w:highlight w:val="none"/>
          <w14:textFill>
            <w14:solidFill>
              <w14:schemeClr w14:val="tx1"/>
            </w14:solidFill>
          </w14:textFill>
        </w:rPr>
      </w:pPr>
    </w:p>
    <w:p>
      <w:pPr>
        <w:shd w:val="clear" w:color="auto" w:fill="auto"/>
        <w:jc w:val="center"/>
        <w:rPr>
          <w:rFonts w:hint="eastAsia" w:ascii="仿宋" w:hAnsi="仿宋" w:eastAsia="仿宋" w:cs="仿宋"/>
          <w:color w:val="000000" w:themeColor="text1"/>
          <w:sz w:val="28"/>
          <w:szCs w:val="28"/>
          <w:highlight w:val="none"/>
          <w14:textFill>
            <w14:solidFill>
              <w14:schemeClr w14:val="tx1"/>
            </w14:solidFill>
          </w14:textFill>
        </w:rPr>
      </w:pPr>
    </w:p>
    <w:p>
      <w:pPr>
        <w:shd w:val="clear" w:color="auto" w:fill="auto"/>
        <w:jc w:val="center"/>
        <w:rPr>
          <w:rFonts w:hint="eastAsia" w:ascii="仿宋" w:hAnsi="仿宋" w:eastAsia="仿宋" w:cs="仿宋"/>
          <w:color w:val="000000" w:themeColor="text1"/>
          <w:sz w:val="28"/>
          <w:szCs w:val="28"/>
          <w:highlight w:val="none"/>
          <w14:textFill>
            <w14:solidFill>
              <w14:schemeClr w14:val="tx1"/>
            </w14:solidFill>
          </w14:textFill>
        </w:rPr>
      </w:pPr>
    </w:p>
    <w:p>
      <w:pPr>
        <w:shd w:val="clear" w:color="auto" w:fill="auto"/>
        <w:jc w:val="center"/>
        <w:rPr>
          <w:rFonts w:hint="eastAsia" w:ascii="仿宋" w:hAnsi="仿宋" w:eastAsia="仿宋" w:cs="仿宋"/>
          <w:color w:val="000000" w:themeColor="text1"/>
          <w:sz w:val="28"/>
          <w:szCs w:val="28"/>
          <w:highlight w:val="none"/>
          <w14:textFill>
            <w14:solidFill>
              <w14:schemeClr w14:val="tx1"/>
            </w14:solidFill>
          </w14:textFill>
        </w:rPr>
      </w:pPr>
    </w:p>
    <w:p>
      <w:pPr>
        <w:shd w:val="clear" w:color="auto" w:fill="auto"/>
        <w:jc w:val="center"/>
        <w:rPr>
          <w:rFonts w:hint="eastAsia" w:ascii="仿宋" w:hAnsi="仿宋" w:eastAsia="仿宋" w:cs="仿宋"/>
          <w:color w:val="000000" w:themeColor="text1"/>
          <w:sz w:val="28"/>
          <w:szCs w:val="28"/>
          <w:highlight w:val="none"/>
          <w14:textFill>
            <w14:solidFill>
              <w14:schemeClr w14:val="tx1"/>
            </w14:solidFill>
          </w14:textFill>
        </w:rPr>
      </w:pPr>
    </w:p>
    <w:p>
      <w:pPr>
        <w:shd w:val="clear" w:color="auto" w:fill="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政府采购投标担保函 （项目用）</w:t>
      </w:r>
    </w:p>
    <w:p>
      <w:pPr>
        <w:shd w:val="clear" w:color="auto" w:fil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编号：</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 xml:space="preserve"> </w:t>
      </w:r>
      <w:r>
        <w:rPr>
          <w:rFonts w:hint="eastAsia" w:ascii="仿宋" w:hAnsi="仿宋" w:eastAsia="仿宋" w:cs="仿宋"/>
          <w:color w:val="000000" w:themeColor="text1"/>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sz w:val="22"/>
          <w:szCs w:val="22"/>
          <w:highlight w:val="none"/>
          <w14:textFill>
            <w14:solidFill>
              <w14:schemeClr w14:val="tx1"/>
            </w14:solidFill>
          </w14:textFill>
        </w:rPr>
        <w:t>（采购人或采购代理机构）：</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鉴于</w:t>
      </w:r>
      <w:r>
        <w:rPr>
          <w:rFonts w:hint="eastAsia" w:ascii="仿宋" w:hAnsi="仿宋" w:eastAsia="仿宋" w:cs="仿宋"/>
          <w:color w:val="000000" w:themeColor="text1"/>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sz w:val="22"/>
          <w:szCs w:val="22"/>
          <w:highlight w:val="none"/>
          <w14:textFill>
            <w14:solidFill>
              <w14:schemeClr w14:val="tx1"/>
            </w14:solidFill>
          </w14:textFill>
        </w:rPr>
        <w:t>（以下简称“投标人”）拟参加编号为</w:t>
      </w:r>
      <w:r>
        <w:rPr>
          <w:rFonts w:hint="eastAsia" w:ascii="仿宋" w:hAnsi="仿宋" w:eastAsia="仿宋" w:cs="仿宋"/>
          <w:color w:val="000000" w:themeColor="text1"/>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sz w:val="22"/>
          <w:szCs w:val="22"/>
          <w:highlight w:val="none"/>
          <w14:textFill>
            <w14:solidFill>
              <w14:schemeClr w14:val="tx1"/>
            </w14:solidFill>
          </w14:textFill>
        </w:rPr>
        <w:t>的</w:t>
      </w:r>
      <w:r>
        <w:rPr>
          <w:rFonts w:hint="eastAsia" w:ascii="仿宋" w:hAnsi="仿宋" w:eastAsia="仿宋" w:cs="仿宋"/>
          <w:color w:val="000000" w:themeColor="text1"/>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sz w:val="22"/>
          <w:szCs w:val="22"/>
          <w:highlight w:val="non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项目（以下简称“本项目”）投标，根据本项目</w:t>
      </w:r>
      <w:r>
        <w:rPr>
          <w:rFonts w:hint="eastAsia" w:ascii="仿宋" w:hAnsi="仿宋" w:eastAsia="仿宋" w:cs="仿宋"/>
          <w:color w:val="000000" w:themeColor="text1"/>
          <w:sz w:val="22"/>
          <w:szCs w:val="22"/>
          <w:highlight w:val="none"/>
          <w:lang w:eastAsia="zh-CN"/>
          <w14:textFill>
            <w14:solidFill>
              <w14:schemeClr w14:val="tx1"/>
            </w14:solidFill>
          </w14:textFill>
        </w:rPr>
        <w:t>询价通知书</w:t>
      </w:r>
      <w:r>
        <w:rPr>
          <w:rFonts w:hint="eastAsia" w:ascii="仿宋" w:hAnsi="仿宋" w:eastAsia="仿宋" w:cs="仿宋"/>
          <w:color w:val="000000" w:themeColor="text1"/>
          <w:sz w:val="22"/>
          <w:szCs w:val="22"/>
          <w:highlight w:val="none"/>
          <w14:textFill>
            <w14:solidFill>
              <w14:schemeClr w14:val="tx1"/>
            </w14:solidFill>
          </w14:textFill>
        </w:rPr>
        <w:t>，供应商参加投标时应向你方交纳投标保证金，且可以投标担保函的形式交纳投标保证金。应供应商的申请，我方以保证的方式向你方提供如下投标保证金担保：</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一、保证责任的情形及保证金额</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223" w:firstLineChars="1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（一）在投标人出现下列情形之一时，我方承担保证责任：</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1．中标后投标人无正当理由不与采购人或者采购代理机构签订《政府采购合同》；</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w:t>
      </w:r>
      <w:r>
        <w:rPr>
          <w:rFonts w:hint="eastAsia" w:ascii="仿宋" w:hAnsi="仿宋" w:eastAsia="仿宋" w:cs="仿宋"/>
          <w:color w:val="000000" w:themeColor="text1"/>
          <w:sz w:val="22"/>
          <w:szCs w:val="22"/>
          <w:highlight w:val="none"/>
          <w:lang w:eastAsia="zh-CN"/>
          <w14:textFill>
            <w14:solidFill>
              <w14:schemeClr w14:val="tx1"/>
            </w14:solidFill>
          </w14:textFill>
        </w:rPr>
        <w:t>询价通知书</w:t>
      </w:r>
      <w:r>
        <w:rPr>
          <w:rFonts w:hint="eastAsia" w:ascii="仿宋" w:hAnsi="仿宋" w:eastAsia="仿宋" w:cs="仿宋"/>
          <w:color w:val="000000" w:themeColor="text1"/>
          <w:sz w:val="22"/>
          <w:szCs w:val="22"/>
          <w:highlight w:val="none"/>
          <w14:textFill>
            <w14:solidFill>
              <w14:schemeClr w14:val="tx1"/>
            </w14:solidFill>
          </w14:textFill>
        </w:rPr>
        <w:t>规定的投标人应当缴纳保证金的其他情形。</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223" w:firstLineChars="1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（二）我方承担保证责任的最高金额为人民币</w:t>
      </w:r>
      <w:r>
        <w:rPr>
          <w:rFonts w:hint="eastAsia" w:ascii="仿宋" w:hAnsi="仿宋" w:eastAsia="仿宋" w:cs="仿宋"/>
          <w:color w:val="000000" w:themeColor="text1"/>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sz w:val="22"/>
          <w:szCs w:val="22"/>
          <w:highlight w:val="none"/>
          <w14:textFill>
            <w14:solidFill>
              <w14:schemeClr w14:val="tx1"/>
            </w14:solidFill>
          </w14:textFill>
        </w:rPr>
        <w:t>元（大写</w:t>
      </w:r>
      <w:r>
        <w:rPr>
          <w:rFonts w:hint="eastAsia" w:ascii="仿宋" w:hAnsi="仿宋" w:eastAsia="仿宋" w:cs="仿宋"/>
          <w:color w:val="000000" w:themeColor="text1"/>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sz w:val="22"/>
          <w:szCs w:val="22"/>
          <w:highlight w:val="none"/>
          <w14:textFill>
            <w14:solidFill>
              <w14:schemeClr w14:val="tx1"/>
            </w14:solidFill>
          </w14:textFill>
        </w:rPr>
        <w:t>），即本项目的投标保证金金额。</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二、保证的方式及保证期间</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我方保证的方式为：连带责任保证。</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我方的保证期间为：自本保函生效之日起</w:t>
      </w:r>
      <w:r>
        <w:rPr>
          <w:rFonts w:hint="eastAsia" w:ascii="仿宋" w:hAnsi="仿宋" w:eastAsia="仿宋" w:cs="仿宋"/>
          <w:color w:val="000000" w:themeColor="text1"/>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sz w:val="22"/>
          <w:szCs w:val="22"/>
          <w:highlight w:val="none"/>
          <w14:textFill>
            <w14:solidFill>
              <w14:schemeClr w14:val="tx1"/>
            </w14:solidFill>
          </w14:textFill>
        </w:rPr>
        <w:t>个月止。</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三、承担保证责任的程序</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1．你方要求我方承担保证责任的，应在本保函保证期间内向我方发出书面索赔通知。索赔通知应写明要求索赔的金额，支付款项应到达的账号，并附有证明投标人发生我方应承担保证责任情形的事实材料。</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2．我方在收到索赔通知及相关证明材料后，在</w:t>
      </w:r>
      <w:r>
        <w:rPr>
          <w:rFonts w:hint="eastAsia" w:ascii="仿宋" w:hAnsi="仿宋" w:eastAsia="仿宋" w:cs="仿宋"/>
          <w:color w:val="000000" w:themeColor="text1"/>
          <w:sz w:val="22"/>
          <w:szCs w:val="22"/>
          <w:highlight w:val="none"/>
          <w:u w:val="single"/>
          <w14:textFill>
            <w14:solidFill>
              <w14:schemeClr w14:val="tx1"/>
            </w14:solidFill>
          </w14:textFill>
        </w:rPr>
        <w:t>　　　</w:t>
      </w:r>
      <w:r>
        <w:rPr>
          <w:rFonts w:hint="eastAsia" w:ascii="仿宋" w:hAnsi="仿宋" w:eastAsia="仿宋" w:cs="仿宋"/>
          <w:color w:val="000000" w:themeColor="text1"/>
          <w:sz w:val="22"/>
          <w:szCs w:val="22"/>
          <w:highlight w:val="none"/>
          <w14:textFill>
            <w14:solidFill>
              <w14:schemeClr w14:val="tx1"/>
            </w14:solidFill>
          </w14:textFill>
        </w:rPr>
        <w:t>个工作日内进行审查，符合应承担保证责任情形的，我方应按照你方的要求代投标人向你方支付投标保证金。</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四、保证责任的终止</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1．保证期间届满你方未向我方书面主张保证责任的，自保证期间届满次日起，我方保证责任自动终止。</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2．我方按照本保函向你贵方履行了保证责任后，自我方向你贵方支付款项（支付款项从我方账户划出）之日起，保证责任终止。</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3．按照法律法规的规定或出现我方保证责任终止的其它情形的，我方在本保函项下的保证责任亦终止。</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五、免责条款</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1．依照法律规定或你方与投标人的另行约定，全部或者部分免除投标人投标保证金义务时，我方亦免除相应的保证责任。</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2．因你方原因致使投标人发生本保函第一条第（一）款约定情形的，我方不承担保证责任。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3．因不可抗力造成投标人发生本保函第一条约定情形的，我方不承担保证责任。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4．你方或其他有权机关对</w:t>
      </w:r>
      <w:r>
        <w:rPr>
          <w:rFonts w:hint="eastAsia" w:ascii="仿宋" w:hAnsi="仿宋" w:eastAsia="仿宋" w:cs="仿宋"/>
          <w:color w:val="000000" w:themeColor="text1"/>
          <w:sz w:val="22"/>
          <w:szCs w:val="22"/>
          <w:highlight w:val="none"/>
          <w:lang w:eastAsia="zh-CN"/>
          <w14:textFill>
            <w14:solidFill>
              <w14:schemeClr w14:val="tx1"/>
            </w14:solidFill>
          </w14:textFill>
        </w:rPr>
        <w:t>询价通知书</w:t>
      </w:r>
      <w:r>
        <w:rPr>
          <w:rFonts w:hint="eastAsia" w:ascii="仿宋" w:hAnsi="仿宋" w:eastAsia="仿宋" w:cs="仿宋"/>
          <w:color w:val="000000" w:themeColor="text1"/>
          <w:sz w:val="22"/>
          <w:szCs w:val="22"/>
          <w:highlight w:val="none"/>
          <w14:textFill>
            <w14:solidFill>
              <w14:schemeClr w14:val="tx1"/>
            </w14:solidFill>
          </w14:textFill>
        </w:rPr>
        <w:t>进行任何澄清或修改，加重我方保证责任的，我方对加重部分不承担保证责任，但该澄清或修改经我方事先书面同意的除外。</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六、争议的解决</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因本保函发生的纠纷，由你我双方协商解决，协商不成的，通过诉讼程序解决，诉讼管辖地法院为</w:t>
      </w:r>
      <w:r>
        <w:rPr>
          <w:rFonts w:hint="eastAsia" w:ascii="仿宋" w:hAnsi="仿宋" w:eastAsia="仿宋" w:cs="仿宋"/>
          <w:color w:val="000000" w:themeColor="text1"/>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sz w:val="22"/>
          <w:szCs w:val="22"/>
          <w:highlight w:val="none"/>
          <w14:textFill>
            <w14:solidFill>
              <w14:schemeClr w14:val="tx1"/>
            </w14:solidFill>
          </w14:textFill>
        </w:rPr>
        <w:t>法院。</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七、保函的生效</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本保函自我方加盖公章之日起生效。</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5909" w:firstLineChars="265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保证人：（公章）</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5832" w:firstLineChars="2400"/>
        <w:textAlignment w:val="auto"/>
        <w:rPr>
          <w:rFonts w:hint="eastAsia" w:ascii="仿宋" w:hAnsi="仿宋" w:eastAsia="仿宋" w:cs="仿宋"/>
          <w:color w:val="000000" w:themeColor="text1"/>
          <w:highlight w:val="none"/>
          <w14:textFill>
            <w14:solidFill>
              <w14:schemeClr w14:val="tx1"/>
            </w14:solidFill>
          </w14:textFill>
        </w:rPr>
        <w:sectPr>
          <w:headerReference r:id="rId8" w:type="default"/>
          <w:footerReference r:id="rId9" w:type="default"/>
          <w:pgSz w:w="11905" w:h="16838"/>
          <w:pgMar w:top="1440" w:right="1417" w:bottom="1440" w:left="1417" w:header="850" w:footer="992" w:gutter="0"/>
          <w:pgNumType w:fmt="decimal"/>
          <w:cols w:space="0" w:num="1"/>
          <w:rtlGutter w:val="0"/>
          <w:docGrid w:type="linesAndChars" w:linePitch="325" w:charSpace="635"/>
        </w:sectPr>
      </w:pPr>
      <w:r>
        <w:rPr>
          <w:rFonts w:hint="eastAsia" w:ascii="仿宋" w:hAnsi="仿宋" w:eastAsia="仿宋" w:cs="仿宋"/>
          <w:color w:val="000000" w:themeColor="text1"/>
          <w:highlight w:val="none"/>
          <w14:textFill>
            <w14:solidFill>
              <w14:schemeClr w14:val="tx1"/>
            </w14:solidFill>
          </w14:textFill>
        </w:rPr>
        <w:t>年     月      日</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b/>
          <w:bCs/>
          <w:color w:val="000000" w:themeColor="text1"/>
          <w:lang w:val="en-US" w:eastAsia="zh-CN"/>
          <w14:textFill>
            <w14:solidFill>
              <w14:schemeClr w14:val="tx1"/>
            </w14:solidFill>
          </w14:textFill>
        </w:rPr>
      </w:pPr>
      <w:r>
        <w:rPr>
          <w:rFonts w:hint="eastAsia" w:ascii="仿宋" w:hAnsi="仿宋" w:eastAsia="仿宋" w:cs="仿宋"/>
          <w:b/>
          <w:bCs/>
          <w:color w:val="000000" w:themeColor="text1"/>
          <w:lang w:val="en-US" w:eastAsia="zh-CN"/>
          <w14:textFill>
            <w14:solidFill>
              <w14:schemeClr w14:val="tx1"/>
            </w14:solidFill>
          </w14:textFill>
        </w:rPr>
        <w:t>6、投标企业须提供投标人（被授权本单位在职人员）近6个月有效的社保证明</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000000" w:themeColor="text1"/>
          <w:lang w:val="en-US" w:eastAsia="zh-CN"/>
          <w14:textFill>
            <w14:solidFill>
              <w14:schemeClr w14:val="tx1"/>
            </w14:solidFill>
          </w14:textFill>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说明：复印件上应加盖本单位章</w:t>
      </w:r>
    </w:p>
    <w:p>
      <w:pPr>
        <w:pStyle w:val="25"/>
        <w:ind w:left="0" w:leftChars="0" w:firstLine="0" w:firstLineChars="0"/>
        <w:rPr>
          <w:rFonts w:hint="eastAsia" w:ascii="仿宋" w:hAnsi="仿宋" w:eastAsia="仿宋" w:cs="仿宋"/>
          <w:color w:val="000000" w:themeColor="text1"/>
          <w:sz w:val="24"/>
          <w:highlight w:val="none"/>
          <w14:textFill>
            <w14:solidFill>
              <w14:schemeClr w14:val="tx1"/>
            </w14:solidFill>
          </w14:textFill>
        </w:rPr>
      </w:pPr>
    </w:p>
    <w:p>
      <w:pPr>
        <w:pStyle w:val="25"/>
        <w:rPr>
          <w:rFonts w:hint="eastAsia" w:ascii="仿宋" w:hAnsi="仿宋" w:eastAsia="仿宋" w:cs="仿宋"/>
          <w:color w:val="000000" w:themeColor="text1"/>
          <w:sz w:val="24"/>
          <w:highlight w:val="none"/>
          <w14:textFill>
            <w14:solidFill>
              <w14:schemeClr w14:val="tx1"/>
            </w14:solidFill>
          </w14:textFill>
        </w:rPr>
      </w:pPr>
    </w:p>
    <w:p>
      <w:pPr>
        <w:pStyle w:val="25"/>
        <w:rPr>
          <w:rFonts w:hint="eastAsia" w:ascii="仿宋" w:hAnsi="仿宋" w:eastAsia="仿宋" w:cs="仿宋"/>
          <w:color w:val="000000" w:themeColor="text1"/>
          <w:sz w:val="24"/>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6" w:firstLineChars="200"/>
        <w:jc w:val="left"/>
        <w:textAlignment w:val="auto"/>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b/>
          <w:bCs/>
          <w:color w:val="000000" w:themeColor="text1"/>
          <w:lang w:val="en-US" w:eastAsia="zh-CN"/>
          <w14:textFill>
            <w14:solidFill>
              <w14:schemeClr w14:val="tx1"/>
            </w14:solidFill>
          </w14:textFill>
        </w:rPr>
        <w:t>、</w:t>
      </w:r>
      <w:r>
        <w:rPr>
          <w:rFonts w:hint="eastAsia" w:ascii="仿宋" w:hAnsi="仿宋" w:eastAsia="仿宋" w:cs="仿宋"/>
          <w:b/>
          <w:bCs/>
          <w:color w:val="000000" w:themeColor="text1"/>
          <w14:textFill>
            <w14:solidFill>
              <w14:schemeClr w14:val="tx1"/>
            </w14:solidFill>
          </w14:textFill>
        </w:rPr>
        <w:t>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pStyle w:val="25"/>
        <w:ind w:left="0" w:leftChars="0" w:firstLine="0" w:firstLineChars="0"/>
        <w:rPr>
          <w:rFonts w:hint="eastAsia" w:ascii="仿宋" w:hAnsi="仿宋" w:eastAsia="仿宋" w:cs="仿宋"/>
          <w:b/>
          <w:bCs/>
          <w:color w:val="000000" w:themeColor="text1"/>
          <w14:textFill>
            <w14:solidFill>
              <w14:schemeClr w14:val="tx1"/>
            </w14:solidFill>
          </w14:textFill>
        </w:rPr>
      </w:pPr>
    </w:p>
    <w:p>
      <w:pPr>
        <w:pStyle w:val="25"/>
        <w:rPr>
          <w:rFonts w:hint="eastAsia" w:ascii="仿宋" w:hAnsi="仿宋" w:eastAsia="仿宋" w:cs="仿宋"/>
          <w:b/>
          <w:bCs/>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720" w:leftChars="0" w:right="0" w:rightChars="0"/>
        <w:jc w:val="left"/>
        <w:textAlignment w:val="auto"/>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lang w:val="en-US" w:eastAsia="zh-CN"/>
          <w14:textFill>
            <w14:solidFill>
              <w14:schemeClr w14:val="tx1"/>
            </w14:solidFill>
          </w14:textFill>
        </w:rPr>
        <w:t>8、</w:t>
      </w:r>
      <w:r>
        <w:rPr>
          <w:rFonts w:hint="eastAsia" w:ascii="仿宋" w:hAnsi="仿宋" w:eastAsia="仿宋" w:cs="仿宋"/>
          <w:b/>
          <w:bCs/>
          <w:color w:val="000000" w:themeColor="text1"/>
          <w14:textFill>
            <w14:solidFill>
              <w14:schemeClr w14:val="tx1"/>
            </w14:solidFill>
          </w14:textFill>
        </w:rPr>
        <w:t>投标人须知资料表要求的其他资格证明文件</w:t>
      </w:r>
    </w:p>
    <w:p>
      <w:pPr>
        <w:pStyle w:val="25"/>
        <w:ind w:left="0" w:leftChars="0" w:firstLine="0" w:firstLineChars="0"/>
        <w:rPr>
          <w:rFonts w:hint="eastAsia" w:ascii="仿宋" w:hAnsi="仿宋" w:eastAsia="仿宋" w:cs="仿宋"/>
          <w:b/>
          <w:bCs/>
          <w:color w:val="000000" w:themeColor="text1"/>
          <w14:textFill>
            <w14:solidFill>
              <w14:schemeClr w14:val="tx1"/>
            </w14:solidFill>
          </w14:textFill>
        </w:rPr>
      </w:pPr>
    </w:p>
    <w:p>
      <w:pPr>
        <w:pStyle w:val="25"/>
        <w:rPr>
          <w:rFonts w:hint="eastAsia" w:ascii="仿宋" w:hAnsi="仿宋" w:eastAsia="仿宋" w:cs="仿宋"/>
          <w:b/>
          <w:bCs/>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5"/>
        <w:rPr>
          <w:rFonts w:hint="eastAsia" w:ascii="仿宋" w:hAnsi="仿宋" w:eastAsia="仿宋" w:cs="仿宋"/>
          <w:b/>
          <w:bCs/>
          <w:color w:val="000000" w:themeColor="text1"/>
          <w14:textFill>
            <w14:solidFill>
              <w14:schemeClr w14:val="tx1"/>
            </w14:solidFill>
          </w14:textFill>
        </w:rPr>
      </w:pPr>
    </w:p>
    <w:p>
      <w:pPr>
        <w:rPr>
          <w:rFonts w:hint="eastAsia" w:ascii="仿宋" w:hAnsi="仿宋" w:eastAsia="仿宋" w:cs="仿宋"/>
          <w:b/>
          <w:bCs/>
          <w:color w:val="000000" w:themeColor="text1"/>
          <w14:textFill>
            <w14:solidFill>
              <w14:schemeClr w14:val="tx1"/>
            </w14:solidFill>
          </w14:textFill>
        </w:rPr>
      </w:pPr>
    </w:p>
    <w:p>
      <w:pPr>
        <w:rPr>
          <w:rFonts w:hint="eastAsia" w:ascii="仿宋" w:hAnsi="仿宋" w:eastAsia="仿宋" w:cs="仿宋"/>
          <w:b/>
          <w:bCs/>
          <w:color w:val="000000" w:themeColor="text1"/>
          <w14:textFill>
            <w14:solidFill>
              <w14:schemeClr w14:val="tx1"/>
            </w14:solidFill>
          </w14:textFill>
        </w:rPr>
      </w:pPr>
    </w:p>
    <w:p>
      <w:pPr>
        <w:rPr>
          <w:rFonts w:hint="eastAsia" w:ascii="仿宋" w:hAnsi="仿宋" w:eastAsia="仿宋" w:cs="仿宋"/>
          <w:b/>
          <w:bCs/>
          <w:color w:val="000000" w:themeColor="text1"/>
          <w14:textFill>
            <w14:solidFill>
              <w14:schemeClr w14:val="tx1"/>
            </w14:solidFill>
          </w14:textFill>
        </w:rPr>
      </w:pPr>
    </w:p>
    <w:p>
      <w:pPr>
        <w:pStyle w:val="5"/>
        <w:rPr>
          <w:rFonts w:hint="eastAsia" w:ascii="仿宋" w:hAnsi="仿宋" w:eastAsia="仿宋" w:cs="仿宋"/>
          <w:b/>
          <w:bCs/>
          <w:color w:val="000000" w:themeColor="text1"/>
          <w14:textFill>
            <w14:solidFill>
              <w14:schemeClr w14:val="tx1"/>
            </w14:solidFill>
          </w14:textFill>
        </w:rPr>
      </w:pPr>
    </w:p>
    <w:p>
      <w:pPr>
        <w:rPr>
          <w:rFonts w:hint="eastAsia" w:ascii="仿宋" w:hAnsi="仿宋" w:eastAsia="仿宋" w:cs="仿宋"/>
          <w:b/>
          <w:bCs/>
          <w:color w:val="000000" w:themeColor="text1"/>
          <w14:textFill>
            <w14:solidFill>
              <w14:schemeClr w14:val="tx1"/>
            </w14:solidFill>
          </w14:textFill>
        </w:rPr>
      </w:pPr>
    </w:p>
    <w:p>
      <w:pPr>
        <w:pStyle w:val="5"/>
        <w:rPr>
          <w:rFonts w:hint="eastAsia" w:ascii="仿宋" w:hAnsi="仿宋" w:eastAsia="仿宋" w:cs="仿宋"/>
          <w:b/>
          <w:bCs/>
          <w:color w:val="000000" w:themeColor="text1"/>
          <w14:textFill>
            <w14:solidFill>
              <w14:schemeClr w14:val="tx1"/>
            </w14:solidFill>
          </w14:textFill>
        </w:rPr>
      </w:pPr>
    </w:p>
    <w:p>
      <w:pPr>
        <w:rPr>
          <w:rFonts w:hint="eastAsia" w:ascii="仿宋" w:hAnsi="仿宋" w:eastAsia="仿宋" w:cs="仿宋"/>
          <w:b/>
          <w:bCs/>
          <w:color w:val="000000" w:themeColor="text1"/>
          <w14:textFill>
            <w14:solidFill>
              <w14:schemeClr w14:val="tx1"/>
            </w14:solidFill>
          </w14:textFill>
        </w:rPr>
      </w:pPr>
    </w:p>
    <w:p>
      <w:pPr>
        <w:rPr>
          <w:rFonts w:hint="eastAsia" w:ascii="仿宋" w:hAnsi="仿宋" w:eastAsia="仿宋" w:cs="仿宋"/>
          <w:b/>
          <w:bCs/>
          <w:color w:val="000000" w:themeColor="text1"/>
          <w14:textFill>
            <w14:solidFill>
              <w14:schemeClr w14:val="tx1"/>
            </w14:solidFill>
          </w14:textFill>
        </w:rPr>
      </w:pPr>
    </w:p>
    <w:p>
      <w:pPr>
        <w:pStyle w:val="10"/>
        <w:shd w:val="clear" w:color="auto" w:fill="auto"/>
        <w:tabs>
          <w:tab w:val="left" w:pos="5580"/>
        </w:tabs>
        <w:spacing w:line="240" w:lineRule="atLeast"/>
        <w:ind w:firstLine="486" w:firstLineChars="200"/>
        <w:rPr>
          <w:rFonts w:hint="eastAsia" w:ascii="仿宋" w:hAnsi="仿宋" w:eastAsia="仿宋" w:cs="仿宋"/>
          <w:color w:val="000000" w:themeColor="text1"/>
          <w:sz w:val="24"/>
          <w:highlight w:val="none"/>
          <w14:textFill>
            <w14:solidFill>
              <w14:schemeClr w14:val="tx1"/>
            </w14:solidFill>
          </w14:textFill>
        </w:rPr>
      </w:pPr>
    </w:p>
    <w:p>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textAlignment w:val="auto"/>
        <w:rPr>
          <w:rFonts w:hint="eastAsia" w:ascii="仿宋" w:hAnsi="仿宋" w:eastAsia="仿宋" w:cs="仿宋"/>
          <w:color w:val="auto"/>
          <w:sz w:val="32"/>
          <w:szCs w:val="32"/>
          <w:highlight w:val="none"/>
        </w:rPr>
      </w:pPr>
      <w:bookmarkStart w:id="82" w:name="_Toc22967"/>
      <w:bookmarkStart w:id="83" w:name="_Toc11180"/>
      <w:bookmarkStart w:id="84" w:name="_Toc515647816"/>
      <w:bookmarkStart w:id="85" w:name="_Toc5695"/>
      <w:r>
        <w:rPr>
          <w:rFonts w:hint="eastAsia" w:ascii="仿宋" w:hAnsi="仿宋" w:eastAsia="仿宋" w:cs="仿宋"/>
          <w:color w:val="auto"/>
          <w:sz w:val="32"/>
          <w:szCs w:val="32"/>
          <w:highlight w:val="none"/>
        </w:rPr>
        <w:t>第二部分  商务及技术文件</w:t>
      </w:r>
      <w:bookmarkEnd w:id="82"/>
      <w:bookmarkEnd w:id="83"/>
      <w:bookmarkEnd w:id="84"/>
      <w:bookmarkEnd w:id="85"/>
    </w:p>
    <w:p>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164"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w:t>
      </w:r>
      <w:r>
        <w:rPr>
          <w:rFonts w:hint="eastAsia" w:ascii="仿宋" w:hAnsi="仿宋" w:eastAsia="仿宋" w:cs="仿宋"/>
          <w:color w:val="auto"/>
          <w:sz w:val="24"/>
          <w:highlight w:val="none"/>
          <w:lang w:eastAsia="zh-CN"/>
        </w:rPr>
        <w:t>函</w:t>
      </w:r>
    </w:p>
    <w:p>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164" w:leftChars="257" w:hanging="540"/>
        <w:textAlignment w:val="auto"/>
        <w:rPr>
          <w:rFonts w:hint="eastAsia" w:ascii="仿宋" w:hAnsi="仿宋" w:eastAsia="仿宋" w:cs="仿宋"/>
          <w:lang w:val="en-US" w:eastAsia="zh-CN"/>
        </w:rPr>
      </w:pPr>
      <w:r>
        <w:rPr>
          <w:rFonts w:hint="eastAsia" w:ascii="仿宋" w:hAnsi="仿宋" w:eastAsia="仿宋" w:cs="仿宋"/>
          <w:lang w:val="en-US" w:eastAsia="zh-CN"/>
        </w:rPr>
        <w:t>2、开标一览表</w:t>
      </w:r>
    </w:p>
    <w:p>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164" w:leftChars="257" w:hanging="540"/>
        <w:textAlignment w:val="auto"/>
        <w:rPr>
          <w:rFonts w:hint="eastAsia" w:ascii="仿宋" w:hAnsi="仿宋" w:eastAsia="仿宋" w:cs="仿宋"/>
          <w:color w:val="000000"/>
          <w:spacing w:val="0"/>
          <w:w w:val="100"/>
          <w:kern w:val="0"/>
          <w:position w:val="0"/>
          <w:sz w:val="24"/>
          <w:szCs w:val="20"/>
          <w:u w:val="none" w:color="000000"/>
          <w:shd w:val="clear" w:color="auto" w:fill="auto"/>
          <w:lang w:val="en-US" w:eastAsia="zh-CN" w:bidi="en-US"/>
        </w:rPr>
      </w:pPr>
      <w:r>
        <w:rPr>
          <w:rFonts w:hint="eastAsia" w:ascii="仿宋" w:hAnsi="仿宋" w:eastAsia="仿宋" w:cs="仿宋"/>
          <w:color w:val="000000"/>
          <w:spacing w:val="0"/>
          <w:w w:val="100"/>
          <w:kern w:val="0"/>
          <w:position w:val="0"/>
          <w:sz w:val="24"/>
          <w:szCs w:val="20"/>
          <w:u w:val="none" w:color="000000"/>
          <w:shd w:val="clear" w:color="auto" w:fill="auto"/>
          <w:lang w:val="en-US" w:eastAsia="zh-CN" w:bidi="en-US"/>
        </w:rPr>
        <w:t>3、货物说明一览表</w:t>
      </w:r>
    </w:p>
    <w:p>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164"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、投标分项报价表</w:t>
      </w:r>
    </w:p>
    <w:p>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164"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、技术规格偏离表</w:t>
      </w:r>
    </w:p>
    <w:p>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164"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、商务条款偏离表</w:t>
      </w:r>
    </w:p>
    <w:p>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164" w:leftChars="257" w:hanging="540"/>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7、投标人基本情况表</w:t>
      </w:r>
    </w:p>
    <w:p>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359" w:leftChars="148" w:firstLine="228"/>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8、近三年（2020年1月1日至今）类似项目业绩表</w:t>
      </w:r>
    </w:p>
    <w:p>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359" w:leftChars="148" w:firstLine="22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《残疾人福利性单位声明函》</w:t>
      </w:r>
    </w:p>
    <w:p>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359" w:leftChars="148" w:firstLine="228"/>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eastAsia="zh-CN"/>
        </w:rPr>
        <w:t>评分标准和细则中技术部分证明材料</w:t>
      </w:r>
    </w:p>
    <w:p>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359" w:leftChars="148" w:firstLine="228"/>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lang w:eastAsia="zh-CN"/>
        </w:rPr>
        <w:t>评分标准和细则中技术部分证明材料（格式自拟）</w:t>
      </w:r>
    </w:p>
    <w:p>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359" w:leftChars="148" w:firstLine="228"/>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lang w:eastAsia="zh-CN"/>
        </w:rPr>
        <w:t>投标人认为有必要提供的其他证明材料（格式自拟）</w:t>
      </w:r>
    </w:p>
    <w:p>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ind w:left="648" w:leftChars="267"/>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4"/>
          <w:highlight w:val="none"/>
        </w:rPr>
        <w:br w:type="page"/>
      </w:r>
    </w:p>
    <w:p>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sz w:val="36"/>
          <w:szCs w:val="36"/>
        </w:rPr>
      </w:pPr>
      <w:r>
        <w:rPr>
          <w:rFonts w:hint="eastAsia" w:ascii="仿宋" w:hAnsi="仿宋" w:eastAsia="仿宋" w:cs="仿宋"/>
          <w:b/>
          <w:bCs/>
          <w:sz w:val="36"/>
          <w:szCs w:val="36"/>
          <w:lang w:val="en-US" w:eastAsia="zh-CN"/>
        </w:rPr>
        <w:t>1</w:t>
      </w:r>
      <w:r>
        <w:rPr>
          <w:rFonts w:hint="eastAsia" w:ascii="仿宋" w:hAnsi="仿宋" w:eastAsia="仿宋" w:cs="仿宋"/>
          <w:b/>
          <w:bCs/>
          <w:sz w:val="36"/>
          <w:szCs w:val="36"/>
        </w:rPr>
        <w:t>、投标函</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u w:val="single"/>
        </w:rPr>
      </w:pPr>
      <w:r>
        <w:rPr>
          <w:rFonts w:hint="eastAsia" w:ascii="仿宋" w:hAnsi="仿宋" w:eastAsia="仿宋" w:cs="仿宋"/>
          <w:kern w:val="0"/>
          <w:sz w:val="24"/>
        </w:rPr>
        <w:t>致：</w:t>
      </w:r>
      <w:r>
        <w:rPr>
          <w:rFonts w:hint="eastAsia" w:ascii="仿宋" w:hAnsi="仿宋" w:eastAsia="仿宋" w:cs="仿宋"/>
          <w:kern w:val="0"/>
          <w:sz w:val="24"/>
          <w:u w:val="single"/>
        </w:rPr>
        <w:t xml:space="preserve">                     </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为响应你方组织的</w:t>
      </w:r>
      <w:r>
        <w:rPr>
          <w:rFonts w:hint="eastAsia" w:ascii="仿宋" w:hAnsi="仿宋" w:eastAsia="仿宋" w:cs="仿宋"/>
          <w:kern w:val="0"/>
          <w:sz w:val="24"/>
          <w:u w:val="single"/>
        </w:rPr>
        <w:t xml:space="preserve">                   </w:t>
      </w:r>
      <w:r>
        <w:rPr>
          <w:rFonts w:hint="eastAsia" w:ascii="仿宋" w:hAnsi="仿宋" w:eastAsia="仿宋" w:cs="仿宋"/>
          <w:kern w:val="0"/>
          <w:sz w:val="24"/>
        </w:rPr>
        <w:t>项目的招标[项目编号为：</w:t>
      </w:r>
      <w:r>
        <w:rPr>
          <w:rFonts w:hint="eastAsia" w:ascii="仿宋" w:hAnsi="仿宋" w:eastAsia="仿宋" w:cs="仿宋"/>
          <w:kern w:val="0"/>
          <w:sz w:val="24"/>
          <w:u w:val="single"/>
        </w:rPr>
        <w:t xml:space="preserve">                      </w:t>
      </w:r>
      <w:r>
        <w:rPr>
          <w:rFonts w:hint="eastAsia" w:ascii="仿宋" w:hAnsi="仿宋" w:eastAsia="仿宋" w:cs="仿宋"/>
          <w:kern w:val="0"/>
          <w:sz w:val="24"/>
        </w:rPr>
        <w:t>]，我方愿参与投标。</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我方确认收到贵方提供的</w:t>
      </w:r>
      <w:r>
        <w:rPr>
          <w:rFonts w:hint="eastAsia" w:ascii="仿宋" w:hAnsi="仿宋" w:eastAsia="仿宋" w:cs="仿宋"/>
          <w:kern w:val="0"/>
          <w:sz w:val="24"/>
          <w:u w:val="single"/>
        </w:rPr>
        <w:t xml:space="preserve">                                     </w:t>
      </w:r>
      <w:r>
        <w:rPr>
          <w:rFonts w:hint="eastAsia" w:ascii="仿宋" w:hAnsi="仿宋" w:eastAsia="仿宋" w:cs="仿宋"/>
          <w:kern w:val="0"/>
          <w:sz w:val="24"/>
          <w:u w:val="none"/>
        </w:rPr>
        <w:t>招标</w:t>
      </w:r>
      <w:r>
        <w:rPr>
          <w:rFonts w:hint="eastAsia" w:ascii="仿宋" w:hAnsi="仿宋" w:eastAsia="仿宋" w:cs="仿宋"/>
          <w:kern w:val="0"/>
          <w:sz w:val="24"/>
        </w:rPr>
        <w:t>文件的全部内容。</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u w:val="single"/>
        </w:rPr>
        <w:t xml:space="preserve">      (投标人名称)      </w:t>
      </w:r>
      <w:r>
        <w:rPr>
          <w:rFonts w:hint="eastAsia" w:ascii="仿宋" w:hAnsi="仿宋" w:eastAsia="仿宋" w:cs="仿宋"/>
          <w:kern w:val="0"/>
          <w:sz w:val="24"/>
        </w:rPr>
        <w:t>作为投标人正式授权</w:t>
      </w:r>
      <w:r>
        <w:rPr>
          <w:rFonts w:hint="eastAsia" w:ascii="仿宋" w:hAnsi="仿宋" w:eastAsia="仿宋" w:cs="仿宋"/>
          <w:kern w:val="0"/>
          <w:sz w:val="24"/>
          <w:u w:val="single"/>
        </w:rPr>
        <w:t xml:space="preserve">  (授权代表全名, 职务)  </w:t>
      </w:r>
      <w:r>
        <w:rPr>
          <w:rFonts w:hint="eastAsia" w:ascii="仿宋" w:hAnsi="仿宋" w:eastAsia="仿宋" w:cs="仿宋"/>
          <w:kern w:val="0"/>
          <w:sz w:val="24"/>
        </w:rPr>
        <w:t>代表我方全权处理有关本报价的一切事宜。</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我方已完全明白招标文件的所有条款要求，并申明如下：</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（一）按招标文件提供的全部货物与相关服务的投标总价详见《报价一览表》。</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（二）本投标文件的有效期为投标截止时间起</w:t>
      </w:r>
      <w:r>
        <w:rPr>
          <w:rFonts w:hint="eastAsia" w:ascii="仿宋" w:hAnsi="仿宋" w:eastAsia="仿宋" w:cs="仿宋"/>
          <w:kern w:val="0"/>
          <w:sz w:val="24"/>
          <w:u w:val="single"/>
          <w:lang w:val="en-US" w:eastAsia="zh-CN"/>
        </w:rPr>
        <w:t>60</w:t>
      </w:r>
      <w:r>
        <w:rPr>
          <w:rFonts w:hint="eastAsia" w:ascii="仿宋" w:hAnsi="仿宋" w:eastAsia="仿宋" w:cs="仿宋"/>
          <w:kern w:val="0"/>
          <w:sz w:val="24"/>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（三）我方同意按照贵方可能提出的要求而提供与投标有关的任何其它数据、信息或资料。</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四</w:t>
      </w:r>
      <w:r>
        <w:rPr>
          <w:rFonts w:hint="eastAsia" w:ascii="仿宋" w:hAnsi="仿宋" w:eastAsia="仿宋" w:cs="仿宋"/>
          <w:kern w:val="0"/>
          <w:sz w:val="24"/>
        </w:rPr>
        <w:t>）我方理解贵方不一定接受最低投标价或任何贵方可能收到的投标。</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五</w:t>
      </w:r>
      <w:r>
        <w:rPr>
          <w:rFonts w:hint="eastAsia" w:ascii="仿宋" w:hAnsi="仿宋" w:eastAsia="仿宋" w:cs="仿宋"/>
          <w:kern w:val="0"/>
          <w:sz w:val="24"/>
        </w:rPr>
        <w:t>）我方如果中标，将保证履行招标文件及其澄清、修改文件（如果有）中的全部责任和义务，按质、按量、按期完成《招标内容》及《合同书》中的全部任务。</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六</w:t>
      </w:r>
      <w:r>
        <w:rPr>
          <w:rFonts w:hint="eastAsia" w:ascii="仿宋" w:hAnsi="仿宋" w:eastAsia="仿宋" w:cs="仿宋"/>
          <w:kern w:val="0"/>
          <w:sz w:val="24"/>
        </w:rPr>
        <w:t>）如我方被授予合同，我方承诺支付就本次招标应支付或将支付的中标服务费（详见按招标文件要求格式填写的《中标服务费支付承诺书》）。</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七</w:t>
      </w:r>
      <w:r>
        <w:rPr>
          <w:rFonts w:hint="eastAsia" w:ascii="仿宋" w:hAnsi="仿宋" w:eastAsia="仿宋" w:cs="仿宋"/>
          <w:kern w:val="0"/>
          <w:sz w:val="24"/>
        </w:rPr>
        <w:t>）我方作为在法律、财务和运作上独立于采购人、招标代理机构的投标人，在此保证所提交的所有文件和全部说明是真实的和正确的。</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八</w:t>
      </w:r>
      <w:r>
        <w:rPr>
          <w:rFonts w:hint="eastAsia" w:ascii="仿宋" w:hAnsi="仿宋" w:eastAsia="仿宋" w:cs="仿宋"/>
          <w:kern w:val="0"/>
          <w:sz w:val="24"/>
        </w:rPr>
        <w:t>）我方投标报价已包含应向知识产权所有权人支付的所有相关税费，并保证采购人在中国使用我方提供的货物时，如有第三方提出侵犯其知识产权主张的，责任由我方承担。</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九</w:t>
      </w:r>
      <w:r>
        <w:rPr>
          <w:rFonts w:hint="eastAsia" w:ascii="仿宋" w:hAnsi="仿宋" w:eastAsia="仿宋" w:cs="仿宋"/>
          <w:kern w:val="0"/>
          <w:sz w:val="24"/>
        </w:rPr>
        <w:t>）我方与其他投标人不存在单位负责人为同一人或者存在直接控股、管理关系。</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（十）我方承诺未为本项目提供整体设计、规范编制或者项目管理、监理、检测等服务。</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（十</w:t>
      </w:r>
      <w:r>
        <w:rPr>
          <w:rFonts w:hint="eastAsia" w:ascii="仿宋" w:hAnsi="仿宋" w:eastAsia="仿宋" w:cs="仿宋"/>
          <w:kern w:val="0"/>
          <w:sz w:val="24"/>
          <w:lang w:eastAsia="zh-CN"/>
        </w:rPr>
        <w:t>一</w:t>
      </w:r>
      <w:r>
        <w:rPr>
          <w:rFonts w:hint="eastAsia" w:ascii="仿宋" w:hAnsi="仿宋" w:eastAsia="仿宋" w:cs="仿宋"/>
          <w:kern w:val="0"/>
          <w:sz w:val="24"/>
        </w:rPr>
        <w:t>）我方具备《政府采购法》第二十二条规定的条件，承诺如下：</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（1）我方已依法缴纳了各项税费及社会保险费用，如有需要，可随时向采购人提供近三个月内的相关缴费证明，以便核查。</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（2）我方已依法建立健全的财务会计制度，如有需要，可随时向采购人提供相关的证明材料，以便核查。</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（3）我方参加本项目政府采购活动前3年内在经营活动中没有重大违法记录。</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（4）我方具备履行合同所必需的设备和专业技术能力。</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（5）我方符合法律、行政法规规定的其他条件。</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以上内容如有虚假或与事实不符的，评审委员会可将我方做无效投标处理，我方愿意承担相应的法律责任。</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（十三）我方对在本函及投标文件中所作的所有承诺承担法律责任。</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（十四）所有与本招标有关的函件请发往下列地址：</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地    址：</w:t>
      </w:r>
      <w:r>
        <w:rPr>
          <w:rFonts w:hint="eastAsia" w:ascii="仿宋" w:hAnsi="仿宋" w:eastAsia="仿宋" w:cs="仿宋"/>
          <w:kern w:val="0"/>
          <w:sz w:val="24"/>
          <w:u w:val="single"/>
        </w:rPr>
        <w:t xml:space="preserve">                             </w:t>
      </w:r>
      <w:r>
        <w:rPr>
          <w:rFonts w:hint="eastAsia" w:ascii="仿宋" w:hAnsi="仿宋" w:eastAsia="仿宋" w:cs="仿宋"/>
          <w:kern w:val="0"/>
          <w:sz w:val="24"/>
        </w:rPr>
        <w:t>.邮政编码：</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电    话：</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传    真：</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代表姓名：</w:t>
      </w:r>
      <w:r>
        <w:rPr>
          <w:rFonts w:hint="eastAsia" w:ascii="仿宋" w:hAnsi="仿宋" w:eastAsia="仿宋" w:cs="仿宋"/>
          <w:kern w:val="0"/>
          <w:sz w:val="24"/>
          <w:u w:val="single"/>
        </w:rPr>
        <w:t xml:space="preserve">                             </w:t>
      </w:r>
      <w:r>
        <w:rPr>
          <w:rFonts w:hint="eastAsia" w:ascii="仿宋" w:hAnsi="仿宋" w:eastAsia="仿宋" w:cs="仿宋"/>
          <w:kern w:val="0"/>
          <w:sz w:val="24"/>
        </w:rPr>
        <w:t>.职    务：</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kern w:val="0"/>
          <w:sz w:val="24"/>
        </w:rPr>
      </w:pPr>
      <w:r>
        <w:rPr>
          <w:rFonts w:hint="eastAsia" w:ascii="仿宋" w:hAnsi="仿宋" w:eastAsia="仿宋" w:cs="仿宋"/>
          <w:kern w:val="0"/>
          <w:sz w:val="24"/>
        </w:rPr>
        <w:t>投标人：</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（公章） </w:t>
      </w:r>
    </w:p>
    <w:p>
      <w:pPr>
        <w:keepNext w:val="0"/>
        <w:keepLines w:val="0"/>
        <w:pageBreakBefore w:val="0"/>
        <w:widowControl w:val="0"/>
        <w:wordWrap w:val="0"/>
        <w:topLinePunct w:val="0"/>
        <w:autoSpaceDE/>
        <w:autoSpaceDN/>
        <w:bidi w:val="0"/>
        <w:adjustRightInd/>
        <w:snapToGrid/>
        <w:spacing w:line="440" w:lineRule="exact"/>
        <w:ind w:firstLine="486" w:firstLineChars="200"/>
        <w:jc w:val="right"/>
        <w:textAlignment w:val="auto"/>
        <w:rPr>
          <w:rFonts w:hint="eastAsia" w:ascii="仿宋" w:hAnsi="仿宋" w:eastAsia="仿宋" w:cs="仿宋"/>
          <w:kern w:val="0"/>
          <w:sz w:val="24"/>
        </w:rPr>
      </w:pPr>
      <w:r>
        <w:rPr>
          <w:rFonts w:hint="eastAsia" w:ascii="仿宋" w:hAnsi="仿宋" w:eastAsia="仿宋" w:cs="仿宋"/>
          <w:kern w:val="0"/>
          <w:sz w:val="24"/>
        </w:rPr>
        <w:t>法定代表人或委托人：</w:t>
      </w:r>
      <w:r>
        <w:rPr>
          <w:rFonts w:hint="eastAsia" w:ascii="仿宋" w:hAnsi="仿宋" w:eastAsia="仿宋" w:cs="仿宋"/>
          <w:kern w:val="0"/>
          <w:sz w:val="24"/>
        </w:rPr>
        <w:tab/>
      </w:r>
      <w:r>
        <w:rPr>
          <w:rFonts w:hint="eastAsia" w:ascii="仿宋" w:hAnsi="仿宋" w:eastAsia="仿宋" w:cs="仿宋"/>
          <w:kern w:val="0"/>
          <w:sz w:val="24"/>
          <w:u w:val="single"/>
        </w:rPr>
        <w:t xml:space="preserve">        </w:t>
      </w:r>
      <w:r>
        <w:rPr>
          <w:rFonts w:hint="eastAsia" w:ascii="仿宋" w:hAnsi="仿宋" w:eastAsia="仿宋" w:cs="仿宋"/>
          <w:kern w:val="0"/>
          <w:sz w:val="24"/>
        </w:rPr>
        <w:t>（</w:t>
      </w:r>
      <w:r>
        <w:rPr>
          <w:rFonts w:hint="eastAsia" w:ascii="仿宋" w:hAnsi="仿宋" w:eastAsia="仿宋" w:cs="仿宋"/>
          <w:kern w:val="0"/>
          <w:sz w:val="24"/>
          <w:lang w:eastAsia="zh-CN"/>
        </w:rPr>
        <w:t>签章</w:t>
      </w:r>
      <w:r>
        <w:rPr>
          <w:rFonts w:hint="eastAsia" w:ascii="仿宋" w:hAnsi="仿宋" w:eastAsia="仿宋" w:cs="仿宋"/>
          <w:kern w:val="0"/>
          <w:sz w:val="24"/>
        </w:rPr>
        <w:t xml:space="preserve">）  </w:t>
      </w:r>
    </w:p>
    <w:p>
      <w:pPr>
        <w:keepNext w:val="0"/>
        <w:keepLines w:val="0"/>
        <w:pageBreakBefore w:val="0"/>
        <w:widowControl w:val="0"/>
        <w:wordWrap w:val="0"/>
        <w:topLinePunct w:val="0"/>
        <w:autoSpaceDE/>
        <w:autoSpaceDN/>
        <w:bidi w:val="0"/>
        <w:adjustRightInd/>
        <w:snapToGrid/>
        <w:spacing w:line="440" w:lineRule="exact"/>
        <w:ind w:firstLine="486" w:firstLineChars="200"/>
        <w:jc w:val="right"/>
        <w:textAlignment w:val="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kern w:val="0"/>
          <w:sz w:val="24"/>
        </w:rPr>
        <w:t>年</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p>
      <w:pPr>
        <w:pStyle w:val="25"/>
        <w:rPr>
          <w:rFonts w:hint="eastAsia" w:ascii="仿宋" w:hAnsi="仿宋" w:eastAsia="仿宋" w:cs="仿宋"/>
          <w:color w:val="auto"/>
          <w:sz w:val="24"/>
          <w:highlight w:val="none"/>
        </w:rPr>
      </w:pPr>
      <w:r>
        <w:rPr>
          <w:rFonts w:hint="eastAsia" w:ascii="仿宋" w:hAnsi="仿宋" w:eastAsia="仿宋" w:cs="仿宋"/>
        </w:rPr>
        <w:br w:type="page"/>
      </w:r>
    </w:p>
    <w:p>
      <w:pPr>
        <w:pStyle w:val="2"/>
        <w:shd w:val="clear" w:color="auto" w:fill="auto"/>
        <w:tabs>
          <w:tab w:val="left" w:pos="5580"/>
        </w:tabs>
        <w:spacing w:line="240" w:lineRule="atLeast"/>
        <w:ind w:firstLine="3364" w:firstLineChars="927"/>
        <w:jc w:val="both"/>
        <w:rPr>
          <w:rFonts w:hint="eastAsia" w:ascii="仿宋" w:hAnsi="仿宋" w:eastAsia="仿宋" w:cs="仿宋"/>
          <w:color w:val="auto"/>
          <w:highlight w:val="none"/>
        </w:rPr>
      </w:pPr>
      <w:r>
        <w:rPr>
          <w:rFonts w:hint="eastAsia" w:ascii="仿宋" w:hAnsi="仿宋" w:eastAsia="仿宋" w:cs="仿宋"/>
          <w:b/>
          <w:color w:val="auto"/>
          <w:sz w:val="36"/>
          <w:szCs w:val="24"/>
          <w:highlight w:val="none"/>
          <w:lang w:val="en-US" w:eastAsia="zh-CN"/>
        </w:rPr>
        <w:t>2</w:t>
      </w:r>
      <w:r>
        <w:rPr>
          <w:rFonts w:hint="eastAsia" w:ascii="仿宋" w:hAnsi="仿宋" w:eastAsia="仿宋" w:cs="仿宋"/>
          <w:b/>
          <w:color w:val="auto"/>
          <w:sz w:val="36"/>
          <w:szCs w:val="24"/>
          <w:highlight w:val="none"/>
          <w:lang w:eastAsia="zh-CN"/>
        </w:rPr>
        <w:t>、</w:t>
      </w:r>
      <w:r>
        <w:rPr>
          <w:rFonts w:hint="eastAsia" w:ascii="仿宋" w:hAnsi="仿宋" w:eastAsia="仿宋" w:cs="仿宋"/>
          <w:b/>
          <w:color w:val="auto"/>
          <w:sz w:val="36"/>
          <w:szCs w:val="24"/>
          <w:highlight w:val="none"/>
        </w:rPr>
        <w:t>开标一览表</w:t>
      </w:r>
      <w:r>
        <w:rPr>
          <w:rFonts w:hint="eastAsia" w:ascii="仿宋" w:hAnsi="仿宋" w:eastAsia="仿宋" w:cs="仿宋"/>
          <w:b/>
          <w:color w:val="auto"/>
          <w:sz w:val="36"/>
          <w:szCs w:val="24"/>
          <w:highlight w:val="none"/>
        </w:rPr>
        <w:cr/>
      </w:r>
    </w:p>
    <w:p>
      <w:pPr>
        <w:shd w:val="clear" w:color="auto" w:fill="auto"/>
        <w:adjustRightInd w:val="0"/>
        <w:snapToGrid w:val="0"/>
        <w:spacing w:line="5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招标项目名称： </w:t>
      </w:r>
      <w:r>
        <w:rPr>
          <w:rFonts w:hint="eastAsia" w:ascii="仿宋" w:hAnsi="仿宋" w:eastAsia="仿宋" w:cs="仿宋"/>
          <w:color w:val="auto"/>
          <w:szCs w:val="21"/>
          <w:highlight w:val="none"/>
          <w:u w:val="single"/>
        </w:rPr>
        <w:t xml:space="preserve">                         </w:t>
      </w:r>
    </w:p>
    <w:p>
      <w:pPr>
        <w:shd w:val="clear" w:color="auto" w:fill="auto"/>
        <w:adjustRightInd w:val="0"/>
        <w:snapToGrid w:val="0"/>
        <w:spacing w:line="500" w:lineRule="exact"/>
        <w:rPr>
          <w:rFonts w:hint="eastAsia" w:ascii="仿宋" w:hAnsi="仿宋" w:eastAsia="仿宋" w:cs="仿宋"/>
          <w:i/>
          <w:iCs/>
          <w:color w:val="auto"/>
          <w:szCs w:val="21"/>
          <w:highlight w:val="none"/>
        </w:rPr>
      </w:pPr>
      <w:r>
        <w:rPr>
          <w:rFonts w:hint="eastAsia" w:ascii="仿宋" w:hAnsi="仿宋" w:eastAsia="仿宋" w:cs="仿宋"/>
          <w:color w:val="auto"/>
          <w:szCs w:val="21"/>
          <w:highlight w:val="none"/>
        </w:rPr>
        <w:t>招标项目编号：</w:t>
      </w:r>
      <w:r>
        <w:rPr>
          <w:rFonts w:hint="eastAsia" w:ascii="仿宋" w:hAnsi="仿宋" w:eastAsia="仿宋" w:cs="仿宋"/>
          <w:i/>
          <w:iCs/>
          <w:color w:val="auto"/>
          <w:szCs w:val="21"/>
          <w:highlight w:val="none"/>
        </w:rPr>
        <w:t xml:space="preserve"> </w:t>
      </w:r>
      <w:r>
        <w:rPr>
          <w:rFonts w:hint="eastAsia" w:ascii="仿宋" w:hAnsi="仿宋" w:eastAsia="仿宋" w:cs="仿宋"/>
          <w:color w:val="auto"/>
          <w:szCs w:val="21"/>
          <w:highlight w:val="none"/>
          <w:u w:val="single"/>
        </w:rPr>
        <w:t xml:space="preserve">                         </w:t>
      </w:r>
    </w:p>
    <w:p>
      <w:pPr>
        <w:shd w:val="clear" w:color="auto" w:fill="auto"/>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单位：元（人民币）</w:t>
      </w:r>
    </w:p>
    <w:tbl>
      <w:tblPr>
        <w:tblStyle w:val="18"/>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p>
        </w:tc>
        <w:tc>
          <w:tcPr>
            <w:tcW w:w="6185" w:type="dxa"/>
            <w:noWrap w:val="0"/>
            <w:vAlign w:val="center"/>
          </w:tcPr>
          <w:p>
            <w:pPr>
              <w:shd w:val="clear" w:color="auto" w:fill="auto"/>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供货期</w:t>
            </w:r>
            <w:r>
              <w:rPr>
                <w:rFonts w:hint="eastAsia" w:ascii="仿宋" w:hAnsi="仿宋" w:eastAsia="仿宋" w:cs="仿宋"/>
                <w:color w:val="auto"/>
                <w:szCs w:val="21"/>
                <w:highlight w:val="none"/>
                <w:lang w:eastAsia="zh-CN"/>
              </w:rPr>
              <w:t>（天）</w:t>
            </w:r>
          </w:p>
        </w:tc>
        <w:tc>
          <w:tcPr>
            <w:tcW w:w="6185" w:type="dxa"/>
            <w:noWrap w:val="0"/>
            <w:vAlign w:val="center"/>
          </w:tcPr>
          <w:p>
            <w:pPr>
              <w:shd w:val="clear" w:color="auto" w:fill="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noWrap w:val="0"/>
            <w:vAlign w:val="center"/>
          </w:tcPr>
          <w:p>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投标报价</w:t>
            </w:r>
          </w:p>
          <w:p>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noWrap w:val="0"/>
            <w:vAlign w:val="center"/>
          </w:tcPr>
          <w:p>
            <w:pPr>
              <w:shd w:val="clear" w:color="auto" w:fill="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pPr>
              <w:shd w:val="clear" w:color="auto" w:fill="auto"/>
              <w:jc w:val="center"/>
              <w:rPr>
                <w:rFonts w:hint="eastAsia" w:ascii="仿宋" w:hAnsi="仿宋" w:eastAsia="仿宋" w:cs="仿宋"/>
                <w:color w:val="auto"/>
                <w:szCs w:val="21"/>
                <w:highlight w:val="none"/>
              </w:rPr>
            </w:pP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noWrap w:val="0"/>
            <w:vAlign w:val="center"/>
          </w:tcPr>
          <w:p>
            <w:pPr>
              <w:shd w:val="clear" w:color="auto" w:fill="auto"/>
              <w:jc w:val="center"/>
              <w:rPr>
                <w:rFonts w:hint="eastAsia" w:ascii="仿宋" w:hAnsi="仿宋" w:eastAsia="仿宋" w:cs="仿宋"/>
                <w:color w:val="auto"/>
                <w:szCs w:val="21"/>
                <w:highlight w:val="none"/>
              </w:rPr>
            </w:pPr>
          </w:p>
        </w:tc>
      </w:tr>
    </w:tbl>
    <w:p>
      <w:pPr>
        <w:shd w:val="clear" w:color="auto" w:fill="auto"/>
        <w:spacing w:line="500" w:lineRule="exact"/>
        <w:ind w:firstLine="475"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填写说明：</w:t>
      </w:r>
    </w:p>
    <w:p>
      <w:pPr>
        <w:shd w:val="clear" w:color="auto" w:fill="auto"/>
        <w:spacing w:line="500" w:lineRule="exact"/>
        <w:ind w:firstLine="475"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1.为方便开标唱标，投标人应将开标一览表单独密封，并在信封上标明“开标一览表”字样，然后在递交投标文件时单独递交</w:t>
      </w:r>
      <w:r>
        <w:rPr>
          <w:rFonts w:hint="eastAsia" w:ascii="仿宋" w:hAnsi="仿宋" w:eastAsia="仿宋" w:cs="仿宋"/>
          <w:b/>
          <w:bCs/>
          <w:color w:val="auto"/>
          <w:sz w:val="24"/>
          <w:highlight w:val="none"/>
        </w:rPr>
        <w:t>。</w:t>
      </w:r>
    </w:p>
    <w:p>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3.投标总价为招标范围所列全部招标项目的报价总和，并应与投标报价明细表及分项价格表保持一致。</w:t>
      </w:r>
    </w:p>
    <w:p>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4.必须在投标文件中装订。</w:t>
      </w:r>
    </w:p>
    <w:p>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5.投标报价不得填报选择性报价。</w:t>
      </w:r>
    </w:p>
    <w:p>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（加盖公章）     </w:t>
      </w:r>
      <w:r>
        <w:rPr>
          <w:rFonts w:hint="eastAsia" w:ascii="仿宋" w:hAnsi="仿宋" w:eastAsia="仿宋" w:cs="仿宋"/>
          <w:color w:val="auto"/>
          <w:szCs w:val="21"/>
          <w:highlight w:val="none"/>
        </w:rPr>
        <w:t xml:space="preserve">       </w:t>
      </w:r>
    </w:p>
    <w:p>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签署日期：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pPr>
        <w:pStyle w:val="4"/>
        <w:numPr>
          <w:ilvl w:val="0"/>
          <w:numId w:val="0"/>
        </w:numPr>
        <w:shd w:val="clear" w:color="auto" w:fill="auto"/>
        <w:spacing w:before="0" w:line="240" w:lineRule="atLeast"/>
        <w:rPr>
          <w:rFonts w:hint="eastAsia" w:ascii="宋体" w:hAnsi="宋体" w:eastAsia="宋体" w:cs="宋体"/>
          <w:b/>
          <w:bCs/>
          <w:color w:val="auto"/>
          <w:sz w:val="24"/>
          <w:highlight w:val="none"/>
        </w:rPr>
      </w:pPr>
    </w:p>
    <w:p>
      <w:pPr>
        <w:pStyle w:val="4"/>
        <w:numPr>
          <w:ilvl w:val="0"/>
          <w:numId w:val="0"/>
        </w:numPr>
        <w:shd w:val="clear" w:color="auto" w:fill="auto"/>
        <w:spacing w:before="0" w:line="240" w:lineRule="atLeast"/>
        <w:rPr>
          <w:rFonts w:hint="eastAsia" w:ascii="宋体" w:hAnsi="宋体" w:eastAsia="宋体" w:cs="宋体"/>
          <w:b/>
          <w:bCs/>
          <w:color w:val="auto"/>
          <w:sz w:val="24"/>
          <w:highlight w:val="none"/>
        </w:rPr>
      </w:pPr>
    </w:p>
    <w:p>
      <w:pPr>
        <w:pStyle w:val="29"/>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color w:val="000000"/>
          <w:spacing w:val="0"/>
          <w:w w:val="100"/>
          <w:position w:val="0"/>
          <w:lang w:val="en-US" w:eastAsia="zh-CN"/>
        </w:rPr>
      </w:pPr>
      <w:r>
        <w:rPr>
          <w:rFonts w:hint="eastAsia" w:ascii="仿宋" w:hAnsi="仿宋" w:eastAsia="仿宋" w:cs="仿宋"/>
          <w:color w:val="000000"/>
          <w:spacing w:val="0"/>
          <w:w w:val="100"/>
          <w:position w:val="0"/>
          <w:lang w:val="en-US" w:eastAsia="zh-CN"/>
        </w:rPr>
        <w:t>3、货物说明一览表</w:t>
      </w:r>
    </w:p>
    <w:p>
      <w:pPr>
        <w:pStyle w:val="10"/>
        <w:shd w:val="clear" w:color="auto" w:fill="auto"/>
        <w:spacing w:line="240" w:lineRule="atLeast"/>
        <w:ind w:left="1164" w:leftChars="257" w:hanging="540"/>
        <w:rPr>
          <w:rFonts w:hint="eastAsia" w:ascii="仿宋" w:hAnsi="仿宋" w:eastAsia="仿宋" w:cs="仿宋"/>
          <w:color w:val="auto"/>
          <w:sz w:val="24"/>
          <w:highlight w:val="none"/>
        </w:rPr>
      </w:pPr>
    </w:p>
    <w:p>
      <w:pPr>
        <w:pStyle w:val="10"/>
        <w:shd w:val="clear" w:color="auto" w:fill="auto"/>
        <w:spacing w:line="240" w:lineRule="atLeast"/>
        <w:ind w:left="1164"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pPr>
        <w:pStyle w:val="10"/>
        <w:shd w:val="clear" w:color="auto" w:fill="auto"/>
        <w:spacing w:line="240" w:lineRule="atLeast"/>
        <w:ind w:left="1164"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招标编号:                       包号:                      </w:t>
      </w:r>
    </w:p>
    <w:p>
      <w:pPr>
        <w:pStyle w:val="10"/>
        <w:shd w:val="clear" w:color="auto" w:fill="auto"/>
        <w:spacing w:line="240" w:lineRule="atLeast"/>
        <w:ind w:left="1164" w:leftChars="257" w:hanging="540"/>
        <w:rPr>
          <w:rFonts w:hint="eastAsia" w:ascii="仿宋" w:hAnsi="仿宋" w:eastAsia="仿宋" w:cs="仿宋"/>
          <w:color w:val="auto"/>
          <w:sz w:val="24"/>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6" w:type="dxa"/>
            <w:noWrap w:val="0"/>
            <w:vAlign w:val="top"/>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序号</w:t>
            </w:r>
          </w:p>
        </w:tc>
        <w:tc>
          <w:tcPr>
            <w:tcW w:w="1601" w:type="dxa"/>
            <w:noWrap w:val="0"/>
            <w:vAlign w:val="top"/>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货物名称</w:t>
            </w:r>
          </w:p>
        </w:tc>
        <w:tc>
          <w:tcPr>
            <w:tcW w:w="1225" w:type="dxa"/>
            <w:noWrap w:val="0"/>
            <w:vAlign w:val="top"/>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主要规格</w:t>
            </w:r>
          </w:p>
        </w:tc>
        <w:tc>
          <w:tcPr>
            <w:tcW w:w="1138" w:type="dxa"/>
            <w:noWrap w:val="0"/>
            <w:vAlign w:val="top"/>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数量</w:t>
            </w:r>
          </w:p>
        </w:tc>
        <w:tc>
          <w:tcPr>
            <w:tcW w:w="1275" w:type="dxa"/>
            <w:noWrap w:val="0"/>
            <w:vAlign w:val="top"/>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交货期</w:t>
            </w:r>
          </w:p>
        </w:tc>
        <w:tc>
          <w:tcPr>
            <w:tcW w:w="1250" w:type="dxa"/>
            <w:noWrap w:val="0"/>
            <w:vAlign w:val="top"/>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交货地点</w:t>
            </w:r>
          </w:p>
        </w:tc>
        <w:tc>
          <w:tcPr>
            <w:tcW w:w="1690" w:type="dxa"/>
            <w:noWrap w:val="0"/>
            <w:vAlign w:val="top"/>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6"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96"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6"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6"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bl>
    <w:p>
      <w:pPr>
        <w:pStyle w:val="10"/>
        <w:shd w:val="clear" w:color="auto" w:fill="auto"/>
        <w:spacing w:line="240" w:lineRule="atLeast"/>
        <w:ind w:left="1164" w:leftChars="257" w:hanging="540"/>
        <w:rPr>
          <w:rFonts w:hint="eastAsia" w:ascii="仿宋" w:hAnsi="仿宋" w:eastAsia="仿宋" w:cs="仿宋"/>
          <w:color w:val="auto"/>
          <w:sz w:val="24"/>
          <w:highlight w:val="none"/>
        </w:rPr>
      </w:pPr>
    </w:p>
    <w:p>
      <w:pPr>
        <w:pStyle w:val="10"/>
        <w:shd w:val="clear" w:color="auto" w:fill="auto"/>
        <w:spacing w:line="240" w:lineRule="atLeast"/>
        <w:ind w:left="1164" w:leftChars="257" w:hanging="540"/>
        <w:rPr>
          <w:rFonts w:hint="eastAsia" w:ascii="宋体" w:hAnsi="宋体" w:eastAsia="宋体" w:cs="宋体"/>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r>
        <w:rPr>
          <w:rFonts w:hint="eastAsia" w:ascii="宋体" w:hAnsi="宋体" w:eastAsia="宋体" w:cs="宋体"/>
          <w:color w:val="auto"/>
          <w:sz w:val="24"/>
          <w:highlight w:val="none"/>
          <w:u w:val="single"/>
        </w:rPr>
        <w:t xml:space="preserve">         </w:t>
      </w:r>
    </w:p>
    <w:p>
      <w:pPr>
        <w:pStyle w:val="10"/>
        <w:shd w:val="clear" w:color="auto" w:fill="auto"/>
        <w:tabs>
          <w:tab w:val="left" w:pos="5370"/>
        </w:tabs>
        <w:spacing w:line="240" w:lineRule="atLeast"/>
        <w:ind w:left="1164"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pPr>
        <w:pStyle w:val="10"/>
        <w:shd w:val="clear" w:color="auto" w:fill="auto"/>
        <w:spacing w:line="240" w:lineRule="atLeast"/>
        <w:ind w:left="1164" w:leftChars="257" w:hanging="540"/>
        <w:rPr>
          <w:rFonts w:hint="eastAsia" w:ascii="仿宋" w:hAnsi="仿宋" w:eastAsia="仿宋" w:cs="仿宋"/>
          <w:color w:val="auto"/>
          <w:sz w:val="24"/>
          <w:highlight w:val="none"/>
        </w:rPr>
      </w:pPr>
    </w:p>
    <w:p>
      <w:pPr>
        <w:pStyle w:val="10"/>
        <w:shd w:val="clear" w:color="auto" w:fill="auto"/>
        <w:spacing w:line="240" w:lineRule="atLeast"/>
        <w:ind w:left="1164" w:leftChars="257" w:hanging="540"/>
        <w:rPr>
          <w:rFonts w:hint="eastAsia" w:ascii="宋体" w:hAnsi="宋体" w:eastAsia="宋体" w:cs="宋体"/>
          <w:color w:val="auto"/>
          <w:sz w:val="24"/>
          <w:highlight w:val="none"/>
        </w:rPr>
      </w:pPr>
      <w:r>
        <w:rPr>
          <w:rFonts w:hint="eastAsia" w:ascii="仿宋" w:hAnsi="仿宋" w:eastAsia="仿宋" w:cs="仿宋"/>
          <w:color w:val="auto"/>
          <w:sz w:val="24"/>
          <w:highlight w:val="none"/>
        </w:rPr>
        <w:t>注: 各项货物详细技术性能应另页描述</w:t>
      </w:r>
      <w:r>
        <w:rPr>
          <w:rFonts w:hint="eastAsia" w:ascii="宋体" w:hAnsi="宋体" w:eastAsia="宋体" w:cs="宋体"/>
          <w:color w:val="auto"/>
          <w:sz w:val="24"/>
          <w:highlight w:val="none"/>
        </w:rPr>
        <w:t>。</w:t>
      </w:r>
    </w:p>
    <w:p>
      <w:pPr>
        <w:pStyle w:val="10"/>
        <w:shd w:val="clear" w:color="auto" w:fill="auto"/>
        <w:spacing w:line="240" w:lineRule="atLeast"/>
        <w:ind w:left="1164" w:leftChars="257" w:hanging="540"/>
        <w:jc w:val="center"/>
        <w:rPr>
          <w:rFonts w:hint="eastAsia" w:ascii="宋体" w:hAnsi="宋体" w:eastAsia="宋体" w:cs="宋体"/>
          <w:color w:val="auto"/>
          <w:sz w:val="24"/>
          <w:highlight w:val="none"/>
        </w:rPr>
      </w:pPr>
    </w:p>
    <w:p>
      <w:pPr>
        <w:pStyle w:val="10"/>
        <w:shd w:val="clear" w:color="auto" w:fill="auto"/>
        <w:spacing w:line="240" w:lineRule="atLeast"/>
        <w:ind w:left="1164" w:leftChars="257" w:hanging="540"/>
        <w:jc w:val="center"/>
        <w:rPr>
          <w:rFonts w:hint="eastAsia" w:ascii="宋体" w:hAnsi="宋体" w:eastAsia="宋体" w:cs="宋体"/>
          <w:color w:val="auto"/>
          <w:sz w:val="24"/>
          <w:highlight w:val="none"/>
        </w:rPr>
        <w:sectPr>
          <w:footerReference r:id="rId10" w:type="default"/>
          <w:pgSz w:w="11905" w:h="16838"/>
          <w:pgMar w:top="1440" w:right="1797" w:bottom="1440" w:left="1797" w:header="850" w:footer="992" w:gutter="0"/>
          <w:pgNumType w:fmt="decimal"/>
          <w:cols w:space="720" w:num="1"/>
          <w:rtlGutter w:val="0"/>
          <w:docGrid w:type="linesAndChars" w:linePitch="325" w:charSpace="635"/>
        </w:sectPr>
      </w:pPr>
    </w:p>
    <w:p>
      <w:pPr>
        <w:pStyle w:val="29"/>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color w:val="000000"/>
          <w:spacing w:val="0"/>
          <w:w w:val="100"/>
          <w:position w:val="0"/>
        </w:rPr>
      </w:pPr>
      <w:r>
        <w:rPr>
          <w:rFonts w:hint="eastAsia" w:ascii="仿宋" w:hAnsi="仿宋" w:eastAsia="仿宋" w:cs="仿宋"/>
          <w:color w:val="000000"/>
          <w:spacing w:val="0"/>
          <w:w w:val="100"/>
          <w:position w:val="0"/>
          <w:lang w:val="en-US" w:eastAsia="zh-CN"/>
        </w:rPr>
        <w:t>4</w:t>
      </w:r>
      <w:r>
        <w:rPr>
          <w:rFonts w:hint="eastAsia" w:ascii="仿宋" w:hAnsi="仿宋" w:eastAsia="仿宋" w:cs="仿宋"/>
          <w:color w:val="000000"/>
          <w:spacing w:val="0"/>
          <w:w w:val="100"/>
          <w:position w:val="0"/>
          <w:lang w:eastAsia="zh-CN"/>
        </w:rPr>
        <w:t>、</w:t>
      </w:r>
      <w:r>
        <w:rPr>
          <w:rFonts w:hint="eastAsia" w:ascii="仿宋" w:hAnsi="仿宋" w:eastAsia="仿宋" w:cs="仿宋"/>
          <w:color w:val="000000"/>
          <w:spacing w:val="0"/>
          <w:w w:val="100"/>
          <w:position w:val="0"/>
        </w:rPr>
        <w:t>投标报价明细表</w:t>
      </w:r>
    </w:p>
    <w:p>
      <w:pPr>
        <w:pStyle w:val="29"/>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pPr>
        <w:pStyle w:val="29"/>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招标编号: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包号: 　 </w:t>
      </w:r>
    </w:p>
    <w:p>
      <w:pPr>
        <w:pStyle w:val="10"/>
        <w:shd w:val="clear" w:color="auto" w:fill="auto"/>
        <w:spacing w:line="240" w:lineRule="atLeast"/>
        <w:ind w:left="1157" w:leftChars="257" w:hanging="5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单位：</w:t>
      </w:r>
      <w:r>
        <w:rPr>
          <w:rFonts w:hint="eastAsia" w:ascii="仿宋" w:hAnsi="仿宋" w:eastAsia="仿宋" w:cs="仿宋"/>
          <w:color w:val="auto"/>
          <w:szCs w:val="21"/>
        </w:rPr>
        <w:t>元（人民币）</w:t>
      </w:r>
    </w:p>
    <w:tbl>
      <w:tblPr>
        <w:tblStyle w:val="18"/>
        <w:tblW w:w="97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5"/>
        <w:gridCol w:w="872"/>
        <w:gridCol w:w="986"/>
        <w:gridCol w:w="1267"/>
        <w:gridCol w:w="833"/>
        <w:gridCol w:w="1336"/>
        <w:gridCol w:w="751"/>
        <w:gridCol w:w="664"/>
        <w:gridCol w:w="664"/>
        <w:gridCol w:w="819"/>
        <w:gridCol w:w="8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12"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872"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产品名称</w:t>
            </w:r>
          </w:p>
        </w:tc>
        <w:tc>
          <w:tcPr>
            <w:tcW w:w="986"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规格</w:t>
            </w:r>
          </w:p>
        </w:tc>
        <w:tc>
          <w:tcPr>
            <w:tcW w:w="1267" w:type="dxa"/>
            <w:tcBorders>
              <w:top w:val="single" w:color="auto" w:sz="12" w:space="0"/>
              <w:left w:val="single" w:color="auto" w:sz="6" w:space="0"/>
              <w:bottom w:val="single" w:color="auto" w:sz="6" w:space="0"/>
              <w:right w:val="single" w:color="auto" w:sz="4" w:space="0"/>
            </w:tcBorders>
            <w:noWrap w:val="0"/>
            <w:vAlign w:val="center"/>
          </w:tcPr>
          <w:p>
            <w:pPr>
              <w:spacing w:line="500" w:lineRule="exact"/>
              <w:rPr>
                <w:rFonts w:hint="eastAsia" w:ascii="仿宋" w:hAnsi="仿宋" w:eastAsia="仿宋" w:cs="仿宋"/>
                <w:color w:val="auto"/>
                <w:szCs w:val="21"/>
              </w:rPr>
            </w:pPr>
            <w:r>
              <w:rPr>
                <w:rFonts w:hint="eastAsia" w:ascii="仿宋" w:hAnsi="仿宋" w:eastAsia="仿宋" w:cs="仿宋"/>
                <w:color w:val="auto"/>
                <w:szCs w:val="21"/>
              </w:rPr>
              <w:t>交货时间</w:t>
            </w:r>
          </w:p>
        </w:tc>
        <w:tc>
          <w:tcPr>
            <w:tcW w:w="833" w:type="dxa"/>
            <w:tcBorders>
              <w:top w:val="single" w:color="auto" w:sz="12" w:space="0"/>
              <w:left w:val="single" w:color="auto" w:sz="6" w:space="0"/>
              <w:bottom w:val="single" w:color="auto" w:sz="6" w:space="0"/>
              <w:right w:val="single" w:color="auto" w:sz="4" w:space="0"/>
            </w:tcBorders>
            <w:noWrap w:val="0"/>
            <w:vAlign w:val="center"/>
          </w:tcPr>
          <w:p>
            <w:pPr>
              <w:spacing w:line="500" w:lineRule="exact"/>
              <w:rPr>
                <w:rFonts w:hint="eastAsia" w:ascii="仿宋" w:hAnsi="仿宋" w:eastAsia="仿宋" w:cs="仿宋"/>
                <w:color w:val="auto"/>
                <w:szCs w:val="21"/>
              </w:rPr>
            </w:pPr>
            <w:r>
              <w:rPr>
                <w:rFonts w:hint="eastAsia" w:ascii="仿宋" w:hAnsi="仿宋" w:eastAsia="仿宋" w:cs="仿宋"/>
                <w:color w:val="auto"/>
                <w:szCs w:val="21"/>
              </w:rPr>
              <w:t>交货地点</w:t>
            </w:r>
          </w:p>
        </w:tc>
        <w:tc>
          <w:tcPr>
            <w:tcW w:w="1336" w:type="dxa"/>
            <w:tcBorders>
              <w:top w:val="single" w:color="auto" w:sz="12"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lang w:eastAsia="zh-CN"/>
              </w:rPr>
              <w:t>有效</w:t>
            </w:r>
            <w:r>
              <w:rPr>
                <w:rFonts w:hint="eastAsia" w:ascii="仿宋" w:hAnsi="仿宋" w:eastAsia="仿宋" w:cs="仿宋"/>
                <w:color w:val="auto"/>
                <w:szCs w:val="21"/>
              </w:rPr>
              <w:t>期</w:t>
            </w:r>
          </w:p>
        </w:tc>
        <w:tc>
          <w:tcPr>
            <w:tcW w:w="751"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数量</w:t>
            </w:r>
          </w:p>
        </w:tc>
        <w:tc>
          <w:tcPr>
            <w:tcW w:w="664"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单位</w:t>
            </w:r>
          </w:p>
        </w:tc>
        <w:tc>
          <w:tcPr>
            <w:tcW w:w="664"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单价</w:t>
            </w:r>
          </w:p>
        </w:tc>
        <w:tc>
          <w:tcPr>
            <w:tcW w:w="819" w:type="dxa"/>
            <w:tcBorders>
              <w:top w:val="single" w:color="auto" w:sz="12"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总价</w:t>
            </w:r>
          </w:p>
        </w:tc>
        <w:tc>
          <w:tcPr>
            <w:tcW w:w="818" w:type="dxa"/>
            <w:tcBorders>
              <w:top w:val="single" w:color="auto" w:sz="12"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厂家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705" w:type="dxa"/>
            <w:gridSpan w:val="11"/>
            <w:tcBorders>
              <w:top w:val="single" w:color="auto" w:sz="6" w:space="0"/>
              <w:left w:val="single" w:color="auto" w:sz="12"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rPr>
              <w:t>合计（总价）</w:t>
            </w:r>
            <w:r>
              <w:rPr>
                <w:rFonts w:hint="eastAsia" w:ascii="仿宋" w:hAnsi="仿宋" w:eastAsia="仿宋" w:cs="仿宋"/>
                <w:color w:val="auto"/>
                <w:szCs w:val="21"/>
                <w:lang w:eastAsia="zh-CN"/>
              </w:rPr>
              <w:t>：</w:t>
            </w:r>
          </w:p>
        </w:tc>
      </w:tr>
    </w:tbl>
    <w:p>
      <w:pPr>
        <w:pStyle w:val="33"/>
        <w:keepNext w:val="0"/>
        <w:keepLines w:val="0"/>
        <w:widowControl w:val="0"/>
        <w:shd w:val="clear" w:color="auto" w:fill="auto"/>
        <w:bidi w:val="0"/>
        <w:spacing w:before="0" w:after="0" w:line="317" w:lineRule="exact"/>
        <w:ind w:left="176"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说明：</w:t>
      </w:r>
      <w:r>
        <w:rPr>
          <w:rFonts w:hint="eastAsia" w:ascii="仿宋" w:hAnsi="仿宋" w:eastAsia="仿宋" w:cs="仿宋"/>
          <w:color w:val="000000"/>
          <w:spacing w:val="0"/>
          <w:w w:val="100"/>
          <w:position w:val="0"/>
          <w:sz w:val="24"/>
          <w:szCs w:val="24"/>
          <w:lang w:val="en-US" w:eastAsia="en-US" w:bidi="en-US"/>
        </w:rPr>
        <w:t>1.</w:t>
      </w:r>
      <w:r>
        <w:rPr>
          <w:rFonts w:hint="eastAsia" w:ascii="仿宋" w:hAnsi="仿宋" w:eastAsia="仿宋" w:cs="仿宋"/>
          <w:color w:val="000000"/>
          <w:spacing w:val="0"/>
          <w:w w:val="100"/>
          <w:position w:val="0"/>
          <w:sz w:val="24"/>
          <w:szCs w:val="24"/>
        </w:rPr>
        <w:t>所有价格均用人民币表示，单位为元。</w:t>
      </w:r>
    </w:p>
    <w:p>
      <w:pPr>
        <w:pStyle w:val="33"/>
        <w:keepNext w:val="0"/>
        <w:keepLines w:val="0"/>
        <w:widowControl w:val="0"/>
        <w:numPr>
          <w:ilvl w:val="0"/>
          <w:numId w:val="9"/>
        </w:numPr>
        <w:shd w:val="clear" w:color="auto" w:fill="auto"/>
        <w:tabs>
          <w:tab w:val="left" w:pos="378"/>
        </w:tabs>
        <w:bidi w:val="0"/>
        <w:spacing w:before="0" w:after="0" w:line="317" w:lineRule="exact"/>
        <w:ind w:left="176"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报价总计价格必须与《</w:t>
      </w:r>
      <w:r>
        <w:rPr>
          <w:rFonts w:hint="eastAsia" w:ascii="仿宋" w:hAnsi="仿宋" w:eastAsia="仿宋" w:cs="仿宋"/>
          <w:color w:val="000000"/>
          <w:spacing w:val="0"/>
          <w:w w:val="100"/>
          <w:position w:val="0"/>
          <w:sz w:val="24"/>
          <w:szCs w:val="24"/>
          <w:lang w:eastAsia="zh-CN"/>
        </w:rPr>
        <w:t>投标报价单</w:t>
      </w:r>
      <w:r>
        <w:rPr>
          <w:rFonts w:hint="eastAsia" w:ascii="仿宋" w:hAnsi="仿宋" w:eastAsia="仿宋" w:cs="仿宋"/>
          <w:color w:val="000000"/>
          <w:spacing w:val="0"/>
          <w:w w:val="100"/>
          <w:position w:val="0"/>
          <w:sz w:val="24"/>
          <w:szCs w:val="24"/>
        </w:rPr>
        <w:t>》报价一致。</w:t>
      </w:r>
    </w:p>
    <w:p>
      <w:pPr>
        <w:pStyle w:val="33"/>
        <w:keepNext w:val="0"/>
        <w:keepLines w:val="0"/>
        <w:widowControl w:val="0"/>
        <w:numPr>
          <w:ilvl w:val="0"/>
          <w:numId w:val="9"/>
        </w:numPr>
        <w:shd w:val="clear" w:color="auto" w:fill="auto"/>
        <w:tabs>
          <w:tab w:val="left" w:pos="490"/>
        </w:tabs>
        <w:bidi w:val="0"/>
        <w:spacing w:before="0" w:after="0" w:line="317" w:lineRule="exact"/>
        <w:ind w:left="176"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如果不提供详细的分项报价表将被视为没有实质性</w:t>
      </w:r>
      <w:r>
        <w:rPr>
          <w:rFonts w:hint="eastAsia" w:ascii="仿宋" w:hAnsi="仿宋" w:eastAsia="仿宋" w:cs="仿宋"/>
          <w:color w:val="000000"/>
          <w:spacing w:val="0"/>
          <w:w w:val="100"/>
          <w:position w:val="0"/>
          <w:sz w:val="24"/>
          <w:szCs w:val="24"/>
          <w:lang w:eastAsia="zh-CN"/>
        </w:rPr>
        <w:t>投标文件</w:t>
      </w:r>
      <w:r>
        <w:rPr>
          <w:rFonts w:hint="eastAsia" w:ascii="仿宋" w:hAnsi="仿宋" w:eastAsia="仿宋" w:cs="仿宋"/>
          <w:color w:val="000000"/>
          <w:spacing w:val="0"/>
          <w:w w:val="100"/>
          <w:position w:val="0"/>
          <w:sz w:val="24"/>
          <w:szCs w:val="24"/>
        </w:rPr>
        <w:t>。</w:t>
      </w:r>
    </w:p>
    <w:p>
      <w:pPr>
        <w:pStyle w:val="33"/>
        <w:keepNext w:val="0"/>
        <w:keepLines w:val="0"/>
        <w:widowControl w:val="0"/>
        <w:numPr>
          <w:ilvl w:val="0"/>
          <w:numId w:val="9"/>
        </w:numPr>
        <w:shd w:val="clear" w:color="auto" w:fill="auto"/>
        <w:tabs>
          <w:tab w:val="left" w:pos="493"/>
        </w:tabs>
        <w:bidi w:val="0"/>
        <w:spacing w:before="0" w:after="0" w:line="317" w:lineRule="exact"/>
        <w:ind w:left="176"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投标人必须按此表格式中的对应栏目内容填写，若需增加栏目，请在栏目</w:t>
      </w:r>
      <w:r>
        <w:rPr>
          <w:rFonts w:hint="eastAsia" w:ascii="仿宋" w:hAnsi="仿宋" w:eastAsia="仿宋" w:cs="仿宋"/>
          <w:color w:val="000000"/>
          <w:spacing w:val="0"/>
          <w:w w:val="100"/>
          <w:position w:val="0"/>
          <w:sz w:val="24"/>
          <w:szCs w:val="24"/>
          <w:lang w:val="zh-CN" w:eastAsia="zh-CN" w:bidi="zh-CN"/>
        </w:rPr>
        <w:t>“其</w:t>
      </w:r>
      <w:r>
        <w:rPr>
          <w:rFonts w:hint="eastAsia" w:ascii="仿宋" w:hAnsi="仿宋" w:eastAsia="仿宋" w:cs="仿宋"/>
          <w:color w:val="000000"/>
          <w:spacing w:val="0"/>
          <w:w w:val="100"/>
          <w:position w:val="0"/>
          <w:sz w:val="24"/>
          <w:szCs w:val="24"/>
        </w:rPr>
        <w:t>它”中填写，并作详细说明。</w:t>
      </w:r>
    </w:p>
    <w:p>
      <w:pPr>
        <w:pStyle w:val="33"/>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spacing w:val="0"/>
          <w:w w:val="100"/>
          <w:position w:val="0"/>
          <w:sz w:val="20"/>
          <w:szCs w:val="20"/>
        </w:rPr>
      </w:pPr>
    </w:p>
    <w:p>
      <w:pPr>
        <w:pStyle w:val="33"/>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spacing w:val="0"/>
          <w:w w:val="100"/>
          <w:position w:val="0"/>
          <w:sz w:val="20"/>
          <w:szCs w:val="20"/>
        </w:rPr>
      </w:pP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rPr>
        <w:tab/>
      </w:r>
      <w:r>
        <w:rPr>
          <w:rFonts w:hint="eastAsia" w:ascii="仿宋" w:hAnsi="仿宋" w:eastAsia="仿宋" w:cs="仿宋"/>
          <w:w w:val="95"/>
          <w:sz w:val="24"/>
          <w:szCs w:val="24"/>
        </w:rPr>
        <w:t>（盖章）</w:t>
      </w:r>
      <w:r>
        <w:rPr>
          <w:rFonts w:hint="eastAsia" w:ascii="仿宋" w:hAnsi="仿宋" w:eastAsia="仿宋" w:cs="仿宋"/>
          <w:sz w:val="24"/>
          <w:szCs w:val="24"/>
        </w:rPr>
        <w:t xml:space="preserve"> </w:t>
      </w: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w w:val="95"/>
          <w:sz w:val="24"/>
          <w:szCs w:val="24"/>
        </w:rPr>
      </w:pPr>
      <w:r>
        <w:rPr>
          <w:rFonts w:hint="eastAsia" w:ascii="仿宋" w:hAnsi="仿宋" w:eastAsia="仿宋" w:cs="仿宋"/>
          <w:sz w:val="24"/>
          <w:szCs w:val="24"/>
        </w:rPr>
        <w:t>法定代表人或被授权人：</w:t>
      </w:r>
      <w:r>
        <w:rPr>
          <w:rFonts w:hint="eastAsia" w:ascii="仿宋" w:hAnsi="仿宋" w:eastAsia="仿宋" w:cs="仿宋"/>
          <w:sz w:val="24"/>
          <w:szCs w:val="24"/>
          <w:u w:val="single"/>
        </w:rPr>
        <w:tab/>
      </w:r>
      <w:r>
        <w:rPr>
          <w:rFonts w:hint="eastAsia" w:ascii="仿宋" w:hAnsi="仿宋" w:eastAsia="仿宋" w:cs="仿宋"/>
          <w:w w:val="95"/>
          <w:sz w:val="24"/>
          <w:szCs w:val="24"/>
        </w:rPr>
        <w:t>（</w:t>
      </w:r>
      <w:r>
        <w:rPr>
          <w:rFonts w:hint="eastAsia" w:ascii="仿宋" w:hAnsi="仿宋" w:eastAsia="仿宋" w:cs="仿宋"/>
          <w:w w:val="95"/>
          <w:sz w:val="24"/>
          <w:szCs w:val="24"/>
          <w:lang w:eastAsia="zh-CN"/>
        </w:rPr>
        <w:t>签章</w:t>
      </w:r>
      <w:r>
        <w:rPr>
          <w:rFonts w:hint="eastAsia" w:ascii="仿宋" w:hAnsi="仿宋" w:eastAsia="仿宋" w:cs="仿宋"/>
          <w:w w:val="95"/>
          <w:sz w:val="24"/>
          <w:szCs w:val="24"/>
        </w:rPr>
        <w:t>）</w:t>
      </w:r>
    </w:p>
    <w:p>
      <w:pPr>
        <w:pStyle w:val="8"/>
        <w:numPr>
          <w:ilvl w:val="0"/>
          <w:numId w:val="0"/>
        </w:numPr>
        <w:tabs>
          <w:tab w:val="left" w:pos="5551"/>
          <w:tab w:val="left" w:pos="6511"/>
          <w:tab w:val="left" w:pos="7111"/>
          <w:tab w:val="left" w:pos="7711"/>
        </w:tabs>
        <w:kinsoku w:val="0"/>
        <w:overflowPunct w:val="0"/>
        <w:spacing w:before="46"/>
        <w:ind w:left="3928" w:leftChars="0" w:right="0" w:rightChars="0"/>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8"/>
        <w:numPr>
          <w:ilvl w:val="0"/>
          <w:numId w:val="0"/>
        </w:numPr>
        <w:kinsoku w:val="0"/>
        <w:overflowPunct w:val="0"/>
        <w:spacing w:before="34" w:line="357" w:lineRule="auto"/>
        <w:ind w:left="480" w:leftChars="0" w:right="126" w:rightChars="0"/>
        <w:jc w:val="center"/>
        <w:rPr>
          <w:rFonts w:hint="eastAsia" w:ascii="仿宋" w:hAnsi="仿宋" w:eastAsia="仿宋" w:cs="仿宋"/>
          <w:b/>
          <w:bCs/>
          <w:sz w:val="36"/>
          <w:szCs w:val="36"/>
          <w:lang w:eastAsia="zh-CN"/>
        </w:rPr>
      </w:pPr>
    </w:p>
    <w:p>
      <w:pPr>
        <w:spacing w:line="360" w:lineRule="auto"/>
        <w:jc w:val="center"/>
        <w:rPr>
          <w:rFonts w:hint="eastAsia" w:ascii="仿宋" w:hAnsi="仿宋" w:eastAsia="仿宋" w:cs="仿宋"/>
          <w:b/>
          <w:bCs/>
          <w:sz w:val="32"/>
          <w:szCs w:val="32"/>
        </w:rPr>
      </w:pPr>
      <w:r>
        <w:rPr>
          <w:rFonts w:hint="eastAsia" w:ascii="仿宋" w:hAnsi="仿宋" w:eastAsia="仿宋" w:cs="仿宋"/>
          <w:b/>
          <w:kern w:val="0"/>
          <w:sz w:val="36"/>
          <w:szCs w:val="36"/>
          <w:lang w:val="en-US" w:eastAsia="zh-CN"/>
        </w:rPr>
        <w:t>5</w:t>
      </w:r>
      <w:r>
        <w:rPr>
          <w:rFonts w:hint="eastAsia" w:ascii="仿宋" w:hAnsi="仿宋" w:eastAsia="仿宋" w:cs="仿宋"/>
          <w:b/>
          <w:kern w:val="0"/>
          <w:sz w:val="36"/>
          <w:szCs w:val="36"/>
          <w:lang w:eastAsia="zh-CN"/>
        </w:rPr>
        <w:t>、</w:t>
      </w:r>
      <w:r>
        <w:rPr>
          <w:rFonts w:hint="eastAsia" w:ascii="仿宋" w:hAnsi="仿宋" w:eastAsia="仿宋" w:cs="仿宋"/>
          <w:b/>
          <w:bCs/>
          <w:sz w:val="32"/>
          <w:szCs w:val="32"/>
        </w:rPr>
        <w:t>技术条款偏离表</w:t>
      </w:r>
    </w:p>
    <w:tbl>
      <w:tblPr>
        <w:tblStyle w:val="18"/>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序号</w:t>
            </w:r>
          </w:p>
        </w:tc>
        <w:tc>
          <w:tcPr>
            <w:tcW w:w="1357" w:type="dxa"/>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货物名称</w:t>
            </w:r>
          </w:p>
        </w:tc>
        <w:tc>
          <w:tcPr>
            <w:tcW w:w="1326" w:type="dxa"/>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招标文件条目号</w:t>
            </w:r>
          </w:p>
        </w:tc>
        <w:tc>
          <w:tcPr>
            <w:tcW w:w="1326" w:type="dxa"/>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招标文件要求规格</w:t>
            </w:r>
          </w:p>
        </w:tc>
        <w:tc>
          <w:tcPr>
            <w:tcW w:w="1326" w:type="dxa"/>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投标规格</w:t>
            </w:r>
          </w:p>
        </w:tc>
        <w:tc>
          <w:tcPr>
            <w:tcW w:w="1327" w:type="dxa"/>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偏离</w:t>
            </w:r>
          </w:p>
        </w:tc>
        <w:tc>
          <w:tcPr>
            <w:tcW w:w="1327" w:type="dxa"/>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pPr>
              <w:jc w:val="center"/>
              <w:rPr>
                <w:rFonts w:hint="eastAsia" w:ascii="仿宋" w:hAnsi="仿宋" w:eastAsia="仿宋" w:cs="仿宋"/>
                <w:b/>
                <w:bCs/>
                <w:sz w:val="24"/>
                <w:szCs w:val="24"/>
              </w:rPr>
            </w:pPr>
          </w:p>
        </w:tc>
        <w:tc>
          <w:tcPr>
            <w:tcW w:w="1357"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r>
              <w:rPr>
                <w:rFonts w:hint="eastAsia" w:ascii="仿宋" w:hAnsi="仿宋" w:eastAsia="仿宋" w:cs="仿宋"/>
                <w:bCs/>
                <w:sz w:val="24"/>
                <w:szCs w:val="24"/>
                <w:lang w:val="en-US" w:eastAsia="zh-CN"/>
              </w:rPr>
              <w:t>如有正偏离需提供证明材料，证明材料附后(并注明页码)</w:t>
            </w:r>
          </w:p>
        </w:tc>
        <w:tc>
          <w:tcPr>
            <w:tcW w:w="1327" w:type="dxa"/>
            <w:noWrap w:val="0"/>
            <w:vAlign w:val="top"/>
          </w:tcPr>
          <w:p>
            <w:pPr>
              <w:jc w:val="center"/>
              <w:rPr>
                <w:rFonts w:hint="eastAsia" w:ascii="仿宋" w:hAnsi="仿宋" w:eastAsia="仿宋" w:cs="仿宋"/>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pPr>
              <w:jc w:val="center"/>
              <w:rPr>
                <w:rFonts w:hint="eastAsia" w:ascii="仿宋" w:hAnsi="仿宋" w:eastAsia="仿宋" w:cs="仿宋"/>
                <w:b/>
                <w:bCs/>
                <w:sz w:val="24"/>
                <w:szCs w:val="24"/>
              </w:rPr>
            </w:pPr>
          </w:p>
        </w:tc>
        <w:tc>
          <w:tcPr>
            <w:tcW w:w="1357"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pPr>
              <w:jc w:val="center"/>
              <w:rPr>
                <w:rFonts w:hint="eastAsia" w:ascii="仿宋" w:hAnsi="仿宋" w:eastAsia="仿宋" w:cs="仿宋"/>
                <w:b/>
                <w:bCs/>
                <w:sz w:val="24"/>
                <w:szCs w:val="24"/>
              </w:rPr>
            </w:pPr>
          </w:p>
        </w:tc>
        <w:tc>
          <w:tcPr>
            <w:tcW w:w="1357"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pPr>
              <w:jc w:val="center"/>
              <w:rPr>
                <w:rFonts w:hint="eastAsia" w:ascii="仿宋" w:hAnsi="仿宋" w:eastAsia="仿宋" w:cs="仿宋"/>
                <w:b/>
                <w:bCs/>
                <w:sz w:val="24"/>
                <w:szCs w:val="24"/>
              </w:rPr>
            </w:pPr>
          </w:p>
        </w:tc>
        <w:tc>
          <w:tcPr>
            <w:tcW w:w="1357"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pPr>
              <w:jc w:val="center"/>
              <w:rPr>
                <w:rFonts w:hint="eastAsia" w:ascii="仿宋" w:hAnsi="仿宋" w:eastAsia="仿宋" w:cs="仿宋"/>
                <w:b/>
                <w:bCs/>
                <w:sz w:val="24"/>
                <w:szCs w:val="24"/>
              </w:rPr>
            </w:pPr>
          </w:p>
        </w:tc>
        <w:tc>
          <w:tcPr>
            <w:tcW w:w="1357"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r>
    </w:tbl>
    <w:p>
      <w:pPr>
        <w:spacing w:line="360" w:lineRule="auto"/>
        <w:ind w:firstLine="475" w:firstLineChars="198"/>
        <w:jc w:val="left"/>
        <w:rPr>
          <w:rFonts w:hint="eastAsia" w:ascii="仿宋" w:hAnsi="仿宋" w:eastAsia="仿宋" w:cs="仿宋"/>
          <w:sz w:val="24"/>
          <w:szCs w:val="24"/>
        </w:rPr>
      </w:pPr>
      <w:r>
        <w:rPr>
          <w:rFonts w:hint="eastAsia" w:ascii="仿宋" w:hAnsi="仿宋" w:eastAsia="仿宋" w:cs="仿宋"/>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pPr>
        <w:pStyle w:val="10"/>
        <w:tabs>
          <w:tab w:val="left" w:pos="5580"/>
        </w:tabs>
        <w:spacing w:line="360" w:lineRule="auto"/>
        <w:ind w:firstLine="3120" w:firstLineChars="1300"/>
        <w:rPr>
          <w:rFonts w:hint="eastAsia" w:ascii="仿宋" w:hAnsi="仿宋" w:eastAsia="仿宋" w:cs="仿宋"/>
          <w:sz w:val="24"/>
        </w:rPr>
      </w:pPr>
    </w:p>
    <w:p>
      <w:pPr>
        <w:pStyle w:val="10"/>
        <w:tabs>
          <w:tab w:val="left" w:pos="5580"/>
        </w:tabs>
        <w:spacing w:line="360" w:lineRule="auto"/>
        <w:ind w:firstLine="3120" w:firstLineChars="1300"/>
        <w:rPr>
          <w:rFonts w:hint="eastAsia" w:ascii="仿宋" w:hAnsi="仿宋" w:eastAsia="仿宋" w:cs="仿宋"/>
          <w:sz w:val="24"/>
        </w:rPr>
      </w:pPr>
      <w:r>
        <w:rPr>
          <w:rFonts w:hint="eastAsia" w:ascii="仿宋" w:hAnsi="仿宋" w:eastAsia="仿宋" w:cs="仿宋"/>
          <w:sz w:val="24"/>
        </w:rPr>
        <w:t>投标人（盖章）：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pStyle w:val="10"/>
        <w:tabs>
          <w:tab w:val="left" w:pos="5580"/>
        </w:tabs>
        <w:spacing w:line="360" w:lineRule="auto"/>
        <w:ind w:firstLine="3120" w:firstLineChars="1300"/>
        <w:rPr>
          <w:rFonts w:hint="eastAsia" w:ascii="仿宋" w:hAnsi="仿宋" w:eastAsia="仿宋" w:cs="仿宋"/>
          <w:kern w:val="0"/>
          <w:sz w:val="24"/>
          <w:szCs w:val="24"/>
          <w:u w:val="single"/>
          <w:lang w:val="en-US" w:eastAsia="zh-CN"/>
        </w:rPr>
      </w:pPr>
      <w:r>
        <w:rPr>
          <w:rFonts w:hint="eastAsia" w:ascii="仿宋" w:hAnsi="仿宋" w:eastAsia="仿宋" w:cs="仿宋"/>
          <w:sz w:val="24"/>
          <w:lang w:eastAsia="zh-CN"/>
        </w:rPr>
        <w:t>法定代表人或</w:t>
      </w:r>
      <w:r>
        <w:rPr>
          <w:rFonts w:hint="eastAsia" w:ascii="仿宋" w:hAnsi="仿宋" w:eastAsia="仿宋" w:cs="仿宋"/>
          <w:kern w:val="0"/>
          <w:sz w:val="24"/>
          <w:szCs w:val="24"/>
        </w:rPr>
        <w:t>委托代理人</w:t>
      </w:r>
      <w:r>
        <w:rPr>
          <w:rFonts w:hint="eastAsia" w:ascii="仿宋" w:hAnsi="仿宋" w:eastAsia="仿宋" w:cs="仿宋"/>
          <w:sz w:val="24"/>
          <w:lang w:eastAsia="zh-CN"/>
        </w:rPr>
        <w:t>（签章）</w:t>
      </w:r>
      <w:r>
        <w:rPr>
          <w:rFonts w:hint="eastAsia" w:ascii="仿宋" w:hAnsi="仿宋" w:eastAsia="仿宋" w:cs="仿宋"/>
          <w:kern w:val="0"/>
          <w:sz w:val="24"/>
          <w:szCs w:val="24"/>
          <w:lang w:eastAsia="zh-CN"/>
        </w:rPr>
        <w:t>：</w:t>
      </w:r>
      <w:r>
        <w:rPr>
          <w:rFonts w:hint="eastAsia" w:ascii="仿宋" w:hAnsi="仿宋" w:eastAsia="仿宋" w:cs="仿宋"/>
          <w:kern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eastAsia" w:ascii="仿宋" w:hAnsi="仿宋" w:eastAsia="仿宋" w:cs="仿宋"/>
          <w:sz w:val="24"/>
          <w:szCs w:val="24"/>
        </w:rPr>
      </w:pPr>
      <w:r>
        <w:rPr>
          <w:rFonts w:hint="eastAsia" w:ascii="仿宋" w:hAnsi="仿宋" w:eastAsia="仿宋" w:cs="仿宋"/>
          <w:sz w:val="24"/>
          <w:szCs w:val="24"/>
        </w:rPr>
        <w:t>日期：       年   月   日</w:t>
      </w:r>
    </w:p>
    <w:p>
      <w:pPr>
        <w:pStyle w:val="5"/>
        <w:rPr>
          <w:rFonts w:hint="eastAsia" w:ascii="仿宋" w:hAnsi="仿宋" w:eastAsia="仿宋" w:cs="仿宋"/>
          <w:b/>
          <w:bCs/>
          <w:sz w:val="36"/>
          <w:szCs w:val="36"/>
        </w:rPr>
      </w:pPr>
    </w:p>
    <w:p>
      <w:pPr>
        <w:rPr>
          <w:rFonts w:hint="eastAsia" w:ascii="仿宋" w:hAnsi="仿宋" w:eastAsia="仿宋" w:cs="仿宋"/>
        </w:rPr>
      </w:pPr>
    </w:p>
    <w:p>
      <w:pPr>
        <w:pStyle w:val="30"/>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pPr>
        <w:pStyle w:val="30"/>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pPr>
        <w:pStyle w:val="30"/>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pPr>
        <w:pStyle w:val="30"/>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pPr>
        <w:pStyle w:val="30"/>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pPr>
        <w:pStyle w:val="30"/>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pPr>
        <w:pStyle w:val="30"/>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pPr>
        <w:pStyle w:val="30"/>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r>
        <w:rPr>
          <w:rFonts w:hint="eastAsia" w:ascii="仿宋" w:hAnsi="仿宋" w:eastAsia="仿宋" w:cs="仿宋"/>
          <w:color w:val="000000"/>
          <w:spacing w:val="0"/>
          <w:w w:val="100"/>
          <w:position w:val="0"/>
          <w:sz w:val="36"/>
          <w:szCs w:val="36"/>
          <w:lang w:val="en-US" w:eastAsia="zh-CN"/>
        </w:rPr>
        <w:t>6</w:t>
      </w:r>
      <w:r>
        <w:rPr>
          <w:rFonts w:hint="eastAsia" w:ascii="仿宋" w:hAnsi="仿宋" w:eastAsia="仿宋" w:cs="仿宋"/>
          <w:color w:val="000000"/>
          <w:spacing w:val="0"/>
          <w:w w:val="100"/>
          <w:position w:val="0"/>
          <w:sz w:val="36"/>
          <w:szCs w:val="36"/>
        </w:rPr>
        <w:t>、</w:t>
      </w:r>
      <w:r>
        <w:rPr>
          <w:rFonts w:hint="eastAsia" w:ascii="仿宋" w:hAnsi="仿宋" w:eastAsia="仿宋" w:cs="仿宋"/>
          <w:color w:val="000000"/>
          <w:spacing w:val="0"/>
          <w:w w:val="100"/>
          <w:position w:val="0"/>
          <w:sz w:val="36"/>
          <w:szCs w:val="36"/>
          <w:lang w:eastAsia="zh-CN"/>
        </w:rPr>
        <w:t>商务条款偏离表</w:t>
      </w:r>
    </w:p>
    <w:tbl>
      <w:tblPr>
        <w:tblStyle w:val="18"/>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序号</w:t>
            </w:r>
          </w:p>
        </w:tc>
        <w:tc>
          <w:tcPr>
            <w:tcW w:w="2154" w:type="dxa"/>
            <w:noWrap w:val="0"/>
            <w:vAlign w:val="top"/>
          </w:tcPr>
          <w:p>
            <w:pPr>
              <w:pStyle w:val="10"/>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招标文件条款号</w:t>
            </w:r>
          </w:p>
        </w:tc>
        <w:tc>
          <w:tcPr>
            <w:tcW w:w="2477" w:type="dxa"/>
            <w:noWrap w:val="0"/>
            <w:vAlign w:val="top"/>
          </w:tcPr>
          <w:p>
            <w:pPr>
              <w:pStyle w:val="10"/>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招标文件的商务条款</w:t>
            </w:r>
          </w:p>
        </w:tc>
        <w:tc>
          <w:tcPr>
            <w:tcW w:w="2454" w:type="dxa"/>
            <w:noWrap w:val="0"/>
            <w:vAlign w:val="top"/>
          </w:tcPr>
          <w:p>
            <w:pPr>
              <w:pStyle w:val="10"/>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投标文件的商务条款</w:t>
            </w:r>
          </w:p>
        </w:tc>
        <w:tc>
          <w:tcPr>
            <w:tcW w:w="1130" w:type="dxa"/>
            <w:noWrap w:val="0"/>
            <w:vAlign w:val="top"/>
          </w:tcPr>
          <w:p>
            <w:pPr>
              <w:pStyle w:val="10"/>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1</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2</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3</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4</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5</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6</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7</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8</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9</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10</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11</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12</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13</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14</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15</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bl>
    <w:p>
      <w:pPr>
        <w:rPr>
          <w:rFonts w:hint="eastAsia" w:ascii="仿宋" w:hAnsi="仿宋" w:eastAsia="仿宋" w:cs="仿宋"/>
          <w:spacing w:val="-1"/>
          <w:kern w:val="0"/>
          <w:sz w:val="24"/>
        </w:rPr>
      </w:pPr>
      <w:r>
        <w:rPr>
          <w:rFonts w:hint="eastAsia" w:ascii="仿宋" w:hAnsi="仿宋" w:eastAsia="仿宋" w:cs="仿宋"/>
          <w:spacing w:val="-1"/>
          <w:kern w:val="0"/>
          <w:sz w:val="24"/>
        </w:rPr>
        <w:t>注：请在“偏离说明”栏内扼要说明偏离情况，如无偏离则不需列明。</w:t>
      </w: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rPr>
      </w:pP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rPr>
      </w:pP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sz w:val="24"/>
          <w:szCs w:val="24"/>
        </w:rPr>
      </w:pP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rPr>
        <w:tab/>
      </w:r>
      <w:r>
        <w:rPr>
          <w:rFonts w:hint="eastAsia" w:ascii="仿宋" w:hAnsi="仿宋" w:eastAsia="仿宋" w:cs="仿宋"/>
          <w:w w:val="95"/>
          <w:sz w:val="24"/>
          <w:szCs w:val="24"/>
        </w:rPr>
        <w:t>（盖章）</w:t>
      </w:r>
      <w:r>
        <w:rPr>
          <w:rFonts w:hint="eastAsia" w:ascii="仿宋" w:hAnsi="仿宋" w:eastAsia="仿宋" w:cs="仿宋"/>
          <w:sz w:val="24"/>
          <w:szCs w:val="24"/>
        </w:rPr>
        <w:t xml:space="preserve"> </w:t>
      </w: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w w:val="95"/>
          <w:sz w:val="24"/>
          <w:szCs w:val="24"/>
        </w:rPr>
      </w:pPr>
      <w:r>
        <w:rPr>
          <w:rFonts w:hint="eastAsia" w:ascii="仿宋" w:hAnsi="仿宋" w:eastAsia="仿宋" w:cs="仿宋"/>
          <w:sz w:val="24"/>
          <w:szCs w:val="24"/>
        </w:rPr>
        <w:t>法定代表人或被授权人：</w:t>
      </w:r>
      <w:r>
        <w:rPr>
          <w:rFonts w:hint="eastAsia" w:ascii="仿宋" w:hAnsi="仿宋" w:eastAsia="仿宋" w:cs="仿宋"/>
          <w:sz w:val="24"/>
          <w:szCs w:val="24"/>
          <w:u w:val="single"/>
        </w:rPr>
        <w:tab/>
      </w:r>
      <w:r>
        <w:rPr>
          <w:rFonts w:hint="eastAsia" w:ascii="仿宋" w:hAnsi="仿宋" w:eastAsia="仿宋" w:cs="仿宋"/>
          <w:w w:val="95"/>
          <w:sz w:val="24"/>
          <w:szCs w:val="24"/>
        </w:rPr>
        <w:t>（</w:t>
      </w:r>
      <w:r>
        <w:rPr>
          <w:rFonts w:hint="eastAsia" w:ascii="仿宋" w:hAnsi="仿宋" w:eastAsia="仿宋" w:cs="仿宋"/>
          <w:w w:val="95"/>
          <w:sz w:val="24"/>
          <w:szCs w:val="24"/>
          <w:lang w:eastAsia="zh-CN"/>
        </w:rPr>
        <w:t>签章</w:t>
      </w:r>
      <w:r>
        <w:rPr>
          <w:rFonts w:hint="eastAsia" w:ascii="仿宋" w:hAnsi="仿宋" w:eastAsia="仿宋" w:cs="仿宋"/>
          <w:w w:val="95"/>
          <w:sz w:val="24"/>
          <w:szCs w:val="24"/>
        </w:rPr>
        <w:t>）</w:t>
      </w:r>
    </w:p>
    <w:p>
      <w:pPr>
        <w:pStyle w:val="30"/>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30"/>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rPr>
      </w:pPr>
    </w:p>
    <w:p>
      <w:pPr>
        <w:pStyle w:val="31"/>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000000"/>
          <w:spacing w:val="0"/>
          <w:w w:val="100"/>
          <w:position w:val="0"/>
          <w:sz w:val="21"/>
          <w:szCs w:val="21"/>
        </w:rPr>
      </w:pPr>
    </w:p>
    <w:p>
      <w:pPr>
        <w:pStyle w:val="31"/>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000000"/>
          <w:spacing w:val="0"/>
          <w:w w:val="100"/>
          <w:position w:val="0"/>
          <w:sz w:val="21"/>
          <w:szCs w:val="21"/>
        </w:rPr>
      </w:pPr>
    </w:p>
    <w:p>
      <w:pPr>
        <w:pStyle w:val="31"/>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000000"/>
          <w:spacing w:val="0"/>
          <w:w w:val="100"/>
          <w:position w:val="0"/>
          <w:sz w:val="21"/>
          <w:szCs w:val="21"/>
        </w:rPr>
      </w:pPr>
    </w:p>
    <w:p>
      <w:pPr>
        <w:pStyle w:val="31"/>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000000"/>
          <w:spacing w:val="0"/>
          <w:w w:val="100"/>
          <w:position w:val="0"/>
          <w:sz w:val="21"/>
          <w:szCs w:val="21"/>
        </w:rPr>
      </w:pPr>
    </w:p>
    <w:p>
      <w:pPr>
        <w:pStyle w:val="31"/>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000000"/>
          <w:spacing w:val="0"/>
          <w:w w:val="100"/>
          <w:position w:val="0"/>
          <w:sz w:val="21"/>
          <w:szCs w:val="21"/>
        </w:rPr>
      </w:pPr>
    </w:p>
    <w:p>
      <w:pPr>
        <w:pStyle w:val="31"/>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000000"/>
          <w:spacing w:val="0"/>
          <w:w w:val="100"/>
          <w:position w:val="0"/>
          <w:sz w:val="21"/>
          <w:szCs w:val="21"/>
        </w:rPr>
      </w:pPr>
    </w:p>
    <w:p>
      <w:pPr>
        <w:jc w:val="center"/>
        <w:rPr>
          <w:rFonts w:hint="eastAsia" w:ascii="仿宋" w:hAnsi="仿宋" w:eastAsia="仿宋" w:cs="仿宋"/>
          <w:sz w:val="30"/>
          <w:szCs w:val="30"/>
        </w:rPr>
      </w:pP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投标人基本情况表</w:t>
      </w:r>
    </w:p>
    <w:p>
      <w:pPr>
        <w:pStyle w:val="8"/>
        <w:numPr>
          <w:ilvl w:val="0"/>
          <w:numId w:val="0"/>
        </w:numPr>
        <w:kinsoku w:val="0"/>
        <w:overflowPunct w:val="0"/>
        <w:spacing w:before="5"/>
        <w:ind w:leftChars="0" w:right="0" w:rightChars="0"/>
        <w:rPr>
          <w:rFonts w:hint="eastAsia" w:ascii="仿宋" w:hAnsi="仿宋" w:eastAsia="仿宋" w:cs="仿宋"/>
          <w:b/>
          <w:bCs/>
          <w:sz w:val="6"/>
          <w:szCs w:val="6"/>
        </w:rPr>
      </w:pPr>
    </w:p>
    <w:tbl>
      <w:tblPr>
        <w:tblStyle w:val="18"/>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before="145"/>
              <w:ind w:left="137"/>
              <w:rPr>
                <w:rFonts w:hint="eastAsia" w:ascii="仿宋" w:hAnsi="仿宋" w:eastAsia="仿宋" w:cs="仿宋"/>
              </w:rPr>
            </w:pPr>
            <w:r>
              <w:rPr>
                <w:rFonts w:hint="eastAsia" w:ascii="仿宋" w:hAnsi="仿宋" w:eastAsia="仿宋" w:cs="仿宋"/>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before="145"/>
              <w:ind w:left="137"/>
              <w:rPr>
                <w:rFonts w:hint="eastAsia" w:ascii="仿宋" w:hAnsi="仿宋" w:eastAsia="仿宋" w:cs="仿宋"/>
              </w:rPr>
            </w:pPr>
            <w:r>
              <w:rPr>
                <w:rFonts w:hint="eastAsia" w:ascii="仿宋" w:hAnsi="仿宋" w:eastAsia="仿宋" w:cs="仿宋"/>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before="145"/>
              <w:ind w:left="137"/>
              <w:rPr>
                <w:rFonts w:hint="eastAsia" w:ascii="仿宋" w:hAnsi="仿宋" w:eastAsia="仿宋" w:cs="仿宋"/>
              </w:rPr>
            </w:pPr>
            <w:r>
              <w:rPr>
                <w:rFonts w:hint="eastAsia" w:ascii="仿宋" w:hAnsi="仿宋" w:eastAsia="仿宋" w:cs="仿宋"/>
              </w:rPr>
              <w:t>主管部门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before="145"/>
              <w:ind w:left="137"/>
              <w:rPr>
                <w:rFonts w:hint="eastAsia" w:ascii="仿宋" w:hAnsi="仿宋" w:eastAsia="仿宋" w:cs="仿宋"/>
              </w:rPr>
            </w:pPr>
            <w:r>
              <w:rPr>
                <w:rFonts w:hint="eastAsia" w:ascii="仿宋" w:hAnsi="仿宋" w:eastAsia="仿宋" w:cs="仿宋"/>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2294" w:type="dxa"/>
            <w:gridSpan w:val="4"/>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before="145"/>
              <w:ind w:left="181"/>
              <w:rPr>
                <w:rFonts w:hint="eastAsia" w:ascii="仿宋" w:hAnsi="仿宋" w:eastAsia="仿宋" w:cs="仿宋"/>
              </w:rPr>
            </w:pPr>
            <w:r>
              <w:rPr>
                <w:rFonts w:hint="eastAsia" w:ascii="仿宋" w:hAnsi="仿宋" w:eastAsia="仿宋" w:cs="仿宋"/>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before="146"/>
              <w:ind w:left="137"/>
              <w:rPr>
                <w:rFonts w:hint="eastAsia" w:ascii="仿宋" w:hAnsi="仿宋" w:eastAsia="仿宋" w:cs="仿宋"/>
              </w:rPr>
            </w:pPr>
            <w:r>
              <w:rPr>
                <w:rFonts w:hint="eastAsia" w:ascii="仿宋" w:hAnsi="仿宋" w:eastAsia="仿宋" w:cs="仿宋"/>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before="141" w:line="312" w:lineRule="exact"/>
              <w:ind w:left="257" w:right="133" w:hanging="120"/>
              <w:rPr>
                <w:rFonts w:hint="eastAsia" w:ascii="仿宋" w:hAnsi="仿宋" w:eastAsia="仿宋" w:cs="仿宋"/>
              </w:rPr>
            </w:pPr>
            <w:r>
              <w:rPr>
                <w:rFonts w:hint="eastAsia" w:ascii="仿宋" w:hAnsi="仿宋" w:eastAsia="仿宋" w:cs="仿宋"/>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before="4"/>
              <w:rPr>
                <w:rFonts w:hint="eastAsia" w:ascii="仿宋" w:hAnsi="仿宋" w:eastAsia="仿宋" w:cs="仿宋"/>
                <w:b/>
                <w:bCs/>
                <w:sz w:val="20"/>
                <w:szCs w:val="20"/>
              </w:rPr>
            </w:pPr>
          </w:p>
          <w:p>
            <w:pPr>
              <w:pStyle w:val="34"/>
              <w:kinsoku w:val="0"/>
              <w:overflowPunct w:val="0"/>
              <w:ind w:left="366"/>
              <w:rPr>
                <w:rFonts w:hint="eastAsia" w:ascii="仿宋" w:hAnsi="仿宋" w:eastAsia="仿宋" w:cs="仿宋"/>
              </w:rPr>
            </w:pPr>
            <w:r>
              <w:rPr>
                <w:rFonts w:hint="eastAsia" w:ascii="仿宋" w:hAnsi="仿宋" w:eastAsia="仿宋" w:cs="仿宋"/>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377" w:type="dxa"/>
            <w:gridSpan w:val="3"/>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before="4"/>
              <w:rPr>
                <w:rFonts w:hint="eastAsia" w:ascii="仿宋" w:hAnsi="仿宋" w:eastAsia="仿宋" w:cs="仿宋"/>
                <w:b/>
                <w:bCs/>
                <w:sz w:val="20"/>
                <w:szCs w:val="20"/>
              </w:rPr>
            </w:pPr>
          </w:p>
          <w:p>
            <w:pPr>
              <w:pStyle w:val="34"/>
              <w:kinsoku w:val="0"/>
              <w:overflowPunct w:val="0"/>
              <w:ind w:left="383"/>
              <w:rPr>
                <w:rFonts w:hint="eastAsia" w:ascii="仿宋" w:hAnsi="仿宋" w:eastAsia="仿宋" w:cs="仿宋"/>
              </w:rPr>
            </w:pPr>
            <w:r>
              <w:rPr>
                <w:rFonts w:hint="eastAsia" w:ascii="仿宋" w:hAnsi="仿宋" w:eastAsia="仿宋" w:cs="仿宋"/>
              </w:rPr>
              <w:t>传 真</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rPr>
                <w:rFonts w:hint="eastAsia" w:ascii="仿宋" w:hAnsi="仿宋" w:eastAsia="仿宋" w:cs="仿宋"/>
                <w:b/>
                <w:bCs/>
              </w:rPr>
            </w:pPr>
          </w:p>
          <w:p>
            <w:pPr>
              <w:pStyle w:val="34"/>
              <w:kinsoku w:val="0"/>
              <w:overflowPunct w:val="0"/>
              <w:rPr>
                <w:rFonts w:hint="eastAsia" w:ascii="仿宋" w:hAnsi="仿宋" w:eastAsia="仿宋" w:cs="仿宋"/>
                <w:b/>
                <w:bCs/>
              </w:rPr>
            </w:pPr>
          </w:p>
          <w:p>
            <w:pPr>
              <w:pStyle w:val="34"/>
              <w:kinsoku w:val="0"/>
              <w:overflowPunct w:val="0"/>
              <w:rPr>
                <w:rFonts w:hint="eastAsia" w:ascii="仿宋" w:hAnsi="仿宋" w:eastAsia="仿宋" w:cs="仿宋"/>
                <w:b/>
                <w:bCs/>
              </w:rPr>
            </w:pPr>
          </w:p>
          <w:p>
            <w:pPr>
              <w:pStyle w:val="34"/>
              <w:kinsoku w:val="0"/>
              <w:overflowPunct w:val="0"/>
              <w:spacing w:line="475" w:lineRule="auto"/>
              <w:ind w:left="497" w:right="493"/>
              <w:jc w:val="both"/>
              <w:rPr>
                <w:rFonts w:hint="eastAsia" w:ascii="仿宋" w:hAnsi="仿宋" w:eastAsia="仿宋" w:cs="仿宋"/>
              </w:rPr>
            </w:pPr>
            <w:r>
              <w:rPr>
                <w:rFonts w:hint="eastAsia" w:ascii="仿宋" w:hAnsi="仿宋" w:eastAsia="仿宋" w:cs="仿宋"/>
              </w:rPr>
              <w:t>职 工 概 况</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before="144"/>
              <w:ind w:left="236"/>
              <w:rPr>
                <w:rFonts w:hint="eastAsia" w:ascii="仿宋" w:hAnsi="仿宋" w:eastAsia="仿宋" w:cs="仿宋"/>
              </w:rPr>
            </w:pPr>
            <w:r>
              <w:rPr>
                <w:rFonts w:hint="eastAsia" w:ascii="仿宋" w:hAnsi="仿宋" w:eastAsia="仿宋" w:cs="仿宋"/>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2168" w:type="dxa"/>
            <w:gridSpan w:val="4"/>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before="144"/>
              <w:ind w:left="118"/>
              <w:rPr>
                <w:rFonts w:hint="eastAsia" w:ascii="仿宋" w:hAnsi="仿宋" w:eastAsia="仿宋" w:cs="仿宋"/>
              </w:rPr>
            </w:pPr>
            <w:r>
              <w:rPr>
                <w:rFonts w:hint="eastAsia" w:ascii="仿宋" w:hAnsi="仿宋" w:eastAsia="仿宋" w:cs="仿宋"/>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before="145"/>
              <w:jc w:val="center"/>
              <w:rPr>
                <w:rFonts w:hint="eastAsia" w:ascii="仿宋" w:hAnsi="仿宋" w:eastAsia="仿宋" w:cs="仿宋"/>
              </w:rPr>
            </w:pPr>
            <w:r>
              <w:rPr>
                <w:rFonts w:hint="eastAsia" w:ascii="仿宋" w:hAnsi="仿宋" w:eastAsia="仿宋" w:cs="仿宋"/>
              </w:rPr>
              <w:t>单位行政和技术负责人</w:t>
            </w: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before="145"/>
              <w:jc w:val="cente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before="145"/>
              <w:ind w:left="416"/>
              <w:rPr>
                <w:rFonts w:hint="eastAsia" w:ascii="仿宋" w:hAnsi="仿宋" w:eastAsia="仿宋" w:cs="仿宋"/>
              </w:rPr>
            </w:pPr>
            <w:r>
              <w:rPr>
                <w:rFonts w:hint="eastAsia" w:ascii="仿宋" w:hAnsi="仿宋" w:eastAsia="仿宋" w:cs="仿宋"/>
              </w:rPr>
              <w:t>姓 名</w:t>
            </w: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before="145"/>
              <w:ind w:left="452"/>
              <w:rPr>
                <w:rFonts w:hint="eastAsia" w:ascii="仿宋" w:hAnsi="仿宋" w:eastAsia="仿宋" w:cs="仿宋"/>
              </w:rPr>
            </w:pPr>
            <w:r>
              <w:rPr>
                <w:rFonts w:hint="eastAsia" w:ascii="仿宋" w:hAnsi="仿宋" w:eastAsia="仿宋" w:cs="仿宋"/>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before="145"/>
              <w:ind w:left="450"/>
              <w:rPr>
                <w:rFonts w:hint="eastAsia" w:ascii="仿宋" w:hAnsi="仿宋" w:eastAsia="仿宋" w:cs="仿宋"/>
              </w:rPr>
            </w:pPr>
            <w:r>
              <w:rPr>
                <w:rFonts w:hint="eastAsia" w:ascii="仿宋" w:hAnsi="仿宋" w:eastAsia="仿宋" w:cs="仿宋"/>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pStyle w:val="34"/>
              <w:tabs>
                <w:tab w:val="left" w:pos="479"/>
              </w:tabs>
              <w:kinsoku w:val="0"/>
              <w:overflowPunct w:val="0"/>
              <w:spacing w:before="145"/>
              <w:ind w:right="1"/>
              <w:jc w:val="center"/>
              <w:rPr>
                <w:rFonts w:hint="eastAsia" w:ascii="仿宋" w:hAnsi="仿宋" w:eastAsia="仿宋" w:cs="仿宋"/>
              </w:rPr>
            </w:pPr>
            <w:r>
              <w:rPr>
                <w:rFonts w:hint="eastAsia" w:ascii="仿宋" w:hAnsi="仿宋" w:eastAsia="仿宋" w:cs="仿宋"/>
              </w:rPr>
              <w:t>专</w:t>
            </w:r>
            <w:r>
              <w:rPr>
                <w:rFonts w:hint="eastAsia" w:ascii="仿宋" w:hAnsi="仿宋" w:eastAsia="仿宋" w:cs="仿宋"/>
              </w:rPr>
              <w:tab/>
            </w:r>
            <w:r>
              <w:rPr>
                <w:rFonts w:hint="eastAsia" w:ascii="仿宋" w:hAnsi="仿宋" w:eastAsia="仿宋" w:cs="仿宋"/>
              </w:rPr>
              <w:t>业</w:t>
            </w:r>
          </w:p>
        </w:tc>
      </w:tr>
      <w:tr>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34"/>
              <w:tabs>
                <w:tab w:val="left" w:pos="479"/>
              </w:tabs>
              <w:kinsoku w:val="0"/>
              <w:overflowPunct w:val="0"/>
              <w:spacing w:before="145"/>
              <w:ind w:right="1"/>
              <w:jc w:val="cente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before="1"/>
              <w:rPr>
                <w:rFonts w:hint="eastAsia" w:ascii="仿宋" w:hAnsi="仿宋" w:eastAsia="仿宋" w:cs="仿宋"/>
                <w:b/>
                <w:bCs/>
                <w:sz w:val="23"/>
                <w:szCs w:val="23"/>
              </w:rPr>
            </w:pPr>
          </w:p>
          <w:p>
            <w:pPr>
              <w:pStyle w:val="34"/>
              <w:kinsoku w:val="0"/>
              <w:overflowPunct w:val="0"/>
              <w:spacing w:line="237" w:lineRule="auto"/>
              <w:ind w:left="497" w:right="493"/>
              <w:jc w:val="both"/>
              <w:rPr>
                <w:rFonts w:hint="eastAsia" w:ascii="仿宋" w:hAnsi="仿宋" w:eastAsia="仿宋" w:cs="仿宋"/>
              </w:rPr>
            </w:pPr>
            <w:r>
              <w:rPr>
                <w:rFonts w:hint="eastAsia" w:ascii="仿宋" w:hAnsi="仿宋" w:eastAsia="仿宋" w:cs="仿宋"/>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bl>
    <w:p>
      <w:pPr>
        <w:pStyle w:val="31"/>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sz w:val="30"/>
          <w:szCs w:val="30"/>
        </w:rPr>
      </w:pPr>
    </w:p>
    <w:p>
      <w:pPr>
        <w:pStyle w:val="31"/>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sz w:val="30"/>
          <w:szCs w:val="30"/>
        </w:rPr>
      </w:pPr>
    </w:p>
    <w:p>
      <w:pPr>
        <w:pStyle w:val="31"/>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sz w:val="30"/>
          <w:szCs w:val="30"/>
        </w:rPr>
      </w:pPr>
    </w:p>
    <w:p>
      <w:pPr>
        <w:pStyle w:val="31"/>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sz w:val="30"/>
          <w:szCs w:val="30"/>
        </w:rPr>
      </w:pPr>
    </w:p>
    <w:p>
      <w:pPr>
        <w:pStyle w:val="31"/>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sz w:val="30"/>
          <w:szCs w:val="30"/>
        </w:rPr>
      </w:pPr>
    </w:p>
    <w:p>
      <w:pPr>
        <w:pStyle w:val="31"/>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sz w:val="30"/>
          <w:szCs w:val="30"/>
        </w:rPr>
      </w:pPr>
    </w:p>
    <w:p>
      <w:pPr>
        <w:pStyle w:val="8"/>
        <w:numPr>
          <w:ilvl w:val="0"/>
          <w:numId w:val="0"/>
        </w:numPr>
        <w:kinsoku w:val="0"/>
        <w:overflowPunct w:val="0"/>
        <w:spacing w:before="34" w:line="357" w:lineRule="auto"/>
        <w:ind w:left="480" w:leftChars="0" w:right="126" w:rightChars="0"/>
        <w:jc w:val="center"/>
        <w:rPr>
          <w:rFonts w:hint="eastAsia" w:ascii="仿宋" w:hAnsi="仿宋" w:eastAsia="仿宋" w:cs="仿宋"/>
          <w:b w:val="0"/>
          <w:bCs/>
          <w:color w:val="auto"/>
          <w:kern w:val="0"/>
          <w:sz w:val="36"/>
          <w:szCs w:val="36"/>
          <w:lang w:val="en-US" w:eastAsia="zh-CN"/>
        </w:rPr>
      </w:pPr>
    </w:p>
    <w:p>
      <w:pPr>
        <w:pStyle w:val="8"/>
        <w:numPr>
          <w:ilvl w:val="0"/>
          <w:numId w:val="0"/>
        </w:numPr>
        <w:kinsoku w:val="0"/>
        <w:overflowPunct w:val="0"/>
        <w:spacing w:before="34" w:line="357" w:lineRule="auto"/>
        <w:ind w:left="480" w:leftChars="0" w:right="126" w:rightChars="0"/>
        <w:jc w:val="center"/>
        <w:rPr>
          <w:rFonts w:hint="eastAsia" w:ascii="仿宋" w:hAnsi="仿宋" w:eastAsia="仿宋" w:cs="仿宋"/>
          <w:b/>
          <w:bCs/>
          <w:w w:val="90"/>
          <w:lang w:eastAsia="zh-CN"/>
        </w:rPr>
      </w:pPr>
      <w:r>
        <w:rPr>
          <w:rFonts w:hint="eastAsia" w:ascii="仿宋" w:hAnsi="仿宋" w:eastAsia="仿宋" w:cs="仿宋"/>
          <w:b w:val="0"/>
          <w:bCs/>
          <w:color w:val="auto"/>
          <w:kern w:val="0"/>
          <w:sz w:val="36"/>
          <w:szCs w:val="36"/>
          <w:lang w:val="en-US" w:eastAsia="zh-CN"/>
        </w:rPr>
        <w:t>8、</w:t>
      </w:r>
      <w:r>
        <w:rPr>
          <w:rFonts w:hint="eastAsia" w:ascii="仿宋" w:hAnsi="仿宋" w:eastAsia="仿宋" w:cs="仿宋"/>
          <w:b/>
          <w:bCs/>
          <w:w w:val="90"/>
          <w:sz w:val="36"/>
          <w:szCs w:val="36"/>
        </w:rPr>
        <w:t>近三年（20</w:t>
      </w:r>
      <w:r>
        <w:rPr>
          <w:rFonts w:hint="eastAsia" w:ascii="仿宋" w:hAnsi="仿宋" w:eastAsia="仿宋" w:cs="仿宋"/>
          <w:b/>
          <w:bCs/>
          <w:w w:val="90"/>
          <w:sz w:val="36"/>
          <w:szCs w:val="36"/>
          <w:lang w:val="en-US" w:eastAsia="zh-CN"/>
        </w:rPr>
        <w:t>20</w:t>
      </w:r>
      <w:r>
        <w:rPr>
          <w:rFonts w:hint="eastAsia" w:ascii="仿宋" w:hAnsi="仿宋" w:eastAsia="仿宋" w:cs="仿宋"/>
          <w:b/>
          <w:bCs/>
          <w:w w:val="90"/>
          <w:sz w:val="36"/>
          <w:szCs w:val="36"/>
        </w:rPr>
        <w:t>年1月1日至今）类似项目业绩</w:t>
      </w:r>
      <w:r>
        <w:rPr>
          <w:rFonts w:hint="eastAsia" w:ascii="仿宋" w:hAnsi="仿宋" w:eastAsia="仿宋" w:cs="仿宋"/>
          <w:b/>
          <w:bCs/>
          <w:w w:val="90"/>
          <w:sz w:val="36"/>
          <w:szCs w:val="36"/>
          <w:lang w:eastAsia="zh-CN"/>
        </w:rPr>
        <w:t>表</w:t>
      </w:r>
    </w:p>
    <w:p>
      <w:pPr>
        <w:pStyle w:val="8"/>
        <w:numPr>
          <w:ilvl w:val="0"/>
          <w:numId w:val="0"/>
        </w:numPr>
        <w:kinsoku w:val="0"/>
        <w:overflowPunct w:val="0"/>
        <w:ind w:leftChars="0" w:right="0" w:rightChars="0"/>
        <w:rPr>
          <w:rFonts w:hint="eastAsia" w:ascii="仿宋" w:hAnsi="仿宋" w:eastAsia="仿宋" w:cs="仿宋"/>
          <w:b/>
          <w:bCs/>
          <w:sz w:val="20"/>
          <w:szCs w:val="20"/>
        </w:rPr>
      </w:pPr>
    </w:p>
    <w:tbl>
      <w:tblPr>
        <w:tblStyle w:val="18"/>
        <w:tblW w:w="9115" w:type="dxa"/>
        <w:jc w:val="center"/>
        <w:tblLayout w:type="fixed"/>
        <w:tblCellMar>
          <w:top w:w="0" w:type="dxa"/>
          <w:left w:w="10" w:type="dxa"/>
          <w:bottom w:w="0" w:type="dxa"/>
          <w:right w:w="10" w:type="dxa"/>
        </w:tblCellMar>
      </w:tblPr>
      <w:tblGrid>
        <w:gridCol w:w="1919"/>
        <w:gridCol w:w="7196"/>
      </w:tblGrid>
      <w:tr>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shd w:val="clear" w:color="auto" w:fill="FFFFFF"/>
            <w:vAlign w:val="center"/>
          </w:tcPr>
          <w:p>
            <w:pPr>
              <w:pStyle w:val="32"/>
              <w:keepNext w:val="0"/>
              <w:keepLines w:val="0"/>
              <w:widowControl w:val="0"/>
              <w:shd w:val="clear" w:color="auto" w:fill="auto"/>
              <w:bidi w:val="0"/>
              <w:spacing w:before="0" w:after="0" w:line="240" w:lineRule="auto"/>
              <w:ind w:left="0" w:right="0" w:firstLine="0"/>
              <w:jc w:val="center"/>
              <w:rPr>
                <w:rFonts w:hint="eastAsia" w:ascii="仿宋" w:hAnsi="仿宋" w:eastAsia="仿宋" w:cs="仿宋"/>
              </w:rPr>
            </w:pPr>
            <w:r>
              <w:rPr>
                <w:rFonts w:hint="eastAsia" w:ascii="仿宋" w:hAnsi="仿宋" w:eastAsia="仿宋" w:cs="仿宋"/>
                <w:color w:val="000000"/>
                <w:spacing w:val="0"/>
                <w:w w:val="100"/>
                <w:position w:val="0"/>
              </w:rPr>
              <w:t>项目名称</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10"/>
                <w:szCs w:val="10"/>
              </w:rPr>
            </w:pPr>
          </w:p>
        </w:tc>
      </w:tr>
      <w:tr>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vAlign w:val="top"/>
          </w:tcPr>
          <w:p>
            <w:pPr>
              <w:pStyle w:val="32"/>
              <w:keepNext w:val="0"/>
              <w:keepLines w:val="0"/>
              <w:widowControl w:val="0"/>
              <w:shd w:val="clear" w:color="auto" w:fill="auto"/>
              <w:bidi w:val="0"/>
              <w:spacing w:before="120" w:after="0" w:line="240" w:lineRule="auto"/>
              <w:ind w:left="0" w:right="0" w:firstLine="220"/>
              <w:jc w:val="left"/>
              <w:rPr>
                <w:rFonts w:hint="eastAsia" w:ascii="仿宋" w:hAnsi="仿宋" w:eastAsia="仿宋" w:cs="仿宋"/>
              </w:rPr>
            </w:pPr>
            <w:r>
              <w:rPr>
                <w:rFonts w:hint="eastAsia" w:ascii="仿宋" w:hAnsi="仿宋" w:eastAsia="仿宋" w:cs="仿宋"/>
                <w:color w:val="000000"/>
                <w:spacing w:val="0"/>
                <w:w w:val="100"/>
                <w:position w:val="0"/>
              </w:rPr>
              <w:t>项目单位名称</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10"/>
                <w:szCs w:val="10"/>
              </w:rPr>
            </w:pPr>
          </w:p>
        </w:tc>
      </w:tr>
      <w:tr>
        <w:tblPrEx>
          <w:tblCellMar>
            <w:top w:w="0" w:type="dxa"/>
            <w:left w:w="10" w:type="dxa"/>
            <w:bottom w:w="0" w:type="dxa"/>
            <w:right w:w="10" w:type="dxa"/>
          </w:tblCellMar>
        </w:tblPrEx>
        <w:trPr>
          <w:trHeight w:val="641" w:hRule="exact"/>
          <w:jc w:val="center"/>
        </w:trPr>
        <w:tc>
          <w:tcPr>
            <w:tcW w:w="1919" w:type="dxa"/>
            <w:tcBorders>
              <w:top w:val="single" w:color="auto" w:sz="4" w:space="0"/>
              <w:left w:val="single" w:color="auto" w:sz="4" w:space="0"/>
            </w:tcBorders>
            <w:shd w:val="clear" w:color="auto" w:fill="FFFFFF"/>
            <w:vAlign w:val="top"/>
          </w:tcPr>
          <w:p>
            <w:pPr>
              <w:pStyle w:val="32"/>
              <w:keepNext w:val="0"/>
              <w:keepLines w:val="0"/>
              <w:widowControl w:val="0"/>
              <w:shd w:val="clear" w:color="auto" w:fill="auto"/>
              <w:bidi w:val="0"/>
              <w:spacing w:before="0" w:after="0" w:line="320" w:lineRule="exact"/>
              <w:ind w:left="0" w:right="0" w:firstLine="0"/>
              <w:jc w:val="center"/>
              <w:rPr>
                <w:rFonts w:hint="eastAsia" w:ascii="仿宋" w:hAnsi="仿宋" w:eastAsia="仿宋" w:cs="仿宋"/>
              </w:rPr>
            </w:pPr>
            <w:r>
              <w:rPr>
                <w:rFonts w:hint="eastAsia" w:ascii="仿宋" w:hAnsi="仿宋" w:eastAsia="仿宋" w:cs="仿宋"/>
                <w:color w:val="000000"/>
                <w:spacing w:val="0"/>
                <w:w w:val="100"/>
                <w:position w:val="0"/>
              </w:rPr>
              <w:t>项目单位联系姓名及联系方式</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10"/>
                <w:szCs w:val="10"/>
              </w:rPr>
            </w:pPr>
          </w:p>
        </w:tc>
      </w:tr>
      <w:tr>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shd w:val="clear" w:color="auto" w:fill="FFFFFF"/>
            <w:vAlign w:val="center"/>
          </w:tcPr>
          <w:p>
            <w:pPr>
              <w:pStyle w:val="32"/>
              <w:keepNext w:val="0"/>
              <w:keepLines w:val="0"/>
              <w:widowControl w:val="0"/>
              <w:shd w:val="clear" w:color="auto" w:fill="auto"/>
              <w:bidi w:val="0"/>
              <w:spacing w:before="0" w:after="0" w:line="240" w:lineRule="auto"/>
              <w:ind w:left="0" w:right="0" w:firstLine="0"/>
              <w:jc w:val="center"/>
              <w:rPr>
                <w:rFonts w:hint="eastAsia" w:ascii="仿宋" w:hAnsi="仿宋" w:eastAsia="仿宋" w:cs="仿宋"/>
              </w:rPr>
            </w:pPr>
            <w:r>
              <w:rPr>
                <w:rFonts w:hint="eastAsia" w:ascii="仿宋" w:hAnsi="仿宋" w:eastAsia="仿宋" w:cs="仿宋"/>
                <w:color w:val="000000"/>
                <w:spacing w:val="0"/>
                <w:w w:val="100"/>
                <w:position w:val="0"/>
              </w:rPr>
              <w:t>合同金额</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10"/>
                <w:szCs w:val="10"/>
              </w:rPr>
            </w:pPr>
          </w:p>
        </w:tc>
      </w:tr>
      <w:tr>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shd w:val="clear" w:color="auto" w:fill="FFFFFF"/>
            <w:vAlign w:val="top"/>
          </w:tcPr>
          <w:p>
            <w:pPr>
              <w:pStyle w:val="32"/>
              <w:keepNext w:val="0"/>
              <w:keepLines w:val="0"/>
              <w:widowControl w:val="0"/>
              <w:shd w:val="clear" w:color="auto" w:fill="auto"/>
              <w:bidi w:val="0"/>
              <w:spacing w:before="0" w:after="0" w:line="306" w:lineRule="exact"/>
              <w:ind w:left="0" w:right="0" w:firstLine="0"/>
              <w:jc w:val="center"/>
              <w:rPr>
                <w:rFonts w:hint="eastAsia" w:ascii="仿宋" w:hAnsi="仿宋" w:eastAsia="仿宋" w:cs="仿宋"/>
              </w:rPr>
            </w:pPr>
            <w:r>
              <w:rPr>
                <w:rFonts w:hint="eastAsia" w:ascii="仿宋" w:hAnsi="仿宋" w:eastAsia="仿宋" w:cs="仿宋"/>
                <w:color w:val="000000"/>
                <w:spacing w:val="0"/>
                <w:w w:val="100"/>
                <w:position w:val="0"/>
              </w:rPr>
              <w:t>项目负责人姓名</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10"/>
                <w:szCs w:val="10"/>
              </w:rPr>
            </w:pPr>
          </w:p>
        </w:tc>
      </w:tr>
      <w:tr>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vAlign w:val="top"/>
          </w:tcPr>
          <w:p>
            <w:pPr>
              <w:pStyle w:val="32"/>
              <w:keepNext w:val="0"/>
              <w:keepLines w:val="0"/>
              <w:widowControl w:val="0"/>
              <w:shd w:val="clear" w:color="auto" w:fill="auto"/>
              <w:bidi w:val="0"/>
              <w:spacing w:before="120" w:after="0" w:line="240" w:lineRule="auto"/>
              <w:ind w:left="0" w:right="0" w:firstLine="220"/>
              <w:jc w:val="left"/>
              <w:rPr>
                <w:rFonts w:hint="eastAsia" w:ascii="仿宋" w:hAnsi="仿宋" w:eastAsia="仿宋" w:cs="仿宋"/>
              </w:rPr>
            </w:pPr>
            <w:r>
              <w:rPr>
                <w:rFonts w:hint="eastAsia" w:ascii="仿宋" w:hAnsi="仿宋" w:eastAsia="仿宋" w:cs="仿宋"/>
                <w:color w:val="000000"/>
                <w:spacing w:val="0"/>
                <w:w w:val="100"/>
                <w:position w:val="0"/>
              </w:rPr>
              <w:t>项目实施时间</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10"/>
                <w:szCs w:val="10"/>
              </w:rPr>
            </w:pPr>
          </w:p>
        </w:tc>
      </w:tr>
      <w:tr>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shd w:val="clear" w:color="auto" w:fill="FFFFFF"/>
            <w:vAlign w:val="center"/>
          </w:tcPr>
          <w:p>
            <w:pPr>
              <w:pStyle w:val="32"/>
              <w:keepNext w:val="0"/>
              <w:keepLines w:val="0"/>
              <w:widowControl w:val="0"/>
              <w:shd w:val="clear" w:color="auto" w:fill="auto"/>
              <w:bidi w:val="0"/>
              <w:spacing w:before="0" w:after="0" w:line="240" w:lineRule="auto"/>
              <w:ind w:left="0" w:right="0" w:firstLine="220"/>
              <w:jc w:val="left"/>
              <w:rPr>
                <w:rFonts w:hint="eastAsia" w:ascii="仿宋" w:hAnsi="仿宋" w:eastAsia="仿宋" w:cs="仿宋"/>
              </w:rPr>
            </w:pPr>
            <w:r>
              <w:rPr>
                <w:rFonts w:hint="eastAsia" w:ascii="仿宋" w:hAnsi="仿宋" w:eastAsia="仿宋" w:cs="仿宋"/>
                <w:color w:val="000000"/>
                <w:spacing w:val="0"/>
                <w:w w:val="100"/>
                <w:position w:val="0"/>
              </w:rPr>
              <w:t>项目内容说明</w:t>
            </w:r>
          </w:p>
        </w:tc>
        <w:tc>
          <w:tcPr>
            <w:tcW w:w="719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仿宋" w:hAnsi="仿宋" w:eastAsia="仿宋" w:cs="仿宋"/>
                <w:sz w:val="10"/>
                <w:szCs w:val="10"/>
              </w:rPr>
            </w:pPr>
          </w:p>
        </w:tc>
      </w:tr>
    </w:tbl>
    <w:p>
      <w:pPr>
        <w:rPr>
          <w:rFonts w:hint="eastAsia" w:ascii="仿宋" w:hAnsi="仿宋" w:eastAsia="仿宋" w:cs="仿宋"/>
          <w:spacing w:val="-1"/>
          <w:kern w:val="0"/>
          <w:sz w:val="24"/>
        </w:rPr>
      </w:pPr>
      <w:r>
        <w:rPr>
          <w:rFonts w:hint="eastAsia" w:ascii="仿宋" w:hAnsi="仿宋" w:eastAsia="仿宋" w:cs="仿宋"/>
          <w:spacing w:val="-1"/>
          <w:kern w:val="0"/>
          <w:sz w:val="24"/>
        </w:rPr>
        <w:t>注：每个</w:t>
      </w:r>
      <w:r>
        <w:rPr>
          <w:rFonts w:hint="eastAsia" w:ascii="仿宋" w:hAnsi="仿宋" w:eastAsia="仿宋" w:cs="仿宋"/>
          <w:spacing w:val="-1"/>
          <w:kern w:val="0"/>
          <w:sz w:val="24"/>
          <w:lang w:eastAsia="zh-CN"/>
        </w:rPr>
        <w:t>业绩</w:t>
      </w:r>
      <w:r>
        <w:rPr>
          <w:rFonts w:hint="eastAsia" w:ascii="仿宋" w:hAnsi="仿宋" w:eastAsia="仿宋" w:cs="仿宋"/>
          <w:spacing w:val="-1"/>
          <w:kern w:val="0"/>
          <w:sz w:val="24"/>
        </w:rPr>
        <w:t>须单独附表，并附上</w:t>
      </w:r>
      <w:r>
        <w:rPr>
          <w:rFonts w:hint="eastAsia" w:ascii="仿宋" w:hAnsi="仿宋" w:eastAsia="仿宋" w:cs="仿宋"/>
          <w:spacing w:val="-1"/>
          <w:kern w:val="0"/>
          <w:sz w:val="24"/>
          <w:lang w:eastAsia="zh-CN"/>
        </w:rPr>
        <w:t>合同或中标通知书</w:t>
      </w:r>
      <w:r>
        <w:rPr>
          <w:rFonts w:hint="eastAsia" w:ascii="仿宋" w:hAnsi="仿宋" w:eastAsia="仿宋" w:cs="仿宋"/>
          <w:spacing w:val="-1"/>
          <w:kern w:val="0"/>
          <w:sz w:val="24"/>
        </w:rPr>
        <w:t>相关证明材料，否则专家在评审时将不予采信。</w:t>
      </w: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sz w:val="24"/>
          <w:szCs w:val="24"/>
        </w:rPr>
      </w:pP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sz w:val="24"/>
          <w:szCs w:val="24"/>
        </w:rPr>
      </w:pP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sz w:val="24"/>
          <w:szCs w:val="24"/>
        </w:rPr>
      </w:pP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lang w:val="en-US" w:eastAsia="zh-CN"/>
        </w:rPr>
        <w:t xml:space="preserve">   </w:t>
      </w:r>
      <w:r>
        <w:rPr>
          <w:rFonts w:hint="eastAsia" w:ascii="仿宋" w:hAnsi="仿宋" w:eastAsia="仿宋" w:cs="仿宋"/>
          <w:w w:val="95"/>
          <w:sz w:val="24"/>
          <w:szCs w:val="24"/>
        </w:rPr>
        <w:t>（盖章）</w:t>
      </w:r>
      <w:r>
        <w:rPr>
          <w:rFonts w:hint="eastAsia" w:ascii="仿宋" w:hAnsi="仿宋" w:eastAsia="仿宋" w:cs="仿宋"/>
          <w:sz w:val="24"/>
          <w:szCs w:val="24"/>
        </w:rPr>
        <w:t xml:space="preserve"> </w:t>
      </w: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w w:val="95"/>
          <w:sz w:val="24"/>
          <w:szCs w:val="24"/>
        </w:rPr>
      </w:pPr>
      <w:r>
        <w:rPr>
          <w:rFonts w:hint="eastAsia" w:ascii="仿宋" w:hAnsi="仿宋" w:eastAsia="仿宋" w:cs="仿宋"/>
          <w:sz w:val="24"/>
          <w:szCs w:val="24"/>
        </w:rPr>
        <w:t>法定代表人或被授权人：</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w:t>
      </w:r>
      <w:r>
        <w:rPr>
          <w:rFonts w:hint="eastAsia" w:ascii="仿宋" w:hAnsi="仿宋" w:eastAsia="仿宋" w:cs="仿宋"/>
          <w:w w:val="95"/>
          <w:sz w:val="24"/>
          <w:szCs w:val="24"/>
        </w:rPr>
        <w:t>签</w:t>
      </w:r>
      <w:r>
        <w:rPr>
          <w:rFonts w:hint="eastAsia" w:ascii="仿宋" w:hAnsi="仿宋" w:eastAsia="仿宋" w:cs="仿宋"/>
          <w:w w:val="95"/>
          <w:sz w:val="24"/>
          <w:szCs w:val="24"/>
          <w:lang w:eastAsia="zh-CN"/>
        </w:rPr>
        <w:t>章</w:t>
      </w:r>
      <w:r>
        <w:rPr>
          <w:rFonts w:hint="eastAsia" w:ascii="仿宋" w:hAnsi="仿宋" w:eastAsia="仿宋" w:cs="仿宋"/>
          <w:w w:val="95"/>
          <w:sz w:val="24"/>
          <w:szCs w:val="24"/>
        </w:rPr>
        <w:t>）</w:t>
      </w:r>
    </w:p>
    <w:p>
      <w:pPr>
        <w:pStyle w:val="8"/>
        <w:numPr>
          <w:ilvl w:val="0"/>
          <w:numId w:val="0"/>
        </w:numPr>
        <w:tabs>
          <w:tab w:val="left" w:pos="5551"/>
          <w:tab w:val="left" w:pos="6511"/>
          <w:tab w:val="left" w:pos="7111"/>
          <w:tab w:val="left" w:pos="7711"/>
        </w:tabs>
        <w:kinsoku w:val="0"/>
        <w:overflowPunct w:val="0"/>
        <w:spacing w:before="46"/>
        <w:ind w:left="3928" w:leftChars="0" w:right="0" w:rightChars="0"/>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30"/>
        <w:keepNext w:val="0"/>
        <w:keepLines w:val="0"/>
        <w:widowControl w:val="0"/>
        <w:shd w:val="clear" w:color="auto" w:fill="auto"/>
        <w:bidi w:val="0"/>
        <w:spacing w:before="0" w:after="580" w:line="240" w:lineRule="auto"/>
        <w:ind w:left="0" w:right="0" w:firstLine="360"/>
        <w:jc w:val="left"/>
        <w:rPr>
          <w:rFonts w:hint="eastAsia" w:ascii="仿宋" w:hAnsi="仿宋" w:eastAsia="仿宋" w:cs="仿宋"/>
          <w:color w:val="000000"/>
          <w:spacing w:val="0"/>
          <w:w w:val="100"/>
          <w:position w:val="0"/>
        </w:rPr>
      </w:pPr>
    </w:p>
    <w:p>
      <w:pPr>
        <w:shd w:val="clear" w:color="auto" w:fill="auto"/>
        <w:spacing w:line="360" w:lineRule="auto"/>
        <w:jc w:val="center"/>
        <w:rPr>
          <w:rFonts w:hint="eastAsia" w:ascii="仿宋" w:hAnsi="仿宋" w:eastAsia="仿宋" w:cs="仿宋"/>
          <w:b w:val="0"/>
          <w:bCs/>
          <w:color w:val="auto"/>
          <w:kern w:val="0"/>
          <w:sz w:val="36"/>
          <w:szCs w:val="36"/>
          <w:lang w:val="en-US" w:eastAsia="zh-CN"/>
        </w:rPr>
      </w:pPr>
    </w:p>
    <w:p>
      <w:pPr>
        <w:shd w:val="clear" w:color="auto" w:fill="auto"/>
        <w:spacing w:line="360" w:lineRule="auto"/>
        <w:jc w:val="center"/>
        <w:rPr>
          <w:rFonts w:hint="eastAsia" w:ascii="仿宋" w:hAnsi="仿宋" w:eastAsia="仿宋" w:cs="仿宋"/>
          <w:b w:val="0"/>
          <w:bCs/>
          <w:color w:val="auto"/>
          <w:kern w:val="0"/>
          <w:sz w:val="36"/>
          <w:szCs w:val="36"/>
          <w:lang w:val="en-US" w:eastAsia="zh-CN"/>
        </w:rPr>
      </w:pPr>
    </w:p>
    <w:p>
      <w:pPr>
        <w:shd w:val="clear" w:color="auto" w:fill="auto"/>
        <w:spacing w:line="360" w:lineRule="auto"/>
        <w:jc w:val="center"/>
        <w:rPr>
          <w:rFonts w:hint="eastAsia" w:ascii="仿宋" w:hAnsi="仿宋" w:eastAsia="仿宋" w:cs="仿宋"/>
          <w:b w:val="0"/>
          <w:bCs/>
          <w:color w:val="auto"/>
          <w:kern w:val="0"/>
          <w:sz w:val="36"/>
          <w:szCs w:val="36"/>
          <w:lang w:val="en-US" w:eastAsia="zh-CN"/>
        </w:rPr>
      </w:pPr>
    </w:p>
    <w:p>
      <w:pPr>
        <w:shd w:val="clear" w:color="auto" w:fill="auto"/>
        <w:spacing w:line="360" w:lineRule="auto"/>
        <w:jc w:val="center"/>
        <w:rPr>
          <w:rFonts w:hint="eastAsia" w:ascii="仿宋" w:hAnsi="仿宋" w:eastAsia="仿宋" w:cs="仿宋"/>
          <w:b w:val="0"/>
          <w:bCs/>
          <w:color w:val="auto"/>
          <w:kern w:val="0"/>
          <w:sz w:val="36"/>
          <w:szCs w:val="36"/>
          <w:lang w:val="en-US" w:eastAsia="zh-CN"/>
        </w:rPr>
      </w:pPr>
    </w:p>
    <w:p>
      <w:pPr>
        <w:tabs>
          <w:tab w:val="left" w:pos="3600"/>
        </w:tabs>
        <w:adjustRightInd w:val="0"/>
        <w:snapToGrid w:val="0"/>
        <w:spacing w:line="440" w:lineRule="exact"/>
        <w:jc w:val="both"/>
        <w:rPr>
          <w:rFonts w:hint="eastAsia" w:ascii="仿宋" w:hAnsi="仿宋" w:eastAsia="仿宋" w:cs="仿宋"/>
          <w:color w:val="000000"/>
          <w:spacing w:val="0"/>
          <w:w w:val="100"/>
          <w:position w:val="0"/>
          <w:sz w:val="36"/>
          <w:szCs w:val="36"/>
          <w:lang w:val="en-US" w:eastAsia="zh-CN"/>
        </w:rPr>
      </w:pPr>
    </w:p>
    <w:p>
      <w:pPr>
        <w:tabs>
          <w:tab w:val="left" w:pos="3600"/>
        </w:tabs>
        <w:adjustRightInd w:val="0"/>
        <w:snapToGrid w:val="0"/>
        <w:spacing w:line="440" w:lineRule="exact"/>
        <w:jc w:val="center"/>
        <w:rPr>
          <w:rFonts w:hint="eastAsia" w:ascii="仿宋" w:hAnsi="仿宋" w:eastAsia="仿宋" w:cs="仿宋"/>
          <w:color w:val="000000"/>
          <w:spacing w:val="0"/>
          <w:w w:val="100"/>
          <w:position w:val="0"/>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spacing w:val="6"/>
          <w:kern w:val="0"/>
          <w:sz w:val="36"/>
          <w:szCs w:val="36"/>
        </w:rPr>
      </w:pPr>
      <w:r>
        <w:rPr>
          <w:rFonts w:hint="eastAsia" w:ascii="仿宋" w:hAnsi="仿宋" w:eastAsia="仿宋" w:cs="仿宋"/>
          <w:color w:val="000000"/>
          <w:spacing w:val="0"/>
          <w:w w:val="100"/>
          <w:position w:val="0"/>
          <w:sz w:val="36"/>
          <w:szCs w:val="36"/>
          <w:lang w:val="en-US" w:eastAsia="zh-CN"/>
        </w:rPr>
        <w:t>9</w:t>
      </w:r>
      <w:r>
        <w:rPr>
          <w:rFonts w:hint="eastAsia" w:ascii="仿宋" w:hAnsi="仿宋" w:eastAsia="仿宋" w:cs="仿宋"/>
          <w:color w:val="000000"/>
          <w:spacing w:val="0"/>
          <w:w w:val="100"/>
          <w:position w:val="0"/>
          <w:sz w:val="36"/>
          <w:szCs w:val="36"/>
          <w:lang w:eastAsia="zh-CN"/>
        </w:rPr>
        <w:t>、</w:t>
      </w:r>
      <w:r>
        <w:rPr>
          <w:rFonts w:hint="eastAsia" w:ascii="仿宋" w:hAnsi="仿宋" w:eastAsia="仿宋" w:cs="仿宋"/>
          <w:b/>
          <w:bCs/>
          <w:spacing w:val="6"/>
          <w:kern w:val="0"/>
          <w:sz w:val="36"/>
          <w:szCs w:val="36"/>
        </w:rPr>
        <w:t>残疾人福利性单位声明函</w:t>
      </w:r>
    </w:p>
    <w:p>
      <w:pPr>
        <w:widowControl/>
        <w:adjustRightInd w:val="0"/>
        <w:snapToGrid w:val="0"/>
        <w:spacing w:line="440" w:lineRule="exact"/>
        <w:ind w:firstLine="504" w:firstLineChars="200"/>
        <w:jc w:val="left"/>
        <w:rPr>
          <w:rFonts w:hint="eastAsia" w:ascii="仿宋" w:hAnsi="仿宋" w:eastAsia="仿宋" w:cs="仿宋"/>
          <w:spacing w:val="6"/>
          <w:kern w:val="0"/>
          <w:sz w:val="24"/>
          <w:szCs w:val="24"/>
        </w:rPr>
      </w:pPr>
    </w:p>
    <w:p>
      <w:pPr>
        <w:widowControl/>
        <w:adjustRightInd w:val="0"/>
        <w:snapToGrid w:val="0"/>
        <w:spacing w:line="440" w:lineRule="exact"/>
        <w:ind w:firstLine="504" w:firstLineChars="200"/>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pacing w:val="6"/>
          <w:kern w:val="0"/>
          <w:sz w:val="24"/>
          <w:szCs w:val="24"/>
          <w:u w:val="single"/>
          <w:lang w:val="en-US" w:eastAsia="zh-CN"/>
        </w:rPr>
        <w:t xml:space="preserve">     </w:t>
      </w:r>
      <w:r>
        <w:rPr>
          <w:rFonts w:hint="eastAsia" w:ascii="仿宋" w:hAnsi="仿宋" w:eastAsia="仿宋" w:cs="仿宋"/>
          <w:spacing w:val="6"/>
          <w:kern w:val="0"/>
          <w:sz w:val="24"/>
          <w:szCs w:val="24"/>
        </w:rPr>
        <w:t>单位的</w:t>
      </w:r>
      <w:r>
        <w:rPr>
          <w:rFonts w:hint="eastAsia" w:ascii="仿宋" w:hAnsi="仿宋" w:eastAsia="仿宋" w:cs="仿宋"/>
          <w:spacing w:val="6"/>
          <w:kern w:val="0"/>
          <w:sz w:val="24"/>
          <w:szCs w:val="24"/>
          <w:u w:val="single"/>
          <w:lang w:val="en-US" w:eastAsia="zh-CN"/>
        </w:rPr>
        <w:t xml:space="preserve">     </w:t>
      </w:r>
      <w:r>
        <w:rPr>
          <w:rFonts w:hint="eastAsia" w:ascii="仿宋" w:hAnsi="仿宋" w:eastAsia="仿宋" w:cs="仿宋"/>
          <w:spacing w:val="6"/>
          <w:kern w:val="0"/>
          <w:sz w:val="24"/>
          <w:szCs w:val="24"/>
        </w:rPr>
        <w:t>项目采购活动提供本单位制造的货物（由本单位承担工程/提供服务），或者提供其他残疾人福利性单位制造的货物（不包括使用非残疾人福利性单位注册商标的货物）。</w:t>
      </w:r>
    </w:p>
    <w:p>
      <w:pPr>
        <w:widowControl/>
        <w:adjustRightInd w:val="0"/>
        <w:snapToGrid w:val="0"/>
        <w:spacing w:line="440" w:lineRule="exact"/>
        <w:ind w:firstLine="504" w:firstLineChars="200"/>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本单位对上述声明的真实性负责。如有虚假，将依法承担相应责任。</w:t>
      </w:r>
    </w:p>
    <w:p>
      <w:pPr>
        <w:widowControl/>
        <w:adjustRightInd w:val="0"/>
        <w:snapToGrid w:val="0"/>
        <w:spacing w:line="440" w:lineRule="exact"/>
        <w:ind w:firstLine="504" w:firstLineChars="200"/>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 xml:space="preserve">                                     </w:t>
      </w:r>
    </w:p>
    <w:p>
      <w:pPr>
        <w:widowControl/>
        <w:adjustRightInd w:val="0"/>
        <w:snapToGrid w:val="0"/>
        <w:spacing w:line="440" w:lineRule="exact"/>
        <w:ind w:firstLine="5544" w:firstLineChars="2200"/>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单位名称（盖章）：</w:t>
      </w:r>
    </w:p>
    <w:p>
      <w:pPr>
        <w:widowControl/>
        <w:adjustRightInd w:val="0"/>
        <w:snapToGrid w:val="0"/>
        <w:spacing w:line="440" w:lineRule="exact"/>
        <w:ind w:firstLine="504" w:firstLineChars="200"/>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 xml:space="preserve">                                      日  期：</w:t>
      </w: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rPr>
          <w:rFonts w:hint="eastAsia" w:ascii="仿宋" w:hAnsi="仿宋" w:eastAsia="仿宋" w:cs="仿宋"/>
          <w:b/>
          <w:bCs/>
          <w:color w:val="auto"/>
          <w:sz w:val="24"/>
          <w:highlight w:val="none"/>
          <w:lang w:val="en-US" w:eastAsia="zh-CN"/>
        </w:rPr>
      </w:pPr>
    </w:p>
    <w:p>
      <w:pPr>
        <w:pStyle w:val="25"/>
        <w:rPr>
          <w:rFonts w:hint="eastAsia" w:ascii="仿宋" w:hAnsi="仿宋" w:eastAsia="仿宋" w:cs="仿宋"/>
          <w:b/>
          <w:bCs/>
          <w:color w:val="auto"/>
          <w:sz w:val="24"/>
          <w:highlight w:val="none"/>
          <w:lang w:val="en-US" w:eastAsia="zh-CN"/>
        </w:rPr>
      </w:pPr>
    </w:p>
    <w:p>
      <w:pPr>
        <w:pStyle w:val="25"/>
        <w:rPr>
          <w:rFonts w:hint="eastAsia" w:ascii="仿宋" w:hAnsi="仿宋" w:eastAsia="仿宋" w:cs="仿宋"/>
          <w:b/>
          <w:bCs/>
          <w:color w:val="auto"/>
          <w:sz w:val="24"/>
          <w:highlight w:val="none"/>
          <w:lang w:val="en-US" w:eastAsia="zh-CN"/>
        </w:rPr>
      </w:pPr>
    </w:p>
    <w:p>
      <w:pPr>
        <w:pStyle w:val="25"/>
        <w:rPr>
          <w:rFonts w:hint="eastAsia" w:ascii="仿宋" w:hAnsi="仿宋" w:eastAsia="仿宋" w:cs="仿宋"/>
          <w:b/>
          <w:bCs/>
          <w:color w:val="auto"/>
          <w:sz w:val="24"/>
          <w:highlight w:val="none"/>
          <w:lang w:val="en-US" w:eastAsia="zh-CN"/>
        </w:rPr>
      </w:pPr>
    </w:p>
    <w:p>
      <w:pPr>
        <w:pStyle w:val="25"/>
        <w:rPr>
          <w:rFonts w:hint="eastAsia" w:ascii="仿宋" w:hAnsi="仿宋" w:eastAsia="仿宋" w:cs="仿宋"/>
          <w:b/>
          <w:bCs/>
          <w:color w:val="auto"/>
          <w:sz w:val="24"/>
          <w:highlight w:val="none"/>
          <w:lang w:val="en-US" w:eastAsia="zh-CN"/>
        </w:rPr>
      </w:pPr>
    </w:p>
    <w:p>
      <w:pPr>
        <w:pStyle w:val="25"/>
        <w:rPr>
          <w:rFonts w:hint="eastAsia" w:ascii="仿宋" w:hAnsi="仿宋" w:eastAsia="仿宋" w:cs="仿宋"/>
          <w:b/>
          <w:bCs/>
          <w:color w:val="auto"/>
          <w:sz w:val="24"/>
          <w:highlight w:val="none"/>
          <w:lang w:val="en-US" w:eastAsia="zh-CN"/>
        </w:rPr>
      </w:pPr>
    </w:p>
    <w:p>
      <w:pPr>
        <w:pStyle w:val="25"/>
        <w:rPr>
          <w:rFonts w:hint="eastAsia" w:ascii="仿宋" w:hAnsi="仿宋" w:eastAsia="仿宋" w:cs="仿宋"/>
          <w:b/>
          <w:bCs/>
          <w:color w:val="auto"/>
          <w:sz w:val="24"/>
          <w:highlight w:val="none"/>
          <w:lang w:val="en-US" w:eastAsia="zh-CN"/>
        </w:rPr>
      </w:pPr>
    </w:p>
    <w:p>
      <w:pPr>
        <w:pStyle w:val="25"/>
        <w:rPr>
          <w:rFonts w:hint="eastAsia" w:ascii="仿宋" w:hAnsi="仿宋" w:eastAsia="仿宋" w:cs="仿宋"/>
          <w:b/>
          <w:bCs/>
          <w:color w:val="auto"/>
          <w:sz w:val="24"/>
          <w:highlight w:val="none"/>
          <w:lang w:val="en-US" w:eastAsia="zh-CN"/>
        </w:rPr>
      </w:pPr>
    </w:p>
    <w:p>
      <w:pPr>
        <w:pStyle w:val="25"/>
        <w:rPr>
          <w:rFonts w:hint="eastAsia" w:ascii="仿宋" w:hAnsi="仿宋" w:eastAsia="仿宋" w:cs="仿宋"/>
          <w:b/>
          <w:bCs/>
          <w:color w:val="auto"/>
          <w:sz w:val="24"/>
          <w:highlight w:val="none"/>
          <w:lang w:val="en-US" w:eastAsia="zh-CN"/>
        </w:rPr>
      </w:pPr>
    </w:p>
    <w:p>
      <w:pPr>
        <w:pStyle w:val="25"/>
        <w:rPr>
          <w:rFonts w:hint="eastAsia" w:ascii="仿宋" w:hAnsi="仿宋" w:eastAsia="仿宋" w:cs="仿宋"/>
          <w:b/>
          <w:bCs/>
          <w:color w:val="auto"/>
          <w:sz w:val="24"/>
          <w:highlight w:val="none"/>
          <w:lang w:val="en-US" w:eastAsia="zh-CN"/>
        </w:rPr>
      </w:pPr>
    </w:p>
    <w:p>
      <w:pPr>
        <w:pStyle w:val="25"/>
        <w:rPr>
          <w:rFonts w:hint="eastAsia" w:ascii="仿宋" w:hAnsi="仿宋" w:eastAsia="仿宋" w:cs="仿宋"/>
          <w:b/>
          <w:bCs/>
          <w:color w:val="auto"/>
          <w:sz w:val="24"/>
          <w:highlight w:val="none"/>
          <w:lang w:val="en-US" w:eastAsia="zh-CN"/>
        </w:rPr>
      </w:pPr>
    </w:p>
    <w:p>
      <w:pPr>
        <w:pStyle w:val="25"/>
        <w:rPr>
          <w:rFonts w:hint="eastAsia" w:ascii="仿宋" w:hAnsi="仿宋" w:eastAsia="仿宋" w:cs="仿宋"/>
          <w:b/>
          <w:bCs/>
          <w:color w:val="auto"/>
          <w:sz w:val="24"/>
          <w:highlight w:val="none"/>
          <w:lang w:val="en-US" w:eastAsia="zh-CN"/>
        </w:rPr>
      </w:pPr>
    </w:p>
    <w:p>
      <w:pPr>
        <w:pStyle w:val="25"/>
        <w:rPr>
          <w:rFonts w:hint="eastAsia" w:ascii="仿宋" w:hAnsi="仿宋" w:eastAsia="仿宋" w:cs="仿宋"/>
          <w:b/>
          <w:bCs/>
          <w:color w:val="auto"/>
          <w:sz w:val="24"/>
          <w:highlight w:val="none"/>
          <w:lang w:val="en-US" w:eastAsia="zh-CN"/>
        </w:rPr>
      </w:pPr>
    </w:p>
    <w:p>
      <w:pPr>
        <w:pStyle w:val="25"/>
        <w:rPr>
          <w:rFonts w:hint="eastAsia" w:ascii="仿宋" w:hAnsi="仿宋" w:eastAsia="仿宋" w:cs="仿宋"/>
          <w:b/>
          <w:bCs/>
          <w:color w:val="auto"/>
          <w:sz w:val="24"/>
          <w:highlight w:val="none"/>
          <w:lang w:val="en-US" w:eastAsia="zh-CN"/>
        </w:rPr>
      </w:pPr>
    </w:p>
    <w:p>
      <w:pPr>
        <w:pStyle w:val="25"/>
        <w:rPr>
          <w:rFonts w:hint="eastAsia" w:ascii="仿宋" w:hAnsi="仿宋" w:eastAsia="仿宋" w:cs="仿宋"/>
          <w:b/>
          <w:bCs/>
          <w:color w:val="auto"/>
          <w:sz w:val="24"/>
          <w:highlight w:val="none"/>
          <w:lang w:val="en-US" w:eastAsia="zh-CN"/>
        </w:rPr>
      </w:pPr>
    </w:p>
    <w:p>
      <w:pPr>
        <w:pStyle w:val="25"/>
        <w:rPr>
          <w:rFonts w:hint="eastAsia" w:ascii="仿宋" w:hAnsi="仿宋" w:eastAsia="仿宋" w:cs="仿宋"/>
          <w:b/>
          <w:bCs/>
          <w:color w:val="auto"/>
          <w:sz w:val="24"/>
          <w:highlight w:val="none"/>
          <w:lang w:val="en-US" w:eastAsia="zh-CN"/>
        </w:rPr>
      </w:pPr>
    </w:p>
    <w:p>
      <w:pPr>
        <w:pStyle w:val="25"/>
        <w:rPr>
          <w:rFonts w:hint="eastAsia" w:ascii="仿宋" w:hAnsi="仿宋" w:eastAsia="仿宋" w:cs="仿宋"/>
          <w:b/>
          <w:bCs/>
          <w:color w:val="auto"/>
          <w:sz w:val="24"/>
          <w:highlight w:val="none"/>
          <w:lang w:val="en-US" w:eastAsia="zh-CN"/>
        </w:rPr>
      </w:pPr>
    </w:p>
    <w:p>
      <w:pPr>
        <w:pStyle w:val="25"/>
        <w:rPr>
          <w:rFonts w:hint="eastAsia" w:ascii="仿宋" w:hAnsi="仿宋" w:eastAsia="仿宋" w:cs="仿宋"/>
          <w:b/>
          <w:bCs/>
          <w:color w:val="auto"/>
          <w:sz w:val="24"/>
          <w:highlight w:val="none"/>
          <w:lang w:val="en-US" w:eastAsia="zh-CN"/>
        </w:rPr>
      </w:pP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shd w:val="clear" w:color="auto" w:fill="auto"/>
        <w:tabs>
          <w:tab w:val="left" w:pos="3600"/>
        </w:tabs>
        <w:adjustRightInd w:val="0"/>
        <w:snapToGrid w:val="0"/>
        <w:spacing w:line="440" w:lineRule="exact"/>
        <w:jc w:val="center"/>
        <w:rPr>
          <w:rFonts w:hint="eastAsia" w:ascii="仿宋" w:hAnsi="仿宋" w:eastAsia="仿宋" w:cs="仿宋"/>
          <w:color w:val="000000"/>
          <w:spacing w:val="0"/>
          <w:w w:val="10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10、评分标准和细则中技术部分证明材料（格式自拟</w:t>
      </w:r>
      <w:r>
        <w:rPr>
          <w:rFonts w:hint="eastAsia" w:ascii="仿宋" w:hAnsi="仿宋" w:eastAsia="仿宋" w:cs="仿宋"/>
          <w:color w:val="000000"/>
          <w:spacing w:val="0"/>
          <w:w w:val="100"/>
          <w:position w:val="0"/>
          <w:sz w:val="36"/>
          <w:szCs w:val="36"/>
          <w:lang w:val="en-US" w:eastAsia="zh-CN"/>
        </w:rPr>
        <w:t>）</w:t>
      </w:r>
    </w:p>
    <w:p>
      <w:pPr>
        <w:pStyle w:val="4"/>
        <w:numPr>
          <w:ilvl w:val="1"/>
          <w:numId w:val="0"/>
        </w:numPr>
        <w:shd w:val="clear" w:color="auto" w:fill="auto"/>
        <w:spacing w:before="0" w:line="240" w:lineRule="atLeast"/>
        <w:ind w:leftChars="257"/>
        <w:jc w:val="center"/>
        <w:rPr>
          <w:rFonts w:hint="eastAsia" w:ascii="仿宋" w:hAnsi="仿宋" w:eastAsia="仿宋" w:cs="仿宋"/>
          <w:color w:val="auto"/>
          <w:sz w:val="24"/>
          <w:highlight w:val="none"/>
          <w:lang w:val="en-US" w:eastAsia="zh-CN"/>
        </w:rPr>
      </w:pPr>
    </w:p>
    <w:p>
      <w:pPr>
        <w:shd w:val="clear" w:color="auto" w:fill="auto"/>
        <w:spacing w:line="440" w:lineRule="exact"/>
        <w:ind w:left="0" w:leftChars="0" w:right="0" w:righ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评分标准和细则中技术部分</w:t>
      </w:r>
      <w:r>
        <w:rPr>
          <w:rFonts w:hint="eastAsia" w:ascii="仿宋" w:hAnsi="仿宋" w:eastAsia="仿宋" w:cs="仿宋"/>
          <w:color w:val="auto"/>
          <w:sz w:val="24"/>
          <w:highlight w:val="none"/>
        </w:rPr>
        <w:t>要求的其他资格证明文件</w:t>
      </w:r>
      <w:r>
        <w:rPr>
          <w:rFonts w:hint="eastAsia" w:ascii="仿宋" w:hAnsi="仿宋" w:eastAsia="仿宋" w:cs="仿宋"/>
          <w:color w:val="auto"/>
          <w:sz w:val="24"/>
          <w:highlight w:val="none"/>
          <w:lang w:eastAsia="zh-CN"/>
        </w:rPr>
        <w:t>（主要包括：类似；技术指标参数、</w:t>
      </w:r>
      <w:r>
        <w:rPr>
          <w:rFonts w:hint="eastAsia" w:ascii="仿宋" w:hAnsi="仿宋" w:eastAsia="仿宋" w:cs="仿宋"/>
          <w:color w:val="000000"/>
          <w:szCs w:val="21"/>
          <w:highlight w:val="none"/>
          <w:lang w:val="zh-CN" w:eastAsia="zh-CN" w:bidi="ar-SA"/>
        </w:rPr>
        <w:t>认证证书、应急预案、</w:t>
      </w:r>
      <w:r>
        <w:rPr>
          <w:rFonts w:hint="eastAsia" w:ascii="仿宋" w:hAnsi="仿宋" w:eastAsia="仿宋" w:cs="仿宋"/>
          <w:color w:val="000000"/>
          <w:szCs w:val="21"/>
          <w:highlight w:val="none"/>
          <w:lang w:val="en-US" w:eastAsia="zh-CN" w:bidi="ar-SA"/>
        </w:rPr>
        <w:t>人员等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pPr>
        <w:pStyle w:val="10"/>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2.复印件上应加盖本单位章（自然人投标的无需盖章，需要签字）。</w:t>
      </w:r>
    </w:p>
    <w:p>
      <w:pPr>
        <w:pStyle w:val="5"/>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rPr>
          <w:rFonts w:hint="eastAsia" w:ascii="仿宋" w:hAnsi="仿宋" w:eastAsia="仿宋" w:cs="仿宋"/>
          <w:lang w:val="en-US" w:eastAsia="zh-CN"/>
        </w:rPr>
      </w:pPr>
    </w:p>
    <w:p>
      <w:pPr>
        <w:pStyle w:val="4"/>
        <w:numPr>
          <w:ilvl w:val="1"/>
          <w:numId w:val="0"/>
        </w:numPr>
        <w:shd w:val="clear" w:color="auto" w:fill="auto"/>
        <w:spacing w:before="0" w:line="240" w:lineRule="atLeast"/>
        <w:ind w:leftChars="257"/>
        <w:jc w:val="center"/>
        <w:rPr>
          <w:rFonts w:hint="eastAsia" w:ascii="仿宋" w:hAnsi="仿宋" w:eastAsia="仿宋" w:cs="仿宋"/>
          <w:color w:val="auto"/>
          <w:sz w:val="24"/>
          <w:highlight w:val="none"/>
          <w:lang w:val="en-US" w:eastAsia="zh-CN"/>
        </w:rPr>
      </w:pPr>
    </w:p>
    <w:p>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10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11、评分标准和细则中商务部分证明材料（格式自拟）</w:t>
      </w:r>
    </w:p>
    <w:p>
      <w:pPr>
        <w:pStyle w:val="10"/>
        <w:shd w:val="clear" w:color="auto" w:fill="auto"/>
        <w:tabs>
          <w:tab w:val="left" w:pos="5580"/>
        </w:tabs>
        <w:spacing w:line="240" w:lineRule="atLeast"/>
        <w:rPr>
          <w:rFonts w:hint="eastAsia" w:ascii="仿宋" w:hAnsi="仿宋" w:eastAsia="仿宋" w:cs="仿宋"/>
          <w:color w:val="auto"/>
          <w:sz w:val="24"/>
          <w:highlight w:val="none"/>
        </w:rPr>
      </w:pPr>
    </w:p>
    <w:p>
      <w:pPr>
        <w:shd w:val="clear" w:color="auto" w:fill="auto"/>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评分标准和细则中商务部分</w:t>
      </w:r>
      <w:r>
        <w:rPr>
          <w:rFonts w:hint="eastAsia" w:ascii="仿宋" w:hAnsi="仿宋" w:eastAsia="仿宋" w:cs="仿宋"/>
          <w:color w:val="auto"/>
          <w:sz w:val="24"/>
          <w:highlight w:val="none"/>
        </w:rPr>
        <w:t>要求的其他资格证明文件</w:t>
      </w:r>
      <w:r>
        <w:rPr>
          <w:rFonts w:hint="eastAsia" w:ascii="仿宋" w:hAnsi="仿宋" w:eastAsia="仿宋" w:cs="仿宋"/>
          <w:color w:val="auto"/>
          <w:sz w:val="24"/>
          <w:highlight w:val="none"/>
          <w:lang w:eastAsia="zh-CN"/>
        </w:rPr>
        <w:t>（主要包括：类似；</w:t>
      </w:r>
      <w:r>
        <w:rPr>
          <w:rFonts w:hint="eastAsia" w:ascii="仿宋" w:hAnsi="仿宋" w:eastAsia="仿宋" w:cs="仿宋"/>
          <w:color w:val="000000"/>
          <w:szCs w:val="21"/>
          <w:highlight w:val="none"/>
          <w:lang w:val="en-US" w:eastAsia="zh-CN" w:bidi="ar-SA"/>
        </w:rPr>
        <w:t>企业业绩</w:t>
      </w:r>
      <w:r>
        <w:rPr>
          <w:rFonts w:hint="eastAsia" w:ascii="仿宋" w:hAnsi="仿宋" w:eastAsia="仿宋" w:cs="仿宋"/>
          <w:color w:val="auto"/>
          <w:sz w:val="24"/>
          <w:highlight w:val="none"/>
          <w:lang w:eastAsia="zh-CN"/>
        </w:rPr>
        <w:t>；售后服务体系；</w:t>
      </w:r>
      <w:r>
        <w:rPr>
          <w:rFonts w:hint="eastAsia" w:ascii="仿宋" w:hAnsi="仿宋" w:eastAsia="仿宋" w:cs="仿宋"/>
          <w:color w:val="000000"/>
          <w:szCs w:val="21"/>
          <w:highlight w:val="none"/>
          <w:lang w:val="zh-CN" w:eastAsia="zh-CN" w:bidi="ar-SA"/>
        </w:rPr>
        <w:t>培训方案</w:t>
      </w:r>
      <w:r>
        <w:rPr>
          <w:rFonts w:hint="eastAsia" w:ascii="仿宋" w:hAnsi="仿宋" w:eastAsia="仿宋" w:cs="仿宋"/>
          <w:color w:val="auto"/>
          <w:sz w:val="24"/>
          <w:highlight w:val="none"/>
          <w:lang w:eastAsia="zh-CN"/>
        </w:rPr>
        <w:t>等）</w:t>
      </w:r>
      <w:r>
        <w:rPr>
          <w:rFonts w:hint="eastAsia" w:ascii="仿宋" w:hAnsi="仿宋" w:eastAsia="仿宋" w:cs="仿宋"/>
          <w:color w:val="auto"/>
          <w:sz w:val="24"/>
          <w:highlight w:val="none"/>
        </w:rPr>
        <w:t>。</w:t>
      </w:r>
    </w:p>
    <w:p>
      <w:pPr>
        <w:pStyle w:val="10"/>
        <w:shd w:val="clear" w:color="auto" w:fill="auto"/>
        <w:tabs>
          <w:tab w:val="left" w:pos="5580"/>
        </w:tabs>
        <w:spacing w:line="240" w:lineRule="atLeas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2.复印件上应加盖本单位章（自然人投标的无需盖章，需要签字）。</w:t>
      </w: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rPr>
        <w:t xml:space="preserve">    </w:t>
      </w: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rPr>
          <w:rFonts w:hint="eastAsia" w:ascii="仿宋" w:hAnsi="仿宋" w:eastAsia="仿宋" w:cs="仿宋"/>
          <w:lang w:val="en-US" w:eastAsia="zh-CN"/>
        </w:rPr>
      </w:pP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9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12、</w:t>
      </w:r>
      <w:r>
        <w:rPr>
          <w:rFonts w:hint="eastAsia" w:ascii="仿宋" w:hAnsi="仿宋" w:eastAsia="仿宋" w:cs="仿宋"/>
          <w:b/>
          <w:bCs/>
          <w:color w:val="000000"/>
          <w:spacing w:val="0"/>
          <w:w w:val="90"/>
          <w:position w:val="0"/>
          <w:sz w:val="36"/>
          <w:szCs w:val="36"/>
          <w:lang w:val="en-US" w:eastAsia="zh-CN"/>
        </w:rPr>
        <w:t>投标人认为有必要提供的其他证明材料（格式自拟）</w:t>
      </w:r>
    </w:p>
    <w:p>
      <w:pPr>
        <w:pStyle w:val="10"/>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p>
    <w:p>
      <w:pPr>
        <w:pStyle w:val="10"/>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说明：复印件上应加盖本单位章（自然人投标的无需盖章，需要签字）。</w:t>
      </w:r>
    </w:p>
    <w:p>
      <w:pPr>
        <w:pStyle w:val="11"/>
        <w:rPr>
          <w:rFonts w:hint="eastAsia"/>
        </w:rPr>
      </w:pPr>
    </w:p>
    <w:sectPr>
      <w:headerReference r:id="rId11" w:type="default"/>
      <w:footerReference r:id="rId12"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Courier New"/>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rPr>
        <w:rFonts w:hint="eastAsia"/>
      </w:rPr>
    </w:pPr>
    <w:r>
      <w:rPr>
        <w:sz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KDQKc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rNxCFHvu7JGuR6Ed4eETZTecoURdiqMMyvspv3KS/HnvWQ9/VO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NApyQEAAJsDAAAOAAAAAAAAAAEAIAAAAB4BAABkcnMvZTJvRG9j&#10;LnhtbFBLBQYAAAAABgAGAFkBAABZBQAAAAA=&#10;">
              <v:fill on="f" focussize="0,0"/>
              <v:stroke on="f"/>
              <v:imagedata o:title=""/>
              <o:lock v:ext="edit" aspectratio="f"/>
              <v:textbox inset="0mm,0mm,0mm,0mm" style="mso-fit-shape-to-text:t;">
                <w:txbxContent>
                  <w:p/>
                </w:txbxContent>
              </v:textbox>
            </v:shape>
          </w:pict>
        </mc:Fallback>
      </mc:AlternateContent>
    </w:r>
    <w:r>
      <w:rPr>
        <w:rFonts w:hint="eastAsia"/>
        <w:sz w:val="16"/>
        <w:szCs w:val="16"/>
      </w:rPr>
      <w:t xml:space="preserve"> </w:t>
    </w:r>
    <w:r>
      <w:rPr>
        <w:rFonts w:hint="eastAsia"/>
        <w:color w:val="800000"/>
        <w:sz w:val="16"/>
        <w:szCs w:val="20"/>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rPr>
        <w:rFonts w:hint="eastAsia"/>
      </w:rPr>
    </w:pPr>
    <w:r>
      <w:rPr>
        <w:sz w:val="1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68+0co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68+0coBAACbAwAADgAAAAAAAAABACAAAAAeAQAAZHJzL2Uyb0Rv&#10;Yy54bWxQSwUGAAAAAAYABgBZAQAAWgUAAAAA&#10;">
              <v:fill on="f" focussize="0,0"/>
              <v:stroke on="f"/>
              <v:imagedata o:title=""/>
              <o:lock v:ext="edit" aspectratio="f"/>
              <v:textbox inset="0mm,0mm,0mm,0mm" style="mso-fit-shape-to-text:t;">
                <w:txbxContent>
                  <w:p>
                    <w:pPr>
                      <w:pStyle w:val="13"/>
                    </w:pPr>
                  </w:p>
                </w:txbxContent>
              </v:textbox>
            </v:shape>
          </w:pict>
        </mc:Fallback>
      </mc:AlternateContent>
    </w:r>
    <w:r>
      <w:rPr>
        <w:rFonts w:hint="eastAsia"/>
        <w:sz w:val="16"/>
        <w:szCs w:val="16"/>
      </w:rPr>
      <w:t xml:space="preserve"> </w:t>
    </w:r>
    <w:r>
      <w:rPr>
        <w:rFonts w:hint="eastAsia"/>
        <w:color w:val="800000"/>
        <w:sz w:val="16"/>
        <w:szCs w:val="20"/>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rPr>
        <w:rFonts w:hint="eastAsia"/>
      </w:rPr>
    </w:pPr>
    <w:r>
      <w:rPr>
        <w:sz w:val="13"/>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 w:val="13"/>
        <w:szCs w:val="13"/>
      </w:rPr>
      <w:t xml:space="preserve"> </w:t>
    </w:r>
    <w:r>
      <w:rPr>
        <w:rFonts w:hint="eastAsia"/>
      </w:rPr>
      <w:t xml:space="preserve">  </w:t>
    </w:r>
  </w:p>
  <w:p>
    <w:pPr>
      <w:pStyle w:val="13"/>
      <w:tabs>
        <w:tab w:val="center" w:pos="4320"/>
        <w:tab w:val="right" w:pos="8640"/>
        <w:tab w:val="clear" w:pos="4153"/>
        <w:tab w:val="clear" w:pos="8306"/>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rPr>
        <w:rFonts w:hint="eastAsia"/>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MV+MkBAACb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9k4hqgPXVmjXA/C7TFhE6W3XGGEnQrjzAq7ab/yUvx5L1m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xX4yQEAAJs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ascii="宋体" w:hAnsi="宋体" w:eastAsia="宋体" w:cs="宋体"/>
        <w:b w:val="0"/>
        <w:bCs w:val="0"/>
        <w:color w:val="auto"/>
        <w:sz w:val="24"/>
        <w:szCs w:val="24"/>
        <w:u w:val="none"/>
        <w:lang w:val="en-US" w:eastAsia="zh-CN"/>
      </w:rPr>
      <w:t xml:space="preserve">  </w:t>
    </w:r>
    <w:r>
      <w:rPr>
        <w:rFonts w:hint="eastAsia"/>
        <w:sz w:val="13"/>
        <w:szCs w:val="13"/>
      </w:rPr>
      <w:t xml:space="preserve"> </w:t>
    </w:r>
    <w:r>
      <w:rPr>
        <w:rFonts w:hint="eastAsia"/>
      </w:rPr>
      <w:t xml:space="preserve"> </w:t>
    </w:r>
    <w:r>
      <w:rPr>
        <w:rFonts w:hint="eastAsia"/>
        <w:color w:val="800000"/>
        <w:sz w:val="16"/>
        <w:szCs w:val="20"/>
        <w:lang w:val="en-US" w:eastAsia="zh-CN"/>
      </w:rPr>
      <w:t xml:space="preserve">      </w:t>
    </w:r>
  </w:p>
  <w:p>
    <w:pPr>
      <w:pStyle w:val="13"/>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pPr>
      <w:pStyle w:val="13"/>
      <w:ind w:right="360"/>
      <w:jc w:val="right"/>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lear" w:pos="4153"/>
        <w:tab w:val="clear" w:pos="8306"/>
      </w:tabs>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eastAsia" w:ascii="宋体" w:hAnsi="宋体" w:eastAsia="宋体" w:cs="宋体"/>
        <w:sz w:val="20"/>
        <w:szCs w:val="20"/>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eastAsia" w:ascii="宋体" w:hAnsi="宋体" w:eastAsia="宋体" w:cs="宋体"/>
        <w:sz w:val="20"/>
        <w:szCs w:val="20"/>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1ACD9"/>
    <w:multiLevelType w:val="singleLevel"/>
    <w:tmpl w:val="B0F1ACD9"/>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E368D1E8"/>
    <w:multiLevelType w:val="singleLevel"/>
    <w:tmpl w:val="E368D1E8"/>
    <w:lvl w:ilvl="0" w:tentative="0">
      <w:start w:val="5"/>
      <w:numFmt w:val="chineseCounting"/>
      <w:suff w:val="space"/>
      <w:lvlText w:val="第%1章"/>
      <w:lvlJc w:val="left"/>
      <w:rPr>
        <w:rFonts w:hint="eastAsia"/>
      </w:rPr>
    </w:lvl>
  </w:abstractNum>
  <w:abstractNum w:abstractNumId="2">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0000000D"/>
    <w:multiLevelType w:val="multilevel"/>
    <w:tmpl w:val="0000000D"/>
    <w:lvl w:ilvl="0" w:tentative="0">
      <w:start w:val="1"/>
      <w:numFmt w:val="decimal"/>
      <w:pStyle w:val="8"/>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4">
    <w:nsid w:val="03EF8FC6"/>
    <w:multiLevelType w:val="singleLevel"/>
    <w:tmpl w:val="03EF8FC6"/>
    <w:lvl w:ilvl="0" w:tentative="0">
      <w:start w:val="1"/>
      <w:numFmt w:val="chineseCounting"/>
      <w:suff w:val="nothing"/>
      <w:lvlText w:val="%1、"/>
      <w:lvlJc w:val="left"/>
      <w:rPr>
        <w:rFonts w:hint="eastAsia"/>
      </w:rPr>
    </w:lvl>
  </w:abstractNum>
  <w:abstractNum w:abstractNumId="5">
    <w:nsid w:val="0EB613E9"/>
    <w:multiLevelType w:val="multilevel"/>
    <w:tmpl w:val="0EB613E9"/>
    <w:lvl w:ilvl="0" w:tentative="0">
      <w:start w:val="1"/>
      <w:numFmt w:val="decimal"/>
      <w:pStyle w:val="24"/>
      <w:lvlText w:val="1.%1"/>
      <w:lvlJc w:val="left"/>
      <w:pPr>
        <w:ind w:left="420" w:firstLine="0"/>
      </w:pPr>
      <w:rPr>
        <w:rFonts w:hint="eastAsia" w:ascii="宋体" w:hAnsi="宋体" w:eastAsia="宋体"/>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6">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7">
    <w:nsid w:val="55CD4C99"/>
    <w:multiLevelType w:val="singleLevel"/>
    <w:tmpl w:val="55CD4C99"/>
    <w:lvl w:ilvl="0" w:tentative="0">
      <w:start w:val="1"/>
      <w:numFmt w:val="chineseCounting"/>
      <w:suff w:val="nothing"/>
      <w:lvlText w:val="%1、"/>
      <w:lvlJc w:val="left"/>
    </w:lvl>
  </w:abstractNum>
  <w:abstractNum w:abstractNumId="8">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3"/>
  </w:num>
  <w:num w:numId="2">
    <w:abstractNumId w:val="5"/>
  </w:num>
  <w:num w:numId="3">
    <w:abstractNumId w:val="4"/>
  </w:num>
  <w:num w:numId="4">
    <w:abstractNumId w:val="7"/>
  </w:num>
  <w:num w:numId="5">
    <w:abstractNumId w:val="6"/>
  </w:num>
  <w:num w:numId="6">
    <w:abstractNumId w:val="8"/>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zMTRiZjZmODExNTk4NGQ4NGVlZDgwNDU2YmQ5ZjcifQ=="/>
  </w:docVars>
  <w:rsids>
    <w:rsidRoot w:val="00172A27"/>
    <w:rsid w:val="00036274"/>
    <w:rsid w:val="0046375D"/>
    <w:rsid w:val="005F65CD"/>
    <w:rsid w:val="00643BE3"/>
    <w:rsid w:val="007B1270"/>
    <w:rsid w:val="00B32AD5"/>
    <w:rsid w:val="00EF7950"/>
    <w:rsid w:val="0123584C"/>
    <w:rsid w:val="014F6266"/>
    <w:rsid w:val="01E44B68"/>
    <w:rsid w:val="02B04EBD"/>
    <w:rsid w:val="03120DC1"/>
    <w:rsid w:val="03152839"/>
    <w:rsid w:val="03634626"/>
    <w:rsid w:val="042A106A"/>
    <w:rsid w:val="04936EF5"/>
    <w:rsid w:val="04C2712A"/>
    <w:rsid w:val="04ED23F9"/>
    <w:rsid w:val="0506793D"/>
    <w:rsid w:val="056F1251"/>
    <w:rsid w:val="0591547A"/>
    <w:rsid w:val="05CE725F"/>
    <w:rsid w:val="06141E47"/>
    <w:rsid w:val="06385AA9"/>
    <w:rsid w:val="063B7194"/>
    <w:rsid w:val="06A20D46"/>
    <w:rsid w:val="070E000F"/>
    <w:rsid w:val="07A33243"/>
    <w:rsid w:val="08071A24"/>
    <w:rsid w:val="0807527A"/>
    <w:rsid w:val="08323FEC"/>
    <w:rsid w:val="085D5AE7"/>
    <w:rsid w:val="086504F8"/>
    <w:rsid w:val="086C7996"/>
    <w:rsid w:val="08874912"/>
    <w:rsid w:val="08941525"/>
    <w:rsid w:val="08EE2C3C"/>
    <w:rsid w:val="091D31C0"/>
    <w:rsid w:val="091D420B"/>
    <w:rsid w:val="09231976"/>
    <w:rsid w:val="093F2ABC"/>
    <w:rsid w:val="095073FA"/>
    <w:rsid w:val="09B17236"/>
    <w:rsid w:val="0A1D552E"/>
    <w:rsid w:val="0A3D7C94"/>
    <w:rsid w:val="0A622E54"/>
    <w:rsid w:val="0A6C7AE9"/>
    <w:rsid w:val="0A982D0F"/>
    <w:rsid w:val="0AA51080"/>
    <w:rsid w:val="0AEB409B"/>
    <w:rsid w:val="0AEC1713"/>
    <w:rsid w:val="0B0D0762"/>
    <w:rsid w:val="0B213EE8"/>
    <w:rsid w:val="0B2F3756"/>
    <w:rsid w:val="0B84338B"/>
    <w:rsid w:val="0B9E39F1"/>
    <w:rsid w:val="0B9F2EC9"/>
    <w:rsid w:val="0BD344B2"/>
    <w:rsid w:val="0BF26C44"/>
    <w:rsid w:val="0C1429D4"/>
    <w:rsid w:val="0C6D3E1F"/>
    <w:rsid w:val="0D554FDF"/>
    <w:rsid w:val="0DBB6A20"/>
    <w:rsid w:val="0DD23455"/>
    <w:rsid w:val="0E14312D"/>
    <w:rsid w:val="0E3C479C"/>
    <w:rsid w:val="0FB52476"/>
    <w:rsid w:val="10015291"/>
    <w:rsid w:val="100F3B6B"/>
    <w:rsid w:val="103E1D5B"/>
    <w:rsid w:val="10685029"/>
    <w:rsid w:val="10ED3781"/>
    <w:rsid w:val="11265E9F"/>
    <w:rsid w:val="113949E1"/>
    <w:rsid w:val="114227C7"/>
    <w:rsid w:val="11717F0E"/>
    <w:rsid w:val="12B04A66"/>
    <w:rsid w:val="130308CA"/>
    <w:rsid w:val="13292BC2"/>
    <w:rsid w:val="132C218A"/>
    <w:rsid w:val="133E130E"/>
    <w:rsid w:val="13497394"/>
    <w:rsid w:val="13F90708"/>
    <w:rsid w:val="149504DB"/>
    <w:rsid w:val="14F41582"/>
    <w:rsid w:val="15241A91"/>
    <w:rsid w:val="1525173B"/>
    <w:rsid w:val="153C6A85"/>
    <w:rsid w:val="15482B1B"/>
    <w:rsid w:val="1558244E"/>
    <w:rsid w:val="15E839EB"/>
    <w:rsid w:val="15F15AC1"/>
    <w:rsid w:val="1611149D"/>
    <w:rsid w:val="16252AD1"/>
    <w:rsid w:val="16774218"/>
    <w:rsid w:val="167B61DA"/>
    <w:rsid w:val="16A63A4C"/>
    <w:rsid w:val="16A9506F"/>
    <w:rsid w:val="16FA2753"/>
    <w:rsid w:val="171F0B4E"/>
    <w:rsid w:val="17CA65CA"/>
    <w:rsid w:val="17EB3771"/>
    <w:rsid w:val="18DA45EA"/>
    <w:rsid w:val="18FE29CF"/>
    <w:rsid w:val="1910625E"/>
    <w:rsid w:val="19791440"/>
    <w:rsid w:val="198A7589"/>
    <w:rsid w:val="198D3D53"/>
    <w:rsid w:val="198F1879"/>
    <w:rsid w:val="199E7D0E"/>
    <w:rsid w:val="19C1039C"/>
    <w:rsid w:val="19D262E0"/>
    <w:rsid w:val="19EC0A79"/>
    <w:rsid w:val="1A217544"/>
    <w:rsid w:val="1A8B64E4"/>
    <w:rsid w:val="1AA14F3E"/>
    <w:rsid w:val="1ACD57BB"/>
    <w:rsid w:val="1B247CD4"/>
    <w:rsid w:val="1B2C531C"/>
    <w:rsid w:val="1B526E30"/>
    <w:rsid w:val="1B7A3E63"/>
    <w:rsid w:val="1B960EC2"/>
    <w:rsid w:val="1B9C027D"/>
    <w:rsid w:val="1BE65325"/>
    <w:rsid w:val="1BF77A73"/>
    <w:rsid w:val="1C3D6238"/>
    <w:rsid w:val="1C5A616E"/>
    <w:rsid w:val="1CB4256F"/>
    <w:rsid w:val="1CC048D1"/>
    <w:rsid w:val="1D457AD9"/>
    <w:rsid w:val="1D9D5AD0"/>
    <w:rsid w:val="1DA16DA3"/>
    <w:rsid w:val="1DC37D43"/>
    <w:rsid w:val="1DDE4B7D"/>
    <w:rsid w:val="1E0D3ABF"/>
    <w:rsid w:val="1E54417D"/>
    <w:rsid w:val="1E6813A9"/>
    <w:rsid w:val="1ECE4F82"/>
    <w:rsid w:val="1EE5064C"/>
    <w:rsid w:val="1F006516"/>
    <w:rsid w:val="1F51312D"/>
    <w:rsid w:val="1F5B26D6"/>
    <w:rsid w:val="1F6007D8"/>
    <w:rsid w:val="1FA6381C"/>
    <w:rsid w:val="1FBC0EEE"/>
    <w:rsid w:val="1FE52181"/>
    <w:rsid w:val="1FFF0CB9"/>
    <w:rsid w:val="203828DD"/>
    <w:rsid w:val="20401B1F"/>
    <w:rsid w:val="20C77B4A"/>
    <w:rsid w:val="20F326ED"/>
    <w:rsid w:val="213A47C0"/>
    <w:rsid w:val="215A1295"/>
    <w:rsid w:val="22123047"/>
    <w:rsid w:val="221565FB"/>
    <w:rsid w:val="224C009A"/>
    <w:rsid w:val="22965E6B"/>
    <w:rsid w:val="22D7082A"/>
    <w:rsid w:val="22D93D5B"/>
    <w:rsid w:val="22F917C9"/>
    <w:rsid w:val="230F7587"/>
    <w:rsid w:val="23463622"/>
    <w:rsid w:val="235B27CC"/>
    <w:rsid w:val="23874BA3"/>
    <w:rsid w:val="23C16DA8"/>
    <w:rsid w:val="24174945"/>
    <w:rsid w:val="245B2E54"/>
    <w:rsid w:val="24B93C4E"/>
    <w:rsid w:val="25002F8D"/>
    <w:rsid w:val="25090731"/>
    <w:rsid w:val="25546BA5"/>
    <w:rsid w:val="25550156"/>
    <w:rsid w:val="262B2929"/>
    <w:rsid w:val="26782243"/>
    <w:rsid w:val="267D2FA7"/>
    <w:rsid w:val="26AE7449"/>
    <w:rsid w:val="26D37563"/>
    <w:rsid w:val="26F251F5"/>
    <w:rsid w:val="26FD42C6"/>
    <w:rsid w:val="27ED433A"/>
    <w:rsid w:val="283D072F"/>
    <w:rsid w:val="285F4B0C"/>
    <w:rsid w:val="286B44D3"/>
    <w:rsid w:val="287C121A"/>
    <w:rsid w:val="28976074"/>
    <w:rsid w:val="28AD3ACA"/>
    <w:rsid w:val="28C82C87"/>
    <w:rsid w:val="28E374EB"/>
    <w:rsid w:val="28F65471"/>
    <w:rsid w:val="290967AF"/>
    <w:rsid w:val="291C049E"/>
    <w:rsid w:val="292D4815"/>
    <w:rsid w:val="29384AB9"/>
    <w:rsid w:val="294361DC"/>
    <w:rsid w:val="294E1863"/>
    <w:rsid w:val="294F692F"/>
    <w:rsid w:val="296E3259"/>
    <w:rsid w:val="29AE06BF"/>
    <w:rsid w:val="29B9024C"/>
    <w:rsid w:val="2A015314"/>
    <w:rsid w:val="2A0F714F"/>
    <w:rsid w:val="2A2953D2"/>
    <w:rsid w:val="2A5D1FD9"/>
    <w:rsid w:val="2A6F2C28"/>
    <w:rsid w:val="2A994305"/>
    <w:rsid w:val="2AB303AA"/>
    <w:rsid w:val="2AB54EB7"/>
    <w:rsid w:val="2AE56C24"/>
    <w:rsid w:val="2AF552B4"/>
    <w:rsid w:val="2AF9470D"/>
    <w:rsid w:val="2B2A724C"/>
    <w:rsid w:val="2B762634"/>
    <w:rsid w:val="2C1421D1"/>
    <w:rsid w:val="2C5A3F68"/>
    <w:rsid w:val="2CF12A68"/>
    <w:rsid w:val="2D1B0C53"/>
    <w:rsid w:val="2DB44E75"/>
    <w:rsid w:val="2DF1140A"/>
    <w:rsid w:val="2E1B0C2F"/>
    <w:rsid w:val="2E1D349F"/>
    <w:rsid w:val="2E764B34"/>
    <w:rsid w:val="2E844228"/>
    <w:rsid w:val="2EA35682"/>
    <w:rsid w:val="2EB84F76"/>
    <w:rsid w:val="2F575BC0"/>
    <w:rsid w:val="2FA50B1C"/>
    <w:rsid w:val="2FA84FEB"/>
    <w:rsid w:val="301A20DD"/>
    <w:rsid w:val="31116F16"/>
    <w:rsid w:val="31336B36"/>
    <w:rsid w:val="313E10C1"/>
    <w:rsid w:val="31B41267"/>
    <w:rsid w:val="31C54436"/>
    <w:rsid w:val="31F45BB7"/>
    <w:rsid w:val="324C16C5"/>
    <w:rsid w:val="32A6174D"/>
    <w:rsid w:val="335C76C1"/>
    <w:rsid w:val="338D6AB1"/>
    <w:rsid w:val="33F44528"/>
    <w:rsid w:val="33FC5905"/>
    <w:rsid w:val="3464452F"/>
    <w:rsid w:val="34AC63E7"/>
    <w:rsid w:val="34D80120"/>
    <w:rsid w:val="34F903B8"/>
    <w:rsid w:val="351A6043"/>
    <w:rsid w:val="35427B0F"/>
    <w:rsid w:val="355844A3"/>
    <w:rsid w:val="35A95F35"/>
    <w:rsid w:val="35E560EE"/>
    <w:rsid w:val="36147E72"/>
    <w:rsid w:val="365B4B65"/>
    <w:rsid w:val="36AA5E0A"/>
    <w:rsid w:val="36AC3612"/>
    <w:rsid w:val="36B62BE6"/>
    <w:rsid w:val="3762161D"/>
    <w:rsid w:val="37D44BCF"/>
    <w:rsid w:val="38083993"/>
    <w:rsid w:val="38C56C0D"/>
    <w:rsid w:val="38DE52AC"/>
    <w:rsid w:val="38FF6DE9"/>
    <w:rsid w:val="394F0285"/>
    <w:rsid w:val="39A845B5"/>
    <w:rsid w:val="3A1273C6"/>
    <w:rsid w:val="3A5D257D"/>
    <w:rsid w:val="3A6F0BDF"/>
    <w:rsid w:val="3A9773C9"/>
    <w:rsid w:val="3ABF608A"/>
    <w:rsid w:val="3AE06945"/>
    <w:rsid w:val="3B7641EF"/>
    <w:rsid w:val="3B8D77D9"/>
    <w:rsid w:val="3BDE19D1"/>
    <w:rsid w:val="3CA827C1"/>
    <w:rsid w:val="3CAD59EE"/>
    <w:rsid w:val="3CDA4418"/>
    <w:rsid w:val="3D445A7B"/>
    <w:rsid w:val="3D723DD3"/>
    <w:rsid w:val="3D751F42"/>
    <w:rsid w:val="3DB72FC9"/>
    <w:rsid w:val="3DE74F30"/>
    <w:rsid w:val="3ECD4126"/>
    <w:rsid w:val="3F0E550D"/>
    <w:rsid w:val="3F6A143C"/>
    <w:rsid w:val="3F6A3151"/>
    <w:rsid w:val="3FD12AA6"/>
    <w:rsid w:val="408E72C3"/>
    <w:rsid w:val="408E7BCF"/>
    <w:rsid w:val="40B26236"/>
    <w:rsid w:val="40CF687B"/>
    <w:rsid w:val="41270465"/>
    <w:rsid w:val="41681350"/>
    <w:rsid w:val="416F668A"/>
    <w:rsid w:val="419F6662"/>
    <w:rsid w:val="41A72D03"/>
    <w:rsid w:val="41BC55E0"/>
    <w:rsid w:val="41BD4926"/>
    <w:rsid w:val="41F30347"/>
    <w:rsid w:val="41F45E6E"/>
    <w:rsid w:val="420B7389"/>
    <w:rsid w:val="420C404A"/>
    <w:rsid w:val="423563C7"/>
    <w:rsid w:val="425A3148"/>
    <w:rsid w:val="42C57370"/>
    <w:rsid w:val="430832B2"/>
    <w:rsid w:val="43144276"/>
    <w:rsid w:val="433A7C09"/>
    <w:rsid w:val="43442CD4"/>
    <w:rsid w:val="437C4518"/>
    <w:rsid w:val="43D124E1"/>
    <w:rsid w:val="43F26816"/>
    <w:rsid w:val="445769C9"/>
    <w:rsid w:val="44637696"/>
    <w:rsid w:val="446C43E1"/>
    <w:rsid w:val="44740DA7"/>
    <w:rsid w:val="45111167"/>
    <w:rsid w:val="454815E5"/>
    <w:rsid w:val="45673C6A"/>
    <w:rsid w:val="4574179F"/>
    <w:rsid w:val="45792129"/>
    <w:rsid w:val="457C2033"/>
    <w:rsid w:val="45980299"/>
    <w:rsid w:val="45CD7101"/>
    <w:rsid w:val="46863C71"/>
    <w:rsid w:val="46983D83"/>
    <w:rsid w:val="46A47E62"/>
    <w:rsid w:val="46A95479"/>
    <w:rsid w:val="46D0431B"/>
    <w:rsid w:val="46F77B89"/>
    <w:rsid w:val="4743767B"/>
    <w:rsid w:val="47767A51"/>
    <w:rsid w:val="47871E56"/>
    <w:rsid w:val="487B3318"/>
    <w:rsid w:val="48DD4141"/>
    <w:rsid w:val="49272ADC"/>
    <w:rsid w:val="495F5BB2"/>
    <w:rsid w:val="49726A4B"/>
    <w:rsid w:val="498521CD"/>
    <w:rsid w:val="49C04BA6"/>
    <w:rsid w:val="4A711501"/>
    <w:rsid w:val="4A712751"/>
    <w:rsid w:val="4A8A3813"/>
    <w:rsid w:val="4A8F6C91"/>
    <w:rsid w:val="4A930919"/>
    <w:rsid w:val="4A977AF4"/>
    <w:rsid w:val="4A9D1B78"/>
    <w:rsid w:val="4AD252CB"/>
    <w:rsid w:val="4B1650A7"/>
    <w:rsid w:val="4BB73B85"/>
    <w:rsid w:val="4BF478AD"/>
    <w:rsid w:val="4C003D8D"/>
    <w:rsid w:val="4C17384D"/>
    <w:rsid w:val="4C257A37"/>
    <w:rsid w:val="4C285091"/>
    <w:rsid w:val="4C760354"/>
    <w:rsid w:val="4C83676C"/>
    <w:rsid w:val="4C947C5B"/>
    <w:rsid w:val="4D5C3245"/>
    <w:rsid w:val="4DD3168B"/>
    <w:rsid w:val="4DD74FC1"/>
    <w:rsid w:val="4DF50B78"/>
    <w:rsid w:val="4E0B6A19"/>
    <w:rsid w:val="4E6938E7"/>
    <w:rsid w:val="4E701DC0"/>
    <w:rsid w:val="4E850F02"/>
    <w:rsid w:val="4EA737A2"/>
    <w:rsid w:val="4EDD03B5"/>
    <w:rsid w:val="4F006719"/>
    <w:rsid w:val="4F066A24"/>
    <w:rsid w:val="4F2E489B"/>
    <w:rsid w:val="4F4C1097"/>
    <w:rsid w:val="4F5166AD"/>
    <w:rsid w:val="4F5D25FD"/>
    <w:rsid w:val="4F6F318A"/>
    <w:rsid w:val="4F7F146C"/>
    <w:rsid w:val="4FB41D44"/>
    <w:rsid w:val="4FB93303"/>
    <w:rsid w:val="4FBC32D6"/>
    <w:rsid w:val="4FC90E39"/>
    <w:rsid w:val="507F724A"/>
    <w:rsid w:val="5087052D"/>
    <w:rsid w:val="50B40034"/>
    <w:rsid w:val="50BF6E81"/>
    <w:rsid w:val="512C0D4E"/>
    <w:rsid w:val="513F080C"/>
    <w:rsid w:val="5140577A"/>
    <w:rsid w:val="518E2B89"/>
    <w:rsid w:val="52654DCD"/>
    <w:rsid w:val="52B9726B"/>
    <w:rsid w:val="5306542C"/>
    <w:rsid w:val="533407C0"/>
    <w:rsid w:val="533662E6"/>
    <w:rsid w:val="53390376"/>
    <w:rsid w:val="53CB4EB4"/>
    <w:rsid w:val="540C7047"/>
    <w:rsid w:val="541D6439"/>
    <w:rsid w:val="545C08EF"/>
    <w:rsid w:val="549E4143"/>
    <w:rsid w:val="54F008CA"/>
    <w:rsid w:val="553813F1"/>
    <w:rsid w:val="557B26D6"/>
    <w:rsid w:val="55821076"/>
    <w:rsid w:val="55DB1F32"/>
    <w:rsid w:val="56440595"/>
    <w:rsid w:val="56493792"/>
    <w:rsid w:val="57603931"/>
    <w:rsid w:val="57BE2850"/>
    <w:rsid w:val="57D460CD"/>
    <w:rsid w:val="583C2AE4"/>
    <w:rsid w:val="5888512F"/>
    <w:rsid w:val="590824D3"/>
    <w:rsid w:val="59232E69"/>
    <w:rsid w:val="594015B1"/>
    <w:rsid w:val="599B0EFC"/>
    <w:rsid w:val="59BD150F"/>
    <w:rsid w:val="59F40CA9"/>
    <w:rsid w:val="5AE0581C"/>
    <w:rsid w:val="5B1212E9"/>
    <w:rsid w:val="5B687259"/>
    <w:rsid w:val="5BE43388"/>
    <w:rsid w:val="5BF526CB"/>
    <w:rsid w:val="5CD53D28"/>
    <w:rsid w:val="5CFC5149"/>
    <w:rsid w:val="5D0460DC"/>
    <w:rsid w:val="5D094A6B"/>
    <w:rsid w:val="5D0C2A18"/>
    <w:rsid w:val="5D2366CB"/>
    <w:rsid w:val="5D3331A6"/>
    <w:rsid w:val="5E135BA1"/>
    <w:rsid w:val="5E1D1079"/>
    <w:rsid w:val="5E5577A1"/>
    <w:rsid w:val="5EDA6373"/>
    <w:rsid w:val="5EE74938"/>
    <w:rsid w:val="5F1171F6"/>
    <w:rsid w:val="5F696142"/>
    <w:rsid w:val="5F7563E8"/>
    <w:rsid w:val="5FE968C8"/>
    <w:rsid w:val="601F4136"/>
    <w:rsid w:val="6020704A"/>
    <w:rsid w:val="6022031E"/>
    <w:rsid w:val="60593614"/>
    <w:rsid w:val="608B2E61"/>
    <w:rsid w:val="60986C85"/>
    <w:rsid w:val="60AA69DE"/>
    <w:rsid w:val="61183C2B"/>
    <w:rsid w:val="612B3202"/>
    <w:rsid w:val="61461556"/>
    <w:rsid w:val="616C7377"/>
    <w:rsid w:val="618741B1"/>
    <w:rsid w:val="61C24BFD"/>
    <w:rsid w:val="61E138C1"/>
    <w:rsid w:val="621B2B87"/>
    <w:rsid w:val="623205C0"/>
    <w:rsid w:val="624C1682"/>
    <w:rsid w:val="62640967"/>
    <w:rsid w:val="628E1274"/>
    <w:rsid w:val="629F5C72"/>
    <w:rsid w:val="62DE6052"/>
    <w:rsid w:val="63402869"/>
    <w:rsid w:val="634A483E"/>
    <w:rsid w:val="635602DE"/>
    <w:rsid w:val="63B138E5"/>
    <w:rsid w:val="63B84AF5"/>
    <w:rsid w:val="63C51B85"/>
    <w:rsid w:val="64265EA3"/>
    <w:rsid w:val="642B45E0"/>
    <w:rsid w:val="64604EAC"/>
    <w:rsid w:val="64740A1C"/>
    <w:rsid w:val="655646D9"/>
    <w:rsid w:val="65652A5B"/>
    <w:rsid w:val="656914C6"/>
    <w:rsid w:val="65F73581"/>
    <w:rsid w:val="661753B1"/>
    <w:rsid w:val="66457796"/>
    <w:rsid w:val="66650F64"/>
    <w:rsid w:val="66852AA1"/>
    <w:rsid w:val="66A5387A"/>
    <w:rsid w:val="66FD73EF"/>
    <w:rsid w:val="675A37CC"/>
    <w:rsid w:val="67656B1B"/>
    <w:rsid w:val="678C42CF"/>
    <w:rsid w:val="67AE419D"/>
    <w:rsid w:val="67B22635"/>
    <w:rsid w:val="6804305C"/>
    <w:rsid w:val="683769EB"/>
    <w:rsid w:val="689B2AA8"/>
    <w:rsid w:val="68AA5354"/>
    <w:rsid w:val="68AF4B31"/>
    <w:rsid w:val="68EB131E"/>
    <w:rsid w:val="69366BE8"/>
    <w:rsid w:val="698C50B9"/>
    <w:rsid w:val="69D47128"/>
    <w:rsid w:val="69F07ED0"/>
    <w:rsid w:val="69FE3890"/>
    <w:rsid w:val="6A7A0A2B"/>
    <w:rsid w:val="6ADE7537"/>
    <w:rsid w:val="6AEA1A38"/>
    <w:rsid w:val="6AF41275"/>
    <w:rsid w:val="6B221B0E"/>
    <w:rsid w:val="6BA240C1"/>
    <w:rsid w:val="6C223454"/>
    <w:rsid w:val="6C5D1E64"/>
    <w:rsid w:val="6C7543E1"/>
    <w:rsid w:val="6C7D42B4"/>
    <w:rsid w:val="6C8A3E98"/>
    <w:rsid w:val="6C963B87"/>
    <w:rsid w:val="6CA96079"/>
    <w:rsid w:val="6CAC1F8A"/>
    <w:rsid w:val="6CB47060"/>
    <w:rsid w:val="6CC81EA4"/>
    <w:rsid w:val="6D1234C8"/>
    <w:rsid w:val="6D37776E"/>
    <w:rsid w:val="6D4922A3"/>
    <w:rsid w:val="6D754A33"/>
    <w:rsid w:val="6DCD4D46"/>
    <w:rsid w:val="6DD32C57"/>
    <w:rsid w:val="6DD4077E"/>
    <w:rsid w:val="6DDB1B0C"/>
    <w:rsid w:val="6E102D14"/>
    <w:rsid w:val="6EB96428"/>
    <w:rsid w:val="6F1A790A"/>
    <w:rsid w:val="6FF56CC1"/>
    <w:rsid w:val="6FFC5967"/>
    <w:rsid w:val="701F03D6"/>
    <w:rsid w:val="703412AA"/>
    <w:rsid w:val="704838FD"/>
    <w:rsid w:val="70741413"/>
    <w:rsid w:val="709119F6"/>
    <w:rsid w:val="70C920F0"/>
    <w:rsid w:val="71265794"/>
    <w:rsid w:val="712A703B"/>
    <w:rsid w:val="712E4649"/>
    <w:rsid w:val="7141437C"/>
    <w:rsid w:val="71E06437"/>
    <w:rsid w:val="71E24DC4"/>
    <w:rsid w:val="71ED1E0E"/>
    <w:rsid w:val="71F7318A"/>
    <w:rsid w:val="721A3870"/>
    <w:rsid w:val="721A5279"/>
    <w:rsid w:val="7285157E"/>
    <w:rsid w:val="72C40116"/>
    <w:rsid w:val="72DB435C"/>
    <w:rsid w:val="73081ADA"/>
    <w:rsid w:val="739641CD"/>
    <w:rsid w:val="73E07E7C"/>
    <w:rsid w:val="74160FF1"/>
    <w:rsid w:val="74360701"/>
    <w:rsid w:val="74406B6D"/>
    <w:rsid w:val="74681C20"/>
    <w:rsid w:val="74736F42"/>
    <w:rsid w:val="74B23D8F"/>
    <w:rsid w:val="74D73C0D"/>
    <w:rsid w:val="753541F8"/>
    <w:rsid w:val="75824D9D"/>
    <w:rsid w:val="75AB1C93"/>
    <w:rsid w:val="76045978"/>
    <w:rsid w:val="761B163F"/>
    <w:rsid w:val="761F3505"/>
    <w:rsid w:val="76810114"/>
    <w:rsid w:val="76E41762"/>
    <w:rsid w:val="76EE2721"/>
    <w:rsid w:val="7717316E"/>
    <w:rsid w:val="77603777"/>
    <w:rsid w:val="77644920"/>
    <w:rsid w:val="77901BB9"/>
    <w:rsid w:val="77C7479C"/>
    <w:rsid w:val="77C84383"/>
    <w:rsid w:val="77D9530E"/>
    <w:rsid w:val="78600FD8"/>
    <w:rsid w:val="78645BB9"/>
    <w:rsid w:val="788E3223"/>
    <w:rsid w:val="78B6564F"/>
    <w:rsid w:val="78E06AB0"/>
    <w:rsid w:val="79224A93"/>
    <w:rsid w:val="798E0318"/>
    <w:rsid w:val="79A54D9F"/>
    <w:rsid w:val="79AF62F8"/>
    <w:rsid w:val="79BD71CD"/>
    <w:rsid w:val="7A0128FA"/>
    <w:rsid w:val="7AD93877"/>
    <w:rsid w:val="7AEC1379"/>
    <w:rsid w:val="7B573D00"/>
    <w:rsid w:val="7BC97448"/>
    <w:rsid w:val="7BF36B1E"/>
    <w:rsid w:val="7BFC0690"/>
    <w:rsid w:val="7C1D50F5"/>
    <w:rsid w:val="7C2766D2"/>
    <w:rsid w:val="7C6106D5"/>
    <w:rsid w:val="7C6151AF"/>
    <w:rsid w:val="7CC540BD"/>
    <w:rsid w:val="7CD026F4"/>
    <w:rsid w:val="7D423759"/>
    <w:rsid w:val="7D695F1A"/>
    <w:rsid w:val="7D6D25D4"/>
    <w:rsid w:val="7D753793"/>
    <w:rsid w:val="7DA243F4"/>
    <w:rsid w:val="7DD956AA"/>
    <w:rsid w:val="7E2D5B39"/>
    <w:rsid w:val="7E857F9E"/>
    <w:rsid w:val="7EAA3560"/>
    <w:rsid w:val="7EB94460"/>
    <w:rsid w:val="7ED160D1"/>
    <w:rsid w:val="7F1070CB"/>
    <w:rsid w:val="7F3C4743"/>
    <w:rsid w:val="7F4244D3"/>
    <w:rsid w:val="7F507FDA"/>
    <w:rsid w:val="7F523FDB"/>
    <w:rsid w:val="7F541B9F"/>
    <w:rsid w:val="7F911C85"/>
    <w:rsid w:val="7FA92BB9"/>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1"/>
    <w:basedOn w:val="1"/>
    <w:next w:val="1"/>
    <w:qFormat/>
    <w:uiPriority w:val="0"/>
    <w:pPr>
      <w:keepNext/>
      <w:keepLines/>
      <w:spacing w:line="360" w:lineRule="auto"/>
      <w:jc w:val="center"/>
      <w:outlineLvl w:val="0"/>
    </w:pPr>
    <w:rPr>
      <w:b/>
      <w:bCs/>
      <w:kern w:val="44"/>
      <w:sz w:val="44"/>
      <w:szCs w:val="44"/>
    </w:rPr>
  </w:style>
  <w:style w:type="paragraph" w:styleId="4">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9"/>
    <w:pPr>
      <w:keepNext/>
      <w:keepLines/>
      <w:spacing w:before="200"/>
      <w:outlineLvl w:val="3"/>
    </w:pPr>
    <w:rPr>
      <w:i/>
      <w:iCs/>
      <w:color w:val="4F81BD"/>
      <w:sz w:val="20"/>
      <w:szCs w:val="20"/>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toa heading"/>
    <w:basedOn w:val="1"/>
    <w:next w:val="1"/>
    <w:qFormat/>
    <w:uiPriority w:val="0"/>
    <w:pPr>
      <w:spacing w:before="120"/>
    </w:pPr>
    <w:rPr>
      <w:rFonts w:ascii="Cambria" w:hAnsi="Cambria"/>
      <w:sz w:val="24"/>
      <w:szCs w:val="20"/>
    </w:rPr>
  </w:style>
  <w:style w:type="paragraph" w:styleId="8">
    <w:name w:val="Body Text"/>
    <w:basedOn w:val="1"/>
    <w:qFormat/>
    <w:uiPriority w:val="99"/>
    <w:pPr>
      <w:numPr>
        <w:ilvl w:val="0"/>
        <w:numId w:val="1"/>
      </w:numPr>
      <w:tabs>
        <w:tab w:val="clear" w:pos="780"/>
      </w:tabs>
      <w:ind w:left="0" w:firstLine="0"/>
    </w:pPr>
    <w:rPr>
      <w:rFonts w:ascii="黑体" w:eastAsia="黑体"/>
      <w:sz w:val="22"/>
    </w:rPr>
  </w:style>
  <w:style w:type="paragraph" w:styleId="9">
    <w:name w:val="Body Text Indent"/>
    <w:basedOn w:val="1"/>
    <w:next w:val="1"/>
    <w:qFormat/>
    <w:uiPriority w:val="0"/>
    <w:pPr>
      <w:spacing w:after="120"/>
      <w:ind w:left="200" w:leftChars="200"/>
    </w:pPr>
  </w:style>
  <w:style w:type="paragraph" w:styleId="10">
    <w:name w:val="Plain Text"/>
    <w:basedOn w:val="1"/>
    <w:next w:val="11"/>
    <w:qFormat/>
    <w:uiPriority w:val="0"/>
    <w:rPr>
      <w:rFonts w:ascii="宋体"/>
      <w:color w:val="000000"/>
      <w:szCs w:val="20"/>
      <w:u w:val="none" w:color="000000"/>
    </w:rPr>
  </w:style>
  <w:style w:type="paragraph" w:styleId="11">
    <w:name w:val="index 7"/>
    <w:basedOn w:val="1"/>
    <w:next w:val="1"/>
    <w:qFormat/>
    <w:uiPriority w:val="0"/>
    <w:pPr>
      <w:autoSpaceDE/>
      <w:autoSpaceDN/>
      <w:adjustRightInd/>
      <w:ind w:left="1200" w:leftChars="1200"/>
    </w:pPr>
    <w:rPr>
      <w:color w:val="auto"/>
      <w:kern w:val="2"/>
      <w:szCs w:val="24"/>
    </w:rPr>
  </w:style>
  <w:style w:type="paragraph" w:styleId="12">
    <w:name w:val="Date"/>
    <w:basedOn w:val="1"/>
    <w:next w:val="1"/>
    <w:qFormat/>
    <w:uiPriority w:val="0"/>
    <w:rPr>
      <w:rFonts w:ascii="Arial" w:hAnsi="Arial" w:eastAsia="仿宋_GB2312"/>
      <w:color w:val="000000"/>
      <w:sz w:val="32"/>
      <w:szCs w:val="20"/>
      <w:u w:val="none" w:color="00000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footnote text"/>
    <w:basedOn w:val="1"/>
    <w:semiHidden/>
    <w:unhideWhenUsed/>
    <w:qFormat/>
    <w:uiPriority w:val="99"/>
    <w:pPr>
      <w:snapToGrid w:val="0"/>
      <w:jc w:val="left"/>
    </w:pPr>
    <w:rPr>
      <w:sz w:val="18"/>
      <w:szCs w:val="18"/>
    </w:rPr>
  </w:style>
  <w:style w:type="paragraph" w:styleId="16">
    <w:name w:val="Body Text 2"/>
    <w:basedOn w:val="1"/>
    <w:qFormat/>
    <w:uiPriority w:val="0"/>
    <w:pPr>
      <w:tabs>
        <w:tab w:val="left" w:pos="0"/>
      </w:tabs>
      <w:spacing w:line="400" w:lineRule="atLeast"/>
    </w:pPr>
    <w:rPr>
      <w:rFonts w:ascii="Arial" w:hAnsi="Arial"/>
      <w:color w:val="000000"/>
    </w:rPr>
  </w:style>
  <w:style w:type="paragraph" w:styleId="17">
    <w:name w:val="Normal (Web)"/>
    <w:basedOn w:val="1"/>
    <w:qFormat/>
    <w:uiPriority w:val="99"/>
    <w:pPr>
      <w:widowControl/>
      <w:jc w:val="left"/>
    </w:pPr>
    <w:rPr>
      <w:rFonts w:ascii="宋体" w:hAnsi="宋体" w:eastAsia="宋体" w:cs="宋体"/>
      <w:kern w:val="0"/>
      <w:sz w:val="24"/>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Hyperlink"/>
    <w:qFormat/>
    <w:uiPriority w:val="99"/>
    <w:rPr>
      <w:color w:val="0000FF"/>
      <w:u w:val="single"/>
    </w:rPr>
  </w:style>
  <w:style w:type="character" w:styleId="23">
    <w:name w:val="footnote reference"/>
    <w:basedOn w:val="20"/>
    <w:semiHidden/>
    <w:unhideWhenUsed/>
    <w:qFormat/>
    <w:uiPriority w:val="99"/>
    <w:rPr>
      <w:vertAlign w:val="superscript"/>
    </w:rPr>
  </w:style>
  <w:style w:type="paragraph" w:customStyle="1" w:styleId="24">
    <w:name w:val="二级标题"/>
    <w:basedOn w:val="3"/>
    <w:next w:val="1"/>
    <w:qFormat/>
    <w:uiPriority w:val="0"/>
    <w:pPr>
      <w:numPr>
        <w:ilvl w:val="0"/>
        <w:numId w:val="2"/>
      </w:numPr>
      <w:spacing w:line="415" w:lineRule="auto"/>
      <w:ind w:left="226" w:hanging="226" w:hangingChars="75"/>
      <w:outlineLvl w:val="1"/>
    </w:pPr>
    <w:rPr>
      <w:sz w:val="30"/>
      <w:szCs w:val="28"/>
    </w:rPr>
  </w:style>
  <w:style w:type="paragraph" w:customStyle="1" w:styleId="25">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26">
    <w:name w:val="文档正文"/>
    <w:basedOn w:val="2"/>
    <w:qFormat/>
    <w:uiPriority w:val="0"/>
    <w:pPr>
      <w:spacing w:line="360" w:lineRule="auto"/>
    </w:pPr>
    <w:rPr>
      <w:rFonts w:ascii="宋体" w:hAnsi="宋体"/>
      <w:b/>
      <w:bCs/>
    </w:r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_Style 2"/>
    <w:basedOn w:val="3"/>
    <w:next w:val="1"/>
    <w:qFormat/>
    <w:uiPriority w:val="39"/>
    <w:pPr>
      <w:widowControl/>
      <w:tabs>
        <w:tab w:val="left" w:pos="715"/>
      </w:tabs>
      <w:spacing w:before="480" w:after="0" w:line="276" w:lineRule="auto"/>
      <w:jc w:val="left"/>
      <w:outlineLvl w:val="9"/>
    </w:pPr>
    <w:rPr>
      <w:rFonts w:ascii="Cambria" w:hAnsi="Cambria" w:eastAsia="宋体" w:cs="Times New Roman"/>
      <w:color w:val="365F91"/>
      <w:kern w:val="0"/>
      <w:sz w:val="28"/>
      <w:szCs w:val="28"/>
    </w:rPr>
  </w:style>
  <w:style w:type="paragraph" w:customStyle="1" w:styleId="29">
    <w:name w:val="Heading #2|1"/>
    <w:basedOn w:val="1"/>
    <w:qFormat/>
    <w:uiPriority w:val="0"/>
    <w:pPr>
      <w:widowControl w:val="0"/>
      <w:shd w:val="clear" w:color="auto" w:fill="auto"/>
      <w:spacing w:before="60" w:after="270"/>
      <w:jc w:val="center"/>
      <w:outlineLvl w:val="1"/>
    </w:pPr>
    <w:rPr>
      <w:rFonts w:ascii="宋体" w:hAnsi="宋体" w:eastAsia="宋体" w:cs="宋体"/>
      <w:sz w:val="36"/>
      <w:szCs w:val="36"/>
      <w:u w:val="none"/>
      <w:shd w:val="clear" w:color="auto" w:fill="auto"/>
      <w:lang w:val="zh-TW" w:eastAsia="zh-TW" w:bidi="zh-TW"/>
    </w:rPr>
  </w:style>
  <w:style w:type="paragraph" w:customStyle="1" w:styleId="30">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31">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32">
    <w:name w:val="Other|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33">
    <w:name w:val="Table caption|1"/>
    <w:basedOn w:val="1"/>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paragraph" w:customStyle="1" w:styleId="34">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35">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36">
    <w:name w:val="图例"/>
    <w:basedOn w:val="1"/>
    <w:qFormat/>
    <w:uiPriority w:val="0"/>
    <w:pPr>
      <w:spacing w:before="120" w:beforeLines="0" w:after="120" w:afterLines="0" w:line="360" w:lineRule="auto"/>
      <w:jc w:val="center"/>
    </w:pPr>
    <w:rPr>
      <w:rFonts w:eastAsia="仿宋_GB2312"/>
      <w:b/>
      <w:sz w:val="24"/>
    </w:rPr>
  </w:style>
  <w:style w:type="paragraph" w:customStyle="1" w:styleId="37">
    <w:name w:val="WPS Plain"/>
    <w:qFormat/>
    <w:uiPriority w:val="0"/>
    <w:rPr>
      <w:rFonts w:ascii="Times New Roman" w:hAnsi="Times New Roman" w:eastAsia="宋体" w:cs="Times New Roman"/>
      <w:lang w:val="en-US" w:eastAsia="zh-CN" w:bidi="ar-SA"/>
    </w:rPr>
  </w:style>
  <w:style w:type="paragraph" w:customStyle="1" w:styleId="38">
    <w:name w:val="样式 左侧:  0 厘米 悬挂缩进: 2.5 字符"/>
    <w:basedOn w:val="1"/>
    <w:qFormat/>
    <w:uiPriority w:val="0"/>
    <w:pPr>
      <w:ind w:left="525" w:hanging="525" w:hangingChars="250"/>
    </w:pPr>
    <w:rPr>
      <w:szCs w:val="20"/>
    </w:rPr>
  </w:style>
  <w:style w:type="character" w:customStyle="1" w:styleId="39">
    <w:name w:val="font11"/>
    <w:basedOn w:val="20"/>
    <w:qFormat/>
    <w:uiPriority w:val="0"/>
    <w:rPr>
      <w:rFonts w:ascii="Calibri" w:hAnsi="Calibri" w:cs="Calibri"/>
      <w:color w:val="000000"/>
      <w:sz w:val="20"/>
      <w:szCs w:val="20"/>
      <w:u w:val="none"/>
    </w:rPr>
  </w:style>
  <w:style w:type="table" w:customStyle="1" w:styleId="40">
    <w:name w:val="TableGrid"/>
    <w:basedOn w:val="18"/>
    <w:qFormat/>
    <w:uiPriority w:val="0"/>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0" w:type="dxa"/>
        <w:bottom w:w="0" w:type="dxa"/>
        <w:right w:w="0" w:type="dxa"/>
      </w:tblCellMar>
    </w:tblPr>
  </w:style>
  <w:style w:type="paragraph" w:styleId="41">
    <w:name w:val="List Paragraph"/>
    <w:basedOn w:val="1"/>
    <w:unhideWhenUsed/>
    <w:qFormat/>
    <w:uiPriority w:val="0"/>
    <w:pPr>
      <w:spacing w:beforeLines="0" w:afterLines="0"/>
      <w:ind w:firstLine="200" w:firstLineChars="200"/>
    </w:pPr>
    <w:rPr>
      <w:rFonts w:hint="default"/>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50468</Words>
  <Characters>55823</Characters>
  <Lines>0</Lines>
  <Paragraphs>0</Paragraphs>
  <TotalTime>11</TotalTime>
  <ScaleCrop>false</ScaleCrop>
  <LinksUpToDate>false</LinksUpToDate>
  <CharactersWithSpaces>59865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Administrator</cp:lastModifiedBy>
  <cp:lastPrinted>2022-06-29T09:16:00Z</cp:lastPrinted>
  <dcterms:modified xsi:type="dcterms:W3CDTF">2022-07-04T11:29:11Z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9A887874774C40AAAC68BBFBF47CA71D</vt:lpwstr>
  </property>
</Properties>
</file>