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widowControl w:val="0"/>
        <w:numPr>
          <w:ilvl w:val="0"/>
          <w:numId w:val="0"/>
        </w:numPr>
        <w:adjustRightInd w:val="0"/>
        <w:jc w:val="center"/>
        <w:textAlignment w:val="baseline"/>
        <w:rPr>
          <w:rFonts w:hint="eastAsia" w:ascii="仿宋" w:hAnsi="仿宋" w:eastAsia="仿宋" w:cs="仿宋"/>
          <w:b/>
          <w:color w:val="auto"/>
          <w:sz w:val="56"/>
          <w:szCs w:val="48"/>
          <w:highlight w:val="none"/>
          <w:lang w:eastAsia="zh-CN"/>
        </w:rPr>
      </w:pPr>
    </w:p>
    <w:p>
      <w:pPr>
        <w:pStyle w:val="17"/>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lang w:eastAsia="zh-CN"/>
        </w:rPr>
        <w:t>和田地区2023年强制免疫疫苗采购项目（二次）（</w:t>
      </w:r>
      <w:r>
        <w:rPr>
          <w:rFonts w:hint="eastAsia" w:ascii="仿宋" w:hAnsi="仿宋" w:eastAsia="仿宋" w:cs="仿宋"/>
          <w:color w:val="auto"/>
          <w:sz w:val="52"/>
          <w:szCs w:val="52"/>
          <w:highlight w:val="none"/>
          <w:lang w:val="en-US" w:eastAsia="zh-CN"/>
        </w:rPr>
        <w:t>包一</w:t>
      </w:r>
      <w:r>
        <w:rPr>
          <w:rFonts w:hint="eastAsia" w:ascii="仿宋" w:hAnsi="仿宋" w:eastAsia="仿宋" w:cs="仿宋"/>
          <w:color w:val="auto"/>
          <w:sz w:val="52"/>
          <w:szCs w:val="52"/>
          <w:highlight w:val="none"/>
          <w:lang w:eastAsia="zh-CN"/>
        </w:rPr>
        <w:t>）</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项目编号：XYTDZB-GK-2023012-01</w:t>
      </w:r>
    </w:p>
    <w:p>
      <w:pPr>
        <w:pStyle w:val="35"/>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仿宋" w:hAnsi="仿宋" w:eastAsia="仿宋" w:cs="仿宋"/>
          <w:bCs/>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rPr>
        <w:t>采</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zh-CN"/>
        </w:rPr>
        <w:t>购</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zh-CN"/>
        </w:rPr>
        <w:t>人（盖章）：</w:t>
      </w:r>
      <w:r>
        <w:rPr>
          <w:rFonts w:hint="eastAsia" w:ascii="仿宋" w:hAnsi="仿宋" w:eastAsia="仿宋" w:cs="仿宋"/>
          <w:bCs/>
          <w:color w:val="auto"/>
          <w:sz w:val="28"/>
          <w:szCs w:val="28"/>
          <w:highlight w:val="none"/>
          <w:lang w:val="en-US" w:eastAsia="zh-CN"/>
        </w:rPr>
        <w:t>和田地区农业农村局</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eastAsia="zh-CN"/>
        </w:rPr>
        <w:t>联 系 人：</w:t>
      </w:r>
      <w:r>
        <w:rPr>
          <w:rFonts w:hint="eastAsia" w:ascii="仿宋" w:hAnsi="仿宋" w:eastAsia="仿宋" w:cs="仿宋"/>
          <w:bCs/>
          <w:color w:val="auto"/>
          <w:sz w:val="28"/>
          <w:szCs w:val="28"/>
          <w:highlight w:val="none"/>
          <w:lang w:val="en-US" w:eastAsia="zh-CN"/>
        </w:rPr>
        <w:t>李绍山</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eastAsia="zh-CN"/>
        </w:rPr>
        <w:t>电    话：0903-2021613、</w:t>
      </w:r>
      <w:r>
        <w:rPr>
          <w:rFonts w:hint="eastAsia" w:ascii="仿宋" w:hAnsi="仿宋" w:eastAsia="仿宋" w:cs="仿宋"/>
          <w:bCs/>
          <w:color w:val="auto"/>
          <w:sz w:val="28"/>
          <w:szCs w:val="28"/>
          <w:highlight w:val="none"/>
          <w:lang w:val="en-US" w:eastAsia="zh-CN"/>
        </w:rPr>
        <w:t>15199796680</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详细地址：和田市昆仑路42号</w:t>
      </w:r>
    </w:p>
    <w:p>
      <w:pPr>
        <w:keepNext w:val="0"/>
        <w:keepLines w:val="0"/>
        <w:pageBreakBefore w:val="0"/>
        <w:widowControl w:val="0"/>
        <w:kinsoku/>
        <w:wordWrap/>
        <w:overflowPunct/>
        <w:topLinePunct w:val="0"/>
        <w:autoSpaceDE w:val="0"/>
        <w:autoSpaceDN w:val="0"/>
        <w:bidi w:val="0"/>
        <w:adjustRightInd w:val="0"/>
        <w:snapToGrid/>
        <w:spacing w:line="480" w:lineRule="auto"/>
        <w:ind w:left="4302" w:leftChars="382" w:hanging="3500" w:hangingChars="1250"/>
        <w:textAlignment w:val="auto"/>
        <w:rPr>
          <w:rFonts w:hint="eastAsia" w:ascii="仿宋" w:hAnsi="仿宋" w:eastAsia="仿宋" w:cs="仿宋"/>
          <w:bCs/>
          <w:color w:val="auto"/>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rPr>
        <w:t>招标代理机构</w:t>
      </w:r>
      <w:r>
        <w:rPr>
          <w:rFonts w:hint="eastAsia" w:ascii="仿宋" w:hAnsi="仿宋" w:eastAsia="仿宋" w:cs="仿宋"/>
          <w:color w:val="auto"/>
          <w:sz w:val="28"/>
          <w:szCs w:val="28"/>
          <w:highlight w:val="none"/>
          <w:lang w:val="zh-CN"/>
        </w:rPr>
        <w:t>（盖章）</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新疆星耀天都项目管理有限责任公司</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zh-CN" w:eastAsia="zh-CN" w:bidi="ar-SA"/>
        </w:rPr>
        <w:t>项目负责人：</w:t>
      </w:r>
      <w:r>
        <w:rPr>
          <w:rFonts w:hint="eastAsia" w:ascii="仿宋" w:hAnsi="仿宋" w:eastAsia="仿宋" w:cs="仿宋"/>
          <w:b w:val="0"/>
          <w:bCs/>
          <w:color w:val="auto"/>
          <w:kern w:val="0"/>
          <w:sz w:val="28"/>
          <w:szCs w:val="28"/>
          <w:highlight w:val="none"/>
          <w:lang w:val="en-US" w:eastAsia="zh-CN" w:bidi="ar-SA"/>
        </w:rPr>
        <w:t>马女士</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zh-CN" w:eastAsia="zh-CN" w:bidi="ar-SA"/>
        </w:rPr>
        <w:t>电    话：0903-7820806</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 w:val="0"/>
          <w:bCs/>
          <w:color w:val="auto"/>
          <w:kern w:val="0"/>
          <w:sz w:val="28"/>
          <w:szCs w:val="28"/>
          <w:highlight w:val="none"/>
          <w:lang w:val="zh-CN" w:eastAsia="zh-CN" w:bidi="ar-SA"/>
        </w:rPr>
      </w:pPr>
      <w:r>
        <w:rPr>
          <w:rFonts w:hint="eastAsia" w:ascii="仿宋" w:hAnsi="仿宋" w:eastAsia="仿宋" w:cs="仿宋"/>
          <w:b w:val="0"/>
          <w:bCs/>
          <w:color w:val="auto"/>
          <w:kern w:val="0"/>
          <w:sz w:val="28"/>
          <w:szCs w:val="28"/>
          <w:highlight w:val="none"/>
          <w:lang w:val="zh-CN" w:eastAsia="zh-CN" w:bidi="ar-SA"/>
        </w:rPr>
        <w:t>详细地址：和田市人民路18号玉都国际广场银座9楼</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jc w:val="center"/>
        <w:textAlignment w:val="auto"/>
        <w:rPr>
          <w:rFonts w:hint="eastAsia" w:ascii="仿宋" w:hAnsi="仿宋" w:eastAsia="仿宋" w:cs="仿宋"/>
          <w:b w:val="0"/>
          <w:bCs/>
          <w:color w:val="auto"/>
          <w:kern w:val="0"/>
          <w:sz w:val="28"/>
          <w:szCs w:val="28"/>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jc w:val="center"/>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日    期：2023年2月</w:t>
      </w:r>
    </w:p>
    <w:p>
      <w:pPr>
        <w:spacing w:line="360" w:lineRule="auto"/>
        <w:rPr>
          <w:rFonts w:hint="eastAsia" w:ascii="仿宋" w:hAnsi="仿宋" w:eastAsia="仿宋" w:cs="仿宋"/>
          <w:color w:val="auto"/>
          <w:highlight w:val="none"/>
        </w:rPr>
      </w:pPr>
    </w:p>
    <w:p>
      <w:pPr>
        <w:ind w:left="1077" w:leftChars="513"/>
        <w:rPr>
          <w:rFonts w:hint="eastAsia" w:ascii="仿宋" w:hAnsi="仿宋" w:eastAsia="仿宋" w:cs="仿宋"/>
          <w:color w:val="auto"/>
          <w:sz w:val="32"/>
          <w:szCs w:val="32"/>
          <w:highlight w:val="none"/>
        </w:rPr>
      </w:pPr>
    </w:p>
    <w:p>
      <w:pPr>
        <w:pStyle w:val="86"/>
        <w:rPr>
          <w:rFonts w:hint="eastAsia" w:ascii="仿宋" w:hAnsi="仿宋" w:eastAsia="仿宋" w:cs="仿宋"/>
          <w:color w:val="auto"/>
          <w:sz w:val="32"/>
          <w:szCs w:val="32"/>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color w:val="auto"/>
          <w:kern w:val="0"/>
          <w:sz w:val="36"/>
          <w:szCs w:val="36"/>
          <w:highlight w:val="none"/>
        </w:rPr>
        <w:t>目  录</w:t>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招标书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第三章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 xml:space="preserve">第四章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第五章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5"/>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8"/>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8"/>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86"/>
        <w:rPr>
          <w:rFonts w:hint="eastAsia" w:ascii="仿宋" w:hAnsi="仿宋" w:eastAsia="仿宋" w:cs="仿宋"/>
          <w:color w:val="auto"/>
          <w:kern w:val="0"/>
          <w:sz w:val="28"/>
          <w:szCs w:val="28"/>
          <w:highlight w:val="none"/>
        </w:rPr>
      </w:pPr>
    </w:p>
    <w:p>
      <w:pPr>
        <w:pStyle w:val="5"/>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color w:val="auto"/>
          <w:sz w:val="36"/>
          <w:szCs w:val="36"/>
          <w:lang w:eastAsia="zh-CN"/>
        </w:rPr>
      </w:pPr>
      <w:bookmarkStart w:id="0" w:name="_Toc15231"/>
      <w:bookmarkStart w:id="1" w:name="_Toc25035"/>
      <w:bookmarkStart w:id="2" w:name="_Toc30559"/>
      <w:bookmarkStart w:id="3" w:name="_Toc1277"/>
      <w:bookmarkStart w:id="4" w:name="_Toc27002"/>
      <w:bookmarkStart w:id="5" w:name="_Toc5064"/>
      <w:bookmarkStart w:id="6" w:name="_Toc19282"/>
      <w:bookmarkStart w:id="7" w:name="_Toc15770"/>
      <w:bookmarkStart w:id="8" w:name="_Toc30491"/>
      <w:r>
        <w:rPr>
          <w:rFonts w:hint="eastAsia" w:ascii="仿宋" w:hAnsi="仿宋" w:eastAsia="仿宋" w:cs="仿宋"/>
          <w:color w:val="auto"/>
          <w:sz w:val="36"/>
          <w:szCs w:val="36"/>
          <w:lang w:eastAsia="zh-CN"/>
        </w:rPr>
        <w:t>和田地区2023年强制免疫疫苗采购项目（二次）</w:t>
      </w:r>
    </w:p>
    <w:p>
      <w:pPr>
        <w:pStyle w:val="5"/>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color w:val="auto"/>
          <w:sz w:val="36"/>
          <w:szCs w:val="36"/>
          <w:lang w:val="en-US"/>
        </w:rPr>
      </w:pPr>
      <w:r>
        <w:rPr>
          <w:rFonts w:hint="eastAsia" w:ascii="仿宋" w:hAnsi="仿宋" w:eastAsia="仿宋" w:cs="仿宋"/>
          <w:color w:val="auto"/>
          <w:sz w:val="36"/>
          <w:szCs w:val="36"/>
          <w:lang w:val="en-US"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和田地区2023年强制免疫疫苗采购项目（二次）招标项目的潜在投标人应在政采云平台：</w:t>
      </w:r>
      <w:r>
        <w:rPr>
          <w:rFonts w:hint="eastAsia" w:ascii="仿宋" w:hAnsi="仿宋" w:eastAsia="仿宋" w:cs="仿宋"/>
          <w:color w:val="auto"/>
          <w:sz w:val="24"/>
          <w:szCs w:val="24"/>
          <w:u w:val="single"/>
          <w:lang w:eastAsia="zh-CN"/>
        </w:rPr>
        <w:fldChar w:fldCharType="begin"/>
      </w:r>
      <w:r>
        <w:rPr>
          <w:rFonts w:hint="eastAsia" w:ascii="仿宋" w:hAnsi="仿宋" w:eastAsia="仿宋" w:cs="仿宋"/>
          <w:color w:val="auto"/>
          <w:sz w:val="24"/>
          <w:szCs w:val="24"/>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u w:val="single"/>
          <w:lang w:eastAsia="zh-CN"/>
        </w:rPr>
        <w:fldChar w:fldCharType="separate"/>
      </w:r>
      <w:r>
        <w:rPr>
          <w:rStyle w:val="51"/>
          <w:rFonts w:hint="eastAsia" w:ascii="仿宋" w:hAnsi="仿宋" w:eastAsia="仿宋" w:cs="仿宋"/>
          <w:color w:val="auto"/>
          <w:sz w:val="24"/>
          <w:szCs w:val="24"/>
          <w:lang w:eastAsia="zh-CN"/>
        </w:rPr>
        <w:t>https://www.zcygov.cn/线上获取获取招标文件，并于202</w:t>
      </w:r>
      <w:r>
        <w:rPr>
          <w:rStyle w:val="51"/>
          <w:rFonts w:hint="eastAsia" w:ascii="仿宋" w:hAnsi="仿宋" w:eastAsia="仿宋" w:cs="仿宋"/>
          <w:color w:val="auto"/>
          <w:sz w:val="24"/>
          <w:szCs w:val="24"/>
          <w:lang w:val="en-US" w:eastAsia="zh-CN"/>
        </w:rPr>
        <w:t>3</w:t>
      </w:r>
      <w:r>
        <w:rPr>
          <w:rStyle w:val="51"/>
          <w:rFonts w:hint="eastAsia" w:ascii="仿宋" w:hAnsi="仿宋" w:eastAsia="仿宋" w:cs="仿宋"/>
          <w:color w:val="auto"/>
          <w:sz w:val="24"/>
          <w:szCs w:val="24"/>
          <w:lang w:eastAsia="zh-CN"/>
        </w:rPr>
        <w:t>年</w:t>
      </w:r>
      <w:r>
        <w:rPr>
          <w:rStyle w:val="51"/>
          <w:rFonts w:hint="eastAsia" w:ascii="仿宋" w:hAnsi="仿宋" w:eastAsia="仿宋" w:cs="仿宋"/>
          <w:color w:val="auto"/>
          <w:sz w:val="24"/>
          <w:szCs w:val="24"/>
          <w:lang w:val="en-US" w:eastAsia="zh-CN"/>
        </w:rPr>
        <w:t>03</w:t>
      </w:r>
      <w:r>
        <w:rPr>
          <w:rStyle w:val="51"/>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fldChar w:fldCharType="end"/>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lang w:eastAsia="zh-CN"/>
        </w:rPr>
        <w:t>日11:00（北京时间）前递交投标文件。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9" w:name="_Toc35393790"/>
      <w:bookmarkStart w:id="10" w:name="_Toc28359002"/>
      <w:bookmarkStart w:id="11" w:name="_Toc35393621"/>
      <w:bookmarkStart w:id="12" w:name="_Toc28359079"/>
      <w:bookmarkStart w:id="13" w:name="_Hlk24379207"/>
      <w:r>
        <w:rPr>
          <w:rFonts w:hint="eastAsia" w:ascii="仿宋" w:hAnsi="仿宋" w:eastAsia="仿宋" w:cs="仿宋"/>
          <w:b/>
          <w:bCs/>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XYTDZB-GK-2023012</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13"/>
      <w:bookmarkStart w:id="14" w:name="_Toc35393791"/>
      <w:bookmarkStart w:id="15" w:name="_Toc35393622"/>
      <w:bookmarkStart w:id="16" w:name="_Toc28359080"/>
      <w:bookmarkStart w:id="17" w:name="_Toc28359003"/>
      <w:r>
        <w:rPr>
          <w:rFonts w:hint="eastAsia" w:ascii="仿宋" w:hAnsi="仿宋" w:eastAsia="仿宋" w:cs="仿宋"/>
          <w:color w:val="auto"/>
          <w:sz w:val="24"/>
          <w:szCs w:val="24"/>
          <w:highlight w:val="none"/>
          <w:lang w:eastAsia="zh-CN"/>
        </w:rPr>
        <w:t>和田地区2023年强制免疫疫苗采购项目（二次）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val="en-US" w:eastAsia="zh-CN"/>
        </w:rPr>
        <w:t>公开招标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预算金额：</w:t>
      </w:r>
      <w:r>
        <w:rPr>
          <w:rFonts w:hint="eastAsia" w:ascii="仿宋" w:hAnsi="仿宋" w:eastAsia="仿宋" w:cs="仿宋"/>
          <w:color w:val="auto"/>
          <w:sz w:val="24"/>
          <w:szCs w:val="24"/>
          <w:highlight w:val="none"/>
          <w:lang w:val="en-US" w:eastAsia="zh-CN"/>
        </w:rPr>
        <w:t xml:space="preserve"> 1082万元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最高限价：包一：512万元；包二：512万元；包七：58万元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采购需求</w:t>
      </w:r>
    </w:p>
    <w:tbl>
      <w:tblPr>
        <w:tblStyle w:val="45"/>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30"/>
        <w:gridCol w:w="1148"/>
        <w:gridCol w:w="781"/>
        <w:gridCol w:w="1301"/>
        <w:gridCol w:w="328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5" w:type="dxa"/>
            <w:vAlign w:val="center"/>
          </w:tcPr>
          <w:p>
            <w:pPr>
              <w:pStyle w:val="53"/>
              <w:numPr>
                <w:ilvl w:val="0"/>
                <w:numId w:val="0"/>
              </w:numPr>
              <w:spacing w:line="240" w:lineRule="auto"/>
              <w:jc w:val="center"/>
              <w:rPr>
                <w:rFonts w:hint="eastAsia" w:ascii="仿宋" w:hAnsi="仿宋" w:eastAsia="仿宋" w:cs="仿宋"/>
                <w:color w:val="auto"/>
                <w:sz w:val="24"/>
                <w:szCs w:val="24"/>
                <w:vertAlign w:val="baseline"/>
              </w:rPr>
            </w:pPr>
            <w:r>
              <w:rPr>
                <w:rFonts w:hint="eastAsia" w:ascii="仿宋" w:hAnsi="仿宋" w:eastAsia="仿宋" w:cs="仿宋"/>
                <w:b w:val="0"/>
                <w:bCs/>
                <w:i w:val="0"/>
                <w:caps w:val="0"/>
                <w:color w:val="auto"/>
                <w:spacing w:val="0"/>
                <w:kern w:val="2"/>
                <w:sz w:val="24"/>
                <w:szCs w:val="24"/>
                <w:shd w:val="clear" w:color="auto" w:fill="FFFFFF"/>
                <w:lang w:val="en-US" w:eastAsia="zh-CN" w:bidi="ar-SA"/>
              </w:rPr>
              <w:t>标项序号</w:t>
            </w:r>
          </w:p>
        </w:tc>
        <w:tc>
          <w:tcPr>
            <w:tcW w:w="1530" w:type="dxa"/>
            <w:vAlign w:val="center"/>
          </w:tcPr>
          <w:p>
            <w:pPr>
              <w:pStyle w:val="53"/>
              <w:numPr>
                <w:ilvl w:val="0"/>
                <w:numId w:val="0"/>
              </w:numPr>
              <w:spacing w:line="240" w:lineRule="auto"/>
              <w:jc w:val="center"/>
              <w:rPr>
                <w:rFonts w:hint="eastAsia" w:ascii="仿宋" w:hAnsi="仿宋" w:eastAsia="仿宋" w:cs="仿宋"/>
                <w:color w:val="auto"/>
                <w:sz w:val="24"/>
                <w:szCs w:val="24"/>
                <w:vertAlign w:val="baseline"/>
              </w:rPr>
            </w:pPr>
            <w:r>
              <w:rPr>
                <w:rFonts w:hint="eastAsia" w:ascii="仿宋" w:hAnsi="仿宋" w:eastAsia="仿宋" w:cs="仿宋"/>
                <w:b w:val="0"/>
                <w:bCs/>
                <w:i w:val="0"/>
                <w:caps w:val="0"/>
                <w:color w:val="auto"/>
                <w:spacing w:val="0"/>
                <w:kern w:val="2"/>
                <w:sz w:val="24"/>
                <w:szCs w:val="24"/>
                <w:shd w:val="clear" w:color="auto" w:fill="FFFFFF"/>
                <w:lang w:val="en-US" w:eastAsia="zh-CN" w:bidi="ar-SA"/>
              </w:rPr>
              <w:t>标项名称</w:t>
            </w:r>
          </w:p>
        </w:tc>
        <w:tc>
          <w:tcPr>
            <w:tcW w:w="1148" w:type="dxa"/>
            <w:vAlign w:val="center"/>
          </w:tcPr>
          <w:p>
            <w:pPr>
              <w:pStyle w:val="53"/>
              <w:numPr>
                <w:ilvl w:val="0"/>
                <w:numId w:val="0"/>
              </w:numPr>
              <w:spacing w:line="240" w:lineRule="auto"/>
              <w:jc w:val="center"/>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数量（万）</w:t>
            </w:r>
          </w:p>
        </w:tc>
        <w:tc>
          <w:tcPr>
            <w:tcW w:w="781" w:type="dxa"/>
            <w:vAlign w:val="center"/>
          </w:tcPr>
          <w:p>
            <w:pPr>
              <w:pStyle w:val="53"/>
              <w:numPr>
                <w:ilvl w:val="0"/>
                <w:numId w:val="0"/>
              </w:numPr>
              <w:spacing w:line="240" w:lineRule="auto"/>
              <w:jc w:val="center"/>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单位</w:t>
            </w:r>
          </w:p>
        </w:tc>
        <w:tc>
          <w:tcPr>
            <w:tcW w:w="1301" w:type="dxa"/>
            <w:vAlign w:val="center"/>
          </w:tcPr>
          <w:p>
            <w:pPr>
              <w:pStyle w:val="53"/>
              <w:numPr>
                <w:ilvl w:val="0"/>
                <w:numId w:val="0"/>
              </w:numPr>
              <w:spacing w:line="240" w:lineRule="auto"/>
              <w:jc w:val="center"/>
              <w:rPr>
                <w:rFonts w:hint="eastAsia" w:ascii="仿宋" w:hAnsi="仿宋" w:eastAsia="仿宋" w:cs="仿宋"/>
                <w:color w:val="auto"/>
                <w:sz w:val="24"/>
                <w:szCs w:val="24"/>
                <w:vertAlign w:val="baseline"/>
              </w:rPr>
            </w:pPr>
            <w:r>
              <w:rPr>
                <w:rFonts w:hint="eastAsia" w:ascii="仿宋" w:hAnsi="仿宋" w:eastAsia="仿宋" w:cs="仿宋"/>
                <w:i w:val="0"/>
                <w:iCs w:val="0"/>
                <w:caps w:val="0"/>
                <w:color w:val="auto"/>
                <w:spacing w:val="0"/>
                <w:sz w:val="24"/>
                <w:szCs w:val="24"/>
              </w:rPr>
              <w:t>预算金额(</w:t>
            </w:r>
            <w:r>
              <w:rPr>
                <w:rFonts w:hint="eastAsia" w:ascii="仿宋" w:hAnsi="仿宋" w:eastAsia="仿宋" w:cs="仿宋"/>
                <w:i w:val="0"/>
                <w:iCs w:val="0"/>
                <w:caps w:val="0"/>
                <w:color w:val="auto"/>
                <w:spacing w:val="0"/>
                <w:sz w:val="24"/>
                <w:szCs w:val="24"/>
                <w:lang w:val="en-US" w:eastAsia="zh-CN"/>
              </w:rPr>
              <w:t>万</w:t>
            </w:r>
            <w:r>
              <w:rPr>
                <w:rFonts w:hint="eastAsia" w:ascii="仿宋" w:hAnsi="仿宋" w:eastAsia="仿宋" w:cs="仿宋"/>
                <w:i w:val="0"/>
                <w:iCs w:val="0"/>
                <w:caps w:val="0"/>
                <w:color w:val="auto"/>
                <w:spacing w:val="0"/>
                <w:sz w:val="24"/>
                <w:szCs w:val="24"/>
              </w:rPr>
              <w:t>元)</w:t>
            </w:r>
          </w:p>
        </w:tc>
        <w:tc>
          <w:tcPr>
            <w:tcW w:w="3285" w:type="dxa"/>
            <w:vAlign w:val="center"/>
          </w:tcPr>
          <w:p>
            <w:pPr>
              <w:pStyle w:val="53"/>
              <w:numPr>
                <w:ilvl w:val="0"/>
                <w:numId w:val="0"/>
              </w:numPr>
              <w:spacing w:line="240" w:lineRule="auto"/>
              <w:jc w:val="center"/>
              <w:rPr>
                <w:rFonts w:hint="eastAsia" w:ascii="仿宋" w:hAnsi="仿宋" w:eastAsia="仿宋" w:cs="仿宋"/>
                <w:color w:val="auto"/>
                <w:sz w:val="24"/>
                <w:szCs w:val="24"/>
                <w:vertAlign w:val="baseline"/>
              </w:rPr>
            </w:pPr>
            <w:r>
              <w:rPr>
                <w:rFonts w:hint="eastAsia" w:ascii="仿宋" w:hAnsi="仿宋" w:eastAsia="仿宋" w:cs="仿宋"/>
                <w:b w:val="0"/>
                <w:bCs/>
                <w:i w:val="0"/>
                <w:caps w:val="0"/>
                <w:color w:val="auto"/>
                <w:spacing w:val="0"/>
                <w:kern w:val="2"/>
                <w:sz w:val="24"/>
                <w:szCs w:val="24"/>
                <w:shd w:val="clear" w:color="auto" w:fill="FFFFFF"/>
                <w:lang w:val="en-US" w:eastAsia="zh-CN" w:bidi="ar-SA"/>
              </w:rPr>
              <w:t>简要规格描述</w:t>
            </w:r>
          </w:p>
        </w:tc>
        <w:tc>
          <w:tcPr>
            <w:tcW w:w="757" w:type="dxa"/>
            <w:vAlign w:val="center"/>
          </w:tcPr>
          <w:p>
            <w:pPr>
              <w:pStyle w:val="53"/>
              <w:numPr>
                <w:ilvl w:val="0"/>
                <w:numId w:val="0"/>
              </w:numPr>
              <w:spacing w:line="240" w:lineRule="auto"/>
              <w:jc w:val="center"/>
              <w:rPr>
                <w:rFonts w:hint="eastAsia" w:ascii="仿宋" w:hAnsi="仿宋" w:eastAsia="仿宋" w:cs="仿宋"/>
                <w:b w:val="0"/>
                <w:bCs/>
                <w:i w:val="0"/>
                <w:caps w:val="0"/>
                <w:color w:val="auto"/>
                <w:spacing w:val="0"/>
                <w:kern w:val="2"/>
                <w:sz w:val="24"/>
                <w:szCs w:val="24"/>
                <w:shd w:val="clear" w:color="auto" w:fill="FFFFFF"/>
                <w:lang w:val="en-US" w:eastAsia="zh-CN" w:bidi="ar-SA"/>
              </w:rPr>
            </w:pPr>
            <w:r>
              <w:rPr>
                <w:rFonts w:hint="eastAsia" w:ascii="仿宋" w:hAnsi="仿宋" w:eastAsia="仿宋" w:cs="仿宋"/>
                <w:b w:val="0"/>
                <w:bCs/>
                <w:i w:val="0"/>
                <w:caps w:val="0"/>
                <w:color w:val="auto"/>
                <w:spacing w:val="0"/>
                <w:kern w:val="2"/>
                <w:sz w:val="24"/>
                <w:szCs w:val="24"/>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35" w:type="dxa"/>
            <w:vAlign w:val="center"/>
          </w:tcPr>
          <w:p>
            <w:pPr>
              <w:pStyle w:val="53"/>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530" w:type="dxa"/>
            <w:vAlign w:val="center"/>
          </w:tcPr>
          <w:p>
            <w:pPr>
              <w:pStyle w:val="53"/>
              <w:numPr>
                <w:ilvl w:val="0"/>
                <w:numId w:val="0"/>
              </w:numPr>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highlight w:val="none"/>
                <w:lang w:eastAsia="zh-CN"/>
              </w:rPr>
              <w:t>和田地区2023年强制免疫疫苗采购项目（二次）（包一）</w:t>
            </w:r>
          </w:p>
        </w:tc>
        <w:tc>
          <w:tcPr>
            <w:tcW w:w="1148" w:type="dxa"/>
            <w:vAlign w:val="center"/>
          </w:tcPr>
          <w:p>
            <w:pPr>
              <w:pStyle w:val="53"/>
              <w:numPr>
                <w:ilvl w:val="0"/>
                <w:numId w:val="0"/>
              </w:numPr>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800</w:t>
            </w:r>
          </w:p>
        </w:tc>
        <w:tc>
          <w:tcPr>
            <w:tcW w:w="781" w:type="dxa"/>
            <w:vAlign w:val="center"/>
          </w:tcPr>
          <w:p>
            <w:pPr>
              <w:pStyle w:val="53"/>
              <w:numPr>
                <w:ilvl w:val="0"/>
                <w:numId w:val="0"/>
              </w:numPr>
              <w:ind w:left="0" w:leftChars="0" w:firstLine="0" w:firstLineChars="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毫升</w:t>
            </w:r>
          </w:p>
        </w:tc>
        <w:tc>
          <w:tcPr>
            <w:tcW w:w="1301" w:type="dxa"/>
            <w:vAlign w:val="center"/>
          </w:tcPr>
          <w:p>
            <w:pPr>
              <w:pStyle w:val="53"/>
              <w:numPr>
                <w:ilvl w:val="0"/>
                <w:numId w:val="0"/>
              </w:numPr>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512</w:t>
            </w:r>
          </w:p>
        </w:tc>
        <w:tc>
          <w:tcPr>
            <w:tcW w:w="3285" w:type="dxa"/>
            <w:vAlign w:val="center"/>
          </w:tcPr>
          <w:p>
            <w:pPr>
              <w:pStyle w:val="140"/>
              <w:spacing w:before="151"/>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牛羊用口蹄疫O型、A型二价灭活疫苗（O/MYA98/BY/2010 株或OHM/02株或O/HB/HK/99株+AKT-Ⅲ株或Re-A/WH/09 株或AF/72株）</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具体参数详见招标文件</w:t>
            </w:r>
            <w:r>
              <w:rPr>
                <w:rFonts w:hint="eastAsia" w:ascii="仿宋" w:hAnsi="仿宋" w:eastAsia="仿宋" w:cs="仿宋"/>
                <w:color w:val="auto"/>
                <w:sz w:val="24"/>
                <w:szCs w:val="24"/>
                <w:vertAlign w:val="baseline"/>
                <w:lang w:eastAsia="zh-CN"/>
              </w:rPr>
              <w:t>）</w:t>
            </w:r>
          </w:p>
        </w:tc>
        <w:tc>
          <w:tcPr>
            <w:tcW w:w="757" w:type="dxa"/>
            <w:vAlign w:val="center"/>
          </w:tcPr>
          <w:p>
            <w:pPr>
              <w:pStyle w:val="140"/>
              <w:spacing w:before="151"/>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35" w:type="dxa"/>
            <w:vAlign w:val="center"/>
          </w:tcPr>
          <w:p>
            <w:pPr>
              <w:pStyle w:val="53"/>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530" w:type="dxa"/>
            <w:vAlign w:val="center"/>
          </w:tcPr>
          <w:p>
            <w:pPr>
              <w:pStyle w:val="53"/>
              <w:numPr>
                <w:ilvl w:val="0"/>
                <w:numId w:val="0"/>
              </w:numPr>
              <w:jc w:val="center"/>
              <w:rPr>
                <w:rFonts w:hint="eastAsia" w:ascii="仿宋" w:hAnsi="仿宋" w:eastAsia="仿宋" w:cs="仿宋"/>
                <w:color w:val="auto"/>
                <w:sz w:val="24"/>
                <w:szCs w:val="24"/>
                <w:vertAlign w:val="baseline"/>
              </w:rPr>
            </w:pPr>
            <w:r>
              <w:rPr>
                <w:rFonts w:hint="eastAsia" w:ascii="仿宋" w:hAnsi="仿宋" w:eastAsia="仿宋" w:cs="仿宋"/>
                <w:color w:val="auto"/>
                <w:sz w:val="24"/>
                <w:szCs w:val="24"/>
                <w:highlight w:val="none"/>
                <w:lang w:eastAsia="zh-CN"/>
              </w:rPr>
              <w:t>和田地区2023年强制免疫疫苗采购项目（二次）（</w:t>
            </w:r>
            <w:r>
              <w:rPr>
                <w:rFonts w:hint="eastAsia" w:ascii="仿宋" w:hAnsi="仿宋" w:eastAsia="仿宋" w:cs="仿宋"/>
                <w:color w:val="auto"/>
                <w:sz w:val="24"/>
                <w:szCs w:val="24"/>
                <w:highlight w:val="none"/>
                <w:lang w:val="en-US" w:eastAsia="zh-CN"/>
              </w:rPr>
              <w:t>包二</w:t>
            </w:r>
            <w:r>
              <w:rPr>
                <w:rFonts w:hint="eastAsia" w:ascii="仿宋" w:hAnsi="仿宋" w:eastAsia="仿宋" w:cs="仿宋"/>
                <w:color w:val="auto"/>
                <w:sz w:val="24"/>
                <w:szCs w:val="24"/>
                <w:highlight w:val="none"/>
                <w:lang w:eastAsia="zh-CN"/>
              </w:rPr>
              <w:t>）</w:t>
            </w:r>
          </w:p>
        </w:tc>
        <w:tc>
          <w:tcPr>
            <w:tcW w:w="1148" w:type="dxa"/>
            <w:vAlign w:val="center"/>
          </w:tcPr>
          <w:p>
            <w:pPr>
              <w:pStyle w:val="53"/>
              <w:numPr>
                <w:ilvl w:val="0"/>
                <w:numId w:val="0"/>
              </w:numPr>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800</w:t>
            </w:r>
          </w:p>
        </w:tc>
        <w:tc>
          <w:tcPr>
            <w:tcW w:w="781" w:type="dxa"/>
            <w:vAlign w:val="center"/>
          </w:tcPr>
          <w:p>
            <w:pPr>
              <w:pStyle w:val="53"/>
              <w:numPr>
                <w:ilvl w:val="0"/>
                <w:numId w:val="0"/>
              </w:numPr>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毫升</w:t>
            </w:r>
          </w:p>
        </w:tc>
        <w:tc>
          <w:tcPr>
            <w:tcW w:w="1301" w:type="dxa"/>
            <w:vAlign w:val="center"/>
          </w:tcPr>
          <w:p>
            <w:pPr>
              <w:pStyle w:val="53"/>
              <w:numPr>
                <w:ilvl w:val="0"/>
                <w:numId w:val="0"/>
              </w:numPr>
              <w:ind w:left="0" w:leftChars="0" w:firstLine="0" w:firstLineChars="0"/>
              <w:jc w:val="center"/>
              <w:rPr>
                <w:rFonts w:hint="eastAsia" w:ascii="仿宋" w:hAnsi="仿宋" w:eastAsia="仿宋" w:cs="仿宋"/>
                <w:color w:val="auto"/>
                <w:kern w:val="0"/>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512</w:t>
            </w:r>
          </w:p>
        </w:tc>
        <w:tc>
          <w:tcPr>
            <w:tcW w:w="3285" w:type="dxa"/>
            <w:vAlign w:val="center"/>
          </w:tcPr>
          <w:p>
            <w:pPr>
              <w:pStyle w:val="140"/>
              <w:spacing w:before="151"/>
              <w:jc w:val="center"/>
              <w:rPr>
                <w:rFonts w:hint="eastAsia" w:ascii="仿宋" w:hAnsi="仿宋" w:eastAsia="仿宋" w:cs="仿宋"/>
                <w:color w:val="auto"/>
                <w:kern w:val="2"/>
                <w:sz w:val="24"/>
                <w:szCs w:val="24"/>
                <w:vertAlign w:val="baseline"/>
                <w:lang w:val="zh-CN" w:eastAsia="zh-CN" w:bidi="zh-CN"/>
              </w:rPr>
            </w:pPr>
            <w:r>
              <w:rPr>
                <w:rFonts w:hint="eastAsia" w:ascii="仿宋" w:hAnsi="仿宋" w:eastAsia="仿宋" w:cs="仿宋"/>
                <w:color w:val="auto"/>
                <w:sz w:val="24"/>
                <w:szCs w:val="24"/>
                <w:vertAlign w:val="baseline"/>
              </w:rPr>
              <w:t>牛羊用口蹄疫O型、A型二价灭活疫苗（O/MYA98/BY/2010 株或OHM/02株或O/HB/HK/99株+AKT-Ⅲ株或Re-A/WH/09 株或AF/72株）</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具体参数详见招标文件</w:t>
            </w:r>
            <w:r>
              <w:rPr>
                <w:rFonts w:hint="eastAsia" w:ascii="仿宋" w:hAnsi="仿宋" w:eastAsia="仿宋" w:cs="仿宋"/>
                <w:color w:val="auto"/>
                <w:sz w:val="24"/>
                <w:szCs w:val="24"/>
                <w:vertAlign w:val="baseline"/>
                <w:lang w:eastAsia="zh-CN"/>
              </w:rPr>
              <w:t>）</w:t>
            </w:r>
          </w:p>
        </w:tc>
        <w:tc>
          <w:tcPr>
            <w:tcW w:w="757" w:type="dxa"/>
            <w:vAlign w:val="center"/>
          </w:tcPr>
          <w:p>
            <w:pPr>
              <w:pStyle w:val="140"/>
              <w:spacing w:before="151"/>
              <w:jc w:val="center"/>
              <w:rPr>
                <w:rFonts w:hint="eastAsia" w:ascii="仿宋" w:hAnsi="仿宋" w:eastAsia="仿宋" w:cs="仿宋"/>
                <w:b w:val="0"/>
                <w:bCs/>
                <w:i w:val="0"/>
                <w:caps w:val="0"/>
                <w:color w:val="auto"/>
                <w:spacing w:val="0"/>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vAlign w:val="center"/>
          </w:tcPr>
          <w:p>
            <w:pPr>
              <w:pStyle w:val="53"/>
              <w:numPr>
                <w:ilvl w:val="0"/>
                <w:numId w:val="0"/>
              </w:num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530" w:type="dxa"/>
            <w:vAlign w:val="center"/>
          </w:tcPr>
          <w:p>
            <w:pPr>
              <w:pStyle w:val="53"/>
              <w:numPr>
                <w:ilvl w:val="0"/>
                <w:numId w:val="0"/>
              </w:num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和田地区2023年强制免疫疫苗采购项目（二次）（</w:t>
            </w:r>
            <w:r>
              <w:rPr>
                <w:rFonts w:hint="eastAsia" w:ascii="仿宋" w:hAnsi="仿宋" w:eastAsia="仿宋" w:cs="仿宋"/>
                <w:color w:val="auto"/>
                <w:sz w:val="24"/>
                <w:szCs w:val="24"/>
                <w:highlight w:val="none"/>
                <w:lang w:val="en-US" w:eastAsia="zh-CN"/>
              </w:rPr>
              <w:t>包七</w:t>
            </w:r>
            <w:r>
              <w:rPr>
                <w:rFonts w:hint="eastAsia" w:ascii="仿宋" w:hAnsi="仿宋" w:eastAsia="仿宋" w:cs="仿宋"/>
                <w:color w:val="auto"/>
                <w:sz w:val="24"/>
                <w:szCs w:val="24"/>
                <w:highlight w:val="none"/>
                <w:lang w:eastAsia="zh-CN"/>
              </w:rPr>
              <w:t>）</w:t>
            </w:r>
          </w:p>
        </w:tc>
        <w:tc>
          <w:tcPr>
            <w:tcW w:w="1148" w:type="dxa"/>
            <w:vAlign w:val="center"/>
          </w:tcPr>
          <w:p>
            <w:pPr>
              <w:pStyle w:val="53"/>
              <w:numPr>
                <w:ilvl w:val="0"/>
                <w:numId w:val="0"/>
              </w:numPr>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200</w:t>
            </w:r>
          </w:p>
        </w:tc>
        <w:tc>
          <w:tcPr>
            <w:tcW w:w="781" w:type="dxa"/>
            <w:vAlign w:val="center"/>
          </w:tcPr>
          <w:p>
            <w:pPr>
              <w:pStyle w:val="53"/>
              <w:numPr>
                <w:ilvl w:val="0"/>
                <w:numId w:val="0"/>
              </w:numPr>
              <w:ind w:left="0" w:leftChars="0" w:firstLine="0" w:firstLineChars="0"/>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头份</w:t>
            </w:r>
          </w:p>
        </w:tc>
        <w:tc>
          <w:tcPr>
            <w:tcW w:w="1301" w:type="dxa"/>
            <w:vAlign w:val="center"/>
          </w:tcPr>
          <w:p>
            <w:pPr>
              <w:pStyle w:val="53"/>
              <w:numPr>
                <w:ilvl w:val="0"/>
                <w:numId w:val="0"/>
              </w:numPr>
              <w:ind w:left="0" w:leftChars="0" w:firstLine="0" w:firstLineChars="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58</w:t>
            </w:r>
          </w:p>
        </w:tc>
        <w:tc>
          <w:tcPr>
            <w:tcW w:w="3285" w:type="dxa"/>
            <w:vAlign w:val="center"/>
          </w:tcPr>
          <w:p>
            <w:pPr>
              <w:pStyle w:val="53"/>
              <w:numPr>
                <w:ilvl w:val="0"/>
                <w:numId w:val="0"/>
              </w:numPr>
              <w:ind w:left="0" w:leftChars="0" w:firstLine="0" w:firstLineChars="0"/>
              <w:jc w:val="center"/>
              <w:rPr>
                <w:rFonts w:hint="eastAsia" w:ascii="仿宋" w:hAnsi="仿宋" w:eastAsia="仿宋" w:cs="仿宋"/>
                <w:b w:val="0"/>
                <w:bCs/>
                <w:i w:val="0"/>
                <w:caps w:val="0"/>
                <w:color w:val="auto"/>
                <w:spacing w:val="0"/>
                <w:kern w:val="2"/>
                <w:sz w:val="24"/>
                <w:szCs w:val="24"/>
                <w:shd w:val="clear" w:color="auto" w:fill="FFFFFF"/>
                <w:lang w:val="en-US" w:eastAsia="zh-CN" w:bidi="ar-SA"/>
              </w:rPr>
            </w:pPr>
            <w:r>
              <w:rPr>
                <w:rFonts w:hint="eastAsia" w:ascii="仿宋" w:hAnsi="仿宋" w:eastAsia="仿宋" w:cs="仿宋"/>
                <w:b w:val="0"/>
                <w:bCs/>
                <w:i w:val="0"/>
                <w:caps w:val="0"/>
                <w:color w:val="auto"/>
                <w:spacing w:val="0"/>
                <w:kern w:val="2"/>
                <w:sz w:val="24"/>
                <w:szCs w:val="24"/>
                <w:shd w:val="clear" w:color="auto" w:fill="FFFFFF"/>
                <w:lang w:val="en-US" w:eastAsia="zh-CN" w:bidi="ar-SA"/>
              </w:rPr>
              <w:t>布氏菌病活疫苗（M5株或M5-90株）</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具体参数详见招标文件</w:t>
            </w:r>
            <w:r>
              <w:rPr>
                <w:rFonts w:hint="eastAsia" w:ascii="仿宋" w:hAnsi="仿宋" w:eastAsia="仿宋" w:cs="仿宋"/>
                <w:color w:val="auto"/>
                <w:sz w:val="24"/>
                <w:szCs w:val="24"/>
                <w:vertAlign w:val="baseline"/>
                <w:lang w:eastAsia="zh-CN"/>
              </w:rPr>
              <w:t>）</w:t>
            </w:r>
          </w:p>
        </w:tc>
        <w:tc>
          <w:tcPr>
            <w:tcW w:w="757" w:type="dxa"/>
            <w:vAlign w:val="center"/>
          </w:tcPr>
          <w:p>
            <w:pPr>
              <w:pStyle w:val="53"/>
              <w:numPr>
                <w:ilvl w:val="0"/>
                <w:numId w:val="0"/>
              </w:numPr>
              <w:ind w:left="0" w:leftChars="0" w:firstLine="0" w:firstLineChars="0"/>
              <w:jc w:val="center"/>
              <w:rPr>
                <w:rFonts w:hint="eastAsia" w:ascii="仿宋" w:hAnsi="仿宋" w:eastAsia="仿宋" w:cs="仿宋"/>
                <w:b w:val="0"/>
                <w:bCs/>
                <w:i w:val="0"/>
                <w:caps w:val="0"/>
                <w:color w:val="auto"/>
                <w:spacing w:val="0"/>
                <w:kern w:val="2"/>
                <w:sz w:val="24"/>
                <w:szCs w:val="24"/>
                <w:shd w:val="clear" w:color="auto" w:fill="FFFFFF"/>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合同履行期限：</w:t>
      </w:r>
      <w:r>
        <w:rPr>
          <w:rFonts w:hint="eastAsia" w:ascii="仿宋" w:hAnsi="仿宋" w:eastAsia="仿宋" w:cs="仿宋"/>
          <w:color w:val="auto"/>
          <w:sz w:val="24"/>
          <w:szCs w:val="24"/>
          <w:lang w:val="en-US" w:eastAsia="zh-CN"/>
        </w:rPr>
        <w:t>以签订合同为准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en-US" w:eastAsia="zh-CN"/>
        </w:rPr>
        <w:t>供应商</w:t>
      </w:r>
      <w:r>
        <w:rPr>
          <w:rFonts w:hint="eastAsia" w:ascii="仿宋" w:hAnsi="仿宋" w:eastAsia="仿宋" w:cs="仿宋"/>
          <w:b/>
          <w:bCs/>
          <w:color w:val="auto"/>
          <w:sz w:val="24"/>
          <w:szCs w:val="24"/>
        </w:rPr>
        <w:t>的资格要求：</w:t>
      </w:r>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（1）具有经年审合格的“三证合一”的营业执照；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（2）需提供2021年第三方审计机构出具的审计报告（2022年成立的公司可不提供但需提供银行出具的近3个月的资信证明）和健全的财务会计制度；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（4）提供参加政府采购活动前 3 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w:t>
      </w:r>
      <w:r>
        <w:rPr>
          <w:rFonts w:hint="eastAsia" w:ascii="仿宋" w:hAnsi="仿宋" w:eastAsia="仿宋" w:cs="仿宋"/>
          <w:b w:val="0"/>
          <w:bCs/>
          <w:i w:val="0"/>
          <w:caps w:val="0"/>
          <w:color w:val="auto"/>
          <w:spacing w:val="0"/>
          <w:sz w:val="24"/>
          <w:szCs w:val="24"/>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（6） 企业负责人为同一人或者存在直接控股、管理关系的不同供应商，不得参加同一合同项下的政府采购活动。否则，皆取消投标资格。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2、落实政府采购政策需满足的资格要求：政府采购促进中小企业发展管理办法》（财库〔2020〕46 号）；关于进一步加大政府采购支持中小企业力度的通知财库〔2022〕19号；《财政部发展改革委生态环境部市场监管总局关于调整优化节能产品、环境标志产品政府采购执行机制的通知》（财库〔2019〕9号）。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3、本项目的特定资格要求：</w:t>
      </w:r>
      <w:r>
        <w:rPr>
          <w:rFonts w:hint="eastAsia" w:ascii="仿宋" w:hAnsi="仿宋" w:eastAsia="仿宋" w:cs="仿宋"/>
          <w:b/>
          <w:bCs/>
          <w:color w:val="auto"/>
          <w:sz w:val="24"/>
          <w:highlight w:val="none"/>
          <w:lang w:val="en-US" w:eastAsia="zh-CN"/>
        </w:rPr>
        <w:t>投标人具有有效的《兽药经营许可证》或《兽药生产许可证》原件；兽药产品批准文号；有效期内的兽药GMP证书。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val="0"/>
          <w:i w:val="0"/>
          <w:caps w:val="0"/>
          <w:color w:val="auto"/>
          <w:spacing w:val="0"/>
          <w:sz w:val="24"/>
          <w:szCs w:val="24"/>
          <w:shd w:val="clear" w:color="auto" w:fill="FFFFFF"/>
          <w:lang w:val="en-US" w:eastAsia="zh-CN"/>
        </w:rPr>
      </w:pPr>
      <w:bookmarkStart w:id="18" w:name="_Toc28359082"/>
      <w:bookmarkStart w:id="19" w:name="_Toc35393624"/>
      <w:bookmarkStart w:id="20" w:name="_Toc35393793"/>
      <w:bookmarkStart w:id="21" w:name="_Toc28359005"/>
      <w:r>
        <w:rPr>
          <w:rFonts w:hint="eastAsia" w:ascii="仿宋" w:hAnsi="仿宋" w:eastAsia="仿宋" w:cs="仿宋"/>
          <w:b/>
          <w:bCs w:val="0"/>
          <w:i w:val="0"/>
          <w:caps w:val="0"/>
          <w:color w:val="auto"/>
          <w:spacing w:val="0"/>
          <w:sz w:val="24"/>
          <w:szCs w:val="24"/>
          <w:shd w:val="clear" w:color="auto" w:fill="FFFFFF"/>
          <w:lang w:val="en-US"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 xml:space="preserve"> 时间：</w:t>
      </w:r>
      <w:r>
        <w:rPr>
          <w:rFonts w:hint="eastAsia" w:ascii="仿宋" w:hAnsi="仿宋" w:eastAsia="仿宋" w:cs="仿宋"/>
          <w:b w:val="0"/>
          <w:bCs/>
          <w:i w:val="0"/>
          <w:caps w:val="0"/>
          <w:color w:val="auto"/>
          <w:spacing w:val="0"/>
          <w:sz w:val="24"/>
          <w:szCs w:val="24"/>
          <w:highlight w:val="none"/>
          <w:shd w:val="clear" w:color="auto" w:fill="FFFFFF"/>
          <w:lang w:val="en-US" w:eastAsia="zh-CN"/>
        </w:rPr>
        <w:t>2023年2月17日至2023年03月09日</w:t>
      </w:r>
      <w:r>
        <w:rPr>
          <w:rFonts w:hint="eastAsia" w:ascii="仿宋" w:hAnsi="仿宋" w:eastAsia="仿宋" w:cs="仿宋"/>
          <w:b w:val="0"/>
          <w:bCs/>
          <w:i w:val="0"/>
          <w:caps w:val="0"/>
          <w:color w:val="auto"/>
          <w:spacing w:val="0"/>
          <w:sz w:val="24"/>
          <w:szCs w:val="24"/>
          <w:shd w:val="clear" w:color="auto" w:fill="FFFFFF"/>
          <w:lang w:val="en-US" w:eastAsia="zh-CN"/>
        </w:rPr>
        <w:t>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地点：</w:t>
      </w:r>
      <w:bookmarkEnd w:id="18"/>
      <w:bookmarkEnd w:id="19"/>
      <w:bookmarkEnd w:id="20"/>
      <w:bookmarkEnd w:id="21"/>
      <w:r>
        <w:rPr>
          <w:rFonts w:hint="eastAsia" w:ascii="仿宋" w:hAnsi="仿宋" w:eastAsia="仿宋" w:cs="仿宋"/>
          <w:b w:val="0"/>
          <w:bCs/>
          <w:i w:val="0"/>
          <w:caps w:val="0"/>
          <w:color w:val="auto"/>
          <w:spacing w:val="0"/>
          <w:sz w:val="24"/>
          <w:szCs w:val="24"/>
          <w:shd w:val="clear" w:color="auto" w:fill="FFFFFF"/>
          <w:lang w:val="en-US" w:eastAsia="zh-CN"/>
        </w:rPr>
        <w:t>供应商登陆政采云平台https://www.zcygov.cn/在线申请获取采购文件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方式：</w:t>
      </w:r>
      <w:bookmarkStart w:id="22" w:name="_Toc35393627"/>
      <w:bookmarkStart w:id="23" w:name="_Toc28359085"/>
      <w:bookmarkStart w:id="24" w:name="_Toc28359008"/>
      <w:bookmarkStart w:id="25" w:name="_Toc35393796"/>
      <w:r>
        <w:rPr>
          <w:rFonts w:hint="eastAsia" w:ascii="仿宋" w:hAnsi="仿宋" w:eastAsia="仿宋" w:cs="仿宋"/>
          <w:b w:val="0"/>
          <w:bCs/>
          <w:i w:val="0"/>
          <w:caps w:val="0"/>
          <w:color w:val="auto"/>
          <w:spacing w:val="0"/>
          <w:sz w:val="24"/>
          <w:szCs w:val="24"/>
          <w:shd w:val="clear" w:color="auto" w:fill="FFFFFF"/>
          <w:lang w:val="en-US" w:eastAsia="zh-CN"/>
        </w:rPr>
        <w:t>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售价（元）：0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val="0"/>
          <w:i w:val="0"/>
          <w:caps w:val="0"/>
          <w:color w:val="auto"/>
          <w:spacing w:val="0"/>
          <w:sz w:val="24"/>
          <w:szCs w:val="24"/>
          <w:shd w:val="clear" w:color="auto" w:fill="FFFFFF"/>
          <w:lang w:val="en-US" w:eastAsia="zh-CN"/>
        </w:rPr>
      </w:pPr>
      <w:r>
        <w:rPr>
          <w:rFonts w:hint="eastAsia" w:ascii="仿宋" w:hAnsi="仿宋" w:eastAsia="仿宋" w:cs="仿宋"/>
          <w:b/>
          <w:bCs w:val="0"/>
          <w:i w:val="0"/>
          <w:caps w:val="0"/>
          <w:color w:val="auto"/>
          <w:spacing w:val="0"/>
          <w:sz w:val="24"/>
          <w:szCs w:val="24"/>
          <w:shd w:val="clear" w:color="auto" w:fill="FFFFFF"/>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26" w:name="_Toc28359084"/>
      <w:bookmarkStart w:id="27" w:name="_Toc28359007"/>
      <w:bookmarkStart w:id="28" w:name="_Toc35393794"/>
      <w:bookmarkStart w:id="29" w:name="_Toc35393625"/>
      <w:r>
        <w:rPr>
          <w:rFonts w:hint="eastAsia" w:ascii="仿宋" w:hAnsi="仿宋" w:eastAsia="仿宋" w:cs="仿宋"/>
          <w:b w:val="0"/>
          <w:bCs/>
          <w:i w:val="0"/>
          <w:caps w:val="0"/>
          <w:color w:val="auto"/>
          <w:spacing w:val="0"/>
          <w:sz w:val="24"/>
          <w:szCs w:val="24"/>
          <w:shd w:val="clear" w:color="auto" w:fill="FFFFFF"/>
          <w:lang w:val="en-US" w:eastAsia="zh-CN"/>
        </w:rPr>
        <w:t>提交投标文件截止时间</w:t>
      </w:r>
      <w:r>
        <w:rPr>
          <w:rFonts w:hint="eastAsia" w:ascii="仿宋" w:hAnsi="仿宋" w:eastAsia="仿宋" w:cs="仿宋"/>
          <w:b w:val="0"/>
          <w:bCs/>
          <w:i w:val="0"/>
          <w:caps w:val="0"/>
          <w:color w:val="auto"/>
          <w:spacing w:val="0"/>
          <w:sz w:val="24"/>
          <w:szCs w:val="24"/>
          <w:highlight w:val="none"/>
          <w:shd w:val="clear" w:color="auto" w:fill="FFFFFF"/>
          <w:lang w:val="en-US" w:eastAsia="zh-CN"/>
        </w:rPr>
        <w:t>：2023年03月10日11:00（北京时间）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开标时间：2023年03月10日11:00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开标地点：和田地区行政服务和公共资源交易中心三楼（和田北京工业园区杭州大道78号玉河广场旁）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val="0"/>
          <w:i w:val="0"/>
          <w:caps w:val="0"/>
          <w:color w:val="auto"/>
          <w:spacing w:val="0"/>
          <w:sz w:val="24"/>
          <w:szCs w:val="24"/>
          <w:shd w:val="clear" w:color="auto" w:fill="FFFFFF"/>
          <w:lang w:val="en-US" w:eastAsia="zh-CN"/>
        </w:rPr>
      </w:pPr>
      <w:r>
        <w:rPr>
          <w:rFonts w:hint="eastAsia" w:ascii="仿宋" w:hAnsi="仿宋" w:eastAsia="仿宋" w:cs="仿宋"/>
          <w:b/>
          <w:bCs w:val="0"/>
          <w:i w:val="0"/>
          <w:caps w:val="0"/>
          <w:color w:val="auto"/>
          <w:spacing w:val="0"/>
          <w:sz w:val="24"/>
          <w:szCs w:val="24"/>
          <w:shd w:val="clear" w:color="auto" w:fill="FFFFFF"/>
          <w:lang w:val="en-US" w:eastAsia="zh-CN"/>
        </w:rPr>
        <w:t>五、公告期限</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bCs w:val="0"/>
          <w:i w:val="0"/>
          <w:caps w:val="0"/>
          <w:color w:val="auto"/>
          <w:spacing w:val="0"/>
          <w:sz w:val="24"/>
          <w:szCs w:val="24"/>
          <w:shd w:val="clear" w:color="auto" w:fill="FFFFFF"/>
          <w:lang w:val="en-US" w:eastAsia="zh-CN"/>
        </w:rPr>
      </w:pPr>
      <w:bookmarkStart w:id="30" w:name="_Toc35393795"/>
      <w:bookmarkStart w:id="31" w:name="_Toc35393626"/>
      <w:r>
        <w:rPr>
          <w:rFonts w:hint="eastAsia" w:ascii="仿宋" w:hAnsi="仿宋" w:eastAsia="仿宋" w:cs="仿宋"/>
          <w:b/>
          <w:bCs w:val="0"/>
          <w:i w:val="0"/>
          <w:caps w:val="0"/>
          <w:color w:val="auto"/>
          <w:spacing w:val="0"/>
          <w:sz w:val="24"/>
          <w:szCs w:val="24"/>
          <w:shd w:val="clear" w:color="auto" w:fill="FFFFFF"/>
          <w:lang w:val="en-US" w:eastAsia="zh-CN"/>
        </w:rPr>
        <w:t>六、其他补充事宜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 xml:space="preserve">  1、本项目实行网上投标，采用电子投标文件。若供应商参与投标，自行承担投标一切费用。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3、本项目为电子招投标，供应商需要使用CA加密设备，有意向参与新疆区域电子开评标的供应商，请访问新疆数字证书认证中心官方网站（https://www.xjca.com.cn/）或下载 新疆政务通APP自行进行申领。如需咨询，请联系新疆CA服务热线0991-2819290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5、</w:t>
      </w:r>
      <w:r>
        <w:rPr>
          <w:rFonts w:hint="eastAsia" w:ascii="仿宋" w:hAnsi="仿宋" w:eastAsia="仿宋" w:cs="仿宋"/>
          <w:b w:val="0"/>
          <w:bCs/>
          <w:i w:val="0"/>
          <w:caps w:val="0"/>
          <w:color w:val="auto"/>
          <w:spacing w:val="0"/>
          <w:sz w:val="24"/>
          <w:szCs w:val="24"/>
          <w:highlight w:val="none"/>
          <w:shd w:val="clear" w:color="auto" w:fill="FFFFFF"/>
          <w:lang w:val="en-US" w:eastAsia="zh-CN"/>
        </w:rPr>
        <w:t>根据财政部、其他未列明行业和信息化部关于印发《政府采购促进中小企业发展管理办法》的通知(财库[2020]46 号)，第三条款：采购人在政府采购活动中应当通过加强采购需求管理，落实预留采购份额、价格评审优惠、优先采购等措施，提高中小企业在政府采购中的份额，支持中小企业发展。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1.本项目为非专门面向中小企业采购项目。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2.本项目中小企业划分标准：工业。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val="0"/>
          <w:i w:val="0"/>
          <w:caps w:val="0"/>
          <w:color w:val="auto"/>
          <w:spacing w:val="0"/>
          <w:sz w:val="24"/>
          <w:szCs w:val="24"/>
          <w:shd w:val="clear" w:color="auto" w:fill="FFFFFF"/>
          <w:lang w:val="en-US" w:eastAsia="zh-CN"/>
        </w:rPr>
      </w:pPr>
      <w:r>
        <w:rPr>
          <w:rFonts w:hint="eastAsia" w:ascii="仿宋" w:hAnsi="仿宋" w:eastAsia="仿宋" w:cs="仿宋"/>
          <w:b/>
          <w:bCs w:val="0"/>
          <w:i w:val="0"/>
          <w:caps w:val="0"/>
          <w:color w:val="auto"/>
          <w:spacing w:val="0"/>
          <w:sz w:val="24"/>
          <w:szCs w:val="24"/>
          <w:shd w:val="clear" w:color="auto" w:fill="FFFFFF"/>
          <w:lang w:val="en-US" w:eastAsia="zh-CN"/>
        </w:rPr>
        <w:t>七、对本次招标提出询问，请按以下方式联系。</w:t>
      </w:r>
    </w:p>
    <w:p>
      <w:pPr>
        <w:keepNext w:val="0"/>
        <w:keepLines w:val="0"/>
        <w:pageBreakBefore w:val="0"/>
        <w:widowControl w:val="0"/>
        <w:numPr>
          <w:ilvl w:val="0"/>
          <w:numId w:val="0"/>
        </w:numPr>
        <w:tabs>
          <w:tab w:val="left" w:pos="335"/>
        </w:tabs>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名 称：和田地区农业农村局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地 址：</w:t>
      </w:r>
      <w:r>
        <w:rPr>
          <w:rFonts w:hint="eastAsia" w:ascii="仿宋" w:hAnsi="仿宋" w:eastAsia="仿宋" w:cs="仿宋"/>
          <w:i w:val="0"/>
          <w:iCs w:val="0"/>
          <w:caps w:val="0"/>
          <w:color w:val="auto"/>
          <w:spacing w:val="0"/>
          <w:sz w:val="24"/>
          <w:szCs w:val="24"/>
        </w:rPr>
        <w:t>和田市昆仑路42号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 xml:space="preserve">联系人： </w:t>
      </w:r>
      <w:r>
        <w:rPr>
          <w:rFonts w:hint="eastAsia" w:ascii="仿宋" w:hAnsi="仿宋" w:eastAsia="仿宋" w:cs="仿宋"/>
          <w:i w:val="0"/>
          <w:iCs w:val="0"/>
          <w:caps w:val="0"/>
          <w:color w:val="auto"/>
          <w:spacing w:val="0"/>
          <w:sz w:val="24"/>
          <w:szCs w:val="24"/>
        </w:rPr>
        <w:t>李绍山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联系方式：</w:t>
      </w:r>
      <w:bookmarkStart w:id="32" w:name="_Toc28359086"/>
      <w:bookmarkStart w:id="33" w:name="_Toc28359009"/>
      <w:r>
        <w:rPr>
          <w:rFonts w:hint="eastAsia" w:ascii="仿宋" w:hAnsi="仿宋" w:eastAsia="仿宋" w:cs="仿宋"/>
          <w:b w:val="0"/>
          <w:bCs/>
          <w:i w:val="0"/>
          <w:caps w:val="0"/>
          <w:color w:val="auto"/>
          <w:spacing w:val="0"/>
          <w:sz w:val="24"/>
          <w:szCs w:val="24"/>
          <w:shd w:val="clear" w:color="auto" w:fill="FFFFFF"/>
          <w:lang w:val="en-US" w:eastAsia="zh-CN"/>
        </w:rPr>
        <w:t>0903-2021613、15199796680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2.采购代理机构信息</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名 称：新疆星耀天都项目管理有限责任公司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地 址：和田市人民路18号玉都国际广场银座9楼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联系人：马女士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rPr>
      </w:pPr>
      <w:r>
        <w:rPr>
          <w:rFonts w:hint="eastAsia" w:ascii="仿宋" w:hAnsi="仿宋" w:eastAsia="仿宋" w:cs="仿宋"/>
          <w:b w:val="0"/>
          <w:bCs/>
          <w:i w:val="0"/>
          <w:caps w:val="0"/>
          <w:color w:val="auto"/>
          <w:spacing w:val="0"/>
          <w:sz w:val="24"/>
          <w:szCs w:val="24"/>
          <w:shd w:val="clear" w:color="auto" w:fill="FFFFFF"/>
          <w:lang w:val="en-US" w:eastAsia="zh-CN"/>
        </w:rPr>
        <w:t>联系方式：0903-7820806</w:t>
      </w:r>
    </w:p>
    <w:p>
      <w:pPr>
        <w:rPr>
          <w:color w:val="auto"/>
        </w:rPr>
      </w:pPr>
    </w:p>
    <w:p>
      <w:pPr>
        <w:rPr>
          <w:color w:val="auto"/>
        </w:rPr>
      </w:pPr>
    </w:p>
    <w:p>
      <w:pP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br w:type="page"/>
      </w:r>
    </w:p>
    <w:p>
      <w:pPr>
        <w:ind w:firstLine="42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投标人须知</w:t>
      </w:r>
      <w:bookmarkEnd w:id="0"/>
      <w:bookmarkEnd w:id="1"/>
      <w:bookmarkEnd w:id="2"/>
      <w:bookmarkEnd w:id="3"/>
      <w:bookmarkEnd w:id="4"/>
      <w:bookmarkEnd w:id="5"/>
      <w:bookmarkEnd w:id="6"/>
      <w:bookmarkEnd w:id="7"/>
      <w:bookmarkEnd w:id="8"/>
    </w:p>
    <w:p>
      <w:pPr>
        <w:ind w:firstLine="420"/>
        <w:jc w:val="center"/>
        <w:outlineLvl w:val="0"/>
        <w:rPr>
          <w:rFonts w:hint="eastAsia" w:ascii="仿宋" w:hAnsi="仿宋" w:eastAsia="仿宋" w:cs="仿宋"/>
          <w:b/>
          <w:color w:val="auto"/>
          <w:sz w:val="28"/>
          <w:szCs w:val="28"/>
          <w:highlight w:val="none"/>
        </w:rPr>
      </w:pPr>
      <w:bookmarkStart w:id="34" w:name="_Toc18219"/>
      <w:bookmarkStart w:id="35" w:name="_Toc29111"/>
      <w:bookmarkStart w:id="36" w:name="_Toc10179"/>
      <w:bookmarkStart w:id="37" w:name="_Toc12827"/>
      <w:bookmarkStart w:id="38" w:name="_Toc7237"/>
      <w:bookmarkStart w:id="39" w:name="_Toc14053"/>
      <w:bookmarkStart w:id="40" w:name="_Toc10040"/>
      <w:bookmarkStart w:id="41" w:name="_Toc24832"/>
      <w:bookmarkStart w:id="42" w:name="_Toc17655"/>
      <w:bookmarkStart w:id="43" w:name="_Toc21348_WPSOffice_Level1"/>
      <w:bookmarkStart w:id="44" w:name="_Toc8971"/>
      <w:bookmarkStart w:id="45" w:name="_Toc9144"/>
      <w:r>
        <w:rPr>
          <w:rFonts w:hint="eastAsia" w:ascii="仿宋" w:hAnsi="仿宋" w:eastAsia="仿宋" w:cs="仿宋"/>
          <w:b/>
          <w:color w:val="auto"/>
          <w:sz w:val="28"/>
          <w:szCs w:val="28"/>
          <w:highlight w:val="none"/>
        </w:rPr>
        <w:t>投标人须知前附表</w:t>
      </w:r>
      <w:bookmarkEnd w:id="34"/>
      <w:bookmarkEnd w:id="35"/>
      <w:bookmarkEnd w:id="36"/>
      <w:bookmarkEnd w:id="37"/>
      <w:bookmarkEnd w:id="38"/>
      <w:bookmarkEnd w:id="39"/>
      <w:bookmarkEnd w:id="40"/>
      <w:bookmarkEnd w:id="41"/>
      <w:bookmarkEnd w:id="42"/>
      <w:bookmarkEnd w:id="43"/>
      <w:bookmarkEnd w:id="44"/>
      <w:bookmarkEnd w:id="45"/>
    </w:p>
    <w:tbl>
      <w:tblPr>
        <w:tblStyle w:val="44"/>
        <w:tblW w:w="974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w:t>
            </w:r>
          </w:p>
        </w:tc>
        <w:tc>
          <w:tcPr>
            <w:tcW w:w="1947"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和田地区农业农村局</w:t>
            </w:r>
          </w:p>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联系人：</w:t>
            </w:r>
            <w:r>
              <w:rPr>
                <w:rFonts w:hint="eastAsia" w:ascii="仿宋" w:hAnsi="仿宋" w:eastAsia="仿宋" w:cs="仿宋"/>
                <w:i w:val="0"/>
                <w:iCs w:val="0"/>
                <w:caps w:val="0"/>
                <w:color w:val="auto"/>
                <w:spacing w:val="0"/>
                <w:sz w:val="24"/>
                <w:szCs w:val="24"/>
                <w:highlight w:val="none"/>
              </w:rPr>
              <w:t>李绍山</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电  话：</w:t>
            </w:r>
            <w:r>
              <w:rPr>
                <w:rFonts w:hint="eastAsia" w:ascii="仿宋" w:hAnsi="仿宋" w:eastAsia="仿宋" w:cs="仿宋"/>
                <w:i w:val="0"/>
                <w:iCs w:val="0"/>
                <w:caps w:val="0"/>
                <w:color w:val="auto"/>
                <w:spacing w:val="0"/>
                <w:sz w:val="24"/>
                <w:szCs w:val="24"/>
                <w:lang w:eastAsia="zh-CN"/>
              </w:rPr>
              <w:t>0903-2021613、</w:t>
            </w:r>
            <w:r>
              <w:rPr>
                <w:rFonts w:hint="eastAsia" w:ascii="仿宋" w:hAnsi="仿宋" w:eastAsia="仿宋" w:cs="仿宋"/>
                <w:i w:val="0"/>
                <w:iCs w:val="0"/>
                <w:caps w:val="0"/>
                <w:color w:val="auto"/>
                <w:spacing w:val="0"/>
                <w:sz w:val="24"/>
                <w:szCs w:val="24"/>
              </w:rPr>
              <w:t>15199796680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p>
        </w:tc>
        <w:tc>
          <w:tcPr>
            <w:tcW w:w="1947"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代理机构</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名  称: </w:t>
            </w:r>
            <w:r>
              <w:rPr>
                <w:rFonts w:hint="eastAsia" w:ascii="仿宋" w:hAnsi="仿宋" w:eastAsia="仿宋" w:cs="仿宋"/>
                <w:color w:val="auto"/>
                <w:sz w:val="24"/>
                <w:highlight w:val="none"/>
                <w:lang w:val="en-US" w:eastAsia="zh-CN"/>
              </w:rPr>
              <w:t>新疆星耀天都项目管理有限责任公司</w:t>
            </w:r>
          </w:p>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 和田市人民路18号玉都国际广场银座9楼</w:t>
            </w:r>
          </w:p>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联系人: </w:t>
            </w:r>
            <w:r>
              <w:rPr>
                <w:rFonts w:hint="eastAsia" w:ascii="仿宋" w:hAnsi="仿宋" w:eastAsia="仿宋" w:cs="仿宋"/>
                <w:b w:val="0"/>
                <w:bCs/>
                <w:i w:val="0"/>
                <w:caps w:val="0"/>
                <w:color w:val="auto"/>
                <w:spacing w:val="0"/>
                <w:sz w:val="24"/>
                <w:szCs w:val="24"/>
                <w:highlight w:val="none"/>
                <w:shd w:val="clear" w:color="auto" w:fill="FFFFFF"/>
                <w:lang w:val="en-US" w:eastAsia="zh-CN"/>
              </w:rPr>
              <w:t>马女士</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电  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0903-7820806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val="0"/>
                <w:bCs/>
                <w:i w:val="0"/>
                <w:caps w:val="0"/>
                <w:color w:val="auto"/>
                <w:spacing w:val="0"/>
                <w:sz w:val="24"/>
                <w:szCs w:val="24"/>
                <w:highlight w:val="none"/>
                <w:shd w:val="clear" w:color="auto" w:fill="FFFFFF"/>
                <w:lang w:val="en-US" w:eastAsia="zh-CN"/>
              </w:rPr>
              <w:t>3</w:t>
            </w:r>
          </w:p>
        </w:tc>
        <w:tc>
          <w:tcPr>
            <w:tcW w:w="19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i w:val="0"/>
                <w:caps w:val="0"/>
                <w:color w:val="auto"/>
                <w:spacing w:val="0"/>
                <w:sz w:val="24"/>
                <w:szCs w:val="24"/>
                <w:highlight w:val="none"/>
                <w:shd w:val="clear" w:color="auto" w:fill="FFFFFF"/>
                <w:lang w:val="en-US" w:eastAsia="zh-CN"/>
              </w:rPr>
              <w:t>同级政府采购监督管理部门</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名 称：和田地区政府采购监督管理科 </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联 系 人：游先生 </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监督投诉电话：0903-2039229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r>
              <w:rPr>
                <w:rFonts w:hint="eastAsia" w:ascii="仿宋" w:hAnsi="仿宋" w:eastAsia="仿宋" w:cs="仿宋"/>
                <w:color w:val="auto"/>
                <w:sz w:val="24"/>
                <w:szCs w:val="24"/>
                <w:highlight w:val="none"/>
              </w:rPr>
              <w:t>项目名称</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项目编号：XYTDZB-GK-2023012-01</w:t>
            </w:r>
          </w:p>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项目名称：和田地区2023年强制免疫疫苗采购项目（二次）（</w:t>
            </w:r>
            <w:r>
              <w:rPr>
                <w:rFonts w:hint="eastAsia" w:ascii="仿宋" w:hAnsi="仿宋" w:eastAsia="仿宋" w:cs="仿宋"/>
                <w:color w:val="auto"/>
                <w:sz w:val="24"/>
                <w:szCs w:val="24"/>
                <w:highlight w:val="none"/>
                <w:lang w:val="en-US" w:eastAsia="zh-CN"/>
              </w:rPr>
              <w:t>包一</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rPr>
              <w:t>牛羊用口蹄疫O型、A型二价灭活疫苗（O/MYA98/BY/2010 株或OHM/02株或O/HB/HK/99株+AKT-Ⅲ株或Re-A/WH/09 株或AF/72株）</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具体参数详见招标文件</w:t>
            </w:r>
            <w:r>
              <w:rPr>
                <w:rFonts w:hint="eastAsia" w:ascii="仿宋" w:hAnsi="仿宋" w:eastAsia="仿宋" w:cs="仿宋"/>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512万元；投标人投标报价超过项目预算的按无效处理。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投标保证金</w:t>
            </w:r>
          </w:p>
        </w:tc>
        <w:tc>
          <w:tcPr>
            <w:tcW w:w="6960" w:type="dxa"/>
            <w:vAlign w:val="center"/>
          </w:tcPr>
          <w:p>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投标保证金金额：50000.00元整（大写：伍万元整）</w:t>
            </w:r>
          </w:p>
          <w:p>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开户银行：招商银行股份有限公司乌鲁木齐新华北路支行</w:t>
            </w:r>
          </w:p>
          <w:p>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收款户名：新疆星耀天都项目管理有限责任公司</w:t>
            </w:r>
          </w:p>
          <w:p>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银行帐号：991904723110215</w:t>
            </w:r>
          </w:p>
          <w:p>
            <w:pPr>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注：投标保证金请于2023年03月10日 11:00之前（北京时间）缴入指定账户，各投标企业保证金缴纳只接受企业基本帐户足额对公转帐，其他以私人名义或现金缴纳等存入、汇款方式均视为无效投标保证金，未按规定时间交保证金的投标人不得参加本次投标（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资格要求</w:t>
            </w:r>
          </w:p>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p>
        </w:tc>
        <w:tc>
          <w:tcPr>
            <w:tcW w:w="6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（1）具有经年审合格的“三证合一”的营业执照；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（2）需提供2021年第三方审计机构出具的审计报告（2022年成立的公司可不提供但需提供银行出具的近3个月的资信证明）和健全的财务会计制度；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（4）提供参加政府采购活动前 3 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5）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（6） 企业负责人为同一人或者存在直接控股、管理关系的不同供应商，不得参加同一合同项下的政府采购活动。否则，皆取消投标资格。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2、落实政府采购政策需满足的资格要求：政府采购促进中小企业发展管理办法》（财库〔2020〕46 号）；关于进一步加大政府采购支持中小企业力度的通知财库〔2022〕19号；《财政部发展改革委生态环境部市场监管总局关于调整优化节能产品、环境标志产品政府采购执行机制的通知》（财库〔2019〕9号）。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color w:val="auto"/>
                <w:sz w:val="24"/>
                <w:highlight w:val="none"/>
                <w:lang w:val="en-US" w:eastAsia="zh-CN"/>
              </w:rPr>
              <w:t>3、本</w:t>
            </w:r>
            <w:r>
              <w:rPr>
                <w:rFonts w:hint="eastAsia" w:ascii="仿宋" w:hAnsi="仿宋" w:eastAsia="仿宋" w:cs="仿宋"/>
                <w:b w:val="0"/>
                <w:bCs/>
                <w:i w:val="0"/>
                <w:caps w:val="0"/>
                <w:color w:val="auto"/>
                <w:spacing w:val="0"/>
                <w:sz w:val="24"/>
                <w:szCs w:val="24"/>
                <w:highlight w:val="none"/>
                <w:shd w:val="clear" w:color="auto" w:fill="FFFFFF"/>
                <w:lang w:val="en-US" w:eastAsia="zh-CN"/>
              </w:rPr>
              <w:t>项目的特定资格要求：</w:t>
            </w:r>
            <w:r>
              <w:rPr>
                <w:rFonts w:hint="eastAsia" w:ascii="仿宋" w:hAnsi="仿宋" w:eastAsia="仿宋" w:cs="仿宋"/>
                <w:b/>
                <w:bCs/>
                <w:color w:val="auto"/>
                <w:sz w:val="24"/>
                <w:highlight w:val="none"/>
                <w:lang w:val="en-US" w:eastAsia="zh-CN"/>
              </w:rPr>
              <w:t>投标人具有有效的《兽药经营许可证》或《兽药生产许可证》原件；兽药产品批准文号；有效期内的兽药GMP证书；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6960" w:type="dxa"/>
            <w:vAlign w:val="center"/>
          </w:tcPr>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1、信用记录查询时间及方式：</w:t>
            </w:r>
          </w:p>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（3）供应商参加政府采购活动时，应当就自己的诚信情况在响应性文件中进行承诺。</w:t>
            </w:r>
          </w:p>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2"/>
                <w:sz w:val="24"/>
                <w:szCs w:val="24"/>
                <w:highlight w:val="none"/>
              </w:rPr>
              <w:t>标前准备</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1、本项目实行网上投标，采用电子投标文件。若供应商参与投标，自 行承担投标一切费用。2、各供应商应在开标前应确保成为新疆维吾尔 自治区政府采购网正式注册入库供应商，并完成 CA 数字证书申领。因 未注册入库、未办理 CA 数字证书等原因造成无法投标或投标失败等后 果由供应商自行承担。3、本项目为电子招投标，投标人需要使用 CA 加 密设备，有意向参与新疆区域电子开评标的供应商，请访问新疆数字证 书认证中心官方网站（https://www.xjca.com.cn/）或下载 新疆政务 通 ;APP 自 行 进 行 申 领 。 如 需 咨 询 ， 请 联 系 新 疆 CA 服 务 热 线 0991-28192904、供应商将政采云电子交易客户端下载、安装完成后， 可通过账号密码或 CA 登录客户端进行投标文件制作。在使用政采云投 标客户端时，建议使用 WIN7 及以上操作系统。客户端请至新疆政府采 购网（https://www.zcygov.cn/）下载专区查看，如有问题可拨打政采 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交货地点</w:t>
            </w:r>
          </w:p>
        </w:tc>
        <w:tc>
          <w:tcPr>
            <w:tcW w:w="6960" w:type="dxa"/>
            <w:vAlign w:val="center"/>
          </w:tcPr>
          <w:p>
            <w:pPr>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中标企业通过冷链运输疫苗送达至采购人指定地点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6960" w:type="dxa"/>
            <w:vAlign w:val="center"/>
          </w:tcPr>
          <w:p>
            <w:pPr>
              <w:pStyle w:val="86"/>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必须达到国家和行业规定标准及招标文件中规定的标准并通过验收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资金来源</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中央及自治区补助和田地区强制免疫疫苗采购资金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90天</w:t>
            </w:r>
            <w:r>
              <w:rPr>
                <w:rFonts w:hint="eastAsia" w:ascii="仿宋" w:hAnsi="仿宋" w:eastAsia="仿宋" w:cs="仿宋"/>
                <w:bCs/>
                <w:color w:val="auto"/>
                <w:sz w:val="24"/>
                <w:szCs w:val="24"/>
                <w:highlight w:val="none"/>
              </w:rPr>
              <w:t>（从投标截止之日算起）</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投标人对招标文件提出质疑的时间</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提出质疑函的时限：对采购文件提出质疑的，应当在获取采购文件或者采购文件公告期限届满之日起7个工作日内提出。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接收质疑函的方式：将PDF格式电子版质疑文件加盖公章扫描发送至1370525026@qq.com邮箱。</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接受质疑的单位：新疆星耀天都项目管理有限责任公司</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联系电话：0903-7820806  </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地址：和田市人民路18号玉都国际广场银座9楼</w:t>
            </w:r>
          </w:p>
          <w:p>
            <w:pPr>
              <w:pStyle w:val="53"/>
              <w:numPr>
                <w:ilvl w:val="0"/>
                <w:numId w:val="0"/>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注：应商认为采购文件、采购过程、中标或者成交结果使自己的权益受到损害的，可以根据中华人民共和国财政部令第94号中第十条，以书面形式向采购人、采购代理机构一次性针对同一采购程序环节提出质疑。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招标</w:t>
            </w:r>
            <w:r>
              <w:rPr>
                <w:rFonts w:hint="eastAsia" w:ascii="仿宋" w:hAnsi="仿宋" w:eastAsia="仿宋" w:cs="仿宋"/>
                <w:b/>
                <w:bCs/>
                <w:color w:val="auto"/>
                <w:sz w:val="24"/>
                <w:szCs w:val="24"/>
                <w:highlight w:val="none"/>
              </w:rPr>
              <w:t>文件</w:t>
            </w:r>
            <w:r>
              <w:rPr>
                <w:rFonts w:hint="eastAsia" w:ascii="仿宋" w:hAnsi="仿宋" w:eastAsia="仿宋" w:cs="仿宋"/>
                <w:b/>
                <w:bCs/>
                <w:color w:val="auto"/>
                <w:sz w:val="24"/>
                <w:szCs w:val="24"/>
                <w:highlight w:val="none"/>
                <w:lang w:eastAsia="zh-CN"/>
              </w:rPr>
              <w:t>发放</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供应商登陆政采云平台</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"https://www.zcygov.cn/" </w:instrText>
            </w:r>
            <w:r>
              <w:rPr>
                <w:rFonts w:hint="eastAsia" w:ascii="仿宋" w:hAnsi="仿宋" w:eastAsia="仿宋" w:cs="仿宋"/>
                <w:b/>
                <w:bCs/>
                <w:color w:val="auto"/>
                <w:sz w:val="24"/>
                <w:szCs w:val="24"/>
                <w:highlight w:val="none"/>
              </w:rPr>
              <w:fldChar w:fldCharType="separate"/>
            </w:r>
            <w:r>
              <w:rPr>
                <w:rStyle w:val="51"/>
                <w:rFonts w:hint="eastAsia" w:ascii="仿宋" w:hAnsi="仿宋" w:eastAsia="仿宋" w:cs="仿宋"/>
                <w:b/>
                <w:bCs/>
                <w:color w:val="auto"/>
                <w:sz w:val="24"/>
                <w:szCs w:val="24"/>
                <w:highlight w:val="none"/>
              </w:rPr>
              <w:t>https://www.zcygov.cn/</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构成招标文件的其他文件</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2023年03月10日 11:00</w:t>
            </w:r>
            <w:r>
              <w:rPr>
                <w:rFonts w:hint="eastAsia" w:ascii="仿宋" w:hAnsi="仿宋" w:eastAsia="仿宋" w:cs="仿宋"/>
                <w:b/>
                <w:bCs w:val="0"/>
                <w:color w:val="auto"/>
                <w:sz w:val="24"/>
                <w:szCs w:val="24"/>
                <w:highlight w:val="none"/>
                <w:u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递交投标文件的地点</w:t>
            </w:r>
            <w:r>
              <w:rPr>
                <w:rFonts w:hint="eastAsia" w:ascii="仿宋" w:hAnsi="仿宋" w:eastAsia="仿宋" w:cs="仿宋"/>
                <w:color w:val="auto"/>
                <w:sz w:val="24"/>
                <w:highlight w:val="none"/>
                <w:lang w:eastAsia="zh-CN"/>
              </w:rPr>
              <w:t>及方式</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和田地区行政服务和公共资源交易中心三楼 (和田市北京工业园区杭州大道 78 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lang w:val="en-US" w:eastAsia="zh-CN"/>
              </w:rPr>
              <w:t>2023年03月10日 11:00</w:t>
            </w:r>
            <w:r>
              <w:rPr>
                <w:rFonts w:hint="eastAsia" w:ascii="仿宋" w:hAnsi="仿宋" w:eastAsia="仿宋" w:cs="仿宋"/>
                <w:b/>
                <w:bCs w:val="0"/>
                <w:color w:val="auto"/>
                <w:sz w:val="24"/>
                <w:szCs w:val="24"/>
                <w:highlight w:val="none"/>
                <w:u w:val="none"/>
                <w:lang w:eastAsia="zh-CN"/>
              </w:rPr>
              <w:t>时整之前</w:t>
            </w:r>
            <w:r>
              <w:rPr>
                <w:rFonts w:hint="eastAsia" w:ascii="仿宋" w:hAnsi="仿宋" w:eastAsia="仿宋" w:cs="仿宋"/>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r>
              <w:rPr>
                <w:rFonts w:hint="eastAsia" w:ascii="仿宋" w:hAnsi="仿宋" w:eastAsia="仿宋" w:cs="仿宋"/>
                <w:b/>
                <w:bCs w:val="0"/>
                <w:color w:val="auto"/>
                <w:sz w:val="24"/>
                <w:szCs w:val="24"/>
                <w:highlight w:val="none"/>
                <w:lang w:eastAsia="zh-CN"/>
              </w:rPr>
              <w:t>解密时间</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60分钟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eastAsia="zh-CN"/>
              </w:rPr>
              <w:t>2023年03月10日 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00-12：00</w:t>
            </w:r>
            <w:r>
              <w:rPr>
                <w:rFonts w:hint="eastAsia" w:ascii="仿宋" w:hAnsi="仿宋" w:eastAsia="仿宋" w:cs="仿宋"/>
                <w:b/>
                <w:bCs w:val="0"/>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val="0"/>
                <w:color w:val="auto"/>
                <w:sz w:val="24"/>
                <w:szCs w:val="24"/>
                <w:highlight w:val="none"/>
                <w:lang w:eastAsia="zh-CN"/>
              </w:rPr>
              <w:t>2023年03月10日 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12</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pPr>
              <w:keepNext w:val="0"/>
              <w:keepLines w:val="0"/>
              <w:widowControl/>
              <w:suppressLineNumbers w:val="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
              </w:rPr>
              <w:t>评标委员会的组成</w:t>
            </w:r>
          </w:p>
        </w:tc>
        <w:tc>
          <w:tcPr>
            <w:tcW w:w="6960" w:type="dxa"/>
            <w:vAlign w:val="center"/>
          </w:tcPr>
          <w:p>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评标委员会构成：7 人以上单数组成，评标专家确定方式：由招 </w:t>
            </w:r>
          </w:p>
          <w:p>
            <w:pPr>
              <w:keepNext w:val="0"/>
              <w:keepLines w:val="0"/>
              <w:widowControl/>
              <w:suppressLineNumbers w:val="0"/>
              <w:jc w:val="left"/>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标代理在开标前 48 小时在政采云专家中随机抽取此次评标专家。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报价</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应当包括货物的采购、供应、运输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投标人在投标报价时，应考虑招标代理费，经协商本次招标代理服务费由中标人支付。本次招标代理服务费由中标单位支付，本项目代理服务费参照国家计委计价格〔2002〕1980 号文，按差额定率累进法计取。（100 万以下按 1.5%记取、100</w:t>
            </w:r>
            <w:r>
              <w:rPr>
                <w:rFonts w:hint="eastAsia" w:ascii="仿宋" w:hAnsi="仿宋" w:eastAsia="仿宋" w:cs="仿宋"/>
                <w:bCs/>
                <w:color w:val="auto"/>
                <w:sz w:val="24"/>
                <w:szCs w:val="24"/>
                <w:highlight w:val="none"/>
                <w:lang w:val="en-US" w:eastAsia="zh-CN"/>
              </w:rPr>
              <w:t>万</w:t>
            </w:r>
            <w:r>
              <w:rPr>
                <w:rFonts w:hint="eastAsia" w:ascii="仿宋" w:hAnsi="仿宋" w:eastAsia="仿宋" w:cs="仿宋"/>
                <w:bCs/>
                <w:color w:val="auto"/>
                <w:sz w:val="24"/>
                <w:szCs w:val="24"/>
                <w:highlight w:val="none"/>
              </w:rPr>
              <w:t>-500 万按 1.1%记取、500 万-1000 万按 0.8%记取）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不予退还保证金的情形</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有下列情形之一的，保证金不予退还：</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（1）供应商在提交投标文件截止时间后撤回投标文件的；</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（2）供应商在投标文件中提供虚假材料的；</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（3）除因不可抗力或招标文件认可的情形以外，成交供应商不与采购人签订合同的；</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履约保证金</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甲乙双方签订合同时约定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政府采购政策支持</w:t>
            </w:r>
          </w:p>
        </w:tc>
        <w:tc>
          <w:tcPr>
            <w:tcW w:w="6960" w:type="dxa"/>
            <w:vAlign w:val="top"/>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本项目为非专门面向中小企业采购项目，根据《政府采购促进中小企业发展管理办法》（财库〔2020〕46号）的规定:（1）本项目对小型和微型企业承接本项目服务的给予10%的扣除价格，用扣除后的价格参与评审。（2）供应商需按照采购文件的要求提供相应的《中小企业声明函》，《中小企业声明函》格式及内容以新财购 〔2022〕22号为准，如未按文件要求填写则不参与价格优惠。用优惠后的价格参与评审。</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2、本项目中小企业划分标准：工业。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947" w:type="dxa"/>
            <w:vAlign w:val="center"/>
          </w:tcPr>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其他说明</w:t>
            </w:r>
          </w:p>
        </w:tc>
        <w:tc>
          <w:tcPr>
            <w:tcW w:w="6960" w:type="dxa"/>
            <w:vAlign w:val="center"/>
          </w:tcPr>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特别提醒：</w:t>
            </w:r>
          </w:p>
          <w:p>
            <w:pPr>
              <w:spacing w:line="440" w:lineRule="exact"/>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1、由于资金有限,采购时可按照预算金额 1476.6 万元进行招标但签合同时必须按照实际到位资金 896.21 万元签订合同。待后续资金到位后再签订剩余资金合同。</w:t>
            </w:r>
          </w:p>
          <w:p>
            <w:pPr>
              <w:spacing w:line="440" w:lineRule="exac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2、同一种疫苗的包段不能兼中兼得。</w:t>
            </w:r>
          </w:p>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3、所有投标人的报价高于采购预算额度视为无效报价（即作否决投标处理）。</w:t>
            </w:r>
          </w:p>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3、更正补充公告请自行登录新疆政府采购网查看下载。</w:t>
            </w:r>
          </w:p>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4、招标文件中部分加“*”、“★”、加粗、加下划线为招标的实质性要求和条件，着重提醒各投标人注意，并认真查看招标文件中的每一个条款及要求，因误读招标文件而造成的后果，招标人概不负责。</w:t>
            </w:r>
          </w:p>
          <w:p>
            <w:pPr>
              <w:spacing w:line="440" w:lineRule="exac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pPr>
              <w:spacing w:line="440" w:lineRule="exac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6、投标供应商制作投标文件的CA锁必须和开标解密的CA锁为同一把锁，在解密过程中因为CA锁不同而导致解密失败的，由投标供应商自行承担。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745"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bl>
    <w:p>
      <w:pPr>
        <w:spacing w:line="360" w:lineRule="auto"/>
        <w:jc w:val="center"/>
        <w:outlineLvl w:val="9"/>
        <w:rPr>
          <w:rFonts w:hint="eastAsia" w:ascii="仿宋" w:hAnsi="仿宋" w:eastAsia="仿宋" w:cs="仿宋"/>
          <w:b/>
          <w:color w:val="auto"/>
          <w:sz w:val="28"/>
          <w:szCs w:val="28"/>
          <w:highlight w:val="none"/>
        </w:rPr>
      </w:pPr>
      <w:bookmarkStart w:id="46" w:name="_Toc3877"/>
    </w:p>
    <w:p>
      <w:pPr>
        <w:pStyle w:val="86"/>
        <w:rPr>
          <w:rFonts w:hint="eastAsia" w:ascii="仿宋" w:hAnsi="仿宋" w:eastAsia="仿宋" w:cs="仿宋"/>
          <w:b/>
          <w:color w:val="auto"/>
          <w:sz w:val="28"/>
          <w:szCs w:val="28"/>
          <w:highlight w:val="none"/>
        </w:rPr>
      </w:pPr>
    </w:p>
    <w:p>
      <w:pPr>
        <w:pStyle w:val="86"/>
        <w:rPr>
          <w:rFonts w:hint="eastAsia" w:ascii="仿宋" w:hAnsi="仿宋" w:eastAsia="仿宋" w:cs="仿宋"/>
          <w:b/>
          <w:color w:val="auto"/>
          <w:sz w:val="28"/>
          <w:szCs w:val="28"/>
          <w:highlight w:val="none"/>
        </w:rPr>
      </w:pPr>
    </w:p>
    <w:bookmarkEnd w:id="46"/>
    <w:p>
      <w:pPr>
        <w:rPr>
          <w:rFonts w:hint="eastAsia" w:ascii="仿宋" w:hAnsi="仿宋" w:eastAsia="仿宋" w:cs="仿宋"/>
          <w:color w:val="auto"/>
          <w:highlight w:val="none"/>
        </w:rPr>
      </w:pPr>
      <w:bookmarkStart w:id="47" w:name="_Toc2805"/>
      <w:bookmarkStart w:id="48" w:name="_Toc13351"/>
      <w:r>
        <w:rPr>
          <w:rFonts w:hint="eastAsia" w:ascii="仿宋" w:hAnsi="仿宋" w:eastAsia="仿宋" w:cs="仿宋"/>
          <w:color w:val="auto"/>
          <w:highlight w:val="none"/>
        </w:rPr>
        <w:br w:type="page"/>
      </w:r>
    </w:p>
    <w:p>
      <w:pPr>
        <w:spacing w:line="360" w:lineRule="auto"/>
        <w:jc w:val="center"/>
        <w:outlineLvl w:val="1"/>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lang w:val="en-US" w:eastAsia="zh-CN"/>
        </w:rPr>
        <w:t>一、</w:t>
      </w:r>
      <w:r>
        <w:rPr>
          <w:rFonts w:hint="eastAsia" w:ascii="仿宋" w:hAnsi="仿宋" w:eastAsia="仿宋" w:cs="仿宋"/>
          <w:b/>
          <w:color w:val="auto"/>
          <w:sz w:val="32"/>
          <w:szCs w:val="28"/>
          <w:highlight w:val="none"/>
        </w:rPr>
        <w:t xml:space="preserve">  </w:t>
      </w:r>
      <w:bookmarkStart w:id="49" w:name="_Toc20677"/>
      <w:bookmarkStart w:id="50" w:name="_Toc3855"/>
      <w:r>
        <w:rPr>
          <w:rFonts w:hint="eastAsia" w:ascii="仿宋" w:hAnsi="仿宋" w:eastAsia="仿宋" w:cs="仿宋"/>
          <w:b/>
          <w:color w:val="auto"/>
          <w:sz w:val="32"/>
          <w:szCs w:val="28"/>
          <w:highlight w:val="none"/>
        </w:rPr>
        <w:t>总  则</w:t>
      </w:r>
      <w:bookmarkEnd w:id="49"/>
      <w:bookmarkEnd w:id="50"/>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highlight w:val="none"/>
        </w:rPr>
        <w:t>本招标文件仅适用于本次招标采购中所叙述项目的货物及服务采购。</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（1）具有经年审合格的“三证合一”的营业执照；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（2）需提供2021年第三方审计机构出具的审计报告（2022年成立的公司可不提供但需提供银行出具的近3个月的资信证明）和健全的财务会计制度；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（4）提供参加政府采购活动前 3 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5）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（6） 企业负责人为同一人或者存在直接控股、管理关系的不同供应商，不得参加同一合同项下的政府采购活动。否则，皆取消投标资格。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2、落实政府采购政策需满足的资格要求：政府采购促进中小企业发展管理办法》（财库〔2020〕46 号）；关于进一步加大政府采购支持中小企业力度的通知财库〔2022〕19号；《财政部发展改革委生态环境部市场监管总局关于调整优化节能产品、环境标志产品政府采购执行机制的通知》（财库〔2019〕9号）。</w:t>
      </w:r>
      <w:r>
        <w:rPr>
          <w:rFonts w:hint="eastAsia" w:ascii="仿宋" w:hAnsi="仿宋" w:eastAsia="仿宋" w:cs="仿宋"/>
          <w:color w:val="auto"/>
          <w:sz w:val="24"/>
          <w:highlight w:val="none"/>
          <w:lang w:val="en-US" w:eastAsia="zh-CN"/>
        </w:rPr>
        <w:t>3、本项目的特定资格要求：</w:t>
      </w:r>
      <w:r>
        <w:rPr>
          <w:rFonts w:hint="eastAsia" w:ascii="仿宋" w:hAnsi="仿宋" w:eastAsia="仿宋" w:cs="仿宋"/>
          <w:b/>
          <w:bCs/>
          <w:color w:val="auto"/>
          <w:sz w:val="24"/>
          <w:highlight w:val="none"/>
          <w:lang w:val="en-US" w:eastAsia="zh-CN"/>
        </w:rPr>
        <w:t>投标人具有有效的《兽药经营许可证》或《兽药生产许可证》原件；兽药产品批准文号；有效期内的兽药GMP证书；</w:t>
      </w:r>
    </w:p>
    <w:p>
      <w:pPr>
        <w:spacing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autoSpaceDE w:val="0"/>
        <w:autoSpaceDN w:val="0"/>
        <w:adjustRightInd w:val="0"/>
        <w:spacing w:line="360" w:lineRule="auto"/>
        <w:ind w:left="1092" w:leftChars="257" w:hanging="55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3.1 “采购人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eastAsia="zh-CN"/>
        </w:rPr>
        <w:t>和田地区农业农村局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“合格投标人”系指报名合格、购买了招标文件、提交了投标文件的投标人，中标后即为中标人，签订合同后即为卖方。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“招标机构”为</w:t>
      </w:r>
      <w:r>
        <w:rPr>
          <w:rFonts w:hint="eastAsia" w:ascii="仿宋" w:hAnsi="仿宋" w:eastAsia="仿宋" w:cs="仿宋"/>
          <w:color w:val="auto"/>
          <w:sz w:val="24"/>
          <w:szCs w:val="24"/>
          <w:highlight w:val="none"/>
          <w:lang w:val="en-US" w:eastAsia="zh-CN"/>
        </w:rPr>
        <w:t>新疆星耀天都项目管理有限责任公司</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“货物”系指卖方按合同要求，须向买方提供的一切产品及其它技术资料和材料。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“服务”系指合同规定卖方须承担的技术协助、本地化开发、安装、调试和交付使用后免费维护期内应履行的义务及</w:t>
      </w:r>
      <w:r>
        <w:rPr>
          <w:rFonts w:hint="eastAsia" w:ascii="仿宋" w:hAnsi="仿宋" w:eastAsia="仿宋" w:cs="仿宋"/>
          <w:color w:val="auto"/>
          <w:sz w:val="24"/>
          <w:szCs w:val="24"/>
          <w:highlight w:val="none"/>
          <w:lang w:val="en-US" w:eastAsia="zh-CN"/>
        </w:rPr>
        <w:t>质量保证</w:t>
      </w:r>
      <w:r>
        <w:rPr>
          <w:rFonts w:hint="eastAsia" w:ascii="仿宋" w:hAnsi="仿宋" w:eastAsia="仿宋" w:cs="仿宋"/>
          <w:color w:val="auto"/>
          <w:sz w:val="24"/>
          <w:szCs w:val="24"/>
          <w:highlight w:val="none"/>
        </w:rPr>
        <w:t>服务等其他类似的义务。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“卖方”系指提供合同货物和服务的法人。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“买方”系指购买货物的单位。</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4.1 无论投标结果如何，投标人须自行承担所有与参加投标有关的全部费用。</w:t>
      </w:r>
    </w:p>
    <w:p>
      <w:pPr>
        <w:numPr>
          <w:ilvl w:val="0"/>
          <w:numId w:val="4"/>
        </w:numPr>
        <w:spacing w:line="460" w:lineRule="exact"/>
        <w:jc w:val="center"/>
        <w:outlineLvl w:val="2"/>
        <w:rPr>
          <w:rFonts w:hint="eastAsia" w:ascii="仿宋" w:hAnsi="仿宋" w:eastAsia="仿宋" w:cs="仿宋"/>
          <w:b/>
          <w:color w:val="auto"/>
          <w:sz w:val="28"/>
          <w:szCs w:val="28"/>
          <w:highlight w:val="none"/>
        </w:rPr>
      </w:pPr>
      <w:bookmarkStart w:id="51" w:name="_Toc29853"/>
      <w:bookmarkStart w:id="52" w:name="_Toc1575"/>
      <w:r>
        <w:rPr>
          <w:rFonts w:hint="eastAsia" w:ascii="仿宋" w:hAnsi="仿宋" w:eastAsia="仿宋" w:cs="仿宋"/>
          <w:b/>
          <w:color w:val="auto"/>
          <w:sz w:val="28"/>
          <w:szCs w:val="28"/>
          <w:highlight w:val="none"/>
        </w:rPr>
        <w:t>招标文件</w:t>
      </w:r>
      <w:bookmarkEnd w:id="51"/>
      <w:bookmarkEnd w:id="52"/>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招标文件用以阐明所招标的内容，招标投标程序及合同条款，包括：</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招标公告</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投标人须知前附表</w:t>
      </w:r>
    </w:p>
    <w:p>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 xml:space="preserve">5.1.3  </w:t>
      </w:r>
      <w:r>
        <w:rPr>
          <w:rFonts w:hint="eastAsia" w:ascii="仿宋" w:hAnsi="仿宋" w:eastAsia="仿宋" w:cs="仿宋"/>
          <w:color w:val="auto"/>
          <w:sz w:val="24"/>
          <w:szCs w:val="24"/>
          <w:highlight w:val="none"/>
          <w:lang w:val="en-US" w:eastAsia="zh-CN"/>
        </w:rPr>
        <w:t>招标书</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5.1.4  </w:t>
      </w:r>
      <w:r>
        <w:rPr>
          <w:rFonts w:hint="eastAsia" w:ascii="仿宋" w:hAnsi="仿宋" w:eastAsia="仿宋" w:cs="仿宋"/>
          <w:color w:val="auto"/>
          <w:sz w:val="24"/>
          <w:szCs w:val="24"/>
          <w:highlight w:val="none"/>
          <w:lang w:val="en-US" w:eastAsia="zh-CN"/>
        </w:rPr>
        <w:t>总则</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  采购需求、技术参数、规格</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  合同条款</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5.1.7  投标文件格式</w:t>
      </w:r>
    </w:p>
    <w:p>
      <w:pPr>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rPr>
        <w:t xml:space="preserve">5.2 </w:t>
      </w:r>
      <w:r>
        <w:rPr>
          <w:rFonts w:hint="eastAsia" w:ascii="仿宋" w:hAnsi="仿宋" w:eastAsia="仿宋" w:cs="仿宋"/>
          <w:color w:val="auto"/>
          <w:sz w:val="24"/>
          <w:highlight w:val="none"/>
        </w:rPr>
        <w:t>供应商应认真阅读招标文件中所有的事项、格式、条款和规范等要求，从而对招标</w:t>
      </w:r>
      <w:r>
        <w:rPr>
          <w:rFonts w:hint="eastAsia" w:ascii="仿宋" w:hAnsi="仿宋" w:eastAsia="仿宋" w:cs="仿宋"/>
          <w:color w:val="auto"/>
          <w:sz w:val="24"/>
          <w:szCs w:val="22"/>
          <w:highlight w:val="none"/>
        </w:rPr>
        <w:t>文件作出实质性响应。如果没有按照招标文件要求提交全部招标响应文件或资料，没有对招标文件作出实质性响应，其风险应由供应商自行承担。</w:t>
      </w:r>
    </w:p>
    <w:p>
      <w:pPr>
        <w:spacing w:line="46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5.3招标文件以中文编写。</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 </w:t>
      </w:r>
      <w:r>
        <w:rPr>
          <w:rFonts w:hint="eastAsia" w:ascii="仿宋" w:hAnsi="仿宋" w:eastAsia="仿宋" w:cs="仿宋"/>
          <w:color w:val="auto"/>
          <w:sz w:val="24"/>
          <w:highlight w:val="none"/>
        </w:rPr>
        <w:t>供应商对招标文件有疑问的，可以向招标代理机构提出询问，招标代理机构将及时</w:t>
      </w:r>
      <w:r>
        <w:rPr>
          <w:rFonts w:hint="eastAsia" w:ascii="仿宋" w:hAnsi="仿宋" w:eastAsia="仿宋" w:cs="仿宋"/>
          <w:color w:val="auto"/>
          <w:sz w:val="24"/>
          <w:szCs w:val="24"/>
          <w:highlight w:val="none"/>
        </w:rPr>
        <w:t>做出答复；</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6.2供应商对招标文件有质疑，须在招标响应文件递交截止时间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日以前，以书面形式向招标机构提出质疑；招标机构在收到书面质疑后尽快做出答复，并以书面形式通知质疑供应商。</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7、招标文件的修改</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7.1 </w:t>
      </w:r>
      <w:r>
        <w:rPr>
          <w:rFonts w:hint="eastAsia" w:ascii="仿宋" w:hAnsi="仿宋" w:eastAsia="仿宋" w:cs="仿宋"/>
          <w:color w:val="auto"/>
          <w:sz w:val="24"/>
          <w:highlight w:val="none"/>
        </w:rPr>
        <w:t>对招标文件进行必要的修改，招标代理机构将在投标截止时间</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日前以书面形式通知所有购买招标文件的供应商。该修改的内容为招标文件的组成部分；</w:t>
      </w:r>
    </w:p>
    <w:p>
      <w:pPr>
        <w:spacing w:line="40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7.2 </w:t>
      </w:r>
      <w:r>
        <w:rPr>
          <w:rFonts w:hint="eastAsia" w:ascii="仿宋" w:hAnsi="仿宋" w:eastAsia="仿宋" w:cs="仿宋"/>
          <w:color w:val="auto"/>
          <w:sz w:val="24"/>
          <w:highlight w:val="none"/>
        </w:rPr>
        <w:t>供应商在规定的时间内未对招标文件提出澄清要求的，招标代理机构将视其为同意。</w:t>
      </w:r>
    </w:p>
    <w:p>
      <w:pPr>
        <w:spacing w:line="40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在投标截止时间前，招标机构可视具体情况延长招标截止时间，并将变更时间书面通知所有购买招标文件的供应商。</w:t>
      </w:r>
    </w:p>
    <w:p>
      <w:pPr>
        <w:pStyle w:val="86"/>
        <w:spacing w:line="460" w:lineRule="exact"/>
        <w:rPr>
          <w:rFonts w:hint="eastAsia" w:ascii="仿宋" w:hAnsi="仿宋" w:eastAsia="仿宋" w:cs="仿宋"/>
          <w:color w:val="auto"/>
          <w:sz w:val="28"/>
          <w:szCs w:val="28"/>
          <w:highlight w:val="none"/>
        </w:rPr>
      </w:pPr>
    </w:p>
    <w:p>
      <w:pPr>
        <w:spacing w:line="460" w:lineRule="exact"/>
        <w:ind w:firstLine="562" w:firstLineChars="200"/>
        <w:jc w:val="center"/>
        <w:outlineLvl w:val="2"/>
        <w:rPr>
          <w:rFonts w:hint="eastAsia" w:ascii="仿宋" w:hAnsi="仿宋" w:eastAsia="仿宋" w:cs="仿宋"/>
          <w:b/>
          <w:bCs/>
          <w:color w:val="auto"/>
          <w:sz w:val="28"/>
          <w:szCs w:val="28"/>
          <w:highlight w:val="none"/>
        </w:rPr>
      </w:pPr>
      <w:bookmarkStart w:id="53" w:name="_Toc4675"/>
      <w:bookmarkStart w:id="54" w:name="_Toc24935"/>
      <w:r>
        <w:rPr>
          <w:rFonts w:hint="eastAsia" w:ascii="仿宋" w:hAnsi="仿宋" w:eastAsia="仿宋" w:cs="仿宋"/>
          <w:b/>
          <w:bCs/>
          <w:color w:val="auto"/>
          <w:sz w:val="28"/>
          <w:szCs w:val="28"/>
          <w:highlight w:val="none"/>
        </w:rPr>
        <w:t>三、投标文件的编写</w:t>
      </w:r>
      <w:bookmarkEnd w:id="53"/>
      <w:bookmarkEnd w:id="54"/>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8．要求</w:t>
      </w:r>
    </w:p>
    <w:p>
      <w:pPr>
        <w:spacing w:line="4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8.1 供应商应仔细阅读招标文件的所有内容，按招标文件的要求提供招标响应文件，并保证所提供的全部资料的真实性，以使其招标响应对招标文件作出实质性响应，否则，其招标可能被拒绝。</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9．招标语言</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pPr>
        <w:widowControl/>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9.2投标文件中使用的计量单位除招标文件中有特殊规定外，一律使用法定计量单位。</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10、投标文件的格式 </w:t>
      </w:r>
    </w:p>
    <w:p>
      <w:pPr>
        <w:spacing w:line="46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10.1投标人应按招标文件提供的格式及投标报价说明完整地填写所提供的产品、服务、数量及价格。</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pPr>
        <w:numPr>
          <w:ilvl w:val="0"/>
          <w:numId w:val="5"/>
        </w:numPr>
        <w:spacing w:line="460" w:lineRule="exact"/>
        <w:ind w:left="481"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投标文件由以下部分构成</w:t>
      </w:r>
    </w:p>
    <w:p>
      <w:pPr>
        <w:spacing w:line="46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本项目所涉投标文件格式请详见第五章，未给出的格式请自拟。</w:t>
      </w:r>
    </w:p>
    <w:p>
      <w:pPr>
        <w:spacing w:line="460" w:lineRule="exact"/>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highlight w:val="none"/>
        </w:rPr>
        <w:t>投标文件由</w:t>
      </w:r>
      <w:r>
        <w:rPr>
          <w:rFonts w:hint="eastAsia" w:ascii="仿宋" w:hAnsi="仿宋" w:eastAsia="仿宋" w:cs="仿宋"/>
          <w:b/>
          <w:bCs/>
          <w:color w:val="auto"/>
          <w:sz w:val="24"/>
          <w:highlight w:val="none"/>
          <w:lang w:val="en-US" w:eastAsia="zh-CN"/>
        </w:rPr>
        <w:t>经济报价部分、</w:t>
      </w:r>
      <w:r>
        <w:rPr>
          <w:rFonts w:hint="eastAsia" w:ascii="仿宋" w:hAnsi="仿宋" w:eastAsia="仿宋" w:cs="仿宋"/>
          <w:b/>
          <w:bCs/>
          <w:color w:val="auto"/>
          <w:sz w:val="24"/>
          <w:highlight w:val="none"/>
        </w:rPr>
        <w:t>商务部分、技术部分其他部分组成主要包括</w:t>
      </w:r>
      <w:r>
        <w:rPr>
          <w:rFonts w:hint="eastAsia" w:ascii="仿宋" w:hAnsi="仿宋" w:eastAsia="仿宋" w:cs="仿宋"/>
          <w:b/>
          <w:bCs/>
          <w:color w:val="auto"/>
          <w:sz w:val="24"/>
          <w:szCs w:val="22"/>
          <w:highlight w:val="none"/>
          <w:lang w:val="en-US" w:eastAsia="zh-CN"/>
        </w:rPr>
        <w:t>：</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一、投 标 函</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二、投标文件真实性和不存在限制投标情形的声明</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三、开标一览表</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四、法定代表人身份证明、法定代表人授权委托书</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五、投标保证金（投标保证金银行转账单复印件）</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六、技术规格功能要求偏离表</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七、商务条款偏离表</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八、投标单位简介</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九、近三年业绩及相关证明</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十、质量保证书</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十一、符合《政府采购法》第二十二条规定的条件</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十二、满足特殊资质要求</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十三、投标单位（供应商）反商业贿赂承诺书</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十四、中小企业声明函（如是）</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十五、节能、环保产品证明（如有）</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十六、网站截图</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十七、疫苗免疫副反应、免疫失败、产品质量问题等处理方案损失补偿方案</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十八、抗体水平监测方案</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十九、售后服务及质量保障措施方案</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二十、响应时间</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二十一、产品保险证明</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二十二、产品技术指标及生产能力</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二十三、投标人认为需要提供的其他资料</w:t>
      </w:r>
    </w:p>
    <w:p>
      <w:pPr>
        <w:spacing w:line="460" w:lineRule="exact"/>
        <w:ind w:firstLine="482" w:firstLineChars="200"/>
        <w:rPr>
          <w:rFonts w:hint="eastAsia" w:ascii="仿宋" w:hAnsi="仿宋" w:eastAsia="仿宋" w:cs="仿宋"/>
          <w:b/>
          <w:color w:val="auto"/>
          <w:kern w:val="0"/>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2"/>
          <w:highlight w:val="none"/>
        </w:rPr>
        <w:t>电子投标文件按政采云平台供应商电子招投标操作指南。建议根据招标文件合格供应商的资格要求、投标文件的编制及</w:t>
      </w:r>
      <w:r>
        <w:rPr>
          <w:rFonts w:hint="eastAsia" w:ascii="仿宋" w:hAnsi="仿宋" w:eastAsia="仿宋" w:cs="仿宋"/>
          <w:b/>
          <w:bCs/>
          <w:color w:val="auto"/>
          <w:sz w:val="24"/>
          <w:szCs w:val="22"/>
          <w:highlight w:val="none"/>
          <w:lang w:val="en-US" w:eastAsia="zh-CN"/>
        </w:rPr>
        <w:t>资格评审、响应性评审</w:t>
      </w:r>
      <w:r>
        <w:rPr>
          <w:rFonts w:hint="eastAsia" w:ascii="仿宋" w:hAnsi="仿宋" w:eastAsia="仿宋" w:cs="仿宋"/>
          <w:b/>
          <w:bCs/>
          <w:color w:val="auto"/>
          <w:sz w:val="24"/>
          <w:szCs w:val="22"/>
          <w:highlight w:val="none"/>
        </w:rPr>
        <w:t>等内容一一关联投标文件按统一格式、顺序编写。</w:t>
      </w:r>
    </w:p>
    <w:p>
      <w:pPr>
        <w:spacing w:line="48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12、投标报价</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pPr>
        <w:spacing w:line="48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highlight w:val="none"/>
        </w:rPr>
        <w:t>　　</w:t>
      </w:r>
      <w:r>
        <w:rPr>
          <w:rFonts w:hint="eastAsia" w:ascii="仿宋" w:hAnsi="仿宋" w:eastAsia="仿宋" w:cs="仿宋"/>
          <w:color w:val="auto"/>
          <w:sz w:val="24"/>
          <w:szCs w:val="24"/>
          <w:highlight w:val="none"/>
        </w:rPr>
        <w:t>（四）总价金额与单价汇总金额不一致的，以单价金额计算结果为准。</w:t>
      </w:r>
    </w:p>
    <w:p>
      <w:pPr>
        <w:spacing w:line="4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供应商应在投标报价表中标明其提供的所有货物及其相关工作范围内所在费用的总价，不接受有任何选择性招标报价。</w:t>
      </w:r>
    </w:p>
    <w:p>
      <w:pPr>
        <w:pStyle w:val="23"/>
        <w:tabs>
          <w:tab w:val="left" w:pos="9214"/>
        </w:tabs>
        <w:spacing w:after="0"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12.3</w:t>
      </w:r>
      <w:r>
        <w:rPr>
          <w:rFonts w:hint="eastAsia" w:ascii="仿宋" w:hAnsi="仿宋" w:eastAsia="仿宋" w:cs="仿宋"/>
          <w:color w:val="auto"/>
          <w:sz w:val="24"/>
          <w:highlight w:val="none"/>
        </w:rPr>
        <w:t>报价时应对下列几点特别注明：</w:t>
      </w:r>
    </w:p>
    <w:p>
      <w:pPr>
        <w:pStyle w:val="23"/>
        <w:tabs>
          <w:tab w:val="left" w:pos="9214"/>
        </w:tabs>
        <w:spacing w:after="0"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12.3.1招标文件中特别要求的备品备件、易损件和专用工具的费用；</w:t>
      </w:r>
    </w:p>
    <w:p>
      <w:pPr>
        <w:pStyle w:val="23"/>
        <w:tabs>
          <w:tab w:val="left" w:pos="9214"/>
        </w:tabs>
        <w:spacing w:after="0"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12.3.2招标文件中特别要求的货物的采购、供应、运输、保险费、税费和相关售后服务等费用及其它附带服务的全部费用；</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w:t>
      </w:r>
      <w:r>
        <w:rPr>
          <w:rFonts w:hint="eastAsia" w:ascii="仿宋" w:hAnsi="仿宋" w:eastAsia="仿宋" w:cs="仿宋"/>
          <w:color w:val="auto"/>
          <w:sz w:val="24"/>
          <w:highlight w:val="none"/>
        </w:rPr>
        <w:t>国内供货人提供在中华人民共和国制造的，或已在中华人民共和国境内的国外产地的已经</w:t>
      </w:r>
      <w:r>
        <w:rPr>
          <w:rStyle w:val="119"/>
          <w:rFonts w:hint="eastAsia" w:ascii="仿宋" w:hAnsi="仿宋" w:eastAsia="仿宋" w:cs="仿宋"/>
          <w:color w:val="auto"/>
          <w:sz w:val="24"/>
          <w:highlight w:val="none"/>
        </w:rPr>
        <w:t>进口的货物的国内投标，其货物的交货价，包括制造、组装该货物所使用的零部件及原材料已付的全部关税、销售税和其他税（其关税和其他税不分别填写，计入货价内即可）。</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算术性修正。算术性修正是指对招标响应文件的报价明细进行校核，并对其算术上和运算上的差错给予修正。修正的原则如下：</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当以数字表示的金额与文字表示的金额有差异时，以文字表示的金额为准；</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当单价与数量相乘不等于合价时，以单价计算为准。如果单价有明显的小数点位置差错，应以标出的合价为准，同时对单价予以修正；</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当各明细部分的价格累计不等于合价时，应以各明细的累计计数为准，修正合价。</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按以上原则对算术性差错修正，应取得供应商的同意，并确认修正后最终招标报价。如果供应商拒绝确认，则其招标响应文件将不予以评审并按废标处理，没收其投标担保。</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13、投标人应逐条详细阅读招标文件有关要求，表明所提供的服务是否对招标文件做出实质性响应。</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14、投标文件的有效期</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投标文件从实际开标之日起 </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天内有效。有效期不足的投标文件将被拒绝。</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如遇特殊情况，在原投标有效期届满之前，招标人可与投标人协商延长投标文件的有效期，并经投标人确认。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15、投标文件的签署、递交、准备和解密时间要求</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15.1投标人应按本招标文件规定的格式和顺序编制、装订投标文件并标注页码，投标文件内容不完整、编排混乱导致投标文件被误读、漏读或者查找不到相关内容的，是投标人的责任。</w:t>
      </w:r>
    </w:p>
    <w:p>
      <w:pPr>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15.2投标人应于</w:t>
      </w:r>
      <w:r>
        <w:rPr>
          <w:rFonts w:hint="eastAsia" w:ascii="仿宋" w:hAnsi="仿宋" w:eastAsia="仿宋" w:cs="仿宋"/>
          <w:b/>
          <w:bCs/>
          <w:color w:val="auto"/>
          <w:sz w:val="24"/>
          <w:szCs w:val="24"/>
          <w:highlight w:val="none"/>
          <w:lang w:eastAsia="zh-CN"/>
        </w:rPr>
        <w:t>2023年03月10日 11:00时整</w:t>
      </w:r>
      <w:r>
        <w:rPr>
          <w:rFonts w:hint="eastAsia" w:ascii="仿宋" w:hAnsi="仿宋" w:eastAsia="仿宋" w:cs="仿宋"/>
          <w:b/>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15.3投标文件须由投标人在规定位置盖章并由法定代表人或法定代表人的授权委托人签署，投标人应写全称。</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15.4投标文件不得涂改，若有修改错漏处，须加盖单位公章或者法定代表人或授权委托人签字或盖章。投标文件因字迹潦草或表达不清所引起的后果由投标人负责。</w:t>
      </w:r>
    </w:p>
    <w:p>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 xml:space="preserve">、本项目实行网上投标，采用电子投标文件。若供应商参与投标，自行承担投标一切费用。 </w:t>
      </w:r>
    </w:p>
    <w:p>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46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15.9开标时间后</w:t>
      </w: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eastAsia="zh-CN"/>
        </w:rPr>
        <w:t>2023年03月10日 上午</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color w:val="auto"/>
          <w:sz w:val="24"/>
          <w:szCs w:val="24"/>
          <w:highlight w:val="none"/>
          <w:lang w:val="en-US" w:eastAsia="zh-CN"/>
        </w:rPr>
        <w:t>2023年03月10日 上午12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前）未按时解密的，视为投标文件撤回。</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16、投标保证金</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投标保证金数额</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20</w:t>
      </w:r>
      <w:r>
        <w:rPr>
          <w:rFonts w:hint="eastAsia" w:ascii="仿宋" w:hAnsi="仿宋" w:eastAsia="仿宋" w:cs="仿宋"/>
          <w:b/>
          <w:color w:val="auto"/>
          <w:sz w:val="24"/>
          <w:szCs w:val="24"/>
          <w:highlight w:val="none"/>
          <w:u w:val="single"/>
        </w:rPr>
        <w:t>条。</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投标保证金用于应对本次招标因投标人违规、违约而产生的风险。</w:t>
      </w:r>
    </w:p>
    <w:p>
      <w:pPr>
        <w:widowControl/>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16.3 投标人必须于投标截止时间之前（</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20</w:t>
      </w:r>
      <w:r>
        <w:rPr>
          <w:rFonts w:hint="eastAsia" w:ascii="仿宋" w:hAnsi="仿宋" w:eastAsia="仿宋" w:cs="仿宋"/>
          <w:b/>
          <w:color w:val="auto"/>
          <w:sz w:val="24"/>
          <w:szCs w:val="24"/>
          <w:highlight w:val="none"/>
          <w:u w:val="single"/>
        </w:rPr>
        <w:t>条规定）</w:t>
      </w:r>
      <w:r>
        <w:rPr>
          <w:rFonts w:hint="eastAsia" w:ascii="仿宋" w:hAnsi="仿宋" w:eastAsia="仿宋" w:cs="仿宋"/>
          <w:color w:val="auto"/>
          <w:sz w:val="24"/>
          <w:szCs w:val="24"/>
          <w:highlight w:val="none"/>
        </w:rPr>
        <w:t>按将投标保证金交纳至规定的帐号，对未按要求提交投标保证金的投标书，招标机构将视为不响应投标予以拒绝。</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 投标保证金应以基本账户对公转账方式提交。本招标不接受银行保函形式的投标保证金。</w:t>
      </w:r>
    </w:p>
    <w:p>
      <w:pPr>
        <w:widowControl/>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16.5在招标方规定的投标有效期满之前，招标方将以书面形式 发出《中标通知书》，《中标通知书》一经发出即发生法律效力。</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 发生以下情况投标保证金可能被没收：</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16.6.1 投标人在投标有效期内撤回投标的；</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16.6.2 中标人未能做到：中标后，无正当理由放弃中标资格。</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16.6.3 投标人在投标过程中有违反有关法律法规行为的。</w:t>
      </w:r>
    </w:p>
    <w:p>
      <w:pPr>
        <w:numPr>
          <w:ilvl w:val="0"/>
          <w:numId w:val="6"/>
        </w:numPr>
        <w:spacing w:line="460" w:lineRule="exact"/>
        <w:jc w:val="center"/>
        <w:outlineLvl w:val="2"/>
        <w:rPr>
          <w:rFonts w:hint="eastAsia" w:ascii="仿宋" w:hAnsi="仿宋" w:eastAsia="仿宋" w:cs="仿宋"/>
          <w:b/>
          <w:color w:val="auto"/>
          <w:sz w:val="28"/>
          <w:szCs w:val="28"/>
          <w:highlight w:val="none"/>
        </w:rPr>
      </w:pPr>
      <w:bookmarkStart w:id="55" w:name="_Toc22171"/>
      <w:bookmarkStart w:id="56" w:name="_Toc22295"/>
      <w:r>
        <w:rPr>
          <w:rFonts w:hint="eastAsia" w:ascii="仿宋" w:hAnsi="仿宋" w:eastAsia="仿宋" w:cs="仿宋"/>
          <w:b/>
          <w:color w:val="auto"/>
          <w:sz w:val="28"/>
          <w:szCs w:val="28"/>
          <w:highlight w:val="none"/>
        </w:rPr>
        <w:t>投标文件的递交</w:t>
      </w:r>
      <w:bookmarkEnd w:id="55"/>
      <w:bookmarkEnd w:id="56"/>
    </w:p>
    <w:p>
      <w:pPr>
        <w:widowControl/>
        <w:spacing w:line="34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17.1.投标文件的准备和解密</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1、本项目实行网上投标，采用电子投标文件。若供应商参与投标，自行承担投标一切费用。 </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widowControl/>
        <w:autoSpaceDE w:val="0"/>
        <w:autoSpaceDN w:val="0"/>
        <w:adjustRightInd w:val="0"/>
        <w:snapToGrid w:val="0"/>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17.</w:t>
      </w:r>
      <w:r>
        <w:rPr>
          <w:rFonts w:hint="eastAsia" w:ascii="仿宋" w:hAnsi="仿宋" w:eastAsia="仿宋" w:cs="仿宋"/>
          <w:b/>
          <w:bCs/>
          <w:color w:val="auto"/>
          <w:kern w:val="0"/>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widowControl/>
        <w:spacing w:line="340" w:lineRule="exact"/>
        <w:ind w:firstLine="482"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5开标时间后60分钟内（2023年03月10日 上午11:00-12：00前）供应商可以登录“政采云”平台，用“项目采购-开标评标”功能进行解密投标文件。若供应商在规定时间内（2023年03月10日 上午12:00前）未按时解密的，视为投标文件撤回。</w:t>
      </w:r>
    </w:p>
    <w:p>
      <w:pPr>
        <w:widowControl/>
        <w:spacing w:line="34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因系统（非投标供应商行为）的原因，造成投标供应商未能在规定的解密时限内解密的，请及时与招标代理机构或与新疆政府采购网 投标客户端进行联系。</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投标文件未按规定上传的，视为其自动放弃投标。</w:t>
      </w:r>
    </w:p>
    <w:p>
      <w:pPr>
        <w:widowControl/>
        <w:shd w:val="clear" w:color="auto" w:fill="FFFFFF"/>
        <w:snapToGrid w:val="0"/>
        <w:spacing w:line="34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color w:val="auto"/>
          <w:kern w:val="0"/>
          <w:sz w:val="24"/>
          <w:szCs w:val="24"/>
          <w:highlight w:val="none"/>
        </w:rPr>
        <w:t>投标文件的修改与撤回</w:t>
      </w:r>
    </w:p>
    <w:p>
      <w:pPr>
        <w:widowControl/>
        <w:spacing w:line="34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，作为投标文件的组成部分。</w:t>
      </w:r>
    </w:p>
    <w:p>
      <w:pPr>
        <w:widowControl/>
        <w:spacing w:line="340" w:lineRule="exact"/>
        <w:ind w:firstLine="480"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17.2.2投标人在投标截止期后不得修改、撤回投标文件。</w:t>
      </w:r>
      <w:r>
        <w:rPr>
          <w:rFonts w:hint="eastAsia" w:ascii="仿宋" w:hAnsi="仿宋" w:eastAsia="仿宋" w:cs="仿宋"/>
          <w:b/>
          <w:color w:val="auto"/>
          <w:kern w:val="0"/>
          <w:sz w:val="24"/>
          <w:szCs w:val="24"/>
          <w:highlight w:val="none"/>
        </w:rPr>
        <w:t>投标人在投标截止期后修改投标文件的，其投标无效。</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17.2.3若供应商在规定的时间内（“投标人须知前附表”的中规定）未能解密的，也将被视为供应商对其投标文件的撤回。</w:t>
      </w:r>
    </w:p>
    <w:p>
      <w:pPr>
        <w:spacing w:line="460" w:lineRule="exact"/>
        <w:rPr>
          <w:rFonts w:hint="eastAsia" w:ascii="仿宋" w:hAnsi="仿宋" w:eastAsia="仿宋" w:cs="仿宋"/>
          <w:color w:val="auto"/>
          <w:sz w:val="24"/>
          <w:szCs w:val="24"/>
          <w:highlight w:val="none"/>
        </w:rPr>
      </w:pPr>
    </w:p>
    <w:p>
      <w:pPr>
        <w:numPr>
          <w:ilvl w:val="0"/>
          <w:numId w:val="6"/>
        </w:numPr>
        <w:spacing w:line="460" w:lineRule="exact"/>
        <w:jc w:val="center"/>
        <w:outlineLvl w:val="2"/>
        <w:rPr>
          <w:rFonts w:hint="eastAsia" w:ascii="仿宋" w:hAnsi="仿宋" w:eastAsia="仿宋" w:cs="仿宋"/>
          <w:b/>
          <w:color w:val="auto"/>
          <w:sz w:val="28"/>
          <w:szCs w:val="28"/>
          <w:highlight w:val="none"/>
        </w:rPr>
      </w:pPr>
      <w:bookmarkStart w:id="57" w:name="_Toc18548"/>
      <w:bookmarkStart w:id="58" w:name="_Toc17234"/>
      <w:r>
        <w:rPr>
          <w:rFonts w:hint="eastAsia" w:ascii="仿宋" w:hAnsi="仿宋" w:eastAsia="仿宋" w:cs="仿宋"/>
          <w:b/>
          <w:color w:val="auto"/>
          <w:sz w:val="28"/>
          <w:szCs w:val="28"/>
          <w:highlight w:val="none"/>
        </w:rPr>
        <w:t>开    标</w:t>
      </w:r>
      <w:bookmarkEnd w:id="57"/>
      <w:bookmarkEnd w:id="58"/>
    </w:p>
    <w:p>
      <w:pPr>
        <w:spacing w:line="4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rPr>
        <w:t>8</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开标</w:t>
      </w:r>
    </w:p>
    <w:p>
      <w:pPr>
        <w:spacing w:line="340" w:lineRule="exact"/>
        <w:rPr>
          <w:rFonts w:hint="eastAsia" w:ascii="仿宋" w:hAnsi="仿宋" w:eastAsia="仿宋" w:cs="仿宋"/>
          <w:b/>
          <w:bCs/>
          <w:color w:val="auto"/>
          <w:kern w:val="0"/>
          <w:sz w:val="24"/>
          <w:szCs w:val="24"/>
          <w:highlight w:val="none"/>
        </w:rPr>
      </w:pPr>
      <w:bookmarkStart w:id="59" w:name="_Toc12791"/>
      <w:bookmarkStart w:id="60" w:name="_Toc11241"/>
      <w:r>
        <w:rPr>
          <w:rFonts w:hint="eastAsia" w:ascii="仿宋" w:hAnsi="仿宋" w:eastAsia="仿宋" w:cs="仿宋"/>
          <w:b/>
          <w:bCs/>
          <w:color w:val="auto"/>
          <w:kern w:val="0"/>
          <w:sz w:val="24"/>
          <w:szCs w:val="24"/>
          <w:highlight w:val="none"/>
        </w:rPr>
        <w:t>18.1. 开标</w:t>
      </w:r>
    </w:p>
    <w:p>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18.1.1 本次采用不见面方式网上开标。</w:t>
      </w:r>
    </w:p>
    <w:p>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18.1.2开标由招标代理机构主持，招标人、投标人和有关方面代表参加。</w:t>
      </w:r>
    </w:p>
    <w:p>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18.1.3开标时，由采购代理机构工作人员当众在不见面开标大厅解密，宣布投标人名称、投标价格和招标文件规定的需要宣布的其他内容。投标人不足3家的，不得开标。</w:t>
      </w:r>
    </w:p>
    <w:p>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18.1.4开标时，投标报价以系统显示投标报价为准。 </w:t>
      </w:r>
    </w:p>
    <w:p>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4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18.1.6投标人代表在开标过程中未提出异议的，视为认可本次开标及开标过程的全部事宜。</w:t>
      </w:r>
    </w:p>
    <w:p>
      <w:pPr>
        <w:numPr>
          <w:ilvl w:val="0"/>
          <w:numId w:val="6"/>
        </w:numPr>
        <w:spacing w:line="460" w:lineRule="exact"/>
        <w:ind w:left="0" w:leftChars="0" w:firstLine="0" w:firstLineChars="0"/>
        <w:jc w:val="center"/>
        <w:outlineLvl w:val="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资格审查</w:t>
      </w:r>
    </w:p>
    <w:p>
      <w:pPr>
        <w:spacing w:line="340" w:lineRule="exac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19.资格审查</w:t>
      </w:r>
    </w:p>
    <w:p>
      <w:pPr>
        <w:spacing w:line="340" w:lineRule="exac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19.1资格审查小组由采购人组成，成员人数为3人以上（含3人）。</w:t>
      </w:r>
    </w:p>
    <w:p>
      <w:pPr>
        <w:spacing w:line="340" w:lineRule="exact"/>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19.2资格审查小组在开标结束后评标开始前对投标企业的资格进行审查，</w:t>
      </w:r>
      <w:r>
        <w:rPr>
          <w:rFonts w:hint="eastAsia" w:ascii="仿宋" w:hAnsi="仿宋" w:eastAsia="仿宋" w:cs="仿宋"/>
          <w:b/>
          <w:bCs/>
          <w:color w:val="auto"/>
          <w:kern w:val="0"/>
          <w:sz w:val="24"/>
          <w:szCs w:val="24"/>
          <w:highlight w:val="none"/>
        </w:rPr>
        <w:t>如果投标文件中有一项未通过上述审查标准，</w:t>
      </w:r>
      <w:r>
        <w:rPr>
          <w:rFonts w:hint="eastAsia" w:ascii="仿宋" w:hAnsi="仿宋" w:eastAsia="仿宋" w:cs="仿宋"/>
          <w:b/>
          <w:bCs/>
          <w:color w:val="auto"/>
          <w:kern w:val="0"/>
          <w:sz w:val="24"/>
          <w:szCs w:val="24"/>
          <w:highlight w:val="none"/>
          <w:lang w:eastAsia="zh-CN"/>
        </w:rPr>
        <w:t>资格审查小组</w:t>
      </w:r>
      <w:r>
        <w:rPr>
          <w:rFonts w:hint="eastAsia" w:ascii="仿宋" w:hAnsi="仿宋" w:eastAsia="仿宋" w:cs="仿宋"/>
          <w:b/>
          <w:bCs/>
          <w:color w:val="auto"/>
          <w:kern w:val="0"/>
          <w:sz w:val="24"/>
          <w:szCs w:val="24"/>
          <w:highlight w:val="none"/>
        </w:rPr>
        <w:t>将认定整个投标文件不响应招标文件而予以废标，并且不允许投标人通过修改或撤销其不符合要求的差异或保留，使之成为具有响应性的投标。</w:t>
      </w:r>
    </w:p>
    <w:p>
      <w:pPr>
        <w:pStyle w:val="53"/>
        <w:numPr>
          <w:numId w:val="0"/>
        </w:numPr>
        <w:ind w:leftChars="0"/>
        <w:rPr>
          <w:rFonts w:hint="eastAsia"/>
        </w:rPr>
      </w:pPr>
    </w:p>
    <w:p>
      <w:pPr>
        <w:numPr>
          <w:ilvl w:val="0"/>
          <w:numId w:val="6"/>
        </w:numPr>
        <w:spacing w:line="460" w:lineRule="exact"/>
        <w:jc w:val="center"/>
        <w:outlineLvl w:val="2"/>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评标、定标</w:t>
      </w:r>
      <w:bookmarkEnd w:id="59"/>
      <w:bookmarkEnd w:id="60"/>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、评标</w:t>
      </w:r>
      <w:bookmarkStart w:id="483" w:name="_GoBack"/>
      <w:bookmarkEnd w:id="483"/>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.1  评标委员会  </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20</w:t>
      </w:r>
      <w:r>
        <w:rPr>
          <w:rFonts w:hint="eastAsia" w:ascii="仿宋" w:hAnsi="仿宋" w:eastAsia="仿宋" w:cs="仿宋"/>
          <w:color w:val="auto"/>
          <w:sz w:val="24"/>
          <w:szCs w:val="24"/>
          <w:highlight w:val="none"/>
        </w:rPr>
        <w:t>.1.1 评标委员会或评标小组（以下简称评标委员会）的评标工作由招标单位负责组织，具体评标事务由评标委员会负责，并独立履行其法规规定的职责。</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.1.2 评标委员会由招标人和专家库中熟悉相关技术的专家组成，成员人数为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人以上（含</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的单数，其中熟悉相关技术方面的专家不得少于成员总数的三之二。评标委员会设负责人的，评标委员会负责人由评标委员会推举产生或者由招标人确定。评标委员会负责人与评标委员会的其他成员有同等的表决权。</w:t>
      </w:r>
      <w:r>
        <w:rPr>
          <w:rFonts w:hint="eastAsia" w:ascii="仿宋" w:hAnsi="仿宋" w:eastAsia="仿宋" w:cs="仿宋"/>
          <w:color w:val="auto"/>
          <w:sz w:val="24"/>
          <w:highlight w:val="none"/>
        </w:rPr>
        <w:t>开标前随机抽取确定，并在招标结果确定前保密。</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.1.3  评标委员会或评标小组负责具体的评标事务，并独立履行以下职责：</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.1.3.1 审查投标文件是否符合招标文件的要求，并作出评价；</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.1.3.2 可以要求投标供应商对投标文件有关事项作出解释或澄清；</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.1.3.3 推荐中标候选供应商名单，或者受招标人委托按照事先确定的最低价的评标办法直接确定中标人；</w:t>
      </w:r>
    </w:p>
    <w:p>
      <w:pPr>
        <w:spacing w:line="4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.1.3.4 向招标单位或者有关部门报告非法干预评标工作的行为。</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评标委员会成员应当履行下列义务：</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.1 遵纪守法，客观、公正、廉洁地履行职责；</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.2 按照招标文件规定的评标办法和评标标准进行评标，对评审意见承担个人责任；</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.3 对评标过程和结果，以及投标人的商业秘密保密；</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.4 参与评标报告的起草；</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.5 配合财政部门的投诉处理工作；</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.1.4 .6 配合招标单位答复投标供应商提出的质疑。</w:t>
      </w:r>
    </w:p>
    <w:p>
      <w:pPr>
        <w:spacing w:line="460" w:lineRule="exact"/>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.2按国家计委等七部委颁发的《评标委员会和评标方法暂行规定》，结合本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财务状况、信誉、业绩、服务以及对招标文件的响应程度等。每一投标人的最终得分为所有评委评分的算数平均值。（总分100分：其中商务部分和技术部分占70分，投标报价占30分），最终合计得分最高的投标人作为第一中标候选人，以此类推确定第二、第三中标候选人。</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.3 评标的依据为招标文件和投标文件。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.4 评标过程的保密性。开标后，直到授予投标人合同为止，凡是属于审查、澄清、评价和比较的有关资料以及授标建议等均不得向投标人或其他无关的人员透露。</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.5 投标人在评标过程中所进行的试图影响评标结果、有悖于招标规则的活动，可能导致取消其中标资格。</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.6 与招标文件有重大偏离的投标文件将被拒绝。且此重大偏离在开标后不许修改。</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评标委员会应当审查每一投标文件是否对招标文件提出的所有实质性要求和条件作出响应。未能在实质上响应招标的投标，将作废标处理。</w:t>
      </w:r>
    </w:p>
    <w:p>
      <w:pPr>
        <w:pStyle w:val="146"/>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highlight w:val="none"/>
        </w:rPr>
        <w:t>投标人资格审查和投标文件符合性审查</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.2投标人未通过资格审查的不得进入投标文件符合性审查；投标人未通过符合性审查的，不得进入投标文件的综合比较与评价。</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 一个参加评标的投标人；未规定的采取随机抽取方式确定，</w:t>
      </w:r>
      <w:r>
        <w:rPr>
          <w:rFonts w:hint="eastAsia" w:ascii="仿宋" w:hAnsi="仿宋" w:eastAsia="仿宋" w:cs="仿宋"/>
          <w:b/>
          <w:bCs/>
          <w:color w:val="auto"/>
          <w:sz w:val="24"/>
          <w:highlight w:val="none"/>
        </w:rPr>
        <w:t>其他投标无效</w:t>
      </w:r>
      <w:r>
        <w:rPr>
          <w:rFonts w:hint="eastAsia" w:ascii="仿宋" w:hAnsi="仿宋" w:eastAsia="仿宋" w:cs="仿宋"/>
          <w:bCs/>
          <w:color w:val="auto"/>
          <w:sz w:val="24"/>
          <w:highlight w:val="none"/>
        </w:rPr>
        <w:t>。</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 委员会按照招标文件中评标办法规定的方式确定一个投标人获得中标人推荐资格；未规定的采取随机抽取方式确定，其他同品牌投标人不作 为中标候选人。</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.5如一个分包内包含多种产品的，采购人或采购代理机构将在</w:t>
      </w:r>
      <w:r>
        <w:rPr>
          <w:rFonts w:hint="eastAsia" w:ascii="仿宋" w:hAnsi="仿宋" w:eastAsia="仿宋" w:cs="仿宋"/>
          <w:bCs/>
          <w:color w:val="auto"/>
          <w:sz w:val="24"/>
          <w:highlight w:val="none"/>
          <w:u w:val="single"/>
        </w:rPr>
        <w:t>投标人须知前附表</w:t>
      </w:r>
      <w:r>
        <w:rPr>
          <w:rFonts w:hint="eastAsia" w:ascii="仿宋" w:hAnsi="仿宋" w:eastAsia="仿宋" w:cs="仿宋"/>
          <w:bCs/>
          <w:color w:val="auto"/>
          <w:sz w:val="24"/>
          <w:highlight w:val="none"/>
        </w:rPr>
        <w:t>中载明核心产品，多家投标人提供的所有核心产品品牌均相同的， 按相关条规定处理。</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highlight w:val="none"/>
        </w:rPr>
        <w:t>无效投标</w:t>
      </w:r>
      <w:r>
        <w:rPr>
          <w:rFonts w:hint="eastAsia" w:ascii="仿宋" w:hAnsi="仿宋" w:eastAsia="仿宋" w:cs="仿宋"/>
          <w:bCs/>
          <w:color w:val="auto"/>
          <w:sz w:val="24"/>
          <w:highlight w:val="none"/>
        </w:rPr>
        <w:t>被拒绝。</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.7</w:t>
      </w:r>
      <w:r>
        <w:rPr>
          <w:rFonts w:hint="eastAsia" w:ascii="仿宋" w:hAnsi="仿宋" w:eastAsia="仿宋" w:cs="仿宋"/>
          <w:color w:val="auto"/>
          <w:sz w:val="24"/>
          <w:highlight w:val="none"/>
        </w:rPr>
        <w:t>投标人不良信用记录以采购人或采购代理机构查询结果为准。</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.8</w:t>
      </w:r>
      <w:r>
        <w:rPr>
          <w:rFonts w:hint="eastAsia" w:ascii="仿宋" w:hAnsi="仿宋" w:eastAsia="仿宋" w:cs="仿宋"/>
          <w:b/>
          <w:color w:val="auto"/>
          <w:sz w:val="24"/>
          <w:highlight w:val="none"/>
        </w:rPr>
        <w:t>资格审查详见投标人须知前附表载明的投标人资格证明文件、符合性审查标准详见第</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章评标内容。</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、投标文件的澄清</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评标委员会在评标过程中有权随时请投标人就投标文件中含混之处加以澄清或答疑。</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投标人对要求澄清的问题应以书面形式明确答复，并应有法人授权代表的签署。</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 投标人的澄清文件是投标文件的组成部分，并取代投标文件中被澄清的部分。</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 投标文件的澄清不得改变投标的实质内容。</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 如果投标人在投标文件中未对招标文件中的条款或参数要求提出偏离意见或澄清将视同投标人同意招标文件的全部或部分要求。</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、定标</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评标委员会有权选择和拒绝投标人中标，且无需向投标人进行任何有关评标的解释工作。</w:t>
      </w:r>
    </w:p>
    <w:p>
      <w:pPr>
        <w:spacing w:line="4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评标委员会通过上述评标方法</w:t>
      </w:r>
      <w:r>
        <w:rPr>
          <w:rFonts w:hint="eastAsia" w:ascii="仿宋" w:hAnsi="仿宋" w:eastAsia="仿宋" w:cs="仿宋"/>
          <w:b/>
          <w:bCs/>
          <w:color w:val="auto"/>
          <w:sz w:val="24"/>
          <w:szCs w:val="24"/>
          <w:highlight w:val="none"/>
        </w:rPr>
        <w:t>以报价由低到高排序确定出前三名作为中标候选人推荐给招标人。</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、中标的标准</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资格审查文件完整无缺；</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已交纳投标保证金；</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 报价合理，承诺条件优惠；</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.4 投标文件与招标文件无重大偏离；</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 有较强的技术力量，能提供完善的技术服务；</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.6 其他；</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、中标通知</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评标结束后，招标人将当众宣布评标结果，并在“新疆政府采购网”（网址：http://www.ccgp-xinjiang.gov.cn/）上予以公告。公告有效期1个工作日；</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招标代理机构根据定标结果，在投标有效期届满前，以书面形式向中标单位发出中标通知书。</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highlight w:val="none"/>
        </w:rPr>
        <w:t>招标代理机构将定标结果及时通知未中标单位并退还投标保证金。无需解释落标原因</w:t>
      </w:r>
      <w:r>
        <w:rPr>
          <w:rFonts w:hint="eastAsia" w:ascii="仿宋" w:hAnsi="仿宋" w:eastAsia="仿宋" w:cs="仿宋"/>
          <w:color w:val="auto"/>
          <w:sz w:val="24"/>
          <w:szCs w:val="24"/>
          <w:highlight w:val="none"/>
        </w:rPr>
        <w:t>。</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招标人有权在定标之前拒绝任何有不正当行为或扰乱正常招标工作的投标人，由此对投标人造成的损失不负任何责任，同时对此无需做任何解释。</w:t>
      </w:r>
    </w:p>
    <w:p>
      <w:pPr>
        <w:widowControl/>
        <w:spacing w:line="460" w:lineRule="exact"/>
        <w:ind w:firstLine="236" w:firstLineChars="98"/>
        <w:rPr>
          <w:rFonts w:hint="eastAsia" w:ascii="仿宋" w:hAnsi="仿宋" w:eastAsia="仿宋" w:cs="仿宋"/>
          <w:color w:val="auto"/>
          <w:highlight w:val="none"/>
        </w:rPr>
      </w:pPr>
      <w:r>
        <w:rPr>
          <w:rFonts w:hint="eastAsia" w:ascii="仿宋" w:hAnsi="仿宋" w:eastAsia="仿宋" w:cs="仿宋"/>
          <w:b/>
          <w:color w:val="auto"/>
          <w:kern w:val="0"/>
          <w:sz w:val="24"/>
          <w:szCs w:val="24"/>
          <w:highlight w:val="none"/>
        </w:rPr>
        <w:t xml:space="preserve">  2</w:t>
      </w:r>
      <w:r>
        <w:rPr>
          <w:rFonts w:hint="eastAsia" w:ascii="仿宋" w:hAnsi="仿宋" w:eastAsia="仿宋" w:cs="仿宋"/>
          <w:b/>
          <w:color w:val="auto"/>
          <w:kern w:val="0"/>
          <w:sz w:val="24"/>
          <w:szCs w:val="24"/>
          <w:highlight w:val="none"/>
          <w:lang w:val="en-US" w:eastAsia="zh-CN"/>
        </w:rPr>
        <w:t>6</w:t>
      </w:r>
      <w:r>
        <w:rPr>
          <w:rFonts w:hint="eastAsia" w:ascii="仿宋" w:hAnsi="仿宋" w:eastAsia="仿宋" w:cs="仿宋"/>
          <w:b/>
          <w:color w:val="auto"/>
          <w:kern w:val="0"/>
          <w:sz w:val="24"/>
          <w:szCs w:val="24"/>
          <w:highlight w:val="none"/>
        </w:rPr>
        <w:t>、</w:t>
      </w:r>
      <w:r>
        <w:rPr>
          <w:rFonts w:hint="eastAsia" w:ascii="仿宋" w:hAnsi="仿宋" w:eastAsia="仿宋" w:cs="仿宋"/>
          <w:b/>
          <w:color w:val="auto"/>
          <w:sz w:val="24"/>
          <w:szCs w:val="24"/>
          <w:highlight w:val="none"/>
        </w:rPr>
        <w:t>付款方式</w:t>
      </w:r>
      <w:r>
        <w:rPr>
          <w:rFonts w:hint="eastAsia" w:ascii="仿宋" w:hAnsi="仿宋" w:eastAsia="仿宋" w:cs="仿宋"/>
          <w:b/>
          <w:color w:val="auto"/>
          <w:kern w:val="0"/>
          <w:sz w:val="24"/>
          <w:szCs w:val="24"/>
          <w:highlight w:val="none"/>
        </w:rPr>
        <w:t>：甲乙双方签订合同为准</w:t>
      </w:r>
      <w:r>
        <w:rPr>
          <w:rFonts w:hint="eastAsia" w:ascii="仿宋" w:hAnsi="仿宋" w:eastAsia="仿宋" w:cs="仿宋"/>
          <w:b/>
          <w:color w:val="auto"/>
          <w:sz w:val="24"/>
          <w:szCs w:val="24"/>
          <w:highlight w:val="none"/>
        </w:rPr>
        <w:t>。</w:t>
      </w:r>
    </w:p>
    <w:p>
      <w:pPr>
        <w:numPr>
          <w:ilvl w:val="0"/>
          <w:numId w:val="6"/>
        </w:numPr>
        <w:spacing w:line="460" w:lineRule="exact"/>
        <w:jc w:val="center"/>
        <w:outlineLvl w:val="2"/>
        <w:rPr>
          <w:rFonts w:hint="eastAsia" w:ascii="仿宋" w:hAnsi="仿宋" w:eastAsia="仿宋" w:cs="仿宋"/>
          <w:b/>
          <w:color w:val="auto"/>
          <w:sz w:val="28"/>
          <w:szCs w:val="28"/>
          <w:highlight w:val="none"/>
        </w:rPr>
      </w:pPr>
      <w:bookmarkStart w:id="61" w:name="_Toc24055"/>
      <w:bookmarkStart w:id="62" w:name="_Toc4609"/>
      <w:r>
        <w:rPr>
          <w:rFonts w:hint="eastAsia" w:ascii="仿宋" w:hAnsi="仿宋" w:eastAsia="仿宋" w:cs="仿宋"/>
          <w:b/>
          <w:color w:val="auto"/>
          <w:sz w:val="28"/>
          <w:szCs w:val="28"/>
          <w:highlight w:val="none"/>
        </w:rPr>
        <w:t>签定合同</w:t>
      </w:r>
      <w:bookmarkEnd w:id="61"/>
      <w:bookmarkEnd w:id="62"/>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、签定合同</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中标人依据《中标通知书》与采购人签订采购合同，签订时间为《中标通知书》发出之日起7个工作日内；</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中标合同不得转让。合同分包需在投标文件中予以说明，并需经招标人同意。否则，招标人有权取消中标人的中标资格。</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 招标人如遇中标人违约，可从侯选中标人中重新选定中标人，并签定经济合同。</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 合同的制订由招标人、中标人、招标代理机构三方参加，为确保合同双方的利益均等，由招标代理机构在合同制订过程中进行协调。</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5 合同一式肆份，需经招标人、中标人双方签字盖章后即生效。招标人、中标人亦可自愿申请公证。</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、合同的组成</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下列文件均为合同不可分割部分：</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.1.1 专用合同；</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.1.2 合同条款；</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.1.3 中标通知书；</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.1.4 乙方中标的投标文件；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.1.5 招标文件；</w:t>
      </w:r>
    </w:p>
    <w:p>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.1.6 评标答疑记录。</w:t>
      </w:r>
    </w:p>
    <w:p>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、履约保证金</w:t>
      </w:r>
    </w:p>
    <w:p>
      <w:pPr>
        <w:pStyle w:val="17"/>
        <w:overflowPunct w:val="0"/>
        <w:spacing w:line="460" w:lineRule="exact"/>
        <w:ind w:firstLine="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 xml:space="preserve">     2</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 《中华人民共和国政府采购法实施条例》第四十八条　履约保证金的数额不得超过政府采购合同金额的10%。中标人与招标人签订合同前提交履约保证金，如中标人未按招标文件规定的工期供货、安装和调试完毕，则扣除履约保证金</w:t>
      </w:r>
      <w:r>
        <w:rPr>
          <w:rFonts w:hint="eastAsia" w:ascii="仿宋" w:hAnsi="仿宋" w:eastAsia="仿宋" w:cs="仿宋"/>
          <w:b/>
          <w:bCs/>
          <w:color w:val="auto"/>
          <w:szCs w:val="24"/>
          <w:highlight w:val="none"/>
        </w:rPr>
        <w:t>。</w:t>
      </w:r>
    </w:p>
    <w:p>
      <w:pPr>
        <w:pStyle w:val="17"/>
        <w:overflowPunct w:val="0"/>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 履约保证金（无息）将在乙方履行完成合同所有义务后凭乙方的收款收据在五天内退返乙方。</w:t>
      </w:r>
    </w:p>
    <w:p>
      <w:pPr>
        <w:pStyle w:val="17"/>
        <w:overflowPunct w:val="0"/>
        <w:spacing w:line="460" w:lineRule="exact"/>
        <w:ind w:firstLine="480" w:firstLineChars="200"/>
        <w:rPr>
          <w:rFonts w:hint="eastAsia" w:ascii="仿宋" w:hAnsi="仿宋" w:eastAsia="仿宋" w:cs="仿宋"/>
          <w:color w:val="auto"/>
          <w:szCs w:val="24"/>
          <w:highlight w:val="none"/>
        </w:rPr>
      </w:pPr>
    </w:p>
    <w:p>
      <w:pPr>
        <w:numPr>
          <w:ilvl w:val="0"/>
          <w:numId w:val="6"/>
        </w:numPr>
        <w:spacing w:line="460" w:lineRule="exact"/>
        <w:jc w:val="center"/>
        <w:outlineLvl w:val="2"/>
        <w:rPr>
          <w:rFonts w:hint="eastAsia" w:ascii="仿宋" w:hAnsi="仿宋" w:eastAsia="仿宋" w:cs="仿宋"/>
          <w:b/>
          <w:bCs w:val="0"/>
          <w:color w:val="auto"/>
          <w:sz w:val="28"/>
          <w:szCs w:val="28"/>
          <w:highlight w:val="none"/>
        </w:rPr>
      </w:pPr>
      <w:bookmarkStart w:id="63" w:name="_Toc18703"/>
      <w:bookmarkStart w:id="64" w:name="_Toc28496"/>
      <w:r>
        <w:rPr>
          <w:rFonts w:hint="eastAsia" w:ascii="仿宋" w:hAnsi="仿宋" w:eastAsia="仿宋" w:cs="仿宋"/>
          <w:b/>
          <w:bCs w:val="0"/>
          <w:color w:val="auto"/>
          <w:sz w:val="28"/>
          <w:szCs w:val="28"/>
          <w:highlight w:val="none"/>
        </w:rPr>
        <w:t>法律责任</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30</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rPr>
        <w:tab/>
      </w:r>
      <w:r>
        <w:rPr>
          <w:rFonts w:hint="eastAsia" w:ascii="仿宋" w:hAnsi="仿宋" w:eastAsia="仿宋" w:cs="仿宋"/>
          <w:b/>
          <w:bCs w:val="0"/>
          <w:color w:val="auto"/>
          <w:sz w:val="24"/>
          <w:highlight w:val="none"/>
        </w:rPr>
        <w:t>法律责任</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30</w:t>
      </w:r>
      <w:r>
        <w:rPr>
          <w:rFonts w:hint="eastAsia" w:ascii="仿宋" w:hAnsi="仿宋" w:eastAsia="仿宋" w:cs="仿宋"/>
          <w:b/>
          <w:bCs w:val="0"/>
          <w:color w:val="auto"/>
          <w:sz w:val="24"/>
          <w:highlight w:val="none"/>
        </w:rPr>
        <w:t>.1</w:t>
      </w:r>
      <w:r>
        <w:rPr>
          <w:rFonts w:hint="eastAsia" w:ascii="仿宋" w:hAnsi="仿宋" w:eastAsia="仿宋" w:cs="仿宋"/>
          <w:b/>
          <w:bCs w:val="0"/>
          <w:color w:val="auto"/>
          <w:sz w:val="24"/>
          <w:highlight w:val="none"/>
        </w:rPr>
        <w:tab/>
      </w:r>
      <w:r>
        <w:rPr>
          <w:rFonts w:hint="eastAsia" w:ascii="仿宋" w:hAnsi="仿宋" w:eastAsia="仿宋" w:cs="仿宋"/>
          <w:b/>
          <w:bCs w:val="0"/>
          <w:color w:val="auto"/>
          <w:sz w:val="24"/>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（一）提供虚假材料谋取中标的； </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（二）采取不正当手段诋毁、排挤其他投标人的；</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（三）与招标人、采购人、其他投标人恶意串通的； </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（四）向招标人、采购人行贿或者提供其他不正当利益的； </w:t>
      </w:r>
    </w:p>
    <w:p>
      <w:pPr>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（五）在招标过程中与招标人、采购人进行协商谈判、不按照招标文件、投标文件订立合同，或者与采购人另行订立背离合同实质性内容的协议的； </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（六）拒绝有关部门监督检查或者提供虚假情况的。 </w:t>
      </w:r>
    </w:p>
    <w:p>
      <w:pPr>
        <w:spacing w:line="360" w:lineRule="auto"/>
        <w:ind w:left="718" w:leftChars="1" w:hanging="716" w:hangingChars="297"/>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投标人有前款第（一）至（五）项情形之一的，中标无效。 </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29.2</w:t>
      </w:r>
      <w:r>
        <w:rPr>
          <w:rFonts w:hint="eastAsia" w:ascii="仿宋" w:hAnsi="仿宋" w:eastAsia="仿宋" w:cs="仿宋"/>
          <w:b/>
          <w:bCs w:val="0"/>
          <w:color w:val="auto"/>
          <w:sz w:val="24"/>
          <w:highlight w:val="none"/>
        </w:rPr>
        <w:tab/>
      </w:r>
      <w:r>
        <w:rPr>
          <w:rFonts w:hint="eastAsia" w:ascii="仿宋" w:hAnsi="仿宋" w:eastAsia="仿宋" w:cs="仿宋"/>
          <w:b/>
          <w:bCs w:val="0"/>
          <w:color w:val="auto"/>
          <w:sz w:val="24"/>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（一）中标后无正当理由不与采购人签订合同的；</w:t>
      </w:r>
    </w:p>
    <w:p>
      <w:pPr>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  （二）将中标项目转让给他人，或者在投标文件中未说明，且未经招标人同意，将中标项目分包给他人的；</w:t>
      </w:r>
    </w:p>
    <w:p>
      <w:pPr>
        <w:pStyle w:val="23"/>
        <w:tabs>
          <w:tab w:val="left" w:pos="9214"/>
        </w:tabs>
        <w:spacing w:after="0"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4"/>
          <w:szCs w:val="20"/>
          <w:highlight w:val="none"/>
        </w:rPr>
        <w:t xml:space="preserve">   （三）拒绝履行合同义务的。</w:t>
      </w:r>
    </w:p>
    <w:p>
      <w:pPr>
        <w:numPr>
          <w:ilvl w:val="0"/>
          <w:numId w:val="6"/>
        </w:numPr>
        <w:spacing w:line="46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特别提示</w:t>
      </w:r>
      <w:bookmarkEnd w:id="63"/>
      <w:bookmarkEnd w:id="64"/>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、投标人应认真研读招标文件，充分考虑招标文件中的技术要求和合同条款后编制投标文件。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、如招标文件中未提供的各类表格样式，投标人可另行设计表格样式，但力求内容完整，表达清晰、准确。</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、本项目实行网上投标，采用电子投标文件。若供应商参与投标，自行承担投标一切费用。 </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、本招标文件是根据《中华人民共和国招标投标法》规定编制的，解释权属</w:t>
      </w:r>
      <w:r>
        <w:rPr>
          <w:rFonts w:hint="eastAsia" w:ascii="仿宋" w:hAnsi="仿宋" w:eastAsia="仿宋" w:cs="仿宋"/>
          <w:color w:val="auto"/>
          <w:sz w:val="24"/>
          <w:szCs w:val="24"/>
          <w:highlight w:val="none"/>
          <w:lang w:eastAsia="zh-CN"/>
        </w:rPr>
        <w:t>新疆星耀天都项目管理有限责任公司</w:t>
      </w:r>
      <w:r>
        <w:rPr>
          <w:rFonts w:hint="eastAsia" w:ascii="仿宋" w:hAnsi="仿宋" w:eastAsia="仿宋" w:cs="仿宋"/>
          <w:color w:val="auto"/>
          <w:sz w:val="24"/>
          <w:szCs w:val="24"/>
          <w:highlight w:val="none"/>
        </w:rPr>
        <w:t>。</w:t>
      </w:r>
    </w:p>
    <w:p>
      <w:pPr>
        <w:spacing w:line="460" w:lineRule="exact"/>
        <w:jc w:val="center"/>
        <w:outlineLvl w:val="2"/>
        <w:rPr>
          <w:rFonts w:hint="eastAsia" w:ascii="仿宋" w:hAnsi="仿宋" w:eastAsia="仿宋" w:cs="仿宋"/>
          <w:b/>
          <w:color w:val="auto"/>
          <w:sz w:val="28"/>
          <w:szCs w:val="28"/>
          <w:highlight w:val="none"/>
        </w:rPr>
      </w:pPr>
      <w:bookmarkStart w:id="65" w:name="_Toc22021"/>
      <w:bookmarkStart w:id="66" w:name="_Toc15933"/>
      <w:r>
        <w:rPr>
          <w:rFonts w:hint="eastAsia" w:ascii="仿宋" w:hAnsi="仿宋" w:eastAsia="仿宋" w:cs="仿宋"/>
          <w:b/>
          <w:color w:val="auto"/>
          <w:sz w:val="28"/>
          <w:szCs w:val="28"/>
          <w:highlight w:val="none"/>
        </w:rPr>
        <w:t>十、招标失败条件</w:t>
      </w:r>
      <w:bookmarkEnd w:id="65"/>
      <w:bookmarkEnd w:id="66"/>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.出现影响采购公正的违法、违规行为的；</w:t>
      </w:r>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.因重大变故，采购任务取消的；</w:t>
      </w:r>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40</w:t>
      </w:r>
      <w:r>
        <w:rPr>
          <w:rFonts w:hint="eastAsia" w:ascii="仿宋" w:hAnsi="仿宋" w:eastAsia="仿宋" w:cs="仿宋"/>
          <w:bCs/>
          <w:color w:val="auto"/>
          <w:sz w:val="24"/>
          <w:szCs w:val="24"/>
          <w:highlight w:val="none"/>
        </w:rPr>
        <w:t>.招标响应文件截止时间后，实际参与的供应商不足法定家数的；</w:t>
      </w:r>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41</w:t>
      </w:r>
      <w:r>
        <w:rPr>
          <w:rFonts w:hint="eastAsia" w:ascii="仿宋" w:hAnsi="仿宋" w:eastAsia="仿宋" w:cs="仿宋"/>
          <w:bCs/>
          <w:color w:val="auto"/>
          <w:sz w:val="24"/>
          <w:szCs w:val="24"/>
          <w:highlight w:val="none"/>
        </w:rPr>
        <w:t>.最终报价均超过采购预算的；</w:t>
      </w:r>
    </w:p>
    <w:p>
      <w:pPr>
        <w:pStyle w:val="17"/>
        <w:overflowPunct w:val="0"/>
        <w:spacing w:line="4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lang w:val="en-US" w:eastAsia="zh-CN"/>
        </w:rPr>
        <w:t>42</w:t>
      </w:r>
      <w:r>
        <w:rPr>
          <w:rFonts w:hint="eastAsia" w:ascii="仿宋" w:hAnsi="仿宋" w:eastAsia="仿宋" w:cs="仿宋"/>
          <w:bCs/>
          <w:color w:val="auto"/>
          <w:szCs w:val="24"/>
          <w:highlight w:val="none"/>
        </w:rPr>
        <w:t>.对招标文件作出实质性响应的供应商不足法定家数的；</w:t>
      </w:r>
    </w:p>
    <w:p>
      <w:pPr>
        <w:rPr>
          <w:rFonts w:hint="eastAsia" w:ascii="仿宋" w:hAnsi="仿宋" w:eastAsia="仿宋" w:cs="仿宋"/>
          <w:color w:val="auto"/>
          <w:highlight w:val="none"/>
        </w:rPr>
      </w:pPr>
    </w:p>
    <w:p>
      <w:pPr>
        <w:spacing w:line="360" w:lineRule="auto"/>
        <w:ind w:left="720"/>
        <w:jc w:val="center"/>
        <w:outlineLvl w:val="2"/>
        <w:rPr>
          <w:rFonts w:hint="eastAsia" w:ascii="仿宋" w:hAnsi="仿宋" w:eastAsia="仿宋" w:cs="仿宋"/>
          <w:color w:val="auto"/>
          <w:sz w:val="24"/>
          <w:szCs w:val="24"/>
          <w:highlight w:val="none"/>
        </w:rPr>
      </w:pPr>
      <w:r>
        <w:rPr>
          <w:rFonts w:hint="eastAsia" w:ascii="仿宋" w:hAnsi="仿宋" w:eastAsia="仿宋" w:cs="仿宋"/>
          <w:b/>
          <w:color w:val="auto"/>
          <w:sz w:val="28"/>
          <w:szCs w:val="28"/>
          <w:highlight w:val="none"/>
        </w:rPr>
        <w:t>十一、</w:t>
      </w:r>
      <w:r>
        <w:rPr>
          <w:rFonts w:hint="eastAsia" w:ascii="仿宋" w:hAnsi="仿宋" w:eastAsia="仿宋" w:cs="仿宋"/>
          <w:b/>
          <w:color w:val="auto"/>
          <w:sz w:val="28"/>
          <w:szCs w:val="24"/>
          <w:highlight w:val="none"/>
        </w:rPr>
        <w:t>质疑及答复</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43</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.1 本采购文件中所称质疑及答复，是指参加本次采购活动的供应商对政府采购活动中的采购文件、采购过程和中标结果向采购方提出质疑，采购方答复质疑的行为。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.2 供应商认为采购文件、采购过程和中标结果使自己的权益受到损害的，可以在知道或者应知其权益受到损害之日起 7 个工作日内，以书面形式向采购方提出质疑。</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.2.1供应商应知其权益受到损害之日，是指：</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.3 对可以质疑的采购文件提出质疑的，质疑人为参与本项目的报价方或潜在报价方。可质疑的文件为采购公告以及采购文件（包括属于其组成部分的澄清、修改、补充文件和评审标准、合同文本等）。</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.5   提出质疑应当符合下列条件：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.7 质疑人所提供的证明材料应当具有真实性、合法性以及与质疑事项的关联性和证明力，否则不能作为认定该质疑事项成立的依据。</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.8 质疑人提出质疑时应当提交质疑函。质疑函包括下列内容：</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.9  质疑函采用实名制。质疑人为自然人的应当由本人签字，并附有效身份证明文件；质疑人为法人或者非法人组织的应当由法定代表人或者负责人签字并加盖公章，并附有效身份证明文件。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.10 质疑人可以委托代理人进行质疑。代理人应当提交授权委托书。授权委托书应当载明委托代理的具体权限、期限和相关事项。</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、质疑的审查和受理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.2对不符合质疑受理条件的，分别按照下列不同情形予以处理：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45</w:t>
      </w:r>
      <w:r>
        <w:rPr>
          <w:rFonts w:hint="eastAsia" w:ascii="仿宋" w:hAnsi="仿宋" w:eastAsia="仿宋" w:cs="仿宋"/>
          <w:b/>
          <w:bCs/>
          <w:color w:val="auto"/>
          <w:sz w:val="24"/>
          <w:szCs w:val="24"/>
          <w:highlight w:val="none"/>
        </w:rPr>
        <w:t>、质疑的处理和答复</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.1 按照《政府采购质疑和投诉办法（财政部94号令）》处理及答复质疑。</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.2 采购方受理质疑后，将及时把质疑函发送给被质疑人，并要求其在一定限期人提交书面答复，同时提供有关证据、依据和相关材料。</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.4对评审过程、中标结果提出质疑的，采购方可以组织原评审委员会协助答复质疑。</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.5质疑处理过程中，质疑人书面申请撤回质疑的，将终止质疑处理程序。</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.9 采购方将书面答复质疑，质疑答复包括下列内容：</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（五）法律法规规定的其他违法情形。</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77"/>
        <w:spacing w:line="45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质疑函</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依据政府采购相关法规，我公司对</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的项目（项目编号：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）评审活动存在疑问，特提出质疑（详见下表）。</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我公司和本人对此质疑函内容的真实性负责，并愿意承担由此引起的相应处理和法律责任。</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rPr>
        <w:tab/>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本项目授权委托人（签字并盖名章）：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公司地址：</w:t>
      </w:r>
      <w:r>
        <w:rPr>
          <w:rFonts w:hint="eastAsia" w:ascii="仿宋" w:hAnsi="仿宋" w:eastAsia="仿宋" w:cs="仿宋"/>
          <w:color w:val="auto"/>
          <w:kern w:val="0"/>
          <w:sz w:val="24"/>
          <w:szCs w:val="24"/>
          <w:highlight w:val="none"/>
        </w:rPr>
        <w:tab/>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质疑人（公章）</w:t>
      </w:r>
    </w:p>
    <w:p>
      <w:pPr>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月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日</w:t>
      </w:r>
    </w:p>
    <w:p>
      <w:pPr>
        <w:spacing w:line="360" w:lineRule="auto"/>
        <w:jc w:val="center"/>
        <w:rPr>
          <w:rFonts w:hint="eastAsia" w:ascii="仿宋" w:hAnsi="仿宋" w:eastAsia="仿宋" w:cs="仿宋"/>
          <w:color w:val="auto"/>
          <w:kern w:val="0"/>
          <w:sz w:val="24"/>
          <w:szCs w:val="24"/>
          <w:highlight w:val="none"/>
        </w:rPr>
      </w:pP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spacing w:line="360" w:lineRule="auto"/>
        <w:jc w:val="center"/>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质疑内容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sz w:val="24"/>
          <w:szCs w:val="24"/>
          <w:highlight w:val="none"/>
          <w:u w:val="single"/>
        </w:rPr>
        <w:t xml:space="preserve">                        </w:t>
      </w:r>
    </w:p>
    <w:tbl>
      <w:tblPr>
        <w:tblStyle w:val="44"/>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具体内容</w:t>
            </w: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佐证材料：</w:t>
            </w:r>
          </w:p>
        </w:tc>
      </w:tr>
    </w:tbl>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3、“具体的质疑事项及事实依据”一栏填写不下时，质疑人可另附页（A4），但附纸要求加盖质疑人公章。</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4、与质疑事项有关的材料应与质疑函合并装订。</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5、质疑函一式三份。</w:t>
      </w:r>
    </w:p>
    <w:p>
      <w:pPr>
        <w:pStyle w:val="17"/>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17"/>
        <w:rPr>
          <w:rFonts w:hint="eastAsia" w:ascii="仿宋" w:hAnsi="仿宋" w:eastAsia="仿宋" w:cs="仿宋"/>
          <w:color w:val="auto"/>
          <w:highlight w:val="none"/>
        </w:rPr>
      </w:pPr>
    </w:p>
    <w:bookmarkEnd w:id="47"/>
    <w:bookmarkEnd w:id="48"/>
    <w:p>
      <w:pPr>
        <w:keepNext w:val="0"/>
        <w:keepLines w:val="0"/>
        <w:widowControl/>
        <w:numPr>
          <w:ilvl w:val="0"/>
          <w:numId w:val="7"/>
        </w:numPr>
        <w:suppressLineNumbers w:val="0"/>
        <w:jc w:val="center"/>
        <w:rPr>
          <w:rFonts w:hint="eastAsia" w:ascii="仿宋" w:hAnsi="仿宋" w:eastAsia="仿宋" w:cs="仿宋"/>
          <w:b/>
          <w:bCs/>
          <w:color w:val="auto"/>
          <w:kern w:val="0"/>
          <w:sz w:val="36"/>
          <w:szCs w:val="36"/>
          <w:highlight w:val="none"/>
          <w:lang w:val="en-US" w:eastAsia="zh-CN" w:bidi="ar"/>
        </w:rPr>
      </w:pPr>
      <w:bookmarkStart w:id="67" w:name="_Toc20110"/>
      <w:bookmarkStart w:id="68" w:name="_Toc6417"/>
      <w:bookmarkStart w:id="69" w:name="_Toc23028"/>
      <w:bookmarkStart w:id="70" w:name="_Toc29710"/>
      <w:bookmarkStart w:id="71" w:name="_Toc1354"/>
      <w:r>
        <w:rPr>
          <w:rFonts w:hint="eastAsia" w:ascii="仿宋" w:hAnsi="仿宋" w:eastAsia="仿宋" w:cs="仿宋"/>
          <w:b/>
          <w:bCs/>
          <w:color w:val="auto"/>
          <w:kern w:val="0"/>
          <w:sz w:val="36"/>
          <w:szCs w:val="36"/>
          <w:highlight w:val="none"/>
          <w:lang w:val="en-US" w:eastAsia="zh-CN" w:bidi="ar"/>
        </w:rPr>
        <w:t>评标办法及标准</w:t>
      </w:r>
    </w:p>
    <w:tbl>
      <w:tblPr>
        <w:tblStyle w:val="44"/>
        <w:tblW w:w="9576"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05"/>
        <w:gridCol w:w="6812"/>
        <w:gridCol w:w="688"/>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40" w:type="dxa"/>
            <w:vMerge w:val="restart"/>
            <w:vAlign w:val="center"/>
          </w:tcPr>
          <w:p>
            <w:pPr>
              <w:pStyle w:val="140"/>
              <w:spacing w:before="39" w:line="240" w:lineRule="auto"/>
              <w:ind w:left="219" w:right="211"/>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资格性评审</w:t>
            </w:r>
          </w:p>
        </w:tc>
        <w:tc>
          <w:tcPr>
            <w:tcW w:w="705" w:type="dxa"/>
            <w:vMerge w:val="restart"/>
            <w:vAlign w:val="center"/>
          </w:tcPr>
          <w:p>
            <w:pPr>
              <w:pStyle w:val="140"/>
              <w:spacing w:before="39" w:line="240" w:lineRule="auto"/>
              <w:ind w:left="208" w:right="19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6812" w:type="dxa"/>
            <w:vMerge w:val="restart"/>
            <w:vAlign w:val="center"/>
          </w:tcPr>
          <w:p>
            <w:pPr>
              <w:pStyle w:val="140"/>
              <w:spacing w:before="1" w:line="240" w:lineRule="auto"/>
              <w:ind w:right="3083"/>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评审内容</w:t>
            </w:r>
          </w:p>
        </w:tc>
        <w:tc>
          <w:tcPr>
            <w:tcW w:w="1519" w:type="dxa"/>
            <w:gridSpan w:val="2"/>
            <w:vAlign w:val="center"/>
          </w:tcPr>
          <w:p>
            <w:pPr>
              <w:pStyle w:val="140"/>
              <w:spacing w:before="1" w:line="240" w:lineRule="auto"/>
              <w:ind w:left="43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540" w:type="dxa"/>
            <w:vMerge w:val="continue"/>
            <w:vAlign w:val="center"/>
          </w:tcPr>
          <w:p>
            <w:pPr>
              <w:pStyle w:val="140"/>
              <w:spacing w:before="39" w:line="240" w:lineRule="auto"/>
              <w:ind w:left="219" w:right="211"/>
              <w:jc w:val="center"/>
              <w:rPr>
                <w:rFonts w:hint="eastAsia" w:ascii="仿宋" w:hAnsi="仿宋" w:eastAsia="仿宋" w:cs="仿宋"/>
                <w:color w:val="auto"/>
                <w:sz w:val="21"/>
                <w:szCs w:val="21"/>
                <w:highlight w:val="none"/>
              </w:rPr>
            </w:pPr>
          </w:p>
        </w:tc>
        <w:tc>
          <w:tcPr>
            <w:tcW w:w="705" w:type="dxa"/>
            <w:vMerge w:val="continue"/>
            <w:vAlign w:val="center"/>
          </w:tcPr>
          <w:p>
            <w:pPr>
              <w:pStyle w:val="140"/>
              <w:spacing w:before="39" w:line="240" w:lineRule="auto"/>
              <w:ind w:left="208" w:right="197"/>
              <w:jc w:val="center"/>
              <w:rPr>
                <w:rFonts w:hint="eastAsia" w:ascii="仿宋" w:hAnsi="仿宋" w:eastAsia="仿宋" w:cs="仿宋"/>
                <w:color w:val="auto"/>
                <w:sz w:val="21"/>
                <w:szCs w:val="21"/>
                <w:highlight w:val="none"/>
              </w:rPr>
            </w:pPr>
          </w:p>
        </w:tc>
        <w:tc>
          <w:tcPr>
            <w:tcW w:w="6812" w:type="dxa"/>
            <w:vMerge w:val="continue"/>
            <w:vAlign w:val="center"/>
          </w:tcPr>
          <w:p>
            <w:pPr>
              <w:pStyle w:val="140"/>
              <w:spacing w:before="1" w:line="240" w:lineRule="auto"/>
              <w:ind w:right="3083"/>
              <w:jc w:val="left"/>
              <w:rPr>
                <w:rFonts w:hint="eastAsia" w:ascii="仿宋" w:hAnsi="仿宋" w:eastAsia="仿宋" w:cs="仿宋"/>
                <w:color w:val="auto"/>
                <w:sz w:val="21"/>
                <w:szCs w:val="21"/>
                <w:highlight w:val="none"/>
              </w:rPr>
            </w:pPr>
          </w:p>
        </w:tc>
        <w:tc>
          <w:tcPr>
            <w:tcW w:w="688" w:type="dxa"/>
            <w:vAlign w:val="center"/>
          </w:tcPr>
          <w:p>
            <w:pPr>
              <w:pStyle w:val="140"/>
              <w:spacing w:before="124" w:line="240" w:lineRule="auto"/>
              <w:ind w:left="162"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tc>
        <w:tc>
          <w:tcPr>
            <w:tcW w:w="831" w:type="dxa"/>
            <w:vAlign w:val="center"/>
          </w:tcPr>
          <w:p>
            <w:pPr>
              <w:pStyle w:val="140"/>
              <w:spacing w:before="124" w:line="240" w:lineRule="auto"/>
              <w:ind w:left="154"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40" w:line="240" w:lineRule="auto"/>
              <w:ind w:left="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p>
        </w:tc>
        <w:tc>
          <w:tcPr>
            <w:tcW w:w="68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i w:val="0"/>
                <w:caps w:val="0"/>
                <w:color w:val="auto"/>
                <w:spacing w:val="0"/>
                <w:sz w:val="21"/>
                <w:szCs w:val="21"/>
                <w:highlight w:val="none"/>
                <w:shd w:val="clear" w:color="auto" w:fill="FFFFFF"/>
                <w:lang w:val="en-US" w:eastAsia="zh-CN"/>
              </w:rPr>
              <w:t>是否提供经年审合格的“三证合一”的营业执照；</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38" w:line="240" w:lineRule="auto"/>
              <w:ind w:left="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6812" w:type="dxa"/>
            <w:vAlign w:val="center"/>
          </w:tcPr>
          <w:p>
            <w:pPr>
              <w:pStyle w:val="140"/>
              <w:spacing w:before="138" w:line="240" w:lineRule="auto"/>
              <w:jc w:val="left"/>
              <w:rPr>
                <w:rFonts w:hint="eastAsia" w:ascii="仿宋" w:hAnsi="仿宋" w:eastAsia="仿宋" w:cs="仿宋"/>
                <w:color w:val="auto"/>
                <w:sz w:val="21"/>
                <w:szCs w:val="21"/>
                <w:highlight w:val="none"/>
              </w:rPr>
            </w:pPr>
            <w:r>
              <w:rPr>
                <w:rFonts w:hint="eastAsia" w:ascii="仿宋" w:hAnsi="仿宋" w:eastAsia="仿宋" w:cs="仿宋"/>
                <w:b w:val="0"/>
                <w:bCs/>
                <w:i w:val="0"/>
                <w:caps w:val="0"/>
                <w:color w:val="auto"/>
                <w:spacing w:val="0"/>
                <w:sz w:val="21"/>
                <w:szCs w:val="21"/>
                <w:highlight w:val="none"/>
                <w:shd w:val="clear" w:color="auto" w:fill="FFFFFF"/>
                <w:lang w:val="en-US" w:eastAsia="zh-CN"/>
              </w:rPr>
              <w:t>是否提供2021年第三方审计机构出具的审计报告（2022年成立的公司可不提供但需提供银行出具的近3个月的资信证明）和健全的财务会计制度</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line="240" w:lineRule="auto"/>
              <w:jc w:val="center"/>
              <w:rPr>
                <w:rFonts w:hint="eastAsia" w:ascii="仿宋" w:hAnsi="仿宋" w:eastAsia="仿宋" w:cs="仿宋"/>
                <w:b/>
                <w:color w:val="auto"/>
                <w:sz w:val="21"/>
                <w:szCs w:val="21"/>
                <w:highlight w:val="none"/>
              </w:rPr>
            </w:pPr>
          </w:p>
          <w:p>
            <w:pPr>
              <w:pStyle w:val="140"/>
              <w:spacing w:before="188" w:line="240" w:lineRule="auto"/>
              <w:ind w:left="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6812" w:type="dxa"/>
            <w:vAlign w:val="center"/>
          </w:tcPr>
          <w:p>
            <w:pPr>
              <w:pStyle w:val="140"/>
              <w:spacing w:before="97" w:line="240" w:lineRule="auto"/>
              <w:ind w:right="96" w:rightChars="0"/>
              <w:jc w:val="left"/>
              <w:rPr>
                <w:rFonts w:hint="eastAsia" w:ascii="仿宋" w:hAnsi="仿宋" w:eastAsia="仿宋" w:cs="仿宋"/>
                <w:color w:val="auto"/>
                <w:sz w:val="21"/>
                <w:szCs w:val="21"/>
                <w:highlight w:val="none"/>
              </w:rPr>
            </w:pPr>
            <w:r>
              <w:rPr>
                <w:rFonts w:hint="eastAsia" w:ascii="仿宋" w:hAnsi="仿宋" w:eastAsia="仿宋" w:cs="仿宋"/>
                <w:b w:val="0"/>
                <w:bCs/>
                <w:i w:val="0"/>
                <w:caps w:val="0"/>
                <w:color w:val="auto"/>
                <w:spacing w:val="0"/>
                <w:sz w:val="21"/>
                <w:szCs w:val="21"/>
                <w:highlight w:val="none"/>
                <w:shd w:val="clear" w:color="auto" w:fill="FFFFFF"/>
                <w:lang w:val="en-US" w:eastAsia="zh-CN"/>
              </w:rPr>
              <w:t>是否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88" w:line="240" w:lineRule="auto"/>
              <w:ind w:left="9"/>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812" w:type="dxa"/>
            <w:vAlign w:val="center"/>
          </w:tcPr>
          <w:p>
            <w:pPr>
              <w:pStyle w:val="140"/>
              <w:spacing w:before="97" w:line="240" w:lineRule="auto"/>
              <w:ind w:right="96" w:rightChars="0"/>
              <w:jc w:val="left"/>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是否提供参加政府采购活动前 3 年内在经营活动中没有重大违法记录的书面声明</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88" w:line="240" w:lineRule="auto"/>
              <w:ind w:left="9"/>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6812" w:type="dxa"/>
            <w:vAlign w:val="center"/>
          </w:tcPr>
          <w:p>
            <w:pPr>
              <w:pStyle w:val="140"/>
              <w:spacing w:before="97" w:line="240" w:lineRule="auto"/>
              <w:ind w:right="96" w:rightChars="0"/>
              <w:jc w:val="left"/>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 xml:space="preserve">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  </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88" w:line="240" w:lineRule="auto"/>
              <w:ind w:left="9"/>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6812" w:type="dxa"/>
            <w:vAlign w:val="center"/>
          </w:tcPr>
          <w:p>
            <w:pPr>
              <w:pStyle w:val="140"/>
              <w:spacing w:before="97" w:line="240" w:lineRule="auto"/>
              <w:ind w:right="96" w:rightChars="0"/>
              <w:jc w:val="left"/>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是否提供企业负责人为同一人或者存在直接控股、管理关系的不同供应商，不得参加同一合同项下的政府采购活动的书面声明</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line="240" w:lineRule="auto"/>
              <w:ind w:left="9"/>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6812" w:type="dxa"/>
            <w:vAlign w:val="center"/>
          </w:tcPr>
          <w:p>
            <w:pPr>
              <w:pStyle w:val="140"/>
              <w:spacing w:before="2" w:line="240" w:lineRule="auto"/>
              <w:ind w:left="107" w:leftChars="0"/>
              <w:jc w:val="left"/>
              <w:rPr>
                <w:rFonts w:hint="eastAsia" w:ascii="仿宋" w:hAnsi="仿宋" w:eastAsia="仿宋" w:cs="仿宋"/>
                <w:b w:val="0"/>
                <w:bCs/>
                <w:i w:val="0"/>
                <w:caps w:val="0"/>
                <w:color w:val="auto"/>
                <w:spacing w:val="0"/>
                <w:sz w:val="21"/>
                <w:szCs w:val="21"/>
                <w:highlight w:val="none"/>
                <w:shd w:val="clear" w:color="auto" w:fill="FFFFFF"/>
                <w:lang w:val="en-US" w:eastAsia="zh-CN"/>
              </w:rPr>
            </w:pPr>
            <w:r>
              <w:rPr>
                <w:rFonts w:hint="eastAsia" w:ascii="仿宋" w:hAnsi="仿宋" w:eastAsia="仿宋" w:cs="仿宋"/>
                <w:b w:val="0"/>
                <w:bCs/>
                <w:i w:val="0"/>
                <w:caps w:val="0"/>
                <w:color w:val="auto"/>
                <w:spacing w:val="0"/>
                <w:sz w:val="21"/>
                <w:szCs w:val="21"/>
                <w:highlight w:val="none"/>
                <w:shd w:val="clear" w:color="auto" w:fill="FFFFFF"/>
                <w:lang w:val="en-US" w:eastAsia="zh-CN"/>
              </w:rPr>
              <w:t>是否具有有效的《兽药经营许可证》或《兽药生产许可证》原件；兽药产品批准文号；有效期内的兽药GMP证书</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58" w:line="240" w:lineRule="auto"/>
              <w:ind w:left="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6812" w:type="dxa"/>
            <w:vAlign w:val="center"/>
          </w:tcPr>
          <w:p>
            <w:pPr>
              <w:pStyle w:val="140"/>
              <w:spacing w:before="2" w:line="240" w:lineRule="auto"/>
              <w:ind w:left="107" w:leftChars="0"/>
              <w:jc w:val="left"/>
              <w:rPr>
                <w:rFonts w:hint="eastAsia" w:ascii="仿宋" w:hAnsi="仿宋" w:eastAsia="仿宋" w:cs="仿宋"/>
                <w:b w:val="0"/>
                <w:bCs/>
                <w:i w:val="0"/>
                <w:caps w:val="0"/>
                <w:color w:val="auto"/>
                <w:spacing w:val="0"/>
                <w:kern w:val="2"/>
                <w:sz w:val="21"/>
                <w:szCs w:val="21"/>
                <w:highlight w:val="none"/>
                <w:shd w:val="clear" w:color="auto" w:fill="FFFFFF"/>
                <w:lang w:val="en-US" w:eastAsia="zh-CN" w:bidi="zh-CN"/>
              </w:rPr>
            </w:pPr>
            <w:r>
              <w:rPr>
                <w:rFonts w:hint="eastAsia" w:ascii="仿宋" w:hAnsi="仿宋" w:eastAsia="仿宋" w:cs="仿宋"/>
                <w:b w:val="0"/>
                <w:bCs/>
                <w:color w:val="auto"/>
                <w:sz w:val="21"/>
                <w:szCs w:val="21"/>
                <w:highlight w:val="none"/>
              </w:rPr>
              <w:t>是否按照采购文件要求足额缴纳保证金。</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40" w:type="dxa"/>
            <w:vMerge w:val="restart"/>
            <w:vAlign w:val="center"/>
          </w:tcPr>
          <w:p>
            <w:pPr>
              <w:pStyle w:val="140"/>
              <w:spacing w:line="240" w:lineRule="auto"/>
              <w:jc w:val="center"/>
              <w:rPr>
                <w:rFonts w:hint="eastAsia" w:ascii="仿宋" w:hAnsi="仿宋" w:eastAsia="仿宋" w:cs="仿宋"/>
                <w:b/>
                <w:color w:val="auto"/>
                <w:sz w:val="21"/>
                <w:szCs w:val="21"/>
                <w:highlight w:val="none"/>
              </w:rPr>
            </w:pPr>
          </w:p>
          <w:p>
            <w:pPr>
              <w:pStyle w:val="140"/>
              <w:spacing w:line="240" w:lineRule="auto"/>
              <w:jc w:val="center"/>
              <w:rPr>
                <w:rFonts w:hint="eastAsia" w:ascii="仿宋" w:hAnsi="仿宋" w:eastAsia="仿宋" w:cs="仿宋"/>
                <w:b/>
                <w:color w:val="auto"/>
                <w:sz w:val="21"/>
                <w:szCs w:val="21"/>
                <w:highlight w:val="none"/>
              </w:rPr>
            </w:pPr>
          </w:p>
          <w:p>
            <w:pPr>
              <w:pStyle w:val="140"/>
              <w:spacing w:before="3" w:line="240" w:lineRule="auto"/>
              <w:jc w:val="center"/>
              <w:rPr>
                <w:rFonts w:hint="eastAsia" w:ascii="仿宋" w:hAnsi="仿宋" w:eastAsia="仿宋" w:cs="仿宋"/>
                <w:b/>
                <w:color w:val="auto"/>
                <w:sz w:val="21"/>
                <w:szCs w:val="21"/>
                <w:highlight w:val="none"/>
              </w:rPr>
            </w:pPr>
          </w:p>
          <w:p>
            <w:pPr>
              <w:pStyle w:val="140"/>
              <w:spacing w:before="3" w:line="240" w:lineRule="auto"/>
              <w:jc w:val="center"/>
              <w:rPr>
                <w:rFonts w:hint="eastAsia" w:ascii="仿宋" w:hAnsi="仿宋" w:eastAsia="仿宋" w:cs="仿宋"/>
                <w:b/>
                <w:color w:val="auto"/>
                <w:sz w:val="21"/>
                <w:szCs w:val="21"/>
                <w:highlight w:val="none"/>
              </w:rPr>
            </w:pPr>
          </w:p>
          <w:p>
            <w:pPr>
              <w:pStyle w:val="140"/>
              <w:spacing w:before="3" w:line="240" w:lineRule="auto"/>
              <w:jc w:val="center"/>
              <w:rPr>
                <w:rFonts w:hint="eastAsia" w:ascii="仿宋" w:hAnsi="仿宋" w:eastAsia="仿宋" w:cs="仿宋"/>
                <w:b/>
                <w:color w:val="auto"/>
                <w:sz w:val="21"/>
                <w:szCs w:val="21"/>
                <w:highlight w:val="none"/>
              </w:rPr>
            </w:pPr>
          </w:p>
          <w:p>
            <w:pPr>
              <w:pStyle w:val="140"/>
              <w:spacing w:before="3" w:line="240" w:lineRule="auto"/>
              <w:jc w:val="center"/>
              <w:rPr>
                <w:rFonts w:hint="eastAsia" w:ascii="仿宋" w:hAnsi="仿宋" w:eastAsia="仿宋" w:cs="仿宋"/>
                <w:b/>
                <w:color w:val="auto"/>
                <w:sz w:val="21"/>
                <w:szCs w:val="21"/>
                <w:highlight w:val="none"/>
              </w:rPr>
            </w:pPr>
          </w:p>
          <w:p>
            <w:pPr>
              <w:pStyle w:val="140"/>
              <w:spacing w:before="3" w:line="240" w:lineRule="auto"/>
              <w:jc w:val="center"/>
              <w:rPr>
                <w:rFonts w:hint="eastAsia" w:ascii="仿宋" w:hAnsi="仿宋" w:eastAsia="仿宋" w:cs="仿宋"/>
                <w:b/>
                <w:color w:val="auto"/>
                <w:sz w:val="21"/>
                <w:szCs w:val="21"/>
                <w:highlight w:val="none"/>
              </w:rPr>
            </w:pPr>
          </w:p>
          <w:p>
            <w:pPr>
              <w:pStyle w:val="140"/>
              <w:spacing w:before="3" w:line="240" w:lineRule="auto"/>
              <w:jc w:val="center"/>
              <w:rPr>
                <w:rFonts w:hint="eastAsia" w:ascii="仿宋" w:hAnsi="仿宋" w:eastAsia="仿宋" w:cs="仿宋"/>
                <w:b/>
                <w:color w:val="auto"/>
                <w:sz w:val="21"/>
                <w:szCs w:val="21"/>
                <w:highlight w:val="none"/>
              </w:rPr>
            </w:pPr>
          </w:p>
          <w:p>
            <w:pPr>
              <w:pStyle w:val="140"/>
              <w:spacing w:line="240" w:lineRule="auto"/>
              <w:ind w:left="219" w:right="211"/>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符合性评审</w:t>
            </w:r>
          </w:p>
        </w:tc>
        <w:tc>
          <w:tcPr>
            <w:tcW w:w="705" w:type="dxa"/>
            <w:vAlign w:val="center"/>
          </w:tcPr>
          <w:p>
            <w:pPr>
              <w:pStyle w:val="140"/>
              <w:spacing w:before="11" w:line="240" w:lineRule="auto"/>
              <w:jc w:val="center"/>
              <w:rPr>
                <w:rFonts w:hint="eastAsia" w:ascii="仿宋" w:hAnsi="仿宋" w:eastAsia="仿宋" w:cs="仿宋"/>
                <w:b/>
                <w:color w:val="auto"/>
                <w:sz w:val="21"/>
                <w:szCs w:val="21"/>
                <w:highlight w:val="none"/>
              </w:rPr>
            </w:pPr>
          </w:p>
          <w:p>
            <w:pPr>
              <w:pStyle w:val="140"/>
              <w:spacing w:line="240" w:lineRule="auto"/>
              <w:ind w:left="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6812" w:type="dxa"/>
            <w:vAlign w:val="center"/>
          </w:tcPr>
          <w:p>
            <w:pPr>
              <w:pStyle w:val="140"/>
              <w:spacing w:before="1" w:line="240" w:lineRule="auto"/>
              <w:ind w:left="107" w:right="-29"/>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投标文件是否有投标单位法定代表人或其委托代理人（签字或签章）和加盖了投标企业的公章。</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47" w:line="240" w:lineRule="auto"/>
              <w:ind w:left="9"/>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6812" w:type="dxa"/>
            <w:vAlign w:val="center"/>
          </w:tcPr>
          <w:p>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投标人是否对同一招标项目做出两个以上报价而未明确效力。</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p>
            <w:pPr>
              <w:pStyle w:val="140"/>
              <w:spacing w:line="240" w:lineRule="auto"/>
              <w:jc w:val="center"/>
              <w:rPr>
                <w:rFonts w:hint="eastAsia" w:ascii="仿宋" w:hAnsi="仿宋" w:eastAsia="仿宋" w:cs="仿宋"/>
                <w:color w:val="auto"/>
                <w:sz w:val="21"/>
                <w:szCs w:val="21"/>
                <w:highlight w:val="none"/>
              </w:rPr>
            </w:pPr>
          </w:p>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47" w:line="240" w:lineRule="auto"/>
              <w:ind w:left="9" w:leftChars="0"/>
              <w:jc w:val="center"/>
              <w:rPr>
                <w:rFonts w:hint="eastAsia" w:ascii="仿宋" w:hAnsi="仿宋" w:eastAsia="仿宋" w:cs="仿宋"/>
                <w:color w:val="auto"/>
                <w:kern w:val="2"/>
                <w:sz w:val="21"/>
                <w:szCs w:val="21"/>
                <w:highlight w:val="none"/>
                <w:lang w:val="zh-CN" w:eastAsia="zh-CN" w:bidi="zh-CN"/>
              </w:rPr>
            </w:pPr>
            <w:r>
              <w:rPr>
                <w:rFonts w:hint="eastAsia" w:ascii="仿宋" w:hAnsi="仿宋" w:eastAsia="仿宋" w:cs="仿宋"/>
                <w:color w:val="auto"/>
                <w:sz w:val="21"/>
                <w:szCs w:val="21"/>
                <w:highlight w:val="none"/>
                <w:lang w:val="en-US" w:eastAsia="zh-CN"/>
              </w:rPr>
              <w:t>3</w:t>
            </w:r>
          </w:p>
        </w:tc>
        <w:tc>
          <w:tcPr>
            <w:tcW w:w="6812" w:type="dxa"/>
            <w:vAlign w:val="center"/>
          </w:tcPr>
          <w:p>
            <w:pPr>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投标文件载明的技术规格、技术标准、货物包装方式、检验标准和方法等，不符合招标文件要求的；</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64" w:line="240" w:lineRule="auto"/>
              <w:ind w:left="9" w:leftChars="0"/>
              <w:jc w:val="center"/>
              <w:rPr>
                <w:rFonts w:hint="eastAsia" w:ascii="仿宋" w:hAnsi="仿宋" w:eastAsia="仿宋" w:cs="仿宋"/>
                <w:color w:val="auto"/>
                <w:kern w:val="2"/>
                <w:sz w:val="21"/>
                <w:szCs w:val="21"/>
                <w:highlight w:val="none"/>
                <w:lang w:val="zh-CN" w:eastAsia="zh-CN" w:bidi="zh-CN"/>
              </w:rPr>
            </w:pPr>
            <w:r>
              <w:rPr>
                <w:rFonts w:hint="eastAsia" w:ascii="仿宋" w:hAnsi="仿宋" w:eastAsia="仿宋" w:cs="仿宋"/>
                <w:color w:val="auto"/>
                <w:sz w:val="21"/>
                <w:szCs w:val="21"/>
                <w:highlight w:val="none"/>
                <w:lang w:val="en-US" w:eastAsia="zh-CN"/>
              </w:rPr>
              <w:t>4</w:t>
            </w:r>
          </w:p>
        </w:tc>
        <w:tc>
          <w:tcPr>
            <w:tcW w:w="6812" w:type="dxa"/>
            <w:vAlign w:val="center"/>
          </w:tcPr>
          <w:p>
            <w:pPr>
              <w:pStyle w:val="140"/>
              <w:spacing w:before="160" w:line="240" w:lineRule="auto"/>
              <w:ind w:left="107" w:leftChars="0"/>
              <w:jc w:val="left"/>
              <w:rPr>
                <w:rFonts w:hint="eastAsia" w:ascii="仿宋" w:hAnsi="仿宋" w:eastAsia="仿宋" w:cs="仿宋"/>
                <w:color w:val="auto"/>
                <w:kern w:val="2"/>
                <w:sz w:val="21"/>
                <w:szCs w:val="21"/>
                <w:highlight w:val="none"/>
                <w:lang w:val="zh-CN" w:eastAsia="zh-CN" w:bidi="zh-CN"/>
              </w:rPr>
            </w:pPr>
            <w:r>
              <w:rPr>
                <w:rFonts w:hint="eastAsia" w:ascii="仿宋" w:hAnsi="仿宋" w:eastAsia="仿宋" w:cs="仿宋"/>
                <w:color w:val="auto"/>
                <w:spacing w:val="-2"/>
                <w:sz w:val="21"/>
                <w:szCs w:val="21"/>
                <w:highlight w:val="none"/>
                <w:lang w:val="en-US" w:eastAsia="zh-CN"/>
              </w:rPr>
              <w:t>投标文件记载的招标项目合同履行期限是否超过招标文件规定的合同履行期限；</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64" w:line="240" w:lineRule="auto"/>
              <w:ind w:left="9" w:lef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6812" w:type="dxa"/>
            <w:vAlign w:val="center"/>
          </w:tcPr>
          <w:p>
            <w:pPr>
              <w:spacing w:line="240" w:lineRule="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是否承诺招标文件规定的投标有效期。</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64" w:line="240" w:lineRule="auto"/>
              <w:ind w:left="9" w:lef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6812" w:type="dxa"/>
            <w:vAlign w:val="center"/>
          </w:tcPr>
          <w:p>
            <w:pPr>
              <w:spacing w:line="240" w:lineRule="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投标文件标明的响应或偏离与事实不符或伪造证明文件等虚假投标的；</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64" w:line="240" w:lineRule="auto"/>
              <w:ind w:left="9" w:lef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6812" w:type="dxa"/>
            <w:vAlign w:val="center"/>
          </w:tcPr>
          <w:p>
            <w:pPr>
              <w:spacing w:line="240" w:lineRule="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商务条款是否有偏离情况的；</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40" w:type="dxa"/>
            <w:vMerge w:val="continue"/>
            <w:vAlign w:val="center"/>
          </w:tcPr>
          <w:p>
            <w:pPr>
              <w:spacing w:line="240" w:lineRule="auto"/>
              <w:jc w:val="center"/>
              <w:rPr>
                <w:rFonts w:hint="eastAsia" w:ascii="仿宋" w:hAnsi="仿宋" w:eastAsia="仿宋" w:cs="仿宋"/>
                <w:color w:val="auto"/>
                <w:sz w:val="21"/>
                <w:szCs w:val="21"/>
                <w:highlight w:val="none"/>
              </w:rPr>
            </w:pPr>
          </w:p>
        </w:tc>
        <w:tc>
          <w:tcPr>
            <w:tcW w:w="705" w:type="dxa"/>
            <w:vAlign w:val="center"/>
          </w:tcPr>
          <w:p>
            <w:pPr>
              <w:pStyle w:val="140"/>
              <w:spacing w:before="175" w:line="240" w:lineRule="auto"/>
              <w:ind w:left="9" w:leftChars="0"/>
              <w:jc w:val="center"/>
              <w:rPr>
                <w:rFonts w:hint="eastAsia" w:ascii="仿宋" w:hAnsi="仿宋" w:eastAsia="仿宋" w:cs="仿宋"/>
                <w:color w:val="auto"/>
                <w:kern w:val="2"/>
                <w:sz w:val="21"/>
                <w:szCs w:val="21"/>
                <w:highlight w:val="none"/>
                <w:lang w:val="zh-CN" w:eastAsia="zh-CN" w:bidi="zh-CN"/>
              </w:rPr>
            </w:pPr>
            <w:r>
              <w:rPr>
                <w:rFonts w:hint="eastAsia" w:ascii="仿宋" w:hAnsi="仿宋" w:eastAsia="仿宋" w:cs="仿宋"/>
                <w:color w:val="auto"/>
                <w:sz w:val="21"/>
                <w:szCs w:val="21"/>
                <w:highlight w:val="none"/>
                <w:lang w:val="en-US" w:eastAsia="zh-CN"/>
              </w:rPr>
              <w:t>8</w:t>
            </w:r>
          </w:p>
        </w:tc>
        <w:tc>
          <w:tcPr>
            <w:tcW w:w="6812" w:type="dxa"/>
            <w:vAlign w:val="top"/>
          </w:tcPr>
          <w:p>
            <w:pPr>
              <w:pStyle w:val="140"/>
              <w:spacing w:before="173" w:line="240" w:lineRule="auto"/>
              <w:ind w:left="107" w:leftChars="0"/>
              <w:rPr>
                <w:rFonts w:hint="eastAsia" w:ascii="仿宋" w:hAnsi="仿宋" w:eastAsia="仿宋" w:cs="仿宋"/>
                <w:color w:val="auto"/>
                <w:kern w:val="2"/>
                <w:sz w:val="21"/>
                <w:szCs w:val="21"/>
                <w:highlight w:val="none"/>
                <w:lang w:val="zh-CN" w:eastAsia="zh-CN" w:bidi="zh-CN"/>
              </w:rPr>
            </w:pPr>
            <w:r>
              <w:rPr>
                <w:rFonts w:hint="eastAsia" w:ascii="仿宋" w:hAnsi="仿宋" w:eastAsia="仿宋" w:cs="仿宋"/>
                <w:color w:val="auto"/>
                <w:sz w:val="21"/>
                <w:szCs w:val="21"/>
                <w:highlight w:val="none"/>
              </w:rPr>
              <w:t>投标文件是否附有招标人不能接受的条件；</w:t>
            </w:r>
          </w:p>
        </w:tc>
        <w:tc>
          <w:tcPr>
            <w:tcW w:w="688" w:type="dxa"/>
            <w:vAlign w:val="center"/>
          </w:tcPr>
          <w:p>
            <w:pPr>
              <w:pStyle w:val="140"/>
              <w:spacing w:line="240" w:lineRule="auto"/>
              <w:jc w:val="center"/>
              <w:rPr>
                <w:rFonts w:hint="eastAsia" w:ascii="仿宋" w:hAnsi="仿宋" w:eastAsia="仿宋" w:cs="仿宋"/>
                <w:color w:val="auto"/>
                <w:sz w:val="21"/>
                <w:szCs w:val="21"/>
                <w:highlight w:val="none"/>
              </w:rPr>
            </w:pPr>
          </w:p>
        </w:tc>
        <w:tc>
          <w:tcPr>
            <w:tcW w:w="831" w:type="dxa"/>
            <w:vAlign w:val="center"/>
          </w:tcPr>
          <w:p>
            <w:pPr>
              <w:pStyle w:val="140"/>
              <w:spacing w:line="240" w:lineRule="auto"/>
              <w:jc w:val="center"/>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576" w:type="dxa"/>
            <w:gridSpan w:val="5"/>
            <w:vAlign w:val="center"/>
          </w:tcPr>
          <w:p>
            <w:pPr>
              <w:pStyle w:val="14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以上有一项不通过结论为不通过，初步评审通过的投标人进入下阶段评审</w:t>
            </w:r>
          </w:p>
        </w:tc>
      </w:tr>
    </w:tbl>
    <w:p>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8"/>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评分标准</w:t>
      </w:r>
    </w:p>
    <w:tbl>
      <w:tblPr>
        <w:tblStyle w:val="44"/>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795"/>
        <w:gridCol w:w="919"/>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noWrap w:val="0"/>
            <w:vAlign w:val="center"/>
          </w:tcPr>
          <w:p>
            <w:pPr>
              <w:pStyle w:val="39"/>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795" w:type="dxa"/>
            <w:noWrap w:val="0"/>
            <w:vAlign w:val="center"/>
          </w:tcPr>
          <w:p>
            <w:pPr>
              <w:pStyle w:val="39"/>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评分因素</w:t>
            </w:r>
          </w:p>
        </w:tc>
        <w:tc>
          <w:tcPr>
            <w:tcW w:w="919" w:type="dxa"/>
            <w:noWrap w:val="0"/>
            <w:vAlign w:val="center"/>
          </w:tcPr>
          <w:p>
            <w:pPr>
              <w:pStyle w:val="39"/>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分数</w:t>
            </w:r>
          </w:p>
        </w:tc>
        <w:tc>
          <w:tcPr>
            <w:tcW w:w="5993" w:type="dxa"/>
            <w:noWrap w:val="0"/>
            <w:vAlign w:val="center"/>
          </w:tcPr>
          <w:p>
            <w:pPr>
              <w:pStyle w:val="39"/>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评分标准（评分四舍五入保留2位小数）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报价部分</w:t>
            </w:r>
          </w:p>
          <w:p>
            <w:pPr>
              <w:pStyle w:val="39"/>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30分</w:t>
            </w:r>
          </w:p>
        </w:tc>
        <w:tc>
          <w:tcPr>
            <w:tcW w:w="1795"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投标报价</w:t>
            </w:r>
          </w:p>
        </w:tc>
        <w:tc>
          <w:tcPr>
            <w:tcW w:w="919"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30</w:t>
            </w:r>
          </w:p>
        </w:tc>
        <w:tc>
          <w:tcPr>
            <w:tcW w:w="5993" w:type="dxa"/>
            <w:noWrap w:val="0"/>
            <w:vAlign w:val="center"/>
          </w:tcPr>
          <w:p>
            <w:pPr>
              <w:autoSpaceDE w:val="0"/>
              <w:autoSpaceDN w:val="0"/>
              <w:adjustRightInd w:val="0"/>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以满足采购文件要求且最终报价最低的报价为评标基准价，其价格分为满分30分，其他供应商的价格得分按照下列公式计算：报价得分=（评标基准价/最终报价）×价格权重，报价高于预算价的，按无效报价处理。</w:t>
            </w:r>
          </w:p>
          <w:p>
            <w:pPr>
              <w:autoSpaceDE w:val="0"/>
              <w:autoSpaceDN w:val="0"/>
              <w:adjustRightInd w:val="0"/>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restart"/>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商务部分40分</w:t>
            </w:r>
          </w:p>
        </w:tc>
        <w:tc>
          <w:tcPr>
            <w:tcW w:w="1795" w:type="dxa"/>
            <w:noWrap w:val="0"/>
            <w:vAlign w:val="center"/>
          </w:tcPr>
          <w:p>
            <w:pP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业绩</w:t>
            </w:r>
          </w:p>
        </w:tc>
        <w:tc>
          <w:tcPr>
            <w:tcW w:w="919" w:type="dxa"/>
            <w:noWrap w:val="0"/>
            <w:vAlign w:val="center"/>
          </w:tcPr>
          <w:p>
            <w:pPr>
              <w:pStyle w:val="39"/>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5993" w:type="dxa"/>
            <w:noWrap w:val="0"/>
            <w:vAlign w:val="center"/>
          </w:tcPr>
          <w:p>
            <w:pPr>
              <w:pStyle w:val="32"/>
              <w:pBdr>
                <w:bottom w:val="none" w:color="auto" w:sz="0" w:space="0"/>
              </w:pBdr>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近3年以来的类似产品业绩，（提供合同协议书或者中标通知书）；每提供一个有效业绩得2分，没有的不得分；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noWrap w:val="0"/>
            <w:vAlign w:val="center"/>
          </w:tcPr>
          <w:p>
            <w:pPr>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培训</w:t>
            </w:r>
          </w:p>
        </w:tc>
        <w:tc>
          <w:tcPr>
            <w:tcW w:w="919" w:type="dxa"/>
            <w:noWrap w:val="0"/>
            <w:vAlign w:val="center"/>
          </w:tcPr>
          <w:p>
            <w:pPr>
              <w:pStyle w:val="39"/>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5993" w:type="dxa"/>
            <w:noWrap w:val="0"/>
            <w:vAlign w:val="center"/>
          </w:tcPr>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培训方案（满分6）</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投标企业对采购方各县（市）、乡镇、村防疫人员进行技术培训并制定培训方案（满分6分）：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①方案详细有针对性的得6分；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②方案一般可行的得3分；</w:t>
            </w:r>
          </w:p>
          <w:p>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③没有的不得分；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noWrap w:val="0"/>
            <w:vAlign w:val="center"/>
          </w:tcPr>
          <w:p>
            <w:pPr>
              <w:pStyle w:val="39"/>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疫苗免疫副反应、免疫失败、产品质量问题等处理方案损失补偿</w:t>
            </w:r>
          </w:p>
        </w:tc>
        <w:tc>
          <w:tcPr>
            <w:tcW w:w="919" w:type="dxa"/>
            <w:noWrap w:val="0"/>
            <w:vAlign w:val="center"/>
          </w:tcPr>
          <w:p>
            <w:pPr>
              <w:pStyle w:val="39"/>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5993" w:type="dxa"/>
            <w:noWrap w:val="0"/>
            <w:vAlign w:val="top"/>
          </w:tcPr>
          <w:p>
            <w:pPr>
              <w:pStyle w:val="32"/>
              <w:pBdr>
                <w:bottom w:val="none" w:color="auto" w:sz="0" w:space="0"/>
              </w:pBd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投标企业承诺因疫苗反应、免疫失败、产品质量导致畜禽死亡或流产造成损失按照不低于国家标准补偿得2分（满分2分）。</w:t>
            </w:r>
          </w:p>
          <w:p>
            <w:pPr>
              <w:pStyle w:val="32"/>
              <w:pBdr>
                <w:bottom w:val="none" w:color="auto" w:sz="0" w:space="0"/>
              </w:pBdr>
              <w:jc w:val="left"/>
              <w:rPr>
                <w:rFonts w:hint="eastAsia" w:ascii="仿宋" w:hAnsi="仿宋" w:eastAsia="仿宋" w:cs="仿宋"/>
                <w:b w:val="0"/>
                <w:bCs w:val="0"/>
                <w:color w:val="auto"/>
                <w:kern w:val="2"/>
                <w:sz w:val="24"/>
                <w:szCs w:val="24"/>
                <w:highlight w:val="none"/>
                <w:lang w:val="zh-CN" w:eastAsia="zh-CN" w:bidi="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建立补偿准备金的补偿方案优得4分；良好得3分；一般得2分；没有不得分。（满分4分）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noWrap w:val="0"/>
            <w:vAlign w:val="center"/>
          </w:tcPr>
          <w:p>
            <w:pPr>
              <w:pStyle w:val="39"/>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抗体水平监测</w:t>
            </w:r>
          </w:p>
        </w:tc>
        <w:tc>
          <w:tcPr>
            <w:tcW w:w="919" w:type="dxa"/>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5993" w:type="dxa"/>
            <w:noWrap w:val="0"/>
            <w:vAlign w:val="top"/>
          </w:tcPr>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投标企业进行抗体水平监测并制定监测方案，合格率达到70%以上（免疫抗体监测比例为中标产品免疫数量的万分之五）（满分6分）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①制定监测方案可行性强的得2分；监测方案有瑕疵不完善得1分，没有不得分。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②承诺提供满足中标产品免疫抗体水平监测所需的技术支持且监测方案操作性强的得3-4分，操作性较好得1-2分，操作性一般不得分。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售后服务及质量保障措施</w:t>
            </w:r>
          </w:p>
        </w:tc>
        <w:tc>
          <w:tcPr>
            <w:tcW w:w="919"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p>
        </w:tc>
        <w:tc>
          <w:tcPr>
            <w:tcW w:w="5993" w:type="dxa"/>
            <w:noWrap w:val="0"/>
            <w:vAlign w:val="center"/>
          </w:tcPr>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针对本项目制度进度计划安排、配送方案、验收组织安排是否完整合理、是否符合需求，以及质量保证措施、等综合情况进行赋分（满分</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项目进度计划安排、配送方案、验收组织安排、质量保证措施等完整合理、符合需求，切实可行，优得分4，良得3分，一般得2分，没有不得分。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产品包装（满分3分）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产品供货提供不低于合同数量40%的小规格包装的得3分；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产品供货提供不低于合同数量30%的小规格包装的得2分；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产品供货提供不低于合同数量20%的小规格包装的得1分；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在项目所在地提供售后保障服务网点，配备专业技术服务人员（可委托相关服务机构，服务机构需具备兽用生物制品经营许可证，人员需具备执业兽医资格证），提供委托协议等证明材料。有的得2分；没有不得分。（满分2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承诺供货时间10日内，特殊情况3个日内，或采购人通知执行交货期满足招标文件（满分3分）：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①供货时间1-5日的得3分；</w:t>
            </w:r>
          </w:p>
          <w:p>
            <w:pPr>
              <w:pStyle w:val="32"/>
              <w:pBdr>
                <w:bottom w:val="none" w:color="auto" w:sz="0" w:space="0"/>
              </w:pBdr>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②供货时间5-10日的得1分；</w:t>
            </w:r>
          </w:p>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sz w:val="24"/>
                <w:highlight w:val="none"/>
              </w:rPr>
              <w:t>③无承诺不得分。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响应时间</w:t>
            </w:r>
          </w:p>
        </w:tc>
        <w:tc>
          <w:tcPr>
            <w:tcW w:w="919" w:type="dxa"/>
            <w:noWrap w:val="0"/>
            <w:vAlign w:val="center"/>
          </w:tcPr>
          <w:p>
            <w:pPr>
              <w:autoSpaceDE w:val="0"/>
              <w:autoSpaceDN w:val="0"/>
              <w:adjustRightInd w:val="0"/>
              <w:spacing w:line="24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5993" w:type="dxa"/>
            <w:noWrap w:val="0"/>
            <w:vAlign w:val="center"/>
          </w:tcPr>
          <w:p>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投标人承诺响应时间</w:t>
            </w:r>
            <w:r>
              <w:rPr>
                <w:rFonts w:hint="eastAsia" w:ascii="仿宋" w:hAnsi="仿宋" w:eastAsia="仿宋" w:cs="仿宋"/>
                <w:b w:val="0"/>
                <w:bCs w:val="0"/>
                <w:color w:val="auto"/>
                <w:sz w:val="24"/>
                <w:szCs w:val="24"/>
                <w:highlight w:val="none"/>
              </w:rPr>
              <w:t>（满分4分）</w:t>
            </w:r>
          </w:p>
          <w:p>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highlight w:val="none"/>
              </w:rPr>
              <w:t>投标人承诺措施全面、可行性强，对疫苗免疫严重副反应现场处置响应时间≤24小时，给予反应死亡赔偿费的得2分；</w:t>
            </w:r>
          </w:p>
          <w:p>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rPr>
              <w:t>②</w:t>
            </w:r>
            <w:r>
              <w:rPr>
                <w:rFonts w:hint="eastAsia" w:ascii="仿宋" w:hAnsi="仿宋" w:eastAsia="仿宋" w:cs="仿宋"/>
                <w:b w:val="0"/>
                <w:bCs w:val="0"/>
                <w:color w:val="auto"/>
                <w:sz w:val="24"/>
                <w:highlight w:val="none"/>
              </w:rPr>
              <w:t>投标人承诺及时兑付的的得2分。</w:t>
            </w:r>
          </w:p>
          <w:p>
            <w:pPr>
              <w:keepNext w:val="0"/>
              <w:keepLines w:val="0"/>
              <w:pageBreakBefore w:val="0"/>
              <w:kinsoku/>
              <w:wordWrap/>
              <w:overflowPunct/>
              <w:topLinePunct w:val="0"/>
              <w:bidi w:val="0"/>
              <w:spacing w:line="24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rPr>
              <w:t>③</w:t>
            </w:r>
            <w:r>
              <w:rPr>
                <w:rFonts w:hint="eastAsia" w:ascii="仿宋" w:hAnsi="仿宋" w:eastAsia="仿宋" w:cs="仿宋"/>
                <w:b w:val="0"/>
                <w:bCs w:val="0"/>
                <w:color w:val="auto"/>
                <w:sz w:val="24"/>
                <w:highlight w:val="none"/>
              </w:rPr>
              <w:t>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noWrap w:val="0"/>
            <w:vAlign w:val="center"/>
          </w:tcPr>
          <w:p>
            <w:pPr>
              <w:jc w:val="center"/>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sz w:val="24"/>
                <w:highlight w:val="none"/>
              </w:rPr>
              <w:t>产品保险</w:t>
            </w:r>
          </w:p>
        </w:tc>
        <w:tc>
          <w:tcPr>
            <w:tcW w:w="919" w:type="dxa"/>
            <w:noWrap w:val="0"/>
            <w:vAlign w:val="center"/>
          </w:tcPr>
          <w:p>
            <w:pPr>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sz w:val="24"/>
                <w:highlight w:val="none"/>
                <w:lang w:val="en-US" w:eastAsia="zh-CN"/>
              </w:rPr>
              <w:t>2</w:t>
            </w:r>
          </w:p>
        </w:tc>
        <w:tc>
          <w:tcPr>
            <w:tcW w:w="5993" w:type="dxa"/>
            <w:noWrap w:val="0"/>
            <w:vAlign w:val="center"/>
          </w:tcPr>
          <w:p>
            <w:pPr>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sz w:val="24"/>
                <w:highlight w:val="none"/>
              </w:rPr>
              <w:t>有在保险有效期内的产品投保证明（须提供有效的证明材料）得2分，没有或过期的不得分。（满分2分）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46" w:type="dxa"/>
            <w:vMerge w:val="restart"/>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技术部分</w:t>
            </w:r>
          </w:p>
          <w:p>
            <w:pPr>
              <w:pStyle w:val="39"/>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30分</w:t>
            </w:r>
          </w:p>
        </w:tc>
        <w:tc>
          <w:tcPr>
            <w:tcW w:w="1795" w:type="dxa"/>
            <w:vMerge w:val="restart"/>
            <w:noWrap w:val="0"/>
            <w:vAlign w:val="center"/>
          </w:tcPr>
          <w:p>
            <w:pPr>
              <w:pStyle w:val="39"/>
              <w:keepNext w:val="0"/>
              <w:keepLines w:val="0"/>
              <w:pageBreakBefore w:val="0"/>
              <w:kinsoku/>
              <w:wordWrap/>
              <w:overflowPunct/>
              <w:topLinePunct w:val="0"/>
              <w:bidi w:val="0"/>
              <w:spacing w:line="300" w:lineRule="exact"/>
              <w:jc w:val="cente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0"/>
                <w:highlight w:val="none"/>
                <w:lang w:val="en-US" w:eastAsia="zh-CN" w:bidi="ar-SA"/>
              </w:rPr>
              <w:t>产品技术指标及生产能力</w:t>
            </w:r>
          </w:p>
        </w:tc>
        <w:tc>
          <w:tcPr>
            <w:tcW w:w="919" w:type="dxa"/>
            <w:noWrap w:val="0"/>
            <w:vAlign w:val="center"/>
          </w:tcPr>
          <w:p>
            <w:pPr>
              <w:pStyle w:val="32"/>
              <w:pBdr>
                <w:bottom w:val="none" w:color="auto" w:sz="0" w:space="0"/>
              </w:pBd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4</w:t>
            </w:r>
          </w:p>
        </w:tc>
        <w:tc>
          <w:tcPr>
            <w:tcW w:w="5993" w:type="dxa"/>
            <w:noWrap w:val="0"/>
            <w:vAlign w:val="top"/>
          </w:tcPr>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1、生产企业能力（满分4分）：</w:t>
            </w:r>
          </w:p>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① 具有本包所采购疫苗独立生产线并通过GMP动态认证。（提供设备清晰发票复印件，数额可辨认）提供得2分，不提供不得分。</w:t>
            </w:r>
          </w:p>
          <w:p>
            <w:pPr>
              <w:pStyle w:val="32"/>
              <w:pBdr>
                <w:bottom w:val="none" w:color="auto" w:sz="0" w:space="0"/>
              </w:pBdr>
              <w:jc w:val="left"/>
              <w:rPr>
                <w:rFonts w:hint="eastAsia" w:ascii="仿宋" w:hAnsi="仿宋" w:eastAsia="仿宋" w:cs="仿宋"/>
                <w:b w:val="0"/>
                <w:bCs w:val="0"/>
                <w:color w:val="auto"/>
                <w:kern w:val="2"/>
                <w:sz w:val="24"/>
                <w:highlight w:val="none"/>
                <w:lang w:val="zh-CN" w:eastAsia="zh-CN" w:bidi="ar-SA"/>
              </w:rPr>
            </w:pPr>
            <w:r>
              <w:rPr>
                <w:rFonts w:hint="eastAsia" w:ascii="仿宋" w:hAnsi="仿宋" w:eastAsia="仿宋" w:cs="仿宋"/>
                <w:b w:val="0"/>
                <w:bCs w:val="0"/>
                <w:color w:val="auto"/>
                <w:kern w:val="2"/>
                <w:sz w:val="24"/>
                <w:highlight w:val="none"/>
                <w:lang w:val="en-US" w:eastAsia="zh-CN" w:bidi="ar-SA"/>
              </w:rPr>
              <w:t>②生产工艺先进性满足并优于本次疫苗采购的（提供国家级或省级权威部门出具的鉴定文件或报告得2分.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vMerge w:val="continue"/>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 w:val="0"/>
                <w:bCs w:val="0"/>
                <w:color w:val="auto"/>
                <w:kern w:val="2"/>
                <w:sz w:val="24"/>
                <w:szCs w:val="24"/>
                <w:highlight w:val="none"/>
                <w:lang w:val="en-US" w:eastAsia="zh-CN" w:bidi="zh-CN"/>
              </w:rPr>
            </w:pPr>
          </w:p>
        </w:tc>
        <w:tc>
          <w:tcPr>
            <w:tcW w:w="919" w:type="dxa"/>
            <w:noWrap w:val="0"/>
            <w:vAlign w:val="center"/>
          </w:tcPr>
          <w:p>
            <w:pPr>
              <w:pStyle w:val="32"/>
              <w:pBdr>
                <w:bottom w:val="none" w:color="auto" w:sz="0" w:space="0"/>
              </w:pBd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3</w:t>
            </w:r>
          </w:p>
        </w:tc>
        <w:tc>
          <w:tcPr>
            <w:tcW w:w="5993" w:type="dxa"/>
            <w:noWrap w:val="0"/>
            <w:vAlign w:val="top"/>
          </w:tcPr>
          <w:p>
            <w:pPr>
              <w:pStyle w:val="26"/>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2、产品功能（满分3分）：</w:t>
            </w:r>
          </w:p>
          <w:p>
            <w:pPr>
              <w:pStyle w:val="26"/>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①所投产品满足国家对该产品的技术生产要求具有完整的产品说明书、使用范围、使用方法，注意事项等情况。说明书内容全面，分项介绍详细，配图完整易理解，得3分；</w:t>
            </w:r>
          </w:p>
          <w:p>
            <w:pPr>
              <w:pStyle w:val="26"/>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②说明书简略，分项介绍内容不明确、不清晰得1分；</w:t>
            </w:r>
          </w:p>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③未提供说明书不得分。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vMerge w:val="continue"/>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 w:val="0"/>
                <w:bCs w:val="0"/>
                <w:color w:val="auto"/>
                <w:kern w:val="2"/>
                <w:sz w:val="24"/>
                <w:szCs w:val="24"/>
                <w:highlight w:val="none"/>
                <w:lang w:val="en-US" w:eastAsia="zh-CN" w:bidi="zh-CN"/>
              </w:rPr>
            </w:pPr>
          </w:p>
        </w:tc>
        <w:tc>
          <w:tcPr>
            <w:tcW w:w="919" w:type="dxa"/>
            <w:noWrap w:val="0"/>
            <w:vAlign w:val="center"/>
          </w:tcPr>
          <w:p>
            <w:pPr>
              <w:pStyle w:val="32"/>
              <w:pBdr>
                <w:bottom w:val="none" w:color="auto" w:sz="0" w:space="0"/>
              </w:pBd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5</w:t>
            </w:r>
          </w:p>
        </w:tc>
        <w:tc>
          <w:tcPr>
            <w:tcW w:w="5993" w:type="dxa"/>
            <w:noWrap w:val="0"/>
            <w:vAlign w:val="top"/>
          </w:tcPr>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3、疫苗的冷链运输（满分5分）：</w:t>
            </w:r>
          </w:p>
          <w:p>
            <w:pPr>
              <w:pStyle w:val="26"/>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①承诺疫苗用专用冷藏车在途运输不超过72小时或航空运输不超过24小时，有全程温控记录设备和数据的得5分；</w:t>
            </w:r>
          </w:p>
          <w:p>
            <w:pPr>
              <w:pStyle w:val="26"/>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②疫苗用冷藏车在途运输超过72小时或航空运输超过24小时，全程温控记录设备和数据的得2分；</w:t>
            </w:r>
          </w:p>
          <w:p>
            <w:pPr>
              <w:pStyle w:val="26"/>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③超过以上最低时限或未采取规定运载工具运输的不得分。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vMerge w:val="continue"/>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 w:val="0"/>
                <w:bCs w:val="0"/>
                <w:color w:val="auto"/>
                <w:kern w:val="0"/>
                <w:sz w:val="24"/>
                <w:szCs w:val="24"/>
                <w:highlight w:val="none"/>
                <w:lang w:val="en-US" w:eastAsia="zh-CN" w:bidi="ar-SA"/>
              </w:rPr>
            </w:pPr>
          </w:p>
        </w:tc>
        <w:tc>
          <w:tcPr>
            <w:tcW w:w="919" w:type="dxa"/>
            <w:noWrap w:val="0"/>
            <w:vAlign w:val="center"/>
          </w:tcPr>
          <w:p>
            <w:pPr>
              <w:pStyle w:val="32"/>
              <w:pBdr>
                <w:bottom w:val="none" w:color="auto" w:sz="0" w:space="0"/>
              </w:pBdr>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5</w:t>
            </w:r>
          </w:p>
        </w:tc>
        <w:tc>
          <w:tcPr>
            <w:tcW w:w="5993" w:type="dxa"/>
            <w:noWrap w:val="0"/>
            <w:vAlign w:val="top"/>
          </w:tcPr>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4、安全性（满分5分）：</w:t>
            </w:r>
          </w:p>
          <w:p>
            <w:pPr>
              <w:pStyle w:val="32"/>
              <w:pBdr>
                <w:bottom w:val="none" w:color="auto" w:sz="0" w:space="0"/>
              </w:pBdr>
              <w:jc w:val="left"/>
              <w:rPr>
                <w:rFonts w:hint="eastAsia" w:ascii="仿宋" w:hAnsi="仿宋" w:eastAsia="仿宋" w:cs="仿宋"/>
                <w:b w:val="0"/>
                <w:bCs w:val="0"/>
                <w:color w:val="auto"/>
                <w:kern w:val="2"/>
                <w:sz w:val="24"/>
                <w:highlight w:val="none"/>
                <w:lang w:val="en-US" w:eastAsia="zh-CN" w:bidi="ar-SA"/>
              </w:rPr>
            </w:pPr>
            <w:r>
              <w:rPr>
                <w:rFonts w:hint="eastAsia" w:ascii="仿宋" w:hAnsi="仿宋" w:eastAsia="仿宋" w:cs="仿宋"/>
                <w:b w:val="0"/>
                <w:bCs w:val="0"/>
                <w:color w:val="auto"/>
                <w:kern w:val="2"/>
                <w:sz w:val="24"/>
                <w:highlight w:val="none"/>
                <w:lang w:val="en-US" w:eastAsia="zh-CN" w:bidi="ar-SA"/>
              </w:rPr>
              <w:t>每提供1份相关安全性证明文件，并提供地州市和（或）省级以上动物疫控机构出具的良好的评价证明材料和满意度反馈表的得1分，满分5分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vMerge w:val="continue"/>
            <w:noWrap w:val="0"/>
            <w:vAlign w:val="center"/>
          </w:tcPr>
          <w:p>
            <w:pPr>
              <w:pStyle w:val="39"/>
              <w:keepNext w:val="0"/>
              <w:keepLines w:val="0"/>
              <w:pageBreakBefore w:val="0"/>
              <w:kinsoku/>
              <w:wordWrap/>
              <w:overflowPunct/>
              <w:topLinePunct w:val="0"/>
              <w:bidi w:val="0"/>
              <w:spacing w:line="300" w:lineRule="exact"/>
              <w:jc w:val="center"/>
              <w:rPr>
                <w:rFonts w:hint="eastAsia" w:ascii="仿宋" w:hAnsi="仿宋" w:eastAsia="仿宋" w:cs="仿宋"/>
                <w:b w:val="0"/>
                <w:bCs w:val="0"/>
                <w:color w:val="auto"/>
                <w:kern w:val="2"/>
                <w:sz w:val="24"/>
                <w:szCs w:val="24"/>
                <w:highlight w:val="none"/>
                <w:lang w:val="en-US" w:eastAsia="zh-CN" w:bidi="zh-CN"/>
              </w:rPr>
            </w:pPr>
          </w:p>
        </w:tc>
        <w:tc>
          <w:tcPr>
            <w:tcW w:w="919" w:type="dxa"/>
            <w:noWrap w:val="0"/>
            <w:vAlign w:val="center"/>
          </w:tcPr>
          <w:p>
            <w:pPr>
              <w:pStyle w:val="32"/>
              <w:pBdr>
                <w:bottom w:val="none" w:color="auto" w:sz="0" w:space="0"/>
              </w:pBd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10</w:t>
            </w:r>
          </w:p>
        </w:tc>
        <w:tc>
          <w:tcPr>
            <w:tcW w:w="5993" w:type="dxa"/>
            <w:noWrap w:val="0"/>
            <w:vAlign w:val="top"/>
          </w:tcPr>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5、所投疫苗2022年的PD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（提供批签发报告复印件，原件备查）（满分10分）：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①提供2022年以来连续3个批次的批签发（共3分）：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3个批次在同一月内生产的得3分；二个月内生产的得2分；半年内的得1分；否则不得分；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②以《兽用生物制品生产与检验报告》为依据，计算上述3批次疫苗的PD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平均数（满分6分）：达到6个PD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的得2分；每高一个PD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加1分，加到满分为止；</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值的离散度（满分1分）：</w:t>
            </w:r>
          </w:p>
          <w:p>
            <w:pPr>
              <w:pStyle w:val="32"/>
              <w:pBdr>
                <w:bottom w:val="none" w:color="auto" w:sz="0" w:space="0"/>
              </w:pBdr>
              <w:jc w:val="left"/>
              <w:rPr>
                <w:rFonts w:hint="eastAsia" w:ascii="仿宋" w:hAnsi="仿宋" w:eastAsia="仿宋" w:cs="仿宋"/>
                <w:b w:val="0"/>
                <w:bCs w:val="0"/>
                <w:color w:val="auto"/>
                <w:kern w:val="2"/>
                <w:sz w:val="21"/>
                <w:szCs w:val="21"/>
                <w:highlight w:val="none"/>
                <w:lang w:val="zh-CN" w:eastAsia="zh-CN" w:bidi="ar-SA"/>
              </w:rPr>
            </w:pPr>
            <w:r>
              <w:rPr>
                <w:rFonts w:hint="eastAsia" w:ascii="仿宋" w:hAnsi="仿宋" w:eastAsia="仿宋" w:cs="仿宋"/>
                <w:b w:val="0"/>
                <w:bCs w:val="0"/>
                <w:color w:val="auto"/>
                <w:sz w:val="24"/>
                <w:szCs w:val="24"/>
                <w:highlight w:val="none"/>
              </w:rPr>
              <w:t>上述3个批次双组份疫苗的离散度在±1以内得1分，±2以内得0.5分，有一个批次及以上PD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值不在此范围不得分。（示例：PD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值均值为10，则3个批次批签发PD</w:t>
            </w:r>
            <w:r>
              <w:rPr>
                <w:rFonts w:hint="eastAsia" w:ascii="仿宋" w:hAnsi="仿宋" w:eastAsia="仿宋" w:cs="仿宋"/>
                <w:b w:val="0"/>
                <w:bCs w:val="0"/>
                <w:color w:val="auto"/>
                <w:sz w:val="24"/>
                <w:szCs w:val="24"/>
                <w:highlight w:val="none"/>
                <w:vertAlign w:val="subscript"/>
              </w:rPr>
              <w:t>50</w:t>
            </w:r>
            <w:r>
              <w:rPr>
                <w:rFonts w:hint="eastAsia" w:ascii="仿宋" w:hAnsi="仿宋" w:eastAsia="仿宋" w:cs="仿宋"/>
                <w:b w:val="0"/>
                <w:bCs w:val="0"/>
                <w:color w:val="auto"/>
                <w:sz w:val="24"/>
                <w:szCs w:val="24"/>
                <w:highlight w:val="none"/>
              </w:rPr>
              <w:t>值在9～11之间的得1分，8～12之间的得0.5分，除此以外不得分。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tcPr>
          <w:p>
            <w:pPr>
              <w:pStyle w:val="39"/>
              <w:spacing w:line="240" w:lineRule="auto"/>
              <w:jc w:val="center"/>
              <w:rPr>
                <w:rFonts w:hint="eastAsia" w:ascii="仿宋" w:hAnsi="仿宋" w:eastAsia="仿宋" w:cs="仿宋"/>
                <w:b w:val="0"/>
                <w:bCs w:val="0"/>
                <w:color w:val="auto"/>
                <w:sz w:val="24"/>
                <w:szCs w:val="24"/>
                <w:highlight w:val="none"/>
                <w:lang w:val="en-US" w:eastAsia="zh-CN"/>
              </w:rPr>
            </w:pPr>
          </w:p>
        </w:tc>
        <w:tc>
          <w:tcPr>
            <w:tcW w:w="1795" w:type="dxa"/>
            <w:vMerge w:val="continue"/>
          </w:tcPr>
          <w:p>
            <w:pPr>
              <w:pStyle w:val="39"/>
              <w:keepNext w:val="0"/>
              <w:keepLines w:val="0"/>
              <w:pageBreakBefore w:val="0"/>
              <w:kinsoku/>
              <w:wordWrap/>
              <w:overflowPunct/>
              <w:topLinePunct w:val="0"/>
              <w:bidi w:val="0"/>
              <w:spacing w:line="300" w:lineRule="exact"/>
              <w:jc w:val="center"/>
              <w:rPr>
                <w:rFonts w:hint="eastAsia" w:ascii="仿宋" w:hAnsi="仿宋" w:eastAsia="仿宋" w:cs="仿宋"/>
                <w:b w:val="0"/>
                <w:bCs w:val="0"/>
                <w:color w:val="auto"/>
                <w:kern w:val="2"/>
                <w:sz w:val="24"/>
                <w:szCs w:val="24"/>
                <w:highlight w:val="none"/>
                <w:lang w:val="en-US" w:eastAsia="zh-CN" w:bidi="zh-CN"/>
              </w:rPr>
            </w:pPr>
          </w:p>
        </w:tc>
        <w:tc>
          <w:tcPr>
            <w:tcW w:w="919" w:type="dxa"/>
            <w:vAlign w:val="center"/>
          </w:tcPr>
          <w:p>
            <w:pPr>
              <w:pStyle w:val="32"/>
              <w:pBdr>
                <w:bottom w:val="none" w:color="auto" w:sz="0" w:space="0"/>
              </w:pBd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3</w:t>
            </w:r>
          </w:p>
        </w:tc>
        <w:tc>
          <w:tcPr>
            <w:tcW w:w="5993" w:type="dxa"/>
            <w:vAlign w:val="top"/>
          </w:tcPr>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6、内毒素检测每头份疫苗不超过50EU/ml（满分3分）：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①连续3批的检验报告单、提供企业签发的内毒素检验规程，证明检验过并提供上述材料的得0.5分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②证明低于20EU/ml加1分；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③证明低于10EU/ml加1.5分；</w:t>
            </w:r>
          </w:p>
          <w:p>
            <w:pPr>
              <w:pStyle w:val="32"/>
              <w:pBdr>
                <w:bottom w:val="none" w:color="auto" w:sz="0" w:space="0"/>
              </w:pBd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证明低于5EU/ml加2.5分；</w:t>
            </w:r>
          </w:p>
          <w:p>
            <w:pPr>
              <w:pStyle w:val="32"/>
              <w:pBdr>
                <w:bottom w:val="none" w:color="auto" w:sz="0" w:space="0"/>
              </w:pBdr>
              <w:jc w:val="left"/>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rPr>
              <w:t>⑤ 内毒素超过50EU/ml不得分；</w:t>
            </w:r>
          </w:p>
        </w:tc>
      </w:tr>
    </w:tbl>
    <w:p>
      <w:pPr>
        <w:pStyle w:val="8"/>
        <w:rPr>
          <w:rFonts w:hint="eastAsia" w:ascii="仿宋" w:hAnsi="仿宋" w:eastAsia="仿宋" w:cs="仿宋"/>
          <w:color w:val="auto"/>
          <w:highlight w:val="none"/>
        </w:rPr>
      </w:pPr>
    </w:p>
    <w:p>
      <w:pPr>
        <w:rPr>
          <w:rFonts w:hint="eastAsia" w:ascii="仿宋" w:hAnsi="仿宋" w:eastAsia="仿宋" w:cs="仿宋"/>
          <w:b/>
          <w:bCs/>
          <w:color w:val="auto"/>
          <w:kern w:val="0"/>
          <w:sz w:val="36"/>
          <w:szCs w:val="36"/>
          <w:highlight w:val="none"/>
          <w:lang w:val="en-US" w:eastAsia="zh-CN" w:bidi="ar"/>
        </w:rPr>
      </w:pPr>
    </w:p>
    <w:p>
      <w:pP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rPr>
        <w:br w:type="page"/>
      </w:r>
    </w:p>
    <w:p>
      <w:pPr>
        <w:numPr>
          <w:ilvl w:val="0"/>
          <w:numId w:val="8"/>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lang w:val="en-US" w:eastAsia="zh-CN"/>
        </w:rPr>
        <w:t xml:space="preserve"> </w:t>
      </w:r>
      <w:r>
        <w:rPr>
          <w:rFonts w:hint="eastAsia" w:ascii="仿宋" w:hAnsi="仿宋" w:eastAsia="仿宋" w:cs="仿宋"/>
          <w:b/>
          <w:bCs/>
          <w:color w:val="auto"/>
          <w:sz w:val="36"/>
          <w:szCs w:val="56"/>
          <w:highlight w:val="none"/>
        </w:rPr>
        <w:t>采购需求、技术参数、规格</w:t>
      </w:r>
      <w:bookmarkEnd w:id="67"/>
      <w:bookmarkEnd w:id="68"/>
      <w:bookmarkEnd w:id="69"/>
      <w:bookmarkEnd w:id="70"/>
      <w:bookmarkEnd w:id="71"/>
      <w:bookmarkStart w:id="72" w:name="_Toc28817"/>
      <w:bookmarkStart w:id="73" w:name="_Toc18832"/>
      <w:bookmarkStart w:id="74" w:name="_Toc25254"/>
      <w:bookmarkStart w:id="75" w:name="_Toc19312"/>
      <w:bookmarkStart w:id="76" w:name="_Toc24194"/>
      <w:bookmarkStart w:id="77" w:name="_Toc19723"/>
      <w:bookmarkStart w:id="78" w:name="_Toc7241"/>
      <w:bookmarkStart w:id="79" w:name="_Toc700"/>
      <w:bookmarkStart w:id="80" w:name="_Toc26060"/>
      <w:bookmarkStart w:id="81" w:name="_Toc32237"/>
      <w:bookmarkStart w:id="82" w:name="_Toc13536"/>
      <w:bookmarkStart w:id="83" w:name="_Toc20061"/>
      <w:bookmarkStart w:id="84" w:name="_Toc11973"/>
    </w:p>
    <w:p>
      <w:pPr>
        <w:pStyle w:val="26"/>
        <w:numPr>
          <w:ilvl w:val="0"/>
          <w:numId w:val="0"/>
        </w:numPr>
        <w:rPr>
          <w:rFonts w:hint="eastAsia" w:ascii="仿宋" w:hAnsi="仿宋" w:eastAsia="仿宋" w:cs="仿宋"/>
          <w:b/>
          <w:bCs/>
          <w:color w:val="auto"/>
          <w:highlight w:val="none"/>
        </w:rPr>
      </w:pPr>
    </w:p>
    <w:p>
      <w:pPr>
        <w:pStyle w:val="27"/>
        <w:rPr>
          <w:rFonts w:hint="eastAsia" w:ascii="仿宋" w:hAnsi="仿宋" w:eastAsia="仿宋" w:cs="仿宋"/>
          <w:b/>
          <w:bCs/>
          <w:color w:val="auto"/>
          <w:highlight w:val="none"/>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95"/>
        <w:gridCol w:w="1200"/>
        <w:gridCol w:w="1012"/>
        <w:gridCol w:w="782"/>
        <w:gridCol w:w="2776"/>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widowControl/>
              <w:suppressLineNumbers w:val="0"/>
              <w:jc w:val="center"/>
              <w:textAlignment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i w:val="0"/>
                <w:iCs w:val="0"/>
                <w:color w:val="auto"/>
                <w:kern w:val="0"/>
                <w:sz w:val="18"/>
                <w:szCs w:val="18"/>
                <w:highlight w:val="none"/>
                <w:u w:val="none"/>
                <w:lang w:val="en-US" w:eastAsia="zh-CN" w:bidi="ar"/>
              </w:rPr>
              <w:t>序号</w:t>
            </w:r>
          </w:p>
        </w:tc>
        <w:tc>
          <w:tcPr>
            <w:tcW w:w="1295" w:type="dxa"/>
            <w:vAlign w:val="center"/>
          </w:tcPr>
          <w:p>
            <w:pPr>
              <w:keepNext w:val="0"/>
              <w:keepLines w:val="0"/>
              <w:widowControl/>
              <w:suppressLineNumbers w:val="0"/>
              <w:jc w:val="center"/>
              <w:textAlignment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i w:val="0"/>
                <w:iCs w:val="0"/>
                <w:color w:val="auto"/>
                <w:kern w:val="0"/>
                <w:sz w:val="18"/>
                <w:szCs w:val="18"/>
                <w:highlight w:val="none"/>
                <w:u w:val="none"/>
                <w:lang w:val="en-US" w:eastAsia="zh-CN" w:bidi="ar"/>
              </w:rPr>
              <w:t>疫苗品名</w:t>
            </w:r>
          </w:p>
        </w:tc>
        <w:tc>
          <w:tcPr>
            <w:tcW w:w="1200" w:type="dxa"/>
            <w:vAlign w:val="center"/>
          </w:tcPr>
          <w:p>
            <w:pPr>
              <w:keepNext w:val="0"/>
              <w:keepLines w:val="0"/>
              <w:widowControl/>
              <w:suppressLineNumbers w:val="0"/>
              <w:jc w:val="center"/>
              <w:textAlignment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i w:val="0"/>
                <w:iCs w:val="0"/>
                <w:color w:val="auto"/>
                <w:kern w:val="0"/>
                <w:sz w:val="18"/>
                <w:szCs w:val="18"/>
                <w:highlight w:val="none"/>
                <w:u w:val="none"/>
                <w:lang w:val="en-US" w:eastAsia="zh-CN" w:bidi="ar"/>
              </w:rPr>
              <w:t>作用与用途</w:t>
            </w:r>
          </w:p>
        </w:tc>
        <w:tc>
          <w:tcPr>
            <w:tcW w:w="1012" w:type="dxa"/>
            <w:vAlign w:val="center"/>
          </w:tcPr>
          <w:p>
            <w:pPr>
              <w:jc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数量（万）</w:t>
            </w:r>
          </w:p>
        </w:tc>
        <w:tc>
          <w:tcPr>
            <w:tcW w:w="782" w:type="dxa"/>
            <w:vAlign w:val="center"/>
          </w:tcPr>
          <w:p>
            <w:pPr>
              <w:jc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单位</w:t>
            </w:r>
          </w:p>
        </w:tc>
        <w:tc>
          <w:tcPr>
            <w:tcW w:w="2776" w:type="dxa"/>
            <w:vAlign w:val="center"/>
          </w:tcPr>
          <w:p>
            <w:pPr>
              <w:keepNext w:val="0"/>
              <w:keepLines w:val="0"/>
              <w:widowControl/>
              <w:suppressLineNumbers w:val="0"/>
              <w:jc w:val="center"/>
              <w:textAlignment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i w:val="0"/>
                <w:iCs w:val="0"/>
                <w:color w:val="auto"/>
                <w:kern w:val="0"/>
                <w:sz w:val="18"/>
                <w:szCs w:val="18"/>
                <w:highlight w:val="none"/>
                <w:u w:val="none"/>
                <w:lang w:val="en-US" w:eastAsia="zh-CN" w:bidi="ar"/>
              </w:rPr>
              <w:t>主要技术参数及要求</w:t>
            </w:r>
          </w:p>
        </w:tc>
        <w:tc>
          <w:tcPr>
            <w:tcW w:w="705" w:type="dxa"/>
            <w:vAlign w:val="center"/>
          </w:tcPr>
          <w:p>
            <w:pPr>
              <w:keepNext w:val="0"/>
              <w:keepLines w:val="0"/>
              <w:widowControl/>
              <w:suppressLineNumbers w:val="0"/>
              <w:jc w:val="center"/>
              <w:textAlignment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1065" w:type="dxa"/>
            <w:vAlign w:val="center"/>
          </w:tcPr>
          <w:p>
            <w:pPr>
              <w:jc w:val="center"/>
              <w:rPr>
                <w:rFonts w:hint="eastAsia" w:ascii="仿宋" w:hAnsi="仿宋" w:eastAsia="仿宋" w:cs="仿宋"/>
                <w:b/>
                <w:bCs/>
                <w:color w:val="auto"/>
                <w:sz w:val="18"/>
                <w:szCs w:val="18"/>
                <w:highlight w:val="none"/>
                <w:vertAlign w:val="baseline"/>
                <w:lang w:val="en-US" w:eastAsia="zh-CN"/>
              </w:rPr>
            </w:pPr>
            <w:r>
              <w:rPr>
                <w:rFonts w:hint="eastAsia" w:ascii="仿宋" w:hAnsi="仿宋" w:eastAsia="仿宋" w:cs="仿宋"/>
                <w:b/>
                <w:bCs/>
                <w:color w:val="auto"/>
                <w:sz w:val="18"/>
                <w:szCs w:val="18"/>
                <w:highlight w:val="none"/>
                <w:vertAlign w:val="baseline"/>
                <w:lang w:val="en-US" w:eastAsia="zh-CN"/>
              </w:rPr>
              <w:t>1</w:t>
            </w:r>
          </w:p>
        </w:tc>
        <w:tc>
          <w:tcPr>
            <w:tcW w:w="1295" w:type="dxa"/>
            <w:vAlign w:val="center"/>
          </w:tcPr>
          <w:p>
            <w:pPr>
              <w:jc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牛羊用口蹄疫O型、A型二价灭活疫苗（O/MYA98/BY/2010 株或OHM/02株或O/HB/HK/99株+AKT-Ⅲ株或Re-A/WH/09 株或AF/72株）</w:t>
            </w:r>
          </w:p>
        </w:tc>
        <w:tc>
          <w:tcPr>
            <w:tcW w:w="1200" w:type="dxa"/>
            <w:vAlign w:val="center"/>
          </w:tcPr>
          <w:p>
            <w:pPr>
              <w:jc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用于预防牛、羊O型、A型口蹄疫</w:t>
            </w:r>
          </w:p>
        </w:tc>
        <w:tc>
          <w:tcPr>
            <w:tcW w:w="1012" w:type="dxa"/>
            <w:vAlign w:val="center"/>
          </w:tcPr>
          <w:p>
            <w:pPr>
              <w:jc w:val="center"/>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lang w:val="en-US" w:eastAsia="zh-CN"/>
              </w:rPr>
              <w:t>800</w:t>
            </w:r>
          </w:p>
        </w:tc>
        <w:tc>
          <w:tcPr>
            <w:tcW w:w="782" w:type="dxa"/>
            <w:vAlign w:val="center"/>
          </w:tcPr>
          <w:p>
            <w:pPr>
              <w:jc w:val="left"/>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kern w:val="0"/>
                <w:sz w:val="18"/>
                <w:szCs w:val="18"/>
                <w:highlight w:val="none"/>
              </w:rPr>
              <w:t>毫升</w:t>
            </w:r>
          </w:p>
        </w:tc>
        <w:tc>
          <w:tcPr>
            <w:tcW w:w="2776" w:type="dxa"/>
            <w:vAlign w:val="center"/>
          </w:tcPr>
          <w:p>
            <w:pPr>
              <w:jc w:val="left"/>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1.规格：50、100毫升/瓶。</w:t>
            </w:r>
          </w:p>
          <w:p>
            <w:pPr>
              <w:jc w:val="left"/>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2.贮藏与有效期：在2-8℃保存，有效期为12个月。</w:t>
            </w:r>
          </w:p>
          <w:p>
            <w:pPr>
              <w:jc w:val="left"/>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3.产品的安全检验指标应符合中国兽医药品监察所审核认可的“兽用生物制品生产与检验报告”要求，免疫持续期6个月以上。</w:t>
            </w:r>
          </w:p>
          <w:p>
            <w:pPr>
              <w:jc w:val="left"/>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4.交货时产品有效期在8个月以上。</w:t>
            </w:r>
          </w:p>
          <w:p>
            <w:pPr>
              <w:jc w:val="left"/>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18"/>
                <w:szCs w:val="18"/>
                <w:highlight w:val="none"/>
                <w:vertAlign w:val="baseline"/>
              </w:rPr>
              <w:t>5.采用206油佐剂生产；效力检验，每头份疫苗应至少含牛口蹄疫0型、A型各6 PD</w:t>
            </w:r>
            <w:r>
              <w:rPr>
                <w:rFonts w:hint="eastAsia" w:ascii="仿宋" w:hAnsi="仿宋" w:eastAsia="仿宋" w:cs="仿宋"/>
                <w:b/>
                <w:bCs/>
                <w:color w:val="auto"/>
                <w:sz w:val="18"/>
                <w:szCs w:val="18"/>
                <w:highlight w:val="none"/>
                <w:vertAlign w:val="subscript"/>
              </w:rPr>
              <w:t>50</w:t>
            </w:r>
            <w:r>
              <w:rPr>
                <w:rFonts w:hint="eastAsia" w:ascii="仿宋" w:hAnsi="仿宋" w:eastAsia="仿宋" w:cs="仿宋"/>
                <w:b/>
                <w:bCs/>
                <w:color w:val="auto"/>
                <w:sz w:val="18"/>
                <w:szCs w:val="18"/>
                <w:highlight w:val="none"/>
                <w:vertAlign w:val="baseline"/>
              </w:rPr>
              <w:t>；内毒素含量不高于50EU/毫升；总蛋白含量不高于350ug/毫升。</w:t>
            </w:r>
          </w:p>
        </w:tc>
        <w:tc>
          <w:tcPr>
            <w:tcW w:w="705" w:type="dxa"/>
            <w:vAlign w:val="center"/>
          </w:tcPr>
          <w:p>
            <w:pPr>
              <w:jc w:val="center"/>
              <w:rPr>
                <w:rFonts w:hint="eastAsia" w:ascii="仿宋" w:hAnsi="仿宋" w:eastAsia="仿宋" w:cs="仿宋"/>
                <w:b/>
                <w:bCs/>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35" w:type="dxa"/>
            <w:gridSpan w:val="7"/>
          </w:tcPr>
          <w:p>
            <w:pP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1、产品质量及技术标准应符合或遵守《中华人民共和国兽用生物制品生产规程》《中华人民共和国兽用生物制品质量标准》及颁布的相应产品质量标准。</w:t>
            </w:r>
          </w:p>
          <w:p>
            <w:pP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2、产品的物理性状、无菌检验、安全检验、效力检验等指标应出具中国兽医药品监察所审核认可的“兽用生物制品生产与检验报告”（批签发记录）。</w:t>
            </w:r>
          </w:p>
          <w:p>
            <w:pP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rPr>
              <w:t>3、投标单位应在投标文件中提供农业部备案的兽药注册目录，质量标准、说明书和标签。</w:t>
            </w:r>
          </w:p>
          <w:p>
            <w:pPr>
              <w:rPr>
                <w:rFonts w:hint="eastAsia" w:ascii="仿宋" w:hAnsi="仿宋" w:eastAsia="仿宋" w:cs="仿宋"/>
                <w:b/>
                <w:bCs/>
                <w:color w:val="auto"/>
                <w:sz w:val="18"/>
                <w:szCs w:val="18"/>
                <w:highlight w:val="none"/>
                <w:vertAlign w:val="baseline"/>
              </w:rPr>
            </w:pPr>
            <w:r>
              <w:rPr>
                <w:rFonts w:hint="eastAsia" w:ascii="仿宋" w:hAnsi="仿宋" w:eastAsia="仿宋" w:cs="仿宋"/>
                <w:b/>
                <w:bCs/>
                <w:color w:val="auto"/>
                <w:sz w:val="24"/>
                <w:szCs w:val="24"/>
                <w:highlight w:val="none"/>
                <w:vertAlign w:val="baseline"/>
              </w:rPr>
              <w:t>4、招标之前或之后，如遇农业农村部政策调整，有关疫苗毒株变更，相应产品直接变更。</w:t>
            </w:r>
          </w:p>
        </w:tc>
      </w:tr>
    </w:tbl>
    <w:p>
      <w:pPr>
        <w:widowControl/>
        <w:spacing w:line="24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供货服务要求</w:t>
      </w:r>
    </w:p>
    <w:p>
      <w:pPr>
        <w:tabs>
          <w:tab w:val="center" w:pos="4832"/>
          <w:tab w:val="left" w:pos="7140"/>
        </w:tabs>
        <w:spacing w:line="240" w:lineRule="auto"/>
        <w:jc w:val="left"/>
        <w:outlineLvl w:val="2"/>
        <w:rPr>
          <w:rFonts w:hint="eastAsia" w:ascii="仿宋" w:hAnsi="仿宋" w:eastAsia="仿宋" w:cs="仿宋"/>
          <w:b/>
          <w:bCs/>
          <w:color w:val="auto"/>
          <w:kern w:val="0"/>
          <w:sz w:val="24"/>
          <w:szCs w:val="24"/>
          <w:highlight w:val="none"/>
        </w:rPr>
      </w:pPr>
      <w:bookmarkStart w:id="85" w:name="_Toc26951"/>
      <w:bookmarkStart w:id="86" w:name="_Toc17208"/>
      <w:bookmarkStart w:id="87" w:name="_Toc18492"/>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.1供货期、地点、运输方式及验收方式</w:t>
      </w:r>
      <w:bookmarkEnd w:id="85"/>
      <w:bookmarkEnd w:id="86"/>
      <w:bookmarkEnd w:id="87"/>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.1.1 供货期：按照甲乙双方签订的合同日期执行</w:t>
      </w:r>
    </w:p>
    <w:p>
      <w:pPr>
        <w:spacing w:line="24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.1.2 供货地点：</w:t>
      </w:r>
      <w:r>
        <w:rPr>
          <w:rFonts w:hint="eastAsia" w:ascii="仿宋" w:hAnsi="仿宋" w:eastAsia="仿宋" w:cs="仿宋"/>
          <w:b/>
          <w:bCs/>
          <w:color w:val="auto"/>
          <w:kern w:val="0"/>
          <w:sz w:val="24"/>
          <w:szCs w:val="24"/>
          <w:highlight w:val="none"/>
        </w:rPr>
        <w:t>采购方指定地点</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.1.3 运输要求：由中标企业（以下简称乙方）通过冷链运输疫苗，送至采购人指定地点，专用疫苗冷链运输，必须有连续温度监控仪，内包装有泡沫保温箱、外包装使用纸箱，供货后必须向收货方和采购方提供出库单据、与实物相对应批号的兽用生物制品生产与中监所的批签发报告和温度监控记录表。</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.1.4 验收方式</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⑴乙方必须保证所供应疫苗有效期应满足甲方要求（详见：“招标项目技术需求”中的“主要技术参数”）。</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⑵甲方按质量标准和疫苗的具体要求，对所有疫苗进行逐件核验（包装、产品名称、文号、批号、商标、规格、生产日期、失效日期、贮存条件、防伪标识、作用与用途、用法与用量、企业名称、批签发报告、运输过程中温度监控记录等）。甲方经核验发现该批货物不符合具体要求的，于到货之日起5个工作日内电话或书面通知乙方并退回该批疫苗，所产生的费用由乙方负责。</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⑶产品说明书内注意事项与瓶签说明必须一致。</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⑷在甲方查验货物时如数量少于定货数量，以甲方实际收到的数量为准，按甲方要求决定是否补发；如数量多于定货数量，由甲方根据需要决定接受或退货。</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⑸疫苗在运输过程中出现的破损或失效由乙方负责。</w:t>
      </w:r>
    </w:p>
    <w:p>
      <w:pPr>
        <w:tabs>
          <w:tab w:val="center" w:pos="4832"/>
          <w:tab w:val="left" w:pos="7140"/>
        </w:tabs>
        <w:spacing w:line="240" w:lineRule="auto"/>
        <w:jc w:val="left"/>
        <w:outlineLvl w:val="2"/>
        <w:rPr>
          <w:rFonts w:hint="eastAsia" w:ascii="仿宋" w:hAnsi="仿宋" w:eastAsia="仿宋" w:cs="仿宋"/>
          <w:b/>
          <w:bCs/>
          <w:color w:val="auto"/>
          <w:kern w:val="0"/>
          <w:sz w:val="24"/>
          <w:szCs w:val="24"/>
          <w:highlight w:val="none"/>
        </w:rPr>
      </w:pPr>
      <w:bookmarkStart w:id="88" w:name="_Toc8866"/>
      <w:bookmarkStart w:id="89" w:name="_Toc28983"/>
      <w:bookmarkStart w:id="90" w:name="_Toc16729"/>
      <w:bookmarkStart w:id="91" w:name="_Toc27018_WPSOffice_Level1"/>
      <w:bookmarkStart w:id="92" w:name="_Toc439255246"/>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.2 质量责任</w:t>
      </w:r>
      <w:bookmarkEnd w:id="88"/>
      <w:bookmarkEnd w:id="89"/>
      <w:bookmarkEnd w:id="90"/>
    </w:p>
    <w:bookmarkEnd w:id="91"/>
    <w:bookmarkEnd w:id="92"/>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.2.1 投标人保证所投标产品应是最新或最佳的原材料生产，完全符合国家标准规定的质量、性能和技术规格（疫苗包括包装上印刷的产品名称、文号、批号、商标、规格、生产日期、失效日期、贮存条件、防伪标识、作用与用途、用法与用量、企业名称、批签发报告、运输过程中温度监控记录等。保证在疫苗在低温贮藏条件下运送，在投标文件中承诺的质量保证期内对任何质量问题负责，甲方有权对乙方提供的产品作质量检验，经检测不合格的，将终止合同并追究其相应责任（检测费用由乙方支付）。</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.2.2 在使用疫苗过程中出现的苗源反应引起的畜禽</w:t>
      </w:r>
      <w:r>
        <w:rPr>
          <w:rFonts w:hint="eastAsia" w:ascii="仿宋" w:hAnsi="仿宋" w:eastAsia="仿宋" w:cs="仿宋"/>
          <w:b/>
          <w:bCs/>
          <w:color w:val="auto"/>
          <w:sz w:val="24"/>
          <w:szCs w:val="24"/>
          <w:highlight w:val="none"/>
          <w:lang w:val="en-US" w:eastAsia="zh-CN"/>
        </w:rPr>
        <w:t>流产、</w:t>
      </w:r>
      <w:r>
        <w:rPr>
          <w:rFonts w:hint="eastAsia" w:ascii="仿宋" w:hAnsi="仿宋" w:eastAsia="仿宋" w:cs="仿宋"/>
          <w:b/>
          <w:bCs/>
          <w:color w:val="auto"/>
          <w:sz w:val="24"/>
          <w:szCs w:val="24"/>
          <w:highlight w:val="none"/>
        </w:rPr>
        <w:t>死亡或因免疫失败而导致疫情暴发的均由乙方负责处理，并且对造成的损失给予经济赔偿。</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⑴因注射疫苗引起的畜禽副反应</w:t>
      </w:r>
      <w:r>
        <w:rPr>
          <w:rFonts w:hint="eastAsia" w:ascii="仿宋" w:hAnsi="仿宋" w:eastAsia="仿宋" w:cs="仿宋"/>
          <w:b/>
          <w:bCs/>
          <w:color w:val="auto"/>
          <w:sz w:val="24"/>
          <w:szCs w:val="24"/>
          <w:highlight w:val="none"/>
          <w:lang w:val="en-US" w:eastAsia="zh-CN"/>
        </w:rPr>
        <w:t>流产</w:t>
      </w:r>
      <w:r>
        <w:rPr>
          <w:rFonts w:hint="eastAsia" w:ascii="仿宋" w:hAnsi="仿宋" w:eastAsia="仿宋" w:cs="仿宋"/>
          <w:b/>
          <w:bCs/>
          <w:color w:val="auto"/>
          <w:sz w:val="24"/>
          <w:szCs w:val="24"/>
          <w:highlight w:val="none"/>
        </w:rPr>
        <w:t>或死亡，经双方联合调查确认后，由乙方负责对造成的损失给予赔偿。</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⑵在规定的免疫保护期内，免疫后的动物又发生疫情时，乙方接到甲方电话或传真通知后，要及时派专业技术人员到达现场调查核实实际情况，由乙方负责承担一切经济损失以及全部费用。</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⑶甲方在疫苗的使用过程中，发现疫苗的副反应大或免疫效果差，甲方可根据情况调整采购比例；情况严重的，甲方有权停止采购该中标产品，将库存疫苗做退货处理，其采购合同未执行数量由其余供货服务商履行，由于疫苗副反应大或免疫效果差造成的经济损失，由乙方承担责任。</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⑷若在疫苗的使用过程中，发现乙方所提供的全部产品出现质量问题，甲方有权停止采购该分包的产品，并将相关情况上报给采购计划主管部门和农业农村部备案，终止该乙方的采购合同，并追究其违约责任。</w:t>
      </w:r>
    </w:p>
    <w:p>
      <w:pPr>
        <w:tabs>
          <w:tab w:val="center" w:pos="4832"/>
          <w:tab w:val="left" w:pos="7140"/>
        </w:tabs>
        <w:spacing w:line="240" w:lineRule="auto"/>
        <w:jc w:val="left"/>
        <w:outlineLvl w:val="2"/>
        <w:rPr>
          <w:rFonts w:hint="eastAsia" w:ascii="仿宋" w:hAnsi="仿宋" w:eastAsia="仿宋" w:cs="仿宋"/>
          <w:b/>
          <w:bCs/>
          <w:color w:val="auto"/>
          <w:kern w:val="0"/>
          <w:sz w:val="24"/>
          <w:szCs w:val="24"/>
          <w:highlight w:val="none"/>
        </w:rPr>
      </w:pPr>
      <w:bookmarkStart w:id="93" w:name="_Toc24342"/>
      <w:bookmarkStart w:id="94" w:name="_Toc10385"/>
      <w:bookmarkStart w:id="95" w:name="_Toc16176"/>
      <w:bookmarkStart w:id="96" w:name="_Toc267320050"/>
      <w:bookmarkStart w:id="97" w:name="_Toc439255248"/>
      <w:bookmarkStart w:id="98" w:name="_Toc7742_WPSOffice_Level1"/>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.3质量保证</w:t>
      </w:r>
      <w:bookmarkEnd w:id="93"/>
      <w:bookmarkEnd w:id="94"/>
      <w:r>
        <w:rPr>
          <w:rFonts w:hint="eastAsia" w:ascii="仿宋" w:hAnsi="仿宋" w:eastAsia="仿宋" w:cs="仿宋"/>
          <w:b/>
          <w:bCs/>
          <w:color w:val="auto"/>
          <w:sz w:val="24"/>
          <w:szCs w:val="24"/>
          <w:highlight w:val="none"/>
        </w:rPr>
        <w:t>及售后服务</w:t>
      </w:r>
      <w:bookmarkEnd w:id="95"/>
    </w:p>
    <w:bookmarkEnd w:id="96"/>
    <w:bookmarkEnd w:id="97"/>
    <w:bookmarkEnd w:id="98"/>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 xml:space="preserve">.3.1 培训：采购方根据供货服务商的承诺，协商免费培训时间、地点及方式，使采购人的使用人员能够正常操作相关设备。 </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.3.2 优惠承诺：按照投标人承诺为准。</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.3.3 投标人需要其他详细阐明的：</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⑴所投货物的免费质量保证期：按生产商及国家有关规定。</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⑵质保期内服务基本要求：</w:t>
      </w:r>
    </w:p>
    <w:p>
      <w:pPr>
        <w:spacing w:line="24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①交货时采购人对产品进行抽检，发现产品有沉淀、混浊、变色、分层等现象，采购人拒收，并要求中标人重新发货。并承担所有费用，更换疫苗到达最终用户地不得超过24小时。</w:t>
      </w:r>
    </w:p>
    <w:p>
      <w:pPr>
        <w:spacing w:line="24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②供货服务商在疫苗质保期内保证疫苗的质量，在有效期内对因检定表明是疫苗质量引起的任何缺陷，实施更换和其它补偿。</w:t>
      </w:r>
    </w:p>
    <w:p>
      <w:pPr>
        <w:spacing w:line="24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交货时疫苗有效期不得低于中标人在投标文件中承诺的有效期时长，且包装规格必须与投标文件承诺一致，疫苗的供货有效期有效（详见：“招标项目技术标准和服务要求”中的“主要技术参数”中的具体要求）否则采购人拒收，并要求中标人重新发货。</w:t>
      </w:r>
    </w:p>
    <w:p>
      <w:pPr>
        <w:spacing w:line="24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④交货时需提供产品出厂合格证、使用说明书和中国兽医药品监察所对该批产品的批签发报告扫描件。质保期内供货服务商接到甲方产品出现问题的通知后，至少满足24小时内到达产品使用现场，进行处理。除不可抗力和使用方责任外，费用全部由乙方承担。质保期内产品质量经权威机构鉴定不符合质量要求的，按合同约定承担违约责任，供货服务商应及时收回不合格产品，所产生的费用由中标人自行负责，采购方立即停止合同。</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⑶质保期外服务基本要求：</w:t>
      </w:r>
    </w:p>
    <w:p>
      <w:pPr>
        <w:spacing w:line="24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供货服务商接到使用方产品出现问题的通知后，24小时内到达产品现场，进行处理，并提供预防接种异常反应处理方案。</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 xml:space="preserve">.3.4 售后服务和技术支持要求 </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⑴送货地点为</w:t>
      </w:r>
      <w:r>
        <w:rPr>
          <w:rFonts w:hint="eastAsia" w:ascii="仿宋" w:hAnsi="仿宋" w:eastAsia="仿宋" w:cs="仿宋"/>
          <w:b/>
          <w:bCs/>
          <w:color w:val="auto"/>
          <w:kern w:val="0"/>
          <w:sz w:val="24"/>
          <w:szCs w:val="24"/>
          <w:highlight w:val="none"/>
        </w:rPr>
        <w:t>采购人指定地点</w:t>
      </w:r>
      <w:r>
        <w:rPr>
          <w:rFonts w:hint="eastAsia" w:ascii="仿宋" w:hAnsi="仿宋" w:eastAsia="仿宋" w:cs="仿宋"/>
          <w:b/>
          <w:bCs/>
          <w:color w:val="auto"/>
          <w:sz w:val="24"/>
          <w:szCs w:val="24"/>
          <w:highlight w:val="none"/>
        </w:rPr>
        <w:t>。</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⑵供货服务商免费提供技术咨询和相关宣传资料。如采购方需要，供货服务商应免费开展相关疫苗实验、检测、培训等，一切费用由中标企业承担。</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⑶ 疫苗免疫造成畜禽</w:t>
      </w:r>
      <w:r>
        <w:rPr>
          <w:rFonts w:hint="eastAsia" w:ascii="仿宋" w:hAnsi="仿宋" w:eastAsia="仿宋" w:cs="仿宋"/>
          <w:b/>
          <w:bCs/>
          <w:color w:val="auto"/>
          <w:sz w:val="24"/>
          <w:szCs w:val="24"/>
          <w:highlight w:val="none"/>
          <w:lang w:val="en-US" w:eastAsia="zh-CN"/>
        </w:rPr>
        <w:t>流产</w:t>
      </w:r>
      <w:r>
        <w:rPr>
          <w:rFonts w:hint="eastAsia" w:ascii="仿宋" w:hAnsi="仿宋" w:eastAsia="仿宋" w:cs="仿宋"/>
          <w:b/>
          <w:bCs/>
          <w:color w:val="auto"/>
          <w:sz w:val="24"/>
          <w:szCs w:val="24"/>
          <w:highlight w:val="none"/>
        </w:rPr>
        <w:t>副反应</w:t>
      </w:r>
      <w:r>
        <w:rPr>
          <w:rFonts w:hint="eastAsia" w:ascii="仿宋" w:hAnsi="仿宋" w:eastAsia="仿宋" w:cs="仿宋"/>
          <w:b/>
          <w:bCs/>
          <w:color w:val="auto"/>
          <w:sz w:val="24"/>
          <w:szCs w:val="24"/>
          <w:highlight w:val="none"/>
          <w:lang w:val="en-US" w:eastAsia="zh-CN"/>
        </w:rPr>
        <w:t>流产</w:t>
      </w:r>
      <w:r>
        <w:rPr>
          <w:rFonts w:hint="eastAsia" w:ascii="仿宋" w:hAnsi="仿宋" w:eastAsia="仿宋" w:cs="仿宋"/>
          <w:b/>
          <w:bCs/>
          <w:color w:val="auto"/>
          <w:sz w:val="24"/>
          <w:szCs w:val="24"/>
          <w:highlight w:val="none"/>
        </w:rPr>
        <w:t>、死亡或经济损失的，中标企业无条件及时派人调查或参加由供需双方组成的联合调查小组进行调查。经调查认定或经国家权威部门鉴定，确认是因疫苗质量引起的损失，由中标人负责给予补偿。</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⑷ 如因免疫失败，导致疫情暴发，双方会同有关部门组成调查组查清原因，经权威部门确认是由产品质量原因造成的，中标企业应承担扑疫经费，并赔偿相应的经济损失。</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⑸详细售后服务内容见本章节部分。如投标人有更优质的服务内容，以投标人承诺的服务内容为准。</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3.3.5 以上内容及“项目技术规格、数量及技术要求”中的商务要求投标人必须在投标文件上清楚阐明。如投标人有更优质的服务内容，以投标人承诺的服务内容为准。</w:t>
      </w:r>
    </w:p>
    <w:p>
      <w:pPr>
        <w:tabs>
          <w:tab w:val="center" w:pos="4832"/>
          <w:tab w:val="left" w:pos="7140"/>
        </w:tabs>
        <w:spacing w:line="240" w:lineRule="auto"/>
        <w:jc w:val="left"/>
        <w:outlineLvl w:val="2"/>
        <w:rPr>
          <w:rFonts w:hint="eastAsia" w:ascii="仿宋" w:hAnsi="仿宋" w:eastAsia="仿宋" w:cs="仿宋"/>
          <w:b/>
          <w:bCs/>
          <w:color w:val="auto"/>
          <w:kern w:val="0"/>
          <w:sz w:val="24"/>
          <w:szCs w:val="24"/>
          <w:highlight w:val="none"/>
        </w:rPr>
      </w:pPr>
      <w:bookmarkStart w:id="99" w:name="_Toc18005"/>
      <w:bookmarkStart w:id="100" w:name="_Toc7577"/>
      <w:bookmarkStart w:id="101" w:name="_Toc24187"/>
      <w:bookmarkStart w:id="102" w:name="_Toc439255249"/>
      <w:bookmarkStart w:id="103" w:name="_Toc267320051"/>
      <w:bookmarkStart w:id="104" w:name="_Toc13600_WPSOffice_Level1"/>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.4付款方式</w:t>
      </w:r>
      <w:bookmarkEnd w:id="99"/>
      <w:bookmarkEnd w:id="100"/>
      <w:bookmarkEnd w:id="101"/>
    </w:p>
    <w:bookmarkEnd w:id="102"/>
    <w:bookmarkEnd w:id="103"/>
    <w:bookmarkEnd w:id="104"/>
    <w:p>
      <w:pPr>
        <w:spacing w:line="240" w:lineRule="auto"/>
        <w:ind w:firstLine="482" w:firstLineChars="200"/>
        <w:rPr>
          <w:rFonts w:hint="eastAsia" w:ascii="仿宋" w:hAnsi="仿宋" w:eastAsia="仿宋" w:cs="仿宋"/>
          <w:b/>
          <w:bCs/>
          <w:color w:val="auto"/>
          <w:sz w:val="24"/>
          <w:szCs w:val="24"/>
          <w:highlight w:val="none"/>
        </w:rPr>
      </w:pPr>
      <w:bookmarkStart w:id="105" w:name="_Toc439255250"/>
      <w:bookmarkStart w:id="106" w:name="_Toc267320052"/>
      <w:r>
        <w:rPr>
          <w:rFonts w:hint="eastAsia" w:ascii="仿宋" w:hAnsi="仿宋" w:eastAsia="仿宋" w:cs="仿宋"/>
          <w:b/>
          <w:bCs/>
          <w:color w:val="auto"/>
          <w:sz w:val="24"/>
          <w:szCs w:val="24"/>
          <w:highlight w:val="none"/>
        </w:rPr>
        <w:t>采购方一次性向有关部门申请核拨应付款。若有关部门因各种原因延期付款，则甲方不负任何责任。</w:t>
      </w:r>
    </w:p>
    <w:p>
      <w:pPr>
        <w:tabs>
          <w:tab w:val="center" w:pos="4832"/>
          <w:tab w:val="left" w:pos="7140"/>
        </w:tabs>
        <w:spacing w:line="240" w:lineRule="auto"/>
        <w:jc w:val="left"/>
        <w:outlineLvl w:val="2"/>
        <w:rPr>
          <w:rFonts w:hint="eastAsia" w:ascii="仿宋" w:hAnsi="仿宋" w:eastAsia="仿宋" w:cs="仿宋"/>
          <w:b/>
          <w:bCs/>
          <w:color w:val="auto"/>
          <w:kern w:val="0"/>
          <w:sz w:val="24"/>
          <w:szCs w:val="24"/>
          <w:highlight w:val="none"/>
        </w:rPr>
      </w:pPr>
      <w:bookmarkStart w:id="107" w:name="_Toc8238"/>
      <w:bookmarkStart w:id="108" w:name="_Toc16945"/>
      <w:bookmarkStart w:id="109" w:name="_Toc31012"/>
      <w:bookmarkStart w:id="110" w:name="_Toc6208_WPSOffice_Level1"/>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.5知识产权</w:t>
      </w:r>
      <w:bookmarkEnd w:id="107"/>
      <w:bookmarkEnd w:id="108"/>
      <w:bookmarkEnd w:id="109"/>
    </w:p>
    <w:bookmarkEnd w:id="105"/>
    <w:bookmarkEnd w:id="106"/>
    <w:bookmarkEnd w:id="110"/>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tabs>
          <w:tab w:val="center" w:pos="4832"/>
          <w:tab w:val="left" w:pos="7140"/>
        </w:tabs>
        <w:spacing w:line="240" w:lineRule="auto"/>
        <w:jc w:val="left"/>
        <w:outlineLvl w:val="2"/>
        <w:rPr>
          <w:rFonts w:hint="eastAsia" w:ascii="仿宋" w:hAnsi="仿宋" w:eastAsia="仿宋" w:cs="仿宋"/>
          <w:b/>
          <w:bCs/>
          <w:color w:val="auto"/>
          <w:kern w:val="0"/>
          <w:sz w:val="24"/>
          <w:szCs w:val="24"/>
          <w:highlight w:val="none"/>
        </w:rPr>
      </w:pPr>
      <w:bookmarkStart w:id="111" w:name="_Toc17147"/>
      <w:bookmarkStart w:id="112" w:name="_Toc7598"/>
      <w:bookmarkStart w:id="113" w:name="_Toc20832"/>
      <w:bookmarkStart w:id="114" w:name="_Toc267320054"/>
      <w:bookmarkStart w:id="115" w:name="_Toc12840_WPSOffice_Level1"/>
      <w:bookmarkStart w:id="116" w:name="_Toc439255252"/>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.6其他</w:t>
      </w:r>
      <w:bookmarkEnd w:id="111"/>
      <w:bookmarkEnd w:id="112"/>
      <w:bookmarkEnd w:id="113"/>
    </w:p>
    <w:bookmarkEnd w:id="114"/>
    <w:bookmarkEnd w:id="115"/>
    <w:bookmarkEnd w:id="116"/>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.6.1 投标人必须在投标文件中对以上条款和服务承诺明确列出，承诺内容必须达到本篇及招标文件其他条款的要求。</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.6.2 中标人与采购人签订《协议》后，须与用户方签订《疫苗采购供应合同》（包括供货范围、需求数量、单价等），明确具体供货数量、供货时间、送达地点等内容。</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.6.3 其他未尽事宜由供需双方在采购合同中详细约定。</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.6.4 若供货服务商不能按招标文件规定的交货期正常交货，采购方有权终止采购合同，并将相关情况上报给采购计划主管部门，取消其中标资格。</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.6.5 采购方根据国家免疫政策调整情况，享有本次采购疫苗品种、类别、数量调整的权利。</w:t>
      </w:r>
    </w:p>
    <w:p>
      <w:pPr>
        <w:spacing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.6.6 采购方有权对供货服务商供应的每一个批次的产品进行产品质量的实验室抽检和免疫效果评价，经检测和评价不符合国家相关标准和要求的，立即对产品进行退货、中止合同且上报监督部门对其进行处罚。</w:t>
      </w:r>
    </w:p>
    <w:p>
      <w:pPr>
        <w:pStyle w:val="26"/>
        <w:rPr>
          <w:rFonts w:hint="eastAsia" w:ascii="仿宋" w:hAnsi="仿宋" w:eastAsia="仿宋" w:cs="仿宋"/>
          <w:color w:val="auto"/>
          <w:highlight w:val="none"/>
        </w:rPr>
      </w:pPr>
    </w:p>
    <w:p>
      <w:pPr>
        <w:rPr>
          <w:rFonts w:hint="eastAsia" w:ascii="仿宋" w:hAnsi="仿宋" w:eastAsia="仿宋" w:cs="仿宋"/>
          <w:b/>
          <w:bCs/>
          <w:color w:val="auto"/>
          <w:sz w:val="48"/>
          <w:szCs w:val="56"/>
          <w:highlight w:val="none"/>
        </w:rPr>
      </w:pPr>
      <w:r>
        <w:rPr>
          <w:rFonts w:hint="eastAsia" w:ascii="仿宋" w:hAnsi="仿宋" w:eastAsia="仿宋" w:cs="仿宋"/>
          <w:b/>
          <w:bCs/>
          <w:color w:val="auto"/>
          <w:sz w:val="48"/>
          <w:szCs w:val="56"/>
          <w:highlight w:val="none"/>
        </w:rPr>
        <w:br w:type="page"/>
      </w:r>
    </w:p>
    <w:p>
      <w:pPr>
        <w:spacing w:line="360" w:lineRule="auto"/>
        <w:jc w:val="center"/>
        <w:outlineLvl w:val="0"/>
        <w:rPr>
          <w:rFonts w:hint="eastAsia" w:ascii="仿宋" w:hAnsi="仿宋" w:eastAsia="仿宋" w:cs="仿宋"/>
          <w:color w:val="auto"/>
          <w:highlight w:val="none"/>
        </w:rPr>
      </w:pPr>
      <w:r>
        <w:rPr>
          <w:rFonts w:hint="eastAsia" w:ascii="仿宋" w:hAnsi="仿宋" w:eastAsia="仿宋" w:cs="仿宋"/>
          <w:b/>
          <w:bCs/>
          <w:color w:val="auto"/>
          <w:sz w:val="48"/>
          <w:szCs w:val="56"/>
          <w:highlight w:val="none"/>
        </w:rPr>
        <w:t>第</w:t>
      </w:r>
      <w:r>
        <w:rPr>
          <w:rFonts w:hint="eastAsia" w:ascii="仿宋" w:hAnsi="仿宋" w:eastAsia="仿宋" w:cs="仿宋"/>
          <w:b/>
          <w:bCs/>
          <w:color w:val="auto"/>
          <w:sz w:val="48"/>
          <w:szCs w:val="56"/>
          <w:highlight w:val="none"/>
          <w:lang w:val="en-US" w:eastAsia="zh-CN"/>
        </w:rPr>
        <w:t>五</w:t>
      </w:r>
      <w:r>
        <w:rPr>
          <w:rFonts w:hint="eastAsia" w:ascii="仿宋" w:hAnsi="仿宋" w:eastAsia="仿宋" w:cs="仿宋"/>
          <w:b/>
          <w:bCs/>
          <w:color w:val="auto"/>
          <w:sz w:val="48"/>
          <w:szCs w:val="56"/>
          <w:highlight w:val="none"/>
        </w:rPr>
        <w:t xml:space="preserve">章   </w:t>
      </w:r>
      <w:bookmarkEnd w:id="72"/>
      <w:bookmarkEnd w:id="73"/>
      <w:r>
        <w:rPr>
          <w:rFonts w:hint="eastAsia" w:ascii="仿宋" w:hAnsi="仿宋" w:eastAsia="仿宋" w:cs="仿宋"/>
          <w:b/>
          <w:bCs/>
          <w:color w:val="auto"/>
          <w:sz w:val="48"/>
          <w:szCs w:val="56"/>
          <w:highlight w:val="none"/>
          <w:lang w:eastAsia="zh-CN"/>
        </w:rPr>
        <w:t>采购合同范本</w:t>
      </w:r>
      <w:r>
        <w:rPr>
          <w:rFonts w:hint="eastAsia" w:ascii="仿宋" w:hAnsi="仿宋" w:eastAsia="仿宋" w:cs="仿宋"/>
          <w:b/>
          <w:bCs/>
          <w:color w:val="auto"/>
          <w:sz w:val="48"/>
          <w:szCs w:val="56"/>
          <w:highlight w:val="none"/>
        </w:rPr>
        <w:t>（仅供参考）</w:t>
      </w:r>
      <w:bookmarkEnd w:id="74"/>
      <w:bookmarkEnd w:id="75"/>
      <w:bookmarkEnd w:id="76"/>
      <w:bookmarkEnd w:id="77"/>
      <w:bookmarkEnd w:id="78"/>
      <w:bookmarkEnd w:id="79"/>
      <w:bookmarkEnd w:id="80"/>
      <w:bookmarkEnd w:id="81"/>
      <w:bookmarkEnd w:id="82"/>
      <w:bookmarkEnd w:id="83"/>
      <w:bookmarkEnd w:id="84"/>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bookmarkStart w:id="117" w:name="_Toc25217"/>
      <w:bookmarkStart w:id="118" w:name="_Toc29040"/>
      <w:bookmarkStart w:id="119" w:name="_Toc381970843"/>
      <w:bookmarkStart w:id="120" w:name="_Toc17546"/>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合同书</w:t>
      </w: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w:t>
      </w: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签订地：                                     </w:t>
      </w:r>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年       月       日</w:t>
      </w:r>
    </w:p>
    <w:p>
      <w:pPr>
        <w:widowControl/>
        <w:tabs>
          <w:tab w:val="left" w:pos="724"/>
        </w:tabs>
        <w:spacing w:line="460" w:lineRule="exact"/>
        <w:jc w:val="left"/>
        <w:rPr>
          <w:rFonts w:hint="eastAsia" w:ascii="仿宋" w:hAnsi="仿宋" w:eastAsia="仿宋" w:cs="仿宋"/>
          <w:color w:val="auto"/>
          <w:sz w:val="24"/>
          <w:szCs w:val="24"/>
          <w:highlight w:val="none"/>
        </w:rPr>
        <w:sectPr>
          <w:headerReference r:id="rId3" w:type="default"/>
          <w:footerReference r:id="rId4"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（政府采购方式）  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（同前页项目名称）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项目进行了采购。经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（相关评定主体名称）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（中标供应商名称）为该项目中标供应商。现于中标通知书发出之日起三十日内，按照采购文件确定的事项签订本合同。</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（中标供应商名称）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widowControl/>
        <w:tabs>
          <w:tab w:val="left" w:pos="724"/>
        </w:tabs>
        <w:spacing w:line="460" w:lineRule="exact"/>
        <w:jc w:val="left"/>
        <w:rPr>
          <w:rFonts w:hint="eastAsia" w:ascii="仿宋" w:hAnsi="仿宋" w:eastAsia="仿宋" w:cs="仿宋"/>
          <w:color w:val="auto"/>
          <w:sz w:val="24"/>
          <w:szCs w:val="24"/>
          <w:highlight w:val="none"/>
        </w:rPr>
      </w:pPr>
      <w:bookmarkStart w:id="121" w:name="_Toc3029"/>
      <w:bookmarkStart w:id="122" w:name="_Toc2232"/>
      <w:bookmarkStart w:id="123" w:name="_Toc24059"/>
      <w:r>
        <w:rPr>
          <w:rFonts w:hint="eastAsia" w:ascii="仿宋" w:hAnsi="仿宋" w:eastAsia="仿宋" w:cs="仿宋"/>
          <w:color w:val="auto"/>
          <w:sz w:val="24"/>
          <w:szCs w:val="24"/>
          <w:highlight w:val="none"/>
        </w:rPr>
        <w:t>1.1 合同组成部分</w:t>
      </w:r>
      <w:bookmarkEnd w:id="121"/>
      <w:bookmarkEnd w:id="122"/>
      <w:bookmarkEnd w:id="123"/>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（含澄清或者修改文件）；</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widowControl/>
        <w:tabs>
          <w:tab w:val="left" w:pos="724"/>
        </w:tabs>
        <w:spacing w:line="460" w:lineRule="exact"/>
        <w:jc w:val="left"/>
        <w:rPr>
          <w:rFonts w:hint="eastAsia" w:ascii="仿宋" w:hAnsi="仿宋" w:eastAsia="仿宋" w:cs="仿宋"/>
          <w:color w:val="auto"/>
          <w:sz w:val="24"/>
          <w:szCs w:val="24"/>
          <w:highlight w:val="none"/>
        </w:rPr>
      </w:pPr>
      <w:bookmarkStart w:id="124" w:name="_Toc24300"/>
      <w:bookmarkStart w:id="125" w:name="_Toc27126"/>
      <w:bookmarkStart w:id="126" w:name="_Toc21295"/>
      <w:r>
        <w:rPr>
          <w:rFonts w:hint="eastAsia" w:ascii="仿宋" w:hAnsi="仿宋" w:eastAsia="仿宋" w:cs="仿宋"/>
          <w:color w:val="auto"/>
          <w:sz w:val="24"/>
          <w:szCs w:val="24"/>
          <w:highlight w:val="none"/>
        </w:rPr>
        <w:t>1.2 货物</w:t>
      </w:r>
      <w:bookmarkEnd w:id="124"/>
      <w:bookmarkEnd w:id="125"/>
      <w:bookmarkEnd w:id="126"/>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1.2.1 货物名称：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1.2.2 货物数量：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1.2.3 货物质量：　　　　　　　　　                      　      </w:t>
      </w:r>
    </w:p>
    <w:p>
      <w:pPr>
        <w:widowControl/>
        <w:tabs>
          <w:tab w:val="left" w:pos="724"/>
        </w:tabs>
        <w:spacing w:line="460" w:lineRule="exact"/>
        <w:jc w:val="left"/>
        <w:rPr>
          <w:rFonts w:hint="eastAsia" w:ascii="仿宋" w:hAnsi="仿宋" w:eastAsia="仿宋" w:cs="仿宋"/>
          <w:color w:val="auto"/>
          <w:sz w:val="24"/>
          <w:szCs w:val="24"/>
          <w:highlight w:val="none"/>
        </w:rPr>
      </w:pPr>
      <w:bookmarkStart w:id="127" w:name="_Toc21551"/>
      <w:bookmarkStart w:id="128" w:name="_Toc21631"/>
      <w:bookmarkStart w:id="129" w:name="_Toc23292"/>
      <w:r>
        <w:rPr>
          <w:rFonts w:hint="eastAsia" w:ascii="仿宋" w:hAnsi="仿宋" w:eastAsia="仿宋" w:cs="仿宋"/>
          <w:color w:val="auto"/>
          <w:sz w:val="24"/>
          <w:szCs w:val="24"/>
          <w:highlight w:val="none"/>
        </w:rPr>
        <w:t>1.3 价款</w:t>
      </w:r>
      <w:bookmarkEnd w:id="127"/>
      <w:bookmarkEnd w:id="128"/>
      <w:bookmarkEnd w:id="129"/>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bl>
      <w:tblPr>
        <w:tblStyle w:val="4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4089"/>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44"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89"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067"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44"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4089"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3067"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44"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4089"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3067"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533" w:type="dxa"/>
            <w:gridSpan w:val="2"/>
            <w:vAlign w:val="center"/>
          </w:tcPr>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067"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r>
    </w:tbl>
    <w:p>
      <w:pPr>
        <w:widowControl/>
        <w:tabs>
          <w:tab w:val="left" w:pos="724"/>
        </w:tabs>
        <w:spacing w:line="460" w:lineRule="exact"/>
        <w:jc w:val="left"/>
        <w:rPr>
          <w:rFonts w:hint="eastAsia" w:ascii="仿宋" w:hAnsi="仿宋" w:eastAsia="仿宋" w:cs="仿宋"/>
          <w:color w:val="auto"/>
          <w:sz w:val="24"/>
          <w:szCs w:val="24"/>
          <w:highlight w:val="none"/>
        </w:rPr>
      </w:pPr>
      <w:bookmarkStart w:id="130" w:name="_Toc1814"/>
      <w:bookmarkStart w:id="131" w:name="_Toc10340"/>
      <w:bookmarkStart w:id="132" w:name="_Toc22618"/>
      <w:r>
        <w:rPr>
          <w:rFonts w:hint="eastAsia" w:ascii="仿宋" w:hAnsi="仿宋" w:eastAsia="仿宋" w:cs="仿宋"/>
          <w:color w:val="auto"/>
          <w:sz w:val="24"/>
          <w:szCs w:val="24"/>
          <w:highlight w:val="none"/>
        </w:rPr>
        <w:t>1.4 付款方式和发票开具方式</w:t>
      </w:r>
      <w:bookmarkEnd w:id="130"/>
      <w:bookmarkEnd w:id="131"/>
      <w:bookmarkEnd w:id="132"/>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付款方式：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1.4.2 发票开具方式：                                            </w:t>
      </w:r>
    </w:p>
    <w:p>
      <w:pPr>
        <w:widowControl/>
        <w:tabs>
          <w:tab w:val="left" w:pos="724"/>
        </w:tabs>
        <w:spacing w:line="460" w:lineRule="exact"/>
        <w:jc w:val="left"/>
        <w:rPr>
          <w:rFonts w:hint="eastAsia" w:ascii="仿宋" w:hAnsi="仿宋" w:eastAsia="仿宋" w:cs="仿宋"/>
          <w:color w:val="auto"/>
          <w:sz w:val="24"/>
          <w:szCs w:val="24"/>
          <w:highlight w:val="none"/>
        </w:rPr>
      </w:pPr>
      <w:bookmarkStart w:id="133" w:name="_Toc2846"/>
      <w:bookmarkStart w:id="134" w:name="_Toc19304"/>
      <w:bookmarkStart w:id="135" w:name="_Toc32071"/>
      <w:r>
        <w:rPr>
          <w:rFonts w:hint="eastAsia" w:ascii="仿宋" w:hAnsi="仿宋" w:eastAsia="仿宋" w:cs="仿宋"/>
          <w:color w:val="auto"/>
          <w:sz w:val="24"/>
          <w:szCs w:val="24"/>
          <w:highlight w:val="none"/>
        </w:rPr>
        <w:t>1.5 货物交付期限、地点和方式</w:t>
      </w:r>
      <w:bookmarkEnd w:id="133"/>
      <w:bookmarkEnd w:id="134"/>
      <w:bookmarkEnd w:id="135"/>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交付期限：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1.5.2 交付地点：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交付方式：　　　　　　　　　                      　      </w:t>
      </w:r>
    </w:p>
    <w:p>
      <w:pPr>
        <w:widowControl/>
        <w:tabs>
          <w:tab w:val="left" w:pos="724"/>
        </w:tabs>
        <w:spacing w:line="460" w:lineRule="exact"/>
        <w:jc w:val="left"/>
        <w:rPr>
          <w:rFonts w:hint="eastAsia" w:ascii="仿宋" w:hAnsi="仿宋" w:eastAsia="仿宋" w:cs="仿宋"/>
          <w:color w:val="auto"/>
          <w:sz w:val="24"/>
          <w:szCs w:val="24"/>
          <w:highlight w:val="none"/>
        </w:rPr>
      </w:pPr>
      <w:bookmarkStart w:id="136" w:name="_Toc27250"/>
      <w:bookmarkStart w:id="137" w:name="_Toc19554"/>
      <w:bookmarkStart w:id="138" w:name="_Toc21423"/>
      <w:r>
        <w:rPr>
          <w:rFonts w:hint="eastAsia" w:ascii="仿宋" w:hAnsi="仿宋" w:eastAsia="仿宋" w:cs="仿宋"/>
          <w:color w:val="auto"/>
          <w:sz w:val="24"/>
          <w:szCs w:val="24"/>
          <w:highlight w:val="none"/>
        </w:rPr>
        <w:t>1.6 违约责任</w:t>
      </w:r>
      <w:bookmarkEnd w:id="136"/>
      <w:bookmarkEnd w:id="137"/>
      <w:bookmarkEnd w:id="138"/>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%；迟延付款的违约金计算数额达到前述最高限额之日起，乙方有权在要求甲方支付违约金的同时，书面通知甲方解除本合同；</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724"/>
        </w:tabs>
        <w:spacing w:line="460" w:lineRule="exact"/>
        <w:jc w:val="left"/>
        <w:rPr>
          <w:rFonts w:hint="eastAsia" w:ascii="仿宋" w:hAnsi="仿宋" w:eastAsia="仿宋" w:cs="仿宋"/>
          <w:color w:val="auto"/>
          <w:sz w:val="24"/>
          <w:szCs w:val="24"/>
          <w:highlight w:val="none"/>
        </w:rPr>
      </w:pPr>
      <w:bookmarkStart w:id="139" w:name="_Toc15583"/>
      <w:bookmarkStart w:id="140" w:name="_Toc28375"/>
      <w:bookmarkStart w:id="141" w:name="_Toc16021"/>
      <w:r>
        <w:rPr>
          <w:rFonts w:hint="eastAsia" w:ascii="仿宋" w:hAnsi="仿宋" w:eastAsia="仿宋" w:cs="仿宋"/>
          <w:color w:val="auto"/>
          <w:sz w:val="24"/>
          <w:szCs w:val="24"/>
          <w:highlight w:val="none"/>
        </w:rPr>
        <w:t>1.7 合同争议的解决</w:t>
      </w:r>
      <w:bookmarkEnd w:id="139"/>
      <w:bookmarkEnd w:id="140"/>
      <w:bookmarkEnd w:id="141"/>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（被告住所地、合同履行地、合同签订地、原告住所地、标的物所在地等与争议有实际联系的地点中选出的人民法院名称）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p>
    <w:p>
      <w:pPr>
        <w:widowControl/>
        <w:tabs>
          <w:tab w:val="left" w:pos="724"/>
        </w:tabs>
        <w:spacing w:line="460" w:lineRule="exact"/>
        <w:jc w:val="left"/>
        <w:rPr>
          <w:rFonts w:hint="eastAsia" w:ascii="仿宋" w:hAnsi="仿宋" w:eastAsia="仿宋" w:cs="仿宋"/>
          <w:color w:val="auto"/>
          <w:sz w:val="24"/>
          <w:szCs w:val="24"/>
          <w:highlight w:val="none"/>
        </w:rPr>
      </w:pPr>
      <w:bookmarkStart w:id="142" w:name="_Toc7245"/>
      <w:bookmarkStart w:id="143" w:name="_Toc15322"/>
      <w:bookmarkStart w:id="144" w:name="_Toc11173"/>
      <w:r>
        <w:rPr>
          <w:rFonts w:hint="eastAsia" w:ascii="仿宋" w:hAnsi="仿宋" w:eastAsia="仿宋" w:cs="仿宋"/>
          <w:color w:val="auto"/>
          <w:sz w:val="24"/>
          <w:szCs w:val="24"/>
          <w:highlight w:val="none"/>
        </w:rPr>
        <w:t>1.8 合同生效</w:t>
      </w:r>
      <w:bookmarkEnd w:id="142"/>
      <w:bookmarkEnd w:id="143"/>
      <w:bookmarkEnd w:id="144"/>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本合同自双方当事人盖章或者签字时生效。</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                                   乙方：</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widowControl/>
        <w:tabs>
          <w:tab w:val="left" w:pos="724"/>
        </w:tabs>
        <w:spacing w:line="4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145" w:name="_Toc331685783"/>
    </w:p>
    <w:p>
      <w:pPr>
        <w:pStyle w:val="86"/>
        <w:rPr>
          <w:rFonts w:hint="eastAsia" w:ascii="仿宋" w:hAnsi="仿宋" w:eastAsia="仿宋" w:cs="仿宋"/>
          <w:color w:val="auto"/>
          <w:sz w:val="24"/>
          <w:szCs w:val="24"/>
          <w:highlight w:val="none"/>
        </w:rPr>
      </w:pPr>
    </w:p>
    <w:p>
      <w:pPr>
        <w:pStyle w:val="86"/>
        <w:rPr>
          <w:rFonts w:hint="eastAsia" w:ascii="仿宋" w:hAnsi="仿宋" w:eastAsia="仿宋" w:cs="仿宋"/>
          <w:color w:val="auto"/>
          <w:sz w:val="24"/>
          <w:szCs w:val="24"/>
          <w:highlight w:val="none"/>
        </w:rPr>
      </w:pPr>
    </w:p>
    <w:p>
      <w:pPr>
        <w:pStyle w:val="86"/>
        <w:rPr>
          <w:rFonts w:hint="eastAsia" w:ascii="仿宋" w:hAnsi="仿宋" w:eastAsia="仿宋" w:cs="仿宋"/>
          <w:color w:val="auto"/>
          <w:sz w:val="24"/>
          <w:szCs w:val="24"/>
          <w:highlight w:val="none"/>
        </w:rPr>
      </w:pPr>
    </w:p>
    <w:p>
      <w:pPr>
        <w:pStyle w:val="86"/>
        <w:rPr>
          <w:rFonts w:hint="eastAsia" w:ascii="仿宋" w:hAnsi="仿宋" w:eastAsia="仿宋" w:cs="仿宋"/>
          <w:color w:val="auto"/>
          <w:sz w:val="24"/>
          <w:szCs w:val="24"/>
          <w:highlight w:val="none"/>
        </w:rPr>
      </w:pPr>
    </w:p>
    <w:p>
      <w:pPr>
        <w:pStyle w:val="86"/>
        <w:rPr>
          <w:rFonts w:hint="eastAsia" w:ascii="仿宋" w:hAnsi="仿宋" w:eastAsia="仿宋" w:cs="仿宋"/>
          <w:color w:val="auto"/>
          <w:sz w:val="24"/>
          <w:szCs w:val="24"/>
          <w:highlight w:val="none"/>
        </w:rPr>
      </w:pPr>
    </w:p>
    <w:p>
      <w:pPr>
        <w:pStyle w:val="86"/>
        <w:rPr>
          <w:rFonts w:hint="eastAsia" w:ascii="仿宋" w:hAnsi="仿宋" w:eastAsia="仿宋" w:cs="仿宋"/>
          <w:color w:val="auto"/>
          <w:sz w:val="24"/>
          <w:szCs w:val="24"/>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widowControl/>
        <w:tabs>
          <w:tab w:val="left" w:pos="724"/>
        </w:tabs>
        <w:spacing w:line="4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合同一般条款</w:t>
      </w:r>
      <w:bookmarkEnd w:id="145"/>
    </w:p>
    <w:p>
      <w:pPr>
        <w:spacing w:line="560" w:lineRule="exact"/>
        <w:ind w:firstLine="482" w:firstLineChars="200"/>
        <w:outlineLvl w:val="0"/>
        <w:rPr>
          <w:rFonts w:hint="eastAsia" w:ascii="仿宋" w:hAnsi="仿宋" w:eastAsia="仿宋" w:cs="仿宋"/>
          <w:b/>
          <w:color w:val="auto"/>
          <w:sz w:val="24"/>
          <w:highlight w:val="none"/>
        </w:rPr>
      </w:pPr>
      <w:bookmarkStart w:id="146" w:name="_Toc2145"/>
      <w:bookmarkStart w:id="147" w:name="_Toc13758"/>
      <w:bookmarkStart w:id="148" w:name="_Ref467378404"/>
      <w:bookmarkStart w:id="149" w:name="_Toc21504"/>
      <w:bookmarkStart w:id="150" w:name="_Toc279701240"/>
      <w:bookmarkStart w:id="151" w:name="_Toc11977"/>
      <w:bookmarkStart w:id="152" w:name="_Ref467379214"/>
      <w:bookmarkStart w:id="153" w:name="_Ref467379195"/>
      <w:bookmarkStart w:id="154" w:name="_Ref467378463"/>
      <w:bookmarkStart w:id="155" w:name="_Toc19614"/>
      <w:bookmarkStart w:id="156" w:name="_Ref467379094"/>
      <w:bookmarkStart w:id="157" w:name="_Toc28763"/>
      <w:bookmarkStart w:id="158" w:name="_Toc2375"/>
      <w:bookmarkStart w:id="159" w:name="_Ref467379101"/>
      <w:bookmarkStart w:id="160" w:name="_Ref467379205"/>
      <w:bookmarkStart w:id="161" w:name="_Toc16917"/>
      <w:bookmarkStart w:id="162" w:name="_Toc24072"/>
      <w:bookmarkStart w:id="163" w:name="_Ref467379225"/>
      <w:bookmarkStart w:id="164" w:name="_Ref467379109"/>
      <w:bookmarkStart w:id="165" w:name="_Ref467378499"/>
      <w:bookmarkStart w:id="166" w:name="_Toc28507"/>
      <w:bookmarkStart w:id="167" w:name="_Toc487900349"/>
      <w:bookmarkStart w:id="168" w:name="_Toc259093669"/>
      <w:r>
        <w:rPr>
          <w:rFonts w:hint="eastAsia" w:ascii="仿宋" w:hAnsi="仿宋" w:eastAsia="仿宋" w:cs="仿宋"/>
          <w:b/>
          <w:color w:val="auto"/>
          <w:sz w:val="24"/>
          <w:highlight w:val="none"/>
        </w:rPr>
        <w:t>2.1 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169" w:name="_Ref467378840"/>
      <w:r>
        <w:rPr>
          <w:rFonts w:hint="eastAsia" w:ascii="仿宋" w:hAnsi="仿宋" w:eastAsia="仿宋" w:cs="仿宋"/>
          <w:color w:val="auto"/>
          <w:sz w:val="24"/>
          <w:highlight w:val="none"/>
        </w:rPr>
        <w:t>2.1.4 “甲方”系指与中标供应商签署合同的采购人</w:t>
      </w:r>
      <w:bookmarkEnd w:id="169"/>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170" w:name="_Ref467379400"/>
      <w:r>
        <w:rPr>
          <w:rFonts w:hint="eastAsia" w:ascii="仿宋" w:hAnsi="仿宋" w:eastAsia="仿宋" w:cs="仿宋"/>
          <w:color w:val="auto"/>
          <w:sz w:val="24"/>
          <w:highlight w:val="none"/>
        </w:rPr>
        <w:t>2.1.5 “乙方”系指根据合同约定交付货物的中标供应商</w:t>
      </w:r>
      <w:bookmarkEnd w:id="17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171" w:name="_Ref467379436"/>
      <w:r>
        <w:rPr>
          <w:rFonts w:hint="eastAsia" w:ascii="仿宋" w:hAnsi="仿宋" w:eastAsia="仿宋" w:cs="仿宋"/>
          <w:color w:val="auto"/>
          <w:sz w:val="24"/>
          <w:highlight w:val="none"/>
        </w:rPr>
        <w:t>2.1.6 “现场”系指合同约定货物将要运至或者安装的地点。</w:t>
      </w:r>
      <w:bookmarkEnd w:id="171"/>
    </w:p>
    <w:p>
      <w:pPr>
        <w:spacing w:line="560" w:lineRule="exact"/>
        <w:ind w:firstLine="482" w:firstLineChars="200"/>
        <w:outlineLvl w:val="0"/>
        <w:rPr>
          <w:rFonts w:hint="eastAsia" w:ascii="仿宋" w:hAnsi="仿宋" w:eastAsia="仿宋" w:cs="仿宋"/>
          <w:b/>
          <w:color w:val="auto"/>
          <w:sz w:val="24"/>
          <w:highlight w:val="none"/>
        </w:rPr>
      </w:pPr>
      <w:bookmarkStart w:id="172" w:name="_Toc487900350"/>
      <w:bookmarkStart w:id="173" w:name="_Toc19224"/>
      <w:bookmarkStart w:id="174" w:name="_Toc24589"/>
      <w:bookmarkStart w:id="175" w:name="_Toc31101"/>
      <w:bookmarkStart w:id="176" w:name="_Toc259093670"/>
      <w:bookmarkStart w:id="177" w:name="_Toc13317"/>
      <w:bookmarkStart w:id="178" w:name="_Toc24811"/>
      <w:bookmarkStart w:id="179" w:name="_Toc27635"/>
      <w:bookmarkStart w:id="180" w:name="_Toc13336"/>
      <w:bookmarkStart w:id="181" w:name="_Toc279701241"/>
      <w:bookmarkStart w:id="182" w:name="_Toc13369"/>
      <w:bookmarkStart w:id="183" w:name="_Toc7453"/>
      <w:bookmarkStart w:id="184" w:name="_Toc32504"/>
      <w:r>
        <w:rPr>
          <w:rFonts w:hint="eastAsia" w:ascii="仿宋" w:hAnsi="仿宋" w:eastAsia="仿宋" w:cs="仿宋"/>
          <w:b/>
          <w:color w:val="auto"/>
          <w:sz w:val="24"/>
          <w:highlight w:val="none"/>
        </w:rPr>
        <w:t>2.2 技术规范</w:t>
      </w:r>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185" w:name="_Toc31634"/>
      <w:bookmarkStart w:id="186" w:name="_Toc13148"/>
      <w:bookmarkStart w:id="187" w:name="_Toc2222"/>
      <w:bookmarkStart w:id="188" w:name="_Toc27853"/>
      <w:bookmarkStart w:id="189" w:name="_Toc2427"/>
      <w:bookmarkStart w:id="190" w:name="_Toc16101"/>
      <w:bookmarkStart w:id="191" w:name="_Toc22299"/>
      <w:bookmarkStart w:id="192" w:name="_Toc3536"/>
      <w:bookmarkStart w:id="193" w:name="_Toc9829"/>
      <w:bookmarkStart w:id="194" w:name="_Toc279701242"/>
      <w:bookmarkStart w:id="195" w:name="_Toc15043"/>
      <w:bookmarkStart w:id="196" w:name="_Toc487900351"/>
      <w:bookmarkStart w:id="197" w:name="_Toc259093671"/>
      <w:r>
        <w:rPr>
          <w:rFonts w:hint="eastAsia" w:ascii="仿宋" w:hAnsi="仿宋" w:eastAsia="仿宋" w:cs="仿宋"/>
          <w:b/>
          <w:color w:val="auto"/>
          <w:sz w:val="24"/>
          <w:highlight w:val="none"/>
        </w:rPr>
        <w:t>2.3 知识产权</w:t>
      </w:r>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98" w:name="_Toc29149"/>
      <w:bookmarkStart w:id="199" w:name="_Toc18079"/>
      <w:bookmarkStart w:id="200" w:name="_Toc4194"/>
      <w:bookmarkStart w:id="201" w:name="_Toc27181"/>
      <w:bookmarkStart w:id="202" w:name="_Toc28025"/>
      <w:bookmarkStart w:id="203" w:name="_Toc9061"/>
      <w:bookmarkStart w:id="204" w:name="_Toc30289"/>
      <w:bookmarkStart w:id="205" w:name="_Toc14655"/>
      <w:bookmarkStart w:id="206" w:name="_Toc2570"/>
      <w:bookmarkStart w:id="207" w:name="_Toc11932"/>
      <w:r>
        <w:rPr>
          <w:rFonts w:hint="eastAsia" w:ascii="仿宋" w:hAnsi="仿宋" w:eastAsia="仿宋" w:cs="仿宋"/>
          <w:b/>
          <w:color w:val="auto"/>
          <w:sz w:val="24"/>
          <w:highlight w:val="none"/>
        </w:rPr>
        <w:t>2.4 包装和装运</w:t>
      </w:r>
      <w:bookmarkEnd w:id="198"/>
      <w:bookmarkEnd w:id="199"/>
      <w:bookmarkEnd w:id="200"/>
      <w:bookmarkEnd w:id="201"/>
      <w:bookmarkEnd w:id="202"/>
      <w:bookmarkEnd w:id="203"/>
      <w:bookmarkEnd w:id="204"/>
      <w:bookmarkEnd w:id="205"/>
      <w:bookmarkEnd w:id="206"/>
      <w:bookmarkEnd w:id="2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208" w:name="_Ref467379527"/>
      <w:bookmarkStart w:id="209" w:name="_Ref467378591"/>
      <w:bookmarkStart w:id="210" w:name="_Toc487900354"/>
      <w:bookmarkStart w:id="211" w:name="_Ref467378541"/>
      <w:bookmarkStart w:id="212" w:name="_Ref467379536"/>
      <w:bookmarkStart w:id="213" w:name="_Toc279701245"/>
      <w:bookmarkStart w:id="214" w:name="_Ref467379542"/>
      <w:bookmarkStart w:id="215" w:name="_Toc259093674"/>
      <w:bookmarkStart w:id="216" w:name="_Toc20989"/>
      <w:bookmarkStart w:id="217" w:name="_Toc10228"/>
      <w:bookmarkStart w:id="218" w:name="_Toc15012"/>
      <w:bookmarkStart w:id="219" w:name="_Toc30272"/>
      <w:bookmarkStart w:id="220" w:name="_Toc22049"/>
      <w:bookmarkStart w:id="221" w:name="_Toc15314"/>
      <w:bookmarkStart w:id="222" w:name="_Toc26182"/>
      <w:bookmarkStart w:id="223" w:name="_Toc11846"/>
      <w:bookmarkStart w:id="224" w:name="_Toc19074"/>
      <w:bookmarkStart w:id="225" w:name="_Toc19657"/>
      <w:r>
        <w:rPr>
          <w:rFonts w:hint="eastAsia" w:ascii="仿宋" w:hAnsi="仿宋" w:eastAsia="仿宋" w:cs="仿宋"/>
          <w:b/>
          <w:color w:val="auto"/>
          <w:sz w:val="24"/>
          <w:highlight w:val="none"/>
        </w:rPr>
        <w:t>2.</w:t>
      </w:r>
      <w:bookmarkEnd w:id="208"/>
      <w:bookmarkEnd w:id="209"/>
      <w:bookmarkEnd w:id="210"/>
      <w:bookmarkEnd w:id="211"/>
      <w:bookmarkEnd w:id="212"/>
      <w:bookmarkEnd w:id="213"/>
      <w:bookmarkEnd w:id="214"/>
      <w:bookmarkEnd w:id="215"/>
      <w:r>
        <w:rPr>
          <w:rFonts w:hint="eastAsia" w:ascii="仿宋" w:hAnsi="仿宋" w:eastAsia="仿宋" w:cs="仿宋"/>
          <w:b/>
          <w:color w:val="auto"/>
          <w:sz w:val="24"/>
          <w:highlight w:val="none"/>
        </w:rPr>
        <w:t>5 履约检查和问题反馈</w:t>
      </w:r>
      <w:bookmarkEnd w:id="216"/>
      <w:bookmarkEnd w:id="217"/>
      <w:bookmarkEnd w:id="218"/>
      <w:bookmarkEnd w:id="219"/>
      <w:bookmarkEnd w:id="220"/>
      <w:bookmarkEnd w:id="221"/>
      <w:bookmarkEnd w:id="222"/>
      <w:bookmarkEnd w:id="223"/>
      <w:bookmarkEnd w:id="224"/>
      <w:bookmarkEnd w:id="225"/>
    </w:p>
    <w:p>
      <w:pPr>
        <w:spacing w:line="560" w:lineRule="exact"/>
        <w:ind w:firstLine="480" w:firstLineChars="200"/>
        <w:rPr>
          <w:rFonts w:hint="eastAsia" w:ascii="仿宋" w:hAnsi="仿宋" w:eastAsia="仿宋" w:cs="仿宋"/>
          <w:color w:val="auto"/>
          <w:sz w:val="24"/>
          <w:highlight w:val="none"/>
        </w:rPr>
      </w:pPr>
      <w:bookmarkStart w:id="226" w:name="_Ref467379657"/>
      <w:r>
        <w:rPr>
          <w:rFonts w:hint="eastAsia" w:ascii="仿宋" w:hAnsi="仿宋" w:eastAsia="仿宋" w:cs="仿宋"/>
          <w:color w:val="auto"/>
          <w:sz w:val="24"/>
          <w:highlight w:val="none"/>
        </w:rPr>
        <w:t>2.5.1</w:t>
      </w:r>
      <w:bookmarkEnd w:id="226"/>
      <w:bookmarkStart w:id="227" w:name="_Toc186431854"/>
      <w:bookmarkStart w:id="228" w:name="_Ref467379807"/>
      <w:bookmarkStart w:id="229" w:name="_Toc279701247"/>
      <w:bookmarkStart w:id="230" w:name="_Toc487900357"/>
      <w:bookmarkStart w:id="231" w:name="_Toc259093676"/>
      <w:bookmarkStart w:id="232"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227"/>
      <w:bookmarkStart w:id="233" w:name="_Toc186431855"/>
      <w:r>
        <w:rPr>
          <w:rFonts w:hint="eastAsia" w:ascii="仿宋" w:hAnsi="仿宋" w:eastAsia="仿宋" w:cs="仿宋"/>
          <w:color w:val="auto"/>
          <w:sz w:val="24"/>
          <w:highlight w:val="none"/>
        </w:rPr>
        <w:t>。</w:t>
      </w:r>
    </w:p>
    <w:bookmarkEnd w:id="233"/>
    <w:p>
      <w:pPr>
        <w:spacing w:line="560" w:lineRule="exact"/>
        <w:ind w:firstLine="482" w:firstLineChars="200"/>
        <w:outlineLvl w:val="0"/>
        <w:rPr>
          <w:rFonts w:hint="eastAsia" w:ascii="仿宋" w:hAnsi="仿宋" w:eastAsia="仿宋" w:cs="仿宋"/>
          <w:b/>
          <w:color w:val="auto"/>
          <w:sz w:val="24"/>
          <w:highlight w:val="none"/>
        </w:rPr>
      </w:pPr>
      <w:bookmarkStart w:id="234" w:name="_Toc5474"/>
      <w:bookmarkStart w:id="235" w:name="_Toc22421"/>
      <w:bookmarkStart w:id="236" w:name="_Toc28451"/>
      <w:bookmarkStart w:id="237" w:name="_Toc7836"/>
      <w:bookmarkStart w:id="238" w:name="_Toc22884"/>
      <w:bookmarkStart w:id="239" w:name="_Toc22425"/>
      <w:bookmarkStart w:id="240" w:name="_Toc24173"/>
      <w:bookmarkStart w:id="241" w:name="_Toc26797"/>
      <w:bookmarkStart w:id="242" w:name="_Toc19219"/>
      <w:bookmarkStart w:id="243" w:name="_Toc18914"/>
      <w:r>
        <w:rPr>
          <w:rFonts w:hint="eastAsia" w:ascii="仿宋" w:hAnsi="仿宋" w:eastAsia="仿宋" w:cs="仿宋"/>
          <w:b/>
          <w:color w:val="auto"/>
          <w:sz w:val="24"/>
          <w:highlight w:val="none"/>
        </w:rPr>
        <w:t>2.6 结算方式和付款条件</w:t>
      </w:r>
      <w:bookmarkEnd w:id="228"/>
      <w:bookmarkEnd w:id="229"/>
      <w:bookmarkEnd w:id="230"/>
      <w:bookmarkEnd w:id="231"/>
      <w:bookmarkEnd w:id="232"/>
      <w:bookmarkEnd w:id="234"/>
      <w:bookmarkEnd w:id="235"/>
      <w:bookmarkEnd w:id="236"/>
      <w:bookmarkEnd w:id="237"/>
      <w:bookmarkEnd w:id="238"/>
      <w:bookmarkEnd w:id="239"/>
      <w:bookmarkEnd w:id="240"/>
      <w:bookmarkEnd w:id="241"/>
      <w:bookmarkEnd w:id="242"/>
      <w:bookmarkEnd w:id="2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244" w:name="_Toc259093677"/>
      <w:bookmarkStart w:id="245" w:name="_Ref467379923"/>
      <w:bookmarkStart w:id="246" w:name="_Toc279701248"/>
      <w:bookmarkStart w:id="247" w:name="_Ref467379863"/>
      <w:bookmarkStart w:id="248" w:name="_Toc487900358"/>
      <w:bookmarkStart w:id="249" w:name="_Ref467379852"/>
      <w:bookmarkStart w:id="250" w:name="_Toc20729"/>
      <w:bookmarkStart w:id="251" w:name="_Toc3225"/>
      <w:bookmarkStart w:id="252" w:name="_Toc22587"/>
      <w:bookmarkStart w:id="253" w:name="_Toc13107"/>
      <w:bookmarkStart w:id="254" w:name="_Toc9239"/>
      <w:bookmarkStart w:id="255" w:name="_Toc774"/>
      <w:bookmarkStart w:id="256" w:name="_Toc11565"/>
      <w:bookmarkStart w:id="257" w:name="_Toc5047"/>
      <w:bookmarkStart w:id="258" w:name="_Toc14640"/>
      <w:bookmarkStart w:id="259" w:name="_Toc16110"/>
      <w:r>
        <w:rPr>
          <w:rFonts w:hint="eastAsia" w:ascii="仿宋" w:hAnsi="仿宋" w:eastAsia="仿宋" w:cs="仿宋"/>
          <w:b/>
          <w:color w:val="auto"/>
          <w:sz w:val="24"/>
          <w:highlight w:val="none"/>
        </w:rPr>
        <w:t>2.7 技术资料</w:t>
      </w:r>
      <w:bookmarkEnd w:id="244"/>
      <w:bookmarkEnd w:id="245"/>
      <w:bookmarkEnd w:id="246"/>
      <w:bookmarkEnd w:id="247"/>
      <w:bookmarkEnd w:id="248"/>
      <w:bookmarkEnd w:id="249"/>
      <w:r>
        <w:rPr>
          <w:rFonts w:hint="eastAsia" w:ascii="仿宋" w:hAnsi="仿宋" w:eastAsia="仿宋" w:cs="仿宋"/>
          <w:b/>
          <w:color w:val="auto"/>
          <w:sz w:val="24"/>
          <w:highlight w:val="none"/>
        </w:rPr>
        <w:t>和保密义务</w:t>
      </w:r>
      <w:bookmarkEnd w:id="250"/>
      <w:bookmarkEnd w:id="251"/>
      <w:bookmarkEnd w:id="252"/>
      <w:bookmarkEnd w:id="253"/>
      <w:bookmarkEnd w:id="254"/>
      <w:bookmarkEnd w:id="255"/>
      <w:bookmarkEnd w:id="256"/>
      <w:bookmarkEnd w:id="257"/>
      <w:bookmarkEnd w:id="258"/>
      <w:bookmarkEnd w:id="25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260" w:name="_Toc30184"/>
      <w:bookmarkStart w:id="261" w:name="_Toc29443"/>
      <w:bookmarkStart w:id="262" w:name="_Toc22356"/>
      <w:bookmarkStart w:id="263" w:name="_Toc2271"/>
      <w:bookmarkStart w:id="264" w:name="_Toc8012"/>
      <w:bookmarkStart w:id="265" w:name="_Toc10227"/>
      <w:bookmarkStart w:id="266" w:name="_Toc7860"/>
      <w:bookmarkStart w:id="267" w:name="_Toc3734"/>
      <w:r>
        <w:rPr>
          <w:rFonts w:hint="eastAsia" w:ascii="仿宋" w:hAnsi="仿宋" w:eastAsia="仿宋" w:cs="仿宋"/>
          <w:b/>
          <w:color w:val="auto"/>
          <w:sz w:val="24"/>
          <w:highlight w:val="none"/>
        </w:rPr>
        <w:t>2.8 质量保证</w:t>
      </w:r>
      <w:bookmarkEnd w:id="260"/>
      <w:bookmarkEnd w:id="261"/>
      <w:bookmarkEnd w:id="262"/>
      <w:bookmarkEnd w:id="263"/>
      <w:bookmarkEnd w:id="264"/>
      <w:bookmarkEnd w:id="265"/>
      <w:bookmarkEnd w:id="266"/>
      <w:bookmarkEnd w:id="2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268" w:name="_Toc766"/>
      <w:bookmarkStart w:id="269" w:name="_Toc4009"/>
      <w:bookmarkStart w:id="270" w:name="_Toc17773"/>
      <w:bookmarkStart w:id="271" w:name="_Toc17244"/>
      <w:bookmarkStart w:id="272" w:name="_Toc26744"/>
      <w:bookmarkStart w:id="273" w:name="_Toc20251"/>
      <w:bookmarkStart w:id="274" w:name="_Toc15900"/>
      <w:bookmarkStart w:id="275" w:name="_Toc18237"/>
      <w:bookmarkStart w:id="276" w:name="_Toc259093681"/>
      <w:bookmarkStart w:id="277" w:name="_Toc279701252"/>
      <w:bookmarkStart w:id="278" w:name="_Toc487900362"/>
      <w:r>
        <w:rPr>
          <w:rFonts w:hint="eastAsia" w:ascii="仿宋" w:hAnsi="仿宋" w:eastAsia="仿宋" w:cs="仿宋"/>
          <w:b/>
          <w:color w:val="auto"/>
          <w:sz w:val="24"/>
          <w:highlight w:val="none"/>
        </w:rPr>
        <w:t>2.9 货物的风险负担</w:t>
      </w:r>
      <w:bookmarkEnd w:id="268"/>
      <w:bookmarkEnd w:id="269"/>
      <w:bookmarkEnd w:id="270"/>
      <w:bookmarkEnd w:id="271"/>
      <w:bookmarkEnd w:id="272"/>
      <w:bookmarkEnd w:id="273"/>
      <w:bookmarkEnd w:id="274"/>
      <w:bookmarkEnd w:id="275"/>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279" w:name="_Toc14055"/>
      <w:bookmarkStart w:id="280" w:name="_Toc26257"/>
      <w:bookmarkStart w:id="281" w:name="_Toc24674"/>
      <w:bookmarkStart w:id="282" w:name="_Toc18036"/>
      <w:bookmarkStart w:id="283" w:name="_Toc12707"/>
      <w:bookmarkStart w:id="284" w:name="_Toc28120"/>
      <w:bookmarkStart w:id="285" w:name="_Toc29958"/>
      <w:bookmarkStart w:id="286" w:name="_Toc15408"/>
      <w:r>
        <w:rPr>
          <w:rFonts w:hint="eastAsia" w:ascii="仿宋" w:hAnsi="仿宋" w:eastAsia="仿宋" w:cs="仿宋"/>
          <w:b/>
          <w:color w:val="auto"/>
          <w:sz w:val="24"/>
          <w:highlight w:val="none"/>
        </w:rPr>
        <w:t>2.10 延迟交货</w:t>
      </w:r>
      <w:bookmarkEnd w:id="276"/>
      <w:bookmarkEnd w:id="277"/>
      <w:bookmarkEnd w:id="278"/>
      <w:bookmarkEnd w:id="279"/>
      <w:bookmarkEnd w:id="280"/>
      <w:bookmarkEnd w:id="281"/>
      <w:bookmarkEnd w:id="282"/>
      <w:bookmarkEnd w:id="283"/>
      <w:bookmarkEnd w:id="284"/>
      <w:bookmarkEnd w:id="285"/>
      <w:bookmarkEnd w:id="2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287" w:name="_Toc28981"/>
      <w:bookmarkStart w:id="288" w:name="_Toc9407"/>
      <w:bookmarkStart w:id="289" w:name="_Toc21627"/>
      <w:bookmarkStart w:id="290" w:name="_Toc25996"/>
      <w:bookmarkStart w:id="291" w:name="_Toc7502"/>
      <w:bookmarkStart w:id="292" w:name="_Toc16789"/>
      <w:bookmarkStart w:id="293" w:name="_Toc31709"/>
      <w:bookmarkStart w:id="294" w:name="_Toc13615"/>
      <w:bookmarkStart w:id="295" w:name="_Toc487900364"/>
      <w:bookmarkStart w:id="296" w:name="_Ref467378121"/>
      <w:bookmarkStart w:id="297" w:name="_Toc279701254"/>
      <w:bookmarkStart w:id="298" w:name="_Toc259093683"/>
      <w:r>
        <w:rPr>
          <w:rFonts w:hint="eastAsia" w:ascii="仿宋" w:hAnsi="仿宋" w:eastAsia="仿宋" w:cs="仿宋"/>
          <w:b/>
          <w:color w:val="auto"/>
          <w:sz w:val="24"/>
          <w:highlight w:val="none"/>
        </w:rPr>
        <w:t>2.11 合同变更</w:t>
      </w:r>
      <w:bookmarkEnd w:id="287"/>
      <w:bookmarkEnd w:id="288"/>
      <w:bookmarkEnd w:id="289"/>
      <w:bookmarkEnd w:id="290"/>
      <w:bookmarkEnd w:id="291"/>
      <w:bookmarkEnd w:id="292"/>
      <w:bookmarkEnd w:id="293"/>
      <w:bookmarkEnd w:id="29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99" w:name="_Toc487900369"/>
      <w:bookmarkStart w:id="300" w:name="_Toc259093688"/>
      <w:bookmarkStart w:id="301" w:name="_Toc279701259"/>
    </w:p>
    <w:p>
      <w:pPr>
        <w:spacing w:line="560" w:lineRule="exact"/>
        <w:ind w:firstLine="482" w:firstLineChars="200"/>
        <w:outlineLvl w:val="0"/>
        <w:rPr>
          <w:rFonts w:hint="eastAsia" w:ascii="仿宋" w:hAnsi="仿宋" w:eastAsia="仿宋" w:cs="仿宋"/>
          <w:b/>
          <w:color w:val="auto"/>
          <w:sz w:val="24"/>
          <w:highlight w:val="none"/>
        </w:rPr>
      </w:pPr>
      <w:bookmarkStart w:id="302" w:name="_Toc10366"/>
      <w:bookmarkStart w:id="303" w:name="_Toc7032"/>
      <w:bookmarkStart w:id="304" w:name="_Toc12400"/>
      <w:bookmarkStart w:id="305" w:name="_Toc20529"/>
      <w:bookmarkStart w:id="306" w:name="_Toc1424"/>
      <w:bookmarkStart w:id="307" w:name="_Toc22955"/>
      <w:bookmarkStart w:id="308" w:name="_Toc23692"/>
      <w:bookmarkStart w:id="309" w:name="_Toc1443"/>
      <w:bookmarkStart w:id="310" w:name="_Toc15237"/>
      <w:bookmarkStart w:id="311" w:name="_Toc19764"/>
      <w:r>
        <w:rPr>
          <w:rFonts w:hint="eastAsia" w:ascii="仿宋" w:hAnsi="仿宋" w:eastAsia="仿宋" w:cs="仿宋"/>
          <w:b/>
          <w:color w:val="auto"/>
          <w:sz w:val="24"/>
          <w:highlight w:val="none"/>
        </w:rPr>
        <w:t>2.12 合同转让</w:t>
      </w:r>
      <w:bookmarkEnd w:id="299"/>
      <w:bookmarkEnd w:id="300"/>
      <w:bookmarkEnd w:id="301"/>
      <w:r>
        <w:rPr>
          <w:rFonts w:hint="eastAsia" w:ascii="仿宋" w:hAnsi="仿宋" w:eastAsia="仿宋" w:cs="仿宋"/>
          <w:b/>
          <w:color w:val="auto"/>
          <w:sz w:val="24"/>
          <w:highlight w:val="none"/>
        </w:rPr>
        <w:t>和分包</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312" w:name="_Toc28335"/>
      <w:bookmarkStart w:id="313" w:name="_Toc14066"/>
      <w:bookmarkStart w:id="314" w:name="_Toc11779"/>
      <w:bookmarkStart w:id="315" w:name="_Toc28067"/>
      <w:bookmarkStart w:id="316" w:name="_Toc5900"/>
      <w:bookmarkStart w:id="317" w:name="_Toc16798"/>
      <w:bookmarkStart w:id="318" w:name="_Toc21116"/>
      <w:bookmarkStart w:id="319" w:name="_Toc13566"/>
      <w:bookmarkStart w:id="320" w:name="_Toc2656"/>
      <w:bookmarkStart w:id="321" w:name="_Toc16508"/>
      <w:r>
        <w:rPr>
          <w:rFonts w:hint="eastAsia" w:ascii="仿宋" w:hAnsi="仿宋" w:eastAsia="仿宋" w:cs="仿宋"/>
          <w:b/>
          <w:color w:val="auto"/>
          <w:sz w:val="24"/>
          <w:highlight w:val="none"/>
        </w:rPr>
        <w:t>2.13 不可抗力</w:t>
      </w:r>
      <w:bookmarkEnd w:id="312"/>
      <w:bookmarkEnd w:id="313"/>
      <w:bookmarkEnd w:id="314"/>
      <w:bookmarkEnd w:id="315"/>
      <w:bookmarkEnd w:id="316"/>
      <w:bookmarkEnd w:id="317"/>
      <w:bookmarkEnd w:id="318"/>
      <w:bookmarkEnd w:id="319"/>
      <w:bookmarkEnd w:id="320"/>
      <w:bookmarkEnd w:id="32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322" w:name="_Toc2525"/>
      <w:bookmarkStart w:id="323" w:name="_Toc30676"/>
      <w:bookmarkStart w:id="324" w:name="_Toc13955"/>
      <w:bookmarkStart w:id="325" w:name="_Toc5657"/>
      <w:bookmarkStart w:id="326" w:name="_Toc487900365"/>
      <w:bookmarkStart w:id="327" w:name="_Toc259093684"/>
      <w:bookmarkStart w:id="328" w:name="_Toc23753"/>
      <w:bookmarkStart w:id="329" w:name="_Toc6969"/>
      <w:bookmarkStart w:id="330" w:name="_Toc25034"/>
      <w:bookmarkStart w:id="331" w:name="_Toc29141"/>
      <w:bookmarkStart w:id="332" w:name="_Toc279701255"/>
      <w:bookmarkStart w:id="333" w:name="_Toc29703"/>
      <w:bookmarkStart w:id="334" w:name="_Toc689"/>
      <w:r>
        <w:rPr>
          <w:rFonts w:hint="eastAsia" w:ascii="仿宋" w:hAnsi="仿宋" w:eastAsia="仿宋" w:cs="仿宋"/>
          <w:b/>
          <w:color w:val="auto"/>
          <w:sz w:val="24"/>
          <w:highlight w:val="none"/>
        </w:rPr>
        <w:t>2.14 税费</w:t>
      </w:r>
      <w:bookmarkEnd w:id="322"/>
      <w:bookmarkEnd w:id="323"/>
      <w:bookmarkEnd w:id="324"/>
      <w:bookmarkEnd w:id="325"/>
      <w:bookmarkEnd w:id="326"/>
      <w:bookmarkEnd w:id="327"/>
      <w:bookmarkEnd w:id="328"/>
      <w:bookmarkEnd w:id="329"/>
      <w:bookmarkEnd w:id="330"/>
      <w:bookmarkEnd w:id="331"/>
      <w:bookmarkEnd w:id="332"/>
      <w:bookmarkEnd w:id="333"/>
      <w:bookmarkEnd w:id="33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335" w:name="_Toc16959"/>
      <w:bookmarkStart w:id="336" w:name="_Toc21421"/>
      <w:bookmarkStart w:id="337" w:name="_Toc2491"/>
      <w:bookmarkStart w:id="338" w:name="_Toc12118"/>
      <w:bookmarkStart w:id="339" w:name="_Toc487900368"/>
      <w:bookmarkStart w:id="340" w:name="_Toc7102"/>
      <w:bookmarkStart w:id="341" w:name="_Toc8298"/>
      <w:bookmarkStart w:id="342" w:name="_Toc279701258"/>
      <w:bookmarkStart w:id="343" w:name="_Toc18183"/>
      <w:bookmarkStart w:id="344" w:name="_Toc19969"/>
      <w:bookmarkStart w:id="345" w:name="_Toc24852"/>
      <w:bookmarkStart w:id="346" w:name="_Toc28411"/>
      <w:bookmarkStart w:id="347" w:name="_Toc259093687"/>
      <w:r>
        <w:rPr>
          <w:rFonts w:hint="eastAsia" w:ascii="仿宋" w:hAnsi="仿宋" w:eastAsia="仿宋" w:cs="仿宋"/>
          <w:b/>
          <w:color w:val="auto"/>
          <w:sz w:val="24"/>
          <w:highlight w:val="none"/>
        </w:rPr>
        <w:t>2.15 乙方破产</w:t>
      </w:r>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348" w:name="_Toc1847"/>
      <w:bookmarkStart w:id="349" w:name="_Toc23301"/>
      <w:bookmarkStart w:id="350" w:name="_Toc20630"/>
      <w:bookmarkStart w:id="351" w:name="_Toc15387"/>
      <w:bookmarkStart w:id="352" w:name="_Toc22272"/>
      <w:bookmarkStart w:id="353" w:name="_Toc20901"/>
      <w:bookmarkStart w:id="354" w:name="_Toc25831"/>
      <w:bookmarkStart w:id="355" w:name="_Toc29333"/>
      <w:bookmarkStart w:id="356" w:name="_Toc6134"/>
      <w:bookmarkStart w:id="357" w:name="_Toc22720"/>
      <w:r>
        <w:rPr>
          <w:rFonts w:hint="eastAsia" w:ascii="仿宋" w:hAnsi="仿宋" w:eastAsia="仿宋" w:cs="仿宋"/>
          <w:b/>
          <w:color w:val="auto"/>
          <w:sz w:val="24"/>
          <w:highlight w:val="none"/>
        </w:rPr>
        <w:t>2.16 合同中止、终止</w:t>
      </w:r>
      <w:bookmarkEnd w:id="348"/>
      <w:bookmarkEnd w:id="349"/>
      <w:bookmarkEnd w:id="350"/>
      <w:bookmarkEnd w:id="351"/>
      <w:bookmarkEnd w:id="352"/>
      <w:bookmarkEnd w:id="353"/>
      <w:bookmarkEnd w:id="354"/>
      <w:bookmarkEnd w:id="355"/>
      <w:bookmarkEnd w:id="356"/>
      <w:bookmarkEnd w:id="35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358" w:name="_Toc18411"/>
      <w:bookmarkStart w:id="359" w:name="_Toc19897"/>
      <w:bookmarkStart w:id="360" w:name="_Toc1125"/>
      <w:bookmarkStart w:id="361" w:name="_Toc6596"/>
      <w:bookmarkStart w:id="362" w:name="_Toc20628"/>
      <w:bookmarkStart w:id="363" w:name="_Toc20421"/>
      <w:bookmarkStart w:id="364" w:name="_Toc11234"/>
      <w:bookmarkStart w:id="365" w:name="_Toc14563"/>
      <w:bookmarkStart w:id="366" w:name="_Toc6584"/>
      <w:bookmarkStart w:id="367" w:name="_Toc13957"/>
      <w:r>
        <w:rPr>
          <w:rFonts w:hint="eastAsia" w:ascii="仿宋" w:hAnsi="仿宋" w:eastAsia="仿宋" w:cs="仿宋"/>
          <w:b/>
          <w:color w:val="auto"/>
          <w:sz w:val="24"/>
          <w:highlight w:val="none"/>
        </w:rPr>
        <w:t>2.17 检验和验收</w:t>
      </w:r>
      <w:bookmarkEnd w:id="358"/>
      <w:bookmarkEnd w:id="359"/>
      <w:bookmarkEnd w:id="360"/>
      <w:bookmarkEnd w:id="361"/>
      <w:bookmarkEnd w:id="362"/>
      <w:bookmarkEnd w:id="363"/>
      <w:bookmarkEnd w:id="364"/>
      <w:bookmarkEnd w:id="365"/>
      <w:bookmarkEnd w:id="366"/>
      <w:bookmarkEnd w:id="367"/>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295"/>
    <w:bookmarkEnd w:id="296"/>
    <w:bookmarkEnd w:id="297"/>
    <w:bookmarkEnd w:id="298"/>
    <w:p>
      <w:pPr>
        <w:spacing w:line="560" w:lineRule="exact"/>
        <w:ind w:firstLine="482" w:firstLineChars="200"/>
        <w:outlineLvl w:val="0"/>
        <w:rPr>
          <w:rFonts w:hint="eastAsia" w:ascii="仿宋" w:hAnsi="仿宋" w:eastAsia="仿宋" w:cs="仿宋"/>
          <w:b/>
          <w:color w:val="auto"/>
          <w:sz w:val="24"/>
          <w:highlight w:val="none"/>
        </w:rPr>
      </w:pPr>
      <w:bookmarkStart w:id="368" w:name="_Toc259093690"/>
      <w:bookmarkStart w:id="369" w:name="_Toc487900371"/>
      <w:bookmarkStart w:id="370" w:name="_Toc279701261"/>
      <w:bookmarkStart w:id="371" w:name="_Toc5140"/>
      <w:bookmarkStart w:id="372" w:name="_Toc31213"/>
      <w:bookmarkStart w:id="373" w:name="_Toc17336"/>
      <w:bookmarkStart w:id="374" w:name="_Toc10923"/>
      <w:bookmarkStart w:id="375" w:name="_Toc25182"/>
      <w:bookmarkStart w:id="376" w:name="_Toc22693"/>
      <w:bookmarkStart w:id="377" w:name="_Toc11284"/>
      <w:bookmarkStart w:id="378" w:name="_Toc20825"/>
      <w:bookmarkStart w:id="379" w:name="_Toc15103"/>
      <w:bookmarkStart w:id="380" w:name="_Toc19604"/>
      <w:r>
        <w:rPr>
          <w:rFonts w:hint="eastAsia" w:ascii="仿宋" w:hAnsi="仿宋" w:eastAsia="仿宋" w:cs="仿宋"/>
          <w:b/>
          <w:color w:val="auto"/>
          <w:sz w:val="24"/>
          <w:highlight w:val="none"/>
        </w:rPr>
        <w:t>2.18 通知</w:t>
      </w:r>
      <w:bookmarkEnd w:id="368"/>
      <w:bookmarkEnd w:id="369"/>
      <w:bookmarkEnd w:id="370"/>
      <w:r>
        <w:rPr>
          <w:rFonts w:hint="eastAsia" w:ascii="仿宋" w:hAnsi="仿宋" w:eastAsia="仿宋" w:cs="仿宋"/>
          <w:b/>
          <w:color w:val="auto"/>
          <w:sz w:val="24"/>
          <w:highlight w:val="none"/>
        </w:rPr>
        <w:t>和送达</w:t>
      </w:r>
      <w:bookmarkEnd w:id="371"/>
      <w:bookmarkEnd w:id="372"/>
      <w:bookmarkEnd w:id="373"/>
      <w:bookmarkEnd w:id="374"/>
      <w:bookmarkEnd w:id="375"/>
      <w:bookmarkEnd w:id="376"/>
      <w:bookmarkEnd w:id="377"/>
      <w:bookmarkEnd w:id="378"/>
      <w:bookmarkEnd w:id="379"/>
      <w:bookmarkEnd w:id="380"/>
    </w:p>
    <w:p>
      <w:pPr>
        <w:spacing w:line="560" w:lineRule="exact"/>
        <w:ind w:firstLine="480" w:firstLineChars="200"/>
        <w:rPr>
          <w:rFonts w:hint="eastAsia" w:ascii="仿宋" w:hAnsi="仿宋" w:eastAsia="仿宋" w:cs="仿宋"/>
          <w:color w:val="auto"/>
          <w:sz w:val="24"/>
          <w:highlight w:val="none"/>
        </w:rPr>
      </w:pPr>
      <w:bookmarkStart w:id="381" w:name="_Toc3135"/>
      <w:bookmarkStart w:id="382" w:name="_Toc6698"/>
      <w:bookmarkStart w:id="383" w:name="_Toc259093691"/>
      <w:bookmarkStart w:id="384" w:name="_Toc487900372"/>
      <w:bookmarkStart w:id="385" w:name="_Toc279701262"/>
      <w:r>
        <w:rPr>
          <w:rFonts w:hint="eastAsia" w:ascii="仿宋" w:hAnsi="仿宋" w:eastAsia="仿宋" w:cs="仿宋"/>
          <w:color w:val="auto"/>
          <w:sz w:val="24"/>
          <w:highlight w:val="none"/>
        </w:rPr>
        <w:t>2.18.1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81"/>
      <w:bookmarkEnd w:id="382"/>
    </w:p>
    <w:p>
      <w:pPr>
        <w:spacing w:line="560" w:lineRule="exact"/>
        <w:ind w:firstLine="480" w:firstLineChars="200"/>
        <w:rPr>
          <w:rFonts w:hint="eastAsia" w:ascii="仿宋" w:hAnsi="仿宋" w:eastAsia="仿宋" w:cs="仿宋"/>
          <w:color w:val="auto"/>
          <w:sz w:val="24"/>
          <w:highlight w:val="none"/>
        </w:rPr>
      </w:pPr>
      <w:bookmarkStart w:id="386" w:name="_Toc23128"/>
      <w:bookmarkStart w:id="387" w:name="_Toc23294"/>
      <w:r>
        <w:rPr>
          <w:rFonts w:hint="eastAsia" w:ascii="仿宋" w:hAnsi="仿宋" w:eastAsia="仿宋" w:cs="仿宋"/>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86"/>
      <w:bookmarkEnd w:id="387"/>
    </w:p>
    <w:p>
      <w:pPr>
        <w:spacing w:line="560" w:lineRule="exact"/>
        <w:ind w:firstLine="482" w:firstLineChars="200"/>
        <w:outlineLvl w:val="0"/>
        <w:rPr>
          <w:rFonts w:hint="eastAsia" w:ascii="仿宋" w:hAnsi="仿宋" w:eastAsia="仿宋" w:cs="仿宋"/>
          <w:b/>
          <w:color w:val="auto"/>
          <w:sz w:val="24"/>
          <w:highlight w:val="none"/>
        </w:rPr>
      </w:pPr>
      <w:bookmarkStart w:id="388" w:name="_Toc2658"/>
      <w:bookmarkStart w:id="389" w:name="_Toc3808"/>
      <w:bookmarkStart w:id="390" w:name="_Toc4355"/>
      <w:bookmarkStart w:id="391" w:name="_Toc4326"/>
      <w:bookmarkStart w:id="392" w:name="_Toc4253"/>
      <w:bookmarkStart w:id="393" w:name="_Toc31572"/>
      <w:bookmarkStart w:id="394" w:name="_Toc18540"/>
      <w:bookmarkStart w:id="395" w:name="_Toc11310"/>
      <w:bookmarkStart w:id="396" w:name="_Toc30599"/>
      <w:bookmarkStart w:id="397" w:name="_Toc20003"/>
      <w:r>
        <w:rPr>
          <w:rFonts w:hint="eastAsia" w:ascii="仿宋" w:hAnsi="仿宋" w:eastAsia="仿宋" w:cs="仿宋"/>
          <w:b/>
          <w:color w:val="auto"/>
          <w:sz w:val="24"/>
          <w:highlight w:val="none"/>
        </w:rPr>
        <w:t>2.19 计量单位</w:t>
      </w:r>
      <w:bookmarkEnd w:id="383"/>
      <w:bookmarkEnd w:id="384"/>
      <w:bookmarkEnd w:id="385"/>
      <w:bookmarkEnd w:id="388"/>
      <w:bookmarkEnd w:id="389"/>
      <w:bookmarkEnd w:id="390"/>
      <w:bookmarkEnd w:id="391"/>
      <w:bookmarkEnd w:id="392"/>
      <w:bookmarkEnd w:id="393"/>
      <w:bookmarkEnd w:id="394"/>
      <w:bookmarkEnd w:id="395"/>
      <w:bookmarkEnd w:id="396"/>
      <w:bookmarkEnd w:id="3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398" w:name="_Toc18567"/>
      <w:bookmarkStart w:id="399" w:name="_Toc259093692"/>
      <w:bookmarkStart w:id="400" w:name="_Toc23218"/>
      <w:bookmarkStart w:id="401" w:name="_Toc18817"/>
      <w:bookmarkStart w:id="402" w:name="_Toc17301"/>
      <w:bookmarkStart w:id="403" w:name="_Toc10330"/>
      <w:bookmarkStart w:id="404" w:name="_Toc21928"/>
      <w:bookmarkStart w:id="405" w:name="_Toc4735"/>
      <w:bookmarkStart w:id="406" w:name="_Toc487900373"/>
      <w:bookmarkStart w:id="407" w:name="_Toc12773"/>
      <w:bookmarkStart w:id="408" w:name="_Toc32587"/>
      <w:bookmarkStart w:id="409" w:name="_Toc15075"/>
      <w:bookmarkStart w:id="410" w:name="_Toc279701263"/>
      <w:r>
        <w:rPr>
          <w:rFonts w:hint="eastAsia" w:ascii="仿宋" w:hAnsi="仿宋" w:eastAsia="仿宋" w:cs="仿宋"/>
          <w:b/>
          <w:color w:val="auto"/>
          <w:sz w:val="24"/>
          <w:highlight w:val="none"/>
        </w:rPr>
        <w:t>2.20 合同使用的文字和适用的法律</w:t>
      </w:r>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411" w:name="_Toc21426"/>
      <w:bookmarkStart w:id="412" w:name="_Toc12004"/>
      <w:bookmarkStart w:id="413" w:name="_Toc279701264"/>
      <w:bookmarkStart w:id="414" w:name="_Toc3148"/>
      <w:bookmarkStart w:id="415" w:name="_Toc259093693"/>
      <w:bookmarkStart w:id="416" w:name="_Toc2392"/>
      <w:bookmarkStart w:id="417" w:name="_Toc25603"/>
      <w:bookmarkStart w:id="418" w:name="_Toc27260"/>
      <w:bookmarkStart w:id="419" w:name="_Toc25137"/>
      <w:bookmarkStart w:id="420" w:name="_Toc18539"/>
      <w:bookmarkStart w:id="421" w:name="_Toc31374"/>
      <w:bookmarkStart w:id="422" w:name="_Toc16673"/>
      <w:bookmarkStart w:id="423" w:name="_Toc487900374"/>
      <w:r>
        <w:rPr>
          <w:rFonts w:hint="eastAsia" w:ascii="仿宋" w:hAnsi="仿宋" w:eastAsia="仿宋" w:cs="仿宋"/>
          <w:b/>
          <w:color w:val="auto"/>
          <w:sz w:val="24"/>
          <w:highlight w:val="none"/>
        </w:rPr>
        <w:t>2.21 履约保证金</w:t>
      </w:r>
      <w:bookmarkEnd w:id="411"/>
      <w:bookmarkEnd w:id="412"/>
      <w:bookmarkEnd w:id="413"/>
      <w:bookmarkEnd w:id="414"/>
      <w:bookmarkEnd w:id="415"/>
      <w:bookmarkEnd w:id="416"/>
      <w:bookmarkEnd w:id="417"/>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23"/>
    <w:p>
      <w:pPr>
        <w:spacing w:line="560" w:lineRule="exact"/>
        <w:ind w:firstLine="482" w:firstLineChars="200"/>
        <w:outlineLvl w:val="0"/>
        <w:rPr>
          <w:rFonts w:hint="eastAsia" w:ascii="仿宋" w:hAnsi="仿宋" w:eastAsia="仿宋" w:cs="仿宋"/>
          <w:b/>
          <w:color w:val="auto"/>
          <w:sz w:val="24"/>
          <w:highlight w:val="none"/>
        </w:rPr>
      </w:pPr>
      <w:bookmarkStart w:id="424" w:name="_Toc28957"/>
      <w:bookmarkStart w:id="425" w:name="_Toc24986"/>
      <w:bookmarkStart w:id="426" w:name="_Toc14001"/>
      <w:bookmarkStart w:id="427" w:name="_Toc30751"/>
      <w:bookmarkStart w:id="428" w:name="_Toc6885"/>
      <w:bookmarkStart w:id="429" w:name="_Toc19890"/>
      <w:bookmarkStart w:id="430" w:name="_Toc32400"/>
      <w:bookmarkStart w:id="431" w:name="_Toc22827"/>
      <w:bookmarkStart w:id="432" w:name="_Toc21053"/>
      <w:bookmarkStart w:id="433" w:name="_Toc21727"/>
      <w:r>
        <w:rPr>
          <w:rFonts w:hint="eastAsia" w:ascii="仿宋" w:hAnsi="仿宋" w:eastAsia="仿宋" w:cs="仿宋"/>
          <w:b/>
          <w:color w:val="auto"/>
          <w:sz w:val="24"/>
          <w:highlight w:val="none"/>
        </w:rPr>
        <w:t>2.22 合同份数</w:t>
      </w:r>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86"/>
        <w:rPr>
          <w:rFonts w:hint="eastAsia" w:ascii="仿宋" w:hAnsi="仿宋" w:eastAsia="仿宋" w:cs="仿宋"/>
          <w:color w:val="auto"/>
          <w:highlight w:val="none"/>
        </w:rPr>
      </w:pPr>
    </w:p>
    <w:p>
      <w:pPr>
        <w:rPr>
          <w:rFonts w:hint="eastAsia" w:ascii="仿宋" w:hAnsi="仿宋" w:eastAsia="仿宋" w:cs="仿宋"/>
          <w:b/>
          <w:bCs/>
          <w:color w:val="auto"/>
          <w:sz w:val="32"/>
          <w:szCs w:val="32"/>
          <w:highlight w:val="none"/>
        </w:rPr>
      </w:pPr>
      <w:bookmarkStart w:id="434" w:name="_Toc331685784"/>
      <w:r>
        <w:rPr>
          <w:rFonts w:hint="eastAsia" w:ascii="仿宋" w:hAnsi="仿宋" w:eastAsia="仿宋" w:cs="仿宋"/>
          <w:b/>
          <w:bCs/>
          <w:color w:val="auto"/>
          <w:sz w:val="32"/>
          <w:szCs w:val="32"/>
          <w:highlight w:val="none"/>
        </w:rPr>
        <w:br w:type="page"/>
      </w:r>
    </w:p>
    <w:p>
      <w:pPr>
        <w:widowControl/>
        <w:tabs>
          <w:tab w:val="left" w:pos="724"/>
        </w:tabs>
        <w:spacing w:line="4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合同专用条款</w:t>
      </w:r>
      <w:bookmarkEnd w:id="434"/>
    </w:p>
    <w:p>
      <w:pPr>
        <w:widowControl/>
        <w:tabs>
          <w:tab w:val="left" w:pos="724"/>
        </w:tabs>
        <w:spacing w:line="460" w:lineRule="exact"/>
        <w:jc w:val="left"/>
        <w:rPr>
          <w:rFonts w:hint="eastAsia" w:ascii="仿宋" w:hAnsi="仿宋" w:eastAsia="仿宋" w:cs="仿宋"/>
          <w:color w:val="auto"/>
          <w:sz w:val="24"/>
          <w:szCs w:val="24"/>
          <w:highlight w:val="none"/>
        </w:rPr>
      </w:pPr>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4"/>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7"/>
        <w:gridCol w:w="8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847" w:type="dxa"/>
            <w:tcBorders>
              <w:left w:val="single" w:color="auto" w:sz="4" w:space="0"/>
            </w:tcBorders>
            <w:vAlign w:val="center"/>
          </w:tcPr>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073"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847" w:type="dxa"/>
            <w:tcBorders>
              <w:left w:val="single" w:color="auto" w:sz="4" w:space="0"/>
            </w:tcBorders>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8073"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847" w:type="dxa"/>
            <w:tcBorders>
              <w:left w:val="single" w:color="auto" w:sz="4" w:space="0"/>
            </w:tcBorders>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8073"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847" w:type="dxa"/>
            <w:tcBorders>
              <w:left w:val="single" w:color="auto" w:sz="4" w:space="0"/>
            </w:tcBorders>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c>
          <w:tcPr>
            <w:tcW w:w="8073" w:type="dxa"/>
            <w:vAlign w:val="center"/>
          </w:tcPr>
          <w:p>
            <w:pPr>
              <w:widowControl/>
              <w:tabs>
                <w:tab w:val="left" w:pos="724"/>
              </w:tabs>
              <w:spacing w:line="460" w:lineRule="exact"/>
              <w:jc w:val="left"/>
              <w:rPr>
                <w:rFonts w:hint="eastAsia" w:ascii="仿宋" w:hAnsi="仿宋" w:eastAsia="仿宋" w:cs="仿宋"/>
                <w:color w:val="auto"/>
                <w:sz w:val="24"/>
                <w:szCs w:val="24"/>
                <w:highlight w:val="none"/>
              </w:rPr>
            </w:pPr>
          </w:p>
        </w:tc>
      </w:tr>
    </w:tbl>
    <w:p>
      <w:pPr>
        <w:spacing w:after="156" w:line="560" w:lineRule="exact"/>
        <w:jc w:val="center"/>
        <w:rPr>
          <w:rStyle w:val="54"/>
          <w:rFonts w:hint="eastAsia" w:ascii="仿宋" w:hAnsi="仿宋" w:eastAsia="仿宋" w:cs="仿宋"/>
          <w:color w:val="auto"/>
          <w:highlight w:val="none"/>
        </w:rPr>
      </w:pPr>
    </w:p>
    <w:p>
      <w:pPr>
        <w:pStyle w:val="17"/>
        <w:rPr>
          <w:rStyle w:val="54"/>
          <w:rFonts w:hint="eastAsia" w:ascii="仿宋" w:hAnsi="仿宋" w:eastAsia="仿宋" w:cs="仿宋"/>
          <w:color w:val="auto"/>
          <w:highlight w:val="none"/>
        </w:rPr>
      </w:pPr>
    </w:p>
    <w:p>
      <w:pPr>
        <w:rPr>
          <w:rStyle w:val="54"/>
          <w:rFonts w:hint="eastAsia" w:ascii="仿宋" w:hAnsi="仿宋" w:eastAsia="仿宋" w:cs="仿宋"/>
          <w:color w:val="auto"/>
          <w:highlight w:val="none"/>
        </w:rPr>
      </w:pPr>
    </w:p>
    <w:p>
      <w:pPr>
        <w:pStyle w:val="17"/>
        <w:rPr>
          <w:rStyle w:val="54"/>
          <w:rFonts w:hint="eastAsia" w:ascii="仿宋" w:hAnsi="仿宋" w:eastAsia="仿宋" w:cs="仿宋"/>
          <w:color w:val="auto"/>
          <w:highlight w:val="none"/>
        </w:rPr>
      </w:pPr>
    </w:p>
    <w:p>
      <w:pPr>
        <w:rPr>
          <w:rStyle w:val="54"/>
          <w:rFonts w:hint="eastAsia" w:ascii="仿宋" w:hAnsi="仿宋" w:eastAsia="仿宋" w:cs="仿宋"/>
          <w:color w:val="auto"/>
          <w:highlight w:val="none"/>
        </w:rPr>
      </w:pPr>
    </w:p>
    <w:p>
      <w:pPr>
        <w:pStyle w:val="8"/>
        <w:outlineLvl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8"/>
        <w:outlineLvl w:val="9"/>
        <w:rPr>
          <w:rFonts w:hint="eastAsia" w:ascii="仿宋" w:hAnsi="仿宋" w:eastAsia="仿宋" w:cs="仿宋"/>
          <w:color w:val="auto"/>
          <w:highlight w:val="none"/>
        </w:rPr>
      </w:pPr>
    </w:p>
    <w:p>
      <w:pPr>
        <w:pStyle w:val="17"/>
        <w:rPr>
          <w:rStyle w:val="54"/>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7"/>
        <w:rPr>
          <w:rStyle w:val="54"/>
          <w:rFonts w:hint="eastAsia" w:ascii="仿宋" w:hAnsi="仿宋" w:eastAsia="仿宋" w:cs="仿宋"/>
          <w:color w:val="auto"/>
          <w:highlight w:val="none"/>
        </w:rPr>
      </w:pPr>
    </w:p>
    <w:p>
      <w:pPr>
        <w:rPr>
          <w:rStyle w:val="54"/>
          <w:rFonts w:hint="eastAsia" w:ascii="仿宋" w:hAnsi="仿宋" w:eastAsia="仿宋" w:cs="仿宋"/>
          <w:color w:val="auto"/>
          <w:highlight w:val="none"/>
        </w:rPr>
      </w:pPr>
    </w:p>
    <w:p>
      <w:pPr>
        <w:pStyle w:val="23"/>
        <w:rPr>
          <w:rFonts w:hint="eastAsia" w:ascii="仿宋" w:hAnsi="仿宋" w:eastAsia="仿宋" w:cs="仿宋"/>
          <w:color w:val="auto"/>
          <w:highlight w:val="none"/>
        </w:rPr>
      </w:pPr>
    </w:p>
    <w:bookmarkEnd w:id="117"/>
    <w:bookmarkEnd w:id="118"/>
    <w:bookmarkEnd w:id="119"/>
    <w:bookmarkEnd w:id="120"/>
    <w:p>
      <w:pPr>
        <w:rPr>
          <w:rFonts w:hint="eastAsia" w:ascii="仿宋" w:hAnsi="仿宋" w:eastAsia="仿宋" w:cs="仿宋"/>
          <w:b/>
          <w:color w:val="auto"/>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lang w:eastAsia="zh-CN"/>
        </w:rPr>
        <w:t>章</w:t>
      </w:r>
      <w:r>
        <w:rPr>
          <w:rFonts w:hint="eastAsia" w:ascii="仿宋" w:hAnsi="仿宋" w:eastAsia="仿宋" w:cs="仿宋"/>
          <w:b/>
          <w:color w:val="auto"/>
          <w:sz w:val="32"/>
          <w:szCs w:val="32"/>
          <w:highlight w:val="none"/>
        </w:rPr>
        <w:t xml:space="preserve">  投标文件内容及格式</w:t>
      </w:r>
    </w:p>
    <w:p>
      <w:pPr>
        <w:pStyle w:val="5"/>
        <w:numPr>
          <w:ilvl w:val="0"/>
          <w:numId w:val="0"/>
        </w:numPr>
        <w:ind w:leftChars="0"/>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highlight w:val="none"/>
          <w:lang w:val="en-US" w:eastAsia="zh-CN"/>
        </w:rPr>
        <w:t>正/副本</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文  件</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color w:val="auto"/>
          <w:sz w:val="24"/>
          <w:highlight w:val="none"/>
        </w:rPr>
      </w:pP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（单位公章）</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pPr>
        <w:spacing w:line="360" w:lineRule="auto"/>
        <w:rPr>
          <w:rFonts w:hint="eastAsia" w:ascii="仿宋" w:hAnsi="仿宋" w:eastAsia="仿宋" w:cs="仿宋"/>
          <w:color w:val="auto"/>
          <w:sz w:val="24"/>
          <w:szCs w:val="22"/>
          <w:highlight w:val="none"/>
          <w:lang w:val="en-US" w:eastAsia="zh-CN"/>
        </w:rPr>
      </w:pPr>
      <w:bookmarkStart w:id="435" w:name="_Toc19403"/>
      <w:bookmarkStart w:id="436" w:name="_Toc17339"/>
      <w:bookmarkStart w:id="437" w:name="_Toc8540"/>
      <w:bookmarkStart w:id="438" w:name="_Toc23287"/>
      <w:bookmarkStart w:id="439" w:name="_Toc22085"/>
      <w:r>
        <w:rPr>
          <w:rFonts w:hint="eastAsia" w:ascii="仿宋" w:hAnsi="仿宋" w:eastAsia="仿宋" w:cs="仿宋"/>
          <w:color w:val="auto"/>
          <w:sz w:val="24"/>
          <w:szCs w:val="22"/>
          <w:highlight w:val="none"/>
          <w:lang w:val="en-US" w:eastAsia="zh-CN"/>
        </w:rPr>
        <w:t>一、投 标 函</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二、投标文件真实性和不存在限制投标情形的声明</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三、开标一览表</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四、法定代表人身份证明、法定代表人授权委托书</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五、投标保证金（投标保证金银行转账单复印件）</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六、技术规格功能要求偏离表</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七、商务条款偏离表</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八、投标单位简介</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九、近三年业绩及相关证明</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十、质量保证书</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十一、符合《政府采购法》第二十二条规定的条件</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十二、满足特殊资质要求</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十三、投标单位（供应商）反商业贿赂承诺书</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十四、中小企业声明函（如是）</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十五、节能、环保产品证明（如有）</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十六、网站截图</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十七、疫苗免疫副反应、免疫失败、产品质量问题等处理方案损失补偿方案</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十八、抗体水平监测方案</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十九、售后服务及质量保障措施方案</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二十、响应时间</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二十一、产品保险证明</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二十二、产品技术指标及生产能力</w:t>
      </w:r>
    </w:p>
    <w:p>
      <w:pP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二十三、投标人认为需要提供的其他资料</w:t>
      </w:r>
    </w:p>
    <w:p>
      <w:pPr>
        <w:numPr>
          <w:ilvl w:val="0"/>
          <w:numId w:val="0"/>
        </w:numPr>
        <w:rPr>
          <w:rFonts w:hint="eastAsia" w:ascii="仿宋" w:hAnsi="仿宋" w:eastAsia="仿宋" w:cs="仿宋"/>
          <w:color w:val="auto"/>
          <w:sz w:val="28"/>
          <w:szCs w:val="28"/>
          <w:highlight w:val="none"/>
          <w:lang w:val="en-US" w:eastAsia="zh-CN"/>
        </w:rPr>
      </w:pPr>
    </w:p>
    <w:p>
      <w:pPr>
        <w:pStyle w:val="2"/>
        <w:ind w:left="0" w:leftChars="0" w:firstLine="0" w:firstLineChars="0"/>
        <w:rPr>
          <w:rFonts w:hint="eastAsia" w:ascii="仿宋" w:hAnsi="仿宋" w:eastAsia="仿宋" w:cs="仿宋"/>
          <w:color w:val="auto"/>
          <w:highlight w:val="none"/>
          <w:lang w:val="en-US" w:eastAsia="zh-CN"/>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numPr>
          <w:ilvl w:val="0"/>
          <w:numId w:val="0"/>
        </w:numPr>
        <w:jc w:val="center"/>
        <w:rPr>
          <w:rFonts w:hint="eastAsia"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bookmarkEnd w:id="435"/>
      <w:bookmarkEnd w:id="436"/>
      <w:bookmarkEnd w:id="437"/>
      <w:bookmarkEnd w:id="438"/>
      <w:r>
        <w:rPr>
          <w:rFonts w:hint="eastAsia" w:ascii="仿宋" w:hAnsi="仿宋" w:eastAsia="仿宋" w:cs="仿宋"/>
          <w:b/>
          <w:bCs/>
          <w:color w:val="auto"/>
          <w:sz w:val="28"/>
          <w:szCs w:val="28"/>
          <w:highlight w:val="none"/>
          <w:lang w:val="en-US" w:eastAsia="zh-CN"/>
        </w:rPr>
        <w:t>函</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（招标单位）</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收到你们的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（招标文件编号）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（项目名称），经认真研究，我们决定参加投标。</w:t>
      </w:r>
    </w:p>
    <w:p>
      <w:pPr>
        <w:numPr>
          <w:ilvl w:val="0"/>
          <w:numId w:val="9"/>
        </w:numPr>
        <w:spacing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按照招标文件中的一切要求，提供招标</w:t>
      </w:r>
      <w:r>
        <w:rPr>
          <w:rFonts w:hint="eastAsia" w:ascii="仿宋" w:hAnsi="仿宋" w:eastAsia="仿宋" w:cs="仿宋"/>
          <w:color w:val="auto"/>
          <w:sz w:val="24"/>
          <w:highlight w:val="none"/>
          <w:lang w:eastAsia="zh-CN"/>
        </w:rPr>
        <w:t>货物的采购、供应、运输装卸费、保险费、税费和相关售后服务等费用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元（用阿拉伯数字书写）人民币大写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，明细见投标报价表。</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如果我们的投标书被接受，我们将履行招标文件中规定的每一项义务和要求，按期、按质、按量完成交货。</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我们同意按招标文件的规定，本标书的有效期为开标后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我们愿意提供招标人在招标文件中要求的所有资料。</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我们认为你们有选择或拒绝任何投标者中标的权利。我们理解，最低报价不是中标的唯一条件。</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我们愿意按合同履行自己的全部责任。</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我们愿意遵守国家有关规定和招标文件中规定的收费标准，承付中标服务费。</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该项投标在开标后全过程中保持有效，不做任何更改和变动。</w:t>
      </w:r>
    </w:p>
    <w:p>
      <w:pPr>
        <w:numPr>
          <w:ilvl w:val="0"/>
          <w:numId w:val="9"/>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我们同意按招标文件规定，缴纳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元投标保证金。</w:t>
      </w:r>
    </w:p>
    <w:p>
      <w:pPr>
        <w:spacing w:line="440" w:lineRule="exact"/>
        <w:ind w:left="721" w:leftChars="229"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10我们保证投标文件中的所有证件和内容真实有效，否则我们愿意承担一切法律责任。</w:t>
      </w:r>
    </w:p>
    <w:p>
      <w:pPr>
        <w:spacing w:line="440" w:lineRule="exact"/>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11、其他说明。</w:t>
      </w:r>
    </w:p>
    <w:p>
      <w:pPr>
        <w:spacing w:line="440" w:lineRule="exact"/>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12、所有有关本标书的函电，请按下列地址联系：</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投标单位(盖章) ：                       </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法定代表人或其授权委托人（签字或盖章）：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电报挂号：</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spacing w:line="440" w:lineRule="exact"/>
        <w:ind w:firstLine="48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投标文件真实性和不存在限制投标情形的声明</w:t>
      </w:r>
    </w:p>
    <w:p>
      <w:pPr>
        <w:spacing w:line="200" w:lineRule="exact"/>
        <w:rPr>
          <w:rFonts w:hint="eastAsia" w:ascii="仿宋" w:hAnsi="仿宋" w:eastAsia="仿宋" w:cs="仿宋"/>
          <w:color w:val="auto"/>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和田地区农业农村局</w:t>
      </w:r>
      <w:r>
        <w:rPr>
          <w:rFonts w:hint="eastAsia" w:ascii="仿宋" w:hAnsi="仿宋" w:eastAsia="仿宋" w:cs="仿宋"/>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pPr>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440" w:name="_Toc2775"/>
      <w:bookmarkStart w:id="441" w:name="_Toc7164"/>
      <w:bookmarkStart w:id="442" w:name="_Toc21652"/>
      <w:bookmarkStart w:id="443" w:name="_Toc21183"/>
      <w:bookmarkStart w:id="444" w:name="_Toc22822"/>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pPr>
        <w:pStyle w:val="8"/>
        <w:rPr>
          <w:rFonts w:hint="eastAsia" w:ascii="仿宋" w:hAnsi="仿宋" w:eastAsia="仿宋" w:cs="仿宋"/>
          <w:color w:val="auto"/>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三、开标</w:t>
      </w:r>
      <w:r>
        <w:rPr>
          <w:rFonts w:hint="eastAsia" w:ascii="仿宋" w:hAnsi="仿宋" w:eastAsia="仿宋" w:cs="仿宋"/>
          <w:b/>
          <w:bCs/>
          <w:color w:val="auto"/>
          <w:sz w:val="30"/>
          <w:szCs w:val="30"/>
          <w:highlight w:val="none"/>
        </w:rPr>
        <w:t>一览表</w:t>
      </w:r>
      <w:bookmarkEnd w:id="440"/>
      <w:bookmarkEnd w:id="441"/>
      <w:bookmarkEnd w:id="442"/>
      <w:bookmarkEnd w:id="443"/>
      <w:bookmarkEnd w:id="444"/>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pP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highlight w:val="none"/>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4"/>
        <w:gridCol w:w="1717"/>
        <w:gridCol w:w="5114"/>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6831"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内容</w:t>
            </w: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w:t>
            </w:r>
          </w:p>
        </w:tc>
        <w:tc>
          <w:tcPr>
            <w:tcW w:w="1717"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投标人名称</w:t>
            </w:r>
          </w:p>
        </w:tc>
        <w:tc>
          <w:tcPr>
            <w:tcW w:w="5114"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rPr>
            </w:pP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投 标 </w:t>
            </w:r>
            <w:r>
              <w:rPr>
                <w:rFonts w:hint="eastAsia" w:ascii="仿宋" w:hAnsi="仿宋" w:eastAsia="仿宋" w:cs="仿宋"/>
                <w:b w:val="0"/>
                <w:bCs/>
                <w:color w:val="auto"/>
                <w:sz w:val="28"/>
                <w:szCs w:val="28"/>
                <w:highlight w:val="none"/>
                <w:lang w:val="en-US" w:eastAsia="zh-CN"/>
              </w:rPr>
              <w:t>总 价</w:t>
            </w:r>
            <w:r>
              <w:rPr>
                <w:rFonts w:hint="eastAsia" w:ascii="仿宋" w:hAnsi="仿宋" w:eastAsia="仿宋" w:cs="仿宋"/>
                <w:b w:val="0"/>
                <w:bCs/>
                <w:color w:val="auto"/>
                <w:sz w:val="28"/>
                <w:szCs w:val="28"/>
                <w:highlight w:val="none"/>
              </w:rPr>
              <w:t>合 计</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小写：</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元</w:t>
            </w:r>
          </w:p>
          <w:p>
            <w:pPr>
              <w:snapToGrid w:val="0"/>
              <w:spacing w:line="360" w:lineRule="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大写：</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lang w:eastAsia="zh-CN"/>
              </w:rPr>
              <w:t>合同履行期限</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559"/>
              <w:rPr>
                <w:rFonts w:hint="eastAsia" w:ascii="仿宋" w:hAnsi="仿宋" w:eastAsia="仿宋" w:cs="仿宋"/>
                <w:b w:val="0"/>
                <w:bCs/>
                <w:color w:val="auto"/>
                <w:sz w:val="28"/>
                <w:szCs w:val="28"/>
                <w:highlight w:val="none"/>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其他事项申明</w:t>
            </w:r>
          </w:p>
        </w:tc>
        <w:tc>
          <w:tcPr>
            <w:tcW w:w="5114"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color w:val="auto"/>
                <w:sz w:val="28"/>
                <w:szCs w:val="28"/>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color w:val="auto"/>
                <w:sz w:val="28"/>
                <w:szCs w:val="28"/>
                <w:highlight w:val="none"/>
              </w:rPr>
            </w:pPr>
          </w:p>
        </w:tc>
      </w:tr>
    </w:tbl>
    <w:p>
      <w:pPr>
        <w:rPr>
          <w:rFonts w:hint="eastAsia" w:ascii="仿宋" w:hAnsi="仿宋" w:eastAsia="仿宋" w:cs="仿宋"/>
          <w:b w:val="0"/>
          <w:bCs/>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注：1、报价货币为人民币。</w:t>
      </w:r>
    </w:p>
    <w:p>
      <w:pPr>
        <w:numPr>
          <w:ilvl w:val="0"/>
          <w:numId w:val="0"/>
        </w:numPr>
        <w:spacing w:line="360" w:lineRule="auto"/>
        <w:ind w:leftChars="0"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2、开标一览表中投标总报价大小应写一致，如不一致以大写为准。</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3、各投标企业总投标报价不得高于本项目采购预算价，超过本项目采购预算价的视为无效报价，作否决投标处理。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投标单位：（单位公章）</w:t>
      </w:r>
    </w:p>
    <w:p>
      <w:pPr>
        <w:spacing w:line="360" w:lineRule="auto"/>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3360" w:firstLineChars="14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bookmarkStart w:id="445" w:name="_Toc4683"/>
      <w:bookmarkStart w:id="446" w:name="_Toc12987"/>
      <w:bookmarkStart w:id="447" w:name="_Toc21935"/>
      <w:bookmarkStart w:id="448" w:name="_Toc4570"/>
      <w:bookmarkStart w:id="449" w:name="_Toc32601"/>
    </w:p>
    <w:p>
      <w:pPr>
        <w:spacing w:line="360" w:lineRule="auto"/>
        <w:rPr>
          <w:rFonts w:hint="eastAsia" w:ascii="仿宋" w:hAnsi="仿宋" w:eastAsia="仿宋" w:cs="仿宋"/>
          <w:color w:val="auto"/>
          <w:sz w:val="24"/>
          <w:highlight w:val="none"/>
        </w:rPr>
      </w:pPr>
    </w:p>
    <w:p>
      <w:pP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br w:type="page"/>
      </w:r>
    </w:p>
    <w:p>
      <w:pPr>
        <w:pStyle w:val="7"/>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445"/>
      <w:bookmarkEnd w:id="446"/>
      <w:bookmarkEnd w:id="447"/>
      <w:bookmarkEnd w:id="448"/>
      <w:bookmarkEnd w:id="449"/>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17"/>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22"/>
          <w:highlight w:val="none"/>
          <w:lang w:val="en-US" w:eastAsia="zh-CN" w:bidi="ar-SA"/>
        </w:rPr>
        <w:t xml:space="preserve">项目编号： </w:t>
      </w:r>
      <w:r>
        <w:rPr>
          <w:rFonts w:hint="eastAsia" w:ascii="仿宋" w:hAnsi="仿宋" w:eastAsia="仿宋" w:cs="仿宋"/>
          <w:color w:val="auto"/>
          <w:sz w:val="24"/>
          <w:highlight w:val="none"/>
        </w:rPr>
        <w:t xml:space="preserve">      </w:t>
      </w:r>
    </w:p>
    <w:tbl>
      <w:tblPr>
        <w:tblStyle w:val="44"/>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00"/>
        <w:gridCol w:w="1233"/>
        <w:gridCol w:w="1347"/>
        <w:gridCol w:w="849"/>
        <w:gridCol w:w="994"/>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0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233" w:type="dxa"/>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规格</w:t>
            </w:r>
          </w:p>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型号</w:t>
            </w:r>
          </w:p>
        </w:tc>
        <w:tc>
          <w:tcPr>
            <w:tcW w:w="1347" w:type="dxa"/>
            <w:noWrap w:val="0"/>
            <w:vAlign w:val="center"/>
          </w:tcPr>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品牌</w:t>
            </w:r>
          </w:p>
        </w:tc>
        <w:tc>
          <w:tcPr>
            <w:tcW w:w="849"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994"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产地</w:t>
            </w:r>
          </w:p>
        </w:tc>
        <w:tc>
          <w:tcPr>
            <w:tcW w:w="994"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994"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3" w:type="dxa"/>
            <w:noWrap w:val="0"/>
            <w:vAlign w:val="center"/>
          </w:tcPr>
          <w:p>
            <w:pPr>
              <w:jc w:val="center"/>
              <w:rPr>
                <w:rFonts w:hint="eastAsia" w:ascii="仿宋" w:hAnsi="仿宋" w:eastAsia="仿宋" w:cs="仿宋"/>
                <w:color w:val="auto"/>
                <w:sz w:val="24"/>
                <w:szCs w:val="24"/>
                <w:highlight w:val="none"/>
              </w:rPr>
            </w:pPr>
          </w:p>
        </w:tc>
        <w:tc>
          <w:tcPr>
            <w:tcW w:w="1600" w:type="dxa"/>
            <w:noWrap w:val="0"/>
            <w:vAlign w:val="center"/>
          </w:tcPr>
          <w:p>
            <w:pPr>
              <w:jc w:val="center"/>
              <w:rPr>
                <w:rFonts w:hint="eastAsia" w:ascii="仿宋" w:hAnsi="仿宋" w:eastAsia="仿宋" w:cs="仿宋"/>
                <w:color w:val="auto"/>
                <w:sz w:val="24"/>
                <w:szCs w:val="24"/>
                <w:highlight w:val="none"/>
              </w:rPr>
            </w:pPr>
          </w:p>
        </w:tc>
        <w:tc>
          <w:tcPr>
            <w:tcW w:w="1233" w:type="dxa"/>
            <w:noWrap w:val="0"/>
            <w:vAlign w:val="center"/>
          </w:tcPr>
          <w:p>
            <w:pPr>
              <w:jc w:val="center"/>
              <w:rPr>
                <w:rFonts w:hint="eastAsia" w:ascii="仿宋" w:hAnsi="仿宋" w:eastAsia="仿宋" w:cs="仿宋"/>
                <w:color w:val="auto"/>
                <w:sz w:val="24"/>
                <w:szCs w:val="24"/>
                <w:highlight w:val="none"/>
              </w:rPr>
            </w:pPr>
          </w:p>
        </w:tc>
        <w:tc>
          <w:tcPr>
            <w:tcW w:w="1347" w:type="dxa"/>
            <w:noWrap w:val="0"/>
            <w:vAlign w:val="center"/>
          </w:tcPr>
          <w:p>
            <w:pPr>
              <w:jc w:val="center"/>
              <w:rPr>
                <w:rFonts w:hint="eastAsia" w:ascii="仿宋" w:hAnsi="仿宋" w:eastAsia="仿宋" w:cs="仿宋"/>
                <w:color w:val="auto"/>
                <w:sz w:val="24"/>
                <w:szCs w:val="24"/>
                <w:highlight w:val="none"/>
              </w:rPr>
            </w:pPr>
          </w:p>
        </w:tc>
        <w:tc>
          <w:tcPr>
            <w:tcW w:w="849"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c>
          <w:tcPr>
            <w:tcW w:w="994" w:type="dxa"/>
            <w:noWrap w:val="0"/>
            <w:vAlign w:val="center"/>
          </w:tcPr>
          <w:p>
            <w:pPr>
              <w:jc w:val="center"/>
              <w:rPr>
                <w:rFonts w:hint="eastAsia" w:ascii="仿宋" w:hAnsi="仿宋" w:eastAsia="仿宋" w:cs="仿宋"/>
                <w:color w:val="auto"/>
                <w:sz w:val="24"/>
                <w:szCs w:val="24"/>
                <w:highlight w:val="none"/>
              </w:rPr>
            </w:pPr>
          </w:p>
        </w:tc>
      </w:tr>
    </w:tbl>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注：1、投标报价均用人民币表示，单位为元。</w:t>
      </w:r>
    </w:p>
    <w:p>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2、本项目各包分别报价，投标人对每包所投标产品报且只能报一个投标价，且所报价格不得高于最高限价。</w:t>
      </w:r>
    </w:p>
    <w:p>
      <w:pPr>
        <w:spacing w:line="360" w:lineRule="auto"/>
        <w:ind w:firstLine="964" w:firstLineChars="4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对所投产品报价为对应本项目需求的全部货物及所需附件购置费（货款）、包装费、运杂费（含装卸费）、人工费、风险费、保险费、检测费（含各类特殊检测费用）、技术培训费、各种税费、利润、资料费、货到采购人指定地点的所有费用、售后服务开支及完成项目应有的全部费用。所有优惠均体现在投标报价中，额外标明或承诺提供其他费用或物品均不予认可。</w:t>
      </w:r>
    </w:p>
    <w:p>
      <w:pPr>
        <w:spacing w:line="360" w:lineRule="auto"/>
        <w:ind w:firstLine="4080" w:firstLineChars="17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bookmarkStart w:id="450" w:name="_Toc248313661"/>
      <w:bookmarkStart w:id="451" w:name="_Toc329785083"/>
      <w:bookmarkStart w:id="452" w:name="_Toc22433"/>
      <w:bookmarkStart w:id="453" w:name="_Toc6647"/>
      <w:bookmarkStart w:id="454" w:name="_Toc19324"/>
      <w:bookmarkStart w:id="455" w:name="_Toc25282"/>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jc w:val="center"/>
        <w:rPr>
          <w:rFonts w:hint="eastAsia" w:ascii="仿宋" w:hAnsi="仿宋" w:eastAsia="仿宋" w:cs="仿宋"/>
          <w:b/>
          <w:bCs/>
          <w:color w:val="auto"/>
          <w:kern w:val="0"/>
          <w:sz w:val="30"/>
          <w:szCs w:val="30"/>
          <w:highlight w:val="none"/>
        </w:rPr>
      </w:pPr>
    </w:p>
    <w:p>
      <w:pPr>
        <w:jc w:val="both"/>
        <w:rPr>
          <w:rFonts w:hint="eastAsia" w:ascii="仿宋" w:hAnsi="仿宋" w:eastAsia="仿宋" w:cs="仿宋"/>
          <w:b/>
          <w:bCs/>
          <w:color w:val="auto"/>
          <w:kern w:val="0"/>
          <w:sz w:val="30"/>
          <w:szCs w:val="30"/>
          <w:highlight w:val="none"/>
        </w:rPr>
      </w:pPr>
    </w:p>
    <w:p>
      <w:pPr>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30"/>
          <w:szCs w:val="30"/>
          <w:highlight w:val="none"/>
          <w:lang w:val="en-US" w:eastAsia="zh-CN"/>
        </w:rPr>
        <w:t>四</w:t>
      </w:r>
      <w:r>
        <w:rPr>
          <w:rFonts w:hint="eastAsia" w:ascii="仿宋" w:hAnsi="仿宋" w:eastAsia="仿宋" w:cs="仿宋"/>
          <w:b/>
          <w:bCs/>
          <w:color w:val="auto"/>
          <w:kern w:val="0"/>
          <w:sz w:val="30"/>
          <w:szCs w:val="30"/>
          <w:highlight w:val="none"/>
        </w:rPr>
        <w:t>、法定代表人身份证明、法定代表人授权委托书</w:t>
      </w:r>
    </w:p>
    <w:p>
      <w:pPr>
        <w:tabs>
          <w:tab w:val="left" w:pos="1813"/>
        </w:tabs>
        <w:autoSpaceDE w:val="0"/>
        <w:autoSpaceDN w:val="0"/>
        <w:adjustRightInd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（一）法定代表人身份证明</w:t>
      </w:r>
    </w:p>
    <w:p>
      <w:pPr>
        <w:tabs>
          <w:tab w:val="left" w:pos="1813"/>
        </w:tabs>
        <w:autoSpaceDE w:val="0"/>
        <w:autoSpaceDN w:val="0"/>
        <w:adjustRightInd w:val="0"/>
        <w:spacing w:line="200" w:lineRule="exact"/>
        <w:rPr>
          <w:rFonts w:hint="eastAsia" w:ascii="仿宋" w:hAnsi="仿宋" w:eastAsia="仿宋" w:cs="仿宋"/>
          <w:color w:val="auto"/>
          <w:kern w:val="0"/>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投标单位</w:t>
      </w:r>
      <w:r>
        <w:rPr>
          <w:rFonts w:hint="eastAsia" w:ascii="仿宋" w:hAnsi="仿宋" w:eastAsia="仿宋" w:cs="仿宋"/>
          <w:color w:val="auto"/>
          <w:kern w:val="0"/>
          <w:sz w:val="24"/>
          <w:szCs w:val="24"/>
          <w:highlight w:val="none"/>
          <w:u w:val="single"/>
        </w:rPr>
        <w:t xml:space="preserve">名称）        </w:t>
      </w:r>
      <w:r>
        <w:rPr>
          <w:rFonts w:hint="eastAsia" w:ascii="仿宋" w:hAnsi="仿宋" w:eastAsia="仿宋" w:cs="仿宋"/>
          <w:color w:val="auto"/>
          <w:kern w:val="0"/>
          <w:sz w:val="24"/>
          <w:szCs w:val="24"/>
          <w:highlight w:val="none"/>
        </w:rPr>
        <w:t>的法定代表人。</w:t>
      </w:r>
    </w:p>
    <w:p>
      <w:pPr>
        <w:shd w:val="clear" w:color="auto" w:fill="FFFFFF"/>
        <w:snapToGrid w:val="0"/>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3048635</wp:posOffset>
                </wp:positionH>
                <wp:positionV relativeFrom="paragraph">
                  <wp:posOffset>121285</wp:posOffset>
                </wp:positionV>
                <wp:extent cx="2755265" cy="1774190"/>
                <wp:effectExtent l="5080" t="4445" r="13335" b="1968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wps:txbx>
                      <wps:bodyPr upright="1"/>
                    </wps:wsp>
                  </a:graphicData>
                </a:graphic>
              </wp:anchor>
            </w:drawing>
          </mc:Choice>
          <mc:Fallback>
            <w:pict>
              <v:rect id="_x0000_s1026" o:spid="_x0000_s1026" o:spt="1" style="position:absolute;left:0pt;margin-left:240.05pt;margin-top:9.55pt;height:139.7pt;width:216.95pt;z-index:251661312;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123825</wp:posOffset>
                </wp:positionV>
                <wp:extent cx="2713355" cy="1781810"/>
                <wp:effectExtent l="4445" t="4445" r="10160" b="12065"/>
                <wp:wrapNone/>
                <wp:docPr id="10" name="矩形 10"/>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wps:txbx>
                      <wps:bodyPr upright="1"/>
                    </wps:wsp>
                  </a:graphicData>
                </a:graphic>
              </wp:anchor>
            </w:drawing>
          </mc:Choice>
          <mc:Fallback>
            <w:pict>
              <v:rect id="_x0000_s1026" o:spid="_x0000_s1026" o:spt="1" style="position:absolute;left:0pt;margin-left:14.35pt;margin-top:9.75pt;height:140.3pt;width:213.65pt;z-index:251660288;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lmX22AAAAAkBAAAPAAAAAAAAAAEAIAAAACIA&#10;AABkcnMvZG93bnJldi54bWxQSwECFAAUAAAACACHTuJAScwzjwkCAAA6BAAADgAAAAAAAAABACAA&#10;AAAnAQAAZHJzL2Uyb0RvYy54bWxQSwUGAAAAAAYABgBZAQAAog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v:textbox>
              </v:rect>
            </w:pict>
          </mc:Fallback>
        </mc:AlternateConten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bookmarkEnd w:id="450"/>
    <w:bookmarkEnd w:id="451"/>
    <w:p>
      <w:pPr>
        <w:numPr>
          <w:ilvl w:val="0"/>
          <w:numId w:val="10"/>
        </w:numPr>
        <w:tabs>
          <w:tab w:val="left" w:pos="1813"/>
        </w:tabs>
        <w:autoSpaceDE w:val="0"/>
        <w:autoSpaceDN w:val="0"/>
        <w:adjustRightInd w:val="0"/>
        <w:spacing w:line="48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法定代表人授权委托书</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u w:val="none"/>
        </w:rPr>
        <w:t xml:space="preserve">的法定代表人授权我公司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代表姓名）  </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代表，代表本公司参加贵司组织的</w:t>
      </w:r>
      <w:r>
        <w:rPr>
          <w:rFonts w:hint="eastAsia" w:ascii="仿宋" w:hAnsi="仿宋" w:eastAsia="仿宋" w:cs="仿宋"/>
          <w:color w:val="auto"/>
          <w:sz w:val="24"/>
          <w:szCs w:val="24"/>
          <w:highlight w:val="none"/>
          <w:u w:val="single"/>
        </w:rPr>
        <w:t xml:space="preserve">    项目名称、招标编号    ）</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活动，全权代表本公司处理</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的一切事宜，包括但不限于：投标、参与开标、谈判、签约等。</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代表在</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过程中所签署的一切文件和处理与之有关的一切事务，本公司均予以认可并对此承担责任。供应商代表无转委托权。特此授权。</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本授权书自出具之日起生效。</w:t>
      </w: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3217545</wp:posOffset>
                </wp:positionH>
                <wp:positionV relativeFrom="paragraph">
                  <wp:posOffset>19050</wp:posOffset>
                </wp:positionV>
                <wp:extent cx="2290445" cy="1324610"/>
                <wp:effectExtent l="4445" t="4445" r="6350" b="12065"/>
                <wp:wrapNone/>
                <wp:docPr id="18" name="矩形 18"/>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3360;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HgH9gAAAAJAQAADwAAAAAAAAABACAAAAAi&#10;AAAAZHJzL2Rvd25yZXYueG1sUEsBAhQAFAAAAAgAh07iQLMBkFUKAgAAOgQAAA4AAAAAAAAAAQAg&#10;AAAAJwEAAGRycy9lMm9Eb2MueG1sUEsFBgAAAAAGAAYAWQEAAKM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50800</wp:posOffset>
                </wp:positionV>
                <wp:extent cx="2540000" cy="1311910"/>
                <wp:effectExtent l="5080" t="4445" r="15240" b="9525"/>
                <wp:wrapNone/>
                <wp:docPr id="19" name="矩形 1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2336;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Azj8PcKAgAAOgQAAA4AAAAAAAAAAQAgAAAA&#10;JA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132715</wp:posOffset>
                </wp:positionV>
                <wp:extent cx="2540000" cy="1311910"/>
                <wp:effectExtent l="5080" t="4445" r="15240" b="9525"/>
                <wp:wrapNone/>
                <wp:docPr id="20" name="矩形 20"/>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4384;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&#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AhOdYAAAAIAQAADwAAAAAAAAABACAAAAAiAAAA&#10;ZHJzL2Rvd25yZXYueG1sUEsBAhQAFAAAAAgAh07iQJX8llQJAgAAOgQAAA4AAAAAAAAAAQAgAAAA&#10;JQEAAGRycy9lMm9Eb2MueG1sUEsFBgAAAAAGAAYAWQEAAKA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3204845</wp:posOffset>
                </wp:positionH>
                <wp:positionV relativeFrom="paragraph">
                  <wp:posOffset>100965</wp:posOffset>
                </wp:positionV>
                <wp:extent cx="2316480" cy="1311910"/>
                <wp:effectExtent l="4445" t="4445" r="10795" b="9525"/>
                <wp:wrapNone/>
                <wp:docPr id="21" name="矩形 21"/>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5408;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b4siQgs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2PIX3YAAAACgEAAA8AAAAAAAAAAQAgAAAA&#10;IgAAAGRycy9kb3ducmV2LnhtbFBLAQIUABQAAAAIAIdO4kBviyJCCwIAADoEAAAOAAAAAAAAAAEA&#10;IAAAACcBAABkcnMvZTJvRG9jLnhtbFBLBQYAAAAABgAGAFkBAACkBQ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年龄：_______</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（盖章）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pPr>
        <w:ind w:firstLine="2760" w:firstLineChars="11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8"/>
        <w:rPr>
          <w:rFonts w:hint="eastAsia" w:ascii="仿宋" w:hAnsi="仿宋" w:eastAsia="仿宋" w:cs="仿宋"/>
          <w:color w:val="auto"/>
          <w:highlight w:val="none"/>
        </w:rPr>
      </w:pPr>
      <w:r>
        <w:rPr>
          <w:rFonts w:hint="eastAsia" w:ascii="仿宋" w:hAnsi="仿宋" w:eastAsia="仿宋" w:cs="仿宋"/>
          <w:color w:val="auto"/>
          <w:sz w:val="28"/>
          <w:szCs w:val="28"/>
          <w:highlight w:val="none"/>
          <w:lang w:eastAsia="zh-CN"/>
        </w:rPr>
        <w:t>注：正面国徽、反面人像</w:t>
      </w:r>
    </w:p>
    <w:p>
      <w:pP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br w:type="page"/>
      </w:r>
    </w:p>
    <w:p>
      <w:pPr>
        <w:spacing w:line="44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五、投标保证金（投标保证金银行转账单复印件）</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23"/>
        <w:tabs>
          <w:tab w:val="left" w:pos="9214"/>
        </w:tabs>
        <w:rPr>
          <w:rFonts w:hint="eastAsia" w:ascii="仿宋" w:hAnsi="仿宋" w:eastAsia="仿宋" w:cs="仿宋"/>
          <w:color w:val="auto"/>
          <w:highlight w:val="none"/>
          <w:lang w:val="en-US" w:eastAsia="zh-CN"/>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both"/>
        <w:rPr>
          <w:rFonts w:hint="eastAsia" w:ascii="仿宋" w:hAnsi="仿宋" w:eastAsia="仿宋" w:cs="仿宋"/>
          <w:b/>
          <w:bCs/>
          <w:color w:val="auto"/>
          <w:kern w:val="2"/>
          <w:sz w:val="28"/>
          <w:szCs w:val="32"/>
          <w:highlight w:val="none"/>
          <w:lang w:val="en-US" w:eastAsia="zh-CN" w:bidi="ar-SA"/>
        </w:rPr>
      </w:pPr>
    </w:p>
    <w:p>
      <w:pP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br w:type="page"/>
      </w:r>
    </w:p>
    <w:p>
      <w:pPr>
        <w:spacing w:line="44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六、技术规格功能要求偏离表</w:t>
      </w:r>
      <w:bookmarkEnd w:id="452"/>
      <w:bookmarkEnd w:id="453"/>
      <w:bookmarkEnd w:id="454"/>
      <w:bookmarkEnd w:id="455"/>
    </w:p>
    <w:p>
      <w:pPr>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招标文件规格功能要求条目号</w:t>
            </w:r>
          </w:p>
        </w:tc>
        <w:tc>
          <w:tcPr>
            <w:tcW w:w="165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要求规格</w:t>
            </w:r>
          </w:p>
        </w:tc>
        <w:tc>
          <w:tcPr>
            <w:tcW w:w="147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w:t>
            </w:r>
          </w:p>
        </w:tc>
        <w:tc>
          <w:tcPr>
            <w:tcW w:w="18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2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bl>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：1、应与招标文件要求逐条对应填写。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2、本表如填写不完，可以续页。</w:t>
      </w:r>
    </w:p>
    <w:p>
      <w:pPr>
        <w:spacing w:line="360" w:lineRule="auto"/>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line="360" w:lineRule="auto"/>
        <w:rPr>
          <w:rFonts w:hint="eastAsia" w:ascii="仿宋" w:hAnsi="仿宋" w:eastAsia="仿宋" w:cs="仿宋"/>
          <w:color w:val="auto"/>
          <w:sz w:val="28"/>
          <w:szCs w:val="28"/>
          <w:highlight w:val="none"/>
        </w:rPr>
      </w:pPr>
    </w:p>
    <w:p>
      <w:pPr>
        <w:pStyle w:val="7"/>
        <w:jc w:val="center"/>
        <w:rPr>
          <w:rFonts w:hint="eastAsia" w:ascii="仿宋" w:hAnsi="仿宋" w:eastAsia="仿宋" w:cs="仿宋"/>
          <w:color w:val="auto"/>
          <w:sz w:val="28"/>
          <w:highlight w:val="none"/>
        </w:rPr>
      </w:pPr>
      <w:bookmarkStart w:id="456" w:name="_Toc13218"/>
      <w:bookmarkStart w:id="457" w:name="_Toc23111"/>
      <w:bookmarkStart w:id="458" w:name="_Toc23139"/>
      <w:bookmarkStart w:id="459" w:name="_Toc27405"/>
      <w:bookmarkStart w:id="460" w:name="_Toc14367"/>
      <w:r>
        <w:rPr>
          <w:rFonts w:hint="eastAsia" w:ascii="仿宋" w:hAnsi="仿宋" w:eastAsia="仿宋" w:cs="仿宋"/>
          <w:color w:val="auto"/>
          <w:sz w:val="28"/>
          <w:highlight w:val="none"/>
          <w:lang w:val="en-US" w:eastAsia="zh-CN"/>
        </w:rPr>
        <w:t>七、</w:t>
      </w:r>
      <w:r>
        <w:rPr>
          <w:rFonts w:hint="eastAsia" w:ascii="仿宋" w:hAnsi="仿宋" w:eastAsia="仿宋" w:cs="仿宋"/>
          <w:color w:val="auto"/>
          <w:sz w:val="28"/>
          <w:highlight w:val="none"/>
        </w:rPr>
        <w:t>商务条款偏离表</w:t>
      </w:r>
      <w:bookmarkEnd w:id="456"/>
      <w:bookmarkEnd w:id="457"/>
      <w:bookmarkEnd w:id="458"/>
      <w:bookmarkEnd w:id="459"/>
      <w:bookmarkEnd w:id="460"/>
    </w:p>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217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221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170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：1、应与招标文件要求的实质性条款对应填写，如投标企业填写无偏离或此表空白，则视为完全响应招标文件。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2、本表如填写不完，可以续页。</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23"/>
        <w:tabs>
          <w:tab w:val="left" w:pos="9214"/>
        </w:tabs>
        <w:rPr>
          <w:rFonts w:hint="eastAsia" w:ascii="仿宋" w:hAnsi="仿宋" w:eastAsia="仿宋" w:cs="仿宋"/>
          <w:color w:val="auto"/>
          <w:highlight w:val="none"/>
        </w:rPr>
      </w:pPr>
    </w:p>
    <w:p>
      <w:pPr>
        <w:pStyle w:val="144"/>
        <w:spacing w:line="240" w:lineRule="auto"/>
        <w:jc w:val="both"/>
        <w:rPr>
          <w:rFonts w:hint="eastAsia" w:ascii="仿宋" w:hAnsi="仿宋" w:eastAsia="仿宋" w:cs="仿宋"/>
          <w:color w:val="auto"/>
          <w:kern w:val="2"/>
          <w:sz w:val="32"/>
          <w:szCs w:val="28"/>
          <w:highlight w:val="none"/>
        </w:rPr>
      </w:pPr>
    </w:p>
    <w:p>
      <w:pPr>
        <w:spacing w:line="240" w:lineRule="auto"/>
        <w:ind w:left="2560" w:right="105" w:rightChars="50" w:firstLine="964" w:firstLineChars="300"/>
        <w:outlineLvl w:val="2"/>
        <w:rPr>
          <w:rFonts w:hint="eastAsia" w:ascii="仿宋" w:hAnsi="仿宋" w:eastAsia="仿宋" w:cs="仿宋"/>
          <w:color w:val="auto"/>
          <w:sz w:val="32"/>
          <w:szCs w:val="32"/>
          <w:highlight w:val="none"/>
        </w:rPr>
      </w:pPr>
      <w:r>
        <w:rPr>
          <w:rFonts w:hint="eastAsia" w:ascii="仿宋" w:hAnsi="仿宋" w:eastAsia="仿宋" w:cs="仿宋"/>
          <w:b/>
          <w:color w:val="auto"/>
          <w:sz w:val="32"/>
          <w:szCs w:val="30"/>
          <w:highlight w:val="none"/>
          <w:lang w:val="en-US" w:eastAsia="zh-CN"/>
        </w:rPr>
        <w:t>八、</w:t>
      </w:r>
      <w:r>
        <w:rPr>
          <w:rFonts w:hint="eastAsia" w:ascii="仿宋" w:hAnsi="仿宋" w:eastAsia="仿宋" w:cs="仿宋"/>
          <w:b/>
          <w:bCs/>
          <w:color w:val="auto"/>
          <w:sz w:val="32"/>
          <w:szCs w:val="32"/>
          <w:highlight w:val="none"/>
        </w:rPr>
        <w:t>投标单位简介</w:t>
      </w:r>
    </w:p>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p>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项目编号：                                                </w:t>
      </w:r>
    </w:p>
    <w:tbl>
      <w:tblPr>
        <w:tblStyle w:val="44"/>
        <w:tblW w:w="91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74"/>
        <w:gridCol w:w="1126"/>
        <w:gridCol w:w="1060"/>
        <w:gridCol w:w="1189"/>
        <w:gridCol w:w="1374"/>
        <w:gridCol w:w="1165"/>
        <w:gridCol w:w="107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top w:val="single" w:color="auto" w:sz="6" w:space="0"/>
              <w:left w:val="single" w:color="auto" w:sz="6"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投标人名称</w:t>
            </w:r>
          </w:p>
        </w:tc>
        <w:tc>
          <w:tcPr>
            <w:tcW w:w="6985" w:type="dxa"/>
            <w:gridSpan w:val="6"/>
            <w:tcBorders>
              <w:top w:val="single" w:color="auto" w:sz="6" w:space="0"/>
              <w:left w:val="single" w:color="auto" w:sz="6"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注册地址</w:t>
            </w:r>
          </w:p>
        </w:tc>
        <w:tc>
          <w:tcPr>
            <w:tcW w:w="3375" w:type="dxa"/>
            <w:gridSpan w:val="3"/>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邮政编码</w:t>
            </w:r>
          </w:p>
        </w:tc>
        <w:tc>
          <w:tcPr>
            <w:tcW w:w="2236" w:type="dxa"/>
            <w:gridSpan w:val="2"/>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2174" w:type="dxa"/>
            <w:vMerge w:val="restart"/>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联系方式</w:t>
            </w: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联系人</w:t>
            </w:r>
          </w:p>
        </w:tc>
        <w:tc>
          <w:tcPr>
            <w:tcW w:w="2249" w:type="dxa"/>
            <w:gridSpan w:val="2"/>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电话</w:t>
            </w:r>
          </w:p>
        </w:tc>
        <w:tc>
          <w:tcPr>
            <w:tcW w:w="2236" w:type="dxa"/>
            <w:gridSpan w:val="2"/>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vMerge w:val="continue"/>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传真</w:t>
            </w:r>
          </w:p>
        </w:tc>
        <w:tc>
          <w:tcPr>
            <w:tcW w:w="2249" w:type="dxa"/>
            <w:gridSpan w:val="2"/>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网址</w:t>
            </w:r>
          </w:p>
        </w:tc>
        <w:tc>
          <w:tcPr>
            <w:tcW w:w="2236" w:type="dxa"/>
            <w:gridSpan w:val="2"/>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企业性质</w:t>
            </w:r>
          </w:p>
        </w:tc>
        <w:tc>
          <w:tcPr>
            <w:tcW w:w="6985" w:type="dxa"/>
            <w:gridSpan w:val="6"/>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法定代表人</w:t>
            </w: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姓名</w:t>
            </w:r>
          </w:p>
        </w:tc>
        <w:tc>
          <w:tcPr>
            <w:tcW w:w="1060"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89"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技术职称</w:t>
            </w: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65"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电话</w:t>
            </w:r>
          </w:p>
        </w:tc>
        <w:tc>
          <w:tcPr>
            <w:tcW w:w="1071" w:type="dxa"/>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项目负责人</w:t>
            </w: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姓名</w:t>
            </w:r>
          </w:p>
        </w:tc>
        <w:tc>
          <w:tcPr>
            <w:tcW w:w="1060"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89"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技术职称</w:t>
            </w: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65"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电话</w:t>
            </w:r>
          </w:p>
        </w:tc>
        <w:tc>
          <w:tcPr>
            <w:tcW w:w="1071" w:type="dxa"/>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成立时间</w:t>
            </w:r>
          </w:p>
        </w:tc>
        <w:tc>
          <w:tcPr>
            <w:tcW w:w="6985" w:type="dxa"/>
            <w:gridSpan w:val="6"/>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员工总人数：</w:t>
            </w:r>
          </w:p>
        </w:tc>
        <w:tc>
          <w:tcPr>
            <w:tcW w:w="6985" w:type="dxa"/>
            <w:gridSpan w:val="6"/>
            <w:tcBorders>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营业执照号</w:t>
            </w:r>
          </w:p>
        </w:tc>
        <w:tc>
          <w:tcPr>
            <w:tcW w:w="6985" w:type="dxa"/>
            <w:gridSpan w:val="6"/>
            <w:tcBorders>
              <w:top w:val="single" w:color="auto" w:sz="4" w:space="0"/>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注册资金</w:t>
            </w:r>
          </w:p>
        </w:tc>
        <w:tc>
          <w:tcPr>
            <w:tcW w:w="6985" w:type="dxa"/>
            <w:gridSpan w:val="6"/>
            <w:tcBorders>
              <w:top w:val="single" w:color="auto" w:sz="4" w:space="0"/>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开户银行</w:t>
            </w:r>
          </w:p>
        </w:tc>
        <w:tc>
          <w:tcPr>
            <w:tcW w:w="6985" w:type="dxa"/>
            <w:gridSpan w:val="6"/>
            <w:tcBorders>
              <w:top w:val="single" w:color="auto" w:sz="4" w:space="0"/>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账号</w:t>
            </w:r>
          </w:p>
        </w:tc>
        <w:tc>
          <w:tcPr>
            <w:tcW w:w="6985" w:type="dxa"/>
            <w:gridSpan w:val="6"/>
            <w:tcBorders>
              <w:top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0"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经营范围</w:t>
            </w:r>
          </w:p>
        </w:tc>
        <w:tc>
          <w:tcPr>
            <w:tcW w:w="6985" w:type="dxa"/>
            <w:gridSpan w:val="6"/>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bl>
    <w:p>
      <w:pPr>
        <w:pStyle w:val="40"/>
        <w:spacing w:before="0" w:beforeAutospacing="0" w:after="0" w:afterAutospacing="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说明：本表后应附有</w:t>
      </w:r>
      <w:r>
        <w:rPr>
          <w:rFonts w:hint="eastAsia" w:ascii="仿宋" w:hAnsi="仿宋" w:eastAsia="仿宋" w:cs="仿宋"/>
          <w:snapToGrid w:val="0"/>
          <w:color w:val="auto"/>
          <w:highlight w:val="none"/>
          <w:lang w:val="en-US" w:eastAsia="zh-CN"/>
        </w:rPr>
        <w:t>供应商营业执照、</w:t>
      </w:r>
      <w:r>
        <w:rPr>
          <w:rFonts w:hint="eastAsia" w:ascii="仿宋" w:hAnsi="仿宋" w:eastAsia="仿宋" w:cs="仿宋"/>
          <w:snapToGrid w:val="0"/>
          <w:color w:val="auto"/>
          <w:highlight w:val="none"/>
        </w:rPr>
        <w:t>单位简介。</w:t>
      </w:r>
    </w:p>
    <w:p>
      <w:pPr>
        <w:snapToGrid w:val="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投标单位名称（单位公章）：                         </w:t>
      </w:r>
    </w:p>
    <w:p>
      <w:pPr>
        <w:spacing w:line="360" w:lineRule="auto"/>
        <w:ind w:firstLine="48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40" w:lineRule="exact"/>
        <w:ind w:firstLine="562" w:firstLineChars="200"/>
        <w:rPr>
          <w:rFonts w:hint="eastAsia" w:ascii="仿宋" w:hAnsi="仿宋" w:eastAsia="仿宋" w:cs="仿宋"/>
          <w:b/>
          <w:bCs/>
          <w:color w:val="auto"/>
          <w:kern w:val="2"/>
          <w:sz w:val="28"/>
          <w:szCs w:val="32"/>
          <w:highlight w:val="none"/>
          <w:lang w:val="en-US" w:eastAsia="zh-CN" w:bidi="ar-SA"/>
        </w:rPr>
      </w:pPr>
    </w:p>
    <w:p>
      <w:pPr>
        <w:spacing w:line="360" w:lineRule="auto"/>
        <w:rPr>
          <w:rFonts w:hint="eastAsia" w:ascii="仿宋" w:hAnsi="仿宋" w:eastAsia="仿宋" w:cs="仿宋"/>
          <w:color w:val="auto"/>
          <w:sz w:val="24"/>
          <w:highlight w:val="none"/>
        </w:r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headerReference r:id="rId5" w:type="default"/>
          <w:footerReference r:id="rId6" w:type="default"/>
          <w:pgSz w:w="11905" w:h="16838"/>
          <w:pgMar w:top="1140" w:right="1202" w:bottom="1162" w:left="1219" w:header="851" w:footer="992" w:gutter="0"/>
          <w:cols w:space="720" w:num="1"/>
          <w:docGrid w:type="lines" w:linePitch="316" w:charSpace="0"/>
        </w:sect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九、近三年业绩及相关证明</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highlight w:val="none"/>
        </w:rPr>
        <w:t xml:space="preserve">项目编号：        </w:t>
      </w:r>
    </w:p>
    <w:tbl>
      <w:tblPr>
        <w:tblStyle w:val="44"/>
        <w:tblW w:w="0" w:type="auto"/>
        <w:jc w:val="center"/>
        <w:tblLayout w:type="fixed"/>
        <w:tblCellMar>
          <w:top w:w="0" w:type="dxa"/>
          <w:left w:w="108" w:type="dxa"/>
          <w:bottom w:w="0" w:type="dxa"/>
          <w:right w:w="108" w:type="dxa"/>
        </w:tblCellMar>
      </w:tblPr>
      <w:tblGrid>
        <w:gridCol w:w="863"/>
        <w:gridCol w:w="1441"/>
        <w:gridCol w:w="1700"/>
        <w:gridCol w:w="1694"/>
        <w:gridCol w:w="1839"/>
        <w:gridCol w:w="1839"/>
      </w:tblGrid>
      <w:tr>
        <w:tblPrEx>
          <w:tblCellMar>
            <w:top w:w="0" w:type="dxa"/>
            <w:left w:w="108" w:type="dxa"/>
            <w:bottom w:w="0" w:type="dxa"/>
            <w:right w:w="108" w:type="dxa"/>
          </w:tblCellMar>
        </w:tblPrEx>
        <w:trPr>
          <w:trHeight w:val="94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441"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700"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color w:val="auto"/>
                <w:highlight w:val="none"/>
              </w:rPr>
            </w:pPr>
            <w:r>
              <w:rPr>
                <w:rFonts w:hint="eastAsia" w:ascii="仿宋" w:hAnsi="仿宋" w:eastAsia="仿宋" w:cs="仿宋"/>
                <w:color w:val="auto"/>
                <w:highlight w:val="none"/>
              </w:rPr>
              <w:t>项目内容</w:t>
            </w: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color w:val="auto"/>
                <w:highlight w:val="none"/>
              </w:rPr>
            </w:pPr>
            <w:r>
              <w:rPr>
                <w:rFonts w:hint="eastAsia" w:ascii="仿宋" w:hAnsi="仿宋" w:eastAsia="仿宋" w:cs="仿宋"/>
                <w:color w:val="auto"/>
                <w:highlight w:val="none"/>
              </w:rPr>
              <w:t>合同金额</w:t>
            </w: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jc w:val="center"/>
              <w:rPr>
                <w:rFonts w:hint="eastAsia" w:ascii="仿宋" w:hAnsi="仿宋" w:eastAsia="仿宋" w:cs="仿宋"/>
                <w:color w:val="auto"/>
                <w:highlight w:val="none"/>
              </w:rPr>
            </w:pPr>
            <w:r>
              <w:rPr>
                <w:rFonts w:hint="eastAsia" w:ascii="仿宋" w:hAnsi="仿宋" w:eastAsia="仿宋" w:cs="仿宋"/>
                <w:color w:val="auto"/>
                <w:highlight w:val="none"/>
              </w:rPr>
              <w:t>项目单位联系人及电话</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5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注：以上业绩须附经双方签章的合同或中标通知书证明材料，并加盖投标人公章（鲜章）。</w:t>
      </w:r>
    </w:p>
    <w:p>
      <w:pPr>
        <w:spacing w:line="360" w:lineRule="auto"/>
        <w:jc w:val="center"/>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numPr>
          <w:ilvl w:val="0"/>
          <w:numId w:val="0"/>
        </w:numPr>
        <w:spacing w:line="400" w:lineRule="exact"/>
        <w:jc w:val="center"/>
        <w:rPr>
          <w:rFonts w:hint="eastAsia" w:ascii="仿宋" w:hAnsi="仿宋" w:eastAsia="仿宋" w:cs="仿宋"/>
          <w:b/>
          <w:bCs/>
          <w:color w:val="auto"/>
          <w:kern w:val="0"/>
          <w:sz w:val="32"/>
          <w:szCs w:val="32"/>
          <w:highlight w:val="none"/>
          <w:lang w:val="en-US" w:eastAsia="zh-CN" w:bidi="ar-SA"/>
        </w:rPr>
      </w:pPr>
    </w:p>
    <w:p>
      <w:pPr>
        <w:numPr>
          <w:ilvl w:val="0"/>
          <w:numId w:val="0"/>
        </w:numPr>
        <w:spacing w:line="400" w:lineRule="exact"/>
        <w:jc w:val="center"/>
        <w:rPr>
          <w:rFonts w:hint="eastAsia" w:ascii="仿宋" w:hAnsi="仿宋" w:eastAsia="仿宋" w:cs="仿宋"/>
          <w:b/>
          <w:bCs/>
          <w:color w:val="auto"/>
          <w:kern w:val="0"/>
          <w:sz w:val="32"/>
          <w:szCs w:val="32"/>
          <w:highlight w:val="none"/>
          <w:lang w:val="en-US" w:eastAsia="zh-CN" w:bidi="ar-SA"/>
        </w:rPr>
      </w:pPr>
    </w:p>
    <w:p>
      <w:pPr>
        <w:numPr>
          <w:ilvl w:val="0"/>
          <w:numId w:val="0"/>
        </w:numPr>
        <w:spacing w:line="400" w:lineRule="exact"/>
        <w:jc w:val="both"/>
        <w:rPr>
          <w:rFonts w:hint="eastAsia" w:ascii="仿宋" w:hAnsi="仿宋" w:eastAsia="仿宋" w:cs="仿宋"/>
          <w:b/>
          <w:bCs/>
          <w:color w:val="auto"/>
          <w:kern w:val="0"/>
          <w:sz w:val="32"/>
          <w:szCs w:val="32"/>
          <w:highlight w:val="none"/>
          <w:lang w:val="en-US" w:eastAsia="zh-CN" w:bidi="ar-SA"/>
        </w:rPr>
      </w:pPr>
    </w:p>
    <w:p>
      <w:pPr>
        <w:pStyle w:val="59"/>
        <w:tabs>
          <w:tab w:val="left" w:pos="540"/>
          <w:tab w:val="left" w:pos="1080"/>
        </w:tabs>
        <w:ind w:firstLine="643"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32"/>
          <w:szCs w:val="32"/>
          <w:highlight w:val="none"/>
          <w:lang w:val="en-US" w:eastAsia="zh-CN" w:bidi="ar-SA"/>
        </w:rPr>
        <w:t>十、质量保证书</w:t>
      </w:r>
    </w:p>
    <w:p>
      <w:pPr>
        <w:pStyle w:val="59"/>
        <w:numPr>
          <w:ilvl w:val="0"/>
          <w:numId w:val="0"/>
        </w:numPr>
        <w:tabs>
          <w:tab w:val="left" w:pos="540"/>
          <w:tab w:val="left" w:pos="1080"/>
        </w:tabs>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投标企业自拟</w:t>
      </w:r>
    </w:p>
    <w:p>
      <w:pPr>
        <w:pStyle w:val="59"/>
        <w:numPr>
          <w:ilvl w:val="0"/>
          <w:numId w:val="0"/>
        </w:numPr>
        <w:tabs>
          <w:tab w:val="left" w:pos="540"/>
          <w:tab w:val="left" w:pos="1080"/>
        </w:tabs>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要求：</w:t>
      </w:r>
    </w:p>
    <w:p>
      <w:pPr>
        <w:pStyle w:val="59"/>
        <w:numPr>
          <w:ilvl w:val="0"/>
          <w:numId w:val="0"/>
        </w:numPr>
        <w:tabs>
          <w:tab w:val="left" w:pos="540"/>
          <w:tab w:val="left" w:pos="1080"/>
        </w:tabs>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供应商</w:t>
      </w:r>
      <w:r>
        <w:rPr>
          <w:rFonts w:hint="eastAsia" w:ascii="仿宋" w:hAnsi="仿宋" w:eastAsia="仿宋" w:cs="仿宋"/>
          <w:b/>
          <w:bCs/>
          <w:color w:val="auto"/>
          <w:sz w:val="28"/>
          <w:szCs w:val="28"/>
          <w:highlight w:val="none"/>
        </w:rPr>
        <w:t>应保证所供产品是完全符合国家规定的质量、规格和安全要求。</w:t>
      </w:r>
    </w:p>
    <w:p>
      <w:pPr>
        <w:pStyle w:val="59"/>
        <w:numPr>
          <w:ilvl w:val="0"/>
          <w:numId w:val="0"/>
        </w:numPr>
        <w:tabs>
          <w:tab w:val="left" w:pos="540"/>
          <w:tab w:val="left" w:pos="1080"/>
        </w:tabs>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供应商</w:t>
      </w:r>
      <w:r>
        <w:rPr>
          <w:rFonts w:hint="eastAsia" w:ascii="仿宋" w:hAnsi="仿宋" w:eastAsia="仿宋" w:cs="仿宋"/>
          <w:b/>
          <w:bCs/>
          <w:color w:val="auto"/>
          <w:sz w:val="28"/>
          <w:szCs w:val="28"/>
          <w:highlight w:val="none"/>
        </w:rPr>
        <w:t>所供产品应符合中国国家标准、行业标准及其补充技术要求。</w:t>
      </w:r>
    </w:p>
    <w:p>
      <w:pPr>
        <w:pStyle w:val="59"/>
        <w:numPr>
          <w:ilvl w:val="0"/>
          <w:numId w:val="0"/>
        </w:numPr>
        <w:tabs>
          <w:tab w:val="left" w:pos="540"/>
          <w:tab w:val="left" w:pos="1080"/>
        </w:tabs>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所供的商品必须从正规渠道购入，有明确的生产厂家、品牌、质保期、生产日期、批号、安全标识等，并能顺利追溯源头。</w:t>
      </w:r>
    </w:p>
    <w:p>
      <w:pPr>
        <w:pStyle w:val="59"/>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59"/>
        <w:numPr>
          <w:ilvl w:val="0"/>
          <w:numId w:val="0"/>
        </w:numPr>
        <w:tabs>
          <w:tab w:val="left" w:pos="540"/>
          <w:tab w:val="left" w:pos="1080"/>
        </w:tabs>
        <w:jc w:val="both"/>
        <w:rPr>
          <w:rFonts w:hint="eastAsia" w:ascii="仿宋" w:hAnsi="仿宋" w:eastAsia="仿宋" w:cs="仿宋"/>
          <w:b/>
          <w:bCs/>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spacing w:line="400" w:lineRule="exact"/>
        <w:jc w:val="both"/>
        <w:rPr>
          <w:rFonts w:hint="eastAsia" w:ascii="仿宋" w:hAnsi="仿宋" w:eastAsia="仿宋" w:cs="仿宋"/>
          <w:b/>
          <w:color w:val="auto"/>
          <w:sz w:val="30"/>
          <w:szCs w:val="30"/>
          <w:highlight w:val="none"/>
        </w:rPr>
      </w:pPr>
    </w:p>
    <w:p>
      <w:pPr>
        <w:spacing w:line="400" w:lineRule="exact"/>
        <w:jc w:val="center"/>
        <w:rPr>
          <w:rFonts w:hint="eastAsia" w:ascii="仿宋" w:hAnsi="仿宋" w:eastAsia="仿宋" w:cs="仿宋"/>
          <w:b/>
          <w:color w:val="auto"/>
          <w:sz w:val="30"/>
          <w:szCs w:val="30"/>
          <w:highlight w:val="none"/>
        </w:rPr>
        <w:sectPr>
          <w:pgSz w:w="11905" w:h="16838"/>
          <w:pgMar w:top="1140" w:right="1202" w:bottom="1162" w:left="1219" w:header="851" w:footer="992" w:gutter="0"/>
          <w:cols w:space="720" w:num="1"/>
          <w:docGrid w:type="lines" w:linePitch="316" w:charSpace="0"/>
        </w:sectPr>
      </w:pPr>
    </w:p>
    <w:p>
      <w:pPr>
        <w:pStyle w:val="8"/>
        <w:jc w:val="center"/>
        <w:rPr>
          <w:rFonts w:hint="eastAsia" w:ascii="仿宋" w:hAnsi="仿宋" w:eastAsia="仿宋" w:cs="仿宋"/>
          <w:b/>
          <w:bCs/>
          <w:color w:val="auto"/>
          <w:sz w:val="30"/>
          <w:szCs w:val="30"/>
          <w:highlight w:val="none"/>
        </w:rPr>
      </w:pPr>
      <w:r>
        <w:rPr>
          <w:rFonts w:hint="eastAsia" w:ascii="仿宋" w:hAnsi="仿宋" w:eastAsia="仿宋" w:cs="仿宋"/>
          <w:b/>
          <w:color w:val="auto"/>
          <w:sz w:val="30"/>
          <w:szCs w:val="30"/>
          <w:highlight w:val="none"/>
          <w:lang w:val="en-US" w:eastAsia="zh-CN"/>
        </w:rPr>
        <w:t>十一</w:t>
      </w:r>
      <w:bookmarkEnd w:id="439"/>
      <w:r>
        <w:rPr>
          <w:rFonts w:hint="eastAsia" w:ascii="仿宋" w:hAnsi="仿宋" w:eastAsia="仿宋" w:cs="仿宋"/>
          <w:b/>
          <w:bCs/>
          <w:color w:val="auto"/>
          <w:sz w:val="30"/>
          <w:szCs w:val="30"/>
          <w:highlight w:val="none"/>
          <w:lang w:val="en-US" w:eastAsia="zh-CN"/>
        </w:rPr>
        <w:t>、</w:t>
      </w:r>
      <w:r>
        <w:rPr>
          <w:rFonts w:hint="eastAsia" w:ascii="仿宋" w:hAnsi="仿宋" w:eastAsia="仿宋" w:cs="仿宋"/>
          <w:b/>
          <w:bCs/>
          <w:color w:val="auto"/>
          <w:sz w:val="30"/>
          <w:szCs w:val="30"/>
          <w:highlight w:val="none"/>
        </w:rPr>
        <w:t>符合《政府采购法》第二十二条规定的条件</w:t>
      </w:r>
    </w:p>
    <w:p>
      <w:pPr>
        <w:numPr>
          <w:ilvl w:val="0"/>
          <w:numId w:val="0"/>
        </w:numPr>
        <w:spacing w:line="360" w:lineRule="auto"/>
        <w:rPr>
          <w:rFonts w:hint="eastAsia" w:ascii="仿宋" w:hAnsi="仿宋" w:eastAsia="仿宋" w:cs="仿宋"/>
          <w:color w:val="auto"/>
          <w:sz w:val="28"/>
          <w:szCs w:val="28"/>
          <w:highlight w:val="none"/>
        </w:rPr>
      </w:pPr>
      <w:bookmarkStart w:id="461" w:name="_Toc3862"/>
      <w:bookmarkStart w:id="462" w:name="_Toc6014"/>
      <w:bookmarkStart w:id="463" w:name="_Toc5144"/>
      <w:bookmarkStart w:id="464" w:name="_Toc26467"/>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具有独立承担民事责任的能力</w:t>
      </w:r>
      <w:r>
        <w:rPr>
          <w:rFonts w:hint="eastAsia" w:ascii="仿宋" w:hAnsi="仿宋" w:eastAsia="仿宋" w:cs="仿宋"/>
          <w:color w:val="auto"/>
          <w:kern w:val="0"/>
          <w:sz w:val="28"/>
          <w:szCs w:val="28"/>
          <w:highlight w:val="none"/>
          <w:lang w:val="en-US" w:eastAsia="zh-CN"/>
        </w:rPr>
        <w:t>（注：公司的营业执照、法人身份证复印件）</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具有良好的商业信誉和健全的财务会计制度</w:t>
      </w:r>
      <w:r>
        <w:rPr>
          <w:rFonts w:hint="eastAsia" w:ascii="仿宋" w:hAnsi="仿宋" w:eastAsia="仿宋" w:cs="仿宋"/>
          <w:color w:val="auto"/>
          <w:sz w:val="28"/>
          <w:szCs w:val="28"/>
          <w:highlight w:val="none"/>
          <w:lang w:val="en-US" w:eastAsia="zh-CN"/>
        </w:rPr>
        <w:t>（注：需提供2021年第三方审计机构出具的审计报告（2022年成立的公司可不提供但需提供银行出具的近3个月的资信证明）和健全的财务会计制度；）</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具有履行合同所必需的货物和专业技术能力</w:t>
      </w:r>
      <w:r>
        <w:rPr>
          <w:rFonts w:hint="eastAsia" w:ascii="仿宋" w:hAnsi="仿宋" w:eastAsia="仿宋" w:cs="仿宋"/>
          <w:color w:val="auto"/>
          <w:kern w:val="0"/>
          <w:sz w:val="28"/>
          <w:szCs w:val="28"/>
          <w:highlight w:val="none"/>
          <w:lang w:val="en-US" w:eastAsia="zh-CN"/>
        </w:rPr>
        <w:t>（注：书面承诺）</w:t>
      </w:r>
    </w:p>
    <w:p>
      <w:pPr>
        <w:numPr>
          <w:ilvl w:val="0"/>
          <w:numId w:val="0"/>
        </w:numPr>
        <w:spacing w:line="360" w:lineRule="auto"/>
        <w:ind w:leftChars="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有依法缴纳税收和社会保障资金的良好记录</w:t>
      </w:r>
      <w:r>
        <w:rPr>
          <w:rFonts w:hint="eastAsia" w:ascii="仿宋" w:hAnsi="仿宋" w:eastAsia="仿宋" w:cs="仿宋"/>
          <w:color w:val="auto"/>
          <w:kern w:val="0"/>
          <w:sz w:val="28"/>
          <w:szCs w:val="28"/>
          <w:highlight w:val="none"/>
          <w:lang w:val="en-US" w:eastAsia="zh-CN"/>
        </w:rPr>
        <w:t>（注：提供近3个月法人社保缴纳证明；需提供提供税务机关出具2022年近三个月的完税证明或依法缴纳税收的相关证明材料；（新成立不足三个月的，按实际情况发生提供)；</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参加政府采购活动前三年内在经营活动中没有重大违法记录，法律、行政法规规定的其他条件</w:t>
      </w:r>
      <w:r>
        <w:rPr>
          <w:rFonts w:hint="eastAsia" w:ascii="仿宋" w:hAnsi="仿宋" w:eastAsia="仿宋" w:cs="仿宋"/>
          <w:color w:val="auto"/>
          <w:kern w:val="0"/>
          <w:sz w:val="28"/>
          <w:szCs w:val="28"/>
          <w:highlight w:val="none"/>
          <w:lang w:val="en-US" w:eastAsia="zh-CN"/>
        </w:rPr>
        <w:t>（注：提供参加政府采购活动前三年内，在经营活动中没有重大违法记录的证明）</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（包括健全的</w:t>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"https://www.baidu.com/s?wd=财务会计制度&amp;tn=SE_PcZhidaonwhc_ngpagmjz&amp;rsv_dl=gh_pc_zhidao"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财务会计制度</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t>、依法缴纳税收证明、依法缴纳</w:t>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"https://www.baidu.com/s?wd=社会保障资金&amp;tn=SE_PcZhidaonwhc_ngpagmjz&amp;rsv_dl=gh_pc_zhidao"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社会保障资金</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t>证明等）；</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36"/>
        <w:spacing w:before="120" w:line="360" w:lineRule="auto"/>
        <w:ind w:firstLine="405"/>
        <w:jc w:val="center"/>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十二、提供有效期内的《兽药经营许可证》或《兽药生产许可证》原件；兽药产品批准文号；有效期内的兽药GMP证书</w:t>
      </w:r>
    </w:p>
    <w:p>
      <w:pPr>
        <w:pStyle w:val="36"/>
        <w:spacing w:before="120" w:line="360" w:lineRule="auto"/>
        <w:ind w:firstLine="405"/>
        <w:jc w:val="center"/>
        <w:outlineLvl w:val="0"/>
        <w:rPr>
          <w:rFonts w:hint="eastAsia" w:ascii="仿宋" w:hAnsi="仿宋" w:eastAsia="仿宋" w:cs="仿宋"/>
          <w:b/>
          <w:bCs/>
          <w:color w:val="auto"/>
          <w:sz w:val="28"/>
          <w:szCs w:val="28"/>
          <w:highlight w:val="none"/>
          <w:lang w:val="en-US" w:eastAsia="zh-CN"/>
        </w:rPr>
      </w:pPr>
    </w:p>
    <w:p>
      <w:pPr>
        <w:pStyle w:val="36"/>
        <w:spacing w:before="120" w:line="360" w:lineRule="auto"/>
        <w:ind w:firstLine="405"/>
        <w:jc w:val="center"/>
        <w:outlineLvl w:val="0"/>
        <w:rPr>
          <w:rFonts w:hint="eastAsia" w:ascii="仿宋" w:hAnsi="仿宋" w:eastAsia="仿宋" w:cs="仿宋"/>
          <w:b/>
          <w:bCs/>
          <w:color w:val="auto"/>
          <w:sz w:val="28"/>
          <w:szCs w:val="28"/>
          <w:highlight w:val="none"/>
          <w:lang w:val="en-US" w:eastAsia="zh-CN"/>
        </w:rPr>
      </w:pPr>
    </w:p>
    <w:bookmarkEnd w:id="461"/>
    <w:bookmarkEnd w:id="462"/>
    <w:bookmarkEnd w:id="463"/>
    <w:bookmarkEnd w:id="464"/>
    <w:p>
      <w:pPr>
        <w:spacing w:line="360" w:lineRule="auto"/>
        <w:jc w:val="both"/>
        <w:rPr>
          <w:rStyle w:val="142"/>
          <w:rFonts w:hint="eastAsia" w:ascii="仿宋" w:hAnsi="仿宋" w:eastAsia="仿宋" w:cs="仿宋"/>
          <w:bCs w:val="0"/>
          <w:color w:val="auto"/>
          <w:sz w:val="28"/>
          <w:szCs w:val="28"/>
          <w:highlight w:val="none"/>
        </w:rPr>
        <w:sectPr>
          <w:pgSz w:w="11905" w:h="16838"/>
          <w:pgMar w:top="1140" w:right="1202" w:bottom="1162" w:left="1219" w:header="851" w:footer="992" w:gutter="0"/>
          <w:cols w:space="720" w:num="1"/>
          <w:docGrid w:type="lines" w:linePitch="316" w:charSpace="0"/>
        </w:sectPr>
      </w:pPr>
    </w:p>
    <w:p>
      <w:pPr>
        <w:spacing w:line="360" w:lineRule="auto"/>
        <w:jc w:val="both"/>
        <w:outlineLvl w:val="0"/>
        <w:rPr>
          <w:rFonts w:hint="eastAsia" w:ascii="仿宋" w:hAnsi="仿宋" w:eastAsia="仿宋" w:cs="仿宋"/>
          <w:color w:val="auto"/>
          <w:sz w:val="24"/>
          <w:szCs w:val="24"/>
          <w:highlight w:val="none"/>
        </w:rPr>
      </w:pPr>
      <w:bookmarkStart w:id="465" w:name="_Toc6232"/>
      <w:bookmarkStart w:id="466" w:name="_Toc1350"/>
      <w:bookmarkStart w:id="467" w:name="_Toc26849"/>
      <w:bookmarkStart w:id="468" w:name="_Toc11866"/>
      <w:r>
        <w:rPr>
          <w:rStyle w:val="142"/>
          <w:rFonts w:hint="eastAsia" w:ascii="仿宋" w:hAnsi="仿宋" w:eastAsia="仿宋" w:cs="仿宋"/>
          <w:bCs w:val="0"/>
          <w:color w:val="auto"/>
          <w:sz w:val="28"/>
          <w:szCs w:val="28"/>
          <w:highlight w:val="none"/>
          <w:lang w:val="en-US" w:eastAsia="zh-CN"/>
        </w:rPr>
        <w:t>十三</w:t>
      </w:r>
      <w:r>
        <w:rPr>
          <w:rStyle w:val="142"/>
          <w:rFonts w:hint="eastAsia" w:ascii="仿宋" w:hAnsi="仿宋" w:eastAsia="仿宋" w:cs="仿宋"/>
          <w:bCs w:val="0"/>
          <w:color w:val="auto"/>
          <w:sz w:val="28"/>
          <w:szCs w:val="28"/>
          <w:highlight w:val="none"/>
          <w:lang w:eastAsia="zh-CN"/>
        </w:rPr>
        <w:t>、</w:t>
      </w:r>
      <w:r>
        <w:rPr>
          <w:rStyle w:val="142"/>
          <w:rFonts w:hint="eastAsia" w:ascii="仿宋" w:hAnsi="仿宋" w:eastAsia="仿宋" w:cs="仿宋"/>
          <w:bCs w:val="0"/>
          <w:color w:val="auto"/>
          <w:sz w:val="28"/>
          <w:szCs w:val="28"/>
          <w:highlight w:val="none"/>
        </w:rPr>
        <w:t>投标单位（供应商）反商业贿赂承诺书</w:t>
      </w:r>
      <w:bookmarkEnd w:id="465"/>
      <w:bookmarkEnd w:id="466"/>
      <w:bookmarkEnd w:id="467"/>
      <w:bookmarkEnd w:id="468"/>
    </w:p>
    <w:p>
      <w:pPr>
        <w:pStyle w:val="36"/>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我单位承诺在</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pPr>
        <w:pStyle w:val="36"/>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法定代表人：（签字盖章）</w:t>
      </w:r>
    </w:p>
    <w:p>
      <w:pPr>
        <w:pStyle w:val="36"/>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bookmarkStart w:id="469" w:name="_Toc15248"/>
      <w:bookmarkStart w:id="470" w:name="_Toc29266"/>
      <w:bookmarkStart w:id="471" w:name="_Toc8968"/>
      <w:bookmarkStart w:id="472" w:name="_Toc5662"/>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rPr>
          <w:rFonts w:hint="eastAsia" w:ascii="仿宋" w:hAnsi="仿宋" w:eastAsia="仿宋" w:cs="仿宋"/>
          <w:color w:val="auto"/>
          <w:sz w:val="24"/>
          <w:szCs w:val="24"/>
          <w:highlight w:val="none"/>
        </w:rPr>
      </w:pPr>
    </w:p>
    <w:p>
      <w:pPr>
        <w:pStyle w:val="36"/>
        <w:spacing w:before="120" w:line="360" w:lineRule="auto"/>
        <w:ind w:firstLine="405"/>
        <w:jc w:val="center"/>
        <w:rPr>
          <w:rStyle w:val="142"/>
          <w:rFonts w:hint="eastAsia" w:ascii="仿宋" w:hAnsi="仿宋" w:eastAsia="仿宋" w:cs="仿宋"/>
          <w:bCs w:val="0"/>
          <w:color w:val="auto"/>
          <w:kern w:val="2"/>
          <w:sz w:val="28"/>
          <w:szCs w:val="28"/>
          <w:highlight w:val="none"/>
          <w:lang w:val="en-US" w:eastAsia="zh-CN" w:bidi="ar-SA"/>
        </w:rPr>
      </w:pPr>
    </w:p>
    <w:p>
      <w:pPr>
        <w:pStyle w:val="36"/>
        <w:spacing w:before="120" w:line="360" w:lineRule="auto"/>
        <w:ind w:firstLine="405"/>
        <w:jc w:val="center"/>
        <w:rPr>
          <w:rStyle w:val="142"/>
          <w:rFonts w:hint="eastAsia" w:ascii="仿宋" w:hAnsi="仿宋" w:eastAsia="仿宋" w:cs="仿宋"/>
          <w:bCs w:val="0"/>
          <w:color w:val="auto"/>
          <w:kern w:val="2"/>
          <w:sz w:val="28"/>
          <w:szCs w:val="28"/>
          <w:highlight w:val="none"/>
          <w:lang w:val="en-US" w:eastAsia="zh-CN" w:bidi="ar-SA"/>
        </w:rPr>
      </w:pPr>
    </w:p>
    <w:p>
      <w:pPr>
        <w:pStyle w:val="36"/>
        <w:spacing w:before="120" w:line="360" w:lineRule="auto"/>
        <w:ind w:firstLine="405"/>
        <w:jc w:val="center"/>
        <w:rPr>
          <w:rStyle w:val="142"/>
          <w:rFonts w:hint="eastAsia" w:ascii="仿宋" w:hAnsi="仿宋" w:eastAsia="仿宋" w:cs="仿宋"/>
          <w:bCs w:val="0"/>
          <w:color w:val="auto"/>
          <w:kern w:val="2"/>
          <w:sz w:val="28"/>
          <w:szCs w:val="28"/>
          <w:highlight w:val="none"/>
          <w:lang w:val="en-US" w:eastAsia="zh-CN" w:bidi="ar-SA"/>
        </w:rPr>
      </w:pPr>
      <w:r>
        <w:rPr>
          <w:rStyle w:val="142"/>
          <w:rFonts w:hint="eastAsia" w:ascii="仿宋" w:hAnsi="仿宋" w:eastAsia="仿宋" w:cs="仿宋"/>
          <w:bCs w:val="0"/>
          <w:color w:val="auto"/>
          <w:kern w:val="2"/>
          <w:sz w:val="28"/>
          <w:szCs w:val="28"/>
          <w:highlight w:val="none"/>
          <w:lang w:val="en-US" w:eastAsia="zh-CN" w:bidi="ar-SA"/>
        </w:rPr>
        <w:t>十四、中小企业声明函</w:t>
      </w:r>
      <w:bookmarkEnd w:id="469"/>
      <w:bookmarkEnd w:id="470"/>
      <w:bookmarkEnd w:id="471"/>
      <w:bookmarkEnd w:id="472"/>
      <w:r>
        <w:rPr>
          <w:rStyle w:val="142"/>
          <w:rFonts w:hint="eastAsia" w:ascii="宋体" w:hAnsi="宋体" w:eastAsia="宋体" w:cs="宋体"/>
          <w:bCs w:val="0"/>
          <w:color w:val="auto"/>
          <w:kern w:val="2"/>
          <w:sz w:val="28"/>
          <w:szCs w:val="28"/>
          <w:highlight w:val="none"/>
          <w:lang w:val="en-US" w:eastAsia="zh-CN" w:bidi="ar-SA"/>
        </w:rPr>
        <w:t>（如是）</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142"/>
          <w:rFonts w:hint="eastAsia" w:ascii="仿宋" w:hAnsi="仿宋" w:eastAsia="仿宋" w:cs="仿宋"/>
          <w:bCs w:val="0"/>
          <w:color w:val="auto"/>
          <w:kern w:val="2"/>
          <w:sz w:val="28"/>
          <w:szCs w:val="28"/>
          <w:highlight w:val="none"/>
          <w:lang w:val="en-US" w:eastAsia="zh-CN" w:bidi="ar-SA"/>
        </w:rPr>
      </w:pPr>
      <w:r>
        <w:rPr>
          <w:rStyle w:val="142"/>
          <w:rFonts w:hint="eastAsia" w:ascii="仿宋" w:hAnsi="仿宋" w:eastAsia="仿宋" w:cs="仿宋"/>
          <w:bCs w:val="0"/>
          <w:color w:val="auto"/>
          <w:kern w:val="2"/>
          <w:sz w:val="28"/>
          <w:szCs w:val="28"/>
          <w:highlight w:val="none"/>
          <w:lang w:val="en-US" w:eastAsia="zh-CN" w:bidi="ar-SA"/>
        </w:rPr>
        <w:t>中小企业声明函（货物）</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1.（标的名称），属于（采购文件中明确的所属行业）；制造商为（企业名称），从业人员  人，营业收入为  万元，资产总额为  万元，属于（中型企业、小型企业、微型企业）；</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2. （标的名称），属于（采购文件中明确的所属行业）；制造商为（企业名称），从业人员  人，营业收入为  万元，资产总额为  万元，属于（中型企业、小型企业、微型企业）；</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ind w:firstLine="3360" w:firstLineChars="1400"/>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 </w:t>
      </w:r>
    </w:p>
    <w:p>
      <w:pPr>
        <w:keepNext w:val="0"/>
        <w:keepLines w:val="0"/>
        <w:pageBreakBefore w:val="0"/>
        <w:widowControl/>
        <w:kinsoku/>
        <w:wordWrap/>
        <w:overflowPunct/>
        <w:topLinePunct w:val="0"/>
        <w:autoSpaceDE/>
        <w:autoSpaceDN/>
        <w:bidi w:val="0"/>
        <w:adjustRightInd/>
        <w:snapToGrid/>
        <w:spacing w:line="360" w:lineRule="auto"/>
        <w:ind w:firstLine="3360" w:firstLineChars="1400"/>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                      企业名称（盖章）：</w:t>
      </w:r>
    </w:p>
    <w:p>
      <w:pPr>
        <w:keepNext w:val="0"/>
        <w:keepLines w:val="0"/>
        <w:pageBreakBefore w:val="0"/>
        <w:widowControl/>
        <w:kinsoku/>
        <w:wordWrap/>
        <w:overflowPunct/>
        <w:topLinePunct w:val="0"/>
        <w:autoSpaceDE/>
        <w:autoSpaceDN/>
        <w:bidi w:val="0"/>
        <w:adjustRightInd/>
        <w:snapToGrid/>
        <w:spacing w:line="360" w:lineRule="auto"/>
        <w:ind w:firstLine="3360" w:firstLineChars="1400"/>
        <w:jc w:val="both"/>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                      日期：       </w:t>
      </w:r>
    </w:p>
    <w:p>
      <w:pPr>
        <w:keepNext w:val="0"/>
        <w:keepLines w:val="0"/>
        <w:pageBreakBefore w:val="0"/>
        <w:widowControl/>
        <w:kinsoku/>
        <w:wordWrap/>
        <w:overflowPunct/>
        <w:topLinePunct w:val="0"/>
        <w:autoSpaceDE/>
        <w:autoSpaceDN/>
        <w:bidi w:val="0"/>
        <w:adjustRightInd/>
        <w:snapToGrid/>
        <w:spacing w:line="360" w:lineRule="auto"/>
        <w:ind w:firstLine="3360" w:firstLineChars="14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rPr>
        <w:t>：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pStyle w:val="43"/>
        <w:rPr>
          <w:rFonts w:hint="eastAsia" w:ascii="仿宋" w:hAnsi="仿宋" w:eastAsia="仿宋" w:cs="仿宋"/>
          <w:color w:val="auto"/>
          <w:highlight w:val="none"/>
        </w:rPr>
      </w:pPr>
    </w:p>
    <w:p>
      <w:pPr>
        <w:rPr>
          <w:rFonts w:hint="eastAsia" w:ascii="仿宋" w:hAnsi="仿宋" w:eastAsia="仿宋" w:cs="仿宋"/>
          <w:b/>
          <w:color w:val="auto"/>
          <w:spacing w:val="6"/>
          <w:sz w:val="28"/>
          <w:szCs w:val="28"/>
          <w:highlight w:val="none"/>
        </w:rPr>
      </w:pPr>
    </w:p>
    <w:p>
      <w:pPr>
        <w:tabs>
          <w:tab w:val="left" w:pos="426"/>
        </w:tabs>
        <w:autoSpaceDE w:val="0"/>
        <w:autoSpaceDN w:val="0"/>
        <w:spacing w:line="360" w:lineRule="auto"/>
        <w:jc w:val="center"/>
        <w:outlineLvl w:val="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残疾人福利性单位声明函（如有）</w:t>
      </w:r>
    </w:p>
    <w:p>
      <w:pPr>
        <w:pStyle w:val="8"/>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投标人名称（单位盖公章）：</w:t>
      </w:r>
    </w:p>
    <w:p>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widowControl/>
        <w:jc w:val="left"/>
        <w:rPr>
          <w:rFonts w:hint="eastAsia" w:ascii="仿宋" w:hAnsi="仿宋" w:eastAsia="仿宋" w:cs="仿宋"/>
          <w:color w:val="auto"/>
          <w:sz w:val="32"/>
          <w:szCs w:val="32"/>
          <w:highlight w:val="none"/>
        </w:rPr>
      </w:pPr>
    </w:p>
    <w:p>
      <w:pPr>
        <w:widowControl/>
        <w:jc w:val="left"/>
        <w:rPr>
          <w:rFonts w:hint="eastAsia" w:ascii="仿宋" w:hAnsi="仿宋" w:eastAsia="仿宋" w:cs="仿宋"/>
          <w:color w:val="auto"/>
          <w:sz w:val="32"/>
          <w:szCs w:val="32"/>
          <w:highlight w:val="none"/>
        </w:rPr>
      </w:pPr>
    </w:p>
    <w:p>
      <w:pPr>
        <w:widowControl/>
        <w:jc w:val="left"/>
        <w:rPr>
          <w:rFonts w:hint="eastAsia" w:ascii="仿宋" w:hAnsi="仿宋" w:eastAsia="仿宋" w:cs="仿宋"/>
          <w:color w:val="auto"/>
          <w:sz w:val="32"/>
          <w:szCs w:val="32"/>
          <w:highlight w:val="none"/>
        </w:rPr>
      </w:pPr>
    </w:p>
    <w:p>
      <w:pPr>
        <w:tabs>
          <w:tab w:val="left" w:pos="426"/>
        </w:tabs>
        <w:autoSpaceDE w:val="0"/>
        <w:autoSpaceDN w:val="0"/>
        <w:spacing w:line="360" w:lineRule="auto"/>
        <w:jc w:val="center"/>
        <w:outlineLvl w:val="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监狱企业的证明文件（如有）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说明：监狱企业参加政府采购活动时，应当提供由</w:t>
      </w:r>
      <w:r>
        <w:rPr>
          <w:rFonts w:hint="eastAsia" w:ascii="仿宋" w:hAnsi="仿宋" w:eastAsia="仿宋" w:cs="仿宋"/>
          <w:b/>
          <w:color w:val="auto"/>
          <w:sz w:val="24"/>
          <w:highlight w:val="none"/>
        </w:rPr>
        <w:t>省级以上监狱管理局、戒毒管理局（含新疆生产建设兵团）出具的属于监狱企业的证明文件，</w:t>
      </w:r>
      <w:r>
        <w:rPr>
          <w:rFonts w:hint="eastAsia" w:ascii="仿宋" w:hAnsi="仿宋" w:eastAsia="仿宋" w:cs="仿宋"/>
          <w:color w:val="auto"/>
          <w:sz w:val="24"/>
          <w:highlight w:val="none"/>
        </w:rPr>
        <w:t>并加盖投标单位公章。</w:t>
      </w: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p>
    <w:p>
      <w:pP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br w:type="page"/>
      </w: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十五、节能、环保产品证明（如有）</w:t>
      </w:r>
    </w:p>
    <w:p>
      <w:pPr>
        <w:pStyle w:val="8"/>
        <w:numPr>
          <w:ilvl w:val="0"/>
          <w:numId w:val="0"/>
        </w:numPr>
        <w:outlineLvl w:val="9"/>
        <w:rPr>
          <w:rFonts w:hint="eastAsia" w:ascii="仿宋" w:hAnsi="仿宋" w:eastAsia="仿宋" w:cs="仿宋"/>
          <w:color w:val="auto"/>
          <w:highlight w:val="none"/>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现附上</w:t>
      </w:r>
      <w:r>
        <w:rPr>
          <w:rFonts w:hint="eastAsia" w:ascii="仿宋" w:hAnsi="仿宋" w:eastAsia="仿宋" w:cs="仿宋"/>
          <w:color w:val="auto"/>
          <w:sz w:val="24"/>
          <w:highlight w:val="none"/>
          <w:u w:val="single"/>
        </w:rPr>
        <w:t>  （节能、环保产品产品目录）    </w:t>
      </w:r>
      <w:r>
        <w:rPr>
          <w:rFonts w:hint="eastAsia" w:ascii="仿宋" w:hAnsi="仿宋" w:eastAsia="仿宋" w:cs="仿宋"/>
          <w:color w:val="auto"/>
          <w:sz w:val="24"/>
          <w:highlight w:val="none"/>
        </w:rPr>
        <w:t> 证明文件（可在 网站名称 网站进行查询）复印件，该证件真实有效。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投标人（加盖公章）：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投标人代表（签字）：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日  期：    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8"/>
        <w:jc w:val="center"/>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十六、网站截图</w:t>
      </w:r>
    </w:p>
    <w:p>
      <w:pPr>
        <w:pStyle w:val="43"/>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凡拟参加本次招标项目的投标人，近三年内（本项目投标截止期前）如在“信用中国（www</w:t>
      </w:r>
      <w:r>
        <w:rPr>
          <w:rFonts w:hint="eastAsia" w:ascii="仿宋" w:hAnsi="仿宋" w:eastAsia="仿宋" w:cs="仿宋"/>
          <w:color w:val="auto"/>
          <w:sz w:val="24"/>
          <w:szCs w:val="24"/>
          <w:highlight w:val="none"/>
          <w:lang w:val="en-US" w:eastAsia="zh-CN"/>
        </w:rPr>
        <w:t>.c</w:t>
      </w:r>
      <w:r>
        <w:rPr>
          <w:rFonts w:hint="eastAsia" w:ascii="仿宋" w:hAnsi="仿宋" w:eastAsia="仿宋" w:cs="仿宋"/>
          <w:b/>
          <w:color w:val="auto"/>
          <w:spacing w:val="6"/>
          <w:kern w:val="2"/>
          <w:sz w:val="28"/>
          <w:szCs w:val="28"/>
          <w:highlight w:val="none"/>
          <w:lang w:val="en-US" w:eastAsia="zh-CN" w:bidi="ar-SA"/>
        </w:rPr>
        <w:t>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w:t>
      </w:r>
    </w:p>
    <w:p>
      <w:pPr>
        <w:pStyle w:val="43"/>
        <w:rPr>
          <w:rFonts w:hint="eastAsia" w:ascii="仿宋" w:hAnsi="仿宋" w:eastAsia="仿宋" w:cs="仿宋"/>
          <w:b/>
          <w:color w:val="auto"/>
          <w:spacing w:val="6"/>
          <w:kern w:val="2"/>
          <w:sz w:val="28"/>
          <w:szCs w:val="28"/>
          <w:highlight w:val="none"/>
          <w:lang w:val="en-US" w:eastAsia="zh-CN" w:bidi="ar-SA"/>
        </w:rPr>
      </w:pPr>
    </w:p>
    <w:p>
      <w:pPr>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3"/>
        <w:jc w:val="center"/>
        <w:rPr>
          <w:rFonts w:hint="eastAsia" w:ascii="仿宋" w:hAnsi="仿宋" w:eastAsia="仿宋" w:cs="仿宋"/>
          <w:b/>
          <w:color w:val="auto"/>
          <w:spacing w:val="6"/>
          <w:kern w:val="2"/>
          <w:sz w:val="28"/>
          <w:szCs w:val="28"/>
          <w:highlight w:val="none"/>
          <w:lang w:val="en-US" w:eastAsia="zh-CN" w:bidi="ar-SA"/>
        </w:rPr>
      </w:pP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十七、疫苗免疫副反应、免疫失败、产品质量问题等处理方案损失补偿方案</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pStyle w:val="23"/>
        <w:jc w:val="right"/>
        <w:rPr>
          <w:rFonts w:hint="eastAsia"/>
          <w:color w:val="auto"/>
          <w:highlight w:val="none"/>
        </w:rPr>
      </w:pPr>
      <w:r>
        <w:rPr>
          <w:rFonts w:hint="eastAsia" w:ascii="仿宋" w:hAnsi="仿宋" w:eastAsia="仿宋" w:cs="仿宋"/>
          <w:color w:val="auto"/>
          <w:sz w:val="24"/>
          <w:highlight w:val="none"/>
        </w:rPr>
        <w:t>年   月   日</w:t>
      </w:r>
    </w:p>
    <w:p>
      <w:pPr>
        <w:rPr>
          <w:rFonts w:hint="eastAsia" w:ascii="仿宋" w:hAnsi="仿宋" w:eastAsia="仿宋" w:cs="仿宋"/>
          <w:color w:val="auto"/>
          <w:sz w:val="24"/>
          <w:szCs w:val="22"/>
          <w:highlight w:val="none"/>
          <w:lang w:val="en-US" w:eastAsia="zh-CN"/>
        </w:rPr>
      </w:pPr>
    </w:p>
    <w:p>
      <w:pPr>
        <w:pStyle w:val="26"/>
        <w:rPr>
          <w:rFonts w:hint="eastAsia"/>
          <w:color w:val="auto"/>
          <w:highlight w:val="none"/>
          <w:lang w:val="en-US" w:eastAsia="zh-CN"/>
        </w:rPr>
      </w:pP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十八、抗体水平监测方案</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pStyle w:val="23"/>
        <w:jc w:val="right"/>
        <w:rPr>
          <w:rFonts w:hint="eastAsia"/>
          <w:color w:val="auto"/>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val="0"/>
          <w:color w:val="auto"/>
          <w:spacing w:val="6"/>
          <w:kern w:val="2"/>
          <w:sz w:val="28"/>
          <w:szCs w:val="28"/>
          <w:highlight w:val="none"/>
          <w:lang w:val="en-US" w:eastAsia="zh-CN" w:bidi="ar-SA"/>
        </w:rPr>
      </w:pP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十九、售后服务及质量保障措施方案</w:t>
      </w: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pStyle w:val="23"/>
        <w:jc w:val="right"/>
        <w:rPr>
          <w:rFonts w:hint="eastAsia"/>
          <w:color w:val="auto"/>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val="0"/>
          <w:color w:val="auto"/>
          <w:spacing w:val="6"/>
          <w:kern w:val="2"/>
          <w:sz w:val="28"/>
          <w:szCs w:val="28"/>
          <w:highlight w:val="none"/>
          <w:lang w:val="en-US" w:eastAsia="zh-CN" w:bidi="ar-SA"/>
        </w:rPr>
      </w:pPr>
    </w:p>
    <w:p>
      <w:pPr>
        <w:pStyle w:val="36"/>
        <w:rPr>
          <w:rFonts w:hint="eastAsia"/>
          <w:color w:val="auto"/>
          <w:highlight w:val="none"/>
          <w:lang w:val="en-US" w:eastAsia="zh-CN"/>
        </w:rPr>
      </w:pPr>
    </w:p>
    <w:p>
      <w:pPr>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br w:type="page"/>
      </w: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二十、响应时间</w:t>
      </w: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pStyle w:val="23"/>
        <w:jc w:val="right"/>
        <w:rPr>
          <w:rFonts w:hint="eastAsia"/>
          <w:color w:val="auto"/>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val="0"/>
          <w:color w:val="auto"/>
          <w:spacing w:val="6"/>
          <w:kern w:val="2"/>
          <w:sz w:val="28"/>
          <w:szCs w:val="28"/>
          <w:highlight w:val="none"/>
          <w:lang w:val="en-US" w:eastAsia="zh-CN" w:bidi="ar-SA"/>
        </w:rPr>
      </w:pPr>
    </w:p>
    <w:p>
      <w:pPr>
        <w:pStyle w:val="36"/>
        <w:rPr>
          <w:rFonts w:hint="eastAsia"/>
          <w:color w:val="auto"/>
          <w:highlight w:val="none"/>
          <w:lang w:val="en-US" w:eastAsia="zh-CN"/>
        </w:rPr>
      </w:pP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二十一、产品保险证明</w:t>
      </w:r>
    </w:p>
    <w:p>
      <w:pPr>
        <w:pStyle w:val="36"/>
        <w:rPr>
          <w:rFonts w:hint="eastAsia" w:ascii="仿宋" w:hAnsi="仿宋" w:eastAsia="仿宋" w:cs="仿宋"/>
          <w:b/>
          <w:bCs w:val="0"/>
          <w:color w:val="auto"/>
          <w:spacing w:val="6"/>
          <w:kern w:val="2"/>
          <w:sz w:val="28"/>
          <w:szCs w:val="28"/>
          <w:highlight w:val="none"/>
          <w:lang w:val="en-US" w:eastAsia="zh-CN" w:bidi="ar-SA"/>
        </w:rPr>
      </w:pPr>
    </w:p>
    <w:p>
      <w:pPr>
        <w:pStyle w:val="36"/>
        <w:rPr>
          <w:rFonts w:hint="eastAsia" w:ascii="仿宋" w:hAnsi="仿宋" w:eastAsia="仿宋" w:cs="仿宋"/>
          <w:b/>
          <w:bCs w:val="0"/>
          <w:color w:val="auto"/>
          <w:spacing w:val="6"/>
          <w:kern w:val="2"/>
          <w:sz w:val="28"/>
          <w:szCs w:val="28"/>
          <w:highlight w:val="none"/>
          <w:lang w:val="en-US" w:eastAsia="zh-CN" w:bidi="ar-SA"/>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pStyle w:val="23"/>
        <w:jc w:val="right"/>
        <w:rPr>
          <w:rFonts w:hint="eastAsia"/>
          <w:color w:val="auto"/>
          <w:highlight w:val="none"/>
        </w:rPr>
      </w:pPr>
      <w:r>
        <w:rPr>
          <w:rFonts w:hint="eastAsia" w:ascii="仿宋" w:hAnsi="仿宋" w:eastAsia="仿宋" w:cs="仿宋"/>
          <w:color w:val="auto"/>
          <w:sz w:val="24"/>
          <w:highlight w:val="none"/>
        </w:rPr>
        <w:t>年   月   日</w:t>
      </w:r>
    </w:p>
    <w:p>
      <w:pPr>
        <w:pStyle w:val="36"/>
        <w:rPr>
          <w:rFonts w:hint="eastAsia" w:ascii="仿宋" w:hAnsi="仿宋" w:eastAsia="仿宋" w:cs="仿宋"/>
          <w:b/>
          <w:bCs w:val="0"/>
          <w:color w:val="auto"/>
          <w:spacing w:val="6"/>
          <w:kern w:val="2"/>
          <w:sz w:val="28"/>
          <w:szCs w:val="28"/>
          <w:highlight w:val="none"/>
          <w:lang w:val="en-US" w:eastAsia="zh-CN" w:bidi="ar-SA"/>
        </w:rPr>
      </w:pP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二十二、产品技术指标及生产能力</w:t>
      </w:r>
    </w:p>
    <w:p>
      <w:pPr>
        <w:pStyle w:val="36"/>
        <w:rPr>
          <w:rFonts w:hint="eastAsia" w:ascii="仿宋" w:hAnsi="仿宋" w:eastAsia="仿宋" w:cs="仿宋"/>
          <w:b/>
          <w:bCs w:val="0"/>
          <w:color w:val="auto"/>
          <w:spacing w:val="6"/>
          <w:kern w:val="2"/>
          <w:sz w:val="28"/>
          <w:szCs w:val="28"/>
          <w:highlight w:val="none"/>
          <w:lang w:val="en-US" w:eastAsia="zh-CN" w:bidi="ar-SA"/>
        </w:rPr>
      </w:pPr>
    </w:p>
    <w:p>
      <w:pPr>
        <w:pStyle w:val="36"/>
        <w:rPr>
          <w:rFonts w:hint="eastAsia" w:ascii="仿宋" w:hAnsi="仿宋" w:eastAsia="仿宋" w:cs="仿宋"/>
          <w:b/>
          <w:bCs w:val="0"/>
          <w:color w:val="auto"/>
          <w:spacing w:val="6"/>
          <w:kern w:val="2"/>
          <w:sz w:val="28"/>
          <w:szCs w:val="28"/>
          <w:highlight w:val="none"/>
          <w:lang w:val="en-US" w:eastAsia="zh-CN" w:bidi="ar-SA"/>
        </w:rPr>
      </w:pPr>
    </w:p>
    <w:p>
      <w:pPr>
        <w:pStyle w:val="36"/>
        <w:rPr>
          <w:rFonts w:hint="eastAsia" w:ascii="仿宋" w:hAnsi="仿宋" w:eastAsia="仿宋" w:cs="仿宋"/>
          <w:b/>
          <w:bCs w:val="0"/>
          <w:color w:val="auto"/>
          <w:spacing w:val="6"/>
          <w:kern w:val="2"/>
          <w:sz w:val="28"/>
          <w:szCs w:val="28"/>
          <w:highlight w:val="none"/>
          <w:lang w:val="en-US" w:eastAsia="zh-CN" w:bidi="ar-SA"/>
        </w:rPr>
      </w:pPr>
    </w:p>
    <w:p>
      <w:pPr>
        <w:pStyle w:val="36"/>
        <w:rPr>
          <w:rFonts w:hint="eastAsia" w:ascii="仿宋" w:hAnsi="仿宋" w:eastAsia="仿宋" w:cs="仿宋"/>
          <w:b/>
          <w:bCs w:val="0"/>
          <w:color w:val="auto"/>
          <w:spacing w:val="6"/>
          <w:kern w:val="2"/>
          <w:sz w:val="28"/>
          <w:szCs w:val="28"/>
          <w:highlight w:val="none"/>
          <w:lang w:val="en-US" w:eastAsia="zh-CN" w:bidi="ar-SA"/>
        </w:rPr>
      </w:pPr>
    </w:p>
    <w:p>
      <w:pPr>
        <w:spacing w:line="360" w:lineRule="auto"/>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二十三、投标人认为需要提供的其他资料</w:t>
      </w:r>
    </w:p>
    <w:p>
      <w:pPr>
        <w:rPr>
          <w:rFonts w:hint="eastAsia" w:ascii="仿宋" w:hAnsi="仿宋" w:eastAsia="仿宋" w:cs="仿宋"/>
          <w:color w:val="auto"/>
          <w:kern w:val="0"/>
          <w:sz w:val="28"/>
          <w:highlight w:val="none"/>
        </w:rPr>
      </w:pPr>
    </w:p>
    <w:p>
      <w:pPr>
        <w:pStyle w:val="8"/>
        <w:rPr>
          <w:rFonts w:hint="eastAsia" w:ascii="仿宋" w:hAnsi="仿宋" w:eastAsia="仿宋" w:cs="仿宋"/>
          <w:color w:val="auto"/>
          <w:kern w:val="0"/>
          <w:sz w:val="28"/>
          <w:highlight w:val="none"/>
        </w:rPr>
      </w:pPr>
    </w:p>
    <w:p>
      <w:pPr>
        <w:pStyle w:val="7"/>
        <w:jc w:val="center"/>
        <w:rPr>
          <w:rFonts w:hint="eastAsia" w:ascii="仿宋" w:hAnsi="仿宋" w:eastAsia="仿宋" w:cs="仿宋"/>
          <w:color w:val="auto"/>
          <w:kern w:val="0"/>
          <w:sz w:val="28"/>
          <w:highlight w:val="none"/>
        </w:rPr>
      </w:pPr>
      <w:bookmarkStart w:id="473" w:name="_Toc19600"/>
      <w:bookmarkStart w:id="474" w:name="_Toc27985"/>
      <w:bookmarkStart w:id="475" w:name="_Toc3556"/>
      <w:bookmarkStart w:id="476" w:name="_Toc1589"/>
    </w:p>
    <w:p>
      <w:pPr>
        <w:rPr>
          <w:rFonts w:hint="eastAsia" w:ascii="仿宋" w:hAnsi="仿宋" w:eastAsia="仿宋" w:cs="仿宋"/>
          <w:color w:val="auto"/>
          <w:kern w:val="0"/>
          <w:sz w:val="28"/>
          <w:highlight w:val="none"/>
        </w:rPr>
      </w:pPr>
    </w:p>
    <w:p>
      <w:pPr>
        <w:pStyle w:val="23"/>
        <w:tabs>
          <w:tab w:val="left" w:pos="9214"/>
        </w:tabs>
        <w:rPr>
          <w:rFonts w:hint="eastAsia" w:ascii="仿宋" w:hAnsi="仿宋" w:eastAsia="仿宋" w:cs="仿宋"/>
          <w:color w:val="auto"/>
          <w:highlight w:val="none"/>
        </w:rPr>
      </w:pPr>
    </w:p>
    <w:bookmarkEnd w:id="473"/>
    <w:bookmarkEnd w:id="474"/>
    <w:bookmarkEnd w:id="475"/>
    <w:bookmarkEnd w:id="476"/>
    <w:p>
      <w:pPr>
        <w:spacing w:line="360" w:lineRule="auto"/>
        <w:jc w:val="both"/>
        <w:rPr>
          <w:rFonts w:hint="eastAsia" w:ascii="仿宋" w:hAnsi="仿宋" w:eastAsia="仿宋" w:cs="仿宋"/>
          <w:b/>
          <w:bCs/>
          <w:color w:val="auto"/>
          <w:spacing w:val="60"/>
          <w:sz w:val="32"/>
          <w:szCs w:val="32"/>
          <w:highlight w:val="none"/>
        </w:rPr>
      </w:pPr>
      <w:bookmarkStart w:id="477" w:name="_Toc12999"/>
      <w:bookmarkStart w:id="478" w:name="_Toc16687"/>
      <w:bookmarkStart w:id="479" w:name="_Toc31830"/>
      <w:bookmarkStart w:id="480" w:name="_Toc23806"/>
      <w:bookmarkStart w:id="481" w:name="_Toc24887"/>
      <w:bookmarkStart w:id="482" w:name="_Toc20918"/>
    </w:p>
    <w:p>
      <w:pPr>
        <w:rPr>
          <w:rFonts w:hint="eastAsia" w:ascii="仿宋" w:hAnsi="仿宋" w:eastAsia="仿宋" w:cs="仿宋"/>
          <w:b/>
          <w:bCs/>
          <w:color w:val="auto"/>
          <w:spacing w:val="60"/>
          <w:sz w:val="32"/>
          <w:szCs w:val="32"/>
          <w:highlight w:val="none"/>
        </w:rPr>
      </w:pPr>
      <w:r>
        <w:rPr>
          <w:rFonts w:hint="eastAsia" w:ascii="仿宋" w:hAnsi="仿宋" w:eastAsia="仿宋" w:cs="仿宋"/>
          <w:b/>
          <w:bCs/>
          <w:color w:val="auto"/>
          <w:spacing w:val="60"/>
          <w:sz w:val="32"/>
          <w:szCs w:val="32"/>
          <w:highlight w:val="none"/>
        </w:rPr>
        <w:br w:type="page"/>
      </w: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477"/>
      <w:bookmarkEnd w:id="478"/>
      <w:bookmarkEnd w:id="479"/>
      <w:bookmarkEnd w:id="480"/>
      <w:bookmarkEnd w:id="481"/>
      <w:bookmarkEnd w:id="482"/>
    </w:p>
    <w:p>
      <w:pPr>
        <w:rPr>
          <w:rFonts w:hint="eastAsia" w:ascii="仿宋" w:hAnsi="仿宋" w:eastAsia="仿宋" w:cs="仿宋"/>
          <w:color w:val="auto"/>
          <w:sz w:val="24"/>
          <w:highlight w:val="none"/>
        </w:rPr>
      </w:pPr>
      <w:r>
        <w:rPr>
          <w:rFonts w:hint="eastAsia" w:ascii="仿宋" w:hAnsi="仿宋" w:eastAsia="仿宋" w:cs="仿宋"/>
          <w:color w:val="auto"/>
          <w:sz w:val="28"/>
          <w:highlight w:val="none"/>
        </w:rPr>
        <w:t>1、</w:t>
      </w:r>
      <w:r>
        <w:rPr>
          <w:rFonts w:hint="eastAsia" w:ascii="仿宋" w:hAnsi="仿宋" w:eastAsia="仿宋" w:cs="仿宋"/>
          <w:color w:val="auto"/>
          <w:sz w:val="24"/>
          <w:highlight w:val="none"/>
        </w:rPr>
        <w:t>投标人对所附表格中要求的资料和询问应做出肯定的回答。</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2、招标文件的签字人应保证他所做的声明及对一切问题的回答的真实性和准确。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3、投标人提供的招标文件将由招标人使用，并据此进行评价和判断，确定投标人的能力。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4、投标人提交的文件将给予保密，但不退还。</w:t>
      </w:r>
    </w:p>
    <w:p>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380" w:lineRule="exact"/>
        <w:rPr>
          <w:rFonts w:hint="eastAsia" w:ascii="仿宋" w:hAnsi="仿宋" w:eastAsia="仿宋" w:cs="仿宋"/>
          <w:color w:val="auto"/>
          <w:sz w:val="28"/>
          <w:szCs w:val="28"/>
          <w:highlight w:val="none"/>
        </w:rPr>
      </w:pPr>
    </w:p>
    <w:sectPr>
      <w:headerReference r:id="rId7" w:type="default"/>
      <w:footerReference r:id="rId8"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80B/hAQAAugMAAA4AAABkcnMvZTJvRG9jLnhtbK1TwY7TMBC9&#10;I/EPlu802UoL3a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N5w5YWng5x/fzz9/&#10;n399YzdJnt5jRVH3nuLi8AYGWpr5HukysR7aYNOf+DDyk7ini7hqiEympNVytSrJJck3Hwi/eEj3&#10;AeNbBZYlo+aBppdFFcf3GMfQOSRVc3CnjckTNI71hHq9enWdMy4uQjeOiiQWY7fJisNumKjtoDkR&#10;M3oQVLGD8JWzntah5o62nzPzzpHaaXNmI8zGbjaEk5RY88jZwQe97/KWpQ7R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rzQH+EBAAC6AwAA&#10;DgAAAAAAAAABACAAAAAiAQAAZHJzL2Uyb0RvYy54bWxQSwUGAAAAAAYABgBZAQAAdQUAA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p>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p9xmRN4BAAC8AwAADgAA&#10;AAAAAAABACAAAAAiAQAAZHJzL2Uyb0RvYy54bWxQSwUGAAAAAAYABgBZAQAAcg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EACCF"/>
    <w:multiLevelType w:val="singleLevel"/>
    <w:tmpl w:val="9C6EACCF"/>
    <w:lvl w:ilvl="0" w:tentative="0">
      <w:start w:val="3"/>
      <w:numFmt w:val="chineseCounting"/>
      <w:suff w:val="space"/>
      <w:lvlText w:val="第%1部分"/>
      <w:lvlJc w:val="left"/>
      <w:rPr>
        <w:rFonts w:hint="eastAsia"/>
      </w:rPr>
    </w:lvl>
  </w:abstractNum>
  <w:abstractNum w:abstractNumId="1">
    <w:nsid w:val="BD96CC2A"/>
    <w:multiLevelType w:val="singleLevel"/>
    <w:tmpl w:val="BD96CC2A"/>
    <w:lvl w:ilvl="0" w:tentative="0">
      <w:start w:val="2"/>
      <w:numFmt w:val="chineseCounting"/>
      <w:suff w:val="nothing"/>
      <w:lvlText w:val="（%1）"/>
      <w:lvlJc w:val="left"/>
      <w:rPr>
        <w:rFonts w:hint="eastAsia"/>
      </w:rPr>
    </w:lvl>
  </w:abstractNum>
  <w:abstractNum w:abstractNumId="2">
    <w:nsid w:val="CE48D951"/>
    <w:multiLevelType w:val="singleLevel"/>
    <w:tmpl w:val="CE48D951"/>
    <w:lvl w:ilvl="0" w:tentative="0">
      <w:start w:val="1"/>
      <w:numFmt w:val="decimal"/>
      <w:pStyle w:val="76"/>
      <w:suff w:val="nothing"/>
      <w:lvlText w:val="%1、"/>
      <w:lvlJc w:val="left"/>
    </w:lvl>
  </w:abstractNum>
  <w:abstractNum w:abstractNumId="3">
    <w:nsid w:val="0000000C"/>
    <w:multiLevelType w:val="multilevel"/>
    <w:tmpl w:val="0000000C"/>
    <w:lvl w:ilvl="0" w:tentative="0">
      <w:start w:val="2"/>
      <w:numFmt w:val="decimal"/>
      <w:pStyle w:val="53"/>
      <w:suff w:val="nothing"/>
      <w:lvlText w:val="%1、"/>
      <w:lvlJc w:val="left"/>
    </w:lvl>
    <w:lvl w:ilvl="1" w:tentative="0">
      <w:start w:val="1"/>
      <w:numFmt w:val="decimal"/>
      <w:pStyle w:val="75"/>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9"/>
      <w:lvlText w:val="%4)"/>
      <w:lvlJc w:val="left"/>
      <w:pPr>
        <w:tabs>
          <w:tab w:val="left" w:pos="1680"/>
        </w:tabs>
        <w:ind w:left="1680" w:hanging="420"/>
      </w:pPr>
      <w:rPr>
        <w:rFonts w:hint="default"/>
      </w:rPr>
    </w:lvl>
    <w:lvl w:ilvl="4" w:tentative="0">
      <w:start w:val="1"/>
      <w:numFmt w:val="lowerLetter"/>
      <w:pStyle w:val="10"/>
      <w:lvlText w:val="%5."/>
      <w:lvlJc w:val="left"/>
      <w:pPr>
        <w:tabs>
          <w:tab w:val="left" w:pos="2100"/>
        </w:tabs>
        <w:ind w:left="2100" w:hanging="420"/>
      </w:pPr>
      <w:rPr>
        <w:rFonts w:hint="default"/>
      </w:rPr>
    </w:lvl>
    <w:lvl w:ilvl="5" w:tentative="0">
      <w:start w:val="1"/>
      <w:numFmt w:val="lowerLetter"/>
      <w:pStyle w:val="11"/>
      <w:lvlText w:val="%6)"/>
      <w:lvlJc w:val="left"/>
      <w:pPr>
        <w:tabs>
          <w:tab w:val="left" w:pos="2520"/>
        </w:tabs>
        <w:ind w:left="2520" w:hanging="420"/>
      </w:pPr>
      <w:rPr>
        <w:rFonts w:hint="default"/>
      </w:rPr>
    </w:lvl>
    <w:lvl w:ilvl="6" w:tentative="0">
      <w:start w:val="1"/>
      <w:numFmt w:val="lowerRoman"/>
      <w:pStyle w:val="12"/>
      <w:lvlText w:val="%7."/>
      <w:lvlJc w:val="left"/>
      <w:pPr>
        <w:tabs>
          <w:tab w:val="left" w:pos="2940"/>
        </w:tabs>
        <w:ind w:left="2940" w:hanging="420"/>
      </w:pPr>
      <w:rPr>
        <w:rFonts w:hint="default"/>
      </w:rPr>
    </w:lvl>
    <w:lvl w:ilvl="7" w:tentative="0">
      <w:start w:val="1"/>
      <w:numFmt w:val="lowerRoman"/>
      <w:pStyle w:val="13"/>
      <w:lvlText w:val="%8)"/>
      <w:lvlJc w:val="left"/>
      <w:pPr>
        <w:tabs>
          <w:tab w:val="left" w:pos="3360"/>
        </w:tabs>
        <w:ind w:left="3360" w:hanging="420"/>
      </w:pPr>
      <w:rPr>
        <w:rFonts w:hint="default"/>
      </w:rPr>
    </w:lvl>
    <w:lvl w:ilvl="8" w:tentative="0">
      <w:start w:val="1"/>
      <w:numFmt w:val="lowerLetter"/>
      <w:pStyle w:val="14"/>
      <w:lvlText w:val="%9."/>
      <w:lvlJc w:val="left"/>
      <w:pPr>
        <w:tabs>
          <w:tab w:val="left" w:pos="3780"/>
        </w:tabs>
        <w:ind w:left="3780" w:hanging="420"/>
      </w:pPr>
      <w:rPr>
        <w:rFonts w:hint="default"/>
      </w:rPr>
    </w:lvl>
  </w:abstractNum>
  <w:abstractNum w:abstractNumId="4">
    <w:nsid w:val="00000013"/>
    <w:multiLevelType w:val="singleLevel"/>
    <w:tmpl w:val="00000013"/>
    <w:lvl w:ilvl="0" w:tentative="0">
      <w:start w:val="4"/>
      <w:numFmt w:val="chineseCounting"/>
      <w:suff w:val="nothing"/>
      <w:lvlText w:val="%1、"/>
      <w:lvlJc w:val="left"/>
    </w:lvl>
  </w:abstractNum>
  <w:abstractNum w:abstractNumId="5">
    <w:nsid w:val="0000001B"/>
    <w:multiLevelType w:val="singleLevel"/>
    <w:tmpl w:val="0000001B"/>
    <w:lvl w:ilvl="0" w:tentative="0">
      <w:start w:val="2"/>
      <w:numFmt w:val="chineseCounting"/>
      <w:suff w:val="nothing"/>
      <w:lvlText w:val="%1、"/>
      <w:lvlJc w:val="left"/>
    </w:lvl>
  </w:abstractNum>
  <w:abstractNum w:abstractNumId="6">
    <w:nsid w:val="19C5E42D"/>
    <w:multiLevelType w:val="singleLevel"/>
    <w:tmpl w:val="19C5E42D"/>
    <w:lvl w:ilvl="0" w:tentative="0">
      <w:start w:val="1"/>
      <w:numFmt w:val="decimal"/>
      <w:pStyle w:val="16"/>
      <w:lvlText w:val="%1."/>
      <w:lvlJc w:val="left"/>
      <w:pPr>
        <w:tabs>
          <w:tab w:val="left" w:pos="360"/>
        </w:tabs>
        <w:ind w:left="360" w:hanging="360"/>
      </w:pPr>
    </w:lvl>
  </w:abstractNum>
  <w:abstractNum w:abstractNumId="7">
    <w:nsid w:val="334036BB"/>
    <w:multiLevelType w:val="singleLevel"/>
    <w:tmpl w:val="334036BB"/>
    <w:lvl w:ilvl="0" w:tentative="0">
      <w:start w:val="4"/>
      <w:numFmt w:val="chineseCounting"/>
      <w:suff w:val="space"/>
      <w:lvlText w:val="第%1章"/>
      <w:lvlJc w:val="left"/>
      <w:rPr>
        <w:rFonts w:hint="eastAsia"/>
      </w:rPr>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6CAAD70C"/>
    <w:multiLevelType w:val="singleLevel"/>
    <w:tmpl w:val="6CAAD70C"/>
    <w:lvl w:ilvl="0" w:tentative="0">
      <w:start w:val="11"/>
      <w:numFmt w:val="decimal"/>
      <w:suff w:val="nothing"/>
      <w:lvlText w:val="%1、"/>
      <w:lvlJc w:val="left"/>
      <w:pPr>
        <w:ind w:left="481" w:firstLine="0"/>
      </w:pPr>
    </w:lvl>
  </w:abstractNum>
  <w:num w:numId="1">
    <w:abstractNumId w:val="3"/>
  </w:num>
  <w:num w:numId="2">
    <w:abstractNumId w:val="6"/>
  </w:num>
  <w:num w:numId="3">
    <w:abstractNumId w:val="2"/>
  </w:num>
  <w:num w:numId="4">
    <w:abstractNumId w:val="5"/>
  </w:num>
  <w:num w:numId="5">
    <w:abstractNumId w:val="9"/>
  </w:num>
  <w:num w:numId="6">
    <w:abstractNumId w:val="4"/>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WZjZDg0YTg0ZTcyZTFiM2Q1YzAzY2Y4MDRiYzMifQ=="/>
  </w:docVars>
  <w:rsids>
    <w:rsidRoot w:val="00172A27"/>
    <w:rsid w:val="000F78F8"/>
    <w:rsid w:val="00164C33"/>
    <w:rsid w:val="002F5EFC"/>
    <w:rsid w:val="002F6D43"/>
    <w:rsid w:val="004852A3"/>
    <w:rsid w:val="006843FA"/>
    <w:rsid w:val="006A7838"/>
    <w:rsid w:val="00735ACC"/>
    <w:rsid w:val="0078578F"/>
    <w:rsid w:val="00842086"/>
    <w:rsid w:val="009D1D6B"/>
    <w:rsid w:val="00A54779"/>
    <w:rsid w:val="00B42D9D"/>
    <w:rsid w:val="00B71FBF"/>
    <w:rsid w:val="00C56DFF"/>
    <w:rsid w:val="00D41950"/>
    <w:rsid w:val="00D4336C"/>
    <w:rsid w:val="00D70EA7"/>
    <w:rsid w:val="00E3321F"/>
    <w:rsid w:val="00E77F2B"/>
    <w:rsid w:val="00E83F8F"/>
    <w:rsid w:val="00EF1595"/>
    <w:rsid w:val="00FD7FED"/>
    <w:rsid w:val="014673F9"/>
    <w:rsid w:val="017753C6"/>
    <w:rsid w:val="017F5739"/>
    <w:rsid w:val="01916D9E"/>
    <w:rsid w:val="01D10442"/>
    <w:rsid w:val="01DE5A0A"/>
    <w:rsid w:val="02005B8D"/>
    <w:rsid w:val="022A7A8C"/>
    <w:rsid w:val="024A0BA6"/>
    <w:rsid w:val="025678F5"/>
    <w:rsid w:val="02647AD4"/>
    <w:rsid w:val="02AC5385"/>
    <w:rsid w:val="02C1531D"/>
    <w:rsid w:val="03164A81"/>
    <w:rsid w:val="033A01A8"/>
    <w:rsid w:val="03793B97"/>
    <w:rsid w:val="03833451"/>
    <w:rsid w:val="03895ADE"/>
    <w:rsid w:val="03C61693"/>
    <w:rsid w:val="03CA7259"/>
    <w:rsid w:val="03D604BB"/>
    <w:rsid w:val="04257B1C"/>
    <w:rsid w:val="048C2C9E"/>
    <w:rsid w:val="04FD70C7"/>
    <w:rsid w:val="0510448D"/>
    <w:rsid w:val="05536562"/>
    <w:rsid w:val="055920B6"/>
    <w:rsid w:val="05621F2C"/>
    <w:rsid w:val="05692D56"/>
    <w:rsid w:val="05DC228D"/>
    <w:rsid w:val="060D148A"/>
    <w:rsid w:val="062B7991"/>
    <w:rsid w:val="06717375"/>
    <w:rsid w:val="06AF013D"/>
    <w:rsid w:val="06F9464B"/>
    <w:rsid w:val="07436C5F"/>
    <w:rsid w:val="07B25F62"/>
    <w:rsid w:val="07BA1167"/>
    <w:rsid w:val="07E01D22"/>
    <w:rsid w:val="07E15CC2"/>
    <w:rsid w:val="082F3FD3"/>
    <w:rsid w:val="08F5187D"/>
    <w:rsid w:val="095C4021"/>
    <w:rsid w:val="09613E28"/>
    <w:rsid w:val="097A4F8F"/>
    <w:rsid w:val="099A5D5B"/>
    <w:rsid w:val="09F758E1"/>
    <w:rsid w:val="09F8495A"/>
    <w:rsid w:val="0A035572"/>
    <w:rsid w:val="0A8214DE"/>
    <w:rsid w:val="0A932CCA"/>
    <w:rsid w:val="0AB637A9"/>
    <w:rsid w:val="0AD1579D"/>
    <w:rsid w:val="0B410F8B"/>
    <w:rsid w:val="0B58238F"/>
    <w:rsid w:val="0B7E012E"/>
    <w:rsid w:val="0B8C1F3D"/>
    <w:rsid w:val="0BBA6113"/>
    <w:rsid w:val="0BD81D82"/>
    <w:rsid w:val="0C6243A4"/>
    <w:rsid w:val="0C70367A"/>
    <w:rsid w:val="0CC54204"/>
    <w:rsid w:val="0D3851A2"/>
    <w:rsid w:val="0D410B01"/>
    <w:rsid w:val="0DC54E21"/>
    <w:rsid w:val="0E187EE3"/>
    <w:rsid w:val="0E395338"/>
    <w:rsid w:val="0EAC48BD"/>
    <w:rsid w:val="0EBF3FBE"/>
    <w:rsid w:val="0F2D4EC8"/>
    <w:rsid w:val="0F3B0774"/>
    <w:rsid w:val="0F597EC1"/>
    <w:rsid w:val="0F6D24C6"/>
    <w:rsid w:val="1046608D"/>
    <w:rsid w:val="105D6BCF"/>
    <w:rsid w:val="10824ED0"/>
    <w:rsid w:val="108B08F2"/>
    <w:rsid w:val="10907D37"/>
    <w:rsid w:val="11114205"/>
    <w:rsid w:val="1120496E"/>
    <w:rsid w:val="11693E13"/>
    <w:rsid w:val="11D9089D"/>
    <w:rsid w:val="11E93B5E"/>
    <w:rsid w:val="12723C85"/>
    <w:rsid w:val="12C246A7"/>
    <w:rsid w:val="131655CE"/>
    <w:rsid w:val="1320787A"/>
    <w:rsid w:val="134C2C02"/>
    <w:rsid w:val="13EA53A0"/>
    <w:rsid w:val="14710DC1"/>
    <w:rsid w:val="14754F4B"/>
    <w:rsid w:val="14D868FD"/>
    <w:rsid w:val="153F193C"/>
    <w:rsid w:val="15524BE4"/>
    <w:rsid w:val="15DB6150"/>
    <w:rsid w:val="162D6097"/>
    <w:rsid w:val="165E2C35"/>
    <w:rsid w:val="17292AE8"/>
    <w:rsid w:val="175B1B2C"/>
    <w:rsid w:val="178253FE"/>
    <w:rsid w:val="17842684"/>
    <w:rsid w:val="17A0586A"/>
    <w:rsid w:val="184F474B"/>
    <w:rsid w:val="1867248F"/>
    <w:rsid w:val="18725D99"/>
    <w:rsid w:val="189E2620"/>
    <w:rsid w:val="18D46954"/>
    <w:rsid w:val="18FA7550"/>
    <w:rsid w:val="191663F0"/>
    <w:rsid w:val="197163E1"/>
    <w:rsid w:val="19A253D3"/>
    <w:rsid w:val="19D40F30"/>
    <w:rsid w:val="1A094190"/>
    <w:rsid w:val="1A415875"/>
    <w:rsid w:val="1B2158C7"/>
    <w:rsid w:val="1C006EAF"/>
    <w:rsid w:val="1C190A99"/>
    <w:rsid w:val="1C206580"/>
    <w:rsid w:val="1C3D63ED"/>
    <w:rsid w:val="1CCB2A5A"/>
    <w:rsid w:val="1CD91ED5"/>
    <w:rsid w:val="1CE2284F"/>
    <w:rsid w:val="1CE27665"/>
    <w:rsid w:val="1D1F7314"/>
    <w:rsid w:val="1D985169"/>
    <w:rsid w:val="1DAA1CFA"/>
    <w:rsid w:val="1DF47391"/>
    <w:rsid w:val="1E046ED9"/>
    <w:rsid w:val="1E0B6D0F"/>
    <w:rsid w:val="1E436CBC"/>
    <w:rsid w:val="1E4F29BA"/>
    <w:rsid w:val="1E4F50EF"/>
    <w:rsid w:val="1E8C66EB"/>
    <w:rsid w:val="1E8D75B9"/>
    <w:rsid w:val="1E9637FD"/>
    <w:rsid w:val="1EBB7EAA"/>
    <w:rsid w:val="1F026509"/>
    <w:rsid w:val="1F771A4D"/>
    <w:rsid w:val="202265AF"/>
    <w:rsid w:val="20451F26"/>
    <w:rsid w:val="206705CC"/>
    <w:rsid w:val="207C716F"/>
    <w:rsid w:val="20A6633B"/>
    <w:rsid w:val="20D11B48"/>
    <w:rsid w:val="20F011EF"/>
    <w:rsid w:val="21310218"/>
    <w:rsid w:val="21A16738"/>
    <w:rsid w:val="21BA4918"/>
    <w:rsid w:val="21BB1762"/>
    <w:rsid w:val="21DC0A70"/>
    <w:rsid w:val="21DD2101"/>
    <w:rsid w:val="21E620E9"/>
    <w:rsid w:val="21FA7FF4"/>
    <w:rsid w:val="220215B6"/>
    <w:rsid w:val="22702D55"/>
    <w:rsid w:val="23915BF2"/>
    <w:rsid w:val="23AE6F3A"/>
    <w:rsid w:val="23F9781D"/>
    <w:rsid w:val="247B615F"/>
    <w:rsid w:val="248E4857"/>
    <w:rsid w:val="24ED1F1B"/>
    <w:rsid w:val="2567077F"/>
    <w:rsid w:val="259B4ADE"/>
    <w:rsid w:val="25ED53CE"/>
    <w:rsid w:val="262D4932"/>
    <w:rsid w:val="26360BC2"/>
    <w:rsid w:val="26527375"/>
    <w:rsid w:val="266542FD"/>
    <w:rsid w:val="26845B90"/>
    <w:rsid w:val="26955E2C"/>
    <w:rsid w:val="26A15028"/>
    <w:rsid w:val="26F70735"/>
    <w:rsid w:val="27585507"/>
    <w:rsid w:val="275E310C"/>
    <w:rsid w:val="27AB234F"/>
    <w:rsid w:val="27C54C43"/>
    <w:rsid w:val="27CB1478"/>
    <w:rsid w:val="27D677D0"/>
    <w:rsid w:val="27FE496D"/>
    <w:rsid w:val="281015F1"/>
    <w:rsid w:val="28727659"/>
    <w:rsid w:val="28845CC2"/>
    <w:rsid w:val="28A702B9"/>
    <w:rsid w:val="28AA25E9"/>
    <w:rsid w:val="28BE3623"/>
    <w:rsid w:val="28C96735"/>
    <w:rsid w:val="28DB6EAA"/>
    <w:rsid w:val="296C4096"/>
    <w:rsid w:val="29A123BB"/>
    <w:rsid w:val="29B80F87"/>
    <w:rsid w:val="2A3558B4"/>
    <w:rsid w:val="2A613DB9"/>
    <w:rsid w:val="2AA8758A"/>
    <w:rsid w:val="2AAE6BCF"/>
    <w:rsid w:val="2AE06085"/>
    <w:rsid w:val="2B433BE2"/>
    <w:rsid w:val="2BC316BB"/>
    <w:rsid w:val="2BE273BF"/>
    <w:rsid w:val="2C0078D2"/>
    <w:rsid w:val="2C2C721C"/>
    <w:rsid w:val="2CDA0972"/>
    <w:rsid w:val="2D3F156A"/>
    <w:rsid w:val="2D4F7387"/>
    <w:rsid w:val="2D913ECB"/>
    <w:rsid w:val="2DC16D9B"/>
    <w:rsid w:val="2E231423"/>
    <w:rsid w:val="2E4B76EC"/>
    <w:rsid w:val="2EC51780"/>
    <w:rsid w:val="2EF56EA2"/>
    <w:rsid w:val="2F1D1D8E"/>
    <w:rsid w:val="2F2A04CA"/>
    <w:rsid w:val="2F4C12F7"/>
    <w:rsid w:val="2F52087C"/>
    <w:rsid w:val="2F570AD7"/>
    <w:rsid w:val="2F84708E"/>
    <w:rsid w:val="2F9D1627"/>
    <w:rsid w:val="2FC8743B"/>
    <w:rsid w:val="2FD76221"/>
    <w:rsid w:val="2FEA776D"/>
    <w:rsid w:val="300A4BE4"/>
    <w:rsid w:val="302225B6"/>
    <w:rsid w:val="302945C4"/>
    <w:rsid w:val="30384235"/>
    <w:rsid w:val="306758CD"/>
    <w:rsid w:val="30B240A1"/>
    <w:rsid w:val="30EB3AFB"/>
    <w:rsid w:val="30F465F9"/>
    <w:rsid w:val="30F9075B"/>
    <w:rsid w:val="31665252"/>
    <w:rsid w:val="317131A4"/>
    <w:rsid w:val="31776AEB"/>
    <w:rsid w:val="31CB168D"/>
    <w:rsid w:val="31D01CB1"/>
    <w:rsid w:val="31EB38F9"/>
    <w:rsid w:val="31F877A0"/>
    <w:rsid w:val="320B3E33"/>
    <w:rsid w:val="3256662F"/>
    <w:rsid w:val="32731930"/>
    <w:rsid w:val="329218B6"/>
    <w:rsid w:val="332E6D2C"/>
    <w:rsid w:val="33374CE0"/>
    <w:rsid w:val="33650BC1"/>
    <w:rsid w:val="33A9307D"/>
    <w:rsid w:val="33AD37C7"/>
    <w:rsid w:val="33F64849"/>
    <w:rsid w:val="34024F70"/>
    <w:rsid w:val="3405793E"/>
    <w:rsid w:val="341A69F5"/>
    <w:rsid w:val="342601B1"/>
    <w:rsid w:val="347C79C5"/>
    <w:rsid w:val="34D23D8F"/>
    <w:rsid w:val="34E17CC1"/>
    <w:rsid w:val="351C3972"/>
    <w:rsid w:val="357830FD"/>
    <w:rsid w:val="358A639D"/>
    <w:rsid w:val="35DD617F"/>
    <w:rsid w:val="36101977"/>
    <w:rsid w:val="363A12E4"/>
    <w:rsid w:val="365517B7"/>
    <w:rsid w:val="36722E94"/>
    <w:rsid w:val="3681127D"/>
    <w:rsid w:val="368C74AA"/>
    <w:rsid w:val="369A4AAB"/>
    <w:rsid w:val="36B63A76"/>
    <w:rsid w:val="36D16E9F"/>
    <w:rsid w:val="37180D0B"/>
    <w:rsid w:val="37352257"/>
    <w:rsid w:val="374C7D9F"/>
    <w:rsid w:val="374F4745"/>
    <w:rsid w:val="375A3AF3"/>
    <w:rsid w:val="37622048"/>
    <w:rsid w:val="381370C2"/>
    <w:rsid w:val="38C60AB9"/>
    <w:rsid w:val="38EE5DE8"/>
    <w:rsid w:val="38FA6EBF"/>
    <w:rsid w:val="39083B56"/>
    <w:rsid w:val="39492C1E"/>
    <w:rsid w:val="395E28CA"/>
    <w:rsid w:val="39DD53FD"/>
    <w:rsid w:val="3A05640B"/>
    <w:rsid w:val="3A34505A"/>
    <w:rsid w:val="3A442FE9"/>
    <w:rsid w:val="3A5969B4"/>
    <w:rsid w:val="3B634059"/>
    <w:rsid w:val="3B7F4C3A"/>
    <w:rsid w:val="3B887742"/>
    <w:rsid w:val="3B9628EE"/>
    <w:rsid w:val="3B9B23CA"/>
    <w:rsid w:val="3C3A012D"/>
    <w:rsid w:val="3C457305"/>
    <w:rsid w:val="3C5B7C42"/>
    <w:rsid w:val="3C621722"/>
    <w:rsid w:val="3CB31014"/>
    <w:rsid w:val="3CE17E80"/>
    <w:rsid w:val="3CF83553"/>
    <w:rsid w:val="3D2F72C4"/>
    <w:rsid w:val="3DE758F0"/>
    <w:rsid w:val="3DF46EE2"/>
    <w:rsid w:val="3E0151D6"/>
    <w:rsid w:val="3E3B3C8A"/>
    <w:rsid w:val="3E5F0393"/>
    <w:rsid w:val="3EA70407"/>
    <w:rsid w:val="3EB267C9"/>
    <w:rsid w:val="3EDA5274"/>
    <w:rsid w:val="3F1D60A0"/>
    <w:rsid w:val="3F6E1C6A"/>
    <w:rsid w:val="3FA13A7E"/>
    <w:rsid w:val="3FB90913"/>
    <w:rsid w:val="3FC94073"/>
    <w:rsid w:val="403826DB"/>
    <w:rsid w:val="406946E9"/>
    <w:rsid w:val="41661607"/>
    <w:rsid w:val="41B164B6"/>
    <w:rsid w:val="41CF588A"/>
    <w:rsid w:val="41D628A7"/>
    <w:rsid w:val="41E24788"/>
    <w:rsid w:val="41EE08A5"/>
    <w:rsid w:val="420C2C04"/>
    <w:rsid w:val="427325F4"/>
    <w:rsid w:val="42882165"/>
    <w:rsid w:val="430C2C22"/>
    <w:rsid w:val="44213529"/>
    <w:rsid w:val="44BD7C24"/>
    <w:rsid w:val="44DD2EE3"/>
    <w:rsid w:val="450D65D4"/>
    <w:rsid w:val="455E4BA2"/>
    <w:rsid w:val="456071E7"/>
    <w:rsid w:val="45863910"/>
    <w:rsid w:val="459D123E"/>
    <w:rsid w:val="45DC5978"/>
    <w:rsid w:val="45EB3DD6"/>
    <w:rsid w:val="461C6256"/>
    <w:rsid w:val="46291EB8"/>
    <w:rsid w:val="462D5C7F"/>
    <w:rsid w:val="46325C58"/>
    <w:rsid w:val="46466F77"/>
    <w:rsid w:val="467008B0"/>
    <w:rsid w:val="46A74B88"/>
    <w:rsid w:val="46B76B4B"/>
    <w:rsid w:val="46BA07E8"/>
    <w:rsid w:val="46E4489A"/>
    <w:rsid w:val="47304E59"/>
    <w:rsid w:val="47B944D6"/>
    <w:rsid w:val="47E44BEF"/>
    <w:rsid w:val="48690401"/>
    <w:rsid w:val="486D481D"/>
    <w:rsid w:val="48AC1460"/>
    <w:rsid w:val="48B40A50"/>
    <w:rsid w:val="48C87B66"/>
    <w:rsid w:val="48E716FF"/>
    <w:rsid w:val="49154F13"/>
    <w:rsid w:val="493731C3"/>
    <w:rsid w:val="496E2020"/>
    <w:rsid w:val="4971269F"/>
    <w:rsid w:val="498B2FA1"/>
    <w:rsid w:val="49C71CCA"/>
    <w:rsid w:val="49E13B64"/>
    <w:rsid w:val="4A1B7A43"/>
    <w:rsid w:val="4A2732E1"/>
    <w:rsid w:val="4A2951D7"/>
    <w:rsid w:val="4A4D0245"/>
    <w:rsid w:val="4A9D7E98"/>
    <w:rsid w:val="4AED40DB"/>
    <w:rsid w:val="4B037A9E"/>
    <w:rsid w:val="4B5931AB"/>
    <w:rsid w:val="4B9F73FC"/>
    <w:rsid w:val="4BA708E2"/>
    <w:rsid w:val="4C272F70"/>
    <w:rsid w:val="4C770388"/>
    <w:rsid w:val="4C863258"/>
    <w:rsid w:val="4CA014AC"/>
    <w:rsid w:val="4CD7475C"/>
    <w:rsid w:val="4D2F41FE"/>
    <w:rsid w:val="4D3105D5"/>
    <w:rsid w:val="4D790D7A"/>
    <w:rsid w:val="4D8773EE"/>
    <w:rsid w:val="4DF32B56"/>
    <w:rsid w:val="4E37382D"/>
    <w:rsid w:val="4E984E43"/>
    <w:rsid w:val="4F59232C"/>
    <w:rsid w:val="4FBF0985"/>
    <w:rsid w:val="4FF2658A"/>
    <w:rsid w:val="50646DBF"/>
    <w:rsid w:val="506C4329"/>
    <w:rsid w:val="512F2209"/>
    <w:rsid w:val="51681AE8"/>
    <w:rsid w:val="518728D1"/>
    <w:rsid w:val="519F6E1A"/>
    <w:rsid w:val="51A60DC3"/>
    <w:rsid w:val="52103A14"/>
    <w:rsid w:val="521C76E1"/>
    <w:rsid w:val="52BB5599"/>
    <w:rsid w:val="52E2398A"/>
    <w:rsid w:val="52F3391C"/>
    <w:rsid w:val="530E61AC"/>
    <w:rsid w:val="53151A46"/>
    <w:rsid w:val="531C15FC"/>
    <w:rsid w:val="53395CCF"/>
    <w:rsid w:val="53510116"/>
    <w:rsid w:val="53AD5812"/>
    <w:rsid w:val="545413CC"/>
    <w:rsid w:val="549C486F"/>
    <w:rsid w:val="54B47EFB"/>
    <w:rsid w:val="54DB0F18"/>
    <w:rsid w:val="55011C7A"/>
    <w:rsid w:val="55543AF1"/>
    <w:rsid w:val="55706241"/>
    <w:rsid w:val="559C6CBA"/>
    <w:rsid w:val="55A91602"/>
    <w:rsid w:val="55B94875"/>
    <w:rsid w:val="55D51B93"/>
    <w:rsid w:val="5719502F"/>
    <w:rsid w:val="578339E3"/>
    <w:rsid w:val="57C54D03"/>
    <w:rsid w:val="57E53B64"/>
    <w:rsid w:val="583409BB"/>
    <w:rsid w:val="583515C0"/>
    <w:rsid w:val="588F48D4"/>
    <w:rsid w:val="58AB7BD9"/>
    <w:rsid w:val="58AF759C"/>
    <w:rsid w:val="58E66A6D"/>
    <w:rsid w:val="597328A2"/>
    <w:rsid w:val="59DB079F"/>
    <w:rsid w:val="59E27009"/>
    <w:rsid w:val="59FA4317"/>
    <w:rsid w:val="5A6539D1"/>
    <w:rsid w:val="5A88315D"/>
    <w:rsid w:val="5AA2162F"/>
    <w:rsid w:val="5ADD5E18"/>
    <w:rsid w:val="5B212785"/>
    <w:rsid w:val="5BB500C9"/>
    <w:rsid w:val="5C2E0652"/>
    <w:rsid w:val="5C514CA0"/>
    <w:rsid w:val="5CA57B86"/>
    <w:rsid w:val="5CB30FEA"/>
    <w:rsid w:val="5CC77C96"/>
    <w:rsid w:val="5CF557A7"/>
    <w:rsid w:val="5D2327C3"/>
    <w:rsid w:val="5D523508"/>
    <w:rsid w:val="5D546753"/>
    <w:rsid w:val="5D6D7EF5"/>
    <w:rsid w:val="5DA930C5"/>
    <w:rsid w:val="5E0A1538"/>
    <w:rsid w:val="5E2A239D"/>
    <w:rsid w:val="5E5B1E18"/>
    <w:rsid w:val="5F480A20"/>
    <w:rsid w:val="5F541A66"/>
    <w:rsid w:val="5F6A29B1"/>
    <w:rsid w:val="5FAB17EC"/>
    <w:rsid w:val="5FDF599A"/>
    <w:rsid w:val="5FE56811"/>
    <w:rsid w:val="5FF37A81"/>
    <w:rsid w:val="602C45FD"/>
    <w:rsid w:val="60795CBD"/>
    <w:rsid w:val="60F23855"/>
    <w:rsid w:val="60F47BEC"/>
    <w:rsid w:val="61816125"/>
    <w:rsid w:val="624806F1"/>
    <w:rsid w:val="629D0895"/>
    <w:rsid w:val="62C0222F"/>
    <w:rsid w:val="630758A8"/>
    <w:rsid w:val="63443247"/>
    <w:rsid w:val="63CE5C30"/>
    <w:rsid w:val="63EA5A54"/>
    <w:rsid w:val="6415508D"/>
    <w:rsid w:val="644019DA"/>
    <w:rsid w:val="648038FA"/>
    <w:rsid w:val="658978B2"/>
    <w:rsid w:val="65EB6652"/>
    <w:rsid w:val="66212F88"/>
    <w:rsid w:val="66496768"/>
    <w:rsid w:val="66574FE9"/>
    <w:rsid w:val="669727FD"/>
    <w:rsid w:val="66F629D6"/>
    <w:rsid w:val="6744454D"/>
    <w:rsid w:val="67754838"/>
    <w:rsid w:val="67762C3A"/>
    <w:rsid w:val="677A4210"/>
    <w:rsid w:val="679B13E4"/>
    <w:rsid w:val="67F264CF"/>
    <w:rsid w:val="67FF6CD4"/>
    <w:rsid w:val="681A7E9D"/>
    <w:rsid w:val="686205C4"/>
    <w:rsid w:val="691E5105"/>
    <w:rsid w:val="696B5AAD"/>
    <w:rsid w:val="69803202"/>
    <w:rsid w:val="69F60484"/>
    <w:rsid w:val="6A354541"/>
    <w:rsid w:val="6A6F5F93"/>
    <w:rsid w:val="6B0005FC"/>
    <w:rsid w:val="6B453FD7"/>
    <w:rsid w:val="6B5B576C"/>
    <w:rsid w:val="6B656D11"/>
    <w:rsid w:val="6B707A3D"/>
    <w:rsid w:val="6B7B1A68"/>
    <w:rsid w:val="6BA537D6"/>
    <w:rsid w:val="6BB1273B"/>
    <w:rsid w:val="6BB85D17"/>
    <w:rsid w:val="6BC82C73"/>
    <w:rsid w:val="6C071FC4"/>
    <w:rsid w:val="6C2C7FB1"/>
    <w:rsid w:val="6C5B4CE2"/>
    <w:rsid w:val="6D535911"/>
    <w:rsid w:val="6D7878FB"/>
    <w:rsid w:val="6DBA6446"/>
    <w:rsid w:val="6DC64D96"/>
    <w:rsid w:val="6DE61BA4"/>
    <w:rsid w:val="6E7D3EAA"/>
    <w:rsid w:val="6EC47B07"/>
    <w:rsid w:val="6EEE1ED2"/>
    <w:rsid w:val="6EF9070E"/>
    <w:rsid w:val="6EFA2348"/>
    <w:rsid w:val="6EFC7DC4"/>
    <w:rsid w:val="6F4F45C0"/>
    <w:rsid w:val="6FBC32DD"/>
    <w:rsid w:val="6FD42F16"/>
    <w:rsid w:val="6FEB70E8"/>
    <w:rsid w:val="70017D21"/>
    <w:rsid w:val="702678A4"/>
    <w:rsid w:val="70957B36"/>
    <w:rsid w:val="70BA2FFA"/>
    <w:rsid w:val="710D25F4"/>
    <w:rsid w:val="713A744C"/>
    <w:rsid w:val="7141561C"/>
    <w:rsid w:val="71465DA4"/>
    <w:rsid w:val="715A74D5"/>
    <w:rsid w:val="718E0763"/>
    <w:rsid w:val="71B50FA0"/>
    <w:rsid w:val="71D37FA9"/>
    <w:rsid w:val="723E5522"/>
    <w:rsid w:val="72A82C84"/>
    <w:rsid w:val="72AA61C2"/>
    <w:rsid w:val="73050C51"/>
    <w:rsid w:val="733F6D56"/>
    <w:rsid w:val="73870838"/>
    <w:rsid w:val="739871D5"/>
    <w:rsid w:val="73F11288"/>
    <w:rsid w:val="73F23F7B"/>
    <w:rsid w:val="74067081"/>
    <w:rsid w:val="741C1C19"/>
    <w:rsid w:val="74597C2E"/>
    <w:rsid w:val="745E05AD"/>
    <w:rsid w:val="74835184"/>
    <w:rsid w:val="74A4132C"/>
    <w:rsid w:val="75787206"/>
    <w:rsid w:val="75A512B8"/>
    <w:rsid w:val="75BF77EE"/>
    <w:rsid w:val="75D70FF2"/>
    <w:rsid w:val="75D91DF6"/>
    <w:rsid w:val="75F479B7"/>
    <w:rsid w:val="75FA1E0C"/>
    <w:rsid w:val="75FB3FF3"/>
    <w:rsid w:val="76186A30"/>
    <w:rsid w:val="762C31BE"/>
    <w:rsid w:val="7653467E"/>
    <w:rsid w:val="772B4ED2"/>
    <w:rsid w:val="77777E50"/>
    <w:rsid w:val="77E652C6"/>
    <w:rsid w:val="782563F5"/>
    <w:rsid w:val="78880F29"/>
    <w:rsid w:val="794723D1"/>
    <w:rsid w:val="7977267E"/>
    <w:rsid w:val="7AA6237E"/>
    <w:rsid w:val="7AB67AD9"/>
    <w:rsid w:val="7ACA6A91"/>
    <w:rsid w:val="7ACE1913"/>
    <w:rsid w:val="7B0E23F7"/>
    <w:rsid w:val="7B515EAC"/>
    <w:rsid w:val="7BAA251B"/>
    <w:rsid w:val="7C06770E"/>
    <w:rsid w:val="7C8E03A3"/>
    <w:rsid w:val="7C90112B"/>
    <w:rsid w:val="7C946125"/>
    <w:rsid w:val="7CC32006"/>
    <w:rsid w:val="7CD35C4B"/>
    <w:rsid w:val="7CD67A48"/>
    <w:rsid w:val="7CE017BB"/>
    <w:rsid w:val="7CE335DB"/>
    <w:rsid w:val="7D0664BA"/>
    <w:rsid w:val="7D2324BD"/>
    <w:rsid w:val="7DE61A14"/>
    <w:rsid w:val="7E0D5970"/>
    <w:rsid w:val="7E3566D4"/>
    <w:rsid w:val="7E367B16"/>
    <w:rsid w:val="7E3937A2"/>
    <w:rsid w:val="7E4E00D8"/>
    <w:rsid w:val="7E5A6E32"/>
    <w:rsid w:val="7E604E32"/>
    <w:rsid w:val="7EC34539"/>
    <w:rsid w:val="7F3103EC"/>
    <w:rsid w:val="7F5176FB"/>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6"/>
    <w:link w:val="54"/>
    <w:qFormat/>
    <w:uiPriority w:val="0"/>
    <w:pPr>
      <w:keepNext/>
      <w:keepLines/>
      <w:spacing w:before="340" w:beforeLines="0" w:after="330" w:afterLines="0" w:line="578" w:lineRule="auto"/>
      <w:outlineLvl w:val="0"/>
    </w:pPr>
    <w:rPr>
      <w:b/>
      <w:bCs/>
      <w:kern w:val="44"/>
      <w:sz w:val="44"/>
      <w:szCs w:val="44"/>
    </w:rPr>
  </w:style>
  <w:style w:type="paragraph" w:styleId="7">
    <w:name w:val="heading 2"/>
    <w:basedOn w:val="1"/>
    <w:next w:val="8"/>
    <w:link w:val="131"/>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8">
    <w:name w:val="heading 3"/>
    <w:basedOn w:val="1"/>
    <w:next w:val="1"/>
    <w:link w:val="142"/>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9">
    <w:name w:val="heading 4"/>
    <w:basedOn w:val="1"/>
    <w:next w:val="1"/>
    <w:link w:val="1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10">
    <w:name w:val="heading 5"/>
    <w:basedOn w:val="1"/>
    <w:next w:val="1"/>
    <w:link w:val="132"/>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11">
    <w:name w:val="heading 6"/>
    <w:basedOn w:val="1"/>
    <w:next w:val="1"/>
    <w:link w:val="108"/>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2">
    <w:name w:val="heading 7"/>
    <w:basedOn w:val="1"/>
    <w:next w:val="1"/>
    <w:link w:val="133"/>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3">
    <w:name w:val="heading 8"/>
    <w:basedOn w:val="1"/>
    <w:next w:val="1"/>
    <w:link w:val="113"/>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4">
    <w:name w:val="heading 9"/>
    <w:basedOn w:val="1"/>
    <w:next w:val="1"/>
    <w:link w:val="137"/>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link w:val="47"/>
    <w:qFormat/>
    <w:uiPriority w:val="0"/>
    <w:rPr>
      <w:szCs w:val="21"/>
    </w:rPr>
  </w:style>
  <w:style w:type="table" w:default="1" w:styleId="4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117"/>
    <w:qFormat/>
    <w:uiPriority w:val="0"/>
    <w:pPr>
      <w:ind w:left="1588" w:leftChars="832" w:firstLine="433"/>
    </w:pPr>
    <w:rPr>
      <w:rFonts w:eastAsia="仿宋_GB2312"/>
      <w:spacing w:val="15"/>
      <w:kern w:val="10"/>
      <w:sz w:val="24"/>
      <w:szCs w:val="24"/>
    </w:rPr>
  </w:style>
  <w:style w:type="paragraph" w:styleId="3">
    <w:name w:val="Body Text Indent"/>
    <w:basedOn w:val="1"/>
    <w:next w:val="4"/>
    <w:link w:val="118"/>
    <w:qFormat/>
    <w:uiPriority w:val="0"/>
    <w:pPr>
      <w:spacing w:line="360" w:lineRule="auto"/>
      <w:ind w:firstLine="560" w:firstLineChars="200"/>
    </w:pPr>
    <w:rPr>
      <w:sz w:val="28"/>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文本正文"/>
    <w:basedOn w:val="1"/>
    <w:qFormat/>
    <w:uiPriority w:val="0"/>
    <w:pPr>
      <w:spacing w:afterLines="50"/>
      <w:ind w:firstLine="200" w:firstLineChars="200"/>
      <w:jc w:val="left"/>
    </w:pPr>
    <w:rPr>
      <w:rFonts w:ascii="Calibri" w:hAnsi="Calibri"/>
      <w:szCs w:val="22"/>
      <w:lang w:bidi="en-US"/>
    </w:rPr>
  </w:style>
  <w:style w:type="paragraph" w:styleId="15">
    <w:name w:val="List 3"/>
    <w:basedOn w:val="1"/>
    <w:qFormat/>
    <w:uiPriority w:val="0"/>
    <w:pPr>
      <w:ind w:left="100" w:leftChars="400" w:hanging="200" w:hangingChars="200"/>
    </w:pPr>
    <w:rPr>
      <w:szCs w:val="24"/>
    </w:rPr>
  </w:style>
  <w:style w:type="paragraph" w:styleId="16">
    <w:name w:val="List Number"/>
    <w:basedOn w:val="1"/>
    <w:qFormat/>
    <w:uiPriority w:val="0"/>
    <w:pPr>
      <w:numPr>
        <w:ilvl w:val="0"/>
        <w:numId w:val="2"/>
      </w:numPr>
    </w:pPr>
  </w:style>
  <w:style w:type="paragraph" w:styleId="17">
    <w:name w:val="Normal Indent"/>
    <w:basedOn w:val="1"/>
    <w:next w:val="1"/>
    <w:qFormat/>
    <w:uiPriority w:val="0"/>
    <w:pPr>
      <w:adjustRightInd w:val="0"/>
      <w:ind w:firstLine="420"/>
    </w:pPr>
    <w:rPr>
      <w:rFonts w:eastAsia="楷体_GB2312"/>
      <w:sz w:val="24"/>
      <w:lang w:val="en-US" w:eastAsia="zh-CN" w:bidi="ar-SA"/>
    </w:rPr>
  </w:style>
  <w:style w:type="paragraph" w:styleId="18">
    <w:name w:val="caption"/>
    <w:basedOn w:val="1"/>
    <w:next w:val="1"/>
    <w:qFormat/>
    <w:uiPriority w:val="0"/>
    <w:pPr>
      <w:spacing w:before="152" w:after="160"/>
    </w:pPr>
    <w:rPr>
      <w:rFonts w:ascii="Arial" w:hAnsi="Arial" w:eastAsia="黑体" w:cs="Arial"/>
      <w:sz w:val="20"/>
    </w:rPr>
  </w:style>
  <w:style w:type="paragraph" w:styleId="19">
    <w:name w:val="Document Map"/>
    <w:basedOn w:val="1"/>
    <w:link w:val="111"/>
    <w:qFormat/>
    <w:uiPriority w:val="0"/>
    <w:pPr>
      <w:shd w:val="clear" w:color="auto" w:fill="000080"/>
    </w:pPr>
    <w:rPr>
      <w:szCs w:val="24"/>
    </w:rPr>
  </w:style>
  <w:style w:type="paragraph" w:styleId="20">
    <w:name w:val="toa heading"/>
    <w:basedOn w:val="1"/>
    <w:next w:val="1"/>
    <w:qFormat/>
    <w:uiPriority w:val="0"/>
    <w:rPr>
      <w:rFonts w:ascii="Arial" w:hAnsi="Arial"/>
      <w:sz w:val="24"/>
    </w:rPr>
  </w:style>
  <w:style w:type="paragraph" w:styleId="21">
    <w:name w:val="annotation text"/>
    <w:basedOn w:val="1"/>
    <w:link w:val="94"/>
    <w:qFormat/>
    <w:uiPriority w:val="0"/>
    <w:pPr>
      <w:jc w:val="left"/>
    </w:pPr>
  </w:style>
  <w:style w:type="paragraph" w:styleId="22">
    <w:name w:val="Body Text 3"/>
    <w:basedOn w:val="1"/>
    <w:link w:val="134"/>
    <w:qFormat/>
    <w:uiPriority w:val="0"/>
    <w:pPr>
      <w:spacing w:after="120"/>
    </w:pPr>
    <w:rPr>
      <w:sz w:val="16"/>
      <w:szCs w:val="16"/>
    </w:rPr>
  </w:style>
  <w:style w:type="paragraph" w:styleId="23">
    <w:name w:val="Body Text"/>
    <w:basedOn w:val="1"/>
    <w:next w:val="1"/>
    <w:link w:val="125"/>
    <w:qFormat/>
    <w:uiPriority w:val="0"/>
    <w:pPr>
      <w:spacing w:after="120"/>
    </w:pPr>
    <w:rPr>
      <w:szCs w:val="24"/>
    </w:rPr>
  </w:style>
  <w:style w:type="paragraph" w:styleId="24">
    <w:name w:val="List 2"/>
    <w:basedOn w:val="1"/>
    <w:qFormat/>
    <w:uiPriority w:val="0"/>
    <w:pPr>
      <w:ind w:left="100" w:leftChars="200" w:hanging="200" w:hangingChars="200"/>
    </w:pPr>
    <w:rPr>
      <w:szCs w:val="24"/>
    </w:rPr>
  </w:style>
  <w:style w:type="paragraph" w:styleId="25">
    <w:name w:val="toc 3"/>
    <w:basedOn w:val="1"/>
    <w:next w:val="1"/>
    <w:qFormat/>
    <w:uiPriority w:val="39"/>
    <w:pPr>
      <w:ind w:left="840" w:leftChars="400"/>
    </w:pPr>
    <w:rPr>
      <w:szCs w:val="24"/>
    </w:rPr>
  </w:style>
  <w:style w:type="paragraph" w:styleId="26">
    <w:name w:val="Plain Text"/>
    <w:basedOn w:val="1"/>
    <w:next w:val="27"/>
    <w:link w:val="114"/>
    <w:qFormat/>
    <w:uiPriority w:val="0"/>
    <w:rPr>
      <w:rFonts w:ascii="宋体" w:hAnsi="Courier New"/>
    </w:rPr>
  </w:style>
  <w:style w:type="paragraph" w:styleId="27">
    <w:name w:val="index 7"/>
    <w:basedOn w:val="1"/>
    <w:next w:val="1"/>
    <w:qFormat/>
    <w:uiPriority w:val="0"/>
    <w:pPr>
      <w:ind w:left="1200" w:leftChars="1200"/>
    </w:pPr>
    <w:rPr>
      <w:szCs w:val="24"/>
    </w:rPr>
  </w:style>
  <w:style w:type="paragraph" w:styleId="28">
    <w:name w:val="Date"/>
    <w:basedOn w:val="1"/>
    <w:next w:val="1"/>
    <w:link w:val="128"/>
    <w:qFormat/>
    <w:uiPriority w:val="0"/>
    <w:pPr>
      <w:ind w:left="100" w:leftChars="2500"/>
    </w:pPr>
    <w:rPr>
      <w:szCs w:val="24"/>
    </w:rPr>
  </w:style>
  <w:style w:type="paragraph" w:styleId="29">
    <w:name w:val="Body Text Indent 2"/>
    <w:basedOn w:val="1"/>
    <w:link w:val="136"/>
    <w:qFormat/>
    <w:uiPriority w:val="0"/>
    <w:pPr>
      <w:spacing w:after="120" w:line="480" w:lineRule="auto"/>
      <w:ind w:left="420" w:leftChars="200"/>
    </w:pPr>
    <w:rPr>
      <w:szCs w:val="24"/>
    </w:rPr>
  </w:style>
  <w:style w:type="paragraph" w:styleId="30">
    <w:name w:val="Balloon Text"/>
    <w:basedOn w:val="1"/>
    <w:link w:val="135"/>
    <w:qFormat/>
    <w:uiPriority w:val="0"/>
    <w:rPr>
      <w:sz w:val="18"/>
      <w:szCs w:val="18"/>
    </w:rPr>
  </w:style>
  <w:style w:type="paragraph" w:styleId="31">
    <w:name w:val="footer"/>
    <w:basedOn w:val="1"/>
    <w:next w:val="1"/>
    <w:link w:val="112"/>
    <w:qFormat/>
    <w:uiPriority w:val="99"/>
    <w:pPr>
      <w:tabs>
        <w:tab w:val="center" w:pos="4153"/>
        <w:tab w:val="right" w:pos="8306"/>
      </w:tabs>
      <w:snapToGrid w:val="0"/>
      <w:jc w:val="left"/>
    </w:pPr>
    <w:rPr>
      <w:sz w:val="18"/>
      <w:szCs w:val="18"/>
    </w:rPr>
  </w:style>
  <w:style w:type="paragraph" w:styleId="3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rPr>
      <w:szCs w:val="24"/>
    </w:rPr>
  </w:style>
  <w:style w:type="paragraph" w:styleId="34">
    <w:name w:val="Subtitle"/>
    <w:basedOn w:val="1"/>
    <w:next w:val="1"/>
    <w:link w:val="123"/>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qFormat/>
    <w:uiPriority w:val="0"/>
    <w:pPr>
      <w:spacing w:before="312" w:beforeLines="100" w:line="360" w:lineRule="auto"/>
      <w:jc w:val="center"/>
    </w:pPr>
    <w:rPr>
      <w:rFonts w:ascii="宋体" w:hAnsi="宋体"/>
      <w:b/>
      <w:sz w:val="28"/>
      <w:szCs w:val="24"/>
    </w:rPr>
  </w:style>
  <w:style w:type="paragraph" w:styleId="36">
    <w:name w:val="footnote text"/>
    <w:basedOn w:val="1"/>
    <w:link w:val="122"/>
    <w:qFormat/>
    <w:uiPriority w:val="0"/>
    <w:pPr>
      <w:adjustRightInd w:val="0"/>
      <w:spacing w:line="312" w:lineRule="atLeast"/>
      <w:textAlignment w:val="baseline"/>
    </w:pPr>
    <w:rPr>
      <w:kern w:val="0"/>
      <w:sz w:val="18"/>
    </w:rPr>
  </w:style>
  <w:style w:type="paragraph" w:styleId="37">
    <w:name w:val="Body Text Indent 3"/>
    <w:basedOn w:val="1"/>
    <w:link w:val="99"/>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8">
    <w:name w:val="toc 2"/>
    <w:basedOn w:val="1"/>
    <w:next w:val="1"/>
    <w:qFormat/>
    <w:uiPriority w:val="39"/>
    <w:pPr>
      <w:ind w:left="420" w:leftChars="200"/>
    </w:pPr>
    <w:rPr>
      <w:szCs w:val="24"/>
    </w:rPr>
  </w:style>
  <w:style w:type="paragraph" w:styleId="39">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1">
    <w:name w:val="Title"/>
    <w:basedOn w:val="1"/>
    <w:next w:val="1"/>
    <w:link w:val="127"/>
    <w:qFormat/>
    <w:uiPriority w:val="0"/>
    <w:pPr>
      <w:spacing w:before="240" w:after="60"/>
      <w:jc w:val="center"/>
      <w:outlineLvl w:val="0"/>
    </w:pPr>
    <w:rPr>
      <w:rFonts w:ascii="Cambria" w:hAnsi="Cambria"/>
      <w:b/>
      <w:bCs/>
      <w:sz w:val="32"/>
      <w:szCs w:val="32"/>
    </w:rPr>
  </w:style>
  <w:style w:type="paragraph" w:styleId="42">
    <w:name w:val="annotation subject"/>
    <w:basedOn w:val="21"/>
    <w:next w:val="21"/>
    <w:link w:val="107"/>
    <w:qFormat/>
    <w:uiPriority w:val="0"/>
    <w:rPr>
      <w:b/>
      <w:bCs/>
      <w:szCs w:val="24"/>
    </w:rPr>
  </w:style>
  <w:style w:type="paragraph" w:styleId="43">
    <w:name w:val="Body Text First Indent"/>
    <w:basedOn w:val="23"/>
    <w:qFormat/>
    <w:uiPriority w:val="0"/>
    <w:pPr>
      <w:tabs>
        <w:tab w:val="left" w:pos="9214"/>
      </w:tabs>
      <w:spacing w:after="0"/>
      <w:ind w:firstLine="20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rPr>
      <w:szCs w:val="21"/>
    </w:rPr>
  </w:style>
  <w:style w:type="character" w:styleId="48">
    <w:name w:val="Strong"/>
    <w:basedOn w:val="46"/>
    <w:qFormat/>
    <w:uiPriority w:val="0"/>
    <w:rPr>
      <w:b/>
      <w:bCs/>
    </w:rPr>
  </w:style>
  <w:style w:type="character" w:styleId="49">
    <w:name w:val="page number"/>
    <w:basedOn w:val="46"/>
    <w:qFormat/>
    <w:uiPriority w:val="0"/>
  </w:style>
  <w:style w:type="character" w:styleId="50">
    <w:name w:val="Emphasis"/>
    <w:basedOn w:val="46"/>
    <w:qFormat/>
    <w:uiPriority w:val="0"/>
    <w:rPr>
      <w:i/>
    </w:rPr>
  </w:style>
  <w:style w:type="character" w:styleId="51">
    <w:name w:val="Hyperlink"/>
    <w:basedOn w:val="46"/>
    <w:qFormat/>
    <w:uiPriority w:val="99"/>
    <w:rPr>
      <w:color w:val="0000FF"/>
      <w:u w:val="single"/>
    </w:rPr>
  </w:style>
  <w:style w:type="character" w:styleId="52">
    <w:name w:val="annotation reference"/>
    <w:qFormat/>
    <w:uiPriority w:val="0"/>
    <w:rPr>
      <w:sz w:val="21"/>
      <w:szCs w:val="21"/>
    </w:rPr>
  </w:style>
  <w:style w:type="paragraph" w:customStyle="1" w:styleId="53">
    <w:name w:val="样式1"/>
    <w:basedOn w:val="20"/>
    <w:next w:val="9"/>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54">
    <w:name w:val="标题 1 Char"/>
    <w:link w:val="5"/>
    <w:qFormat/>
    <w:uiPriority w:val="0"/>
    <w:rPr>
      <w:b/>
      <w:bCs/>
      <w:kern w:val="44"/>
      <w:sz w:val="44"/>
      <w:szCs w:val="44"/>
    </w:rPr>
  </w:style>
  <w:style w:type="paragraph" w:customStyle="1" w:styleId="55">
    <w:name w:val="_Style 5"/>
    <w:basedOn w:val="1"/>
    <w:qFormat/>
    <w:uiPriority w:val="0"/>
    <w:pPr>
      <w:tabs>
        <w:tab w:val="left" w:pos="360"/>
      </w:tabs>
      <w:ind w:firstLine="420" w:firstLineChars="150"/>
    </w:pPr>
    <w:rPr>
      <w:rFonts w:ascii="Arial" w:hAnsi="Arial" w:cs="Arial"/>
      <w:sz w:val="20"/>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58">
    <w:name w:val="Char Char Char Char Char Char"/>
    <w:basedOn w:val="19"/>
    <w:qFormat/>
    <w:uiPriority w:val="0"/>
    <w:rPr>
      <w:rFonts w:ascii="Tahoma" w:hAnsi="Tahoma"/>
      <w:sz w:val="24"/>
    </w:rPr>
  </w:style>
  <w:style w:type="paragraph" w:customStyle="1" w:styleId="59">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0">
    <w:name w:val="p16"/>
    <w:basedOn w:val="1"/>
    <w:qFormat/>
    <w:uiPriority w:val="0"/>
    <w:pPr>
      <w:widowControl/>
    </w:pPr>
    <w:rPr>
      <w:kern w:val="0"/>
      <w:szCs w:val="21"/>
    </w:rPr>
  </w:style>
  <w:style w:type="paragraph" w:customStyle="1" w:styleId="61">
    <w:name w:val="WPSOffice手动目录 2"/>
    <w:qFormat/>
    <w:uiPriority w:val="0"/>
    <w:pPr>
      <w:ind w:leftChars="200"/>
    </w:pPr>
    <w:rPr>
      <w:rFonts w:ascii="Times New Roman" w:hAnsi="Times New Roman" w:eastAsia="宋体" w:cs="Times New Roman"/>
      <w:sz w:val="20"/>
      <w:szCs w:val="20"/>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 Char Char Char Char"/>
    <w:basedOn w:val="1"/>
    <w:qFormat/>
    <w:uiPriority w:val="0"/>
    <w:pPr>
      <w:tabs>
        <w:tab w:val="left" w:pos="360"/>
      </w:tabs>
      <w:ind w:firstLine="420" w:firstLineChars="150"/>
    </w:pPr>
    <w:rPr>
      <w:rFonts w:ascii="Arial" w:hAnsi="Arial" w:cs="Arial"/>
      <w:sz w:val="20"/>
    </w:rPr>
  </w:style>
  <w:style w:type="paragraph" w:customStyle="1" w:styleId="64">
    <w:name w:val="Plain Text1"/>
    <w:basedOn w:val="1"/>
    <w:qFormat/>
    <w:uiPriority w:val="99"/>
    <w:rPr>
      <w:rFonts w:ascii="宋体" w:hAnsi="Courier New"/>
    </w:rPr>
  </w:style>
  <w:style w:type="paragraph" w:customStyle="1" w:styleId="65">
    <w:name w:val="Char Char Char"/>
    <w:basedOn w:val="1"/>
    <w:qFormat/>
    <w:uiPriority w:val="0"/>
    <w:pPr>
      <w:widowControl/>
      <w:spacing w:after="160" w:line="240" w:lineRule="exact"/>
      <w:jc w:val="left"/>
    </w:pPr>
    <w:rPr>
      <w:szCs w:val="24"/>
    </w:rPr>
  </w:style>
  <w:style w:type="paragraph" w:customStyle="1" w:styleId="66">
    <w:name w:val="正文缩进1"/>
    <w:basedOn w:val="1"/>
    <w:qFormat/>
    <w:uiPriority w:val="0"/>
    <w:pPr>
      <w:autoSpaceDE w:val="0"/>
      <w:autoSpaceDN w:val="0"/>
      <w:adjustRightInd w:val="0"/>
      <w:ind w:firstLine="420"/>
    </w:pPr>
    <w:rPr>
      <w:rFonts w:ascii="宋体" w:hAnsi="Calibri"/>
      <w:szCs w:val="22"/>
    </w:rPr>
  </w:style>
  <w:style w:type="paragraph" w:customStyle="1" w:styleId="67">
    <w:name w:val="Normal"/>
    <w:qFormat/>
    <w:uiPriority w:val="0"/>
    <w:rPr>
      <w:rFonts w:ascii="Times New Roman" w:hAnsi="Times New Roman" w:eastAsia="Times New Roman" w:cs="Times New Roman"/>
      <w:sz w:val="24"/>
      <w:szCs w:val="24"/>
      <w:lang w:val="en-US" w:eastAsia="zh-CN" w:bidi="ar-SA"/>
    </w:rPr>
  </w:style>
  <w:style w:type="paragraph" w:customStyle="1" w:styleId="68">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69">
    <w:name w:val="_Style 62"/>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_Style 7"/>
    <w:basedOn w:val="1"/>
    <w:qFormat/>
    <w:uiPriority w:val="0"/>
    <w:pPr>
      <w:tabs>
        <w:tab w:val="left" w:pos="360"/>
      </w:tabs>
      <w:ind w:firstLine="420" w:firstLineChars="150"/>
    </w:pPr>
    <w:rPr>
      <w:rFonts w:ascii="Arial" w:hAnsi="Arial" w:cs="Arial"/>
      <w:sz w:val="20"/>
    </w:rPr>
  </w:style>
  <w:style w:type="paragraph" w:customStyle="1" w:styleId="71">
    <w:name w:val="_Style 11"/>
    <w:basedOn w:val="1"/>
    <w:qFormat/>
    <w:uiPriority w:val="0"/>
    <w:pPr>
      <w:tabs>
        <w:tab w:val="left" w:pos="360"/>
      </w:tabs>
      <w:ind w:firstLine="420" w:firstLineChars="150"/>
    </w:pPr>
    <w:rPr>
      <w:rFonts w:ascii="Arial" w:hAnsi="Arial" w:cs="Arial"/>
      <w:sz w:val="20"/>
    </w:rPr>
  </w:style>
  <w:style w:type="paragraph" w:customStyle="1" w:styleId="72">
    <w:name w:val="p15"/>
    <w:basedOn w:val="1"/>
    <w:qFormat/>
    <w:uiPriority w:val="0"/>
    <w:pPr>
      <w:widowControl/>
    </w:pPr>
    <w:rPr>
      <w:rFonts w:ascii="宋体" w:hAnsi="宋体" w:cs="宋体"/>
      <w:kern w:val="0"/>
      <w:szCs w:val="21"/>
    </w:rPr>
  </w:style>
  <w:style w:type="paragraph" w:customStyle="1" w:styleId="73">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4">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5">
    <w:name w:val="样式 标题 2 + 宋体 五号 非加粗 黑色"/>
    <w:basedOn w:val="7"/>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6">
    <w:name w:val="正文序号 1"/>
    <w:basedOn w:val="1"/>
    <w:qFormat/>
    <w:uiPriority w:val="0"/>
    <w:pPr>
      <w:numPr>
        <w:ilvl w:val="0"/>
        <w:numId w:val="3"/>
      </w:numPr>
      <w:tabs>
        <w:tab w:val="left" w:pos="502"/>
        <w:tab w:val="left" w:pos="839"/>
      </w:tabs>
      <w:spacing w:before="60"/>
    </w:pPr>
    <w:rPr>
      <w:szCs w:val="24"/>
    </w:rPr>
  </w:style>
  <w:style w:type="paragraph" w:customStyle="1" w:styleId="77">
    <w:name w:val="p0"/>
    <w:basedOn w:val="1"/>
    <w:qFormat/>
    <w:uiPriority w:val="0"/>
    <w:pPr>
      <w:widowControl/>
      <w:jc w:val="left"/>
    </w:pPr>
    <w:rPr>
      <w:kern w:val="0"/>
      <w:szCs w:val="21"/>
    </w:rPr>
  </w:style>
  <w:style w:type="paragraph" w:customStyle="1" w:styleId="78">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79">
    <w:name w:val="样式 标题 4 + 段前: 5 磅 段后: 5 磅 行距: 单倍行距"/>
    <w:basedOn w:val="9"/>
    <w:qFormat/>
    <w:uiPriority w:val="0"/>
    <w:pPr>
      <w:spacing w:before="100" w:after="100" w:line="240" w:lineRule="auto"/>
    </w:pPr>
    <w:rPr>
      <w:rFonts w:cs="宋体"/>
      <w:szCs w:val="20"/>
    </w:rPr>
  </w:style>
  <w:style w:type="paragraph" w:customStyle="1" w:styleId="80">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1">
    <w:name w:val="列出段落1"/>
    <w:basedOn w:val="1"/>
    <w:qFormat/>
    <w:uiPriority w:val="34"/>
    <w:pPr>
      <w:ind w:firstLine="420" w:firstLineChars="200"/>
    </w:p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4">
    <w:name w:val="表头文本"/>
    <w:basedOn w:val="1"/>
    <w:qFormat/>
    <w:uiPriority w:val="0"/>
    <w:pPr>
      <w:autoSpaceDE w:val="0"/>
      <w:autoSpaceDN w:val="0"/>
      <w:adjustRightInd w:val="0"/>
      <w:jc w:val="center"/>
    </w:pPr>
    <w:rPr>
      <w:b/>
      <w:kern w:val="0"/>
      <w:sz w:val="24"/>
    </w:rPr>
  </w:style>
  <w:style w:type="paragraph" w:customStyle="1" w:styleId="85">
    <w:name w:val="默认段落字体 Para Char Char Char Char Char Char Char Char Char Char Char Char Char Char Char Char"/>
    <w:basedOn w:val="1"/>
    <w:qFormat/>
    <w:uiPriority w:val="0"/>
    <w:rPr>
      <w:rFonts w:ascii="Tahoma" w:hAnsi="Tahoma"/>
      <w:sz w:val="24"/>
    </w:rPr>
  </w:style>
  <w:style w:type="paragraph" w:customStyle="1" w:styleId="8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样式2"/>
    <w:basedOn w:val="1"/>
    <w:qFormat/>
    <w:uiPriority w:val="0"/>
    <w:pPr>
      <w:spacing w:line="560" w:lineRule="exact"/>
      <w:ind w:firstLine="601"/>
    </w:pPr>
    <w:rPr>
      <w:rFonts w:eastAsia="宋体"/>
      <w:kern w:val="2"/>
      <w:sz w:val="28"/>
      <w:lang w:val="en-US" w:eastAsia="zh-CN" w:bidi="ar-SA"/>
    </w:rPr>
  </w:style>
  <w:style w:type="paragraph" w:customStyle="1" w:styleId="8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9">
    <w:name w:val="标题 3_0"/>
    <w:basedOn w:val="73"/>
    <w:next w:val="73"/>
    <w:link w:val="120"/>
    <w:qFormat/>
    <w:uiPriority w:val="0"/>
    <w:pPr>
      <w:autoSpaceDE w:val="0"/>
      <w:autoSpaceDN w:val="0"/>
      <w:adjustRightInd w:val="0"/>
      <w:spacing w:line="500" w:lineRule="exact"/>
      <w:jc w:val="center"/>
      <w:outlineLvl w:val="2"/>
    </w:pPr>
    <w:rPr>
      <w:rFonts w:ascii="宋体" w:hAnsi="宋体"/>
      <w:b/>
      <w:szCs w:val="28"/>
    </w:rPr>
  </w:style>
  <w:style w:type="paragraph" w:customStyle="1" w:styleId="90">
    <w:name w:val="附件正文"/>
    <w:basedOn w:val="1"/>
    <w:qFormat/>
    <w:uiPriority w:val="0"/>
    <w:pPr>
      <w:snapToGrid w:val="0"/>
      <w:spacing w:line="500" w:lineRule="exact"/>
      <w:ind w:firstLine="540" w:firstLineChars="225"/>
    </w:pPr>
    <w:rPr>
      <w:kern w:val="0"/>
      <w:sz w:val="24"/>
      <w:szCs w:val="24"/>
    </w:rPr>
  </w:style>
  <w:style w:type="paragraph" w:styleId="91">
    <w:name w:val="List Paragraph"/>
    <w:basedOn w:val="1"/>
    <w:qFormat/>
    <w:uiPriority w:val="0"/>
    <w:pPr>
      <w:ind w:firstLine="420" w:firstLineChars="200"/>
    </w:pPr>
    <w:rPr>
      <w:rFonts w:ascii="Calibri" w:hAnsi="Calibri"/>
      <w:szCs w:val="22"/>
    </w:rPr>
  </w:style>
  <w:style w:type="paragraph" w:customStyle="1" w:styleId="92">
    <w:name w:val="正文文字"/>
    <w:basedOn w:val="1"/>
    <w:link w:val="119"/>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 w:type="character" w:customStyle="1" w:styleId="94">
    <w:name w:val="批注文字 Char1"/>
    <w:basedOn w:val="46"/>
    <w:link w:val="21"/>
    <w:qFormat/>
    <w:uiPriority w:val="0"/>
    <w:rPr>
      <w:kern w:val="2"/>
      <w:sz w:val="21"/>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font41"/>
    <w:basedOn w:val="46"/>
    <w:qFormat/>
    <w:uiPriority w:val="0"/>
    <w:rPr>
      <w:rFonts w:hint="eastAsia" w:ascii="宋体" w:hAnsi="宋体" w:eastAsia="宋体" w:cs="宋体"/>
      <w:color w:val="000000"/>
      <w:sz w:val="20"/>
      <w:szCs w:val="20"/>
      <w:u w:val="none"/>
    </w:rPr>
  </w:style>
  <w:style w:type="character" w:customStyle="1" w:styleId="97">
    <w:name w:val="font141"/>
    <w:basedOn w:val="46"/>
    <w:qFormat/>
    <w:uiPriority w:val="0"/>
    <w:rPr>
      <w:rFonts w:hint="eastAsia" w:ascii="宋体" w:hAnsi="宋体" w:eastAsia="宋体" w:cs="宋体"/>
      <w:color w:val="000000"/>
      <w:sz w:val="24"/>
      <w:szCs w:val="24"/>
      <w:u w:val="none"/>
    </w:rPr>
  </w:style>
  <w:style w:type="character" w:customStyle="1" w:styleId="98">
    <w:name w:val="font51"/>
    <w:basedOn w:val="46"/>
    <w:qFormat/>
    <w:uiPriority w:val="0"/>
    <w:rPr>
      <w:rFonts w:hint="eastAsia" w:ascii="宋体" w:hAnsi="宋体" w:eastAsia="宋体" w:cs="宋体"/>
      <w:color w:val="FF0000"/>
      <w:sz w:val="20"/>
      <w:szCs w:val="20"/>
      <w:u w:val="none"/>
    </w:rPr>
  </w:style>
  <w:style w:type="character" w:customStyle="1" w:styleId="99">
    <w:name w:val="正文文本缩进 3 Char"/>
    <w:basedOn w:val="46"/>
    <w:link w:val="37"/>
    <w:qFormat/>
    <w:uiPriority w:val="0"/>
    <w:rPr>
      <w:rFonts w:eastAsia="黑体"/>
      <w:b/>
      <w:bCs/>
      <w:kern w:val="2"/>
      <w:sz w:val="72"/>
      <w:szCs w:val="24"/>
    </w:rPr>
  </w:style>
  <w:style w:type="character" w:customStyle="1" w:styleId="100">
    <w:name w:val="HTML 预设格式 Char"/>
    <w:basedOn w:val="46"/>
    <w:link w:val="39"/>
    <w:qFormat/>
    <w:uiPriority w:val="0"/>
    <w:rPr>
      <w:rFonts w:ascii="宋体" w:hAnsi="宋体"/>
      <w:sz w:val="24"/>
      <w:szCs w:val="24"/>
    </w:rPr>
  </w:style>
  <w:style w:type="character" w:customStyle="1" w:styleId="101">
    <w:name w:val="font31"/>
    <w:basedOn w:val="46"/>
    <w:qFormat/>
    <w:uiPriority w:val="0"/>
    <w:rPr>
      <w:rFonts w:hint="eastAsia" w:ascii="宋体" w:hAnsi="宋体" w:eastAsia="宋体" w:cs="宋体"/>
      <w:color w:val="000000"/>
      <w:sz w:val="16"/>
      <w:szCs w:val="16"/>
      <w:u w:val="none"/>
    </w:rPr>
  </w:style>
  <w:style w:type="character" w:customStyle="1" w:styleId="102">
    <w:name w:val="标题 3 Char"/>
    <w:basedOn w:val="46"/>
    <w:link w:val="8"/>
    <w:qFormat/>
    <w:uiPriority w:val="0"/>
    <w:rPr>
      <w:b/>
      <w:bCs/>
      <w:kern w:val="2"/>
      <w:sz w:val="32"/>
      <w:szCs w:val="32"/>
    </w:rPr>
  </w:style>
  <w:style w:type="character" w:customStyle="1" w:styleId="103">
    <w:name w:val="正文文本缩进 Char"/>
    <w:qFormat/>
    <w:uiPriority w:val="0"/>
    <w:rPr>
      <w:rFonts w:eastAsia="宋体"/>
      <w:kern w:val="2"/>
      <w:sz w:val="24"/>
      <w:szCs w:val="24"/>
      <w:lang w:val="en-US" w:eastAsia="zh-CN" w:bidi="ar-SA"/>
    </w:rPr>
  </w:style>
  <w:style w:type="character" w:customStyle="1" w:styleId="104">
    <w:name w:val="font11"/>
    <w:basedOn w:val="46"/>
    <w:qFormat/>
    <w:uiPriority w:val="0"/>
    <w:rPr>
      <w:rFonts w:hint="eastAsia" w:ascii="宋体" w:hAnsi="宋体" w:eastAsia="宋体" w:cs="宋体"/>
      <w:color w:val="000000"/>
      <w:sz w:val="16"/>
      <w:szCs w:val="16"/>
      <w:u w:val="none"/>
    </w:rPr>
  </w:style>
  <w:style w:type="character" w:customStyle="1" w:styleId="105">
    <w:name w:val="font01"/>
    <w:basedOn w:val="46"/>
    <w:qFormat/>
    <w:uiPriority w:val="0"/>
    <w:rPr>
      <w:rFonts w:hint="eastAsia" w:ascii="宋体" w:hAnsi="宋体" w:eastAsia="宋体" w:cs="宋体"/>
      <w:color w:val="000000"/>
      <w:sz w:val="24"/>
      <w:szCs w:val="24"/>
      <w:u w:val="none"/>
    </w:rPr>
  </w:style>
  <w:style w:type="character" w:customStyle="1" w:styleId="106">
    <w:name w:val="正文文本 Char1"/>
    <w:basedOn w:val="46"/>
    <w:link w:val="23"/>
    <w:qFormat/>
    <w:uiPriority w:val="0"/>
    <w:rPr>
      <w:kern w:val="2"/>
      <w:sz w:val="21"/>
    </w:rPr>
  </w:style>
  <w:style w:type="character" w:customStyle="1" w:styleId="107">
    <w:name w:val="批注主题 Char"/>
    <w:basedOn w:val="94"/>
    <w:link w:val="42"/>
    <w:qFormat/>
    <w:uiPriority w:val="0"/>
  </w:style>
  <w:style w:type="character" w:customStyle="1" w:styleId="108">
    <w:name w:val="标题 6 Char"/>
    <w:basedOn w:val="46"/>
    <w:link w:val="11"/>
    <w:qFormat/>
    <w:uiPriority w:val="0"/>
    <w:rPr>
      <w:rFonts w:eastAsia="黑体"/>
      <w:b/>
      <w:bCs/>
      <w:sz w:val="24"/>
      <w:szCs w:val="24"/>
    </w:rPr>
  </w:style>
  <w:style w:type="character" w:customStyle="1" w:styleId="109">
    <w:name w:val="font151"/>
    <w:basedOn w:val="46"/>
    <w:qFormat/>
    <w:uiPriority w:val="0"/>
    <w:rPr>
      <w:rFonts w:hint="default" w:ascii="Times New Roman" w:hAnsi="Times New Roman" w:cs="Times New Roman"/>
      <w:color w:val="000000"/>
      <w:sz w:val="20"/>
      <w:szCs w:val="20"/>
      <w:u w:val="none"/>
    </w:rPr>
  </w:style>
  <w:style w:type="character" w:customStyle="1" w:styleId="110">
    <w:name w:val="font61"/>
    <w:basedOn w:val="46"/>
    <w:qFormat/>
    <w:uiPriority w:val="0"/>
    <w:rPr>
      <w:rFonts w:hint="eastAsia" w:ascii="微软雅黑" w:hAnsi="微软雅黑" w:eastAsia="微软雅黑" w:cs="微软雅黑"/>
      <w:color w:val="000000"/>
      <w:sz w:val="16"/>
      <w:szCs w:val="16"/>
      <w:u w:val="none"/>
    </w:rPr>
  </w:style>
  <w:style w:type="character" w:customStyle="1" w:styleId="111">
    <w:name w:val="文档结构图 Char"/>
    <w:basedOn w:val="46"/>
    <w:link w:val="19"/>
    <w:qFormat/>
    <w:uiPriority w:val="0"/>
    <w:rPr>
      <w:kern w:val="2"/>
      <w:sz w:val="21"/>
      <w:szCs w:val="24"/>
      <w:shd w:val="clear" w:color="auto" w:fill="000080"/>
    </w:rPr>
  </w:style>
  <w:style w:type="character" w:customStyle="1" w:styleId="112">
    <w:name w:val="页脚 Char"/>
    <w:link w:val="31"/>
    <w:qFormat/>
    <w:uiPriority w:val="99"/>
    <w:rPr>
      <w:kern w:val="2"/>
      <w:sz w:val="18"/>
      <w:szCs w:val="18"/>
    </w:rPr>
  </w:style>
  <w:style w:type="character" w:customStyle="1" w:styleId="113">
    <w:name w:val="标题 8 Char"/>
    <w:basedOn w:val="46"/>
    <w:link w:val="13"/>
    <w:qFormat/>
    <w:uiPriority w:val="0"/>
    <w:rPr>
      <w:rFonts w:eastAsia="黑体"/>
      <w:sz w:val="24"/>
      <w:szCs w:val="24"/>
    </w:rPr>
  </w:style>
  <w:style w:type="character" w:customStyle="1" w:styleId="114">
    <w:name w:val="纯文本 Char"/>
    <w:link w:val="26"/>
    <w:qFormat/>
    <w:uiPriority w:val="0"/>
    <w:rPr>
      <w:rFonts w:ascii="宋体" w:hAnsi="Courier New"/>
      <w:kern w:val="2"/>
      <w:sz w:val="21"/>
    </w:rPr>
  </w:style>
  <w:style w:type="character" w:customStyle="1" w:styleId="115">
    <w:name w:val="font112"/>
    <w:basedOn w:val="46"/>
    <w:qFormat/>
    <w:uiPriority w:val="0"/>
    <w:rPr>
      <w:rFonts w:hint="eastAsia" w:ascii="宋体" w:hAnsi="宋体" w:eastAsia="宋体" w:cs="宋体"/>
      <w:color w:val="000000"/>
      <w:sz w:val="16"/>
      <w:szCs w:val="16"/>
      <w:u w:val="none"/>
    </w:rPr>
  </w:style>
  <w:style w:type="character" w:customStyle="1" w:styleId="116">
    <w:name w:val="纯文本 Char1"/>
    <w:basedOn w:val="46"/>
    <w:qFormat/>
    <w:uiPriority w:val="0"/>
    <w:rPr>
      <w:rFonts w:eastAsia="宋体"/>
      <w:kern w:val="2"/>
      <w:sz w:val="24"/>
      <w:lang w:val="en-US" w:eastAsia="zh-CN" w:bidi="ar-SA"/>
    </w:rPr>
  </w:style>
  <w:style w:type="character" w:customStyle="1" w:styleId="117">
    <w:name w:val="正文首行缩进 2 Char"/>
    <w:basedOn w:val="118"/>
    <w:link w:val="2"/>
    <w:qFormat/>
    <w:uiPriority w:val="0"/>
  </w:style>
  <w:style w:type="character" w:customStyle="1" w:styleId="118">
    <w:name w:val="正文文本缩进 Char1"/>
    <w:basedOn w:val="46"/>
    <w:link w:val="3"/>
    <w:qFormat/>
    <w:uiPriority w:val="0"/>
    <w:rPr>
      <w:kern w:val="2"/>
      <w:sz w:val="28"/>
    </w:rPr>
  </w:style>
  <w:style w:type="character" w:customStyle="1" w:styleId="119">
    <w:name w:val="正文文字 Char1"/>
    <w:basedOn w:val="46"/>
    <w:link w:val="92"/>
    <w:qFormat/>
    <w:uiPriority w:val="0"/>
    <w:rPr>
      <w:rFonts w:ascii="宋体"/>
      <w:color w:val="000000"/>
      <w:kern w:val="0"/>
      <w:sz w:val="28"/>
      <w:u w:val="none" w:color="000000"/>
    </w:rPr>
  </w:style>
  <w:style w:type="character" w:customStyle="1" w:styleId="120">
    <w:name w:val="标题 3 Char_0"/>
    <w:link w:val="89"/>
    <w:qFormat/>
    <w:uiPriority w:val="0"/>
    <w:rPr>
      <w:rFonts w:ascii="宋体" w:hAnsi="宋体"/>
      <w:b/>
      <w:kern w:val="2"/>
      <w:sz w:val="28"/>
      <w:szCs w:val="28"/>
    </w:rPr>
  </w:style>
  <w:style w:type="character" w:customStyle="1" w:styleId="121">
    <w:name w:val="font21"/>
    <w:basedOn w:val="46"/>
    <w:qFormat/>
    <w:uiPriority w:val="0"/>
    <w:rPr>
      <w:rFonts w:hint="eastAsia" w:ascii="宋体" w:hAnsi="宋体" w:eastAsia="宋体" w:cs="宋体"/>
      <w:color w:val="000000"/>
      <w:sz w:val="22"/>
      <w:szCs w:val="22"/>
      <w:u w:val="none"/>
    </w:rPr>
  </w:style>
  <w:style w:type="character" w:customStyle="1" w:styleId="122">
    <w:name w:val="脚注文本 Char"/>
    <w:basedOn w:val="46"/>
    <w:link w:val="36"/>
    <w:qFormat/>
    <w:uiPriority w:val="0"/>
    <w:rPr>
      <w:sz w:val="18"/>
    </w:rPr>
  </w:style>
  <w:style w:type="character" w:customStyle="1" w:styleId="123">
    <w:name w:val="副标题 Char"/>
    <w:link w:val="34"/>
    <w:qFormat/>
    <w:uiPriority w:val="0"/>
    <w:rPr>
      <w:rFonts w:ascii="Cambria" w:hAnsi="Cambria" w:eastAsia="宋体"/>
      <w:b/>
      <w:bCs/>
      <w:kern w:val="28"/>
      <w:sz w:val="32"/>
      <w:szCs w:val="32"/>
      <w:lang w:val="en-US" w:eastAsia="zh-CN" w:bidi="ar-SA"/>
    </w:rPr>
  </w:style>
  <w:style w:type="character" w:customStyle="1" w:styleId="124">
    <w:name w:val=" Char Char3"/>
    <w:qFormat/>
    <w:uiPriority w:val="0"/>
    <w:rPr>
      <w:rFonts w:eastAsia="宋体"/>
      <w:kern w:val="2"/>
      <w:sz w:val="21"/>
      <w:szCs w:val="24"/>
      <w:lang w:val="en-US" w:eastAsia="zh-CN" w:bidi="ar-SA"/>
    </w:rPr>
  </w:style>
  <w:style w:type="character" w:customStyle="1" w:styleId="125">
    <w:name w:val="正文文本 Char"/>
    <w:link w:val="23"/>
    <w:qFormat/>
    <w:uiPriority w:val="0"/>
    <w:rPr>
      <w:kern w:val="2"/>
      <w:sz w:val="21"/>
      <w:szCs w:val="24"/>
    </w:rPr>
  </w:style>
  <w:style w:type="character" w:customStyle="1" w:styleId="126">
    <w:name w:val=" Char Char6"/>
    <w:qFormat/>
    <w:uiPriority w:val="0"/>
    <w:rPr>
      <w:rFonts w:eastAsia="宋体"/>
      <w:kern w:val="2"/>
      <w:sz w:val="21"/>
      <w:szCs w:val="24"/>
      <w:lang w:val="en-US" w:eastAsia="zh-CN" w:bidi="ar-SA"/>
    </w:rPr>
  </w:style>
  <w:style w:type="character" w:customStyle="1" w:styleId="127">
    <w:name w:val="标题 Char"/>
    <w:basedOn w:val="46"/>
    <w:link w:val="41"/>
    <w:qFormat/>
    <w:uiPriority w:val="0"/>
    <w:rPr>
      <w:rFonts w:ascii="Cambria" w:hAnsi="Cambria"/>
      <w:b/>
      <w:bCs/>
      <w:kern w:val="2"/>
      <w:sz w:val="32"/>
      <w:szCs w:val="32"/>
    </w:rPr>
  </w:style>
  <w:style w:type="character" w:customStyle="1" w:styleId="128">
    <w:name w:val="日期 Char"/>
    <w:basedOn w:val="46"/>
    <w:link w:val="28"/>
    <w:qFormat/>
    <w:uiPriority w:val="0"/>
    <w:rPr>
      <w:kern w:val="2"/>
      <w:sz w:val="21"/>
      <w:szCs w:val="24"/>
    </w:rPr>
  </w:style>
  <w:style w:type="character" w:customStyle="1" w:styleId="129">
    <w:name w:val="ca-1"/>
    <w:basedOn w:val="46"/>
    <w:qFormat/>
    <w:uiPriority w:val="0"/>
  </w:style>
  <w:style w:type="character" w:customStyle="1" w:styleId="130">
    <w:name w:val="font101"/>
    <w:basedOn w:val="46"/>
    <w:qFormat/>
    <w:uiPriority w:val="0"/>
    <w:rPr>
      <w:rFonts w:ascii="Arial Unicode MS" w:hAnsi="Arial Unicode MS" w:eastAsia="Arial Unicode MS" w:cs="Arial Unicode MS"/>
      <w:color w:val="000000"/>
      <w:sz w:val="16"/>
      <w:szCs w:val="16"/>
      <w:u w:val="none"/>
    </w:rPr>
  </w:style>
  <w:style w:type="character" w:customStyle="1" w:styleId="131">
    <w:name w:val="标题 2 Char"/>
    <w:link w:val="7"/>
    <w:qFormat/>
    <w:uiPriority w:val="0"/>
    <w:rPr>
      <w:rFonts w:ascii="Arial Black" w:hAnsi="Arial Black" w:eastAsia="黑体"/>
      <w:b/>
      <w:bCs/>
      <w:kern w:val="2"/>
      <w:sz w:val="32"/>
      <w:szCs w:val="32"/>
      <w:lang w:val="en-US" w:eastAsia="zh-CN" w:bidi="ar-SA"/>
    </w:rPr>
  </w:style>
  <w:style w:type="character" w:customStyle="1" w:styleId="132">
    <w:name w:val="标题 5 Char"/>
    <w:basedOn w:val="46"/>
    <w:link w:val="10"/>
    <w:qFormat/>
    <w:uiPriority w:val="0"/>
    <w:rPr>
      <w:b/>
      <w:bCs/>
      <w:sz w:val="28"/>
      <w:szCs w:val="28"/>
    </w:rPr>
  </w:style>
  <w:style w:type="character" w:customStyle="1" w:styleId="133">
    <w:name w:val="标题 7 Char"/>
    <w:basedOn w:val="46"/>
    <w:link w:val="12"/>
    <w:qFormat/>
    <w:uiPriority w:val="0"/>
    <w:rPr>
      <w:b/>
      <w:bCs/>
      <w:sz w:val="24"/>
      <w:szCs w:val="24"/>
    </w:rPr>
  </w:style>
  <w:style w:type="character" w:customStyle="1" w:styleId="134">
    <w:name w:val="正文文本 3 Char"/>
    <w:basedOn w:val="46"/>
    <w:link w:val="22"/>
    <w:qFormat/>
    <w:uiPriority w:val="0"/>
    <w:rPr>
      <w:kern w:val="2"/>
      <w:sz w:val="16"/>
      <w:szCs w:val="16"/>
    </w:rPr>
  </w:style>
  <w:style w:type="character" w:customStyle="1" w:styleId="135">
    <w:name w:val="批注框文本 Char"/>
    <w:basedOn w:val="46"/>
    <w:link w:val="30"/>
    <w:qFormat/>
    <w:uiPriority w:val="0"/>
    <w:rPr>
      <w:kern w:val="2"/>
      <w:sz w:val="18"/>
      <w:szCs w:val="18"/>
    </w:rPr>
  </w:style>
  <w:style w:type="character" w:customStyle="1" w:styleId="136">
    <w:name w:val="正文文本缩进 2 Char"/>
    <w:basedOn w:val="46"/>
    <w:link w:val="29"/>
    <w:qFormat/>
    <w:uiPriority w:val="0"/>
    <w:rPr>
      <w:kern w:val="2"/>
      <w:sz w:val="21"/>
      <w:szCs w:val="24"/>
    </w:rPr>
  </w:style>
  <w:style w:type="character" w:customStyle="1" w:styleId="137">
    <w:name w:val="标题 9 Char"/>
    <w:basedOn w:val="46"/>
    <w:link w:val="14"/>
    <w:qFormat/>
    <w:uiPriority w:val="0"/>
    <w:rPr>
      <w:rFonts w:eastAsia="黑体"/>
      <w:sz w:val="21"/>
      <w:szCs w:val="21"/>
    </w:rPr>
  </w:style>
  <w:style w:type="character" w:customStyle="1" w:styleId="138">
    <w:name w:val="标题 4 Char"/>
    <w:basedOn w:val="46"/>
    <w:link w:val="9"/>
    <w:qFormat/>
    <w:uiPriority w:val="0"/>
    <w:rPr>
      <w:rFonts w:eastAsia="黑体"/>
      <w:b/>
      <w:bCs/>
      <w:sz w:val="28"/>
      <w:szCs w:val="28"/>
    </w:rPr>
  </w:style>
  <w:style w:type="character" w:customStyle="1" w:styleId="139">
    <w:name w:val="font91"/>
    <w:basedOn w:val="46"/>
    <w:qFormat/>
    <w:uiPriority w:val="0"/>
    <w:rPr>
      <w:rFonts w:hint="eastAsia" w:ascii="宋体" w:hAnsi="宋体" w:eastAsia="宋体" w:cs="宋体"/>
      <w:b/>
      <w:color w:val="FF0000"/>
      <w:sz w:val="20"/>
      <w:szCs w:val="20"/>
      <w:u w:val="none"/>
    </w:rPr>
  </w:style>
  <w:style w:type="paragraph" w:customStyle="1" w:styleId="140">
    <w:name w:val="Table Paragraph"/>
    <w:basedOn w:val="1"/>
    <w:qFormat/>
    <w:uiPriority w:val="1"/>
    <w:rPr>
      <w:rFonts w:ascii="宋体" w:hAnsi="宋体" w:eastAsia="宋体" w:cs="宋体"/>
      <w:lang w:val="zh-CN" w:eastAsia="zh-CN" w:bidi="zh-CN"/>
    </w:rPr>
  </w:style>
  <w:style w:type="paragraph" w:customStyle="1" w:styleId="14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2">
    <w:name w:val="标题 3 字符"/>
    <w:basedOn w:val="46"/>
    <w:link w:val="8"/>
    <w:semiHidden/>
    <w:qFormat/>
    <w:locked/>
    <w:uiPriority w:val="99"/>
    <w:rPr>
      <w:rFonts w:cs="Times New Roman"/>
      <w:b/>
      <w:bCs/>
      <w:sz w:val="32"/>
      <w:szCs w:val="32"/>
    </w:rPr>
  </w:style>
  <w:style w:type="paragraph" w:customStyle="1" w:styleId="143">
    <w:name w:val="样式3"/>
    <w:basedOn w:val="26"/>
    <w:qFormat/>
    <w:uiPriority w:val="0"/>
    <w:pPr>
      <w:spacing w:line="0" w:lineRule="atLeast"/>
      <w:outlineLvl w:val="0"/>
    </w:pPr>
    <w:rPr>
      <w:sz w:val="28"/>
    </w:rPr>
  </w:style>
  <w:style w:type="paragraph" w:customStyle="1" w:styleId="144">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5">
    <w:name w:val="纯文本1"/>
    <w:basedOn w:val="1"/>
    <w:qFormat/>
    <w:uiPriority w:val="0"/>
    <w:rPr>
      <w:rFonts w:ascii="宋体" w:hAnsi="Courier New" w:eastAsia="宋体" w:cs="Times New Roman"/>
      <w:szCs w:val="22"/>
    </w:rPr>
  </w:style>
  <w:style w:type="paragraph" w:customStyle="1" w:styleId="146">
    <w:name w:val="无间隔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71</Pages>
  <Words>35713</Words>
  <Characters>38631</Characters>
  <Lines>227</Lines>
  <Paragraphs>64</Paragraphs>
  <TotalTime>15</TotalTime>
  <ScaleCrop>false</ScaleCrop>
  <LinksUpToDate>false</LinksUpToDate>
  <CharactersWithSpaces>42219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A~筱宇</cp:lastModifiedBy>
  <cp:lastPrinted>2023-01-14T06:28:00Z</cp:lastPrinted>
  <dcterms:modified xsi:type="dcterms:W3CDTF">2023-02-17T03:36:31Z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D5FCCFCB972B40048484C3A4AA0C38C6</vt:lpwstr>
  </property>
</Properties>
</file>