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widowControl w:val="0"/>
        <w:numPr>
          <w:ilvl w:val="0"/>
          <w:numId w:val="0"/>
        </w:numPr>
        <w:adjustRightInd w:val="0"/>
        <w:jc w:val="center"/>
        <w:textAlignment w:val="baseline"/>
        <w:rPr>
          <w:rFonts w:hint="eastAsia" w:ascii="仿宋" w:hAnsi="仿宋" w:eastAsia="仿宋" w:cs="仿宋"/>
          <w:b/>
          <w:color w:val="auto"/>
          <w:sz w:val="56"/>
          <w:szCs w:val="48"/>
          <w:highlight w:val="none"/>
          <w:lang w:eastAsia="zh-CN"/>
        </w:rPr>
      </w:pPr>
    </w:p>
    <w:p>
      <w:pPr>
        <w:pStyle w:val="15"/>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lang w:eastAsia="zh-CN"/>
        </w:rPr>
        <w:t>和田地区行政服务和公共资源交易中心物业管理服务采购项目</w:t>
      </w: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项目编号：XYTDZC-2022GK271号</w:t>
      </w:r>
    </w:p>
    <w:p>
      <w:pPr>
        <w:pStyle w:val="34"/>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left="1959" w:leftChars="133" w:hanging="1680" w:hangingChars="600"/>
        <w:textAlignment w:val="auto"/>
        <w:rPr>
          <w:rFonts w:hint="eastAsia" w:ascii="仿宋" w:hAnsi="仿宋" w:eastAsia="仿宋" w:cs="仿宋"/>
          <w:bCs/>
          <w:color w:val="auto"/>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zh-CN"/>
        </w:rPr>
        <w:t>采</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val="zh-CN"/>
        </w:rPr>
        <w:t>购</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val="zh-CN"/>
        </w:rPr>
        <w:t>人（盖章）：</w:t>
      </w:r>
      <w:r>
        <w:rPr>
          <w:rFonts w:hint="eastAsia" w:ascii="仿宋" w:hAnsi="仿宋" w:eastAsia="仿宋" w:cs="仿宋"/>
          <w:bCs/>
          <w:color w:val="auto"/>
          <w:sz w:val="28"/>
          <w:szCs w:val="28"/>
          <w:highlight w:val="none"/>
          <w:lang w:val="en-US" w:eastAsia="zh-CN"/>
        </w:rPr>
        <w:t>和田地区行政服务和公共资源交易中心</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zh-CN"/>
        </w:rPr>
        <w:t>联 系 人：</w:t>
      </w:r>
      <w:r>
        <w:rPr>
          <w:rFonts w:hint="eastAsia" w:ascii="仿宋" w:hAnsi="仿宋" w:eastAsia="仿宋" w:cs="仿宋"/>
          <w:bCs/>
          <w:color w:val="auto"/>
          <w:sz w:val="28"/>
          <w:szCs w:val="28"/>
          <w:highlight w:val="none"/>
          <w:lang w:val="en-US" w:eastAsia="zh-CN"/>
        </w:rPr>
        <w:t xml:space="preserve">马先生 </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zh-CN"/>
        </w:rPr>
        <w:t>电    话：</w:t>
      </w:r>
      <w:r>
        <w:rPr>
          <w:rFonts w:hint="eastAsia" w:ascii="仿宋" w:hAnsi="仿宋" w:eastAsia="仿宋" w:cs="仿宋"/>
          <w:bCs/>
          <w:color w:val="auto"/>
          <w:sz w:val="28"/>
          <w:szCs w:val="28"/>
          <w:highlight w:val="none"/>
          <w:lang w:val="en-US" w:eastAsia="zh-CN"/>
        </w:rPr>
        <w:t>0903-2068496</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详细地址：和田地区行政服务和公共资源交易中心三楼 (和田市北京工业园区杭州大道 78 号)</w:t>
      </w:r>
    </w:p>
    <w:p>
      <w:pPr>
        <w:keepNext w:val="0"/>
        <w:keepLines w:val="0"/>
        <w:pageBreakBefore w:val="0"/>
        <w:widowControl w:val="0"/>
        <w:kinsoku/>
        <w:wordWrap/>
        <w:overflowPunct/>
        <w:topLinePunct w:val="0"/>
        <w:autoSpaceDE w:val="0"/>
        <w:autoSpaceDN w:val="0"/>
        <w:bidi w:val="0"/>
        <w:adjustRightInd w:val="0"/>
        <w:snapToGrid/>
        <w:spacing w:line="480" w:lineRule="auto"/>
        <w:ind w:left="4302" w:leftChars="382" w:hanging="3500" w:hangingChars="1250"/>
        <w:textAlignment w:val="auto"/>
        <w:rPr>
          <w:rFonts w:hint="eastAsia" w:ascii="仿宋" w:hAnsi="仿宋" w:eastAsia="仿宋" w:cs="仿宋"/>
          <w:bCs/>
          <w:color w:val="auto"/>
          <w:sz w:val="28"/>
          <w:szCs w:val="28"/>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zh-CN"/>
        </w:rPr>
        <w:t>招标代理机构</w:t>
      </w:r>
      <w:r>
        <w:rPr>
          <w:rFonts w:hint="eastAsia" w:ascii="仿宋" w:hAnsi="仿宋" w:eastAsia="仿宋" w:cs="仿宋"/>
          <w:color w:val="auto"/>
          <w:sz w:val="28"/>
          <w:szCs w:val="28"/>
          <w:highlight w:val="none"/>
          <w:lang w:val="zh-CN"/>
        </w:rPr>
        <w:t>（盖章）</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en-US" w:eastAsia="zh-CN"/>
        </w:rPr>
        <w:t>新疆星耀天都项目管理有限责任公司</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zh-CN"/>
        </w:rPr>
        <w:t>项目负责人</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en-US" w:eastAsia="zh-CN"/>
        </w:rPr>
        <w:t>马女士</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zh-CN"/>
        </w:rPr>
        <w:t>电    话</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zh-CN" w:eastAsia="zh-CN"/>
        </w:rPr>
        <w:t>0903-7820806</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仿宋" w:hAnsi="仿宋" w:eastAsia="仿宋" w:cs="仿宋"/>
          <w:b w:val="0"/>
          <w:bCs/>
          <w:color w:val="auto"/>
          <w:kern w:val="0"/>
          <w:sz w:val="28"/>
          <w:szCs w:val="28"/>
          <w:highlight w:val="none"/>
          <w:lang w:val="zh-CN" w:eastAsia="zh-CN" w:bidi="ar-SA"/>
        </w:rPr>
      </w:pPr>
      <w:r>
        <w:rPr>
          <w:rFonts w:hint="eastAsia" w:ascii="仿宋" w:hAnsi="仿宋" w:eastAsia="仿宋" w:cs="仿宋"/>
          <w:b w:val="0"/>
          <w:bCs/>
          <w:color w:val="auto"/>
          <w:kern w:val="0"/>
          <w:sz w:val="28"/>
          <w:szCs w:val="28"/>
          <w:highlight w:val="none"/>
          <w:lang w:val="zh-CN" w:eastAsia="zh-CN" w:bidi="ar-SA"/>
        </w:rPr>
        <w:t>详细地址：和田市人民路18号玉都国际广场银座9楼</w:t>
      </w:r>
    </w:p>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jc w:val="center"/>
        <w:textAlignment w:val="auto"/>
        <w:rPr>
          <w:rFonts w:hint="eastAsia" w:ascii="仿宋" w:hAnsi="仿宋" w:eastAsia="仿宋" w:cs="仿宋"/>
          <w:b w:val="0"/>
          <w:bCs/>
          <w:color w:val="auto"/>
          <w:kern w:val="0"/>
          <w:sz w:val="28"/>
          <w:szCs w:val="28"/>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jc w:val="center"/>
        <w:textAlignment w:val="auto"/>
        <w:rPr>
          <w:rFonts w:hint="eastAsia" w:ascii="仿宋" w:hAnsi="仿宋" w:eastAsia="仿宋" w:cs="仿宋"/>
          <w:b w:val="0"/>
          <w:bCs/>
          <w:color w:val="auto"/>
          <w:kern w:val="0"/>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bidi="ar-SA"/>
        </w:rPr>
        <w:t>日    期：2022年12月</w:t>
      </w:r>
    </w:p>
    <w:p>
      <w:pPr>
        <w:spacing w:line="360" w:lineRule="auto"/>
        <w:rPr>
          <w:rFonts w:hint="eastAsia" w:ascii="仿宋" w:hAnsi="仿宋" w:eastAsia="仿宋" w:cs="仿宋"/>
          <w:color w:val="auto"/>
          <w:highlight w:val="none"/>
        </w:rPr>
      </w:pPr>
    </w:p>
    <w:p>
      <w:pPr>
        <w:autoSpaceDE w:val="0"/>
        <w:autoSpaceDN w:val="0"/>
        <w:adjustRightInd w:val="0"/>
        <w:spacing w:line="600" w:lineRule="auto"/>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目  录</w:t>
      </w:r>
    </w:p>
    <w:p>
      <w:pPr>
        <w:pStyle w:val="32"/>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"1-9" \f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eastAsia="zh-CN"/>
        </w:rPr>
        <w:t>第一部分</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_Toc25035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第二部分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_Toc25035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_Toc10179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投标人须知前附表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_Toc10179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6"/>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_Toc27167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 招标书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_Toc27167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6"/>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_Toc26927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_Toc26927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6"/>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第三章</w:t>
      </w:r>
      <w:r>
        <w:rPr>
          <w:rFonts w:hint="eastAsia" w:ascii="仿宋" w:hAnsi="仿宋" w:eastAsia="仿宋" w:cs="仿宋"/>
          <w:color w:val="auto"/>
          <w:sz w:val="24"/>
          <w:szCs w:val="24"/>
          <w:highlight w:val="none"/>
          <w:lang w:val="en-US" w:eastAsia="zh-CN"/>
        </w:rPr>
        <w:t xml:space="preserve"> 采购需求、技术参数、规格</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_Toc29633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_Toc13536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 xml:space="preserve">第四章 </w:t>
      </w:r>
      <w:r>
        <w:rPr>
          <w:rFonts w:hint="eastAsia" w:ascii="仿宋" w:hAnsi="仿宋" w:eastAsia="仿宋" w:cs="仿宋"/>
          <w:bCs/>
          <w:color w:val="auto"/>
          <w:sz w:val="24"/>
          <w:szCs w:val="24"/>
          <w:highlight w:val="none"/>
          <w:lang w:eastAsia="zh-CN"/>
        </w:rPr>
        <w:t>采购合同范本</w:t>
      </w:r>
      <w:r>
        <w:rPr>
          <w:rFonts w:hint="eastAsia" w:ascii="仿宋" w:hAnsi="仿宋" w:eastAsia="仿宋" w:cs="仿宋"/>
          <w:bCs/>
          <w:color w:val="auto"/>
          <w:sz w:val="24"/>
          <w:szCs w:val="24"/>
          <w:highlight w:val="none"/>
        </w:rPr>
        <w:t>（仅供参考）</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_Toc13536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第五章</w:t>
      </w:r>
      <w:r>
        <w:rPr>
          <w:rFonts w:hint="eastAsia" w:ascii="仿宋" w:hAnsi="仿宋" w:eastAsia="仿宋" w:cs="仿宋"/>
          <w:color w:val="auto"/>
          <w:sz w:val="24"/>
          <w:szCs w:val="24"/>
          <w:highlight w:val="none"/>
          <w:lang w:val="en-US" w:eastAsia="zh-CN"/>
        </w:rPr>
        <w:t xml:space="preserve"> 投标文件内容及格式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
        <w:outlineLvl w:val="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pPr>
        <w:autoSpaceDE w:val="0"/>
        <w:autoSpaceDN w:val="0"/>
        <w:adjustRightInd w:val="0"/>
        <w:spacing w:line="600" w:lineRule="auto"/>
        <w:ind w:left="2"/>
        <w:rPr>
          <w:rFonts w:hint="eastAsia" w:ascii="仿宋" w:hAnsi="仿宋" w:eastAsia="仿宋" w:cs="仿宋"/>
          <w:color w:val="auto"/>
          <w:kern w:val="0"/>
          <w:sz w:val="28"/>
          <w:szCs w:val="28"/>
          <w:highlight w:val="none"/>
        </w:rPr>
      </w:pPr>
    </w:p>
    <w:p>
      <w:pPr>
        <w:pStyle w:val="6"/>
        <w:rPr>
          <w:rFonts w:hint="eastAsia" w:ascii="仿宋" w:hAnsi="仿宋" w:eastAsia="仿宋" w:cs="仿宋"/>
          <w:color w:val="auto"/>
          <w:kern w:val="0"/>
          <w:sz w:val="28"/>
          <w:szCs w:val="28"/>
          <w:highlight w:val="none"/>
        </w:rPr>
      </w:pPr>
    </w:p>
    <w:p>
      <w:pPr>
        <w:rPr>
          <w:rFonts w:hint="eastAsia" w:ascii="仿宋" w:hAnsi="仿宋" w:eastAsia="仿宋" w:cs="仿宋"/>
          <w:color w:val="auto"/>
          <w:kern w:val="0"/>
          <w:sz w:val="28"/>
          <w:szCs w:val="28"/>
          <w:highlight w:val="none"/>
        </w:rPr>
      </w:pPr>
    </w:p>
    <w:p>
      <w:pPr>
        <w:pStyle w:val="6"/>
        <w:rPr>
          <w:rFonts w:hint="eastAsia" w:ascii="仿宋" w:hAnsi="仿宋" w:eastAsia="仿宋" w:cs="仿宋"/>
          <w:color w:val="auto"/>
          <w:kern w:val="0"/>
          <w:sz w:val="28"/>
          <w:szCs w:val="28"/>
          <w:highlight w:val="none"/>
        </w:rPr>
      </w:pPr>
    </w:p>
    <w:p>
      <w:pPr>
        <w:rPr>
          <w:rFonts w:hint="eastAsia" w:ascii="仿宋" w:hAnsi="仿宋" w:eastAsia="仿宋" w:cs="仿宋"/>
          <w:color w:val="auto"/>
          <w:kern w:val="0"/>
          <w:sz w:val="28"/>
          <w:szCs w:val="28"/>
          <w:highlight w:val="none"/>
        </w:rPr>
      </w:pPr>
    </w:p>
    <w:p>
      <w:pPr>
        <w:pStyle w:val="86"/>
        <w:rPr>
          <w:rFonts w:hint="eastAsia" w:ascii="仿宋" w:hAnsi="仿宋" w:eastAsia="仿宋" w:cs="仿宋"/>
          <w:color w:val="auto"/>
          <w:kern w:val="0"/>
          <w:sz w:val="28"/>
          <w:szCs w:val="28"/>
          <w:highlight w:val="none"/>
        </w:rPr>
      </w:pPr>
    </w:p>
    <w:p>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仿宋" w:hAnsi="仿宋" w:eastAsia="仿宋" w:cs="仿宋"/>
          <w:sz w:val="36"/>
          <w:szCs w:val="36"/>
          <w:lang w:eastAsia="zh-CN"/>
        </w:rPr>
      </w:pPr>
      <w:bookmarkStart w:id="0" w:name="_Toc30491"/>
      <w:bookmarkStart w:id="1" w:name="_Toc30559"/>
      <w:bookmarkStart w:id="2" w:name="_Toc25035"/>
      <w:bookmarkStart w:id="3" w:name="_Toc19282"/>
      <w:bookmarkStart w:id="4" w:name="_Toc1277"/>
      <w:bookmarkStart w:id="5" w:name="_Toc15770"/>
      <w:bookmarkStart w:id="6" w:name="_Toc5064"/>
      <w:bookmarkStart w:id="7" w:name="_Toc15231"/>
      <w:bookmarkStart w:id="8" w:name="_Toc27002"/>
      <w:r>
        <w:rPr>
          <w:rFonts w:hint="eastAsia" w:ascii="仿宋" w:hAnsi="仿宋" w:eastAsia="仿宋" w:cs="仿宋"/>
          <w:sz w:val="36"/>
          <w:szCs w:val="36"/>
          <w:lang w:eastAsia="zh-CN"/>
        </w:rPr>
        <w:t>和田地区行政服务和公共资源交易中心物业服务</w:t>
      </w:r>
    </w:p>
    <w:p>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仿宋" w:hAnsi="仿宋" w:eastAsia="仿宋" w:cs="仿宋"/>
          <w:sz w:val="36"/>
          <w:szCs w:val="36"/>
          <w:lang w:val="en-US"/>
        </w:rPr>
      </w:pPr>
      <w:r>
        <w:rPr>
          <w:rFonts w:hint="eastAsia" w:ascii="仿宋" w:hAnsi="仿宋" w:eastAsia="仿宋" w:cs="仿宋"/>
          <w:sz w:val="36"/>
          <w:szCs w:val="36"/>
          <w:lang w:eastAsia="zh-CN"/>
        </w:rPr>
        <w:t>采购项目</w:t>
      </w:r>
      <w:r>
        <w:rPr>
          <w:rFonts w:hint="eastAsia" w:ascii="仿宋" w:hAnsi="仿宋" w:eastAsia="仿宋" w:cs="仿宋"/>
          <w:sz w:val="36"/>
          <w:szCs w:val="36"/>
          <w:lang w:val="en-US"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u w:val="single"/>
          <w:lang w:eastAsia="zh-CN"/>
        </w:rPr>
        <w:t>和田地区行政服务和公共资源交易中心物业管理服务采购项目招标项目的潜在投标人应在政采云平台：</w:t>
      </w:r>
      <w:r>
        <w:rPr>
          <w:rFonts w:hint="eastAsia" w:ascii="仿宋" w:hAnsi="仿宋" w:eastAsia="仿宋" w:cs="仿宋"/>
          <w:color w:val="auto"/>
          <w:sz w:val="24"/>
          <w:szCs w:val="24"/>
          <w:u w:val="single"/>
          <w:lang w:eastAsia="zh-CN"/>
        </w:rPr>
        <w:fldChar w:fldCharType="begin"/>
      </w:r>
      <w:r>
        <w:rPr>
          <w:rFonts w:hint="eastAsia" w:ascii="仿宋" w:hAnsi="仿宋" w:eastAsia="仿宋" w:cs="仿宋"/>
          <w:color w:val="auto"/>
          <w:sz w:val="24"/>
          <w:szCs w:val="24"/>
          <w:u w:val="single"/>
          <w:lang w:eastAsia="zh-CN"/>
        </w:rPr>
        <w:instrText xml:space="preserve"> HYPERLINK "https://www.zcygov.cn/线上获取获取招标文件，并于2022年07月" </w:instrText>
      </w:r>
      <w:r>
        <w:rPr>
          <w:rFonts w:hint="eastAsia" w:ascii="仿宋" w:hAnsi="仿宋" w:eastAsia="仿宋" w:cs="仿宋"/>
          <w:color w:val="auto"/>
          <w:sz w:val="24"/>
          <w:szCs w:val="24"/>
          <w:u w:val="single"/>
          <w:lang w:eastAsia="zh-CN"/>
        </w:rPr>
        <w:fldChar w:fldCharType="separate"/>
      </w:r>
      <w:r>
        <w:rPr>
          <w:rStyle w:val="51"/>
          <w:rFonts w:hint="eastAsia" w:ascii="仿宋" w:hAnsi="仿宋" w:eastAsia="仿宋" w:cs="仿宋"/>
          <w:color w:val="auto"/>
          <w:sz w:val="24"/>
          <w:szCs w:val="24"/>
          <w:lang w:eastAsia="zh-CN"/>
        </w:rPr>
        <w:t>https://www.zcygov.cn/线上获取获取招标文件，并于202</w:t>
      </w:r>
      <w:r>
        <w:rPr>
          <w:rStyle w:val="51"/>
          <w:rFonts w:hint="eastAsia" w:ascii="仿宋" w:hAnsi="仿宋" w:eastAsia="仿宋" w:cs="仿宋"/>
          <w:color w:val="auto"/>
          <w:sz w:val="24"/>
          <w:szCs w:val="24"/>
          <w:lang w:val="en-US" w:eastAsia="zh-CN"/>
        </w:rPr>
        <w:t>3</w:t>
      </w:r>
      <w:r>
        <w:rPr>
          <w:rStyle w:val="51"/>
          <w:rFonts w:hint="eastAsia" w:ascii="仿宋" w:hAnsi="仿宋" w:eastAsia="仿宋" w:cs="仿宋"/>
          <w:color w:val="auto"/>
          <w:sz w:val="24"/>
          <w:szCs w:val="24"/>
          <w:lang w:eastAsia="zh-CN"/>
        </w:rPr>
        <w:t>年0</w:t>
      </w:r>
      <w:r>
        <w:rPr>
          <w:rStyle w:val="51"/>
          <w:rFonts w:hint="eastAsia" w:ascii="仿宋" w:hAnsi="仿宋" w:eastAsia="仿宋" w:cs="仿宋"/>
          <w:color w:val="auto"/>
          <w:sz w:val="24"/>
          <w:szCs w:val="24"/>
          <w:lang w:val="en-US" w:eastAsia="zh-CN"/>
        </w:rPr>
        <w:t>1</w:t>
      </w:r>
      <w:r>
        <w:rPr>
          <w:rStyle w:val="51"/>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fldChar w:fldCharType="end"/>
      </w:r>
      <w:r>
        <w:rPr>
          <w:rFonts w:hint="eastAsia" w:ascii="仿宋" w:hAnsi="仿宋" w:eastAsia="仿宋" w:cs="仿宋"/>
          <w:color w:val="auto"/>
          <w:sz w:val="24"/>
          <w:szCs w:val="24"/>
          <w:u w:val="single"/>
          <w:lang w:val="en-US" w:eastAsia="zh-CN"/>
        </w:rPr>
        <w:t>13</w:t>
      </w:r>
      <w:r>
        <w:rPr>
          <w:rFonts w:hint="eastAsia" w:ascii="仿宋" w:hAnsi="仿宋" w:eastAsia="仿宋" w:cs="仿宋"/>
          <w:color w:val="auto"/>
          <w:sz w:val="24"/>
          <w:szCs w:val="24"/>
          <w:u w:val="single"/>
          <w:lang w:eastAsia="zh-CN"/>
        </w:rPr>
        <w:t>日11:00（北京时间）前递交投标文件。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bCs/>
          <w:sz w:val="24"/>
          <w:szCs w:val="24"/>
          <w:highlight w:val="none"/>
        </w:rPr>
      </w:pPr>
      <w:bookmarkStart w:id="9" w:name="_Toc28359079"/>
      <w:bookmarkStart w:id="10" w:name="_Toc28359002"/>
      <w:bookmarkStart w:id="11" w:name="_Toc35393790"/>
      <w:bookmarkStart w:id="12" w:name="_Toc35393621"/>
      <w:bookmarkStart w:id="13" w:name="_Hlk24379207"/>
      <w:r>
        <w:rPr>
          <w:rFonts w:hint="eastAsia" w:ascii="仿宋" w:hAnsi="仿宋" w:eastAsia="仿宋" w:cs="仿宋"/>
          <w:b/>
          <w:bCs/>
          <w:sz w:val="24"/>
          <w:szCs w:val="24"/>
          <w:highlight w:val="none"/>
        </w:rPr>
        <w:t>一、项目基本情况</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项目编号：XYTDZC-2022GK271号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bookmarkEnd w:id="13"/>
      <w:bookmarkStart w:id="14" w:name="_Toc35393622"/>
      <w:bookmarkStart w:id="15" w:name="_Toc28359080"/>
      <w:bookmarkStart w:id="16" w:name="_Toc28359003"/>
      <w:bookmarkStart w:id="17" w:name="_Toc35393791"/>
      <w:r>
        <w:rPr>
          <w:rFonts w:hint="eastAsia" w:ascii="仿宋" w:hAnsi="仿宋" w:eastAsia="仿宋" w:cs="仿宋"/>
          <w:sz w:val="24"/>
          <w:szCs w:val="24"/>
          <w:highlight w:val="none"/>
          <w:lang w:eastAsia="zh-CN"/>
        </w:rPr>
        <w:t>和田地区行政服务和公共资源交易中心物业管理服务采购项目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val="en-US" w:eastAsia="zh-CN"/>
        </w:rPr>
        <w:t>公开招标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预算金额：6000000元</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本预算为</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年服务期限费用</w:t>
      </w:r>
      <w:r>
        <w:rPr>
          <w:rFonts w:hint="eastAsia" w:ascii="仿宋" w:hAnsi="仿宋" w:eastAsia="仿宋" w:cs="仿宋"/>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采购需求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预算金额（元）:6000000元</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单位：项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简要规格描述或项目基本概况介绍、用途：为和田地区行政服务和公共资源交易中心提供安保、保洁、维护、消防维保等物业服务。和田地区行政服务和公共资源交易中心是一座集政务服务、办公、公共资源交易、会议为一体的综合大楼，位于和田市北京工业园区，建筑面积约 27000 ㎡，庭院约14000㎡（含办公楼前停车场），地上 4 层，一、二层为政务服务大厅，三层为公共资源交易大厅，四层为餐厅及办公区。地下室约2300㎡。（详见招标文件）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备注：</w:t>
      </w:r>
      <w:r>
        <w:rPr>
          <w:rFonts w:hint="eastAsia" w:ascii="仿宋" w:hAnsi="仿宋" w:eastAsia="仿宋" w:cs="仿宋"/>
          <w:i w:val="0"/>
          <w:iCs w:val="0"/>
          <w:caps w:val="0"/>
          <w:color w:val="FF0000"/>
          <w:spacing w:val="0"/>
          <w:sz w:val="27"/>
          <w:szCs w:val="27"/>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合同履行期限：</w:t>
      </w:r>
      <w:r>
        <w:rPr>
          <w:rFonts w:hint="eastAsia" w:ascii="仿宋" w:hAnsi="仿宋" w:eastAsia="仿宋" w:cs="仿宋"/>
          <w:sz w:val="24"/>
          <w:szCs w:val="24"/>
          <w:lang w:val="en-US" w:eastAsia="zh-CN"/>
        </w:rPr>
        <w:t>三年（具体时间以与甲方签订合同为准）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否</w:t>
      </w:r>
      <w:r>
        <w:rPr>
          <w:rFonts w:hint="eastAsia" w:ascii="仿宋" w:hAnsi="仿宋" w:eastAsia="仿宋" w:cs="仿宋"/>
          <w:sz w:val="24"/>
          <w:szCs w:val="24"/>
          <w:lang w:eastAsia="zh-CN"/>
        </w:rPr>
        <w:t>）</w:t>
      </w:r>
      <w:r>
        <w:rPr>
          <w:rFonts w:hint="eastAsia" w:ascii="仿宋" w:hAnsi="仿宋" w:eastAsia="仿宋" w:cs="仿宋"/>
          <w:sz w:val="24"/>
          <w:szCs w:val="24"/>
        </w:rPr>
        <w:t>接受联合体投标。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val="en-US" w:eastAsia="zh-CN"/>
        </w:rPr>
        <w:t>供应商</w:t>
      </w:r>
      <w:r>
        <w:rPr>
          <w:rFonts w:hint="eastAsia" w:ascii="仿宋" w:hAnsi="仿宋" w:eastAsia="仿宋" w:cs="仿宋"/>
          <w:b/>
          <w:bCs/>
          <w:sz w:val="24"/>
          <w:szCs w:val="24"/>
        </w:rPr>
        <w:t>的资格要求：</w:t>
      </w:r>
      <w:bookmarkEnd w:id="14"/>
      <w:bookmarkEnd w:id="15"/>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（1）具有经年审合格的“三证合一”的营业执照；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（2）需提供2021年第三方审计机构出具的审计报告（2022年成立的公司可不提供但需提供银行出具的近3个月的资信证明）和健全的财务会计制度；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提供法人（指本单位）2022年近三个月的社保缴纳证明（新成立时间少于三个月的公司，按实际发生提供）；提供税务机关出具2022年近三个月的完税证明或依法缴纳税收的相关证明材料；（新成立不足三个月的，按实际情况发生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（4）提供参加政府采购活动前 3 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5）凡拟参加本次招标项目的投标人，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核实）。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2、落实政府采购政策需满足的资格要求：政府采购促进中小企业发展管理办法》（财库〔2020〕46 号）；关于进一步加大政府采购支持中小企业力度的通知财库〔2022〕19号；《财政部发展改革委生态环境部市场监管总局关于调整优化节能产品、环境标志产品政府采购执行机制的通知》（财库〔2019〕9号）。；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3、本项目的特定资格要求：</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val="0"/>
          <w:i w:val="0"/>
          <w:caps w:val="0"/>
          <w:color w:val="000000"/>
          <w:spacing w:val="0"/>
          <w:sz w:val="24"/>
          <w:szCs w:val="24"/>
          <w:shd w:val="clear" w:color="auto" w:fill="FFFFFF"/>
          <w:lang w:val="en-US" w:eastAsia="zh-CN"/>
        </w:rPr>
      </w:pPr>
      <w:bookmarkStart w:id="18" w:name="_Toc35393624"/>
      <w:bookmarkStart w:id="19" w:name="_Toc28359082"/>
      <w:bookmarkStart w:id="20" w:name="_Toc28359005"/>
      <w:bookmarkStart w:id="21" w:name="_Toc35393793"/>
      <w:r>
        <w:rPr>
          <w:rFonts w:hint="eastAsia" w:ascii="仿宋" w:hAnsi="仿宋" w:eastAsia="仿宋" w:cs="仿宋"/>
          <w:b/>
          <w:bCs w:val="0"/>
          <w:i w:val="0"/>
          <w:caps w:val="0"/>
          <w:color w:val="000000"/>
          <w:spacing w:val="0"/>
          <w:sz w:val="24"/>
          <w:szCs w:val="24"/>
          <w:shd w:val="clear" w:color="auto" w:fill="FFFFFF"/>
          <w:lang w:val="en-US"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 xml:space="preserve"> 时间：</w:t>
      </w:r>
      <w:r>
        <w:rPr>
          <w:rFonts w:hint="eastAsia" w:ascii="仿宋" w:hAnsi="仿宋" w:eastAsia="仿宋" w:cs="仿宋"/>
          <w:b w:val="0"/>
          <w:bCs/>
          <w:i w:val="0"/>
          <w:caps w:val="0"/>
          <w:color w:val="000000"/>
          <w:spacing w:val="0"/>
          <w:sz w:val="24"/>
          <w:szCs w:val="24"/>
          <w:highlight w:val="none"/>
          <w:shd w:val="clear" w:color="auto" w:fill="FFFFFF"/>
          <w:lang w:val="en-US" w:eastAsia="zh-CN"/>
        </w:rPr>
        <w:t>2022年12月24日至2023年01月12日</w:t>
      </w:r>
      <w:r>
        <w:rPr>
          <w:rFonts w:hint="eastAsia" w:ascii="仿宋" w:hAnsi="仿宋" w:eastAsia="仿宋" w:cs="仿宋"/>
          <w:b w:val="0"/>
          <w:bCs/>
          <w:i w:val="0"/>
          <w:caps w:val="0"/>
          <w:color w:val="000000"/>
          <w:spacing w:val="0"/>
          <w:sz w:val="24"/>
          <w:szCs w:val="24"/>
          <w:shd w:val="clear" w:color="auto" w:fill="FFFFFF"/>
          <w:lang w:val="en-US" w:eastAsia="zh-CN"/>
        </w:rPr>
        <w:t>每天上午00:00至12:00，下午12:00至23:59（北京时间，法定节假日除外）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地点：</w:t>
      </w:r>
      <w:bookmarkEnd w:id="18"/>
      <w:bookmarkEnd w:id="19"/>
      <w:bookmarkEnd w:id="20"/>
      <w:bookmarkEnd w:id="21"/>
      <w:r>
        <w:rPr>
          <w:rFonts w:hint="eastAsia" w:ascii="仿宋" w:hAnsi="仿宋" w:eastAsia="仿宋" w:cs="仿宋"/>
          <w:b w:val="0"/>
          <w:bCs/>
          <w:i w:val="0"/>
          <w:caps w:val="0"/>
          <w:color w:val="000000"/>
          <w:spacing w:val="0"/>
          <w:sz w:val="24"/>
          <w:szCs w:val="24"/>
          <w:shd w:val="clear" w:color="auto" w:fill="FFFFFF"/>
          <w:lang w:val="en-US" w:eastAsia="zh-CN"/>
        </w:rPr>
        <w:t>政采云平台（https://www.zcygov.cn/）线上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方式：</w:t>
      </w:r>
      <w:bookmarkStart w:id="22" w:name="_Toc28359008"/>
      <w:bookmarkStart w:id="23" w:name="_Toc35393627"/>
      <w:bookmarkStart w:id="24" w:name="_Toc28359085"/>
      <w:bookmarkStart w:id="25" w:name="_Toc35393796"/>
      <w:r>
        <w:rPr>
          <w:rFonts w:hint="eastAsia" w:ascii="仿宋" w:hAnsi="仿宋" w:eastAsia="仿宋" w:cs="仿宋"/>
          <w:b w:val="0"/>
          <w:bCs/>
          <w:i w:val="0"/>
          <w:caps w:val="0"/>
          <w:color w:val="000000"/>
          <w:spacing w:val="0"/>
          <w:sz w:val="24"/>
          <w:szCs w:val="24"/>
          <w:shd w:val="clear" w:color="auto" w:fill="FFFFFF"/>
          <w:lang w:val="en-US" w:eastAsia="zh-CN"/>
        </w:rPr>
        <w:t>供应商登录政采云平台https://www.zcygov.cn/在线申请获取采购文件（进入“项目采购”应用，在获取采购文件菜单中选择项目，申请获取采购文件）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售价（元）：0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val="0"/>
          <w:i w:val="0"/>
          <w:caps w:val="0"/>
          <w:color w:val="000000"/>
          <w:spacing w:val="0"/>
          <w:sz w:val="24"/>
          <w:szCs w:val="24"/>
          <w:shd w:val="clear" w:color="auto" w:fill="FFFFFF"/>
          <w:lang w:val="en-US" w:eastAsia="zh-CN"/>
        </w:rPr>
      </w:pPr>
      <w:r>
        <w:rPr>
          <w:rFonts w:hint="eastAsia" w:ascii="仿宋" w:hAnsi="仿宋" w:eastAsia="仿宋" w:cs="仿宋"/>
          <w:b/>
          <w:bCs w:val="0"/>
          <w:i w:val="0"/>
          <w:caps w:val="0"/>
          <w:color w:val="000000"/>
          <w:spacing w:val="0"/>
          <w:sz w:val="24"/>
          <w:szCs w:val="24"/>
          <w:shd w:val="clear" w:color="auto" w:fill="FFFFFF"/>
          <w:lang w:val="en-US" w:eastAsia="zh-CN"/>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000000"/>
          <w:spacing w:val="0"/>
          <w:sz w:val="24"/>
          <w:szCs w:val="24"/>
          <w:highlight w:val="none"/>
          <w:shd w:val="clear" w:color="auto" w:fill="FFFFFF"/>
          <w:lang w:val="en-US" w:eastAsia="zh-CN"/>
        </w:rPr>
      </w:pPr>
      <w:bookmarkStart w:id="26" w:name="_Toc35393794"/>
      <w:bookmarkStart w:id="27" w:name="_Toc28359007"/>
      <w:bookmarkStart w:id="28" w:name="_Toc35393625"/>
      <w:bookmarkStart w:id="29" w:name="_Toc28359084"/>
      <w:r>
        <w:rPr>
          <w:rFonts w:hint="eastAsia" w:ascii="仿宋" w:hAnsi="仿宋" w:eastAsia="仿宋" w:cs="仿宋"/>
          <w:b w:val="0"/>
          <w:bCs/>
          <w:i w:val="0"/>
          <w:caps w:val="0"/>
          <w:color w:val="000000"/>
          <w:spacing w:val="0"/>
          <w:sz w:val="24"/>
          <w:szCs w:val="24"/>
          <w:shd w:val="clear" w:color="auto" w:fill="FFFFFF"/>
          <w:lang w:val="en-US" w:eastAsia="zh-CN"/>
        </w:rPr>
        <w:t>提交投标文件截止时间</w:t>
      </w:r>
      <w:r>
        <w:rPr>
          <w:rFonts w:hint="eastAsia" w:ascii="仿宋" w:hAnsi="仿宋" w:eastAsia="仿宋" w:cs="仿宋"/>
          <w:b w:val="0"/>
          <w:bCs/>
          <w:i w:val="0"/>
          <w:caps w:val="0"/>
          <w:color w:val="000000"/>
          <w:spacing w:val="0"/>
          <w:sz w:val="24"/>
          <w:szCs w:val="24"/>
          <w:highlight w:val="none"/>
          <w:shd w:val="clear" w:color="auto" w:fill="FFFFFF"/>
          <w:lang w:val="en-US" w:eastAsia="zh-CN"/>
        </w:rPr>
        <w:t>：2023年01月13日11:00（北京时间）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000000"/>
          <w:spacing w:val="0"/>
          <w:sz w:val="24"/>
          <w:szCs w:val="24"/>
          <w:highlight w:val="none"/>
          <w:shd w:val="clear" w:color="auto" w:fill="FFFFFF"/>
          <w:lang w:val="en-US" w:eastAsia="zh-CN"/>
        </w:rPr>
      </w:pPr>
      <w:r>
        <w:rPr>
          <w:rFonts w:hint="eastAsia" w:ascii="仿宋" w:hAnsi="仿宋" w:eastAsia="仿宋" w:cs="仿宋"/>
          <w:b w:val="0"/>
          <w:bCs/>
          <w:i w:val="0"/>
          <w:caps w:val="0"/>
          <w:color w:val="000000"/>
          <w:spacing w:val="0"/>
          <w:sz w:val="24"/>
          <w:szCs w:val="24"/>
          <w:highlight w:val="none"/>
          <w:shd w:val="clear" w:color="auto" w:fill="FFFFFF"/>
          <w:lang w:val="en-US" w:eastAsia="zh-CN"/>
        </w:rPr>
        <w:t>投标地点：新疆政府采购网政采云平台（www.zcygov.cn）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000000"/>
          <w:spacing w:val="0"/>
          <w:sz w:val="24"/>
          <w:szCs w:val="24"/>
          <w:highlight w:val="none"/>
          <w:shd w:val="clear" w:color="auto" w:fill="FFFFFF"/>
          <w:lang w:val="en-US" w:eastAsia="zh-CN"/>
        </w:rPr>
      </w:pPr>
      <w:r>
        <w:rPr>
          <w:rFonts w:hint="eastAsia" w:ascii="仿宋" w:hAnsi="仿宋" w:eastAsia="仿宋" w:cs="仿宋"/>
          <w:b w:val="0"/>
          <w:bCs/>
          <w:i w:val="0"/>
          <w:caps w:val="0"/>
          <w:color w:val="000000"/>
          <w:spacing w:val="0"/>
          <w:sz w:val="24"/>
          <w:szCs w:val="24"/>
          <w:highlight w:val="none"/>
          <w:shd w:val="clear" w:color="auto" w:fill="FFFFFF"/>
          <w:lang w:val="en-US" w:eastAsia="zh-CN"/>
        </w:rPr>
        <w:t>开标时间：2023年01月13</w:t>
      </w:r>
      <w:r>
        <w:rPr>
          <w:rFonts w:hint="eastAsia" w:ascii="仿宋" w:hAnsi="仿宋" w:eastAsia="仿宋" w:cs="仿宋"/>
          <w:sz w:val="24"/>
          <w:szCs w:val="24"/>
          <w:lang w:val="en-US" w:eastAsia="zh-CN"/>
        </w:rPr>
        <w:t>日</w:t>
      </w:r>
      <w:r>
        <w:rPr>
          <w:rFonts w:hint="eastAsia" w:ascii="仿宋" w:hAnsi="仿宋" w:eastAsia="仿宋" w:cs="仿宋"/>
          <w:b w:val="0"/>
          <w:bCs/>
          <w:i w:val="0"/>
          <w:caps w:val="0"/>
          <w:color w:val="000000"/>
          <w:spacing w:val="0"/>
          <w:sz w:val="24"/>
          <w:szCs w:val="24"/>
          <w:highlight w:val="none"/>
          <w:shd w:val="clear" w:color="auto" w:fill="FFFFFF"/>
          <w:lang w:val="en-US" w:eastAsia="zh-CN"/>
        </w:rPr>
        <w:t>11:00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开标地点：和田地区行政服务和公共资源交易中心三楼（和田北京工业园区杭州大道78号玉河广场旁）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val="0"/>
          <w:i w:val="0"/>
          <w:caps w:val="0"/>
          <w:color w:val="000000"/>
          <w:spacing w:val="0"/>
          <w:sz w:val="24"/>
          <w:szCs w:val="24"/>
          <w:shd w:val="clear" w:color="auto" w:fill="FFFFFF"/>
          <w:lang w:val="en-US" w:eastAsia="zh-CN"/>
        </w:rPr>
      </w:pPr>
      <w:r>
        <w:rPr>
          <w:rFonts w:hint="eastAsia" w:ascii="仿宋" w:hAnsi="仿宋" w:eastAsia="仿宋" w:cs="仿宋"/>
          <w:b/>
          <w:bCs w:val="0"/>
          <w:i w:val="0"/>
          <w:caps w:val="0"/>
          <w:color w:val="000000"/>
          <w:spacing w:val="0"/>
          <w:sz w:val="24"/>
          <w:szCs w:val="24"/>
          <w:shd w:val="clear" w:color="auto" w:fill="FFFFFF"/>
          <w:lang w:val="en-US" w:eastAsia="zh-CN"/>
        </w:rPr>
        <w:t>五、公告期限</w:t>
      </w:r>
      <w:bookmarkEnd w:id="26"/>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outlineLvl w:val="9"/>
        <w:rPr>
          <w:rFonts w:hint="eastAsia" w:ascii="仿宋" w:hAnsi="仿宋" w:eastAsia="仿宋" w:cs="仿宋"/>
          <w:b/>
          <w:bCs w:val="0"/>
          <w:i w:val="0"/>
          <w:caps w:val="0"/>
          <w:color w:val="000000"/>
          <w:spacing w:val="0"/>
          <w:sz w:val="24"/>
          <w:szCs w:val="24"/>
          <w:shd w:val="clear" w:color="auto" w:fill="FFFFFF"/>
          <w:lang w:val="en-US" w:eastAsia="zh-CN"/>
        </w:rPr>
      </w:pPr>
      <w:bookmarkStart w:id="30" w:name="_Toc35393795"/>
      <w:bookmarkStart w:id="31" w:name="_Toc35393626"/>
      <w:r>
        <w:rPr>
          <w:rFonts w:hint="eastAsia" w:ascii="仿宋" w:hAnsi="仿宋" w:eastAsia="仿宋" w:cs="仿宋"/>
          <w:b/>
          <w:bCs w:val="0"/>
          <w:i w:val="0"/>
          <w:caps w:val="0"/>
          <w:color w:val="000000"/>
          <w:spacing w:val="0"/>
          <w:sz w:val="24"/>
          <w:szCs w:val="24"/>
          <w:shd w:val="clear" w:color="auto" w:fill="FFFFFF"/>
          <w:lang w:val="en-US" w:eastAsia="zh-CN"/>
        </w:rPr>
        <w:t>六、其他补充事宜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 xml:space="preserve">   1、本项目实行网上投标，采用电子投标文件。若供应商参与投标，自行承担投标一切费用。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4、有意向参与新疆区域电子开评标的供应商，可访问新疆数字证书认证中心官方网站（https://www.xjca.com.cn/）或下载“新疆政务通”APP自行进行申领。如需咨询，请联系新疆CA服务热线0991-2819290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5</w:t>
      </w:r>
      <w:r>
        <w:rPr>
          <w:rFonts w:hint="eastAsia" w:ascii="仿宋" w:hAnsi="仿宋" w:eastAsia="仿宋" w:cs="仿宋"/>
          <w:b w:val="0"/>
          <w:bCs/>
          <w:i w:val="0"/>
          <w:caps w:val="0"/>
          <w:color w:val="0000FF"/>
          <w:spacing w:val="0"/>
          <w:sz w:val="24"/>
          <w:szCs w:val="24"/>
          <w:shd w:val="clear" w:color="auto" w:fill="FFFFFF"/>
          <w:lang w:val="en-US" w:eastAsia="zh-CN"/>
        </w:rPr>
        <w:t>、</w:t>
      </w:r>
      <w:r>
        <w:rPr>
          <w:rFonts w:hint="eastAsia" w:ascii="仿宋" w:hAnsi="仿宋" w:eastAsia="仿宋" w:cs="仿宋"/>
          <w:sz w:val="24"/>
          <w:szCs w:val="24"/>
          <w:lang w:val="en-US" w:eastAsia="zh-CN"/>
        </w:rPr>
        <w:t>定向采购：本项目为专门面向中小企业（含中型、小型、微型企业）采购项目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所属行业：物业管理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小微企业（监狱企业、残疾人福利性单位均视同小微企业）价格扣除： 1、根据《政府采购促进中小企业发展暂行办法》 （财库[2020]46号）的规定，对小型和微型企业产品的价格给予10%的价格扣除，用扣除后的价格参与评标。 2、参加政府采购活动的中小企业（监狱企业）提供《中小企业（监狱企业）声明函》原件，未提供的，视为放弃享受小微企业价格扣除优惠政策。3、参加政府采购活动的残疾人福利性单位应当提供《残疾人福利性单位声明函》原件，未提供的，视为放弃享受小微企业价格扣除优惠政策。本项目为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bookmarkEnd w:id="22"/>
    <w:bookmarkEnd w:id="23"/>
    <w:bookmarkEnd w:id="24"/>
    <w:bookmarkEnd w:id="25"/>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bCs w:val="0"/>
          <w:i w:val="0"/>
          <w:caps w:val="0"/>
          <w:color w:val="000000"/>
          <w:spacing w:val="0"/>
          <w:sz w:val="24"/>
          <w:szCs w:val="24"/>
          <w:shd w:val="clear" w:color="auto" w:fill="FFFFFF"/>
          <w:lang w:val="en-US" w:eastAsia="zh-CN"/>
        </w:rPr>
      </w:pPr>
      <w:r>
        <w:rPr>
          <w:rFonts w:hint="eastAsia" w:ascii="仿宋" w:hAnsi="仿宋" w:eastAsia="仿宋" w:cs="仿宋"/>
          <w:b/>
          <w:bCs w:val="0"/>
          <w:i w:val="0"/>
          <w:caps w:val="0"/>
          <w:color w:val="000000"/>
          <w:spacing w:val="0"/>
          <w:sz w:val="24"/>
          <w:szCs w:val="24"/>
          <w:shd w:val="clear" w:color="auto" w:fill="FFFFFF"/>
          <w:lang w:val="en-US" w:eastAsia="zh-CN"/>
        </w:rPr>
        <w:t>七、对本次招标提出询问，请按以下方式联系。</w:t>
      </w:r>
    </w:p>
    <w:p>
      <w:pPr>
        <w:keepNext w:val="0"/>
        <w:keepLines w:val="0"/>
        <w:pageBreakBefore w:val="0"/>
        <w:widowControl w:val="0"/>
        <w:numPr>
          <w:ilvl w:val="0"/>
          <w:numId w:val="0"/>
        </w:numPr>
        <w:tabs>
          <w:tab w:val="left" w:pos="335"/>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名 称：和田地区行政服务和公共资源交易中心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地 址：</w:t>
      </w:r>
      <w:r>
        <w:rPr>
          <w:rFonts w:hint="eastAsia" w:ascii="仿宋" w:hAnsi="仿宋" w:eastAsia="仿宋" w:cs="仿宋"/>
          <w:color w:val="auto"/>
          <w:sz w:val="24"/>
          <w:szCs w:val="24"/>
          <w:highlight w:val="none"/>
          <w:lang w:val="en-US" w:eastAsia="zh-CN"/>
        </w:rPr>
        <w:t>和田地区行政服务和公共资源交易中心三楼 (和田市北京工业园区杭州大道 78 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 xml:space="preserve">联系人：马先生 </w:t>
      </w:r>
      <w:r>
        <w:rPr>
          <w:rFonts w:hint="eastAsia" w:ascii="仿宋" w:hAnsi="仿宋" w:eastAsia="仿宋" w:cs="仿宋"/>
          <w:color w:val="auto"/>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联系方式：</w:t>
      </w:r>
      <w:bookmarkStart w:id="32" w:name="_Toc28359009"/>
      <w:bookmarkStart w:id="33" w:name="_Toc28359086"/>
      <w:r>
        <w:rPr>
          <w:rFonts w:hint="eastAsia" w:ascii="仿宋" w:hAnsi="仿宋" w:eastAsia="仿宋" w:cs="仿宋"/>
          <w:color w:val="auto"/>
          <w:sz w:val="24"/>
          <w:highlight w:val="none"/>
          <w:lang w:val="en-US" w:eastAsia="zh-CN"/>
        </w:rPr>
        <w:t xml:space="preserve"> 0903-2068496</w:t>
      </w:r>
    </w:p>
    <w:p>
      <w:pPr>
        <w:pStyle w:val="53"/>
        <w:numPr>
          <w:ilvl w:val="0"/>
          <w:numId w:val="0"/>
        </w:numPr>
        <w:spacing w:line="360" w:lineRule="auto"/>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2.采购代理机构信息</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名 称：新疆星耀天都项目管理有限责任公司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地 址：和田市人民路18号玉都国际广场银座9楼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联系人：马女士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rPr>
      </w:pPr>
      <w:r>
        <w:rPr>
          <w:rFonts w:hint="eastAsia" w:ascii="仿宋" w:hAnsi="仿宋" w:eastAsia="仿宋" w:cs="仿宋"/>
          <w:b w:val="0"/>
          <w:bCs/>
          <w:i w:val="0"/>
          <w:caps w:val="0"/>
          <w:color w:val="000000"/>
          <w:spacing w:val="0"/>
          <w:sz w:val="24"/>
          <w:szCs w:val="24"/>
          <w:shd w:val="clear" w:color="auto" w:fill="FFFFFF"/>
          <w:lang w:val="en-US" w:eastAsia="zh-CN"/>
        </w:rPr>
        <w:t>联系方式：0903-7820806</w:t>
      </w:r>
    </w:p>
    <w:p>
      <w:pPr>
        <w:spacing w:line="360" w:lineRule="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br w:type="page"/>
      </w:r>
    </w:p>
    <w:p>
      <w:pPr>
        <w:ind w:firstLine="420"/>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第二部分</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投标人须知</w:t>
      </w:r>
      <w:bookmarkEnd w:id="0"/>
      <w:bookmarkEnd w:id="1"/>
      <w:bookmarkEnd w:id="2"/>
      <w:bookmarkEnd w:id="3"/>
      <w:bookmarkEnd w:id="4"/>
      <w:bookmarkEnd w:id="5"/>
      <w:bookmarkEnd w:id="6"/>
      <w:bookmarkEnd w:id="7"/>
      <w:bookmarkEnd w:id="8"/>
    </w:p>
    <w:p>
      <w:pPr>
        <w:ind w:firstLine="420"/>
        <w:jc w:val="center"/>
        <w:outlineLvl w:val="0"/>
        <w:rPr>
          <w:rFonts w:hint="eastAsia" w:ascii="仿宋" w:hAnsi="仿宋" w:eastAsia="仿宋" w:cs="仿宋"/>
          <w:b/>
          <w:color w:val="auto"/>
          <w:sz w:val="28"/>
          <w:szCs w:val="28"/>
          <w:highlight w:val="none"/>
        </w:rPr>
      </w:pPr>
      <w:bookmarkStart w:id="34" w:name="_Toc7237"/>
      <w:bookmarkStart w:id="35" w:name="_Toc8971"/>
      <w:bookmarkStart w:id="36" w:name="_Toc18219"/>
      <w:bookmarkStart w:id="37" w:name="_Toc12827"/>
      <w:bookmarkStart w:id="38" w:name="_Toc17655"/>
      <w:bookmarkStart w:id="39" w:name="_Toc24832"/>
      <w:bookmarkStart w:id="40" w:name="_Toc9144"/>
      <w:bookmarkStart w:id="41" w:name="_Toc14053"/>
      <w:bookmarkStart w:id="42" w:name="_Toc10040"/>
      <w:bookmarkStart w:id="43" w:name="_Toc21348_WPSOffice_Level1"/>
      <w:bookmarkStart w:id="44" w:name="_Toc29111"/>
      <w:bookmarkStart w:id="45" w:name="_Toc10179"/>
      <w:r>
        <w:rPr>
          <w:rFonts w:hint="eastAsia" w:ascii="仿宋" w:hAnsi="仿宋" w:eastAsia="仿宋" w:cs="仿宋"/>
          <w:b/>
          <w:color w:val="auto"/>
          <w:sz w:val="28"/>
          <w:szCs w:val="28"/>
          <w:highlight w:val="none"/>
        </w:rPr>
        <w:t>投标人须知前附表</w:t>
      </w:r>
      <w:bookmarkEnd w:id="34"/>
      <w:bookmarkEnd w:id="35"/>
      <w:bookmarkEnd w:id="36"/>
      <w:bookmarkEnd w:id="37"/>
      <w:bookmarkEnd w:id="38"/>
      <w:bookmarkEnd w:id="39"/>
      <w:bookmarkEnd w:id="40"/>
      <w:bookmarkEnd w:id="41"/>
      <w:bookmarkEnd w:id="42"/>
      <w:bookmarkEnd w:id="43"/>
      <w:bookmarkEnd w:id="44"/>
      <w:bookmarkEnd w:id="45"/>
    </w:p>
    <w:tbl>
      <w:tblPr>
        <w:tblStyle w:val="44"/>
        <w:tblW w:w="9745"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4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8" w:type="dxa"/>
            <w:vAlign w:val="center"/>
          </w:tcPr>
          <w:p>
            <w:pPr>
              <w:spacing w:line="3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w:t>
            </w:r>
          </w:p>
        </w:tc>
        <w:tc>
          <w:tcPr>
            <w:tcW w:w="1947"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采购人</w:t>
            </w:r>
          </w:p>
        </w:tc>
        <w:tc>
          <w:tcPr>
            <w:tcW w:w="6960" w:type="dxa"/>
            <w:vAlign w:val="center"/>
          </w:tcPr>
          <w:p>
            <w:pPr>
              <w:spacing w:before="24" w:beforeLines="10" w:after="24" w:afterLines="10" w:line="24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和田地区行政服务和公共资源交易中心</w:t>
            </w:r>
          </w:p>
          <w:p>
            <w:pPr>
              <w:spacing w:before="24" w:beforeLines="10" w:after="24" w:afterLines="10"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联系人：</w:t>
            </w:r>
            <w:r>
              <w:rPr>
                <w:rFonts w:hint="eastAsia" w:ascii="仿宋" w:hAnsi="仿宋" w:eastAsia="仿宋" w:cs="仿宋"/>
                <w:color w:val="auto"/>
                <w:sz w:val="24"/>
                <w:highlight w:val="none"/>
                <w:lang w:val="en-US" w:eastAsia="zh-CN"/>
              </w:rPr>
              <w:t xml:space="preserve">马先生  </w:t>
            </w:r>
          </w:p>
          <w:p>
            <w:pPr>
              <w:spacing w:before="24" w:beforeLines="10" w:after="24" w:afterLines="10" w:line="240" w:lineRule="auto"/>
              <w:ind w:firstLine="0" w:firstLine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highlight w:val="none"/>
                <w:lang w:eastAsia="zh-CN"/>
              </w:rPr>
              <w:t>电  话：</w:t>
            </w:r>
            <w:r>
              <w:rPr>
                <w:rFonts w:hint="eastAsia" w:ascii="仿宋" w:hAnsi="仿宋" w:eastAsia="仿宋" w:cs="仿宋"/>
                <w:color w:val="auto"/>
                <w:sz w:val="24"/>
                <w:highlight w:val="none"/>
                <w:lang w:val="en-US" w:eastAsia="zh-CN"/>
              </w:rPr>
              <w:t xml:space="preserve"> 0903-2068496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8" w:type="dxa"/>
            <w:vAlign w:val="center"/>
          </w:tcPr>
          <w:p>
            <w:pPr>
              <w:spacing w:line="3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p>
        </w:tc>
        <w:tc>
          <w:tcPr>
            <w:tcW w:w="1947"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代理机构</w:t>
            </w:r>
          </w:p>
        </w:tc>
        <w:tc>
          <w:tcPr>
            <w:tcW w:w="6960" w:type="dxa"/>
            <w:vAlign w:val="center"/>
          </w:tcPr>
          <w:p>
            <w:pPr>
              <w:spacing w:before="24" w:beforeLines="10" w:after="24" w:afterLines="10"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 xml:space="preserve">名  称: </w:t>
            </w:r>
            <w:r>
              <w:rPr>
                <w:rFonts w:hint="eastAsia" w:ascii="仿宋" w:hAnsi="仿宋" w:eastAsia="仿宋" w:cs="仿宋"/>
                <w:color w:val="auto"/>
                <w:sz w:val="24"/>
                <w:highlight w:val="none"/>
                <w:lang w:val="en-US" w:eastAsia="zh-CN"/>
              </w:rPr>
              <w:t>新疆星耀天都项目管理有限责任公司</w:t>
            </w:r>
          </w:p>
          <w:p>
            <w:pPr>
              <w:spacing w:before="24" w:beforeLines="10" w:after="24" w:afterLines="10"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 和田市人民路18号玉都国际广场银座9楼</w:t>
            </w:r>
          </w:p>
          <w:p>
            <w:pPr>
              <w:spacing w:before="24" w:beforeLines="10" w:after="24" w:afterLines="10" w:line="240" w:lineRule="auto"/>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 xml:space="preserve">联系人: </w:t>
            </w:r>
            <w:r>
              <w:rPr>
                <w:rFonts w:hint="eastAsia" w:ascii="仿宋" w:hAnsi="仿宋" w:eastAsia="仿宋" w:cs="仿宋"/>
                <w:b w:val="0"/>
                <w:bCs/>
                <w:i w:val="0"/>
                <w:caps w:val="0"/>
                <w:color w:val="auto"/>
                <w:spacing w:val="0"/>
                <w:sz w:val="24"/>
                <w:szCs w:val="24"/>
                <w:highlight w:val="none"/>
                <w:shd w:val="clear" w:color="auto" w:fill="FFFFFF"/>
                <w:lang w:val="en-US" w:eastAsia="zh-CN"/>
              </w:rPr>
              <w:t>马女士</w:t>
            </w:r>
          </w:p>
          <w:p>
            <w:pPr>
              <w:spacing w:before="24" w:beforeLines="10" w:after="24" w:afterLines="1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电  话:</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val="0"/>
                <w:bCs/>
                <w:i w:val="0"/>
                <w:caps w:val="0"/>
                <w:color w:val="auto"/>
                <w:spacing w:val="0"/>
                <w:sz w:val="24"/>
                <w:szCs w:val="24"/>
                <w:highlight w:val="none"/>
                <w:shd w:val="clear" w:color="auto" w:fill="FFFFFF"/>
                <w:lang w:val="en-US" w:eastAsia="zh-CN"/>
              </w:rPr>
              <w:t>0903-7820806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8" w:type="dxa"/>
            <w:vAlign w:val="center"/>
          </w:tcPr>
          <w:p>
            <w:pPr>
              <w:spacing w:line="3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val="0"/>
                <w:bCs/>
                <w:i w:val="0"/>
                <w:caps w:val="0"/>
                <w:color w:val="auto"/>
                <w:spacing w:val="0"/>
                <w:sz w:val="24"/>
                <w:szCs w:val="24"/>
                <w:highlight w:val="none"/>
                <w:shd w:val="clear" w:color="auto" w:fill="FFFFFF"/>
                <w:lang w:val="en-US" w:eastAsia="zh-CN"/>
              </w:rPr>
              <w:t>3</w:t>
            </w:r>
          </w:p>
        </w:tc>
        <w:tc>
          <w:tcPr>
            <w:tcW w:w="19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i w:val="0"/>
                <w:caps w:val="0"/>
                <w:color w:val="auto"/>
                <w:spacing w:val="0"/>
                <w:sz w:val="24"/>
                <w:szCs w:val="24"/>
                <w:highlight w:val="none"/>
                <w:shd w:val="clear" w:color="auto" w:fill="FFFFFF"/>
                <w:lang w:val="en-US" w:eastAsia="zh-CN"/>
              </w:rPr>
              <w:t>同级政府采购监督管理部门</w:t>
            </w:r>
          </w:p>
        </w:tc>
        <w:tc>
          <w:tcPr>
            <w:tcW w:w="6960" w:type="dxa"/>
            <w:vAlign w:val="center"/>
          </w:tcPr>
          <w:p>
            <w:pPr>
              <w:spacing w:before="24" w:beforeLines="10" w:after="24" w:afterLines="1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名 称：和田地区政府采购监督管理科 </w:t>
            </w:r>
          </w:p>
          <w:p>
            <w:pPr>
              <w:spacing w:before="24" w:beforeLines="10" w:after="24" w:afterLines="1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联 系 人：游先生 </w:t>
            </w:r>
          </w:p>
          <w:p>
            <w:pPr>
              <w:spacing w:before="24" w:beforeLines="10" w:after="24" w:afterLines="1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监督投诉电话：0903-2039229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项目编号及项目名称</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项目编号：XYTDZC-2022GK271号</w:t>
            </w:r>
          </w:p>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项目名称：和田地区行政服务和公共资源交易中心物业管理服务采购项目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内容</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为和田地区行政服务和公共资源交易中心提供安保、保洁、维护、</w:t>
            </w:r>
            <w:r>
              <w:rPr>
                <w:rFonts w:hint="eastAsia" w:ascii="仿宋" w:hAnsi="仿宋" w:eastAsia="仿宋" w:cs="仿宋"/>
                <w:color w:val="auto"/>
                <w:sz w:val="24"/>
                <w:szCs w:val="24"/>
                <w:highlight w:val="none"/>
                <w:lang w:val="en-US" w:eastAsia="zh-CN"/>
              </w:rPr>
              <w:t>消防维保</w:t>
            </w:r>
            <w:r>
              <w:rPr>
                <w:rFonts w:hint="eastAsia" w:ascii="仿宋" w:hAnsi="仿宋" w:eastAsia="仿宋" w:cs="仿宋"/>
                <w:color w:val="auto"/>
                <w:sz w:val="24"/>
                <w:szCs w:val="24"/>
                <w:highlight w:val="none"/>
                <w:lang w:eastAsia="zh-CN"/>
              </w:rPr>
              <w:t>等物业服务。和田地区行政服务和公共资源交易中心是一座集政务服务、办公、公共资源交易、会议为一体的综合大楼，位于和田市北京工业园区，建筑面积约 27000 ㎡，庭院约14000㎡（含办公楼前停车场），地上 4 层，一、二层为政务服务大厅，三层为公共资源交易大厅，四层为餐厅及办公区。</w:t>
            </w:r>
            <w:r>
              <w:rPr>
                <w:rFonts w:hint="eastAsia" w:ascii="仿宋" w:hAnsi="仿宋" w:eastAsia="仿宋" w:cs="仿宋"/>
                <w:color w:val="auto"/>
                <w:sz w:val="24"/>
                <w:szCs w:val="24"/>
                <w:highlight w:val="none"/>
                <w:lang w:val="en-US" w:eastAsia="zh-CN"/>
              </w:rPr>
              <w:t>地下室约</w:t>
            </w:r>
          </w:p>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b/>
                <w:bCs/>
                <w:color w:val="FF0000"/>
                <w:sz w:val="24"/>
                <w:szCs w:val="24"/>
                <w:highlight w:val="none"/>
              </w:rPr>
            </w:pPr>
            <w:r>
              <w:rPr>
                <w:rFonts w:hint="eastAsia" w:ascii="仿宋" w:hAnsi="仿宋" w:eastAsia="仿宋" w:cs="仿宋"/>
                <w:color w:val="auto"/>
                <w:sz w:val="24"/>
                <w:szCs w:val="24"/>
                <w:highlight w:val="none"/>
                <w:lang w:val="en-US" w:eastAsia="zh-CN"/>
              </w:rPr>
              <w:t>2300㎡。（详见招标文件）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采购预算</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600万元（本预算为3年服务期限费用）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947" w:type="dxa"/>
            <w:vAlign w:val="center"/>
          </w:tcPr>
          <w:p>
            <w:pPr>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投标保证金</w:t>
            </w:r>
          </w:p>
        </w:tc>
        <w:tc>
          <w:tcPr>
            <w:tcW w:w="6960" w:type="dxa"/>
            <w:vAlign w:val="center"/>
          </w:tcPr>
          <w:p>
            <w:pPr>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投标保证金金额：60000.00元整（大写：陆万元整）</w:t>
            </w:r>
          </w:p>
          <w:p>
            <w:pPr>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开户银行：招商银行股份有限公司乌鲁木齐新华北路支行</w:t>
            </w:r>
          </w:p>
          <w:p>
            <w:pPr>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收款户名：新疆星耀天都项目管理有限责任公司</w:t>
            </w:r>
          </w:p>
          <w:p>
            <w:pPr>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银行帐号：991904723110215</w:t>
            </w:r>
          </w:p>
          <w:p>
            <w:pPr>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投标保证金请于2023年01月13日11:00之前（北京时间）缴入指定账户，各投标企业保证金缴纳只接受企业基本帐户足额对公转帐，其他以私人名义或现金缴纳等存入、汇款方式均视为无效投标保证金，未按规定时间交保证金的投标人不得参加本次投标（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资格要求</w:t>
            </w:r>
          </w:p>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p>
        </w:tc>
        <w:tc>
          <w:tcPr>
            <w:tcW w:w="6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（1）具有经年审合格的“三证合一”的营业执照；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（2）需提供2021年第三方审计机构出具的审计报告（2022年成立的公司可不提供但需提供银行出具的近3个月的资信证明）和健全的财务会计制度；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提供法人（指本单位）2022年近三个月的社保缴纳证明（新成立时间少于三个月的公司，按实际发生提供）；提供税务机关出具2022年近三个月的完税证明或依法缴纳税收的相关证明材料；（新成立不足三个月的，按实际情况发生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（4）提供参加政府采购活动前 3 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 xml:space="preserve">（5）凡拟参加本次招标项目的投标人，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核实）。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2、落实政府采购政策需满足的资格要求：政府采购促进中小企业发展管理办法》（财库〔2020〕46 号）；关于进一步加大政府采购支持中小企业力度的通知财库〔2022〕19号；《财政部发展改革委 生态环境部 市场监管总局 关于调整优化节能产品、环境标志产品政府采购执行机制的通知》（财库〔2019〕9号）。；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color w:val="auto"/>
                <w:sz w:val="24"/>
                <w:highlight w:val="none"/>
                <w:lang w:val="en-US" w:eastAsia="zh-CN"/>
              </w:rPr>
              <w:t>3、本项目的特定资格要求：</w:t>
            </w:r>
            <w:r>
              <w:rPr>
                <w:rFonts w:hint="eastAsia" w:ascii="仿宋" w:hAnsi="仿宋" w:eastAsia="仿宋" w:cs="仿宋"/>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rPr>
              <w:t>信用情况</w:t>
            </w:r>
          </w:p>
        </w:tc>
        <w:tc>
          <w:tcPr>
            <w:tcW w:w="6960" w:type="dxa"/>
            <w:vAlign w:val="center"/>
          </w:tcPr>
          <w:p>
            <w:pPr>
              <w:widowControl/>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1、信用记录查询时间及方式：</w:t>
            </w:r>
          </w:p>
          <w:p>
            <w:pPr>
              <w:widowControl/>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（1）查询时间：自招标公告发布日期起至开标日期止，超出此时间范围将被视为无效投标。</w:t>
            </w:r>
          </w:p>
          <w:p>
            <w:pPr>
              <w:widowControl/>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方式：投标人自行通过“信用中国”及“中国政府采购网”查询，并按招标文件要求提供网页材料。被列入失信被执行人、政府采购严重违法失信行为记录名单,其他不符合《中华人民共和国政府采购法》第二十二条规定条件的供应商，其投标文件将被视为无效投标。未提供证明材料的视为不响应招标文件。</w:t>
            </w:r>
          </w:p>
          <w:p>
            <w:pPr>
              <w:widowControl/>
              <w:spacing w:line="27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（3）供应商参加政府采购活动时，应当就自己的诚信情况在响应性文件中进行承诺。</w:t>
            </w:r>
          </w:p>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rPr>
              <w:t>本项目不接受失信企业投标。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kern w:val="2"/>
                <w:sz w:val="24"/>
                <w:szCs w:val="24"/>
                <w:highlight w:val="none"/>
              </w:rPr>
              <w:t>标前准备</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val="0"/>
                <w:color w:val="auto"/>
                <w:sz w:val="24"/>
                <w:szCs w:val="24"/>
                <w:highlight w:val="none"/>
              </w:rPr>
              <w:t>1、本项目实行网上投标，采用电子投标文件。若供应商参与投标，自 行承担投标一切费用。2、各供应商应在开标前应确保成为新疆维吾尔 自治区政府采购网正式注册入库供应商，并完成 CA 数字证书申领。因未注册入库、未办理 CA 数字证书等原因造成无法投标或投标失败等后 果由供应商自行承担。3、本项目为电子招投标，投标人需要使用 CA 加 密设备，有意向参与新疆区域电子开评标的供应商，请访问新疆数字证 书认证中心官方网站（https://www.xjca.com.cn/）或下载 新疆政务 通 ;APP 自 行 进 行 申 领 。 如 需 咨 询 ， 请 联 系 新 疆 CA 服 务 热 线 0991-28192904、供应商将政采云电子交易客户端下载、安装完成后， 可通过账号密码或 CA 登录客户端进行投标文件制作。在使用政采云投 标客户端时，建议使用 WIN7 及以上操作系统。客户端请至新疆政府采购网（https://www.zcygov.cn/）下载专区查看，如有问题可拨打政采云客户服务热线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叁年（具体时间以与甲方签订合同为准）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服务地点</w:t>
            </w:r>
          </w:p>
        </w:tc>
        <w:tc>
          <w:tcPr>
            <w:tcW w:w="6960" w:type="dxa"/>
            <w:vAlign w:val="center"/>
          </w:tcPr>
          <w:p>
            <w:pPr>
              <w:pStyle w:val="86"/>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和田地区行政服务和公共资源交易中心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质量要求</w:t>
            </w:r>
          </w:p>
        </w:tc>
        <w:tc>
          <w:tcPr>
            <w:tcW w:w="6960" w:type="dxa"/>
            <w:vAlign w:val="center"/>
          </w:tcPr>
          <w:p>
            <w:pPr>
              <w:pStyle w:val="86"/>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必须达到国家和行业规定标准及招标文件中规定的标准并通过验收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付款方式</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甲乙双方签订合同为准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90天</w:t>
            </w:r>
            <w:r>
              <w:rPr>
                <w:rFonts w:hint="eastAsia" w:ascii="仿宋" w:hAnsi="仿宋" w:eastAsia="仿宋" w:cs="仿宋"/>
                <w:bCs/>
                <w:color w:val="auto"/>
                <w:sz w:val="24"/>
                <w:szCs w:val="24"/>
                <w:highlight w:val="none"/>
              </w:rPr>
              <w:t>（从投标截止之日算起）</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rPr>
              <w:t>投标人对招标文件提出质疑的时间</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提出质疑函的时限：对采购文件提出质疑的，应当在获取采购文件或者采购文件公告期限届满之日起7个工作日内提出。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接收质疑函的方式：将PDF格式电子版质疑文件加盖公章扫描发送至1370525026@qq.com邮箱。</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接受质疑的单位：新疆星耀天都项目管理有限责任公司</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联系电话：0903-7820806  </w:t>
            </w:r>
          </w:p>
          <w:p>
            <w:pPr>
              <w:keepNext w:val="0"/>
              <w:keepLines w:val="0"/>
              <w:pageBreakBefore w:val="0"/>
              <w:widowControl w:val="0"/>
              <w:kinsoku/>
              <w:wordWrap/>
              <w:overflowPunct/>
              <w:topLinePunct w:val="0"/>
              <w:autoSpaceDE/>
              <w:autoSpaceDN/>
              <w:bidi w:val="0"/>
              <w:adjustRightInd/>
              <w:snapToGrid/>
              <w:spacing w:line="276"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地址：和田市人民路18号玉都国际广场银座9楼</w:t>
            </w:r>
          </w:p>
          <w:p>
            <w:pPr>
              <w:pStyle w:val="15"/>
              <w:ind w:left="0" w:leftChars="0" w:firstLine="0" w:firstLineChars="0"/>
              <w:rPr>
                <w:rFonts w:hint="eastAsia" w:ascii="仿宋" w:hAnsi="仿宋" w:eastAsia="仿宋" w:cs="仿宋"/>
                <w:lang w:val="en-US"/>
              </w:rPr>
            </w:pPr>
            <w:r>
              <w:rPr>
                <w:rFonts w:hint="eastAsia" w:ascii="仿宋" w:hAnsi="仿宋" w:eastAsia="仿宋" w:cs="仿宋"/>
                <w:b/>
                <w:bCs/>
                <w:color w:val="auto"/>
                <w:kern w:val="2"/>
                <w:sz w:val="24"/>
                <w:szCs w:val="24"/>
                <w:highlight w:val="none"/>
                <w:lang w:val="en-US" w:eastAsia="zh-CN" w:bidi="ar-SA"/>
              </w:rPr>
              <w:t>注：应商认为采购文件、采购过程、中标或者成交结果使自己的权益受到损害的，可以根据中华人民共和国财政部令第94号中第十条，以书面形式向采购人、采购代理机构一次性针对同一采购程序环节提出质疑。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招标</w:t>
            </w:r>
            <w:r>
              <w:rPr>
                <w:rFonts w:hint="eastAsia" w:ascii="仿宋" w:hAnsi="仿宋" w:eastAsia="仿宋" w:cs="仿宋"/>
                <w:b/>
                <w:bCs/>
                <w:color w:val="auto"/>
                <w:sz w:val="24"/>
                <w:szCs w:val="24"/>
                <w:highlight w:val="none"/>
              </w:rPr>
              <w:t>文件</w:t>
            </w:r>
            <w:r>
              <w:rPr>
                <w:rFonts w:hint="eastAsia" w:ascii="仿宋" w:hAnsi="仿宋" w:eastAsia="仿宋" w:cs="仿宋"/>
                <w:b/>
                <w:bCs/>
                <w:color w:val="auto"/>
                <w:sz w:val="24"/>
                <w:szCs w:val="24"/>
                <w:highlight w:val="none"/>
                <w:lang w:eastAsia="zh-CN"/>
              </w:rPr>
              <w:t>发放</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供应商登陆政采云平台</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"https://www.zcygov.cn/" </w:instrText>
            </w:r>
            <w:r>
              <w:rPr>
                <w:rFonts w:hint="eastAsia" w:ascii="仿宋" w:hAnsi="仿宋" w:eastAsia="仿宋" w:cs="仿宋"/>
                <w:b/>
                <w:bCs/>
                <w:color w:val="auto"/>
                <w:sz w:val="24"/>
                <w:szCs w:val="24"/>
                <w:highlight w:val="none"/>
              </w:rPr>
              <w:fldChar w:fldCharType="separate"/>
            </w:r>
            <w:r>
              <w:rPr>
                <w:rStyle w:val="51"/>
                <w:rFonts w:hint="eastAsia" w:ascii="仿宋" w:hAnsi="仿宋" w:eastAsia="仿宋" w:cs="仿宋"/>
                <w:b/>
                <w:bCs/>
                <w:color w:val="auto"/>
                <w:sz w:val="24"/>
                <w:szCs w:val="24"/>
                <w:highlight w:val="none"/>
              </w:rPr>
              <w:t>https://www.zcygov.cn/</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在线申请获取采购文件（进入“项目采购”应用，在获取采购文件菜单中选择项目，申请获取采购文件）。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构成招标文件的其他文件</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val="0"/>
                <w:color w:val="auto"/>
                <w:sz w:val="24"/>
                <w:szCs w:val="24"/>
                <w:highlight w:val="none"/>
                <w:u w:val="none"/>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投标截止时间</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2023年01月13日 11:00</w:t>
            </w:r>
            <w:r>
              <w:rPr>
                <w:rFonts w:hint="eastAsia" w:ascii="仿宋" w:hAnsi="仿宋" w:eastAsia="仿宋" w:cs="仿宋"/>
                <w:b/>
                <w:bCs w:val="0"/>
                <w:color w:val="auto"/>
                <w:sz w:val="24"/>
                <w:szCs w:val="24"/>
                <w:highlight w:val="none"/>
                <w:u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递交投标文件的地点</w:t>
            </w:r>
            <w:r>
              <w:rPr>
                <w:rFonts w:hint="eastAsia" w:ascii="仿宋" w:hAnsi="仿宋" w:eastAsia="仿宋" w:cs="仿宋"/>
                <w:color w:val="auto"/>
                <w:sz w:val="24"/>
                <w:highlight w:val="none"/>
                <w:lang w:eastAsia="zh-CN"/>
              </w:rPr>
              <w:t>及方式</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val="en-US" w:eastAsia="zh-CN"/>
              </w:rPr>
              <w:t>和田地区行政服务和公共资源交易中心三楼 (和田市北京工业园区杭州大道 78 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Cs/>
                <w:color w:val="auto"/>
                <w:sz w:val="24"/>
                <w:szCs w:val="24"/>
                <w:highlight w:val="none"/>
              </w:rPr>
              <w:t>投标人应于</w:t>
            </w:r>
            <w:r>
              <w:rPr>
                <w:rFonts w:hint="eastAsia" w:ascii="仿宋" w:hAnsi="仿宋" w:eastAsia="仿宋" w:cs="仿宋"/>
                <w:bCs/>
                <w:color w:val="auto"/>
                <w:sz w:val="24"/>
                <w:szCs w:val="24"/>
                <w:highlight w:val="none"/>
                <w:lang w:val="en-US" w:eastAsia="zh-CN"/>
              </w:rPr>
              <w:t>2023年01月13日 11:00</w:t>
            </w:r>
            <w:r>
              <w:rPr>
                <w:rFonts w:hint="eastAsia" w:ascii="仿宋" w:hAnsi="仿宋" w:eastAsia="仿宋" w:cs="仿宋"/>
                <w:b/>
                <w:bCs w:val="0"/>
                <w:color w:val="auto"/>
                <w:sz w:val="24"/>
                <w:szCs w:val="24"/>
                <w:highlight w:val="none"/>
                <w:u w:val="none"/>
                <w:lang w:eastAsia="zh-CN"/>
              </w:rPr>
              <w:t>时整之前</w:t>
            </w:r>
            <w:r>
              <w:rPr>
                <w:rFonts w:hint="eastAsia" w:ascii="仿宋" w:hAnsi="仿宋" w:eastAsia="仿宋" w:cs="仿宋"/>
                <w:bCs/>
                <w:color w:val="auto"/>
                <w:sz w:val="24"/>
                <w:szCs w:val="24"/>
                <w:highlight w:val="none"/>
              </w:rPr>
              <w:t>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投标</w:t>
            </w:r>
            <w:r>
              <w:rPr>
                <w:rFonts w:hint="eastAsia" w:ascii="仿宋" w:hAnsi="仿宋" w:eastAsia="仿宋" w:cs="仿宋"/>
                <w:b/>
                <w:bCs w:val="0"/>
                <w:color w:val="auto"/>
                <w:sz w:val="24"/>
                <w:szCs w:val="24"/>
                <w:highlight w:val="none"/>
              </w:rPr>
              <w:t>文件</w:t>
            </w:r>
            <w:r>
              <w:rPr>
                <w:rFonts w:hint="eastAsia" w:ascii="仿宋" w:hAnsi="仿宋" w:eastAsia="仿宋" w:cs="仿宋"/>
                <w:b/>
                <w:bCs w:val="0"/>
                <w:color w:val="auto"/>
                <w:sz w:val="24"/>
                <w:szCs w:val="24"/>
                <w:highlight w:val="none"/>
                <w:lang w:eastAsia="zh-CN"/>
              </w:rPr>
              <w:t>解密时间</w:t>
            </w:r>
          </w:p>
        </w:tc>
        <w:tc>
          <w:tcPr>
            <w:tcW w:w="696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60分钟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eastAsia="zh-CN"/>
              </w:rPr>
              <w:t>2023年01月13日上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00-12：00</w:t>
            </w:r>
            <w:r>
              <w:rPr>
                <w:rFonts w:hint="eastAsia" w:ascii="仿宋" w:hAnsi="仿宋" w:eastAsia="仿宋" w:cs="仿宋"/>
                <w:b/>
                <w:bCs w:val="0"/>
                <w:color w:val="auto"/>
                <w:sz w:val="24"/>
                <w:szCs w:val="24"/>
                <w:highlight w:val="none"/>
              </w:rPr>
              <w:t>前）供应商可以登录“政采云”平台，用“项目采购-开标评标”功能进行解密投标文件。若供应商在规定时间内（</w:t>
            </w:r>
            <w:r>
              <w:rPr>
                <w:rFonts w:hint="eastAsia" w:ascii="仿宋" w:hAnsi="仿宋" w:eastAsia="仿宋" w:cs="仿宋"/>
                <w:b/>
                <w:bCs w:val="0"/>
                <w:color w:val="auto"/>
                <w:sz w:val="24"/>
                <w:szCs w:val="24"/>
                <w:highlight w:val="none"/>
                <w:lang w:eastAsia="zh-CN"/>
              </w:rPr>
              <w:t>2023年01月13日上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12</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w:t>
            </w:r>
            <w:r>
              <w:rPr>
                <w:rFonts w:hint="eastAsia" w:ascii="仿宋" w:hAnsi="仿宋" w:eastAsia="仿宋" w:cs="仿宋"/>
                <w:b/>
                <w:bCs w:val="0"/>
                <w:color w:val="auto"/>
                <w:sz w:val="24"/>
                <w:szCs w:val="24"/>
                <w:highlight w:val="none"/>
              </w:rPr>
              <w:t>前）未按时解密的，视为投标文件撤回。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1947" w:type="dxa"/>
            <w:vAlign w:val="center"/>
          </w:tcPr>
          <w:p>
            <w:pPr>
              <w:keepNext w:val="0"/>
              <w:keepLines w:val="0"/>
              <w:widowControl/>
              <w:suppressLineNumbers w:val="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bidi="ar"/>
              </w:rPr>
              <w:t>评标委员会的组成</w:t>
            </w:r>
          </w:p>
        </w:tc>
        <w:tc>
          <w:tcPr>
            <w:tcW w:w="6960" w:type="dxa"/>
            <w:vAlign w:val="center"/>
          </w:tcPr>
          <w:p>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评标委员会构成：5人以上单数组成，评标专家确定方式：由招 </w:t>
            </w:r>
          </w:p>
          <w:p>
            <w:pPr>
              <w:keepNext w:val="0"/>
              <w:keepLines w:val="0"/>
              <w:widowControl/>
              <w:suppressLineNumbers w:val="0"/>
              <w:jc w:val="left"/>
              <w:rPr>
                <w:rFonts w:hint="eastAsia" w:ascii="仿宋" w:hAnsi="仿宋" w:eastAsia="仿宋" w:cs="仿宋"/>
                <w:b/>
                <w:bCs w:val="0"/>
                <w:color w:val="auto"/>
                <w:sz w:val="24"/>
                <w:szCs w:val="24"/>
                <w:highlight w:val="none"/>
              </w:rPr>
            </w:pPr>
            <w:r>
              <w:rPr>
                <w:rFonts w:hint="eastAsia" w:ascii="仿宋" w:hAnsi="仿宋" w:eastAsia="仿宋" w:cs="仿宋"/>
                <w:color w:val="auto"/>
                <w:kern w:val="0"/>
                <w:sz w:val="24"/>
                <w:szCs w:val="24"/>
                <w:highlight w:val="none"/>
                <w:lang w:val="en-US" w:eastAsia="zh-CN" w:bidi="ar"/>
              </w:rPr>
              <w:t>标代理在开标前 48 小时在政采云专家中随机抽取此次评标专家。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招标代理费</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投标人在投标报价时，应考虑招标代理费，经协商本次招标代理服务费由中标人支付。本次招标代理服务费由中标单位支付，本项目代理服务费参照国家计委计价格〔2002〕1980 号文，按差额定率累进法计取。（100 万以下按 1.5%记取、100</w:t>
            </w:r>
            <w:r>
              <w:rPr>
                <w:rFonts w:hint="eastAsia" w:ascii="仿宋" w:hAnsi="仿宋" w:eastAsia="仿宋" w:cs="仿宋"/>
                <w:bCs/>
                <w:color w:val="auto"/>
                <w:sz w:val="24"/>
                <w:szCs w:val="24"/>
                <w:highlight w:val="none"/>
                <w:lang w:val="en-US" w:eastAsia="zh-CN"/>
              </w:rPr>
              <w:t>万</w:t>
            </w:r>
            <w:r>
              <w:rPr>
                <w:rFonts w:hint="eastAsia" w:ascii="仿宋" w:hAnsi="仿宋" w:eastAsia="仿宋" w:cs="仿宋"/>
                <w:bCs/>
                <w:color w:val="auto"/>
                <w:sz w:val="24"/>
                <w:szCs w:val="24"/>
                <w:highlight w:val="none"/>
              </w:rPr>
              <w:t xml:space="preserve">-500 万按 </w:t>
            </w:r>
            <w:r>
              <w:rPr>
                <w:rFonts w:hint="eastAsia" w:ascii="仿宋" w:hAnsi="仿宋" w:eastAsia="仿宋" w:cs="仿宋"/>
                <w:bCs/>
                <w:color w:val="auto"/>
                <w:sz w:val="24"/>
                <w:szCs w:val="24"/>
                <w:highlight w:val="none"/>
                <w:lang w:val="en-US" w:eastAsia="zh-CN"/>
              </w:rPr>
              <w:t>0.8</w:t>
            </w:r>
            <w:r>
              <w:rPr>
                <w:rFonts w:hint="eastAsia" w:ascii="仿宋" w:hAnsi="仿宋" w:eastAsia="仿宋" w:cs="仿宋"/>
                <w:bCs/>
                <w:color w:val="auto"/>
                <w:sz w:val="24"/>
                <w:szCs w:val="24"/>
                <w:highlight w:val="none"/>
              </w:rPr>
              <w:t>%记取、500 万-1000 万按 0.</w:t>
            </w:r>
            <w:r>
              <w:rPr>
                <w:rFonts w:hint="eastAsia" w:ascii="仿宋" w:hAnsi="仿宋" w:eastAsia="仿宋" w:cs="仿宋"/>
                <w:bCs/>
                <w:color w:val="auto"/>
                <w:sz w:val="24"/>
                <w:szCs w:val="24"/>
                <w:highlight w:val="none"/>
                <w:lang w:val="en-US" w:eastAsia="zh-CN"/>
              </w:rPr>
              <w:t>45</w:t>
            </w:r>
            <w:r>
              <w:rPr>
                <w:rFonts w:hint="eastAsia" w:ascii="仿宋" w:hAnsi="仿宋" w:eastAsia="仿宋" w:cs="仿宋"/>
                <w:bCs/>
                <w:color w:val="auto"/>
                <w:sz w:val="24"/>
                <w:szCs w:val="24"/>
                <w:highlight w:val="none"/>
              </w:rPr>
              <w:t>%记取）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本项目评标办法</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不予退还保证金的情形</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有下列情形之一的，保证金不予退还：</w:t>
            </w:r>
          </w:p>
          <w:p>
            <w:pPr>
              <w:keepNext w:val="0"/>
              <w:keepLines w:val="0"/>
              <w:pageBreakBefore w:val="0"/>
              <w:kinsoku/>
              <w:wordWrap/>
              <w:overflowPunct/>
              <w:topLinePunct w:val="0"/>
              <w:autoSpaceDE/>
              <w:autoSpaceDN/>
              <w:bidi w:val="0"/>
              <w:adjustRightInd/>
              <w:snapToGrid/>
              <w:spacing w:line="340" w:lineRule="exact"/>
              <w:ind w:left="0" w:leftChars="0" w:righ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（1）供应商在提交投标文件截止时间后撤回投标文件的；</w:t>
            </w:r>
          </w:p>
          <w:p>
            <w:pPr>
              <w:keepNext w:val="0"/>
              <w:keepLines w:val="0"/>
              <w:pageBreakBefore w:val="0"/>
              <w:kinsoku/>
              <w:wordWrap/>
              <w:overflowPunct/>
              <w:topLinePunct w:val="0"/>
              <w:autoSpaceDE/>
              <w:autoSpaceDN/>
              <w:bidi w:val="0"/>
              <w:adjustRightInd/>
              <w:snapToGrid/>
              <w:spacing w:line="340" w:lineRule="exact"/>
              <w:ind w:left="0" w:leftChars="0" w:righ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（2）供应商在投标文件中提供虚假材料的；</w:t>
            </w:r>
          </w:p>
          <w:p>
            <w:pPr>
              <w:keepNext w:val="0"/>
              <w:keepLines w:val="0"/>
              <w:pageBreakBefore w:val="0"/>
              <w:kinsoku/>
              <w:wordWrap/>
              <w:overflowPunct/>
              <w:topLinePunct w:val="0"/>
              <w:autoSpaceDE/>
              <w:autoSpaceDN/>
              <w:bidi w:val="0"/>
              <w:adjustRightInd/>
              <w:snapToGrid/>
              <w:spacing w:line="340" w:lineRule="exact"/>
              <w:ind w:left="0" w:leftChars="0" w:righ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（3）除因不可抗力或招标文件认可的情形以外，成交供应商不与采购人签订合同的；</w:t>
            </w:r>
          </w:p>
          <w:p>
            <w:pPr>
              <w:keepNext w:val="0"/>
              <w:keepLines w:val="0"/>
              <w:pageBreakBefore w:val="0"/>
              <w:kinsoku/>
              <w:wordWrap/>
              <w:overflowPunct/>
              <w:topLinePunct w:val="0"/>
              <w:autoSpaceDE/>
              <w:autoSpaceDN/>
              <w:bidi w:val="0"/>
              <w:adjustRightInd/>
              <w:snapToGrid/>
              <w:spacing w:line="340" w:lineRule="exact"/>
              <w:ind w:left="0" w:leftChars="0" w:righ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（5）招标文件规定的其他情形。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color w:val="auto"/>
                <w:sz w:val="24"/>
                <w:szCs w:val="24"/>
                <w:highlight w:val="none"/>
              </w:rPr>
              <w:t>履约保证金</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甲乙双方签订合同时约定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1947"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default"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sz w:val="24"/>
                <w:szCs w:val="24"/>
                <w:highlight w:val="none"/>
                <w:lang w:val="en-US" w:eastAsia="zh-CN"/>
              </w:rPr>
              <w:t>服务要求</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val="0"/>
                <w:color w:val="FF0000"/>
                <w:kern w:val="2"/>
                <w:sz w:val="24"/>
                <w:szCs w:val="24"/>
                <w:highlight w:val="none"/>
                <w:lang w:val="en-US" w:eastAsia="zh-CN" w:bidi="ar-SA"/>
              </w:rPr>
            </w:pPr>
            <w:r>
              <w:rPr>
                <w:rFonts w:hint="eastAsia" w:ascii="仿宋" w:hAnsi="仿宋" w:eastAsia="仿宋" w:cs="仿宋"/>
                <w:b/>
                <w:bCs w:val="0"/>
                <w:color w:val="FF0000"/>
                <w:kern w:val="2"/>
                <w:sz w:val="24"/>
                <w:szCs w:val="24"/>
                <w:highlight w:val="none"/>
                <w:lang w:val="en-US" w:eastAsia="zh-CN" w:bidi="ar-SA"/>
              </w:rPr>
              <w:t>1.配备项目负责人1名，（经过专业培训并具备相关管理素质，年龄：男性不超过55周岁，女性不超过50周岁，以身份证信息为准）每日按照中心上下班时间正常上下班制，每天巡查不得少于两遍，由甲方管理人员对该管理人员进行检查打分，不合格的可要求换人。</w:t>
            </w:r>
          </w:p>
          <w:p>
            <w:pPr>
              <w:keepNext w:val="0"/>
              <w:keepLines w:val="0"/>
              <w:pageBreakBefore w:val="0"/>
              <w:kinsoku/>
              <w:wordWrap/>
              <w:overflowPunct/>
              <w:topLinePunct w:val="0"/>
              <w:autoSpaceDE/>
              <w:autoSpaceDN/>
              <w:bidi w:val="0"/>
              <w:adjustRightInd/>
              <w:snapToGrid/>
              <w:spacing w:line="340" w:lineRule="exact"/>
              <w:ind w:left="0"/>
              <w:textAlignment w:val="auto"/>
              <w:rPr>
                <w:rFonts w:hint="eastAsia" w:ascii="仿宋" w:hAnsi="仿宋" w:eastAsia="仿宋" w:cs="仿宋"/>
                <w:b/>
                <w:bCs w:val="0"/>
                <w:color w:val="FF0000"/>
                <w:sz w:val="24"/>
                <w:szCs w:val="24"/>
                <w:highlight w:val="none"/>
                <w:lang w:val="en-US" w:eastAsia="zh-CN"/>
              </w:rPr>
            </w:pPr>
            <w:r>
              <w:rPr>
                <w:rFonts w:hint="eastAsia" w:ascii="仿宋" w:hAnsi="仿宋" w:eastAsia="仿宋" w:cs="仿宋"/>
                <w:b/>
                <w:bCs w:val="0"/>
                <w:color w:val="FF0000"/>
                <w:kern w:val="2"/>
                <w:sz w:val="24"/>
                <w:szCs w:val="24"/>
                <w:highlight w:val="none"/>
                <w:lang w:val="en-US" w:eastAsia="zh-CN" w:bidi="ar-SA"/>
              </w:rPr>
              <w:t>2.</w:t>
            </w:r>
            <w:r>
              <w:rPr>
                <w:rFonts w:hint="eastAsia" w:ascii="仿宋" w:hAnsi="仿宋" w:eastAsia="仿宋" w:cs="仿宋"/>
                <w:b/>
                <w:bCs w:val="0"/>
                <w:color w:val="FF0000"/>
                <w:sz w:val="24"/>
                <w:szCs w:val="24"/>
                <w:highlight w:val="none"/>
                <w:lang w:val="en-US" w:eastAsia="zh-CN"/>
              </w:rPr>
              <w:t>保洁员必须持有健康证且具备保洁从业人员的身体素质。保洁员年龄：</w:t>
            </w:r>
            <w:r>
              <w:rPr>
                <w:rFonts w:hint="eastAsia" w:ascii="仿宋" w:hAnsi="仿宋" w:eastAsia="仿宋" w:cs="仿宋"/>
                <w:b/>
                <w:bCs w:val="0"/>
                <w:color w:val="FF0000"/>
                <w:kern w:val="2"/>
                <w:sz w:val="24"/>
                <w:szCs w:val="24"/>
                <w:highlight w:val="none"/>
                <w:lang w:val="en-US" w:eastAsia="zh-CN" w:bidi="ar-SA"/>
              </w:rPr>
              <w:t>男性不超过60周岁，女性不超过55周岁，以身份证信息为准。</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default" w:ascii="仿宋" w:hAnsi="仿宋" w:eastAsia="仿宋" w:cs="仿宋"/>
                <w:b/>
                <w:bCs w:val="0"/>
                <w:color w:val="FF0000"/>
                <w:kern w:val="2"/>
                <w:sz w:val="24"/>
                <w:szCs w:val="24"/>
                <w:highlight w:val="none"/>
                <w:lang w:val="en-US" w:eastAsia="zh-CN" w:bidi="ar-SA"/>
              </w:rPr>
            </w:pPr>
            <w:r>
              <w:rPr>
                <w:rFonts w:hint="eastAsia" w:ascii="仿宋" w:hAnsi="仿宋" w:eastAsia="仿宋" w:cs="仿宋"/>
                <w:b/>
                <w:bCs w:val="0"/>
                <w:color w:val="FF0000"/>
                <w:kern w:val="2"/>
                <w:sz w:val="24"/>
                <w:szCs w:val="24"/>
                <w:highlight w:val="none"/>
                <w:lang w:val="en-US" w:eastAsia="zh-CN" w:bidi="ar-SA"/>
              </w:rPr>
              <w:t>3.保安人员必须具有相关部门发放的保安证，保安年龄：男性不超过50周岁，女性不超过45周岁，以身份证信息为准。</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val="0"/>
                <w:color w:val="FF0000"/>
                <w:kern w:val="2"/>
                <w:sz w:val="24"/>
                <w:szCs w:val="24"/>
                <w:highlight w:val="none"/>
                <w:lang w:val="en-US" w:eastAsia="zh-CN" w:bidi="ar-SA"/>
              </w:rPr>
            </w:pPr>
            <w:r>
              <w:rPr>
                <w:rFonts w:hint="eastAsia" w:ascii="仿宋" w:hAnsi="仿宋" w:eastAsia="仿宋" w:cs="仿宋"/>
                <w:b/>
                <w:bCs w:val="0"/>
                <w:color w:val="FF0000"/>
                <w:kern w:val="2"/>
                <w:sz w:val="24"/>
                <w:szCs w:val="24"/>
                <w:highlight w:val="none"/>
                <w:lang w:val="en-US" w:eastAsia="zh-CN" w:bidi="ar-SA"/>
              </w:rPr>
              <w:t>4.遵守法律法规，从业人员受专业培训，具备上岗证、健康证、政审合格等条件；</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val="0"/>
                <w:color w:val="FF0000"/>
                <w:kern w:val="2"/>
                <w:sz w:val="24"/>
                <w:szCs w:val="24"/>
                <w:highlight w:val="none"/>
                <w:lang w:val="en-US" w:eastAsia="zh-CN" w:bidi="ar-SA"/>
              </w:rPr>
            </w:pPr>
            <w:r>
              <w:rPr>
                <w:rFonts w:hint="eastAsia" w:ascii="仿宋" w:hAnsi="仿宋" w:eastAsia="仿宋" w:cs="仿宋"/>
                <w:b/>
                <w:bCs w:val="0"/>
                <w:color w:val="FF0000"/>
                <w:kern w:val="2"/>
                <w:sz w:val="24"/>
                <w:szCs w:val="24"/>
                <w:highlight w:val="none"/>
                <w:lang w:val="en-US" w:eastAsia="zh-CN" w:bidi="ar-SA"/>
              </w:rPr>
              <w:t>5.具备良好的职业操守，具备任劳任怨的职业精神，能够爱岗敬业；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w:t>
            </w:r>
          </w:p>
        </w:tc>
        <w:tc>
          <w:tcPr>
            <w:tcW w:w="1947" w:type="dxa"/>
            <w:vAlign w:val="center"/>
          </w:tcPr>
          <w:p>
            <w:pPr>
              <w:spacing w:line="44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szCs w:val="22"/>
                <w:highlight w:val="none"/>
              </w:rPr>
              <w:t>政府采购政策支持</w:t>
            </w:r>
          </w:p>
        </w:tc>
        <w:tc>
          <w:tcPr>
            <w:tcW w:w="6960" w:type="dxa"/>
            <w:vAlign w:val="top"/>
          </w:tcPr>
          <w:p>
            <w:pPr>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(1)根据财政部、工业和信息化部关于印发 《政府采购促进中小企业发展暂行办法》的通知(财库[2022]19 号)规定执行； </w:t>
            </w:r>
          </w:p>
          <w:p>
            <w:pPr>
              <w:spacing w:line="440" w:lineRule="exac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(2)本项目预留金额100%专门面向中小企业的采购项目。</w:t>
            </w:r>
            <w:r>
              <w:rPr>
                <w:rFonts w:hint="eastAsia" w:ascii="仿宋" w:hAnsi="仿宋" w:eastAsia="仿宋" w:cs="仿宋"/>
                <w:b w:val="0"/>
                <w:bCs/>
                <w:color w:val="auto"/>
                <w:kern w:val="2"/>
                <w:sz w:val="24"/>
                <w:szCs w:val="24"/>
                <w:highlight w:val="none"/>
                <w:lang w:val="en-US" w:eastAsia="zh-CN" w:bidi="ar-SA"/>
              </w:rPr>
              <w:br w:type="textWrapping"/>
            </w:r>
            <w:r>
              <w:rPr>
                <w:rFonts w:hint="eastAsia" w:ascii="仿宋" w:hAnsi="仿宋" w:eastAsia="仿宋" w:cs="仿宋"/>
                <w:b w:val="0"/>
                <w:bCs/>
                <w:color w:val="auto"/>
                <w:kern w:val="2"/>
                <w:sz w:val="24"/>
                <w:szCs w:val="24"/>
                <w:highlight w:val="none"/>
                <w:lang w:val="en-US" w:eastAsia="zh-CN" w:bidi="ar-SA"/>
              </w:rPr>
              <w:t>(3)本项目小微企业划分标准为：物业管理。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38"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w:t>
            </w:r>
          </w:p>
        </w:tc>
        <w:tc>
          <w:tcPr>
            <w:tcW w:w="1947" w:type="dxa"/>
            <w:vAlign w:val="center"/>
          </w:tcPr>
          <w:p>
            <w:pPr>
              <w:spacing w:line="36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其他说明</w:t>
            </w:r>
          </w:p>
        </w:tc>
        <w:tc>
          <w:tcPr>
            <w:tcW w:w="6960" w:type="dxa"/>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特别提醒：</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1、所有投标人的报价高于采购预算额度视为无效报价（即作否决投标处理）。</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3、更正补充公告请自行登录新疆政府采购网查看下载。</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4、招标文件中部分加“*”、“★”、加粗、加下划线为招标的实质性要求和条件，着重提醒各投标人注意，并认真查看招标文件中的每一个条款及要求，因误读招标文件而造成的后果，招标人概不负责。</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bCs/>
                <w:color w:val="auto"/>
                <w:sz w:val="24"/>
                <w:szCs w:val="24"/>
                <w:highlight w:val="none"/>
                <w:lang w:val="en-US" w:eastAsia="zh-CN"/>
              </w:rPr>
              <w:t>6、投标供应商制作投标文件的CA锁必须和开标解密的CA锁为同一把锁，在解密过程中因为CA锁不同而导致解密失败的，由投标供应商自行承担。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9745" w:type="dxa"/>
            <w:gridSpan w:val="3"/>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rPr>
              <w:t>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应。</w:t>
            </w:r>
          </w:p>
        </w:tc>
      </w:tr>
    </w:tbl>
    <w:p>
      <w:pPr>
        <w:spacing w:line="360" w:lineRule="auto"/>
        <w:jc w:val="center"/>
        <w:outlineLvl w:val="9"/>
        <w:rPr>
          <w:rFonts w:hint="eastAsia" w:ascii="仿宋" w:hAnsi="仿宋" w:eastAsia="仿宋" w:cs="仿宋"/>
          <w:b/>
          <w:color w:val="auto"/>
          <w:sz w:val="28"/>
          <w:szCs w:val="28"/>
          <w:highlight w:val="none"/>
        </w:rPr>
      </w:pPr>
      <w:bookmarkStart w:id="46" w:name="_Toc3877"/>
    </w:p>
    <w:p>
      <w:pPr>
        <w:pStyle w:val="86"/>
        <w:rPr>
          <w:rFonts w:hint="eastAsia" w:ascii="仿宋" w:hAnsi="仿宋" w:eastAsia="仿宋" w:cs="仿宋"/>
          <w:b/>
          <w:color w:val="auto"/>
          <w:sz w:val="28"/>
          <w:szCs w:val="28"/>
          <w:highlight w:val="none"/>
        </w:rPr>
      </w:pPr>
    </w:p>
    <w:p>
      <w:pPr>
        <w:pStyle w:val="86"/>
        <w:rPr>
          <w:rFonts w:hint="eastAsia" w:ascii="仿宋" w:hAnsi="仿宋" w:eastAsia="仿宋" w:cs="仿宋"/>
          <w:b/>
          <w:color w:val="auto"/>
          <w:sz w:val="28"/>
          <w:szCs w:val="28"/>
          <w:highlight w:val="none"/>
        </w:rPr>
      </w:pPr>
    </w:p>
    <w:bookmarkEnd w:id="46"/>
    <w:p>
      <w:pPr>
        <w:rPr>
          <w:rFonts w:hint="eastAsia" w:ascii="仿宋" w:hAnsi="仿宋" w:eastAsia="仿宋" w:cs="仿宋"/>
          <w:color w:val="auto"/>
          <w:highlight w:val="none"/>
        </w:rPr>
      </w:pPr>
      <w:bookmarkStart w:id="47" w:name="_Toc2805"/>
      <w:bookmarkStart w:id="48" w:name="_Toc13351"/>
      <w:r>
        <w:rPr>
          <w:rFonts w:hint="eastAsia" w:ascii="仿宋" w:hAnsi="仿宋" w:eastAsia="仿宋" w:cs="仿宋"/>
          <w:color w:val="auto"/>
          <w:highlight w:val="none"/>
        </w:rPr>
        <w:br w:type="page"/>
      </w:r>
    </w:p>
    <w:p>
      <w:pPr>
        <w:spacing w:line="360" w:lineRule="auto"/>
        <w:jc w:val="center"/>
        <w:outlineLvl w:val="1"/>
        <w:rPr>
          <w:rFonts w:hint="eastAsia" w:ascii="仿宋" w:hAnsi="仿宋" w:eastAsia="仿宋" w:cs="仿宋"/>
          <w:b/>
          <w:color w:val="auto"/>
          <w:sz w:val="32"/>
          <w:szCs w:val="28"/>
        </w:rPr>
      </w:pPr>
      <w:r>
        <w:rPr>
          <w:rFonts w:hint="eastAsia" w:ascii="仿宋" w:hAnsi="仿宋" w:eastAsia="仿宋" w:cs="仿宋"/>
          <w:b/>
          <w:color w:val="auto"/>
          <w:sz w:val="32"/>
          <w:szCs w:val="28"/>
          <w:lang w:val="en-US" w:eastAsia="zh-CN"/>
        </w:rPr>
        <w:t>一、</w:t>
      </w:r>
      <w:r>
        <w:rPr>
          <w:rFonts w:hint="eastAsia" w:ascii="仿宋" w:hAnsi="仿宋" w:eastAsia="仿宋" w:cs="仿宋"/>
          <w:b/>
          <w:color w:val="auto"/>
          <w:sz w:val="32"/>
          <w:szCs w:val="28"/>
        </w:rPr>
        <w:t xml:space="preserve">  </w:t>
      </w:r>
      <w:bookmarkStart w:id="49" w:name="_Toc3855"/>
      <w:bookmarkStart w:id="50" w:name="_Toc20677"/>
      <w:r>
        <w:rPr>
          <w:rFonts w:hint="eastAsia" w:ascii="仿宋" w:hAnsi="仿宋" w:eastAsia="仿宋" w:cs="仿宋"/>
          <w:b/>
          <w:color w:val="auto"/>
          <w:sz w:val="32"/>
          <w:szCs w:val="28"/>
        </w:rPr>
        <w:t>总  则</w:t>
      </w:r>
      <w:bookmarkEnd w:id="49"/>
      <w:bookmarkEnd w:id="50"/>
    </w:p>
    <w:p>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1、适用范围</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rPr>
        <w:t>本招标文件仅适用于本次招标采购中所叙述项目的货物及服务采购。</w:t>
      </w:r>
    </w:p>
    <w:p>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2、投标人资格要求：</w:t>
      </w:r>
    </w:p>
    <w:p>
      <w:pPr>
        <w:spacing w:line="360" w:lineRule="auto"/>
        <w:ind w:firstLine="480" w:firstLineChars="200"/>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（1）具有经年审合格的“三证合一”的营业执照；</w:t>
      </w:r>
    </w:p>
    <w:p>
      <w:pPr>
        <w:spacing w:line="360" w:lineRule="auto"/>
        <w:ind w:firstLine="480" w:firstLineChars="200"/>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（2）需提供2021年第三方审计机构出具的审计报告（2022年成立的公司可不提供但需提供银行出具的近3个月的资信证明）和健全的财务会计制度；</w:t>
      </w:r>
    </w:p>
    <w:p>
      <w:pPr>
        <w:spacing w:line="360" w:lineRule="auto"/>
        <w:ind w:firstLine="480" w:firstLineChars="200"/>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3）提供法人（指本单位）2022年近三个月的社保缴纳证明（新成立时间少于三个月的公司，按实际发生提供）；提供税务机关出具2022年近三个月的完税证明或依法缴纳税收的相关证明材料；（新成立不足三个月的，按实际情况发生提供)；</w:t>
      </w:r>
    </w:p>
    <w:p>
      <w:pPr>
        <w:spacing w:line="360" w:lineRule="auto"/>
        <w:ind w:firstLine="480" w:firstLineChars="200"/>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（4）提供参加政府采购活动前 3 年内在经营活动中没有重大违法记录的书面声明；</w:t>
      </w:r>
    </w:p>
    <w:p>
      <w:pPr>
        <w:spacing w:line="360" w:lineRule="auto"/>
        <w:ind w:firstLine="480" w:firstLineChars="200"/>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 xml:space="preserve">（5）凡拟参加本次招标项目的投标人，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开标现场查询核实）。  </w:t>
      </w:r>
    </w:p>
    <w:p>
      <w:pPr>
        <w:spacing w:line="360" w:lineRule="auto"/>
        <w:ind w:firstLine="480" w:firstLineChars="200"/>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2、落实政府采购政策需满足的资格要求：政府采购促进中小企业发展管理办法》（财库〔2020〕46 号）；关于进一步加大政府采购支持中小企业力度的通知财库〔2022〕19号；《财政部发展改革委 生态环境部 市场监管总局 关于调整优化节能产品、环境标志产品政府采购执行机制的通知》（财库〔2019〕9号）。</w:t>
      </w:r>
    </w:p>
    <w:p>
      <w:pPr>
        <w:spacing w:line="360" w:lineRule="auto"/>
        <w:ind w:firstLine="480" w:firstLineChars="200"/>
        <w:rPr>
          <w:rFonts w:hint="eastAsia" w:ascii="仿宋" w:hAnsi="仿宋" w:eastAsia="仿宋" w:cs="仿宋"/>
          <w:b w:val="0"/>
          <w:bCs/>
          <w:i w:val="0"/>
          <w:caps w:val="0"/>
          <w:color w:val="000000"/>
          <w:spacing w:val="0"/>
          <w:sz w:val="24"/>
          <w:szCs w:val="24"/>
          <w:shd w:val="clear" w:color="auto" w:fill="FFFFFF"/>
          <w:lang w:val="en-US" w:eastAsia="zh-CN"/>
        </w:rPr>
      </w:pPr>
      <w:r>
        <w:rPr>
          <w:rFonts w:hint="eastAsia" w:ascii="仿宋" w:hAnsi="仿宋" w:eastAsia="仿宋" w:cs="仿宋"/>
          <w:b w:val="0"/>
          <w:bCs/>
          <w:i w:val="0"/>
          <w:caps w:val="0"/>
          <w:color w:val="000000"/>
          <w:spacing w:val="0"/>
          <w:sz w:val="24"/>
          <w:szCs w:val="24"/>
          <w:shd w:val="clear" w:color="auto" w:fill="FFFFFF"/>
          <w:lang w:val="en-US" w:eastAsia="zh-CN"/>
        </w:rPr>
        <w:t>3、本项目的特定资格要求：/。</w:t>
      </w:r>
    </w:p>
    <w:p>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3、定义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rPr>
        <w:t>3.1 “采购人</w:t>
      </w:r>
      <w:r>
        <w:rPr>
          <w:rFonts w:hint="eastAsia" w:ascii="仿宋" w:hAnsi="仿宋" w:eastAsia="仿宋" w:cs="仿宋"/>
          <w:color w:val="auto"/>
          <w:kern w:val="0"/>
          <w:sz w:val="24"/>
          <w:szCs w:val="24"/>
        </w:rPr>
        <w:t>”为</w:t>
      </w:r>
      <w:r>
        <w:rPr>
          <w:rFonts w:hint="eastAsia" w:ascii="仿宋" w:hAnsi="仿宋" w:eastAsia="仿宋" w:cs="仿宋"/>
          <w:b w:val="0"/>
          <w:bCs/>
          <w:i w:val="0"/>
          <w:caps w:val="0"/>
          <w:color w:val="000000"/>
          <w:spacing w:val="0"/>
          <w:sz w:val="24"/>
          <w:szCs w:val="24"/>
          <w:shd w:val="clear" w:color="auto" w:fill="FFFFFF"/>
          <w:lang w:val="en-US" w:eastAsia="zh-CN"/>
        </w:rPr>
        <w:t>和田地区行政服务和公共资源交易中心。</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 “合格投标人”系指报名合格、</w:t>
      </w:r>
      <w:r>
        <w:rPr>
          <w:rFonts w:hint="eastAsia" w:ascii="仿宋" w:hAnsi="仿宋" w:eastAsia="仿宋" w:cs="仿宋"/>
          <w:color w:val="auto"/>
          <w:sz w:val="24"/>
          <w:szCs w:val="24"/>
          <w:lang w:eastAsia="zh-CN"/>
        </w:rPr>
        <w:t>获取</w:t>
      </w:r>
      <w:r>
        <w:rPr>
          <w:rFonts w:hint="eastAsia" w:ascii="仿宋" w:hAnsi="仿宋" w:eastAsia="仿宋" w:cs="仿宋"/>
          <w:color w:val="auto"/>
          <w:sz w:val="24"/>
          <w:szCs w:val="24"/>
        </w:rPr>
        <w:t>招标文件、提交了投标文件的投标人，中标后即为中标人，签订合同后即为卖方。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3.3“招标机构”为</w:t>
      </w:r>
      <w:r>
        <w:rPr>
          <w:rFonts w:hint="eastAsia" w:ascii="仿宋" w:hAnsi="仿宋" w:eastAsia="仿宋" w:cs="仿宋"/>
          <w:color w:val="auto"/>
          <w:sz w:val="24"/>
          <w:szCs w:val="24"/>
          <w:lang w:val="en-US" w:eastAsia="zh-CN"/>
        </w:rPr>
        <w:t xml:space="preserve">新疆星耀天都项目管理有限责任公司 </w:t>
      </w:r>
      <w:r>
        <w:rPr>
          <w:rFonts w:hint="eastAsia" w:ascii="仿宋" w:hAnsi="仿宋" w:eastAsia="仿宋" w:cs="仿宋"/>
          <w:color w:val="auto"/>
          <w:sz w:val="24"/>
          <w:szCs w:val="24"/>
        </w:rPr>
        <w:t>。</w:t>
      </w:r>
    </w:p>
    <w:p>
      <w:pPr>
        <w:pStyle w:val="2"/>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3.4指公开文件第三部分所述所有服务；“服务”指公开文件第三部分所述投标人应该履行的承诺和义务。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“卖方”系指提供合同货物和服务的法人。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“买方”系指购买</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的单位。</w:t>
      </w:r>
    </w:p>
    <w:p>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4、投标费用</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rPr>
        <w:t>4.1 无论投标结果如何，投标人须自行承担所有与参加投标有关的全部费用。</w:t>
      </w:r>
    </w:p>
    <w:p>
      <w:pPr>
        <w:numPr>
          <w:ilvl w:val="0"/>
          <w:numId w:val="4"/>
        </w:numPr>
        <w:spacing w:line="460" w:lineRule="exact"/>
        <w:jc w:val="center"/>
        <w:outlineLvl w:val="2"/>
        <w:rPr>
          <w:rFonts w:hint="eastAsia" w:ascii="仿宋" w:hAnsi="仿宋" w:eastAsia="仿宋" w:cs="仿宋"/>
          <w:b/>
          <w:color w:val="auto"/>
          <w:sz w:val="28"/>
          <w:szCs w:val="28"/>
        </w:rPr>
      </w:pPr>
      <w:bookmarkStart w:id="51" w:name="_Toc1575"/>
      <w:bookmarkStart w:id="52" w:name="_Toc29853"/>
      <w:r>
        <w:rPr>
          <w:rFonts w:hint="eastAsia" w:ascii="仿宋" w:hAnsi="仿宋" w:eastAsia="仿宋" w:cs="仿宋"/>
          <w:b/>
          <w:color w:val="auto"/>
          <w:sz w:val="28"/>
          <w:szCs w:val="28"/>
        </w:rPr>
        <w:t>招标文件</w:t>
      </w:r>
      <w:bookmarkEnd w:id="51"/>
      <w:bookmarkEnd w:id="52"/>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5、招标文件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招标文件用以阐明所招标的内容，招标投标程序及合同条款，包括：</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5.1.1  招标公告</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5.1.2  投标人须知前附表</w:t>
      </w:r>
    </w:p>
    <w:p>
      <w:pPr>
        <w:spacing w:line="46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sz w:val="24"/>
          <w:szCs w:val="24"/>
        </w:rPr>
        <w:t xml:space="preserve">5.1.3  </w:t>
      </w:r>
      <w:r>
        <w:rPr>
          <w:rFonts w:hint="eastAsia" w:ascii="仿宋" w:hAnsi="仿宋" w:eastAsia="仿宋" w:cs="仿宋"/>
          <w:color w:val="auto"/>
          <w:sz w:val="24"/>
          <w:szCs w:val="24"/>
          <w:lang w:val="en-US" w:eastAsia="zh-CN"/>
        </w:rPr>
        <w:t>招标书</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5.1.4  </w:t>
      </w:r>
      <w:r>
        <w:rPr>
          <w:rFonts w:hint="eastAsia" w:ascii="仿宋" w:hAnsi="仿宋" w:eastAsia="仿宋" w:cs="仿宋"/>
          <w:color w:val="auto"/>
          <w:sz w:val="24"/>
          <w:szCs w:val="24"/>
          <w:lang w:val="en-US" w:eastAsia="zh-CN"/>
        </w:rPr>
        <w:t>总则</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5.1.5  采购需求、技术参数、规格</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5.1.6  合同条款</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5.1.7  投标文件格式</w:t>
      </w:r>
    </w:p>
    <w:p>
      <w:pPr>
        <w:spacing w:line="460" w:lineRule="exact"/>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4"/>
        </w:rPr>
        <w:t xml:space="preserve">5.2 </w:t>
      </w:r>
      <w:r>
        <w:rPr>
          <w:rFonts w:hint="eastAsia" w:ascii="仿宋" w:hAnsi="仿宋" w:eastAsia="仿宋" w:cs="仿宋"/>
          <w:color w:val="auto"/>
          <w:sz w:val="24"/>
        </w:rPr>
        <w:t>供应商应认真阅读招标文件中所有的事项、格式、条款和规范等要求，从而对招标</w:t>
      </w:r>
      <w:r>
        <w:rPr>
          <w:rFonts w:hint="eastAsia" w:ascii="仿宋" w:hAnsi="仿宋" w:eastAsia="仿宋" w:cs="仿宋"/>
          <w:color w:val="auto"/>
          <w:sz w:val="24"/>
          <w:szCs w:val="22"/>
        </w:rPr>
        <w:t>文件作出实质性响应。如果没有按照招标文件要求提交全部招标响应文件或资料，没有对招标文件作出实质性响应，其风险应由供应商自行承担。</w:t>
      </w:r>
    </w:p>
    <w:p>
      <w:pPr>
        <w:spacing w:line="460" w:lineRule="exact"/>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2"/>
        </w:rPr>
        <w:t>5.3招标文件以中文编写。</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6、招标文件的澄清</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6.1 </w:t>
      </w:r>
      <w:r>
        <w:rPr>
          <w:rFonts w:hint="eastAsia" w:ascii="仿宋" w:hAnsi="仿宋" w:eastAsia="仿宋" w:cs="仿宋"/>
          <w:color w:val="auto"/>
          <w:sz w:val="24"/>
        </w:rPr>
        <w:t>供应商对招标文件有疑问的，可以向招标代理机构提出询问，招标代理机构将及时</w:t>
      </w:r>
      <w:r>
        <w:rPr>
          <w:rFonts w:hint="eastAsia" w:ascii="仿宋" w:hAnsi="仿宋" w:eastAsia="仿宋" w:cs="仿宋"/>
          <w:color w:val="auto"/>
          <w:sz w:val="24"/>
          <w:szCs w:val="24"/>
        </w:rPr>
        <w:t>做出答复；</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6.2供应商对招标文件有质疑，须在招标响应文件递交截止时间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日以前，以书面形式向招标机构提出质疑；招标机构在收到书面质疑后尽快做出答复，并以书面形式通知质疑供应商。</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7、招标文件的修改</w:t>
      </w:r>
    </w:p>
    <w:p>
      <w:pPr>
        <w:spacing w:line="460" w:lineRule="exact"/>
        <w:ind w:firstLine="480" w:firstLineChars="200"/>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 xml:space="preserve">7.1 </w:t>
      </w:r>
      <w:r>
        <w:rPr>
          <w:rFonts w:hint="eastAsia" w:ascii="仿宋" w:hAnsi="仿宋" w:eastAsia="仿宋" w:cs="仿宋"/>
          <w:color w:val="auto"/>
          <w:sz w:val="24"/>
        </w:rPr>
        <w:t>对招标文件进行必要的修改，招标代理机构将在投标截止时间</w:t>
      </w:r>
      <w:r>
        <w:rPr>
          <w:rFonts w:hint="eastAsia" w:ascii="仿宋" w:hAnsi="仿宋" w:eastAsia="仿宋" w:cs="仿宋"/>
          <w:color w:val="auto"/>
          <w:sz w:val="24"/>
          <w:lang w:val="en-US" w:eastAsia="zh-CN"/>
        </w:rPr>
        <w:t>15</w:t>
      </w:r>
      <w:r>
        <w:rPr>
          <w:rFonts w:hint="eastAsia" w:ascii="仿宋" w:hAnsi="仿宋" w:eastAsia="仿宋" w:cs="仿宋"/>
          <w:color w:val="auto"/>
          <w:sz w:val="24"/>
        </w:rPr>
        <w:t>日前以书面形式通知所有购买招标文件的供应商。该修改的内容为招标文件的组成部分；</w:t>
      </w:r>
    </w:p>
    <w:p>
      <w:pPr>
        <w:spacing w:line="40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szCs w:val="24"/>
        </w:rPr>
        <w:t xml:space="preserve">7.2 </w:t>
      </w:r>
      <w:r>
        <w:rPr>
          <w:rFonts w:hint="eastAsia" w:ascii="仿宋" w:hAnsi="仿宋" w:eastAsia="仿宋" w:cs="仿宋"/>
          <w:color w:val="auto"/>
          <w:sz w:val="24"/>
        </w:rPr>
        <w:t>供应商在规定的时间内未对招标文件提出澄清要求的，招标代理机构将视其为同意。</w:t>
      </w:r>
    </w:p>
    <w:p>
      <w:pPr>
        <w:spacing w:line="40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7.3 在投标截止时间前，招标机构可视具体情况延长招标截止时间，并将变更时间书面通知所有购买招标文件的供应商。</w:t>
      </w:r>
    </w:p>
    <w:p>
      <w:pPr>
        <w:pStyle w:val="86"/>
        <w:spacing w:line="460" w:lineRule="exact"/>
        <w:rPr>
          <w:rFonts w:hint="eastAsia" w:ascii="仿宋" w:hAnsi="仿宋" w:eastAsia="仿宋" w:cs="仿宋"/>
          <w:color w:val="auto"/>
          <w:sz w:val="28"/>
          <w:szCs w:val="28"/>
        </w:rPr>
      </w:pPr>
    </w:p>
    <w:p>
      <w:pPr>
        <w:spacing w:line="460" w:lineRule="exact"/>
        <w:ind w:firstLine="562" w:firstLineChars="200"/>
        <w:jc w:val="center"/>
        <w:outlineLvl w:val="2"/>
        <w:rPr>
          <w:rFonts w:hint="eastAsia" w:ascii="仿宋" w:hAnsi="仿宋" w:eastAsia="仿宋" w:cs="仿宋"/>
          <w:b/>
          <w:bCs/>
          <w:color w:val="auto"/>
          <w:sz w:val="28"/>
          <w:szCs w:val="28"/>
        </w:rPr>
      </w:pPr>
      <w:bookmarkStart w:id="53" w:name="_Toc24935"/>
      <w:bookmarkStart w:id="54" w:name="_Toc4675"/>
      <w:r>
        <w:rPr>
          <w:rFonts w:hint="eastAsia" w:ascii="仿宋" w:hAnsi="仿宋" w:eastAsia="仿宋" w:cs="仿宋"/>
          <w:b/>
          <w:bCs/>
          <w:color w:val="auto"/>
          <w:sz w:val="28"/>
          <w:szCs w:val="28"/>
        </w:rPr>
        <w:t>三、投标文件的编写</w:t>
      </w:r>
      <w:bookmarkEnd w:id="53"/>
      <w:bookmarkEnd w:id="54"/>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8．要求</w:t>
      </w:r>
    </w:p>
    <w:p>
      <w:pPr>
        <w:spacing w:line="4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szCs w:val="24"/>
        </w:rPr>
        <w:t>8.1 供应商应仔细阅读招标文件的所有内容，按招标文件的要求提供招标响应文件，并保证所提供的全部资料的真实性，以使其招标响应对招标文件作出实质性响应，否则，其招标可能被拒绝。</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9．招标语言</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  投标人的投标文件以及投标人与招标机构就有关招标活动的所有来往函电均应使用中文。如果投标文件或与投标有关的其它文件、信件及来往函电以其他语言书写，投标人应将其译成中文。</w:t>
      </w:r>
    </w:p>
    <w:p>
      <w:pPr>
        <w:widowControl/>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9.2投标文件中使用的计量单位除招标文件中有特殊规定外，一律使用法定计量单位。</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10、投标文件的格式 </w:t>
      </w:r>
    </w:p>
    <w:p>
      <w:pPr>
        <w:spacing w:line="460" w:lineRule="exact"/>
        <w:ind w:firstLine="560"/>
        <w:rPr>
          <w:rFonts w:hint="eastAsia" w:ascii="仿宋" w:hAnsi="仿宋" w:eastAsia="仿宋" w:cs="仿宋"/>
          <w:color w:val="auto"/>
          <w:sz w:val="24"/>
          <w:szCs w:val="24"/>
        </w:rPr>
      </w:pPr>
      <w:r>
        <w:rPr>
          <w:rFonts w:hint="eastAsia" w:ascii="仿宋" w:hAnsi="仿宋" w:eastAsia="仿宋" w:cs="仿宋"/>
          <w:color w:val="auto"/>
          <w:sz w:val="24"/>
          <w:szCs w:val="24"/>
        </w:rPr>
        <w:t>10.1投标人应按招标文件提供的格式及投标报价说明完整地填写所提供的产品、服务、数量及价格。</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pPr>
        <w:numPr>
          <w:ilvl w:val="0"/>
          <w:numId w:val="5"/>
        </w:numPr>
        <w:spacing w:line="460" w:lineRule="exact"/>
        <w:ind w:left="481" w:leftChars="0" w:firstLine="0" w:firstLineChars="0"/>
        <w:rPr>
          <w:rFonts w:hint="eastAsia" w:ascii="仿宋" w:hAnsi="仿宋" w:eastAsia="仿宋" w:cs="仿宋"/>
          <w:b/>
          <w:bCs/>
          <w:color w:val="auto"/>
          <w:sz w:val="24"/>
        </w:rPr>
      </w:pPr>
      <w:r>
        <w:rPr>
          <w:rFonts w:hint="eastAsia" w:ascii="仿宋" w:hAnsi="仿宋" w:eastAsia="仿宋" w:cs="仿宋"/>
          <w:b/>
          <w:bCs/>
          <w:color w:val="auto"/>
          <w:sz w:val="24"/>
        </w:rPr>
        <w:t>投标文件由以下部分构成</w:t>
      </w:r>
    </w:p>
    <w:p>
      <w:pPr>
        <w:spacing w:line="400" w:lineRule="exact"/>
        <w:ind w:firstLine="422" w:firstLineChars="200"/>
        <w:rPr>
          <w:rFonts w:hint="eastAsia" w:ascii="仿宋" w:hAnsi="仿宋" w:eastAsia="仿宋" w:cs="仿宋"/>
          <w:b/>
          <w:color w:val="auto"/>
          <w:kern w:val="0"/>
        </w:rPr>
      </w:pPr>
      <w:r>
        <w:rPr>
          <w:rFonts w:hint="eastAsia" w:ascii="仿宋" w:hAnsi="仿宋" w:eastAsia="仿宋" w:cs="仿宋"/>
          <w:b/>
          <w:color w:val="auto"/>
          <w:kern w:val="0"/>
        </w:rPr>
        <w:t>本项目所涉投标文件格式请详见第</w:t>
      </w:r>
      <w:r>
        <w:rPr>
          <w:rFonts w:hint="eastAsia" w:ascii="仿宋" w:hAnsi="仿宋" w:eastAsia="仿宋" w:cs="仿宋"/>
          <w:b/>
          <w:color w:val="auto"/>
          <w:kern w:val="0"/>
          <w:lang w:val="en-US" w:eastAsia="zh-CN"/>
        </w:rPr>
        <w:t>五</w:t>
      </w:r>
      <w:r>
        <w:rPr>
          <w:rFonts w:hint="eastAsia" w:ascii="仿宋" w:hAnsi="仿宋" w:eastAsia="仿宋" w:cs="仿宋"/>
          <w:b/>
          <w:color w:val="auto"/>
          <w:kern w:val="0"/>
        </w:rPr>
        <w:t>章，未给出的格式请自拟。</w:t>
      </w:r>
    </w:p>
    <w:p>
      <w:pPr>
        <w:spacing w:line="460" w:lineRule="exact"/>
        <w:rPr>
          <w:rFonts w:hint="eastAsia" w:ascii="仿宋" w:hAnsi="仿宋" w:eastAsia="仿宋" w:cs="仿宋"/>
          <w:b/>
          <w:bCs/>
          <w:color w:val="auto"/>
          <w:sz w:val="24"/>
          <w:szCs w:val="22"/>
          <w:lang w:val="en-US" w:eastAsia="zh-CN"/>
        </w:rPr>
      </w:pPr>
      <w:r>
        <w:rPr>
          <w:rFonts w:hint="eastAsia" w:ascii="仿宋" w:hAnsi="仿宋" w:eastAsia="仿宋" w:cs="仿宋"/>
          <w:b/>
          <w:bCs/>
          <w:color w:val="auto"/>
          <w:sz w:val="24"/>
        </w:rPr>
        <w:t>投标文件组成主要包括</w:t>
      </w:r>
      <w:r>
        <w:rPr>
          <w:rFonts w:hint="eastAsia" w:ascii="仿宋" w:hAnsi="仿宋" w:eastAsia="仿宋" w:cs="仿宋"/>
          <w:b/>
          <w:bCs/>
          <w:color w:val="auto"/>
          <w:sz w:val="24"/>
          <w:szCs w:val="22"/>
          <w:lang w:val="en-US" w:eastAsia="zh-CN"/>
        </w:rPr>
        <w:t>：</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 xml:space="preserve">投 标 </w:t>
      </w:r>
      <w:r>
        <w:rPr>
          <w:rFonts w:hint="eastAsia" w:ascii="仿宋" w:hAnsi="仿宋" w:eastAsia="仿宋" w:cs="仿宋"/>
          <w:b/>
          <w:bCs/>
          <w:color w:val="auto"/>
          <w:sz w:val="24"/>
          <w:szCs w:val="24"/>
          <w:lang w:val="en-US" w:eastAsia="zh-CN"/>
        </w:rPr>
        <w:t>函</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二、投标文件真实性和不存在限制投标情形的声明</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三、开标一览表</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四、法定代表人身份证明、法定代表人授权委托书</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五、投标保证金（投标保证金银行转账单复印件）</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六、商务条款偏离表</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服务人员配置情况</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投标单位简介</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九、近三年业绩及相关证明</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十、工程维修服务方案</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十一、服务整体方案</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十二、突发事件处理方案</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十三、秩序维护服务方案</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十四、人员培训方案</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十五、卫生保洁方案</w:t>
      </w:r>
    </w:p>
    <w:p>
      <w:pPr>
        <w:spacing w:line="460" w:lineRule="exact"/>
        <w:ind w:firstLine="482" w:firstLineChars="20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十六</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人员储备方案</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十七、</w:t>
      </w:r>
      <w:r>
        <w:rPr>
          <w:rFonts w:hint="eastAsia" w:ascii="仿宋" w:hAnsi="仿宋" w:eastAsia="仿宋" w:cs="仿宋"/>
          <w:b/>
          <w:bCs/>
          <w:color w:val="auto"/>
          <w:sz w:val="24"/>
          <w:szCs w:val="24"/>
        </w:rPr>
        <w:t>符合《政府采购法》第二十二条规定的条件</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十八、</w:t>
      </w:r>
      <w:r>
        <w:rPr>
          <w:rFonts w:hint="eastAsia" w:ascii="仿宋" w:hAnsi="仿宋" w:eastAsia="仿宋" w:cs="仿宋"/>
          <w:b/>
          <w:bCs/>
          <w:color w:val="auto"/>
          <w:sz w:val="24"/>
          <w:szCs w:val="24"/>
        </w:rPr>
        <w:t>投标单位（供应商）反商业贿赂承诺书</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十九、中小企业声明函</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二十、节能、环保产品证明（如有）</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二十一、网站截图</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二十二、投标人认为需要提供的其他资料</w:t>
      </w:r>
    </w:p>
    <w:p>
      <w:pPr>
        <w:spacing w:line="460" w:lineRule="exact"/>
        <w:ind w:firstLine="482" w:firstLineChars="200"/>
        <w:rPr>
          <w:rFonts w:hint="eastAsia" w:ascii="仿宋" w:hAnsi="仿宋" w:eastAsia="仿宋" w:cs="仿宋"/>
          <w:b/>
          <w:color w:val="auto"/>
          <w:kern w:val="0"/>
        </w:rPr>
      </w:pPr>
      <w:r>
        <w:rPr>
          <w:rFonts w:hint="eastAsia" w:ascii="仿宋" w:hAnsi="仿宋" w:eastAsia="仿宋" w:cs="仿宋"/>
          <w:b/>
          <w:bCs/>
          <w:color w:val="auto"/>
          <w:sz w:val="24"/>
          <w:szCs w:val="24"/>
        </w:rPr>
        <w:t>注：</w:t>
      </w:r>
      <w:r>
        <w:rPr>
          <w:rFonts w:hint="eastAsia" w:ascii="仿宋" w:hAnsi="仿宋" w:eastAsia="仿宋" w:cs="仿宋"/>
          <w:b/>
          <w:bCs/>
          <w:color w:val="auto"/>
          <w:sz w:val="24"/>
          <w:szCs w:val="22"/>
        </w:rPr>
        <w:t>电子投标文件按政采云平台供应商电子招投标操作指南。建议根据招标文件合格供应商的资格要求、投标文件的编制及</w:t>
      </w:r>
      <w:r>
        <w:rPr>
          <w:rFonts w:hint="eastAsia" w:ascii="仿宋" w:hAnsi="仿宋" w:eastAsia="仿宋" w:cs="仿宋"/>
          <w:b/>
          <w:bCs/>
          <w:color w:val="auto"/>
          <w:sz w:val="24"/>
          <w:szCs w:val="22"/>
          <w:lang w:val="en-US" w:eastAsia="zh-CN"/>
        </w:rPr>
        <w:t>资格评审、响应性评审</w:t>
      </w:r>
      <w:r>
        <w:rPr>
          <w:rFonts w:hint="eastAsia" w:ascii="仿宋" w:hAnsi="仿宋" w:eastAsia="仿宋" w:cs="仿宋"/>
          <w:b/>
          <w:bCs/>
          <w:color w:val="auto"/>
          <w:sz w:val="24"/>
          <w:szCs w:val="22"/>
        </w:rPr>
        <w:t>等内容一一关联投标文件按统一格式、顺序编写。</w:t>
      </w:r>
    </w:p>
    <w:p>
      <w:pPr>
        <w:spacing w:line="48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12、投标报价</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12.1 报价方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pPr>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　　（一）投标文件中开标一览表（报价表）内容与投标文件中相应内容不一致的，以开标一览表（报价表）为准；</w:t>
      </w:r>
    </w:p>
    <w:p>
      <w:pPr>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　　（二）大写金额和小写金额不一致的，以大写金额为准；</w:t>
      </w:r>
    </w:p>
    <w:p>
      <w:pPr>
        <w:spacing w:line="480" w:lineRule="exact"/>
        <w:rPr>
          <w:rFonts w:hint="eastAsia" w:ascii="仿宋" w:hAnsi="仿宋" w:eastAsia="仿宋" w:cs="仿宋"/>
          <w:color w:val="auto"/>
        </w:rPr>
      </w:pPr>
      <w:r>
        <w:rPr>
          <w:rFonts w:hint="eastAsia" w:ascii="仿宋" w:hAnsi="仿宋" w:eastAsia="仿宋" w:cs="仿宋"/>
          <w:color w:val="auto"/>
          <w:sz w:val="24"/>
          <w:szCs w:val="24"/>
        </w:rPr>
        <w:t>　　（三）单价金额小数点或者百分比有明显错位的，以开标一览表的总价为准，并修改单价；</w:t>
      </w:r>
    </w:p>
    <w:p>
      <w:pPr>
        <w:spacing w:line="480" w:lineRule="exact"/>
        <w:rPr>
          <w:rFonts w:hint="eastAsia" w:ascii="仿宋" w:hAnsi="仿宋" w:eastAsia="仿宋" w:cs="仿宋"/>
          <w:color w:val="auto"/>
          <w:sz w:val="24"/>
          <w:szCs w:val="24"/>
        </w:rPr>
      </w:pPr>
      <w:r>
        <w:rPr>
          <w:rFonts w:hint="eastAsia" w:ascii="仿宋" w:hAnsi="仿宋" w:eastAsia="仿宋" w:cs="仿宋"/>
          <w:color w:val="auto"/>
        </w:rPr>
        <w:t>　　</w:t>
      </w:r>
      <w:r>
        <w:rPr>
          <w:rFonts w:hint="eastAsia" w:ascii="仿宋" w:hAnsi="仿宋" w:eastAsia="仿宋" w:cs="仿宋"/>
          <w:color w:val="auto"/>
          <w:sz w:val="24"/>
          <w:szCs w:val="24"/>
        </w:rPr>
        <w:t>（四）总价金额与单价汇总金额不一致的，以单价金额计算结果为准。</w:t>
      </w:r>
    </w:p>
    <w:p>
      <w:pPr>
        <w:spacing w:line="48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12.2 供应商应在投标报价表中标明其提供的所有服务及其相关工作范围内所在费用的总价，不接受有任何选择性招标报价。</w:t>
      </w:r>
    </w:p>
    <w:p>
      <w:pPr>
        <w:pStyle w:val="21"/>
        <w:tabs>
          <w:tab w:val="left" w:pos="9214"/>
        </w:tabs>
        <w:spacing w:after="0" w:line="480" w:lineRule="exact"/>
        <w:ind w:firstLine="480" w:firstLineChars="200"/>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12.3</w:t>
      </w:r>
      <w:r>
        <w:rPr>
          <w:rFonts w:hint="eastAsia" w:ascii="仿宋" w:hAnsi="仿宋" w:eastAsia="仿宋" w:cs="仿宋"/>
          <w:color w:val="auto"/>
          <w:sz w:val="24"/>
        </w:rPr>
        <w:t>报价时应对下列几点特别注明：</w:t>
      </w:r>
    </w:p>
    <w:p>
      <w:pPr>
        <w:pStyle w:val="21"/>
        <w:tabs>
          <w:tab w:val="left" w:pos="9214"/>
        </w:tabs>
        <w:spacing w:after="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12.3.1招标文件中特别要求的</w:t>
      </w:r>
      <w:r>
        <w:rPr>
          <w:rFonts w:hint="eastAsia" w:ascii="仿宋" w:hAnsi="仿宋" w:eastAsia="仿宋" w:cs="仿宋"/>
          <w:color w:val="auto"/>
          <w:sz w:val="24"/>
          <w:lang w:val="en-US" w:eastAsia="zh-CN"/>
        </w:rPr>
        <w:t>服务</w:t>
      </w:r>
      <w:r>
        <w:rPr>
          <w:rFonts w:hint="eastAsia" w:ascii="仿宋" w:hAnsi="仿宋" w:eastAsia="仿宋" w:cs="仿宋"/>
          <w:color w:val="auto"/>
          <w:sz w:val="24"/>
        </w:rPr>
        <w:t>的费用；</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12.4 算术性修正。算术性修正是指对招标响应文件的报价明细进行校核，并对其算术上和运算上的差错给予修正。修正的原则如下：</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12.4.1 当以数字表示的金额与文字表示的金额有差异时，以文字表示的金额为准；</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12.4.2 当单价与数量相乘不等于合价时，以单价计算为准。如果单价有明显的小数点位置差错，应以标出的合价为准，同时对单价予以修正；</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12.4.3 当各明细部分的价格累计不等于合价时，应以各明细的累计计数为准，修正合价。</w:t>
      </w:r>
    </w:p>
    <w:p>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12.4.4 按以上原则对算术性差错修正，应取得供应商的同意，并确认修正后最终招标报价。如果供应商拒绝确认，则其招标响应文件将不予以评审并按废标处理，没收其投标担保。</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13、投标人应逐条详细阅读招标文件有关要求，表明所提供的服务是否对招标文件做出实质性响应。</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14、投标文件的有效期</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14.1 投标文件从实际开标之日起 </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天内有效。有效期不足的投标文件将被拒绝。</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14.2 如遇特殊情况，在原投标有效期届满之前，招标人可与投标人协商延长投标文件的有效期，并经投标人确认。</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14.3投标人可拒绝接受延期要求而不会导致投标保证金被没收。同意延长有效期的投标人需要相应延长投标保证金的有效期，但不能修改投标文件。 </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14.4中标人的投标文件自开标之日起至合同履行完毕止均应保持有效。</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15、投标文件的签署、递交、准备和解密时间要求</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15.1投标人应按本招标文件规定的格式和顺序编制、装订投标文件并标注页码，投标文件内容不完整、编排混乱导致投标文件被误读、漏读或者查找不到相关内容的，后果由投标人负责。</w:t>
      </w:r>
    </w:p>
    <w:p>
      <w:pPr>
        <w:spacing w:line="460" w:lineRule="exact"/>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15.2投标人应于</w:t>
      </w:r>
      <w:r>
        <w:rPr>
          <w:rFonts w:hint="eastAsia" w:ascii="仿宋" w:hAnsi="仿宋" w:eastAsia="仿宋" w:cs="仿宋"/>
          <w:b/>
          <w:bCs/>
          <w:color w:val="auto"/>
          <w:sz w:val="24"/>
          <w:szCs w:val="24"/>
          <w:lang w:eastAsia="zh-CN"/>
        </w:rPr>
        <w:t>2023年01月13日11:00时整</w:t>
      </w:r>
      <w:r>
        <w:rPr>
          <w:rFonts w:hint="eastAsia" w:ascii="仿宋" w:hAnsi="仿宋" w:eastAsia="仿宋" w:cs="仿宋"/>
          <w:b/>
          <w:bCs/>
          <w:color w:val="auto"/>
          <w:sz w:val="24"/>
          <w:szCs w:val="24"/>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15.3投标文件须由投标人在规定位置盖章并由法定代表人或法定代表人的授权委托人签署，投标人应写全称。</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15.4投标文件不得涂改，若有修改错漏处，须加盖单位公章或者法定代表人或授权委托人签字或盖章。投标文件因字迹潦草或表达不清所引起的后果由投标人负责。</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15.5</w:t>
      </w:r>
      <w:r>
        <w:rPr>
          <w:rFonts w:hint="eastAsia" w:ascii="仿宋" w:hAnsi="仿宋" w:eastAsia="仿宋" w:cs="仿宋"/>
          <w:b/>
          <w:bCs/>
          <w:color w:val="auto"/>
          <w:sz w:val="24"/>
          <w:szCs w:val="24"/>
        </w:rPr>
        <w:t xml:space="preserve">、本项目实行网上投标，采用电子投标文件。若供应商参与投标，自行承担投标一切费用。 </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15.6</w:t>
      </w:r>
      <w:r>
        <w:rPr>
          <w:rFonts w:hint="eastAsia" w:ascii="仿宋" w:hAnsi="仿宋" w:eastAsia="仿宋" w:cs="仿宋"/>
          <w:b/>
          <w:bCs/>
          <w:color w:val="auto"/>
          <w:sz w:val="24"/>
          <w:szCs w:val="24"/>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pPr>
        <w:spacing w:line="4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15.7</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15.8</w:t>
      </w:r>
      <w:r>
        <w:rPr>
          <w:rFonts w:hint="eastAsia" w:ascii="仿宋" w:hAnsi="仿宋" w:eastAsia="仿宋" w:cs="仿宋"/>
          <w:b/>
          <w:bCs/>
          <w:color w:val="auto"/>
          <w:sz w:val="24"/>
          <w:szCs w:val="24"/>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4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15.9开标时间后</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分钟内（</w:t>
      </w:r>
      <w:r>
        <w:rPr>
          <w:rFonts w:hint="eastAsia" w:ascii="仿宋" w:hAnsi="仿宋" w:eastAsia="仿宋" w:cs="仿宋"/>
          <w:b/>
          <w:bCs/>
          <w:color w:val="auto"/>
          <w:sz w:val="24"/>
          <w:szCs w:val="24"/>
          <w:lang w:eastAsia="zh-CN"/>
        </w:rPr>
        <w:t>2023年01月13日上午</w:t>
      </w: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00</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前）供应商可以登录“政采云”平台，用“项目采购-开标评标”功能进行解密投标文件。若供应商在规定时间内（</w:t>
      </w:r>
      <w:r>
        <w:rPr>
          <w:rFonts w:hint="eastAsia" w:ascii="仿宋" w:hAnsi="仿宋" w:eastAsia="仿宋" w:cs="仿宋"/>
          <w:b/>
          <w:bCs/>
          <w:color w:val="auto"/>
          <w:sz w:val="24"/>
          <w:szCs w:val="24"/>
          <w:lang w:val="en-US" w:eastAsia="zh-CN"/>
        </w:rPr>
        <w:t>2023年01月13日上午12</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00</w:t>
      </w:r>
      <w:r>
        <w:rPr>
          <w:rFonts w:hint="eastAsia" w:ascii="仿宋" w:hAnsi="仿宋" w:eastAsia="仿宋" w:cs="仿宋"/>
          <w:b/>
          <w:bCs/>
          <w:color w:val="auto"/>
          <w:sz w:val="24"/>
          <w:szCs w:val="24"/>
        </w:rPr>
        <w:t>前）未按时解密的，视为投标文件撤回。</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16、投标保证金</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16.1 投标保证金数额</w:t>
      </w:r>
      <w:r>
        <w:rPr>
          <w:rFonts w:hint="eastAsia" w:ascii="仿宋" w:hAnsi="仿宋" w:eastAsia="仿宋" w:cs="仿宋"/>
          <w:b/>
          <w:color w:val="auto"/>
          <w:sz w:val="24"/>
          <w:szCs w:val="24"/>
          <w:u w:val="single"/>
        </w:rPr>
        <w:t>详见投标人须知前附表第</w:t>
      </w:r>
      <w:r>
        <w:rPr>
          <w:rFonts w:hint="eastAsia" w:ascii="仿宋" w:hAnsi="仿宋" w:eastAsia="仿宋" w:cs="仿宋"/>
          <w:b/>
          <w:color w:val="auto"/>
          <w:sz w:val="24"/>
          <w:szCs w:val="24"/>
          <w:u w:val="single"/>
          <w:lang w:val="en-US" w:eastAsia="zh-CN"/>
        </w:rPr>
        <w:t>20</w:t>
      </w:r>
      <w:r>
        <w:rPr>
          <w:rFonts w:hint="eastAsia" w:ascii="仿宋" w:hAnsi="仿宋" w:eastAsia="仿宋" w:cs="仿宋"/>
          <w:b/>
          <w:color w:val="auto"/>
          <w:sz w:val="24"/>
          <w:szCs w:val="24"/>
          <w:u w:val="single"/>
        </w:rPr>
        <w:t>条。</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16.2 投标保证金用于应对本次招标因投标人违规、违约而产生的风险。</w:t>
      </w:r>
    </w:p>
    <w:p>
      <w:pPr>
        <w:widowControl/>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16.3 投标人必须于投标截止时间之前（</w:t>
      </w:r>
      <w:r>
        <w:rPr>
          <w:rFonts w:hint="eastAsia" w:ascii="仿宋" w:hAnsi="仿宋" w:eastAsia="仿宋" w:cs="仿宋"/>
          <w:b/>
          <w:color w:val="auto"/>
          <w:sz w:val="24"/>
          <w:szCs w:val="24"/>
          <w:u w:val="single"/>
        </w:rPr>
        <w:t>详见投标人须知前附表第</w:t>
      </w:r>
      <w:r>
        <w:rPr>
          <w:rFonts w:hint="eastAsia" w:ascii="仿宋" w:hAnsi="仿宋" w:eastAsia="仿宋" w:cs="仿宋"/>
          <w:b/>
          <w:color w:val="auto"/>
          <w:sz w:val="24"/>
          <w:szCs w:val="24"/>
          <w:u w:val="single"/>
          <w:lang w:val="en-US" w:eastAsia="zh-CN"/>
        </w:rPr>
        <w:t>20</w:t>
      </w:r>
      <w:r>
        <w:rPr>
          <w:rFonts w:hint="eastAsia" w:ascii="仿宋" w:hAnsi="仿宋" w:eastAsia="仿宋" w:cs="仿宋"/>
          <w:b/>
          <w:color w:val="auto"/>
          <w:sz w:val="24"/>
          <w:szCs w:val="24"/>
          <w:u w:val="single"/>
        </w:rPr>
        <w:t>条规定）</w:t>
      </w:r>
      <w:r>
        <w:rPr>
          <w:rFonts w:hint="eastAsia" w:ascii="仿宋" w:hAnsi="仿宋" w:eastAsia="仿宋" w:cs="仿宋"/>
          <w:color w:val="auto"/>
          <w:sz w:val="24"/>
          <w:szCs w:val="24"/>
        </w:rPr>
        <w:t>按将投标保证金交纳至规定的帐号，对未按要求提交投标保证金的投标书，招标机构将视为不响应投标予以拒绝。</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16.4 投标保证金应以基本账户对公转账方式提交。本招标不接受银行保函形式的投标保证金。</w:t>
      </w:r>
    </w:p>
    <w:p>
      <w:pPr>
        <w:widowControl/>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16.5在招标方规定的投标有效期满之前，招标方将以书面形式 发出《中标通知书》，《中标通知书》一经发出即发生法律效力。</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16.6 发生以下情况投标保证金可能被没收：</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16.6.1 投标人在投标有效期内撤回投标的；</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16.6.2 中标后，无正当理由放弃中标资格。</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16.6.3 投标人在投标过程中有违反有关法律法规行为的。</w:t>
      </w:r>
    </w:p>
    <w:p>
      <w:pPr>
        <w:numPr>
          <w:ilvl w:val="0"/>
          <w:numId w:val="6"/>
        </w:numPr>
        <w:spacing w:line="460" w:lineRule="exact"/>
        <w:jc w:val="center"/>
        <w:outlineLvl w:val="2"/>
        <w:rPr>
          <w:rFonts w:hint="eastAsia" w:ascii="仿宋" w:hAnsi="仿宋" w:eastAsia="仿宋" w:cs="仿宋"/>
          <w:b/>
          <w:color w:val="auto"/>
          <w:sz w:val="28"/>
          <w:szCs w:val="28"/>
        </w:rPr>
      </w:pPr>
      <w:bookmarkStart w:id="55" w:name="_Toc22171"/>
      <w:bookmarkStart w:id="56" w:name="_Toc22295"/>
      <w:r>
        <w:rPr>
          <w:rFonts w:hint="eastAsia" w:ascii="仿宋" w:hAnsi="仿宋" w:eastAsia="仿宋" w:cs="仿宋"/>
          <w:b/>
          <w:color w:val="auto"/>
          <w:sz w:val="28"/>
          <w:szCs w:val="28"/>
        </w:rPr>
        <w:t>投标文件的递交</w:t>
      </w:r>
      <w:bookmarkEnd w:id="55"/>
      <w:bookmarkEnd w:id="56"/>
    </w:p>
    <w:p>
      <w:pPr>
        <w:widowControl/>
        <w:spacing w:line="340" w:lineRule="exact"/>
        <w:ind w:firstLine="482" w:firstLineChars="200"/>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17.1.投标文件的准备和解密</w:t>
      </w:r>
    </w:p>
    <w:p>
      <w:pPr>
        <w:widowControl/>
        <w:autoSpaceDE w:val="0"/>
        <w:autoSpaceDN w:val="0"/>
        <w:adjustRightInd w:val="0"/>
        <w:snapToGrid w:val="0"/>
        <w:spacing w:line="340" w:lineRule="exact"/>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17.</w:t>
      </w:r>
      <w:r>
        <w:rPr>
          <w:rFonts w:hint="eastAsia" w:ascii="仿宋" w:hAnsi="仿宋" w:eastAsia="仿宋" w:cs="仿宋"/>
          <w:b/>
          <w:bCs/>
          <w:color w:val="auto"/>
          <w:kern w:val="0"/>
          <w:sz w:val="24"/>
          <w:szCs w:val="24"/>
        </w:rPr>
        <w:t xml:space="preserve">1、本项目实行网上投标，采用电子投标文件。若供应商参与投标，自行承担投标一切费用。 </w:t>
      </w:r>
    </w:p>
    <w:p>
      <w:pPr>
        <w:widowControl/>
        <w:autoSpaceDE w:val="0"/>
        <w:autoSpaceDN w:val="0"/>
        <w:adjustRightInd w:val="0"/>
        <w:snapToGrid w:val="0"/>
        <w:spacing w:line="340" w:lineRule="exact"/>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17.</w:t>
      </w:r>
      <w:r>
        <w:rPr>
          <w:rFonts w:hint="eastAsia" w:ascii="仿宋" w:hAnsi="仿宋" w:eastAsia="仿宋" w:cs="仿宋"/>
          <w:b/>
          <w:bCs/>
          <w:color w:val="auto"/>
          <w:kern w:val="0"/>
          <w:sz w:val="24"/>
          <w:szCs w:val="24"/>
        </w:rPr>
        <w:t xml:space="preserve">2、各供应商应在开标前应确保成为新疆维吾尔自治区政府采购网正式注册入库供应商，并完成CA数字证书申领。因未注册入库、未办理CA数字证书等原因造成无法投标或投标失败等后果由供应商自行承担。 </w:t>
      </w:r>
    </w:p>
    <w:p>
      <w:pPr>
        <w:widowControl/>
        <w:autoSpaceDE w:val="0"/>
        <w:autoSpaceDN w:val="0"/>
        <w:adjustRightInd w:val="0"/>
        <w:snapToGrid w:val="0"/>
        <w:spacing w:line="340" w:lineRule="exact"/>
        <w:ind w:firstLine="482" w:firstLineChars="200"/>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17.</w:t>
      </w:r>
      <w:r>
        <w:rPr>
          <w:rFonts w:hint="eastAsia" w:ascii="仿宋" w:hAnsi="仿宋" w:eastAsia="仿宋" w:cs="仿宋"/>
          <w:b/>
          <w:bCs/>
          <w:color w:val="auto"/>
          <w:kern w:val="0"/>
          <w:sz w:val="24"/>
          <w:szCs w:val="24"/>
        </w:rPr>
        <w:t>3、</w:t>
      </w:r>
      <w:r>
        <w:rPr>
          <w:rFonts w:hint="eastAsia" w:ascii="仿宋" w:hAnsi="仿宋" w:eastAsia="仿宋" w:cs="仿宋"/>
          <w:b/>
          <w:bCs/>
          <w:color w:val="auto"/>
          <w:kern w:val="0"/>
          <w:sz w:val="24"/>
          <w:szCs w:val="24"/>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widowControl/>
        <w:autoSpaceDE w:val="0"/>
        <w:autoSpaceDN w:val="0"/>
        <w:adjustRightInd w:val="0"/>
        <w:snapToGrid w:val="0"/>
        <w:spacing w:line="34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 xml:space="preserve"> </w:t>
      </w:r>
      <w:r>
        <w:rPr>
          <w:rFonts w:hint="eastAsia" w:ascii="仿宋" w:hAnsi="仿宋" w:eastAsia="仿宋" w:cs="仿宋"/>
          <w:b/>
          <w:bCs/>
          <w:color w:val="auto"/>
          <w:kern w:val="0"/>
          <w:sz w:val="24"/>
          <w:szCs w:val="24"/>
          <w:lang w:val="en-US" w:eastAsia="zh-CN"/>
        </w:rPr>
        <w:t xml:space="preserve">  17.</w:t>
      </w:r>
      <w:r>
        <w:rPr>
          <w:rFonts w:hint="eastAsia" w:ascii="仿宋" w:hAnsi="仿宋" w:eastAsia="仿宋" w:cs="仿宋"/>
          <w:b/>
          <w:bCs/>
          <w:color w:val="auto"/>
          <w:kern w:val="0"/>
          <w:sz w:val="24"/>
          <w:szCs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widowControl/>
        <w:spacing w:line="340" w:lineRule="exact"/>
        <w:ind w:firstLine="482" w:firstLineChars="200"/>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rPr>
        <w:t>17.1.</w:t>
      </w:r>
      <w:r>
        <w:rPr>
          <w:rFonts w:hint="eastAsia" w:ascii="仿宋" w:hAnsi="仿宋" w:eastAsia="仿宋" w:cs="仿宋"/>
          <w:b/>
          <w:bCs/>
          <w:color w:val="auto"/>
          <w:kern w:val="0"/>
          <w:sz w:val="24"/>
          <w:szCs w:val="24"/>
          <w:lang w:val="en-US" w:eastAsia="zh-CN"/>
        </w:rPr>
        <w:t>5开标时间后30分钟内（2023年01月13日上午11:00-11：30前）供应商可以登录“政采云”平台，用“项目采购-开标评标”功能进行解密投标文件。若供应商在规定时间内（2023年01月13日上午12:00前）未按时解密的，视为投标文件撤回。</w:t>
      </w:r>
    </w:p>
    <w:p>
      <w:pPr>
        <w:widowControl/>
        <w:spacing w:line="340" w:lineRule="exact"/>
        <w:ind w:firstLine="482" w:firstLineChars="200"/>
        <w:jc w:val="lef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17.1.</w:t>
      </w:r>
      <w:r>
        <w:rPr>
          <w:rFonts w:hint="eastAsia" w:ascii="仿宋" w:hAnsi="仿宋" w:eastAsia="仿宋" w:cs="仿宋"/>
          <w:b/>
          <w:bCs/>
          <w:color w:val="auto"/>
          <w:kern w:val="0"/>
          <w:sz w:val="24"/>
          <w:szCs w:val="24"/>
          <w:lang w:val="en-US" w:eastAsia="zh-CN"/>
        </w:rPr>
        <w:t>6</w:t>
      </w:r>
      <w:r>
        <w:rPr>
          <w:rFonts w:hint="eastAsia" w:ascii="仿宋" w:hAnsi="仿宋" w:eastAsia="仿宋" w:cs="仿宋"/>
          <w:b/>
          <w:bCs/>
          <w:color w:val="auto"/>
          <w:kern w:val="0"/>
          <w:sz w:val="24"/>
          <w:szCs w:val="24"/>
        </w:rPr>
        <w:t>因系统（非投标供应商行为）的原因，造成投标供应商未能在规定的解密时限内解密的，请及时与招标代理机构或与新疆政府采购网 投标客户端进行联系。</w:t>
      </w:r>
    </w:p>
    <w:p>
      <w:pPr>
        <w:widowControl/>
        <w:autoSpaceDE w:val="0"/>
        <w:autoSpaceDN w:val="0"/>
        <w:adjustRightInd w:val="0"/>
        <w:snapToGrid w:val="0"/>
        <w:spacing w:line="340" w:lineRule="exact"/>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17.1.</w:t>
      </w:r>
      <w:r>
        <w:rPr>
          <w:rFonts w:hint="eastAsia" w:ascii="仿宋" w:hAnsi="仿宋" w:eastAsia="仿宋" w:cs="仿宋"/>
          <w:b/>
          <w:bCs/>
          <w:color w:val="auto"/>
          <w:kern w:val="0"/>
          <w:sz w:val="24"/>
          <w:szCs w:val="24"/>
          <w:lang w:val="en-US" w:eastAsia="zh-CN"/>
        </w:rPr>
        <w:t>7</w:t>
      </w:r>
      <w:r>
        <w:rPr>
          <w:rFonts w:hint="eastAsia" w:ascii="仿宋" w:hAnsi="仿宋" w:eastAsia="仿宋" w:cs="仿宋"/>
          <w:b/>
          <w:bCs/>
          <w:color w:val="auto"/>
          <w:kern w:val="0"/>
          <w:sz w:val="24"/>
          <w:szCs w:val="24"/>
        </w:rPr>
        <w:t>投标文件未按规定上传的，视为其自动放弃投标。</w:t>
      </w:r>
    </w:p>
    <w:p>
      <w:pPr>
        <w:widowControl/>
        <w:shd w:val="clear" w:color="auto" w:fill="FFFFFF"/>
        <w:snapToGrid w:val="0"/>
        <w:spacing w:line="340" w:lineRule="exact"/>
        <w:ind w:firstLine="482" w:firstLineChars="200"/>
        <w:jc w:val="left"/>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17.2</w:t>
      </w:r>
      <w:r>
        <w:rPr>
          <w:rFonts w:hint="eastAsia" w:ascii="仿宋" w:hAnsi="仿宋" w:eastAsia="仿宋" w:cs="仿宋"/>
          <w:b/>
          <w:bCs/>
          <w:color w:val="auto"/>
          <w:kern w:val="0"/>
          <w:sz w:val="24"/>
          <w:szCs w:val="24"/>
        </w:rPr>
        <w:t xml:space="preserve">. </w:t>
      </w:r>
      <w:r>
        <w:rPr>
          <w:rFonts w:hint="eastAsia" w:ascii="仿宋" w:hAnsi="仿宋" w:eastAsia="仿宋" w:cs="仿宋"/>
          <w:b/>
          <w:color w:val="auto"/>
          <w:kern w:val="0"/>
          <w:sz w:val="24"/>
          <w:szCs w:val="24"/>
        </w:rPr>
        <w:t>投标文件的修改与撤回</w:t>
      </w:r>
    </w:p>
    <w:p>
      <w:pPr>
        <w:widowControl/>
        <w:spacing w:line="3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17.2.1投标人在投标截止时间前，可以对所递交的投标文件进行补充、修改或者撤回，并书面通知采购人或者采购代理机构。补充、修改的内容应当按照招标文件要求签署、盖章</w:t>
      </w:r>
      <w:r>
        <w:rPr>
          <w:rFonts w:hint="eastAsia" w:ascii="仿宋" w:hAnsi="仿宋" w:eastAsia="仿宋" w:cs="仿宋"/>
          <w:color w:val="auto"/>
          <w:kern w:val="0"/>
          <w:sz w:val="24"/>
          <w:szCs w:val="24"/>
          <w:lang w:val="en-US" w:eastAsia="zh-CN"/>
        </w:rPr>
        <w:t>后</w:t>
      </w:r>
      <w:r>
        <w:rPr>
          <w:rFonts w:hint="eastAsia" w:ascii="仿宋" w:hAnsi="仿宋" w:eastAsia="仿宋" w:cs="仿宋"/>
          <w:color w:val="auto"/>
          <w:kern w:val="0"/>
          <w:sz w:val="24"/>
          <w:szCs w:val="24"/>
        </w:rPr>
        <w:t>，作为投标文件的组成部分。</w:t>
      </w:r>
    </w:p>
    <w:p>
      <w:pPr>
        <w:widowControl/>
        <w:spacing w:line="340" w:lineRule="exact"/>
        <w:ind w:firstLine="480" w:firstLineChars="200"/>
        <w:jc w:val="left"/>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17.2.2投标人在投标截止期后不得修改、撤回投标文件。</w:t>
      </w:r>
      <w:r>
        <w:rPr>
          <w:rFonts w:hint="eastAsia" w:ascii="仿宋" w:hAnsi="仿宋" w:eastAsia="仿宋" w:cs="仿宋"/>
          <w:b/>
          <w:color w:val="auto"/>
          <w:kern w:val="0"/>
          <w:sz w:val="24"/>
          <w:szCs w:val="24"/>
        </w:rPr>
        <w:t>投标人在投标截止期后修改投标文件的，其投标无效。</w:t>
      </w:r>
    </w:p>
    <w:p>
      <w:pPr>
        <w:widowControl/>
        <w:autoSpaceDE w:val="0"/>
        <w:autoSpaceDN w:val="0"/>
        <w:adjustRightInd w:val="0"/>
        <w:snapToGrid w:val="0"/>
        <w:spacing w:line="340" w:lineRule="exact"/>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17.2.3若供应商在规定的时间内（“投标人须知前附表”的中规定）未能解密的，也将被视为供应商对其投标文件的撤回。</w:t>
      </w:r>
    </w:p>
    <w:p>
      <w:pPr>
        <w:spacing w:line="460" w:lineRule="exact"/>
        <w:rPr>
          <w:rFonts w:hint="eastAsia" w:ascii="仿宋" w:hAnsi="仿宋" w:eastAsia="仿宋" w:cs="仿宋"/>
          <w:color w:val="auto"/>
          <w:sz w:val="24"/>
          <w:szCs w:val="24"/>
        </w:rPr>
      </w:pPr>
    </w:p>
    <w:p>
      <w:pPr>
        <w:numPr>
          <w:ilvl w:val="0"/>
          <w:numId w:val="6"/>
        </w:numPr>
        <w:spacing w:line="460" w:lineRule="exact"/>
        <w:jc w:val="center"/>
        <w:outlineLvl w:val="2"/>
        <w:rPr>
          <w:rFonts w:hint="eastAsia" w:ascii="仿宋" w:hAnsi="仿宋" w:eastAsia="仿宋" w:cs="仿宋"/>
          <w:b/>
          <w:color w:val="auto"/>
          <w:sz w:val="28"/>
          <w:szCs w:val="28"/>
        </w:rPr>
      </w:pPr>
      <w:bookmarkStart w:id="57" w:name="_Toc17234"/>
      <w:bookmarkStart w:id="58" w:name="_Toc18548"/>
      <w:r>
        <w:rPr>
          <w:rFonts w:hint="eastAsia" w:ascii="仿宋" w:hAnsi="仿宋" w:eastAsia="仿宋" w:cs="仿宋"/>
          <w:b/>
          <w:color w:val="auto"/>
          <w:sz w:val="28"/>
          <w:szCs w:val="28"/>
        </w:rPr>
        <w:t>开    标</w:t>
      </w:r>
      <w:bookmarkEnd w:id="57"/>
      <w:bookmarkEnd w:id="58"/>
    </w:p>
    <w:p>
      <w:pPr>
        <w:spacing w:line="460" w:lineRule="exact"/>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kern w:val="0"/>
          <w:sz w:val="24"/>
          <w:szCs w:val="24"/>
        </w:rPr>
        <w:t>8</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开标</w:t>
      </w:r>
    </w:p>
    <w:p>
      <w:pPr>
        <w:spacing w:line="340" w:lineRule="exact"/>
        <w:rPr>
          <w:rFonts w:hint="eastAsia" w:ascii="仿宋" w:hAnsi="仿宋" w:eastAsia="仿宋" w:cs="仿宋"/>
          <w:b/>
          <w:bCs/>
          <w:color w:val="auto"/>
          <w:kern w:val="0"/>
          <w:sz w:val="24"/>
          <w:szCs w:val="24"/>
        </w:rPr>
      </w:pPr>
      <w:bookmarkStart w:id="59" w:name="_Toc12791"/>
      <w:bookmarkStart w:id="60" w:name="_Toc11241"/>
      <w:r>
        <w:rPr>
          <w:rFonts w:hint="eastAsia" w:ascii="仿宋" w:hAnsi="仿宋" w:eastAsia="仿宋" w:cs="仿宋"/>
          <w:b/>
          <w:bCs/>
          <w:color w:val="auto"/>
          <w:kern w:val="0"/>
          <w:sz w:val="24"/>
          <w:szCs w:val="24"/>
        </w:rPr>
        <w:t>18.1. 开标</w:t>
      </w:r>
    </w:p>
    <w:p>
      <w:pPr>
        <w:spacing w:line="34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18.1.1 本次采用不见面方式网上开标。</w:t>
      </w:r>
    </w:p>
    <w:p>
      <w:pPr>
        <w:spacing w:line="34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18.1.2开标由招标代理机构主持，招标人、投标人和有关方面代表参加。</w:t>
      </w:r>
    </w:p>
    <w:p>
      <w:pPr>
        <w:spacing w:line="34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18.1.3开标时，由采购代理机构工作人员当众在不见面开标大厅解密，宣布投标人名称、投标价格和招标文件规定的需要宣布的其他内容。投标人不足3家的，不得开标。</w:t>
      </w:r>
    </w:p>
    <w:p>
      <w:pPr>
        <w:spacing w:line="34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 xml:space="preserve">18.1.4开标时，投标报价以系统显示投标报价为准。 </w:t>
      </w:r>
    </w:p>
    <w:p>
      <w:pPr>
        <w:spacing w:line="34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4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18.1.6投标人代表在开标过程中未提出异议的，视为认可本次开标及开标过程的全部事宜。</w:t>
      </w:r>
    </w:p>
    <w:p>
      <w:pPr>
        <w:numPr>
          <w:ilvl w:val="0"/>
          <w:numId w:val="6"/>
        </w:numPr>
        <w:spacing w:line="460" w:lineRule="exact"/>
        <w:jc w:val="center"/>
        <w:outlineLvl w:val="2"/>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评标、定标</w:t>
      </w:r>
      <w:bookmarkEnd w:id="59"/>
      <w:bookmarkEnd w:id="60"/>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19、评标</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19.1  评标委员会  </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19.1.1 评标委员会或评标小组（以下简称评标委员会）的评标工作由招标单位负责组织，具体评标事务由评标委员会负责，并独立履行其法规规定的职责。</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19.1.2 评标委员会由招标人和专家库中熟悉相关技术的专家组成，成员人数为</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人以上（含</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人）的单数，其中熟悉相关技术方面的专家不得少于成员总数的三之二。评标委员会设负责人的，评标委员会负责人由评标委员会推举产生或者由招标人确定。评标委员会负责人与评标委员会的其他成员有同等的表决权。</w:t>
      </w:r>
      <w:r>
        <w:rPr>
          <w:rFonts w:hint="eastAsia" w:ascii="仿宋" w:hAnsi="仿宋" w:eastAsia="仿宋" w:cs="仿宋"/>
          <w:color w:val="auto"/>
          <w:sz w:val="24"/>
        </w:rPr>
        <w:t>开标前随机抽取确定，并在招标结果确定前保密。</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19.1.3  评标委员会或评标小组负责具体的评标事务，并独立履行以下职责：</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19.1.3.1 审查投标文件是否符合招标文件的要求，并作出评价；</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19.1.3.2 可以要求投标供应商对投标文件有关事项作出解释或澄清；</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19.1.3.3 推荐中标候选供应商名单，或者受招标人委托按照事先确定的最低价的评标办法直接确定中标人；</w:t>
      </w:r>
    </w:p>
    <w:p>
      <w:pPr>
        <w:spacing w:line="46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19.1.3.4 向招标单位或者有关部门报告非法干预评标工作的行为。</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19.1.4 评标委员会成员应当履行下列义务：</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19.1.4 .1 遵纪守法，客观、公正、廉洁地履行职责；</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19.1.4 .2 按照招标文件规定的评标办法和评标标准进行评标，对评审意见承担个人责任；</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19.1.4 .3 对评标过程和结果，以及投标人的商业秘密保密；</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19.1.4 .4 参与评标报告的起草；</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19.1.4 .5 配合财政部门的投诉处理工作；</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19.1.4 .6 配合招标单位答复投标供应商提出的质疑。</w:t>
      </w:r>
    </w:p>
    <w:p>
      <w:pPr>
        <w:spacing w:line="460" w:lineRule="exact"/>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rPr>
        <w:t>19.2</w:t>
      </w:r>
      <w:r>
        <w:rPr>
          <w:rFonts w:hint="eastAsia" w:ascii="仿宋" w:hAnsi="仿宋" w:eastAsia="仿宋" w:cs="仿宋"/>
          <w:color w:val="auto"/>
          <w:sz w:val="24"/>
          <w:szCs w:val="24"/>
          <w:highlight w:val="none"/>
        </w:rPr>
        <w:t>按国家计委等七部委颁发的《评标委员会和评标方法暂行规定》，结合本</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特点，</w:t>
      </w:r>
      <w:r>
        <w:rPr>
          <w:rFonts w:hint="eastAsia" w:ascii="仿宋" w:hAnsi="仿宋" w:eastAsia="仿宋" w:cs="仿宋"/>
          <w:b/>
          <w:bCs/>
          <w:color w:val="auto"/>
          <w:kern w:val="0"/>
          <w:sz w:val="24"/>
          <w:szCs w:val="24"/>
          <w:highlight w:val="none"/>
        </w:rPr>
        <w:t>本项目采用综合评分法，综合评分因素的主要因素为价格、技术、财务状况</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业绩、服务以及对招标文件的响应程度等。每一投标人的最终得分为所有评委评分的算数平均值。（总分100分：其中商务部分和技术部分占</w:t>
      </w:r>
      <w:r>
        <w:rPr>
          <w:rFonts w:hint="eastAsia" w:ascii="仿宋" w:hAnsi="仿宋" w:eastAsia="仿宋" w:cs="仿宋"/>
          <w:b/>
          <w:bCs/>
          <w:color w:val="auto"/>
          <w:kern w:val="0"/>
          <w:sz w:val="24"/>
          <w:szCs w:val="24"/>
          <w:highlight w:val="none"/>
          <w:lang w:val="en-US" w:eastAsia="zh-CN"/>
        </w:rPr>
        <w:t>80</w:t>
      </w:r>
      <w:r>
        <w:rPr>
          <w:rFonts w:hint="eastAsia" w:ascii="仿宋" w:hAnsi="仿宋" w:eastAsia="仿宋" w:cs="仿宋"/>
          <w:b/>
          <w:bCs/>
          <w:color w:val="auto"/>
          <w:kern w:val="0"/>
          <w:sz w:val="24"/>
          <w:szCs w:val="24"/>
          <w:highlight w:val="none"/>
        </w:rPr>
        <w:t>分，投标报价占</w:t>
      </w:r>
      <w:r>
        <w:rPr>
          <w:rFonts w:hint="eastAsia" w:ascii="仿宋" w:hAnsi="仿宋" w:eastAsia="仿宋" w:cs="仿宋"/>
          <w:b/>
          <w:bCs/>
          <w:color w:val="auto"/>
          <w:kern w:val="0"/>
          <w:sz w:val="24"/>
          <w:szCs w:val="24"/>
          <w:highlight w:val="none"/>
          <w:lang w:val="en-US" w:eastAsia="zh-CN"/>
        </w:rPr>
        <w:t>20</w:t>
      </w:r>
      <w:r>
        <w:rPr>
          <w:rFonts w:hint="eastAsia" w:ascii="仿宋" w:hAnsi="仿宋" w:eastAsia="仿宋" w:cs="仿宋"/>
          <w:b/>
          <w:bCs/>
          <w:color w:val="auto"/>
          <w:kern w:val="0"/>
          <w:sz w:val="24"/>
          <w:szCs w:val="24"/>
          <w:highlight w:val="none"/>
        </w:rPr>
        <w:t>分），最终合计得分最高的投标人作为第一中标候选人，以此类推确定第二、第三中标候选人。</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19.3 评标的依据为招标文件和投标文件。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19.4 评标过程的保密性。开标后，直到授予投标人合同为止，凡是属于审查、澄清、评价和比较的有关资料以及授标建议等均不得向投标人或其他无关的人员透露。</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19.5 投标人在评标过程中所进行的试图影响评标结果、有悖于招标规则的活动，可能导致取消其中标资格。</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19.6 与招标文件有重大偏离的投标文件将被拒绝。且此重大偏离在开标后不许修改。</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评标委员会应当审查每一投标文件是否对招标文件提出的所有实质性要求和条件作出响应。未能在实质上响应招标的投标，将作废标处理。</w:t>
      </w:r>
    </w:p>
    <w:p>
      <w:pPr>
        <w:pStyle w:val="146"/>
        <w:spacing w:line="360" w:lineRule="auto"/>
        <w:rPr>
          <w:rFonts w:hint="eastAsia" w:ascii="仿宋" w:hAnsi="仿宋" w:eastAsia="仿宋" w:cs="仿宋"/>
          <w:b/>
          <w:bCs/>
          <w:sz w:val="24"/>
        </w:rPr>
      </w:pPr>
      <w:r>
        <w:rPr>
          <w:rFonts w:hint="eastAsia" w:ascii="仿宋" w:hAnsi="仿宋" w:eastAsia="仿宋" w:cs="仿宋"/>
          <w:b/>
          <w:color w:val="auto"/>
          <w:sz w:val="24"/>
          <w:szCs w:val="24"/>
        </w:rPr>
        <w:t>20、</w:t>
      </w:r>
      <w:r>
        <w:rPr>
          <w:rFonts w:hint="eastAsia" w:ascii="仿宋" w:hAnsi="仿宋" w:eastAsia="仿宋" w:cs="仿宋"/>
          <w:b/>
          <w:bCs/>
          <w:sz w:val="24"/>
        </w:rPr>
        <w:t>投标人资格审查和投标文件符合性审查</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lang w:val="en-US" w:eastAsia="zh-CN"/>
        </w:rPr>
        <w:t>20</w:t>
      </w:r>
      <w:r>
        <w:rPr>
          <w:rFonts w:hint="eastAsia" w:ascii="仿宋" w:hAnsi="仿宋" w:eastAsia="仿宋" w:cs="仿宋"/>
          <w:bCs/>
          <w:sz w:val="24"/>
        </w:rPr>
        <w:t>.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lang w:val="en-US" w:eastAsia="zh-CN"/>
        </w:rPr>
        <w:t>20</w:t>
      </w:r>
      <w:r>
        <w:rPr>
          <w:rFonts w:hint="eastAsia" w:ascii="仿宋" w:hAnsi="仿宋" w:eastAsia="仿宋" w:cs="仿宋"/>
          <w:bCs/>
          <w:sz w:val="24"/>
        </w:rPr>
        <w:t>.2投标人未通过资格审查的不得进入投标文件符合性审查；投标人未通过符合性审查的，不得进入投标文件的综合比较与评价。</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lang w:val="en-US" w:eastAsia="zh-CN"/>
        </w:rPr>
        <w:t>20</w:t>
      </w: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sz w:val="24"/>
        </w:rPr>
        <w:t>投标人不良信用记录以采购人或采购代理机构查询结果为准。</w:t>
      </w:r>
    </w:p>
    <w:p>
      <w:pPr>
        <w:pStyle w:val="14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rPr>
      </w:pPr>
      <w:r>
        <w:rPr>
          <w:rFonts w:hint="eastAsia" w:ascii="仿宋" w:hAnsi="仿宋" w:eastAsia="仿宋" w:cs="仿宋"/>
          <w:bCs/>
          <w:sz w:val="24"/>
          <w:lang w:val="en-US" w:eastAsia="zh-CN"/>
        </w:rPr>
        <w:t>20</w:t>
      </w:r>
      <w:r>
        <w:rPr>
          <w:rFonts w:hint="eastAsia" w:ascii="仿宋" w:hAnsi="仿宋" w:eastAsia="仿宋" w:cs="仿宋"/>
          <w:bCs/>
          <w:sz w:val="24"/>
        </w:rPr>
        <w:t>.</w:t>
      </w:r>
      <w:r>
        <w:rPr>
          <w:rFonts w:hint="eastAsia" w:ascii="仿宋" w:hAnsi="仿宋" w:eastAsia="仿宋" w:cs="仿宋"/>
          <w:bCs/>
          <w:sz w:val="24"/>
          <w:lang w:val="en-US" w:eastAsia="zh-CN"/>
        </w:rPr>
        <w:t>4</w:t>
      </w:r>
      <w:r>
        <w:rPr>
          <w:rFonts w:hint="eastAsia" w:ascii="仿宋" w:hAnsi="仿宋" w:eastAsia="仿宋" w:cs="仿宋"/>
          <w:b/>
          <w:sz w:val="24"/>
        </w:rPr>
        <w:t>资格审查详见投标人须知前附表载明的投标人资格证明文件、符合性审查标准详见第</w:t>
      </w:r>
      <w:r>
        <w:rPr>
          <w:rFonts w:hint="eastAsia" w:ascii="仿宋" w:hAnsi="仿宋" w:eastAsia="仿宋" w:cs="仿宋"/>
          <w:b/>
          <w:sz w:val="24"/>
          <w:lang w:val="en-US" w:eastAsia="zh-CN"/>
        </w:rPr>
        <w:t>三</w:t>
      </w:r>
      <w:r>
        <w:rPr>
          <w:rFonts w:hint="eastAsia" w:ascii="仿宋" w:hAnsi="仿宋" w:eastAsia="仿宋" w:cs="仿宋"/>
          <w:b/>
          <w:sz w:val="24"/>
        </w:rPr>
        <w:t>章评标内容。</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21、投标文件的澄清</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 评标委员会在评标过程中有权随时请投标人就投标文件中含混之处加以澄清或答疑。</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21.2 投标人对要求澄清的问题应以书面形式明确答复，并应有法人授权代表的签署。</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21.3 投标人的澄清文件是投标文件的组成部分，并取代投标文件中被澄清的部分。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21.4 投标文件的澄清不得改变投标的实质内容。</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21.5 如果投标人在投标文件中未对招标文件中的条款或参数要求提出偏离意见或澄清将视同投标人同意招标文件的全部或部分要求。</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22、定标</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22.1 评标委员会有权选择和拒绝投标人中标，且无需向投标人进行任何有关评标的解释工作。</w:t>
      </w:r>
    </w:p>
    <w:p>
      <w:pPr>
        <w:spacing w:line="460" w:lineRule="exact"/>
        <w:ind w:firstLine="480" w:firstLineChars="200"/>
        <w:rPr>
          <w:rFonts w:hint="eastAsia" w:ascii="仿宋" w:hAnsi="仿宋" w:eastAsia="仿宋" w:cs="仿宋"/>
          <w:b/>
          <w:bCs/>
          <w:color w:val="auto"/>
          <w:sz w:val="24"/>
          <w:szCs w:val="24"/>
          <w:highlight w:val="yellow"/>
        </w:rPr>
      </w:pPr>
      <w:r>
        <w:rPr>
          <w:rFonts w:hint="eastAsia" w:ascii="仿宋" w:hAnsi="仿宋" w:eastAsia="仿宋" w:cs="仿宋"/>
          <w:color w:val="auto"/>
          <w:sz w:val="24"/>
          <w:szCs w:val="24"/>
        </w:rPr>
        <w:t>22.2 评标委员会通过上述评标方法</w:t>
      </w:r>
      <w:r>
        <w:rPr>
          <w:rFonts w:hint="eastAsia" w:ascii="仿宋" w:hAnsi="仿宋" w:eastAsia="仿宋" w:cs="仿宋"/>
          <w:b/>
          <w:bCs/>
          <w:color w:val="auto"/>
          <w:sz w:val="24"/>
          <w:szCs w:val="24"/>
        </w:rPr>
        <w:t>以报价由低到高排序确定出前三名作为中标候选人推荐给招标人。</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23、中标的标准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23.1 资格审查文件完整无缺；</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23.2 已交纳投标保证金；</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23.3 报价合理，承诺条件优惠；</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23.4 投标文件与招标文件无重大偏离；</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23.5 有较强的技术力量，能提供完善的技术服务；</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23.6 其他；</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24、中标通知</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24.1 评标结束后，招标人将当众宣布评标结果，并在“新疆政府采购网”（网址：http://www.ccgp-xinjiang.gov.cn/）上予以公告。公告有效期1个工作日；</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24.2 招标代理机构根据定标结果，在投标有效期届满前，以书面形式向中标单位发出中标通知书。</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24.3 </w:t>
      </w:r>
      <w:r>
        <w:rPr>
          <w:rFonts w:hint="eastAsia" w:ascii="仿宋" w:hAnsi="仿宋" w:eastAsia="仿宋" w:cs="仿宋"/>
          <w:color w:val="auto"/>
          <w:sz w:val="24"/>
        </w:rPr>
        <w:t>招标代理机构将定标结果及时通知未中标单位并退还投标保证金。无需解释落标原因</w:t>
      </w:r>
      <w:r>
        <w:rPr>
          <w:rFonts w:hint="eastAsia" w:ascii="仿宋" w:hAnsi="仿宋" w:eastAsia="仿宋" w:cs="仿宋"/>
          <w:color w:val="auto"/>
          <w:sz w:val="24"/>
          <w:szCs w:val="24"/>
        </w:rPr>
        <w:t>。</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24.1 招标人有权在定标之前拒绝任何有不正当行为或扰乱正常招标工作的投标人，由此对投标人造成的损失不负任何责任，同时对此无需做任何解释。</w:t>
      </w:r>
    </w:p>
    <w:p>
      <w:pPr>
        <w:widowControl/>
        <w:spacing w:line="460" w:lineRule="exact"/>
        <w:ind w:firstLine="236" w:firstLineChars="98"/>
        <w:rPr>
          <w:rFonts w:hint="eastAsia" w:ascii="仿宋" w:hAnsi="仿宋" w:eastAsia="仿宋" w:cs="仿宋"/>
          <w:color w:val="auto"/>
        </w:rPr>
      </w:pPr>
      <w:r>
        <w:rPr>
          <w:rFonts w:hint="eastAsia" w:ascii="仿宋" w:hAnsi="仿宋" w:eastAsia="仿宋" w:cs="仿宋"/>
          <w:b/>
          <w:color w:val="auto"/>
          <w:kern w:val="0"/>
          <w:sz w:val="24"/>
          <w:szCs w:val="24"/>
        </w:rPr>
        <w:t xml:space="preserve">  25、</w:t>
      </w:r>
      <w:r>
        <w:rPr>
          <w:rFonts w:hint="eastAsia" w:ascii="仿宋" w:hAnsi="仿宋" w:eastAsia="仿宋" w:cs="仿宋"/>
          <w:b/>
          <w:color w:val="auto"/>
          <w:sz w:val="24"/>
          <w:szCs w:val="24"/>
        </w:rPr>
        <w:t>付款方式</w:t>
      </w:r>
      <w:r>
        <w:rPr>
          <w:rFonts w:hint="eastAsia" w:ascii="仿宋" w:hAnsi="仿宋" w:eastAsia="仿宋" w:cs="仿宋"/>
          <w:b/>
          <w:color w:val="auto"/>
          <w:kern w:val="0"/>
          <w:sz w:val="24"/>
          <w:szCs w:val="24"/>
        </w:rPr>
        <w:t>：甲乙双方签订合同为准</w:t>
      </w:r>
      <w:r>
        <w:rPr>
          <w:rFonts w:hint="eastAsia" w:ascii="仿宋" w:hAnsi="仿宋" w:eastAsia="仿宋" w:cs="仿宋"/>
          <w:b/>
          <w:color w:val="auto"/>
          <w:sz w:val="24"/>
          <w:szCs w:val="24"/>
        </w:rPr>
        <w:t>。</w:t>
      </w:r>
    </w:p>
    <w:p>
      <w:pPr>
        <w:numPr>
          <w:ilvl w:val="0"/>
          <w:numId w:val="6"/>
        </w:numPr>
        <w:spacing w:line="460" w:lineRule="exact"/>
        <w:jc w:val="center"/>
        <w:outlineLvl w:val="2"/>
        <w:rPr>
          <w:rFonts w:hint="eastAsia" w:ascii="仿宋" w:hAnsi="仿宋" w:eastAsia="仿宋" w:cs="仿宋"/>
          <w:b/>
          <w:color w:val="auto"/>
          <w:sz w:val="28"/>
          <w:szCs w:val="28"/>
        </w:rPr>
      </w:pPr>
      <w:bookmarkStart w:id="61" w:name="_Toc24055"/>
      <w:bookmarkStart w:id="62" w:name="_Toc4609"/>
      <w:r>
        <w:rPr>
          <w:rFonts w:hint="eastAsia" w:ascii="仿宋" w:hAnsi="仿宋" w:eastAsia="仿宋" w:cs="仿宋"/>
          <w:b/>
          <w:color w:val="auto"/>
          <w:sz w:val="28"/>
          <w:szCs w:val="28"/>
        </w:rPr>
        <w:t>签定合同</w:t>
      </w:r>
      <w:bookmarkEnd w:id="61"/>
      <w:bookmarkEnd w:id="62"/>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26、签定合同</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26.1 中标人依据《中标通知书》与采购人签订采购合同，签订时间为《中标通知书》发出之日起7个工作日内；</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26.2 中标合同不得转让。合同分包需在投标文件中予以说明，并需经招标人同意。否则，招标人有权取消中标人的中标资格。</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26.3 招标人如遇中标人违约，可从侯选中标人中重新选定中标人，并签定经济合同。</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26.4 合同的制订由招标人、中标人、招标代理机构三方参加，为确保合同双方的利益均等，由招标代理机构在合同制订过程中进行协调。</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26.5 合同一式肆份，需经招标人、中标人双方签字盖章后即生效。招标人、中标人亦可自愿申请公证。</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27、合同的组成</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27.1 下列文件均为合同不可分割部分：</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27.1.1 专用合同；</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27.1.2 合同条款；</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27.1.3 中标通知书；</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27.1.4 乙方中标的投标文件；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27.1.5 招标文件；</w:t>
      </w:r>
    </w:p>
    <w:p>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27.1.6 评标答疑记录。</w:t>
      </w:r>
    </w:p>
    <w:p>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28、履约保证金</w:t>
      </w:r>
    </w:p>
    <w:p>
      <w:pPr>
        <w:pStyle w:val="15"/>
        <w:overflowPunct w:val="0"/>
        <w:spacing w:line="460" w:lineRule="exact"/>
        <w:ind w:firstLine="0"/>
        <w:rPr>
          <w:rFonts w:hint="eastAsia" w:ascii="仿宋" w:hAnsi="仿宋" w:eastAsia="仿宋" w:cs="仿宋"/>
          <w:b/>
          <w:bCs/>
          <w:color w:val="auto"/>
          <w:szCs w:val="24"/>
        </w:rPr>
      </w:pPr>
      <w:r>
        <w:rPr>
          <w:rFonts w:hint="eastAsia" w:ascii="仿宋" w:hAnsi="仿宋" w:eastAsia="仿宋" w:cs="仿宋"/>
          <w:color w:val="auto"/>
          <w:szCs w:val="24"/>
        </w:rPr>
        <w:t xml:space="preserve">     28.1 《中华人民共和国政府采购法实施条例》第四十八条　履约保证金的数额不得超过政府采购合同金额的10%。中标人与招标人签订合同前提交履约保证金，如中标人未按招标文件规定的</w:t>
      </w:r>
      <w:r>
        <w:rPr>
          <w:rFonts w:hint="eastAsia" w:ascii="仿宋" w:hAnsi="仿宋" w:eastAsia="仿宋" w:cs="仿宋"/>
          <w:color w:val="auto"/>
          <w:szCs w:val="24"/>
          <w:lang w:val="en-US" w:eastAsia="zh-CN"/>
        </w:rPr>
        <w:t>服务期服务</w:t>
      </w:r>
      <w:r>
        <w:rPr>
          <w:rFonts w:hint="eastAsia" w:ascii="仿宋" w:hAnsi="仿宋" w:eastAsia="仿宋" w:cs="仿宋"/>
          <w:color w:val="auto"/>
          <w:szCs w:val="24"/>
        </w:rPr>
        <w:t>，则扣除履约保证金</w:t>
      </w:r>
      <w:r>
        <w:rPr>
          <w:rFonts w:hint="eastAsia" w:ascii="仿宋" w:hAnsi="仿宋" w:eastAsia="仿宋" w:cs="仿宋"/>
          <w:b/>
          <w:bCs/>
          <w:color w:val="auto"/>
          <w:szCs w:val="24"/>
        </w:rPr>
        <w:t>。</w:t>
      </w:r>
    </w:p>
    <w:p>
      <w:pPr>
        <w:pStyle w:val="15"/>
        <w:overflowPunct w:val="0"/>
        <w:spacing w:line="46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28.2 履约保证金（无息）将在乙方履行完成合同所有义务后凭乙方的收款收据在五天内退返乙方。</w:t>
      </w:r>
    </w:p>
    <w:p>
      <w:pPr>
        <w:pStyle w:val="15"/>
        <w:overflowPunct w:val="0"/>
        <w:spacing w:line="460" w:lineRule="exact"/>
        <w:ind w:firstLine="480" w:firstLineChars="200"/>
        <w:rPr>
          <w:rFonts w:hint="eastAsia" w:ascii="仿宋" w:hAnsi="仿宋" w:eastAsia="仿宋" w:cs="仿宋"/>
          <w:color w:val="auto"/>
          <w:szCs w:val="24"/>
        </w:rPr>
      </w:pPr>
    </w:p>
    <w:p>
      <w:pPr>
        <w:numPr>
          <w:ilvl w:val="0"/>
          <w:numId w:val="6"/>
        </w:numPr>
        <w:spacing w:line="460" w:lineRule="exact"/>
        <w:jc w:val="center"/>
        <w:outlineLvl w:val="2"/>
        <w:rPr>
          <w:rFonts w:hint="eastAsia" w:ascii="仿宋" w:hAnsi="仿宋" w:eastAsia="仿宋" w:cs="仿宋"/>
          <w:b/>
          <w:bCs w:val="0"/>
          <w:color w:val="auto"/>
          <w:sz w:val="28"/>
          <w:szCs w:val="28"/>
        </w:rPr>
      </w:pPr>
      <w:bookmarkStart w:id="63" w:name="_Toc18703"/>
      <w:bookmarkStart w:id="64" w:name="_Toc28496"/>
      <w:r>
        <w:rPr>
          <w:rFonts w:hint="eastAsia" w:ascii="仿宋" w:hAnsi="仿宋" w:eastAsia="仿宋" w:cs="仿宋"/>
          <w:b/>
          <w:bCs w:val="0"/>
          <w:color w:val="auto"/>
          <w:sz w:val="28"/>
          <w:szCs w:val="28"/>
        </w:rPr>
        <w:t>法律责任</w:t>
      </w:r>
    </w:p>
    <w:p>
      <w:pPr>
        <w:spacing w:line="360" w:lineRule="auto"/>
        <w:ind w:left="718" w:leftChars="1" w:hanging="716" w:hangingChars="297"/>
        <w:rPr>
          <w:rFonts w:hint="eastAsia" w:ascii="仿宋" w:hAnsi="仿宋" w:eastAsia="仿宋" w:cs="仿宋"/>
          <w:b/>
          <w:bCs w:val="0"/>
          <w:color w:val="auto"/>
          <w:sz w:val="24"/>
        </w:rPr>
      </w:pPr>
      <w:r>
        <w:rPr>
          <w:rFonts w:hint="eastAsia" w:ascii="仿宋" w:hAnsi="仿宋" w:eastAsia="仿宋" w:cs="仿宋"/>
          <w:b/>
          <w:bCs w:val="0"/>
          <w:color w:val="auto"/>
          <w:sz w:val="24"/>
        </w:rPr>
        <w:t>29．</w:t>
      </w:r>
      <w:r>
        <w:rPr>
          <w:rFonts w:hint="eastAsia" w:ascii="仿宋" w:hAnsi="仿宋" w:eastAsia="仿宋" w:cs="仿宋"/>
          <w:b/>
          <w:bCs w:val="0"/>
          <w:color w:val="auto"/>
          <w:sz w:val="24"/>
        </w:rPr>
        <w:tab/>
      </w:r>
      <w:r>
        <w:rPr>
          <w:rFonts w:hint="eastAsia" w:ascii="仿宋" w:hAnsi="仿宋" w:eastAsia="仿宋" w:cs="仿宋"/>
          <w:b/>
          <w:bCs w:val="0"/>
          <w:color w:val="auto"/>
          <w:sz w:val="24"/>
        </w:rPr>
        <w:t>法律责任</w:t>
      </w:r>
    </w:p>
    <w:p>
      <w:pPr>
        <w:spacing w:line="360" w:lineRule="auto"/>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rPr>
        <w:t>29.1</w:t>
      </w:r>
      <w:r>
        <w:rPr>
          <w:rFonts w:hint="eastAsia" w:ascii="仿宋" w:hAnsi="仿宋" w:eastAsia="仿宋" w:cs="仿宋"/>
          <w:b/>
          <w:bCs w:val="0"/>
          <w:color w:val="auto"/>
          <w:sz w:val="24"/>
        </w:rPr>
        <w:tab/>
      </w:r>
      <w:r>
        <w:rPr>
          <w:rFonts w:hint="eastAsia" w:ascii="仿宋" w:hAnsi="仿宋" w:eastAsia="仿宋" w:cs="仿宋"/>
          <w:b/>
          <w:bCs w:val="0"/>
          <w:color w:val="auto"/>
          <w:sz w:val="24"/>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spacing w:line="360" w:lineRule="auto"/>
        <w:ind w:left="718" w:leftChars="1" w:hanging="716" w:hangingChars="297"/>
        <w:rPr>
          <w:rFonts w:hint="eastAsia" w:ascii="仿宋" w:hAnsi="仿宋" w:eastAsia="仿宋" w:cs="仿宋"/>
          <w:b/>
          <w:bCs w:val="0"/>
          <w:color w:val="auto"/>
          <w:sz w:val="24"/>
        </w:rPr>
      </w:pPr>
      <w:r>
        <w:rPr>
          <w:rFonts w:hint="eastAsia" w:ascii="仿宋" w:hAnsi="仿宋" w:eastAsia="仿宋" w:cs="仿宋"/>
          <w:b/>
          <w:bCs w:val="0"/>
          <w:color w:val="auto"/>
          <w:sz w:val="24"/>
        </w:rPr>
        <w:t xml:space="preserve">　（一）提供虚假材料谋取中标的； </w:t>
      </w:r>
    </w:p>
    <w:p>
      <w:pPr>
        <w:spacing w:line="360" w:lineRule="auto"/>
        <w:ind w:left="718" w:leftChars="1" w:hanging="716" w:hangingChars="297"/>
        <w:rPr>
          <w:rFonts w:hint="eastAsia" w:ascii="仿宋" w:hAnsi="仿宋" w:eastAsia="仿宋" w:cs="仿宋"/>
          <w:b/>
          <w:bCs w:val="0"/>
          <w:color w:val="auto"/>
          <w:sz w:val="24"/>
        </w:rPr>
      </w:pPr>
      <w:r>
        <w:rPr>
          <w:rFonts w:hint="eastAsia" w:ascii="仿宋" w:hAnsi="仿宋" w:eastAsia="仿宋" w:cs="仿宋"/>
          <w:b/>
          <w:bCs w:val="0"/>
          <w:color w:val="auto"/>
          <w:sz w:val="24"/>
        </w:rPr>
        <w:t>　（二）采取不正当手段诋毁、排挤其他投标人的；</w:t>
      </w:r>
    </w:p>
    <w:p>
      <w:pPr>
        <w:spacing w:line="360" w:lineRule="auto"/>
        <w:ind w:left="718" w:leftChars="1" w:hanging="716" w:hangingChars="297"/>
        <w:rPr>
          <w:rFonts w:hint="eastAsia" w:ascii="仿宋" w:hAnsi="仿宋" w:eastAsia="仿宋" w:cs="仿宋"/>
          <w:b/>
          <w:bCs w:val="0"/>
          <w:color w:val="auto"/>
          <w:sz w:val="24"/>
        </w:rPr>
      </w:pPr>
      <w:r>
        <w:rPr>
          <w:rFonts w:hint="eastAsia" w:ascii="仿宋" w:hAnsi="仿宋" w:eastAsia="仿宋" w:cs="仿宋"/>
          <w:b/>
          <w:bCs w:val="0"/>
          <w:color w:val="auto"/>
          <w:sz w:val="24"/>
        </w:rPr>
        <w:t xml:space="preserve">   （三）与招标人、采购人、其他投标人恶意串通的； </w:t>
      </w:r>
    </w:p>
    <w:p>
      <w:pPr>
        <w:spacing w:line="360" w:lineRule="auto"/>
        <w:ind w:left="718" w:leftChars="1" w:hanging="716" w:hangingChars="297"/>
        <w:rPr>
          <w:rFonts w:hint="eastAsia" w:ascii="仿宋" w:hAnsi="仿宋" w:eastAsia="仿宋" w:cs="仿宋"/>
          <w:b/>
          <w:bCs w:val="0"/>
          <w:color w:val="auto"/>
          <w:sz w:val="24"/>
        </w:rPr>
      </w:pPr>
      <w:r>
        <w:rPr>
          <w:rFonts w:hint="eastAsia" w:ascii="仿宋" w:hAnsi="仿宋" w:eastAsia="仿宋" w:cs="仿宋"/>
          <w:b/>
          <w:bCs w:val="0"/>
          <w:color w:val="auto"/>
          <w:sz w:val="24"/>
        </w:rPr>
        <w:t xml:space="preserve">  （四）向招标人、采购人行贿或者提供其他不正当利益的； </w:t>
      </w:r>
    </w:p>
    <w:p>
      <w:pPr>
        <w:spacing w:line="360" w:lineRule="auto"/>
        <w:rPr>
          <w:rFonts w:hint="eastAsia" w:ascii="仿宋" w:hAnsi="仿宋" w:eastAsia="仿宋" w:cs="仿宋"/>
          <w:b/>
          <w:bCs w:val="0"/>
          <w:color w:val="auto"/>
          <w:sz w:val="24"/>
        </w:rPr>
      </w:pPr>
      <w:r>
        <w:rPr>
          <w:rFonts w:hint="eastAsia" w:ascii="仿宋" w:hAnsi="仿宋" w:eastAsia="仿宋" w:cs="仿宋"/>
          <w:b/>
          <w:bCs w:val="0"/>
          <w:color w:val="auto"/>
          <w:sz w:val="24"/>
        </w:rPr>
        <w:t xml:space="preserve">　（五）在招标过程中与招标人、采购人进行协商谈判、不按照招标文件、投标文件订立合同，或者与采购人另行订立背离合同实质性内容的协议的； </w:t>
      </w:r>
    </w:p>
    <w:p>
      <w:pPr>
        <w:spacing w:line="360" w:lineRule="auto"/>
        <w:ind w:left="718" w:leftChars="1" w:hanging="716" w:hangingChars="297"/>
        <w:rPr>
          <w:rFonts w:hint="eastAsia" w:ascii="仿宋" w:hAnsi="仿宋" w:eastAsia="仿宋" w:cs="仿宋"/>
          <w:b/>
          <w:bCs w:val="0"/>
          <w:color w:val="auto"/>
          <w:sz w:val="24"/>
        </w:rPr>
      </w:pPr>
      <w:r>
        <w:rPr>
          <w:rFonts w:hint="eastAsia" w:ascii="仿宋" w:hAnsi="仿宋" w:eastAsia="仿宋" w:cs="仿宋"/>
          <w:b/>
          <w:bCs w:val="0"/>
          <w:color w:val="auto"/>
          <w:sz w:val="24"/>
        </w:rPr>
        <w:t xml:space="preserve">　（六）拒绝有关部门监督检查或者提供虚假情况的。 </w:t>
      </w:r>
    </w:p>
    <w:p>
      <w:pPr>
        <w:spacing w:line="360" w:lineRule="auto"/>
        <w:ind w:left="718" w:leftChars="1" w:hanging="716" w:hangingChars="297"/>
        <w:rPr>
          <w:rFonts w:hint="eastAsia" w:ascii="仿宋" w:hAnsi="仿宋" w:eastAsia="仿宋" w:cs="仿宋"/>
          <w:b/>
          <w:bCs w:val="0"/>
          <w:color w:val="auto"/>
          <w:sz w:val="24"/>
        </w:rPr>
      </w:pPr>
      <w:r>
        <w:rPr>
          <w:rFonts w:hint="eastAsia" w:ascii="仿宋" w:hAnsi="仿宋" w:eastAsia="仿宋" w:cs="仿宋"/>
          <w:b/>
          <w:bCs w:val="0"/>
          <w:color w:val="auto"/>
          <w:sz w:val="24"/>
        </w:rPr>
        <w:t xml:space="preserve">　投标人有前款第（一）至（五）项情形之一的，中标无效。 </w:t>
      </w:r>
    </w:p>
    <w:p>
      <w:pPr>
        <w:spacing w:line="360" w:lineRule="auto"/>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rPr>
        <w:t>29.2</w:t>
      </w:r>
      <w:r>
        <w:rPr>
          <w:rFonts w:hint="eastAsia" w:ascii="仿宋" w:hAnsi="仿宋" w:eastAsia="仿宋" w:cs="仿宋"/>
          <w:b/>
          <w:bCs w:val="0"/>
          <w:color w:val="auto"/>
          <w:sz w:val="24"/>
        </w:rPr>
        <w:tab/>
      </w:r>
      <w:r>
        <w:rPr>
          <w:rFonts w:hint="eastAsia" w:ascii="仿宋" w:hAnsi="仿宋" w:eastAsia="仿宋" w:cs="仿宋"/>
          <w:b/>
          <w:bCs w:val="0"/>
          <w:color w:val="auto"/>
          <w:sz w:val="24"/>
        </w:rPr>
        <w:t>中标人有下列情形之一的，招标人不予退还其交纳的投标保证金；情节严重的，由财政部门将其列入不良行为记录名单，在一至三年内禁止参加政府采购活动，并予以通报：</w:t>
      </w:r>
    </w:p>
    <w:p>
      <w:pPr>
        <w:spacing w:line="360" w:lineRule="auto"/>
        <w:rPr>
          <w:rFonts w:hint="eastAsia" w:ascii="仿宋" w:hAnsi="仿宋" w:eastAsia="仿宋" w:cs="仿宋"/>
          <w:b/>
          <w:bCs w:val="0"/>
          <w:color w:val="auto"/>
          <w:sz w:val="24"/>
        </w:rPr>
      </w:pPr>
      <w:r>
        <w:rPr>
          <w:rFonts w:hint="eastAsia" w:ascii="仿宋" w:hAnsi="仿宋" w:eastAsia="仿宋" w:cs="仿宋"/>
          <w:b/>
          <w:bCs w:val="0"/>
          <w:color w:val="auto"/>
          <w:sz w:val="24"/>
        </w:rPr>
        <w:t>　（一）中标后无正当理由不与采购人签订合同的；</w:t>
      </w:r>
    </w:p>
    <w:p>
      <w:pPr>
        <w:spacing w:line="360" w:lineRule="auto"/>
        <w:rPr>
          <w:rFonts w:hint="eastAsia" w:ascii="仿宋" w:hAnsi="仿宋" w:eastAsia="仿宋" w:cs="仿宋"/>
          <w:b/>
          <w:bCs w:val="0"/>
          <w:color w:val="auto"/>
          <w:sz w:val="24"/>
        </w:rPr>
      </w:pPr>
      <w:r>
        <w:rPr>
          <w:rFonts w:hint="eastAsia" w:ascii="仿宋" w:hAnsi="仿宋" w:eastAsia="仿宋" w:cs="仿宋"/>
          <w:b/>
          <w:bCs w:val="0"/>
          <w:color w:val="auto"/>
          <w:sz w:val="24"/>
        </w:rPr>
        <w:t xml:space="preserve">  （二）将中标项目转让给他人，或者在投标文件中未说明，且未经招标人同意，将中标项目分包给他人的；</w:t>
      </w:r>
    </w:p>
    <w:p>
      <w:pPr>
        <w:pStyle w:val="21"/>
        <w:tabs>
          <w:tab w:val="left" w:pos="9214"/>
        </w:tabs>
        <w:spacing w:after="0" w:line="360" w:lineRule="auto"/>
        <w:rPr>
          <w:rFonts w:hint="eastAsia" w:ascii="仿宋" w:hAnsi="仿宋" w:eastAsia="仿宋" w:cs="仿宋"/>
          <w:b/>
          <w:bCs w:val="0"/>
          <w:color w:val="auto"/>
          <w:sz w:val="28"/>
          <w:szCs w:val="28"/>
        </w:rPr>
      </w:pPr>
      <w:r>
        <w:rPr>
          <w:rFonts w:hint="eastAsia" w:ascii="仿宋" w:hAnsi="仿宋" w:eastAsia="仿宋" w:cs="仿宋"/>
          <w:b/>
          <w:bCs w:val="0"/>
          <w:color w:val="auto"/>
          <w:sz w:val="24"/>
          <w:szCs w:val="20"/>
        </w:rPr>
        <w:t xml:space="preserve">   （三）拒绝履行合同义务的。</w:t>
      </w:r>
    </w:p>
    <w:p>
      <w:pPr>
        <w:pStyle w:val="21"/>
        <w:tabs>
          <w:tab w:val="left" w:pos="3301"/>
        </w:tabs>
        <w:rPr>
          <w:rFonts w:hint="eastAsia" w:ascii="仿宋" w:hAnsi="仿宋" w:eastAsia="仿宋" w:cs="仿宋"/>
          <w:color w:val="auto"/>
          <w:lang w:eastAsia="zh-CN"/>
        </w:rPr>
      </w:pPr>
      <w:r>
        <w:rPr>
          <w:rFonts w:hint="eastAsia" w:ascii="仿宋" w:hAnsi="仿宋" w:eastAsia="仿宋" w:cs="仿宋"/>
          <w:color w:val="auto"/>
          <w:lang w:eastAsia="zh-CN"/>
        </w:rPr>
        <w:tab/>
      </w:r>
    </w:p>
    <w:p>
      <w:pPr>
        <w:numPr>
          <w:ilvl w:val="0"/>
          <w:numId w:val="6"/>
        </w:numPr>
        <w:spacing w:line="460" w:lineRule="exact"/>
        <w:jc w:val="center"/>
        <w:outlineLvl w:val="2"/>
        <w:rPr>
          <w:rFonts w:hint="eastAsia" w:ascii="仿宋" w:hAnsi="仿宋" w:eastAsia="仿宋" w:cs="仿宋"/>
          <w:b/>
          <w:color w:val="auto"/>
          <w:sz w:val="28"/>
          <w:szCs w:val="28"/>
        </w:rPr>
      </w:pPr>
      <w:r>
        <w:rPr>
          <w:rFonts w:hint="eastAsia" w:ascii="仿宋" w:hAnsi="仿宋" w:eastAsia="仿宋" w:cs="仿宋"/>
          <w:b/>
          <w:color w:val="auto"/>
          <w:sz w:val="28"/>
          <w:szCs w:val="28"/>
        </w:rPr>
        <w:t>特别提示</w:t>
      </w:r>
      <w:bookmarkEnd w:id="63"/>
      <w:bookmarkEnd w:id="64"/>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30、投标人应认真研读招标文件，充分考虑招标文件中的技术要求和合同条款后编制投标文件。</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31、如招标文件中未提供的各类表格样式，投标人可另行设计表格样式，但力求内容完整，表达清晰、准确。</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32</w:t>
      </w:r>
      <w:r>
        <w:rPr>
          <w:rFonts w:hint="eastAsia" w:ascii="仿宋" w:hAnsi="仿宋" w:eastAsia="仿宋" w:cs="仿宋"/>
          <w:color w:val="auto"/>
          <w:sz w:val="24"/>
          <w:szCs w:val="24"/>
        </w:rPr>
        <w:t xml:space="preserve">、本项目实行网上投标，采用电子投标文件。若供应商参与投标，自行承担投标一切费用。 </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33</w:t>
      </w:r>
      <w:r>
        <w:rPr>
          <w:rFonts w:hint="eastAsia" w:ascii="仿宋" w:hAnsi="仿宋" w:eastAsia="仿宋" w:cs="仿宋"/>
          <w:color w:val="auto"/>
          <w:sz w:val="24"/>
          <w:szCs w:val="24"/>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pPr>
        <w:spacing w:line="4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、本招标文件是根据《中华人民共和国招标投标法》规定编制的，解释权属</w:t>
      </w:r>
      <w:r>
        <w:rPr>
          <w:rFonts w:hint="eastAsia" w:ascii="仿宋" w:hAnsi="仿宋" w:eastAsia="仿宋" w:cs="仿宋"/>
          <w:color w:val="auto"/>
          <w:sz w:val="24"/>
          <w:szCs w:val="24"/>
          <w:lang w:eastAsia="zh-CN"/>
        </w:rPr>
        <w:t>新疆星耀天都项目管理有限责任公司</w:t>
      </w:r>
      <w:r>
        <w:rPr>
          <w:rFonts w:hint="eastAsia" w:ascii="仿宋" w:hAnsi="仿宋" w:eastAsia="仿宋" w:cs="仿宋"/>
          <w:color w:val="auto"/>
          <w:sz w:val="24"/>
          <w:szCs w:val="24"/>
        </w:rPr>
        <w:t>。</w:t>
      </w:r>
    </w:p>
    <w:p>
      <w:pPr>
        <w:spacing w:line="460" w:lineRule="exact"/>
        <w:jc w:val="center"/>
        <w:outlineLvl w:val="2"/>
        <w:rPr>
          <w:rFonts w:hint="eastAsia" w:ascii="仿宋" w:hAnsi="仿宋" w:eastAsia="仿宋" w:cs="仿宋"/>
          <w:b/>
          <w:color w:val="auto"/>
          <w:sz w:val="28"/>
          <w:szCs w:val="28"/>
        </w:rPr>
      </w:pPr>
      <w:bookmarkStart w:id="65" w:name="_Toc22021"/>
      <w:bookmarkStart w:id="66" w:name="_Toc15933"/>
      <w:r>
        <w:rPr>
          <w:rFonts w:hint="eastAsia" w:ascii="仿宋" w:hAnsi="仿宋" w:eastAsia="仿宋" w:cs="仿宋"/>
          <w:b/>
          <w:color w:val="auto"/>
          <w:sz w:val="28"/>
          <w:szCs w:val="28"/>
        </w:rPr>
        <w:t>十、招标失败条件</w:t>
      </w:r>
      <w:bookmarkEnd w:id="65"/>
      <w:bookmarkEnd w:id="66"/>
    </w:p>
    <w:p>
      <w:pPr>
        <w:pStyle w:val="26"/>
        <w:tabs>
          <w:tab w:val="left" w:pos="720"/>
          <w:tab w:val="left" w:pos="900"/>
          <w:tab w:val="left" w:pos="1260"/>
        </w:tabs>
        <w:adjustRightInd w:val="0"/>
        <w:spacing w:line="4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34.出现影响采购公正的违法、违规行为的；</w:t>
      </w:r>
    </w:p>
    <w:p>
      <w:pPr>
        <w:pStyle w:val="26"/>
        <w:tabs>
          <w:tab w:val="left" w:pos="720"/>
          <w:tab w:val="left" w:pos="900"/>
          <w:tab w:val="left" w:pos="1260"/>
        </w:tabs>
        <w:adjustRightInd w:val="0"/>
        <w:spacing w:line="4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35.因重大变故，采购任务取消的；</w:t>
      </w:r>
    </w:p>
    <w:p>
      <w:pPr>
        <w:pStyle w:val="26"/>
        <w:tabs>
          <w:tab w:val="left" w:pos="720"/>
          <w:tab w:val="left" w:pos="900"/>
          <w:tab w:val="left" w:pos="1260"/>
        </w:tabs>
        <w:adjustRightInd w:val="0"/>
        <w:spacing w:line="4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36.招标响应文件截止时间后，实际参与的供应商不足法定家数的；</w:t>
      </w:r>
    </w:p>
    <w:p>
      <w:pPr>
        <w:pStyle w:val="26"/>
        <w:tabs>
          <w:tab w:val="left" w:pos="720"/>
          <w:tab w:val="left" w:pos="900"/>
          <w:tab w:val="left" w:pos="1260"/>
        </w:tabs>
        <w:adjustRightInd w:val="0"/>
        <w:spacing w:line="4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37.最终报价均超过采购预算的；</w:t>
      </w:r>
    </w:p>
    <w:p>
      <w:pPr>
        <w:pStyle w:val="15"/>
        <w:overflowPunct w:val="0"/>
        <w:spacing w:line="400" w:lineRule="exact"/>
        <w:ind w:firstLine="480" w:firstLineChars="200"/>
        <w:rPr>
          <w:rFonts w:hint="eastAsia" w:ascii="仿宋" w:hAnsi="仿宋" w:eastAsia="仿宋" w:cs="仿宋"/>
          <w:bCs/>
          <w:color w:val="auto"/>
          <w:szCs w:val="24"/>
        </w:rPr>
      </w:pPr>
      <w:r>
        <w:rPr>
          <w:rFonts w:hint="eastAsia" w:ascii="仿宋" w:hAnsi="仿宋" w:eastAsia="仿宋" w:cs="仿宋"/>
          <w:bCs/>
          <w:color w:val="auto"/>
          <w:szCs w:val="24"/>
        </w:rPr>
        <w:t>38.对招标文件作出实质性响应的供应商不足法定家数的；</w:t>
      </w:r>
    </w:p>
    <w:p>
      <w:pPr>
        <w:rPr>
          <w:rFonts w:hint="eastAsia" w:ascii="仿宋" w:hAnsi="仿宋" w:eastAsia="仿宋" w:cs="仿宋"/>
          <w:color w:val="auto"/>
        </w:rPr>
      </w:pPr>
    </w:p>
    <w:p>
      <w:pPr>
        <w:spacing w:line="360" w:lineRule="auto"/>
        <w:ind w:left="720"/>
        <w:jc w:val="center"/>
        <w:outlineLvl w:val="2"/>
        <w:rPr>
          <w:rFonts w:hint="eastAsia" w:ascii="仿宋" w:hAnsi="仿宋" w:eastAsia="仿宋" w:cs="仿宋"/>
          <w:color w:val="auto"/>
          <w:sz w:val="24"/>
          <w:szCs w:val="24"/>
        </w:rPr>
      </w:pPr>
      <w:r>
        <w:rPr>
          <w:rFonts w:hint="eastAsia" w:ascii="仿宋" w:hAnsi="仿宋" w:eastAsia="仿宋" w:cs="仿宋"/>
          <w:b/>
          <w:color w:val="auto"/>
          <w:sz w:val="28"/>
          <w:szCs w:val="28"/>
        </w:rPr>
        <w:t>十一、</w:t>
      </w:r>
      <w:r>
        <w:rPr>
          <w:rFonts w:hint="eastAsia" w:ascii="仿宋" w:hAnsi="仿宋" w:eastAsia="仿宋" w:cs="仿宋"/>
          <w:b/>
          <w:color w:val="auto"/>
          <w:sz w:val="28"/>
          <w:szCs w:val="24"/>
        </w:rPr>
        <w:t>质疑及答复</w:t>
      </w:r>
    </w:p>
    <w:p>
      <w:pPr>
        <w:spacing w:line="400" w:lineRule="exact"/>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39、质疑的提出</w:t>
      </w:r>
      <w:r>
        <w:rPr>
          <w:rFonts w:hint="eastAsia" w:ascii="仿宋" w:hAnsi="仿宋" w:eastAsia="仿宋" w:cs="仿宋"/>
          <w:color w:val="auto"/>
          <w:sz w:val="24"/>
          <w:szCs w:val="24"/>
        </w:rPr>
        <w:tab/>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39.1 本采购文件中所称质疑及答复，是指参加本次采购活动的供应商对政府采购活动中的采购文件、采购过程和中标结果向采购方提出质疑，采购方答复质疑的行为。</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39.2 供应商认为采购文件、采购过程和中标结果使自己的权益受到损害的，可以在知道或者应知其权益受到损害之日起 7 个工作日内，以书面形式向采购方提出质疑。</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39.2.1供应商应知其权益受到损害之日，是指：</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（一）对可以质疑的采购文件提出质疑的，为收到采购文件之日或者采购文件公告期限届满之日；</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（二）对采购过程提出质疑的，为各采购程序环节结束之日；</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（三）对中标结果提出质疑的，为中标结果公告期限届满之日。</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39.3 对可以质疑的采购文件提出质疑的，质疑人为参与本项目的报价方或潜在报价方。可质疑的文件为采购公告以及采购文件（包括属于其组成部分的澄清、修改、补充文件和评审标准、合同文本等）。</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39.5   提出质疑应当符合下列条件：</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（一）质疑主体应当符合有关规定；</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（二）在质疑法定期限内提出；</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（三）属于可以提出质疑的政府采购事项受理范围和本项目采购人的管辖权范围；</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（四）政府采购法律、法规、规章规定的其他条件。</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39.7 质疑人所提供的证明材料应当具有真实性、合法性以及与质疑事项的关联性和证明力，否则不能作为认定该质疑事项成立的依据。</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39.8 质疑人提出质疑时应当提交质疑函。质疑函包括下列内容：</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（一）提出质疑的质疑人的名称、地址、邮编、联系人及联系电话等；</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（二）质疑项目的名称、编号；</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（三）质疑事项；</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（四）事实依据和证明材料；</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（五）法律依据；</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（六）提出质疑的日期。</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39.9  质疑函采用实名制。质疑人为自然人的应当由本人签字，并附有效身份证明文件；质疑人为法人或者非法人组织的应当由法定代表人或者负责人签字并加盖公章，并附有效身份证明文件。</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39.10 质疑人可以委托代理人进行质疑。代理人应当提交授权委托书。授权委托书应当载明委托代理的具体权限、期限和相关事项。</w:t>
      </w:r>
    </w:p>
    <w:p>
      <w:pPr>
        <w:spacing w:line="40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40、质疑的审查和受理</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40.1 采购方在收到质疑函后应当及时审查是否符合质疑受理条件，对符合质疑受理条件的，及时予以受理。</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40.2对不符合质疑受理条件的，分别按照下列不同情形予以处理：</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（一）质疑函内容不符合规定的，告知质疑人进行修改并重新提出质疑。修改后质疑事项仍不具体、不明确或者最终递交质疑函的时间超过质疑法定期限的，不予受理；</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（二）质疑主体不符合有关规定的，告知质疑人不予受理；</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（三）超过质疑法定期限提出质疑的，告知质疑人不予受理；</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（四）对不属于可以提出质疑的政府采购事项提出质疑的，告知质疑人不予受理；</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（五）质疑不属于本项目采购方管辖的，告知质疑人向有管辖权的采购人提出质疑；</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（六）质疑不符合其他条件的，告知质疑人不予受理。</w:t>
      </w:r>
    </w:p>
    <w:p>
      <w:pPr>
        <w:spacing w:line="40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41、质疑的处理和答复</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41.1 按照《政府采购质疑和投诉办法（财政部94号令）》处理及答复质疑。</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41.2 采购方受理质疑后，将及时把质疑函发送给被质疑人，并要求其在一定限期人提交书面答复，同时提供有关证据、依据和相关材料。</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41.3 对于质疑事项中涉及的问题较多、情况比较复杂的，为了全面查清事实、取得充分的证据，采购方认为有必要时，可以进行调查取证或者组织质证。</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41.4对评审过程、中标结果提出质疑的，采购方可以组织原评审委员会协助答复质疑。</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41.5质疑处理过程中，质疑人书面申请撤回质疑的，将终止质疑处理程序。</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41.6质疑人拒绝配合采购方依法对质疑进行调查处理的，采购方将按质疑人自动撤回质疑处理；被质疑人拒绝配合采购方依法对质疑进行调查处理的，采购方将视同其认可质疑事项。</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41.7 采购方将在正式受理质疑后 7 个工作日内作出答复，但处理质疑需要进行调查取证、组织专家评审、质疑人及被质疑人提交或补正材料等所需时间，不计算在质疑处理期限内。</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41.8 采购方经调查、论证、核实，认定质疑不能成立的，继续开展采购活动；认定质疑成立的，按照以下情况处理：</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41.9 采购方将书面答复质疑，质疑答复包括下列内容：</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（一）质疑人名称；</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（二）收到质疑函的日期、质疑项目名称及编号;</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（三）质疑事项、质疑答复的具体内容、事实依据和法律依据；</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（四）告知质疑人依法投诉的权利；</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（五）质疑答复日期。</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41.10 质疑人有下列行为之一的，属于虚假、恶意质疑，将由采购方建议财政部门将其列入不良行为记录名单，禁止其 1 至 3 年内参加政府采购活动：</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（一）受理后发现投诉不符合法定受理条件；</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（二）投诉事项缺乏事实依据，投诉事项不成立；</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（三）投诉人捏造事实或者提供虚假材料；</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（四）投诉人以非法手段取得证明材料。证据来源的合法性存在明显疑问，投诉人无法证明其取得方式合法的，视为以非法手段取得证明材料。</w:t>
      </w:r>
    </w:p>
    <w:p>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szCs w:val="24"/>
        </w:rPr>
        <w:t>（五）法律法规规定的其他违法情形。</w:t>
      </w:r>
    </w:p>
    <w:p>
      <w:pPr>
        <w:pStyle w:val="77"/>
        <w:spacing w:line="450" w:lineRule="exact"/>
        <w:jc w:val="center"/>
        <w:outlineLvl w:val="0"/>
        <w:rPr>
          <w:rFonts w:hint="eastAsia" w:ascii="仿宋" w:hAnsi="仿宋" w:eastAsia="仿宋" w:cs="仿宋"/>
          <w:b/>
          <w:bCs/>
          <w:color w:val="auto"/>
          <w:sz w:val="28"/>
          <w:szCs w:val="28"/>
        </w:rPr>
      </w:pPr>
    </w:p>
    <w:p>
      <w:pPr>
        <w:pStyle w:val="77"/>
        <w:spacing w:line="450" w:lineRule="exact"/>
        <w:jc w:val="cente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质疑函</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致：</w:t>
      </w:r>
      <w:r>
        <w:rPr>
          <w:rFonts w:hint="eastAsia" w:ascii="仿宋" w:hAnsi="仿宋" w:eastAsia="仿宋" w:cs="仿宋"/>
          <w:color w:val="auto"/>
          <w:kern w:val="0"/>
          <w:sz w:val="24"/>
          <w:szCs w:val="24"/>
          <w:u w:val="single"/>
        </w:rPr>
        <w:t xml:space="preserve">               </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依据政府采购相关法规，我公司对</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的项目（项目编号：</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）评审活动存在疑问，特提出质疑（详见下表）。</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我公司和本人对此质疑函内容的真实性负责，并愿意承担由此引起的相应处理和法律责任。</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法定代表人（签字并盖名章）：</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身份证号码：</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固话：</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传真：</w:t>
      </w:r>
      <w:r>
        <w:rPr>
          <w:rFonts w:hint="eastAsia" w:ascii="仿宋" w:hAnsi="仿宋" w:eastAsia="仿宋" w:cs="仿宋"/>
          <w:color w:val="auto"/>
          <w:kern w:val="0"/>
          <w:sz w:val="24"/>
          <w:szCs w:val="24"/>
        </w:rPr>
        <w:tab/>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手机：</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本项目授权委托人（签字并盖名章）：</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身份证号码：</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固话：</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传真：</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手机：</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公司地址：</w:t>
      </w:r>
      <w:r>
        <w:rPr>
          <w:rFonts w:hint="eastAsia" w:ascii="仿宋" w:hAnsi="仿宋" w:eastAsia="仿宋" w:cs="仿宋"/>
          <w:color w:val="auto"/>
          <w:kern w:val="0"/>
          <w:sz w:val="24"/>
          <w:szCs w:val="24"/>
        </w:rPr>
        <w:tab/>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邮编：</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质疑人（公章）</w:t>
      </w:r>
    </w:p>
    <w:p>
      <w:pPr>
        <w:spacing w:line="360" w:lineRule="auto"/>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月 </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日</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p>
    <w:p>
      <w:pPr>
        <w:pStyle w:val="21"/>
        <w:rPr>
          <w:rFonts w:hint="eastAsia" w:ascii="仿宋" w:hAnsi="仿宋" w:eastAsia="仿宋" w:cs="仿宋"/>
        </w:rPr>
      </w:pPr>
    </w:p>
    <w:p>
      <w:pPr>
        <w:spacing w:line="360" w:lineRule="auto"/>
        <w:jc w:val="center"/>
        <w:outlineLvl w:val="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质疑内容</w:t>
      </w:r>
    </w:p>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项目编号：</w:t>
      </w:r>
      <w:r>
        <w:rPr>
          <w:rFonts w:hint="eastAsia" w:ascii="仿宋" w:hAnsi="仿宋" w:eastAsia="仿宋" w:cs="仿宋"/>
          <w:color w:val="auto"/>
          <w:sz w:val="24"/>
          <w:szCs w:val="24"/>
          <w:u w:val="single"/>
        </w:rPr>
        <w:t xml:space="preserve">                        </w:t>
      </w:r>
    </w:p>
    <w:tbl>
      <w:tblPr>
        <w:tblStyle w:val="44"/>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noWrap w:val="0"/>
            <w:vAlign w:val="center"/>
          </w:tcPr>
          <w:p>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具体内容</w:t>
            </w:r>
          </w:p>
        </w:tc>
        <w:tc>
          <w:tcPr>
            <w:tcW w:w="7409" w:type="dxa"/>
            <w:noWrap w:val="0"/>
            <w:vAlign w:val="center"/>
          </w:tcPr>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rPr>
            </w:pPr>
          </w:p>
        </w:tc>
        <w:tc>
          <w:tcPr>
            <w:tcW w:w="7409" w:type="dxa"/>
            <w:noWrap w:val="0"/>
            <w:vAlign w:val="center"/>
          </w:tcPr>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rPr>
            </w:pPr>
          </w:p>
        </w:tc>
        <w:tc>
          <w:tcPr>
            <w:tcW w:w="7409" w:type="dxa"/>
            <w:noWrap w:val="0"/>
            <w:vAlign w:val="center"/>
          </w:tcPr>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rPr>
            </w:pPr>
          </w:p>
        </w:tc>
        <w:tc>
          <w:tcPr>
            <w:tcW w:w="7409" w:type="dxa"/>
            <w:noWrap w:val="0"/>
            <w:vAlign w:val="center"/>
          </w:tcPr>
          <w:p>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noWrap w:val="0"/>
            <w:vAlign w:val="center"/>
          </w:tcPr>
          <w:p>
            <w:pPr>
              <w:spacing w:line="360" w:lineRule="auto"/>
              <w:jc w:val="center"/>
              <w:rPr>
                <w:rFonts w:hint="eastAsia" w:ascii="仿宋" w:hAnsi="仿宋" w:eastAsia="仿宋" w:cs="仿宋"/>
                <w:color w:val="auto"/>
                <w:kern w:val="0"/>
                <w:sz w:val="24"/>
                <w:szCs w:val="24"/>
              </w:rPr>
            </w:pPr>
          </w:p>
        </w:tc>
        <w:tc>
          <w:tcPr>
            <w:tcW w:w="7409" w:type="dxa"/>
            <w:noWrap w:val="0"/>
            <w:vAlign w:val="top"/>
          </w:tcPr>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佐证材料：</w:t>
            </w:r>
          </w:p>
        </w:tc>
      </w:tr>
    </w:tbl>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3、“具体的质疑事项及事实依据”一栏填写不下时，质疑人可另附页（A4），但附纸要求加盖质疑人公章。</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4、与质疑事项有关的材料应与质疑函合并装订。</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5、质疑函一式三份。</w:t>
      </w:r>
    </w:p>
    <w:p>
      <w:pPr>
        <w:pStyle w:val="15"/>
        <w:rPr>
          <w:rFonts w:hint="eastAsia" w:ascii="仿宋" w:hAnsi="仿宋" w:eastAsia="仿宋" w:cs="仿宋"/>
        </w:rPr>
      </w:pPr>
      <w:r>
        <w:rPr>
          <w:rFonts w:hint="eastAsia" w:ascii="仿宋" w:hAnsi="仿宋" w:eastAsia="仿宋" w:cs="仿宋"/>
          <w:color w:val="auto"/>
        </w:rPr>
        <w:br w:type="page"/>
      </w:r>
    </w:p>
    <w:p>
      <w:pPr>
        <w:pStyle w:val="15"/>
        <w:rPr>
          <w:rFonts w:hint="eastAsia" w:ascii="仿宋" w:hAnsi="仿宋" w:eastAsia="仿宋" w:cs="仿宋"/>
        </w:rPr>
      </w:pPr>
    </w:p>
    <w:bookmarkEnd w:id="47"/>
    <w:bookmarkEnd w:id="48"/>
    <w:p>
      <w:pPr>
        <w:keepNext w:val="0"/>
        <w:keepLines w:val="0"/>
        <w:widowControl/>
        <w:numPr>
          <w:ilvl w:val="0"/>
          <w:numId w:val="7"/>
        </w:numPr>
        <w:suppressLineNumbers w:val="0"/>
        <w:jc w:val="center"/>
        <w:rPr>
          <w:rFonts w:hint="eastAsia" w:ascii="仿宋" w:hAnsi="仿宋" w:eastAsia="仿宋" w:cs="仿宋"/>
          <w:b/>
          <w:bCs/>
          <w:color w:val="auto"/>
          <w:kern w:val="0"/>
          <w:sz w:val="36"/>
          <w:szCs w:val="36"/>
          <w:highlight w:val="none"/>
          <w:lang w:val="en-US" w:eastAsia="zh-CN" w:bidi="ar"/>
        </w:rPr>
      </w:pPr>
      <w:bookmarkStart w:id="67" w:name="_Toc20110"/>
      <w:bookmarkStart w:id="68" w:name="_Toc6417"/>
      <w:bookmarkStart w:id="69" w:name="_Toc23028"/>
      <w:bookmarkStart w:id="70" w:name="_Toc1354"/>
      <w:bookmarkStart w:id="71" w:name="_Toc29710"/>
      <w:r>
        <w:rPr>
          <w:rFonts w:hint="eastAsia" w:ascii="仿宋" w:hAnsi="仿宋" w:eastAsia="仿宋" w:cs="仿宋"/>
          <w:b/>
          <w:bCs/>
          <w:color w:val="auto"/>
          <w:kern w:val="0"/>
          <w:sz w:val="36"/>
          <w:szCs w:val="36"/>
          <w:highlight w:val="none"/>
          <w:lang w:val="en-US" w:eastAsia="zh-CN" w:bidi="ar"/>
        </w:rPr>
        <w:t>评标办法及标准</w:t>
      </w:r>
    </w:p>
    <w:tbl>
      <w:tblPr>
        <w:tblStyle w:val="44"/>
        <w:tblW w:w="9261"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68"/>
        <w:gridCol w:w="5958"/>
        <w:gridCol w:w="965"/>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40" w:type="dxa"/>
            <w:vMerge w:val="restart"/>
            <w:vAlign w:val="center"/>
          </w:tcPr>
          <w:p>
            <w:pPr>
              <w:pStyle w:val="140"/>
              <w:keepNext w:val="0"/>
              <w:keepLines w:val="0"/>
              <w:pageBreakBefore w:val="0"/>
              <w:widowControl w:val="0"/>
              <w:kinsoku/>
              <w:wordWrap/>
              <w:overflowPunct/>
              <w:topLinePunct w:val="0"/>
              <w:autoSpaceDE/>
              <w:autoSpaceDN/>
              <w:bidi w:val="0"/>
              <w:adjustRightInd/>
              <w:snapToGrid/>
              <w:spacing w:before="39" w:line="400" w:lineRule="exact"/>
              <w:ind w:left="219" w:right="211"/>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资格审查</w:t>
            </w:r>
            <w:r>
              <w:rPr>
                <w:rFonts w:hint="eastAsia" w:ascii="仿宋" w:hAnsi="仿宋" w:eastAsia="仿宋" w:cs="仿宋"/>
                <w:color w:val="auto"/>
                <w:sz w:val="21"/>
                <w:szCs w:val="21"/>
                <w:highlight w:val="none"/>
                <w:lang w:val="en-US" w:eastAsia="zh-CN"/>
              </w:rPr>
              <w:t>表</w:t>
            </w:r>
          </w:p>
          <w:p>
            <w:pPr>
              <w:pStyle w:val="140"/>
              <w:keepNext w:val="0"/>
              <w:keepLines w:val="0"/>
              <w:pageBreakBefore w:val="0"/>
              <w:widowControl w:val="0"/>
              <w:kinsoku/>
              <w:wordWrap/>
              <w:overflowPunct/>
              <w:topLinePunct w:val="0"/>
              <w:autoSpaceDE/>
              <w:autoSpaceDN/>
              <w:bidi w:val="0"/>
              <w:adjustRightInd/>
              <w:snapToGrid/>
              <w:spacing w:before="39" w:line="400" w:lineRule="exact"/>
              <w:ind w:left="219" w:right="211"/>
              <w:jc w:val="center"/>
              <w:textAlignment w:val="auto"/>
              <w:rPr>
                <w:rFonts w:hint="eastAsia" w:ascii="仿宋" w:hAnsi="仿宋" w:eastAsia="仿宋" w:cs="仿宋"/>
                <w:color w:val="auto"/>
                <w:sz w:val="21"/>
                <w:szCs w:val="21"/>
                <w:highlight w:val="none"/>
              </w:rPr>
            </w:pPr>
          </w:p>
        </w:tc>
        <w:tc>
          <w:tcPr>
            <w:tcW w:w="768" w:type="dxa"/>
            <w:vMerge w:val="restart"/>
            <w:vAlign w:val="center"/>
          </w:tcPr>
          <w:p>
            <w:pPr>
              <w:pStyle w:val="140"/>
              <w:keepNext w:val="0"/>
              <w:keepLines w:val="0"/>
              <w:pageBreakBefore w:val="0"/>
              <w:widowControl w:val="0"/>
              <w:kinsoku/>
              <w:wordWrap/>
              <w:overflowPunct/>
              <w:topLinePunct w:val="0"/>
              <w:autoSpaceDE/>
              <w:autoSpaceDN/>
              <w:bidi w:val="0"/>
              <w:adjustRightInd/>
              <w:snapToGrid/>
              <w:spacing w:before="39" w:line="400" w:lineRule="exact"/>
              <w:ind w:left="208" w:right="197"/>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序号</w:t>
            </w:r>
          </w:p>
        </w:tc>
        <w:tc>
          <w:tcPr>
            <w:tcW w:w="5958" w:type="dxa"/>
            <w:vMerge w:val="restart"/>
            <w:vAlign w:val="center"/>
          </w:tcPr>
          <w:p>
            <w:pPr>
              <w:pStyle w:val="140"/>
              <w:keepNext w:val="0"/>
              <w:keepLines w:val="0"/>
              <w:pageBreakBefore w:val="0"/>
              <w:widowControl w:val="0"/>
              <w:kinsoku/>
              <w:wordWrap/>
              <w:overflowPunct/>
              <w:topLinePunct w:val="0"/>
              <w:autoSpaceDE/>
              <w:autoSpaceDN/>
              <w:bidi w:val="0"/>
              <w:adjustRightInd/>
              <w:snapToGrid/>
              <w:spacing w:before="10"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1" w:line="400" w:lineRule="exact"/>
              <w:ind w:right="3083"/>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评审内容</w:t>
            </w:r>
          </w:p>
        </w:tc>
        <w:tc>
          <w:tcPr>
            <w:tcW w:w="1995" w:type="dxa"/>
            <w:gridSpan w:val="2"/>
            <w:vAlign w:val="center"/>
          </w:tcPr>
          <w:p>
            <w:pPr>
              <w:pStyle w:val="140"/>
              <w:keepNext w:val="0"/>
              <w:keepLines w:val="0"/>
              <w:pageBreakBefore w:val="0"/>
              <w:widowControl w:val="0"/>
              <w:kinsoku/>
              <w:wordWrap/>
              <w:overflowPunct/>
              <w:topLinePunct w:val="0"/>
              <w:autoSpaceDE/>
              <w:autoSpaceDN/>
              <w:bidi w:val="0"/>
              <w:adjustRightInd/>
              <w:snapToGrid/>
              <w:spacing w:before="1" w:line="400" w:lineRule="exact"/>
              <w:ind w:left="436"/>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540" w:type="dxa"/>
            <w:vMerge w:val="continue"/>
            <w:vAlign w:val="center"/>
          </w:tcPr>
          <w:p>
            <w:pPr>
              <w:pStyle w:val="140"/>
              <w:keepNext w:val="0"/>
              <w:keepLines w:val="0"/>
              <w:pageBreakBefore w:val="0"/>
              <w:widowControl w:val="0"/>
              <w:kinsoku/>
              <w:wordWrap/>
              <w:overflowPunct/>
              <w:topLinePunct w:val="0"/>
              <w:autoSpaceDE/>
              <w:autoSpaceDN/>
              <w:bidi w:val="0"/>
              <w:adjustRightInd/>
              <w:snapToGrid/>
              <w:spacing w:before="39" w:line="400" w:lineRule="exact"/>
              <w:ind w:left="219" w:right="211"/>
              <w:jc w:val="center"/>
              <w:textAlignment w:val="auto"/>
              <w:rPr>
                <w:rFonts w:hint="eastAsia" w:ascii="仿宋" w:hAnsi="仿宋" w:eastAsia="仿宋" w:cs="仿宋"/>
                <w:color w:val="auto"/>
                <w:sz w:val="21"/>
                <w:szCs w:val="21"/>
                <w:highlight w:val="none"/>
              </w:rPr>
            </w:pPr>
          </w:p>
        </w:tc>
        <w:tc>
          <w:tcPr>
            <w:tcW w:w="768" w:type="dxa"/>
            <w:vMerge w:val="continue"/>
            <w:vAlign w:val="center"/>
          </w:tcPr>
          <w:p>
            <w:pPr>
              <w:pStyle w:val="140"/>
              <w:keepNext w:val="0"/>
              <w:keepLines w:val="0"/>
              <w:pageBreakBefore w:val="0"/>
              <w:widowControl w:val="0"/>
              <w:kinsoku/>
              <w:wordWrap/>
              <w:overflowPunct/>
              <w:topLinePunct w:val="0"/>
              <w:autoSpaceDE/>
              <w:autoSpaceDN/>
              <w:bidi w:val="0"/>
              <w:adjustRightInd/>
              <w:snapToGrid/>
              <w:spacing w:before="39" w:line="400" w:lineRule="exact"/>
              <w:ind w:left="208" w:right="197"/>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5958" w:type="dxa"/>
            <w:vMerge w:val="continue"/>
            <w:vAlign w:val="center"/>
          </w:tcPr>
          <w:p>
            <w:pPr>
              <w:pStyle w:val="140"/>
              <w:keepNext w:val="0"/>
              <w:keepLines w:val="0"/>
              <w:pageBreakBefore w:val="0"/>
              <w:widowControl w:val="0"/>
              <w:kinsoku/>
              <w:wordWrap/>
              <w:overflowPunct/>
              <w:topLinePunct w:val="0"/>
              <w:autoSpaceDE/>
              <w:autoSpaceDN/>
              <w:bidi w:val="0"/>
              <w:adjustRightInd/>
              <w:snapToGrid/>
              <w:spacing w:before="1" w:line="400" w:lineRule="exact"/>
              <w:ind w:right="3083"/>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before="124" w:line="400" w:lineRule="exact"/>
              <w:ind w:left="162" w:lef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w:t>
            </w: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before="124" w:line="400" w:lineRule="exact"/>
              <w:ind w:left="154" w:lef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140" w:line="400" w:lineRule="exact"/>
              <w:ind w:left="9"/>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1</w:t>
            </w:r>
          </w:p>
        </w:tc>
        <w:tc>
          <w:tcPr>
            <w:tcW w:w="59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是否提供经年审合格的“三证合一”的营业执照；</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138" w:line="400" w:lineRule="exact"/>
              <w:ind w:left="9"/>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2</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138"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是否提供2021年第三方审计机构出具的审计报告（2022年成立的公司可不提供但需提供银行出具的近3个月的资信证明）和健全的财务会计制度</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188" w:line="400" w:lineRule="exact"/>
              <w:ind w:left="9"/>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3</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97" w:line="400" w:lineRule="exact"/>
              <w:ind w:left="107" w:leftChars="0" w:right="96" w:righ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是否提供提供法人（指本单位）2022年近三个月的社保缴纳证明（新成立时间少于三个月的公司，按实际发生提供）；提供税务机关出具2022年近三个月的完税证明或依法缴纳税收的相关证明材料；（新成立不足三个月的，按实际情况发生提供)；</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188" w:line="400" w:lineRule="exact"/>
              <w:jc w:val="center"/>
              <w:textAlignment w:val="auto"/>
              <w:rPr>
                <w:rFonts w:hint="default"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4</w:t>
            </w:r>
          </w:p>
        </w:tc>
        <w:tc>
          <w:tcPr>
            <w:tcW w:w="59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i w:val="0"/>
                <w:caps w:val="0"/>
                <w:color w:val="auto"/>
                <w:spacing w:val="0"/>
                <w:kern w:val="2"/>
                <w:sz w:val="21"/>
                <w:szCs w:val="21"/>
                <w:highlight w:val="none"/>
                <w:shd w:val="clear" w:color="auto" w:fill="FFFFFF"/>
                <w:lang w:val="zh-CN"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是否提供参加政府采购活动前 3 年内在经营活动中没有重大违法记录的书面声明</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ind w:left="9"/>
              <w:jc w:val="center"/>
              <w:textAlignment w:val="auto"/>
              <w:rPr>
                <w:rFonts w:hint="default"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5</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zh-CN"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凡拟参加本次招标项目的投标人，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现场不需提供，但投标文件需附截图并盖章）</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ind w:left="9"/>
              <w:jc w:val="center"/>
              <w:textAlignment w:val="auto"/>
              <w:rPr>
                <w:rFonts w:hint="default"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6</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投标人是否提供投标保证金缴纳凭证；</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ind w:left="9"/>
              <w:jc w:val="center"/>
              <w:textAlignment w:val="auto"/>
              <w:rPr>
                <w:rFonts w:hint="default" w:ascii="仿宋" w:hAnsi="仿宋" w:eastAsia="仿宋" w:cs="仿宋"/>
                <w:b w:val="0"/>
                <w:bCs/>
                <w:i w:val="0"/>
                <w:caps w:val="0"/>
                <w:color w:val="FF0000"/>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FF0000"/>
                <w:spacing w:val="0"/>
                <w:kern w:val="2"/>
                <w:sz w:val="21"/>
                <w:szCs w:val="21"/>
                <w:highlight w:val="none"/>
                <w:shd w:val="clear" w:color="auto" w:fill="FFFFFF"/>
                <w:lang w:val="en-US" w:eastAsia="zh-CN" w:bidi="ar-SA"/>
              </w:rPr>
              <w:t>7</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default" w:ascii="仿宋" w:hAnsi="仿宋" w:eastAsia="仿宋" w:cs="仿宋"/>
                <w:b w:val="0"/>
                <w:bCs/>
                <w:i w:val="0"/>
                <w:caps w:val="0"/>
                <w:color w:val="FF0000"/>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FF0000"/>
                <w:spacing w:val="0"/>
                <w:kern w:val="2"/>
                <w:sz w:val="21"/>
                <w:szCs w:val="21"/>
                <w:highlight w:val="none"/>
                <w:shd w:val="clear" w:color="auto" w:fill="FFFFFF"/>
                <w:lang w:val="en-US" w:eastAsia="zh-CN" w:bidi="ar-SA"/>
              </w:rPr>
              <w:t>投标单位是否提供中小企业声明函</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40" w:type="dxa"/>
            <w:vMerge w:val="restart"/>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符合性评审</w:t>
            </w: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1</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投标文件是否有投标单位法定代表人或其委托代理人（签章）和加盖了投标企业的公章。</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2</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服务地点、服务期是否符合招标文件要求</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zh-CN"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3</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商务条款、技术条款是否有偏离情况的；</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zh-CN"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4</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zh-CN"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投标人是否有投标文件标明的响应或偏离与事实不符或伪造证明文件等虚假投标的；</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zh-CN"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5</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zh-CN"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投标有效期是否满足招标文件要求的；</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zh-CN"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6</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zh-CN"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投标人对同一招标项目做出两个以上报价未明确效力的；</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7</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不满足招标文件实质性要求的其它情形的；</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8</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投标文件未附有采购人不能接受的条件；</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76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9</w:t>
            </w:r>
          </w:p>
        </w:tc>
        <w:tc>
          <w:tcPr>
            <w:tcW w:w="5958" w:type="dxa"/>
            <w:vAlign w:val="center"/>
          </w:tcPr>
          <w:p>
            <w:pPr>
              <w:pStyle w:val="140"/>
              <w:keepNext w:val="0"/>
              <w:keepLines w:val="0"/>
              <w:pageBreakBefore w:val="0"/>
              <w:widowControl w:val="0"/>
              <w:kinsoku/>
              <w:wordWrap/>
              <w:overflowPunct/>
              <w:topLinePunct w:val="0"/>
              <w:autoSpaceDE/>
              <w:autoSpaceDN/>
              <w:bidi w:val="0"/>
              <w:adjustRightInd/>
              <w:snapToGrid/>
              <w:spacing w:before="2" w:line="400" w:lineRule="exact"/>
              <w:ind w:left="107" w:leftChars="0"/>
              <w:jc w:val="left"/>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无法律、法规和招标文件规定的其他无效情形。</w:t>
            </w:r>
          </w:p>
        </w:tc>
        <w:tc>
          <w:tcPr>
            <w:tcW w:w="965"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c>
          <w:tcPr>
            <w:tcW w:w="1030" w:type="dxa"/>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261" w:type="dxa"/>
            <w:gridSpan w:val="5"/>
            <w:vAlign w:val="center"/>
          </w:tcPr>
          <w:p>
            <w:pPr>
              <w:pStyle w:val="1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bCs/>
                <w:i w:val="0"/>
                <w:caps w:val="0"/>
                <w:color w:val="auto"/>
                <w:spacing w:val="0"/>
                <w:kern w:val="2"/>
                <w:sz w:val="21"/>
                <w:szCs w:val="21"/>
                <w:highlight w:val="none"/>
                <w:shd w:val="clear" w:color="auto" w:fill="FFFFFF"/>
                <w:lang w:val="en-US" w:eastAsia="zh-CN" w:bidi="ar-SA"/>
              </w:rPr>
              <w:t>以上有一项不通过结论为不通过，初步评审通过的投标人进入下阶段评审</w:t>
            </w:r>
          </w:p>
        </w:tc>
      </w:tr>
    </w:tbl>
    <w:p>
      <w:pPr>
        <w:rPr>
          <w:rFonts w:hint="eastAsia" w:ascii="仿宋" w:hAnsi="仿宋" w:eastAsia="仿宋" w:cs="仿宋"/>
          <w:b/>
          <w:color w:val="auto"/>
        </w:rPr>
      </w:pPr>
      <w:r>
        <w:rPr>
          <w:rFonts w:hint="eastAsia" w:ascii="仿宋" w:hAnsi="仿宋" w:eastAsia="仿宋" w:cs="仿宋"/>
          <w:b/>
          <w:color w:val="auto"/>
        </w:rPr>
        <w:br w:type="page"/>
      </w:r>
    </w:p>
    <w:p>
      <w:pPr>
        <w:pStyle w:val="6"/>
        <w:jc w:val="center"/>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评分标准</w:t>
      </w:r>
    </w:p>
    <w:tbl>
      <w:tblPr>
        <w:tblStyle w:val="44"/>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217"/>
        <w:gridCol w:w="692"/>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noWrap w:val="0"/>
            <w:vAlign w:val="center"/>
          </w:tcPr>
          <w:p>
            <w:pPr>
              <w:pStyle w:val="38"/>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217" w:type="dxa"/>
            <w:noWrap w:val="0"/>
            <w:vAlign w:val="center"/>
          </w:tcPr>
          <w:p>
            <w:pPr>
              <w:pStyle w:val="38"/>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w:t>
            </w:r>
          </w:p>
        </w:tc>
        <w:tc>
          <w:tcPr>
            <w:tcW w:w="692" w:type="dxa"/>
            <w:noWrap w:val="0"/>
            <w:vAlign w:val="center"/>
          </w:tcPr>
          <w:p>
            <w:pPr>
              <w:pStyle w:val="38"/>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分数</w:t>
            </w:r>
          </w:p>
        </w:tc>
        <w:tc>
          <w:tcPr>
            <w:tcW w:w="6798" w:type="dxa"/>
            <w:noWrap w:val="0"/>
            <w:vAlign w:val="center"/>
          </w:tcPr>
          <w:p>
            <w:pPr>
              <w:pStyle w:val="38"/>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评分标准（评分四舍五入保留2位小数）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noWrap w:val="0"/>
            <w:vAlign w:val="center"/>
          </w:tcPr>
          <w:p>
            <w:pPr>
              <w:autoSpaceDE w:val="0"/>
              <w:autoSpaceDN w:val="0"/>
              <w:adjustRightInd w:val="0"/>
              <w:spacing w:line="240" w:lineRule="auto"/>
              <w:jc w:val="center"/>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报价部分</w:t>
            </w:r>
          </w:p>
          <w:p>
            <w:pPr>
              <w:pStyle w:val="38"/>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20分</w:t>
            </w:r>
          </w:p>
        </w:tc>
        <w:tc>
          <w:tcPr>
            <w:tcW w:w="1217" w:type="dxa"/>
            <w:noWrap w:val="0"/>
            <w:vAlign w:val="center"/>
          </w:tcPr>
          <w:p>
            <w:pPr>
              <w:autoSpaceDE w:val="0"/>
              <w:autoSpaceDN w:val="0"/>
              <w:adjustRightInd w:val="0"/>
              <w:spacing w:line="240" w:lineRule="auto"/>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投标报价</w:t>
            </w:r>
          </w:p>
        </w:tc>
        <w:tc>
          <w:tcPr>
            <w:tcW w:w="692" w:type="dxa"/>
            <w:noWrap w:val="0"/>
            <w:vAlign w:val="center"/>
          </w:tcPr>
          <w:p>
            <w:pPr>
              <w:autoSpaceDE w:val="0"/>
              <w:autoSpaceDN w:val="0"/>
              <w:adjustRightInd w:val="0"/>
              <w:spacing w:line="240" w:lineRule="auto"/>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20</w:t>
            </w:r>
          </w:p>
        </w:tc>
        <w:tc>
          <w:tcPr>
            <w:tcW w:w="6798" w:type="dxa"/>
            <w:noWrap w:val="0"/>
            <w:vAlign w:val="center"/>
          </w:tcPr>
          <w:p>
            <w:pPr>
              <w:autoSpaceDE w:val="0"/>
              <w:autoSpaceDN w:val="0"/>
              <w:adjustRightInd w:val="0"/>
              <w:spacing w:line="240" w:lineRule="auto"/>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以满足采购文件要求且最终报价最低的报价为评标基准价，其价格分为满分20分，其他供应商的价格得分按照下列公式计算：报价得分=（评标基准价/最终报价）×价格权重，报价高于预算价的，按无效报价处理。</w:t>
            </w:r>
          </w:p>
          <w:p>
            <w:pPr>
              <w:autoSpaceDE w:val="0"/>
              <w:autoSpaceDN w:val="0"/>
              <w:adjustRightInd w:val="0"/>
              <w:spacing w:line="240" w:lineRule="auto"/>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注：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46" w:type="dxa"/>
            <w:vMerge w:val="restart"/>
            <w:noWrap w:val="0"/>
            <w:vAlign w:val="center"/>
          </w:tcPr>
          <w:p>
            <w:pPr>
              <w:pStyle w:val="38"/>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商务部分</w:t>
            </w:r>
          </w:p>
          <w:p>
            <w:pPr>
              <w:pStyle w:val="38"/>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30分</w:t>
            </w:r>
          </w:p>
        </w:tc>
        <w:tc>
          <w:tcPr>
            <w:tcW w:w="1217" w:type="dxa"/>
            <w:vMerge w:val="restart"/>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企业实力</w:t>
            </w:r>
          </w:p>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与业绩</w:t>
            </w:r>
          </w:p>
          <w:p>
            <w:pPr>
              <w:autoSpaceDE w:val="0"/>
              <w:autoSpaceDN w:val="0"/>
              <w:adjustRightInd w:val="0"/>
              <w:spacing w:line="240" w:lineRule="auto"/>
              <w:jc w:val="center"/>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分）</w:t>
            </w:r>
          </w:p>
        </w:tc>
        <w:tc>
          <w:tcPr>
            <w:tcW w:w="692" w:type="dxa"/>
            <w:noWrap w:val="0"/>
            <w:vAlign w:val="center"/>
          </w:tcPr>
          <w:p>
            <w:pPr>
              <w:pStyle w:val="38"/>
              <w:spacing w:line="240" w:lineRule="auto"/>
              <w:jc w:val="center"/>
              <w:rPr>
                <w:rFonts w:hint="default"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sz w:val="24"/>
                <w:szCs w:val="24"/>
                <w:highlight w:val="none"/>
                <w:lang w:val="en-US" w:eastAsia="zh-CN"/>
              </w:rPr>
              <w:t>10</w:t>
            </w:r>
          </w:p>
        </w:tc>
        <w:tc>
          <w:tcPr>
            <w:tcW w:w="6798" w:type="dxa"/>
            <w:noWrap w:val="0"/>
            <w:vAlign w:val="top"/>
          </w:tcPr>
          <w:p>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投标人具备类似物业服务项目业绩的，每有一个得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满分10</w:t>
            </w:r>
            <w:r>
              <w:rPr>
                <w:rFonts w:hint="eastAsia" w:ascii="仿宋" w:hAnsi="仿宋" w:eastAsia="仿宋" w:cs="仿宋"/>
                <w:color w:val="auto"/>
                <w:sz w:val="24"/>
                <w:szCs w:val="24"/>
                <w:highlight w:val="none"/>
              </w:rPr>
              <w:t>分；</w:t>
            </w:r>
          </w:p>
          <w:p>
            <w:pPr>
              <w:pStyle w:val="2"/>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招标</w:t>
            </w:r>
            <w:r>
              <w:rPr>
                <w:rFonts w:hint="eastAsia" w:ascii="仿宋" w:hAnsi="仿宋" w:eastAsia="仿宋" w:cs="仿宋"/>
                <w:b/>
                <w:bCs/>
                <w:color w:val="auto"/>
                <w:sz w:val="24"/>
                <w:szCs w:val="24"/>
                <w:highlight w:val="none"/>
              </w:rPr>
              <w:t>文件中须提供项目合同或中标通知书或其它业绩证明材料复印件，若复印件不清晰，将视为未提供）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346" w:type="dxa"/>
            <w:vMerge w:val="continue"/>
            <w:noWrap w:val="0"/>
            <w:vAlign w:val="center"/>
          </w:tcPr>
          <w:p>
            <w:pPr>
              <w:pStyle w:val="38"/>
              <w:spacing w:line="240" w:lineRule="auto"/>
              <w:jc w:val="center"/>
              <w:rPr>
                <w:rFonts w:hint="eastAsia" w:ascii="仿宋" w:hAnsi="仿宋" w:eastAsia="仿宋" w:cs="仿宋"/>
                <w:b/>
                <w:bCs w:val="0"/>
                <w:color w:val="auto"/>
                <w:sz w:val="24"/>
                <w:szCs w:val="24"/>
                <w:highlight w:val="none"/>
                <w:lang w:val="en-US" w:eastAsia="zh-CN"/>
              </w:rPr>
            </w:pPr>
          </w:p>
        </w:tc>
        <w:tc>
          <w:tcPr>
            <w:tcW w:w="1217" w:type="dxa"/>
            <w:vMerge w:val="continue"/>
            <w:noWrap w:val="0"/>
            <w:vAlign w:val="center"/>
          </w:tcPr>
          <w:p>
            <w:pPr>
              <w:autoSpaceDE w:val="0"/>
              <w:autoSpaceDN w:val="0"/>
              <w:adjustRightInd w:val="0"/>
              <w:spacing w:line="240" w:lineRule="auto"/>
              <w:jc w:val="center"/>
              <w:rPr>
                <w:rFonts w:hint="eastAsia" w:ascii="仿宋" w:hAnsi="仿宋" w:eastAsia="仿宋" w:cs="仿宋"/>
                <w:bCs/>
                <w:color w:val="auto"/>
                <w:kern w:val="0"/>
                <w:sz w:val="24"/>
                <w:szCs w:val="24"/>
                <w:highlight w:val="none"/>
                <w:lang w:val="en-US" w:eastAsia="zh-CN" w:bidi="ar-SA"/>
              </w:rPr>
            </w:pPr>
          </w:p>
        </w:tc>
        <w:tc>
          <w:tcPr>
            <w:tcW w:w="692" w:type="dxa"/>
            <w:noWrap w:val="0"/>
            <w:vAlign w:val="center"/>
          </w:tcPr>
          <w:p>
            <w:pPr>
              <w:autoSpaceDE w:val="0"/>
              <w:autoSpaceDN w:val="0"/>
              <w:adjustRightInd w:val="0"/>
              <w:spacing w:line="240" w:lineRule="auto"/>
              <w:jc w:val="center"/>
              <w:rPr>
                <w:rFonts w:hint="default" w:ascii="仿宋" w:hAnsi="仿宋" w:eastAsia="仿宋" w:cs="仿宋"/>
                <w:bCs/>
                <w:color w:val="FF0000"/>
                <w:kern w:val="0"/>
                <w:sz w:val="24"/>
                <w:szCs w:val="24"/>
                <w:highlight w:val="none"/>
                <w:lang w:val="en-US" w:eastAsia="zh-CN" w:bidi="ar-SA"/>
              </w:rPr>
            </w:pPr>
            <w:r>
              <w:rPr>
                <w:rFonts w:hint="eastAsia" w:ascii="仿宋" w:hAnsi="仿宋" w:eastAsia="仿宋" w:cs="仿宋"/>
                <w:bCs/>
                <w:color w:val="FF0000"/>
                <w:kern w:val="0"/>
                <w:sz w:val="24"/>
                <w:szCs w:val="24"/>
                <w:highlight w:val="none"/>
                <w:lang w:val="en-US" w:eastAsia="zh-CN" w:bidi="ar-SA"/>
              </w:rPr>
              <w:t>20</w:t>
            </w:r>
          </w:p>
        </w:tc>
        <w:tc>
          <w:tcPr>
            <w:tcW w:w="6798" w:type="dxa"/>
            <w:noWrap w:val="0"/>
            <w:vAlign w:val="top"/>
          </w:tcPr>
          <w:p>
            <w:pPr>
              <w:pStyle w:val="2"/>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1</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项目负责人：拟委派项目负责人具备类似项目业绩的得</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分，具备</w:t>
            </w:r>
            <w:r>
              <w:rPr>
                <w:rFonts w:hint="eastAsia" w:ascii="仿宋" w:hAnsi="仿宋" w:eastAsia="仿宋" w:cs="仿宋"/>
                <w:color w:val="FF0000"/>
                <w:sz w:val="24"/>
                <w:szCs w:val="24"/>
                <w:highlight w:val="none"/>
                <w:lang w:val="en-US" w:eastAsia="en-US"/>
              </w:rPr>
              <w:t>负责人《全国物业管理企业经理证书》</w:t>
            </w:r>
            <w:r>
              <w:rPr>
                <w:rFonts w:hint="eastAsia" w:ascii="仿宋" w:hAnsi="仿宋" w:eastAsia="仿宋" w:cs="仿宋"/>
                <w:color w:val="FF0000"/>
                <w:sz w:val="24"/>
                <w:szCs w:val="24"/>
                <w:highlight w:val="none"/>
              </w:rPr>
              <w:t>的得</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分，满分</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rPr>
              <w:t>分；</w:t>
            </w:r>
          </w:p>
          <w:p>
            <w:pPr>
              <w:keepNext w:val="0"/>
              <w:keepLines w:val="0"/>
              <w:widowControl/>
              <w:suppressLineNumbers w:val="0"/>
              <w:jc w:val="lef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 xml:space="preserve">2、保安人员不低于15人须提供由相关部门发放的保安证复印件，每少 1 个扣 0.5 分，满分7.5分，扣完为止。 </w:t>
            </w:r>
          </w:p>
          <w:p>
            <w:pPr>
              <w:keepNext w:val="0"/>
              <w:keepLines w:val="0"/>
              <w:widowControl/>
              <w:suppressLineNumbers w:val="0"/>
              <w:jc w:val="lef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 xml:space="preserve">3、保洁人员不低于15人须提供健康证复印件，每少 1 个扣 0.5 分，满分7.5分，扣完为止。 </w:t>
            </w:r>
          </w:p>
          <w:p>
            <w:pPr>
              <w:keepNext w:val="0"/>
              <w:keepLines w:val="0"/>
              <w:widowControl/>
              <w:suppressLineNumbers w:val="0"/>
              <w:jc w:val="lef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val="en-US" w:eastAsia="zh-CN"/>
              </w:rPr>
              <w:t>4、维护人员需提供合同复印件，得 1 分。</w:t>
            </w:r>
          </w:p>
          <w:p>
            <w:pPr>
              <w:pStyle w:val="2"/>
              <w:rPr>
                <w:rFonts w:hint="eastAsia" w:ascii="仿宋" w:hAnsi="仿宋" w:eastAsia="仿宋" w:cs="仿宋"/>
                <w:color w:val="FF0000"/>
                <w:kern w:val="2"/>
                <w:sz w:val="24"/>
                <w:highlight w:val="none"/>
                <w:lang w:val="en-US" w:eastAsia="zh-CN" w:bidi="ar-SA"/>
              </w:rPr>
            </w:pPr>
            <w:r>
              <w:rPr>
                <w:rFonts w:hint="eastAsia" w:ascii="仿宋" w:hAnsi="仿宋" w:eastAsia="仿宋" w:cs="仿宋"/>
                <w:b/>
                <w:bCs/>
                <w:color w:val="FF0000"/>
                <w:sz w:val="24"/>
                <w:szCs w:val="24"/>
                <w:highlight w:val="none"/>
              </w:rPr>
              <w:t>注：</w:t>
            </w:r>
            <w:r>
              <w:rPr>
                <w:rFonts w:hint="eastAsia" w:ascii="仿宋" w:hAnsi="仿宋" w:eastAsia="仿宋" w:cs="仿宋"/>
                <w:b/>
                <w:bCs/>
                <w:color w:val="FF0000"/>
                <w:sz w:val="24"/>
                <w:szCs w:val="24"/>
                <w:highlight w:val="none"/>
                <w:lang w:eastAsia="zh-CN"/>
              </w:rPr>
              <w:t>招标</w:t>
            </w:r>
            <w:r>
              <w:rPr>
                <w:rFonts w:hint="eastAsia" w:ascii="仿宋" w:hAnsi="仿宋" w:eastAsia="仿宋" w:cs="仿宋"/>
                <w:b/>
                <w:bCs/>
                <w:color w:val="FF0000"/>
                <w:sz w:val="24"/>
                <w:szCs w:val="24"/>
                <w:highlight w:val="none"/>
              </w:rPr>
              <w:t>文件中须提供人员业绩证明</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rPr>
              <w:t>证书复印件及</w:t>
            </w:r>
            <w:r>
              <w:rPr>
                <w:rFonts w:hint="eastAsia" w:ascii="仿宋" w:hAnsi="仿宋" w:eastAsia="仿宋" w:cs="仿宋"/>
                <w:b/>
                <w:bCs/>
                <w:color w:val="FF0000"/>
                <w:sz w:val="24"/>
                <w:szCs w:val="24"/>
                <w:highlight w:val="none"/>
                <w:lang w:val="en-US" w:eastAsia="zh-CN"/>
              </w:rPr>
              <w:t>劳动合同复印件</w:t>
            </w:r>
            <w:r>
              <w:rPr>
                <w:rFonts w:hint="eastAsia" w:ascii="仿宋" w:hAnsi="仿宋" w:eastAsia="仿宋" w:cs="仿宋"/>
                <w:b/>
                <w:bCs/>
                <w:color w:val="FF0000"/>
                <w:sz w:val="24"/>
                <w:szCs w:val="24"/>
                <w:highlight w:val="none"/>
              </w:rPr>
              <w:t>证明，若复印件不清晰，将视为未提供）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46" w:type="dxa"/>
            <w:vMerge w:val="restart"/>
            <w:noWrap w:val="0"/>
            <w:vAlign w:val="center"/>
          </w:tcPr>
          <w:p>
            <w:pPr>
              <w:pStyle w:val="38"/>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技术部分</w:t>
            </w:r>
          </w:p>
          <w:p>
            <w:pPr>
              <w:pStyle w:val="38"/>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50分</w:t>
            </w:r>
          </w:p>
        </w:tc>
        <w:tc>
          <w:tcPr>
            <w:tcW w:w="1217" w:type="dxa"/>
            <w:noWrap w:val="0"/>
            <w:vAlign w:val="top"/>
          </w:tcPr>
          <w:p>
            <w:pPr>
              <w:pStyle w:val="140"/>
              <w:keepNext w:val="0"/>
              <w:keepLines w:val="0"/>
              <w:pageBreakBefore w:val="0"/>
              <w:kinsoku/>
              <w:wordWrap/>
              <w:overflowPunct/>
              <w:topLinePunct w:val="0"/>
              <w:bidi w:val="0"/>
              <w:spacing w:before="1" w:line="240" w:lineRule="auto"/>
              <w:ind w:left="0" w:leftChars="0" w:right="0" w:rightChars="0" w:firstLine="0" w:firstLineChars="0"/>
              <w:jc w:val="center"/>
              <w:outlineLvl w:val="9"/>
              <w:rPr>
                <w:rFonts w:hint="eastAsia" w:ascii="仿宋" w:hAnsi="仿宋" w:eastAsia="仿宋" w:cs="仿宋"/>
                <w:color w:val="auto"/>
                <w:sz w:val="24"/>
                <w:szCs w:val="24"/>
                <w:highlight w:val="none"/>
                <w:lang w:val="en-US" w:eastAsia="zh-CN"/>
              </w:rPr>
            </w:pPr>
          </w:p>
          <w:p>
            <w:pPr>
              <w:pStyle w:val="140"/>
              <w:keepNext w:val="0"/>
              <w:keepLines w:val="0"/>
              <w:pageBreakBefore w:val="0"/>
              <w:kinsoku/>
              <w:wordWrap/>
              <w:overflowPunct/>
              <w:topLinePunct w:val="0"/>
              <w:bidi w:val="0"/>
              <w:spacing w:before="1"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kinsoku/>
              <w:wordWrap/>
              <w:overflowPunct/>
              <w:topLinePunct w:val="0"/>
              <w:bidi w:val="0"/>
              <w:spacing w:before="1"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kinsoku/>
              <w:wordWrap/>
              <w:overflowPunct/>
              <w:topLinePunct w:val="0"/>
              <w:bidi w:val="0"/>
              <w:spacing w:before="1"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kinsoku/>
              <w:wordWrap/>
              <w:overflowPunct/>
              <w:topLinePunct w:val="0"/>
              <w:bidi w:val="0"/>
              <w:spacing w:before="1"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kinsoku/>
              <w:wordWrap/>
              <w:overflowPunct/>
              <w:topLinePunct w:val="0"/>
              <w:bidi w:val="0"/>
              <w:spacing w:before="1"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工程维修服务方案</w:t>
            </w:r>
          </w:p>
        </w:tc>
        <w:tc>
          <w:tcPr>
            <w:tcW w:w="692" w:type="dxa"/>
            <w:noWrap w:val="0"/>
            <w:vAlign w:val="center"/>
          </w:tcPr>
          <w:p>
            <w:pPr>
              <w:autoSpaceDE w:val="0"/>
              <w:autoSpaceDN w:val="0"/>
              <w:adjustRightInd w:val="0"/>
              <w:spacing w:line="240" w:lineRule="auto"/>
              <w:jc w:val="center"/>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10</w:t>
            </w:r>
          </w:p>
        </w:tc>
        <w:tc>
          <w:tcPr>
            <w:tcW w:w="6798" w:type="dxa"/>
            <w:noWrap w:val="0"/>
            <w:vAlign w:val="top"/>
          </w:tcPr>
          <w:p>
            <w:pPr>
              <w:pStyle w:val="21"/>
              <w:keepNext w:val="0"/>
              <w:keepLines w:val="0"/>
              <w:pageBreakBefore w:val="0"/>
              <w:suppressLineNumbers w:val="0"/>
              <w:tabs>
                <w:tab w:val="left" w:pos="9214"/>
              </w:tabs>
              <w:kinsoku/>
              <w:wordWrap/>
              <w:overflowPunct/>
              <w:topLinePunct w:val="0"/>
              <w:autoSpaceDE/>
              <w:autoSpaceDN/>
              <w:bidi w:val="0"/>
              <w:snapToGrid/>
              <w:spacing w:before="0" w:beforeAutospacing="0" w:after="0" w:afterLines="0" w:afterAutospacing="0" w:line="240" w:lineRule="auto"/>
              <w:ind w:left="0" w:leftChars="0" w:right="0" w:rightChars="0" w:firstLine="0" w:firstLineChars="0"/>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供应商需根据以下内容提供方案。</w:t>
            </w:r>
          </w:p>
          <w:p>
            <w:pPr>
              <w:pStyle w:val="21"/>
              <w:keepNext w:val="0"/>
              <w:keepLines w:val="0"/>
              <w:pageBreakBefore w:val="0"/>
              <w:suppressLineNumbers w:val="0"/>
              <w:tabs>
                <w:tab w:val="left" w:pos="9214"/>
              </w:tabs>
              <w:kinsoku/>
              <w:wordWrap/>
              <w:overflowPunct/>
              <w:topLinePunct w:val="0"/>
              <w:autoSpaceDE/>
              <w:autoSpaceDN/>
              <w:bidi w:val="0"/>
              <w:snapToGrid/>
              <w:spacing w:before="0" w:beforeAutospacing="0" w:after="0" w:afterLines="0" w:afterAutospacing="0" w:line="240" w:lineRule="auto"/>
              <w:ind w:left="0" w:leftChars="0" w:right="0" w:rightChars="0" w:firstLine="0" w:firstLineChars="0"/>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内容：①</w:t>
            </w:r>
            <w:r>
              <w:rPr>
                <w:rFonts w:hint="eastAsia" w:ascii="仿宋" w:hAnsi="仿宋" w:eastAsia="仿宋" w:cs="仿宋"/>
                <w:color w:val="auto"/>
                <w:kern w:val="2"/>
                <w:sz w:val="24"/>
                <w:szCs w:val="24"/>
                <w:highlight w:val="none"/>
                <w:lang w:val="en-US" w:eastAsia="zh-CN" w:bidi="zh-CN"/>
              </w:rPr>
              <w:t>有完善的急修、小修维护应对方案</w:t>
            </w:r>
            <w:r>
              <w:rPr>
                <w:rFonts w:hint="eastAsia" w:ascii="仿宋" w:hAnsi="仿宋" w:eastAsia="仿宋" w:cs="仿宋"/>
                <w:color w:val="auto"/>
                <w:kern w:val="2"/>
                <w:sz w:val="24"/>
                <w:szCs w:val="24"/>
                <w:highlight w:val="none"/>
                <w:lang w:val="zh-CN" w:eastAsia="zh-CN" w:bidi="zh-CN"/>
              </w:rPr>
              <w:t>；②设施设备的运行、养护、维修保养和管理方案；③强电系统的运行、养护、维修保养和管理方案；④弱电系统末端设备的运行、养护和管理方案；⑤消防系统的运行、维护保养、维修和管理方案；⑥给排水系统的运行、养护、维修保养和管理方案；⑦空调、通风、采暖系统的运行、维护等方面服务方案。</w:t>
            </w:r>
          </w:p>
          <w:p>
            <w:pPr>
              <w:pStyle w:val="21"/>
              <w:keepNext w:val="0"/>
              <w:keepLines w:val="0"/>
              <w:pageBreakBefore w:val="0"/>
              <w:suppressLineNumbers w:val="0"/>
              <w:tabs>
                <w:tab w:val="left" w:pos="9214"/>
              </w:tabs>
              <w:kinsoku/>
              <w:wordWrap/>
              <w:overflowPunct/>
              <w:topLinePunct w:val="0"/>
              <w:autoSpaceDE/>
              <w:autoSpaceDN/>
              <w:bidi w:val="0"/>
              <w:snapToGrid/>
              <w:spacing w:before="0" w:beforeAutospacing="0" w:after="0" w:afterLines="0" w:afterAutospacing="0" w:line="240" w:lineRule="auto"/>
              <w:ind w:left="0" w:leftChars="0" w:right="0" w:rightChars="0" w:firstLine="0" w:firstLineChars="0"/>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1.每提供一个方案得1分，最多得7分；</w:t>
            </w:r>
          </w:p>
          <w:p>
            <w:pPr>
              <w:pStyle w:val="21"/>
              <w:keepNext w:val="0"/>
              <w:keepLines w:val="0"/>
              <w:pageBreakBefore w:val="0"/>
              <w:suppressLineNumbers w:val="0"/>
              <w:tabs>
                <w:tab w:val="left" w:pos="9214"/>
              </w:tabs>
              <w:kinsoku/>
              <w:wordWrap/>
              <w:overflowPunct/>
              <w:topLinePunct w:val="0"/>
              <w:autoSpaceDE/>
              <w:autoSpaceDN/>
              <w:bidi w:val="0"/>
              <w:snapToGrid/>
              <w:spacing w:before="0" w:beforeAutospacing="0" w:after="0" w:afterLines="0" w:afterAutospacing="0" w:line="240" w:lineRule="auto"/>
              <w:ind w:left="0" w:leftChars="0" w:right="0" w:rightChars="0" w:firstLine="0" w:firstLineChars="0"/>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2.各类技术服务方案内容详实，针对性强，得2-3分；技术服务方案内容较详实，基本符合实际需求，得1分；技术服务方案内容简单，个别方案存在问题，不得分。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vMerge w:val="continue"/>
            <w:noWrap w:val="0"/>
            <w:vAlign w:val="center"/>
          </w:tcPr>
          <w:p>
            <w:pPr>
              <w:pStyle w:val="38"/>
              <w:spacing w:line="240" w:lineRule="auto"/>
              <w:jc w:val="center"/>
              <w:rPr>
                <w:rFonts w:hint="eastAsia" w:ascii="仿宋" w:hAnsi="仿宋" w:eastAsia="仿宋" w:cs="仿宋"/>
                <w:b/>
                <w:bCs w:val="0"/>
                <w:color w:val="auto"/>
                <w:sz w:val="24"/>
                <w:szCs w:val="24"/>
                <w:highlight w:val="none"/>
                <w:lang w:val="en-US" w:eastAsia="zh-CN"/>
              </w:rPr>
            </w:pPr>
          </w:p>
        </w:tc>
        <w:tc>
          <w:tcPr>
            <w:tcW w:w="1217" w:type="dxa"/>
            <w:vMerge w:val="restart"/>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bCs/>
                <w:color w:val="auto"/>
                <w:kern w:val="0"/>
                <w:sz w:val="24"/>
                <w:szCs w:val="24"/>
                <w:highlight w:val="none"/>
                <w:lang w:val="en-US" w:eastAsia="zh-CN" w:bidi="ar-SA"/>
              </w:rPr>
            </w:pP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bCs/>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服务整体方案（15分）</w:t>
            </w:r>
          </w:p>
        </w:tc>
        <w:tc>
          <w:tcPr>
            <w:tcW w:w="692" w:type="dxa"/>
            <w:noWrap w:val="0"/>
            <w:vAlign w:val="center"/>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bCs/>
                <w:color w:val="auto"/>
                <w:kern w:val="2"/>
                <w:sz w:val="24"/>
                <w:szCs w:val="24"/>
                <w:highlight w:val="none"/>
                <w:lang w:val="en-US" w:eastAsia="zh-CN" w:bidi="zh-CN"/>
              </w:rPr>
            </w:pPr>
            <w:r>
              <w:rPr>
                <w:rFonts w:hint="eastAsia" w:ascii="仿宋" w:hAnsi="仿宋" w:eastAsia="仿宋" w:cs="仿宋"/>
                <w:bCs/>
                <w:color w:val="auto"/>
                <w:kern w:val="2"/>
                <w:sz w:val="24"/>
                <w:szCs w:val="24"/>
                <w:highlight w:val="none"/>
                <w:lang w:val="en-US" w:eastAsia="zh-CN" w:bidi="zh-CN"/>
              </w:rPr>
              <w:t>4</w:t>
            </w:r>
          </w:p>
        </w:tc>
        <w:tc>
          <w:tcPr>
            <w:tcW w:w="6798" w:type="dxa"/>
            <w:noWrap w:val="0"/>
            <w:vAlign w:val="top"/>
          </w:tcPr>
          <w:p>
            <w:pPr>
              <w:pStyle w:val="38"/>
              <w:spacing w:line="240" w:lineRule="auto"/>
              <w:jc w:val="left"/>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供应商需具有完善的组织架构、完整管理流程（提供运作流程图）、系统的管理措施方案、监督检查机制。</w:t>
            </w:r>
          </w:p>
          <w:p>
            <w:pPr>
              <w:pStyle w:val="38"/>
              <w:spacing w:line="240" w:lineRule="auto"/>
              <w:jc w:val="left"/>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1.组织架构完整，人员分工明确，管理流程和措施有较强针对性和可执行性，监督反馈、奖惩措施符合实际的，得3-4分；</w:t>
            </w:r>
          </w:p>
          <w:p>
            <w:pPr>
              <w:pStyle w:val="38"/>
              <w:spacing w:line="240" w:lineRule="auto"/>
              <w:jc w:val="left"/>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2.组织架构完整，人员分工较明确，管理流程和措施可执行性一般，监督反馈、奖惩措施基本满足实际需求的，得1-2分；</w:t>
            </w:r>
          </w:p>
          <w:p>
            <w:pPr>
              <w:pStyle w:val="38"/>
              <w:spacing w:line="240" w:lineRule="auto"/>
              <w:jc w:val="left"/>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3.组织架构完整，人员分工不明确，管理流程和措施可执行性存在问题，不得分。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vMerge w:val="continue"/>
            <w:noWrap w:val="0"/>
            <w:vAlign w:val="center"/>
          </w:tcPr>
          <w:p>
            <w:pPr>
              <w:pStyle w:val="38"/>
              <w:spacing w:line="240" w:lineRule="auto"/>
              <w:jc w:val="center"/>
              <w:rPr>
                <w:rFonts w:hint="eastAsia" w:ascii="仿宋" w:hAnsi="仿宋" w:eastAsia="仿宋" w:cs="仿宋"/>
                <w:b/>
                <w:bCs w:val="0"/>
                <w:color w:val="auto"/>
                <w:sz w:val="24"/>
                <w:szCs w:val="24"/>
                <w:highlight w:val="none"/>
                <w:lang w:val="en-US" w:eastAsia="zh-CN"/>
              </w:rPr>
            </w:pPr>
          </w:p>
        </w:tc>
        <w:tc>
          <w:tcPr>
            <w:tcW w:w="1217" w:type="dxa"/>
            <w:vMerge w:val="continue"/>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tc>
        <w:tc>
          <w:tcPr>
            <w:tcW w:w="692" w:type="dxa"/>
            <w:noWrap w:val="0"/>
            <w:vAlign w:val="center"/>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6798" w:type="dxa"/>
            <w:noWrap w:val="0"/>
            <w:vAlign w:val="top"/>
          </w:tcPr>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供应商需有健全的规章制度：日常管理制度、人员考核制度、财务管理制度、档案管理制度、设施设备维护制度、投诉处理方案。</w:t>
            </w:r>
          </w:p>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1.方案内容完整合理，制度健全，可操作性强的，得5-6分；</w:t>
            </w:r>
          </w:p>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2.方案内容完整，制度健全，具有较强可操作性的，得3-4分；</w:t>
            </w:r>
          </w:p>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3.方案内容不完整，可操作性差，得1-2分。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vMerge w:val="continue"/>
            <w:noWrap w:val="0"/>
            <w:vAlign w:val="center"/>
          </w:tcPr>
          <w:p>
            <w:pPr>
              <w:pStyle w:val="38"/>
              <w:spacing w:line="240" w:lineRule="auto"/>
              <w:jc w:val="center"/>
              <w:rPr>
                <w:rFonts w:hint="eastAsia" w:ascii="仿宋" w:hAnsi="仿宋" w:eastAsia="仿宋" w:cs="仿宋"/>
                <w:b/>
                <w:bCs w:val="0"/>
                <w:color w:val="auto"/>
                <w:sz w:val="24"/>
                <w:szCs w:val="24"/>
                <w:highlight w:val="none"/>
                <w:lang w:val="en-US" w:eastAsia="zh-CN"/>
              </w:rPr>
            </w:pPr>
          </w:p>
        </w:tc>
        <w:tc>
          <w:tcPr>
            <w:tcW w:w="1217" w:type="dxa"/>
            <w:vMerge w:val="continue"/>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tc>
        <w:tc>
          <w:tcPr>
            <w:tcW w:w="692" w:type="dxa"/>
            <w:noWrap w:val="0"/>
            <w:vAlign w:val="center"/>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6798" w:type="dxa"/>
            <w:noWrap w:val="0"/>
            <w:vAlign w:val="top"/>
          </w:tcPr>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供应商需具有健全的作业制度：完善的作业流程、管理工作计划、标准的操作规范、保洁工作实施时间。</w:t>
            </w:r>
          </w:p>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1.方案中各项服务标准明确，作业流程规范、完善，可操作性强的，得4-5分；</w:t>
            </w:r>
          </w:p>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2.方案内容基本完整，作业流程基本规范，具有较强可操作性的，得2-3分；</w:t>
            </w:r>
          </w:p>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3.方案内容粗略、不详细的，作业流程不规范、不完善的，得1分。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vMerge w:val="continue"/>
            <w:noWrap w:val="0"/>
            <w:vAlign w:val="center"/>
          </w:tcPr>
          <w:p>
            <w:pPr>
              <w:pStyle w:val="38"/>
              <w:spacing w:line="240" w:lineRule="auto"/>
              <w:jc w:val="center"/>
              <w:rPr>
                <w:rFonts w:hint="eastAsia" w:ascii="仿宋" w:hAnsi="仿宋" w:eastAsia="仿宋" w:cs="仿宋"/>
                <w:b/>
                <w:bCs w:val="0"/>
                <w:color w:val="auto"/>
                <w:sz w:val="24"/>
                <w:szCs w:val="24"/>
                <w:highlight w:val="none"/>
                <w:lang w:val="en-US" w:eastAsia="zh-CN"/>
              </w:rPr>
            </w:pPr>
          </w:p>
        </w:tc>
        <w:tc>
          <w:tcPr>
            <w:tcW w:w="1217" w:type="dxa"/>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突发事件处理方案</w:t>
            </w:r>
          </w:p>
        </w:tc>
        <w:tc>
          <w:tcPr>
            <w:tcW w:w="692" w:type="dxa"/>
            <w:noWrap w:val="0"/>
            <w:vAlign w:val="center"/>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6798" w:type="dxa"/>
            <w:noWrap w:val="0"/>
            <w:vAlign w:val="top"/>
          </w:tcPr>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供应商需针对本项目提供应急处置方案，内容包括：①突发事件、火灾事故应急处理预案；②电梯应急处理预案；③安全防范措施及突发事件应急处理预案；④水泵房、水箱间管理规定和事故应急处理预案；⑤空调、通风、采暖系统故障应急处理预案等内容。</w:t>
            </w:r>
          </w:p>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1.每提供一个方案得1分，最多得5分。</w:t>
            </w:r>
          </w:p>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2.方案全面详实，有较强的预见性、可操作性，得4-5分；方案基本满足采购单位需求，预见性、可操作性较强的，得2-3分；方案简单，预见性、可操作性不强的，得1分。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6" w:type="dxa"/>
            <w:vMerge w:val="continue"/>
            <w:noWrap w:val="0"/>
            <w:vAlign w:val="center"/>
          </w:tcPr>
          <w:p>
            <w:pPr>
              <w:pStyle w:val="38"/>
              <w:spacing w:line="240" w:lineRule="auto"/>
              <w:jc w:val="center"/>
              <w:rPr>
                <w:rFonts w:hint="eastAsia" w:ascii="仿宋" w:hAnsi="仿宋" w:eastAsia="仿宋" w:cs="仿宋"/>
                <w:b/>
                <w:bCs w:val="0"/>
                <w:color w:val="auto"/>
                <w:sz w:val="24"/>
                <w:szCs w:val="24"/>
                <w:highlight w:val="none"/>
                <w:lang w:val="en-US" w:eastAsia="zh-CN"/>
              </w:rPr>
            </w:pPr>
          </w:p>
        </w:tc>
        <w:tc>
          <w:tcPr>
            <w:tcW w:w="1217" w:type="dxa"/>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sz w:val="21"/>
                <w:szCs w:val="21"/>
                <w:highlight w:val="none"/>
                <w:lang w:val="en-US" w:eastAsia="zh-CN"/>
              </w:rPr>
              <w:t>秩序维护方案</w:t>
            </w:r>
          </w:p>
        </w:tc>
        <w:tc>
          <w:tcPr>
            <w:tcW w:w="692" w:type="dxa"/>
            <w:noWrap w:val="0"/>
            <w:vAlign w:val="center"/>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5</w:t>
            </w:r>
          </w:p>
        </w:tc>
        <w:tc>
          <w:tcPr>
            <w:tcW w:w="6798" w:type="dxa"/>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供应商需根据以下内容提供安保服务方案。</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内容：保安巡逻、来访人员及车辆检查、门卫值班制度、服装、防暴器材、通讯设备等执勤用品设备投入情况、种类、规格、</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数量齐备等。</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Chars="0" w:right="0" w:rightChars="0"/>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en-US" w:eastAsia="zh-CN" w:bidi="zh-CN"/>
              </w:rPr>
              <w:t>1.</w:t>
            </w:r>
            <w:r>
              <w:rPr>
                <w:rFonts w:hint="eastAsia" w:ascii="仿宋" w:hAnsi="仿宋" w:eastAsia="仿宋" w:cs="仿宋"/>
                <w:color w:val="auto"/>
                <w:kern w:val="2"/>
                <w:sz w:val="24"/>
                <w:szCs w:val="24"/>
                <w:highlight w:val="none"/>
                <w:lang w:val="zh-CN" w:eastAsia="zh-CN" w:bidi="zh-CN"/>
              </w:rPr>
              <w:t>安保人员管理制度健全，安保器材投入充足，着装统一、行为规范，车辆管理</w:t>
            </w:r>
            <w:r>
              <w:rPr>
                <w:rFonts w:hint="eastAsia" w:ascii="仿宋" w:hAnsi="仿宋" w:eastAsia="仿宋" w:cs="仿宋"/>
                <w:color w:val="auto"/>
                <w:kern w:val="2"/>
                <w:sz w:val="24"/>
                <w:szCs w:val="24"/>
                <w:highlight w:val="none"/>
                <w:lang w:val="en-US" w:eastAsia="zh-CN" w:bidi="zh-CN"/>
              </w:rPr>
              <w:t>维护</w:t>
            </w:r>
            <w:r>
              <w:rPr>
                <w:rFonts w:hint="eastAsia" w:ascii="仿宋" w:hAnsi="仿宋" w:eastAsia="仿宋" w:cs="仿宋"/>
                <w:color w:val="auto"/>
                <w:kern w:val="2"/>
                <w:sz w:val="24"/>
                <w:szCs w:val="24"/>
                <w:highlight w:val="none"/>
                <w:lang w:val="zh-CN" w:eastAsia="zh-CN" w:bidi="zh-CN"/>
              </w:rPr>
              <w:t>有序，巡逻频次和检查事项符合采购</w:t>
            </w:r>
          </w:p>
          <w:p>
            <w:pPr>
              <w:pStyle w:val="140"/>
              <w:keepNext w:val="0"/>
              <w:keepLines w:val="0"/>
              <w:pageBreakBefore w:val="0"/>
              <w:numPr>
                <w:ilvl w:val="0"/>
                <w:numId w:val="0"/>
              </w:numPr>
              <w:tabs>
                <w:tab w:val="left" w:pos="1892"/>
              </w:tabs>
              <w:kinsoku/>
              <w:wordWrap/>
              <w:overflowPunct/>
              <w:topLinePunct w:val="0"/>
              <w:bidi w:val="0"/>
              <w:spacing w:before="139" w:after="0" w:line="240" w:lineRule="auto"/>
              <w:ind w:leftChars="0" w:right="0" w:rightChars="0"/>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单位特点，有严格的奖惩制度，得4-5分；</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2.安保人员管理制度健全，安保器材投入满足采购单位需求，着装统一、行为规范，车辆管理、日常巡查基本满足采购单位</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要求，有相应的奖惩制度，得1-3分；</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3.安保人员管理制度健全，安保器材投入不满足采购单位需求，不得分。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346" w:type="dxa"/>
            <w:vMerge w:val="continue"/>
            <w:noWrap w:val="0"/>
            <w:vAlign w:val="center"/>
          </w:tcPr>
          <w:p>
            <w:pPr>
              <w:pStyle w:val="38"/>
              <w:spacing w:line="240" w:lineRule="auto"/>
              <w:jc w:val="center"/>
              <w:rPr>
                <w:rFonts w:hint="eastAsia" w:ascii="仿宋" w:hAnsi="仿宋" w:eastAsia="仿宋" w:cs="仿宋"/>
                <w:b/>
                <w:bCs w:val="0"/>
                <w:color w:val="auto"/>
                <w:sz w:val="24"/>
                <w:szCs w:val="24"/>
                <w:highlight w:val="none"/>
                <w:lang w:val="en-US" w:eastAsia="zh-CN"/>
              </w:rPr>
            </w:pPr>
          </w:p>
        </w:tc>
        <w:tc>
          <w:tcPr>
            <w:tcW w:w="1217" w:type="dxa"/>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人员培训方案</w:t>
            </w:r>
          </w:p>
        </w:tc>
        <w:tc>
          <w:tcPr>
            <w:tcW w:w="692" w:type="dxa"/>
            <w:noWrap w:val="0"/>
            <w:vAlign w:val="center"/>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center"/>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5</w:t>
            </w:r>
          </w:p>
        </w:tc>
        <w:tc>
          <w:tcPr>
            <w:tcW w:w="6798" w:type="dxa"/>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为确保服务质量，制定服务期内对相关人员的培训方案，并在招标文件中列出培训的内容、人员培训计划及方案合理可行。</w:t>
            </w:r>
          </w:p>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1.方案内容完整合理，制度健全，可操作性强的，得</w:t>
            </w:r>
            <w:r>
              <w:rPr>
                <w:rFonts w:hint="eastAsia" w:ascii="仿宋" w:hAnsi="仿宋" w:eastAsia="仿宋" w:cs="仿宋"/>
                <w:color w:val="auto"/>
                <w:kern w:val="2"/>
                <w:sz w:val="24"/>
                <w:szCs w:val="24"/>
                <w:highlight w:val="none"/>
                <w:lang w:val="en-US" w:eastAsia="zh-CN" w:bidi="zh-CN"/>
              </w:rPr>
              <w:t>4-5</w:t>
            </w:r>
            <w:r>
              <w:rPr>
                <w:rFonts w:hint="eastAsia" w:ascii="仿宋" w:hAnsi="仿宋" w:eastAsia="仿宋" w:cs="仿宋"/>
                <w:color w:val="auto"/>
                <w:kern w:val="2"/>
                <w:sz w:val="24"/>
                <w:szCs w:val="24"/>
                <w:highlight w:val="none"/>
                <w:lang w:val="zh-CN" w:eastAsia="zh-CN" w:bidi="zh-CN"/>
              </w:rPr>
              <w:t>分；</w:t>
            </w:r>
          </w:p>
          <w:p>
            <w:pPr>
              <w:pStyle w:val="38"/>
              <w:spacing w:line="240" w:lineRule="auto"/>
              <w:jc w:val="left"/>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2.方案内容完整，制度健全，具有较强可操作性的，得3-4分；</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zh-CN" w:eastAsia="zh-CN" w:bidi="zh-CN"/>
              </w:rPr>
              <w:t>3.方案内容不完整，可操作性差，得1-2分。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346" w:type="dxa"/>
            <w:vMerge w:val="continue"/>
            <w:noWrap w:val="0"/>
            <w:vAlign w:val="center"/>
          </w:tcPr>
          <w:p>
            <w:pPr>
              <w:pStyle w:val="38"/>
              <w:spacing w:line="240" w:lineRule="auto"/>
              <w:jc w:val="center"/>
              <w:rPr>
                <w:rFonts w:hint="eastAsia" w:ascii="仿宋" w:hAnsi="仿宋" w:eastAsia="仿宋" w:cs="仿宋"/>
                <w:b/>
                <w:bCs w:val="0"/>
                <w:color w:val="auto"/>
                <w:sz w:val="24"/>
                <w:szCs w:val="24"/>
                <w:highlight w:val="none"/>
                <w:lang w:val="en-US" w:eastAsia="zh-CN"/>
              </w:rPr>
            </w:pPr>
          </w:p>
        </w:tc>
        <w:tc>
          <w:tcPr>
            <w:tcW w:w="1217" w:type="dxa"/>
            <w:noWrap w:val="0"/>
            <w:vAlign w:val="top"/>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卫生保洁方案</w:t>
            </w:r>
          </w:p>
        </w:tc>
        <w:tc>
          <w:tcPr>
            <w:tcW w:w="692" w:type="dxa"/>
            <w:noWrap w:val="0"/>
            <w:vAlign w:val="center"/>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5</w:t>
            </w:r>
          </w:p>
        </w:tc>
        <w:tc>
          <w:tcPr>
            <w:tcW w:w="6798" w:type="dxa"/>
            <w:noWrap w:val="0"/>
            <w:vAlign w:val="center"/>
          </w:tcPr>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供应商需根据以下内容提供卫生保洁方案。</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内容：日常清洁保洁措施、普通区域清洁、特殊区域清洁，每天巡回保洁。</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1.保洁服务计划详实，卫生标准明确，服务方案可操作性强，专业水平程度高的，得4-5分；</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2.日常保洁服务计划较好，服务方案具有可操作性，卫生标准一般的，得2-3分；</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en-US" w:eastAsia="zh-CN" w:bidi="zh-CN"/>
              </w:rPr>
              <w:t>3.服务方案可操作性差，日常保洁和卫生打扫标准一般的，得1分。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346" w:type="dxa"/>
            <w:vMerge w:val="continue"/>
            <w:noWrap w:val="0"/>
            <w:vAlign w:val="center"/>
          </w:tcPr>
          <w:p>
            <w:pPr>
              <w:pStyle w:val="38"/>
              <w:spacing w:line="240" w:lineRule="auto"/>
              <w:jc w:val="center"/>
              <w:rPr>
                <w:rFonts w:hint="eastAsia" w:ascii="仿宋" w:hAnsi="仿宋" w:eastAsia="仿宋" w:cs="仿宋"/>
                <w:b/>
                <w:bCs w:val="0"/>
                <w:color w:val="auto"/>
                <w:sz w:val="24"/>
                <w:szCs w:val="24"/>
                <w:highlight w:val="none"/>
                <w:lang w:val="en-US" w:eastAsia="zh-CN"/>
              </w:rPr>
            </w:pPr>
          </w:p>
        </w:tc>
        <w:tc>
          <w:tcPr>
            <w:tcW w:w="1217" w:type="dxa"/>
            <w:noWrap w:val="0"/>
            <w:vAlign w:val="top"/>
          </w:tcPr>
          <w:p>
            <w:pPr>
              <w:keepNext w:val="0"/>
              <w:keepLines w:val="0"/>
              <w:widowControl/>
              <w:suppressLineNumbers w:val="0"/>
              <w:jc w:val="left"/>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en-US" w:eastAsia="zh-CN" w:bidi="zh-CN"/>
              </w:rPr>
              <w:t xml:space="preserve">人员储备 </w:t>
            </w:r>
          </w:p>
          <w:p>
            <w:pPr>
              <w:keepNext w:val="0"/>
              <w:keepLines w:val="0"/>
              <w:widowControl/>
              <w:suppressLineNumbers w:val="0"/>
              <w:jc w:val="left"/>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en-US" w:eastAsia="zh-CN" w:bidi="zh-CN"/>
              </w:rPr>
              <w:t xml:space="preserve">方案 </w:t>
            </w:r>
          </w:p>
          <w:p>
            <w:pPr>
              <w:keepNext w:val="0"/>
              <w:keepLines w:val="0"/>
              <w:widowControl/>
              <w:suppressLineNumbers w:val="0"/>
              <w:jc w:val="left"/>
              <w:rPr>
                <w:rFonts w:hint="eastAsia" w:ascii="仿宋" w:hAnsi="仿宋" w:eastAsia="仿宋" w:cs="仿宋"/>
                <w:color w:val="auto"/>
                <w:kern w:val="2"/>
                <w:sz w:val="24"/>
                <w:szCs w:val="24"/>
                <w:highlight w:val="none"/>
                <w:lang w:val="en-US" w:eastAsia="en-US" w:bidi="zh-CN"/>
              </w:rPr>
            </w:pPr>
          </w:p>
        </w:tc>
        <w:tc>
          <w:tcPr>
            <w:tcW w:w="692" w:type="dxa"/>
            <w:noWrap w:val="0"/>
            <w:vAlign w:val="center"/>
          </w:tcPr>
          <w:p>
            <w:pPr>
              <w:keepNext w:val="0"/>
              <w:keepLines w:val="0"/>
              <w:widowControl/>
              <w:suppressLineNumbers w:val="0"/>
              <w:jc w:val="left"/>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5</w:t>
            </w:r>
          </w:p>
        </w:tc>
        <w:tc>
          <w:tcPr>
            <w:tcW w:w="6798" w:type="dxa"/>
            <w:noWrap w:val="0"/>
            <w:vAlign w:val="center"/>
          </w:tcPr>
          <w:p>
            <w:pPr>
              <w:keepNext w:val="0"/>
              <w:keepLines w:val="0"/>
              <w:widowControl/>
              <w:suppressLineNumbers w:val="0"/>
              <w:jc w:val="left"/>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针对所有类型人员提供详尽的人员储备方案，包括上岗时间、备选人员等内容。</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1.方案内容完整合理，制度健全，可操作性强的，得</w:t>
            </w:r>
            <w:r>
              <w:rPr>
                <w:rFonts w:hint="eastAsia" w:ascii="仿宋" w:hAnsi="仿宋" w:eastAsia="仿宋" w:cs="仿宋"/>
                <w:color w:val="auto"/>
                <w:kern w:val="2"/>
                <w:sz w:val="24"/>
                <w:szCs w:val="24"/>
                <w:highlight w:val="none"/>
                <w:lang w:val="en-US" w:eastAsia="zh-CN" w:bidi="zh-CN"/>
              </w:rPr>
              <w:t>4-5</w:t>
            </w:r>
            <w:r>
              <w:rPr>
                <w:rFonts w:hint="eastAsia" w:ascii="仿宋" w:hAnsi="仿宋" w:eastAsia="仿宋" w:cs="仿宋"/>
                <w:color w:val="auto"/>
                <w:kern w:val="2"/>
                <w:sz w:val="24"/>
                <w:szCs w:val="24"/>
                <w:highlight w:val="none"/>
                <w:lang w:val="zh-CN" w:eastAsia="zh-CN" w:bidi="zh-CN"/>
              </w:rPr>
              <w:t>分；</w:t>
            </w:r>
          </w:p>
          <w:p>
            <w:pPr>
              <w:pStyle w:val="140"/>
              <w:keepNext w:val="0"/>
              <w:keepLines w:val="0"/>
              <w:pageBreakBefore w:val="0"/>
              <w:numPr>
                <w:ilvl w:val="0"/>
                <w:numId w:val="0"/>
              </w:numPr>
              <w:tabs>
                <w:tab w:val="left" w:pos="634"/>
              </w:tabs>
              <w:kinsoku/>
              <w:wordWrap/>
              <w:overflowPunct/>
              <w:topLinePunct w:val="0"/>
              <w:bidi w:val="0"/>
              <w:spacing w:before="139" w:after="0" w:line="240" w:lineRule="auto"/>
              <w:ind w:left="0" w:leftChars="0" w:right="0" w:rightChars="0" w:firstLine="0" w:firstLineChars="0"/>
              <w:jc w:val="both"/>
              <w:outlineLvl w:val="9"/>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2.方案内容完整，制度健全，具有较强可操作性的，得3-4分；</w:t>
            </w:r>
          </w:p>
          <w:p>
            <w:pPr>
              <w:keepNext w:val="0"/>
              <w:keepLines w:val="0"/>
              <w:widowControl/>
              <w:suppressLineNumbers w:val="0"/>
              <w:jc w:val="left"/>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3.方案内容不完整，可性差，得1-2分。</w:t>
            </w:r>
          </w:p>
        </w:tc>
      </w:tr>
    </w:tbl>
    <w:p>
      <w:pPr>
        <w:rPr>
          <w:rFonts w:hint="eastAsia" w:ascii="仿宋" w:hAnsi="仿宋" w:eastAsia="仿宋" w:cs="仿宋"/>
          <w:b/>
          <w:bCs/>
          <w:color w:val="auto"/>
          <w:kern w:val="0"/>
          <w:sz w:val="36"/>
          <w:szCs w:val="36"/>
          <w:highlight w:val="none"/>
          <w:lang w:val="en-US" w:eastAsia="zh-CN" w:bidi="ar"/>
        </w:rPr>
      </w:pPr>
    </w:p>
    <w:p>
      <w:pPr>
        <w:rPr>
          <w:rFonts w:hint="eastAsia" w:ascii="仿宋" w:hAnsi="仿宋" w:eastAsia="仿宋" w:cs="仿宋"/>
          <w:b/>
          <w:bCs/>
          <w:color w:val="auto"/>
          <w:sz w:val="36"/>
          <w:szCs w:val="56"/>
          <w:highlight w:val="none"/>
        </w:rPr>
      </w:pPr>
      <w:r>
        <w:rPr>
          <w:rFonts w:hint="eastAsia" w:ascii="仿宋" w:hAnsi="仿宋" w:eastAsia="仿宋" w:cs="仿宋"/>
          <w:b/>
          <w:bCs/>
          <w:color w:val="auto"/>
          <w:sz w:val="36"/>
          <w:szCs w:val="56"/>
          <w:highlight w:val="none"/>
        </w:rPr>
        <w:br w:type="page"/>
      </w:r>
    </w:p>
    <w:bookmarkEnd w:id="67"/>
    <w:bookmarkEnd w:id="68"/>
    <w:bookmarkEnd w:id="69"/>
    <w:bookmarkEnd w:id="70"/>
    <w:bookmarkEnd w:id="71"/>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200"/>
        <w:jc w:val="center"/>
        <w:textAlignment w:val="auto"/>
        <w:outlineLvl w:val="0"/>
        <w:rPr>
          <w:rFonts w:hint="eastAsia" w:ascii="仿宋" w:hAnsi="仿宋" w:eastAsia="仿宋" w:cs="仿宋"/>
          <w:b/>
          <w:bCs/>
          <w:color w:val="auto"/>
          <w:sz w:val="36"/>
          <w:szCs w:val="56"/>
          <w:highlight w:val="none"/>
          <w:lang w:val="en-US" w:eastAsia="zh-CN"/>
        </w:rPr>
      </w:pPr>
      <w:r>
        <w:rPr>
          <w:rFonts w:hint="eastAsia" w:ascii="仿宋" w:hAnsi="仿宋" w:eastAsia="仿宋" w:cs="仿宋"/>
          <w:b/>
          <w:bCs/>
          <w:color w:val="auto"/>
          <w:sz w:val="36"/>
          <w:szCs w:val="56"/>
          <w:highlight w:val="none"/>
          <w:lang w:val="en-US" w:eastAsia="zh-CN"/>
        </w:rPr>
        <w:t>采购需求</w:t>
      </w:r>
      <w:bookmarkStart w:id="72" w:name="_Toc28817"/>
      <w:bookmarkStart w:id="73" w:name="_Toc18832"/>
      <w:bookmarkStart w:id="74" w:name="_Toc32237"/>
      <w:bookmarkStart w:id="75" w:name="_Toc13536"/>
      <w:bookmarkStart w:id="76" w:name="_Toc19312"/>
      <w:bookmarkStart w:id="77" w:name="_Toc11973"/>
      <w:bookmarkStart w:id="78" w:name="_Toc700"/>
      <w:bookmarkStart w:id="79" w:name="_Toc20061"/>
      <w:bookmarkStart w:id="80" w:name="_Toc19723"/>
      <w:bookmarkStart w:id="81" w:name="_Toc24194"/>
      <w:bookmarkStart w:id="82" w:name="_Toc7241"/>
      <w:bookmarkStart w:id="83" w:name="_Toc25254"/>
      <w:bookmarkStart w:id="84" w:name="_Toc26060"/>
    </w:p>
    <w:p>
      <w:pPr>
        <w:numPr>
          <w:ilvl w:val="0"/>
          <w:numId w:val="9"/>
        </w:numPr>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委托管理范围：</w:t>
      </w:r>
    </w:p>
    <w:p>
      <w:pPr>
        <w:numPr>
          <w:ilvl w:val="0"/>
          <w:numId w:val="0"/>
        </w:numPr>
        <w:spacing w:line="360" w:lineRule="auto"/>
        <w:ind w:firstLine="840" w:firstLineChars="300"/>
        <w:rPr>
          <w:rFonts w:hint="default"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为和田地区行政服务和公共资源交易中心提供安保、保洁、维护、消防维保等物业服务。和田地区行政服务和公共资源交易中心是一座集政务服务、办公、公共资源交易、会议为一体的综合大楼，位于和田市北京工业园区，建筑面积约 27000 ㎡，庭院约14000㎡（含办公楼前停车场），地上 4 层，一、二层为政务服务大厅，三层为公共资源交易大厅，四层为餐厅及办公区。地下室约2300㎡。</w:t>
      </w:r>
      <w:r>
        <w:rPr>
          <w:rFonts w:hint="eastAsia" w:ascii="仿宋" w:hAnsi="仿宋" w:eastAsia="仿宋" w:cs="仿宋"/>
          <w:b w:val="0"/>
          <w:bCs/>
          <w:color w:val="FF0000"/>
          <w:kern w:val="0"/>
          <w:sz w:val="28"/>
          <w:szCs w:val="28"/>
          <w:lang w:val="en-US" w:eastAsia="zh-CN" w:bidi="ar-SA"/>
        </w:rPr>
        <w:t>服务期三年。（该预算为完成本项目服务所需的全部费用，包括税金、人工费用（含员工服装）、管理费、清洁、保洁、卫生防疫服务使用的低值易耗品和消耗品，包括清洁工具、劳保、洗涤、防疫用品以及专项清洁的消耗品等）。</w:t>
      </w:r>
    </w:p>
    <w:p>
      <w:pPr>
        <w:pStyle w:val="2"/>
        <w:tabs>
          <w:tab w:val="left" w:pos="1808"/>
        </w:tabs>
        <w:rPr>
          <w:rFonts w:hint="eastAsia" w:ascii="仿宋" w:hAnsi="仿宋" w:eastAsia="仿宋" w:cs="仿宋"/>
          <w:b w:val="0"/>
          <w:bCs/>
          <w:sz w:val="28"/>
          <w:szCs w:val="28"/>
        </w:rPr>
      </w:pP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二</w:t>
      </w:r>
      <w:r>
        <w:rPr>
          <w:rFonts w:hint="eastAsia" w:ascii="仿宋" w:hAnsi="仿宋" w:eastAsia="仿宋" w:cs="仿宋"/>
          <w:b w:val="0"/>
          <w:bCs/>
          <w:sz w:val="28"/>
          <w:szCs w:val="28"/>
        </w:rPr>
        <w:t>)物业服务工作清单</w:t>
      </w:r>
    </w:p>
    <w:tbl>
      <w:tblPr>
        <w:tblStyle w:val="44"/>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416"/>
        <w:gridCol w:w="3889"/>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54"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416"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服务项目</w:t>
            </w:r>
          </w:p>
        </w:tc>
        <w:tc>
          <w:tcPr>
            <w:tcW w:w="3889"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服务内容</w:t>
            </w:r>
          </w:p>
        </w:tc>
        <w:tc>
          <w:tcPr>
            <w:tcW w:w="2970" w:type="dxa"/>
            <w:shd w:val="clear" w:color="auto" w:fill="auto"/>
            <w:vAlign w:val="center"/>
          </w:tcPr>
          <w:p>
            <w:pPr>
              <w:widowControl/>
              <w:spacing w:line="276" w:lineRule="auto"/>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服务</w:t>
            </w:r>
            <w:r>
              <w:rPr>
                <w:rFonts w:hint="eastAsia" w:ascii="仿宋" w:hAnsi="仿宋" w:eastAsia="仿宋" w:cs="仿宋"/>
                <w:color w:val="000000"/>
                <w:kern w:val="0"/>
                <w:sz w:val="24"/>
                <w:szCs w:val="24"/>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054" w:type="dxa"/>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w:t>
            </w:r>
          </w:p>
        </w:tc>
        <w:tc>
          <w:tcPr>
            <w:tcW w:w="1416" w:type="dxa"/>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楼宇内清洁保洁养护服务</w:t>
            </w:r>
          </w:p>
        </w:tc>
        <w:tc>
          <w:tcPr>
            <w:tcW w:w="3889" w:type="dxa"/>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1.办公楼内所有公共区域（门厅、走廊、楼梯、卫生间、三层开评标室监控室等）对提供卫生清洁和工作时间卫生保洁管理服务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2.对所有公共区域和场所墙面（楼宇内、外墙面）、地面等提供定期养护管理服务</w:t>
            </w:r>
          </w:p>
        </w:tc>
        <w:tc>
          <w:tcPr>
            <w:tcW w:w="2970" w:type="dxa"/>
            <w:vMerge w:val="restart"/>
            <w:shd w:val="clear" w:color="auto" w:fill="auto"/>
          </w:tcPr>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p>
          <w:p>
            <w:pPr>
              <w:pStyle w:val="140"/>
              <w:spacing w:line="242" w:lineRule="auto"/>
              <w:ind w:right="96"/>
              <w:rPr>
                <w:rFonts w:hint="eastAsia" w:ascii="仿宋" w:hAnsi="仿宋" w:eastAsia="仿宋" w:cs="仿宋"/>
                <w:sz w:val="24"/>
                <w:szCs w:val="24"/>
              </w:rPr>
            </w:pPr>
            <w:r>
              <w:rPr>
                <w:rFonts w:hint="eastAsia" w:ascii="仿宋" w:hAnsi="仿宋" w:eastAsia="仿宋" w:cs="仿宋"/>
                <w:sz w:val="24"/>
                <w:szCs w:val="24"/>
              </w:rPr>
              <w:t>（1）室内清洁标准日常清洁标准</w:t>
            </w:r>
          </w:p>
          <w:p>
            <w:pPr>
              <w:pStyle w:val="140"/>
              <w:numPr>
                <w:ilvl w:val="0"/>
                <w:numId w:val="0"/>
              </w:numPr>
              <w:tabs>
                <w:tab w:val="left" w:pos="469"/>
              </w:tabs>
              <w:spacing w:before="120" w:after="0" w:line="242" w:lineRule="auto"/>
              <w:ind w:left="107" w:leftChars="0" w:right="91" w:rightChars="0"/>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一层大厅玻璃门每日循环清洁一次，清洁完毕确保无水渍、手印、灰尘，光洁明亮；</w:t>
            </w:r>
          </w:p>
          <w:p>
            <w:pPr>
              <w:pStyle w:val="140"/>
              <w:numPr>
                <w:ilvl w:val="0"/>
                <w:numId w:val="0"/>
              </w:numPr>
              <w:tabs>
                <w:tab w:val="left" w:pos="469"/>
              </w:tabs>
              <w:spacing w:before="124" w:after="0" w:line="242" w:lineRule="auto"/>
              <w:ind w:left="107" w:leftChars="0" w:right="93" w:rightChars="0"/>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一层大厅地面每天循环推尘两次，清洁干净，无污渍无脚印，发现污渍立刻清洁干净；</w:t>
            </w:r>
          </w:p>
          <w:p>
            <w:pPr>
              <w:widowControl/>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公共区域地面每天循环推尘两次，清洁干净，无污渍无脚印，发现污渍立刻清洁</w:t>
            </w:r>
          </w:p>
          <w:p>
            <w:pPr>
              <w:pStyle w:val="21"/>
              <w:rPr>
                <w:rFonts w:hint="default"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lang w:val="en-US" w:eastAsia="zh-CN" w:bidi="ar-SA"/>
              </w:rPr>
              <w:t>4）</w:t>
            </w:r>
            <w:r>
              <w:rPr>
                <w:rFonts w:hint="eastAsia" w:ascii="仿宋" w:hAnsi="仿宋" w:eastAsia="仿宋" w:cs="仿宋"/>
                <w:b/>
                <w:bCs/>
                <w:color w:val="FF0000"/>
                <w:kern w:val="0"/>
                <w:sz w:val="24"/>
                <w:szCs w:val="24"/>
              </w:rPr>
              <w:t>每年</w:t>
            </w:r>
            <w:r>
              <w:rPr>
                <w:rFonts w:hint="eastAsia" w:ascii="仿宋" w:hAnsi="仿宋" w:eastAsia="仿宋" w:cs="仿宋"/>
                <w:b/>
                <w:bCs/>
                <w:color w:val="FF0000"/>
                <w:kern w:val="0"/>
                <w:sz w:val="24"/>
                <w:szCs w:val="24"/>
                <w:lang w:val="en-US" w:eastAsia="zh-CN"/>
              </w:rPr>
              <w:t>不得低于</w:t>
            </w:r>
            <w:r>
              <w:rPr>
                <w:rFonts w:hint="eastAsia" w:ascii="仿宋" w:hAnsi="仿宋" w:eastAsia="仿宋" w:cs="仿宋"/>
                <w:b/>
                <w:bCs/>
                <w:color w:val="FF0000"/>
                <w:kern w:val="0"/>
                <w:sz w:val="24"/>
                <w:szCs w:val="24"/>
              </w:rPr>
              <w:t>2次清洗大楼外墙</w:t>
            </w:r>
            <w:r>
              <w:rPr>
                <w:rFonts w:hint="eastAsia" w:ascii="仿宋" w:hAnsi="仿宋" w:eastAsia="仿宋" w:cs="仿宋"/>
                <w:b/>
                <w:bCs/>
                <w:color w:val="FF0000"/>
                <w:kern w:val="0"/>
                <w:sz w:val="24"/>
                <w:szCs w:val="24"/>
                <w:lang w:val="en-US" w:eastAsia="zh-CN"/>
              </w:rPr>
              <w:t>及外墙玻璃</w:t>
            </w:r>
            <w:r>
              <w:rPr>
                <w:rFonts w:hint="eastAsia" w:ascii="仿宋" w:hAnsi="仿宋" w:eastAsia="仿宋" w:cs="仿宋"/>
                <w:b/>
                <w:bCs/>
                <w:color w:val="FF0000"/>
                <w:kern w:val="0"/>
                <w:sz w:val="24"/>
                <w:szCs w:val="24"/>
              </w:rPr>
              <w:t>，具体时间按业主方要求实施</w:t>
            </w:r>
            <w:r>
              <w:rPr>
                <w:rFonts w:hint="eastAsia" w:ascii="仿宋" w:hAnsi="仿宋" w:eastAsia="仿宋" w:cs="仿宋"/>
                <w:b/>
                <w:bCs/>
                <w:color w:val="FF0000"/>
                <w:kern w:val="2"/>
                <w:sz w:val="24"/>
                <w:szCs w:val="24"/>
                <w:lang w:val="en-US" w:eastAsia="zh-CN" w:bidi="ar-SA"/>
              </w:rPr>
              <w:t>。需具有高空外墙清洗服务企业资质。</w:t>
            </w:r>
          </w:p>
          <w:p>
            <w:pPr>
              <w:pStyle w:val="37"/>
              <w:rPr>
                <w:rFonts w:hint="eastAsia" w:ascii="仿宋" w:hAnsi="仿宋" w:eastAsia="仿宋" w:cs="仿宋"/>
                <w:spacing w:val="-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54" w:type="dxa"/>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w:t>
            </w:r>
          </w:p>
        </w:tc>
        <w:tc>
          <w:tcPr>
            <w:tcW w:w="1416" w:type="dxa"/>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楼宇外清洁保洁养护服务</w:t>
            </w:r>
          </w:p>
        </w:tc>
        <w:tc>
          <w:tcPr>
            <w:tcW w:w="3889" w:type="dxa"/>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1.对庭院约14000㎡（含办公楼前停车场）提供卫生清洁保洁服务。</w:t>
            </w:r>
          </w:p>
        </w:tc>
        <w:tc>
          <w:tcPr>
            <w:tcW w:w="2970" w:type="dxa"/>
            <w:vMerge w:val="continue"/>
            <w:vAlign w:val="center"/>
          </w:tcPr>
          <w:p>
            <w:pPr>
              <w:widowControl/>
              <w:spacing w:line="276"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54" w:type="dxa"/>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w:t>
            </w:r>
          </w:p>
        </w:tc>
        <w:tc>
          <w:tcPr>
            <w:tcW w:w="1416" w:type="dxa"/>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会议室清洁及养护服务</w:t>
            </w:r>
          </w:p>
        </w:tc>
        <w:tc>
          <w:tcPr>
            <w:tcW w:w="3889" w:type="dxa"/>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1.对办公楼会议室、接待室按标准和要求提供卫生清洁、工作时间保洁服务</w:t>
            </w:r>
          </w:p>
        </w:tc>
        <w:tc>
          <w:tcPr>
            <w:tcW w:w="2970" w:type="dxa"/>
            <w:vMerge w:val="continue"/>
            <w:vAlign w:val="center"/>
          </w:tcPr>
          <w:p>
            <w:pPr>
              <w:widowControl/>
              <w:spacing w:line="276"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4" w:type="dxa"/>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w:t>
            </w:r>
          </w:p>
        </w:tc>
        <w:tc>
          <w:tcPr>
            <w:tcW w:w="1416" w:type="dxa"/>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健身中心日常保洁</w:t>
            </w:r>
          </w:p>
        </w:tc>
        <w:tc>
          <w:tcPr>
            <w:tcW w:w="3889" w:type="dxa"/>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1.对健身中心提供卫生清洁及保洁服务</w:t>
            </w:r>
          </w:p>
        </w:tc>
        <w:tc>
          <w:tcPr>
            <w:tcW w:w="2970" w:type="dxa"/>
            <w:vMerge w:val="continue"/>
            <w:vAlign w:val="center"/>
          </w:tcPr>
          <w:p>
            <w:pPr>
              <w:widowControl/>
              <w:spacing w:line="276"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jc w:val="center"/>
        </w:trPr>
        <w:tc>
          <w:tcPr>
            <w:tcW w:w="1054" w:type="dxa"/>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w:t>
            </w:r>
          </w:p>
        </w:tc>
        <w:tc>
          <w:tcPr>
            <w:tcW w:w="1416" w:type="dxa"/>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保洁日常物业委托管理</w:t>
            </w:r>
          </w:p>
        </w:tc>
        <w:tc>
          <w:tcPr>
            <w:tcW w:w="3889" w:type="dxa"/>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1.消杀管理：楼宇地下室、各楼梯通道、垃圾箱等室内外公共区域消杀。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2.垃圾收集及处理：主要包括楼宇的各个场所日常垃圾的收集、装修及施工垃圾的收集、垃圾分类处理及垃圾筒的清洁。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3.会议室清洁服务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4.室外绿化服务</w:t>
            </w:r>
          </w:p>
        </w:tc>
        <w:tc>
          <w:tcPr>
            <w:tcW w:w="2970" w:type="dxa"/>
            <w:vMerge w:val="continue"/>
            <w:vAlign w:val="center"/>
          </w:tcPr>
          <w:p>
            <w:pPr>
              <w:widowControl/>
              <w:spacing w:line="276" w:lineRule="auto"/>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54"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416"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服务项目</w:t>
            </w:r>
          </w:p>
        </w:tc>
        <w:tc>
          <w:tcPr>
            <w:tcW w:w="3889"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服务内容</w:t>
            </w:r>
          </w:p>
        </w:tc>
        <w:tc>
          <w:tcPr>
            <w:tcW w:w="2970" w:type="dxa"/>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54"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六</w:t>
            </w:r>
          </w:p>
        </w:tc>
        <w:tc>
          <w:tcPr>
            <w:tcW w:w="1416" w:type="dxa"/>
            <w:shd w:val="clear" w:color="auto" w:fill="auto"/>
            <w:vAlign w:val="center"/>
          </w:tcPr>
          <w:p>
            <w:pPr>
              <w:widowControl/>
              <w:spacing w:line="276"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工程维护服务</w:t>
            </w:r>
          </w:p>
        </w:tc>
        <w:tc>
          <w:tcPr>
            <w:tcW w:w="3889" w:type="dxa"/>
            <w:shd w:val="clear" w:color="auto" w:fill="auto"/>
            <w:vAlign w:val="center"/>
          </w:tcPr>
          <w:p>
            <w:pPr>
              <w:widowControl/>
              <w:spacing w:line="276"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设备设施运行维护管理（水电设备设施等）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2.房屋及附属配套建筑管理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3.照明设施管理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4.工量具和维修用设备管理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5.管道维护、给排水工作管理</w:t>
            </w:r>
          </w:p>
          <w:p>
            <w:pPr>
              <w:widowControl/>
              <w:spacing w:line="276" w:lineRule="auto"/>
              <w:jc w:val="left"/>
              <w:rPr>
                <w:rFonts w:hint="default" w:eastAsia="宋体"/>
                <w:sz w:val="24"/>
                <w:szCs w:val="24"/>
                <w:lang w:val="en-US" w:eastAsia="zh-CN"/>
              </w:rPr>
            </w:pPr>
            <w:r>
              <w:rPr>
                <w:rFonts w:hint="eastAsia" w:ascii="仿宋" w:hAnsi="仿宋" w:eastAsia="仿宋" w:cs="仿宋"/>
                <w:color w:val="000000"/>
                <w:kern w:val="0"/>
                <w:sz w:val="24"/>
                <w:szCs w:val="24"/>
                <w:lang w:val="en-US" w:eastAsia="zh-CN"/>
              </w:rPr>
              <w:t>6.消防维保。</w:t>
            </w:r>
          </w:p>
        </w:tc>
        <w:tc>
          <w:tcPr>
            <w:tcW w:w="2970" w:type="dxa"/>
            <w:shd w:val="clear" w:color="auto" w:fill="auto"/>
            <w:vAlign w:val="center"/>
          </w:tcPr>
          <w:p>
            <w:pPr>
              <w:widowControl/>
              <w:spacing w:line="276"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（1）设施巡检和维修：每日对物业管理区域进行巡检，主动发现问题并及时处理和解决。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日常维修：设立维修值班电话，接到报修及时安排人员维修解决，急修15分钟内到场处理，小修当日内修复，中修5日内修复；属于大、中修范围或需要更新改造的，及时向业主提出建议，根据业主意见，组织维护或更新改造。</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（3）设备巡检：水泵间等重要在设备运行期间至少每2小时进行一次运行记录；各设备机房严禁非工作人员进入，监控记录齐全。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（4）维护计划作业：按期对设备设施进行检查、维护、保养、清洁，有效延长设备设施的使用寿命。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资料管理：建立健全制度管理档案、维修工器具台账、维修材料出入库盘点台账、维修材料领用台账、维修工单台账、设施设备巡检记录、事故分析和处理报告、维护计划、记录真实、准确、齐全、完整、洁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（6）会议调音服务：负责设备调试、会议调音、设备清洁及维护等工作。</w:t>
            </w:r>
          </w:p>
          <w:p>
            <w:pPr>
              <w:widowControl/>
              <w:spacing w:line="276"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工程维修由物业公司负责更换和维修。</w:t>
            </w:r>
          </w:p>
          <w:p>
            <w:pPr>
              <w:pStyle w:val="2"/>
              <w:rPr>
                <w:rFonts w:hint="default"/>
                <w:sz w:val="24"/>
                <w:szCs w:val="24"/>
                <w:lang w:val="en-US" w:eastAsia="zh-CN"/>
              </w:rPr>
            </w:pPr>
            <w:r>
              <w:rPr>
                <w:rFonts w:hint="eastAsia" w:ascii="仿宋" w:hAnsi="仿宋" w:eastAsia="仿宋" w:cs="仿宋"/>
                <w:color w:val="000000"/>
                <w:kern w:val="0"/>
                <w:sz w:val="24"/>
                <w:szCs w:val="24"/>
                <w:lang w:val="en-US" w:eastAsia="zh-CN" w:bidi="ar-SA"/>
              </w:rPr>
              <w:t>（8）按照消防检测标准要求，完成大厅所有应做消防维保的设备日常维保。并配备专业人员完成。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54"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七</w:t>
            </w:r>
          </w:p>
        </w:tc>
        <w:tc>
          <w:tcPr>
            <w:tcW w:w="1416" w:type="dxa"/>
            <w:shd w:val="clear" w:color="auto" w:fill="auto"/>
            <w:vAlign w:val="center"/>
          </w:tcPr>
          <w:p>
            <w:pPr>
              <w:widowControl/>
              <w:spacing w:line="276"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秩序维护服务</w:t>
            </w:r>
          </w:p>
        </w:tc>
        <w:tc>
          <w:tcPr>
            <w:tcW w:w="3889" w:type="dxa"/>
            <w:shd w:val="clear" w:color="auto" w:fill="auto"/>
            <w:vAlign w:val="center"/>
          </w:tcPr>
          <w:p>
            <w:pPr>
              <w:widowControl/>
              <w:spacing w:line="276"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1.提供大门入口处、院内及大楼1-3层24小时安全保卫服务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2.提供大门入口处、办公楼（区）来人来访的通报、证件检验、登记、体温测量等，门卫、守护和巡逻，公共秩序维护</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3.治安及其他突发事件处理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4.机动车和非机动车停放管理</w:t>
            </w:r>
          </w:p>
        </w:tc>
        <w:tc>
          <w:tcPr>
            <w:tcW w:w="2970" w:type="dxa"/>
            <w:shd w:val="clear" w:color="auto" w:fill="auto"/>
            <w:vAlign w:val="bottom"/>
          </w:tcPr>
          <w:p>
            <w:pPr>
              <w:widowControl/>
              <w:spacing w:line="276"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（1）门岗服务：实行24小时门卫值班和登记制度，按中心规定对来访人员、车辆进行管理。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（2）秩序巡逻服务：按规定路线和程序对辖区内各楼层、各区域进行安全巡视，并填写巡查记录。</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（3）监控值班服务：实行监控室24小时值班和消防巡查、检查制度，并做好值班及巡查、检查记录。</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（4）停车场管理：按中心规定，管理、维护停车场秩序。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54" w:type="dxa"/>
            <w:shd w:val="clear" w:color="auto" w:fill="auto"/>
            <w:vAlign w:val="center"/>
          </w:tcPr>
          <w:p>
            <w:pPr>
              <w:widowControl/>
              <w:spacing w:line="276"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八</w:t>
            </w:r>
          </w:p>
        </w:tc>
        <w:tc>
          <w:tcPr>
            <w:tcW w:w="1416" w:type="dxa"/>
            <w:shd w:val="clear" w:color="auto" w:fill="auto"/>
            <w:vAlign w:val="center"/>
          </w:tcPr>
          <w:p>
            <w:pPr>
              <w:widowControl/>
              <w:spacing w:line="276" w:lineRule="auto"/>
              <w:jc w:val="left"/>
              <w:rPr>
                <w:rFonts w:hint="eastAsia" w:ascii="仿宋" w:hAnsi="仿宋" w:eastAsia="仿宋" w:cs="仿宋"/>
                <w:b/>
                <w:bCs/>
                <w:color w:val="FF0000"/>
                <w:kern w:val="0"/>
                <w:sz w:val="24"/>
                <w:szCs w:val="24"/>
                <w:lang w:val="en-US" w:eastAsia="zh-CN"/>
              </w:rPr>
            </w:pPr>
            <w:r>
              <w:rPr>
                <w:rFonts w:hint="eastAsia" w:ascii="仿宋" w:hAnsi="仿宋" w:eastAsia="仿宋" w:cs="仿宋"/>
                <w:b/>
                <w:bCs/>
                <w:color w:val="FF0000"/>
                <w:kern w:val="0"/>
                <w:sz w:val="24"/>
                <w:szCs w:val="24"/>
                <w:lang w:val="en-US" w:eastAsia="zh-CN"/>
              </w:rPr>
              <w:t>人员配备要求</w:t>
            </w:r>
          </w:p>
          <w:p>
            <w:pPr>
              <w:widowControl/>
              <w:spacing w:line="276" w:lineRule="auto"/>
              <w:jc w:val="left"/>
              <w:rPr>
                <w:rFonts w:hint="eastAsia" w:ascii="仿宋" w:hAnsi="仿宋" w:eastAsia="仿宋" w:cs="仿宋"/>
                <w:b/>
                <w:bCs/>
                <w:color w:val="FF0000"/>
                <w:kern w:val="0"/>
                <w:sz w:val="24"/>
                <w:szCs w:val="24"/>
              </w:rPr>
            </w:pPr>
          </w:p>
        </w:tc>
        <w:tc>
          <w:tcPr>
            <w:tcW w:w="3889" w:type="dxa"/>
            <w:shd w:val="clear" w:color="auto" w:fill="auto"/>
            <w:vAlign w:val="center"/>
          </w:tcPr>
          <w:p>
            <w:pPr>
              <w:widowControl/>
              <w:spacing w:line="276" w:lineRule="auto"/>
              <w:jc w:val="left"/>
              <w:rPr>
                <w:rFonts w:hint="eastAsia" w:ascii="仿宋" w:hAnsi="仿宋" w:eastAsia="仿宋" w:cs="仿宋"/>
                <w:b/>
                <w:bCs/>
                <w:color w:val="FF0000"/>
                <w:kern w:val="0"/>
                <w:sz w:val="24"/>
                <w:szCs w:val="24"/>
                <w:lang w:val="en-US" w:eastAsia="zh-CN"/>
              </w:rPr>
            </w:pPr>
            <w:r>
              <w:rPr>
                <w:rFonts w:hint="eastAsia" w:ascii="仿宋" w:hAnsi="仿宋" w:eastAsia="仿宋" w:cs="仿宋"/>
                <w:b/>
                <w:bCs/>
                <w:color w:val="FF0000"/>
                <w:kern w:val="0"/>
                <w:sz w:val="24"/>
                <w:szCs w:val="24"/>
                <w:lang w:val="en-US" w:eastAsia="zh-CN"/>
              </w:rPr>
              <w:t>（1）本项目（楼宇内外、会议室、健身中心等）清洁保洁人员应不少于15人；</w:t>
            </w:r>
          </w:p>
          <w:p>
            <w:pPr>
              <w:widowControl/>
              <w:spacing w:line="276" w:lineRule="auto"/>
              <w:jc w:val="left"/>
              <w:rPr>
                <w:rFonts w:hint="eastAsia" w:ascii="仿宋" w:hAnsi="仿宋" w:eastAsia="仿宋" w:cs="仿宋"/>
                <w:b/>
                <w:bCs/>
                <w:color w:val="FF0000"/>
                <w:kern w:val="0"/>
                <w:sz w:val="24"/>
                <w:szCs w:val="24"/>
                <w:lang w:val="en-US" w:eastAsia="zh-CN"/>
              </w:rPr>
            </w:pPr>
            <w:r>
              <w:rPr>
                <w:rFonts w:hint="eastAsia" w:ascii="仿宋" w:hAnsi="仿宋" w:eastAsia="仿宋" w:cs="仿宋"/>
                <w:b/>
                <w:bCs/>
                <w:color w:val="FF0000"/>
                <w:kern w:val="0"/>
                <w:sz w:val="24"/>
                <w:szCs w:val="24"/>
                <w:lang w:val="en-US" w:eastAsia="zh-CN"/>
              </w:rPr>
              <w:t>（2）本项目安保人员应不少于15人；</w:t>
            </w:r>
          </w:p>
          <w:p>
            <w:pPr>
              <w:widowControl/>
              <w:spacing w:line="276" w:lineRule="auto"/>
              <w:jc w:val="left"/>
              <w:rPr>
                <w:rFonts w:hint="eastAsia" w:ascii="仿宋" w:hAnsi="仿宋" w:eastAsia="仿宋" w:cs="仿宋"/>
                <w:b/>
                <w:bCs/>
                <w:color w:val="FF0000"/>
                <w:kern w:val="0"/>
                <w:sz w:val="24"/>
                <w:szCs w:val="24"/>
                <w:lang w:val="en-US" w:eastAsia="zh-CN"/>
              </w:rPr>
            </w:pPr>
            <w:r>
              <w:rPr>
                <w:rFonts w:hint="eastAsia" w:ascii="仿宋" w:hAnsi="仿宋" w:eastAsia="仿宋" w:cs="仿宋"/>
                <w:b/>
                <w:bCs/>
                <w:color w:val="FF0000"/>
                <w:kern w:val="0"/>
                <w:sz w:val="24"/>
                <w:szCs w:val="24"/>
                <w:lang w:val="en-US" w:eastAsia="zh-CN"/>
              </w:rPr>
              <w:t>（3）本项目房屋及设施设备维护人员应不少于2人；</w:t>
            </w:r>
          </w:p>
          <w:p>
            <w:pPr>
              <w:widowControl/>
              <w:spacing w:line="276" w:lineRule="auto"/>
              <w:jc w:val="left"/>
              <w:rPr>
                <w:rFonts w:hint="eastAsia" w:ascii="仿宋" w:hAnsi="仿宋" w:eastAsia="仿宋" w:cs="仿宋"/>
                <w:b/>
                <w:bCs/>
                <w:color w:val="FF0000"/>
                <w:kern w:val="0"/>
                <w:sz w:val="24"/>
                <w:szCs w:val="24"/>
              </w:rPr>
            </w:pPr>
            <w:r>
              <w:rPr>
                <w:rFonts w:hint="eastAsia" w:ascii="仿宋" w:hAnsi="仿宋" w:eastAsia="仿宋" w:cs="仿宋"/>
                <w:b/>
                <w:bCs/>
                <w:color w:val="FF0000"/>
                <w:kern w:val="0"/>
                <w:sz w:val="24"/>
                <w:szCs w:val="24"/>
                <w:lang w:val="en-US" w:eastAsia="zh-CN"/>
              </w:rPr>
              <w:t xml:space="preserve">（4）配备人员须形象好，懂双语； </w:t>
            </w:r>
          </w:p>
          <w:p>
            <w:pPr>
              <w:widowControl/>
              <w:spacing w:line="276" w:lineRule="auto"/>
              <w:jc w:val="left"/>
              <w:rPr>
                <w:rFonts w:hint="eastAsia" w:ascii="仿宋" w:hAnsi="仿宋" w:eastAsia="仿宋" w:cs="仿宋"/>
                <w:b/>
                <w:bCs/>
                <w:color w:val="FF0000"/>
                <w:kern w:val="0"/>
                <w:sz w:val="24"/>
                <w:szCs w:val="24"/>
              </w:rPr>
            </w:pPr>
          </w:p>
        </w:tc>
        <w:tc>
          <w:tcPr>
            <w:tcW w:w="2970" w:type="dxa"/>
            <w:shd w:val="clear" w:color="auto" w:fill="auto"/>
            <w:vAlign w:val="center"/>
          </w:tcPr>
          <w:p>
            <w:pPr>
              <w:widowControl/>
              <w:numPr>
                <w:ilvl w:val="0"/>
                <w:numId w:val="10"/>
              </w:numPr>
              <w:spacing w:line="276" w:lineRule="auto"/>
              <w:jc w:val="left"/>
              <w:rPr>
                <w:rFonts w:hint="eastAsia" w:ascii="仿宋" w:hAnsi="仿宋" w:eastAsia="仿宋" w:cs="仿宋"/>
                <w:b/>
                <w:bCs/>
                <w:color w:val="FF0000"/>
                <w:kern w:val="0"/>
                <w:sz w:val="24"/>
                <w:szCs w:val="24"/>
                <w:lang w:val="en-US" w:eastAsia="zh-CN"/>
              </w:rPr>
            </w:pPr>
            <w:r>
              <w:rPr>
                <w:rFonts w:hint="eastAsia" w:ascii="仿宋" w:hAnsi="仿宋" w:eastAsia="仿宋" w:cs="仿宋"/>
                <w:b/>
                <w:bCs/>
                <w:color w:val="FF0000"/>
                <w:kern w:val="0"/>
                <w:sz w:val="24"/>
                <w:szCs w:val="24"/>
                <w:lang w:val="en-US" w:eastAsia="zh-CN"/>
              </w:rPr>
              <w:t>本项目（楼宇内外、会议室、健身中心等）服务期间清洁保洁人员应不少于15人；</w:t>
            </w:r>
          </w:p>
          <w:p>
            <w:pPr>
              <w:widowControl/>
              <w:spacing w:line="276" w:lineRule="auto"/>
              <w:jc w:val="left"/>
              <w:rPr>
                <w:rFonts w:hint="eastAsia" w:ascii="仿宋" w:hAnsi="仿宋" w:eastAsia="仿宋" w:cs="仿宋"/>
                <w:b/>
                <w:bCs/>
                <w:color w:val="FF0000"/>
                <w:kern w:val="0"/>
                <w:sz w:val="24"/>
                <w:szCs w:val="24"/>
                <w:lang w:val="en-US" w:eastAsia="zh-CN"/>
              </w:rPr>
            </w:pPr>
            <w:r>
              <w:rPr>
                <w:rFonts w:hint="eastAsia" w:ascii="仿宋" w:hAnsi="仿宋" w:eastAsia="仿宋" w:cs="仿宋"/>
                <w:b/>
                <w:bCs/>
                <w:color w:val="FF0000"/>
                <w:kern w:val="0"/>
                <w:sz w:val="24"/>
                <w:szCs w:val="24"/>
                <w:lang w:val="en-US" w:eastAsia="zh-CN"/>
              </w:rPr>
              <w:t>（2）本项目服务期间安保人员应不少于15人；</w:t>
            </w:r>
          </w:p>
          <w:p>
            <w:pPr>
              <w:widowControl/>
              <w:spacing w:line="276" w:lineRule="auto"/>
              <w:jc w:val="left"/>
              <w:rPr>
                <w:rFonts w:hint="eastAsia" w:ascii="仿宋" w:hAnsi="仿宋" w:eastAsia="仿宋" w:cs="仿宋"/>
                <w:b/>
                <w:bCs/>
                <w:color w:val="FF0000"/>
                <w:kern w:val="0"/>
                <w:sz w:val="24"/>
                <w:szCs w:val="24"/>
                <w:lang w:val="en-US" w:eastAsia="zh-CN"/>
              </w:rPr>
            </w:pPr>
            <w:r>
              <w:rPr>
                <w:rFonts w:hint="eastAsia" w:ascii="仿宋" w:hAnsi="仿宋" w:eastAsia="仿宋" w:cs="仿宋"/>
                <w:b/>
                <w:bCs/>
                <w:color w:val="FF0000"/>
                <w:kern w:val="0"/>
                <w:sz w:val="24"/>
                <w:szCs w:val="24"/>
                <w:lang w:val="en-US" w:eastAsia="zh-CN"/>
              </w:rPr>
              <w:t>（3）本项目服务期间房屋及设施设备维护人员应不少于2人；</w:t>
            </w:r>
          </w:p>
          <w:p>
            <w:pPr>
              <w:widowControl/>
              <w:spacing w:line="276" w:lineRule="auto"/>
              <w:jc w:val="left"/>
              <w:rPr>
                <w:rFonts w:hint="eastAsia" w:ascii="仿宋" w:hAnsi="仿宋" w:eastAsia="仿宋" w:cs="仿宋"/>
                <w:b/>
                <w:bCs/>
                <w:color w:val="FF0000"/>
                <w:kern w:val="0"/>
                <w:sz w:val="24"/>
                <w:szCs w:val="24"/>
                <w:lang w:val="en-US" w:eastAsia="zh-CN" w:bidi="ar-SA"/>
              </w:rPr>
            </w:pPr>
            <w:r>
              <w:rPr>
                <w:rFonts w:hint="eastAsia" w:ascii="仿宋" w:hAnsi="仿宋" w:eastAsia="仿宋" w:cs="仿宋"/>
                <w:b/>
                <w:bCs/>
                <w:color w:val="FF0000"/>
                <w:kern w:val="0"/>
                <w:sz w:val="24"/>
                <w:szCs w:val="24"/>
                <w:lang w:val="en-US" w:eastAsia="zh-CN"/>
              </w:rPr>
              <w:t xml:space="preserve">（4）配备人员须形象好，懂双语；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54"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416"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服务项目</w:t>
            </w:r>
          </w:p>
        </w:tc>
        <w:tc>
          <w:tcPr>
            <w:tcW w:w="3889"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服务内容</w:t>
            </w:r>
          </w:p>
        </w:tc>
        <w:tc>
          <w:tcPr>
            <w:tcW w:w="2970" w:type="dxa"/>
            <w:shd w:val="clear" w:color="auto" w:fill="auto"/>
            <w:vAlign w:val="center"/>
          </w:tcPr>
          <w:p>
            <w:pPr>
              <w:widowControl/>
              <w:spacing w:line="276"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54" w:type="dxa"/>
            <w:shd w:val="clear" w:color="auto" w:fill="auto"/>
            <w:vAlign w:val="center"/>
          </w:tcPr>
          <w:p>
            <w:pPr>
              <w:widowControl/>
              <w:spacing w:line="276" w:lineRule="auto"/>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九</w:t>
            </w:r>
          </w:p>
        </w:tc>
        <w:tc>
          <w:tcPr>
            <w:tcW w:w="1416" w:type="dxa"/>
            <w:shd w:val="clear" w:color="auto" w:fill="auto"/>
            <w:vAlign w:val="center"/>
          </w:tcPr>
          <w:p>
            <w:pPr>
              <w:widowControl/>
              <w:spacing w:line="276"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防疫工作</w:t>
            </w:r>
          </w:p>
        </w:tc>
        <w:tc>
          <w:tcPr>
            <w:tcW w:w="3889" w:type="dxa"/>
            <w:shd w:val="clear" w:color="auto" w:fill="auto"/>
            <w:vAlign w:val="center"/>
          </w:tcPr>
          <w:p>
            <w:pPr>
              <w:widowControl/>
              <w:spacing w:line="276"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1.严格遵守、执行政府及中心的各项防疫要求，做好物业管理区域的防疫、消毒工作，并做好相关工作记录</w:t>
            </w:r>
          </w:p>
        </w:tc>
        <w:tc>
          <w:tcPr>
            <w:tcW w:w="2970" w:type="dxa"/>
            <w:shd w:val="clear" w:color="auto" w:fill="auto"/>
            <w:vAlign w:val="center"/>
          </w:tcPr>
          <w:p>
            <w:pPr>
              <w:widowControl/>
              <w:spacing w:line="276"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按政府防疫要求执行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054" w:type="dxa"/>
            <w:shd w:val="clear" w:color="auto" w:fill="auto"/>
            <w:vAlign w:val="center"/>
          </w:tcPr>
          <w:p>
            <w:pPr>
              <w:widowControl/>
              <w:spacing w:line="276" w:lineRule="auto"/>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十</w:t>
            </w:r>
          </w:p>
        </w:tc>
        <w:tc>
          <w:tcPr>
            <w:tcW w:w="1416" w:type="dxa"/>
            <w:shd w:val="clear" w:color="auto" w:fill="auto"/>
            <w:vAlign w:val="center"/>
          </w:tcPr>
          <w:p>
            <w:pPr>
              <w:widowControl/>
              <w:spacing w:line="276"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3889" w:type="dxa"/>
            <w:shd w:val="clear" w:color="auto" w:fill="auto"/>
            <w:vAlign w:val="bottom"/>
          </w:tcPr>
          <w:p>
            <w:pPr>
              <w:widowControl/>
              <w:spacing w:line="276"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1.每年二次做征求业主对物业服务的意见调查，针对问题及时改进并解决。</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2.按计划开展物业项目部人员各项培训工作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3.推行“三标、7S”现场管理，工作现场达到标准化水平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4.项目部每月开展“三日”活动，通过培训与实操相结合的方式，使全员增强服务意识、不断提高服务质量</w:t>
            </w:r>
          </w:p>
        </w:tc>
        <w:tc>
          <w:tcPr>
            <w:tcW w:w="2970" w:type="dxa"/>
            <w:shd w:val="clear" w:color="auto" w:fill="auto"/>
            <w:vAlign w:val="bottom"/>
          </w:tcPr>
          <w:p>
            <w:pPr>
              <w:widowControl/>
              <w:spacing w:line="276" w:lineRule="auto"/>
              <w:jc w:val="left"/>
              <w:rPr>
                <w:rFonts w:hint="eastAsia" w:ascii="仿宋" w:hAnsi="仿宋" w:eastAsia="仿宋" w:cs="仿宋"/>
                <w:color w:val="000000"/>
                <w:kern w:val="0"/>
                <w:sz w:val="24"/>
                <w:szCs w:val="24"/>
              </w:rPr>
            </w:pPr>
          </w:p>
        </w:tc>
      </w:tr>
    </w:tbl>
    <w:p>
      <w:pPr>
        <w:rPr>
          <w:rFonts w:hint="eastAsia" w:ascii="仿宋" w:hAnsi="仿宋" w:eastAsia="仿宋" w:cs="仿宋"/>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spacing w:line="360" w:lineRule="auto"/>
        <w:jc w:val="left"/>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三</w:t>
      </w:r>
      <w:r>
        <w:rPr>
          <w:rFonts w:hint="eastAsia" w:ascii="仿宋" w:hAnsi="仿宋" w:eastAsia="仿宋" w:cs="仿宋"/>
          <w:b/>
          <w:sz w:val="28"/>
          <w:szCs w:val="28"/>
        </w:rPr>
        <w:t>）服务承诺保证措施</w:t>
      </w:r>
    </w:p>
    <w:tbl>
      <w:tblPr>
        <w:tblStyle w:val="4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235"/>
        <w:gridCol w:w="1476"/>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kern w:val="0"/>
                <w:sz w:val="24"/>
              </w:rPr>
            </w:pPr>
            <w:r>
              <w:rPr>
                <w:rFonts w:hint="eastAsia" w:ascii="仿宋" w:hAnsi="仿宋" w:eastAsia="仿宋" w:cs="仿宋"/>
                <w:b/>
                <w:kern w:val="0"/>
                <w:sz w:val="24"/>
              </w:rPr>
              <w:t>服务承诺</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kern w:val="0"/>
                <w:sz w:val="24"/>
              </w:rPr>
            </w:pPr>
            <w:r>
              <w:rPr>
                <w:rFonts w:hint="eastAsia" w:ascii="仿宋" w:hAnsi="仿宋" w:eastAsia="仿宋" w:cs="仿宋"/>
                <w:b/>
                <w:kern w:val="0"/>
                <w:sz w:val="24"/>
              </w:rPr>
              <w:t>标准</w:t>
            </w:r>
          </w:p>
        </w:tc>
        <w:tc>
          <w:tcPr>
            <w:tcW w:w="52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kern w:val="0"/>
                <w:sz w:val="24"/>
              </w:rPr>
            </w:pPr>
            <w:r>
              <w:rPr>
                <w:rFonts w:hint="eastAsia" w:ascii="仿宋" w:hAnsi="仿宋" w:eastAsia="仿宋" w:cs="仿宋"/>
                <w:b/>
                <w:kern w:val="0"/>
                <w:sz w:val="24"/>
              </w:rPr>
              <w:t>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6"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kern w:val="0"/>
                <w:sz w:val="24"/>
              </w:rPr>
            </w:pPr>
            <w:r>
              <w:rPr>
                <w:rFonts w:hint="eastAsia" w:ascii="仿宋" w:hAnsi="仿宋" w:eastAsia="仿宋" w:cs="仿宋"/>
                <w:kern w:val="0"/>
                <w:sz w:val="24"/>
              </w:rPr>
              <w:t>1</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公共环境：清洁、卫生、美观、整洁</w:t>
            </w:r>
          </w:p>
          <w:p>
            <w:pPr>
              <w:spacing w:line="400" w:lineRule="exact"/>
              <w:rPr>
                <w:rFonts w:hint="eastAsia" w:ascii="仿宋" w:hAnsi="仿宋" w:eastAsia="仿宋" w:cs="仿宋"/>
                <w:b/>
                <w:kern w:val="0"/>
                <w:sz w:val="24"/>
              </w:rPr>
            </w:pPr>
            <w:r>
              <w:rPr>
                <w:rFonts w:hint="eastAsia" w:ascii="仿宋" w:hAnsi="仿宋" w:eastAsia="仿宋" w:cs="仿宋"/>
                <w:b/>
                <w:kern w:val="0"/>
                <w:sz w:val="24"/>
              </w:rPr>
              <w:t>房屋外观：房屋外观整洁，无乱涂、脱落、污迹</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清洁率达</w:t>
            </w:r>
          </w:p>
          <w:p>
            <w:pPr>
              <w:spacing w:line="400" w:lineRule="exact"/>
              <w:jc w:val="center"/>
              <w:rPr>
                <w:rFonts w:hint="eastAsia" w:ascii="仿宋" w:hAnsi="仿宋" w:eastAsia="仿宋" w:cs="仿宋"/>
                <w:b/>
                <w:kern w:val="0"/>
                <w:sz w:val="24"/>
              </w:rPr>
            </w:pPr>
            <w:r>
              <w:rPr>
                <w:rFonts w:hint="eastAsia" w:ascii="仿宋" w:hAnsi="仿宋" w:eastAsia="仿宋" w:cs="仿宋"/>
                <w:b/>
                <w:sz w:val="24"/>
              </w:rPr>
              <w:t>100%</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1、保洁领班每日巡视检查卫生保洁情况，发现问题立即协调处理。</w:t>
            </w:r>
          </w:p>
          <w:p>
            <w:pPr>
              <w:spacing w:line="400" w:lineRule="exact"/>
              <w:rPr>
                <w:rFonts w:hint="eastAsia" w:ascii="仿宋" w:hAnsi="仿宋" w:eastAsia="仿宋" w:cs="仿宋"/>
                <w:kern w:val="0"/>
                <w:sz w:val="24"/>
              </w:rPr>
            </w:pPr>
            <w:r>
              <w:rPr>
                <w:rFonts w:hint="eastAsia" w:ascii="仿宋" w:hAnsi="仿宋" w:eastAsia="仿宋" w:cs="仿宋"/>
                <w:kern w:val="0"/>
                <w:sz w:val="24"/>
              </w:rPr>
              <w:t>2、保洁员随时对其所负责区域进行巡回保洁，发现污染源及时清洁，发现设施损坏的及时上报主管协调处理同时做好记录存档，发现特殊或紧急事件立即按制度或预案要求标准执行并上报领导。</w:t>
            </w:r>
          </w:p>
          <w:p>
            <w:pPr>
              <w:spacing w:line="400" w:lineRule="exact"/>
              <w:rPr>
                <w:rFonts w:hint="eastAsia" w:ascii="仿宋" w:hAnsi="仿宋" w:eastAsia="仿宋" w:cs="仿宋"/>
                <w:kern w:val="0"/>
                <w:sz w:val="24"/>
              </w:rPr>
            </w:pPr>
            <w:r>
              <w:rPr>
                <w:rFonts w:hint="eastAsia" w:ascii="仿宋" w:hAnsi="仿宋" w:eastAsia="仿宋" w:cs="仿宋"/>
                <w:kern w:val="0"/>
                <w:sz w:val="24"/>
              </w:rPr>
              <w:t>3、垃圾日产日清，封闭转运，杜绝二次污染。</w:t>
            </w:r>
          </w:p>
          <w:p>
            <w:pPr>
              <w:spacing w:line="400" w:lineRule="exact"/>
              <w:rPr>
                <w:rFonts w:hint="eastAsia" w:ascii="仿宋" w:hAnsi="仿宋" w:eastAsia="仿宋" w:cs="仿宋"/>
                <w:kern w:val="0"/>
                <w:sz w:val="24"/>
              </w:rPr>
            </w:pPr>
            <w:r>
              <w:rPr>
                <w:rFonts w:hint="eastAsia" w:ascii="仿宋" w:hAnsi="仿宋" w:eastAsia="仿宋" w:cs="仿宋"/>
                <w:kern w:val="0"/>
                <w:sz w:val="24"/>
              </w:rPr>
              <w:t>4、制定年度工作计划表，并分解至每月，按计划对物管区域进行清洁、卫生消杀、灭四害等工作，达到质量标准。</w:t>
            </w:r>
          </w:p>
          <w:p>
            <w:pPr>
              <w:spacing w:line="400" w:lineRule="exact"/>
              <w:rPr>
                <w:rFonts w:hint="eastAsia" w:ascii="仿宋" w:hAnsi="仿宋" w:eastAsia="仿宋" w:cs="仿宋"/>
                <w:kern w:val="0"/>
                <w:sz w:val="24"/>
              </w:rPr>
            </w:pPr>
            <w:r>
              <w:rPr>
                <w:rFonts w:hint="eastAsia" w:ascii="仿宋" w:hAnsi="仿宋" w:eastAsia="仿宋" w:cs="仿宋"/>
                <w:kern w:val="0"/>
                <w:sz w:val="24"/>
              </w:rPr>
              <w:t>5、每年</w:t>
            </w:r>
            <w:r>
              <w:rPr>
                <w:rFonts w:hint="eastAsia" w:ascii="仿宋" w:hAnsi="仿宋" w:eastAsia="仿宋" w:cs="仿宋"/>
                <w:kern w:val="0"/>
                <w:sz w:val="24"/>
                <w:lang w:val="en-US" w:eastAsia="zh-CN"/>
              </w:rPr>
              <w:t>不得低于</w:t>
            </w:r>
            <w:r>
              <w:rPr>
                <w:rFonts w:hint="eastAsia" w:ascii="仿宋" w:hAnsi="仿宋" w:eastAsia="仿宋" w:cs="仿宋"/>
                <w:kern w:val="0"/>
                <w:sz w:val="24"/>
              </w:rPr>
              <w:t>2次清洗大楼外墙</w:t>
            </w:r>
            <w:r>
              <w:rPr>
                <w:rFonts w:hint="eastAsia" w:ascii="仿宋" w:hAnsi="仿宋" w:eastAsia="仿宋" w:cs="仿宋"/>
                <w:kern w:val="0"/>
                <w:sz w:val="24"/>
                <w:lang w:val="en-US" w:eastAsia="zh-CN"/>
              </w:rPr>
              <w:t>及外墙玻璃</w:t>
            </w:r>
            <w:r>
              <w:rPr>
                <w:rFonts w:hint="eastAsia" w:ascii="仿宋" w:hAnsi="仿宋" w:eastAsia="仿宋" w:cs="仿宋"/>
                <w:kern w:val="0"/>
                <w:sz w:val="24"/>
              </w:rPr>
              <w:t>，具体时间按业主方要求实施。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kern w:val="0"/>
                <w:sz w:val="24"/>
              </w:rPr>
            </w:pPr>
            <w:r>
              <w:rPr>
                <w:rFonts w:hint="eastAsia" w:ascii="仿宋" w:hAnsi="仿宋" w:eastAsia="仿宋" w:cs="仿宋"/>
                <w:kern w:val="0"/>
                <w:sz w:val="24"/>
              </w:rPr>
              <w:t>2</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绿化：公共绿地无破坏、无践踏、无黄土裸露现象</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rPr>
            </w:pPr>
            <w:r>
              <w:rPr>
                <w:rFonts w:hint="eastAsia" w:ascii="仿宋" w:hAnsi="仿宋" w:eastAsia="仿宋" w:cs="仿宋"/>
                <w:b/>
                <w:kern w:val="0"/>
                <w:sz w:val="24"/>
              </w:rPr>
              <w:t>绿化完好率95%；</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1、严格制定绿化工作计划，内容包括时间要求和质量要求。</w:t>
            </w:r>
          </w:p>
          <w:p>
            <w:pPr>
              <w:spacing w:line="400" w:lineRule="exact"/>
              <w:rPr>
                <w:rFonts w:hint="eastAsia" w:ascii="仿宋" w:hAnsi="仿宋" w:eastAsia="仿宋" w:cs="仿宋"/>
                <w:kern w:val="0"/>
                <w:sz w:val="24"/>
              </w:rPr>
            </w:pPr>
            <w:r>
              <w:rPr>
                <w:rFonts w:hint="eastAsia" w:ascii="仿宋" w:hAnsi="仿宋" w:eastAsia="仿宋" w:cs="仿宋"/>
                <w:kern w:val="0"/>
                <w:sz w:val="24"/>
              </w:rPr>
              <w:t>2、按计划做好日常绿化养护工作，定期喷洒药物，预防病虫害。</w:t>
            </w:r>
          </w:p>
          <w:p>
            <w:pPr>
              <w:spacing w:line="400" w:lineRule="exact"/>
              <w:rPr>
                <w:rFonts w:hint="eastAsia" w:ascii="仿宋" w:hAnsi="仿宋" w:eastAsia="仿宋" w:cs="仿宋"/>
                <w:kern w:val="0"/>
                <w:sz w:val="24"/>
              </w:rPr>
            </w:pPr>
            <w:r>
              <w:rPr>
                <w:rFonts w:hint="eastAsia" w:ascii="仿宋" w:hAnsi="仿宋" w:eastAsia="仿宋" w:cs="仿宋"/>
                <w:kern w:val="0"/>
                <w:sz w:val="24"/>
              </w:rPr>
              <w:t>3、每月对绿化工作质量完成情况进行考核检查，检查结果记录在“绿化管理记录”中。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9"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kern w:val="0"/>
                <w:sz w:val="24"/>
              </w:rPr>
            </w:pPr>
            <w:r>
              <w:rPr>
                <w:rFonts w:hint="eastAsia" w:ascii="仿宋" w:hAnsi="仿宋" w:eastAsia="仿宋" w:cs="仿宋"/>
                <w:kern w:val="0"/>
                <w:sz w:val="24"/>
              </w:rPr>
              <w:t>3</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24"/>
              </w:rPr>
            </w:pPr>
            <w:r>
              <w:rPr>
                <w:rFonts w:hint="eastAsia" w:ascii="仿宋" w:hAnsi="仿宋" w:eastAsia="仿宋" w:cs="仿宋"/>
                <w:b/>
                <w:sz w:val="24"/>
              </w:rPr>
              <w:t>设备运行：公用设备设施、供水设备运行正常。</w:t>
            </w:r>
          </w:p>
          <w:p>
            <w:pPr>
              <w:spacing w:line="400" w:lineRule="exact"/>
              <w:rPr>
                <w:rFonts w:hint="eastAsia" w:ascii="仿宋" w:hAnsi="仿宋" w:eastAsia="仿宋" w:cs="仿宋"/>
                <w:b/>
                <w:kern w:val="0"/>
                <w:sz w:val="24"/>
              </w:rPr>
            </w:pPr>
            <w:r>
              <w:rPr>
                <w:rFonts w:hint="eastAsia" w:ascii="仿宋" w:hAnsi="仿宋" w:eastAsia="仿宋" w:cs="仿宋"/>
                <w:b/>
                <w:sz w:val="24"/>
              </w:rPr>
              <w:t>大楼设施、设备的维护、养护：确保能正常运行</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sz w:val="24"/>
              </w:rPr>
              <w:t>完好使用率95%</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1、配备专业的工程人员，且持证上岗。</w:t>
            </w:r>
          </w:p>
          <w:p>
            <w:pPr>
              <w:spacing w:line="400" w:lineRule="exact"/>
              <w:rPr>
                <w:rFonts w:hint="eastAsia" w:ascii="仿宋" w:hAnsi="仿宋" w:eastAsia="仿宋" w:cs="仿宋"/>
                <w:kern w:val="0"/>
                <w:sz w:val="24"/>
              </w:rPr>
            </w:pPr>
            <w:r>
              <w:rPr>
                <w:rFonts w:hint="eastAsia" w:ascii="仿宋" w:hAnsi="仿宋" w:eastAsia="仿宋" w:cs="仿宋"/>
                <w:kern w:val="0"/>
                <w:sz w:val="24"/>
              </w:rPr>
              <w:t>2、按时对设备设施进行巡查，出现故障及时处理。</w:t>
            </w:r>
          </w:p>
          <w:p>
            <w:pPr>
              <w:spacing w:line="400" w:lineRule="exact"/>
              <w:rPr>
                <w:rFonts w:hint="eastAsia" w:ascii="仿宋" w:hAnsi="仿宋" w:eastAsia="仿宋" w:cs="仿宋"/>
                <w:kern w:val="0"/>
                <w:sz w:val="24"/>
              </w:rPr>
            </w:pPr>
            <w:r>
              <w:rPr>
                <w:rFonts w:hint="eastAsia" w:ascii="仿宋" w:hAnsi="仿宋" w:eastAsia="仿宋" w:cs="仿宋"/>
                <w:kern w:val="0"/>
                <w:sz w:val="24"/>
              </w:rPr>
              <w:t>3、制定维修计划，做好维护保养工作，设备设施运行正常。</w:t>
            </w:r>
          </w:p>
          <w:p>
            <w:pPr>
              <w:spacing w:line="400" w:lineRule="exact"/>
              <w:rPr>
                <w:rFonts w:hint="eastAsia" w:ascii="仿宋" w:hAnsi="仿宋" w:eastAsia="仿宋" w:cs="仿宋"/>
                <w:kern w:val="0"/>
                <w:sz w:val="24"/>
              </w:rPr>
            </w:pPr>
            <w:r>
              <w:rPr>
                <w:rFonts w:hint="eastAsia" w:ascii="仿宋" w:hAnsi="仿宋" w:eastAsia="仿宋" w:cs="仿宋"/>
                <w:kern w:val="0"/>
                <w:sz w:val="24"/>
              </w:rPr>
              <w:t>4、按相关管理制度要求做好运行记录填写、存档工作。</w:t>
            </w:r>
          </w:p>
          <w:p>
            <w:pPr>
              <w:spacing w:line="400" w:lineRule="exact"/>
              <w:rPr>
                <w:rFonts w:hint="eastAsia" w:ascii="仿宋" w:hAnsi="仿宋" w:eastAsia="仿宋" w:cs="仿宋"/>
                <w:kern w:val="0"/>
                <w:sz w:val="24"/>
              </w:rPr>
            </w:pPr>
            <w:r>
              <w:rPr>
                <w:rFonts w:hint="eastAsia" w:ascii="仿宋" w:hAnsi="仿宋" w:eastAsia="仿宋" w:cs="仿宋"/>
                <w:kern w:val="0"/>
                <w:sz w:val="24"/>
              </w:rPr>
              <w:t>5、房屋配套设施巡查、保养、质量标准量化分解到人，日常维护、定期维修、日常巡查、定期巡查相结合。</w:t>
            </w:r>
          </w:p>
          <w:p>
            <w:pPr>
              <w:spacing w:line="400" w:lineRule="exact"/>
              <w:rPr>
                <w:rFonts w:hint="eastAsia" w:ascii="仿宋" w:hAnsi="仿宋" w:eastAsia="仿宋" w:cs="仿宋"/>
                <w:kern w:val="0"/>
                <w:sz w:val="24"/>
              </w:rPr>
            </w:pPr>
            <w:r>
              <w:rPr>
                <w:rFonts w:hint="eastAsia" w:ascii="仿宋" w:hAnsi="仿宋" w:eastAsia="仿宋" w:cs="仿宋"/>
                <w:kern w:val="0"/>
                <w:sz w:val="24"/>
              </w:rPr>
              <w:t>6、建立设备台帐、记录建档、设备标识分类管理。</w:t>
            </w:r>
            <w:r>
              <w:rPr>
                <w:rFonts w:hint="eastAsia" w:ascii="仿宋" w:hAnsi="仿宋" w:eastAsia="仿宋" w:cs="仿宋"/>
                <w:kern w:val="0"/>
                <w:sz w:val="24"/>
              </w:rPr>
              <w:br w:type="textWrapping"/>
            </w:r>
            <w:r>
              <w:rPr>
                <w:rFonts w:hint="eastAsia" w:ascii="仿宋" w:hAnsi="仿宋" w:eastAsia="仿宋" w:cs="仿宋"/>
                <w:kern w:val="0"/>
                <w:sz w:val="24"/>
              </w:rPr>
              <w:t>7、严格装修审批管理，对进入办公楼施工单位实行跟踪管理，及时纠正任何有可能损坏建筑结构、危及配套设施安全的行为。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4</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24"/>
              </w:rPr>
            </w:pPr>
            <w:r>
              <w:rPr>
                <w:rFonts w:hint="eastAsia" w:ascii="仿宋" w:hAnsi="仿宋" w:eastAsia="仿宋" w:cs="仿宋"/>
                <w:b/>
                <w:sz w:val="24"/>
              </w:rPr>
              <w:t>急修、小修：接到急修、小修维护通知十五分钟内到达现场，小修及时完成；急修不超过2小时；并须有完善的维护应对方案，不影响甲方日常正常使用（零配件不能及时采购的除外）</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小修、急修及时率达100%</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1、以优质服务为宗旨，设立报修电话，接受业主的报修。</w:t>
            </w:r>
          </w:p>
          <w:p>
            <w:pPr>
              <w:spacing w:line="400" w:lineRule="exact"/>
              <w:rPr>
                <w:rFonts w:hint="eastAsia" w:ascii="仿宋" w:hAnsi="仿宋" w:eastAsia="仿宋" w:cs="仿宋"/>
                <w:kern w:val="0"/>
                <w:sz w:val="24"/>
              </w:rPr>
            </w:pPr>
            <w:r>
              <w:rPr>
                <w:rFonts w:hint="eastAsia" w:ascii="仿宋" w:hAnsi="仿宋" w:eastAsia="仿宋" w:cs="仿宋"/>
                <w:kern w:val="0"/>
                <w:sz w:val="24"/>
              </w:rPr>
              <w:t>2、维修人员应在接到维修通知单后及时处理，接到报修15分钟到达现场，急修不超过2小时。</w:t>
            </w:r>
            <w:r>
              <w:rPr>
                <w:rFonts w:hint="eastAsia" w:ascii="仿宋" w:hAnsi="仿宋" w:eastAsia="仿宋" w:cs="仿宋"/>
                <w:kern w:val="0"/>
                <w:sz w:val="24"/>
              </w:rPr>
              <w:br w:type="textWrapping"/>
            </w:r>
            <w:r>
              <w:rPr>
                <w:rFonts w:hint="eastAsia" w:ascii="仿宋" w:hAnsi="仿宋" w:eastAsia="仿宋" w:cs="仿宋"/>
                <w:kern w:val="0"/>
                <w:sz w:val="24"/>
              </w:rPr>
              <w:t>3、根据项目使用功能和特点，储存一定数量常用耗材，以备急需。</w:t>
            </w:r>
          </w:p>
          <w:p>
            <w:pPr>
              <w:spacing w:line="400" w:lineRule="exact"/>
              <w:rPr>
                <w:rFonts w:hint="eastAsia" w:ascii="仿宋" w:hAnsi="仿宋" w:eastAsia="仿宋" w:cs="仿宋"/>
                <w:kern w:val="0"/>
                <w:sz w:val="24"/>
              </w:rPr>
            </w:pPr>
            <w:r>
              <w:rPr>
                <w:rFonts w:hint="eastAsia" w:ascii="仿宋" w:hAnsi="仿宋" w:eastAsia="仿宋" w:cs="仿宋"/>
                <w:kern w:val="0"/>
                <w:sz w:val="24"/>
              </w:rPr>
              <w:t>4、实行报修填单制维修完成后，派工单由报修单位确认签字后存档备查。</w:t>
            </w:r>
          </w:p>
          <w:p>
            <w:pPr>
              <w:spacing w:line="400" w:lineRule="exact"/>
              <w:rPr>
                <w:rFonts w:hint="eastAsia" w:ascii="仿宋" w:hAnsi="仿宋" w:eastAsia="仿宋" w:cs="仿宋"/>
                <w:kern w:val="0"/>
                <w:sz w:val="24"/>
              </w:rPr>
            </w:pPr>
            <w:r>
              <w:rPr>
                <w:rFonts w:hint="eastAsia" w:ascii="仿宋" w:hAnsi="仿宋" w:eastAsia="仿宋" w:cs="仿宋"/>
                <w:kern w:val="0"/>
                <w:sz w:val="24"/>
              </w:rPr>
              <w:t>5、将维修单每月进行统计、分析，并将分析报告提交公司，针对出现的问题采取纠正和预防措施。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1"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5</w:t>
            </w:r>
          </w:p>
        </w:tc>
        <w:tc>
          <w:tcPr>
            <w:tcW w:w="2235" w:type="dxa"/>
            <w:tcBorders>
              <w:top w:val="single" w:color="auto" w:sz="4" w:space="0"/>
              <w:left w:val="single" w:color="auto" w:sz="4" w:space="0"/>
              <w:bottom w:val="single" w:color="auto" w:sz="4" w:space="0"/>
              <w:right w:val="single" w:color="auto" w:sz="4" w:space="0"/>
            </w:tcBorders>
            <w:vAlign w:val="center"/>
          </w:tcPr>
          <w:p>
            <w:pPr>
              <w:tabs>
                <w:tab w:val="left" w:pos="709"/>
              </w:tabs>
              <w:spacing w:line="360" w:lineRule="auto"/>
              <w:rPr>
                <w:rFonts w:hint="eastAsia" w:ascii="仿宋" w:hAnsi="仿宋" w:eastAsia="仿宋" w:cs="仿宋"/>
                <w:b/>
                <w:kern w:val="0"/>
                <w:sz w:val="24"/>
              </w:rPr>
            </w:pPr>
            <w:r>
              <w:rPr>
                <w:rFonts w:hint="eastAsia" w:ascii="仿宋" w:hAnsi="仿宋" w:eastAsia="仿宋" w:cs="仿宋"/>
                <w:b/>
                <w:kern w:val="0"/>
                <w:sz w:val="24"/>
              </w:rPr>
              <w:t>秩序维护</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24小时秩序维护</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1、秩序维护人员遵章守纪、文明执勤；</w:t>
            </w:r>
          </w:p>
          <w:p>
            <w:pPr>
              <w:spacing w:line="400" w:lineRule="exact"/>
              <w:rPr>
                <w:rFonts w:hint="eastAsia" w:ascii="仿宋" w:hAnsi="仿宋" w:eastAsia="仿宋" w:cs="仿宋"/>
                <w:kern w:val="0"/>
                <w:sz w:val="24"/>
              </w:rPr>
            </w:pPr>
            <w:r>
              <w:rPr>
                <w:rFonts w:hint="eastAsia" w:ascii="仿宋" w:hAnsi="仿宋" w:eastAsia="仿宋" w:cs="仿宋"/>
                <w:kern w:val="0"/>
                <w:sz w:val="24"/>
              </w:rPr>
              <w:t>2、全天候负责辖区内正门、区域通道、围墙、办公区域、公共区域秩序，维护辖区内交通秩序；</w:t>
            </w:r>
          </w:p>
          <w:p>
            <w:pPr>
              <w:spacing w:line="400" w:lineRule="exact"/>
              <w:rPr>
                <w:rFonts w:hint="eastAsia" w:ascii="仿宋" w:hAnsi="仿宋" w:eastAsia="仿宋" w:cs="仿宋"/>
                <w:kern w:val="0"/>
                <w:sz w:val="24"/>
              </w:rPr>
            </w:pPr>
            <w:r>
              <w:rPr>
                <w:rFonts w:hint="eastAsia" w:ascii="仿宋" w:hAnsi="仿宋" w:eastAsia="仿宋" w:cs="仿宋"/>
                <w:kern w:val="0"/>
                <w:sz w:val="24"/>
              </w:rPr>
              <w:t>3、24小时秩序维护、巡逻、值勤；</w:t>
            </w:r>
          </w:p>
          <w:p>
            <w:pPr>
              <w:spacing w:line="400" w:lineRule="exact"/>
              <w:rPr>
                <w:rFonts w:hint="eastAsia" w:ascii="仿宋" w:hAnsi="仿宋" w:eastAsia="仿宋" w:cs="仿宋"/>
                <w:kern w:val="0"/>
                <w:sz w:val="24"/>
              </w:rPr>
            </w:pPr>
            <w:r>
              <w:rPr>
                <w:rFonts w:hint="eastAsia" w:ascii="仿宋" w:hAnsi="仿宋" w:eastAsia="仿宋" w:cs="仿宋"/>
                <w:kern w:val="0"/>
                <w:sz w:val="24"/>
              </w:rPr>
              <w:t>4、积极配合公安部门工作，处理辖区内各种突发事件。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6</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24"/>
              </w:rPr>
            </w:pPr>
            <w:r>
              <w:rPr>
                <w:rFonts w:hint="eastAsia" w:ascii="仿宋" w:hAnsi="仿宋" w:eastAsia="仿宋" w:cs="仿宋"/>
                <w:b/>
                <w:sz w:val="24"/>
              </w:rPr>
              <w:t>防疫工作</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各项防疫措施100%落实</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1、按社区要求做好辖区内防疫工作；</w:t>
            </w:r>
          </w:p>
          <w:p>
            <w:pPr>
              <w:spacing w:line="400" w:lineRule="exact"/>
              <w:rPr>
                <w:rFonts w:hint="eastAsia" w:ascii="仿宋" w:hAnsi="仿宋" w:eastAsia="仿宋" w:cs="仿宋"/>
                <w:kern w:val="0"/>
                <w:sz w:val="24"/>
              </w:rPr>
            </w:pPr>
            <w:r>
              <w:rPr>
                <w:rFonts w:hint="eastAsia" w:ascii="仿宋" w:hAnsi="仿宋" w:eastAsia="仿宋" w:cs="仿宋"/>
                <w:kern w:val="0"/>
                <w:sz w:val="24"/>
              </w:rPr>
              <w:t>2、按项目实际情况及业主方要求，落实防疫的各项措施；</w:t>
            </w:r>
          </w:p>
          <w:p>
            <w:pPr>
              <w:spacing w:line="400" w:lineRule="exact"/>
              <w:rPr>
                <w:rFonts w:hint="eastAsia" w:ascii="仿宋" w:hAnsi="仿宋" w:eastAsia="仿宋" w:cs="仿宋"/>
                <w:kern w:val="0"/>
                <w:sz w:val="24"/>
              </w:rPr>
            </w:pPr>
            <w:r>
              <w:rPr>
                <w:rFonts w:hint="eastAsia" w:ascii="仿宋" w:hAnsi="仿宋" w:eastAsia="仿宋" w:cs="仿宋"/>
                <w:kern w:val="0"/>
                <w:sz w:val="24"/>
              </w:rPr>
              <w:t>3、加强工作人员管理与培训，从思想上高度重视防疫工作；</w:t>
            </w:r>
          </w:p>
          <w:p>
            <w:pPr>
              <w:spacing w:line="400" w:lineRule="exact"/>
              <w:rPr>
                <w:rFonts w:hint="eastAsia" w:ascii="仿宋" w:hAnsi="仿宋" w:eastAsia="仿宋" w:cs="仿宋"/>
                <w:kern w:val="0"/>
                <w:sz w:val="24"/>
              </w:rPr>
            </w:pPr>
            <w:r>
              <w:rPr>
                <w:rFonts w:hint="eastAsia" w:ascii="仿宋" w:hAnsi="仿宋" w:eastAsia="仿宋" w:cs="仿宋"/>
                <w:kern w:val="0"/>
                <w:sz w:val="24"/>
              </w:rPr>
              <w:t>4、认真填写各项消毒工作记录。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5"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7</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管理人员计划培训合格率</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100%</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1、对员工通过岗位培训、专题培训、社会培训、脱产进修等方式，开展员工履行岗位职责所必需的业务知识和专业技能的培训。</w:t>
            </w:r>
            <w:r>
              <w:rPr>
                <w:rFonts w:hint="eastAsia" w:ascii="仿宋" w:hAnsi="仿宋" w:eastAsia="仿宋" w:cs="仿宋"/>
                <w:kern w:val="0"/>
                <w:sz w:val="24"/>
              </w:rPr>
              <w:br w:type="textWrapping"/>
            </w:r>
            <w:r>
              <w:rPr>
                <w:rFonts w:hint="eastAsia" w:ascii="仿宋" w:hAnsi="仿宋" w:eastAsia="仿宋" w:cs="仿宋"/>
                <w:kern w:val="0"/>
                <w:sz w:val="24"/>
              </w:rPr>
              <w:t>2、对员工进行培训考核，内部培训考核通过口试、笔试、实际操作、工作鉴定等方式来进行。外部培训以获得培训合格证为依据。</w:t>
            </w:r>
            <w:r>
              <w:rPr>
                <w:rFonts w:hint="eastAsia" w:ascii="仿宋" w:hAnsi="仿宋" w:eastAsia="仿宋" w:cs="仿宋"/>
                <w:kern w:val="0"/>
                <w:sz w:val="24"/>
              </w:rPr>
              <w:br w:type="textWrapping"/>
            </w:r>
            <w:r>
              <w:rPr>
                <w:rFonts w:hint="eastAsia" w:ascii="仿宋" w:hAnsi="仿宋" w:eastAsia="仿宋" w:cs="仿宋"/>
                <w:kern w:val="0"/>
                <w:sz w:val="24"/>
              </w:rPr>
              <w:t>3、鼓励员工自学，给员工自我提高、自我完善的发展空间。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2"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8</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全员培训率</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100%</w:t>
            </w:r>
          </w:p>
        </w:tc>
        <w:tc>
          <w:tcPr>
            <w:tcW w:w="5298" w:type="dxa"/>
            <w:tcBorders>
              <w:top w:val="single" w:color="auto" w:sz="4" w:space="0"/>
              <w:left w:val="single" w:color="auto" w:sz="4" w:space="0"/>
              <w:bottom w:val="single" w:color="auto" w:sz="4" w:space="0"/>
              <w:right w:val="single" w:color="auto" w:sz="4" w:space="0"/>
            </w:tcBorders>
          </w:tcPr>
          <w:p>
            <w:pPr>
              <w:tabs>
                <w:tab w:val="left" w:pos="478"/>
              </w:tabs>
              <w:spacing w:line="400" w:lineRule="exact"/>
              <w:rPr>
                <w:rFonts w:hint="eastAsia" w:ascii="仿宋" w:hAnsi="仿宋" w:eastAsia="仿宋" w:cs="仿宋"/>
                <w:kern w:val="0"/>
                <w:sz w:val="24"/>
              </w:rPr>
            </w:pPr>
            <w:r>
              <w:rPr>
                <w:rFonts w:hint="eastAsia" w:ascii="仿宋" w:hAnsi="仿宋" w:eastAsia="仿宋" w:cs="仿宋"/>
                <w:kern w:val="0"/>
                <w:sz w:val="24"/>
              </w:rPr>
              <w:t>1、制度年度培训计划，并分解到每月培训。</w:t>
            </w:r>
          </w:p>
          <w:p>
            <w:pPr>
              <w:tabs>
                <w:tab w:val="left" w:pos="478"/>
              </w:tabs>
              <w:spacing w:line="400" w:lineRule="exact"/>
              <w:ind w:left="1"/>
              <w:rPr>
                <w:rFonts w:hint="eastAsia" w:ascii="仿宋" w:hAnsi="仿宋" w:eastAsia="仿宋" w:cs="仿宋"/>
                <w:kern w:val="0"/>
                <w:sz w:val="24"/>
              </w:rPr>
            </w:pPr>
            <w:r>
              <w:rPr>
                <w:rFonts w:hint="eastAsia" w:ascii="仿宋" w:hAnsi="仿宋" w:eastAsia="仿宋" w:cs="仿宋"/>
                <w:kern w:val="0"/>
                <w:sz w:val="24"/>
              </w:rPr>
              <w:t>2、严格按培训计划，开展各类培训并做好记录。</w:t>
            </w:r>
          </w:p>
          <w:p>
            <w:pPr>
              <w:tabs>
                <w:tab w:val="left" w:pos="478"/>
              </w:tabs>
              <w:spacing w:line="400" w:lineRule="exact"/>
              <w:ind w:left="1"/>
              <w:rPr>
                <w:rFonts w:hint="eastAsia" w:ascii="仿宋" w:hAnsi="仿宋" w:eastAsia="仿宋" w:cs="仿宋"/>
                <w:kern w:val="0"/>
                <w:sz w:val="24"/>
              </w:rPr>
            </w:pPr>
            <w:r>
              <w:rPr>
                <w:rFonts w:hint="eastAsia" w:ascii="仿宋" w:hAnsi="仿宋" w:eastAsia="仿宋" w:cs="仿宋"/>
                <w:kern w:val="0"/>
                <w:sz w:val="24"/>
              </w:rPr>
              <w:t>3、培训记录需有签到、具体培训内容、培训现场照片，培训导师签字，项目负责人签字等内容。</w:t>
            </w:r>
          </w:p>
          <w:p>
            <w:pPr>
              <w:tabs>
                <w:tab w:val="left" w:pos="478"/>
              </w:tabs>
              <w:spacing w:line="400" w:lineRule="exact"/>
              <w:ind w:left="1"/>
              <w:rPr>
                <w:rFonts w:hint="eastAsia" w:ascii="仿宋" w:hAnsi="仿宋" w:eastAsia="仿宋" w:cs="仿宋"/>
                <w:kern w:val="0"/>
                <w:sz w:val="24"/>
              </w:rPr>
            </w:pPr>
            <w:r>
              <w:rPr>
                <w:rFonts w:hint="eastAsia" w:ascii="仿宋" w:hAnsi="仿宋" w:eastAsia="仿宋" w:cs="仿宋"/>
                <w:kern w:val="0"/>
                <w:sz w:val="24"/>
              </w:rPr>
              <w:t>4、以员工掌握工作要求、培训内容为目的，开展形式多样的培训活动。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9</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物业管理服务满意率</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95%</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1、实行规范化管理，公开服务内容、服务质量标准，使物业管理始终处于监督之中。</w:t>
            </w:r>
            <w:r>
              <w:rPr>
                <w:rFonts w:hint="eastAsia" w:ascii="仿宋" w:hAnsi="仿宋" w:eastAsia="仿宋" w:cs="仿宋"/>
                <w:kern w:val="0"/>
                <w:sz w:val="24"/>
              </w:rPr>
              <w:br w:type="textWrapping"/>
            </w:r>
            <w:r>
              <w:rPr>
                <w:rFonts w:hint="eastAsia" w:ascii="仿宋" w:hAnsi="仿宋" w:eastAsia="仿宋" w:cs="仿宋"/>
                <w:kern w:val="0"/>
                <w:sz w:val="24"/>
              </w:rPr>
              <w:t>2、每半年以问卷调查表的形式作征询意见调查，数据统计后，进行分析，及时纠正和预防措施，并将处理结果上报公司。</w:t>
            </w:r>
            <w:r>
              <w:rPr>
                <w:rFonts w:hint="eastAsia" w:ascii="仿宋" w:hAnsi="仿宋" w:eastAsia="仿宋" w:cs="仿宋"/>
                <w:kern w:val="0"/>
                <w:sz w:val="24"/>
              </w:rPr>
              <w:br w:type="textWrapping"/>
            </w:r>
            <w:r>
              <w:rPr>
                <w:rFonts w:hint="eastAsia" w:ascii="仿宋" w:hAnsi="仿宋" w:eastAsia="仿宋" w:cs="仿宋"/>
                <w:kern w:val="0"/>
                <w:sz w:val="24"/>
              </w:rPr>
              <w:t>3、每周召开工作例会，研究讨论管理和服务工作。</w:t>
            </w:r>
          </w:p>
          <w:p>
            <w:pPr>
              <w:spacing w:line="400" w:lineRule="exact"/>
              <w:rPr>
                <w:rFonts w:hint="eastAsia" w:ascii="仿宋" w:hAnsi="仿宋" w:eastAsia="仿宋" w:cs="仿宋"/>
                <w:kern w:val="0"/>
                <w:sz w:val="24"/>
              </w:rPr>
            </w:pPr>
            <w:r>
              <w:rPr>
                <w:rFonts w:hint="eastAsia" w:ascii="仿宋" w:hAnsi="仿宋" w:eastAsia="仿宋" w:cs="仿宋"/>
                <w:kern w:val="0"/>
                <w:sz w:val="24"/>
              </w:rPr>
              <w:t>4、加强与业主方的沟通，提前发现问题、解决问题。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10</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sz w:val="24"/>
              </w:rPr>
              <w:t>物业服务项目达到“全国优秀大厦”的要求标准</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95分</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按《</w:t>
            </w:r>
            <w:r>
              <w:rPr>
                <w:rStyle w:val="48"/>
                <w:rFonts w:hint="eastAsia" w:ascii="仿宋" w:hAnsi="仿宋" w:eastAsia="仿宋" w:cs="仿宋"/>
                <w:sz w:val="24"/>
              </w:rPr>
              <w:t>全国物业管理优秀项目（大厦）标准及评分细则》要求开展物业服务，最终达到标准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8"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11</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ind w:left="34"/>
              <w:rPr>
                <w:rFonts w:hint="eastAsia" w:ascii="仿宋" w:hAnsi="仿宋" w:eastAsia="仿宋" w:cs="仿宋"/>
                <w:b/>
                <w:sz w:val="24"/>
              </w:rPr>
            </w:pPr>
            <w:r>
              <w:rPr>
                <w:rFonts w:hint="eastAsia" w:ascii="仿宋" w:hAnsi="仿宋" w:eastAsia="仿宋" w:cs="仿宋"/>
                <w:b/>
                <w:kern w:val="0"/>
                <w:sz w:val="24"/>
              </w:rPr>
              <w:t>安全责任事故</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0事故</w:t>
            </w:r>
          </w:p>
        </w:tc>
        <w:tc>
          <w:tcPr>
            <w:tcW w:w="5298" w:type="dxa"/>
            <w:tcBorders>
              <w:top w:val="single" w:color="auto" w:sz="4" w:space="0"/>
              <w:left w:val="single" w:color="auto" w:sz="4" w:space="0"/>
              <w:bottom w:val="single" w:color="auto" w:sz="4" w:space="0"/>
              <w:right w:val="single" w:color="auto" w:sz="4" w:space="0"/>
            </w:tcBorders>
          </w:tcPr>
          <w:p>
            <w:pPr>
              <w:numPr>
                <w:ilvl w:val="2"/>
                <w:numId w:val="11"/>
              </w:numPr>
              <w:tabs>
                <w:tab w:val="left" w:pos="385"/>
                <w:tab w:val="left" w:pos="462"/>
              </w:tabs>
              <w:spacing w:line="400" w:lineRule="exact"/>
              <w:ind w:left="0" w:firstLine="0"/>
              <w:rPr>
                <w:rFonts w:hint="eastAsia" w:ascii="仿宋" w:hAnsi="仿宋" w:eastAsia="仿宋" w:cs="仿宋"/>
                <w:kern w:val="0"/>
                <w:sz w:val="24"/>
              </w:rPr>
            </w:pPr>
            <w:r>
              <w:rPr>
                <w:rFonts w:hint="eastAsia" w:ascii="仿宋" w:hAnsi="仿宋" w:eastAsia="仿宋" w:cs="仿宋"/>
                <w:kern w:val="0"/>
                <w:sz w:val="24"/>
              </w:rPr>
              <w:t>定期开展全员安全教育。</w:t>
            </w:r>
          </w:p>
          <w:p>
            <w:pPr>
              <w:numPr>
                <w:ilvl w:val="2"/>
                <w:numId w:val="11"/>
              </w:numPr>
              <w:tabs>
                <w:tab w:val="left" w:pos="385"/>
                <w:tab w:val="left" w:pos="462"/>
              </w:tabs>
              <w:spacing w:line="400" w:lineRule="exact"/>
              <w:ind w:left="0" w:firstLine="0"/>
              <w:rPr>
                <w:rFonts w:hint="eastAsia" w:ascii="仿宋" w:hAnsi="仿宋" w:eastAsia="仿宋" w:cs="仿宋"/>
                <w:kern w:val="0"/>
                <w:sz w:val="24"/>
              </w:rPr>
            </w:pPr>
            <w:r>
              <w:rPr>
                <w:rFonts w:hint="eastAsia" w:ascii="仿宋" w:hAnsi="仿宋" w:eastAsia="仿宋" w:cs="仿宋"/>
                <w:kern w:val="0"/>
                <w:sz w:val="24"/>
              </w:rPr>
              <w:t>针对各岗位的工作要求及特点，分析安全隐患并制定有效防范措施，培训到位、落实到位。</w:t>
            </w:r>
          </w:p>
          <w:p>
            <w:pPr>
              <w:numPr>
                <w:ilvl w:val="2"/>
                <w:numId w:val="11"/>
              </w:numPr>
              <w:tabs>
                <w:tab w:val="left" w:pos="385"/>
                <w:tab w:val="left" w:pos="462"/>
              </w:tabs>
              <w:spacing w:line="400" w:lineRule="exact"/>
              <w:ind w:left="0" w:firstLine="0"/>
              <w:rPr>
                <w:rFonts w:hint="eastAsia" w:ascii="仿宋" w:hAnsi="仿宋" w:eastAsia="仿宋" w:cs="仿宋"/>
                <w:kern w:val="0"/>
                <w:sz w:val="24"/>
              </w:rPr>
            </w:pPr>
            <w:r>
              <w:rPr>
                <w:rFonts w:hint="eastAsia" w:ascii="仿宋" w:hAnsi="仿宋" w:eastAsia="仿宋" w:cs="仿宋"/>
                <w:kern w:val="0"/>
                <w:sz w:val="24"/>
              </w:rPr>
              <w:t>有安全隐患或可能造成他人伤害的场所、部位，首先应做好各项防范工作或通过整改消除安全隐患；不能及时消除的，除做好安全防范措施外，应有明显的安全警示，夜间有灯光提示，工作人员加强巡视检查，确保安全防范措施的有效性。</w:t>
            </w:r>
          </w:p>
          <w:p>
            <w:pPr>
              <w:numPr>
                <w:ilvl w:val="2"/>
                <w:numId w:val="11"/>
              </w:numPr>
              <w:tabs>
                <w:tab w:val="left" w:pos="385"/>
                <w:tab w:val="left" w:pos="462"/>
              </w:tabs>
              <w:spacing w:line="400" w:lineRule="exact"/>
              <w:ind w:left="0" w:firstLine="0"/>
              <w:rPr>
                <w:rFonts w:hint="eastAsia" w:ascii="仿宋" w:hAnsi="仿宋" w:eastAsia="仿宋" w:cs="仿宋"/>
                <w:kern w:val="0"/>
                <w:sz w:val="24"/>
              </w:rPr>
            </w:pPr>
            <w:r>
              <w:rPr>
                <w:rFonts w:hint="eastAsia" w:ascii="仿宋" w:hAnsi="仿宋" w:eastAsia="仿宋" w:cs="仿宋"/>
                <w:kern w:val="0"/>
                <w:sz w:val="24"/>
              </w:rPr>
              <w:t>每月组织“安全日”、“质量日”活动，并做好相关记录。</w:t>
            </w:r>
          </w:p>
          <w:p>
            <w:pPr>
              <w:numPr>
                <w:ilvl w:val="2"/>
                <w:numId w:val="11"/>
              </w:numPr>
              <w:tabs>
                <w:tab w:val="left" w:pos="385"/>
                <w:tab w:val="left" w:pos="462"/>
              </w:tabs>
              <w:spacing w:line="400" w:lineRule="exact"/>
              <w:ind w:left="0" w:firstLine="0"/>
              <w:rPr>
                <w:rFonts w:hint="eastAsia" w:ascii="仿宋" w:hAnsi="仿宋" w:eastAsia="仿宋" w:cs="仿宋"/>
                <w:kern w:val="0"/>
                <w:sz w:val="24"/>
              </w:rPr>
            </w:pPr>
            <w:r>
              <w:rPr>
                <w:rFonts w:hint="eastAsia" w:ascii="仿宋" w:hAnsi="仿宋" w:eastAsia="仿宋" w:cs="仿宋"/>
                <w:kern w:val="0"/>
                <w:sz w:val="24"/>
              </w:rPr>
              <w:t>制定计划定期开展各岗安全操作流程培训。</w:t>
            </w:r>
          </w:p>
          <w:p>
            <w:pPr>
              <w:numPr>
                <w:ilvl w:val="2"/>
                <w:numId w:val="11"/>
              </w:numPr>
              <w:tabs>
                <w:tab w:val="left" w:pos="385"/>
                <w:tab w:val="left" w:pos="462"/>
              </w:tabs>
              <w:spacing w:line="400" w:lineRule="exact"/>
              <w:ind w:left="0" w:firstLine="0"/>
              <w:rPr>
                <w:rFonts w:hint="eastAsia" w:ascii="仿宋" w:hAnsi="仿宋" w:eastAsia="仿宋" w:cs="仿宋"/>
                <w:kern w:val="0"/>
                <w:sz w:val="24"/>
              </w:rPr>
            </w:pPr>
            <w:r>
              <w:rPr>
                <w:rFonts w:hint="eastAsia" w:ascii="仿宋" w:hAnsi="仿宋" w:eastAsia="仿宋" w:cs="仿宋"/>
                <w:kern w:val="0"/>
                <w:sz w:val="24"/>
              </w:rPr>
              <w:t>定期组织各类应急预案演练。</w:t>
            </w:r>
          </w:p>
          <w:p>
            <w:pPr>
              <w:numPr>
                <w:ilvl w:val="2"/>
                <w:numId w:val="11"/>
              </w:numPr>
              <w:tabs>
                <w:tab w:val="left" w:pos="385"/>
                <w:tab w:val="left" w:pos="462"/>
              </w:tabs>
              <w:spacing w:line="400" w:lineRule="exact"/>
              <w:ind w:left="0" w:firstLine="0"/>
              <w:rPr>
                <w:rFonts w:hint="eastAsia" w:ascii="仿宋" w:hAnsi="仿宋" w:eastAsia="仿宋" w:cs="仿宋"/>
                <w:kern w:val="0"/>
                <w:sz w:val="24"/>
              </w:rPr>
            </w:pPr>
            <w:r>
              <w:rPr>
                <w:rFonts w:hint="eastAsia" w:ascii="仿宋" w:hAnsi="仿宋" w:eastAsia="仿宋" w:cs="仿宋"/>
                <w:kern w:val="0"/>
                <w:sz w:val="24"/>
              </w:rPr>
              <w:t>安全宣贯是每日部门工作例会必讲点。</w:t>
            </w:r>
          </w:p>
          <w:p>
            <w:pPr>
              <w:numPr>
                <w:ilvl w:val="2"/>
                <w:numId w:val="11"/>
              </w:numPr>
              <w:tabs>
                <w:tab w:val="left" w:pos="385"/>
                <w:tab w:val="left" w:pos="462"/>
              </w:tabs>
              <w:spacing w:line="400" w:lineRule="exact"/>
              <w:ind w:left="0" w:firstLine="0"/>
              <w:rPr>
                <w:rFonts w:hint="eastAsia" w:ascii="仿宋" w:hAnsi="仿宋" w:eastAsia="仿宋" w:cs="仿宋"/>
                <w:kern w:val="0"/>
                <w:sz w:val="24"/>
              </w:rPr>
            </w:pPr>
            <w:r>
              <w:rPr>
                <w:rFonts w:hint="eastAsia" w:ascii="仿宋" w:hAnsi="仿宋" w:eastAsia="仿宋" w:cs="仿宋"/>
                <w:kern w:val="0"/>
                <w:sz w:val="24"/>
              </w:rPr>
              <w:t>管理人员至相关政府机构参加专题培训，并做好全员培训分享工作。</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t>注：（1）服务期限内，采购人除承担本项目水、电、暖等能源费用外，不再另行投资任何费用。最终服务费用以中标金额为准。     （2）防疫用品费用：包括防疫所需的标准配置、细化用品、消耗品 费用均由中标人承担。（3）日常耗材费用：灯 泡、水管等由于维护不当、人为损坏造成的损耗费用由中标人负责。（4）苗木费用：苗木前期栽种费用及由于维护不当、人为损坏造成的树苗补种费用由中标人承担。 （5）维修费用：所有包括电、水、管道、消防设施、电梯等维修费用由中标人承担。 （6）外墙清洗涉及的第三方保险及高空作业所出现的所有问题及相关费用由中标人自行负责 承担。 （7）因工作失误造成的物资损坏所有费用全部由中标人自行承担。 （8）所有物业涉及人员的保险、第三方责任险等保险全部由中标人负责。</w:t>
      </w:r>
    </w:p>
    <w:p>
      <w:pPr>
        <w:rPr>
          <w:rFonts w:hint="eastAsia" w:ascii="仿宋" w:hAnsi="仿宋" w:eastAsia="仿宋" w:cs="仿宋"/>
        </w:rPr>
      </w:pPr>
    </w:p>
    <w:p>
      <w:pPr>
        <w:pStyle w:val="21"/>
        <w:numPr>
          <w:ilvl w:val="0"/>
          <w:numId w:val="0"/>
        </w:num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0"/>
        <w:rPr>
          <w:rFonts w:hint="eastAsia" w:ascii="仿宋" w:hAnsi="仿宋" w:eastAsia="仿宋" w:cs="仿宋"/>
          <w:b w:val="0"/>
          <w:bCs w:val="0"/>
          <w:color w:val="auto"/>
          <w:sz w:val="28"/>
          <w:szCs w:val="28"/>
          <w:highlight w:val="none"/>
        </w:rPr>
      </w:pPr>
    </w:p>
    <w:p>
      <w:pPr>
        <w:rPr>
          <w:rFonts w:hint="eastAsia" w:ascii="仿宋" w:hAnsi="仿宋" w:eastAsia="仿宋" w:cs="仿宋"/>
          <w:b/>
          <w:bCs/>
          <w:color w:val="auto"/>
          <w:sz w:val="48"/>
          <w:szCs w:val="56"/>
          <w:highlight w:val="none"/>
        </w:rPr>
      </w:pPr>
      <w:r>
        <w:rPr>
          <w:rFonts w:hint="eastAsia" w:ascii="仿宋" w:hAnsi="仿宋" w:eastAsia="仿宋" w:cs="仿宋"/>
          <w:b/>
          <w:bCs/>
          <w:color w:val="auto"/>
          <w:sz w:val="48"/>
          <w:szCs w:val="56"/>
          <w:highlight w:val="none"/>
        </w:rPr>
        <w:br w:type="page"/>
      </w:r>
    </w:p>
    <w:p>
      <w:pPr>
        <w:spacing w:line="360" w:lineRule="auto"/>
        <w:jc w:val="center"/>
        <w:outlineLvl w:val="0"/>
        <w:rPr>
          <w:rFonts w:hint="eastAsia" w:ascii="仿宋" w:hAnsi="仿宋" w:eastAsia="仿宋" w:cs="仿宋"/>
          <w:color w:val="auto"/>
          <w:highlight w:val="none"/>
        </w:rPr>
      </w:pPr>
      <w:r>
        <w:rPr>
          <w:rFonts w:hint="eastAsia" w:ascii="仿宋" w:hAnsi="仿宋" w:eastAsia="仿宋" w:cs="仿宋"/>
          <w:b/>
          <w:bCs/>
          <w:color w:val="auto"/>
          <w:sz w:val="48"/>
          <w:szCs w:val="56"/>
          <w:highlight w:val="none"/>
        </w:rPr>
        <w:t>第</w:t>
      </w:r>
      <w:r>
        <w:rPr>
          <w:rFonts w:hint="eastAsia" w:ascii="仿宋" w:hAnsi="仿宋" w:eastAsia="仿宋" w:cs="仿宋"/>
          <w:b/>
          <w:bCs/>
          <w:color w:val="auto"/>
          <w:sz w:val="48"/>
          <w:szCs w:val="56"/>
          <w:highlight w:val="none"/>
          <w:lang w:val="en-US" w:eastAsia="zh-CN"/>
        </w:rPr>
        <w:t>五</w:t>
      </w:r>
      <w:r>
        <w:rPr>
          <w:rFonts w:hint="eastAsia" w:ascii="仿宋" w:hAnsi="仿宋" w:eastAsia="仿宋" w:cs="仿宋"/>
          <w:b/>
          <w:bCs/>
          <w:color w:val="auto"/>
          <w:sz w:val="48"/>
          <w:szCs w:val="56"/>
          <w:highlight w:val="none"/>
        </w:rPr>
        <w:t xml:space="preserve">章   </w:t>
      </w:r>
      <w:bookmarkEnd w:id="72"/>
      <w:bookmarkEnd w:id="73"/>
      <w:r>
        <w:rPr>
          <w:rFonts w:hint="eastAsia" w:ascii="仿宋" w:hAnsi="仿宋" w:eastAsia="仿宋" w:cs="仿宋"/>
          <w:b/>
          <w:bCs/>
          <w:color w:val="auto"/>
          <w:sz w:val="48"/>
          <w:szCs w:val="56"/>
          <w:highlight w:val="none"/>
          <w:lang w:eastAsia="zh-CN"/>
        </w:rPr>
        <w:t>采购合同范本</w:t>
      </w:r>
      <w:r>
        <w:rPr>
          <w:rFonts w:hint="eastAsia" w:ascii="仿宋" w:hAnsi="仿宋" w:eastAsia="仿宋" w:cs="仿宋"/>
          <w:b/>
          <w:bCs/>
          <w:color w:val="auto"/>
          <w:sz w:val="48"/>
          <w:szCs w:val="56"/>
          <w:highlight w:val="none"/>
        </w:rPr>
        <w:t>（仅供参考）</w:t>
      </w:r>
      <w:bookmarkEnd w:id="74"/>
      <w:bookmarkEnd w:id="75"/>
      <w:bookmarkEnd w:id="76"/>
      <w:bookmarkEnd w:id="77"/>
      <w:bookmarkEnd w:id="78"/>
      <w:bookmarkEnd w:id="79"/>
      <w:bookmarkEnd w:id="80"/>
      <w:bookmarkEnd w:id="81"/>
      <w:bookmarkEnd w:id="82"/>
      <w:bookmarkEnd w:id="83"/>
      <w:bookmarkEnd w:id="84"/>
    </w:p>
    <w:p>
      <w:pPr>
        <w:jc w:val="center"/>
        <w:rPr>
          <w:rFonts w:hint="eastAsia" w:ascii="仿宋" w:hAnsi="仿宋" w:eastAsia="仿宋" w:cs="仿宋"/>
          <w:b/>
          <w:bCs/>
          <w:color w:val="auto"/>
          <w:sz w:val="32"/>
          <w:szCs w:val="28"/>
          <w:highlight w:val="none"/>
          <w:lang w:eastAsia="zh-CN"/>
        </w:rPr>
      </w:pPr>
      <w:bookmarkStart w:id="85" w:name="_Toc29040"/>
      <w:bookmarkStart w:id="86" w:name="_Toc17546"/>
      <w:bookmarkStart w:id="87" w:name="_Toc25217"/>
      <w:bookmarkStart w:id="88" w:name="_Toc381970843"/>
      <w:r>
        <w:rPr>
          <w:rFonts w:hint="eastAsia" w:ascii="仿宋" w:hAnsi="仿宋" w:eastAsia="仿宋" w:cs="仿宋"/>
          <w:b/>
          <w:bCs/>
          <w:color w:val="auto"/>
          <w:sz w:val="32"/>
          <w:szCs w:val="28"/>
          <w:highlight w:val="none"/>
        </w:rPr>
        <w:t>委托合同</w:t>
      </w:r>
      <w:r>
        <w:rPr>
          <w:rFonts w:hint="eastAsia" w:ascii="仿宋" w:hAnsi="仿宋" w:eastAsia="仿宋" w:cs="仿宋"/>
          <w:b/>
          <w:bCs/>
          <w:color w:val="auto"/>
          <w:sz w:val="32"/>
          <w:szCs w:val="28"/>
          <w:highlight w:val="none"/>
          <w:lang w:eastAsia="zh-CN"/>
        </w:rPr>
        <w:t>（</w:t>
      </w:r>
      <w:r>
        <w:rPr>
          <w:rFonts w:hint="eastAsia" w:ascii="仿宋" w:hAnsi="仿宋" w:eastAsia="仿宋" w:cs="仿宋"/>
          <w:b/>
          <w:bCs/>
          <w:color w:val="auto"/>
          <w:sz w:val="32"/>
          <w:szCs w:val="28"/>
          <w:highlight w:val="none"/>
          <w:lang w:val="en-US" w:eastAsia="zh-CN"/>
        </w:rPr>
        <w:t>以最终双方签订合同为准，注：合同签订时，可依据招投标文件及变更公告内容对合同条款进行完善修订。</w:t>
      </w:r>
      <w:r>
        <w:rPr>
          <w:rFonts w:hint="eastAsia" w:ascii="仿宋" w:hAnsi="仿宋" w:eastAsia="仿宋" w:cs="仿宋"/>
          <w:b/>
          <w:bCs/>
          <w:color w:val="auto"/>
          <w:sz w:val="32"/>
          <w:szCs w:val="28"/>
          <w:highlight w:val="none"/>
          <w:lang w:eastAsia="zh-CN"/>
        </w:rPr>
        <w:t>）</w:t>
      </w:r>
    </w:p>
    <w:p>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  则</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第一条  本合同当事人</w:t>
      </w:r>
    </w:p>
    <w:p>
      <w:pPr>
        <w:ind w:left="3424" w:leftChars="164" w:hanging="3080" w:hangingChars="11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委托方（以下简称甲方）：</w:t>
      </w:r>
      <w:r>
        <w:rPr>
          <w:rFonts w:hint="eastAsia" w:ascii="仿宋" w:hAnsi="仿宋" w:eastAsia="仿宋" w:cs="仿宋"/>
          <w:color w:val="auto"/>
          <w:sz w:val="28"/>
          <w:szCs w:val="28"/>
          <w:highlight w:val="none"/>
          <w:u w:val="single"/>
        </w:rPr>
        <w:t xml:space="preserve">                       </w:t>
      </w:r>
    </w:p>
    <w:p>
      <w:pPr>
        <w:ind w:firstLine="560" w:firstLineChars="200"/>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受托方（以下简称乙方）：</w:t>
      </w:r>
      <w:r>
        <w:rPr>
          <w:rFonts w:hint="eastAsia" w:ascii="仿宋" w:hAnsi="仿宋" w:eastAsia="仿宋" w:cs="仿宋"/>
          <w:bCs/>
          <w:color w:val="auto"/>
          <w:sz w:val="28"/>
          <w:szCs w:val="28"/>
          <w:highlight w:val="none"/>
          <w:u w:val="single"/>
        </w:rPr>
        <w:t xml:space="preserve">                       </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根据《中华人民共和国合同法》、《物业委托管理条例》等国家、地方有关物业委托管理法律、法规和政策，在平等、自愿、协商一致的基础上，就甲方委托乙方对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）办公楼清洁保洁实施委托管理服务而签订本合同。</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第二条</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t>办公楼基本情况</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办公楼位于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号，占地面积</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平方米。目前建筑物地上</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层，建筑总面积</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平方米；地下</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层，建筑总面积</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平方米； 建筑外尺寸长约</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米、宽约</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米、高约</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米；建筑整体结构为框架结构。 </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第三条</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t>委托管理服务的范围和内容</w:t>
      </w:r>
    </w:p>
    <w:p>
      <w:pPr>
        <w:spacing w:line="360" w:lineRule="auto"/>
        <w:ind w:firstLine="551" w:firstLineChars="196"/>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1. </w:t>
      </w:r>
      <w:r>
        <w:rPr>
          <w:rFonts w:hint="eastAsia" w:ascii="仿宋" w:hAnsi="仿宋" w:eastAsia="仿宋" w:cs="仿宋"/>
          <w:b w:val="0"/>
          <w:bCs/>
          <w:color w:val="auto"/>
          <w:sz w:val="28"/>
          <w:szCs w:val="28"/>
          <w:highlight w:val="none"/>
        </w:rPr>
        <w:t>委托管理范围：</w:t>
      </w:r>
      <w:r>
        <w:rPr>
          <w:rFonts w:hint="eastAsia" w:ascii="仿宋" w:hAnsi="仿宋" w:eastAsia="仿宋" w:cs="仿宋"/>
          <w:b/>
          <w:color w:val="auto"/>
          <w:sz w:val="28"/>
          <w:szCs w:val="28"/>
          <w:highlight w:val="none"/>
          <w:lang w:val="en-US" w:eastAsia="zh-CN"/>
        </w:rPr>
        <w:t>为和田地区行政服务和公共资源交易中心提供安保、保洁、维护、消防维保等物业服务。和田地区行政服务和公共资源交易中心是一座集政务服务、办公、公共资源交易、会议为一体的综合大楼，位于和田市北京工业园区，建筑面积约 27000 ㎡，庭院约14000㎡（含办公楼前停车场），地上 4 层，一、二层为政务服务大厅，三层为公共资源交易大厅，四层为餐厅及办公区。地下室约2300㎡。服务期三年。</w:t>
      </w:r>
      <w:r>
        <w:rPr>
          <w:rFonts w:hint="eastAsia" w:ascii="仿宋" w:hAnsi="仿宋" w:eastAsia="仿宋" w:cs="仿宋"/>
          <w:b/>
          <w:color w:val="FF0000"/>
          <w:sz w:val="28"/>
          <w:szCs w:val="28"/>
          <w:highlight w:val="none"/>
          <w:lang w:val="en-US" w:eastAsia="zh-CN"/>
        </w:rPr>
        <w:t>（该预算为完成本项目服务所需的全部费用，包括税金、人工费用（含员工服装）、管理费、清洁、保洁、卫生防疫服务使用的低值易耗品和消耗品，包括清洁工具、劳保、洗涤、防疫用品以及专项清洁的消耗品等）。</w:t>
      </w:r>
    </w:p>
    <w:p>
      <w:pPr>
        <w:spacing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 委托管理内容：</w:t>
      </w:r>
    </w:p>
    <w:tbl>
      <w:tblPr>
        <w:tblStyle w:val="4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52"/>
        <w:gridCol w:w="3869"/>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1752"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服务项目</w:t>
            </w:r>
          </w:p>
        </w:tc>
        <w:tc>
          <w:tcPr>
            <w:tcW w:w="3869"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服务内容</w:t>
            </w:r>
          </w:p>
        </w:tc>
        <w:tc>
          <w:tcPr>
            <w:tcW w:w="2408" w:type="dxa"/>
            <w:shd w:val="clear" w:color="auto" w:fill="auto"/>
            <w:vAlign w:val="center"/>
          </w:tcPr>
          <w:p>
            <w:pPr>
              <w:widowControl/>
              <w:spacing w:line="240" w:lineRule="auto"/>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服务</w:t>
            </w:r>
            <w:r>
              <w:rPr>
                <w:rFonts w:hint="eastAsia" w:ascii="仿宋" w:hAnsi="仿宋" w:eastAsia="仿宋" w:cs="仿宋"/>
                <w:color w:val="000000"/>
                <w:kern w:val="0"/>
                <w:sz w:val="24"/>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一</w:t>
            </w:r>
          </w:p>
        </w:tc>
        <w:tc>
          <w:tcPr>
            <w:tcW w:w="1752"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楼宇内清洁保洁养护服务</w:t>
            </w:r>
          </w:p>
        </w:tc>
        <w:tc>
          <w:tcPr>
            <w:tcW w:w="3869"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1.办公楼内所有公共区域（门厅、走廊、楼梯、卫生间、三层开评标室监控室等）对提供卫生清洁和工作时间卫生保洁管理服务</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2.对所有公共区域和场所墙面（楼宇内、外墙面）、地面等提供定期养护管理服务</w:t>
            </w:r>
          </w:p>
        </w:tc>
        <w:tc>
          <w:tcPr>
            <w:tcW w:w="2408" w:type="dxa"/>
            <w:vMerge w:val="restart"/>
            <w:shd w:val="clear" w:color="auto" w:fill="auto"/>
          </w:tcPr>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p>
          <w:p>
            <w:pPr>
              <w:pStyle w:val="140"/>
              <w:spacing w:line="240" w:lineRule="auto"/>
              <w:ind w:right="96"/>
              <w:rPr>
                <w:rFonts w:hint="eastAsia" w:ascii="仿宋" w:hAnsi="仿宋" w:eastAsia="仿宋" w:cs="仿宋"/>
              </w:rPr>
            </w:pPr>
            <w:r>
              <w:rPr>
                <w:rFonts w:hint="eastAsia" w:ascii="仿宋" w:hAnsi="仿宋" w:eastAsia="仿宋" w:cs="仿宋"/>
              </w:rPr>
              <w:t>（1）室内清洁标准日常清洁标准</w:t>
            </w:r>
          </w:p>
          <w:p>
            <w:pPr>
              <w:pStyle w:val="140"/>
              <w:numPr>
                <w:ilvl w:val="0"/>
                <w:numId w:val="0"/>
              </w:numPr>
              <w:tabs>
                <w:tab w:val="left" w:pos="469"/>
              </w:tabs>
              <w:spacing w:before="120" w:after="0" w:line="240" w:lineRule="auto"/>
              <w:ind w:left="107" w:leftChars="0" w:right="91" w:rightChars="0"/>
              <w:jc w:val="both"/>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一层大厅玻璃门每日循环清洁一次，清洁完毕确保无水渍、手印、灰尘，光洁明亮；</w:t>
            </w:r>
          </w:p>
          <w:p>
            <w:pPr>
              <w:pStyle w:val="140"/>
              <w:numPr>
                <w:ilvl w:val="0"/>
                <w:numId w:val="0"/>
              </w:numPr>
              <w:tabs>
                <w:tab w:val="left" w:pos="469"/>
              </w:tabs>
              <w:spacing w:before="124" w:after="0" w:line="240" w:lineRule="auto"/>
              <w:ind w:left="107" w:leftChars="0" w:right="93" w:rightChars="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一层大厅地面每天循环推尘两次，清洁干净，无污渍无脚印，发现污渍立刻清洁干净；</w:t>
            </w:r>
          </w:p>
          <w:p>
            <w:pPr>
              <w:widowControl/>
              <w:spacing w:line="240" w:lineRule="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公共区域地面每天循环推尘两次，清洁干净，无污渍无脚印，发现污渍立刻清洁</w:t>
            </w:r>
          </w:p>
          <w:p>
            <w:pPr>
              <w:pStyle w:val="21"/>
              <w:rPr>
                <w:rFonts w:hint="default"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lang w:val="en-US" w:eastAsia="zh-CN" w:bidi="ar-SA"/>
              </w:rPr>
              <w:t>4）</w:t>
            </w:r>
            <w:r>
              <w:rPr>
                <w:rFonts w:hint="eastAsia" w:ascii="仿宋" w:hAnsi="仿宋" w:eastAsia="仿宋" w:cs="仿宋"/>
                <w:b/>
                <w:bCs/>
                <w:color w:val="FF0000"/>
                <w:kern w:val="0"/>
                <w:sz w:val="24"/>
                <w:szCs w:val="24"/>
              </w:rPr>
              <w:t>每年</w:t>
            </w:r>
            <w:r>
              <w:rPr>
                <w:rFonts w:hint="eastAsia" w:ascii="仿宋" w:hAnsi="仿宋" w:eastAsia="仿宋" w:cs="仿宋"/>
                <w:b/>
                <w:bCs/>
                <w:color w:val="FF0000"/>
                <w:kern w:val="0"/>
                <w:sz w:val="24"/>
                <w:szCs w:val="24"/>
                <w:lang w:val="en-US" w:eastAsia="zh-CN"/>
              </w:rPr>
              <w:t>不得低于</w:t>
            </w:r>
            <w:r>
              <w:rPr>
                <w:rFonts w:hint="eastAsia" w:ascii="仿宋" w:hAnsi="仿宋" w:eastAsia="仿宋" w:cs="仿宋"/>
                <w:b/>
                <w:bCs/>
                <w:color w:val="FF0000"/>
                <w:kern w:val="0"/>
                <w:sz w:val="24"/>
                <w:szCs w:val="24"/>
              </w:rPr>
              <w:t>2次清洗大楼外墙</w:t>
            </w:r>
            <w:r>
              <w:rPr>
                <w:rFonts w:hint="eastAsia" w:ascii="仿宋" w:hAnsi="仿宋" w:eastAsia="仿宋" w:cs="仿宋"/>
                <w:b/>
                <w:bCs/>
                <w:color w:val="FF0000"/>
                <w:kern w:val="0"/>
                <w:sz w:val="24"/>
                <w:szCs w:val="24"/>
                <w:lang w:val="en-US" w:eastAsia="zh-CN"/>
              </w:rPr>
              <w:t>及外墙玻璃</w:t>
            </w:r>
            <w:r>
              <w:rPr>
                <w:rFonts w:hint="eastAsia" w:ascii="仿宋" w:hAnsi="仿宋" w:eastAsia="仿宋" w:cs="仿宋"/>
                <w:b/>
                <w:bCs/>
                <w:color w:val="FF0000"/>
                <w:kern w:val="0"/>
                <w:sz w:val="24"/>
                <w:szCs w:val="24"/>
              </w:rPr>
              <w:t>，具体时间按业主方要求实施</w:t>
            </w:r>
            <w:r>
              <w:rPr>
                <w:rFonts w:hint="eastAsia" w:ascii="仿宋" w:hAnsi="仿宋" w:eastAsia="仿宋" w:cs="仿宋"/>
                <w:b/>
                <w:bCs/>
                <w:color w:val="FF0000"/>
                <w:kern w:val="2"/>
                <w:sz w:val="24"/>
                <w:szCs w:val="24"/>
                <w:lang w:val="en-US" w:eastAsia="zh-CN" w:bidi="ar-SA"/>
              </w:rPr>
              <w:t>。需具有高空外墙清洗服务企业资质。</w:t>
            </w:r>
          </w:p>
          <w:p>
            <w:pPr>
              <w:pStyle w:val="21"/>
              <w:rPr>
                <w:rFonts w:hint="eastAsia" w:eastAsia="仿宋"/>
                <w:lang w:val="en-US" w:eastAsia="zh-CN"/>
              </w:rPr>
            </w:pPr>
          </w:p>
          <w:p>
            <w:pPr>
              <w:pStyle w:val="37"/>
              <w:spacing w:line="240" w:lineRule="auto"/>
              <w:rPr>
                <w:rFonts w:hint="eastAsia" w:ascii="仿宋" w:hAnsi="仿宋" w:eastAsia="仿宋" w:cs="仿宋"/>
                <w:spacing w:val="-3"/>
                <w:sz w:val="24"/>
              </w:rPr>
            </w:pPr>
          </w:p>
          <w:p>
            <w:pPr>
              <w:pStyle w:val="37"/>
              <w:spacing w:line="240" w:lineRule="auto"/>
              <w:rPr>
                <w:rFonts w:hint="eastAsia" w:ascii="仿宋" w:hAnsi="仿宋" w:eastAsia="仿宋" w:cs="仿宋"/>
                <w:spacing w:val="-3"/>
                <w:sz w:val="24"/>
              </w:rPr>
            </w:pPr>
          </w:p>
          <w:p>
            <w:pPr>
              <w:pStyle w:val="37"/>
              <w:spacing w:line="240" w:lineRule="auto"/>
              <w:rPr>
                <w:rFonts w:hint="eastAsia" w:ascii="仿宋" w:hAnsi="仿宋" w:eastAsia="仿宋" w:cs="仿宋"/>
                <w:spacing w:val="-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二</w:t>
            </w:r>
          </w:p>
        </w:tc>
        <w:tc>
          <w:tcPr>
            <w:tcW w:w="1752"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楼宇外清洁保洁养护服务</w:t>
            </w:r>
          </w:p>
        </w:tc>
        <w:tc>
          <w:tcPr>
            <w:tcW w:w="3869"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1.对庭院约14000㎡（含办公楼前停车场）提供卫生清洁保洁服务。</w:t>
            </w:r>
          </w:p>
        </w:tc>
        <w:tc>
          <w:tcPr>
            <w:tcW w:w="2408" w:type="dxa"/>
            <w:vMerge w:val="continue"/>
            <w:vAlign w:val="center"/>
          </w:tcPr>
          <w:p>
            <w:pPr>
              <w:widowControl/>
              <w:spacing w:line="240"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三</w:t>
            </w:r>
          </w:p>
        </w:tc>
        <w:tc>
          <w:tcPr>
            <w:tcW w:w="1752"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会议室清洁及养护服务</w:t>
            </w:r>
          </w:p>
        </w:tc>
        <w:tc>
          <w:tcPr>
            <w:tcW w:w="3869"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1.对办公楼会议室、接待室按标准和要求提供卫生清洁、工作时间保洁服务</w:t>
            </w:r>
          </w:p>
        </w:tc>
        <w:tc>
          <w:tcPr>
            <w:tcW w:w="2408" w:type="dxa"/>
            <w:vMerge w:val="continue"/>
            <w:vAlign w:val="center"/>
          </w:tcPr>
          <w:p>
            <w:pPr>
              <w:widowControl/>
              <w:spacing w:line="240"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四</w:t>
            </w:r>
          </w:p>
        </w:tc>
        <w:tc>
          <w:tcPr>
            <w:tcW w:w="1752"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健身中心日常保洁</w:t>
            </w:r>
          </w:p>
        </w:tc>
        <w:tc>
          <w:tcPr>
            <w:tcW w:w="3869"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1.对健身中心提供卫生清洁及保洁服务</w:t>
            </w:r>
          </w:p>
        </w:tc>
        <w:tc>
          <w:tcPr>
            <w:tcW w:w="2408" w:type="dxa"/>
            <w:vMerge w:val="continue"/>
            <w:vAlign w:val="center"/>
          </w:tcPr>
          <w:p>
            <w:pPr>
              <w:widowControl/>
              <w:spacing w:line="240"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五</w:t>
            </w:r>
          </w:p>
        </w:tc>
        <w:tc>
          <w:tcPr>
            <w:tcW w:w="1752"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保洁日常物业委托管理</w:t>
            </w:r>
          </w:p>
        </w:tc>
        <w:tc>
          <w:tcPr>
            <w:tcW w:w="3869"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1.消杀管理：楼宇地下室、各楼梯通道、垃圾箱等室内外公共区域消杀。</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2.垃圾收集及处理：主要包括楼宇的各个场所日常垃圾的收集、装修及施工垃圾的收集、垃圾分类处理及垃圾筒的清洁。</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3.会议室清洁服务</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4.室外绿化服务</w:t>
            </w:r>
          </w:p>
        </w:tc>
        <w:tc>
          <w:tcPr>
            <w:tcW w:w="2408" w:type="dxa"/>
            <w:vMerge w:val="continue"/>
            <w:vAlign w:val="center"/>
          </w:tcPr>
          <w:p>
            <w:pPr>
              <w:widowControl/>
              <w:spacing w:line="240"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序号</w:t>
            </w:r>
          </w:p>
        </w:tc>
        <w:tc>
          <w:tcPr>
            <w:tcW w:w="1752" w:type="dxa"/>
            <w:shd w:val="clear" w:color="auto" w:fill="auto"/>
            <w:vAlign w:val="center"/>
          </w:tcPr>
          <w:p>
            <w:pPr>
              <w:widowControl/>
              <w:spacing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服务项目</w:t>
            </w:r>
          </w:p>
        </w:tc>
        <w:tc>
          <w:tcPr>
            <w:tcW w:w="3869" w:type="dxa"/>
            <w:shd w:val="clear" w:color="auto" w:fill="auto"/>
            <w:vAlign w:val="center"/>
          </w:tcPr>
          <w:p>
            <w:pPr>
              <w:widowControl/>
              <w:spacing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服务内容</w:t>
            </w:r>
          </w:p>
        </w:tc>
        <w:tc>
          <w:tcPr>
            <w:tcW w:w="2408" w:type="dxa"/>
            <w:vAlign w:val="center"/>
          </w:tcPr>
          <w:p>
            <w:pPr>
              <w:widowControl/>
              <w:spacing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六</w:t>
            </w:r>
          </w:p>
        </w:tc>
        <w:tc>
          <w:tcPr>
            <w:tcW w:w="1752" w:type="dxa"/>
            <w:shd w:val="clear" w:color="auto" w:fill="auto"/>
            <w:vAlign w:val="center"/>
          </w:tcPr>
          <w:p>
            <w:pPr>
              <w:widowControl/>
              <w:spacing w:line="276"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工程维护服务</w:t>
            </w:r>
          </w:p>
        </w:tc>
        <w:tc>
          <w:tcPr>
            <w:tcW w:w="3869" w:type="dxa"/>
            <w:shd w:val="clear" w:color="auto" w:fill="auto"/>
            <w:vAlign w:val="center"/>
          </w:tcPr>
          <w:p>
            <w:pPr>
              <w:widowControl/>
              <w:spacing w:line="276"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设备设施运行维护管理（水电设备设施等）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2.房屋及附属配套建筑管理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3.照明设施管理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4.工量具和维修用设备管理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5.管道维护、给排水工作管理</w:t>
            </w:r>
          </w:p>
          <w:p>
            <w:pPr>
              <w:widowControl/>
              <w:spacing w:line="276" w:lineRule="auto"/>
              <w:jc w:val="left"/>
              <w:rPr>
                <w:rFonts w:hint="default" w:eastAsia="宋体"/>
                <w:lang w:val="en-US" w:eastAsia="zh-CN"/>
              </w:rPr>
            </w:pPr>
            <w:r>
              <w:rPr>
                <w:rFonts w:hint="eastAsia" w:ascii="仿宋" w:hAnsi="仿宋" w:eastAsia="仿宋" w:cs="仿宋"/>
                <w:color w:val="000000"/>
                <w:kern w:val="0"/>
                <w:sz w:val="24"/>
                <w:lang w:val="en-US" w:eastAsia="zh-CN"/>
              </w:rPr>
              <w:t>6.消防维保。</w:t>
            </w:r>
          </w:p>
        </w:tc>
        <w:tc>
          <w:tcPr>
            <w:tcW w:w="2408" w:type="dxa"/>
            <w:shd w:val="clear" w:color="auto" w:fill="auto"/>
            <w:vAlign w:val="center"/>
          </w:tcPr>
          <w:p>
            <w:pPr>
              <w:widowControl/>
              <w:spacing w:line="276" w:lineRule="auto"/>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（1）设施巡检和维修：每日对物业管理区域进行巡检，主动发现问题并及时处理和解决。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日常维修：设立维修值班电话，接到报修及时安排人员维修解决，急修15分钟内到场处理，小修当日内修复，中修5日内修复；属于大、中修范围或需要更新改造的，及时向业主提出建议，根据业主意见，组织维护或更新改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（3）设备巡检：水泵间等重要在设备运行期间至少每2小时进行一次运行记录；各设备机房严禁非工作人员进入，监控记录齐全。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（4）维护计划作业：按期对设备设施进行检查、维护、保养、清洁，有效延长设备设施的使用寿命。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资料管理：建立健全制度管理档案、维修工器具台账、维修材料出入库盘点台账、维修材料领用台账、维修工单台账、设施设备巡检记录、事故分析和处理报告、维护计划、记录真实、准确、齐全、完整、洁净。</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（6）会议调音服务：负责设备调试、会议调音、设备清洁及维护等工作。</w:t>
            </w:r>
          </w:p>
          <w:p>
            <w:pPr>
              <w:widowControl/>
              <w:spacing w:line="276" w:lineRule="auto"/>
              <w:jc w:val="left"/>
              <w:rPr>
                <w:rFonts w:hint="eastAsia" w:ascii="仿宋" w:hAnsi="仿宋" w:eastAsia="仿宋" w:cs="仿宋"/>
                <w:b/>
                <w:bCs/>
                <w:color w:val="FF0000"/>
                <w:kern w:val="0"/>
                <w:sz w:val="22"/>
                <w:szCs w:val="22"/>
                <w:lang w:val="en-US" w:eastAsia="zh-CN"/>
              </w:rPr>
            </w:pP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7</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工程维修由物业公司负责更换和维修。</w:t>
            </w:r>
          </w:p>
          <w:p>
            <w:pPr>
              <w:pStyle w:val="2"/>
              <w:rPr>
                <w:rFonts w:hint="default"/>
                <w:lang w:val="en-US" w:eastAsia="zh-CN"/>
              </w:rPr>
            </w:pPr>
            <w:r>
              <w:rPr>
                <w:rFonts w:hint="eastAsia" w:ascii="仿宋" w:hAnsi="仿宋" w:eastAsia="仿宋" w:cs="仿宋"/>
                <w:color w:val="000000"/>
                <w:kern w:val="0"/>
                <w:sz w:val="22"/>
                <w:szCs w:val="22"/>
                <w:lang w:val="en-US" w:eastAsia="zh-CN" w:bidi="ar-SA"/>
              </w:rPr>
              <w:t>（8）按照消防检测标准要求，完成大厅所有应做消防维保的设备日常维保。并配备专业人员完成。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七</w:t>
            </w:r>
          </w:p>
        </w:tc>
        <w:tc>
          <w:tcPr>
            <w:tcW w:w="1752"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秩序维护服务</w:t>
            </w:r>
          </w:p>
        </w:tc>
        <w:tc>
          <w:tcPr>
            <w:tcW w:w="3869"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提供大门入口处、院内及大楼1-3层24小时安全保卫服务</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2.提供大门入口处、办公楼（区）来人来访的通报、证件检验、登记、体温测量等，门卫、守护和巡逻，公共秩序维护</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3.治安及其他突发事件处理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4.机动车和非机动车停放管理</w:t>
            </w:r>
          </w:p>
          <w:p>
            <w:pPr>
              <w:widowControl/>
              <w:spacing w:line="240" w:lineRule="auto"/>
              <w:jc w:val="left"/>
              <w:rPr>
                <w:rFonts w:hint="eastAsia" w:ascii="仿宋" w:hAnsi="仿宋" w:eastAsia="仿宋" w:cs="仿宋"/>
                <w:color w:val="000000"/>
                <w:kern w:val="0"/>
                <w:sz w:val="24"/>
              </w:rPr>
            </w:pPr>
          </w:p>
        </w:tc>
        <w:tc>
          <w:tcPr>
            <w:tcW w:w="2408" w:type="dxa"/>
            <w:shd w:val="clear" w:color="auto" w:fill="auto"/>
            <w:vAlign w:val="bottom"/>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（1）门岗服务：实行24小时门卫值班和登记制度，按中心规定对来访人员、车辆进行管理。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（2）秩序巡逻服务：按规定路线和程序对辖区内各楼层、各区域进行安全巡视，并填写巡查记录。</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（3）监控值班服务：实行监控室24小时值班和消防巡查、检查制度，并做好值班及巡查、检查记录。</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（4）停车场管理：按中心规定，管理、维护停车场秩序。</w:t>
            </w:r>
          </w:p>
          <w:p>
            <w:pPr>
              <w:widowControl/>
              <w:spacing w:line="240"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序号</w:t>
            </w:r>
          </w:p>
        </w:tc>
        <w:tc>
          <w:tcPr>
            <w:tcW w:w="1752" w:type="dxa"/>
            <w:shd w:val="clear" w:color="auto" w:fill="auto"/>
            <w:vAlign w:val="center"/>
          </w:tcPr>
          <w:p>
            <w:pPr>
              <w:widowControl/>
              <w:spacing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服务项目</w:t>
            </w:r>
          </w:p>
        </w:tc>
        <w:tc>
          <w:tcPr>
            <w:tcW w:w="3869" w:type="dxa"/>
            <w:shd w:val="clear" w:color="auto" w:fill="auto"/>
            <w:vAlign w:val="center"/>
          </w:tcPr>
          <w:p>
            <w:pPr>
              <w:widowControl/>
              <w:spacing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服务内容</w:t>
            </w:r>
          </w:p>
        </w:tc>
        <w:tc>
          <w:tcPr>
            <w:tcW w:w="2408" w:type="dxa"/>
            <w:shd w:val="clear" w:color="auto" w:fill="auto"/>
            <w:vAlign w:val="center"/>
          </w:tcPr>
          <w:p>
            <w:pPr>
              <w:widowControl/>
              <w:spacing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八</w:t>
            </w:r>
          </w:p>
        </w:tc>
        <w:tc>
          <w:tcPr>
            <w:tcW w:w="1752"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防疫工作</w:t>
            </w:r>
          </w:p>
        </w:tc>
        <w:tc>
          <w:tcPr>
            <w:tcW w:w="3869"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1.严格遵守、执行政府及中心的各项防疫要求，做好物业管理区域的防疫、消毒工作，并做好相关工作记录</w:t>
            </w:r>
          </w:p>
        </w:tc>
        <w:tc>
          <w:tcPr>
            <w:tcW w:w="2408" w:type="dxa"/>
            <w:shd w:val="clear" w:color="auto" w:fill="auto"/>
            <w:vAlign w:val="center"/>
          </w:tcPr>
          <w:p>
            <w:pPr>
              <w:widowControl/>
              <w:spacing w:line="240" w:lineRule="auto"/>
              <w:jc w:val="left"/>
              <w:rPr>
                <w:rFonts w:hint="eastAsia"/>
              </w:rPr>
            </w:pPr>
            <w:r>
              <w:rPr>
                <w:rFonts w:hint="eastAsia" w:ascii="仿宋" w:hAnsi="仿宋" w:eastAsia="仿宋" w:cs="仿宋"/>
                <w:color w:val="000000"/>
                <w:kern w:val="0"/>
                <w:sz w:val="24"/>
              </w:rPr>
              <w:t>按政府防疫要求执行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957" w:type="dxa"/>
            <w:shd w:val="clear" w:color="auto" w:fill="auto"/>
            <w:vAlign w:val="center"/>
          </w:tcPr>
          <w:p>
            <w:pPr>
              <w:widowControl/>
              <w:spacing w:line="24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九</w:t>
            </w:r>
          </w:p>
        </w:tc>
        <w:tc>
          <w:tcPr>
            <w:tcW w:w="1752" w:type="dxa"/>
            <w:shd w:val="clear" w:color="auto" w:fill="auto"/>
            <w:vAlign w:val="center"/>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其他</w:t>
            </w:r>
          </w:p>
        </w:tc>
        <w:tc>
          <w:tcPr>
            <w:tcW w:w="3869" w:type="dxa"/>
            <w:shd w:val="clear" w:color="auto" w:fill="auto"/>
            <w:vAlign w:val="bottom"/>
          </w:tcPr>
          <w:p>
            <w:pPr>
              <w:widowControl/>
              <w:spacing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1.每年二次做征求业主对物业服务的意见调查，针对问题及时改进并解决。</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2.按计划开展物业项目部人员各项培训工作</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3.推行“三标、7S”现场管理，工作现场达到标准化水平</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4.项目部每月开展“三日”活动，通过培训与实操相结合的方式，使全员增强服务意识、不断提高服务质量</w:t>
            </w:r>
          </w:p>
        </w:tc>
        <w:tc>
          <w:tcPr>
            <w:tcW w:w="2408" w:type="dxa"/>
            <w:shd w:val="clear" w:color="auto" w:fill="auto"/>
            <w:vAlign w:val="bottom"/>
          </w:tcPr>
          <w:p>
            <w:pPr>
              <w:widowControl/>
              <w:spacing w:line="240" w:lineRule="auto"/>
              <w:jc w:val="left"/>
              <w:rPr>
                <w:rFonts w:hint="eastAsia"/>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tc>
      </w:tr>
    </w:tbl>
    <w:p>
      <w:pPr>
        <w:rPr>
          <w:rFonts w:hint="eastAsia" w:ascii="仿宋" w:hAnsi="仿宋" w:eastAsia="仿宋" w:cs="仿宋"/>
          <w:b/>
          <w:sz w:val="28"/>
          <w:szCs w:val="28"/>
        </w:rPr>
      </w:pPr>
      <w:r>
        <w:rPr>
          <w:rFonts w:hint="eastAsia" w:ascii="仿宋" w:hAnsi="仿宋" w:eastAsia="仿宋" w:cs="仿宋"/>
          <w:b/>
          <w:sz w:val="28"/>
          <w:szCs w:val="28"/>
        </w:rPr>
        <w:br w:type="page"/>
      </w:r>
    </w:p>
    <w:p>
      <w:pPr>
        <w:spacing w:line="360" w:lineRule="auto"/>
        <w:jc w:val="left"/>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三</w:t>
      </w:r>
      <w:r>
        <w:rPr>
          <w:rFonts w:hint="eastAsia" w:ascii="仿宋" w:hAnsi="仿宋" w:eastAsia="仿宋" w:cs="仿宋"/>
          <w:b/>
          <w:sz w:val="28"/>
          <w:szCs w:val="28"/>
        </w:rPr>
        <w:t>）服务承诺保证措施</w:t>
      </w:r>
    </w:p>
    <w:tbl>
      <w:tblPr>
        <w:tblStyle w:val="4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235"/>
        <w:gridCol w:w="1476"/>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kern w:val="0"/>
                <w:sz w:val="24"/>
              </w:rPr>
            </w:pPr>
            <w:r>
              <w:rPr>
                <w:rFonts w:hint="eastAsia" w:ascii="仿宋" w:hAnsi="仿宋" w:eastAsia="仿宋" w:cs="仿宋"/>
                <w:b/>
                <w:kern w:val="0"/>
                <w:sz w:val="24"/>
              </w:rPr>
              <w:t>服务承诺</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kern w:val="0"/>
                <w:sz w:val="24"/>
              </w:rPr>
            </w:pPr>
            <w:r>
              <w:rPr>
                <w:rFonts w:hint="eastAsia" w:ascii="仿宋" w:hAnsi="仿宋" w:eastAsia="仿宋" w:cs="仿宋"/>
                <w:b/>
                <w:kern w:val="0"/>
                <w:sz w:val="24"/>
              </w:rPr>
              <w:t>标准</w:t>
            </w:r>
          </w:p>
        </w:tc>
        <w:tc>
          <w:tcPr>
            <w:tcW w:w="52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kern w:val="0"/>
                <w:sz w:val="24"/>
              </w:rPr>
            </w:pPr>
            <w:r>
              <w:rPr>
                <w:rFonts w:hint="eastAsia" w:ascii="仿宋" w:hAnsi="仿宋" w:eastAsia="仿宋" w:cs="仿宋"/>
                <w:b/>
                <w:kern w:val="0"/>
                <w:sz w:val="24"/>
              </w:rPr>
              <w:t>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6"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kern w:val="0"/>
                <w:sz w:val="24"/>
              </w:rPr>
            </w:pPr>
            <w:r>
              <w:rPr>
                <w:rFonts w:hint="eastAsia" w:ascii="仿宋" w:hAnsi="仿宋" w:eastAsia="仿宋" w:cs="仿宋"/>
                <w:kern w:val="0"/>
                <w:sz w:val="24"/>
              </w:rPr>
              <w:t>1</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公共环境：清洁、卫生、美观、整洁</w:t>
            </w:r>
          </w:p>
          <w:p>
            <w:pPr>
              <w:spacing w:line="400" w:lineRule="exact"/>
              <w:rPr>
                <w:rFonts w:hint="eastAsia" w:ascii="仿宋" w:hAnsi="仿宋" w:eastAsia="仿宋" w:cs="仿宋"/>
                <w:b/>
                <w:kern w:val="0"/>
                <w:sz w:val="24"/>
              </w:rPr>
            </w:pPr>
            <w:r>
              <w:rPr>
                <w:rFonts w:hint="eastAsia" w:ascii="仿宋" w:hAnsi="仿宋" w:eastAsia="仿宋" w:cs="仿宋"/>
                <w:b/>
                <w:kern w:val="0"/>
                <w:sz w:val="24"/>
              </w:rPr>
              <w:t>房屋外观：房屋外观整洁，无乱涂、脱落、污迹</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清洁率达</w:t>
            </w:r>
          </w:p>
          <w:p>
            <w:pPr>
              <w:spacing w:line="400" w:lineRule="exact"/>
              <w:jc w:val="center"/>
              <w:rPr>
                <w:rFonts w:hint="eastAsia" w:ascii="仿宋" w:hAnsi="仿宋" w:eastAsia="仿宋" w:cs="仿宋"/>
                <w:b/>
                <w:kern w:val="0"/>
                <w:sz w:val="24"/>
              </w:rPr>
            </w:pPr>
            <w:r>
              <w:rPr>
                <w:rFonts w:hint="eastAsia" w:ascii="仿宋" w:hAnsi="仿宋" w:eastAsia="仿宋" w:cs="仿宋"/>
                <w:b/>
                <w:sz w:val="24"/>
              </w:rPr>
              <w:t>100%</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1、保洁领班每日巡视检查卫生保洁情况，发现问题立即协调处理。</w:t>
            </w:r>
          </w:p>
          <w:p>
            <w:pPr>
              <w:spacing w:line="400" w:lineRule="exact"/>
              <w:rPr>
                <w:rFonts w:hint="eastAsia" w:ascii="仿宋" w:hAnsi="仿宋" w:eastAsia="仿宋" w:cs="仿宋"/>
                <w:kern w:val="0"/>
                <w:sz w:val="24"/>
              </w:rPr>
            </w:pPr>
            <w:r>
              <w:rPr>
                <w:rFonts w:hint="eastAsia" w:ascii="仿宋" w:hAnsi="仿宋" w:eastAsia="仿宋" w:cs="仿宋"/>
                <w:kern w:val="0"/>
                <w:sz w:val="24"/>
              </w:rPr>
              <w:t>2、保洁员随时对其所负责区域进行巡回保洁，发现污染源及时清洁，发现设施损坏的及时上报主管协调处理同时做好记录存档，发现特殊或紧急事件立即按制度或预案要求标准执行并上报领导。</w:t>
            </w:r>
          </w:p>
          <w:p>
            <w:pPr>
              <w:spacing w:line="400" w:lineRule="exact"/>
              <w:rPr>
                <w:rFonts w:hint="eastAsia" w:ascii="仿宋" w:hAnsi="仿宋" w:eastAsia="仿宋" w:cs="仿宋"/>
                <w:kern w:val="0"/>
                <w:sz w:val="24"/>
              </w:rPr>
            </w:pPr>
            <w:r>
              <w:rPr>
                <w:rFonts w:hint="eastAsia" w:ascii="仿宋" w:hAnsi="仿宋" w:eastAsia="仿宋" w:cs="仿宋"/>
                <w:kern w:val="0"/>
                <w:sz w:val="24"/>
              </w:rPr>
              <w:t>3、垃圾日产日清，封闭转运，杜绝二次污染。</w:t>
            </w:r>
          </w:p>
          <w:p>
            <w:pPr>
              <w:spacing w:line="400" w:lineRule="exact"/>
              <w:rPr>
                <w:rFonts w:hint="eastAsia" w:ascii="仿宋" w:hAnsi="仿宋" w:eastAsia="仿宋" w:cs="仿宋"/>
                <w:kern w:val="0"/>
                <w:sz w:val="24"/>
              </w:rPr>
            </w:pPr>
            <w:r>
              <w:rPr>
                <w:rFonts w:hint="eastAsia" w:ascii="仿宋" w:hAnsi="仿宋" w:eastAsia="仿宋" w:cs="仿宋"/>
                <w:kern w:val="0"/>
                <w:sz w:val="24"/>
              </w:rPr>
              <w:t>4、制定年度工作计划表，并分解至每月，按计划对物管区域进行清洁、卫生消杀、灭四害等工作，达到质量标准。</w:t>
            </w:r>
          </w:p>
          <w:p>
            <w:pPr>
              <w:spacing w:line="400" w:lineRule="exact"/>
              <w:rPr>
                <w:rFonts w:hint="eastAsia" w:ascii="仿宋" w:hAnsi="仿宋" w:eastAsia="仿宋" w:cs="仿宋"/>
                <w:kern w:val="0"/>
                <w:sz w:val="24"/>
              </w:rPr>
            </w:pPr>
            <w:r>
              <w:rPr>
                <w:rFonts w:hint="eastAsia" w:ascii="仿宋" w:hAnsi="仿宋" w:eastAsia="仿宋" w:cs="仿宋"/>
                <w:kern w:val="0"/>
                <w:sz w:val="24"/>
              </w:rPr>
              <w:t>5、每年2次清洗大楼外墙，具体时间按业主方要求实施。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kern w:val="0"/>
                <w:sz w:val="24"/>
              </w:rPr>
            </w:pPr>
            <w:r>
              <w:rPr>
                <w:rFonts w:hint="eastAsia" w:ascii="仿宋" w:hAnsi="仿宋" w:eastAsia="仿宋" w:cs="仿宋"/>
                <w:kern w:val="0"/>
                <w:sz w:val="24"/>
              </w:rPr>
              <w:t>2</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绿化：公共绿地无破坏、无践踏、无黄土裸露现象</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rPr>
            </w:pPr>
            <w:r>
              <w:rPr>
                <w:rFonts w:hint="eastAsia" w:ascii="仿宋" w:hAnsi="仿宋" w:eastAsia="仿宋" w:cs="仿宋"/>
                <w:b/>
                <w:kern w:val="0"/>
                <w:sz w:val="24"/>
              </w:rPr>
              <w:t>绿化完好率95%；</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1、严格制定绿化工作计划，内容包括时间要求和质量要求。</w:t>
            </w:r>
          </w:p>
          <w:p>
            <w:pPr>
              <w:spacing w:line="400" w:lineRule="exact"/>
              <w:rPr>
                <w:rFonts w:hint="eastAsia" w:ascii="仿宋" w:hAnsi="仿宋" w:eastAsia="仿宋" w:cs="仿宋"/>
                <w:kern w:val="0"/>
                <w:sz w:val="24"/>
              </w:rPr>
            </w:pPr>
            <w:r>
              <w:rPr>
                <w:rFonts w:hint="eastAsia" w:ascii="仿宋" w:hAnsi="仿宋" w:eastAsia="仿宋" w:cs="仿宋"/>
                <w:kern w:val="0"/>
                <w:sz w:val="24"/>
              </w:rPr>
              <w:t>2、按计划做好日常绿化养护工作，定期喷洒药物，预防病虫害。</w:t>
            </w:r>
          </w:p>
          <w:p>
            <w:pPr>
              <w:spacing w:line="400" w:lineRule="exact"/>
              <w:rPr>
                <w:rFonts w:hint="eastAsia" w:ascii="仿宋" w:hAnsi="仿宋" w:eastAsia="仿宋" w:cs="仿宋"/>
                <w:kern w:val="0"/>
                <w:sz w:val="24"/>
              </w:rPr>
            </w:pPr>
            <w:r>
              <w:rPr>
                <w:rFonts w:hint="eastAsia" w:ascii="仿宋" w:hAnsi="仿宋" w:eastAsia="仿宋" w:cs="仿宋"/>
                <w:kern w:val="0"/>
                <w:sz w:val="24"/>
              </w:rPr>
              <w:t>3、每月对绿化工作质量完成情况进行考核检查，检查结果记录在“绿化管理记录”中。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9"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kern w:val="0"/>
                <w:sz w:val="24"/>
              </w:rPr>
            </w:pPr>
            <w:r>
              <w:rPr>
                <w:rFonts w:hint="eastAsia" w:ascii="仿宋" w:hAnsi="仿宋" w:eastAsia="仿宋" w:cs="仿宋"/>
                <w:kern w:val="0"/>
                <w:sz w:val="24"/>
              </w:rPr>
              <w:t>3</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24"/>
              </w:rPr>
            </w:pPr>
            <w:r>
              <w:rPr>
                <w:rFonts w:hint="eastAsia" w:ascii="仿宋" w:hAnsi="仿宋" w:eastAsia="仿宋" w:cs="仿宋"/>
                <w:b/>
                <w:sz w:val="24"/>
              </w:rPr>
              <w:t>设备运行：公用设备设施、供水设备运行正常。</w:t>
            </w:r>
          </w:p>
          <w:p>
            <w:pPr>
              <w:spacing w:line="400" w:lineRule="exact"/>
              <w:rPr>
                <w:rFonts w:hint="eastAsia" w:ascii="仿宋" w:hAnsi="仿宋" w:eastAsia="仿宋" w:cs="仿宋"/>
                <w:b/>
                <w:kern w:val="0"/>
                <w:sz w:val="24"/>
              </w:rPr>
            </w:pPr>
            <w:r>
              <w:rPr>
                <w:rFonts w:hint="eastAsia" w:ascii="仿宋" w:hAnsi="仿宋" w:eastAsia="仿宋" w:cs="仿宋"/>
                <w:b/>
                <w:sz w:val="24"/>
              </w:rPr>
              <w:t>大楼设施、设备的维护、养护：确保能正常运行</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sz w:val="24"/>
              </w:rPr>
              <w:t>完好使用率95%</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1、配备专业的工程人员，且持证上岗。</w:t>
            </w:r>
          </w:p>
          <w:p>
            <w:pPr>
              <w:spacing w:line="400" w:lineRule="exact"/>
              <w:rPr>
                <w:rFonts w:hint="eastAsia" w:ascii="仿宋" w:hAnsi="仿宋" w:eastAsia="仿宋" w:cs="仿宋"/>
                <w:kern w:val="0"/>
                <w:sz w:val="24"/>
              </w:rPr>
            </w:pPr>
            <w:r>
              <w:rPr>
                <w:rFonts w:hint="eastAsia" w:ascii="仿宋" w:hAnsi="仿宋" w:eastAsia="仿宋" w:cs="仿宋"/>
                <w:kern w:val="0"/>
                <w:sz w:val="24"/>
              </w:rPr>
              <w:t>2、按时对设备设施进行巡查，出现故障及时处理。</w:t>
            </w:r>
          </w:p>
          <w:p>
            <w:pPr>
              <w:spacing w:line="400" w:lineRule="exact"/>
              <w:rPr>
                <w:rFonts w:hint="eastAsia" w:ascii="仿宋" w:hAnsi="仿宋" w:eastAsia="仿宋" w:cs="仿宋"/>
                <w:kern w:val="0"/>
                <w:sz w:val="24"/>
              </w:rPr>
            </w:pPr>
            <w:r>
              <w:rPr>
                <w:rFonts w:hint="eastAsia" w:ascii="仿宋" w:hAnsi="仿宋" w:eastAsia="仿宋" w:cs="仿宋"/>
                <w:kern w:val="0"/>
                <w:sz w:val="24"/>
              </w:rPr>
              <w:t>3、制定维修计划，做好维护保养工作，设备设施运行正常。</w:t>
            </w:r>
          </w:p>
          <w:p>
            <w:pPr>
              <w:spacing w:line="400" w:lineRule="exact"/>
              <w:rPr>
                <w:rFonts w:hint="eastAsia" w:ascii="仿宋" w:hAnsi="仿宋" w:eastAsia="仿宋" w:cs="仿宋"/>
                <w:kern w:val="0"/>
                <w:sz w:val="24"/>
              </w:rPr>
            </w:pPr>
            <w:r>
              <w:rPr>
                <w:rFonts w:hint="eastAsia" w:ascii="仿宋" w:hAnsi="仿宋" w:eastAsia="仿宋" w:cs="仿宋"/>
                <w:kern w:val="0"/>
                <w:sz w:val="24"/>
              </w:rPr>
              <w:t>4、按相关管理制度要求做好运行记录填写、存档工作。</w:t>
            </w:r>
          </w:p>
          <w:p>
            <w:pPr>
              <w:spacing w:line="400" w:lineRule="exact"/>
              <w:rPr>
                <w:rFonts w:hint="eastAsia" w:ascii="仿宋" w:hAnsi="仿宋" w:eastAsia="仿宋" w:cs="仿宋"/>
                <w:kern w:val="0"/>
                <w:sz w:val="24"/>
              </w:rPr>
            </w:pPr>
            <w:r>
              <w:rPr>
                <w:rFonts w:hint="eastAsia" w:ascii="仿宋" w:hAnsi="仿宋" w:eastAsia="仿宋" w:cs="仿宋"/>
                <w:kern w:val="0"/>
                <w:sz w:val="24"/>
              </w:rPr>
              <w:t>5、房屋配套设施巡查、保养、质量标准量化分解到人，日常维护、定期维修、日常巡查、定期巡查相结合。</w:t>
            </w:r>
          </w:p>
          <w:p>
            <w:pPr>
              <w:spacing w:line="400" w:lineRule="exact"/>
              <w:rPr>
                <w:rFonts w:hint="eastAsia" w:ascii="仿宋" w:hAnsi="仿宋" w:eastAsia="仿宋" w:cs="仿宋"/>
                <w:kern w:val="0"/>
                <w:sz w:val="24"/>
              </w:rPr>
            </w:pPr>
            <w:r>
              <w:rPr>
                <w:rFonts w:hint="eastAsia" w:ascii="仿宋" w:hAnsi="仿宋" w:eastAsia="仿宋" w:cs="仿宋"/>
                <w:kern w:val="0"/>
                <w:sz w:val="24"/>
              </w:rPr>
              <w:t>6、建立设备台帐、记录建档、设备标识分类管理。</w:t>
            </w:r>
            <w:r>
              <w:rPr>
                <w:rFonts w:hint="eastAsia" w:ascii="仿宋" w:hAnsi="仿宋" w:eastAsia="仿宋" w:cs="仿宋"/>
                <w:kern w:val="0"/>
                <w:sz w:val="24"/>
              </w:rPr>
              <w:br w:type="textWrapping"/>
            </w:r>
            <w:r>
              <w:rPr>
                <w:rFonts w:hint="eastAsia" w:ascii="仿宋" w:hAnsi="仿宋" w:eastAsia="仿宋" w:cs="仿宋"/>
                <w:kern w:val="0"/>
                <w:sz w:val="24"/>
              </w:rPr>
              <w:t>7、严格装修审批管理，对进入办公楼施工单位实行跟踪管理，及时纠正任何有可能损坏建筑结构、危及配套设施安全的行为。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4</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24"/>
              </w:rPr>
            </w:pPr>
            <w:r>
              <w:rPr>
                <w:rFonts w:hint="eastAsia" w:ascii="仿宋" w:hAnsi="仿宋" w:eastAsia="仿宋" w:cs="仿宋"/>
                <w:b/>
                <w:sz w:val="24"/>
              </w:rPr>
              <w:t>急修、小修：接到急修、小修维护通知十五分钟内到达现场，小修及时完成；急修不超过2小时；并须有完善的维护应对方案，不影响甲方日常正常使用（零配件不能及时采购的除外）</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小修、急修及时率达100%</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1、以优质服务为宗旨，设立报修电话，接受业主的报修。</w:t>
            </w:r>
          </w:p>
          <w:p>
            <w:pPr>
              <w:spacing w:line="400" w:lineRule="exact"/>
              <w:rPr>
                <w:rFonts w:hint="eastAsia" w:ascii="仿宋" w:hAnsi="仿宋" w:eastAsia="仿宋" w:cs="仿宋"/>
                <w:kern w:val="0"/>
                <w:sz w:val="24"/>
              </w:rPr>
            </w:pPr>
            <w:r>
              <w:rPr>
                <w:rFonts w:hint="eastAsia" w:ascii="仿宋" w:hAnsi="仿宋" w:eastAsia="仿宋" w:cs="仿宋"/>
                <w:kern w:val="0"/>
                <w:sz w:val="24"/>
              </w:rPr>
              <w:t>2、维修人员应在接到维修通知单后及时处理，接到报修15分钟到达现场，急修不超过2小时。</w:t>
            </w:r>
            <w:r>
              <w:rPr>
                <w:rFonts w:hint="eastAsia" w:ascii="仿宋" w:hAnsi="仿宋" w:eastAsia="仿宋" w:cs="仿宋"/>
                <w:kern w:val="0"/>
                <w:sz w:val="24"/>
              </w:rPr>
              <w:br w:type="textWrapping"/>
            </w:r>
            <w:r>
              <w:rPr>
                <w:rFonts w:hint="eastAsia" w:ascii="仿宋" w:hAnsi="仿宋" w:eastAsia="仿宋" w:cs="仿宋"/>
                <w:kern w:val="0"/>
                <w:sz w:val="24"/>
              </w:rPr>
              <w:t>3、根据项目使用功能和特点，储存一定数量常用耗材，以备急需。</w:t>
            </w:r>
          </w:p>
          <w:p>
            <w:pPr>
              <w:spacing w:line="400" w:lineRule="exact"/>
              <w:rPr>
                <w:rFonts w:hint="eastAsia" w:ascii="仿宋" w:hAnsi="仿宋" w:eastAsia="仿宋" w:cs="仿宋"/>
                <w:kern w:val="0"/>
                <w:sz w:val="24"/>
              </w:rPr>
            </w:pPr>
            <w:r>
              <w:rPr>
                <w:rFonts w:hint="eastAsia" w:ascii="仿宋" w:hAnsi="仿宋" w:eastAsia="仿宋" w:cs="仿宋"/>
                <w:kern w:val="0"/>
                <w:sz w:val="24"/>
              </w:rPr>
              <w:t>4、实行报修填单制维修完成后，派工单由报修单位确认签字后存档备查。</w:t>
            </w:r>
          </w:p>
          <w:p>
            <w:pPr>
              <w:spacing w:line="400" w:lineRule="exact"/>
              <w:rPr>
                <w:rFonts w:hint="eastAsia" w:ascii="仿宋" w:hAnsi="仿宋" w:eastAsia="仿宋" w:cs="仿宋"/>
                <w:kern w:val="0"/>
                <w:sz w:val="24"/>
              </w:rPr>
            </w:pPr>
            <w:r>
              <w:rPr>
                <w:rFonts w:hint="eastAsia" w:ascii="仿宋" w:hAnsi="仿宋" w:eastAsia="仿宋" w:cs="仿宋"/>
                <w:kern w:val="0"/>
                <w:sz w:val="24"/>
              </w:rPr>
              <w:t>5、将维修单每月进行统计、分析，并将分析报告提交公司，针对出现的问题采取纠正和预防措施。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1"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5</w:t>
            </w:r>
          </w:p>
        </w:tc>
        <w:tc>
          <w:tcPr>
            <w:tcW w:w="2235" w:type="dxa"/>
            <w:tcBorders>
              <w:top w:val="single" w:color="auto" w:sz="4" w:space="0"/>
              <w:left w:val="single" w:color="auto" w:sz="4" w:space="0"/>
              <w:bottom w:val="single" w:color="auto" w:sz="4" w:space="0"/>
              <w:right w:val="single" w:color="auto" w:sz="4" w:space="0"/>
            </w:tcBorders>
            <w:vAlign w:val="center"/>
          </w:tcPr>
          <w:p>
            <w:pPr>
              <w:tabs>
                <w:tab w:val="left" w:pos="709"/>
              </w:tabs>
              <w:spacing w:line="360" w:lineRule="auto"/>
              <w:rPr>
                <w:rFonts w:hint="eastAsia" w:ascii="仿宋" w:hAnsi="仿宋" w:eastAsia="仿宋" w:cs="仿宋"/>
                <w:b/>
                <w:kern w:val="0"/>
                <w:sz w:val="24"/>
              </w:rPr>
            </w:pPr>
            <w:r>
              <w:rPr>
                <w:rFonts w:hint="eastAsia" w:ascii="仿宋" w:hAnsi="仿宋" w:eastAsia="仿宋" w:cs="仿宋"/>
                <w:b/>
                <w:kern w:val="0"/>
                <w:sz w:val="24"/>
              </w:rPr>
              <w:t>秩序维护</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24小时秩序维护</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1、秩序维护人员遵章守纪、文明执勤；</w:t>
            </w:r>
          </w:p>
          <w:p>
            <w:pPr>
              <w:spacing w:line="400" w:lineRule="exact"/>
              <w:rPr>
                <w:rFonts w:hint="eastAsia" w:ascii="仿宋" w:hAnsi="仿宋" w:eastAsia="仿宋" w:cs="仿宋"/>
                <w:kern w:val="0"/>
                <w:sz w:val="24"/>
              </w:rPr>
            </w:pPr>
            <w:r>
              <w:rPr>
                <w:rFonts w:hint="eastAsia" w:ascii="仿宋" w:hAnsi="仿宋" w:eastAsia="仿宋" w:cs="仿宋"/>
                <w:kern w:val="0"/>
                <w:sz w:val="24"/>
              </w:rPr>
              <w:t>2、全天候负责辖区内正门、区域通道、围墙、办公区域、公共区域秩序，维护辖区内交通秩序；</w:t>
            </w:r>
          </w:p>
          <w:p>
            <w:pPr>
              <w:spacing w:line="400" w:lineRule="exact"/>
              <w:rPr>
                <w:rFonts w:hint="eastAsia" w:ascii="仿宋" w:hAnsi="仿宋" w:eastAsia="仿宋" w:cs="仿宋"/>
                <w:kern w:val="0"/>
                <w:sz w:val="24"/>
              </w:rPr>
            </w:pPr>
            <w:r>
              <w:rPr>
                <w:rFonts w:hint="eastAsia" w:ascii="仿宋" w:hAnsi="仿宋" w:eastAsia="仿宋" w:cs="仿宋"/>
                <w:kern w:val="0"/>
                <w:sz w:val="24"/>
              </w:rPr>
              <w:t>3、24小时秩序维护、巡逻、值勤；</w:t>
            </w:r>
          </w:p>
          <w:p>
            <w:pPr>
              <w:spacing w:line="400" w:lineRule="exact"/>
              <w:rPr>
                <w:rFonts w:hint="eastAsia" w:ascii="仿宋" w:hAnsi="仿宋" w:eastAsia="仿宋" w:cs="仿宋"/>
                <w:kern w:val="0"/>
                <w:sz w:val="24"/>
              </w:rPr>
            </w:pPr>
            <w:r>
              <w:rPr>
                <w:rFonts w:hint="eastAsia" w:ascii="仿宋" w:hAnsi="仿宋" w:eastAsia="仿宋" w:cs="仿宋"/>
                <w:kern w:val="0"/>
                <w:sz w:val="24"/>
              </w:rPr>
              <w:t>4、积极配合公安部门工作，处理辖区内各种突发事件。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6</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24"/>
              </w:rPr>
            </w:pPr>
            <w:r>
              <w:rPr>
                <w:rFonts w:hint="eastAsia" w:ascii="仿宋" w:hAnsi="仿宋" w:eastAsia="仿宋" w:cs="仿宋"/>
                <w:b/>
                <w:sz w:val="24"/>
              </w:rPr>
              <w:t>防疫工作</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各项防疫措施100%落实</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1、按社区要求做好辖区内防疫工作；</w:t>
            </w:r>
          </w:p>
          <w:p>
            <w:pPr>
              <w:spacing w:line="400" w:lineRule="exact"/>
              <w:rPr>
                <w:rFonts w:hint="eastAsia" w:ascii="仿宋" w:hAnsi="仿宋" w:eastAsia="仿宋" w:cs="仿宋"/>
                <w:kern w:val="0"/>
                <w:sz w:val="24"/>
              </w:rPr>
            </w:pPr>
            <w:r>
              <w:rPr>
                <w:rFonts w:hint="eastAsia" w:ascii="仿宋" w:hAnsi="仿宋" w:eastAsia="仿宋" w:cs="仿宋"/>
                <w:kern w:val="0"/>
                <w:sz w:val="24"/>
              </w:rPr>
              <w:t>2、按项目实际情况及业主方要求，落实防疫的各项措施；</w:t>
            </w:r>
          </w:p>
          <w:p>
            <w:pPr>
              <w:spacing w:line="400" w:lineRule="exact"/>
              <w:rPr>
                <w:rFonts w:hint="eastAsia" w:ascii="仿宋" w:hAnsi="仿宋" w:eastAsia="仿宋" w:cs="仿宋"/>
                <w:kern w:val="0"/>
                <w:sz w:val="24"/>
              </w:rPr>
            </w:pPr>
            <w:r>
              <w:rPr>
                <w:rFonts w:hint="eastAsia" w:ascii="仿宋" w:hAnsi="仿宋" w:eastAsia="仿宋" w:cs="仿宋"/>
                <w:kern w:val="0"/>
                <w:sz w:val="24"/>
              </w:rPr>
              <w:t>3、加强工作人员管理与培训，从思想上高度重视防疫工作；</w:t>
            </w:r>
          </w:p>
          <w:p>
            <w:pPr>
              <w:spacing w:line="400" w:lineRule="exact"/>
              <w:rPr>
                <w:rFonts w:hint="eastAsia" w:ascii="仿宋" w:hAnsi="仿宋" w:eastAsia="仿宋" w:cs="仿宋"/>
                <w:kern w:val="0"/>
                <w:sz w:val="24"/>
              </w:rPr>
            </w:pPr>
            <w:r>
              <w:rPr>
                <w:rFonts w:hint="eastAsia" w:ascii="仿宋" w:hAnsi="仿宋" w:eastAsia="仿宋" w:cs="仿宋"/>
                <w:kern w:val="0"/>
                <w:sz w:val="24"/>
              </w:rPr>
              <w:t>4、认真填写各项消毒工作记录。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5"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7</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管理人员计划培训合格率</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100%</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1、对员工通过岗位培训、专题培训、社会培训、脱产进修等方式，开展员工履行岗位职责所必需的业务知识和专业技能的培训。</w:t>
            </w:r>
            <w:r>
              <w:rPr>
                <w:rFonts w:hint="eastAsia" w:ascii="仿宋" w:hAnsi="仿宋" w:eastAsia="仿宋" w:cs="仿宋"/>
                <w:kern w:val="0"/>
                <w:sz w:val="24"/>
              </w:rPr>
              <w:br w:type="textWrapping"/>
            </w:r>
            <w:r>
              <w:rPr>
                <w:rFonts w:hint="eastAsia" w:ascii="仿宋" w:hAnsi="仿宋" w:eastAsia="仿宋" w:cs="仿宋"/>
                <w:kern w:val="0"/>
                <w:sz w:val="24"/>
              </w:rPr>
              <w:t>2、对员工进行培训考核，内部培训考核通过口试、笔试、实际操作、工作鉴定等方式来进行。外部培训以获得培训合格证为依据。</w:t>
            </w:r>
            <w:r>
              <w:rPr>
                <w:rFonts w:hint="eastAsia" w:ascii="仿宋" w:hAnsi="仿宋" w:eastAsia="仿宋" w:cs="仿宋"/>
                <w:kern w:val="0"/>
                <w:sz w:val="24"/>
              </w:rPr>
              <w:br w:type="textWrapping"/>
            </w:r>
            <w:r>
              <w:rPr>
                <w:rFonts w:hint="eastAsia" w:ascii="仿宋" w:hAnsi="仿宋" w:eastAsia="仿宋" w:cs="仿宋"/>
                <w:kern w:val="0"/>
                <w:sz w:val="24"/>
              </w:rPr>
              <w:t>3、鼓励员工自学，给员工自我提高、自我完善的发展空间。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2"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8</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全员培训率</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100%</w:t>
            </w:r>
          </w:p>
        </w:tc>
        <w:tc>
          <w:tcPr>
            <w:tcW w:w="5298" w:type="dxa"/>
            <w:tcBorders>
              <w:top w:val="single" w:color="auto" w:sz="4" w:space="0"/>
              <w:left w:val="single" w:color="auto" w:sz="4" w:space="0"/>
              <w:bottom w:val="single" w:color="auto" w:sz="4" w:space="0"/>
              <w:right w:val="single" w:color="auto" w:sz="4" w:space="0"/>
            </w:tcBorders>
          </w:tcPr>
          <w:p>
            <w:pPr>
              <w:tabs>
                <w:tab w:val="left" w:pos="478"/>
              </w:tabs>
              <w:spacing w:line="400" w:lineRule="exact"/>
              <w:rPr>
                <w:rFonts w:hint="eastAsia" w:ascii="仿宋" w:hAnsi="仿宋" w:eastAsia="仿宋" w:cs="仿宋"/>
                <w:kern w:val="0"/>
                <w:sz w:val="24"/>
              </w:rPr>
            </w:pPr>
            <w:r>
              <w:rPr>
                <w:rFonts w:hint="eastAsia" w:ascii="仿宋" w:hAnsi="仿宋" w:eastAsia="仿宋" w:cs="仿宋"/>
                <w:kern w:val="0"/>
                <w:sz w:val="24"/>
              </w:rPr>
              <w:t>1、制度年度培训计划，并分解到每月培训。</w:t>
            </w:r>
          </w:p>
          <w:p>
            <w:pPr>
              <w:tabs>
                <w:tab w:val="left" w:pos="478"/>
              </w:tabs>
              <w:spacing w:line="400" w:lineRule="exact"/>
              <w:ind w:left="1"/>
              <w:rPr>
                <w:rFonts w:hint="eastAsia" w:ascii="仿宋" w:hAnsi="仿宋" w:eastAsia="仿宋" w:cs="仿宋"/>
                <w:kern w:val="0"/>
                <w:sz w:val="24"/>
              </w:rPr>
            </w:pPr>
            <w:r>
              <w:rPr>
                <w:rFonts w:hint="eastAsia" w:ascii="仿宋" w:hAnsi="仿宋" w:eastAsia="仿宋" w:cs="仿宋"/>
                <w:kern w:val="0"/>
                <w:sz w:val="24"/>
              </w:rPr>
              <w:t>2、严格按培训计划，开展各类培训并做好记录。</w:t>
            </w:r>
          </w:p>
          <w:p>
            <w:pPr>
              <w:tabs>
                <w:tab w:val="left" w:pos="478"/>
              </w:tabs>
              <w:spacing w:line="400" w:lineRule="exact"/>
              <w:ind w:left="1"/>
              <w:rPr>
                <w:rFonts w:hint="eastAsia" w:ascii="仿宋" w:hAnsi="仿宋" w:eastAsia="仿宋" w:cs="仿宋"/>
                <w:kern w:val="0"/>
                <w:sz w:val="24"/>
              </w:rPr>
            </w:pPr>
            <w:r>
              <w:rPr>
                <w:rFonts w:hint="eastAsia" w:ascii="仿宋" w:hAnsi="仿宋" w:eastAsia="仿宋" w:cs="仿宋"/>
                <w:kern w:val="0"/>
                <w:sz w:val="24"/>
              </w:rPr>
              <w:t>3、培训记录需有签到、具体培训内容、培训现场照片，培训导师签字，项目负责人签字等内容。</w:t>
            </w:r>
          </w:p>
          <w:p>
            <w:pPr>
              <w:tabs>
                <w:tab w:val="left" w:pos="478"/>
              </w:tabs>
              <w:spacing w:line="400" w:lineRule="exact"/>
              <w:ind w:left="1"/>
              <w:rPr>
                <w:rFonts w:hint="eastAsia" w:ascii="仿宋" w:hAnsi="仿宋" w:eastAsia="仿宋" w:cs="仿宋"/>
                <w:kern w:val="0"/>
                <w:sz w:val="24"/>
              </w:rPr>
            </w:pPr>
            <w:r>
              <w:rPr>
                <w:rFonts w:hint="eastAsia" w:ascii="仿宋" w:hAnsi="仿宋" w:eastAsia="仿宋" w:cs="仿宋"/>
                <w:kern w:val="0"/>
                <w:sz w:val="24"/>
              </w:rPr>
              <w:t>4、以员工掌握工作要求、培训内容为目的，开展形式多样的培训活动。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9</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物业管理服务满意率</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95%</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1、实行规范化管理，公开服务内容、服务质量标准，使物业管理始终处于监督之中。</w:t>
            </w:r>
            <w:r>
              <w:rPr>
                <w:rFonts w:hint="eastAsia" w:ascii="仿宋" w:hAnsi="仿宋" w:eastAsia="仿宋" w:cs="仿宋"/>
                <w:kern w:val="0"/>
                <w:sz w:val="24"/>
              </w:rPr>
              <w:br w:type="textWrapping"/>
            </w:r>
            <w:r>
              <w:rPr>
                <w:rFonts w:hint="eastAsia" w:ascii="仿宋" w:hAnsi="仿宋" w:eastAsia="仿宋" w:cs="仿宋"/>
                <w:kern w:val="0"/>
                <w:sz w:val="24"/>
              </w:rPr>
              <w:t>2、每半年以问卷调查表的形式作征询意见调查，数据统计后，进行分析，及时纠正和预防措施，并将处理结果上报公司。</w:t>
            </w:r>
            <w:r>
              <w:rPr>
                <w:rFonts w:hint="eastAsia" w:ascii="仿宋" w:hAnsi="仿宋" w:eastAsia="仿宋" w:cs="仿宋"/>
                <w:kern w:val="0"/>
                <w:sz w:val="24"/>
              </w:rPr>
              <w:br w:type="textWrapping"/>
            </w:r>
            <w:r>
              <w:rPr>
                <w:rFonts w:hint="eastAsia" w:ascii="仿宋" w:hAnsi="仿宋" w:eastAsia="仿宋" w:cs="仿宋"/>
                <w:kern w:val="0"/>
                <w:sz w:val="24"/>
              </w:rPr>
              <w:t>3、每周召开工作例会，研究讨论管理和服务工作。</w:t>
            </w:r>
          </w:p>
          <w:p>
            <w:pPr>
              <w:spacing w:line="400" w:lineRule="exact"/>
              <w:rPr>
                <w:rFonts w:hint="eastAsia" w:ascii="仿宋" w:hAnsi="仿宋" w:eastAsia="仿宋" w:cs="仿宋"/>
                <w:kern w:val="0"/>
                <w:sz w:val="24"/>
              </w:rPr>
            </w:pPr>
            <w:r>
              <w:rPr>
                <w:rFonts w:hint="eastAsia" w:ascii="仿宋" w:hAnsi="仿宋" w:eastAsia="仿宋" w:cs="仿宋"/>
                <w:kern w:val="0"/>
                <w:sz w:val="24"/>
              </w:rPr>
              <w:t>4、加强与业主方的沟通，提前发现问题、解决问题。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10</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sz w:val="24"/>
              </w:rPr>
              <w:t>物业服务项目达到“全国优秀大厦”的要求标准</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95分</w:t>
            </w:r>
          </w:p>
        </w:tc>
        <w:tc>
          <w:tcPr>
            <w:tcW w:w="52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仿宋" w:hAnsi="仿宋" w:eastAsia="仿宋" w:cs="仿宋"/>
                <w:kern w:val="0"/>
                <w:sz w:val="24"/>
              </w:rPr>
            </w:pPr>
            <w:r>
              <w:rPr>
                <w:rFonts w:hint="eastAsia" w:ascii="仿宋" w:hAnsi="仿宋" w:eastAsia="仿宋" w:cs="仿宋"/>
                <w:kern w:val="0"/>
                <w:sz w:val="24"/>
              </w:rPr>
              <w:t>按《</w:t>
            </w:r>
            <w:r>
              <w:rPr>
                <w:rStyle w:val="48"/>
                <w:rFonts w:hint="eastAsia" w:ascii="仿宋" w:hAnsi="仿宋" w:eastAsia="仿宋" w:cs="仿宋"/>
                <w:sz w:val="24"/>
              </w:rPr>
              <w:t>全国物业管理优秀项目（大厦）标准及评分细则》要求开展物业服务，最终达到标准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8"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kern w:val="0"/>
                <w:sz w:val="24"/>
              </w:rPr>
            </w:pPr>
            <w:r>
              <w:rPr>
                <w:rFonts w:hint="eastAsia" w:ascii="仿宋" w:hAnsi="仿宋" w:eastAsia="仿宋" w:cs="仿宋"/>
                <w:b/>
                <w:kern w:val="0"/>
                <w:sz w:val="24"/>
              </w:rPr>
              <w:t>11</w:t>
            </w:r>
          </w:p>
        </w:tc>
        <w:tc>
          <w:tcPr>
            <w:tcW w:w="2235" w:type="dxa"/>
            <w:tcBorders>
              <w:top w:val="single" w:color="auto" w:sz="4" w:space="0"/>
              <w:left w:val="single" w:color="auto" w:sz="4" w:space="0"/>
              <w:bottom w:val="single" w:color="auto" w:sz="4" w:space="0"/>
              <w:right w:val="single" w:color="auto" w:sz="4" w:space="0"/>
            </w:tcBorders>
            <w:vAlign w:val="center"/>
          </w:tcPr>
          <w:p>
            <w:pPr>
              <w:spacing w:line="400" w:lineRule="exact"/>
              <w:ind w:left="34"/>
              <w:rPr>
                <w:rFonts w:hint="eastAsia" w:ascii="仿宋" w:hAnsi="仿宋" w:eastAsia="仿宋" w:cs="仿宋"/>
                <w:b/>
                <w:sz w:val="24"/>
              </w:rPr>
            </w:pPr>
            <w:r>
              <w:rPr>
                <w:rFonts w:hint="eastAsia" w:ascii="仿宋" w:hAnsi="仿宋" w:eastAsia="仿宋" w:cs="仿宋"/>
                <w:b/>
                <w:kern w:val="0"/>
                <w:sz w:val="24"/>
              </w:rPr>
              <w:t>安全责任事故</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0事故</w:t>
            </w:r>
          </w:p>
        </w:tc>
        <w:tc>
          <w:tcPr>
            <w:tcW w:w="5298" w:type="dxa"/>
            <w:tcBorders>
              <w:top w:val="single" w:color="auto" w:sz="4" w:space="0"/>
              <w:left w:val="single" w:color="auto" w:sz="4" w:space="0"/>
              <w:bottom w:val="single" w:color="auto" w:sz="4" w:space="0"/>
              <w:right w:val="single" w:color="auto" w:sz="4" w:space="0"/>
            </w:tcBorders>
          </w:tcPr>
          <w:p>
            <w:pPr>
              <w:numPr>
                <w:ilvl w:val="0"/>
                <w:numId w:val="0"/>
              </w:numPr>
              <w:tabs>
                <w:tab w:val="left" w:pos="385"/>
                <w:tab w:val="left" w:pos="462"/>
              </w:tabs>
              <w:spacing w:line="400" w:lineRule="exact"/>
              <w:ind w:leftChars="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定期开展全员安全教育。</w:t>
            </w:r>
          </w:p>
          <w:p>
            <w:pPr>
              <w:numPr>
                <w:ilvl w:val="0"/>
                <w:numId w:val="0"/>
              </w:numPr>
              <w:tabs>
                <w:tab w:val="left" w:pos="385"/>
                <w:tab w:val="left" w:pos="462"/>
              </w:tabs>
              <w:spacing w:line="400" w:lineRule="exact"/>
              <w:ind w:leftChars="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针对各岗位的工作要求及特点，分析安全隐患并制定有效防范措施，培训到位、落实到位。</w:t>
            </w:r>
          </w:p>
          <w:p>
            <w:pPr>
              <w:numPr>
                <w:ilvl w:val="0"/>
                <w:numId w:val="0"/>
              </w:numPr>
              <w:tabs>
                <w:tab w:val="left" w:pos="385"/>
                <w:tab w:val="left" w:pos="462"/>
              </w:tabs>
              <w:spacing w:line="400" w:lineRule="exact"/>
              <w:ind w:leftChars="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有安全隐患或可能造成他人伤害的场所、部位，首先应做好各项防范工作或通过整改消除安全隐患；不能及时消除的，除做好安全防范措施外，应有明显的安全警示，夜间有灯光提示，工作人员加强巡视检查，确保安全防范措施的有效性。</w:t>
            </w:r>
          </w:p>
          <w:p>
            <w:pPr>
              <w:numPr>
                <w:ilvl w:val="0"/>
                <w:numId w:val="0"/>
              </w:numPr>
              <w:tabs>
                <w:tab w:val="left" w:pos="385"/>
                <w:tab w:val="left" w:pos="462"/>
              </w:tabs>
              <w:spacing w:line="400" w:lineRule="exact"/>
              <w:ind w:leftChars="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每月组织“安全日”、“质量日”活动，并做好相关记录。</w:t>
            </w:r>
          </w:p>
          <w:p>
            <w:pPr>
              <w:numPr>
                <w:ilvl w:val="0"/>
                <w:numId w:val="0"/>
              </w:numPr>
              <w:tabs>
                <w:tab w:val="left" w:pos="385"/>
                <w:tab w:val="left" w:pos="462"/>
              </w:tabs>
              <w:spacing w:line="400" w:lineRule="exact"/>
              <w:ind w:leftChars="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制定计划定期开展各岗安全操作流程培训。</w:t>
            </w:r>
          </w:p>
          <w:p>
            <w:pPr>
              <w:numPr>
                <w:ilvl w:val="0"/>
                <w:numId w:val="0"/>
              </w:numPr>
              <w:tabs>
                <w:tab w:val="left" w:pos="385"/>
                <w:tab w:val="left" w:pos="462"/>
              </w:tabs>
              <w:spacing w:line="400" w:lineRule="exact"/>
              <w:ind w:leftChars="0"/>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定期组织各类应急预案演练。</w:t>
            </w:r>
          </w:p>
          <w:p>
            <w:pPr>
              <w:numPr>
                <w:ilvl w:val="0"/>
                <w:numId w:val="0"/>
              </w:numPr>
              <w:tabs>
                <w:tab w:val="left" w:pos="385"/>
                <w:tab w:val="left" w:pos="462"/>
              </w:tabs>
              <w:spacing w:line="400" w:lineRule="exact"/>
              <w:ind w:leftChars="0"/>
              <w:rPr>
                <w:rFonts w:hint="eastAsia" w:ascii="仿宋" w:hAnsi="仿宋" w:eastAsia="仿宋" w:cs="仿宋"/>
                <w:kern w:val="0"/>
                <w:sz w:val="24"/>
              </w:rPr>
            </w:pPr>
            <w:r>
              <w:rPr>
                <w:rFonts w:hint="eastAsia" w:ascii="仿宋" w:hAnsi="仿宋" w:eastAsia="仿宋" w:cs="仿宋"/>
                <w:kern w:val="0"/>
                <w:sz w:val="24"/>
                <w:lang w:val="en-US" w:eastAsia="zh-CN"/>
              </w:rPr>
              <w:t>7、</w:t>
            </w:r>
            <w:r>
              <w:rPr>
                <w:rFonts w:hint="eastAsia" w:ascii="仿宋" w:hAnsi="仿宋" w:eastAsia="仿宋" w:cs="仿宋"/>
                <w:kern w:val="0"/>
                <w:sz w:val="24"/>
              </w:rPr>
              <w:t>安全宣贯是每日部门工作例会必讲点。</w:t>
            </w:r>
          </w:p>
          <w:p>
            <w:pPr>
              <w:numPr>
                <w:ilvl w:val="0"/>
                <w:numId w:val="0"/>
              </w:numPr>
              <w:tabs>
                <w:tab w:val="left" w:pos="385"/>
                <w:tab w:val="left" w:pos="462"/>
              </w:tabs>
              <w:spacing w:line="400" w:lineRule="exact"/>
              <w:ind w:leftChars="0"/>
              <w:rPr>
                <w:rFonts w:hint="eastAsia"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管理人员至相关政府机构参加专题培训，并做好全员培训分享工作。</w:t>
            </w:r>
          </w:p>
        </w:tc>
      </w:tr>
    </w:tbl>
    <w:p>
      <w:pPr>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t>双方约定事项</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第四条  服务理念和优质服务承诺：</w:t>
      </w:r>
    </w:p>
    <w:p>
      <w:pPr>
        <w:ind w:firstLine="537" w:firstLineChars="192"/>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1、乙方在保洁服务活动中，坚持及时性、服务性原则，秉承“彬彬有礼、亲切自然、殷勤周到”的服务理念，为甲方提供优质的保洁服务。</w:t>
      </w:r>
    </w:p>
    <w:p>
      <w:pPr>
        <w:ind w:firstLine="537" w:firstLineChars="192"/>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2、乙方坚持成本、质优、及时、安全的经营理念。自觉遵守甲方有关规定，杜绝浪费水电能源的现象，做到合理控制耗材成本。</w:t>
      </w:r>
    </w:p>
    <w:p>
      <w:pPr>
        <w:ind w:firstLine="537" w:firstLineChars="192"/>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3、乙方应当教育员工要尊重知识、尊重人才、诚恳待人、礼貌服务，做到服务育人，管理育人，在经营活动中，根据甲方实际情况和企业特点，按保洁服务标准，合理安排保洁人员，实行标准化管理。</w:t>
      </w:r>
    </w:p>
    <w:p>
      <w:pPr>
        <w:numPr>
          <w:ilvl w:val="0"/>
          <w:numId w:val="12"/>
        </w:numPr>
        <w:ind w:firstLine="57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委托管理服务中员工服装、低耗品、消耗品采购使用的约定</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1、员工服装由乙方统一配置。</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2、由乙方提供清洁、保洁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卫生防疫</w:t>
      </w:r>
      <w:r>
        <w:rPr>
          <w:rFonts w:hint="eastAsia" w:ascii="仿宋" w:hAnsi="仿宋" w:eastAsia="仿宋" w:cs="仿宋"/>
          <w:color w:val="auto"/>
          <w:sz w:val="28"/>
          <w:szCs w:val="28"/>
          <w:highlight w:val="none"/>
        </w:rPr>
        <w:t>服务使用的低值易耗品和消耗品，包括清洁工具、劳保、洗涤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卫生防疫</w:t>
      </w:r>
      <w:r>
        <w:rPr>
          <w:rFonts w:hint="eastAsia" w:ascii="仿宋" w:hAnsi="仿宋" w:eastAsia="仿宋" w:cs="仿宋"/>
          <w:color w:val="auto"/>
          <w:sz w:val="28"/>
          <w:szCs w:val="28"/>
          <w:highlight w:val="none"/>
        </w:rPr>
        <w:t>用品以及专项清洁的消耗品。</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3、乙方办公场所需要的办公低耗品以及日常办公耗材等由乙方自行配置。</w:t>
      </w:r>
    </w:p>
    <w:p>
      <w:pPr>
        <w:ind w:firstLine="57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第六条  能源消耗费用约定</w:t>
      </w:r>
    </w:p>
    <w:p>
      <w:pPr>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乙方在为甲方提供上述委托管理服务过程中消耗的水、电、暖等能源费用由甲方承担。</w:t>
      </w:r>
    </w:p>
    <w:p>
      <w:pPr>
        <w:ind w:firstLine="540" w:firstLineChars="19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 委托管理期限和费用支付</w:t>
      </w:r>
    </w:p>
    <w:p>
      <w:pPr>
        <w:ind w:firstLine="540" w:firstLineChars="19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第八条  </w:t>
      </w:r>
      <w:r>
        <w:rPr>
          <w:rFonts w:hint="eastAsia" w:ascii="仿宋" w:hAnsi="仿宋" w:eastAsia="仿宋" w:cs="仿宋"/>
          <w:bCs/>
          <w:color w:val="auto"/>
          <w:sz w:val="28"/>
          <w:szCs w:val="28"/>
          <w:highlight w:val="none"/>
        </w:rPr>
        <w:t>本合同委托管理服务期限为</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年，自</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日起至</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日止。</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第九条  委托管理服务费的支付</w:t>
      </w:r>
    </w:p>
    <w:p>
      <w:pPr>
        <w:pStyle w:val="91"/>
        <w:numPr>
          <w:ilvl w:val="0"/>
          <w:numId w:val="0"/>
        </w:numPr>
        <w:tabs>
          <w:tab w:val="left" w:pos="1252"/>
        </w:tabs>
        <w:spacing w:before="12" w:after="12" w:line="360" w:lineRule="auto"/>
        <w:ind w:left="0" w:right="0" w:firstLine="562" w:firstLineChars="200"/>
        <w:jc w:val="both"/>
        <w:rPr>
          <w:rFonts w:hint="eastAsia" w:ascii="仿宋" w:hAnsi="仿宋" w:eastAsia="仿宋" w:cs="仿宋"/>
          <w:spacing w:val="-3"/>
          <w:sz w:val="28"/>
          <w:lang w:val="en-US" w:eastAsia="zh-CN"/>
        </w:rPr>
      </w:pPr>
      <w:r>
        <w:rPr>
          <w:rFonts w:hint="eastAsia" w:ascii="仿宋" w:hAnsi="仿宋" w:eastAsia="仿宋" w:cs="仿宋"/>
          <w:b/>
          <w:color w:val="auto"/>
          <w:sz w:val="28"/>
          <w:szCs w:val="28"/>
          <w:highlight w:val="none"/>
        </w:rPr>
        <w:t>1.委托服务总费用：</w:t>
      </w: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年固定委托管理服务费总额为人民币（含税）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r>
        <w:rPr>
          <w:rFonts w:hint="eastAsia" w:ascii="仿宋" w:hAnsi="仿宋" w:eastAsia="仿宋" w:cs="仿宋"/>
          <w:spacing w:val="-3"/>
          <w:sz w:val="28"/>
          <w:lang w:val="en-US" w:eastAsia="zh-CN"/>
        </w:rPr>
        <w:t>本合同金额</w:t>
      </w:r>
      <w:r>
        <w:rPr>
          <w:rFonts w:hint="eastAsia" w:ascii="仿宋" w:hAnsi="仿宋" w:eastAsia="仿宋" w:cs="仿宋"/>
          <w:spacing w:val="-3"/>
          <w:sz w:val="28"/>
          <w:lang w:val="en-US"/>
        </w:rPr>
        <w:t>为完成本项目服务所需的全部费用，包括税金、人工费用（ 含员工服装）、管理费、清洁、保洁、卫生防疫服务使用的低值易耗品和消耗品，包括清洁工具、劳保、洗涤、防疫用品以及专项清洁的消耗品等</w:t>
      </w:r>
      <w:r>
        <w:rPr>
          <w:rFonts w:hint="eastAsia" w:ascii="仿宋" w:hAnsi="仿宋" w:eastAsia="仿宋" w:cs="仿宋"/>
          <w:spacing w:val="-3"/>
          <w:sz w:val="28"/>
          <w:lang w:val="en-US" w:eastAsia="zh-CN"/>
        </w:rPr>
        <w:t>：</w:t>
      </w:r>
    </w:p>
    <w:p>
      <w:pPr>
        <w:pStyle w:val="91"/>
        <w:numPr>
          <w:ilvl w:val="0"/>
          <w:numId w:val="0"/>
        </w:numPr>
        <w:tabs>
          <w:tab w:val="left" w:pos="1252"/>
        </w:tabs>
        <w:spacing w:before="12" w:after="12" w:line="360" w:lineRule="auto"/>
        <w:ind w:left="0" w:right="0" w:firstLine="548" w:firstLineChars="200"/>
        <w:jc w:val="both"/>
        <w:rPr>
          <w:rFonts w:hint="eastAsia" w:ascii="仿宋" w:hAnsi="仿宋" w:eastAsia="仿宋" w:cs="仿宋"/>
          <w:spacing w:val="-3"/>
          <w:sz w:val="28"/>
          <w:lang w:val="en-US" w:eastAsia="zh-CN"/>
        </w:rPr>
      </w:pPr>
      <w:r>
        <w:rPr>
          <w:rFonts w:hint="eastAsia" w:ascii="仿宋" w:hAnsi="仿宋" w:eastAsia="仿宋" w:cs="仿宋"/>
          <w:spacing w:val="-3"/>
          <w:sz w:val="28"/>
          <w:lang w:val="en-US"/>
        </w:rPr>
        <w:t>（1）服务期限内，</w:t>
      </w:r>
      <w:r>
        <w:rPr>
          <w:rFonts w:hint="eastAsia" w:ascii="仿宋" w:hAnsi="仿宋" w:eastAsia="仿宋" w:cs="仿宋"/>
          <w:spacing w:val="-3"/>
          <w:sz w:val="28"/>
          <w:lang w:val="en-US" w:eastAsia="zh-CN"/>
        </w:rPr>
        <w:t>甲方</w:t>
      </w:r>
      <w:r>
        <w:rPr>
          <w:rFonts w:hint="eastAsia" w:ascii="仿宋" w:hAnsi="仿宋" w:eastAsia="仿宋" w:cs="仿宋"/>
          <w:spacing w:val="-3"/>
          <w:sz w:val="28"/>
          <w:lang w:val="en-US"/>
        </w:rPr>
        <w:t>除承担本项目水、电、暖等能源费用外，不再另行投资任何费用。</w:t>
      </w:r>
    </w:p>
    <w:p>
      <w:pPr>
        <w:pStyle w:val="91"/>
        <w:numPr>
          <w:ilvl w:val="0"/>
          <w:numId w:val="0"/>
        </w:numPr>
        <w:tabs>
          <w:tab w:val="left" w:pos="1252"/>
        </w:tabs>
        <w:spacing w:before="12" w:after="12" w:line="360" w:lineRule="auto"/>
        <w:ind w:left="0" w:right="0" w:firstLine="548" w:firstLineChars="200"/>
        <w:jc w:val="both"/>
        <w:rPr>
          <w:rFonts w:hint="eastAsia" w:ascii="仿宋" w:hAnsi="仿宋" w:eastAsia="仿宋" w:cs="仿宋"/>
          <w:spacing w:val="-3"/>
          <w:sz w:val="28"/>
          <w:lang w:val="en-US"/>
        </w:rPr>
      </w:pPr>
      <w:r>
        <w:rPr>
          <w:rFonts w:hint="eastAsia" w:ascii="仿宋" w:hAnsi="仿宋" w:eastAsia="仿宋" w:cs="仿宋"/>
          <w:spacing w:val="-3"/>
          <w:sz w:val="28"/>
          <w:lang w:val="en-US"/>
        </w:rPr>
        <w:t>（2）防疫用品费用：包括防疫所需的标准配置、细化用品、消耗品费用均由</w:t>
      </w:r>
      <w:r>
        <w:rPr>
          <w:rFonts w:hint="eastAsia" w:ascii="仿宋" w:hAnsi="仿宋" w:eastAsia="仿宋" w:cs="仿宋"/>
          <w:spacing w:val="-3"/>
          <w:sz w:val="28"/>
          <w:lang w:val="en-US" w:eastAsia="zh-CN"/>
        </w:rPr>
        <w:t>乙方</w:t>
      </w:r>
      <w:r>
        <w:rPr>
          <w:rFonts w:hint="eastAsia" w:ascii="仿宋" w:hAnsi="仿宋" w:eastAsia="仿宋" w:cs="仿宋"/>
          <w:spacing w:val="-3"/>
          <w:sz w:val="28"/>
          <w:lang w:val="en-US"/>
        </w:rPr>
        <w:t>承担。</w:t>
      </w:r>
    </w:p>
    <w:p>
      <w:pPr>
        <w:pStyle w:val="91"/>
        <w:numPr>
          <w:ilvl w:val="0"/>
          <w:numId w:val="0"/>
        </w:numPr>
        <w:tabs>
          <w:tab w:val="left" w:pos="1252"/>
        </w:tabs>
        <w:spacing w:before="12" w:after="12" w:line="360" w:lineRule="auto"/>
        <w:ind w:left="0" w:right="0" w:firstLine="548" w:firstLineChars="200"/>
        <w:jc w:val="both"/>
        <w:rPr>
          <w:rFonts w:hint="eastAsia" w:ascii="仿宋" w:hAnsi="仿宋" w:eastAsia="仿宋" w:cs="仿宋"/>
          <w:spacing w:val="-3"/>
          <w:sz w:val="28"/>
          <w:lang w:val="en-US"/>
        </w:rPr>
      </w:pPr>
      <w:r>
        <w:rPr>
          <w:rFonts w:hint="eastAsia" w:ascii="仿宋" w:hAnsi="仿宋" w:eastAsia="仿宋" w:cs="仿宋"/>
          <w:spacing w:val="-3"/>
          <w:sz w:val="28"/>
          <w:lang w:val="en-US"/>
        </w:rPr>
        <w:t>（3）日常耗材费用：灯泡、水管等由于维护不当、人为损坏造成的损耗费用由</w:t>
      </w:r>
      <w:r>
        <w:rPr>
          <w:rFonts w:hint="eastAsia" w:ascii="仿宋" w:hAnsi="仿宋" w:eastAsia="仿宋" w:cs="仿宋"/>
          <w:spacing w:val="-3"/>
          <w:sz w:val="28"/>
          <w:lang w:val="en-US" w:eastAsia="zh-CN"/>
        </w:rPr>
        <w:t>乙方</w:t>
      </w:r>
      <w:r>
        <w:rPr>
          <w:rFonts w:hint="eastAsia" w:ascii="仿宋" w:hAnsi="仿宋" w:eastAsia="仿宋" w:cs="仿宋"/>
          <w:spacing w:val="-3"/>
          <w:sz w:val="28"/>
          <w:lang w:val="en-US"/>
        </w:rPr>
        <w:t>负责。</w:t>
      </w:r>
    </w:p>
    <w:p>
      <w:pPr>
        <w:pStyle w:val="91"/>
        <w:numPr>
          <w:ilvl w:val="0"/>
          <w:numId w:val="0"/>
        </w:numPr>
        <w:tabs>
          <w:tab w:val="left" w:pos="1252"/>
        </w:tabs>
        <w:spacing w:before="12" w:after="12" w:line="360" w:lineRule="auto"/>
        <w:ind w:left="0" w:right="0" w:firstLine="548" w:firstLineChars="200"/>
        <w:jc w:val="both"/>
        <w:rPr>
          <w:rFonts w:hint="eastAsia" w:ascii="仿宋" w:hAnsi="仿宋" w:eastAsia="仿宋" w:cs="仿宋"/>
          <w:spacing w:val="-3"/>
          <w:sz w:val="28"/>
          <w:lang w:val="en-US"/>
        </w:rPr>
      </w:pPr>
      <w:r>
        <w:rPr>
          <w:rFonts w:hint="eastAsia" w:ascii="仿宋" w:hAnsi="仿宋" w:eastAsia="仿宋" w:cs="仿宋"/>
          <w:spacing w:val="-3"/>
          <w:sz w:val="28"/>
          <w:lang w:val="en-US"/>
        </w:rPr>
        <w:t>（4）苗木费用：苗木前期栽种费用及由于维护不当、人为损坏造成的树苗补种费用由</w:t>
      </w:r>
      <w:r>
        <w:rPr>
          <w:rFonts w:hint="eastAsia" w:ascii="仿宋" w:hAnsi="仿宋" w:eastAsia="仿宋" w:cs="仿宋"/>
          <w:spacing w:val="-3"/>
          <w:sz w:val="28"/>
          <w:lang w:val="en-US" w:eastAsia="zh-CN"/>
        </w:rPr>
        <w:t>乙方</w:t>
      </w:r>
      <w:r>
        <w:rPr>
          <w:rFonts w:hint="eastAsia" w:ascii="仿宋" w:hAnsi="仿宋" w:eastAsia="仿宋" w:cs="仿宋"/>
          <w:spacing w:val="-3"/>
          <w:sz w:val="28"/>
          <w:lang w:val="en-US"/>
        </w:rPr>
        <w:t>承担。</w:t>
      </w:r>
    </w:p>
    <w:p>
      <w:pPr>
        <w:pStyle w:val="91"/>
        <w:numPr>
          <w:ilvl w:val="0"/>
          <w:numId w:val="0"/>
        </w:numPr>
        <w:tabs>
          <w:tab w:val="left" w:pos="1252"/>
        </w:tabs>
        <w:spacing w:before="12" w:after="12" w:line="360" w:lineRule="auto"/>
        <w:ind w:left="0" w:right="0" w:firstLine="548" w:firstLineChars="200"/>
        <w:jc w:val="both"/>
        <w:rPr>
          <w:rFonts w:hint="eastAsia" w:ascii="仿宋" w:hAnsi="仿宋" w:eastAsia="仿宋" w:cs="仿宋"/>
          <w:spacing w:val="-3"/>
          <w:sz w:val="28"/>
          <w:lang w:val="en-US"/>
        </w:rPr>
      </w:pPr>
      <w:r>
        <w:rPr>
          <w:rFonts w:hint="eastAsia" w:ascii="仿宋" w:hAnsi="仿宋" w:eastAsia="仿宋" w:cs="仿宋"/>
          <w:spacing w:val="-3"/>
          <w:sz w:val="28"/>
          <w:lang w:val="en-US"/>
        </w:rPr>
        <w:t>（5）维修费用：所有包括电、水、管道、消防设施、电梯等维修费用由</w:t>
      </w:r>
      <w:r>
        <w:rPr>
          <w:rFonts w:hint="eastAsia" w:ascii="仿宋" w:hAnsi="仿宋" w:eastAsia="仿宋" w:cs="仿宋"/>
          <w:spacing w:val="-3"/>
          <w:sz w:val="28"/>
          <w:lang w:val="en-US" w:eastAsia="zh-CN"/>
        </w:rPr>
        <w:t>乙方</w:t>
      </w:r>
      <w:r>
        <w:rPr>
          <w:rFonts w:hint="eastAsia" w:ascii="仿宋" w:hAnsi="仿宋" w:eastAsia="仿宋" w:cs="仿宋"/>
          <w:spacing w:val="-3"/>
          <w:sz w:val="28"/>
          <w:lang w:val="en-US"/>
        </w:rPr>
        <w:t>承担。</w:t>
      </w:r>
    </w:p>
    <w:p>
      <w:pPr>
        <w:pStyle w:val="91"/>
        <w:numPr>
          <w:ilvl w:val="0"/>
          <w:numId w:val="0"/>
        </w:numPr>
        <w:tabs>
          <w:tab w:val="left" w:pos="1252"/>
        </w:tabs>
        <w:spacing w:before="12" w:after="12" w:line="360" w:lineRule="auto"/>
        <w:ind w:left="0" w:right="0" w:firstLine="548" w:firstLineChars="200"/>
        <w:jc w:val="both"/>
        <w:rPr>
          <w:rFonts w:hint="eastAsia" w:ascii="仿宋" w:hAnsi="仿宋" w:eastAsia="仿宋" w:cs="仿宋"/>
          <w:spacing w:val="-3"/>
          <w:sz w:val="28"/>
          <w:lang w:val="en-US"/>
        </w:rPr>
      </w:pPr>
      <w:r>
        <w:rPr>
          <w:rFonts w:hint="eastAsia" w:ascii="仿宋" w:hAnsi="仿宋" w:eastAsia="仿宋" w:cs="仿宋"/>
          <w:spacing w:val="-3"/>
          <w:sz w:val="28"/>
          <w:lang w:val="en-US"/>
        </w:rPr>
        <w:t>（6）外墙清洗涉及的第三方保险及高空作业所出现的所有问题及相关费用由</w:t>
      </w:r>
      <w:r>
        <w:rPr>
          <w:rFonts w:hint="eastAsia" w:ascii="仿宋" w:hAnsi="仿宋" w:eastAsia="仿宋" w:cs="仿宋"/>
          <w:spacing w:val="-3"/>
          <w:sz w:val="28"/>
          <w:lang w:val="en-US" w:eastAsia="zh-CN"/>
        </w:rPr>
        <w:t>乙方</w:t>
      </w:r>
      <w:r>
        <w:rPr>
          <w:rFonts w:hint="eastAsia" w:ascii="仿宋" w:hAnsi="仿宋" w:eastAsia="仿宋" w:cs="仿宋"/>
          <w:spacing w:val="-3"/>
          <w:sz w:val="28"/>
          <w:lang w:val="en-US"/>
        </w:rPr>
        <w:t>自行负责承担。</w:t>
      </w:r>
    </w:p>
    <w:p>
      <w:pPr>
        <w:pStyle w:val="91"/>
        <w:numPr>
          <w:ilvl w:val="0"/>
          <w:numId w:val="0"/>
        </w:numPr>
        <w:tabs>
          <w:tab w:val="left" w:pos="1252"/>
        </w:tabs>
        <w:spacing w:before="12" w:after="12" w:line="360" w:lineRule="auto"/>
        <w:ind w:left="0" w:right="0" w:firstLine="548" w:firstLineChars="200"/>
        <w:jc w:val="both"/>
        <w:rPr>
          <w:rFonts w:hint="eastAsia" w:ascii="仿宋" w:hAnsi="仿宋" w:eastAsia="仿宋" w:cs="仿宋"/>
          <w:spacing w:val="-3"/>
          <w:sz w:val="28"/>
          <w:lang w:val="en-US"/>
        </w:rPr>
      </w:pPr>
      <w:r>
        <w:rPr>
          <w:rFonts w:hint="eastAsia" w:ascii="仿宋" w:hAnsi="仿宋" w:eastAsia="仿宋" w:cs="仿宋"/>
          <w:spacing w:val="-3"/>
          <w:sz w:val="28"/>
          <w:lang w:val="en-US"/>
        </w:rPr>
        <w:t>（7）因工作失误造成的物资损坏所有费用全部由</w:t>
      </w:r>
      <w:r>
        <w:rPr>
          <w:rFonts w:hint="eastAsia" w:ascii="仿宋" w:hAnsi="仿宋" w:eastAsia="仿宋" w:cs="仿宋"/>
          <w:spacing w:val="-3"/>
          <w:sz w:val="28"/>
          <w:lang w:val="en-US" w:eastAsia="zh-CN"/>
        </w:rPr>
        <w:t>乙方</w:t>
      </w:r>
      <w:r>
        <w:rPr>
          <w:rFonts w:hint="eastAsia" w:ascii="仿宋" w:hAnsi="仿宋" w:eastAsia="仿宋" w:cs="仿宋"/>
          <w:spacing w:val="-3"/>
          <w:sz w:val="28"/>
          <w:lang w:val="en-US"/>
        </w:rPr>
        <w:t>自行承担。所有物业涉及人员的保险、第三方责任险等保险全部由</w:t>
      </w:r>
      <w:r>
        <w:rPr>
          <w:rFonts w:hint="eastAsia" w:ascii="仿宋" w:hAnsi="仿宋" w:eastAsia="仿宋" w:cs="仿宋"/>
          <w:spacing w:val="-3"/>
          <w:sz w:val="28"/>
          <w:lang w:val="en-US" w:eastAsia="zh-CN"/>
        </w:rPr>
        <w:t>乙方</w:t>
      </w:r>
      <w:r>
        <w:rPr>
          <w:rFonts w:hint="eastAsia" w:ascii="仿宋" w:hAnsi="仿宋" w:eastAsia="仿宋" w:cs="仿宋"/>
          <w:spacing w:val="-3"/>
          <w:sz w:val="28"/>
          <w:lang w:val="en-US"/>
        </w:rPr>
        <w:t>负责。</w:t>
      </w:r>
    </w:p>
    <w:p>
      <w:pPr>
        <w:pStyle w:val="91"/>
        <w:numPr>
          <w:ilvl w:val="0"/>
          <w:numId w:val="0"/>
        </w:numPr>
        <w:tabs>
          <w:tab w:val="left" w:pos="1252"/>
        </w:tabs>
        <w:spacing w:before="12" w:after="12" w:line="360" w:lineRule="auto"/>
        <w:ind w:left="0" w:right="0" w:firstLine="548" w:firstLineChars="200"/>
        <w:jc w:val="both"/>
        <w:rPr>
          <w:rFonts w:hint="eastAsia" w:ascii="仿宋" w:hAnsi="仿宋" w:eastAsia="仿宋" w:cs="仿宋"/>
          <w:spacing w:val="-3"/>
          <w:sz w:val="28"/>
          <w:lang w:val="en-US" w:eastAsia="zh-CN"/>
        </w:rPr>
      </w:pPr>
      <w:r>
        <w:rPr>
          <w:rFonts w:hint="eastAsia" w:ascii="仿宋" w:hAnsi="仿宋" w:eastAsia="仿宋" w:cs="仿宋"/>
          <w:spacing w:val="-3"/>
          <w:sz w:val="28"/>
          <w:lang w:val="en-US"/>
        </w:rPr>
        <w:t>（8）乙方已充分知悉本项目情况，合同金额不因实测面积</w:t>
      </w:r>
      <w:r>
        <w:rPr>
          <w:rFonts w:hint="eastAsia" w:ascii="仿宋" w:hAnsi="仿宋" w:eastAsia="仿宋" w:cs="仿宋"/>
          <w:spacing w:val="-3"/>
          <w:sz w:val="28"/>
          <w:lang w:val="en-US" w:eastAsia="zh-CN"/>
        </w:rPr>
        <w:t>与“第二条 办公楼基本情况”描述面积</w:t>
      </w:r>
      <w:r>
        <w:rPr>
          <w:rFonts w:hint="eastAsia" w:ascii="仿宋" w:hAnsi="仿宋" w:eastAsia="仿宋" w:cs="仿宋"/>
          <w:spacing w:val="-3"/>
          <w:sz w:val="28"/>
          <w:lang w:val="en-US"/>
        </w:rPr>
        <w:t>有差异而调整。</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2.付款方式：</w:t>
      </w:r>
    </w:p>
    <w:p>
      <w:pPr>
        <w:pStyle w:val="91"/>
        <w:numPr>
          <w:ilvl w:val="0"/>
          <w:numId w:val="0"/>
        </w:numPr>
        <w:tabs>
          <w:tab w:val="left" w:pos="1252"/>
        </w:tabs>
        <w:spacing w:before="12" w:after="12" w:line="360" w:lineRule="auto"/>
        <w:ind w:left="0" w:right="0" w:firstLine="560" w:firstLineChars="200"/>
        <w:jc w:val="both"/>
        <w:rPr>
          <w:rFonts w:hint="eastAsia" w:ascii="仿宋" w:hAnsi="仿宋" w:eastAsia="仿宋" w:cs="仿宋"/>
          <w:spacing w:val="-3"/>
          <w:sz w:val="28"/>
          <w:lang w:val="en-US"/>
        </w:rPr>
      </w:pPr>
      <w:r>
        <w:rPr>
          <w:rFonts w:hint="eastAsia" w:ascii="仿宋" w:hAnsi="仿宋" w:eastAsia="仿宋" w:cs="仿宋"/>
          <w:color w:val="auto"/>
          <w:sz w:val="28"/>
          <w:szCs w:val="28"/>
          <w:highlight w:val="none"/>
        </w:rPr>
        <w:t>本合同签订后，委托服务费用每季度结算一次，金额为总额的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r>
        <w:rPr>
          <w:rFonts w:hint="eastAsia" w:ascii="仿宋" w:hAnsi="仿宋" w:eastAsia="仿宋" w:cs="仿宋"/>
          <w:spacing w:val="-3"/>
          <w:sz w:val="28"/>
          <w:lang w:val="en-US"/>
        </w:rPr>
        <w:t>每</w:t>
      </w:r>
      <w:r>
        <w:rPr>
          <w:rFonts w:hint="eastAsia" w:ascii="仿宋" w:hAnsi="仿宋" w:eastAsia="仿宋" w:cs="仿宋"/>
          <w:spacing w:val="-3"/>
          <w:sz w:val="28"/>
          <w:lang w:val="en-US" w:eastAsia="zh-CN"/>
        </w:rPr>
        <w:t>季度季初</w:t>
      </w:r>
      <w:r>
        <w:rPr>
          <w:rFonts w:hint="eastAsia" w:ascii="仿宋" w:hAnsi="仿宋" w:eastAsia="仿宋" w:cs="仿宋"/>
          <w:spacing w:val="-3"/>
          <w:sz w:val="28"/>
          <w:lang w:val="en-US"/>
        </w:rPr>
        <w:t>由乙方项目负责人办理</w:t>
      </w:r>
      <w:r>
        <w:rPr>
          <w:rFonts w:hint="eastAsia" w:ascii="仿宋" w:hAnsi="仿宋" w:eastAsia="仿宋" w:cs="仿宋"/>
          <w:spacing w:val="-3"/>
          <w:sz w:val="28"/>
          <w:lang w:val="en-US" w:eastAsia="zh-CN"/>
        </w:rPr>
        <w:t>上一季度</w:t>
      </w:r>
      <w:r>
        <w:rPr>
          <w:rFonts w:hint="eastAsia" w:ascii="仿宋" w:hAnsi="仿宋" w:eastAsia="仿宋" w:cs="仿宋"/>
          <w:spacing w:val="-3"/>
          <w:sz w:val="28"/>
          <w:lang w:val="en-US"/>
        </w:rPr>
        <w:t>委托服务费用</w:t>
      </w:r>
      <w:r>
        <w:rPr>
          <w:rFonts w:hint="eastAsia" w:ascii="仿宋" w:hAnsi="仿宋" w:eastAsia="仿宋" w:cs="仿宋"/>
          <w:spacing w:val="-3"/>
          <w:sz w:val="28"/>
          <w:lang w:val="en-US" w:eastAsia="zh-CN"/>
        </w:rPr>
        <w:t>支付申请</w:t>
      </w:r>
      <w:r>
        <w:rPr>
          <w:rFonts w:hint="eastAsia" w:ascii="仿宋" w:hAnsi="仿宋" w:eastAsia="仿宋" w:cs="仿宋"/>
          <w:spacing w:val="-3"/>
          <w:sz w:val="28"/>
          <w:lang w:val="en-US"/>
        </w:rPr>
        <w:t>相关手续，开具符合甲方财务要求的物业费发票，由甲方在</w:t>
      </w:r>
      <w:r>
        <w:rPr>
          <w:rFonts w:hint="eastAsia" w:ascii="仿宋" w:hAnsi="仿宋" w:eastAsia="仿宋" w:cs="仿宋"/>
          <w:spacing w:val="-3"/>
          <w:sz w:val="28"/>
          <w:u w:val="single"/>
          <w:lang w:val="en-US" w:eastAsia="zh-CN"/>
        </w:rPr>
        <w:t xml:space="preserve"> 15 </w:t>
      </w:r>
      <w:r>
        <w:rPr>
          <w:rFonts w:hint="eastAsia" w:ascii="仿宋" w:hAnsi="仿宋" w:eastAsia="仿宋" w:cs="仿宋"/>
          <w:spacing w:val="-3"/>
          <w:sz w:val="28"/>
          <w:lang w:val="en-US"/>
        </w:rPr>
        <w:t>个工作日内将上</w:t>
      </w:r>
      <w:r>
        <w:rPr>
          <w:rFonts w:hint="eastAsia" w:ascii="仿宋" w:hAnsi="仿宋" w:eastAsia="仿宋" w:cs="仿宋"/>
          <w:spacing w:val="-3"/>
          <w:sz w:val="28"/>
          <w:lang w:val="en-US" w:eastAsia="zh-CN"/>
        </w:rPr>
        <w:t>季度</w:t>
      </w:r>
      <w:r>
        <w:rPr>
          <w:rFonts w:hint="eastAsia" w:ascii="仿宋" w:hAnsi="仿宋" w:eastAsia="仿宋" w:cs="仿宋"/>
          <w:spacing w:val="-3"/>
          <w:sz w:val="28"/>
          <w:lang w:val="en-US"/>
        </w:rPr>
        <w:t>委托服务费转入乙方指定的账户。</w:t>
      </w:r>
    </w:p>
    <w:p>
      <w:pPr>
        <w:ind w:left="172" w:leftChars="82" w:firstLine="274" w:firstLineChars="100"/>
        <w:rPr>
          <w:rFonts w:hint="eastAsia" w:ascii="仿宋" w:hAnsi="仿宋" w:eastAsia="仿宋" w:cs="仿宋"/>
          <w:color w:val="auto"/>
          <w:sz w:val="28"/>
          <w:szCs w:val="28"/>
          <w:highlight w:val="none"/>
        </w:rPr>
      </w:pPr>
      <w:r>
        <w:rPr>
          <w:rFonts w:hint="eastAsia" w:ascii="仿宋" w:hAnsi="仿宋" w:eastAsia="仿宋" w:cs="仿宋"/>
          <w:spacing w:val="-3"/>
          <w:sz w:val="28"/>
          <w:lang w:val="en-US" w:eastAsia="zh-CN"/>
        </w:rPr>
        <w:t>项目负责人：</w:t>
      </w:r>
      <w:r>
        <w:rPr>
          <w:rFonts w:hint="eastAsia" w:ascii="仿宋" w:hAnsi="仿宋" w:eastAsia="仿宋" w:cs="仿宋"/>
          <w:spacing w:val="-3"/>
          <w:sz w:val="28"/>
          <w:u w:val="single"/>
          <w:lang w:val="en-US" w:eastAsia="zh-CN"/>
        </w:rPr>
        <w:t xml:space="preserve">        </w:t>
      </w:r>
      <w:r>
        <w:rPr>
          <w:rFonts w:hint="eastAsia" w:ascii="仿宋" w:hAnsi="仿宋" w:eastAsia="仿宋" w:cs="仿宋"/>
          <w:spacing w:val="-3"/>
          <w:sz w:val="28"/>
          <w:u w:val="none"/>
          <w:lang w:val="en-US" w:eastAsia="zh-CN"/>
        </w:rPr>
        <w:t>，联系电话：</w:t>
      </w:r>
      <w:r>
        <w:rPr>
          <w:rFonts w:hint="eastAsia" w:ascii="仿宋" w:hAnsi="仿宋" w:eastAsia="仿宋" w:cs="仿宋"/>
          <w:spacing w:val="-3"/>
          <w:sz w:val="28"/>
          <w:u w:val="single"/>
          <w:lang w:val="en-US" w:eastAsia="zh-CN"/>
        </w:rPr>
        <w:t xml:space="preserve">     </w:t>
      </w:r>
      <w:r>
        <w:rPr>
          <w:rFonts w:hint="eastAsia" w:ascii="仿宋" w:hAnsi="仿宋" w:eastAsia="仿宋" w:cs="仿宋"/>
          <w:spacing w:val="-3"/>
          <w:sz w:val="28"/>
          <w:u w:val="none"/>
          <w:lang w:val="en-US" w:eastAsia="zh-CN"/>
        </w:rPr>
        <w:t xml:space="preserve"> ，身份证号：</w:t>
      </w:r>
      <w:r>
        <w:rPr>
          <w:rFonts w:hint="eastAsia" w:ascii="仿宋" w:hAnsi="仿宋" w:eastAsia="仿宋" w:cs="仿宋"/>
          <w:spacing w:val="-3"/>
          <w:sz w:val="28"/>
          <w:u w:val="single"/>
          <w:lang w:val="en-US" w:eastAsia="zh-CN"/>
        </w:rPr>
        <w:t xml:space="preserve">       </w:t>
      </w:r>
      <w:r>
        <w:rPr>
          <w:rFonts w:hint="eastAsia" w:ascii="仿宋" w:hAnsi="仿宋" w:eastAsia="仿宋" w:cs="仿宋"/>
          <w:spacing w:val="-3"/>
          <w:sz w:val="28"/>
          <w:u w:val="none"/>
          <w:lang w:val="en-US" w:eastAsia="zh-CN"/>
        </w:rPr>
        <w:t>。</w:t>
      </w:r>
      <w:r>
        <w:rPr>
          <w:rFonts w:hint="eastAsia" w:ascii="仿宋" w:hAnsi="仿宋" w:eastAsia="仿宋" w:cs="仿宋"/>
          <w:spacing w:val="-3"/>
          <w:sz w:val="28"/>
          <w:u w:val="single"/>
          <w:lang w:val="en-US" w:eastAsia="zh-CN"/>
        </w:rPr>
        <w:t xml:space="preserve"> </w:t>
      </w:r>
    </w:p>
    <w:p>
      <w:pPr>
        <w:ind w:firstLine="540" w:firstLineChars="19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四、履约保证金</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第十条  履约保证金</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1、乙方应在合同签订前，以非现金方式向甲方提交履约保证金，履约保证金金额为合同总金额的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2、履约保证金用于补偿甲方因乙方不能履行其合同义务而蒙受的损失。</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3、如果乙方未能按合同规定履行其义务，甲方有权从履约保证金中取得补偿。</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4、合同有效期满30天后的</w:t>
      </w:r>
      <w:r>
        <w:rPr>
          <w:rFonts w:hint="eastAsia" w:ascii="仿宋" w:hAnsi="仿宋" w:eastAsia="仿宋" w:cs="仿宋"/>
          <w:color w:val="auto"/>
          <w:sz w:val="28"/>
          <w:szCs w:val="28"/>
          <w:highlight w:val="none"/>
          <w:u w:val="single"/>
        </w:rPr>
        <w:t>15</w:t>
      </w:r>
      <w:r>
        <w:rPr>
          <w:rFonts w:hint="eastAsia" w:ascii="仿宋" w:hAnsi="仿宋" w:eastAsia="仿宋" w:cs="仿宋"/>
          <w:color w:val="auto"/>
          <w:sz w:val="28"/>
          <w:szCs w:val="28"/>
          <w:highlight w:val="none"/>
        </w:rPr>
        <w:t>个工作日，由甲方（无息）返还给乙方。</w:t>
      </w:r>
    </w:p>
    <w:p>
      <w:pPr>
        <w:ind w:firstLine="540" w:firstLineChars="19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w:t>
      </w:r>
      <w:r>
        <w:rPr>
          <w:rFonts w:hint="eastAsia" w:ascii="仿宋" w:hAnsi="仿宋" w:eastAsia="仿宋" w:cs="仿宋"/>
          <w:b/>
          <w:color w:val="auto"/>
          <w:sz w:val="28"/>
          <w:szCs w:val="28"/>
          <w:highlight w:val="none"/>
        </w:rPr>
        <w:tab/>
      </w:r>
      <w:r>
        <w:rPr>
          <w:rFonts w:hint="eastAsia" w:ascii="仿宋" w:hAnsi="仿宋" w:eastAsia="仿宋" w:cs="仿宋"/>
          <w:b/>
          <w:color w:val="auto"/>
          <w:sz w:val="28"/>
          <w:szCs w:val="28"/>
          <w:highlight w:val="none"/>
        </w:rPr>
        <w:t>双方权利义务</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第十一条 甲方的权利和义务</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1、甲方有权对乙方进行监督、检查、由甲方的综合办公室后勤服务中心对乙方实施管理。</w:t>
      </w:r>
    </w:p>
    <w:p>
      <w:pPr>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2、甲方有权对乙方服务质量进行监督。</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3、甲方有权定期对乙方的卫生质量、安全生产进行检查，发现问题，应及时向乙方提出，并督促乙方限期整改。</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4、甲方有义务督促并配合乙方监督甲方职工遵守办公楼卫生管理制度、爱护公共卫生配套设施。</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5、甲方应当协调处理非乙方管理原因造成的各种问题和纠纷；</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6、甲方应当按期支付乙方委托管理服务费及其他应付的费用。</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第十二条 乙方的权利和义务</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1、乙方有义务按合同要求的服务内容和服务质量标准向甲方提供专业化、规范化和标准化的服务。</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必须遵守甲方安全管理以及为统一管理而制定的规章制度，确保符合安全和消防规定；乙方应当加强企业内部的管理，聘用合格员工，依照法律法规保障员工合法权益，对员工负有培训、提高遵法守法教育的责任，合同期内，如发生劳资纠纷、安全责任等事故，应自行妥善处理。</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3、乙方应根据《安全生产法》、《劳动法》有关法律、法规政策及本合同规定，制定各项管理办法、规章制度、实施细则标准。</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4、接受政府有关部门的监督、指导，及时处理甲方业主的投诉，接受甲方的监督、检查、和工作建议。</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5、乙方有义务管理和保管好甲方提供的物资和设备。</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6、本合同终止时，乙方须向甲方及时完整移交设备设施、宿舍住房、管理相关资料以及属于甲方所有的财物移交给甲方。</w:t>
      </w:r>
    </w:p>
    <w:p>
      <w:pPr>
        <w:ind w:firstLine="540" w:firstLineChars="19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 委托管理服务质量和管理目标</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第十三条  委托服务管理质量标准和服务质量承诺：</w:t>
      </w:r>
    </w:p>
    <w:p>
      <w:pPr>
        <w:pStyle w:val="2"/>
        <w:jc w:val="center"/>
        <w:rPr>
          <w:rFonts w:hint="eastAsia" w:ascii="仿宋" w:hAnsi="仿宋" w:eastAsia="仿宋" w:cs="仿宋"/>
        </w:rPr>
      </w:pPr>
      <w:r>
        <w:rPr>
          <w:rFonts w:hint="eastAsia" w:ascii="仿宋" w:hAnsi="仿宋" w:eastAsia="仿宋" w:cs="仿宋"/>
          <w:color w:val="auto"/>
          <w:sz w:val="28"/>
          <w:szCs w:val="28"/>
          <w:highlight w:val="none"/>
        </w:rPr>
        <w:t>（由乙方根据招投标文件补充工作量清单及服务承诺）</w:t>
      </w:r>
    </w:p>
    <w:p>
      <w:pPr>
        <w:spacing w:before="0" w:line="424" w:lineRule="auto"/>
        <w:ind w:left="0" w:right="256" w:firstLine="562" w:firstLineChars="200"/>
        <w:jc w:val="left"/>
        <w:rPr>
          <w:rFonts w:hint="eastAsia" w:ascii="仿宋" w:hAnsi="仿宋" w:eastAsia="仿宋" w:cs="仿宋"/>
          <w:sz w:val="28"/>
          <w:highlight w:val="yellow"/>
        </w:rPr>
      </w:pPr>
      <w:r>
        <w:rPr>
          <w:rFonts w:hint="eastAsia" w:ascii="仿宋" w:hAnsi="仿宋" w:eastAsia="仿宋" w:cs="仿宋"/>
          <w:b/>
          <w:color w:val="auto"/>
          <w:sz w:val="28"/>
          <w:szCs w:val="28"/>
          <w:highlight w:val="none"/>
        </w:rPr>
        <w:t>1、管理服务质量标准：</w:t>
      </w:r>
      <w:r>
        <w:rPr>
          <w:rFonts w:hint="eastAsia" w:ascii="仿宋" w:hAnsi="仿宋" w:eastAsia="仿宋" w:cs="仿宋"/>
          <w:color w:val="auto"/>
          <w:sz w:val="28"/>
          <w:szCs w:val="28"/>
          <w:highlight w:val="none"/>
        </w:rPr>
        <w:t>乙方应当按双方协商一致的保洁服务质量标准进行服务。</w:t>
      </w:r>
    </w:p>
    <w:p>
      <w:pPr>
        <w:ind w:firstLine="540" w:firstLineChars="19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2、管理服务质量承诺：</w:t>
      </w:r>
    </w:p>
    <w:p>
      <w:pPr>
        <w:ind w:firstLine="540" w:firstLineChars="19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2.2、</w:t>
      </w:r>
      <w:r>
        <w:rPr>
          <w:rFonts w:hint="eastAsia" w:ascii="仿宋" w:hAnsi="仿宋" w:eastAsia="仿宋" w:cs="仿宋"/>
          <w:color w:val="auto"/>
          <w:sz w:val="28"/>
          <w:szCs w:val="28"/>
          <w:highlight w:val="none"/>
        </w:rPr>
        <w:t>卫生清洁及时率</w:t>
      </w:r>
      <w:r>
        <w:rPr>
          <w:rFonts w:hint="eastAsia" w:ascii="仿宋" w:hAnsi="仿宋" w:eastAsia="仿宋" w:cs="仿宋"/>
          <w:color w:val="auto"/>
          <w:sz w:val="28"/>
          <w:szCs w:val="28"/>
          <w:highlight w:val="none"/>
          <w:u w:val="single"/>
        </w:rPr>
        <w:t xml:space="preserve">   ％；</w:t>
      </w:r>
    </w:p>
    <w:p>
      <w:pPr>
        <w:ind w:firstLine="540" w:firstLineChars="19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2.3、</w:t>
      </w:r>
      <w:r>
        <w:rPr>
          <w:rFonts w:hint="eastAsia" w:ascii="仿宋" w:hAnsi="仿宋" w:eastAsia="仿宋" w:cs="仿宋"/>
          <w:bCs/>
          <w:color w:val="auto"/>
          <w:sz w:val="28"/>
          <w:szCs w:val="28"/>
          <w:highlight w:val="none"/>
        </w:rPr>
        <w:t>保洁服务</w:t>
      </w:r>
      <w:r>
        <w:rPr>
          <w:rFonts w:hint="eastAsia" w:ascii="仿宋" w:hAnsi="仿宋" w:eastAsia="仿宋" w:cs="仿宋"/>
          <w:color w:val="auto"/>
          <w:sz w:val="28"/>
          <w:szCs w:val="28"/>
          <w:highlight w:val="none"/>
        </w:rPr>
        <w:t>有效投诉＜</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，处理率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ind w:firstLine="540" w:firstLineChars="192"/>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2.4、</w:t>
      </w:r>
      <w:r>
        <w:rPr>
          <w:rFonts w:hint="eastAsia" w:ascii="仿宋" w:hAnsi="仿宋" w:eastAsia="仿宋" w:cs="仿宋"/>
          <w:bCs/>
          <w:color w:val="auto"/>
          <w:sz w:val="28"/>
          <w:szCs w:val="28"/>
          <w:highlight w:val="none"/>
        </w:rPr>
        <w:t>杜绝发生各类责任事故。</w:t>
      </w:r>
    </w:p>
    <w:p>
      <w:pPr>
        <w:ind w:firstLine="540" w:firstLineChars="19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 违约责任</w:t>
      </w:r>
    </w:p>
    <w:p>
      <w:pPr>
        <w:ind w:firstLine="540" w:firstLineChars="19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第十三条</w:t>
      </w:r>
      <w:r>
        <w:rPr>
          <w:rFonts w:hint="eastAsia" w:ascii="仿宋" w:hAnsi="仿宋" w:eastAsia="仿宋" w:cs="仿宋"/>
          <w:color w:val="auto"/>
          <w:sz w:val="28"/>
          <w:szCs w:val="28"/>
          <w:highlight w:val="none"/>
        </w:rPr>
        <w:t xml:space="preserve">  如乙方服务未达到双方约定的考核标准，按协商、约定考核办法执行。如发现乙方违反采购文件、响应文件和合同的有关规定，甲方有权根据采购文件、响应文件、合同和相应的法律法规要求对乙方进行处罚，并有权提前终止本合同。</w:t>
      </w:r>
    </w:p>
    <w:p>
      <w:pPr>
        <w:ind w:firstLine="540" w:firstLineChars="19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第十四条</w:t>
      </w:r>
      <w:r>
        <w:rPr>
          <w:rFonts w:hint="eastAsia" w:ascii="仿宋" w:hAnsi="仿宋" w:eastAsia="仿宋" w:cs="仿宋"/>
          <w:color w:val="auto"/>
          <w:sz w:val="28"/>
          <w:szCs w:val="28"/>
          <w:highlight w:val="none"/>
        </w:rPr>
        <w:t xml:space="preserve">  如因乙方原因直接造成甲方经济损失的，乙方应给予甲方相应赔偿并限期整改。</w:t>
      </w:r>
    </w:p>
    <w:p>
      <w:pPr>
        <w:ind w:firstLine="540" w:firstLineChars="19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条</w:t>
      </w:r>
      <w:r>
        <w:rPr>
          <w:rFonts w:hint="eastAsia" w:ascii="仿宋" w:hAnsi="仿宋" w:eastAsia="仿宋" w:cs="仿宋"/>
          <w:color w:val="auto"/>
          <w:sz w:val="28"/>
          <w:szCs w:val="28"/>
          <w:highlight w:val="none"/>
        </w:rPr>
        <w:t xml:space="preserve">  因乙方管理不善或操作不当等原因造成事故的，由乙方承担责任并负责善后处理。</w:t>
      </w:r>
    </w:p>
    <w:p>
      <w:pPr>
        <w:ind w:firstLine="540" w:firstLineChars="19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条</w:t>
      </w:r>
      <w:r>
        <w:rPr>
          <w:rFonts w:hint="eastAsia" w:ascii="仿宋" w:hAnsi="仿宋" w:eastAsia="仿宋" w:cs="仿宋"/>
          <w:color w:val="auto"/>
          <w:sz w:val="28"/>
          <w:szCs w:val="28"/>
          <w:highlight w:val="none"/>
        </w:rPr>
        <w:t xml:space="preserve">  合同履行期间，因一方违约造成法律纠纷的，违约方应支付双方因法律纠纷所发生的一切法律费用，包括但不限于律师费、诉讼费。</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条  以下情况乙方不承担责任</w:t>
      </w:r>
    </w:p>
    <w:p>
      <w:pPr>
        <w:ind w:firstLine="537" w:firstLineChars="192"/>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因不可抗力导致委托管理服务中断的。</w:t>
      </w:r>
    </w:p>
    <w:p>
      <w:pPr>
        <w:ind w:firstLine="537" w:firstLineChars="192"/>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．因维修养护物业共用部位、共用设施设备需要事先告知乙方，暂时停水、停电、停止共用设施设备使用造成损失的。</w:t>
      </w:r>
    </w:p>
    <w:p>
      <w:pPr>
        <w:ind w:firstLine="540" w:firstLineChars="19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 附则</w:t>
      </w:r>
    </w:p>
    <w:p>
      <w:pPr>
        <w:ind w:firstLine="540" w:firstLineChars="192"/>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条</w:t>
      </w:r>
      <w:r>
        <w:rPr>
          <w:rFonts w:hint="eastAsia" w:ascii="仿宋" w:hAnsi="仿宋" w:eastAsia="仿宋" w:cs="仿宋"/>
          <w:color w:val="auto"/>
          <w:sz w:val="28"/>
          <w:szCs w:val="28"/>
          <w:highlight w:val="none"/>
        </w:rPr>
        <w:t xml:space="preserve">  双方可对本合同的条款进行修订更改或补充，以书面签订补充协议，补充协议与本合同具有同等效力。</w:t>
      </w:r>
    </w:p>
    <w:p>
      <w:pPr>
        <w:ind w:firstLine="540" w:firstLineChars="192"/>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val="en-US" w:eastAsia="zh-CN"/>
        </w:rPr>
        <w:t>十九</w:t>
      </w:r>
      <w:r>
        <w:rPr>
          <w:rFonts w:hint="eastAsia" w:ascii="仿宋" w:hAnsi="仿宋" w:eastAsia="仿宋" w:cs="仿宋"/>
          <w:b/>
          <w:color w:val="auto"/>
          <w:sz w:val="28"/>
          <w:szCs w:val="28"/>
          <w:highlight w:val="none"/>
        </w:rPr>
        <w:t xml:space="preserve">条  </w:t>
      </w:r>
      <w:r>
        <w:rPr>
          <w:rFonts w:hint="eastAsia" w:ascii="仿宋" w:hAnsi="仿宋" w:eastAsia="仿宋" w:cs="仿宋"/>
          <w:color w:val="auto"/>
          <w:sz w:val="28"/>
          <w:szCs w:val="28"/>
          <w:highlight w:val="none"/>
        </w:rPr>
        <w:t>合同规定的管理期满，本合同自然终止。</w:t>
      </w:r>
    </w:p>
    <w:p>
      <w:pPr>
        <w:ind w:firstLine="540" w:firstLineChars="192"/>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第二十条</w:t>
      </w:r>
      <w:r>
        <w:rPr>
          <w:rFonts w:hint="eastAsia" w:ascii="仿宋" w:hAnsi="仿宋" w:eastAsia="仿宋" w:cs="仿宋"/>
          <w:color w:val="auto"/>
          <w:sz w:val="28"/>
          <w:szCs w:val="28"/>
          <w:highlight w:val="none"/>
        </w:rPr>
        <w:t xml:space="preserve">  本合同履行期间，如遇不可抗力，致使合同无法履行时，双方均不承担违约责任并按有关法规政策规定及时协商处理。</w:t>
      </w:r>
    </w:p>
    <w:p>
      <w:pPr>
        <w:ind w:firstLine="540" w:firstLineChars="192"/>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第二十</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条</w:t>
      </w:r>
      <w:r>
        <w:rPr>
          <w:rFonts w:hint="eastAsia" w:ascii="仿宋" w:hAnsi="仿宋" w:eastAsia="仿宋" w:cs="仿宋"/>
          <w:color w:val="auto"/>
          <w:sz w:val="28"/>
          <w:szCs w:val="28"/>
          <w:highlight w:val="none"/>
        </w:rPr>
        <w:t xml:space="preserve">  本合同在履行中如发生争议，双方应协商解决，协商不成时，可向合同签订地提起诉讼解决。</w:t>
      </w:r>
    </w:p>
    <w:p>
      <w:pPr>
        <w:ind w:firstLine="540" w:firstLineChars="19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第二十</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 xml:space="preserve">条  </w:t>
      </w:r>
      <w:r>
        <w:rPr>
          <w:rFonts w:hint="eastAsia" w:ascii="仿宋" w:hAnsi="仿宋" w:eastAsia="仿宋" w:cs="仿宋"/>
          <w:color w:val="auto"/>
          <w:sz w:val="28"/>
          <w:szCs w:val="28"/>
          <w:highlight w:val="none"/>
        </w:rPr>
        <w:t>本合同未尽事宜，双方协商解决。</w:t>
      </w:r>
    </w:p>
    <w:p>
      <w:pPr>
        <w:ind w:firstLine="540" w:firstLineChars="19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第二十</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条  合同文本及生效</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份，甲乙双方各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2、本合同经各方法定代表人签字或单位盖章或各方委托代理人签字成立生效。</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3、合同内容如遇国家法律、法规及政策另有规定的，从其规定。</w:t>
      </w:r>
    </w:p>
    <w:p>
      <w:pPr>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pPr>
        <w:pStyle w:val="2"/>
        <w:rPr>
          <w:rFonts w:hint="eastAsia" w:ascii="仿宋" w:hAnsi="仿宋" w:eastAsia="仿宋" w:cs="仿宋"/>
          <w:color w:val="auto"/>
          <w:sz w:val="28"/>
          <w:szCs w:val="28"/>
          <w:highlight w:val="none"/>
        </w:rPr>
      </w:pPr>
    </w:p>
    <w:p>
      <w:pPr>
        <w:jc w:val="left"/>
        <w:rPr>
          <w:rFonts w:hint="eastAsia" w:ascii="仿宋" w:hAnsi="仿宋" w:eastAsia="仿宋" w:cs="仿宋"/>
          <w:color w:val="auto"/>
          <w:sz w:val="28"/>
          <w:szCs w:val="28"/>
          <w:highlight w:val="none"/>
        </w:rPr>
      </w:pPr>
    </w:p>
    <w:p>
      <w:pPr>
        <w:pStyle w:val="2"/>
        <w:rPr>
          <w:rFonts w:hint="eastAsia" w:ascii="仿宋" w:hAnsi="仿宋" w:eastAsia="仿宋" w:cs="仿宋"/>
          <w:color w:val="auto"/>
          <w:sz w:val="28"/>
          <w:szCs w:val="28"/>
          <w:highlight w:val="none"/>
        </w:rPr>
        <w:sectPr>
          <w:pgSz w:w="11850" w:h="16783"/>
          <w:pgMar w:top="1440" w:right="1800" w:bottom="1440" w:left="1800" w:header="851" w:footer="992" w:gutter="0"/>
          <w:cols w:space="720" w:num="1"/>
          <w:docGrid w:type="lines" w:linePitch="319" w:charSpace="0"/>
        </w:sectPr>
      </w:pPr>
    </w:p>
    <w:p>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合同签订时间：             年  月   日</w:t>
      </w:r>
    </w:p>
    <w:p>
      <w:pPr>
        <w:pStyle w:val="2"/>
        <w:rPr>
          <w:rFonts w:hint="eastAsia" w:ascii="仿宋" w:hAnsi="仿宋" w:eastAsia="仿宋" w:cs="仿宋"/>
          <w:color w:val="auto"/>
          <w:sz w:val="28"/>
          <w:szCs w:val="28"/>
          <w:highlight w:val="none"/>
        </w:rPr>
      </w:pPr>
    </w:p>
    <w:tbl>
      <w:tblPr>
        <w:tblStyle w:val="44"/>
        <w:tblW w:w="5000" w:type="pct"/>
        <w:tblInd w:w="0" w:type="dxa"/>
        <w:tblLayout w:type="autofit"/>
        <w:tblCellMar>
          <w:top w:w="0" w:type="dxa"/>
          <w:left w:w="108" w:type="dxa"/>
          <w:bottom w:w="0" w:type="dxa"/>
          <w:right w:w="108" w:type="dxa"/>
        </w:tblCellMar>
      </w:tblPr>
      <w:tblGrid>
        <w:gridCol w:w="4261"/>
        <w:gridCol w:w="4262"/>
      </w:tblGrid>
      <w:tr>
        <w:tblPrEx>
          <w:tblCellMar>
            <w:top w:w="0" w:type="dxa"/>
            <w:left w:w="108" w:type="dxa"/>
            <w:bottom w:w="0" w:type="dxa"/>
            <w:right w:w="108" w:type="dxa"/>
          </w:tblCellMar>
        </w:tblPrEx>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甲方（盖章）：</w:t>
            </w:r>
          </w:p>
        </w:tc>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乙方（盖章）：</w:t>
            </w:r>
          </w:p>
        </w:tc>
      </w:tr>
      <w:tr>
        <w:tblPrEx>
          <w:tblCellMar>
            <w:top w:w="0" w:type="dxa"/>
            <w:left w:w="108" w:type="dxa"/>
            <w:bottom w:w="0" w:type="dxa"/>
            <w:right w:w="108" w:type="dxa"/>
          </w:tblCellMar>
        </w:tblPrEx>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w:t>
            </w:r>
          </w:p>
        </w:tc>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w:t>
            </w:r>
          </w:p>
        </w:tc>
      </w:tr>
      <w:tr>
        <w:tblPrEx>
          <w:tblCellMar>
            <w:top w:w="0" w:type="dxa"/>
            <w:left w:w="108" w:type="dxa"/>
            <w:bottom w:w="0" w:type="dxa"/>
            <w:right w:w="108" w:type="dxa"/>
          </w:tblCellMar>
        </w:tblPrEx>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或受委托人（签字）：</w:t>
            </w:r>
          </w:p>
        </w:tc>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或受委托人（签字）：</w:t>
            </w:r>
          </w:p>
        </w:tc>
      </w:tr>
      <w:tr>
        <w:tblPrEx>
          <w:tblCellMar>
            <w:top w:w="0" w:type="dxa"/>
            <w:left w:w="108" w:type="dxa"/>
            <w:bottom w:w="0" w:type="dxa"/>
            <w:right w:w="108" w:type="dxa"/>
          </w:tblCellMar>
        </w:tblPrEx>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r>
      <w:tr>
        <w:tblPrEx>
          <w:tblCellMar>
            <w:top w:w="0" w:type="dxa"/>
            <w:left w:w="108" w:type="dxa"/>
            <w:bottom w:w="0" w:type="dxa"/>
            <w:right w:w="108" w:type="dxa"/>
          </w:tblCellMar>
        </w:tblPrEx>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tc>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tc>
      </w:tr>
      <w:tr>
        <w:tblPrEx>
          <w:tblCellMar>
            <w:top w:w="0" w:type="dxa"/>
            <w:left w:w="108" w:type="dxa"/>
            <w:bottom w:w="0" w:type="dxa"/>
            <w:right w:w="108" w:type="dxa"/>
          </w:tblCellMar>
        </w:tblPrEx>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w:t>
            </w:r>
          </w:p>
        </w:tc>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w:t>
            </w:r>
          </w:p>
        </w:tc>
      </w:tr>
      <w:tr>
        <w:tblPrEx>
          <w:tblCellMar>
            <w:top w:w="0" w:type="dxa"/>
            <w:left w:w="108" w:type="dxa"/>
            <w:bottom w:w="0" w:type="dxa"/>
            <w:right w:w="108" w:type="dxa"/>
          </w:tblCellMar>
        </w:tblPrEx>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tc>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tc>
      </w:tr>
      <w:tr>
        <w:tblPrEx>
          <w:tblCellMar>
            <w:top w:w="0" w:type="dxa"/>
            <w:left w:w="108" w:type="dxa"/>
            <w:bottom w:w="0" w:type="dxa"/>
            <w:right w:w="108" w:type="dxa"/>
          </w:tblCellMar>
        </w:tblPrEx>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r>
      <w:tr>
        <w:tblPrEx>
          <w:tblCellMar>
            <w:top w:w="0" w:type="dxa"/>
            <w:left w:w="108" w:type="dxa"/>
            <w:bottom w:w="0" w:type="dxa"/>
            <w:right w:w="108" w:type="dxa"/>
          </w:tblCellMar>
        </w:tblPrEx>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p>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订立地点：</w:t>
            </w:r>
          </w:p>
        </w:tc>
        <w:tc>
          <w:tcPr>
            <w:tcW w:w="2500" w:type="pct"/>
            <w:noWrap w:val="0"/>
            <w:vAlign w:val="top"/>
          </w:tcPr>
          <w:p>
            <w:pPr>
              <w:tabs>
                <w:tab w:val="left" w:pos="7665"/>
              </w:tabs>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p>
        </w:tc>
      </w:tr>
    </w:tbl>
    <w:p>
      <w:pPr>
        <w:tabs>
          <w:tab w:val="left" w:pos="7665"/>
        </w:tabs>
        <w:spacing w:line="360" w:lineRule="auto"/>
        <w:ind w:firstLine="560" w:firstLineChars="200"/>
        <w:rPr>
          <w:rFonts w:hint="eastAsia" w:ascii="仿宋" w:hAnsi="仿宋" w:eastAsia="仿宋" w:cs="仿宋"/>
          <w:color w:val="auto"/>
          <w:sz w:val="28"/>
          <w:szCs w:val="28"/>
          <w:highlight w:val="none"/>
        </w:rPr>
        <w:sectPr>
          <w:pgSz w:w="11907" w:h="16840"/>
          <w:pgMar w:top="1440" w:right="1800" w:bottom="1440" w:left="1800" w:header="851" w:footer="992" w:gutter="0"/>
          <w:cols w:space="720" w:num="1"/>
          <w:docGrid w:linePitch="462" w:charSpace="0"/>
        </w:sectPr>
      </w:pPr>
      <w:r>
        <w:rPr>
          <w:rFonts w:hint="eastAsia" w:ascii="仿宋" w:hAnsi="仿宋" w:eastAsia="仿宋" w:cs="仿宋"/>
          <w:color w:val="auto"/>
          <w:sz w:val="28"/>
          <w:szCs w:val="28"/>
          <w:highlight w:val="none"/>
        </w:rPr>
        <w:t>（合同书以最终签订版本为准）</w:t>
      </w:r>
    </w:p>
    <w:bookmarkEnd w:id="85"/>
    <w:bookmarkEnd w:id="86"/>
    <w:bookmarkEnd w:id="87"/>
    <w:bookmarkEnd w:id="88"/>
    <w:p>
      <w:pPr>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lang w:eastAsia="zh-CN"/>
        </w:rPr>
        <w:t>章</w:t>
      </w:r>
      <w:r>
        <w:rPr>
          <w:rFonts w:hint="eastAsia" w:ascii="仿宋" w:hAnsi="仿宋" w:eastAsia="仿宋" w:cs="仿宋"/>
          <w:b/>
          <w:color w:val="auto"/>
          <w:sz w:val="32"/>
          <w:szCs w:val="32"/>
          <w:highlight w:val="none"/>
        </w:rPr>
        <w:t xml:space="preserve">  投标文件内容及格式</w:t>
      </w:r>
    </w:p>
    <w:p>
      <w:pPr>
        <w:pStyle w:val="3"/>
        <w:numPr>
          <w:ilvl w:val="0"/>
          <w:numId w:val="0"/>
        </w:numPr>
        <w:ind w:leftChars="0"/>
        <w:jc w:val="right"/>
        <w:rPr>
          <w:rFonts w:hint="eastAsia" w:ascii="仿宋" w:hAnsi="仿宋" w:eastAsia="仿宋" w:cs="仿宋"/>
        </w:rPr>
      </w:pPr>
      <w:r>
        <w:rPr>
          <w:rFonts w:hint="eastAsia" w:ascii="仿宋" w:hAnsi="仿宋" w:eastAsia="仿宋" w:cs="仿宋"/>
          <w:color w:val="auto"/>
          <w:sz w:val="28"/>
          <w:szCs w:val="28"/>
          <w:highlight w:val="none"/>
        </w:rPr>
        <w:t xml:space="preserve">                     </w:t>
      </w:r>
      <w:r>
        <w:rPr>
          <w:rFonts w:hint="eastAsia" w:ascii="仿宋" w:hAnsi="仿宋" w:eastAsia="仿宋" w:cs="仿宋"/>
          <w:lang w:val="en-US" w:eastAsia="zh-CN"/>
        </w:rPr>
        <w:t>正/副本</w:t>
      </w:r>
      <w:r>
        <w:rPr>
          <w:rFonts w:hint="eastAsia" w:ascii="仿宋" w:hAnsi="仿宋" w:eastAsia="仿宋" w:cs="仿宋"/>
        </w:rPr>
        <w:t xml:space="preserve">                                                                        </w:t>
      </w:r>
    </w:p>
    <w:p>
      <w:pPr>
        <w:rPr>
          <w:rFonts w:hint="eastAsia" w:ascii="仿宋" w:hAnsi="仿宋" w:eastAsia="仿宋" w:cs="仿宋"/>
        </w:rPr>
      </w:pPr>
    </w:p>
    <w:p>
      <w:pPr>
        <w:rPr>
          <w:rFonts w:hint="eastAsia" w:ascii="仿宋" w:hAnsi="仿宋" w:eastAsia="仿宋" w:cs="仿宋"/>
        </w:rPr>
      </w:pPr>
    </w:p>
    <w:p>
      <w:pPr>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（项目名称）</w:t>
      </w:r>
    </w:p>
    <w:p>
      <w:pPr>
        <w:rPr>
          <w:rFonts w:hint="eastAsia" w:ascii="仿宋" w:hAnsi="仿宋" w:eastAsia="仿宋" w:cs="仿宋"/>
          <w:sz w:val="24"/>
        </w:rPr>
      </w:pPr>
    </w:p>
    <w:p>
      <w:pPr>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val="en-US" w:eastAsia="zh-CN"/>
        </w:rPr>
        <w:t>项目</w:t>
      </w:r>
      <w:r>
        <w:rPr>
          <w:rFonts w:hint="eastAsia" w:ascii="仿宋" w:hAnsi="仿宋" w:eastAsia="仿宋" w:cs="仿宋"/>
          <w:sz w:val="24"/>
        </w:rPr>
        <w:t>编号：</w:t>
      </w:r>
      <w:r>
        <w:rPr>
          <w:rFonts w:hint="eastAsia" w:ascii="仿宋" w:hAnsi="仿宋" w:eastAsia="仿宋" w:cs="仿宋"/>
          <w:sz w:val="24"/>
          <w:u w:val="single"/>
        </w:rPr>
        <w:t xml:space="preserve">                               </w:t>
      </w:r>
    </w:p>
    <w:p>
      <w:pPr>
        <w:rPr>
          <w:rFonts w:hint="eastAsia" w:ascii="仿宋" w:hAnsi="仿宋" w:eastAsia="仿宋" w:cs="仿宋"/>
          <w:sz w:val="24"/>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28"/>
          <w:szCs w:val="28"/>
        </w:rPr>
      </w:pPr>
    </w:p>
    <w:p>
      <w:pPr>
        <w:jc w:val="center"/>
        <w:rPr>
          <w:rFonts w:hint="eastAsia" w:ascii="仿宋" w:hAnsi="仿宋" w:eastAsia="仿宋" w:cs="仿宋"/>
          <w:b/>
          <w:sz w:val="36"/>
          <w:szCs w:val="36"/>
        </w:rPr>
      </w:pPr>
      <w:r>
        <w:rPr>
          <w:rFonts w:hint="eastAsia" w:ascii="仿宋" w:hAnsi="仿宋" w:eastAsia="仿宋" w:cs="仿宋"/>
          <w:b/>
          <w:sz w:val="36"/>
          <w:szCs w:val="36"/>
        </w:rPr>
        <w:t>投  标  文  件</w:t>
      </w: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sz w:val="24"/>
        </w:rPr>
      </w:pPr>
      <w:r>
        <w:rPr>
          <w:rFonts w:hint="eastAsia" w:ascii="仿宋" w:hAnsi="仿宋" w:eastAsia="仿宋" w:cs="仿宋"/>
          <w:b/>
        </w:rPr>
        <w:t xml:space="preserve">       </w:t>
      </w:r>
      <w:r>
        <w:rPr>
          <w:rFonts w:hint="eastAsia" w:ascii="仿宋" w:hAnsi="仿宋" w:eastAsia="仿宋" w:cs="仿宋"/>
          <w:b/>
          <w:sz w:val="24"/>
        </w:rPr>
        <w:t xml:space="preserve">  </w:t>
      </w: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（单位公章）</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年      月      日</w:t>
      </w:r>
    </w:p>
    <w:p>
      <w:pPr>
        <w:jc w:val="left"/>
        <w:rPr>
          <w:rFonts w:hint="eastAsia" w:ascii="仿宋" w:hAnsi="仿宋" w:eastAsia="仿宋" w:cs="仿宋"/>
          <w:sz w:val="24"/>
        </w:rPr>
      </w:pPr>
      <w:r>
        <w:rPr>
          <w:rFonts w:hint="eastAsia" w:ascii="仿宋" w:hAnsi="仿宋" w:eastAsia="仿宋" w:cs="仿宋"/>
        </w:rPr>
        <w:br w:type="page"/>
      </w:r>
    </w:p>
    <w:p>
      <w:pPr>
        <w:jc w:val="center"/>
        <w:rPr>
          <w:rFonts w:hint="eastAsia" w:ascii="仿宋" w:hAnsi="仿宋" w:eastAsia="仿宋" w:cs="仿宋"/>
          <w:b/>
          <w:bCs/>
          <w:sz w:val="28"/>
          <w:szCs w:val="28"/>
        </w:rPr>
      </w:pPr>
      <w:r>
        <w:rPr>
          <w:rFonts w:hint="eastAsia" w:ascii="仿宋" w:hAnsi="仿宋" w:eastAsia="仿宋" w:cs="仿宋"/>
          <w:b/>
          <w:bCs/>
          <w:sz w:val="28"/>
          <w:szCs w:val="28"/>
        </w:rPr>
        <w:t>目   录</w:t>
      </w:r>
      <w:bookmarkStart w:id="89" w:name="_Toc8540"/>
      <w:bookmarkStart w:id="90" w:name="_Toc19403"/>
      <w:bookmarkStart w:id="91" w:name="_Toc17339"/>
      <w:bookmarkStart w:id="92" w:name="_Toc23287"/>
      <w:bookmarkStart w:id="93" w:name="_Toc22085"/>
    </w:p>
    <w:p>
      <w:pPr>
        <w:jc w:val="center"/>
        <w:rPr>
          <w:rFonts w:hint="eastAsia" w:ascii="仿宋" w:hAnsi="仿宋" w:eastAsia="仿宋" w:cs="仿宋"/>
          <w:b/>
          <w:bCs/>
          <w:sz w:val="28"/>
          <w:szCs w:val="28"/>
          <w:lang w:eastAsia="zh-CN"/>
        </w:rPr>
      </w:pPr>
      <w:bookmarkStart w:id="137" w:name="_GoBack"/>
      <w:bookmarkEnd w:id="137"/>
      <w:r>
        <w:rPr>
          <w:rFonts w:hint="eastAsia" w:ascii="仿宋" w:hAnsi="仿宋" w:eastAsia="仿宋" w:cs="仿宋"/>
          <w:b/>
          <w:bCs/>
          <w:sz w:val="28"/>
          <w:szCs w:val="28"/>
          <w:lang w:eastAsia="zh-CN"/>
        </w:rPr>
        <w:t>投标人自行编制并注明页码</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pPr>
        <w:numPr>
          <w:ilvl w:val="0"/>
          <w:numId w:val="0"/>
        </w:numPr>
        <w:jc w:val="center"/>
        <w:rPr>
          <w:rFonts w:hint="eastAsia" w:ascii="仿宋" w:hAnsi="仿宋" w:eastAsia="仿宋" w:cs="仿宋"/>
          <w:b/>
          <w:bCs/>
          <w:lang w:eastAsia="zh-CN"/>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 xml:space="preserve">投 标 </w:t>
      </w:r>
      <w:bookmarkEnd w:id="89"/>
      <w:bookmarkEnd w:id="90"/>
      <w:bookmarkEnd w:id="91"/>
      <w:bookmarkEnd w:id="92"/>
      <w:r>
        <w:rPr>
          <w:rFonts w:hint="eastAsia" w:ascii="仿宋" w:hAnsi="仿宋" w:eastAsia="仿宋" w:cs="仿宋"/>
          <w:b/>
          <w:bCs/>
          <w:sz w:val="28"/>
          <w:szCs w:val="28"/>
          <w:lang w:val="en-US" w:eastAsia="zh-CN"/>
        </w:rPr>
        <w:t>函</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收到你们的</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招标文件，经认真研究，我们决定参加投标。</w:t>
      </w:r>
    </w:p>
    <w:p>
      <w:pPr>
        <w:numPr>
          <w:ilvl w:val="0"/>
          <w:numId w:val="13"/>
        </w:numPr>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按照招标文件中的一切要求，提供招标的</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开具发票和相关售后等服务</w:t>
      </w:r>
      <w:r>
        <w:rPr>
          <w:rFonts w:hint="eastAsia" w:ascii="仿宋" w:hAnsi="仿宋" w:eastAsia="仿宋" w:cs="仿宋"/>
          <w:color w:val="auto"/>
          <w:sz w:val="24"/>
          <w:szCs w:val="24"/>
          <w:highlight w:val="none"/>
        </w:rPr>
        <w:t>。总价为￥：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元（用阿拉伯数字书写）人民币大写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，明细见投标报价表。</w:t>
      </w:r>
    </w:p>
    <w:p>
      <w:pPr>
        <w:numPr>
          <w:ilvl w:val="0"/>
          <w:numId w:val="13"/>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如果我们的投标书被接受，我们将履行招标文件中规定的每一项义务和要求，按期、按质、完成交货。</w:t>
      </w:r>
    </w:p>
    <w:p>
      <w:pPr>
        <w:numPr>
          <w:ilvl w:val="0"/>
          <w:numId w:val="13"/>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我们同意按招标文件的规定，本标书的有效期为开标后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天。</w:t>
      </w:r>
    </w:p>
    <w:p>
      <w:pPr>
        <w:numPr>
          <w:ilvl w:val="0"/>
          <w:numId w:val="13"/>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我们愿意提供招标人在招标文件中要求的所有资料。</w:t>
      </w:r>
    </w:p>
    <w:p>
      <w:pPr>
        <w:numPr>
          <w:ilvl w:val="0"/>
          <w:numId w:val="13"/>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我们认为你们有选择或拒绝任何投标者中标的权利。我们理解，最低报价不是中标的唯一条件。</w:t>
      </w:r>
    </w:p>
    <w:p>
      <w:pPr>
        <w:numPr>
          <w:ilvl w:val="0"/>
          <w:numId w:val="13"/>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我们愿意按合同履行自己的全部责任。</w:t>
      </w:r>
    </w:p>
    <w:p>
      <w:pPr>
        <w:numPr>
          <w:ilvl w:val="0"/>
          <w:numId w:val="0"/>
        </w:numPr>
        <w:spacing w:line="440" w:lineRule="exact"/>
        <w:ind w:left="48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该项投标在开标后全过程中保持有效，不做任何更改和变动。</w:t>
      </w:r>
    </w:p>
    <w:p>
      <w:pPr>
        <w:numPr>
          <w:ilvl w:val="0"/>
          <w:numId w:val="0"/>
        </w:numPr>
        <w:spacing w:line="440" w:lineRule="exact"/>
        <w:ind w:left="48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我们同意按招标文件规定，缴纳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元投标保证金。</w:t>
      </w:r>
    </w:p>
    <w:p>
      <w:pPr>
        <w:spacing w:line="440" w:lineRule="exact"/>
        <w:ind w:left="721" w:leftChars="229"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我们保证投标文件中的所有证件和内容真实有效，否则我们愿意承担一切法律责任。</w:t>
      </w:r>
    </w:p>
    <w:p>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11、其他说明。</w:t>
      </w:r>
    </w:p>
    <w:p>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12、所有有关本标书的函电，请按下列地址联系：</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投标单位(盖章) ：                       </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法定代表人或其授权委托人（签字或盖章）：</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电话：</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电报挂号：</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传真：</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邮政编码：</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联系人：</w:t>
      </w:r>
    </w:p>
    <w:p>
      <w:pPr>
        <w:spacing w:line="440" w:lineRule="exact"/>
        <w:ind w:firstLine="480"/>
        <w:rPr>
          <w:rFonts w:hint="eastAsia" w:ascii="仿宋" w:hAnsi="仿宋" w:eastAsia="仿宋" w:cs="仿宋"/>
          <w:sz w:val="24"/>
          <w:szCs w:val="22"/>
        </w:rPr>
      </w:pPr>
      <w:r>
        <w:rPr>
          <w:rFonts w:hint="eastAsia" w:ascii="仿宋" w:hAnsi="仿宋" w:eastAsia="仿宋" w:cs="仿宋"/>
          <w:sz w:val="24"/>
          <w:szCs w:val="22"/>
        </w:rPr>
        <w:t>年     月     日</w:t>
      </w:r>
    </w:p>
    <w:p>
      <w:pPr>
        <w:spacing w:line="440" w:lineRule="exact"/>
        <w:rPr>
          <w:rFonts w:hint="eastAsia" w:ascii="仿宋" w:hAnsi="仿宋" w:eastAsia="仿宋" w:cs="仿宋"/>
          <w:b/>
          <w:bCs/>
          <w:color w:val="000000"/>
          <w:sz w:val="30"/>
          <w:szCs w:val="30"/>
        </w:rPr>
      </w:pPr>
    </w:p>
    <w:p>
      <w:pPr>
        <w:spacing w:line="440" w:lineRule="exact"/>
        <w:ind w:firstLine="480"/>
        <w:jc w:val="center"/>
        <w:rPr>
          <w:rFonts w:hint="eastAsia" w:ascii="仿宋" w:hAnsi="仿宋" w:eastAsia="仿宋" w:cs="仿宋"/>
          <w:b/>
          <w:bCs/>
          <w:color w:val="000000"/>
          <w:sz w:val="30"/>
          <w:szCs w:val="30"/>
          <w:lang w:val="en-US" w:eastAsia="zh-CN"/>
        </w:rPr>
      </w:pPr>
    </w:p>
    <w:p>
      <w:pPr>
        <w:spacing w:line="440" w:lineRule="exact"/>
        <w:ind w:firstLine="480"/>
        <w:jc w:val="center"/>
        <w:rPr>
          <w:rFonts w:hint="eastAsia" w:ascii="仿宋" w:hAnsi="仿宋" w:eastAsia="仿宋" w:cs="仿宋"/>
          <w:b/>
          <w:bCs/>
          <w:color w:val="000000"/>
          <w:sz w:val="30"/>
          <w:szCs w:val="30"/>
          <w:lang w:val="en-US" w:eastAsia="zh-CN"/>
        </w:rPr>
      </w:pPr>
    </w:p>
    <w:p>
      <w:pPr>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br w:type="page"/>
      </w:r>
    </w:p>
    <w:p>
      <w:pPr>
        <w:spacing w:line="440" w:lineRule="exact"/>
        <w:ind w:firstLine="480"/>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w:t>
      </w:r>
      <w:r>
        <w:rPr>
          <w:rFonts w:hint="eastAsia" w:ascii="仿宋" w:hAnsi="仿宋" w:eastAsia="仿宋" w:cs="仿宋"/>
          <w:b/>
          <w:bCs/>
          <w:color w:val="000000"/>
          <w:sz w:val="30"/>
          <w:szCs w:val="30"/>
        </w:rPr>
        <w:t>投标文件真实性和不存在限制投标情形的声明</w:t>
      </w:r>
    </w:p>
    <w:p>
      <w:pPr>
        <w:spacing w:line="200" w:lineRule="exact"/>
        <w:rPr>
          <w:rFonts w:hint="eastAsia" w:ascii="仿宋" w:hAnsi="仿宋" w:eastAsia="仿宋" w:cs="仿宋"/>
          <w:color w:val="000000"/>
        </w:rPr>
      </w:pPr>
    </w:p>
    <w:p>
      <w:pPr>
        <w:spacing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和田地区行政服务和公共资源交易中心</w:t>
      </w:r>
      <w:r>
        <w:rPr>
          <w:rFonts w:hint="eastAsia" w:ascii="仿宋" w:hAnsi="仿宋" w:eastAsia="仿宋" w:cs="仿宋"/>
          <w:color w:val="000000"/>
          <w:sz w:val="24"/>
          <w:szCs w:val="24"/>
        </w:rPr>
        <w:t>：</w:t>
      </w:r>
    </w:p>
    <w:p>
      <w:pPr>
        <w:spacing w:line="48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我方在此声明，所递交的（项目名称）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（项目编号）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的投标文件（包括有关资料、澄清）真实可信，不存在虚假（包括隐瞒）。我方近三年来在经营活动中没有重大违法记录。</w:t>
      </w:r>
    </w:p>
    <w:p>
      <w:pPr>
        <w:spacing w:line="48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我方承诺，如存在虚假投标行为，我方自愿承担</w:t>
      </w:r>
      <w:r>
        <w:rPr>
          <w:rFonts w:hint="eastAsia" w:ascii="仿宋" w:hAnsi="仿宋" w:eastAsia="仿宋" w:cs="仿宋"/>
          <w:color w:val="000000"/>
          <w:sz w:val="24"/>
          <w:szCs w:val="24"/>
          <w:lang w:val="en-US" w:eastAsia="zh-CN"/>
        </w:rPr>
        <w:t>一切法律</w:t>
      </w:r>
      <w:r>
        <w:rPr>
          <w:rFonts w:hint="eastAsia" w:ascii="仿宋" w:hAnsi="仿宋" w:eastAsia="仿宋" w:cs="仿宋"/>
          <w:color w:val="000000"/>
          <w:sz w:val="24"/>
          <w:szCs w:val="24"/>
        </w:rPr>
        <w:t>责任。</w:t>
      </w:r>
    </w:p>
    <w:p>
      <w:pPr>
        <w:rPr>
          <w:rFonts w:hint="eastAsia" w:ascii="仿宋" w:hAnsi="仿宋" w:eastAsia="仿宋" w:cs="仿宋"/>
          <w:sz w:val="24"/>
          <w:szCs w:val="24"/>
        </w:rPr>
      </w:pPr>
    </w:p>
    <w:p>
      <w:pPr>
        <w:pStyle w:val="42"/>
        <w:rPr>
          <w:rFonts w:hint="eastAsia" w:ascii="仿宋" w:hAnsi="仿宋" w:eastAsia="仿宋" w:cs="仿宋"/>
          <w:sz w:val="24"/>
          <w:szCs w:val="24"/>
        </w:rPr>
      </w:pPr>
    </w:p>
    <w:p>
      <w:pPr>
        <w:pStyle w:val="42"/>
        <w:rPr>
          <w:rFonts w:hint="eastAsia" w:ascii="仿宋" w:hAnsi="仿宋" w:eastAsia="仿宋" w:cs="仿宋"/>
          <w:sz w:val="24"/>
          <w:szCs w:val="24"/>
        </w:rPr>
      </w:pPr>
    </w:p>
    <w:p>
      <w:pPr>
        <w:pStyle w:val="42"/>
        <w:rPr>
          <w:rFonts w:hint="eastAsia" w:ascii="仿宋" w:hAnsi="仿宋" w:eastAsia="仿宋" w:cs="仿宋"/>
          <w:sz w:val="24"/>
          <w:szCs w:val="24"/>
        </w:rPr>
      </w:pPr>
    </w:p>
    <w:p>
      <w:pPr>
        <w:pStyle w:val="42"/>
        <w:rPr>
          <w:rFonts w:hint="eastAsia" w:ascii="仿宋" w:hAnsi="仿宋" w:eastAsia="仿宋" w:cs="仿宋"/>
          <w:sz w:val="24"/>
          <w:szCs w:val="24"/>
        </w:rPr>
      </w:pPr>
    </w:p>
    <w:p>
      <w:pPr>
        <w:pStyle w:val="42"/>
        <w:rPr>
          <w:rFonts w:hint="eastAsia" w:ascii="仿宋" w:hAnsi="仿宋" w:eastAsia="仿宋" w:cs="仿宋"/>
          <w:sz w:val="24"/>
          <w:szCs w:val="24"/>
        </w:rPr>
      </w:pPr>
    </w:p>
    <w:p>
      <w:pPr>
        <w:pStyle w:val="42"/>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投标单位：（单位公章）</w:t>
      </w:r>
    </w:p>
    <w:p>
      <w:pPr>
        <w:spacing w:line="360" w:lineRule="auto"/>
        <w:rPr>
          <w:rFonts w:hint="eastAsia" w:ascii="仿宋" w:hAnsi="仿宋" w:eastAsia="仿宋" w:cs="仿宋"/>
          <w:sz w:val="24"/>
          <w:szCs w:val="24"/>
        </w:rPr>
      </w:pP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投标单位法定代表人或其授权委托人（签字或盖章）：</w:t>
      </w:r>
    </w:p>
    <w:p>
      <w:pPr>
        <w:spacing w:line="360" w:lineRule="auto"/>
        <w:ind w:firstLine="3360" w:firstLineChars="14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年   月   日</w:t>
      </w:r>
      <w:bookmarkStart w:id="94" w:name="_Toc2775"/>
      <w:bookmarkStart w:id="95" w:name="_Toc7164"/>
      <w:bookmarkStart w:id="96" w:name="_Toc21652"/>
      <w:bookmarkStart w:id="97" w:name="_Toc21183"/>
      <w:bookmarkStart w:id="98" w:name="_Toc22822"/>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sz w:val="24"/>
        </w:rPr>
      </w:pPr>
    </w:p>
    <w:p>
      <w:pPr>
        <w:spacing w:line="440" w:lineRule="exact"/>
        <w:ind w:firstLine="480"/>
        <w:jc w:val="center"/>
        <w:rPr>
          <w:rFonts w:hint="eastAsia" w:ascii="仿宋" w:hAnsi="仿宋" w:eastAsia="仿宋" w:cs="仿宋"/>
          <w:b/>
          <w:bCs/>
          <w:color w:val="000000"/>
          <w:sz w:val="30"/>
          <w:szCs w:val="30"/>
          <w:lang w:val="en-US" w:eastAsia="zh-CN"/>
        </w:rPr>
      </w:pPr>
    </w:p>
    <w:p>
      <w:pPr>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br w:type="page"/>
      </w:r>
    </w:p>
    <w:p>
      <w:pPr>
        <w:pStyle w:val="6"/>
        <w:rPr>
          <w:rFonts w:hint="eastAsia" w:ascii="仿宋" w:hAnsi="仿宋" w:eastAsia="仿宋" w:cs="仿宋"/>
          <w:lang w:val="en-US" w:eastAsia="zh-CN"/>
        </w:rPr>
      </w:pPr>
    </w:p>
    <w:p>
      <w:pPr>
        <w:spacing w:line="440" w:lineRule="exact"/>
        <w:ind w:firstLine="480"/>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三、开标</w:t>
      </w:r>
      <w:r>
        <w:rPr>
          <w:rFonts w:hint="eastAsia" w:ascii="仿宋" w:hAnsi="仿宋" w:eastAsia="仿宋" w:cs="仿宋"/>
          <w:b/>
          <w:bCs/>
          <w:color w:val="000000"/>
          <w:sz w:val="30"/>
          <w:szCs w:val="30"/>
        </w:rPr>
        <w:t>一览表</w:t>
      </w:r>
      <w:bookmarkEnd w:id="94"/>
      <w:bookmarkEnd w:id="95"/>
      <w:bookmarkEnd w:id="96"/>
      <w:bookmarkEnd w:id="97"/>
      <w:bookmarkEnd w:id="98"/>
    </w:p>
    <w:p>
      <w:pPr>
        <w:spacing w:line="400" w:lineRule="exact"/>
        <w:rPr>
          <w:rFonts w:hint="eastAsia" w:ascii="仿宋" w:hAnsi="仿宋" w:eastAsia="仿宋" w:cs="仿宋"/>
          <w:sz w:val="24"/>
        </w:rPr>
      </w:pPr>
      <w:r>
        <w:rPr>
          <w:rFonts w:hint="eastAsia" w:ascii="仿宋" w:hAnsi="仿宋" w:eastAsia="仿宋" w:cs="仿宋"/>
          <w:sz w:val="24"/>
        </w:rPr>
        <w:t>项目名称：</w:t>
      </w:r>
    </w:p>
    <w:p>
      <w:pPr>
        <w:rPr>
          <w:rFonts w:hint="eastAsia" w:ascii="仿宋" w:hAnsi="仿宋" w:eastAsia="仿宋" w:cs="仿宋"/>
          <w:sz w:val="24"/>
        </w:rPr>
      </w:pPr>
      <w:r>
        <w:rPr>
          <w:rFonts w:hint="eastAsia" w:ascii="仿宋" w:hAnsi="仿宋" w:eastAsia="仿宋" w:cs="仿宋"/>
          <w:sz w:val="24"/>
        </w:rPr>
        <w:t>项目编号：</w:t>
      </w:r>
    </w:p>
    <w:p>
      <w:pPr>
        <w:rPr>
          <w:rFonts w:hint="eastAsia" w:ascii="仿宋" w:hAnsi="仿宋" w:eastAsia="仿宋" w:cs="仿宋"/>
          <w:b/>
          <w:color w:val="000000"/>
          <w:sz w:val="24"/>
          <w:szCs w:val="24"/>
          <w:lang w:eastAsia="zh-CN"/>
        </w:rPr>
      </w:pPr>
      <w:r>
        <w:rPr>
          <w:rFonts w:hint="eastAsia" w:ascii="仿宋" w:hAnsi="仿宋" w:eastAsia="仿宋" w:cs="仿宋"/>
          <w:sz w:val="24"/>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4"/>
        <w:gridCol w:w="1717"/>
        <w:gridCol w:w="5114"/>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114"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序号</w:t>
            </w:r>
          </w:p>
        </w:tc>
        <w:tc>
          <w:tcPr>
            <w:tcW w:w="6831" w:type="dxa"/>
            <w:gridSpan w:val="2"/>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内容</w:t>
            </w:r>
          </w:p>
        </w:tc>
        <w:tc>
          <w:tcPr>
            <w:tcW w:w="1299"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1</w:t>
            </w:r>
          </w:p>
        </w:tc>
        <w:tc>
          <w:tcPr>
            <w:tcW w:w="1717"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rPr>
              <w:t>投标人名称</w:t>
            </w:r>
          </w:p>
        </w:tc>
        <w:tc>
          <w:tcPr>
            <w:tcW w:w="5114"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sz w:val="28"/>
                <w:szCs w:val="28"/>
              </w:rPr>
            </w:pPr>
          </w:p>
        </w:tc>
        <w:tc>
          <w:tcPr>
            <w:tcW w:w="1299"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1114"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2</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rPr>
              <w:t>投标总价（人民币）</w:t>
            </w:r>
          </w:p>
        </w:tc>
        <w:tc>
          <w:tcPr>
            <w:tcW w:w="5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小写：</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rPr>
              <w:t>元</w:t>
            </w:r>
          </w:p>
          <w:p>
            <w:pPr>
              <w:snapToGrid w:val="0"/>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大写：</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rPr>
              <w:t>元</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rPr>
              <w:t>3</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服务期</w:t>
            </w:r>
          </w:p>
        </w:tc>
        <w:tc>
          <w:tcPr>
            <w:tcW w:w="5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2559"/>
              <w:rPr>
                <w:rFonts w:hint="eastAsia" w:ascii="仿宋" w:hAnsi="仿宋" w:eastAsia="仿宋" w:cs="仿宋"/>
                <w:b w:val="0"/>
                <w:bCs/>
                <w:sz w:val="28"/>
                <w:szCs w:val="28"/>
                <w:u w:val="singl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sz w:val="28"/>
                <w:szCs w:val="28"/>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4</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rPr>
              <w:t>其他事项申明</w:t>
            </w:r>
          </w:p>
        </w:tc>
        <w:tc>
          <w:tcPr>
            <w:tcW w:w="5114"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仿宋" w:hAnsi="仿宋" w:eastAsia="仿宋" w:cs="仿宋"/>
                <w:b w:val="0"/>
                <w:bCs/>
                <w:sz w:val="28"/>
                <w:szCs w:val="28"/>
              </w:rPr>
            </w:pPr>
          </w:p>
        </w:tc>
        <w:tc>
          <w:tcPr>
            <w:tcW w:w="129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仿宋" w:hAnsi="仿宋" w:eastAsia="仿宋" w:cs="仿宋"/>
                <w:b w:val="0"/>
                <w:bCs/>
                <w:sz w:val="28"/>
                <w:szCs w:val="28"/>
              </w:rPr>
            </w:pPr>
          </w:p>
        </w:tc>
      </w:tr>
    </w:tbl>
    <w:p>
      <w:pPr>
        <w:rPr>
          <w:rFonts w:hint="eastAsia" w:ascii="仿宋" w:hAnsi="仿宋" w:eastAsia="仿宋" w:cs="仿宋"/>
          <w:b w:val="0"/>
          <w:bCs/>
          <w:color w:val="000000"/>
          <w:sz w:val="24"/>
          <w:szCs w:val="24"/>
          <w:lang w:val="en-US" w:eastAsia="zh-CN"/>
        </w:rPr>
      </w:pPr>
    </w:p>
    <w:p>
      <w:pPr>
        <w:spacing w:line="360" w:lineRule="auto"/>
        <w:ind w:firstLine="480" w:firstLineChars="2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注：1、报价货币为人民币。</w:t>
      </w:r>
    </w:p>
    <w:p>
      <w:pPr>
        <w:numPr>
          <w:ilvl w:val="0"/>
          <w:numId w:val="0"/>
        </w:numPr>
        <w:spacing w:line="360" w:lineRule="auto"/>
        <w:ind w:leftChars="0" w:firstLine="960" w:firstLineChars="4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2、开标一览表中投标总报价大小应写一致，如不一致以大写为准。</w:t>
      </w:r>
    </w:p>
    <w:p>
      <w:pPr>
        <w:spacing w:line="360" w:lineRule="auto"/>
        <w:ind w:firstLine="960" w:firstLineChars="4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3、各投标企业总投标报价不得高于本项目采购预算价，超过本项目采购预算价的视为无效报价，作否决投标处理。</w:t>
      </w:r>
    </w:p>
    <w:p>
      <w:pPr>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投标单位：（单位公章）</w:t>
      </w:r>
    </w:p>
    <w:p>
      <w:pPr>
        <w:spacing w:line="360" w:lineRule="auto"/>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投标单位法定代表人或其授权委托人（签字或盖章）：</w:t>
      </w:r>
    </w:p>
    <w:p>
      <w:pPr>
        <w:spacing w:line="360" w:lineRule="auto"/>
        <w:ind w:firstLine="3360" w:firstLineChars="14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年   月   日</w:t>
      </w:r>
      <w:bookmarkStart w:id="99" w:name="_Toc12987"/>
      <w:bookmarkStart w:id="100" w:name="_Toc4683"/>
      <w:bookmarkStart w:id="101" w:name="_Toc21935"/>
      <w:bookmarkStart w:id="102" w:name="_Toc4570"/>
      <w:bookmarkStart w:id="103" w:name="_Toc32601"/>
    </w:p>
    <w:p>
      <w:pPr>
        <w:spacing w:line="360" w:lineRule="auto"/>
        <w:rPr>
          <w:rFonts w:hint="eastAsia" w:ascii="仿宋" w:hAnsi="仿宋" w:eastAsia="仿宋" w:cs="仿宋"/>
          <w:sz w:val="24"/>
        </w:rPr>
      </w:pPr>
    </w:p>
    <w:p>
      <w:pPr>
        <w:rPr>
          <w:rFonts w:hint="eastAsia" w:ascii="仿宋" w:hAnsi="仿宋" w:eastAsia="仿宋" w:cs="仿宋"/>
          <w:sz w:val="28"/>
          <w:lang w:val="en-US" w:eastAsia="zh-CN"/>
        </w:rPr>
      </w:pPr>
      <w:r>
        <w:rPr>
          <w:rFonts w:hint="eastAsia" w:ascii="仿宋" w:hAnsi="仿宋" w:eastAsia="仿宋" w:cs="仿宋"/>
          <w:sz w:val="28"/>
          <w:lang w:val="en-US" w:eastAsia="zh-CN"/>
        </w:rPr>
        <w:br w:type="page"/>
      </w:r>
    </w:p>
    <w:bookmarkEnd w:id="99"/>
    <w:bookmarkEnd w:id="100"/>
    <w:bookmarkEnd w:id="101"/>
    <w:bookmarkEnd w:id="102"/>
    <w:bookmarkEnd w:id="103"/>
    <w:p>
      <w:pPr>
        <w:jc w:val="center"/>
        <w:rPr>
          <w:rFonts w:hint="eastAsia" w:ascii="仿宋" w:hAnsi="仿宋" w:eastAsia="仿宋" w:cs="仿宋"/>
          <w:color w:val="000000"/>
          <w:kern w:val="0"/>
          <w:sz w:val="28"/>
          <w:szCs w:val="28"/>
        </w:rPr>
      </w:pPr>
      <w:bookmarkStart w:id="104" w:name="_Toc248313661"/>
      <w:bookmarkStart w:id="105" w:name="_Toc329785083"/>
      <w:bookmarkStart w:id="106" w:name="_Toc22433"/>
      <w:bookmarkStart w:id="107" w:name="_Toc19324"/>
      <w:bookmarkStart w:id="108" w:name="_Toc6647"/>
      <w:bookmarkStart w:id="109" w:name="_Toc25282"/>
      <w:r>
        <w:rPr>
          <w:rFonts w:hint="eastAsia" w:ascii="仿宋" w:hAnsi="仿宋" w:eastAsia="仿宋" w:cs="仿宋"/>
          <w:b/>
          <w:bCs/>
          <w:color w:val="000000"/>
          <w:kern w:val="0"/>
          <w:sz w:val="30"/>
          <w:szCs w:val="30"/>
          <w:lang w:val="en-US" w:eastAsia="zh-CN"/>
        </w:rPr>
        <w:t>四</w:t>
      </w:r>
      <w:r>
        <w:rPr>
          <w:rFonts w:hint="eastAsia" w:ascii="仿宋" w:hAnsi="仿宋" w:eastAsia="仿宋" w:cs="仿宋"/>
          <w:b/>
          <w:bCs/>
          <w:color w:val="000000"/>
          <w:kern w:val="0"/>
          <w:sz w:val="30"/>
          <w:szCs w:val="30"/>
        </w:rPr>
        <w:t>、法定代表人身份证明、法定代表人授权委托书</w:t>
      </w:r>
    </w:p>
    <w:p>
      <w:pPr>
        <w:tabs>
          <w:tab w:val="left" w:pos="1813"/>
        </w:tabs>
        <w:autoSpaceDE w:val="0"/>
        <w:autoSpaceDN w:val="0"/>
        <w:adjustRightInd w:val="0"/>
        <w:spacing w:line="60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（一）法定代表人身份证明</w:t>
      </w:r>
    </w:p>
    <w:p>
      <w:pPr>
        <w:tabs>
          <w:tab w:val="left" w:pos="1813"/>
        </w:tabs>
        <w:autoSpaceDE w:val="0"/>
        <w:autoSpaceDN w:val="0"/>
        <w:adjustRightInd w:val="0"/>
        <w:spacing w:line="200" w:lineRule="exact"/>
        <w:rPr>
          <w:rFonts w:hint="eastAsia" w:ascii="仿宋" w:hAnsi="仿宋" w:eastAsia="仿宋" w:cs="仿宋"/>
          <w:color w:val="000000"/>
          <w:kern w:val="0"/>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投标单位</w:t>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投标单位</w:t>
      </w:r>
      <w:r>
        <w:rPr>
          <w:rFonts w:hint="eastAsia" w:ascii="仿宋" w:hAnsi="仿宋" w:eastAsia="仿宋" w:cs="仿宋"/>
          <w:color w:val="auto"/>
          <w:kern w:val="0"/>
          <w:sz w:val="24"/>
          <w:szCs w:val="24"/>
          <w:highlight w:val="none"/>
          <w:u w:val="single"/>
        </w:rPr>
        <w:t xml:space="preserve">名称）        </w:t>
      </w:r>
      <w:r>
        <w:rPr>
          <w:rFonts w:hint="eastAsia" w:ascii="仿宋" w:hAnsi="仿宋" w:eastAsia="仿宋" w:cs="仿宋"/>
          <w:color w:val="auto"/>
          <w:kern w:val="0"/>
          <w:sz w:val="24"/>
          <w:szCs w:val="24"/>
          <w:highlight w:val="none"/>
        </w:rPr>
        <w:t>的法定代表人。</w:t>
      </w:r>
    </w:p>
    <w:p>
      <w:pPr>
        <w:shd w:val="clear" w:color="auto" w:fill="FFFFFF"/>
        <w:snapToGrid w:val="0"/>
        <w:spacing w:line="360" w:lineRule="auto"/>
        <w:ind w:firstLine="960" w:firstLineChars="4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3048635</wp:posOffset>
                </wp:positionH>
                <wp:positionV relativeFrom="paragraph">
                  <wp:posOffset>121285</wp:posOffset>
                </wp:positionV>
                <wp:extent cx="2755265" cy="1774190"/>
                <wp:effectExtent l="5080" t="4445" r="13335" b="19685"/>
                <wp:wrapNone/>
                <wp:docPr id="17" name="矩形 17"/>
                <wp:cNvGraphicFramePr/>
                <a:graphic xmlns:a="http://schemas.openxmlformats.org/drawingml/2006/main">
                  <a:graphicData uri="http://schemas.microsoft.com/office/word/2010/wordprocessingShape">
                    <wps:wsp>
                      <wps:cNvSpPr/>
                      <wps:spPr>
                        <a:xfrm>
                          <a:off x="0" y="0"/>
                          <a:ext cx="2755265" cy="177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wps:txbx>
                      <wps:bodyPr upright="1"/>
                    </wps:wsp>
                  </a:graphicData>
                </a:graphic>
              </wp:anchor>
            </w:drawing>
          </mc:Choice>
          <mc:Fallback>
            <w:pict>
              <v:rect id="_x0000_s1026" o:spid="_x0000_s1026" o:spt="1" style="position:absolute;left:0pt;margin-left:240.05pt;margin-top:9.55pt;height:139.7pt;width:216.95pt;z-index:251660288;mso-width-relative:page;mso-height-relative:page;" fillcolor="#FFFFFF" filled="t" stroked="t" coordsize="21600,21600" o:gfxdata="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xbn+dgAAAAKAQAADwAAAAAAAAABACAAAAAi&#10;AAAAZHJzL2Rvd25yZXYueG1sUEsBAhQAFAAAAAgAh07iQLhPXr4KAgAAOgQAAA4AAAAAAAAAAQAg&#10;AAAAJwEAAGRycy9lMm9Eb2MueG1sUEsFBgAAAAAGAAYAWQEAAKM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182245</wp:posOffset>
                </wp:positionH>
                <wp:positionV relativeFrom="paragraph">
                  <wp:posOffset>123825</wp:posOffset>
                </wp:positionV>
                <wp:extent cx="2713355" cy="1781810"/>
                <wp:effectExtent l="4445" t="4445" r="10160" b="12065"/>
                <wp:wrapNone/>
                <wp:docPr id="10" name="矩形 10"/>
                <wp:cNvGraphicFramePr/>
                <a:graphic xmlns:a="http://schemas.openxmlformats.org/drawingml/2006/main">
                  <a:graphicData uri="http://schemas.microsoft.com/office/word/2010/wordprocessingShape">
                    <wps:wsp>
                      <wps:cNvSpPr/>
                      <wps:spPr>
                        <a:xfrm>
                          <a:off x="0" y="0"/>
                          <a:ext cx="2713355" cy="1781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wps:txbx>
                      <wps:bodyPr upright="1"/>
                    </wps:wsp>
                  </a:graphicData>
                </a:graphic>
              </wp:anchor>
            </w:drawing>
          </mc:Choice>
          <mc:Fallback>
            <w:pict>
              <v:rect id="_x0000_s1026" o:spid="_x0000_s1026" o:spt="1" style="position:absolute;left:0pt;margin-left:14.35pt;margin-top:9.75pt;height:140.3pt;width:213.65pt;z-index:251659264;mso-width-relative:page;mso-height-relative:page;" fillcolor="#FFFFFF" filled="t" stroked="t" coordsize="21600,21600" o:gfxdata="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lmX22AAAAAkBAAAPAAAAAAAAAAEAIAAAACIA&#10;AABkcnMvZG93bnJldi54bWxQSwECFAAUAAAACACHTuJAScwzjwkCAAA6BAAADgAAAAAAAAABACAA&#10;AAAnAQAAZHJzL2Uyb0RvYy54bWxQSwUGAAAAAAYABgBZAQAAogU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v:textbox>
              </v:rect>
            </w:pict>
          </mc:Fallback>
        </mc:AlternateConten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投标单位（公章）：</w:t>
      </w:r>
    </w:p>
    <w:p>
      <w:pPr>
        <w:spacing w:line="360" w:lineRule="auto"/>
        <w:ind w:firstLine="4080" w:firstLineChars="17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投标单位法定代表人或其授权委托人（签字或盖章）：</w:t>
      </w: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年   月   日</w:t>
      </w:r>
    </w:p>
    <w:p>
      <w:pPr>
        <w:tabs>
          <w:tab w:val="left" w:pos="1813"/>
        </w:tabs>
        <w:autoSpaceDE w:val="0"/>
        <w:autoSpaceDN w:val="0"/>
        <w:adjustRightInd w:val="0"/>
        <w:spacing w:line="480" w:lineRule="auto"/>
        <w:ind w:firstLine="7560" w:firstLineChars="2700"/>
        <w:rPr>
          <w:rFonts w:hint="eastAsia" w:ascii="仿宋" w:hAnsi="仿宋" w:eastAsia="仿宋" w:cs="仿宋"/>
          <w:color w:val="000000"/>
          <w:kern w:val="0"/>
          <w:sz w:val="28"/>
          <w:szCs w:val="28"/>
        </w:rPr>
      </w:pPr>
    </w:p>
    <w:p>
      <w:pPr>
        <w:tabs>
          <w:tab w:val="left" w:pos="1813"/>
        </w:tabs>
        <w:autoSpaceDE w:val="0"/>
        <w:autoSpaceDN w:val="0"/>
        <w:adjustRightInd w:val="0"/>
        <w:spacing w:line="480" w:lineRule="auto"/>
        <w:ind w:firstLine="7560" w:firstLineChars="2700"/>
        <w:rPr>
          <w:rFonts w:hint="eastAsia" w:ascii="仿宋" w:hAnsi="仿宋" w:eastAsia="仿宋" w:cs="仿宋"/>
          <w:color w:val="000000"/>
          <w:kern w:val="0"/>
          <w:sz w:val="28"/>
          <w:szCs w:val="28"/>
        </w:rPr>
      </w:pPr>
    </w:p>
    <w:p>
      <w:pPr>
        <w:tabs>
          <w:tab w:val="left" w:pos="1813"/>
        </w:tabs>
        <w:autoSpaceDE w:val="0"/>
        <w:autoSpaceDN w:val="0"/>
        <w:adjustRightInd w:val="0"/>
        <w:spacing w:line="480" w:lineRule="auto"/>
        <w:ind w:firstLine="7560" w:firstLineChars="2700"/>
        <w:rPr>
          <w:rFonts w:hint="eastAsia" w:ascii="仿宋" w:hAnsi="仿宋" w:eastAsia="仿宋" w:cs="仿宋"/>
          <w:color w:val="000000"/>
          <w:kern w:val="0"/>
          <w:sz w:val="28"/>
          <w:szCs w:val="28"/>
        </w:rPr>
      </w:pPr>
    </w:p>
    <w:p>
      <w:pPr>
        <w:tabs>
          <w:tab w:val="left" w:pos="1813"/>
        </w:tabs>
        <w:autoSpaceDE w:val="0"/>
        <w:autoSpaceDN w:val="0"/>
        <w:adjustRightInd w:val="0"/>
        <w:spacing w:line="480" w:lineRule="auto"/>
        <w:ind w:firstLine="7560" w:firstLineChars="27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p>
    <w:bookmarkEnd w:id="104"/>
    <w:bookmarkEnd w:id="105"/>
    <w:p>
      <w:pPr>
        <w:numPr>
          <w:ilvl w:val="0"/>
          <w:numId w:val="14"/>
        </w:numPr>
        <w:tabs>
          <w:tab w:val="left" w:pos="1813"/>
        </w:tabs>
        <w:autoSpaceDE w:val="0"/>
        <w:autoSpaceDN w:val="0"/>
        <w:adjustRightInd w:val="0"/>
        <w:spacing w:line="48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法定代表人授权委托书</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u w:val="none"/>
        </w:rPr>
        <w:t xml:space="preserve">的法定代表人授权我公司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代表姓名）  </w:t>
      </w:r>
      <w:r>
        <w:rPr>
          <w:rFonts w:hint="eastAsia" w:ascii="仿宋" w:hAnsi="仿宋" w:eastAsia="仿宋" w:cs="仿宋"/>
          <w:color w:val="auto"/>
          <w:sz w:val="24"/>
          <w:szCs w:val="24"/>
          <w:highlight w:val="none"/>
          <w:u w:val="none"/>
        </w:rPr>
        <w:t>为</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代表，代表本公司参加贵司组织的</w:t>
      </w:r>
      <w:r>
        <w:rPr>
          <w:rFonts w:hint="eastAsia" w:ascii="仿宋" w:hAnsi="仿宋" w:eastAsia="仿宋" w:cs="仿宋"/>
          <w:color w:val="auto"/>
          <w:sz w:val="24"/>
          <w:szCs w:val="24"/>
          <w:highlight w:val="none"/>
          <w:u w:val="single"/>
        </w:rPr>
        <w:t xml:space="preserve">    项目名称、招标编号    ）</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活动，全权代表本公司处理</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的一切事宜，包括但不限于：投标、参与开标、谈判、签约等。</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代表在</w:t>
      </w:r>
      <w:r>
        <w:rPr>
          <w:rFonts w:hint="eastAsia" w:ascii="仿宋" w:hAnsi="仿宋" w:eastAsia="仿宋" w:cs="仿宋"/>
          <w:color w:val="auto"/>
          <w:sz w:val="24"/>
          <w:szCs w:val="24"/>
          <w:highlight w:val="none"/>
          <w:u w:val="none"/>
          <w:lang w:val="en-US" w:eastAsia="zh-CN"/>
        </w:rPr>
        <w:t>投标</w:t>
      </w:r>
      <w:r>
        <w:rPr>
          <w:rFonts w:hint="eastAsia" w:ascii="仿宋" w:hAnsi="仿宋" w:eastAsia="仿宋" w:cs="仿宋"/>
          <w:color w:val="auto"/>
          <w:sz w:val="24"/>
          <w:szCs w:val="24"/>
          <w:highlight w:val="none"/>
          <w:u w:val="none"/>
        </w:rPr>
        <w:t>过程中所签署的一切文件和处理与之有关的一切事务，本公司均予以认可并对此承担责任。供应商代表无转委托权。特此授权。</w:t>
      </w: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本授权书自出具之日起生效。</w:t>
      </w: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3217545</wp:posOffset>
                </wp:positionH>
                <wp:positionV relativeFrom="paragraph">
                  <wp:posOffset>19050</wp:posOffset>
                </wp:positionV>
                <wp:extent cx="2290445" cy="1324610"/>
                <wp:effectExtent l="4445" t="4445" r="6350" b="12065"/>
                <wp:wrapNone/>
                <wp:docPr id="18" name="矩形 18"/>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233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HgH9gAAAAJAQAADwAAAAAAAAABACAAAAAi&#10;AAAAZHJzL2Rvd25yZXYueG1sUEsBAhQAFAAAAAgAh07iQLMBkFUKAgAAOgQAAA4AAAAAAAAAAQAg&#10;AAAAJwEAAGRycy9lMm9Eb2MueG1sUEsFBgAAAAAGAAYAWQEAAKM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50800</wp:posOffset>
                </wp:positionV>
                <wp:extent cx="2540000" cy="1311910"/>
                <wp:effectExtent l="5080" t="4445" r="15240" b="9525"/>
                <wp:wrapNone/>
                <wp:docPr id="19" name="矩形 19"/>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131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nXAttUAAAAHAQAADwAAAAAAAAABACAAAAAiAAAA&#10;ZHJzL2Rvd25yZXYueG1sUEsBAhQAFAAAAAgAh07iQAzj8PcKAgAAOgQAAA4AAAAAAAAAAQAgAAAA&#10;JAEAAGRycy9lMm9Eb2MueG1sUEsFBgAAAAAGAAYAWQEAAKAFAAAAAA==&#10;">
                <v:fill on="t" focussize="0,0"/>
                <v:stroke color="#000000" joinstyle="miter"/>
                <v:imagedata o:title=""/>
                <o:lock v:ext="edit" aspectratio="f"/>
                <v:textbo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132715</wp:posOffset>
                </wp:positionV>
                <wp:extent cx="2540000" cy="1311910"/>
                <wp:effectExtent l="5080" t="4445" r="15240" b="9525"/>
                <wp:wrapNone/>
                <wp:docPr id="20" name="矩形 20"/>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336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&#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xAhOdYAAAAIAQAADwAAAAAAAAABACAAAAAiAAAA&#10;ZHJzL2Rvd25yZXYueG1sUEsBAhQAFAAAAAgAh07iQJX8llQJAgAAOgQAAA4AAAAAAAAAAQAgAAAA&#10;JQEAAGRycy9lMm9Eb2MueG1sUEsFBgAAAAAGAAYAWQEAAKAFA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100965</wp:posOffset>
                </wp:positionV>
                <wp:extent cx="2316480" cy="1311910"/>
                <wp:effectExtent l="4445" t="4445" r="10795" b="9525"/>
                <wp:wrapNone/>
                <wp:docPr id="21" name="矩形 21"/>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438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2PIX3YAAAACgEAAA8AAAAAAAAAAQAgAAAA&#10;IgAAAGRycy9kb3ducmV2LnhtbFBLAQIUABQAAAAIAIdO4kBviyJCCwIAADoEAAAOAAAAAAAAAAEA&#10;IAAAACcBAABkcnMvZTJvRG9jLnhtbFBLBQYAAAAABgAGAFkBAACkBQ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 xml:space="preserve">   （签字）   </w:t>
      </w:r>
      <w:r>
        <w:rPr>
          <w:rFonts w:hint="eastAsia" w:ascii="仿宋" w:hAnsi="仿宋" w:eastAsia="仿宋" w:cs="仿宋"/>
          <w:color w:val="auto"/>
          <w:sz w:val="24"/>
          <w:szCs w:val="24"/>
          <w:highlight w:val="none"/>
        </w:rPr>
        <w:t>性别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年龄：_______</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（盖章）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（签字或盖章）               </w:t>
      </w:r>
    </w:p>
    <w:p>
      <w:pPr>
        <w:ind w:firstLine="2760" w:firstLineChars="11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6"/>
        <w:rPr>
          <w:rFonts w:hint="eastAsia" w:ascii="仿宋" w:hAnsi="仿宋" w:eastAsia="仿宋" w:cs="仿宋"/>
        </w:rPr>
      </w:pPr>
      <w:r>
        <w:rPr>
          <w:rFonts w:hint="eastAsia" w:ascii="仿宋" w:hAnsi="仿宋" w:eastAsia="仿宋" w:cs="仿宋"/>
          <w:color w:val="auto"/>
          <w:sz w:val="28"/>
          <w:szCs w:val="28"/>
          <w:highlight w:val="none"/>
          <w:lang w:eastAsia="zh-CN"/>
        </w:rPr>
        <w:t>注：正面国徽、反面人像</w:t>
      </w:r>
    </w:p>
    <w:p>
      <w:pPr>
        <w:spacing w:line="400" w:lineRule="exact"/>
        <w:rPr>
          <w:rFonts w:hint="eastAsia" w:ascii="仿宋" w:hAnsi="仿宋" w:eastAsia="仿宋" w:cs="仿宋"/>
          <w:b/>
          <w:bCs/>
          <w:kern w:val="2"/>
          <w:sz w:val="28"/>
          <w:szCs w:val="32"/>
          <w:lang w:val="en-US" w:eastAsia="zh-CN" w:bidi="ar-SA"/>
        </w:rPr>
      </w:pPr>
      <w:r>
        <w:rPr>
          <w:rFonts w:hint="eastAsia" w:ascii="仿宋" w:hAnsi="仿宋" w:eastAsia="仿宋" w:cs="仿宋"/>
          <w:color w:val="000000"/>
        </w:rPr>
        <w:t xml:space="preserve"> </w:t>
      </w:r>
    </w:p>
    <w:p>
      <w:pPr>
        <w:rPr>
          <w:rFonts w:hint="eastAsia" w:ascii="仿宋" w:hAnsi="仿宋" w:eastAsia="仿宋" w:cs="仿宋"/>
          <w:b/>
          <w:bCs/>
          <w:kern w:val="2"/>
          <w:sz w:val="28"/>
          <w:szCs w:val="32"/>
          <w:lang w:val="en-US" w:eastAsia="zh-CN" w:bidi="ar-SA"/>
        </w:rPr>
      </w:pPr>
      <w:r>
        <w:rPr>
          <w:rFonts w:hint="eastAsia" w:ascii="仿宋" w:hAnsi="仿宋" w:eastAsia="仿宋" w:cs="仿宋"/>
          <w:b/>
          <w:bCs/>
          <w:kern w:val="2"/>
          <w:sz w:val="28"/>
          <w:szCs w:val="32"/>
          <w:lang w:val="en-US" w:eastAsia="zh-CN" w:bidi="ar-SA"/>
        </w:rPr>
        <w:br w:type="page"/>
      </w:r>
    </w:p>
    <w:p>
      <w:pPr>
        <w:spacing w:line="440" w:lineRule="exact"/>
        <w:jc w:val="center"/>
        <w:rPr>
          <w:rFonts w:hint="eastAsia" w:ascii="仿宋" w:hAnsi="仿宋" w:eastAsia="仿宋" w:cs="仿宋"/>
          <w:b/>
          <w:bCs/>
          <w:kern w:val="2"/>
          <w:sz w:val="28"/>
          <w:szCs w:val="32"/>
          <w:lang w:val="en-US" w:eastAsia="zh-CN" w:bidi="ar-SA"/>
        </w:rPr>
      </w:pPr>
      <w:r>
        <w:rPr>
          <w:rFonts w:hint="eastAsia" w:ascii="仿宋" w:hAnsi="仿宋" w:eastAsia="仿宋" w:cs="仿宋"/>
          <w:b/>
          <w:bCs/>
          <w:kern w:val="2"/>
          <w:sz w:val="28"/>
          <w:szCs w:val="32"/>
          <w:lang w:val="en-US" w:eastAsia="zh-CN" w:bidi="ar-SA"/>
        </w:rPr>
        <w:t>五、投标保证金（投标保证金银行转账单复印件）</w:t>
      </w: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pStyle w:val="21"/>
        <w:tabs>
          <w:tab w:val="left" w:pos="9214"/>
        </w:tabs>
        <w:rPr>
          <w:rFonts w:hint="eastAsia" w:ascii="仿宋" w:hAnsi="仿宋" w:eastAsia="仿宋" w:cs="仿宋"/>
          <w:lang w:val="en-US" w:eastAsia="zh-CN"/>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center"/>
        <w:rPr>
          <w:rFonts w:hint="eastAsia" w:ascii="仿宋" w:hAnsi="仿宋" w:eastAsia="仿宋" w:cs="仿宋"/>
          <w:b/>
          <w:bCs/>
          <w:kern w:val="2"/>
          <w:sz w:val="28"/>
          <w:szCs w:val="32"/>
          <w:lang w:val="en-US" w:eastAsia="zh-CN" w:bidi="ar-SA"/>
        </w:rPr>
      </w:pPr>
    </w:p>
    <w:p>
      <w:pPr>
        <w:spacing w:line="440" w:lineRule="exact"/>
        <w:jc w:val="both"/>
        <w:rPr>
          <w:rFonts w:hint="eastAsia" w:ascii="仿宋" w:hAnsi="仿宋" w:eastAsia="仿宋" w:cs="仿宋"/>
          <w:b/>
          <w:bCs/>
          <w:kern w:val="2"/>
          <w:sz w:val="28"/>
          <w:szCs w:val="32"/>
          <w:lang w:val="en-US" w:eastAsia="zh-CN" w:bidi="ar-SA"/>
        </w:rPr>
      </w:pPr>
    </w:p>
    <w:p>
      <w:pPr>
        <w:rPr>
          <w:rFonts w:hint="eastAsia" w:ascii="仿宋" w:hAnsi="仿宋" w:eastAsia="仿宋" w:cs="仿宋"/>
          <w:b/>
          <w:bCs/>
          <w:kern w:val="2"/>
          <w:sz w:val="28"/>
          <w:szCs w:val="32"/>
          <w:lang w:val="en-US" w:eastAsia="zh-CN" w:bidi="ar-SA"/>
        </w:rPr>
      </w:pPr>
      <w:r>
        <w:rPr>
          <w:rFonts w:hint="eastAsia" w:ascii="仿宋" w:hAnsi="仿宋" w:eastAsia="仿宋" w:cs="仿宋"/>
          <w:b/>
          <w:bCs/>
          <w:kern w:val="2"/>
          <w:sz w:val="28"/>
          <w:szCs w:val="32"/>
          <w:lang w:val="en-US" w:eastAsia="zh-CN" w:bidi="ar-SA"/>
        </w:rPr>
        <w:br w:type="page"/>
      </w:r>
    </w:p>
    <w:p>
      <w:pPr>
        <w:pStyle w:val="5"/>
        <w:jc w:val="center"/>
        <w:rPr>
          <w:rFonts w:hint="eastAsia" w:ascii="仿宋" w:hAnsi="仿宋" w:eastAsia="仿宋" w:cs="仿宋"/>
          <w:sz w:val="28"/>
        </w:rPr>
      </w:pPr>
      <w:r>
        <w:rPr>
          <w:rFonts w:hint="eastAsia" w:ascii="仿宋" w:hAnsi="仿宋" w:eastAsia="仿宋" w:cs="仿宋"/>
          <w:b/>
          <w:bCs/>
          <w:kern w:val="2"/>
          <w:sz w:val="28"/>
          <w:szCs w:val="32"/>
          <w:lang w:val="en-US" w:eastAsia="zh-CN" w:bidi="ar-SA"/>
        </w:rPr>
        <w:t>六、</w:t>
      </w:r>
      <w:bookmarkEnd w:id="106"/>
      <w:bookmarkEnd w:id="107"/>
      <w:bookmarkEnd w:id="108"/>
      <w:bookmarkEnd w:id="109"/>
      <w:bookmarkStart w:id="110" w:name="_Toc23111"/>
      <w:bookmarkStart w:id="111" w:name="_Toc27405"/>
      <w:bookmarkStart w:id="112" w:name="_Toc14367"/>
      <w:bookmarkStart w:id="113" w:name="_Toc13218"/>
      <w:bookmarkStart w:id="114" w:name="_Toc23139"/>
      <w:r>
        <w:rPr>
          <w:rFonts w:hint="eastAsia" w:ascii="仿宋" w:hAnsi="仿宋" w:eastAsia="仿宋" w:cs="仿宋"/>
          <w:sz w:val="28"/>
        </w:rPr>
        <w:t>商务条款偏离表</w:t>
      </w:r>
      <w:bookmarkEnd w:id="110"/>
      <w:bookmarkEnd w:id="111"/>
      <w:bookmarkEnd w:id="112"/>
      <w:bookmarkEnd w:id="113"/>
      <w:bookmarkEnd w:id="114"/>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项目名称：</w:t>
      </w:r>
    </w:p>
    <w:p>
      <w:pPr>
        <w:ind w:firstLine="240" w:firstLineChars="100"/>
        <w:rPr>
          <w:rFonts w:hint="eastAsia" w:ascii="仿宋" w:hAnsi="仿宋" w:eastAsia="仿宋" w:cs="仿宋"/>
        </w:rPr>
      </w:pPr>
      <w:r>
        <w:rPr>
          <w:rFonts w:hint="eastAsia" w:ascii="仿宋" w:hAnsi="仿宋" w:eastAsia="仿宋" w:cs="仿宋"/>
          <w:sz w:val="24"/>
        </w:rPr>
        <w:t xml:space="preserve">项目编号：                                                 </w:t>
      </w:r>
    </w:p>
    <w:tbl>
      <w:tblPr>
        <w:tblStyle w:val="44"/>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jc w:val="both"/>
              <w:rPr>
                <w:rFonts w:hint="eastAsia" w:ascii="仿宋" w:hAnsi="仿宋" w:eastAsia="仿宋" w:cs="仿宋"/>
                <w:sz w:val="24"/>
              </w:rPr>
            </w:pPr>
            <w:r>
              <w:rPr>
                <w:rFonts w:hint="eastAsia" w:ascii="仿宋" w:hAnsi="仿宋" w:eastAsia="仿宋" w:cs="仿宋"/>
                <w:sz w:val="24"/>
              </w:rPr>
              <w:t>序号</w:t>
            </w:r>
          </w:p>
        </w:tc>
        <w:tc>
          <w:tcPr>
            <w:tcW w:w="1705" w:type="dxa"/>
            <w:noWrap w:val="0"/>
            <w:vAlign w:val="center"/>
          </w:tcPr>
          <w:p>
            <w:pPr>
              <w:jc w:val="center"/>
              <w:rPr>
                <w:rFonts w:hint="eastAsia" w:ascii="仿宋" w:hAnsi="仿宋" w:eastAsia="仿宋" w:cs="仿宋"/>
                <w:sz w:val="24"/>
              </w:rPr>
            </w:pPr>
            <w:r>
              <w:rPr>
                <w:rFonts w:hint="eastAsia" w:ascii="仿宋" w:hAnsi="仿宋" w:eastAsia="仿宋" w:cs="仿宋"/>
                <w:sz w:val="24"/>
              </w:rPr>
              <w:t>招标文件</w:t>
            </w:r>
          </w:p>
          <w:p>
            <w:pPr>
              <w:jc w:val="center"/>
              <w:rPr>
                <w:rFonts w:hint="eastAsia" w:ascii="仿宋" w:hAnsi="仿宋" w:eastAsia="仿宋" w:cs="仿宋"/>
                <w:sz w:val="24"/>
              </w:rPr>
            </w:pPr>
            <w:r>
              <w:rPr>
                <w:rFonts w:hint="eastAsia" w:ascii="仿宋" w:hAnsi="仿宋" w:eastAsia="仿宋" w:cs="仿宋"/>
                <w:sz w:val="24"/>
              </w:rPr>
              <w:t>条目号</w:t>
            </w:r>
          </w:p>
        </w:tc>
        <w:tc>
          <w:tcPr>
            <w:tcW w:w="2177" w:type="dxa"/>
            <w:noWrap w:val="0"/>
            <w:vAlign w:val="center"/>
          </w:tcPr>
          <w:p>
            <w:pPr>
              <w:jc w:val="center"/>
              <w:rPr>
                <w:rFonts w:hint="eastAsia" w:ascii="仿宋" w:hAnsi="仿宋" w:eastAsia="仿宋" w:cs="仿宋"/>
                <w:sz w:val="24"/>
              </w:rPr>
            </w:pPr>
            <w:r>
              <w:rPr>
                <w:rFonts w:hint="eastAsia" w:ascii="仿宋" w:hAnsi="仿宋" w:eastAsia="仿宋" w:cs="仿宋"/>
                <w:sz w:val="24"/>
              </w:rPr>
              <w:t>招标文件的</w:t>
            </w:r>
          </w:p>
          <w:p>
            <w:pPr>
              <w:jc w:val="center"/>
              <w:rPr>
                <w:rFonts w:hint="eastAsia" w:ascii="仿宋" w:hAnsi="仿宋" w:eastAsia="仿宋" w:cs="仿宋"/>
                <w:sz w:val="24"/>
              </w:rPr>
            </w:pPr>
            <w:r>
              <w:rPr>
                <w:rFonts w:hint="eastAsia" w:ascii="仿宋" w:hAnsi="仿宋" w:eastAsia="仿宋" w:cs="仿宋"/>
                <w:sz w:val="24"/>
              </w:rPr>
              <w:t>商务条款</w:t>
            </w:r>
          </w:p>
        </w:tc>
        <w:tc>
          <w:tcPr>
            <w:tcW w:w="2215" w:type="dxa"/>
            <w:noWrap w:val="0"/>
            <w:vAlign w:val="center"/>
          </w:tcPr>
          <w:p>
            <w:pPr>
              <w:jc w:val="center"/>
              <w:rPr>
                <w:rFonts w:hint="eastAsia" w:ascii="仿宋" w:hAnsi="仿宋" w:eastAsia="仿宋" w:cs="仿宋"/>
                <w:sz w:val="24"/>
              </w:rPr>
            </w:pPr>
            <w:r>
              <w:rPr>
                <w:rFonts w:hint="eastAsia" w:ascii="仿宋" w:hAnsi="仿宋" w:eastAsia="仿宋" w:cs="仿宋"/>
                <w:sz w:val="24"/>
              </w:rPr>
              <w:t>投标文件的</w:t>
            </w:r>
          </w:p>
          <w:p>
            <w:pPr>
              <w:jc w:val="center"/>
              <w:rPr>
                <w:rFonts w:hint="eastAsia" w:ascii="仿宋" w:hAnsi="仿宋" w:eastAsia="仿宋" w:cs="仿宋"/>
                <w:sz w:val="24"/>
              </w:rPr>
            </w:pPr>
            <w:r>
              <w:rPr>
                <w:rFonts w:hint="eastAsia" w:ascii="仿宋" w:hAnsi="仿宋" w:eastAsia="仿宋" w:cs="仿宋"/>
                <w:sz w:val="24"/>
              </w:rPr>
              <w:t>商务条款</w:t>
            </w:r>
          </w:p>
        </w:tc>
        <w:tc>
          <w:tcPr>
            <w:tcW w:w="1706" w:type="dxa"/>
            <w:noWrap w:val="0"/>
            <w:vAlign w:val="center"/>
          </w:tcPr>
          <w:p>
            <w:pPr>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705" w:type="dxa"/>
            <w:noWrap w:val="0"/>
            <w:vAlign w:val="center"/>
          </w:tcPr>
          <w:p>
            <w:pPr>
              <w:spacing w:line="360" w:lineRule="auto"/>
              <w:jc w:val="center"/>
              <w:rPr>
                <w:rFonts w:hint="eastAsia" w:ascii="仿宋" w:hAnsi="仿宋" w:eastAsia="仿宋" w:cs="仿宋"/>
                <w:sz w:val="24"/>
              </w:rPr>
            </w:pPr>
          </w:p>
        </w:tc>
        <w:tc>
          <w:tcPr>
            <w:tcW w:w="2177" w:type="dxa"/>
            <w:noWrap w:val="0"/>
            <w:vAlign w:val="center"/>
          </w:tcPr>
          <w:p>
            <w:pPr>
              <w:spacing w:line="360" w:lineRule="auto"/>
              <w:jc w:val="center"/>
              <w:rPr>
                <w:rFonts w:hint="eastAsia" w:ascii="仿宋" w:hAnsi="仿宋" w:eastAsia="仿宋" w:cs="仿宋"/>
                <w:sz w:val="24"/>
              </w:rPr>
            </w:pPr>
          </w:p>
        </w:tc>
        <w:tc>
          <w:tcPr>
            <w:tcW w:w="2215" w:type="dxa"/>
            <w:noWrap w:val="0"/>
            <w:vAlign w:val="center"/>
          </w:tcPr>
          <w:p>
            <w:pPr>
              <w:spacing w:line="360" w:lineRule="auto"/>
              <w:jc w:val="center"/>
              <w:rPr>
                <w:rFonts w:hint="eastAsia" w:ascii="仿宋" w:hAnsi="仿宋" w:eastAsia="仿宋" w:cs="仿宋"/>
                <w:sz w:val="24"/>
              </w:rPr>
            </w:pPr>
          </w:p>
        </w:tc>
        <w:tc>
          <w:tcPr>
            <w:tcW w:w="1706"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705" w:type="dxa"/>
            <w:noWrap w:val="0"/>
            <w:vAlign w:val="center"/>
          </w:tcPr>
          <w:p>
            <w:pPr>
              <w:spacing w:line="360" w:lineRule="auto"/>
              <w:jc w:val="center"/>
              <w:rPr>
                <w:rFonts w:hint="eastAsia" w:ascii="仿宋" w:hAnsi="仿宋" w:eastAsia="仿宋" w:cs="仿宋"/>
                <w:sz w:val="24"/>
              </w:rPr>
            </w:pPr>
          </w:p>
        </w:tc>
        <w:tc>
          <w:tcPr>
            <w:tcW w:w="2177" w:type="dxa"/>
            <w:noWrap w:val="0"/>
            <w:vAlign w:val="center"/>
          </w:tcPr>
          <w:p>
            <w:pPr>
              <w:spacing w:line="360" w:lineRule="auto"/>
              <w:jc w:val="center"/>
              <w:rPr>
                <w:rFonts w:hint="eastAsia" w:ascii="仿宋" w:hAnsi="仿宋" w:eastAsia="仿宋" w:cs="仿宋"/>
                <w:sz w:val="24"/>
              </w:rPr>
            </w:pPr>
          </w:p>
        </w:tc>
        <w:tc>
          <w:tcPr>
            <w:tcW w:w="2215" w:type="dxa"/>
            <w:noWrap w:val="0"/>
            <w:vAlign w:val="center"/>
          </w:tcPr>
          <w:p>
            <w:pPr>
              <w:spacing w:line="360" w:lineRule="auto"/>
              <w:jc w:val="center"/>
              <w:rPr>
                <w:rFonts w:hint="eastAsia" w:ascii="仿宋" w:hAnsi="仿宋" w:eastAsia="仿宋" w:cs="仿宋"/>
                <w:sz w:val="24"/>
              </w:rPr>
            </w:pPr>
          </w:p>
        </w:tc>
        <w:tc>
          <w:tcPr>
            <w:tcW w:w="1706"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705" w:type="dxa"/>
            <w:noWrap w:val="0"/>
            <w:vAlign w:val="center"/>
          </w:tcPr>
          <w:p>
            <w:pPr>
              <w:spacing w:line="360" w:lineRule="auto"/>
              <w:jc w:val="center"/>
              <w:rPr>
                <w:rFonts w:hint="eastAsia" w:ascii="仿宋" w:hAnsi="仿宋" w:eastAsia="仿宋" w:cs="仿宋"/>
                <w:sz w:val="24"/>
              </w:rPr>
            </w:pPr>
          </w:p>
        </w:tc>
        <w:tc>
          <w:tcPr>
            <w:tcW w:w="2177" w:type="dxa"/>
            <w:noWrap w:val="0"/>
            <w:vAlign w:val="center"/>
          </w:tcPr>
          <w:p>
            <w:pPr>
              <w:spacing w:line="360" w:lineRule="auto"/>
              <w:jc w:val="center"/>
              <w:rPr>
                <w:rFonts w:hint="eastAsia" w:ascii="仿宋" w:hAnsi="仿宋" w:eastAsia="仿宋" w:cs="仿宋"/>
                <w:sz w:val="24"/>
              </w:rPr>
            </w:pPr>
          </w:p>
        </w:tc>
        <w:tc>
          <w:tcPr>
            <w:tcW w:w="2215" w:type="dxa"/>
            <w:noWrap w:val="0"/>
            <w:vAlign w:val="center"/>
          </w:tcPr>
          <w:p>
            <w:pPr>
              <w:spacing w:line="360" w:lineRule="auto"/>
              <w:jc w:val="center"/>
              <w:rPr>
                <w:rFonts w:hint="eastAsia" w:ascii="仿宋" w:hAnsi="仿宋" w:eastAsia="仿宋" w:cs="仿宋"/>
                <w:sz w:val="24"/>
              </w:rPr>
            </w:pPr>
          </w:p>
        </w:tc>
        <w:tc>
          <w:tcPr>
            <w:tcW w:w="1706"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705" w:type="dxa"/>
            <w:noWrap w:val="0"/>
            <w:vAlign w:val="center"/>
          </w:tcPr>
          <w:p>
            <w:pPr>
              <w:spacing w:line="360" w:lineRule="auto"/>
              <w:jc w:val="center"/>
              <w:rPr>
                <w:rFonts w:hint="eastAsia" w:ascii="仿宋" w:hAnsi="仿宋" w:eastAsia="仿宋" w:cs="仿宋"/>
                <w:sz w:val="24"/>
              </w:rPr>
            </w:pPr>
          </w:p>
        </w:tc>
        <w:tc>
          <w:tcPr>
            <w:tcW w:w="2177" w:type="dxa"/>
            <w:noWrap w:val="0"/>
            <w:vAlign w:val="center"/>
          </w:tcPr>
          <w:p>
            <w:pPr>
              <w:spacing w:line="360" w:lineRule="auto"/>
              <w:jc w:val="center"/>
              <w:rPr>
                <w:rFonts w:hint="eastAsia" w:ascii="仿宋" w:hAnsi="仿宋" w:eastAsia="仿宋" w:cs="仿宋"/>
                <w:sz w:val="24"/>
              </w:rPr>
            </w:pPr>
          </w:p>
        </w:tc>
        <w:tc>
          <w:tcPr>
            <w:tcW w:w="2215" w:type="dxa"/>
            <w:noWrap w:val="0"/>
            <w:vAlign w:val="center"/>
          </w:tcPr>
          <w:p>
            <w:pPr>
              <w:spacing w:line="360" w:lineRule="auto"/>
              <w:jc w:val="center"/>
              <w:rPr>
                <w:rFonts w:hint="eastAsia" w:ascii="仿宋" w:hAnsi="仿宋" w:eastAsia="仿宋" w:cs="仿宋"/>
                <w:sz w:val="24"/>
              </w:rPr>
            </w:pPr>
          </w:p>
        </w:tc>
        <w:tc>
          <w:tcPr>
            <w:tcW w:w="1706"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sz w:val="24"/>
              </w:rPr>
            </w:pPr>
          </w:p>
        </w:tc>
        <w:tc>
          <w:tcPr>
            <w:tcW w:w="1705" w:type="dxa"/>
            <w:noWrap w:val="0"/>
            <w:vAlign w:val="center"/>
          </w:tcPr>
          <w:p>
            <w:pPr>
              <w:spacing w:line="360" w:lineRule="auto"/>
              <w:jc w:val="center"/>
              <w:rPr>
                <w:rFonts w:hint="eastAsia" w:ascii="仿宋" w:hAnsi="仿宋" w:eastAsia="仿宋" w:cs="仿宋"/>
                <w:sz w:val="24"/>
              </w:rPr>
            </w:pPr>
          </w:p>
        </w:tc>
        <w:tc>
          <w:tcPr>
            <w:tcW w:w="2177" w:type="dxa"/>
            <w:noWrap w:val="0"/>
            <w:vAlign w:val="center"/>
          </w:tcPr>
          <w:p>
            <w:pPr>
              <w:spacing w:line="360" w:lineRule="auto"/>
              <w:jc w:val="center"/>
              <w:rPr>
                <w:rFonts w:hint="eastAsia" w:ascii="仿宋" w:hAnsi="仿宋" w:eastAsia="仿宋" w:cs="仿宋"/>
                <w:sz w:val="24"/>
              </w:rPr>
            </w:pPr>
          </w:p>
        </w:tc>
        <w:tc>
          <w:tcPr>
            <w:tcW w:w="2215" w:type="dxa"/>
            <w:noWrap w:val="0"/>
            <w:vAlign w:val="center"/>
          </w:tcPr>
          <w:p>
            <w:pPr>
              <w:spacing w:line="360" w:lineRule="auto"/>
              <w:jc w:val="center"/>
              <w:rPr>
                <w:rFonts w:hint="eastAsia" w:ascii="仿宋" w:hAnsi="仿宋" w:eastAsia="仿宋" w:cs="仿宋"/>
                <w:sz w:val="24"/>
              </w:rPr>
            </w:pPr>
          </w:p>
        </w:tc>
        <w:tc>
          <w:tcPr>
            <w:tcW w:w="1706"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sz w:val="24"/>
              </w:rPr>
            </w:pPr>
          </w:p>
        </w:tc>
        <w:tc>
          <w:tcPr>
            <w:tcW w:w="1705" w:type="dxa"/>
            <w:noWrap w:val="0"/>
            <w:vAlign w:val="center"/>
          </w:tcPr>
          <w:p>
            <w:pPr>
              <w:spacing w:line="360" w:lineRule="auto"/>
              <w:jc w:val="center"/>
              <w:rPr>
                <w:rFonts w:hint="eastAsia" w:ascii="仿宋" w:hAnsi="仿宋" w:eastAsia="仿宋" w:cs="仿宋"/>
                <w:sz w:val="24"/>
              </w:rPr>
            </w:pPr>
          </w:p>
        </w:tc>
        <w:tc>
          <w:tcPr>
            <w:tcW w:w="2177" w:type="dxa"/>
            <w:noWrap w:val="0"/>
            <w:vAlign w:val="center"/>
          </w:tcPr>
          <w:p>
            <w:pPr>
              <w:spacing w:line="360" w:lineRule="auto"/>
              <w:jc w:val="center"/>
              <w:rPr>
                <w:rFonts w:hint="eastAsia" w:ascii="仿宋" w:hAnsi="仿宋" w:eastAsia="仿宋" w:cs="仿宋"/>
                <w:sz w:val="24"/>
              </w:rPr>
            </w:pPr>
          </w:p>
        </w:tc>
        <w:tc>
          <w:tcPr>
            <w:tcW w:w="2215" w:type="dxa"/>
            <w:noWrap w:val="0"/>
            <w:vAlign w:val="center"/>
          </w:tcPr>
          <w:p>
            <w:pPr>
              <w:spacing w:line="360" w:lineRule="auto"/>
              <w:jc w:val="center"/>
              <w:rPr>
                <w:rFonts w:hint="eastAsia" w:ascii="仿宋" w:hAnsi="仿宋" w:eastAsia="仿宋" w:cs="仿宋"/>
                <w:sz w:val="24"/>
              </w:rPr>
            </w:pPr>
          </w:p>
        </w:tc>
        <w:tc>
          <w:tcPr>
            <w:tcW w:w="1706"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sz w:val="24"/>
              </w:rPr>
            </w:pPr>
          </w:p>
        </w:tc>
        <w:tc>
          <w:tcPr>
            <w:tcW w:w="1705" w:type="dxa"/>
            <w:noWrap w:val="0"/>
            <w:vAlign w:val="center"/>
          </w:tcPr>
          <w:p>
            <w:pPr>
              <w:spacing w:line="360" w:lineRule="auto"/>
              <w:jc w:val="center"/>
              <w:rPr>
                <w:rFonts w:hint="eastAsia" w:ascii="仿宋" w:hAnsi="仿宋" w:eastAsia="仿宋" w:cs="仿宋"/>
                <w:sz w:val="24"/>
              </w:rPr>
            </w:pPr>
          </w:p>
        </w:tc>
        <w:tc>
          <w:tcPr>
            <w:tcW w:w="2177" w:type="dxa"/>
            <w:noWrap w:val="0"/>
            <w:vAlign w:val="center"/>
          </w:tcPr>
          <w:p>
            <w:pPr>
              <w:spacing w:line="360" w:lineRule="auto"/>
              <w:jc w:val="center"/>
              <w:rPr>
                <w:rFonts w:hint="eastAsia" w:ascii="仿宋" w:hAnsi="仿宋" w:eastAsia="仿宋" w:cs="仿宋"/>
                <w:sz w:val="24"/>
              </w:rPr>
            </w:pPr>
          </w:p>
        </w:tc>
        <w:tc>
          <w:tcPr>
            <w:tcW w:w="2215" w:type="dxa"/>
            <w:noWrap w:val="0"/>
            <w:vAlign w:val="center"/>
          </w:tcPr>
          <w:p>
            <w:pPr>
              <w:spacing w:line="360" w:lineRule="auto"/>
              <w:jc w:val="center"/>
              <w:rPr>
                <w:rFonts w:hint="eastAsia" w:ascii="仿宋" w:hAnsi="仿宋" w:eastAsia="仿宋" w:cs="仿宋"/>
                <w:sz w:val="24"/>
              </w:rPr>
            </w:pPr>
          </w:p>
        </w:tc>
        <w:tc>
          <w:tcPr>
            <w:tcW w:w="1706" w:type="dxa"/>
            <w:noWrap w:val="0"/>
            <w:vAlign w:val="center"/>
          </w:tcPr>
          <w:p>
            <w:pPr>
              <w:spacing w:line="360" w:lineRule="auto"/>
              <w:jc w:val="center"/>
              <w:rPr>
                <w:rFonts w:hint="eastAsia" w:ascii="仿宋" w:hAnsi="仿宋" w:eastAsia="仿宋" w:cs="仿宋"/>
                <w:sz w:val="24"/>
              </w:rPr>
            </w:pPr>
          </w:p>
        </w:tc>
      </w:tr>
    </w:tbl>
    <w:p>
      <w:pPr>
        <w:spacing w:line="360" w:lineRule="auto"/>
        <w:rPr>
          <w:rFonts w:hint="eastAsia"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：1、应与招标文件要求的实质性条款对应填写，如投标企业填写无偏离或此表空白，则视为完全响应招标文件。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2、本表如填写不完，可以续页。</w:t>
      </w: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投标单位（公章）：</w:t>
      </w:r>
    </w:p>
    <w:p>
      <w:pPr>
        <w:spacing w:line="360" w:lineRule="auto"/>
        <w:ind w:firstLine="4080" w:firstLineChars="17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投标单位法定代表人或其授权委托人（签字或盖章）：</w:t>
      </w: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年   月   日</w:t>
      </w:r>
    </w:p>
    <w:p>
      <w:pPr>
        <w:pStyle w:val="21"/>
        <w:tabs>
          <w:tab w:val="left" w:pos="9214"/>
        </w:tabs>
        <w:rPr>
          <w:rFonts w:hint="eastAsia" w:ascii="仿宋" w:hAnsi="仿宋" w:eastAsia="仿宋" w:cs="仿宋"/>
        </w:rPr>
      </w:pPr>
    </w:p>
    <w:p>
      <w:pPr>
        <w:pStyle w:val="7"/>
        <w:numPr>
          <w:ilvl w:val="3"/>
          <w:numId w:val="0"/>
        </w:numPr>
        <w:ind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服务人员配置情况</w:t>
      </w:r>
    </w:p>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（由供应商根据采购需求及</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文件要求编制）</w:t>
      </w:r>
    </w:p>
    <w:p>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附表A:本项目的项目负责人情况表</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1750"/>
        <w:gridCol w:w="5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noWrap w:val="0"/>
            <w:vAlign w:val="center"/>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902" w:type="pct"/>
            <w:noWrap w:val="0"/>
            <w:vAlign w:val="center"/>
          </w:tcPr>
          <w:p>
            <w:pPr>
              <w:jc w:val="center"/>
              <w:rPr>
                <w:rFonts w:hint="eastAsia" w:ascii="仿宋" w:hAnsi="仿宋" w:eastAsia="仿宋" w:cs="仿宋"/>
                <w:color w:val="auto"/>
                <w:sz w:val="28"/>
                <w:szCs w:val="28"/>
                <w:highlight w:val="none"/>
              </w:rPr>
            </w:pPr>
          </w:p>
        </w:tc>
        <w:tc>
          <w:tcPr>
            <w:tcW w:w="2758" w:type="pct"/>
            <w:noWrap w:val="0"/>
            <w:vAlign w:val="top"/>
          </w:tcPr>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业绩及承担的主要工作情况，曾担任类似项目应列明细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noWrap w:val="0"/>
            <w:vAlign w:val="top"/>
          </w:tcPr>
          <w:p>
            <w:pPr>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lang w:eastAsia="zh-CN"/>
              </w:rPr>
              <w:tab/>
            </w:r>
          </w:p>
        </w:tc>
        <w:tc>
          <w:tcPr>
            <w:tcW w:w="902" w:type="pct"/>
            <w:noWrap w:val="0"/>
            <w:vAlign w:val="top"/>
          </w:tcPr>
          <w:p>
            <w:pPr>
              <w:jc w:val="left"/>
              <w:rPr>
                <w:rFonts w:hint="eastAsia" w:ascii="仿宋" w:hAnsi="仿宋" w:eastAsia="仿宋" w:cs="仿宋"/>
                <w:color w:val="auto"/>
                <w:sz w:val="28"/>
                <w:szCs w:val="28"/>
                <w:highlight w:val="none"/>
              </w:rPr>
            </w:pPr>
          </w:p>
        </w:tc>
        <w:tc>
          <w:tcPr>
            <w:tcW w:w="2758" w:type="pct"/>
            <w:vMerge w:val="restart"/>
            <w:noWrap w:val="0"/>
            <w:vAlign w:val="top"/>
          </w:tcPr>
          <w:p>
            <w:pPr>
              <w:jc w:val="lef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noWrap w:val="0"/>
            <w:vAlign w:val="top"/>
          </w:tcPr>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tc>
        <w:tc>
          <w:tcPr>
            <w:tcW w:w="902" w:type="pct"/>
            <w:noWrap w:val="0"/>
            <w:vAlign w:val="top"/>
          </w:tcPr>
          <w:p>
            <w:pPr>
              <w:jc w:val="left"/>
              <w:rPr>
                <w:rFonts w:hint="eastAsia" w:ascii="仿宋" w:hAnsi="仿宋" w:eastAsia="仿宋" w:cs="仿宋"/>
                <w:color w:val="auto"/>
                <w:sz w:val="28"/>
                <w:szCs w:val="28"/>
                <w:highlight w:val="none"/>
              </w:rPr>
            </w:pPr>
          </w:p>
        </w:tc>
        <w:tc>
          <w:tcPr>
            <w:tcW w:w="2758" w:type="pct"/>
            <w:vMerge w:val="continue"/>
            <w:noWrap w:val="0"/>
            <w:vAlign w:val="top"/>
          </w:tcPr>
          <w:p>
            <w:pPr>
              <w:jc w:val="lef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noWrap w:val="0"/>
            <w:vAlign w:val="top"/>
          </w:tcPr>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902" w:type="pct"/>
            <w:noWrap w:val="0"/>
            <w:vAlign w:val="top"/>
          </w:tcPr>
          <w:p>
            <w:pPr>
              <w:jc w:val="left"/>
              <w:rPr>
                <w:rFonts w:hint="eastAsia" w:ascii="仿宋" w:hAnsi="仿宋" w:eastAsia="仿宋" w:cs="仿宋"/>
                <w:color w:val="auto"/>
                <w:sz w:val="28"/>
                <w:szCs w:val="28"/>
                <w:highlight w:val="none"/>
              </w:rPr>
            </w:pPr>
          </w:p>
        </w:tc>
        <w:tc>
          <w:tcPr>
            <w:tcW w:w="2758" w:type="pct"/>
            <w:vMerge w:val="continue"/>
            <w:noWrap w:val="0"/>
            <w:vAlign w:val="top"/>
          </w:tcPr>
          <w:p>
            <w:pPr>
              <w:jc w:val="lef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noWrap w:val="0"/>
            <w:vAlign w:val="top"/>
          </w:tcPr>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毕业时间</w:t>
            </w:r>
          </w:p>
        </w:tc>
        <w:tc>
          <w:tcPr>
            <w:tcW w:w="902" w:type="pct"/>
            <w:noWrap w:val="0"/>
            <w:vAlign w:val="top"/>
          </w:tcPr>
          <w:p>
            <w:pPr>
              <w:jc w:val="left"/>
              <w:rPr>
                <w:rFonts w:hint="eastAsia" w:ascii="仿宋" w:hAnsi="仿宋" w:eastAsia="仿宋" w:cs="仿宋"/>
                <w:color w:val="auto"/>
                <w:sz w:val="28"/>
                <w:szCs w:val="28"/>
                <w:highlight w:val="none"/>
              </w:rPr>
            </w:pPr>
          </w:p>
        </w:tc>
        <w:tc>
          <w:tcPr>
            <w:tcW w:w="2758" w:type="pct"/>
            <w:vMerge w:val="continue"/>
            <w:noWrap w:val="0"/>
            <w:vAlign w:val="top"/>
          </w:tcPr>
          <w:p>
            <w:pPr>
              <w:jc w:val="lef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noWrap w:val="0"/>
            <w:vAlign w:val="top"/>
          </w:tcPr>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所学专业</w:t>
            </w:r>
          </w:p>
        </w:tc>
        <w:tc>
          <w:tcPr>
            <w:tcW w:w="902" w:type="pct"/>
            <w:noWrap w:val="0"/>
            <w:vAlign w:val="top"/>
          </w:tcPr>
          <w:p>
            <w:pPr>
              <w:jc w:val="left"/>
              <w:rPr>
                <w:rFonts w:hint="eastAsia" w:ascii="仿宋" w:hAnsi="仿宋" w:eastAsia="仿宋" w:cs="仿宋"/>
                <w:color w:val="auto"/>
                <w:sz w:val="28"/>
                <w:szCs w:val="28"/>
                <w:highlight w:val="none"/>
              </w:rPr>
            </w:pPr>
          </w:p>
        </w:tc>
        <w:tc>
          <w:tcPr>
            <w:tcW w:w="2758" w:type="pct"/>
            <w:vMerge w:val="continue"/>
            <w:noWrap w:val="0"/>
            <w:vAlign w:val="top"/>
          </w:tcPr>
          <w:p>
            <w:pPr>
              <w:jc w:val="lef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noWrap w:val="0"/>
            <w:vAlign w:val="top"/>
          </w:tcPr>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902" w:type="pct"/>
            <w:noWrap w:val="0"/>
            <w:vAlign w:val="top"/>
          </w:tcPr>
          <w:p>
            <w:pPr>
              <w:jc w:val="left"/>
              <w:rPr>
                <w:rFonts w:hint="eastAsia" w:ascii="仿宋" w:hAnsi="仿宋" w:eastAsia="仿宋" w:cs="仿宋"/>
                <w:color w:val="auto"/>
                <w:sz w:val="28"/>
                <w:szCs w:val="28"/>
                <w:highlight w:val="none"/>
              </w:rPr>
            </w:pPr>
          </w:p>
        </w:tc>
        <w:tc>
          <w:tcPr>
            <w:tcW w:w="2758" w:type="pct"/>
            <w:vMerge w:val="continue"/>
            <w:noWrap w:val="0"/>
            <w:vAlign w:val="top"/>
          </w:tcPr>
          <w:p>
            <w:pPr>
              <w:jc w:val="lef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noWrap w:val="0"/>
            <w:vAlign w:val="top"/>
          </w:tcPr>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资质证书编号</w:t>
            </w:r>
          </w:p>
        </w:tc>
        <w:tc>
          <w:tcPr>
            <w:tcW w:w="902" w:type="pct"/>
            <w:noWrap w:val="0"/>
            <w:vAlign w:val="top"/>
          </w:tcPr>
          <w:p>
            <w:pPr>
              <w:jc w:val="left"/>
              <w:rPr>
                <w:rFonts w:hint="eastAsia" w:ascii="仿宋" w:hAnsi="仿宋" w:eastAsia="仿宋" w:cs="仿宋"/>
                <w:color w:val="auto"/>
                <w:sz w:val="28"/>
                <w:szCs w:val="28"/>
                <w:highlight w:val="none"/>
              </w:rPr>
            </w:pPr>
          </w:p>
        </w:tc>
        <w:tc>
          <w:tcPr>
            <w:tcW w:w="2758" w:type="pct"/>
            <w:vMerge w:val="continue"/>
            <w:noWrap w:val="0"/>
            <w:vAlign w:val="top"/>
          </w:tcPr>
          <w:p>
            <w:pPr>
              <w:jc w:val="lef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pct"/>
            <w:noWrap w:val="0"/>
            <w:vAlign w:val="top"/>
          </w:tcPr>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其它资质情况</w:t>
            </w:r>
          </w:p>
        </w:tc>
        <w:tc>
          <w:tcPr>
            <w:tcW w:w="902" w:type="pct"/>
            <w:noWrap w:val="0"/>
            <w:vAlign w:val="top"/>
          </w:tcPr>
          <w:p>
            <w:pPr>
              <w:jc w:val="left"/>
              <w:rPr>
                <w:rFonts w:hint="eastAsia" w:ascii="仿宋" w:hAnsi="仿宋" w:eastAsia="仿宋" w:cs="仿宋"/>
                <w:color w:val="auto"/>
                <w:sz w:val="28"/>
                <w:szCs w:val="28"/>
                <w:highlight w:val="none"/>
              </w:rPr>
            </w:pPr>
          </w:p>
        </w:tc>
        <w:tc>
          <w:tcPr>
            <w:tcW w:w="2758" w:type="pct"/>
            <w:vMerge w:val="continue"/>
            <w:noWrap w:val="0"/>
            <w:vAlign w:val="top"/>
          </w:tcPr>
          <w:p>
            <w:pPr>
              <w:jc w:val="lef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39" w:type="pct"/>
            <w:noWrap w:val="0"/>
            <w:vAlign w:val="top"/>
          </w:tcPr>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902" w:type="pct"/>
            <w:noWrap w:val="0"/>
            <w:vAlign w:val="top"/>
          </w:tcPr>
          <w:p>
            <w:pPr>
              <w:jc w:val="left"/>
              <w:rPr>
                <w:rFonts w:hint="eastAsia" w:ascii="仿宋" w:hAnsi="仿宋" w:eastAsia="仿宋" w:cs="仿宋"/>
                <w:color w:val="auto"/>
                <w:sz w:val="28"/>
                <w:szCs w:val="28"/>
                <w:highlight w:val="none"/>
              </w:rPr>
            </w:pPr>
          </w:p>
        </w:tc>
        <w:tc>
          <w:tcPr>
            <w:tcW w:w="2758" w:type="pct"/>
            <w:vMerge w:val="continue"/>
            <w:noWrap w:val="0"/>
            <w:vAlign w:val="top"/>
          </w:tcPr>
          <w:p>
            <w:pPr>
              <w:jc w:val="left"/>
              <w:rPr>
                <w:rFonts w:hint="eastAsia" w:ascii="仿宋" w:hAnsi="仿宋" w:eastAsia="仿宋" w:cs="仿宋"/>
                <w:color w:val="auto"/>
                <w:sz w:val="28"/>
                <w:szCs w:val="28"/>
                <w:highlight w:val="none"/>
              </w:rPr>
            </w:pPr>
          </w:p>
        </w:tc>
      </w:tr>
    </w:tbl>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注：随表提交相应的身份证、社保缴纳证明、学历证及资质证书复印件。 </w:t>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jc w:val="center"/>
        <w:rPr>
          <w:rFonts w:hint="eastAsia" w:ascii="仿宋" w:hAnsi="仿宋" w:eastAsia="仿宋" w:cs="仿宋"/>
          <w:b/>
          <w:bCs/>
          <w:color w:val="auto"/>
          <w:sz w:val="28"/>
          <w:szCs w:val="28"/>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附表B:本项目的项目小组人员情况表（按此格式自制）</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739"/>
        <w:gridCol w:w="768"/>
        <w:gridCol w:w="739"/>
        <w:gridCol w:w="883"/>
        <w:gridCol w:w="825"/>
        <w:gridCol w:w="840"/>
        <w:gridCol w:w="1166"/>
        <w:gridCol w:w="117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18" w:type="pct"/>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81" w:type="pct"/>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396" w:type="pct"/>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tc>
        <w:tc>
          <w:tcPr>
            <w:tcW w:w="381" w:type="pct"/>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tc>
        <w:tc>
          <w:tcPr>
            <w:tcW w:w="455" w:type="pct"/>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425" w:type="pct"/>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w:t>
            </w:r>
          </w:p>
        </w:tc>
        <w:tc>
          <w:tcPr>
            <w:tcW w:w="433" w:type="pct"/>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601" w:type="pct"/>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本项目职责</w:t>
            </w:r>
          </w:p>
        </w:tc>
        <w:tc>
          <w:tcPr>
            <w:tcW w:w="605" w:type="pct"/>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项目经历</w:t>
            </w:r>
          </w:p>
        </w:tc>
        <w:tc>
          <w:tcPr>
            <w:tcW w:w="906" w:type="pct"/>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参与本项目到位情况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jc w:val="center"/>
              <w:rPr>
                <w:rFonts w:hint="eastAsia" w:ascii="仿宋" w:hAnsi="仿宋" w:eastAsia="仿宋" w:cs="仿宋"/>
                <w:color w:val="auto"/>
                <w:sz w:val="28"/>
                <w:szCs w:val="28"/>
                <w:highlight w:val="none"/>
              </w:rPr>
            </w:pPr>
          </w:p>
        </w:tc>
        <w:tc>
          <w:tcPr>
            <w:tcW w:w="381" w:type="pct"/>
            <w:noWrap w:val="0"/>
            <w:vAlign w:val="center"/>
          </w:tcPr>
          <w:p>
            <w:pPr>
              <w:jc w:val="center"/>
              <w:rPr>
                <w:rFonts w:hint="eastAsia" w:ascii="仿宋" w:hAnsi="仿宋" w:eastAsia="仿宋" w:cs="仿宋"/>
                <w:color w:val="auto"/>
                <w:sz w:val="28"/>
                <w:szCs w:val="28"/>
                <w:highlight w:val="none"/>
              </w:rPr>
            </w:pPr>
          </w:p>
        </w:tc>
        <w:tc>
          <w:tcPr>
            <w:tcW w:w="396" w:type="pct"/>
            <w:noWrap w:val="0"/>
            <w:vAlign w:val="center"/>
          </w:tcPr>
          <w:p>
            <w:pPr>
              <w:jc w:val="center"/>
              <w:rPr>
                <w:rFonts w:hint="eastAsia" w:ascii="仿宋" w:hAnsi="仿宋" w:eastAsia="仿宋" w:cs="仿宋"/>
                <w:color w:val="auto"/>
                <w:sz w:val="28"/>
                <w:szCs w:val="28"/>
                <w:highlight w:val="none"/>
              </w:rPr>
            </w:pPr>
          </w:p>
        </w:tc>
        <w:tc>
          <w:tcPr>
            <w:tcW w:w="381" w:type="pct"/>
            <w:noWrap w:val="0"/>
            <w:vAlign w:val="center"/>
          </w:tcPr>
          <w:p>
            <w:pPr>
              <w:jc w:val="center"/>
              <w:rPr>
                <w:rFonts w:hint="eastAsia" w:ascii="仿宋" w:hAnsi="仿宋" w:eastAsia="仿宋" w:cs="仿宋"/>
                <w:color w:val="auto"/>
                <w:sz w:val="28"/>
                <w:szCs w:val="28"/>
                <w:highlight w:val="none"/>
              </w:rPr>
            </w:pPr>
          </w:p>
        </w:tc>
        <w:tc>
          <w:tcPr>
            <w:tcW w:w="455" w:type="pct"/>
            <w:noWrap w:val="0"/>
            <w:vAlign w:val="center"/>
          </w:tcPr>
          <w:p>
            <w:pPr>
              <w:jc w:val="center"/>
              <w:rPr>
                <w:rFonts w:hint="eastAsia" w:ascii="仿宋" w:hAnsi="仿宋" w:eastAsia="仿宋" w:cs="仿宋"/>
                <w:color w:val="auto"/>
                <w:sz w:val="28"/>
                <w:szCs w:val="28"/>
                <w:highlight w:val="none"/>
              </w:rPr>
            </w:pPr>
          </w:p>
        </w:tc>
        <w:tc>
          <w:tcPr>
            <w:tcW w:w="425" w:type="pct"/>
            <w:noWrap w:val="0"/>
            <w:vAlign w:val="center"/>
          </w:tcPr>
          <w:p>
            <w:pPr>
              <w:jc w:val="center"/>
              <w:rPr>
                <w:rFonts w:hint="eastAsia" w:ascii="仿宋" w:hAnsi="仿宋" w:eastAsia="仿宋" w:cs="仿宋"/>
                <w:color w:val="auto"/>
                <w:sz w:val="28"/>
                <w:szCs w:val="28"/>
                <w:highlight w:val="none"/>
              </w:rPr>
            </w:pPr>
          </w:p>
        </w:tc>
        <w:tc>
          <w:tcPr>
            <w:tcW w:w="433" w:type="pct"/>
            <w:noWrap w:val="0"/>
            <w:vAlign w:val="center"/>
          </w:tcPr>
          <w:p>
            <w:pPr>
              <w:jc w:val="center"/>
              <w:rPr>
                <w:rFonts w:hint="eastAsia" w:ascii="仿宋" w:hAnsi="仿宋" w:eastAsia="仿宋" w:cs="仿宋"/>
                <w:color w:val="auto"/>
                <w:sz w:val="28"/>
                <w:szCs w:val="28"/>
                <w:highlight w:val="none"/>
              </w:rPr>
            </w:pPr>
          </w:p>
        </w:tc>
        <w:tc>
          <w:tcPr>
            <w:tcW w:w="601" w:type="pct"/>
            <w:noWrap w:val="0"/>
            <w:vAlign w:val="center"/>
          </w:tcPr>
          <w:p>
            <w:pPr>
              <w:jc w:val="center"/>
              <w:rPr>
                <w:rFonts w:hint="eastAsia" w:ascii="仿宋" w:hAnsi="仿宋" w:eastAsia="仿宋" w:cs="仿宋"/>
                <w:color w:val="auto"/>
                <w:sz w:val="28"/>
                <w:szCs w:val="28"/>
                <w:highlight w:val="none"/>
              </w:rPr>
            </w:pPr>
          </w:p>
        </w:tc>
        <w:tc>
          <w:tcPr>
            <w:tcW w:w="605" w:type="pct"/>
            <w:noWrap w:val="0"/>
            <w:vAlign w:val="center"/>
          </w:tcPr>
          <w:p>
            <w:pPr>
              <w:jc w:val="center"/>
              <w:rPr>
                <w:rFonts w:hint="eastAsia" w:ascii="仿宋" w:hAnsi="仿宋" w:eastAsia="仿宋" w:cs="仿宋"/>
                <w:color w:val="auto"/>
                <w:sz w:val="28"/>
                <w:szCs w:val="28"/>
                <w:highlight w:val="none"/>
              </w:rPr>
            </w:pPr>
          </w:p>
        </w:tc>
        <w:tc>
          <w:tcPr>
            <w:tcW w:w="906" w:type="pct"/>
            <w:noWrap w:val="0"/>
            <w:vAlign w:val="center"/>
          </w:tcPr>
          <w:p>
            <w:pPr>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pPr>
              <w:jc w:val="center"/>
              <w:rPr>
                <w:rFonts w:hint="eastAsia" w:ascii="仿宋" w:hAnsi="仿宋" w:eastAsia="仿宋" w:cs="仿宋"/>
                <w:color w:val="auto"/>
                <w:sz w:val="28"/>
                <w:szCs w:val="28"/>
                <w:highlight w:val="none"/>
              </w:rPr>
            </w:pPr>
          </w:p>
        </w:tc>
        <w:tc>
          <w:tcPr>
            <w:tcW w:w="381" w:type="pct"/>
            <w:noWrap w:val="0"/>
            <w:vAlign w:val="center"/>
          </w:tcPr>
          <w:p>
            <w:pPr>
              <w:jc w:val="center"/>
              <w:rPr>
                <w:rFonts w:hint="eastAsia" w:ascii="仿宋" w:hAnsi="仿宋" w:eastAsia="仿宋" w:cs="仿宋"/>
                <w:color w:val="auto"/>
                <w:sz w:val="28"/>
                <w:szCs w:val="28"/>
                <w:highlight w:val="none"/>
              </w:rPr>
            </w:pPr>
          </w:p>
        </w:tc>
        <w:tc>
          <w:tcPr>
            <w:tcW w:w="396" w:type="pct"/>
            <w:noWrap w:val="0"/>
            <w:vAlign w:val="center"/>
          </w:tcPr>
          <w:p>
            <w:pPr>
              <w:jc w:val="center"/>
              <w:rPr>
                <w:rFonts w:hint="eastAsia" w:ascii="仿宋" w:hAnsi="仿宋" w:eastAsia="仿宋" w:cs="仿宋"/>
                <w:color w:val="auto"/>
                <w:sz w:val="28"/>
                <w:szCs w:val="28"/>
                <w:highlight w:val="none"/>
              </w:rPr>
            </w:pPr>
          </w:p>
        </w:tc>
        <w:tc>
          <w:tcPr>
            <w:tcW w:w="381" w:type="pct"/>
            <w:noWrap w:val="0"/>
            <w:vAlign w:val="center"/>
          </w:tcPr>
          <w:p>
            <w:pPr>
              <w:jc w:val="center"/>
              <w:rPr>
                <w:rFonts w:hint="eastAsia" w:ascii="仿宋" w:hAnsi="仿宋" w:eastAsia="仿宋" w:cs="仿宋"/>
                <w:color w:val="auto"/>
                <w:sz w:val="28"/>
                <w:szCs w:val="28"/>
                <w:highlight w:val="none"/>
              </w:rPr>
            </w:pPr>
          </w:p>
        </w:tc>
        <w:tc>
          <w:tcPr>
            <w:tcW w:w="455" w:type="pct"/>
            <w:noWrap w:val="0"/>
            <w:vAlign w:val="center"/>
          </w:tcPr>
          <w:p>
            <w:pPr>
              <w:jc w:val="center"/>
              <w:rPr>
                <w:rFonts w:hint="eastAsia" w:ascii="仿宋" w:hAnsi="仿宋" w:eastAsia="仿宋" w:cs="仿宋"/>
                <w:color w:val="auto"/>
                <w:sz w:val="28"/>
                <w:szCs w:val="28"/>
                <w:highlight w:val="none"/>
              </w:rPr>
            </w:pPr>
          </w:p>
        </w:tc>
        <w:tc>
          <w:tcPr>
            <w:tcW w:w="425" w:type="pct"/>
            <w:noWrap w:val="0"/>
            <w:vAlign w:val="center"/>
          </w:tcPr>
          <w:p>
            <w:pPr>
              <w:jc w:val="center"/>
              <w:rPr>
                <w:rFonts w:hint="eastAsia" w:ascii="仿宋" w:hAnsi="仿宋" w:eastAsia="仿宋" w:cs="仿宋"/>
                <w:color w:val="auto"/>
                <w:sz w:val="28"/>
                <w:szCs w:val="28"/>
                <w:highlight w:val="none"/>
              </w:rPr>
            </w:pPr>
          </w:p>
        </w:tc>
        <w:tc>
          <w:tcPr>
            <w:tcW w:w="433" w:type="pct"/>
            <w:noWrap w:val="0"/>
            <w:vAlign w:val="center"/>
          </w:tcPr>
          <w:p>
            <w:pPr>
              <w:jc w:val="center"/>
              <w:rPr>
                <w:rFonts w:hint="eastAsia" w:ascii="仿宋" w:hAnsi="仿宋" w:eastAsia="仿宋" w:cs="仿宋"/>
                <w:color w:val="auto"/>
                <w:sz w:val="28"/>
                <w:szCs w:val="28"/>
                <w:highlight w:val="none"/>
              </w:rPr>
            </w:pPr>
          </w:p>
        </w:tc>
        <w:tc>
          <w:tcPr>
            <w:tcW w:w="601" w:type="pct"/>
            <w:noWrap w:val="0"/>
            <w:vAlign w:val="center"/>
          </w:tcPr>
          <w:p>
            <w:pPr>
              <w:jc w:val="center"/>
              <w:rPr>
                <w:rFonts w:hint="eastAsia" w:ascii="仿宋" w:hAnsi="仿宋" w:eastAsia="仿宋" w:cs="仿宋"/>
                <w:color w:val="auto"/>
                <w:sz w:val="28"/>
                <w:szCs w:val="28"/>
                <w:highlight w:val="none"/>
              </w:rPr>
            </w:pPr>
          </w:p>
        </w:tc>
        <w:tc>
          <w:tcPr>
            <w:tcW w:w="605" w:type="pct"/>
            <w:noWrap w:val="0"/>
            <w:vAlign w:val="center"/>
          </w:tcPr>
          <w:p>
            <w:pPr>
              <w:jc w:val="center"/>
              <w:rPr>
                <w:rFonts w:hint="eastAsia" w:ascii="仿宋" w:hAnsi="仿宋" w:eastAsia="仿宋" w:cs="仿宋"/>
                <w:color w:val="auto"/>
                <w:sz w:val="28"/>
                <w:szCs w:val="28"/>
                <w:highlight w:val="none"/>
              </w:rPr>
            </w:pPr>
          </w:p>
        </w:tc>
        <w:tc>
          <w:tcPr>
            <w:tcW w:w="906" w:type="pct"/>
            <w:noWrap w:val="0"/>
            <w:vAlign w:val="center"/>
          </w:tcPr>
          <w:p>
            <w:pPr>
              <w:jc w:val="center"/>
              <w:rPr>
                <w:rFonts w:hint="eastAsia" w:ascii="仿宋" w:hAnsi="仿宋" w:eastAsia="仿宋" w:cs="仿宋"/>
                <w:color w:val="auto"/>
                <w:sz w:val="28"/>
                <w:szCs w:val="28"/>
                <w:highlight w:val="none"/>
              </w:rPr>
            </w:pPr>
          </w:p>
        </w:tc>
      </w:tr>
    </w:tbl>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注：供应商可按上述的格式自行编制，须随表提交相应的身份证、</w:t>
      </w:r>
      <w:r>
        <w:rPr>
          <w:rFonts w:hint="eastAsia" w:ascii="仿宋" w:hAnsi="仿宋" w:eastAsia="仿宋" w:cs="仿宋"/>
          <w:color w:val="auto"/>
          <w:sz w:val="28"/>
          <w:szCs w:val="28"/>
          <w:highlight w:val="none"/>
          <w:lang w:val="en-US" w:eastAsia="zh-CN"/>
        </w:rPr>
        <w:t>劳动合同</w:t>
      </w:r>
      <w:r>
        <w:rPr>
          <w:rFonts w:hint="eastAsia" w:ascii="仿宋" w:hAnsi="仿宋" w:eastAsia="仿宋" w:cs="仿宋"/>
          <w:color w:val="auto"/>
          <w:sz w:val="28"/>
          <w:szCs w:val="28"/>
          <w:highlight w:val="none"/>
        </w:rPr>
        <w:t>、学历证及资质证书复印件。</w:t>
      </w:r>
    </w:p>
    <w:p>
      <w:pPr>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 xml:space="preserve">        </w:t>
      </w:r>
    </w:p>
    <w:p>
      <w:pPr>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br w:type="page"/>
      </w:r>
    </w:p>
    <w:p>
      <w:pPr>
        <w:spacing w:line="240" w:lineRule="auto"/>
        <w:ind w:left="2560" w:right="105" w:rightChars="50" w:firstLine="964" w:firstLineChars="300"/>
        <w:outlineLvl w:val="2"/>
        <w:rPr>
          <w:rFonts w:hint="eastAsia" w:ascii="仿宋" w:hAnsi="仿宋" w:eastAsia="仿宋" w:cs="仿宋"/>
          <w:color w:val="auto"/>
          <w:sz w:val="32"/>
          <w:szCs w:val="32"/>
          <w:highlight w:val="none"/>
        </w:rPr>
      </w:pPr>
      <w:r>
        <w:rPr>
          <w:rFonts w:hint="eastAsia" w:ascii="仿宋" w:hAnsi="仿宋" w:eastAsia="仿宋" w:cs="仿宋"/>
          <w:b/>
          <w:sz w:val="32"/>
          <w:szCs w:val="30"/>
          <w:lang w:val="en-US" w:eastAsia="zh-CN"/>
        </w:rPr>
        <w:t>八、</w:t>
      </w:r>
      <w:r>
        <w:rPr>
          <w:rFonts w:hint="eastAsia" w:ascii="仿宋" w:hAnsi="仿宋" w:eastAsia="仿宋" w:cs="仿宋"/>
          <w:b/>
          <w:bCs/>
          <w:color w:val="auto"/>
          <w:sz w:val="32"/>
          <w:szCs w:val="32"/>
          <w:highlight w:val="none"/>
        </w:rPr>
        <w:t>投标单位简介</w:t>
      </w:r>
    </w:p>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项目名称：</w:t>
      </w:r>
    </w:p>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项目编号：                                                </w:t>
      </w:r>
    </w:p>
    <w:tbl>
      <w:tblPr>
        <w:tblStyle w:val="44"/>
        <w:tblW w:w="915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174"/>
        <w:gridCol w:w="1126"/>
        <w:gridCol w:w="1060"/>
        <w:gridCol w:w="1189"/>
        <w:gridCol w:w="1374"/>
        <w:gridCol w:w="1165"/>
        <w:gridCol w:w="107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174" w:type="dxa"/>
            <w:tcBorders>
              <w:top w:val="single" w:color="auto" w:sz="6" w:space="0"/>
              <w:left w:val="single" w:color="auto" w:sz="6"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投标人名称</w:t>
            </w:r>
          </w:p>
        </w:tc>
        <w:tc>
          <w:tcPr>
            <w:tcW w:w="6985" w:type="dxa"/>
            <w:gridSpan w:val="6"/>
            <w:tcBorders>
              <w:top w:val="single" w:color="auto" w:sz="6" w:space="0"/>
              <w:left w:val="single" w:color="auto" w:sz="6"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注册地址</w:t>
            </w:r>
          </w:p>
        </w:tc>
        <w:tc>
          <w:tcPr>
            <w:tcW w:w="3375" w:type="dxa"/>
            <w:gridSpan w:val="3"/>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374"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邮政编码</w:t>
            </w:r>
          </w:p>
        </w:tc>
        <w:tc>
          <w:tcPr>
            <w:tcW w:w="2236" w:type="dxa"/>
            <w:gridSpan w:val="2"/>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2174" w:type="dxa"/>
            <w:vMerge w:val="restart"/>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联系方式</w:t>
            </w:r>
          </w:p>
        </w:tc>
        <w:tc>
          <w:tcPr>
            <w:tcW w:w="1126"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联系人</w:t>
            </w:r>
          </w:p>
        </w:tc>
        <w:tc>
          <w:tcPr>
            <w:tcW w:w="2249" w:type="dxa"/>
            <w:gridSpan w:val="2"/>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374"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电话</w:t>
            </w:r>
          </w:p>
        </w:tc>
        <w:tc>
          <w:tcPr>
            <w:tcW w:w="2236" w:type="dxa"/>
            <w:gridSpan w:val="2"/>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vMerge w:val="continue"/>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126"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传真</w:t>
            </w:r>
          </w:p>
        </w:tc>
        <w:tc>
          <w:tcPr>
            <w:tcW w:w="2249" w:type="dxa"/>
            <w:gridSpan w:val="2"/>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374"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网址</w:t>
            </w:r>
          </w:p>
        </w:tc>
        <w:tc>
          <w:tcPr>
            <w:tcW w:w="2236" w:type="dxa"/>
            <w:gridSpan w:val="2"/>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企业性质</w:t>
            </w:r>
          </w:p>
        </w:tc>
        <w:tc>
          <w:tcPr>
            <w:tcW w:w="6985" w:type="dxa"/>
            <w:gridSpan w:val="6"/>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法定代表人</w:t>
            </w:r>
          </w:p>
        </w:tc>
        <w:tc>
          <w:tcPr>
            <w:tcW w:w="1126"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姓名</w:t>
            </w:r>
          </w:p>
        </w:tc>
        <w:tc>
          <w:tcPr>
            <w:tcW w:w="1060"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189"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技术职称</w:t>
            </w:r>
          </w:p>
        </w:tc>
        <w:tc>
          <w:tcPr>
            <w:tcW w:w="1374"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165"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电话</w:t>
            </w:r>
          </w:p>
        </w:tc>
        <w:tc>
          <w:tcPr>
            <w:tcW w:w="1071" w:type="dxa"/>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项目负责人</w:t>
            </w:r>
          </w:p>
        </w:tc>
        <w:tc>
          <w:tcPr>
            <w:tcW w:w="1126"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姓名</w:t>
            </w:r>
          </w:p>
        </w:tc>
        <w:tc>
          <w:tcPr>
            <w:tcW w:w="1060"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189"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技术职称</w:t>
            </w:r>
          </w:p>
        </w:tc>
        <w:tc>
          <w:tcPr>
            <w:tcW w:w="1374"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c>
          <w:tcPr>
            <w:tcW w:w="1165" w:type="dxa"/>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电话</w:t>
            </w:r>
          </w:p>
        </w:tc>
        <w:tc>
          <w:tcPr>
            <w:tcW w:w="1071" w:type="dxa"/>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成立时间</w:t>
            </w:r>
          </w:p>
        </w:tc>
        <w:tc>
          <w:tcPr>
            <w:tcW w:w="6985" w:type="dxa"/>
            <w:gridSpan w:val="6"/>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员工总人数：</w:t>
            </w:r>
          </w:p>
        </w:tc>
        <w:tc>
          <w:tcPr>
            <w:tcW w:w="6985" w:type="dxa"/>
            <w:gridSpan w:val="6"/>
            <w:tcBorders>
              <w:bottom w:val="single" w:color="auto" w:sz="4"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营业执照号</w:t>
            </w:r>
          </w:p>
        </w:tc>
        <w:tc>
          <w:tcPr>
            <w:tcW w:w="6985" w:type="dxa"/>
            <w:gridSpan w:val="6"/>
            <w:tcBorders>
              <w:top w:val="single" w:color="auto" w:sz="4" w:space="0"/>
              <w:bottom w:val="single" w:color="auto" w:sz="4"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注册资金</w:t>
            </w:r>
          </w:p>
        </w:tc>
        <w:tc>
          <w:tcPr>
            <w:tcW w:w="6985" w:type="dxa"/>
            <w:gridSpan w:val="6"/>
            <w:tcBorders>
              <w:top w:val="single" w:color="auto" w:sz="4" w:space="0"/>
              <w:bottom w:val="single" w:color="auto" w:sz="4"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开户银行</w:t>
            </w:r>
          </w:p>
        </w:tc>
        <w:tc>
          <w:tcPr>
            <w:tcW w:w="6985" w:type="dxa"/>
            <w:gridSpan w:val="6"/>
            <w:tcBorders>
              <w:top w:val="single" w:color="auto" w:sz="4" w:space="0"/>
              <w:bottom w:val="single" w:color="auto" w:sz="4"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账号</w:t>
            </w:r>
          </w:p>
        </w:tc>
        <w:tc>
          <w:tcPr>
            <w:tcW w:w="6985" w:type="dxa"/>
            <w:gridSpan w:val="6"/>
            <w:tcBorders>
              <w:top w:val="single" w:color="auto" w:sz="4" w:space="0"/>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80" w:hRule="atLeast"/>
          <w:jc w:val="center"/>
        </w:trPr>
        <w:tc>
          <w:tcPr>
            <w:tcW w:w="2174" w:type="dxa"/>
            <w:tcBorders>
              <w:lef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经营范围</w:t>
            </w:r>
          </w:p>
        </w:tc>
        <w:tc>
          <w:tcPr>
            <w:tcW w:w="6985" w:type="dxa"/>
            <w:gridSpan w:val="6"/>
            <w:tcBorders>
              <w:right w:val="single" w:color="auto" w:sz="6" w:space="0"/>
            </w:tcBorders>
            <w:noWrap w:val="0"/>
            <w:vAlign w:val="center"/>
          </w:tcPr>
          <w:p>
            <w:pPr>
              <w:autoSpaceDE w:val="0"/>
              <w:autoSpaceDN w:val="0"/>
              <w:adjustRightInd w:val="0"/>
              <w:spacing w:line="240" w:lineRule="auto"/>
              <w:rPr>
                <w:rFonts w:hint="eastAsia" w:ascii="仿宋" w:hAnsi="仿宋" w:eastAsia="仿宋" w:cs="仿宋"/>
                <w:bCs/>
                <w:color w:val="auto"/>
                <w:kern w:val="0"/>
                <w:sz w:val="24"/>
                <w:szCs w:val="24"/>
                <w:highlight w:val="none"/>
              </w:rPr>
            </w:pPr>
          </w:p>
        </w:tc>
      </w:tr>
    </w:tbl>
    <w:p>
      <w:pPr>
        <w:pStyle w:val="39"/>
        <w:spacing w:before="0" w:beforeAutospacing="0" w:after="0" w:afterAutospacing="0"/>
        <w:rPr>
          <w:rFonts w:hint="eastAsia" w:ascii="仿宋" w:hAnsi="仿宋" w:eastAsia="仿宋" w:cs="仿宋"/>
          <w:snapToGrid w:val="0"/>
        </w:rPr>
      </w:pPr>
      <w:r>
        <w:rPr>
          <w:rFonts w:hint="eastAsia" w:ascii="仿宋" w:hAnsi="仿宋" w:eastAsia="仿宋" w:cs="仿宋"/>
          <w:snapToGrid w:val="0"/>
        </w:rPr>
        <w:t>说明：本表后应附有</w:t>
      </w:r>
      <w:r>
        <w:rPr>
          <w:rFonts w:hint="eastAsia" w:ascii="仿宋" w:hAnsi="仿宋" w:eastAsia="仿宋" w:cs="仿宋"/>
          <w:snapToGrid w:val="0"/>
          <w:lang w:val="en-US" w:eastAsia="zh-CN"/>
        </w:rPr>
        <w:t>供应商营业执照、</w:t>
      </w:r>
      <w:r>
        <w:rPr>
          <w:rFonts w:hint="eastAsia" w:ascii="仿宋" w:hAnsi="仿宋" w:eastAsia="仿宋" w:cs="仿宋"/>
          <w:snapToGrid w:val="0"/>
        </w:rPr>
        <w:t>单位简介。</w:t>
      </w:r>
    </w:p>
    <w:p>
      <w:pPr>
        <w:snapToGrid w:val="0"/>
        <w:rPr>
          <w:rFonts w:hint="eastAsia" w:ascii="仿宋" w:hAnsi="仿宋" w:eastAsia="仿宋" w:cs="仿宋"/>
          <w:sz w:val="24"/>
          <w:szCs w:val="24"/>
        </w:rPr>
      </w:pPr>
    </w:p>
    <w:p>
      <w:pPr>
        <w:spacing w:line="360" w:lineRule="auto"/>
        <w:rPr>
          <w:rFonts w:hint="eastAsia" w:ascii="仿宋" w:hAnsi="仿宋" w:eastAsia="仿宋" w:cs="仿宋"/>
          <w:sz w:val="24"/>
        </w:rPr>
      </w:pPr>
      <w:r>
        <w:rPr>
          <w:rFonts w:hint="eastAsia" w:ascii="仿宋" w:hAnsi="仿宋" w:eastAsia="仿宋" w:cs="仿宋"/>
          <w:sz w:val="24"/>
        </w:rPr>
        <w:t xml:space="preserve">投标单位名称（单位公章）：                         </w:t>
      </w:r>
    </w:p>
    <w:p>
      <w:pPr>
        <w:spacing w:line="360" w:lineRule="auto"/>
        <w:ind w:firstLine="480"/>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法定代表人或其授权委托人（签字或盖章）：</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日期：   年   月   日</w:t>
      </w:r>
    </w:p>
    <w:p>
      <w:pPr>
        <w:spacing w:line="440" w:lineRule="exact"/>
        <w:ind w:firstLine="562" w:firstLineChars="200"/>
        <w:rPr>
          <w:rFonts w:hint="eastAsia" w:ascii="仿宋" w:hAnsi="仿宋" w:eastAsia="仿宋" w:cs="仿宋"/>
          <w:b/>
          <w:bCs/>
          <w:kern w:val="2"/>
          <w:sz w:val="28"/>
          <w:szCs w:val="32"/>
          <w:lang w:val="en-US" w:eastAsia="zh-CN" w:bidi="ar-SA"/>
        </w:rPr>
      </w:pPr>
    </w:p>
    <w:p>
      <w:pPr>
        <w:spacing w:line="360" w:lineRule="auto"/>
        <w:rPr>
          <w:rFonts w:hint="eastAsia" w:ascii="仿宋" w:hAnsi="仿宋" w:eastAsia="仿宋" w:cs="仿宋"/>
          <w:sz w:val="24"/>
        </w:rPr>
      </w:pPr>
    </w:p>
    <w:p>
      <w:pPr>
        <w:spacing w:line="360" w:lineRule="auto"/>
        <w:ind w:firstLine="562" w:firstLineChars="200"/>
        <w:jc w:val="center"/>
        <w:rPr>
          <w:rFonts w:hint="eastAsia" w:ascii="仿宋" w:hAnsi="仿宋" w:eastAsia="仿宋" w:cs="仿宋"/>
          <w:b/>
          <w:bCs/>
          <w:kern w:val="2"/>
          <w:sz w:val="28"/>
          <w:szCs w:val="32"/>
          <w:lang w:val="en-US" w:eastAsia="zh-CN" w:bidi="ar-SA"/>
        </w:rPr>
        <w:sectPr>
          <w:headerReference r:id="rId3" w:type="default"/>
          <w:footerReference r:id="rId4" w:type="default"/>
          <w:pgSz w:w="11905" w:h="16838"/>
          <w:pgMar w:top="1140" w:right="1202" w:bottom="1162" w:left="1219" w:header="851" w:footer="992" w:gutter="0"/>
          <w:cols w:space="720" w:num="1"/>
          <w:docGrid w:type="lines" w:linePitch="316" w:charSpace="0"/>
        </w:sectPr>
      </w:pPr>
    </w:p>
    <w:p>
      <w:pPr>
        <w:spacing w:line="360" w:lineRule="auto"/>
        <w:ind w:firstLine="562" w:firstLineChars="200"/>
        <w:jc w:val="center"/>
        <w:rPr>
          <w:rFonts w:hint="eastAsia" w:ascii="仿宋" w:hAnsi="仿宋" w:eastAsia="仿宋" w:cs="仿宋"/>
          <w:b/>
          <w:bCs/>
          <w:kern w:val="2"/>
          <w:sz w:val="28"/>
          <w:szCs w:val="32"/>
          <w:lang w:val="en-US" w:eastAsia="zh-CN" w:bidi="ar-SA"/>
        </w:rPr>
      </w:pPr>
      <w:r>
        <w:rPr>
          <w:rFonts w:hint="eastAsia" w:ascii="仿宋" w:hAnsi="仿宋" w:eastAsia="仿宋" w:cs="仿宋"/>
          <w:b/>
          <w:bCs/>
          <w:kern w:val="2"/>
          <w:sz w:val="28"/>
          <w:szCs w:val="32"/>
          <w:lang w:val="en-US" w:eastAsia="zh-CN" w:bidi="ar-SA"/>
        </w:rPr>
        <w:t>九、近三年业绩及相关证明</w:t>
      </w:r>
    </w:p>
    <w:p>
      <w:pPr>
        <w:spacing w:line="400" w:lineRule="exact"/>
        <w:rPr>
          <w:rFonts w:hint="eastAsia" w:ascii="仿宋" w:hAnsi="仿宋" w:eastAsia="仿宋" w:cs="仿宋"/>
          <w:sz w:val="24"/>
        </w:rPr>
      </w:pPr>
      <w:r>
        <w:rPr>
          <w:rFonts w:hint="eastAsia" w:ascii="仿宋" w:hAnsi="仿宋" w:eastAsia="仿宋" w:cs="仿宋"/>
          <w:sz w:val="24"/>
        </w:rPr>
        <w:t>项目名称：</w:t>
      </w:r>
    </w:p>
    <w:p>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000000"/>
          <w:szCs w:val="21"/>
        </w:rPr>
      </w:pPr>
      <w:r>
        <w:rPr>
          <w:rFonts w:hint="eastAsia" w:ascii="仿宋" w:hAnsi="仿宋" w:eastAsia="仿宋" w:cs="仿宋"/>
          <w:sz w:val="24"/>
        </w:rPr>
        <w:t xml:space="preserve">项目编号：        </w:t>
      </w:r>
    </w:p>
    <w:tbl>
      <w:tblPr>
        <w:tblStyle w:val="44"/>
        <w:tblW w:w="0" w:type="auto"/>
        <w:jc w:val="center"/>
        <w:tblLayout w:type="fixed"/>
        <w:tblCellMar>
          <w:top w:w="0" w:type="dxa"/>
          <w:left w:w="108" w:type="dxa"/>
          <w:bottom w:w="0" w:type="dxa"/>
          <w:right w:w="108" w:type="dxa"/>
        </w:tblCellMar>
      </w:tblPr>
      <w:tblGrid>
        <w:gridCol w:w="863"/>
        <w:gridCol w:w="1441"/>
        <w:gridCol w:w="1700"/>
        <w:gridCol w:w="1694"/>
        <w:gridCol w:w="1839"/>
        <w:gridCol w:w="1839"/>
      </w:tblGrid>
      <w:tr>
        <w:tblPrEx>
          <w:tblCellMar>
            <w:top w:w="0" w:type="dxa"/>
            <w:left w:w="108" w:type="dxa"/>
            <w:bottom w:w="0" w:type="dxa"/>
            <w:right w:w="108" w:type="dxa"/>
          </w:tblCellMar>
        </w:tblPrEx>
        <w:trPr>
          <w:trHeight w:val="943"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center"/>
          </w:tcPr>
          <w:p>
            <w:pPr>
              <w:pStyle w:val="88"/>
              <w:jc w:val="center"/>
              <w:rPr>
                <w:rFonts w:hint="eastAsia" w:ascii="仿宋" w:hAnsi="仿宋" w:eastAsia="仿宋" w:cs="仿宋"/>
              </w:rPr>
            </w:pPr>
            <w:r>
              <w:rPr>
                <w:rFonts w:hint="eastAsia" w:ascii="仿宋" w:hAnsi="仿宋" w:eastAsia="仿宋" w:cs="仿宋"/>
              </w:rPr>
              <w:t>序号</w:t>
            </w:r>
          </w:p>
        </w:tc>
        <w:tc>
          <w:tcPr>
            <w:tcW w:w="1441" w:type="dxa"/>
            <w:tcBorders>
              <w:top w:val="single" w:color="auto" w:sz="6" w:space="0"/>
              <w:left w:val="single" w:color="auto" w:sz="6" w:space="0"/>
              <w:bottom w:val="single" w:color="auto" w:sz="6" w:space="0"/>
              <w:right w:val="single" w:color="auto" w:sz="6" w:space="0"/>
            </w:tcBorders>
            <w:noWrap w:val="0"/>
            <w:vAlign w:val="center"/>
          </w:tcPr>
          <w:p>
            <w:pPr>
              <w:pStyle w:val="88"/>
              <w:jc w:val="center"/>
              <w:rPr>
                <w:rFonts w:hint="eastAsia" w:ascii="仿宋" w:hAnsi="仿宋" w:eastAsia="仿宋" w:cs="仿宋"/>
              </w:rPr>
            </w:pPr>
            <w:r>
              <w:rPr>
                <w:rFonts w:hint="eastAsia" w:ascii="仿宋" w:hAnsi="仿宋" w:eastAsia="仿宋" w:cs="仿宋"/>
              </w:rPr>
              <w:t>项目名称</w:t>
            </w:r>
          </w:p>
        </w:tc>
        <w:tc>
          <w:tcPr>
            <w:tcW w:w="1700" w:type="dxa"/>
            <w:tcBorders>
              <w:top w:val="single" w:color="auto" w:sz="6" w:space="0"/>
              <w:left w:val="single" w:color="auto" w:sz="6" w:space="0"/>
              <w:bottom w:val="single" w:color="auto" w:sz="6" w:space="0"/>
              <w:right w:val="single" w:color="auto" w:sz="6" w:space="0"/>
            </w:tcBorders>
            <w:noWrap w:val="0"/>
            <w:vAlign w:val="center"/>
          </w:tcPr>
          <w:p>
            <w:pPr>
              <w:pStyle w:val="88"/>
              <w:jc w:val="center"/>
              <w:rPr>
                <w:rFonts w:hint="eastAsia" w:ascii="仿宋" w:hAnsi="仿宋" w:eastAsia="仿宋" w:cs="仿宋"/>
              </w:rPr>
            </w:pPr>
            <w:r>
              <w:rPr>
                <w:rFonts w:hint="eastAsia" w:ascii="仿宋" w:hAnsi="仿宋" w:eastAsia="仿宋" w:cs="仿宋"/>
              </w:rPr>
              <w:t>项目内容</w:t>
            </w:r>
          </w:p>
        </w:tc>
        <w:tc>
          <w:tcPr>
            <w:tcW w:w="1694" w:type="dxa"/>
            <w:tcBorders>
              <w:top w:val="single" w:color="auto" w:sz="6" w:space="0"/>
              <w:left w:val="single" w:color="auto" w:sz="6" w:space="0"/>
              <w:bottom w:val="single" w:color="auto" w:sz="6" w:space="0"/>
              <w:right w:val="single" w:color="auto" w:sz="6" w:space="0"/>
            </w:tcBorders>
            <w:noWrap w:val="0"/>
            <w:vAlign w:val="center"/>
          </w:tcPr>
          <w:p>
            <w:pPr>
              <w:pStyle w:val="88"/>
              <w:jc w:val="center"/>
              <w:rPr>
                <w:rFonts w:hint="eastAsia" w:ascii="仿宋" w:hAnsi="仿宋" w:eastAsia="仿宋" w:cs="仿宋"/>
              </w:rPr>
            </w:pPr>
            <w:r>
              <w:rPr>
                <w:rFonts w:hint="eastAsia" w:ascii="仿宋" w:hAnsi="仿宋" w:eastAsia="仿宋" w:cs="仿宋"/>
              </w:rPr>
              <w:t>合同金额</w:t>
            </w: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jc w:val="center"/>
              <w:rPr>
                <w:rFonts w:hint="eastAsia" w:ascii="仿宋" w:hAnsi="仿宋" w:eastAsia="仿宋" w:cs="仿宋"/>
              </w:rPr>
            </w:pPr>
            <w:r>
              <w:rPr>
                <w:rFonts w:hint="eastAsia" w:ascii="仿宋" w:hAnsi="仿宋" w:eastAsia="仿宋" w:cs="仿宋"/>
              </w:rPr>
              <w:t>项目单位联系人及电话</w:t>
            </w:r>
          </w:p>
        </w:tc>
        <w:tc>
          <w:tcPr>
            <w:tcW w:w="1839" w:type="dxa"/>
            <w:tcBorders>
              <w:top w:val="single" w:color="auto" w:sz="6" w:space="0"/>
              <w:left w:val="single" w:color="auto" w:sz="6" w:space="0"/>
              <w:bottom w:val="single" w:color="auto" w:sz="6" w:space="0"/>
              <w:right w:val="single" w:color="auto" w:sz="6" w:space="0"/>
            </w:tcBorders>
            <w:noWrap w:val="0"/>
            <w:vAlign w:val="center"/>
          </w:tcPr>
          <w:p>
            <w:pPr>
              <w:pStyle w:val="88"/>
              <w:jc w:val="center"/>
              <w:rPr>
                <w:rFonts w:hint="eastAsia" w:ascii="仿宋" w:hAnsi="仿宋" w:eastAsia="仿宋" w:cs="仿宋"/>
              </w:rPr>
            </w:pPr>
            <w:r>
              <w:rPr>
                <w:rFonts w:hint="eastAsia" w:ascii="仿宋" w:hAnsi="仿宋" w:eastAsia="仿宋" w:cs="仿宋"/>
              </w:rPr>
              <w:t>备  注</w:t>
            </w: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497"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r>
        <w:tblPrEx>
          <w:tblCellMar>
            <w:top w:w="0" w:type="dxa"/>
            <w:left w:w="108" w:type="dxa"/>
            <w:bottom w:w="0" w:type="dxa"/>
            <w:right w:w="108" w:type="dxa"/>
          </w:tblCellMar>
        </w:tblPrEx>
        <w:trPr>
          <w:trHeight w:val="553"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441"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694"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c>
          <w:tcPr>
            <w:tcW w:w="1839" w:type="dxa"/>
            <w:tcBorders>
              <w:top w:val="single" w:color="auto" w:sz="6" w:space="0"/>
              <w:left w:val="single" w:color="auto" w:sz="6" w:space="0"/>
              <w:bottom w:val="single" w:color="auto" w:sz="6" w:space="0"/>
              <w:right w:val="single" w:color="auto" w:sz="6" w:space="0"/>
            </w:tcBorders>
            <w:noWrap w:val="0"/>
            <w:vAlign w:val="top"/>
          </w:tcPr>
          <w:p>
            <w:pPr>
              <w:pStyle w:val="88"/>
              <w:rPr>
                <w:rFonts w:hint="eastAsia" w:ascii="仿宋" w:hAnsi="仿宋" w:eastAsia="仿宋" w:cs="仿宋"/>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000000"/>
          <w:szCs w:val="21"/>
        </w:rPr>
      </w:pPr>
      <w:r>
        <w:rPr>
          <w:rFonts w:hint="eastAsia" w:ascii="仿宋" w:hAnsi="仿宋" w:eastAsia="仿宋" w:cs="仿宋"/>
          <w:color w:val="000000"/>
          <w:szCs w:val="21"/>
        </w:rPr>
        <w:t>注：以上业绩须附经双方签章的合同或中标通知书证明材料，并加盖投标人公章（鲜章）。</w:t>
      </w:r>
    </w:p>
    <w:p>
      <w:pPr>
        <w:spacing w:line="360" w:lineRule="auto"/>
        <w:jc w:val="center"/>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投标单位（公章）：</w:t>
      </w:r>
    </w:p>
    <w:p>
      <w:pPr>
        <w:spacing w:line="360" w:lineRule="auto"/>
        <w:ind w:firstLine="4080" w:firstLineChars="170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投标单位法定代表人或其授权委托人（签字或盖章）：</w:t>
      </w: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kern w:val="0"/>
          <w:sz w:val="28"/>
        </w:rPr>
      </w:pPr>
      <w:r>
        <w:rPr>
          <w:rFonts w:hint="eastAsia" w:ascii="仿宋" w:hAnsi="仿宋" w:eastAsia="仿宋" w:cs="仿宋"/>
          <w:sz w:val="24"/>
        </w:rPr>
        <w:t>年   月   日</w:t>
      </w:r>
    </w:p>
    <w:p>
      <w:pPr>
        <w:numPr>
          <w:ilvl w:val="0"/>
          <w:numId w:val="0"/>
        </w:numPr>
        <w:spacing w:line="400" w:lineRule="exact"/>
        <w:jc w:val="center"/>
        <w:rPr>
          <w:rFonts w:hint="eastAsia" w:ascii="仿宋" w:hAnsi="仿宋" w:eastAsia="仿宋" w:cs="仿宋"/>
          <w:b/>
          <w:bCs/>
          <w:kern w:val="0"/>
          <w:sz w:val="32"/>
          <w:szCs w:val="32"/>
          <w:lang w:val="en-US" w:eastAsia="zh-CN" w:bidi="ar-SA"/>
        </w:rPr>
      </w:pPr>
    </w:p>
    <w:p>
      <w:pPr>
        <w:numPr>
          <w:ilvl w:val="0"/>
          <w:numId w:val="0"/>
        </w:numPr>
        <w:spacing w:line="400" w:lineRule="exact"/>
        <w:jc w:val="center"/>
        <w:rPr>
          <w:rFonts w:hint="eastAsia" w:ascii="仿宋" w:hAnsi="仿宋" w:eastAsia="仿宋" w:cs="仿宋"/>
          <w:b/>
          <w:bCs/>
          <w:kern w:val="0"/>
          <w:sz w:val="32"/>
          <w:szCs w:val="32"/>
          <w:lang w:val="en-US" w:eastAsia="zh-CN" w:bidi="ar-SA"/>
        </w:rPr>
      </w:pPr>
    </w:p>
    <w:p>
      <w:pPr>
        <w:numPr>
          <w:ilvl w:val="0"/>
          <w:numId w:val="0"/>
        </w:numPr>
        <w:spacing w:line="400" w:lineRule="exact"/>
        <w:jc w:val="both"/>
        <w:rPr>
          <w:rFonts w:hint="eastAsia" w:ascii="仿宋" w:hAnsi="仿宋" w:eastAsia="仿宋" w:cs="仿宋"/>
          <w:b/>
          <w:bCs/>
          <w:kern w:val="0"/>
          <w:sz w:val="32"/>
          <w:szCs w:val="32"/>
          <w:lang w:val="en-US" w:eastAsia="zh-CN" w:bidi="ar-SA"/>
        </w:rPr>
      </w:pPr>
    </w:p>
    <w:p>
      <w:pPr>
        <w:pStyle w:val="59"/>
        <w:tabs>
          <w:tab w:val="left" w:pos="540"/>
          <w:tab w:val="left" w:pos="1080"/>
        </w:tabs>
        <w:ind w:firstLine="643" w:firstLineChars="200"/>
        <w:jc w:val="center"/>
        <w:rPr>
          <w:rFonts w:hint="eastAsia" w:ascii="仿宋" w:hAnsi="仿宋" w:eastAsia="仿宋" w:cs="仿宋"/>
          <w:b/>
          <w:bCs/>
          <w:sz w:val="28"/>
          <w:szCs w:val="28"/>
        </w:rPr>
      </w:pPr>
      <w:r>
        <w:rPr>
          <w:rFonts w:hint="eastAsia" w:ascii="仿宋" w:hAnsi="仿宋" w:eastAsia="仿宋" w:cs="仿宋"/>
          <w:b/>
          <w:bCs/>
          <w:kern w:val="0"/>
          <w:sz w:val="32"/>
          <w:szCs w:val="32"/>
          <w:lang w:val="en-US" w:eastAsia="zh-CN" w:bidi="ar-SA"/>
        </w:rPr>
        <w:t>十、</w:t>
      </w:r>
      <w:r>
        <w:rPr>
          <w:rFonts w:hint="eastAsia" w:ascii="仿宋" w:hAnsi="仿宋" w:eastAsia="仿宋" w:cs="仿宋"/>
          <w:b/>
          <w:bCs/>
          <w:kern w:val="2"/>
          <w:sz w:val="28"/>
          <w:szCs w:val="32"/>
          <w:lang w:val="en-US" w:eastAsia="zh-CN" w:bidi="ar-SA"/>
        </w:rPr>
        <w:t>工程维修服务方案</w:t>
      </w:r>
    </w:p>
    <w:p>
      <w:pPr>
        <w:pStyle w:val="23"/>
        <w:rPr>
          <w:rFonts w:hint="eastAsia" w:ascii="仿宋" w:hAnsi="仿宋" w:eastAsia="仿宋" w:cs="仿宋"/>
          <w:lang w:val="en-US" w:eastAsia="zh-CN"/>
        </w:rPr>
      </w:pPr>
      <w:r>
        <w:rPr>
          <w:rFonts w:hint="eastAsia" w:ascii="仿宋" w:hAnsi="仿宋" w:eastAsia="仿宋" w:cs="仿宋"/>
          <w:b/>
          <w:color w:val="000000"/>
          <w:sz w:val="30"/>
          <w:szCs w:val="30"/>
          <w:lang w:val="en-US" w:eastAsia="zh-CN"/>
        </w:rPr>
        <w:t xml:space="preserve"> </w:t>
      </w:r>
      <w:r>
        <w:rPr>
          <w:rFonts w:hint="eastAsia" w:ascii="仿宋" w:hAnsi="仿宋" w:eastAsia="仿宋" w:cs="仿宋"/>
          <w:lang w:val="en-US" w:eastAsia="zh-CN"/>
        </w:rPr>
        <w:t>格式自拟</w:t>
      </w:r>
    </w:p>
    <w:p>
      <w:pPr>
        <w:spacing w:line="360" w:lineRule="auto"/>
        <w:jc w:val="center"/>
        <w:rPr>
          <w:rFonts w:hint="eastAsia" w:ascii="仿宋" w:hAnsi="仿宋" w:eastAsia="仿宋" w:cs="仿宋"/>
          <w:color w:val="000000"/>
          <w:sz w:val="24"/>
        </w:rPr>
      </w:pPr>
      <w:r>
        <w:rPr>
          <w:rFonts w:hint="eastAsia" w:ascii="仿宋" w:hAnsi="仿宋" w:eastAsia="仿宋" w:cs="仿宋"/>
          <w:b/>
          <w:color w:val="000000"/>
          <w:sz w:val="30"/>
          <w:szCs w:val="30"/>
          <w:lang w:val="en-US" w:eastAsia="zh-CN"/>
        </w:rPr>
        <w:t xml:space="preserve">   </w:t>
      </w:r>
    </w:p>
    <w:p>
      <w:pPr>
        <w:spacing w:line="360" w:lineRule="auto"/>
        <w:ind w:firstLine="480" w:firstLineChars="200"/>
        <w:jc w:val="cente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投标单位（公章）：</w:t>
      </w:r>
    </w:p>
    <w:p>
      <w:pPr>
        <w:spacing w:line="360" w:lineRule="auto"/>
        <w:ind w:firstLine="4080" w:firstLineChars="1700"/>
        <w:rPr>
          <w:rFonts w:hint="eastAsia" w:ascii="仿宋" w:hAnsi="仿宋" w:eastAsia="仿宋" w:cs="仿宋"/>
          <w:sz w:val="24"/>
        </w:rPr>
      </w:pPr>
    </w:p>
    <w:p>
      <w:pPr>
        <w:spacing w:line="440" w:lineRule="exact"/>
        <w:ind w:firstLine="4080" w:firstLineChars="1700"/>
        <w:rPr>
          <w:rFonts w:hint="eastAsia" w:ascii="仿宋" w:hAnsi="仿宋" w:eastAsia="仿宋" w:cs="仿宋"/>
          <w:sz w:val="24"/>
        </w:rPr>
      </w:pPr>
      <w:r>
        <w:rPr>
          <w:rFonts w:hint="eastAsia" w:ascii="仿宋" w:hAnsi="仿宋" w:eastAsia="仿宋" w:cs="仿宋"/>
          <w:sz w:val="24"/>
        </w:rPr>
        <w:t>投标单位法定代表人或其授权委托人（签字或盖章）：</w:t>
      </w:r>
    </w:p>
    <w:p>
      <w:pPr>
        <w:spacing w:line="360" w:lineRule="auto"/>
        <w:rPr>
          <w:rFonts w:hint="eastAsia" w:ascii="仿宋" w:hAnsi="仿宋" w:eastAsia="仿宋" w:cs="仿宋"/>
          <w:sz w:val="24"/>
        </w:rPr>
      </w:pPr>
    </w:p>
    <w:p>
      <w:pPr>
        <w:spacing w:line="360" w:lineRule="auto"/>
        <w:ind w:firstLine="480" w:firstLineChars="200"/>
        <w:jc w:val="right"/>
        <w:rPr>
          <w:rFonts w:hint="eastAsia" w:ascii="仿宋" w:hAnsi="仿宋" w:eastAsia="仿宋" w:cs="仿宋"/>
          <w:kern w:val="0"/>
          <w:sz w:val="28"/>
        </w:rPr>
      </w:pPr>
      <w:r>
        <w:rPr>
          <w:rFonts w:hint="eastAsia" w:ascii="仿宋" w:hAnsi="仿宋" w:eastAsia="仿宋" w:cs="仿宋"/>
          <w:sz w:val="24"/>
        </w:rPr>
        <w:t>年   月   日</w:t>
      </w:r>
    </w:p>
    <w:p>
      <w:pPr>
        <w:pStyle w:val="59"/>
        <w:numPr>
          <w:ilvl w:val="0"/>
          <w:numId w:val="0"/>
        </w:numPr>
        <w:tabs>
          <w:tab w:val="left" w:pos="540"/>
          <w:tab w:val="left" w:pos="1080"/>
        </w:tabs>
        <w:jc w:val="both"/>
        <w:rPr>
          <w:rFonts w:hint="eastAsia" w:ascii="仿宋" w:hAnsi="仿宋" w:eastAsia="仿宋" w:cs="仿宋"/>
          <w:b/>
          <w:bCs/>
          <w:sz w:val="24"/>
          <w:szCs w:val="24"/>
        </w:rPr>
      </w:pPr>
    </w:p>
    <w:p>
      <w:pPr>
        <w:spacing w:line="360" w:lineRule="auto"/>
        <w:ind w:firstLine="480" w:firstLineChars="200"/>
        <w:rPr>
          <w:rFonts w:hint="eastAsia" w:ascii="仿宋" w:hAnsi="仿宋" w:eastAsia="仿宋" w:cs="仿宋"/>
          <w:sz w:val="24"/>
        </w:rPr>
      </w:pPr>
    </w:p>
    <w:p>
      <w:pPr>
        <w:pStyle w:val="42"/>
        <w:rPr>
          <w:rFonts w:hint="eastAsia" w:ascii="仿宋" w:hAnsi="仿宋" w:eastAsia="仿宋" w:cs="仿宋"/>
        </w:rPr>
      </w:pPr>
    </w:p>
    <w:p>
      <w:pPr>
        <w:pStyle w:val="42"/>
        <w:rPr>
          <w:rFonts w:hint="eastAsia" w:ascii="仿宋" w:hAnsi="仿宋" w:eastAsia="仿宋" w:cs="仿宋"/>
        </w:rPr>
      </w:pPr>
    </w:p>
    <w:p>
      <w:pPr>
        <w:pStyle w:val="42"/>
        <w:rPr>
          <w:rFonts w:hint="eastAsia" w:ascii="仿宋" w:hAnsi="仿宋" w:eastAsia="仿宋" w:cs="仿宋"/>
        </w:rPr>
      </w:pPr>
    </w:p>
    <w:p>
      <w:pPr>
        <w:pStyle w:val="42"/>
        <w:rPr>
          <w:rFonts w:hint="eastAsia" w:ascii="仿宋" w:hAnsi="仿宋" w:eastAsia="仿宋" w:cs="仿宋"/>
        </w:rPr>
      </w:pPr>
    </w:p>
    <w:p>
      <w:pPr>
        <w:spacing w:line="400" w:lineRule="exact"/>
        <w:jc w:val="both"/>
        <w:rPr>
          <w:rFonts w:hint="eastAsia" w:ascii="仿宋" w:hAnsi="仿宋" w:eastAsia="仿宋" w:cs="仿宋"/>
          <w:b/>
          <w:color w:val="000000"/>
          <w:sz w:val="30"/>
          <w:szCs w:val="30"/>
        </w:rPr>
      </w:pPr>
    </w:p>
    <w:p>
      <w:pPr>
        <w:spacing w:line="400" w:lineRule="exact"/>
        <w:jc w:val="center"/>
        <w:rPr>
          <w:rFonts w:hint="eastAsia" w:ascii="仿宋" w:hAnsi="仿宋" w:eastAsia="仿宋" w:cs="仿宋"/>
          <w:b/>
          <w:color w:val="000000"/>
          <w:sz w:val="30"/>
          <w:szCs w:val="30"/>
        </w:rPr>
        <w:sectPr>
          <w:pgSz w:w="11905" w:h="16838"/>
          <w:pgMar w:top="1140" w:right="1202" w:bottom="1162" w:left="1219" w:header="851" w:footer="992" w:gutter="0"/>
          <w:cols w:space="720" w:num="1"/>
          <w:docGrid w:type="lines" w:linePitch="316" w:charSpace="0"/>
        </w:sectPr>
      </w:pPr>
    </w:p>
    <w:p>
      <w:pPr>
        <w:numPr>
          <w:ilvl w:val="0"/>
          <w:numId w:val="0"/>
        </w:numPr>
        <w:adjustRightInd w:val="0"/>
        <w:spacing w:line="360" w:lineRule="auto"/>
        <w:ind w:left="1470" w:leftChars="0"/>
        <w:jc w:val="center"/>
        <w:rPr>
          <w:rFonts w:hint="eastAsia"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t xml:space="preserve"> 十一、服务整体方案</w:t>
      </w:r>
    </w:p>
    <w:p>
      <w:pPr>
        <w:pStyle w:val="23"/>
        <w:widowControl w:val="0"/>
        <w:numPr>
          <w:ilvl w:val="0"/>
          <w:numId w:val="0"/>
        </w:numPr>
        <w:autoSpaceDE w:val="0"/>
        <w:autoSpaceDN w:val="0"/>
        <w:adjustRightInd w:val="0"/>
        <w:rPr>
          <w:rFonts w:hint="eastAsia" w:ascii="仿宋" w:hAnsi="仿宋" w:eastAsia="仿宋" w:cs="仿宋"/>
          <w:lang w:val="en-US" w:eastAsia="zh-CN"/>
        </w:rPr>
      </w:pPr>
    </w:p>
    <w:p>
      <w:pPr>
        <w:pStyle w:val="23"/>
        <w:widowControl w:val="0"/>
        <w:numPr>
          <w:ilvl w:val="0"/>
          <w:numId w:val="0"/>
        </w:numPr>
        <w:autoSpaceDE w:val="0"/>
        <w:autoSpaceDN w:val="0"/>
        <w:adjustRightInd w:val="0"/>
        <w:rPr>
          <w:rFonts w:hint="eastAsia" w:ascii="仿宋" w:hAnsi="仿宋" w:eastAsia="仿宋" w:cs="仿宋"/>
          <w:lang w:val="en-US" w:eastAsia="zh-CN"/>
        </w:rPr>
      </w:pPr>
      <w:r>
        <w:rPr>
          <w:rFonts w:hint="eastAsia" w:ascii="仿宋" w:hAnsi="仿宋" w:eastAsia="仿宋" w:cs="仿宋"/>
          <w:lang w:val="en-US" w:eastAsia="zh-CN"/>
        </w:rPr>
        <w:t xml:space="preserve">    格式自拟</w:t>
      </w:r>
    </w:p>
    <w:p>
      <w:pPr>
        <w:spacing w:line="360" w:lineRule="auto"/>
        <w:jc w:val="center"/>
        <w:rPr>
          <w:rFonts w:hint="eastAsia" w:ascii="仿宋" w:hAnsi="仿宋" w:eastAsia="仿宋" w:cs="仿宋"/>
          <w:color w:val="000000"/>
          <w:sz w:val="24"/>
        </w:rPr>
      </w:pPr>
    </w:p>
    <w:p>
      <w:pPr>
        <w:spacing w:line="360" w:lineRule="auto"/>
        <w:ind w:firstLine="3840" w:firstLineChars="1600"/>
        <w:jc w:val="both"/>
        <w:rPr>
          <w:rFonts w:hint="eastAsia" w:ascii="仿宋" w:hAnsi="仿宋" w:eastAsia="仿宋" w:cs="仿宋"/>
          <w:sz w:val="24"/>
        </w:rPr>
      </w:pPr>
    </w:p>
    <w:p>
      <w:pPr>
        <w:spacing w:line="360" w:lineRule="auto"/>
        <w:ind w:firstLine="3840" w:firstLineChars="1600"/>
        <w:jc w:val="both"/>
        <w:rPr>
          <w:rFonts w:hint="eastAsia" w:ascii="仿宋" w:hAnsi="仿宋" w:eastAsia="仿宋" w:cs="仿宋"/>
          <w:sz w:val="24"/>
        </w:rPr>
      </w:pPr>
      <w:r>
        <w:rPr>
          <w:rFonts w:hint="eastAsia" w:ascii="仿宋" w:hAnsi="仿宋" w:eastAsia="仿宋" w:cs="仿宋"/>
          <w:sz w:val="24"/>
        </w:rPr>
        <w:t>投标单位（公章）：</w:t>
      </w:r>
    </w:p>
    <w:p>
      <w:pPr>
        <w:spacing w:line="360" w:lineRule="auto"/>
        <w:ind w:firstLine="4080" w:firstLineChars="1700"/>
        <w:jc w:val="right"/>
        <w:rPr>
          <w:rFonts w:hint="eastAsia" w:ascii="仿宋" w:hAnsi="仿宋" w:eastAsia="仿宋" w:cs="仿宋"/>
          <w:sz w:val="24"/>
        </w:rPr>
      </w:pPr>
    </w:p>
    <w:p>
      <w:pPr>
        <w:spacing w:line="440" w:lineRule="exact"/>
        <w:ind w:firstLine="480" w:firstLineChars="200"/>
        <w:jc w:val="right"/>
        <w:rPr>
          <w:rFonts w:hint="eastAsia" w:ascii="仿宋" w:hAnsi="仿宋" w:eastAsia="仿宋" w:cs="仿宋"/>
          <w:sz w:val="24"/>
        </w:rPr>
      </w:pPr>
      <w:r>
        <w:rPr>
          <w:rFonts w:hint="eastAsia" w:ascii="仿宋" w:hAnsi="仿宋" w:eastAsia="仿宋" w:cs="仿宋"/>
          <w:sz w:val="24"/>
        </w:rPr>
        <w:t>投标单位法定代表人或其授权委托人（签字或盖章）：</w:t>
      </w:r>
    </w:p>
    <w:p>
      <w:pPr>
        <w:spacing w:line="360" w:lineRule="auto"/>
        <w:jc w:val="right"/>
        <w:rPr>
          <w:rFonts w:hint="eastAsia" w:ascii="仿宋" w:hAnsi="仿宋" w:eastAsia="仿宋" w:cs="仿宋"/>
          <w:sz w:val="24"/>
        </w:rPr>
      </w:pPr>
    </w:p>
    <w:p>
      <w:pPr>
        <w:spacing w:line="360" w:lineRule="auto"/>
        <w:ind w:firstLine="480" w:firstLineChars="200"/>
        <w:jc w:val="right"/>
        <w:rPr>
          <w:rFonts w:hint="eastAsia" w:ascii="仿宋" w:hAnsi="仿宋" w:eastAsia="仿宋" w:cs="仿宋"/>
          <w:kern w:val="0"/>
          <w:sz w:val="28"/>
        </w:rPr>
      </w:pPr>
      <w:r>
        <w:rPr>
          <w:rFonts w:hint="eastAsia" w:ascii="仿宋" w:hAnsi="仿宋" w:eastAsia="仿宋" w:cs="仿宋"/>
          <w:sz w:val="24"/>
        </w:rPr>
        <w:t>年   月   日</w:t>
      </w:r>
    </w:p>
    <w:p>
      <w:pPr>
        <w:spacing w:line="360" w:lineRule="auto"/>
        <w:ind w:firstLine="560" w:firstLineChars="200"/>
        <w:jc w:val="right"/>
        <w:rPr>
          <w:rFonts w:hint="eastAsia" w:ascii="仿宋" w:hAnsi="仿宋" w:eastAsia="仿宋" w:cs="仿宋"/>
          <w:kern w:val="0"/>
          <w:sz w:val="28"/>
        </w:rPr>
      </w:pPr>
    </w:p>
    <w:p>
      <w:pPr>
        <w:pStyle w:val="23"/>
        <w:rPr>
          <w:rFonts w:hint="eastAsia" w:ascii="仿宋" w:hAnsi="仿宋" w:eastAsia="仿宋" w:cs="仿宋"/>
          <w:b/>
          <w:color w:val="000000"/>
          <w:sz w:val="30"/>
          <w:szCs w:val="30"/>
          <w:lang w:val="en-US" w:eastAsia="zh-CN"/>
        </w:rPr>
      </w:pPr>
    </w:p>
    <w:p>
      <w:pPr>
        <w:pStyle w:val="15"/>
        <w:overflowPunct w:val="0"/>
        <w:ind w:firstLine="0"/>
        <w:jc w:val="center"/>
        <w:rPr>
          <w:rFonts w:hint="eastAsia" w:ascii="仿宋" w:hAnsi="仿宋" w:eastAsia="仿宋" w:cs="仿宋"/>
          <w:b/>
          <w:color w:val="000000"/>
          <w:kern w:val="2"/>
          <w:sz w:val="30"/>
          <w:szCs w:val="30"/>
          <w:lang w:val="en-US" w:eastAsia="zh-CN" w:bidi="ar-SA"/>
        </w:rPr>
      </w:pPr>
      <w:r>
        <w:rPr>
          <w:rFonts w:hint="eastAsia" w:ascii="仿宋" w:hAnsi="仿宋" w:eastAsia="仿宋" w:cs="仿宋"/>
          <w:b/>
          <w:color w:val="000000"/>
          <w:sz w:val="30"/>
          <w:szCs w:val="30"/>
          <w:lang w:val="en-US" w:eastAsia="zh-CN"/>
        </w:rPr>
        <w:t xml:space="preserve"> </w:t>
      </w:r>
      <w:r>
        <w:rPr>
          <w:rFonts w:hint="eastAsia" w:ascii="仿宋" w:hAnsi="仿宋" w:eastAsia="仿宋" w:cs="仿宋"/>
          <w:b/>
          <w:color w:val="000000"/>
          <w:kern w:val="2"/>
          <w:sz w:val="30"/>
          <w:szCs w:val="30"/>
          <w:lang w:val="en-US" w:eastAsia="zh-CN" w:bidi="ar-SA"/>
        </w:rPr>
        <w:t>十二、突发事件处理方案</w:t>
      </w:r>
    </w:p>
    <w:p>
      <w:pPr>
        <w:pStyle w:val="23"/>
        <w:rPr>
          <w:rFonts w:hint="eastAsia" w:ascii="仿宋" w:hAnsi="仿宋" w:eastAsia="仿宋" w:cs="仿宋"/>
          <w:lang w:val="en-US" w:eastAsia="zh-CN"/>
        </w:rPr>
      </w:pPr>
    </w:p>
    <w:p>
      <w:pPr>
        <w:pStyle w:val="23"/>
        <w:rPr>
          <w:rFonts w:hint="eastAsia" w:ascii="仿宋" w:hAnsi="仿宋" w:eastAsia="仿宋" w:cs="仿宋"/>
          <w:lang w:val="en-US" w:eastAsia="zh-CN"/>
        </w:rPr>
      </w:pPr>
    </w:p>
    <w:p>
      <w:pPr>
        <w:pStyle w:val="23"/>
        <w:rPr>
          <w:rFonts w:hint="eastAsia" w:ascii="仿宋" w:hAnsi="仿宋" w:eastAsia="仿宋" w:cs="仿宋"/>
          <w:lang w:val="en-US" w:eastAsia="zh-CN"/>
        </w:rPr>
      </w:pPr>
      <w:r>
        <w:rPr>
          <w:rFonts w:hint="eastAsia" w:ascii="仿宋" w:hAnsi="仿宋" w:eastAsia="仿宋" w:cs="仿宋"/>
          <w:lang w:val="en-US" w:eastAsia="zh-CN"/>
        </w:rPr>
        <w:t xml:space="preserve">项目名称：                         </w:t>
      </w:r>
    </w:p>
    <w:p>
      <w:pPr>
        <w:pStyle w:val="23"/>
        <w:rPr>
          <w:rFonts w:hint="eastAsia" w:ascii="仿宋" w:hAnsi="仿宋" w:eastAsia="仿宋" w:cs="仿宋"/>
          <w:lang w:val="en-US" w:eastAsia="zh-CN"/>
        </w:rPr>
      </w:pPr>
      <w:r>
        <w:rPr>
          <w:rFonts w:hint="eastAsia" w:ascii="仿宋" w:hAnsi="仿宋" w:eastAsia="仿宋" w:cs="仿宋"/>
          <w:lang w:val="en-US" w:eastAsia="zh-CN"/>
        </w:rPr>
        <w:t xml:space="preserve">项目编号：          </w:t>
      </w:r>
    </w:p>
    <w:p>
      <w:pPr>
        <w:pStyle w:val="23"/>
        <w:rPr>
          <w:rFonts w:hint="eastAsia" w:ascii="仿宋" w:hAnsi="仿宋" w:eastAsia="仿宋" w:cs="仿宋"/>
          <w:lang w:val="en-US" w:eastAsia="zh-CN"/>
        </w:rPr>
      </w:pPr>
      <w:r>
        <w:rPr>
          <w:rFonts w:hint="eastAsia" w:ascii="仿宋" w:hAnsi="仿宋" w:eastAsia="仿宋" w:cs="仿宋"/>
          <w:lang w:val="en-US" w:eastAsia="zh-CN"/>
        </w:rPr>
        <w:t>投标企业自拟</w:t>
      </w:r>
    </w:p>
    <w:p>
      <w:pPr>
        <w:spacing w:line="360" w:lineRule="auto"/>
        <w:jc w:val="both"/>
        <w:rPr>
          <w:rFonts w:hint="eastAsia" w:ascii="仿宋" w:hAnsi="仿宋" w:eastAsia="仿宋" w:cs="仿宋"/>
          <w:sz w:val="24"/>
        </w:rPr>
      </w:pPr>
    </w:p>
    <w:p>
      <w:pPr>
        <w:spacing w:line="360" w:lineRule="auto"/>
        <w:ind w:firstLine="3840" w:firstLineChars="1600"/>
        <w:jc w:val="both"/>
        <w:rPr>
          <w:rFonts w:hint="eastAsia" w:ascii="仿宋" w:hAnsi="仿宋" w:eastAsia="仿宋" w:cs="仿宋"/>
          <w:sz w:val="24"/>
        </w:rPr>
      </w:pPr>
    </w:p>
    <w:p>
      <w:pPr>
        <w:spacing w:line="360" w:lineRule="auto"/>
        <w:ind w:firstLine="3840" w:firstLineChars="1600"/>
        <w:jc w:val="both"/>
        <w:rPr>
          <w:rFonts w:hint="eastAsia" w:ascii="仿宋" w:hAnsi="仿宋" w:eastAsia="仿宋" w:cs="仿宋"/>
          <w:sz w:val="24"/>
        </w:rPr>
      </w:pPr>
      <w:r>
        <w:rPr>
          <w:rFonts w:hint="eastAsia" w:ascii="仿宋" w:hAnsi="仿宋" w:eastAsia="仿宋" w:cs="仿宋"/>
          <w:sz w:val="24"/>
        </w:rPr>
        <w:t>投标单位（公章）：</w:t>
      </w:r>
    </w:p>
    <w:p>
      <w:pPr>
        <w:spacing w:line="360" w:lineRule="auto"/>
        <w:ind w:firstLine="4080" w:firstLineChars="1700"/>
        <w:jc w:val="right"/>
        <w:rPr>
          <w:rFonts w:hint="eastAsia" w:ascii="仿宋" w:hAnsi="仿宋" w:eastAsia="仿宋" w:cs="仿宋"/>
          <w:sz w:val="24"/>
        </w:rPr>
      </w:pPr>
    </w:p>
    <w:p>
      <w:pPr>
        <w:spacing w:line="440" w:lineRule="exact"/>
        <w:ind w:firstLine="480" w:firstLineChars="200"/>
        <w:jc w:val="right"/>
        <w:rPr>
          <w:rFonts w:hint="eastAsia" w:ascii="仿宋" w:hAnsi="仿宋" w:eastAsia="仿宋" w:cs="仿宋"/>
          <w:sz w:val="24"/>
        </w:rPr>
      </w:pPr>
      <w:r>
        <w:rPr>
          <w:rFonts w:hint="eastAsia" w:ascii="仿宋" w:hAnsi="仿宋" w:eastAsia="仿宋" w:cs="仿宋"/>
          <w:sz w:val="24"/>
        </w:rPr>
        <w:t>投标单位法定代表人或其授权委托人（签字或盖章）：</w:t>
      </w:r>
    </w:p>
    <w:p>
      <w:pPr>
        <w:spacing w:line="360" w:lineRule="auto"/>
        <w:jc w:val="right"/>
        <w:rPr>
          <w:rFonts w:hint="eastAsia" w:ascii="仿宋" w:hAnsi="仿宋" w:eastAsia="仿宋" w:cs="仿宋"/>
          <w:sz w:val="24"/>
        </w:rPr>
      </w:pPr>
    </w:p>
    <w:p>
      <w:pPr>
        <w:spacing w:line="360" w:lineRule="auto"/>
        <w:ind w:firstLine="480" w:firstLineChars="200"/>
        <w:jc w:val="right"/>
        <w:rPr>
          <w:rFonts w:hint="eastAsia" w:ascii="仿宋" w:hAnsi="仿宋" w:eastAsia="仿宋" w:cs="仿宋"/>
          <w:kern w:val="0"/>
          <w:sz w:val="28"/>
        </w:rPr>
      </w:pPr>
      <w:r>
        <w:rPr>
          <w:rFonts w:hint="eastAsia" w:ascii="仿宋" w:hAnsi="仿宋" w:eastAsia="仿宋" w:cs="仿宋"/>
          <w:sz w:val="24"/>
        </w:rPr>
        <w:t>年   月   日</w:t>
      </w:r>
    </w:p>
    <w:p>
      <w:pPr>
        <w:rPr>
          <w:rFonts w:hint="eastAsia"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br w:type="page"/>
      </w:r>
    </w:p>
    <w:p>
      <w:pPr>
        <w:pStyle w:val="15"/>
        <w:numPr>
          <w:ilvl w:val="0"/>
          <w:numId w:val="0"/>
        </w:numPr>
        <w:overflowPunct w:val="0"/>
        <w:jc w:val="center"/>
        <w:rPr>
          <w:rFonts w:hint="eastAsia" w:ascii="仿宋" w:hAnsi="仿宋" w:eastAsia="仿宋" w:cs="仿宋"/>
          <w:b/>
          <w:bCs w:val="0"/>
          <w:color w:val="000000"/>
          <w:kern w:val="2"/>
          <w:sz w:val="30"/>
          <w:szCs w:val="30"/>
          <w:lang w:val="en-US" w:eastAsia="zh-CN" w:bidi="ar-SA"/>
        </w:rPr>
      </w:pPr>
      <w:r>
        <w:rPr>
          <w:rFonts w:hint="eastAsia" w:ascii="仿宋" w:hAnsi="仿宋" w:eastAsia="仿宋" w:cs="仿宋"/>
          <w:b/>
          <w:bCs w:val="0"/>
          <w:color w:val="000000"/>
          <w:kern w:val="2"/>
          <w:sz w:val="30"/>
          <w:szCs w:val="30"/>
          <w:lang w:val="en-US" w:eastAsia="zh-CN" w:bidi="ar-SA"/>
        </w:rPr>
        <w:t>十三、秩序维护服务方案</w:t>
      </w:r>
    </w:p>
    <w:p>
      <w:pPr>
        <w:pStyle w:val="23"/>
        <w:widowControl w:val="0"/>
        <w:numPr>
          <w:ilvl w:val="0"/>
          <w:numId w:val="0"/>
        </w:numPr>
        <w:autoSpaceDE w:val="0"/>
        <w:autoSpaceDN w:val="0"/>
        <w:adjustRightInd w:val="0"/>
        <w:rPr>
          <w:rFonts w:hint="eastAsia" w:ascii="仿宋" w:hAnsi="仿宋" w:eastAsia="仿宋" w:cs="仿宋"/>
          <w:lang w:val="en-US" w:eastAsia="zh-CN"/>
        </w:rPr>
      </w:pPr>
      <w:r>
        <w:rPr>
          <w:rFonts w:hint="eastAsia" w:ascii="仿宋" w:hAnsi="仿宋" w:eastAsia="仿宋" w:cs="仿宋"/>
          <w:lang w:val="en-US" w:eastAsia="zh-CN"/>
        </w:rPr>
        <w:t xml:space="preserve">   格式自拟</w:t>
      </w:r>
    </w:p>
    <w:p>
      <w:pPr>
        <w:spacing w:line="360" w:lineRule="auto"/>
        <w:jc w:val="center"/>
        <w:rPr>
          <w:rFonts w:hint="eastAsia" w:ascii="仿宋" w:hAnsi="仿宋" w:eastAsia="仿宋" w:cs="仿宋"/>
          <w:color w:val="000000"/>
          <w:sz w:val="24"/>
        </w:rPr>
      </w:pPr>
    </w:p>
    <w:p>
      <w:pPr>
        <w:spacing w:line="360" w:lineRule="auto"/>
        <w:ind w:firstLine="3840" w:firstLineChars="1600"/>
        <w:jc w:val="both"/>
        <w:rPr>
          <w:rFonts w:hint="eastAsia" w:ascii="仿宋" w:hAnsi="仿宋" w:eastAsia="仿宋" w:cs="仿宋"/>
          <w:sz w:val="24"/>
        </w:rPr>
      </w:pPr>
    </w:p>
    <w:p>
      <w:pPr>
        <w:spacing w:line="360" w:lineRule="auto"/>
        <w:ind w:firstLine="3840" w:firstLineChars="1600"/>
        <w:jc w:val="both"/>
        <w:rPr>
          <w:rFonts w:hint="eastAsia" w:ascii="仿宋" w:hAnsi="仿宋" w:eastAsia="仿宋" w:cs="仿宋"/>
          <w:sz w:val="24"/>
        </w:rPr>
      </w:pPr>
      <w:r>
        <w:rPr>
          <w:rFonts w:hint="eastAsia" w:ascii="仿宋" w:hAnsi="仿宋" w:eastAsia="仿宋" w:cs="仿宋"/>
          <w:sz w:val="24"/>
        </w:rPr>
        <w:t>投标单位（公章）：</w:t>
      </w:r>
    </w:p>
    <w:p>
      <w:pPr>
        <w:spacing w:line="360" w:lineRule="auto"/>
        <w:ind w:firstLine="4080" w:firstLineChars="1700"/>
        <w:jc w:val="right"/>
        <w:rPr>
          <w:rFonts w:hint="eastAsia" w:ascii="仿宋" w:hAnsi="仿宋" w:eastAsia="仿宋" w:cs="仿宋"/>
          <w:sz w:val="24"/>
        </w:rPr>
      </w:pPr>
    </w:p>
    <w:p>
      <w:pPr>
        <w:spacing w:line="440" w:lineRule="exact"/>
        <w:ind w:firstLine="480" w:firstLineChars="200"/>
        <w:jc w:val="right"/>
        <w:rPr>
          <w:rFonts w:hint="eastAsia" w:ascii="仿宋" w:hAnsi="仿宋" w:eastAsia="仿宋" w:cs="仿宋"/>
          <w:sz w:val="24"/>
        </w:rPr>
      </w:pPr>
      <w:r>
        <w:rPr>
          <w:rFonts w:hint="eastAsia" w:ascii="仿宋" w:hAnsi="仿宋" w:eastAsia="仿宋" w:cs="仿宋"/>
          <w:sz w:val="24"/>
        </w:rPr>
        <w:t>投标单位法定代表人或其授权委托人（签字或盖章）：</w:t>
      </w:r>
    </w:p>
    <w:p>
      <w:pPr>
        <w:spacing w:line="360" w:lineRule="auto"/>
        <w:jc w:val="right"/>
        <w:rPr>
          <w:rFonts w:hint="eastAsia" w:ascii="仿宋" w:hAnsi="仿宋" w:eastAsia="仿宋" w:cs="仿宋"/>
          <w:sz w:val="24"/>
        </w:rPr>
      </w:pPr>
    </w:p>
    <w:p>
      <w:pPr>
        <w:spacing w:line="360" w:lineRule="auto"/>
        <w:ind w:firstLine="480" w:firstLineChars="200"/>
        <w:jc w:val="right"/>
        <w:rPr>
          <w:rFonts w:hint="eastAsia" w:ascii="仿宋" w:hAnsi="仿宋" w:eastAsia="仿宋" w:cs="仿宋"/>
          <w:kern w:val="0"/>
          <w:sz w:val="28"/>
        </w:rPr>
      </w:pPr>
      <w:r>
        <w:rPr>
          <w:rFonts w:hint="eastAsia" w:ascii="仿宋" w:hAnsi="仿宋" w:eastAsia="仿宋" w:cs="仿宋"/>
          <w:sz w:val="24"/>
        </w:rPr>
        <w:t>年   月   日</w:t>
      </w:r>
    </w:p>
    <w:p>
      <w:pPr>
        <w:numPr>
          <w:ilvl w:val="0"/>
          <w:numId w:val="0"/>
        </w:numPr>
        <w:rPr>
          <w:rFonts w:hint="eastAsia" w:ascii="仿宋" w:hAnsi="仿宋" w:eastAsia="仿宋" w:cs="仿宋"/>
          <w:lang w:val="en-US" w:eastAsia="zh-CN"/>
        </w:rPr>
      </w:pPr>
    </w:p>
    <w:p>
      <w:pPr>
        <w:rPr>
          <w:rFonts w:hint="eastAsia" w:ascii="仿宋" w:hAnsi="仿宋" w:eastAsia="仿宋" w:cs="仿宋"/>
          <w:b/>
          <w:bCs w:val="0"/>
          <w:color w:val="000000"/>
          <w:kern w:val="2"/>
          <w:sz w:val="30"/>
          <w:szCs w:val="30"/>
          <w:lang w:val="en-US" w:eastAsia="zh-CN" w:bidi="ar-SA"/>
        </w:rPr>
      </w:pPr>
      <w:r>
        <w:rPr>
          <w:rFonts w:hint="eastAsia" w:ascii="仿宋" w:hAnsi="仿宋" w:eastAsia="仿宋" w:cs="仿宋"/>
          <w:b/>
          <w:bCs w:val="0"/>
          <w:color w:val="000000"/>
          <w:kern w:val="2"/>
          <w:sz w:val="30"/>
          <w:szCs w:val="30"/>
          <w:lang w:val="en-US" w:eastAsia="zh-CN" w:bidi="ar-SA"/>
        </w:rPr>
        <w:br w:type="page"/>
      </w:r>
    </w:p>
    <w:p>
      <w:pPr>
        <w:pStyle w:val="15"/>
        <w:overflowPunct w:val="0"/>
        <w:ind w:firstLine="0"/>
        <w:jc w:val="center"/>
        <w:rPr>
          <w:rFonts w:hint="eastAsia" w:ascii="仿宋" w:hAnsi="仿宋" w:eastAsia="仿宋" w:cs="仿宋"/>
          <w:b/>
          <w:bCs w:val="0"/>
          <w:color w:val="000000"/>
          <w:kern w:val="2"/>
          <w:sz w:val="30"/>
          <w:szCs w:val="30"/>
          <w:lang w:val="en-US" w:eastAsia="zh-CN" w:bidi="ar-SA"/>
        </w:rPr>
      </w:pPr>
      <w:r>
        <w:rPr>
          <w:rFonts w:hint="eastAsia" w:ascii="仿宋" w:hAnsi="仿宋" w:eastAsia="仿宋" w:cs="仿宋"/>
          <w:b/>
          <w:bCs w:val="0"/>
          <w:color w:val="000000"/>
          <w:kern w:val="2"/>
          <w:sz w:val="30"/>
          <w:szCs w:val="30"/>
          <w:lang w:val="en-US" w:eastAsia="zh-CN" w:bidi="ar-SA"/>
        </w:rPr>
        <w:t>十四、人员培训方案</w:t>
      </w:r>
    </w:p>
    <w:p>
      <w:pPr>
        <w:ind w:firstLine="480" w:firstLineChars="200"/>
        <w:rPr>
          <w:rFonts w:hint="eastAsia" w:ascii="仿宋" w:hAnsi="仿宋" w:eastAsia="仿宋" w:cs="仿宋"/>
          <w:sz w:val="24"/>
        </w:rPr>
      </w:pPr>
    </w:p>
    <w:p>
      <w:pPr>
        <w:pStyle w:val="23"/>
        <w:widowControl w:val="0"/>
        <w:numPr>
          <w:ilvl w:val="0"/>
          <w:numId w:val="0"/>
        </w:numPr>
        <w:autoSpaceDE w:val="0"/>
        <w:autoSpaceDN w:val="0"/>
        <w:adjustRightInd w:val="0"/>
        <w:rPr>
          <w:rFonts w:hint="eastAsia" w:ascii="仿宋" w:hAnsi="仿宋" w:eastAsia="仿宋" w:cs="仿宋"/>
          <w:lang w:val="en-US" w:eastAsia="zh-CN"/>
        </w:rPr>
      </w:pPr>
      <w:r>
        <w:rPr>
          <w:rFonts w:hint="eastAsia" w:ascii="仿宋" w:hAnsi="仿宋" w:eastAsia="仿宋" w:cs="仿宋"/>
          <w:lang w:val="en-US" w:eastAsia="zh-CN"/>
        </w:rPr>
        <w:t xml:space="preserve">   格式自拟</w:t>
      </w:r>
    </w:p>
    <w:p>
      <w:pPr>
        <w:spacing w:line="360" w:lineRule="auto"/>
        <w:jc w:val="center"/>
        <w:rPr>
          <w:rFonts w:hint="eastAsia" w:ascii="仿宋" w:hAnsi="仿宋" w:eastAsia="仿宋" w:cs="仿宋"/>
          <w:color w:val="000000"/>
          <w:sz w:val="24"/>
        </w:rPr>
      </w:pPr>
    </w:p>
    <w:p>
      <w:pPr>
        <w:spacing w:line="360" w:lineRule="auto"/>
        <w:ind w:firstLine="3840" w:firstLineChars="1600"/>
        <w:jc w:val="both"/>
        <w:rPr>
          <w:rFonts w:hint="eastAsia" w:ascii="仿宋" w:hAnsi="仿宋" w:eastAsia="仿宋" w:cs="仿宋"/>
          <w:sz w:val="24"/>
        </w:rPr>
      </w:pPr>
    </w:p>
    <w:p>
      <w:pPr>
        <w:spacing w:line="360" w:lineRule="auto"/>
        <w:ind w:firstLine="3840" w:firstLineChars="1600"/>
        <w:jc w:val="both"/>
        <w:rPr>
          <w:rFonts w:hint="eastAsia" w:ascii="仿宋" w:hAnsi="仿宋" w:eastAsia="仿宋" w:cs="仿宋"/>
          <w:sz w:val="24"/>
        </w:rPr>
      </w:pPr>
      <w:r>
        <w:rPr>
          <w:rFonts w:hint="eastAsia" w:ascii="仿宋" w:hAnsi="仿宋" w:eastAsia="仿宋" w:cs="仿宋"/>
          <w:sz w:val="24"/>
        </w:rPr>
        <w:t>投标单位（公章）：</w:t>
      </w:r>
    </w:p>
    <w:p>
      <w:pPr>
        <w:spacing w:line="360" w:lineRule="auto"/>
        <w:ind w:firstLine="4080" w:firstLineChars="1700"/>
        <w:jc w:val="right"/>
        <w:rPr>
          <w:rFonts w:hint="eastAsia" w:ascii="仿宋" w:hAnsi="仿宋" w:eastAsia="仿宋" w:cs="仿宋"/>
          <w:sz w:val="24"/>
        </w:rPr>
      </w:pPr>
    </w:p>
    <w:p>
      <w:pPr>
        <w:spacing w:line="440" w:lineRule="exact"/>
        <w:ind w:firstLine="480" w:firstLineChars="200"/>
        <w:jc w:val="right"/>
        <w:rPr>
          <w:rFonts w:hint="eastAsia" w:ascii="仿宋" w:hAnsi="仿宋" w:eastAsia="仿宋" w:cs="仿宋"/>
          <w:sz w:val="24"/>
        </w:rPr>
      </w:pPr>
      <w:r>
        <w:rPr>
          <w:rFonts w:hint="eastAsia" w:ascii="仿宋" w:hAnsi="仿宋" w:eastAsia="仿宋" w:cs="仿宋"/>
          <w:sz w:val="24"/>
        </w:rPr>
        <w:t>投标单位法定代表人或其授权委托人（签字或盖章）：</w:t>
      </w:r>
    </w:p>
    <w:p>
      <w:pPr>
        <w:spacing w:line="360" w:lineRule="auto"/>
        <w:jc w:val="right"/>
        <w:rPr>
          <w:rFonts w:hint="eastAsia" w:ascii="仿宋" w:hAnsi="仿宋" w:eastAsia="仿宋" w:cs="仿宋"/>
          <w:sz w:val="24"/>
        </w:rPr>
      </w:pPr>
    </w:p>
    <w:p>
      <w:pPr>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年   月   日</w:t>
      </w:r>
    </w:p>
    <w:p>
      <w:pPr>
        <w:ind w:firstLine="602" w:firstLineChars="200"/>
        <w:jc w:val="center"/>
        <w:rPr>
          <w:rFonts w:hint="eastAsia" w:ascii="仿宋" w:hAnsi="仿宋" w:eastAsia="仿宋" w:cs="仿宋"/>
          <w:sz w:val="24"/>
        </w:rPr>
      </w:pPr>
      <w:r>
        <w:rPr>
          <w:rFonts w:hint="eastAsia" w:ascii="仿宋" w:hAnsi="仿宋" w:eastAsia="仿宋" w:cs="仿宋"/>
          <w:b/>
          <w:bCs w:val="0"/>
          <w:color w:val="000000"/>
          <w:kern w:val="2"/>
          <w:sz w:val="30"/>
          <w:szCs w:val="30"/>
          <w:lang w:val="en-US" w:eastAsia="zh-CN" w:bidi="ar-SA"/>
        </w:rPr>
        <w:t>十五、卫生保洁方案</w:t>
      </w:r>
    </w:p>
    <w:p>
      <w:pPr>
        <w:pStyle w:val="23"/>
        <w:widowControl w:val="0"/>
        <w:numPr>
          <w:ilvl w:val="0"/>
          <w:numId w:val="0"/>
        </w:numPr>
        <w:autoSpaceDE w:val="0"/>
        <w:autoSpaceDN w:val="0"/>
        <w:adjustRightInd w:val="0"/>
        <w:rPr>
          <w:rFonts w:hint="eastAsia" w:ascii="仿宋" w:hAnsi="仿宋" w:eastAsia="仿宋" w:cs="仿宋"/>
          <w:lang w:val="en-US" w:eastAsia="zh-CN"/>
        </w:rPr>
      </w:pPr>
      <w:r>
        <w:rPr>
          <w:rFonts w:hint="eastAsia" w:ascii="仿宋" w:hAnsi="仿宋" w:eastAsia="仿宋" w:cs="仿宋"/>
          <w:lang w:val="en-US" w:eastAsia="zh-CN"/>
        </w:rPr>
        <w:t xml:space="preserve">   格式自拟</w:t>
      </w:r>
    </w:p>
    <w:p>
      <w:pPr>
        <w:spacing w:line="360" w:lineRule="auto"/>
        <w:jc w:val="center"/>
        <w:rPr>
          <w:rFonts w:hint="eastAsia" w:ascii="仿宋" w:hAnsi="仿宋" w:eastAsia="仿宋" w:cs="仿宋"/>
          <w:color w:val="000000"/>
          <w:sz w:val="24"/>
        </w:rPr>
      </w:pPr>
    </w:p>
    <w:p>
      <w:pPr>
        <w:spacing w:line="360" w:lineRule="auto"/>
        <w:ind w:firstLine="3840" w:firstLineChars="1600"/>
        <w:jc w:val="both"/>
        <w:rPr>
          <w:rFonts w:hint="eastAsia" w:ascii="仿宋" w:hAnsi="仿宋" w:eastAsia="仿宋" w:cs="仿宋"/>
          <w:sz w:val="24"/>
        </w:rPr>
      </w:pPr>
    </w:p>
    <w:p>
      <w:pPr>
        <w:spacing w:line="360" w:lineRule="auto"/>
        <w:ind w:firstLine="3840" w:firstLineChars="1600"/>
        <w:jc w:val="both"/>
        <w:rPr>
          <w:rFonts w:hint="eastAsia" w:ascii="仿宋" w:hAnsi="仿宋" w:eastAsia="仿宋" w:cs="仿宋"/>
          <w:sz w:val="24"/>
        </w:rPr>
      </w:pPr>
      <w:r>
        <w:rPr>
          <w:rFonts w:hint="eastAsia" w:ascii="仿宋" w:hAnsi="仿宋" w:eastAsia="仿宋" w:cs="仿宋"/>
          <w:sz w:val="24"/>
        </w:rPr>
        <w:t>投标单位（公章）：</w:t>
      </w:r>
    </w:p>
    <w:p>
      <w:pPr>
        <w:spacing w:line="360" w:lineRule="auto"/>
        <w:ind w:firstLine="4080" w:firstLineChars="1700"/>
        <w:jc w:val="right"/>
        <w:rPr>
          <w:rFonts w:hint="eastAsia" w:ascii="仿宋" w:hAnsi="仿宋" w:eastAsia="仿宋" w:cs="仿宋"/>
          <w:sz w:val="24"/>
        </w:rPr>
      </w:pPr>
    </w:p>
    <w:p>
      <w:pPr>
        <w:spacing w:line="440" w:lineRule="exact"/>
        <w:ind w:firstLine="480" w:firstLineChars="200"/>
        <w:jc w:val="right"/>
        <w:rPr>
          <w:rFonts w:hint="eastAsia" w:ascii="仿宋" w:hAnsi="仿宋" w:eastAsia="仿宋" w:cs="仿宋"/>
          <w:sz w:val="24"/>
        </w:rPr>
      </w:pPr>
      <w:r>
        <w:rPr>
          <w:rFonts w:hint="eastAsia" w:ascii="仿宋" w:hAnsi="仿宋" w:eastAsia="仿宋" w:cs="仿宋"/>
          <w:sz w:val="24"/>
        </w:rPr>
        <w:t>投标单位法定代表人或其授权委托人（签字或盖章）：</w:t>
      </w:r>
    </w:p>
    <w:p>
      <w:pPr>
        <w:spacing w:line="360" w:lineRule="auto"/>
        <w:jc w:val="right"/>
        <w:rPr>
          <w:rFonts w:hint="eastAsia" w:ascii="仿宋" w:hAnsi="仿宋" w:eastAsia="仿宋" w:cs="仿宋"/>
          <w:sz w:val="24"/>
        </w:rPr>
      </w:pPr>
    </w:p>
    <w:p>
      <w:pPr>
        <w:pStyle w:val="21"/>
        <w:jc w:val="right"/>
        <w:rPr>
          <w:rFonts w:hint="eastAsia"/>
        </w:rPr>
      </w:pPr>
      <w:r>
        <w:rPr>
          <w:rFonts w:hint="eastAsia" w:ascii="仿宋" w:hAnsi="仿宋" w:eastAsia="仿宋" w:cs="仿宋"/>
          <w:sz w:val="24"/>
        </w:rPr>
        <w:t>年   月   日</w:t>
      </w:r>
    </w:p>
    <w:p>
      <w:pPr>
        <w:pStyle w:val="23"/>
        <w:widowControl w:val="0"/>
        <w:numPr>
          <w:ilvl w:val="0"/>
          <w:numId w:val="0"/>
        </w:numPr>
        <w:autoSpaceDE w:val="0"/>
        <w:autoSpaceDN w:val="0"/>
        <w:adjustRightInd w:val="0"/>
        <w:jc w:val="right"/>
        <w:rPr>
          <w:rFonts w:hint="eastAsia" w:ascii="仿宋" w:hAnsi="仿宋" w:eastAsia="仿宋" w:cs="仿宋"/>
          <w:lang w:val="en-US" w:eastAsia="zh-CN"/>
        </w:rPr>
      </w:pPr>
    </w:p>
    <w:p>
      <w:pPr>
        <w:numPr>
          <w:ilvl w:val="0"/>
          <w:numId w:val="0"/>
        </w:numPr>
        <w:adjustRightInd w:val="0"/>
        <w:spacing w:line="360" w:lineRule="auto"/>
        <w:jc w:val="center"/>
        <w:rPr>
          <w:rFonts w:hint="eastAsia" w:ascii="仿宋" w:hAnsi="仿宋" w:eastAsia="仿宋" w:cs="仿宋"/>
          <w:b/>
          <w:color w:val="000000"/>
          <w:sz w:val="30"/>
          <w:szCs w:val="30"/>
          <w:lang w:val="en-US" w:eastAsia="zh-CN"/>
        </w:rPr>
      </w:pPr>
    </w:p>
    <w:bookmarkEnd w:id="93"/>
    <w:p>
      <w:pPr>
        <w:rPr>
          <w:rFonts w:hint="eastAsia" w:ascii="仿宋" w:hAnsi="仿宋" w:eastAsia="仿宋" w:cs="仿宋"/>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pPr>
        <w:pStyle w:val="21"/>
        <w:jc w:val="center"/>
        <w:rPr>
          <w:rFonts w:hint="eastAsia" w:ascii="仿宋" w:hAnsi="仿宋" w:eastAsia="仿宋" w:cs="仿宋"/>
          <w:sz w:val="24"/>
        </w:rPr>
      </w:pPr>
      <w:r>
        <w:rPr>
          <w:rFonts w:hint="eastAsia" w:ascii="仿宋" w:hAnsi="仿宋" w:eastAsia="仿宋" w:cs="仿宋"/>
          <w:b/>
          <w:bCs w:val="0"/>
          <w:color w:val="000000"/>
          <w:kern w:val="2"/>
          <w:sz w:val="30"/>
          <w:szCs w:val="30"/>
          <w:lang w:val="en-US" w:eastAsia="zh-CN" w:bidi="ar-SA"/>
        </w:rPr>
        <w:t>十六、人员储备方案</w:t>
      </w:r>
    </w:p>
    <w:p>
      <w:pPr>
        <w:pStyle w:val="23"/>
        <w:widowControl w:val="0"/>
        <w:numPr>
          <w:ilvl w:val="0"/>
          <w:numId w:val="0"/>
        </w:numPr>
        <w:autoSpaceDE w:val="0"/>
        <w:autoSpaceDN w:val="0"/>
        <w:adjustRightInd w:val="0"/>
        <w:rPr>
          <w:rFonts w:hint="eastAsia" w:ascii="仿宋" w:hAnsi="仿宋" w:eastAsia="仿宋" w:cs="仿宋"/>
          <w:lang w:val="en-US" w:eastAsia="zh-CN"/>
        </w:rPr>
      </w:pPr>
      <w:r>
        <w:rPr>
          <w:rFonts w:hint="eastAsia" w:ascii="仿宋" w:hAnsi="仿宋" w:eastAsia="仿宋" w:cs="仿宋"/>
          <w:lang w:val="en-US" w:eastAsia="zh-CN"/>
        </w:rPr>
        <w:t xml:space="preserve">   格式自拟</w:t>
      </w:r>
    </w:p>
    <w:p>
      <w:pPr>
        <w:spacing w:line="360" w:lineRule="auto"/>
        <w:jc w:val="center"/>
        <w:rPr>
          <w:rFonts w:hint="eastAsia" w:ascii="仿宋" w:hAnsi="仿宋" w:eastAsia="仿宋" w:cs="仿宋"/>
          <w:color w:val="000000"/>
          <w:sz w:val="24"/>
        </w:rPr>
      </w:pPr>
    </w:p>
    <w:p>
      <w:pPr>
        <w:spacing w:line="360" w:lineRule="auto"/>
        <w:ind w:firstLine="3840" w:firstLineChars="1600"/>
        <w:jc w:val="both"/>
        <w:rPr>
          <w:rFonts w:hint="eastAsia" w:ascii="仿宋" w:hAnsi="仿宋" w:eastAsia="仿宋" w:cs="仿宋"/>
          <w:sz w:val="24"/>
        </w:rPr>
      </w:pPr>
    </w:p>
    <w:p>
      <w:pPr>
        <w:spacing w:line="360" w:lineRule="auto"/>
        <w:ind w:firstLine="3840" w:firstLineChars="1600"/>
        <w:jc w:val="both"/>
        <w:rPr>
          <w:rFonts w:hint="eastAsia" w:ascii="仿宋" w:hAnsi="仿宋" w:eastAsia="仿宋" w:cs="仿宋"/>
          <w:sz w:val="24"/>
        </w:rPr>
      </w:pPr>
      <w:r>
        <w:rPr>
          <w:rFonts w:hint="eastAsia" w:ascii="仿宋" w:hAnsi="仿宋" w:eastAsia="仿宋" w:cs="仿宋"/>
          <w:sz w:val="24"/>
        </w:rPr>
        <w:t>投标单位（公章）：</w:t>
      </w:r>
    </w:p>
    <w:p>
      <w:pPr>
        <w:spacing w:line="360" w:lineRule="auto"/>
        <w:ind w:firstLine="4080" w:firstLineChars="1700"/>
        <w:jc w:val="right"/>
        <w:rPr>
          <w:rFonts w:hint="eastAsia" w:ascii="仿宋" w:hAnsi="仿宋" w:eastAsia="仿宋" w:cs="仿宋"/>
          <w:sz w:val="24"/>
        </w:rPr>
      </w:pPr>
    </w:p>
    <w:p>
      <w:pPr>
        <w:spacing w:line="440" w:lineRule="exact"/>
        <w:ind w:firstLine="480" w:firstLineChars="200"/>
        <w:jc w:val="right"/>
        <w:rPr>
          <w:rFonts w:hint="eastAsia" w:ascii="仿宋" w:hAnsi="仿宋" w:eastAsia="仿宋" w:cs="仿宋"/>
          <w:sz w:val="24"/>
        </w:rPr>
      </w:pPr>
      <w:r>
        <w:rPr>
          <w:rFonts w:hint="eastAsia" w:ascii="仿宋" w:hAnsi="仿宋" w:eastAsia="仿宋" w:cs="仿宋"/>
          <w:sz w:val="24"/>
        </w:rPr>
        <w:t>投标单位法定代表人或其授权委托人（签字或盖章）：</w:t>
      </w:r>
    </w:p>
    <w:p>
      <w:pPr>
        <w:spacing w:line="360" w:lineRule="auto"/>
        <w:jc w:val="right"/>
        <w:rPr>
          <w:rFonts w:hint="eastAsia" w:ascii="仿宋" w:hAnsi="仿宋" w:eastAsia="仿宋" w:cs="仿宋"/>
          <w:sz w:val="24"/>
        </w:rPr>
      </w:pPr>
    </w:p>
    <w:p>
      <w:pPr>
        <w:pStyle w:val="21"/>
        <w:jc w:val="right"/>
        <w:rPr>
          <w:rFonts w:hint="eastAsia"/>
        </w:rPr>
      </w:pPr>
      <w:r>
        <w:rPr>
          <w:rFonts w:hint="eastAsia" w:ascii="仿宋" w:hAnsi="仿宋" w:eastAsia="仿宋" w:cs="仿宋"/>
          <w:sz w:val="24"/>
        </w:rPr>
        <w:t>年   月   日</w:t>
      </w: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pPr>
        <w:pStyle w:val="6"/>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十七、</w:t>
      </w:r>
      <w:r>
        <w:rPr>
          <w:rFonts w:hint="eastAsia" w:ascii="仿宋" w:hAnsi="仿宋" w:eastAsia="仿宋" w:cs="仿宋"/>
          <w:b/>
          <w:bCs/>
          <w:sz w:val="30"/>
          <w:szCs w:val="30"/>
        </w:rPr>
        <w:t>符合《政府采购法》第二十二条规定的条件</w:t>
      </w:r>
    </w:p>
    <w:p>
      <w:pPr>
        <w:numPr>
          <w:ilvl w:val="0"/>
          <w:numId w:val="0"/>
        </w:numPr>
        <w:spacing w:line="360" w:lineRule="auto"/>
        <w:rPr>
          <w:rFonts w:hint="eastAsia" w:ascii="仿宋" w:hAnsi="仿宋" w:eastAsia="仿宋" w:cs="仿宋"/>
          <w:color w:val="auto"/>
          <w:sz w:val="28"/>
          <w:szCs w:val="28"/>
          <w:highlight w:val="none"/>
        </w:rPr>
      </w:pPr>
      <w:bookmarkStart w:id="115" w:name="_Toc6014"/>
      <w:bookmarkStart w:id="116" w:name="_Toc26467"/>
      <w:bookmarkStart w:id="117" w:name="_Toc5144"/>
      <w:bookmarkStart w:id="118" w:name="_Toc3862"/>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具有独立承担民事责任的能力</w:t>
      </w:r>
      <w:r>
        <w:rPr>
          <w:rFonts w:hint="eastAsia" w:ascii="仿宋" w:hAnsi="仿宋" w:eastAsia="仿宋" w:cs="仿宋"/>
          <w:color w:val="auto"/>
          <w:kern w:val="0"/>
          <w:sz w:val="28"/>
          <w:szCs w:val="28"/>
          <w:highlight w:val="none"/>
          <w:lang w:val="en-US" w:eastAsia="zh-CN"/>
        </w:rPr>
        <w:t>（注：公司的营业执照、法人身份证复印件）</w:t>
      </w:r>
    </w:p>
    <w:p>
      <w:pPr>
        <w:numPr>
          <w:ilvl w:val="0"/>
          <w:numId w:val="0"/>
        </w:numPr>
        <w:spacing w:line="360" w:lineRule="auto"/>
        <w:ind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具有良好的商业信誉和健全的财务会计制度</w:t>
      </w:r>
      <w:r>
        <w:rPr>
          <w:rFonts w:hint="eastAsia" w:ascii="仿宋" w:hAnsi="仿宋" w:eastAsia="仿宋" w:cs="仿宋"/>
          <w:color w:val="auto"/>
          <w:sz w:val="28"/>
          <w:szCs w:val="28"/>
          <w:highlight w:val="none"/>
          <w:lang w:val="en-US" w:eastAsia="zh-CN"/>
        </w:rPr>
        <w:t>（注：需提供2021年第三方审计机构出具的审计报告（2022年成立的公司可不提供但需提供银行出具的近3个月的资信证明）和健全的财务会计制度；）</w:t>
      </w:r>
    </w:p>
    <w:p>
      <w:pPr>
        <w:numPr>
          <w:ilvl w:val="0"/>
          <w:numId w:val="0"/>
        </w:numPr>
        <w:spacing w:line="360" w:lineRule="auto"/>
        <w:ind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具有履行合同所必需的货物和专业技术能力</w:t>
      </w:r>
      <w:r>
        <w:rPr>
          <w:rFonts w:hint="eastAsia" w:ascii="仿宋" w:hAnsi="仿宋" w:eastAsia="仿宋" w:cs="仿宋"/>
          <w:color w:val="auto"/>
          <w:kern w:val="0"/>
          <w:sz w:val="28"/>
          <w:szCs w:val="28"/>
          <w:highlight w:val="none"/>
          <w:lang w:val="en-US" w:eastAsia="zh-CN"/>
        </w:rPr>
        <w:t>（注：书面承诺）</w:t>
      </w:r>
    </w:p>
    <w:p>
      <w:pPr>
        <w:numPr>
          <w:ilvl w:val="0"/>
          <w:numId w:val="0"/>
        </w:numPr>
        <w:spacing w:line="360" w:lineRule="auto"/>
        <w:ind w:leftChars="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有依法缴纳税收和社会保障资金的良好记录</w:t>
      </w:r>
      <w:r>
        <w:rPr>
          <w:rFonts w:hint="eastAsia" w:ascii="仿宋" w:hAnsi="仿宋" w:eastAsia="仿宋" w:cs="仿宋"/>
          <w:color w:val="auto"/>
          <w:kern w:val="0"/>
          <w:sz w:val="28"/>
          <w:szCs w:val="28"/>
          <w:highlight w:val="none"/>
          <w:lang w:val="en-US" w:eastAsia="zh-CN"/>
        </w:rPr>
        <w:t>（注：提供近3个月法人社保缴纳证明；需提供提供税务机关出具2022年近三个月的完税证明或依法缴纳税收的相关证明材料；（新成立不足三个月的，按实际情况发生提供)；</w:t>
      </w:r>
    </w:p>
    <w:p>
      <w:pPr>
        <w:numPr>
          <w:ilvl w:val="0"/>
          <w:numId w:val="0"/>
        </w:numPr>
        <w:spacing w:line="360" w:lineRule="auto"/>
        <w:ind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参加政府采购活动前三年内在经营活动中没有重大违法记录，法律、行政法规规定的其他条件</w:t>
      </w:r>
      <w:r>
        <w:rPr>
          <w:rFonts w:hint="eastAsia" w:ascii="仿宋" w:hAnsi="仿宋" w:eastAsia="仿宋" w:cs="仿宋"/>
          <w:color w:val="auto"/>
          <w:kern w:val="0"/>
          <w:sz w:val="28"/>
          <w:szCs w:val="28"/>
          <w:highlight w:val="none"/>
          <w:lang w:val="en-US" w:eastAsia="zh-CN"/>
        </w:rPr>
        <w:t>（注：提供参加政府采购活动前三年内，在经营活动中没有重大违法记录的证明）</w:t>
      </w:r>
    </w:p>
    <w:p>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（包括健全的</w:t>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"https://www.baidu.com/s?wd=财务会计制度&amp;tn=SE_PcZhidaonwhc_ngpagmjz&amp;rsv_dl=gh_pc_zhidao"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财务会计制度</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t>、依法缴纳税收证明、依法缴纳</w:t>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"https://www.baidu.com/s?wd=社会保障资金&amp;tn=SE_PcZhidaonwhc_ngpagmjz&amp;rsv_dl=gh_pc_zhidao"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社会保障资金</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t>证明等）；</w:t>
      </w:r>
    </w:p>
    <w:p>
      <w:pPr>
        <w:pStyle w:val="2"/>
        <w:spacing w:before="120" w:line="360" w:lineRule="auto"/>
        <w:jc w:val="both"/>
        <w:outlineLvl w:val="0"/>
        <w:rPr>
          <w:rFonts w:hint="eastAsia" w:ascii="仿宋" w:hAnsi="仿宋" w:eastAsia="仿宋" w:cs="仿宋"/>
          <w:b/>
          <w:bCs/>
          <w:sz w:val="28"/>
          <w:szCs w:val="28"/>
        </w:rPr>
      </w:pPr>
    </w:p>
    <w:p>
      <w:pPr>
        <w:pStyle w:val="2"/>
        <w:spacing w:before="120" w:line="360" w:lineRule="auto"/>
        <w:ind w:firstLine="405"/>
        <w:jc w:val="center"/>
        <w:outlineLvl w:val="0"/>
        <w:rPr>
          <w:rFonts w:hint="eastAsia" w:ascii="仿宋" w:hAnsi="仿宋" w:eastAsia="仿宋" w:cs="仿宋"/>
          <w:b/>
          <w:bCs/>
          <w:sz w:val="28"/>
          <w:szCs w:val="28"/>
          <w:lang w:val="en-US" w:eastAsia="zh-CN"/>
        </w:rPr>
      </w:pPr>
    </w:p>
    <w:p>
      <w:pPr>
        <w:pStyle w:val="2"/>
        <w:spacing w:before="120" w:line="360" w:lineRule="auto"/>
        <w:ind w:firstLine="405"/>
        <w:jc w:val="center"/>
        <w:outlineLvl w:val="0"/>
        <w:rPr>
          <w:rFonts w:hint="eastAsia" w:ascii="仿宋" w:hAnsi="仿宋" w:eastAsia="仿宋" w:cs="仿宋"/>
          <w:b/>
          <w:bCs/>
          <w:sz w:val="28"/>
          <w:szCs w:val="28"/>
          <w:lang w:val="en-US" w:eastAsia="zh-CN"/>
        </w:rPr>
      </w:pPr>
    </w:p>
    <w:bookmarkEnd w:id="115"/>
    <w:bookmarkEnd w:id="116"/>
    <w:bookmarkEnd w:id="117"/>
    <w:bookmarkEnd w:id="118"/>
    <w:p>
      <w:pPr>
        <w:spacing w:line="360" w:lineRule="auto"/>
        <w:jc w:val="both"/>
        <w:rPr>
          <w:rStyle w:val="142"/>
          <w:rFonts w:hint="eastAsia" w:ascii="仿宋" w:hAnsi="仿宋" w:eastAsia="仿宋" w:cs="仿宋"/>
          <w:bCs w:val="0"/>
          <w:sz w:val="28"/>
          <w:szCs w:val="28"/>
        </w:rPr>
        <w:sectPr>
          <w:pgSz w:w="11905" w:h="16838"/>
          <w:pgMar w:top="1140" w:right="1202" w:bottom="1162" w:left="1219" w:header="851" w:footer="992" w:gutter="0"/>
          <w:cols w:space="720" w:num="1"/>
          <w:docGrid w:type="lines" w:linePitch="316" w:charSpace="0"/>
        </w:sectPr>
      </w:pPr>
    </w:p>
    <w:p>
      <w:pPr>
        <w:spacing w:line="360" w:lineRule="auto"/>
        <w:jc w:val="center"/>
        <w:outlineLvl w:val="0"/>
        <w:rPr>
          <w:rFonts w:hint="eastAsia" w:ascii="仿宋" w:hAnsi="仿宋" w:eastAsia="仿宋" w:cs="仿宋"/>
          <w:sz w:val="24"/>
          <w:szCs w:val="24"/>
        </w:rPr>
      </w:pPr>
      <w:bookmarkStart w:id="119" w:name="_Toc6232"/>
      <w:bookmarkStart w:id="120" w:name="_Toc26849"/>
      <w:bookmarkStart w:id="121" w:name="_Toc1350"/>
      <w:bookmarkStart w:id="122" w:name="_Toc11866"/>
      <w:r>
        <w:rPr>
          <w:rStyle w:val="142"/>
          <w:rFonts w:hint="eastAsia" w:ascii="仿宋" w:hAnsi="仿宋" w:eastAsia="仿宋" w:cs="仿宋"/>
          <w:bCs w:val="0"/>
          <w:sz w:val="28"/>
          <w:szCs w:val="28"/>
          <w:lang w:val="en-US" w:eastAsia="zh-CN"/>
        </w:rPr>
        <w:t>十八</w:t>
      </w:r>
      <w:r>
        <w:rPr>
          <w:rStyle w:val="142"/>
          <w:rFonts w:hint="eastAsia" w:ascii="仿宋" w:hAnsi="仿宋" w:eastAsia="仿宋" w:cs="仿宋"/>
          <w:bCs w:val="0"/>
          <w:sz w:val="28"/>
          <w:szCs w:val="28"/>
          <w:lang w:eastAsia="zh-CN"/>
        </w:rPr>
        <w:t>、</w:t>
      </w:r>
      <w:r>
        <w:rPr>
          <w:rStyle w:val="142"/>
          <w:rFonts w:hint="eastAsia" w:ascii="仿宋" w:hAnsi="仿宋" w:eastAsia="仿宋" w:cs="仿宋"/>
          <w:bCs w:val="0"/>
          <w:sz w:val="28"/>
          <w:szCs w:val="28"/>
        </w:rPr>
        <w:t>投标单位（供应商）反商业贿赂承诺书</w:t>
      </w:r>
      <w:bookmarkEnd w:id="119"/>
      <w:bookmarkEnd w:id="120"/>
      <w:bookmarkEnd w:id="121"/>
      <w:bookmarkEnd w:id="122"/>
    </w:p>
    <w:p>
      <w:pPr>
        <w:pStyle w:val="2"/>
        <w:spacing w:before="120" w:line="360" w:lineRule="auto"/>
        <w:ind w:left="120" w:leftChars="57" w:firstLine="280" w:firstLineChars="117"/>
        <w:rPr>
          <w:rFonts w:hint="eastAsia" w:ascii="仿宋" w:hAnsi="仿宋" w:eastAsia="仿宋" w:cs="仿宋"/>
          <w:sz w:val="24"/>
          <w:szCs w:val="24"/>
        </w:rPr>
      </w:pPr>
      <w:r>
        <w:rPr>
          <w:rFonts w:hint="eastAsia" w:ascii="仿宋" w:hAnsi="仿宋" w:eastAsia="仿宋" w:cs="仿宋"/>
          <w:sz w:val="24"/>
          <w:szCs w:val="24"/>
        </w:rPr>
        <w:t>我单位承诺在</w:t>
      </w:r>
      <w:r>
        <w:rPr>
          <w:rFonts w:hint="eastAsia" w:ascii="仿宋" w:hAnsi="仿宋" w:eastAsia="仿宋" w:cs="仿宋"/>
          <w:sz w:val="24"/>
          <w:szCs w:val="24"/>
          <w:u w:val="single"/>
        </w:rPr>
        <w:t xml:space="preserve">                                                （项目名称）</w:t>
      </w:r>
      <w:r>
        <w:rPr>
          <w:rFonts w:hint="eastAsia" w:ascii="仿宋" w:hAnsi="仿宋" w:eastAsia="仿宋" w:cs="仿宋"/>
          <w:sz w:val="24"/>
          <w:szCs w:val="24"/>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2"/>
        <w:spacing w:before="120" w:line="360" w:lineRule="auto"/>
        <w:ind w:firstLine="405"/>
        <w:rPr>
          <w:rFonts w:hint="eastAsia" w:ascii="仿宋" w:hAnsi="仿宋" w:eastAsia="仿宋" w:cs="仿宋"/>
          <w:sz w:val="24"/>
          <w:szCs w:val="24"/>
        </w:rPr>
      </w:pPr>
    </w:p>
    <w:p>
      <w:pPr>
        <w:pStyle w:val="2"/>
        <w:spacing w:before="120" w:line="360" w:lineRule="auto"/>
        <w:ind w:firstLine="405"/>
        <w:rPr>
          <w:rFonts w:hint="eastAsia" w:ascii="仿宋" w:hAnsi="仿宋" w:eastAsia="仿宋" w:cs="仿宋"/>
          <w:sz w:val="24"/>
          <w:szCs w:val="24"/>
        </w:rPr>
      </w:pPr>
      <w:r>
        <w:rPr>
          <w:rFonts w:hint="eastAsia" w:ascii="仿宋" w:hAnsi="仿宋" w:eastAsia="仿宋" w:cs="仿宋"/>
          <w:sz w:val="24"/>
          <w:szCs w:val="24"/>
        </w:rPr>
        <w:t>单位名称：（盖章）</w:t>
      </w:r>
    </w:p>
    <w:p>
      <w:pPr>
        <w:pStyle w:val="2"/>
        <w:spacing w:before="120" w:line="360" w:lineRule="auto"/>
        <w:ind w:firstLine="405"/>
        <w:rPr>
          <w:rFonts w:hint="eastAsia" w:ascii="仿宋" w:hAnsi="仿宋" w:eastAsia="仿宋" w:cs="仿宋"/>
          <w:sz w:val="24"/>
          <w:szCs w:val="24"/>
        </w:rPr>
      </w:pPr>
      <w:r>
        <w:rPr>
          <w:rFonts w:hint="eastAsia" w:ascii="仿宋" w:hAnsi="仿宋" w:eastAsia="仿宋" w:cs="仿宋"/>
          <w:sz w:val="24"/>
          <w:szCs w:val="24"/>
        </w:rPr>
        <w:t>法定代表人：（签字盖章）</w:t>
      </w:r>
    </w:p>
    <w:p>
      <w:pPr>
        <w:pStyle w:val="2"/>
        <w:spacing w:before="120" w:line="360" w:lineRule="auto"/>
        <w:ind w:firstLine="405"/>
        <w:rPr>
          <w:rFonts w:hint="eastAsia" w:ascii="仿宋" w:hAnsi="仿宋" w:eastAsia="仿宋" w:cs="仿宋"/>
          <w:sz w:val="24"/>
          <w:szCs w:val="24"/>
        </w:rPr>
      </w:pPr>
      <w:r>
        <w:rPr>
          <w:rFonts w:hint="eastAsia" w:ascii="仿宋" w:hAnsi="仿宋" w:eastAsia="仿宋" w:cs="仿宋"/>
          <w:sz w:val="24"/>
          <w:szCs w:val="24"/>
        </w:rPr>
        <w:t>项目经办人：</w:t>
      </w:r>
    </w:p>
    <w:p>
      <w:pPr>
        <w:pStyle w:val="2"/>
        <w:spacing w:before="120" w:line="360" w:lineRule="auto"/>
        <w:ind w:firstLine="405"/>
        <w:rPr>
          <w:rFonts w:hint="eastAsia" w:ascii="仿宋" w:hAnsi="仿宋" w:eastAsia="仿宋" w:cs="仿宋"/>
          <w:sz w:val="24"/>
          <w:szCs w:val="24"/>
        </w:rPr>
      </w:pPr>
    </w:p>
    <w:p>
      <w:pPr>
        <w:pStyle w:val="2"/>
        <w:spacing w:before="120" w:line="360" w:lineRule="auto"/>
        <w:ind w:firstLine="405"/>
        <w:rPr>
          <w:rFonts w:hint="eastAsia" w:ascii="仿宋" w:hAnsi="仿宋" w:eastAsia="仿宋" w:cs="仿宋"/>
          <w:sz w:val="24"/>
          <w:szCs w:val="24"/>
        </w:rPr>
      </w:pPr>
    </w:p>
    <w:p>
      <w:pPr>
        <w:pStyle w:val="2"/>
        <w:spacing w:before="120" w:line="360" w:lineRule="auto"/>
        <w:ind w:firstLine="405"/>
        <w:rPr>
          <w:rFonts w:hint="eastAsia" w:ascii="仿宋" w:hAnsi="仿宋" w:eastAsia="仿宋" w:cs="仿宋"/>
          <w:sz w:val="24"/>
          <w:szCs w:val="24"/>
        </w:rPr>
      </w:pPr>
      <w:r>
        <w:rPr>
          <w:rFonts w:hint="eastAsia" w:ascii="仿宋" w:hAnsi="仿宋" w:eastAsia="仿宋" w:cs="仿宋"/>
          <w:sz w:val="24"/>
          <w:szCs w:val="24"/>
        </w:rPr>
        <w:t xml:space="preserve">                                   日  期：   年   月   日</w:t>
      </w:r>
      <w:bookmarkStart w:id="123" w:name="_Toc5662"/>
      <w:bookmarkStart w:id="124" w:name="_Toc29266"/>
      <w:bookmarkStart w:id="125" w:name="_Toc8968"/>
      <w:bookmarkStart w:id="126" w:name="_Toc15248"/>
    </w:p>
    <w:p>
      <w:pPr>
        <w:pStyle w:val="2"/>
        <w:spacing w:before="120" w:line="360" w:lineRule="auto"/>
        <w:ind w:firstLine="405"/>
        <w:rPr>
          <w:rFonts w:hint="eastAsia" w:ascii="仿宋" w:hAnsi="仿宋" w:eastAsia="仿宋" w:cs="仿宋"/>
          <w:sz w:val="24"/>
          <w:szCs w:val="24"/>
        </w:rPr>
      </w:pPr>
    </w:p>
    <w:p>
      <w:pPr>
        <w:pStyle w:val="2"/>
        <w:spacing w:before="120" w:line="360" w:lineRule="auto"/>
        <w:ind w:firstLine="405"/>
        <w:rPr>
          <w:rFonts w:hint="eastAsia" w:ascii="仿宋" w:hAnsi="仿宋" w:eastAsia="仿宋" w:cs="仿宋"/>
          <w:sz w:val="24"/>
          <w:szCs w:val="24"/>
        </w:rPr>
      </w:pPr>
    </w:p>
    <w:p>
      <w:pPr>
        <w:pStyle w:val="2"/>
        <w:spacing w:before="120" w:line="360" w:lineRule="auto"/>
        <w:ind w:firstLine="405"/>
        <w:rPr>
          <w:rFonts w:hint="eastAsia" w:ascii="仿宋" w:hAnsi="仿宋" w:eastAsia="仿宋" w:cs="仿宋"/>
          <w:sz w:val="24"/>
          <w:szCs w:val="24"/>
        </w:rPr>
      </w:pPr>
    </w:p>
    <w:p>
      <w:pPr>
        <w:pStyle w:val="2"/>
        <w:spacing w:before="120" w:line="360" w:lineRule="auto"/>
        <w:ind w:firstLine="405"/>
        <w:rPr>
          <w:rFonts w:hint="eastAsia" w:ascii="仿宋" w:hAnsi="仿宋" w:eastAsia="仿宋" w:cs="仿宋"/>
          <w:sz w:val="24"/>
          <w:szCs w:val="24"/>
        </w:rPr>
      </w:pPr>
    </w:p>
    <w:p>
      <w:pPr>
        <w:pStyle w:val="2"/>
        <w:spacing w:before="120" w:line="360" w:lineRule="auto"/>
        <w:ind w:firstLine="405"/>
        <w:rPr>
          <w:rFonts w:hint="eastAsia" w:ascii="仿宋" w:hAnsi="仿宋" w:eastAsia="仿宋" w:cs="仿宋"/>
          <w:sz w:val="24"/>
          <w:szCs w:val="24"/>
        </w:rPr>
      </w:pPr>
    </w:p>
    <w:p>
      <w:pPr>
        <w:pStyle w:val="2"/>
        <w:spacing w:before="120" w:line="360" w:lineRule="auto"/>
        <w:ind w:firstLine="405"/>
        <w:rPr>
          <w:rFonts w:hint="eastAsia" w:ascii="仿宋" w:hAnsi="仿宋" w:eastAsia="仿宋" w:cs="仿宋"/>
          <w:sz w:val="24"/>
          <w:szCs w:val="24"/>
        </w:rPr>
      </w:pPr>
    </w:p>
    <w:p>
      <w:pPr>
        <w:pStyle w:val="2"/>
        <w:spacing w:before="120" w:line="360" w:lineRule="auto"/>
        <w:ind w:firstLine="405"/>
        <w:rPr>
          <w:rFonts w:hint="eastAsia" w:ascii="仿宋" w:hAnsi="仿宋" w:eastAsia="仿宋" w:cs="仿宋"/>
          <w:sz w:val="24"/>
          <w:szCs w:val="24"/>
        </w:rPr>
      </w:pPr>
    </w:p>
    <w:p>
      <w:pPr>
        <w:pStyle w:val="2"/>
        <w:spacing w:before="120" w:line="360" w:lineRule="auto"/>
        <w:ind w:firstLine="405"/>
        <w:rPr>
          <w:rFonts w:hint="eastAsia" w:ascii="仿宋" w:hAnsi="仿宋" w:eastAsia="仿宋" w:cs="仿宋"/>
          <w:sz w:val="24"/>
          <w:szCs w:val="24"/>
        </w:rPr>
      </w:pPr>
    </w:p>
    <w:p>
      <w:pPr>
        <w:pStyle w:val="2"/>
        <w:spacing w:before="120" w:line="360" w:lineRule="auto"/>
        <w:jc w:val="both"/>
        <w:rPr>
          <w:rStyle w:val="142"/>
          <w:rFonts w:hint="eastAsia" w:ascii="仿宋" w:hAnsi="仿宋" w:eastAsia="仿宋" w:cs="仿宋"/>
          <w:bCs w:val="0"/>
          <w:kern w:val="2"/>
          <w:sz w:val="28"/>
          <w:szCs w:val="28"/>
          <w:lang w:val="en-US" w:eastAsia="zh-CN" w:bidi="ar-SA"/>
        </w:rPr>
      </w:pPr>
    </w:p>
    <w:p>
      <w:pPr>
        <w:rPr>
          <w:rStyle w:val="142"/>
          <w:rFonts w:hint="eastAsia" w:ascii="仿宋" w:hAnsi="仿宋" w:eastAsia="仿宋" w:cs="仿宋"/>
          <w:bCs w:val="0"/>
          <w:kern w:val="2"/>
          <w:sz w:val="28"/>
          <w:szCs w:val="28"/>
          <w:lang w:val="en-US" w:eastAsia="zh-CN" w:bidi="ar-SA"/>
        </w:rPr>
      </w:pPr>
      <w:r>
        <w:rPr>
          <w:rStyle w:val="142"/>
          <w:rFonts w:hint="eastAsia" w:ascii="仿宋" w:hAnsi="仿宋" w:eastAsia="仿宋" w:cs="仿宋"/>
          <w:bCs w:val="0"/>
          <w:kern w:val="2"/>
          <w:sz w:val="28"/>
          <w:szCs w:val="28"/>
          <w:lang w:val="en-US" w:eastAsia="zh-CN" w:bidi="ar-SA"/>
        </w:rPr>
        <w:br w:type="page"/>
      </w:r>
    </w:p>
    <w:p>
      <w:pPr>
        <w:pStyle w:val="2"/>
        <w:numPr>
          <w:ilvl w:val="0"/>
          <w:numId w:val="0"/>
        </w:numPr>
        <w:spacing w:before="120" w:line="360" w:lineRule="auto"/>
        <w:ind w:left="3150" w:leftChars="0"/>
        <w:jc w:val="left"/>
        <w:rPr>
          <w:rStyle w:val="142"/>
          <w:rFonts w:hint="eastAsia" w:ascii="仿宋" w:hAnsi="仿宋" w:eastAsia="仿宋" w:cs="仿宋"/>
          <w:bCs w:val="0"/>
          <w:kern w:val="2"/>
          <w:sz w:val="28"/>
          <w:szCs w:val="28"/>
          <w:lang w:val="en-US" w:eastAsia="zh-CN" w:bidi="ar-SA"/>
        </w:rPr>
      </w:pPr>
      <w:r>
        <w:rPr>
          <w:rStyle w:val="142"/>
          <w:rFonts w:hint="eastAsia" w:ascii="仿宋" w:hAnsi="仿宋" w:eastAsia="仿宋" w:cs="仿宋"/>
          <w:bCs w:val="0"/>
          <w:kern w:val="2"/>
          <w:sz w:val="28"/>
          <w:szCs w:val="28"/>
          <w:lang w:val="en-US" w:eastAsia="zh-CN" w:bidi="ar-SA"/>
        </w:rPr>
        <w:t>十九、中小企业声明函</w:t>
      </w:r>
      <w:bookmarkEnd w:id="123"/>
      <w:bookmarkEnd w:id="124"/>
      <w:bookmarkEnd w:id="125"/>
      <w:bookmarkEnd w:id="126"/>
    </w:p>
    <w:p>
      <w:pPr>
        <w:pStyle w:val="2"/>
        <w:numPr>
          <w:ilvl w:val="0"/>
          <w:numId w:val="0"/>
        </w:numPr>
        <w:spacing w:before="120" w:line="360" w:lineRule="auto"/>
        <w:ind w:firstLine="828" w:firstLineChars="300"/>
        <w:jc w:val="both"/>
        <w:rPr>
          <w:rFonts w:hint="eastAsia" w:ascii="仿宋" w:hAnsi="仿宋" w:eastAsia="仿宋" w:cs="仿宋"/>
          <w:spacing w:val="-2"/>
          <w:kern w:val="2"/>
          <w:sz w:val="28"/>
          <w:szCs w:val="28"/>
          <w:lang w:val="en-US" w:eastAsia="zh-CN" w:bidi="zh-CN"/>
        </w:rPr>
      </w:pPr>
      <w:r>
        <w:rPr>
          <w:rFonts w:hint="eastAsia" w:ascii="仿宋" w:hAnsi="仿宋" w:eastAsia="仿宋" w:cs="仿宋"/>
          <w:spacing w:val="-2"/>
          <w:kern w:val="2"/>
          <w:sz w:val="28"/>
          <w:szCs w:val="28"/>
          <w:lang w:val="en-US" w:eastAsia="zh-CN" w:bidi="zh-CN"/>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39"/>
        <w:keepNext w:val="0"/>
        <w:keepLines w:val="0"/>
        <w:widowControl/>
        <w:suppressLineNumbers w:val="0"/>
        <w:spacing w:line="240" w:lineRule="auto"/>
        <w:ind w:left="0" w:firstLine="420"/>
        <w:rPr>
          <w:rFonts w:hint="eastAsia" w:ascii="仿宋" w:hAnsi="仿宋" w:eastAsia="仿宋" w:cs="仿宋"/>
          <w:spacing w:val="-2"/>
          <w:kern w:val="2"/>
          <w:sz w:val="28"/>
          <w:szCs w:val="28"/>
          <w:lang w:val="en-US" w:eastAsia="zh-CN" w:bidi="zh-CN"/>
        </w:rPr>
      </w:pPr>
      <w:r>
        <w:rPr>
          <w:rFonts w:hint="eastAsia" w:ascii="仿宋" w:hAnsi="仿宋" w:eastAsia="仿宋" w:cs="仿宋"/>
          <w:spacing w:val="-2"/>
          <w:kern w:val="2"/>
          <w:sz w:val="28"/>
          <w:szCs w:val="28"/>
          <w:lang w:val="en-US" w:eastAsia="zh-CN" w:bidi="zh-CN"/>
        </w:rPr>
        <w:t>1.（标的名称），属于（采购文件中明确的所属行业）；承建（承接）企业为（企业名称），从业人员  人，营业收入为  万元，资产总额为  万元，属于（中型企业、小型企业、微型企业）；</w:t>
      </w:r>
    </w:p>
    <w:p>
      <w:pPr>
        <w:pStyle w:val="39"/>
        <w:keepNext w:val="0"/>
        <w:keepLines w:val="0"/>
        <w:widowControl/>
        <w:suppressLineNumbers w:val="0"/>
        <w:spacing w:line="240" w:lineRule="auto"/>
        <w:ind w:left="0" w:firstLine="420"/>
        <w:rPr>
          <w:rFonts w:hint="eastAsia" w:ascii="仿宋" w:hAnsi="仿宋" w:eastAsia="仿宋" w:cs="仿宋"/>
          <w:spacing w:val="-2"/>
          <w:kern w:val="2"/>
          <w:sz w:val="28"/>
          <w:szCs w:val="28"/>
          <w:lang w:val="en-US" w:eastAsia="zh-CN" w:bidi="zh-CN"/>
        </w:rPr>
      </w:pPr>
      <w:r>
        <w:rPr>
          <w:rFonts w:hint="eastAsia" w:ascii="仿宋" w:hAnsi="仿宋" w:eastAsia="仿宋" w:cs="仿宋"/>
          <w:spacing w:val="-2"/>
          <w:kern w:val="2"/>
          <w:sz w:val="28"/>
          <w:szCs w:val="28"/>
          <w:lang w:val="en-US" w:eastAsia="zh-CN" w:bidi="zh-CN"/>
        </w:rPr>
        <w:t>2. （标的名称），属于（采购文件中明确的所属行业）；承建（承接）企业为（企业名称），从业人员  人，营业收入为  万元，资产总额为  万元，属于（中型企业、小型企业、微型企业）；</w:t>
      </w:r>
    </w:p>
    <w:p>
      <w:pPr>
        <w:pStyle w:val="39"/>
        <w:keepNext w:val="0"/>
        <w:keepLines w:val="0"/>
        <w:widowControl/>
        <w:suppressLineNumbers w:val="0"/>
        <w:spacing w:line="240" w:lineRule="auto"/>
        <w:ind w:left="0" w:firstLine="420"/>
        <w:rPr>
          <w:rFonts w:hint="eastAsia" w:ascii="仿宋" w:hAnsi="仿宋" w:eastAsia="仿宋" w:cs="仿宋"/>
          <w:spacing w:val="-2"/>
          <w:kern w:val="2"/>
          <w:sz w:val="28"/>
          <w:szCs w:val="28"/>
          <w:lang w:val="en-US" w:eastAsia="zh-CN" w:bidi="zh-CN"/>
        </w:rPr>
      </w:pPr>
      <w:r>
        <w:rPr>
          <w:rFonts w:hint="eastAsia" w:ascii="仿宋" w:hAnsi="仿宋" w:eastAsia="仿宋" w:cs="仿宋"/>
          <w:spacing w:val="-2"/>
          <w:kern w:val="2"/>
          <w:sz w:val="28"/>
          <w:szCs w:val="28"/>
          <w:lang w:val="en-US" w:eastAsia="zh-CN" w:bidi="zh-CN"/>
        </w:rPr>
        <w:t>……</w:t>
      </w:r>
    </w:p>
    <w:p>
      <w:pPr>
        <w:pStyle w:val="39"/>
        <w:keepNext w:val="0"/>
        <w:keepLines w:val="0"/>
        <w:widowControl/>
        <w:suppressLineNumbers w:val="0"/>
        <w:spacing w:line="240" w:lineRule="auto"/>
        <w:ind w:left="0" w:firstLine="420"/>
        <w:rPr>
          <w:rFonts w:hint="eastAsia" w:ascii="仿宋" w:hAnsi="仿宋" w:eastAsia="仿宋" w:cs="仿宋"/>
          <w:spacing w:val="-2"/>
          <w:kern w:val="2"/>
          <w:sz w:val="28"/>
          <w:szCs w:val="28"/>
          <w:lang w:val="en-US" w:eastAsia="zh-CN" w:bidi="zh-CN"/>
        </w:rPr>
      </w:pPr>
      <w:r>
        <w:rPr>
          <w:rFonts w:hint="eastAsia" w:ascii="仿宋" w:hAnsi="仿宋" w:eastAsia="仿宋" w:cs="仿宋"/>
          <w:spacing w:val="-2"/>
          <w:kern w:val="2"/>
          <w:sz w:val="28"/>
          <w:szCs w:val="28"/>
          <w:lang w:val="en-US" w:eastAsia="zh-CN" w:bidi="zh-CN"/>
        </w:rPr>
        <w:t>以上企业，不属于大企业的分支机构，不存在控股股东为大企业的情形，也不存在与大企业的负责人为同一人的情形。</w:t>
      </w:r>
    </w:p>
    <w:p>
      <w:pPr>
        <w:pStyle w:val="39"/>
        <w:keepNext w:val="0"/>
        <w:keepLines w:val="0"/>
        <w:widowControl/>
        <w:suppressLineNumbers w:val="0"/>
        <w:spacing w:line="240" w:lineRule="auto"/>
        <w:ind w:left="0" w:firstLine="420"/>
        <w:rPr>
          <w:rFonts w:hint="eastAsia" w:ascii="仿宋" w:hAnsi="仿宋" w:eastAsia="仿宋" w:cs="仿宋"/>
          <w:spacing w:val="-2"/>
          <w:kern w:val="2"/>
          <w:sz w:val="28"/>
          <w:szCs w:val="28"/>
          <w:lang w:val="en-US" w:eastAsia="zh-CN" w:bidi="zh-CN"/>
        </w:rPr>
      </w:pPr>
      <w:r>
        <w:rPr>
          <w:rFonts w:hint="eastAsia" w:ascii="仿宋" w:hAnsi="仿宋" w:eastAsia="仿宋" w:cs="仿宋"/>
          <w:spacing w:val="-2"/>
          <w:kern w:val="2"/>
          <w:sz w:val="28"/>
          <w:szCs w:val="28"/>
          <w:lang w:val="en-US" w:eastAsia="zh-CN" w:bidi="zh-CN"/>
        </w:rPr>
        <w:t>本企业对上述声明内容的真实性负责。如有虚假，将依法承担相应责任。</w:t>
      </w:r>
    </w:p>
    <w:p>
      <w:pPr>
        <w:pStyle w:val="39"/>
        <w:keepNext w:val="0"/>
        <w:keepLines w:val="0"/>
        <w:widowControl/>
        <w:suppressLineNumbers w:val="0"/>
        <w:spacing w:line="240" w:lineRule="auto"/>
        <w:ind w:left="0" w:firstLine="420"/>
        <w:jc w:val="right"/>
        <w:rPr>
          <w:rFonts w:hint="eastAsia" w:ascii="仿宋" w:hAnsi="仿宋" w:eastAsia="仿宋" w:cs="仿宋"/>
          <w:spacing w:val="-2"/>
          <w:kern w:val="2"/>
          <w:sz w:val="28"/>
          <w:szCs w:val="28"/>
          <w:lang w:val="en-US" w:eastAsia="zh-CN" w:bidi="zh-CN"/>
        </w:rPr>
      </w:pPr>
      <w:r>
        <w:rPr>
          <w:rFonts w:hint="eastAsia" w:ascii="仿宋" w:hAnsi="仿宋" w:eastAsia="仿宋" w:cs="仿宋"/>
          <w:spacing w:val="-2"/>
          <w:kern w:val="2"/>
          <w:sz w:val="28"/>
          <w:szCs w:val="28"/>
          <w:lang w:val="en-US" w:eastAsia="zh-CN" w:bidi="zh-CN"/>
        </w:rPr>
        <w:t>                      企业名称（盖章）：</w:t>
      </w:r>
    </w:p>
    <w:p>
      <w:pPr>
        <w:pStyle w:val="39"/>
        <w:keepNext w:val="0"/>
        <w:keepLines w:val="0"/>
        <w:widowControl/>
        <w:suppressLineNumbers w:val="0"/>
        <w:spacing w:line="240" w:lineRule="auto"/>
        <w:ind w:left="0" w:firstLine="420"/>
        <w:jc w:val="right"/>
        <w:rPr>
          <w:rFonts w:hint="eastAsia" w:ascii="仿宋" w:hAnsi="仿宋" w:eastAsia="仿宋" w:cs="仿宋"/>
          <w:spacing w:val="-2"/>
          <w:kern w:val="2"/>
          <w:sz w:val="28"/>
          <w:szCs w:val="28"/>
          <w:lang w:val="en-US" w:eastAsia="zh-CN" w:bidi="zh-CN"/>
        </w:rPr>
      </w:pPr>
      <w:r>
        <w:rPr>
          <w:rFonts w:hint="eastAsia" w:ascii="仿宋" w:hAnsi="仿宋" w:eastAsia="仿宋" w:cs="仿宋"/>
          <w:spacing w:val="-2"/>
          <w:kern w:val="2"/>
          <w:sz w:val="28"/>
          <w:szCs w:val="28"/>
          <w:lang w:val="en-US" w:eastAsia="zh-CN" w:bidi="zh-CN"/>
        </w:rPr>
        <w:t>                     日期： </w:t>
      </w:r>
    </w:p>
    <w:p>
      <w:pPr>
        <w:pStyle w:val="21"/>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eastAsia" w:ascii="仿宋" w:hAnsi="仿宋" w:eastAsia="仿宋" w:cs="仿宋"/>
          <w:spacing w:val="-2"/>
          <w:kern w:val="2"/>
          <w:sz w:val="28"/>
          <w:szCs w:val="28"/>
          <w:lang w:val="en-US" w:eastAsia="zh-CN" w:bidi="zh-CN"/>
        </w:rPr>
      </w:pPr>
      <w:r>
        <w:rPr>
          <w:rFonts w:hint="eastAsia" w:ascii="仿宋" w:hAnsi="仿宋" w:eastAsia="仿宋" w:cs="仿宋"/>
          <w:spacing w:val="-2"/>
          <w:kern w:val="2"/>
          <w:sz w:val="28"/>
          <w:szCs w:val="28"/>
          <w:lang w:val="en-US" w:eastAsia="zh-CN" w:bidi="zh-CN"/>
        </w:rPr>
        <w:t>备注：</w:t>
      </w:r>
    </w:p>
    <w:p>
      <w:pPr>
        <w:pStyle w:val="21"/>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640" w:firstLineChars="0"/>
        <w:jc w:val="both"/>
        <w:textAlignment w:val="auto"/>
        <w:rPr>
          <w:rFonts w:hint="eastAsia" w:ascii="仿宋" w:hAnsi="仿宋" w:eastAsia="仿宋" w:cs="仿宋"/>
          <w:spacing w:val="-2"/>
          <w:kern w:val="2"/>
          <w:sz w:val="28"/>
          <w:szCs w:val="28"/>
          <w:lang w:val="en-US" w:eastAsia="zh-CN" w:bidi="zh-CN"/>
        </w:rPr>
      </w:pPr>
      <w:r>
        <w:rPr>
          <w:rFonts w:hint="eastAsia" w:ascii="仿宋" w:hAnsi="仿宋" w:eastAsia="仿宋" w:cs="仿宋"/>
          <w:spacing w:val="-2"/>
          <w:kern w:val="2"/>
          <w:sz w:val="28"/>
          <w:szCs w:val="28"/>
          <w:lang w:val="en-US" w:eastAsia="zh-CN" w:bidi="zh-CN"/>
        </w:rPr>
        <w:t>1.从业人员、营业收入、资产总额填报上一年度的数据，无上一年度数据的新成立的企业可不填报。</w:t>
      </w:r>
    </w:p>
    <w:p>
      <w:pPr>
        <w:keepNext w:val="0"/>
        <w:keepLines w:val="0"/>
        <w:pageBreakBefore w:val="0"/>
        <w:widowControl/>
        <w:suppressLineNumbers w:val="0"/>
        <w:kinsoku/>
        <w:wordWrap/>
        <w:overflowPunct/>
        <w:topLinePunct w:val="0"/>
        <w:bidi w:val="0"/>
        <w:adjustRightInd/>
        <w:snapToGrid/>
        <w:spacing w:line="240" w:lineRule="auto"/>
        <w:ind w:left="0" w:leftChars="0" w:firstLine="640" w:firstLineChars="0"/>
        <w:jc w:val="both"/>
        <w:textAlignment w:val="auto"/>
        <w:rPr>
          <w:rFonts w:hint="eastAsia" w:ascii="仿宋" w:hAnsi="仿宋" w:eastAsia="仿宋" w:cs="仿宋"/>
          <w:b/>
          <w:bCs/>
          <w:spacing w:val="-2"/>
          <w:kern w:val="2"/>
          <w:sz w:val="28"/>
          <w:szCs w:val="28"/>
          <w:lang w:val="en-US" w:eastAsia="zh-CN" w:bidi="zh-CN"/>
        </w:rPr>
      </w:pPr>
      <w:r>
        <w:rPr>
          <w:rFonts w:hint="eastAsia" w:ascii="仿宋" w:hAnsi="仿宋" w:eastAsia="仿宋" w:cs="仿宋"/>
          <w:b/>
          <w:bCs/>
          <w:spacing w:val="-2"/>
          <w:kern w:val="2"/>
          <w:sz w:val="28"/>
          <w:szCs w:val="28"/>
          <w:lang w:val="en-US" w:eastAsia="zh-CN" w:bidi="zh-CN"/>
        </w:rPr>
        <w:t>2.投标企业按照新疆维吾尔自治区财政厅《关于落实好政府采购支持中小企业发展的通知》（新财购 〔2022〕22号），明确说明企业类型为中型企业或小型企业或微型企业，不得用中小微企业简单概括，否则，后果自负。</w:t>
      </w:r>
    </w:p>
    <w:p>
      <w:pPr>
        <w:pStyle w:val="42"/>
        <w:rPr>
          <w:rFonts w:hint="eastAsia" w:ascii="仿宋" w:hAnsi="仿宋" w:eastAsia="仿宋" w:cs="仿宋"/>
        </w:rPr>
      </w:pPr>
    </w:p>
    <w:p>
      <w:pPr>
        <w:rPr>
          <w:rFonts w:hint="eastAsia" w:ascii="仿宋" w:hAnsi="仿宋" w:eastAsia="仿宋" w:cs="仿宋"/>
          <w:b/>
          <w:spacing w:val="6"/>
          <w:sz w:val="28"/>
          <w:szCs w:val="28"/>
        </w:rPr>
      </w:pPr>
    </w:p>
    <w:p>
      <w:pPr>
        <w:tabs>
          <w:tab w:val="left" w:pos="426"/>
        </w:tabs>
        <w:autoSpaceDE w:val="0"/>
        <w:autoSpaceDN w:val="0"/>
        <w:spacing w:line="360" w:lineRule="auto"/>
        <w:jc w:val="center"/>
        <w:outlineLvl w:val="3"/>
        <w:rPr>
          <w:rFonts w:hint="eastAsia" w:ascii="仿宋" w:hAnsi="仿宋" w:eastAsia="仿宋" w:cs="仿宋"/>
          <w:color w:val="auto"/>
          <w:sz w:val="32"/>
          <w:szCs w:val="32"/>
          <w:highlight w:val="none"/>
        </w:rPr>
      </w:pPr>
    </w:p>
    <w:p>
      <w:pPr>
        <w:tabs>
          <w:tab w:val="left" w:pos="426"/>
        </w:tabs>
        <w:autoSpaceDE w:val="0"/>
        <w:autoSpaceDN w:val="0"/>
        <w:spacing w:line="360" w:lineRule="auto"/>
        <w:jc w:val="center"/>
        <w:outlineLvl w:val="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残疾人福利性单位声明函（如有）</w:t>
      </w:r>
    </w:p>
    <w:p>
      <w:pPr>
        <w:pStyle w:val="6"/>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投标人名称（单位盖公章）：</w:t>
      </w:r>
    </w:p>
    <w:p>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widowControl/>
        <w:jc w:val="left"/>
        <w:rPr>
          <w:rFonts w:hint="eastAsia" w:ascii="仿宋" w:hAnsi="仿宋" w:eastAsia="仿宋" w:cs="仿宋"/>
          <w:color w:val="auto"/>
          <w:sz w:val="32"/>
          <w:szCs w:val="32"/>
          <w:highlight w:val="none"/>
        </w:rPr>
      </w:pPr>
    </w:p>
    <w:p>
      <w:pPr>
        <w:widowControl/>
        <w:jc w:val="left"/>
        <w:rPr>
          <w:rFonts w:hint="eastAsia" w:ascii="仿宋" w:hAnsi="仿宋" w:eastAsia="仿宋" w:cs="仿宋"/>
          <w:color w:val="auto"/>
          <w:sz w:val="32"/>
          <w:szCs w:val="32"/>
          <w:highlight w:val="none"/>
        </w:rPr>
      </w:pPr>
    </w:p>
    <w:p>
      <w:pPr>
        <w:widowControl/>
        <w:jc w:val="left"/>
        <w:rPr>
          <w:rFonts w:hint="eastAsia" w:ascii="仿宋" w:hAnsi="仿宋" w:eastAsia="仿宋" w:cs="仿宋"/>
          <w:color w:val="auto"/>
          <w:sz w:val="32"/>
          <w:szCs w:val="32"/>
          <w:highlight w:val="none"/>
        </w:rPr>
      </w:pPr>
    </w:p>
    <w:p>
      <w:pPr>
        <w:tabs>
          <w:tab w:val="left" w:pos="426"/>
        </w:tabs>
        <w:autoSpaceDE w:val="0"/>
        <w:autoSpaceDN w:val="0"/>
        <w:spacing w:line="360" w:lineRule="auto"/>
        <w:jc w:val="center"/>
        <w:outlineLvl w:val="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监狱企业的证明文件（如有）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说明：监狱企业参加政府采购活动时，应当提供由</w:t>
      </w:r>
      <w:r>
        <w:rPr>
          <w:rFonts w:hint="eastAsia" w:ascii="仿宋" w:hAnsi="仿宋" w:eastAsia="仿宋" w:cs="仿宋"/>
          <w:b/>
          <w:color w:val="auto"/>
          <w:sz w:val="24"/>
          <w:highlight w:val="none"/>
        </w:rPr>
        <w:t>省级以上监狱管理局、戒毒管理局（含新疆生产建设兵团）出具的属于监狱企业的证明文件，</w:t>
      </w:r>
      <w:r>
        <w:rPr>
          <w:rFonts w:hint="eastAsia" w:ascii="仿宋" w:hAnsi="仿宋" w:eastAsia="仿宋" w:cs="仿宋"/>
          <w:color w:val="auto"/>
          <w:sz w:val="24"/>
          <w:highlight w:val="none"/>
        </w:rPr>
        <w:t>并加盖投标单位公章。</w:t>
      </w:r>
    </w:p>
    <w:p>
      <w:pPr>
        <w:numPr>
          <w:ilvl w:val="0"/>
          <w:numId w:val="0"/>
        </w:numPr>
        <w:spacing w:line="588" w:lineRule="exact"/>
        <w:jc w:val="center"/>
        <w:rPr>
          <w:rFonts w:hint="eastAsia" w:ascii="仿宋" w:hAnsi="仿宋" w:eastAsia="仿宋" w:cs="仿宋"/>
          <w:b/>
          <w:color w:val="auto"/>
          <w:spacing w:val="6"/>
          <w:kern w:val="2"/>
          <w:sz w:val="28"/>
          <w:szCs w:val="28"/>
          <w:lang w:val="en-US" w:eastAsia="zh-CN" w:bidi="ar-SA"/>
        </w:rPr>
      </w:pPr>
    </w:p>
    <w:p>
      <w:pPr>
        <w:numPr>
          <w:ilvl w:val="0"/>
          <w:numId w:val="0"/>
        </w:numPr>
        <w:spacing w:line="588" w:lineRule="exact"/>
        <w:jc w:val="center"/>
        <w:rPr>
          <w:rFonts w:hint="eastAsia" w:ascii="仿宋" w:hAnsi="仿宋" w:eastAsia="仿宋" w:cs="仿宋"/>
          <w:b/>
          <w:color w:val="auto"/>
          <w:spacing w:val="6"/>
          <w:kern w:val="2"/>
          <w:sz w:val="28"/>
          <w:szCs w:val="28"/>
          <w:lang w:val="en-US" w:eastAsia="zh-CN" w:bidi="ar-SA"/>
        </w:rPr>
      </w:pPr>
    </w:p>
    <w:p>
      <w:pPr>
        <w:numPr>
          <w:ilvl w:val="0"/>
          <w:numId w:val="0"/>
        </w:numPr>
        <w:spacing w:line="588" w:lineRule="exact"/>
        <w:jc w:val="center"/>
        <w:rPr>
          <w:rFonts w:hint="eastAsia" w:ascii="仿宋" w:hAnsi="仿宋" w:eastAsia="仿宋" w:cs="仿宋"/>
          <w:b/>
          <w:color w:val="auto"/>
          <w:spacing w:val="6"/>
          <w:kern w:val="2"/>
          <w:sz w:val="28"/>
          <w:szCs w:val="28"/>
          <w:lang w:val="en-US" w:eastAsia="zh-CN" w:bidi="ar-SA"/>
        </w:rPr>
      </w:pPr>
    </w:p>
    <w:p>
      <w:pPr>
        <w:numPr>
          <w:ilvl w:val="0"/>
          <w:numId w:val="0"/>
        </w:numPr>
        <w:spacing w:line="588" w:lineRule="exact"/>
        <w:jc w:val="center"/>
        <w:rPr>
          <w:rFonts w:hint="eastAsia" w:ascii="仿宋" w:hAnsi="仿宋" w:eastAsia="仿宋" w:cs="仿宋"/>
          <w:b/>
          <w:color w:val="auto"/>
          <w:spacing w:val="6"/>
          <w:kern w:val="2"/>
          <w:sz w:val="28"/>
          <w:szCs w:val="28"/>
          <w:lang w:val="en-US" w:eastAsia="zh-CN" w:bidi="ar-SA"/>
        </w:rPr>
      </w:pPr>
    </w:p>
    <w:p>
      <w:pPr>
        <w:rPr>
          <w:rFonts w:hint="eastAsia" w:ascii="仿宋" w:hAnsi="仿宋" w:eastAsia="仿宋" w:cs="仿宋"/>
          <w:b/>
          <w:color w:val="auto"/>
          <w:spacing w:val="6"/>
          <w:kern w:val="2"/>
          <w:sz w:val="28"/>
          <w:szCs w:val="28"/>
          <w:lang w:val="en-US" w:eastAsia="zh-CN" w:bidi="ar-SA"/>
        </w:rPr>
      </w:pPr>
      <w:r>
        <w:rPr>
          <w:rFonts w:hint="eastAsia" w:ascii="仿宋" w:hAnsi="仿宋" w:eastAsia="仿宋" w:cs="仿宋"/>
          <w:b/>
          <w:color w:val="auto"/>
          <w:spacing w:val="6"/>
          <w:kern w:val="2"/>
          <w:sz w:val="28"/>
          <w:szCs w:val="28"/>
          <w:lang w:val="en-US" w:eastAsia="zh-CN" w:bidi="ar-SA"/>
        </w:rPr>
        <w:br w:type="page"/>
      </w:r>
    </w:p>
    <w:p>
      <w:pPr>
        <w:numPr>
          <w:ilvl w:val="0"/>
          <w:numId w:val="0"/>
        </w:numPr>
        <w:spacing w:line="588" w:lineRule="exact"/>
        <w:jc w:val="center"/>
        <w:rPr>
          <w:rFonts w:hint="eastAsia" w:ascii="仿宋" w:hAnsi="仿宋" w:eastAsia="仿宋" w:cs="仿宋"/>
          <w:b/>
          <w:color w:val="auto"/>
          <w:spacing w:val="6"/>
          <w:kern w:val="2"/>
          <w:sz w:val="28"/>
          <w:szCs w:val="28"/>
          <w:lang w:val="en-US" w:eastAsia="zh-CN" w:bidi="ar-SA"/>
        </w:rPr>
      </w:pPr>
      <w:r>
        <w:rPr>
          <w:rFonts w:hint="eastAsia" w:ascii="仿宋" w:hAnsi="仿宋" w:eastAsia="仿宋" w:cs="仿宋"/>
          <w:b/>
          <w:color w:val="auto"/>
          <w:spacing w:val="6"/>
          <w:kern w:val="2"/>
          <w:sz w:val="28"/>
          <w:szCs w:val="28"/>
          <w:lang w:val="en-US" w:eastAsia="zh-CN" w:bidi="ar-SA"/>
        </w:rPr>
        <w:t>二十、节能、环保产品证明（如有）</w:t>
      </w:r>
    </w:p>
    <w:p>
      <w:pPr>
        <w:pStyle w:val="6"/>
        <w:numPr>
          <w:ilvl w:val="0"/>
          <w:numId w:val="0"/>
        </w:numPr>
        <w:outlineLvl w:val="9"/>
        <w:rPr>
          <w:rFonts w:hint="eastAsia" w:ascii="仿宋" w:hAnsi="仿宋" w:eastAsia="仿宋" w:cs="仿宋"/>
          <w:color w:val="auto"/>
          <w:lang w:val="en-US" w:eastAsia="zh-CN"/>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 </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现附上</w:t>
      </w:r>
      <w:r>
        <w:rPr>
          <w:rFonts w:hint="eastAsia" w:ascii="仿宋" w:hAnsi="仿宋" w:eastAsia="仿宋" w:cs="仿宋"/>
          <w:color w:val="auto"/>
          <w:sz w:val="24"/>
          <w:highlight w:val="none"/>
          <w:u w:val="single"/>
        </w:rPr>
        <w:t>  （节能、环保产品产品目录）    </w:t>
      </w:r>
      <w:r>
        <w:rPr>
          <w:rFonts w:hint="eastAsia" w:ascii="仿宋" w:hAnsi="仿宋" w:eastAsia="仿宋" w:cs="仿宋"/>
          <w:color w:val="auto"/>
          <w:sz w:val="24"/>
          <w:highlight w:val="none"/>
        </w:rPr>
        <w:t> 证明文件（可在 网站名称 网站进行查询）复印件，该证件真实有效。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投标人（加盖公章）：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投标人代表（签字）：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日  期：    年   月  日</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6"/>
        <w:jc w:val="center"/>
        <w:rPr>
          <w:rFonts w:hint="eastAsia" w:ascii="仿宋" w:hAnsi="仿宋" w:eastAsia="仿宋" w:cs="仿宋"/>
          <w:b/>
          <w:bCs w:val="0"/>
          <w:color w:val="auto"/>
          <w:spacing w:val="6"/>
          <w:kern w:val="2"/>
          <w:sz w:val="28"/>
          <w:szCs w:val="28"/>
          <w:lang w:val="en-US" w:eastAsia="zh-CN" w:bidi="ar-SA"/>
        </w:rPr>
      </w:pPr>
      <w:r>
        <w:rPr>
          <w:rFonts w:hint="eastAsia" w:ascii="仿宋" w:hAnsi="仿宋" w:eastAsia="仿宋" w:cs="仿宋"/>
          <w:b/>
          <w:bCs w:val="0"/>
          <w:color w:val="auto"/>
          <w:spacing w:val="6"/>
          <w:kern w:val="2"/>
          <w:sz w:val="28"/>
          <w:szCs w:val="28"/>
          <w:lang w:val="en-US" w:eastAsia="zh-CN" w:bidi="ar-SA"/>
        </w:rPr>
        <w:t>二十一、网站截图</w:t>
      </w:r>
    </w:p>
    <w:p>
      <w:pPr>
        <w:pStyle w:val="42"/>
        <w:rPr>
          <w:rFonts w:hint="eastAsia" w:ascii="仿宋" w:hAnsi="仿宋" w:eastAsia="仿宋" w:cs="仿宋"/>
          <w:b/>
          <w:spacing w:val="6"/>
          <w:kern w:val="2"/>
          <w:sz w:val="28"/>
          <w:szCs w:val="28"/>
          <w:lang w:val="en-US" w:eastAsia="zh-CN" w:bidi="ar-SA"/>
        </w:rPr>
      </w:pPr>
      <w:r>
        <w:rPr>
          <w:rFonts w:hint="eastAsia" w:ascii="仿宋" w:hAnsi="仿宋" w:eastAsia="仿宋" w:cs="仿宋"/>
          <w:b/>
          <w:spacing w:val="6"/>
          <w:kern w:val="2"/>
          <w:sz w:val="28"/>
          <w:szCs w:val="28"/>
          <w:lang w:val="en-US" w:eastAsia="zh-CN" w:bidi="ar-SA"/>
        </w:rPr>
        <w:t>凡拟参加本次招标项目的投标人，近三年内（本项目投标截止期前）如在“信用中国（www</w:t>
      </w:r>
      <w:r>
        <w:rPr>
          <w:rFonts w:hint="eastAsia" w:ascii="仿宋" w:hAnsi="仿宋" w:eastAsia="仿宋" w:cs="仿宋"/>
          <w:sz w:val="24"/>
          <w:szCs w:val="24"/>
          <w:lang w:val="en-US" w:eastAsia="zh-CN"/>
        </w:rPr>
        <w:t>.c</w:t>
      </w:r>
      <w:r>
        <w:rPr>
          <w:rFonts w:hint="eastAsia" w:ascii="仿宋" w:hAnsi="仿宋" w:eastAsia="仿宋" w:cs="仿宋"/>
          <w:b/>
          <w:spacing w:val="6"/>
          <w:kern w:val="2"/>
          <w:sz w:val="28"/>
          <w:szCs w:val="28"/>
          <w:lang w:val="en-US" w:eastAsia="zh-CN" w:bidi="ar-SA"/>
        </w:rPr>
        <w:t>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w:t>
      </w:r>
    </w:p>
    <w:p>
      <w:pPr>
        <w:pStyle w:val="42"/>
        <w:rPr>
          <w:rFonts w:hint="eastAsia" w:ascii="仿宋" w:hAnsi="仿宋" w:eastAsia="仿宋" w:cs="仿宋"/>
          <w:b/>
          <w:spacing w:val="6"/>
          <w:kern w:val="2"/>
          <w:sz w:val="28"/>
          <w:szCs w:val="28"/>
          <w:lang w:val="en-US" w:eastAsia="zh-CN" w:bidi="ar-SA"/>
        </w:rPr>
      </w:pPr>
    </w:p>
    <w:p>
      <w:pPr>
        <w:pStyle w:val="42"/>
        <w:rPr>
          <w:rFonts w:hint="eastAsia" w:ascii="仿宋" w:hAnsi="仿宋" w:eastAsia="仿宋" w:cs="仿宋"/>
          <w:b/>
          <w:spacing w:val="6"/>
          <w:kern w:val="2"/>
          <w:sz w:val="28"/>
          <w:szCs w:val="28"/>
          <w:lang w:val="en-US" w:eastAsia="zh-CN" w:bidi="ar-SA"/>
        </w:rPr>
      </w:pPr>
    </w:p>
    <w:p>
      <w:pPr>
        <w:pStyle w:val="42"/>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42"/>
        <w:jc w:val="center"/>
        <w:rPr>
          <w:rFonts w:hint="eastAsia" w:ascii="仿宋" w:hAnsi="仿宋" w:eastAsia="仿宋" w:cs="仿宋"/>
          <w:b/>
          <w:spacing w:val="6"/>
          <w:kern w:val="2"/>
          <w:sz w:val="28"/>
          <w:szCs w:val="28"/>
          <w:lang w:val="en-US" w:eastAsia="zh-CN" w:bidi="ar-SA"/>
        </w:rPr>
      </w:pPr>
    </w:p>
    <w:p>
      <w:pPr>
        <w:pStyle w:val="42"/>
        <w:ind w:left="0" w:leftChars="0" w:firstLine="0" w:firstLineChars="0"/>
        <w:jc w:val="both"/>
        <w:rPr>
          <w:rFonts w:hint="eastAsia" w:ascii="仿宋" w:hAnsi="仿宋" w:eastAsia="仿宋" w:cs="仿宋"/>
          <w:b/>
          <w:spacing w:val="6"/>
          <w:kern w:val="2"/>
          <w:sz w:val="28"/>
          <w:szCs w:val="28"/>
          <w:lang w:val="en-US" w:eastAsia="zh-CN" w:bidi="ar-SA"/>
        </w:rPr>
      </w:pPr>
      <w:r>
        <w:rPr>
          <w:rFonts w:hint="eastAsia" w:ascii="仿宋" w:hAnsi="仿宋" w:eastAsia="仿宋" w:cs="仿宋"/>
          <w:b/>
          <w:spacing w:val="6"/>
          <w:kern w:val="2"/>
          <w:sz w:val="28"/>
          <w:szCs w:val="28"/>
          <w:lang w:val="en-US" w:eastAsia="zh-CN" w:bidi="ar-SA"/>
        </w:rPr>
        <w:t>二十二、投标人认为需要提供的其他资料</w:t>
      </w:r>
    </w:p>
    <w:p>
      <w:pPr>
        <w:rPr>
          <w:rFonts w:hint="eastAsia" w:ascii="仿宋" w:hAnsi="仿宋" w:eastAsia="仿宋" w:cs="仿宋"/>
          <w:kern w:val="0"/>
          <w:sz w:val="28"/>
        </w:rPr>
      </w:pPr>
    </w:p>
    <w:p>
      <w:pPr>
        <w:pStyle w:val="6"/>
        <w:rPr>
          <w:rFonts w:hint="eastAsia" w:ascii="仿宋" w:hAnsi="仿宋" w:eastAsia="仿宋" w:cs="仿宋"/>
          <w:kern w:val="0"/>
          <w:sz w:val="28"/>
        </w:rPr>
      </w:pPr>
    </w:p>
    <w:p>
      <w:pPr>
        <w:pStyle w:val="5"/>
        <w:jc w:val="center"/>
        <w:rPr>
          <w:rFonts w:hint="eastAsia" w:ascii="仿宋" w:hAnsi="仿宋" w:eastAsia="仿宋" w:cs="仿宋"/>
          <w:kern w:val="0"/>
          <w:sz w:val="28"/>
        </w:rPr>
      </w:pPr>
      <w:bookmarkStart w:id="127" w:name="_Toc27985"/>
      <w:bookmarkStart w:id="128" w:name="_Toc3556"/>
      <w:bookmarkStart w:id="129" w:name="_Toc19600"/>
      <w:bookmarkStart w:id="130" w:name="_Toc1589"/>
    </w:p>
    <w:p>
      <w:pPr>
        <w:rPr>
          <w:rFonts w:hint="eastAsia" w:ascii="仿宋" w:hAnsi="仿宋" w:eastAsia="仿宋" w:cs="仿宋"/>
          <w:kern w:val="0"/>
          <w:sz w:val="28"/>
        </w:rPr>
      </w:pPr>
    </w:p>
    <w:p>
      <w:pPr>
        <w:pStyle w:val="21"/>
        <w:tabs>
          <w:tab w:val="left" w:pos="9214"/>
        </w:tabs>
        <w:rPr>
          <w:rFonts w:hint="eastAsia" w:ascii="仿宋" w:hAnsi="仿宋" w:eastAsia="仿宋" w:cs="仿宋"/>
        </w:rPr>
      </w:pPr>
    </w:p>
    <w:bookmarkEnd w:id="127"/>
    <w:bookmarkEnd w:id="128"/>
    <w:bookmarkEnd w:id="129"/>
    <w:bookmarkEnd w:id="130"/>
    <w:p>
      <w:pPr>
        <w:spacing w:line="360" w:lineRule="auto"/>
        <w:jc w:val="both"/>
        <w:rPr>
          <w:rFonts w:hint="eastAsia" w:ascii="仿宋" w:hAnsi="仿宋" w:eastAsia="仿宋" w:cs="仿宋"/>
          <w:b/>
          <w:bCs/>
          <w:spacing w:val="60"/>
          <w:sz w:val="32"/>
          <w:szCs w:val="32"/>
        </w:rPr>
      </w:pPr>
      <w:bookmarkStart w:id="131" w:name="_Toc12999"/>
      <w:bookmarkStart w:id="132" w:name="_Toc16687"/>
      <w:bookmarkStart w:id="133" w:name="_Toc24887"/>
      <w:bookmarkStart w:id="134" w:name="_Toc20918"/>
      <w:bookmarkStart w:id="135" w:name="_Toc31830"/>
      <w:bookmarkStart w:id="136" w:name="_Toc23806"/>
    </w:p>
    <w:p>
      <w:pPr>
        <w:rPr>
          <w:rFonts w:hint="eastAsia" w:ascii="仿宋" w:hAnsi="仿宋" w:eastAsia="仿宋" w:cs="仿宋"/>
          <w:b/>
          <w:bCs/>
          <w:spacing w:val="60"/>
          <w:sz w:val="32"/>
          <w:szCs w:val="32"/>
        </w:rPr>
      </w:pPr>
      <w:r>
        <w:rPr>
          <w:rFonts w:hint="eastAsia" w:ascii="仿宋" w:hAnsi="仿宋" w:eastAsia="仿宋" w:cs="仿宋"/>
          <w:b/>
          <w:bCs/>
          <w:spacing w:val="60"/>
          <w:sz w:val="32"/>
          <w:szCs w:val="32"/>
        </w:rPr>
        <w:br w:type="page"/>
      </w:r>
    </w:p>
    <w:p>
      <w:pPr>
        <w:spacing w:line="360" w:lineRule="auto"/>
        <w:jc w:val="center"/>
        <w:rPr>
          <w:rFonts w:hint="eastAsia" w:ascii="仿宋" w:hAnsi="仿宋" w:eastAsia="仿宋" w:cs="仿宋"/>
          <w:sz w:val="32"/>
          <w:szCs w:val="32"/>
        </w:rPr>
      </w:pPr>
      <w:r>
        <w:rPr>
          <w:rFonts w:hint="eastAsia" w:ascii="仿宋" w:hAnsi="仿宋" w:eastAsia="仿宋" w:cs="仿宋"/>
          <w:b/>
          <w:bCs/>
          <w:spacing w:val="60"/>
          <w:sz w:val="32"/>
          <w:szCs w:val="32"/>
        </w:rPr>
        <w:t>注意事项</w:t>
      </w:r>
      <w:bookmarkEnd w:id="131"/>
      <w:bookmarkEnd w:id="132"/>
      <w:bookmarkEnd w:id="133"/>
      <w:bookmarkEnd w:id="134"/>
      <w:bookmarkEnd w:id="135"/>
      <w:bookmarkEnd w:id="136"/>
    </w:p>
    <w:p>
      <w:pPr>
        <w:rPr>
          <w:rFonts w:hint="eastAsia" w:ascii="仿宋" w:hAnsi="仿宋" w:eastAsia="仿宋" w:cs="仿宋"/>
          <w:sz w:val="24"/>
        </w:rPr>
      </w:pPr>
      <w:r>
        <w:rPr>
          <w:rFonts w:hint="eastAsia" w:ascii="仿宋" w:hAnsi="仿宋" w:eastAsia="仿宋" w:cs="仿宋"/>
          <w:sz w:val="28"/>
        </w:rPr>
        <w:t>1、</w:t>
      </w:r>
      <w:r>
        <w:rPr>
          <w:rFonts w:hint="eastAsia" w:ascii="仿宋" w:hAnsi="仿宋" w:eastAsia="仿宋" w:cs="仿宋"/>
          <w:sz w:val="24"/>
        </w:rPr>
        <w:t>投标人对所附表格中要求的资料和询问应做出肯定的回答。</w:t>
      </w:r>
    </w:p>
    <w:p>
      <w:pPr>
        <w:rPr>
          <w:rFonts w:hint="eastAsia" w:ascii="仿宋" w:hAnsi="仿宋" w:eastAsia="仿宋" w:cs="仿宋"/>
          <w:sz w:val="24"/>
        </w:rPr>
      </w:pPr>
      <w:r>
        <w:rPr>
          <w:rFonts w:hint="eastAsia" w:ascii="仿宋" w:hAnsi="仿宋" w:eastAsia="仿宋" w:cs="仿宋"/>
          <w:sz w:val="24"/>
        </w:rPr>
        <w:t>2、招标文件的签字人应保证他所做的声明及对一切问题的回答的真实性和准确。</w:t>
      </w:r>
    </w:p>
    <w:p>
      <w:pPr>
        <w:rPr>
          <w:rFonts w:hint="eastAsia" w:ascii="仿宋" w:hAnsi="仿宋" w:eastAsia="仿宋" w:cs="仿宋"/>
          <w:sz w:val="24"/>
        </w:rPr>
      </w:pPr>
      <w:r>
        <w:rPr>
          <w:rFonts w:hint="eastAsia" w:ascii="仿宋" w:hAnsi="仿宋" w:eastAsia="仿宋" w:cs="仿宋"/>
          <w:sz w:val="24"/>
        </w:rPr>
        <w:t>3、投标人提供的招标文件将由招标人使用，并据此进行评价和判断，确定投标人的能力。</w:t>
      </w:r>
    </w:p>
    <w:p>
      <w:pPr>
        <w:rPr>
          <w:rFonts w:hint="eastAsia" w:ascii="仿宋" w:hAnsi="仿宋" w:eastAsia="仿宋" w:cs="仿宋"/>
          <w:sz w:val="24"/>
        </w:rPr>
      </w:pPr>
      <w:r>
        <w:rPr>
          <w:rFonts w:hint="eastAsia" w:ascii="仿宋" w:hAnsi="仿宋" w:eastAsia="仿宋" w:cs="仿宋"/>
          <w:sz w:val="24"/>
        </w:rPr>
        <w:t>4、投标人提交的文件将给予保密，但不退还。</w:t>
      </w:r>
    </w:p>
    <w:p>
      <w:pPr>
        <w:spacing w:line="240" w:lineRule="auto"/>
        <w:rPr>
          <w:rFonts w:hint="eastAsia" w:ascii="仿宋" w:hAnsi="仿宋" w:eastAsia="仿宋" w:cs="仿宋"/>
          <w:color w:val="auto"/>
          <w:sz w:val="20"/>
          <w:highlight w:val="none"/>
        </w:rPr>
      </w:pPr>
      <w:r>
        <w:rPr>
          <w:rFonts w:hint="eastAsia" w:ascii="仿宋" w:hAnsi="仿宋" w:eastAsia="仿宋" w:cs="仿宋"/>
          <w:color w:val="auto"/>
          <w:sz w:val="28"/>
          <w:szCs w:val="28"/>
          <w:highlight w:val="none"/>
        </w:rPr>
        <w:t xml:space="preserve">  </w:t>
      </w: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jc w:val="center"/>
        <w:rPr>
          <w:rFonts w:hint="eastAsia" w:ascii="仿宋" w:hAnsi="仿宋" w:eastAsia="仿宋" w:cs="仿宋"/>
          <w:b/>
          <w:bCs/>
          <w:color w:val="auto"/>
          <w:sz w:val="44"/>
          <w:szCs w:val="44"/>
          <w:highlight w:val="none"/>
        </w:rPr>
      </w:pPr>
    </w:p>
    <w:p>
      <w:pPr>
        <w:spacing w:line="380" w:lineRule="exact"/>
        <w:rPr>
          <w:rFonts w:hint="eastAsia" w:ascii="仿宋" w:hAnsi="仿宋" w:eastAsia="仿宋" w:cs="仿宋"/>
          <w:color w:val="auto"/>
          <w:sz w:val="28"/>
          <w:szCs w:val="28"/>
          <w:highlight w:val="none"/>
        </w:rPr>
      </w:pPr>
    </w:p>
    <w:sectPr>
      <w:headerReference r:id="rId5" w:type="default"/>
      <w:footerReference r:id="rId6"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p9xmRN4BAAC8AwAADgAA&#10;AAAAAAABACAAAAAiAQAAZHJzL2Uyb0RvYy54bWxQSwUGAAAAAAYABgBZAQAAcgUAAAAA&#10;">
              <v:fill on="f" focussize="0,0"/>
              <v:stroke on="f" weight="1.25pt"/>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Rkcf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LDlzwtLEzz++n3/+&#10;Pv/6xpar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pGRx+EBAAC8AwAA&#10;DgAAAAAAAAABACAAAAAiAQAAZHJzL2Uyb0RvYy54bWxQSwUGAAAAAAYABgBZAQAAdQUAAAAA&#10;">
              <v:fill on="f" focussize="0,0"/>
              <v:stroke on="f" weight="1.2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EACCF"/>
    <w:multiLevelType w:val="singleLevel"/>
    <w:tmpl w:val="9C6EACCF"/>
    <w:lvl w:ilvl="0" w:tentative="0">
      <w:start w:val="3"/>
      <w:numFmt w:val="chineseCounting"/>
      <w:suff w:val="space"/>
      <w:lvlText w:val="第%1部分"/>
      <w:lvlJc w:val="left"/>
      <w:rPr>
        <w:rFonts w:hint="eastAsia"/>
      </w:rPr>
    </w:lvl>
  </w:abstractNum>
  <w:abstractNum w:abstractNumId="1">
    <w:nsid w:val="A187B9DC"/>
    <w:multiLevelType w:val="singleLevel"/>
    <w:tmpl w:val="A187B9DC"/>
    <w:lvl w:ilvl="0" w:tentative="0">
      <w:start w:val="1"/>
      <w:numFmt w:val="decimal"/>
      <w:suff w:val="nothing"/>
      <w:lvlText w:val="（%1）"/>
      <w:lvlJc w:val="left"/>
    </w:lvl>
  </w:abstractNum>
  <w:abstractNum w:abstractNumId="2">
    <w:nsid w:val="BD96CC2A"/>
    <w:multiLevelType w:val="singleLevel"/>
    <w:tmpl w:val="BD96CC2A"/>
    <w:lvl w:ilvl="0" w:tentative="0">
      <w:start w:val="2"/>
      <w:numFmt w:val="chineseCounting"/>
      <w:suff w:val="nothing"/>
      <w:lvlText w:val="（%1）"/>
      <w:lvlJc w:val="left"/>
      <w:rPr>
        <w:rFonts w:hint="eastAsia"/>
      </w:rPr>
    </w:lvl>
  </w:abstractNum>
  <w:abstractNum w:abstractNumId="3">
    <w:nsid w:val="C18B8105"/>
    <w:multiLevelType w:val="singleLevel"/>
    <w:tmpl w:val="C18B8105"/>
    <w:lvl w:ilvl="0" w:tentative="0">
      <w:start w:val="1"/>
      <w:numFmt w:val="chineseCounting"/>
      <w:lvlText w:val="（%1）"/>
      <w:lvlJc w:val="left"/>
      <w:rPr>
        <w:rFonts w:hint="eastAsia"/>
      </w:rPr>
    </w:lvl>
  </w:abstractNum>
  <w:abstractNum w:abstractNumId="4">
    <w:nsid w:val="CE48D951"/>
    <w:multiLevelType w:val="singleLevel"/>
    <w:tmpl w:val="CE48D951"/>
    <w:lvl w:ilvl="0" w:tentative="0">
      <w:start w:val="1"/>
      <w:numFmt w:val="decimal"/>
      <w:pStyle w:val="76"/>
      <w:suff w:val="nothing"/>
      <w:lvlText w:val="%1、"/>
      <w:lvlJc w:val="left"/>
    </w:lvl>
  </w:abstractNum>
  <w:abstractNum w:abstractNumId="5">
    <w:nsid w:val="00000005"/>
    <w:multiLevelType w:val="singleLevel"/>
    <w:tmpl w:val="00000005"/>
    <w:lvl w:ilvl="0" w:tentative="0">
      <w:start w:val="5"/>
      <w:numFmt w:val="chineseCounting"/>
      <w:suff w:val="space"/>
      <w:lvlText w:val="第%1条"/>
      <w:lvlJc w:val="left"/>
    </w:lvl>
  </w:abstractNum>
  <w:abstractNum w:abstractNumId="6">
    <w:nsid w:val="0000000C"/>
    <w:multiLevelType w:val="multilevel"/>
    <w:tmpl w:val="0000000C"/>
    <w:lvl w:ilvl="0" w:tentative="0">
      <w:start w:val="2"/>
      <w:numFmt w:val="decimal"/>
      <w:pStyle w:val="53"/>
      <w:suff w:val="nothing"/>
      <w:lvlText w:val="%1、"/>
      <w:lvlJc w:val="left"/>
    </w:lvl>
    <w:lvl w:ilvl="1" w:tentative="0">
      <w:start w:val="1"/>
      <w:numFmt w:val="decimal"/>
      <w:pStyle w:val="75"/>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7"/>
      <w:lvlText w:val="%4)"/>
      <w:lvlJc w:val="left"/>
      <w:pPr>
        <w:tabs>
          <w:tab w:val="left" w:pos="1680"/>
        </w:tabs>
        <w:ind w:left="1680" w:hanging="420"/>
      </w:pPr>
      <w:rPr>
        <w:rFonts w:hint="default"/>
      </w:rPr>
    </w:lvl>
    <w:lvl w:ilvl="4" w:tentative="0">
      <w:start w:val="1"/>
      <w:numFmt w:val="lowerLetter"/>
      <w:pStyle w:val="8"/>
      <w:lvlText w:val="%5."/>
      <w:lvlJc w:val="left"/>
      <w:pPr>
        <w:tabs>
          <w:tab w:val="left" w:pos="2100"/>
        </w:tabs>
        <w:ind w:left="2100" w:hanging="420"/>
      </w:pPr>
      <w:rPr>
        <w:rFonts w:hint="default"/>
      </w:rPr>
    </w:lvl>
    <w:lvl w:ilvl="5" w:tentative="0">
      <w:start w:val="1"/>
      <w:numFmt w:val="lowerLetter"/>
      <w:pStyle w:val="9"/>
      <w:lvlText w:val="%6)"/>
      <w:lvlJc w:val="left"/>
      <w:pPr>
        <w:tabs>
          <w:tab w:val="left" w:pos="2520"/>
        </w:tabs>
        <w:ind w:left="2520" w:hanging="420"/>
      </w:pPr>
      <w:rPr>
        <w:rFonts w:hint="default"/>
      </w:rPr>
    </w:lvl>
    <w:lvl w:ilvl="6" w:tentative="0">
      <w:start w:val="1"/>
      <w:numFmt w:val="lowerRoman"/>
      <w:pStyle w:val="10"/>
      <w:lvlText w:val="%7."/>
      <w:lvlJc w:val="left"/>
      <w:pPr>
        <w:tabs>
          <w:tab w:val="left" w:pos="2940"/>
        </w:tabs>
        <w:ind w:left="2940" w:hanging="420"/>
      </w:pPr>
      <w:rPr>
        <w:rFonts w:hint="default"/>
      </w:rPr>
    </w:lvl>
    <w:lvl w:ilvl="7" w:tentative="0">
      <w:start w:val="1"/>
      <w:numFmt w:val="lowerRoman"/>
      <w:pStyle w:val="11"/>
      <w:lvlText w:val="%8)"/>
      <w:lvlJc w:val="left"/>
      <w:pPr>
        <w:tabs>
          <w:tab w:val="left" w:pos="3360"/>
        </w:tabs>
        <w:ind w:left="3360" w:hanging="420"/>
      </w:pPr>
      <w:rPr>
        <w:rFonts w:hint="default"/>
      </w:rPr>
    </w:lvl>
    <w:lvl w:ilvl="8" w:tentative="0">
      <w:start w:val="1"/>
      <w:numFmt w:val="lowerLetter"/>
      <w:pStyle w:val="12"/>
      <w:lvlText w:val="%9."/>
      <w:lvlJc w:val="left"/>
      <w:pPr>
        <w:tabs>
          <w:tab w:val="left" w:pos="3780"/>
        </w:tabs>
        <w:ind w:left="3780" w:hanging="420"/>
      </w:pPr>
      <w:rPr>
        <w:rFonts w:hint="default"/>
      </w:rPr>
    </w:lvl>
  </w:abstractNum>
  <w:abstractNum w:abstractNumId="7">
    <w:nsid w:val="00000013"/>
    <w:multiLevelType w:val="singleLevel"/>
    <w:tmpl w:val="00000013"/>
    <w:lvl w:ilvl="0" w:tentative="0">
      <w:start w:val="4"/>
      <w:numFmt w:val="chineseCounting"/>
      <w:suff w:val="nothing"/>
      <w:lvlText w:val="%1、"/>
      <w:lvlJc w:val="left"/>
    </w:lvl>
  </w:abstractNum>
  <w:abstractNum w:abstractNumId="8">
    <w:nsid w:val="0000001B"/>
    <w:multiLevelType w:val="singleLevel"/>
    <w:tmpl w:val="0000001B"/>
    <w:lvl w:ilvl="0" w:tentative="0">
      <w:start w:val="2"/>
      <w:numFmt w:val="chineseCounting"/>
      <w:suff w:val="nothing"/>
      <w:lvlText w:val="%1、"/>
      <w:lvlJc w:val="left"/>
    </w:lvl>
  </w:abstractNum>
  <w:abstractNum w:abstractNumId="9">
    <w:nsid w:val="0B1F8E71"/>
    <w:multiLevelType w:val="singleLevel"/>
    <w:tmpl w:val="0B1F8E71"/>
    <w:lvl w:ilvl="0" w:tentative="0">
      <w:start w:val="4"/>
      <w:numFmt w:val="chineseCounting"/>
      <w:suff w:val="space"/>
      <w:lvlText w:val="第%1章"/>
      <w:lvlJc w:val="left"/>
      <w:rPr>
        <w:rFonts w:hint="eastAsia"/>
      </w:rPr>
    </w:lvl>
  </w:abstractNum>
  <w:abstractNum w:abstractNumId="10">
    <w:nsid w:val="19C5E42D"/>
    <w:multiLevelType w:val="singleLevel"/>
    <w:tmpl w:val="19C5E42D"/>
    <w:lvl w:ilvl="0" w:tentative="0">
      <w:start w:val="1"/>
      <w:numFmt w:val="decimal"/>
      <w:pStyle w:val="14"/>
      <w:lvlText w:val="%1."/>
      <w:lvlJc w:val="left"/>
      <w:pPr>
        <w:tabs>
          <w:tab w:val="left" w:pos="360"/>
        </w:tabs>
        <w:ind w:left="360" w:hanging="360"/>
      </w:pPr>
    </w:lvl>
  </w:abstractNum>
  <w:abstractNum w:abstractNumId="11">
    <w:nsid w:val="1B6D4CFD"/>
    <w:multiLevelType w:val="multilevel"/>
    <w:tmpl w:val="1B6D4CFD"/>
    <w:lvl w:ilvl="0" w:tentative="0">
      <w:start w:val="1"/>
      <w:numFmt w:val="decimal"/>
      <w:lvlText w:val="4.%1"/>
      <w:lvlJc w:val="left"/>
      <w:pPr>
        <w:ind w:left="900" w:hanging="420"/>
      </w:pPr>
      <w:rPr>
        <w:rFonts w:hint="eastAsia"/>
      </w:rPr>
    </w:lvl>
    <w:lvl w:ilvl="1" w:tentative="0">
      <w:start w:val="1"/>
      <w:numFmt w:val="decimal"/>
      <w:lvlText w:val="4.%2"/>
      <w:lvlJc w:val="left"/>
      <w:pPr>
        <w:ind w:left="840" w:hanging="420"/>
      </w:pPr>
      <w:rPr>
        <w:rFonts w:hint="default"/>
        <w:b w:val="0"/>
        <w:color w:val="000000"/>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6CAAD70C"/>
    <w:multiLevelType w:val="singleLevel"/>
    <w:tmpl w:val="6CAAD70C"/>
    <w:lvl w:ilvl="0" w:tentative="0">
      <w:start w:val="11"/>
      <w:numFmt w:val="decimal"/>
      <w:suff w:val="nothing"/>
      <w:lvlText w:val="%1、"/>
      <w:lvlJc w:val="left"/>
      <w:pPr>
        <w:ind w:left="481" w:firstLine="0"/>
      </w:pPr>
    </w:lvl>
  </w:abstractNum>
  <w:num w:numId="1">
    <w:abstractNumId w:val="6"/>
  </w:num>
  <w:num w:numId="2">
    <w:abstractNumId w:val="10"/>
  </w:num>
  <w:num w:numId="3">
    <w:abstractNumId w:val="4"/>
  </w:num>
  <w:num w:numId="4">
    <w:abstractNumId w:val="8"/>
  </w:num>
  <w:num w:numId="5">
    <w:abstractNumId w:val="13"/>
  </w:num>
  <w:num w:numId="6">
    <w:abstractNumId w:val="7"/>
  </w:num>
  <w:num w:numId="7">
    <w:abstractNumId w:val="0"/>
  </w:num>
  <w:num w:numId="8">
    <w:abstractNumId w:val="9"/>
  </w:num>
  <w:num w:numId="9">
    <w:abstractNumId w:val="3"/>
  </w:num>
  <w:num w:numId="10">
    <w:abstractNumId w:val="1"/>
  </w:num>
  <w:num w:numId="11">
    <w:abstractNumId w:val="11"/>
  </w:num>
  <w:num w:numId="12">
    <w:abstractNumId w:val="5"/>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OTU0NjNlNWFmYTI3MWEyNTgxYjg5ZGEwZDU0Y2EifQ=="/>
  </w:docVars>
  <w:rsids>
    <w:rsidRoot w:val="00172A27"/>
    <w:rsid w:val="000F78F8"/>
    <w:rsid w:val="00164C33"/>
    <w:rsid w:val="002F5EFC"/>
    <w:rsid w:val="002F6D43"/>
    <w:rsid w:val="004852A3"/>
    <w:rsid w:val="004E5718"/>
    <w:rsid w:val="006843FA"/>
    <w:rsid w:val="006A7838"/>
    <w:rsid w:val="00735ACC"/>
    <w:rsid w:val="0078578F"/>
    <w:rsid w:val="009D1D6B"/>
    <w:rsid w:val="00A54779"/>
    <w:rsid w:val="00B42D9D"/>
    <w:rsid w:val="00B71FBF"/>
    <w:rsid w:val="00C56DFF"/>
    <w:rsid w:val="00D41950"/>
    <w:rsid w:val="00D4336C"/>
    <w:rsid w:val="00D70EA7"/>
    <w:rsid w:val="00E77F2B"/>
    <w:rsid w:val="00E83F8F"/>
    <w:rsid w:val="00EF1595"/>
    <w:rsid w:val="00FD7FED"/>
    <w:rsid w:val="014673F9"/>
    <w:rsid w:val="017753C6"/>
    <w:rsid w:val="017F5739"/>
    <w:rsid w:val="01916D9E"/>
    <w:rsid w:val="01D10442"/>
    <w:rsid w:val="01DE5A0A"/>
    <w:rsid w:val="022A7A8C"/>
    <w:rsid w:val="024A0BA6"/>
    <w:rsid w:val="025678F5"/>
    <w:rsid w:val="02647AD4"/>
    <w:rsid w:val="03164A81"/>
    <w:rsid w:val="033A01A8"/>
    <w:rsid w:val="03793B97"/>
    <w:rsid w:val="03833451"/>
    <w:rsid w:val="03895ADE"/>
    <w:rsid w:val="03C61693"/>
    <w:rsid w:val="03CA7259"/>
    <w:rsid w:val="03D604BB"/>
    <w:rsid w:val="04256E94"/>
    <w:rsid w:val="04257B1C"/>
    <w:rsid w:val="048C2C9E"/>
    <w:rsid w:val="04FD70C7"/>
    <w:rsid w:val="0510448D"/>
    <w:rsid w:val="05536562"/>
    <w:rsid w:val="055920B6"/>
    <w:rsid w:val="05621F2C"/>
    <w:rsid w:val="05692D56"/>
    <w:rsid w:val="05DC228D"/>
    <w:rsid w:val="060D148A"/>
    <w:rsid w:val="062B7991"/>
    <w:rsid w:val="062C1BD0"/>
    <w:rsid w:val="06622070"/>
    <w:rsid w:val="0664493D"/>
    <w:rsid w:val="06717375"/>
    <w:rsid w:val="06AF013D"/>
    <w:rsid w:val="06F9464B"/>
    <w:rsid w:val="07436C5F"/>
    <w:rsid w:val="07B25F62"/>
    <w:rsid w:val="07BA1167"/>
    <w:rsid w:val="07E01D22"/>
    <w:rsid w:val="07E15CC2"/>
    <w:rsid w:val="082F3FD3"/>
    <w:rsid w:val="08F5187D"/>
    <w:rsid w:val="095C4021"/>
    <w:rsid w:val="097A4F8F"/>
    <w:rsid w:val="099A5D5B"/>
    <w:rsid w:val="09AF1D37"/>
    <w:rsid w:val="09F758E1"/>
    <w:rsid w:val="0A035572"/>
    <w:rsid w:val="0A8214DE"/>
    <w:rsid w:val="0A932CCA"/>
    <w:rsid w:val="0AB637A9"/>
    <w:rsid w:val="0AD1579D"/>
    <w:rsid w:val="0B410F8B"/>
    <w:rsid w:val="0B58238F"/>
    <w:rsid w:val="0B7E012E"/>
    <w:rsid w:val="0B8C1F3D"/>
    <w:rsid w:val="0BBA6113"/>
    <w:rsid w:val="0BD81D82"/>
    <w:rsid w:val="0C70367A"/>
    <w:rsid w:val="0CC54204"/>
    <w:rsid w:val="0D3851A2"/>
    <w:rsid w:val="0D410B01"/>
    <w:rsid w:val="0D834F37"/>
    <w:rsid w:val="0DC54E21"/>
    <w:rsid w:val="0E187EE3"/>
    <w:rsid w:val="0E265594"/>
    <w:rsid w:val="0E395338"/>
    <w:rsid w:val="0E884A40"/>
    <w:rsid w:val="0EAC48BD"/>
    <w:rsid w:val="0EBF3FBE"/>
    <w:rsid w:val="0F3B0774"/>
    <w:rsid w:val="0F597EC1"/>
    <w:rsid w:val="0F6D24C6"/>
    <w:rsid w:val="1046608D"/>
    <w:rsid w:val="105D6BCF"/>
    <w:rsid w:val="10824ED0"/>
    <w:rsid w:val="108B08F2"/>
    <w:rsid w:val="10907D37"/>
    <w:rsid w:val="11114205"/>
    <w:rsid w:val="1120496E"/>
    <w:rsid w:val="11693E13"/>
    <w:rsid w:val="11D9089D"/>
    <w:rsid w:val="11E93B5E"/>
    <w:rsid w:val="12723C85"/>
    <w:rsid w:val="12A26BF7"/>
    <w:rsid w:val="12C246A7"/>
    <w:rsid w:val="131655CE"/>
    <w:rsid w:val="1320787A"/>
    <w:rsid w:val="13320897"/>
    <w:rsid w:val="134C2C02"/>
    <w:rsid w:val="13EA53A0"/>
    <w:rsid w:val="140A54B3"/>
    <w:rsid w:val="14710DC1"/>
    <w:rsid w:val="14754F4B"/>
    <w:rsid w:val="14D868FD"/>
    <w:rsid w:val="153F193C"/>
    <w:rsid w:val="153F6F80"/>
    <w:rsid w:val="15524BE4"/>
    <w:rsid w:val="15DB6150"/>
    <w:rsid w:val="1616403B"/>
    <w:rsid w:val="162D6097"/>
    <w:rsid w:val="165E2C35"/>
    <w:rsid w:val="175B1B2C"/>
    <w:rsid w:val="178253FE"/>
    <w:rsid w:val="17A0586A"/>
    <w:rsid w:val="184F474B"/>
    <w:rsid w:val="1867248F"/>
    <w:rsid w:val="18725D99"/>
    <w:rsid w:val="189E2620"/>
    <w:rsid w:val="18D46954"/>
    <w:rsid w:val="191663F0"/>
    <w:rsid w:val="197163E1"/>
    <w:rsid w:val="19A253D3"/>
    <w:rsid w:val="19D40F30"/>
    <w:rsid w:val="1A094190"/>
    <w:rsid w:val="1A415875"/>
    <w:rsid w:val="1B2158C7"/>
    <w:rsid w:val="1C006EAF"/>
    <w:rsid w:val="1C147157"/>
    <w:rsid w:val="1C190A99"/>
    <w:rsid w:val="1C206580"/>
    <w:rsid w:val="1C3D63ED"/>
    <w:rsid w:val="1CCB2A5A"/>
    <w:rsid w:val="1CE2284F"/>
    <w:rsid w:val="1CE27665"/>
    <w:rsid w:val="1D1F7314"/>
    <w:rsid w:val="1D985169"/>
    <w:rsid w:val="1DAA1CFA"/>
    <w:rsid w:val="1DF47391"/>
    <w:rsid w:val="1E046ED9"/>
    <w:rsid w:val="1E0B6D0F"/>
    <w:rsid w:val="1E436CBC"/>
    <w:rsid w:val="1E4F29BA"/>
    <w:rsid w:val="1E4F50EF"/>
    <w:rsid w:val="1E8C66EB"/>
    <w:rsid w:val="1E9637FD"/>
    <w:rsid w:val="1EBB7EAA"/>
    <w:rsid w:val="1F026509"/>
    <w:rsid w:val="1F771A4D"/>
    <w:rsid w:val="202265AF"/>
    <w:rsid w:val="20451F26"/>
    <w:rsid w:val="204973A8"/>
    <w:rsid w:val="206705CC"/>
    <w:rsid w:val="207C716F"/>
    <w:rsid w:val="20A6633B"/>
    <w:rsid w:val="20D11B48"/>
    <w:rsid w:val="20F011EF"/>
    <w:rsid w:val="21310218"/>
    <w:rsid w:val="21A16738"/>
    <w:rsid w:val="21BA4918"/>
    <w:rsid w:val="21BB1762"/>
    <w:rsid w:val="21DC0A70"/>
    <w:rsid w:val="21DD2101"/>
    <w:rsid w:val="21DD3AD2"/>
    <w:rsid w:val="21E620E9"/>
    <w:rsid w:val="21FA7FF4"/>
    <w:rsid w:val="21FE4B81"/>
    <w:rsid w:val="220215B6"/>
    <w:rsid w:val="22702D55"/>
    <w:rsid w:val="22CD54D2"/>
    <w:rsid w:val="23473ED4"/>
    <w:rsid w:val="23915BF2"/>
    <w:rsid w:val="23AE6F3A"/>
    <w:rsid w:val="23F9781D"/>
    <w:rsid w:val="24143EBB"/>
    <w:rsid w:val="247B615F"/>
    <w:rsid w:val="248E4857"/>
    <w:rsid w:val="24ED1F1B"/>
    <w:rsid w:val="2567077F"/>
    <w:rsid w:val="259B4ADE"/>
    <w:rsid w:val="262D4932"/>
    <w:rsid w:val="26360BC2"/>
    <w:rsid w:val="26527375"/>
    <w:rsid w:val="266542FD"/>
    <w:rsid w:val="26845B90"/>
    <w:rsid w:val="26955E2C"/>
    <w:rsid w:val="26A15028"/>
    <w:rsid w:val="26F70735"/>
    <w:rsid w:val="27585507"/>
    <w:rsid w:val="275E310C"/>
    <w:rsid w:val="27AB234F"/>
    <w:rsid w:val="27C54C43"/>
    <w:rsid w:val="27CB1478"/>
    <w:rsid w:val="27D677D0"/>
    <w:rsid w:val="27FE496D"/>
    <w:rsid w:val="281015F1"/>
    <w:rsid w:val="28727659"/>
    <w:rsid w:val="28845CC2"/>
    <w:rsid w:val="28A702B9"/>
    <w:rsid w:val="28AA25E9"/>
    <w:rsid w:val="28BE3623"/>
    <w:rsid w:val="28C96735"/>
    <w:rsid w:val="28DB6EAA"/>
    <w:rsid w:val="296C4096"/>
    <w:rsid w:val="29A123BB"/>
    <w:rsid w:val="29B1687E"/>
    <w:rsid w:val="29B80F87"/>
    <w:rsid w:val="2A3558B4"/>
    <w:rsid w:val="2A613DB9"/>
    <w:rsid w:val="2AA8758A"/>
    <w:rsid w:val="2AAE6BCF"/>
    <w:rsid w:val="2AE06085"/>
    <w:rsid w:val="2B12451E"/>
    <w:rsid w:val="2B433BE2"/>
    <w:rsid w:val="2BC316BB"/>
    <w:rsid w:val="2C0078D2"/>
    <w:rsid w:val="2C2C721C"/>
    <w:rsid w:val="2CC641AC"/>
    <w:rsid w:val="2CDA0972"/>
    <w:rsid w:val="2D3F156A"/>
    <w:rsid w:val="2D4F7387"/>
    <w:rsid w:val="2D913ECB"/>
    <w:rsid w:val="2D9D7156"/>
    <w:rsid w:val="2DC16D9B"/>
    <w:rsid w:val="2E231423"/>
    <w:rsid w:val="2E4B76EC"/>
    <w:rsid w:val="2EC51780"/>
    <w:rsid w:val="2EF56EA2"/>
    <w:rsid w:val="2F0E7136"/>
    <w:rsid w:val="2F1D1D8E"/>
    <w:rsid w:val="2F2A04CA"/>
    <w:rsid w:val="2F4C12F7"/>
    <w:rsid w:val="2F52087C"/>
    <w:rsid w:val="2F570AD7"/>
    <w:rsid w:val="2F84708E"/>
    <w:rsid w:val="2F9D1627"/>
    <w:rsid w:val="2FD76221"/>
    <w:rsid w:val="2FEA776D"/>
    <w:rsid w:val="300A4BE4"/>
    <w:rsid w:val="302225B6"/>
    <w:rsid w:val="302945C4"/>
    <w:rsid w:val="30384235"/>
    <w:rsid w:val="306758CD"/>
    <w:rsid w:val="30B240A1"/>
    <w:rsid w:val="30D64EAF"/>
    <w:rsid w:val="30F465F9"/>
    <w:rsid w:val="30F9075B"/>
    <w:rsid w:val="31665252"/>
    <w:rsid w:val="317131A4"/>
    <w:rsid w:val="31CB168D"/>
    <w:rsid w:val="31D01CB1"/>
    <w:rsid w:val="31EB38F9"/>
    <w:rsid w:val="31F877A0"/>
    <w:rsid w:val="320B3E33"/>
    <w:rsid w:val="3256662F"/>
    <w:rsid w:val="32731930"/>
    <w:rsid w:val="329218B6"/>
    <w:rsid w:val="332E6D2C"/>
    <w:rsid w:val="33374CE0"/>
    <w:rsid w:val="33650BC1"/>
    <w:rsid w:val="33A9307D"/>
    <w:rsid w:val="33AD37C7"/>
    <w:rsid w:val="33F64849"/>
    <w:rsid w:val="3405793E"/>
    <w:rsid w:val="341A69F5"/>
    <w:rsid w:val="342601B1"/>
    <w:rsid w:val="347C79C5"/>
    <w:rsid w:val="34D23D8F"/>
    <w:rsid w:val="34E17CC1"/>
    <w:rsid w:val="351C3972"/>
    <w:rsid w:val="357830FD"/>
    <w:rsid w:val="358A639D"/>
    <w:rsid w:val="35AE3CCB"/>
    <w:rsid w:val="36101977"/>
    <w:rsid w:val="363A12E4"/>
    <w:rsid w:val="365517B7"/>
    <w:rsid w:val="36722E94"/>
    <w:rsid w:val="3681127D"/>
    <w:rsid w:val="368C74AA"/>
    <w:rsid w:val="369A4AAB"/>
    <w:rsid w:val="369C55C1"/>
    <w:rsid w:val="36B63A76"/>
    <w:rsid w:val="36D16E9F"/>
    <w:rsid w:val="36F176F3"/>
    <w:rsid w:val="37180D0B"/>
    <w:rsid w:val="37352257"/>
    <w:rsid w:val="374C7D9F"/>
    <w:rsid w:val="374F4745"/>
    <w:rsid w:val="375A3AF3"/>
    <w:rsid w:val="37622048"/>
    <w:rsid w:val="381370C2"/>
    <w:rsid w:val="38C60AB9"/>
    <w:rsid w:val="38EE5DE8"/>
    <w:rsid w:val="38FA6EBF"/>
    <w:rsid w:val="39083B56"/>
    <w:rsid w:val="395E28CA"/>
    <w:rsid w:val="39DD53FD"/>
    <w:rsid w:val="3A05640B"/>
    <w:rsid w:val="3A34505A"/>
    <w:rsid w:val="3A442FE9"/>
    <w:rsid w:val="3A5969B4"/>
    <w:rsid w:val="3B5A3EE9"/>
    <w:rsid w:val="3B634059"/>
    <w:rsid w:val="3B7F4C3A"/>
    <w:rsid w:val="3B887742"/>
    <w:rsid w:val="3B9628EE"/>
    <w:rsid w:val="3B9B23CA"/>
    <w:rsid w:val="3BF7177C"/>
    <w:rsid w:val="3C3A012D"/>
    <w:rsid w:val="3C457305"/>
    <w:rsid w:val="3C5B7C42"/>
    <w:rsid w:val="3C621722"/>
    <w:rsid w:val="3CB31014"/>
    <w:rsid w:val="3CE17E80"/>
    <w:rsid w:val="3CF83553"/>
    <w:rsid w:val="3D2F72C4"/>
    <w:rsid w:val="3DAA0C92"/>
    <w:rsid w:val="3DE758F0"/>
    <w:rsid w:val="3DF46EE2"/>
    <w:rsid w:val="3E3C5FE9"/>
    <w:rsid w:val="3E5F0393"/>
    <w:rsid w:val="3EB267C9"/>
    <w:rsid w:val="3EDA5274"/>
    <w:rsid w:val="3F1D60A0"/>
    <w:rsid w:val="3F6E1C6A"/>
    <w:rsid w:val="3F877A39"/>
    <w:rsid w:val="3FA13A7E"/>
    <w:rsid w:val="3FB90913"/>
    <w:rsid w:val="3FC94073"/>
    <w:rsid w:val="406946E9"/>
    <w:rsid w:val="41661607"/>
    <w:rsid w:val="41B164B6"/>
    <w:rsid w:val="41CF588A"/>
    <w:rsid w:val="41D628A7"/>
    <w:rsid w:val="41E24788"/>
    <w:rsid w:val="41EE08A5"/>
    <w:rsid w:val="420C2C04"/>
    <w:rsid w:val="427325F4"/>
    <w:rsid w:val="42882165"/>
    <w:rsid w:val="430C2C22"/>
    <w:rsid w:val="43AA04E9"/>
    <w:rsid w:val="44213529"/>
    <w:rsid w:val="44BD7C24"/>
    <w:rsid w:val="44DD2EE3"/>
    <w:rsid w:val="450D65D4"/>
    <w:rsid w:val="455E4BA2"/>
    <w:rsid w:val="456071E7"/>
    <w:rsid w:val="45863910"/>
    <w:rsid w:val="459D123E"/>
    <w:rsid w:val="45EB3DD6"/>
    <w:rsid w:val="461C6256"/>
    <w:rsid w:val="46291EB8"/>
    <w:rsid w:val="462D5C7F"/>
    <w:rsid w:val="46325C58"/>
    <w:rsid w:val="46466F77"/>
    <w:rsid w:val="467008B0"/>
    <w:rsid w:val="46A74B88"/>
    <w:rsid w:val="46B76B4B"/>
    <w:rsid w:val="46BA07E8"/>
    <w:rsid w:val="46E4489A"/>
    <w:rsid w:val="47304E59"/>
    <w:rsid w:val="47B944D6"/>
    <w:rsid w:val="48690401"/>
    <w:rsid w:val="486D481D"/>
    <w:rsid w:val="48AC1460"/>
    <w:rsid w:val="48C87B66"/>
    <w:rsid w:val="48E716FF"/>
    <w:rsid w:val="49132400"/>
    <w:rsid w:val="49154F13"/>
    <w:rsid w:val="494D4AD5"/>
    <w:rsid w:val="496E2020"/>
    <w:rsid w:val="4971269F"/>
    <w:rsid w:val="498B2FA1"/>
    <w:rsid w:val="49C71CCA"/>
    <w:rsid w:val="49E13B64"/>
    <w:rsid w:val="4A2732E1"/>
    <w:rsid w:val="4A2951D7"/>
    <w:rsid w:val="4A4D0245"/>
    <w:rsid w:val="4A9D7E98"/>
    <w:rsid w:val="4AED40DB"/>
    <w:rsid w:val="4B037A9E"/>
    <w:rsid w:val="4B5931AB"/>
    <w:rsid w:val="4B9F73FC"/>
    <w:rsid w:val="4BA708E2"/>
    <w:rsid w:val="4C272F70"/>
    <w:rsid w:val="4C770388"/>
    <w:rsid w:val="4C863258"/>
    <w:rsid w:val="4CA014AC"/>
    <w:rsid w:val="4CD7475C"/>
    <w:rsid w:val="4CDA0396"/>
    <w:rsid w:val="4D3105D5"/>
    <w:rsid w:val="4D750C83"/>
    <w:rsid w:val="4D790D7A"/>
    <w:rsid w:val="4D8773EE"/>
    <w:rsid w:val="4DF32B56"/>
    <w:rsid w:val="4E37382D"/>
    <w:rsid w:val="4E984E43"/>
    <w:rsid w:val="4F59232C"/>
    <w:rsid w:val="4FBF0985"/>
    <w:rsid w:val="4FF2658A"/>
    <w:rsid w:val="50646DBF"/>
    <w:rsid w:val="506C4329"/>
    <w:rsid w:val="50903E63"/>
    <w:rsid w:val="512F2209"/>
    <w:rsid w:val="51681AE8"/>
    <w:rsid w:val="518728D1"/>
    <w:rsid w:val="519F6E1A"/>
    <w:rsid w:val="51A60DC3"/>
    <w:rsid w:val="52103A14"/>
    <w:rsid w:val="521C76E1"/>
    <w:rsid w:val="52BB5599"/>
    <w:rsid w:val="52E2398A"/>
    <w:rsid w:val="52F3391C"/>
    <w:rsid w:val="530E61AC"/>
    <w:rsid w:val="53151A46"/>
    <w:rsid w:val="531C15FC"/>
    <w:rsid w:val="53395CCF"/>
    <w:rsid w:val="53AD5812"/>
    <w:rsid w:val="545413CC"/>
    <w:rsid w:val="54B47EFB"/>
    <w:rsid w:val="54DB0F18"/>
    <w:rsid w:val="55011C7A"/>
    <w:rsid w:val="55543AF1"/>
    <w:rsid w:val="55706241"/>
    <w:rsid w:val="559C6CBA"/>
    <w:rsid w:val="55A91602"/>
    <w:rsid w:val="55B94875"/>
    <w:rsid w:val="55D51B93"/>
    <w:rsid w:val="570E4F64"/>
    <w:rsid w:val="5719502F"/>
    <w:rsid w:val="578339E3"/>
    <w:rsid w:val="57E53B64"/>
    <w:rsid w:val="583409BB"/>
    <w:rsid w:val="588F48D4"/>
    <w:rsid w:val="58AB7BD9"/>
    <w:rsid w:val="58AF759C"/>
    <w:rsid w:val="58E66A6D"/>
    <w:rsid w:val="597328A2"/>
    <w:rsid w:val="59DB079F"/>
    <w:rsid w:val="59FA4317"/>
    <w:rsid w:val="5A6539D1"/>
    <w:rsid w:val="5A88315D"/>
    <w:rsid w:val="5AA2162F"/>
    <w:rsid w:val="5ABB6742"/>
    <w:rsid w:val="5ADD5E18"/>
    <w:rsid w:val="5B212785"/>
    <w:rsid w:val="5BB500C9"/>
    <w:rsid w:val="5C2E0652"/>
    <w:rsid w:val="5C514CA0"/>
    <w:rsid w:val="5C6620ED"/>
    <w:rsid w:val="5C720ADA"/>
    <w:rsid w:val="5CA57B86"/>
    <w:rsid w:val="5CC77C96"/>
    <w:rsid w:val="5CF557A7"/>
    <w:rsid w:val="5D1F7F43"/>
    <w:rsid w:val="5D2327C3"/>
    <w:rsid w:val="5D3E08B8"/>
    <w:rsid w:val="5D523508"/>
    <w:rsid w:val="5D546753"/>
    <w:rsid w:val="5D6D7EF5"/>
    <w:rsid w:val="5DA930C5"/>
    <w:rsid w:val="5E0A1538"/>
    <w:rsid w:val="5E2A239D"/>
    <w:rsid w:val="5F480A20"/>
    <w:rsid w:val="5F541A66"/>
    <w:rsid w:val="5F6A29B1"/>
    <w:rsid w:val="5FDF599A"/>
    <w:rsid w:val="5FE56811"/>
    <w:rsid w:val="5FF37A81"/>
    <w:rsid w:val="602C45FD"/>
    <w:rsid w:val="606727AB"/>
    <w:rsid w:val="6075056B"/>
    <w:rsid w:val="60795CBD"/>
    <w:rsid w:val="60F47BEC"/>
    <w:rsid w:val="61816125"/>
    <w:rsid w:val="624806F1"/>
    <w:rsid w:val="629C7A23"/>
    <w:rsid w:val="629D0895"/>
    <w:rsid w:val="62A56631"/>
    <w:rsid w:val="62C0222F"/>
    <w:rsid w:val="63443247"/>
    <w:rsid w:val="63CE5C30"/>
    <w:rsid w:val="63EA5A54"/>
    <w:rsid w:val="6415508D"/>
    <w:rsid w:val="648038FA"/>
    <w:rsid w:val="652214EA"/>
    <w:rsid w:val="655907E9"/>
    <w:rsid w:val="65EB6652"/>
    <w:rsid w:val="66212F88"/>
    <w:rsid w:val="66574FE9"/>
    <w:rsid w:val="66891A28"/>
    <w:rsid w:val="669727FD"/>
    <w:rsid w:val="66F629D6"/>
    <w:rsid w:val="6744454D"/>
    <w:rsid w:val="67754838"/>
    <w:rsid w:val="67762C3A"/>
    <w:rsid w:val="677A4210"/>
    <w:rsid w:val="679B13E4"/>
    <w:rsid w:val="67F264CF"/>
    <w:rsid w:val="67FF6CD4"/>
    <w:rsid w:val="681A7E9D"/>
    <w:rsid w:val="683E7CBF"/>
    <w:rsid w:val="691E5105"/>
    <w:rsid w:val="696B5AAD"/>
    <w:rsid w:val="69803202"/>
    <w:rsid w:val="69F60484"/>
    <w:rsid w:val="6A354541"/>
    <w:rsid w:val="6A684B42"/>
    <w:rsid w:val="6A6F5F93"/>
    <w:rsid w:val="6B453FD7"/>
    <w:rsid w:val="6B5B576C"/>
    <w:rsid w:val="6B707A3D"/>
    <w:rsid w:val="6B7B1A68"/>
    <w:rsid w:val="6BA537D6"/>
    <w:rsid w:val="6BB1273B"/>
    <w:rsid w:val="6BB85D17"/>
    <w:rsid w:val="6BC82C73"/>
    <w:rsid w:val="6C2C7FB1"/>
    <w:rsid w:val="6C5B4CE2"/>
    <w:rsid w:val="6D535911"/>
    <w:rsid w:val="6D7878FB"/>
    <w:rsid w:val="6DC64D96"/>
    <w:rsid w:val="6DE61BA4"/>
    <w:rsid w:val="6E7D3EAA"/>
    <w:rsid w:val="6EC47B07"/>
    <w:rsid w:val="6EEE1ED2"/>
    <w:rsid w:val="6EF9070E"/>
    <w:rsid w:val="6EFC7DC4"/>
    <w:rsid w:val="6FBC32DD"/>
    <w:rsid w:val="6FEB70E8"/>
    <w:rsid w:val="70017D21"/>
    <w:rsid w:val="702678A4"/>
    <w:rsid w:val="70957B36"/>
    <w:rsid w:val="70BA2FFA"/>
    <w:rsid w:val="713A744C"/>
    <w:rsid w:val="7141561C"/>
    <w:rsid w:val="71465DA4"/>
    <w:rsid w:val="715A74D5"/>
    <w:rsid w:val="718E0763"/>
    <w:rsid w:val="71B50FA0"/>
    <w:rsid w:val="71D37FA9"/>
    <w:rsid w:val="723E5522"/>
    <w:rsid w:val="72AA61C2"/>
    <w:rsid w:val="73050C51"/>
    <w:rsid w:val="73870838"/>
    <w:rsid w:val="739871D5"/>
    <w:rsid w:val="73F11288"/>
    <w:rsid w:val="73F23F7B"/>
    <w:rsid w:val="74067081"/>
    <w:rsid w:val="741C1C19"/>
    <w:rsid w:val="745E05AD"/>
    <w:rsid w:val="7461016E"/>
    <w:rsid w:val="74835184"/>
    <w:rsid w:val="74A4132C"/>
    <w:rsid w:val="75787206"/>
    <w:rsid w:val="75A512B8"/>
    <w:rsid w:val="75BF77EE"/>
    <w:rsid w:val="75D70FF2"/>
    <w:rsid w:val="75F479B7"/>
    <w:rsid w:val="75FA1E0C"/>
    <w:rsid w:val="75FB3FF3"/>
    <w:rsid w:val="76186A30"/>
    <w:rsid w:val="762C31BE"/>
    <w:rsid w:val="7653467E"/>
    <w:rsid w:val="772B4ED2"/>
    <w:rsid w:val="774A1BB5"/>
    <w:rsid w:val="77777E50"/>
    <w:rsid w:val="77E652C6"/>
    <w:rsid w:val="782563F5"/>
    <w:rsid w:val="78880F29"/>
    <w:rsid w:val="794723D1"/>
    <w:rsid w:val="7977267E"/>
    <w:rsid w:val="7AB67AD9"/>
    <w:rsid w:val="7ACA6A91"/>
    <w:rsid w:val="7ACE1913"/>
    <w:rsid w:val="7B0E23F7"/>
    <w:rsid w:val="7B515EAC"/>
    <w:rsid w:val="7BAA251B"/>
    <w:rsid w:val="7C06770E"/>
    <w:rsid w:val="7C90112B"/>
    <w:rsid w:val="7C946125"/>
    <w:rsid w:val="7CC32006"/>
    <w:rsid w:val="7CD35C4B"/>
    <w:rsid w:val="7CD67A48"/>
    <w:rsid w:val="7CE017BB"/>
    <w:rsid w:val="7CE335DB"/>
    <w:rsid w:val="7D0664BA"/>
    <w:rsid w:val="7D104464"/>
    <w:rsid w:val="7D2324BD"/>
    <w:rsid w:val="7DE61A14"/>
    <w:rsid w:val="7E0D5970"/>
    <w:rsid w:val="7E126103"/>
    <w:rsid w:val="7E3566D4"/>
    <w:rsid w:val="7E367B16"/>
    <w:rsid w:val="7E3937A2"/>
    <w:rsid w:val="7E5A6E32"/>
    <w:rsid w:val="7E604E32"/>
    <w:rsid w:val="7EC34539"/>
    <w:rsid w:val="7F3103EC"/>
    <w:rsid w:val="7F5176FB"/>
    <w:rsid w:val="7FB97105"/>
    <w:rsid w:val="7FD650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54"/>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6"/>
    <w:link w:val="131"/>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6">
    <w:name w:val="heading 3"/>
    <w:basedOn w:val="1"/>
    <w:next w:val="1"/>
    <w:link w:val="142"/>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7">
    <w:name w:val="heading 4"/>
    <w:basedOn w:val="1"/>
    <w:next w:val="1"/>
    <w:link w:val="1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132"/>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108"/>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133"/>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113"/>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137"/>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6">
    <w:name w:val="Default Paragraph Font"/>
    <w:link w:val="47"/>
    <w:qFormat/>
    <w:uiPriority w:val="0"/>
    <w:rPr>
      <w:szCs w:val="21"/>
    </w:rPr>
  </w:style>
  <w:style w:type="table" w:default="1" w:styleId="44">
    <w:name w:val="Normal Table"/>
    <w:semiHidden/>
    <w:qFormat/>
    <w:uiPriority w:val="0"/>
    <w:tblPr>
      <w:tblCellMar>
        <w:top w:w="0" w:type="dxa"/>
        <w:left w:w="108" w:type="dxa"/>
        <w:bottom w:w="0" w:type="dxa"/>
        <w:right w:w="108" w:type="dxa"/>
      </w:tblCellMar>
    </w:tblPr>
  </w:style>
  <w:style w:type="paragraph" w:styleId="2">
    <w:name w:val="footnote text"/>
    <w:basedOn w:val="1"/>
    <w:link w:val="122"/>
    <w:qFormat/>
    <w:uiPriority w:val="0"/>
    <w:pPr>
      <w:adjustRightInd w:val="0"/>
      <w:spacing w:line="312" w:lineRule="atLeast"/>
      <w:textAlignment w:val="baseline"/>
    </w:pPr>
    <w:rPr>
      <w:kern w:val="0"/>
      <w:sz w:val="18"/>
    </w:r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13">
    <w:name w:val="List 3"/>
    <w:basedOn w:val="1"/>
    <w:qFormat/>
    <w:uiPriority w:val="0"/>
    <w:pPr>
      <w:ind w:left="100" w:leftChars="400" w:hanging="200" w:hangingChars="200"/>
    </w:pPr>
    <w:rPr>
      <w:szCs w:val="24"/>
    </w:rPr>
  </w:style>
  <w:style w:type="paragraph" w:styleId="14">
    <w:name w:val="List Number"/>
    <w:basedOn w:val="1"/>
    <w:qFormat/>
    <w:uiPriority w:val="0"/>
    <w:pPr>
      <w:numPr>
        <w:ilvl w:val="0"/>
        <w:numId w:val="2"/>
      </w:numPr>
    </w:pPr>
  </w:style>
  <w:style w:type="paragraph" w:styleId="15">
    <w:name w:val="Normal Indent"/>
    <w:basedOn w:val="1"/>
    <w:next w:val="1"/>
    <w:qFormat/>
    <w:uiPriority w:val="0"/>
    <w:pPr>
      <w:adjustRightInd w:val="0"/>
      <w:ind w:firstLine="420"/>
    </w:pPr>
    <w:rPr>
      <w:rFonts w:eastAsia="楷体_GB2312"/>
      <w:sz w:val="24"/>
      <w:lang w:val="en-US" w:eastAsia="zh-CN" w:bidi="ar-SA"/>
    </w:rPr>
  </w:style>
  <w:style w:type="paragraph" w:styleId="16">
    <w:name w:val="caption"/>
    <w:basedOn w:val="1"/>
    <w:next w:val="1"/>
    <w:qFormat/>
    <w:uiPriority w:val="0"/>
    <w:pPr>
      <w:spacing w:before="152" w:after="160"/>
    </w:pPr>
    <w:rPr>
      <w:rFonts w:ascii="Arial" w:hAnsi="Arial" w:eastAsia="黑体" w:cs="Arial"/>
      <w:sz w:val="20"/>
    </w:rPr>
  </w:style>
  <w:style w:type="paragraph" w:styleId="17">
    <w:name w:val="Document Map"/>
    <w:basedOn w:val="1"/>
    <w:link w:val="111"/>
    <w:qFormat/>
    <w:uiPriority w:val="0"/>
    <w:pPr>
      <w:shd w:val="clear" w:color="auto" w:fill="000080"/>
    </w:pPr>
    <w:rPr>
      <w:szCs w:val="24"/>
    </w:rPr>
  </w:style>
  <w:style w:type="paragraph" w:styleId="18">
    <w:name w:val="toa heading"/>
    <w:basedOn w:val="1"/>
    <w:next w:val="1"/>
    <w:qFormat/>
    <w:uiPriority w:val="0"/>
    <w:rPr>
      <w:rFonts w:ascii="Arial" w:hAnsi="Arial"/>
      <w:sz w:val="24"/>
    </w:rPr>
  </w:style>
  <w:style w:type="paragraph" w:styleId="19">
    <w:name w:val="annotation text"/>
    <w:basedOn w:val="1"/>
    <w:link w:val="94"/>
    <w:qFormat/>
    <w:uiPriority w:val="0"/>
    <w:pPr>
      <w:jc w:val="left"/>
    </w:pPr>
  </w:style>
  <w:style w:type="paragraph" w:styleId="20">
    <w:name w:val="Body Text 3"/>
    <w:basedOn w:val="1"/>
    <w:link w:val="134"/>
    <w:qFormat/>
    <w:uiPriority w:val="0"/>
    <w:pPr>
      <w:spacing w:after="120"/>
    </w:pPr>
    <w:rPr>
      <w:sz w:val="16"/>
      <w:szCs w:val="16"/>
    </w:rPr>
  </w:style>
  <w:style w:type="paragraph" w:styleId="21">
    <w:name w:val="Body Text"/>
    <w:basedOn w:val="1"/>
    <w:next w:val="1"/>
    <w:link w:val="125"/>
    <w:qFormat/>
    <w:uiPriority w:val="0"/>
    <w:pPr>
      <w:spacing w:after="120"/>
    </w:pPr>
    <w:rPr>
      <w:szCs w:val="24"/>
    </w:rPr>
  </w:style>
  <w:style w:type="paragraph" w:styleId="22">
    <w:name w:val="Body Text Indent"/>
    <w:basedOn w:val="1"/>
    <w:next w:val="23"/>
    <w:link w:val="118"/>
    <w:qFormat/>
    <w:uiPriority w:val="0"/>
    <w:pPr>
      <w:spacing w:line="360" w:lineRule="auto"/>
      <w:ind w:firstLine="560" w:firstLineChars="200"/>
    </w:pPr>
    <w:rPr>
      <w:sz w:val="28"/>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List 2"/>
    <w:basedOn w:val="1"/>
    <w:qFormat/>
    <w:uiPriority w:val="0"/>
    <w:pPr>
      <w:ind w:left="100" w:leftChars="200" w:hanging="200" w:hangingChars="200"/>
    </w:pPr>
    <w:rPr>
      <w:szCs w:val="24"/>
    </w:rPr>
  </w:style>
  <w:style w:type="paragraph" w:styleId="25">
    <w:name w:val="toc 3"/>
    <w:basedOn w:val="1"/>
    <w:next w:val="1"/>
    <w:qFormat/>
    <w:uiPriority w:val="39"/>
    <w:pPr>
      <w:ind w:left="840" w:leftChars="400"/>
    </w:pPr>
    <w:rPr>
      <w:szCs w:val="24"/>
    </w:rPr>
  </w:style>
  <w:style w:type="paragraph" w:styleId="26">
    <w:name w:val="Plain Text"/>
    <w:basedOn w:val="1"/>
    <w:link w:val="114"/>
    <w:qFormat/>
    <w:uiPriority w:val="0"/>
    <w:rPr>
      <w:rFonts w:ascii="宋体" w:hAnsi="Courier New"/>
    </w:rPr>
  </w:style>
  <w:style w:type="paragraph" w:styleId="27">
    <w:name w:val="Date"/>
    <w:basedOn w:val="1"/>
    <w:next w:val="1"/>
    <w:link w:val="128"/>
    <w:qFormat/>
    <w:uiPriority w:val="0"/>
    <w:pPr>
      <w:ind w:left="100" w:leftChars="2500"/>
    </w:pPr>
    <w:rPr>
      <w:szCs w:val="24"/>
    </w:rPr>
  </w:style>
  <w:style w:type="paragraph" w:styleId="28">
    <w:name w:val="Body Text Indent 2"/>
    <w:basedOn w:val="1"/>
    <w:link w:val="136"/>
    <w:qFormat/>
    <w:uiPriority w:val="0"/>
    <w:pPr>
      <w:spacing w:after="120" w:line="480" w:lineRule="auto"/>
      <w:ind w:left="420" w:leftChars="200"/>
    </w:pPr>
    <w:rPr>
      <w:szCs w:val="24"/>
    </w:rPr>
  </w:style>
  <w:style w:type="paragraph" w:styleId="29">
    <w:name w:val="Balloon Text"/>
    <w:basedOn w:val="1"/>
    <w:link w:val="135"/>
    <w:qFormat/>
    <w:uiPriority w:val="0"/>
    <w:rPr>
      <w:sz w:val="18"/>
      <w:szCs w:val="18"/>
    </w:rPr>
  </w:style>
  <w:style w:type="paragraph" w:styleId="30">
    <w:name w:val="footer"/>
    <w:basedOn w:val="1"/>
    <w:next w:val="1"/>
    <w:link w:val="112"/>
    <w:qFormat/>
    <w:uiPriority w:val="99"/>
    <w:pPr>
      <w:tabs>
        <w:tab w:val="center" w:pos="4153"/>
        <w:tab w:val="right" w:pos="8306"/>
      </w:tabs>
      <w:snapToGrid w:val="0"/>
      <w:jc w:val="left"/>
    </w:pPr>
    <w:rPr>
      <w:sz w:val="18"/>
      <w:szCs w:val="18"/>
    </w:rPr>
  </w:style>
  <w:style w:type="paragraph" w:styleId="31">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rPr>
      <w:szCs w:val="24"/>
    </w:rPr>
  </w:style>
  <w:style w:type="paragraph" w:styleId="33">
    <w:name w:val="Subtitle"/>
    <w:basedOn w:val="1"/>
    <w:next w:val="1"/>
    <w:link w:val="123"/>
    <w:qFormat/>
    <w:uiPriority w:val="0"/>
    <w:pPr>
      <w:spacing w:before="240" w:beforeLines="0" w:after="60" w:afterLines="0" w:line="312" w:lineRule="auto"/>
      <w:jc w:val="center"/>
      <w:outlineLvl w:val="1"/>
    </w:pPr>
    <w:rPr>
      <w:rFonts w:ascii="Cambria" w:hAnsi="Cambria"/>
      <w:b/>
      <w:bCs/>
      <w:kern w:val="28"/>
      <w:sz w:val="32"/>
      <w:szCs w:val="32"/>
    </w:rPr>
  </w:style>
  <w:style w:type="paragraph" w:styleId="34">
    <w:name w:val="List"/>
    <w:basedOn w:val="1"/>
    <w:qFormat/>
    <w:uiPriority w:val="0"/>
    <w:pPr>
      <w:spacing w:before="312" w:beforeLines="100" w:line="360" w:lineRule="auto"/>
      <w:jc w:val="center"/>
    </w:pPr>
    <w:rPr>
      <w:rFonts w:ascii="宋体" w:hAnsi="宋体"/>
      <w:b/>
      <w:sz w:val="28"/>
      <w:szCs w:val="24"/>
    </w:rPr>
  </w:style>
  <w:style w:type="paragraph" w:styleId="35">
    <w:name w:val="Body Text Indent 3"/>
    <w:basedOn w:val="1"/>
    <w:link w:val="99"/>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6">
    <w:name w:val="toc 2"/>
    <w:basedOn w:val="1"/>
    <w:next w:val="1"/>
    <w:qFormat/>
    <w:uiPriority w:val="39"/>
    <w:pPr>
      <w:ind w:left="420" w:leftChars="200"/>
    </w:pPr>
    <w:rPr>
      <w:szCs w:val="24"/>
    </w:rPr>
  </w:style>
  <w:style w:type="paragraph" w:styleId="37">
    <w:name w:val="Body Text 2"/>
    <w:basedOn w:val="1"/>
    <w:qFormat/>
    <w:uiPriority w:val="0"/>
    <w:pPr>
      <w:spacing w:line="288" w:lineRule="auto"/>
      <w:jc w:val="left"/>
    </w:pPr>
    <w:rPr>
      <w:rFonts w:ascii="楷体_GB2312" w:eastAsia="楷体_GB2312"/>
      <w:sz w:val="28"/>
    </w:rPr>
  </w:style>
  <w:style w:type="paragraph" w:styleId="38">
    <w:name w:val="HTML Preformatted"/>
    <w:basedOn w:val="1"/>
    <w:link w:val="1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9">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40">
    <w:name w:val="Title"/>
    <w:basedOn w:val="1"/>
    <w:next w:val="1"/>
    <w:link w:val="127"/>
    <w:qFormat/>
    <w:uiPriority w:val="0"/>
    <w:pPr>
      <w:spacing w:before="240" w:after="60"/>
      <w:jc w:val="center"/>
      <w:outlineLvl w:val="0"/>
    </w:pPr>
    <w:rPr>
      <w:rFonts w:ascii="Cambria" w:hAnsi="Cambria"/>
      <w:b/>
      <w:bCs/>
      <w:sz w:val="32"/>
      <w:szCs w:val="32"/>
    </w:rPr>
  </w:style>
  <w:style w:type="paragraph" w:styleId="41">
    <w:name w:val="annotation subject"/>
    <w:basedOn w:val="19"/>
    <w:next w:val="19"/>
    <w:link w:val="107"/>
    <w:qFormat/>
    <w:uiPriority w:val="0"/>
    <w:rPr>
      <w:b/>
      <w:bCs/>
      <w:szCs w:val="24"/>
    </w:rPr>
  </w:style>
  <w:style w:type="paragraph" w:styleId="42">
    <w:name w:val="Body Text First Indent"/>
    <w:basedOn w:val="21"/>
    <w:qFormat/>
    <w:uiPriority w:val="0"/>
    <w:pPr>
      <w:tabs>
        <w:tab w:val="left" w:pos="9214"/>
      </w:tabs>
      <w:spacing w:after="0"/>
      <w:ind w:firstLine="200" w:firstLineChars="200"/>
    </w:pPr>
  </w:style>
  <w:style w:type="paragraph" w:styleId="43">
    <w:name w:val="Body Text First Indent 2"/>
    <w:basedOn w:val="22"/>
    <w:next w:val="1"/>
    <w:link w:val="117"/>
    <w:qFormat/>
    <w:uiPriority w:val="0"/>
    <w:pPr>
      <w:ind w:left="1588" w:leftChars="832" w:firstLine="433"/>
    </w:pPr>
    <w:rPr>
      <w:rFonts w:eastAsia="仿宋_GB2312"/>
      <w:spacing w:val="15"/>
      <w:kern w:val="10"/>
      <w:sz w:val="24"/>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Char Char Char Char"/>
    <w:basedOn w:val="1"/>
    <w:link w:val="46"/>
    <w:qFormat/>
    <w:uiPriority w:val="0"/>
    <w:rPr>
      <w:szCs w:val="21"/>
    </w:rPr>
  </w:style>
  <w:style w:type="character" w:styleId="48">
    <w:name w:val="Strong"/>
    <w:basedOn w:val="46"/>
    <w:qFormat/>
    <w:uiPriority w:val="0"/>
    <w:rPr>
      <w:b/>
      <w:bCs/>
    </w:rPr>
  </w:style>
  <w:style w:type="character" w:styleId="49">
    <w:name w:val="page number"/>
    <w:basedOn w:val="46"/>
    <w:qFormat/>
    <w:uiPriority w:val="0"/>
  </w:style>
  <w:style w:type="character" w:styleId="50">
    <w:name w:val="Emphasis"/>
    <w:basedOn w:val="46"/>
    <w:qFormat/>
    <w:uiPriority w:val="0"/>
    <w:rPr>
      <w:i/>
    </w:rPr>
  </w:style>
  <w:style w:type="character" w:styleId="51">
    <w:name w:val="Hyperlink"/>
    <w:basedOn w:val="46"/>
    <w:qFormat/>
    <w:uiPriority w:val="99"/>
    <w:rPr>
      <w:color w:val="0000FF"/>
      <w:u w:val="single"/>
    </w:rPr>
  </w:style>
  <w:style w:type="character" w:styleId="52">
    <w:name w:val="annotation reference"/>
    <w:qFormat/>
    <w:uiPriority w:val="0"/>
    <w:rPr>
      <w:sz w:val="21"/>
      <w:szCs w:val="21"/>
    </w:rPr>
  </w:style>
  <w:style w:type="paragraph" w:customStyle="1" w:styleId="53">
    <w:name w:val="样式1"/>
    <w:basedOn w:val="18"/>
    <w:next w:val="7"/>
    <w:qFormat/>
    <w:uiPriority w:val="0"/>
    <w:pPr>
      <w:numPr>
        <w:ilvl w:val="0"/>
        <w:numId w:val="1"/>
      </w:numPr>
      <w:tabs>
        <w:tab w:val="left" w:pos="1110"/>
      </w:tabs>
      <w:adjustRightInd w:val="0"/>
      <w:textAlignment w:val="baseline"/>
    </w:pPr>
    <w:rPr>
      <w:rFonts w:ascii="宋体" w:hAnsi="宋体"/>
      <w:kern w:val="0"/>
      <w:szCs w:val="21"/>
    </w:rPr>
  </w:style>
  <w:style w:type="character" w:customStyle="1" w:styleId="54">
    <w:name w:val="标题 1 Char"/>
    <w:link w:val="3"/>
    <w:qFormat/>
    <w:uiPriority w:val="0"/>
    <w:rPr>
      <w:b/>
      <w:bCs/>
      <w:kern w:val="44"/>
      <w:sz w:val="44"/>
      <w:szCs w:val="44"/>
    </w:rPr>
  </w:style>
  <w:style w:type="paragraph" w:customStyle="1" w:styleId="55">
    <w:name w:val="_Style 5"/>
    <w:basedOn w:val="1"/>
    <w:qFormat/>
    <w:uiPriority w:val="0"/>
    <w:pPr>
      <w:tabs>
        <w:tab w:val="left" w:pos="360"/>
      </w:tabs>
      <w:ind w:firstLine="420" w:firstLineChars="150"/>
    </w:pPr>
    <w:rPr>
      <w:rFonts w:ascii="Arial" w:hAnsi="Arial" w:cs="Arial"/>
      <w:sz w:val="20"/>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pa-7"/>
    <w:basedOn w:val="1"/>
    <w:qFormat/>
    <w:uiPriority w:val="0"/>
    <w:pPr>
      <w:widowControl/>
      <w:spacing w:before="150" w:beforeLines="0" w:after="150" w:afterLines="0"/>
      <w:jc w:val="left"/>
    </w:pPr>
    <w:rPr>
      <w:rFonts w:ascii="宋体" w:hAnsi="宋体" w:cs="宋体"/>
      <w:kern w:val="0"/>
      <w:sz w:val="24"/>
      <w:szCs w:val="24"/>
    </w:rPr>
  </w:style>
  <w:style w:type="paragraph" w:customStyle="1" w:styleId="58">
    <w:name w:val="Char Char Char Char Char Char"/>
    <w:basedOn w:val="17"/>
    <w:qFormat/>
    <w:uiPriority w:val="0"/>
    <w:rPr>
      <w:rFonts w:ascii="Tahoma" w:hAnsi="Tahoma"/>
      <w:sz w:val="24"/>
    </w:rPr>
  </w:style>
  <w:style w:type="paragraph" w:customStyle="1" w:styleId="59">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0">
    <w:name w:val="p16"/>
    <w:basedOn w:val="1"/>
    <w:qFormat/>
    <w:uiPriority w:val="0"/>
    <w:pPr>
      <w:widowControl/>
    </w:pPr>
    <w:rPr>
      <w:kern w:val="0"/>
      <w:szCs w:val="21"/>
    </w:rPr>
  </w:style>
  <w:style w:type="paragraph" w:customStyle="1" w:styleId="61">
    <w:name w:val="WPSOffice手动目录 2"/>
    <w:qFormat/>
    <w:uiPriority w:val="0"/>
    <w:pPr>
      <w:ind w:leftChars="200"/>
    </w:pPr>
    <w:rPr>
      <w:rFonts w:ascii="Times New Roman" w:hAnsi="Times New Roman" w:eastAsia="宋体" w:cs="Times New Roman"/>
      <w:sz w:val="20"/>
      <w:szCs w:val="20"/>
    </w:rPr>
  </w:style>
  <w:style w:type="paragraph" w:customStyle="1" w:styleId="6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3">
    <w:name w:val=" Char Char Char Char"/>
    <w:basedOn w:val="1"/>
    <w:qFormat/>
    <w:uiPriority w:val="0"/>
    <w:pPr>
      <w:tabs>
        <w:tab w:val="left" w:pos="360"/>
      </w:tabs>
      <w:ind w:firstLine="420" w:firstLineChars="150"/>
    </w:pPr>
    <w:rPr>
      <w:rFonts w:ascii="Arial" w:hAnsi="Arial" w:cs="Arial"/>
      <w:sz w:val="20"/>
    </w:rPr>
  </w:style>
  <w:style w:type="paragraph" w:customStyle="1" w:styleId="64">
    <w:name w:val="Plain Text1"/>
    <w:basedOn w:val="1"/>
    <w:qFormat/>
    <w:uiPriority w:val="99"/>
    <w:rPr>
      <w:rFonts w:ascii="宋体" w:hAnsi="Courier New"/>
    </w:rPr>
  </w:style>
  <w:style w:type="paragraph" w:customStyle="1" w:styleId="65">
    <w:name w:val="Char Char Char"/>
    <w:basedOn w:val="1"/>
    <w:qFormat/>
    <w:uiPriority w:val="0"/>
    <w:pPr>
      <w:widowControl/>
      <w:spacing w:after="160" w:line="240" w:lineRule="exact"/>
      <w:jc w:val="left"/>
    </w:pPr>
    <w:rPr>
      <w:szCs w:val="24"/>
    </w:rPr>
  </w:style>
  <w:style w:type="paragraph" w:customStyle="1" w:styleId="66">
    <w:name w:val="正文缩进1"/>
    <w:basedOn w:val="1"/>
    <w:qFormat/>
    <w:uiPriority w:val="0"/>
    <w:pPr>
      <w:autoSpaceDE w:val="0"/>
      <w:autoSpaceDN w:val="0"/>
      <w:adjustRightInd w:val="0"/>
      <w:ind w:firstLine="420"/>
    </w:pPr>
    <w:rPr>
      <w:rFonts w:ascii="宋体" w:hAnsi="Calibri"/>
      <w:szCs w:val="22"/>
    </w:rPr>
  </w:style>
  <w:style w:type="paragraph" w:customStyle="1" w:styleId="67">
    <w:name w:val="Normal"/>
    <w:qFormat/>
    <w:uiPriority w:val="0"/>
    <w:rPr>
      <w:rFonts w:ascii="Times New Roman" w:hAnsi="Times New Roman" w:eastAsia="Times New Roman" w:cs="Times New Roman"/>
      <w:sz w:val="24"/>
      <w:szCs w:val="24"/>
      <w:lang w:val="en-US" w:eastAsia="zh-CN" w:bidi="ar-SA"/>
    </w:rPr>
  </w:style>
  <w:style w:type="paragraph" w:customStyle="1" w:styleId="68">
    <w:name w:val="List 2"/>
    <w:basedOn w:val="1"/>
    <w:qFormat/>
    <w:uiPriority w:val="0"/>
    <w:pPr>
      <w:spacing w:beforeAutospacing="1" w:afterAutospacing="1" w:line="360" w:lineRule="auto"/>
      <w:ind w:left="100" w:leftChars="200" w:hanging="200" w:hangingChars="200"/>
      <w:contextualSpacing/>
    </w:pPr>
    <w:rPr>
      <w:sz w:val="24"/>
    </w:rPr>
  </w:style>
  <w:style w:type="paragraph" w:customStyle="1" w:styleId="69">
    <w:name w:val="_Style 6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_Style 7"/>
    <w:basedOn w:val="1"/>
    <w:qFormat/>
    <w:uiPriority w:val="0"/>
    <w:pPr>
      <w:tabs>
        <w:tab w:val="left" w:pos="360"/>
      </w:tabs>
      <w:ind w:firstLine="420" w:firstLineChars="150"/>
    </w:pPr>
    <w:rPr>
      <w:rFonts w:ascii="Arial" w:hAnsi="Arial" w:cs="Arial"/>
      <w:sz w:val="20"/>
    </w:rPr>
  </w:style>
  <w:style w:type="paragraph" w:customStyle="1" w:styleId="71">
    <w:name w:val="_Style 11"/>
    <w:basedOn w:val="1"/>
    <w:qFormat/>
    <w:uiPriority w:val="0"/>
    <w:pPr>
      <w:tabs>
        <w:tab w:val="left" w:pos="360"/>
      </w:tabs>
      <w:ind w:firstLine="420" w:firstLineChars="150"/>
    </w:pPr>
    <w:rPr>
      <w:rFonts w:ascii="Arial" w:hAnsi="Arial" w:cs="Arial"/>
      <w:sz w:val="20"/>
    </w:rPr>
  </w:style>
  <w:style w:type="paragraph" w:customStyle="1" w:styleId="72">
    <w:name w:val="p15"/>
    <w:basedOn w:val="1"/>
    <w:qFormat/>
    <w:uiPriority w:val="0"/>
    <w:pPr>
      <w:widowControl/>
    </w:pPr>
    <w:rPr>
      <w:rFonts w:ascii="宋体" w:hAnsi="宋体" w:cs="宋体"/>
      <w:kern w:val="0"/>
      <w:szCs w:val="21"/>
    </w:rPr>
  </w:style>
  <w:style w:type="paragraph" w:customStyle="1" w:styleId="73">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4">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75">
    <w:name w:val="样式 标题 2 + 宋体 五号 非加粗 黑色"/>
    <w:basedOn w:val="5"/>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76">
    <w:name w:val="正文序号 1"/>
    <w:basedOn w:val="1"/>
    <w:qFormat/>
    <w:uiPriority w:val="0"/>
    <w:pPr>
      <w:numPr>
        <w:ilvl w:val="0"/>
        <w:numId w:val="3"/>
      </w:numPr>
      <w:tabs>
        <w:tab w:val="left" w:pos="502"/>
        <w:tab w:val="left" w:pos="839"/>
      </w:tabs>
      <w:spacing w:before="60"/>
    </w:pPr>
    <w:rPr>
      <w:szCs w:val="24"/>
    </w:rPr>
  </w:style>
  <w:style w:type="paragraph" w:customStyle="1" w:styleId="77">
    <w:name w:val="p0"/>
    <w:basedOn w:val="1"/>
    <w:qFormat/>
    <w:uiPriority w:val="0"/>
    <w:pPr>
      <w:widowControl/>
      <w:jc w:val="left"/>
    </w:pPr>
    <w:rPr>
      <w:kern w:val="0"/>
      <w:szCs w:val="21"/>
    </w:rPr>
  </w:style>
  <w:style w:type="paragraph" w:customStyle="1" w:styleId="78">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79">
    <w:name w:val="样式 标题 4 + 段前: 5 磅 段后: 5 磅 行距: 单倍行距"/>
    <w:basedOn w:val="7"/>
    <w:qFormat/>
    <w:uiPriority w:val="0"/>
    <w:pPr>
      <w:spacing w:before="100" w:after="100" w:line="240" w:lineRule="auto"/>
    </w:pPr>
    <w:rPr>
      <w:rFonts w:cs="宋体"/>
      <w:szCs w:val="20"/>
    </w:rPr>
  </w:style>
  <w:style w:type="paragraph" w:customStyle="1" w:styleId="80">
    <w:name w:val=" Char"/>
    <w:basedOn w:val="1"/>
    <w:qFormat/>
    <w:uiPriority w:val="0"/>
    <w:pPr>
      <w:widowControl/>
      <w:spacing w:after="160" w:afterLines="0" w:line="240" w:lineRule="exact"/>
      <w:jc w:val="left"/>
    </w:pPr>
    <w:rPr>
      <w:rFonts w:ascii="Verdana" w:hAnsi="Verdana" w:cs="Verdana"/>
      <w:kern w:val="0"/>
      <w:szCs w:val="21"/>
      <w:lang w:eastAsia="en-US"/>
    </w:rPr>
  </w:style>
  <w:style w:type="paragraph" w:customStyle="1" w:styleId="81">
    <w:name w:val="列出段落1"/>
    <w:basedOn w:val="1"/>
    <w:qFormat/>
    <w:uiPriority w:val="34"/>
    <w:pPr>
      <w:ind w:firstLine="420" w:firstLineChars="200"/>
    </w:p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Char"/>
    <w:basedOn w:val="1"/>
    <w:qFormat/>
    <w:uiPriority w:val="0"/>
    <w:pPr>
      <w:tabs>
        <w:tab w:val="left" w:pos="360"/>
      </w:tabs>
      <w:spacing w:line="360" w:lineRule="auto"/>
      <w:ind w:firstLine="480" w:firstLineChars="200"/>
    </w:pPr>
    <w:rPr>
      <w:rFonts w:ascii="楷体_GB2312" w:eastAsia="楷体_GB2312"/>
      <w:sz w:val="24"/>
      <w:szCs w:val="24"/>
    </w:rPr>
  </w:style>
  <w:style w:type="paragraph" w:customStyle="1" w:styleId="84">
    <w:name w:val="表头文本"/>
    <w:basedOn w:val="1"/>
    <w:qFormat/>
    <w:uiPriority w:val="0"/>
    <w:pPr>
      <w:autoSpaceDE w:val="0"/>
      <w:autoSpaceDN w:val="0"/>
      <w:adjustRightInd w:val="0"/>
      <w:jc w:val="center"/>
    </w:pPr>
    <w:rPr>
      <w:b/>
      <w:kern w:val="0"/>
      <w:sz w:val="24"/>
    </w:rPr>
  </w:style>
  <w:style w:type="paragraph" w:customStyle="1" w:styleId="85">
    <w:name w:val="默认段落字体 Para Char Char Char Char Char Char Char Char Char Char Char Char Char Char Char Char"/>
    <w:basedOn w:val="1"/>
    <w:qFormat/>
    <w:uiPriority w:val="0"/>
    <w:rPr>
      <w:rFonts w:ascii="Tahoma" w:hAnsi="Tahoma"/>
      <w:sz w:val="24"/>
    </w:rPr>
  </w:style>
  <w:style w:type="paragraph" w:customStyle="1" w:styleId="86">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样式2"/>
    <w:basedOn w:val="1"/>
    <w:qFormat/>
    <w:uiPriority w:val="0"/>
    <w:pPr>
      <w:spacing w:line="560" w:lineRule="exact"/>
      <w:ind w:firstLine="601"/>
    </w:pPr>
    <w:rPr>
      <w:rFonts w:eastAsia="宋体"/>
      <w:kern w:val="2"/>
      <w:sz w:val="28"/>
      <w:lang w:val="en-US" w:eastAsia="zh-CN" w:bidi="ar-SA"/>
    </w:rPr>
  </w:style>
  <w:style w:type="paragraph" w:customStyle="1" w:styleId="8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9">
    <w:name w:val="标题 3_0"/>
    <w:basedOn w:val="73"/>
    <w:next w:val="73"/>
    <w:link w:val="120"/>
    <w:qFormat/>
    <w:uiPriority w:val="0"/>
    <w:pPr>
      <w:autoSpaceDE w:val="0"/>
      <w:autoSpaceDN w:val="0"/>
      <w:adjustRightInd w:val="0"/>
      <w:spacing w:line="500" w:lineRule="exact"/>
      <w:jc w:val="center"/>
      <w:outlineLvl w:val="2"/>
    </w:pPr>
    <w:rPr>
      <w:rFonts w:ascii="宋体" w:hAnsi="宋体"/>
      <w:b/>
      <w:szCs w:val="28"/>
    </w:rPr>
  </w:style>
  <w:style w:type="paragraph" w:customStyle="1" w:styleId="90">
    <w:name w:val="附件正文"/>
    <w:basedOn w:val="1"/>
    <w:qFormat/>
    <w:uiPriority w:val="0"/>
    <w:pPr>
      <w:snapToGrid w:val="0"/>
      <w:spacing w:line="500" w:lineRule="exact"/>
      <w:ind w:firstLine="540" w:firstLineChars="225"/>
    </w:pPr>
    <w:rPr>
      <w:kern w:val="0"/>
      <w:sz w:val="24"/>
      <w:szCs w:val="24"/>
    </w:rPr>
  </w:style>
  <w:style w:type="paragraph" w:styleId="91">
    <w:name w:val="List Paragraph"/>
    <w:basedOn w:val="1"/>
    <w:qFormat/>
    <w:uiPriority w:val="0"/>
    <w:pPr>
      <w:ind w:firstLine="420" w:firstLineChars="200"/>
    </w:pPr>
    <w:rPr>
      <w:rFonts w:ascii="Calibri" w:hAnsi="Calibri"/>
      <w:szCs w:val="22"/>
    </w:rPr>
  </w:style>
  <w:style w:type="paragraph" w:customStyle="1" w:styleId="92">
    <w:name w:val="正文文字"/>
    <w:basedOn w:val="1"/>
    <w:link w:val="119"/>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3">
    <w:name w:val="WPSOffice手动目录 3"/>
    <w:qFormat/>
    <w:uiPriority w:val="0"/>
    <w:pPr>
      <w:ind w:leftChars="400"/>
    </w:pPr>
    <w:rPr>
      <w:rFonts w:ascii="Times New Roman" w:hAnsi="Times New Roman" w:eastAsia="宋体" w:cs="Times New Roman"/>
      <w:sz w:val="20"/>
      <w:szCs w:val="20"/>
    </w:rPr>
  </w:style>
  <w:style w:type="character" w:customStyle="1" w:styleId="94">
    <w:name w:val="批注文字 Char1"/>
    <w:basedOn w:val="46"/>
    <w:link w:val="19"/>
    <w:qFormat/>
    <w:uiPriority w:val="0"/>
    <w:rPr>
      <w:kern w:val="2"/>
      <w:sz w:val="21"/>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font41"/>
    <w:basedOn w:val="46"/>
    <w:qFormat/>
    <w:uiPriority w:val="0"/>
    <w:rPr>
      <w:rFonts w:hint="eastAsia" w:ascii="宋体" w:hAnsi="宋体" w:eastAsia="宋体" w:cs="宋体"/>
      <w:color w:val="000000"/>
      <w:sz w:val="20"/>
      <w:szCs w:val="20"/>
      <w:u w:val="none"/>
    </w:rPr>
  </w:style>
  <w:style w:type="character" w:customStyle="1" w:styleId="97">
    <w:name w:val="font141"/>
    <w:basedOn w:val="46"/>
    <w:qFormat/>
    <w:uiPriority w:val="0"/>
    <w:rPr>
      <w:rFonts w:hint="eastAsia" w:ascii="宋体" w:hAnsi="宋体" w:eastAsia="宋体" w:cs="宋体"/>
      <w:color w:val="000000"/>
      <w:sz w:val="24"/>
      <w:szCs w:val="24"/>
      <w:u w:val="none"/>
    </w:rPr>
  </w:style>
  <w:style w:type="character" w:customStyle="1" w:styleId="98">
    <w:name w:val="font51"/>
    <w:basedOn w:val="46"/>
    <w:qFormat/>
    <w:uiPriority w:val="0"/>
    <w:rPr>
      <w:rFonts w:hint="eastAsia" w:ascii="宋体" w:hAnsi="宋体" w:eastAsia="宋体" w:cs="宋体"/>
      <w:color w:val="FF0000"/>
      <w:sz w:val="20"/>
      <w:szCs w:val="20"/>
      <w:u w:val="none"/>
    </w:rPr>
  </w:style>
  <w:style w:type="character" w:customStyle="1" w:styleId="99">
    <w:name w:val="正文文本缩进 3 Char"/>
    <w:basedOn w:val="46"/>
    <w:link w:val="35"/>
    <w:qFormat/>
    <w:uiPriority w:val="0"/>
    <w:rPr>
      <w:rFonts w:eastAsia="黑体"/>
      <w:b/>
      <w:bCs/>
      <w:kern w:val="2"/>
      <w:sz w:val="72"/>
      <w:szCs w:val="24"/>
    </w:rPr>
  </w:style>
  <w:style w:type="character" w:customStyle="1" w:styleId="100">
    <w:name w:val="HTML 预设格式 Char"/>
    <w:basedOn w:val="46"/>
    <w:link w:val="38"/>
    <w:qFormat/>
    <w:uiPriority w:val="0"/>
    <w:rPr>
      <w:rFonts w:ascii="宋体" w:hAnsi="宋体"/>
      <w:sz w:val="24"/>
      <w:szCs w:val="24"/>
    </w:rPr>
  </w:style>
  <w:style w:type="character" w:customStyle="1" w:styleId="101">
    <w:name w:val="font31"/>
    <w:basedOn w:val="46"/>
    <w:qFormat/>
    <w:uiPriority w:val="0"/>
    <w:rPr>
      <w:rFonts w:hint="eastAsia" w:ascii="宋体" w:hAnsi="宋体" w:eastAsia="宋体" w:cs="宋体"/>
      <w:color w:val="000000"/>
      <w:sz w:val="16"/>
      <w:szCs w:val="16"/>
      <w:u w:val="none"/>
    </w:rPr>
  </w:style>
  <w:style w:type="character" w:customStyle="1" w:styleId="102">
    <w:name w:val="标题 3 Char"/>
    <w:basedOn w:val="46"/>
    <w:link w:val="6"/>
    <w:qFormat/>
    <w:uiPriority w:val="0"/>
    <w:rPr>
      <w:b/>
      <w:bCs/>
      <w:kern w:val="2"/>
      <w:sz w:val="32"/>
      <w:szCs w:val="32"/>
    </w:rPr>
  </w:style>
  <w:style w:type="character" w:customStyle="1" w:styleId="103">
    <w:name w:val="正文文本缩进 Char"/>
    <w:qFormat/>
    <w:uiPriority w:val="0"/>
    <w:rPr>
      <w:rFonts w:eastAsia="宋体"/>
      <w:kern w:val="2"/>
      <w:sz w:val="24"/>
      <w:szCs w:val="24"/>
      <w:lang w:val="en-US" w:eastAsia="zh-CN" w:bidi="ar-SA"/>
    </w:rPr>
  </w:style>
  <w:style w:type="character" w:customStyle="1" w:styleId="104">
    <w:name w:val="font11"/>
    <w:basedOn w:val="46"/>
    <w:qFormat/>
    <w:uiPriority w:val="0"/>
    <w:rPr>
      <w:rFonts w:hint="eastAsia" w:ascii="宋体" w:hAnsi="宋体" w:eastAsia="宋体" w:cs="宋体"/>
      <w:color w:val="000000"/>
      <w:sz w:val="16"/>
      <w:szCs w:val="16"/>
      <w:u w:val="none"/>
    </w:rPr>
  </w:style>
  <w:style w:type="character" w:customStyle="1" w:styleId="105">
    <w:name w:val="font01"/>
    <w:basedOn w:val="46"/>
    <w:qFormat/>
    <w:uiPriority w:val="0"/>
    <w:rPr>
      <w:rFonts w:hint="eastAsia" w:ascii="宋体" w:hAnsi="宋体" w:eastAsia="宋体" w:cs="宋体"/>
      <w:color w:val="000000"/>
      <w:sz w:val="24"/>
      <w:szCs w:val="24"/>
      <w:u w:val="none"/>
    </w:rPr>
  </w:style>
  <w:style w:type="character" w:customStyle="1" w:styleId="106">
    <w:name w:val="正文文本 Char1"/>
    <w:basedOn w:val="46"/>
    <w:link w:val="21"/>
    <w:qFormat/>
    <w:uiPriority w:val="0"/>
    <w:rPr>
      <w:kern w:val="2"/>
      <w:sz w:val="21"/>
    </w:rPr>
  </w:style>
  <w:style w:type="character" w:customStyle="1" w:styleId="107">
    <w:name w:val="批注主题 Char"/>
    <w:basedOn w:val="94"/>
    <w:link w:val="41"/>
    <w:qFormat/>
    <w:uiPriority w:val="0"/>
  </w:style>
  <w:style w:type="character" w:customStyle="1" w:styleId="108">
    <w:name w:val="标题 6 Char"/>
    <w:basedOn w:val="46"/>
    <w:link w:val="9"/>
    <w:qFormat/>
    <w:uiPriority w:val="0"/>
    <w:rPr>
      <w:rFonts w:eastAsia="黑体"/>
      <w:b/>
      <w:bCs/>
      <w:sz w:val="24"/>
      <w:szCs w:val="24"/>
    </w:rPr>
  </w:style>
  <w:style w:type="character" w:customStyle="1" w:styleId="109">
    <w:name w:val="font151"/>
    <w:basedOn w:val="46"/>
    <w:qFormat/>
    <w:uiPriority w:val="0"/>
    <w:rPr>
      <w:rFonts w:hint="default" w:ascii="Times New Roman" w:hAnsi="Times New Roman" w:cs="Times New Roman"/>
      <w:color w:val="000000"/>
      <w:sz w:val="20"/>
      <w:szCs w:val="20"/>
      <w:u w:val="none"/>
    </w:rPr>
  </w:style>
  <w:style w:type="character" w:customStyle="1" w:styleId="110">
    <w:name w:val="font61"/>
    <w:basedOn w:val="46"/>
    <w:qFormat/>
    <w:uiPriority w:val="0"/>
    <w:rPr>
      <w:rFonts w:hint="eastAsia" w:ascii="微软雅黑" w:hAnsi="微软雅黑" w:eastAsia="微软雅黑" w:cs="微软雅黑"/>
      <w:color w:val="000000"/>
      <w:sz w:val="16"/>
      <w:szCs w:val="16"/>
      <w:u w:val="none"/>
    </w:rPr>
  </w:style>
  <w:style w:type="character" w:customStyle="1" w:styleId="111">
    <w:name w:val="文档结构图 Char"/>
    <w:basedOn w:val="46"/>
    <w:link w:val="17"/>
    <w:qFormat/>
    <w:uiPriority w:val="0"/>
    <w:rPr>
      <w:kern w:val="2"/>
      <w:sz w:val="21"/>
      <w:szCs w:val="24"/>
      <w:shd w:val="clear" w:color="auto" w:fill="000080"/>
    </w:rPr>
  </w:style>
  <w:style w:type="character" w:customStyle="1" w:styleId="112">
    <w:name w:val="页脚 Char"/>
    <w:link w:val="30"/>
    <w:qFormat/>
    <w:uiPriority w:val="99"/>
    <w:rPr>
      <w:kern w:val="2"/>
      <w:sz w:val="18"/>
      <w:szCs w:val="18"/>
    </w:rPr>
  </w:style>
  <w:style w:type="character" w:customStyle="1" w:styleId="113">
    <w:name w:val="标题 8 Char"/>
    <w:basedOn w:val="46"/>
    <w:link w:val="11"/>
    <w:qFormat/>
    <w:uiPriority w:val="0"/>
    <w:rPr>
      <w:rFonts w:eastAsia="黑体"/>
      <w:sz w:val="24"/>
      <w:szCs w:val="24"/>
    </w:rPr>
  </w:style>
  <w:style w:type="character" w:customStyle="1" w:styleId="114">
    <w:name w:val="纯文本 Char"/>
    <w:link w:val="26"/>
    <w:qFormat/>
    <w:uiPriority w:val="0"/>
    <w:rPr>
      <w:rFonts w:ascii="宋体" w:hAnsi="Courier New"/>
      <w:kern w:val="2"/>
      <w:sz w:val="21"/>
    </w:rPr>
  </w:style>
  <w:style w:type="character" w:customStyle="1" w:styleId="115">
    <w:name w:val="font112"/>
    <w:basedOn w:val="46"/>
    <w:qFormat/>
    <w:uiPriority w:val="0"/>
    <w:rPr>
      <w:rFonts w:hint="eastAsia" w:ascii="宋体" w:hAnsi="宋体" w:eastAsia="宋体" w:cs="宋体"/>
      <w:color w:val="000000"/>
      <w:sz w:val="16"/>
      <w:szCs w:val="16"/>
      <w:u w:val="none"/>
    </w:rPr>
  </w:style>
  <w:style w:type="character" w:customStyle="1" w:styleId="116">
    <w:name w:val="纯文本 Char1"/>
    <w:basedOn w:val="46"/>
    <w:qFormat/>
    <w:uiPriority w:val="0"/>
    <w:rPr>
      <w:rFonts w:eastAsia="宋体"/>
      <w:kern w:val="2"/>
      <w:sz w:val="24"/>
      <w:lang w:val="en-US" w:eastAsia="zh-CN" w:bidi="ar-SA"/>
    </w:rPr>
  </w:style>
  <w:style w:type="character" w:customStyle="1" w:styleId="117">
    <w:name w:val="正文首行缩进 2 Char"/>
    <w:basedOn w:val="118"/>
    <w:link w:val="43"/>
    <w:qFormat/>
    <w:uiPriority w:val="0"/>
  </w:style>
  <w:style w:type="character" w:customStyle="1" w:styleId="118">
    <w:name w:val="正文文本缩进 Char1"/>
    <w:basedOn w:val="46"/>
    <w:link w:val="22"/>
    <w:qFormat/>
    <w:uiPriority w:val="0"/>
    <w:rPr>
      <w:kern w:val="2"/>
      <w:sz w:val="28"/>
    </w:rPr>
  </w:style>
  <w:style w:type="character" w:customStyle="1" w:styleId="119">
    <w:name w:val="正文文字 Char1"/>
    <w:basedOn w:val="46"/>
    <w:link w:val="92"/>
    <w:qFormat/>
    <w:uiPriority w:val="0"/>
    <w:rPr>
      <w:rFonts w:ascii="宋体"/>
      <w:color w:val="000000"/>
      <w:kern w:val="0"/>
      <w:sz w:val="28"/>
      <w:u w:val="none" w:color="000000"/>
    </w:rPr>
  </w:style>
  <w:style w:type="character" w:customStyle="1" w:styleId="120">
    <w:name w:val="标题 3 Char_0"/>
    <w:link w:val="89"/>
    <w:qFormat/>
    <w:uiPriority w:val="0"/>
    <w:rPr>
      <w:rFonts w:ascii="宋体" w:hAnsi="宋体"/>
      <w:b/>
      <w:kern w:val="2"/>
      <w:sz w:val="28"/>
      <w:szCs w:val="28"/>
    </w:rPr>
  </w:style>
  <w:style w:type="character" w:customStyle="1" w:styleId="121">
    <w:name w:val="font21"/>
    <w:basedOn w:val="46"/>
    <w:qFormat/>
    <w:uiPriority w:val="0"/>
    <w:rPr>
      <w:rFonts w:hint="eastAsia" w:ascii="宋体" w:hAnsi="宋体" w:eastAsia="宋体" w:cs="宋体"/>
      <w:color w:val="000000"/>
      <w:sz w:val="22"/>
      <w:szCs w:val="22"/>
      <w:u w:val="none"/>
    </w:rPr>
  </w:style>
  <w:style w:type="character" w:customStyle="1" w:styleId="122">
    <w:name w:val="脚注文本 Char"/>
    <w:basedOn w:val="46"/>
    <w:link w:val="2"/>
    <w:qFormat/>
    <w:uiPriority w:val="0"/>
    <w:rPr>
      <w:sz w:val="18"/>
    </w:rPr>
  </w:style>
  <w:style w:type="character" w:customStyle="1" w:styleId="123">
    <w:name w:val="副标题 Char"/>
    <w:link w:val="33"/>
    <w:qFormat/>
    <w:uiPriority w:val="0"/>
    <w:rPr>
      <w:rFonts w:ascii="Cambria" w:hAnsi="Cambria" w:eastAsia="宋体"/>
      <w:b/>
      <w:bCs/>
      <w:kern w:val="28"/>
      <w:sz w:val="32"/>
      <w:szCs w:val="32"/>
      <w:lang w:val="en-US" w:eastAsia="zh-CN" w:bidi="ar-SA"/>
    </w:rPr>
  </w:style>
  <w:style w:type="character" w:customStyle="1" w:styleId="124">
    <w:name w:val=" Char Char3"/>
    <w:qFormat/>
    <w:uiPriority w:val="0"/>
    <w:rPr>
      <w:rFonts w:eastAsia="宋体"/>
      <w:kern w:val="2"/>
      <w:sz w:val="21"/>
      <w:szCs w:val="24"/>
      <w:lang w:val="en-US" w:eastAsia="zh-CN" w:bidi="ar-SA"/>
    </w:rPr>
  </w:style>
  <w:style w:type="character" w:customStyle="1" w:styleId="125">
    <w:name w:val="正文文本 Char"/>
    <w:link w:val="21"/>
    <w:qFormat/>
    <w:uiPriority w:val="0"/>
    <w:rPr>
      <w:kern w:val="2"/>
      <w:sz w:val="21"/>
      <w:szCs w:val="24"/>
    </w:rPr>
  </w:style>
  <w:style w:type="character" w:customStyle="1" w:styleId="126">
    <w:name w:val=" Char Char6"/>
    <w:qFormat/>
    <w:uiPriority w:val="0"/>
    <w:rPr>
      <w:rFonts w:eastAsia="宋体"/>
      <w:kern w:val="2"/>
      <w:sz w:val="21"/>
      <w:szCs w:val="24"/>
      <w:lang w:val="en-US" w:eastAsia="zh-CN" w:bidi="ar-SA"/>
    </w:rPr>
  </w:style>
  <w:style w:type="character" w:customStyle="1" w:styleId="127">
    <w:name w:val="标题 Char"/>
    <w:basedOn w:val="46"/>
    <w:link w:val="40"/>
    <w:qFormat/>
    <w:uiPriority w:val="0"/>
    <w:rPr>
      <w:rFonts w:ascii="Cambria" w:hAnsi="Cambria"/>
      <w:b/>
      <w:bCs/>
      <w:kern w:val="2"/>
      <w:sz w:val="32"/>
      <w:szCs w:val="32"/>
    </w:rPr>
  </w:style>
  <w:style w:type="character" w:customStyle="1" w:styleId="128">
    <w:name w:val="日期 Char"/>
    <w:basedOn w:val="46"/>
    <w:link w:val="27"/>
    <w:qFormat/>
    <w:uiPriority w:val="0"/>
    <w:rPr>
      <w:kern w:val="2"/>
      <w:sz w:val="21"/>
      <w:szCs w:val="24"/>
    </w:rPr>
  </w:style>
  <w:style w:type="character" w:customStyle="1" w:styleId="129">
    <w:name w:val="ca-1"/>
    <w:basedOn w:val="46"/>
    <w:qFormat/>
    <w:uiPriority w:val="0"/>
  </w:style>
  <w:style w:type="character" w:customStyle="1" w:styleId="130">
    <w:name w:val="font101"/>
    <w:basedOn w:val="46"/>
    <w:qFormat/>
    <w:uiPriority w:val="0"/>
    <w:rPr>
      <w:rFonts w:ascii="Arial Unicode MS" w:hAnsi="Arial Unicode MS" w:eastAsia="Arial Unicode MS" w:cs="Arial Unicode MS"/>
      <w:color w:val="000000"/>
      <w:sz w:val="16"/>
      <w:szCs w:val="16"/>
      <w:u w:val="none"/>
    </w:rPr>
  </w:style>
  <w:style w:type="character" w:customStyle="1" w:styleId="131">
    <w:name w:val="标题 2 Char"/>
    <w:link w:val="5"/>
    <w:qFormat/>
    <w:uiPriority w:val="0"/>
    <w:rPr>
      <w:rFonts w:ascii="Arial Black" w:hAnsi="Arial Black" w:eastAsia="黑体"/>
      <w:b/>
      <w:bCs/>
      <w:kern w:val="2"/>
      <w:sz w:val="32"/>
      <w:szCs w:val="32"/>
      <w:lang w:val="en-US" w:eastAsia="zh-CN" w:bidi="ar-SA"/>
    </w:rPr>
  </w:style>
  <w:style w:type="character" w:customStyle="1" w:styleId="132">
    <w:name w:val="标题 5 Char"/>
    <w:basedOn w:val="46"/>
    <w:link w:val="8"/>
    <w:qFormat/>
    <w:uiPriority w:val="0"/>
    <w:rPr>
      <w:b/>
      <w:bCs/>
      <w:sz w:val="28"/>
      <w:szCs w:val="28"/>
    </w:rPr>
  </w:style>
  <w:style w:type="character" w:customStyle="1" w:styleId="133">
    <w:name w:val="标题 7 Char"/>
    <w:basedOn w:val="46"/>
    <w:link w:val="10"/>
    <w:qFormat/>
    <w:uiPriority w:val="0"/>
    <w:rPr>
      <w:b/>
      <w:bCs/>
      <w:sz w:val="24"/>
      <w:szCs w:val="24"/>
    </w:rPr>
  </w:style>
  <w:style w:type="character" w:customStyle="1" w:styleId="134">
    <w:name w:val="正文文本 3 Char"/>
    <w:basedOn w:val="46"/>
    <w:link w:val="20"/>
    <w:qFormat/>
    <w:uiPriority w:val="0"/>
    <w:rPr>
      <w:kern w:val="2"/>
      <w:sz w:val="16"/>
      <w:szCs w:val="16"/>
    </w:rPr>
  </w:style>
  <w:style w:type="character" w:customStyle="1" w:styleId="135">
    <w:name w:val="批注框文本 Char"/>
    <w:basedOn w:val="46"/>
    <w:link w:val="29"/>
    <w:qFormat/>
    <w:uiPriority w:val="0"/>
    <w:rPr>
      <w:kern w:val="2"/>
      <w:sz w:val="18"/>
      <w:szCs w:val="18"/>
    </w:rPr>
  </w:style>
  <w:style w:type="character" w:customStyle="1" w:styleId="136">
    <w:name w:val="正文文本缩进 2 Char"/>
    <w:basedOn w:val="46"/>
    <w:link w:val="28"/>
    <w:qFormat/>
    <w:uiPriority w:val="0"/>
    <w:rPr>
      <w:kern w:val="2"/>
      <w:sz w:val="21"/>
      <w:szCs w:val="24"/>
    </w:rPr>
  </w:style>
  <w:style w:type="character" w:customStyle="1" w:styleId="137">
    <w:name w:val="标题 9 Char"/>
    <w:basedOn w:val="46"/>
    <w:link w:val="12"/>
    <w:qFormat/>
    <w:uiPriority w:val="0"/>
    <w:rPr>
      <w:rFonts w:eastAsia="黑体"/>
      <w:sz w:val="21"/>
      <w:szCs w:val="21"/>
    </w:rPr>
  </w:style>
  <w:style w:type="character" w:customStyle="1" w:styleId="138">
    <w:name w:val="标题 4 Char"/>
    <w:basedOn w:val="46"/>
    <w:link w:val="7"/>
    <w:qFormat/>
    <w:uiPriority w:val="0"/>
    <w:rPr>
      <w:rFonts w:eastAsia="黑体"/>
      <w:b/>
      <w:bCs/>
      <w:sz w:val="28"/>
      <w:szCs w:val="28"/>
    </w:rPr>
  </w:style>
  <w:style w:type="character" w:customStyle="1" w:styleId="139">
    <w:name w:val="font91"/>
    <w:basedOn w:val="46"/>
    <w:qFormat/>
    <w:uiPriority w:val="0"/>
    <w:rPr>
      <w:rFonts w:hint="eastAsia" w:ascii="宋体" w:hAnsi="宋体" w:eastAsia="宋体" w:cs="宋体"/>
      <w:b/>
      <w:color w:val="FF0000"/>
      <w:sz w:val="20"/>
      <w:szCs w:val="20"/>
      <w:u w:val="none"/>
    </w:rPr>
  </w:style>
  <w:style w:type="paragraph" w:customStyle="1" w:styleId="140">
    <w:name w:val="Table Paragraph"/>
    <w:basedOn w:val="1"/>
    <w:qFormat/>
    <w:uiPriority w:val="1"/>
    <w:rPr>
      <w:rFonts w:ascii="宋体" w:hAnsi="宋体" w:eastAsia="宋体" w:cs="宋体"/>
      <w:lang w:val="zh-CN" w:eastAsia="zh-CN" w:bidi="zh-CN"/>
    </w:rPr>
  </w:style>
  <w:style w:type="paragraph" w:customStyle="1" w:styleId="141">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character" w:customStyle="1" w:styleId="142">
    <w:name w:val="标题 3 字符"/>
    <w:basedOn w:val="46"/>
    <w:link w:val="6"/>
    <w:semiHidden/>
    <w:qFormat/>
    <w:locked/>
    <w:uiPriority w:val="99"/>
    <w:rPr>
      <w:rFonts w:cs="Times New Roman"/>
      <w:b/>
      <w:bCs/>
      <w:sz w:val="32"/>
      <w:szCs w:val="32"/>
    </w:rPr>
  </w:style>
  <w:style w:type="paragraph" w:customStyle="1" w:styleId="143">
    <w:name w:val="样式3"/>
    <w:basedOn w:val="26"/>
    <w:qFormat/>
    <w:uiPriority w:val="0"/>
    <w:pPr>
      <w:spacing w:line="0" w:lineRule="atLeast"/>
      <w:outlineLvl w:val="0"/>
    </w:pPr>
    <w:rPr>
      <w:sz w:val="28"/>
    </w:rPr>
  </w:style>
  <w:style w:type="paragraph" w:customStyle="1" w:styleId="144">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45">
    <w:name w:val="纯文本1"/>
    <w:basedOn w:val="1"/>
    <w:qFormat/>
    <w:uiPriority w:val="0"/>
    <w:rPr>
      <w:rFonts w:ascii="宋体" w:hAnsi="Courier New" w:eastAsia="宋体" w:cs="Times New Roman"/>
      <w:szCs w:val="22"/>
    </w:rPr>
  </w:style>
  <w:style w:type="paragraph" w:customStyle="1" w:styleId="146">
    <w:name w:val="无间隔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83</Pages>
  <Words>36573</Words>
  <Characters>38913</Characters>
  <Lines>227</Lines>
  <Paragraphs>64</Paragraphs>
  <TotalTime>2</TotalTime>
  <ScaleCrop>false</ScaleCrop>
  <LinksUpToDate>false</LinksUpToDate>
  <CharactersWithSpaces>41495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丘比特</cp:lastModifiedBy>
  <cp:lastPrinted>2020-05-13T10:38:00Z</cp:lastPrinted>
  <dcterms:modified xsi:type="dcterms:W3CDTF">2022-12-23T12:38:14Z</dcterms:modified>
  <dc:title>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5D938FE595A943F59F82DD4ECD4DFAEC</vt:lpwstr>
  </property>
</Properties>
</file>