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_GB2312" w:eastAsia="仿宋_GB2312"/>
          <w:b/>
          <w:sz w:val="32"/>
        </w:rPr>
      </w:pPr>
    </w:p>
    <w:p>
      <w:pPr>
        <w:spacing w:line="240" w:lineRule="atLeast"/>
        <w:ind w:left="1928" w:hanging="1920" w:hangingChars="400"/>
        <w:jc w:val="center"/>
        <w:rPr>
          <w:rFonts w:ascii="宋体" w:hAnsi="宋体" w:cs="宋体"/>
          <w:b/>
          <w:sz w:val="48"/>
          <w:szCs w:val="48"/>
        </w:rPr>
      </w:pPr>
      <w:r>
        <w:rPr>
          <w:rFonts w:hint="eastAsia" w:ascii="宋体" w:hAnsi="宋体" w:cs="宋体"/>
          <w:b/>
          <w:sz w:val="48"/>
          <w:szCs w:val="48"/>
        </w:rPr>
        <w:t>喀什大学计算机科学与技术学院大数</w:t>
      </w:r>
    </w:p>
    <w:p>
      <w:pPr>
        <w:spacing w:line="240" w:lineRule="atLeast"/>
        <w:ind w:left="1928" w:hanging="1920" w:hangingChars="400"/>
        <w:jc w:val="center"/>
        <w:rPr>
          <w:rFonts w:ascii="宋体" w:hAnsi="宋体" w:cs="宋体"/>
          <w:b/>
          <w:sz w:val="48"/>
          <w:szCs w:val="48"/>
        </w:rPr>
      </w:pPr>
      <w:r>
        <w:rPr>
          <w:rFonts w:hint="eastAsia" w:ascii="宋体" w:hAnsi="宋体" w:cs="宋体"/>
          <w:b/>
          <w:sz w:val="48"/>
          <w:szCs w:val="48"/>
        </w:rPr>
        <w:t>据与人工智能实验室平台项目</w:t>
      </w:r>
    </w:p>
    <w:p>
      <w:pPr>
        <w:spacing w:line="240" w:lineRule="atLeast"/>
        <w:ind w:left="1079" w:leftChars="257" w:hanging="540"/>
        <w:jc w:val="center"/>
        <w:rPr>
          <w:rFonts w:ascii="宋体" w:hAnsi="宋体" w:cs="宋体"/>
          <w:b/>
          <w:color w:val="FF0000"/>
          <w:sz w:val="28"/>
          <w:szCs w:val="28"/>
        </w:rPr>
      </w:pPr>
    </w:p>
    <w:p>
      <w:pPr>
        <w:spacing w:line="240" w:lineRule="atLeast"/>
        <w:ind w:left="1079" w:leftChars="257" w:hanging="540"/>
        <w:jc w:val="center"/>
        <w:rPr>
          <w:rFonts w:ascii="宋体" w:hAnsi="宋体" w:cs="宋体"/>
          <w:b/>
          <w:sz w:val="72"/>
          <w:szCs w:val="72"/>
        </w:rPr>
      </w:pPr>
    </w:p>
    <w:p>
      <w:pPr>
        <w:spacing w:line="240" w:lineRule="atLeast"/>
        <w:ind w:left="1079" w:leftChars="257" w:hanging="540"/>
        <w:jc w:val="center"/>
        <w:rPr>
          <w:rFonts w:ascii="宋体" w:hAnsi="宋体" w:cs="宋体"/>
          <w:b/>
          <w:sz w:val="72"/>
          <w:szCs w:val="72"/>
        </w:rPr>
      </w:pPr>
      <w:r>
        <w:rPr>
          <w:rFonts w:hint="eastAsia" w:ascii="宋体" w:hAnsi="宋体" w:cs="宋体"/>
          <w:b/>
          <w:sz w:val="72"/>
          <w:szCs w:val="72"/>
        </w:rPr>
        <w:t>招标文件</w:t>
      </w:r>
    </w:p>
    <w:p>
      <w:pPr>
        <w:spacing w:line="240" w:lineRule="atLeast"/>
        <w:ind w:left="1079" w:leftChars="257" w:hanging="540"/>
        <w:jc w:val="center"/>
        <w:rPr>
          <w:rFonts w:ascii="宋体" w:hAnsi="宋体" w:cs="宋体"/>
          <w:b/>
          <w:sz w:val="48"/>
          <w:szCs w:val="48"/>
        </w:rPr>
      </w:pPr>
    </w:p>
    <w:p>
      <w:pPr>
        <w:spacing w:line="240" w:lineRule="atLeast"/>
        <w:ind w:left="1079" w:leftChars="257" w:hanging="540"/>
        <w:jc w:val="center"/>
        <w:rPr>
          <w:rFonts w:ascii="宋体" w:hAnsi="宋体" w:cs="宋体"/>
          <w:b/>
          <w:sz w:val="48"/>
          <w:szCs w:val="48"/>
        </w:rPr>
      </w:pPr>
    </w:p>
    <w:p>
      <w:pPr>
        <w:spacing w:line="240" w:lineRule="atLeast"/>
        <w:ind w:left="1079" w:leftChars="257" w:hanging="540"/>
        <w:jc w:val="center"/>
        <w:rPr>
          <w:rFonts w:ascii="宋体" w:hAnsi="宋体" w:cs="宋体"/>
          <w:b/>
          <w:sz w:val="48"/>
          <w:szCs w:val="48"/>
        </w:rPr>
      </w:pPr>
    </w:p>
    <w:p>
      <w:pPr>
        <w:spacing w:line="240" w:lineRule="atLeast"/>
        <w:ind w:left="1079" w:leftChars="257" w:hanging="540"/>
        <w:jc w:val="center"/>
        <w:rPr>
          <w:rFonts w:ascii="宋体" w:hAnsi="宋体" w:cs="宋体"/>
          <w:b/>
          <w:sz w:val="48"/>
          <w:szCs w:val="48"/>
        </w:rPr>
      </w:pPr>
      <w:r>
        <w:rPr>
          <w:rFonts w:hint="eastAsia" w:ascii="宋体" w:hAnsi="宋体" w:cs="宋体"/>
          <w:b/>
          <w:sz w:val="48"/>
          <w:szCs w:val="48"/>
        </w:rPr>
        <w:t>第一册</w:t>
      </w:r>
    </w:p>
    <w:p>
      <w:pPr>
        <w:spacing w:line="240" w:lineRule="atLeast"/>
        <w:ind w:left="1079" w:leftChars="257" w:hanging="540"/>
        <w:jc w:val="center"/>
        <w:rPr>
          <w:rFonts w:ascii="仿宋_GB2312" w:eastAsia="仿宋_GB2312"/>
          <w:b/>
          <w:sz w:val="32"/>
        </w:rPr>
      </w:pPr>
    </w:p>
    <w:p>
      <w:pPr>
        <w:spacing w:line="240" w:lineRule="atLeast"/>
        <w:ind w:left="1079" w:leftChars="257" w:hanging="540"/>
        <w:jc w:val="center"/>
        <w:rPr>
          <w:rFonts w:ascii="仿宋_GB2312" w:eastAsia="仿宋_GB2312"/>
          <w:b/>
          <w:sz w:val="32"/>
        </w:rPr>
      </w:pPr>
    </w:p>
    <w:p>
      <w:pPr>
        <w:spacing w:line="240" w:lineRule="atLeast"/>
        <w:ind w:left="1079" w:leftChars="257" w:hanging="540"/>
        <w:jc w:val="center"/>
        <w:rPr>
          <w:rFonts w:ascii="仿宋_GB2312" w:eastAsia="仿宋_GB2312"/>
          <w:b/>
          <w:sz w:val="32"/>
        </w:rPr>
      </w:pPr>
    </w:p>
    <w:p>
      <w:pPr>
        <w:spacing w:line="500" w:lineRule="exact"/>
        <w:ind w:firstLine="900" w:firstLineChars="300"/>
        <w:rPr>
          <w:rFonts w:ascii="宋体" w:hAnsi="宋体" w:cs="宋体"/>
          <w:b/>
          <w:bCs/>
          <w:sz w:val="30"/>
          <w:szCs w:val="30"/>
          <w:u w:val="single"/>
        </w:rPr>
      </w:pPr>
      <w:r>
        <w:rPr>
          <w:rFonts w:hint="eastAsia" w:ascii="宋体" w:hAnsi="宋体" w:cs="宋体"/>
          <w:b/>
          <w:bCs/>
          <w:sz w:val="30"/>
          <w:szCs w:val="30"/>
        </w:rPr>
        <w:t>采   购   人：喀什大学</w:t>
      </w:r>
    </w:p>
    <w:p>
      <w:pPr>
        <w:spacing w:line="500" w:lineRule="exact"/>
        <w:ind w:left="2094" w:leftChars="426" w:hanging="1200" w:hangingChars="400"/>
        <w:rPr>
          <w:rFonts w:ascii="宋体" w:hAnsi="宋体" w:cs="宋体"/>
          <w:b/>
          <w:bCs/>
          <w:sz w:val="30"/>
          <w:szCs w:val="30"/>
        </w:rPr>
      </w:pPr>
      <w:r>
        <w:rPr>
          <w:rFonts w:hint="eastAsia" w:ascii="宋体" w:hAnsi="宋体" w:cs="宋体"/>
          <w:b/>
          <w:bCs/>
          <w:sz w:val="30"/>
          <w:szCs w:val="30"/>
        </w:rPr>
        <w:t>采购代理机构：新疆天健建设工程项目管理有限公司</w:t>
      </w:r>
    </w:p>
    <w:p>
      <w:pPr>
        <w:spacing w:line="500" w:lineRule="exact"/>
        <w:ind w:left="2994" w:leftChars="426" w:hanging="2100" w:hangingChars="700"/>
        <w:rPr>
          <w:rFonts w:ascii="宋体" w:hAnsi="宋体" w:cs="宋体"/>
          <w:b/>
          <w:bCs/>
          <w:sz w:val="30"/>
          <w:szCs w:val="30"/>
        </w:rPr>
      </w:pPr>
      <w:r>
        <w:rPr>
          <w:rFonts w:hint="eastAsia" w:ascii="宋体" w:hAnsi="宋体" w:cs="宋体"/>
          <w:b/>
          <w:bCs/>
          <w:sz w:val="30"/>
          <w:szCs w:val="30"/>
        </w:rPr>
        <w:t>代理机构地址：喀什市中亚商贸第一城3号楼二楼60号</w:t>
      </w:r>
    </w:p>
    <w:p>
      <w:pPr>
        <w:spacing w:line="500" w:lineRule="exact"/>
        <w:ind w:firstLine="900" w:firstLineChars="300"/>
        <w:rPr>
          <w:rFonts w:ascii="宋体" w:hAnsi="宋体" w:cs="宋体"/>
          <w:b/>
          <w:bCs/>
          <w:sz w:val="30"/>
          <w:szCs w:val="30"/>
        </w:rPr>
      </w:pPr>
      <w:r>
        <w:rPr>
          <w:rFonts w:hint="eastAsia" w:ascii="宋体" w:hAnsi="宋体" w:cs="宋体"/>
          <w:b/>
          <w:bCs/>
          <w:sz w:val="30"/>
          <w:szCs w:val="30"/>
        </w:rPr>
        <w:t>联   系   人：李凤琴</w:t>
      </w:r>
    </w:p>
    <w:p>
      <w:pPr>
        <w:spacing w:line="500" w:lineRule="exact"/>
        <w:ind w:firstLine="900" w:firstLineChars="300"/>
        <w:rPr>
          <w:rFonts w:ascii="宋体" w:hAnsi="宋体" w:cs="宋体"/>
          <w:b/>
          <w:bCs/>
          <w:sz w:val="30"/>
          <w:szCs w:val="30"/>
        </w:rPr>
      </w:pPr>
      <w:r>
        <w:rPr>
          <w:rFonts w:hint="eastAsia" w:ascii="宋体" w:hAnsi="宋体" w:cs="宋体"/>
          <w:b/>
          <w:bCs/>
          <w:sz w:val="30"/>
          <w:szCs w:val="30"/>
        </w:rPr>
        <w:t>联  系 电 话：18699813395</w:t>
      </w:r>
    </w:p>
    <w:p>
      <w:pPr>
        <w:spacing w:line="500" w:lineRule="exact"/>
        <w:ind w:firstLine="900" w:firstLineChars="300"/>
        <w:rPr>
          <w:rFonts w:ascii="宋体" w:hAnsi="宋体" w:cs="宋体"/>
          <w:b/>
          <w:bCs/>
          <w:sz w:val="30"/>
          <w:szCs w:val="30"/>
        </w:rPr>
      </w:pPr>
      <w:r>
        <w:rPr>
          <w:rFonts w:hint="eastAsia" w:ascii="宋体" w:hAnsi="宋体" w:cs="宋体"/>
          <w:b/>
          <w:bCs/>
          <w:sz w:val="30"/>
          <w:szCs w:val="30"/>
        </w:rPr>
        <w:t>发  出 日 期：2021年3月</w:t>
      </w:r>
    </w:p>
    <w:p>
      <w:pPr>
        <w:spacing w:line="360" w:lineRule="auto"/>
        <w:jc w:val="left"/>
        <w:rPr>
          <w:rFonts w:ascii="宋体" w:hAnsi="宋体" w:cs="宋体"/>
          <w:b/>
          <w:bCs/>
          <w:sz w:val="30"/>
          <w:szCs w:val="30"/>
          <w:u w:val="single"/>
        </w:rPr>
      </w:pPr>
    </w:p>
    <w:p>
      <w:pPr>
        <w:spacing w:line="360" w:lineRule="auto"/>
        <w:ind w:firstLine="3840" w:firstLineChars="1200"/>
        <w:jc w:val="left"/>
        <w:rPr>
          <w:rFonts w:ascii="仿宋_GB2312" w:eastAsia="仿宋_GB2312"/>
          <w:b/>
          <w:sz w:val="32"/>
        </w:rPr>
      </w:pPr>
    </w:p>
    <w:p>
      <w:pPr>
        <w:pStyle w:val="2"/>
      </w:pPr>
    </w:p>
    <w:p>
      <w:pPr>
        <w:spacing w:line="360" w:lineRule="auto"/>
        <w:ind w:firstLine="3840" w:firstLineChars="1200"/>
        <w:jc w:val="left"/>
        <w:rPr>
          <w:rFonts w:ascii="仿宋_GB2312" w:eastAsia="仿宋_GB2312"/>
          <w:b/>
          <w:sz w:val="32"/>
        </w:rPr>
      </w:pPr>
      <w:r>
        <w:rPr>
          <w:rFonts w:hint="eastAsia" w:ascii="仿宋_GB2312" w:eastAsia="仿宋_GB2312"/>
          <w:b/>
          <w:sz w:val="32"/>
        </w:rPr>
        <w:t>目  录</w:t>
      </w:r>
    </w:p>
    <w:p>
      <w:pPr>
        <w:pStyle w:val="11"/>
        <w:tabs>
          <w:tab w:val="right" w:leader="dot" w:pos="8312"/>
        </w:tabs>
      </w:pPr>
      <w:r>
        <w:rPr>
          <w:rFonts w:hint="eastAsia" w:ascii="仿宋" w:hAnsi="仿宋" w:eastAsia="仿宋" w:cs="仿宋"/>
          <w:b/>
          <w:sz w:val="24"/>
        </w:rPr>
        <w:fldChar w:fldCharType="begin"/>
      </w:r>
      <w:r>
        <w:rPr>
          <w:rFonts w:hint="eastAsia" w:ascii="仿宋" w:hAnsi="仿宋" w:eastAsia="仿宋" w:cs="仿宋"/>
          <w:b/>
          <w:sz w:val="24"/>
        </w:rPr>
        <w:instrText xml:space="preserve"> TOC \o "1-2" \h \z \u </w:instrText>
      </w:r>
      <w:r>
        <w:rPr>
          <w:rFonts w:hint="eastAsia" w:ascii="仿宋" w:hAnsi="仿宋" w:eastAsia="仿宋" w:cs="仿宋"/>
          <w:b/>
          <w:sz w:val="24"/>
        </w:rPr>
        <w:fldChar w:fldCharType="separate"/>
      </w:r>
      <w:r>
        <w:fldChar w:fldCharType="begin"/>
      </w:r>
      <w:r>
        <w:instrText xml:space="preserve"> HYPERLINK \l "_Toc26997" </w:instrText>
      </w:r>
      <w:r>
        <w:fldChar w:fldCharType="separate"/>
      </w:r>
      <w:r>
        <w:rPr>
          <w:rFonts w:hint="eastAsia" w:ascii="仿宋" w:hAnsi="仿宋" w:eastAsia="仿宋" w:cs="仿宋"/>
          <w:szCs w:val="28"/>
        </w:rPr>
        <w:t>第1章  投标人须知</w:t>
      </w:r>
      <w:r>
        <w:tab/>
      </w:r>
      <w:r>
        <w:fldChar w:fldCharType="end"/>
      </w:r>
    </w:p>
    <w:p>
      <w:pPr>
        <w:pStyle w:val="13"/>
        <w:tabs>
          <w:tab w:val="right" w:leader="dot" w:pos="8312"/>
        </w:tabs>
      </w:pPr>
      <w:r>
        <w:fldChar w:fldCharType="begin"/>
      </w:r>
      <w:r>
        <w:instrText xml:space="preserve"> HYPERLINK \l "_Toc3676" </w:instrText>
      </w:r>
      <w:r>
        <w:fldChar w:fldCharType="separate"/>
      </w:r>
      <w:r>
        <w:rPr>
          <w:rFonts w:hint="eastAsia" w:ascii="仿宋" w:hAnsi="仿宋" w:eastAsia="仿宋" w:cs="仿宋"/>
          <w:szCs w:val="28"/>
        </w:rPr>
        <w:t>一   总 则</w:t>
      </w:r>
      <w:r>
        <w:tab/>
      </w:r>
      <w:r>
        <w:fldChar w:fldCharType="end"/>
      </w:r>
    </w:p>
    <w:p>
      <w:pPr>
        <w:pStyle w:val="13"/>
        <w:tabs>
          <w:tab w:val="right" w:leader="dot" w:pos="8312"/>
        </w:tabs>
      </w:pPr>
      <w:r>
        <w:fldChar w:fldCharType="begin"/>
      </w:r>
      <w:r>
        <w:instrText xml:space="preserve"> HYPERLINK \l "_Toc25614" </w:instrText>
      </w:r>
      <w:r>
        <w:fldChar w:fldCharType="separate"/>
      </w:r>
      <w:r>
        <w:rPr>
          <w:rFonts w:hint="eastAsia" w:ascii="仿宋" w:hAnsi="仿宋" w:eastAsia="仿宋" w:cs="仿宋"/>
          <w:szCs w:val="28"/>
        </w:rPr>
        <w:t>二   招标文件</w:t>
      </w:r>
      <w:r>
        <w:tab/>
      </w:r>
      <w:r>
        <w:fldChar w:fldCharType="end"/>
      </w:r>
    </w:p>
    <w:p>
      <w:pPr>
        <w:pStyle w:val="13"/>
        <w:tabs>
          <w:tab w:val="right" w:leader="dot" w:pos="8312"/>
        </w:tabs>
      </w:pPr>
      <w:r>
        <w:fldChar w:fldCharType="begin"/>
      </w:r>
      <w:r>
        <w:instrText xml:space="preserve"> HYPERLINK \l "_Toc32440" </w:instrText>
      </w:r>
      <w:r>
        <w:fldChar w:fldCharType="separate"/>
      </w:r>
      <w:r>
        <w:rPr>
          <w:rFonts w:hint="eastAsia" w:ascii="仿宋" w:hAnsi="仿宋" w:eastAsia="仿宋" w:cs="仿宋"/>
          <w:szCs w:val="28"/>
        </w:rPr>
        <w:t>三   投标文件的编制</w:t>
      </w:r>
      <w:r>
        <w:tab/>
      </w:r>
      <w:r>
        <w:fldChar w:fldCharType="end"/>
      </w:r>
    </w:p>
    <w:p>
      <w:pPr>
        <w:pStyle w:val="13"/>
        <w:tabs>
          <w:tab w:val="right" w:leader="dot" w:pos="8312"/>
        </w:tabs>
      </w:pPr>
      <w:r>
        <w:fldChar w:fldCharType="begin"/>
      </w:r>
      <w:r>
        <w:instrText xml:space="preserve"> HYPERLINK \l "_Toc24748" </w:instrText>
      </w:r>
      <w:r>
        <w:fldChar w:fldCharType="separate"/>
      </w:r>
      <w:r>
        <w:rPr>
          <w:rFonts w:hint="eastAsia" w:ascii="仿宋" w:hAnsi="仿宋" w:eastAsia="仿宋" w:cs="仿宋"/>
          <w:szCs w:val="28"/>
        </w:rPr>
        <w:t>六   确定中标</w:t>
      </w:r>
      <w:r>
        <w:tab/>
      </w:r>
      <w:r>
        <w:fldChar w:fldCharType="end"/>
      </w:r>
    </w:p>
    <w:p>
      <w:pPr>
        <w:pStyle w:val="13"/>
        <w:tabs>
          <w:tab w:val="right" w:leader="dot" w:pos="8312"/>
        </w:tabs>
      </w:pPr>
      <w:r>
        <w:fldChar w:fldCharType="begin"/>
      </w:r>
      <w:r>
        <w:instrText xml:space="preserve"> HYPERLINK \l "_Toc21867" </w:instrText>
      </w:r>
      <w:r>
        <w:fldChar w:fldCharType="separate"/>
      </w:r>
      <w:r>
        <w:rPr>
          <w:rFonts w:hint="eastAsia" w:ascii="仿宋" w:hAnsi="仿宋" w:eastAsia="仿宋" w:cs="仿宋"/>
          <w:szCs w:val="28"/>
        </w:rPr>
        <w:t>附件1：履约保证金保函（格式）</w:t>
      </w:r>
      <w:r>
        <w:tab/>
      </w:r>
      <w:r>
        <w:fldChar w:fldCharType="end"/>
      </w:r>
    </w:p>
    <w:p>
      <w:pPr>
        <w:pStyle w:val="13"/>
        <w:tabs>
          <w:tab w:val="right" w:leader="dot" w:pos="8312"/>
        </w:tabs>
      </w:pPr>
      <w:r>
        <w:fldChar w:fldCharType="begin"/>
      </w:r>
      <w:r>
        <w:instrText xml:space="preserve"> HYPERLINK \l "_Toc22026" </w:instrText>
      </w:r>
      <w:r>
        <w:fldChar w:fldCharType="separate"/>
      </w:r>
      <w:r>
        <w:rPr>
          <w:rFonts w:hint="eastAsia" w:ascii="仿宋" w:hAnsi="仿宋" w:eastAsia="仿宋" w:cs="仿宋"/>
          <w:szCs w:val="28"/>
        </w:rPr>
        <w:t>（采用政府采购信用担保形式时使用）</w:t>
      </w:r>
      <w:r>
        <w:tab/>
      </w:r>
      <w:r>
        <w:fldChar w:fldCharType="end"/>
      </w:r>
    </w:p>
    <w:p>
      <w:pPr>
        <w:pStyle w:val="13"/>
        <w:tabs>
          <w:tab w:val="right" w:leader="dot" w:pos="8312"/>
        </w:tabs>
      </w:pPr>
      <w:r>
        <w:fldChar w:fldCharType="begin"/>
      </w:r>
      <w:r>
        <w:instrText xml:space="preserve"> HYPERLINK \l "_Toc27529" </w:instrText>
      </w:r>
      <w:r>
        <w:fldChar w:fldCharType="separate"/>
      </w:r>
      <w:r>
        <w:rPr>
          <w:rFonts w:hint="eastAsia" w:ascii="仿宋" w:hAnsi="仿宋" w:eastAsia="仿宋" w:cs="仿宋"/>
          <w:szCs w:val="28"/>
        </w:rPr>
        <w:t>1．开标一览表（投标文件格式一）</w:t>
      </w:r>
      <w:r>
        <w:tab/>
      </w:r>
      <w:r>
        <w:fldChar w:fldCharType="end"/>
      </w:r>
    </w:p>
    <w:p>
      <w:pPr>
        <w:pStyle w:val="13"/>
        <w:tabs>
          <w:tab w:val="right" w:leader="dot" w:pos="8312"/>
        </w:tabs>
      </w:pPr>
      <w:r>
        <w:fldChar w:fldCharType="begin"/>
      </w:r>
      <w:r>
        <w:instrText xml:space="preserve"> HYPERLINK \l "_Toc2345" </w:instrText>
      </w:r>
      <w:r>
        <w:fldChar w:fldCharType="separate"/>
      </w:r>
      <w:r>
        <w:rPr>
          <w:rFonts w:hint="eastAsia" w:ascii="仿宋" w:hAnsi="仿宋" w:eastAsia="仿宋" w:cs="仿宋"/>
          <w:szCs w:val="28"/>
        </w:rPr>
        <w:t>2．法人或者非法人组织的营业执照等证明文件或其他证明</w:t>
      </w:r>
      <w:r>
        <w:tab/>
      </w:r>
      <w:r>
        <w:fldChar w:fldCharType="end"/>
      </w:r>
    </w:p>
    <w:p>
      <w:pPr>
        <w:pStyle w:val="13"/>
        <w:tabs>
          <w:tab w:val="right" w:leader="dot" w:pos="8312"/>
        </w:tabs>
      </w:pPr>
      <w:r>
        <w:fldChar w:fldCharType="begin"/>
      </w:r>
      <w:r>
        <w:instrText xml:space="preserve"> HYPERLINK \l "_Toc26975" </w:instrText>
      </w:r>
      <w:r>
        <w:fldChar w:fldCharType="separate"/>
      </w:r>
      <w:r>
        <w:rPr>
          <w:rFonts w:hint="eastAsia" w:ascii="仿宋" w:hAnsi="仿宋" w:eastAsia="仿宋" w:cs="仿宋"/>
          <w:szCs w:val="28"/>
        </w:rPr>
        <w:t>3．法定代表人授权委托书或法定代表人证明书</w:t>
      </w:r>
      <w:r>
        <w:tab/>
      </w:r>
      <w:r>
        <w:fldChar w:fldCharType="end"/>
      </w:r>
    </w:p>
    <w:p>
      <w:pPr>
        <w:pStyle w:val="13"/>
        <w:tabs>
          <w:tab w:val="right" w:leader="dot" w:pos="8312"/>
        </w:tabs>
      </w:pPr>
      <w:r>
        <w:fldChar w:fldCharType="begin"/>
      </w:r>
      <w:r>
        <w:instrText xml:space="preserve"> HYPERLINK \l "_Toc25389" </w:instrText>
      </w:r>
      <w:r>
        <w:fldChar w:fldCharType="separate"/>
      </w:r>
      <w:r>
        <w:rPr>
          <w:rFonts w:hint="eastAsia" w:ascii="仿宋" w:hAnsi="仿宋" w:eastAsia="仿宋" w:cs="仿宋"/>
          <w:szCs w:val="28"/>
        </w:rPr>
        <w:t>4．具有良好的商业信誉和健全的财务会计制度的证明文件</w:t>
      </w:r>
      <w:r>
        <w:tab/>
      </w:r>
      <w:r>
        <w:fldChar w:fldCharType="end"/>
      </w:r>
    </w:p>
    <w:p>
      <w:pPr>
        <w:pStyle w:val="13"/>
        <w:tabs>
          <w:tab w:val="right" w:leader="dot" w:pos="8312"/>
        </w:tabs>
      </w:pPr>
      <w:r>
        <w:fldChar w:fldCharType="begin"/>
      </w:r>
      <w:r>
        <w:instrText xml:space="preserve"> HYPERLINK \l "_Toc5476" </w:instrText>
      </w:r>
      <w:r>
        <w:fldChar w:fldCharType="separate"/>
      </w:r>
      <w:r>
        <w:rPr>
          <w:rFonts w:hint="eastAsia" w:ascii="仿宋" w:hAnsi="仿宋" w:eastAsia="仿宋" w:cs="仿宋"/>
          <w:szCs w:val="28"/>
        </w:rPr>
        <w:t>5．投标保证收据原件</w:t>
      </w:r>
      <w:r>
        <w:tab/>
      </w:r>
      <w:r>
        <w:fldChar w:fldCharType="end"/>
      </w:r>
    </w:p>
    <w:p>
      <w:pPr>
        <w:pStyle w:val="13"/>
        <w:tabs>
          <w:tab w:val="right" w:leader="dot" w:pos="8312"/>
        </w:tabs>
      </w:pPr>
      <w:r>
        <w:fldChar w:fldCharType="begin"/>
      </w:r>
      <w:r>
        <w:instrText xml:space="preserve"> HYPERLINK \l "_Toc4869" </w:instrText>
      </w:r>
      <w:r>
        <w:fldChar w:fldCharType="separate"/>
      </w:r>
      <w:r>
        <w:rPr>
          <w:rFonts w:hint="eastAsia" w:ascii="仿宋" w:hAnsi="仿宋" w:eastAsia="仿宋" w:cs="仿宋"/>
          <w:szCs w:val="28"/>
        </w:rPr>
        <w:t>6．被委托人必须是投标单位法人或正式员工，需提供社保部门出具的投标单位上一季度的缴纳社保证明（社保缴费凭证和个人明细表）</w:t>
      </w:r>
      <w:r>
        <w:tab/>
      </w:r>
      <w:r>
        <w:fldChar w:fldCharType="end"/>
      </w:r>
    </w:p>
    <w:p>
      <w:pPr>
        <w:pStyle w:val="13"/>
        <w:tabs>
          <w:tab w:val="right" w:leader="dot" w:pos="8312"/>
        </w:tabs>
      </w:pPr>
      <w:r>
        <w:fldChar w:fldCharType="begin"/>
      </w:r>
      <w:r>
        <w:instrText xml:space="preserve"> HYPERLINK \l "_Toc17342" </w:instrText>
      </w:r>
      <w:r>
        <w:fldChar w:fldCharType="separate"/>
      </w:r>
      <w:r>
        <w:rPr>
          <w:rFonts w:hint="eastAsia" w:ascii="仿宋" w:hAnsi="仿宋" w:eastAsia="仿宋" w:cs="仿宋"/>
          <w:szCs w:val="28"/>
        </w:rPr>
        <w:t>7．在“信用中国”网站（WWW.creditchina.gov.cn）、中国政府采购网（www.ccgp.gov.cn）被列入失信被执行人、重大税收违法案件当事人名单、政府采购严重违法失信行为记录名单的（尚在处罚期内的）查询记录</w:t>
      </w:r>
      <w:r>
        <w:tab/>
      </w:r>
      <w:r>
        <w:fldChar w:fldCharType="end"/>
      </w:r>
    </w:p>
    <w:p>
      <w:pPr>
        <w:pStyle w:val="13"/>
        <w:tabs>
          <w:tab w:val="right" w:leader="dot" w:pos="8312"/>
        </w:tabs>
      </w:pPr>
      <w:r>
        <w:fldChar w:fldCharType="begin"/>
      </w:r>
      <w:r>
        <w:instrText xml:space="preserve"> HYPERLINK \l "_Toc16754" </w:instrText>
      </w:r>
      <w:r>
        <w:fldChar w:fldCharType="separate"/>
      </w:r>
      <w:r>
        <w:rPr>
          <w:rFonts w:hint="eastAsia" w:ascii="仿宋" w:hAnsi="仿宋" w:eastAsia="仿宋" w:cs="仿宋"/>
          <w:szCs w:val="28"/>
        </w:rPr>
        <w:t>8．投标人须知资料表要求的其他资格证明文件</w:t>
      </w:r>
      <w:r>
        <w:tab/>
      </w:r>
      <w:r>
        <w:fldChar w:fldCharType="end"/>
      </w:r>
    </w:p>
    <w:p>
      <w:pPr>
        <w:pStyle w:val="13"/>
        <w:tabs>
          <w:tab w:val="right" w:leader="dot" w:pos="8312"/>
        </w:tabs>
      </w:pPr>
      <w:r>
        <w:fldChar w:fldCharType="begin"/>
      </w:r>
      <w:r>
        <w:instrText xml:space="preserve"> HYPERLINK \l "_Toc12972" </w:instrText>
      </w:r>
      <w:r>
        <w:fldChar w:fldCharType="separate"/>
      </w:r>
      <w:r>
        <w:rPr>
          <w:rFonts w:hint="eastAsia" w:ascii="仿宋" w:hAnsi="仿宋" w:eastAsia="仿宋" w:cs="仿宋"/>
          <w:szCs w:val="28"/>
        </w:rPr>
        <w:t>2．投标分项报价表（投标文件格式五）</w:t>
      </w:r>
      <w:r>
        <w:tab/>
      </w:r>
      <w:r>
        <w:fldChar w:fldCharType="end"/>
      </w:r>
    </w:p>
    <w:p>
      <w:pPr>
        <w:pStyle w:val="13"/>
        <w:tabs>
          <w:tab w:val="right" w:leader="dot" w:pos="8312"/>
        </w:tabs>
      </w:pPr>
      <w:r>
        <w:fldChar w:fldCharType="begin"/>
      </w:r>
      <w:r>
        <w:instrText xml:space="preserve"> HYPERLINK \l "_Toc4649" </w:instrText>
      </w:r>
      <w:r>
        <w:fldChar w:fldCharType="separate"/>
      </w:r>
      <w:r>
        <w:rPr>
          <w:rFonts w:hint="eastAsia" w:ascii="仿宋" w:hAnsi="仿宋" w:eastAsia="仿宋" w:cs="仿宋"/>
          <w:szCs w:val="28"/>
        </w:rPr>
        <w:t>4   货物说明一览表（投标文件格式六）</w:t>
      </w:r>
      <w:r>
        <w:tab/>
      </w:r>
      <w:r>
        <w:fldChar w:fldCharType="end"/>
      </w:r>
    </w:p>
    <w:p>
      <w:pPr>
        <w:pStyle w:val="13"/>
        <w:tabs>
          <w:tab w:val="right" w:leader="dot" w:pos="8312"/>
        </w:tabs>
      </w:pPr>
      <w:r>
        <w:fldChar w:fldCharType="begin"/>
      </w:r>
      <w:r>
        <w:instrText xml:space="preserve"> HYPERLINK \l "_Toc17312" </w:instrText>
      </w:r>
      <w:r>
        <w:fldChar w:fldCharType="separate"/>
      </w:r>
      <w:r>
        <w:rPr>
          <w:rFonts w:hint="eastAsia" w:ascii="仿宋" w:hAnsi="仿宋" w:eastAsia="仿宋" w:cs="仿宋"/>
          <w:szCs w:val="28"/>
        </w:rPr>
        <w:t>5   技术规格偏离表（投标文件格式七）</w:t>
      </w:r>
      <w:r>
        <w:tab/>
      </w:r>
      <w:r>
        <w:fldChar w:fldCharType="end"/>
      </w:r>
    </w:p>
    <w:p>
      <w:pPr>
        <w:pStyle w:val="13"/>
        <w:tabs>
          <w:tab w:val="right" w:leader="dot" w:pos="8312"/>
        </w:tabs>
      </w:pPr>
      <w:r>
        <w:fldChar w:fldCharType="begin"/>
      </w:r>
      <w:r>
        <w:instrText xml:space="preserve"> HYPERLINK \l "_Toc17189" </w:instrText>
      </w:r>
      <w:r>
        <w:fldChar w:fldCharType="separate"/>
      </w:r>
      <w:r>
        <w:rPr>
          <w:rFonts w:hint="eastAsia" w:ascii="仿宋" w:hAnsi="仿宋" w:eastAsia="仿宋" w:cs="仿宋"/>
          <w:szCs w:val="28"/>
        </w:rPr>
        <w:t>6   商务条款偏离表（投标文件格式八）</w:t>
      </w:r>
      <w:r>
        <w:tab/>
      </w:r>
      <w:r>
        <w:fldChar w:fldCharType="end"/>
      </w:r>
    </w:p>
    <w:p>
      <w:pPr>
        <w:pStyle w:val="13"/>
        <w:tabs>
          <w:tab w:val="right" w:leader="dot" w:pos="8312"/>
        </w:tabs>
      </w:pPr>
      <w:r>
        <w:fldChar w:fldCharType="begin"/>
      </w:r>
      <w:r>
        <w:instrText xml:space="preserve"> HYPERLINK \l "_Toc15821" </w:instrText>
      </w:r>
      <w:r>
        <w:fldChar w:fldCharType="separate"/>
      </w:r>
      <w:r>
        <w:rPr>
          <w:rFonts w:hint="eastAsia" w:ascii="仿宋" w:hAnsi="仿宋" w:eastAsia="仿宋" w:cs="仿宋"/>
          <w:szCs w:val="28"/>
        </w:rPr>
        <w:t>6-1  投标人企业（单位）类型声明函（投标文件格式九）</w:t>
      </w:r>
      <w:r>
        <w:tab/>
      </w:r>
      <w:r>
        <w:fldChar w:fldCharType="end"/>
      </w:r>
    </w:p>
    <w:p>
      <w:pPr>
        <w:pStyle w:val="13"/>
        <w:tabs>
          <w:tab w:val="right" w:leader="dot" w:pos="8312"/>
        </w:tabs>
      </w:pPr>
      <w:r>
        <w:fldChar w:fldCharType="begin"/>
      </w:r>
      <w:r>
        <w:instrText xml:space="preserve"> HYPERLINK \l "_Toc865" </w:instrText>
      </w:r>
      <w:r>
        <w:fldChar w:fldCharType="separate"/>
      </w:r>
      <w:r>
        <w:rPr>
          <w:rFonts w:hint="eastAsia" w:ascii="仿宋" w:hAnsi="仿宋" w:eastAsia="仿宋" w:cs="仿宋"/>
          <w:szCs w:val="28"/>
        </w:rPr>
        <w:t>6-2   制造商企业（单位）类型声明函（投标文件格式十）</w:t>
      </w:r>
      <w:r>
        <w:tab/>
      </w:r>
      <w:r>
        <w:fldChar w:fldCharType="end"/>
      </w:r>
    </w:p>
    <w:p>
      <w:pPr>
        <w:pStyle w:val="13"/>
        <w:tabs>
          <w:tab w:val="right" w:leader="dot" w:pos="8312"/>
        </w:tabs>
      </w:pPr>
      <w:r>
        <w:fldChar w:fldCharType="begin"/>
      </w:r>
      <w:r>
        <w:instrText xml:space="preserve"> HYPERLINK \l "_Toc28270" </w:instrText>
      </w:r>
      <w:r>
        <w:fldChar w:fldCharType="separate"/>
      </w:r>
      <w:r>
        <w:rPr>
          <w:rFonts w:hint="eastAsia" w:ascii="仿宋" w:hAnsi="仿宋" w:eastAsia="仿宋" w:cs="仿宋"/>
          <w:szCs w:val="28"/>
        </w:rPr>
        <w:t>6-3   残疾人福利性单位声明函（投标文件格式十一）</w:t>
      </w:r>
      <w:r>
        <w:tab/>
      </w:r>
      <w:r>
        <w:fldChar w:fldCharType="end"/>
      </w:r>
    </w:p>
    <w:p>
      <w:pPr>
        <w:pStyle w:val="13"/>
        <w:tabs>
          <w:tab w:val="right" w:leader="dot" w:pos="8312"/>
        </w:tabs>
      </w:pPr>
      <w:r>
        <w:fldChar w:fldCharType="begin"/>
      </w:r>
      <w:r>
        <w:instrText xml:space="preserve"> HYPERLINK \l "_Toc9367" </w:instrText>
      </w:r>
      <w:r>
        <w:fldChar w:fldCharType="separate"/>
      </w:r>
      <w:r>
        <w:rPr>
          <w:rFonts w:hint="eastAsia" w:ascii="仿宋" w:hAnsi="仿宋" w:eastAsia="仿宋" w:cs="仿宋"/>
          <w:szCs w:val="28"/>
        </w:rPr>
        <w:t>7   投标人关联单位的说明</w:t>
      </w:r>
      <w:r>
        <w:tab/>
      </w:r>
      <w:r>
        <w:fldChar w:fldCharType="end"/>
      </w:r>
    </w:p>
    <w:p>
      <w:pPr>
        <w:pStyle w:val="13"/>
        <w:tabs>
          <w:tab w:val="right" w:leader="dot" w:pos="8312"/>
        </w:tabs>
      </w:pPr>
      <w:r>
        <w:fldChar w:fldCharType="begin"/>
      </w:r>
      <w:r>
        <w:instrText xml:space="preserve"> HYPERLINK \l "_Toc23582" </w:instrText>
      </w:r>
      <w:r>
        <w:fldChar w:fldCharType="separate"/>
      </w:r>
      <w:r>
        <w:rPr>
          <w:rFonts w:hint="eastAsia" w:ascii="仿宋" w:hAnsi="仿宋" w:eastAsia="仿宋" w:cs="仿宋"/>
          <w:szCs w:val="28"/>
        </w:rPr>
        <w:t>8、其他有利于投标人的文件或证明材料</w:t>
      </w:r>
      <w:r>
        <w:tab/>
      </w:r>
      <w:r>
        <w:fldChar w:fldCharType="end"/>
      </w:r>
    </w:p>
    <w:p>
      <w:pPr>
        <w:pStyle w:val="11"/>
        <w:tabs>
          <w:tab w:val="right" w:leader="dot" w:pos="8312"/>
        </w:tabs>
      </w:pPr>
      <w:r>
        <w:fldChar w:fldCharType="begin"/>
      </w:r>
      <w:r>
        <w:instrText xml:space="preserve"> HYPERLINK \l "_Toc10163" </w:instrText>
      </w:r>
      <w:r>
        <w:fldChar w:fldCharType="separate"/>
      </w:r>
      <w:r>
        <w:rPr>
          <w:rFonts w:hint="eastAsia" w:ascii="仿宋" w:hAnsi="仿宋" w:eastAsia="仿宋" w:cs="仿宋"/>
          <w:szCs w:val="32"/>
        </w:rPr>
        <w:t>第3章 投标邀请</w:t>
      </w:r>
      <w:r>
        <w:tab/>
      </w:r>
      <w:r>
        <w:fldChar w:fldCharType="end"/>
      </w:r>
    </w:p>
    <w:p>
      <w:pPr>
        <w:pStyle w:val="11"/>
        <w:tabs>
          <w:tab w:val="right" w:leader="dot" w:pos="8312"/>
        </w:tabs>
      </w:pPr>
      <w:r>
        <w:fldChar w:fldCharType="begin"/>
      </w:r>
      <w:r>
        <w:instrText xml:space="preserve"> HYPERLINK \l "_Toc11754" </w:instrText>
      </w:r>
      <w:r>
        <w:fldChar w:fldCharType="separate"/>
      </w:r>
      <w:r>
        <w:rPr>
          <w:rFonts w:hint="eastAsia" w:ascii="仿宋" w:hAnsi="仿宋" w:eastAsia="仿宋" w:cs="仿宋"/>
          <w:szCs w:val="32"/>
        </w:rPr>
        <w:t>第4章 投标人须知资料表</w:t>
      </w:r>
      <w:r>
        <w:tab/>
      </w:r>
      <w:r>
        <w:fldChar w:fldCharType="end"/>
      </w:r>
    </w:p>
    <w:p>
      <w:pPr>
        <w:pStyle w:val="13"/>
        <w:tabs>
          <w:tab w:val="right" w:leader="dot" w:pos="8312"/>
        </w:tabs>
      </w:pPr>
      <w:r>
        <w:fldChar w:fldCharType="begin"/>
      </w:r>
      <w:r>
        <w:instrText xml:space="preserve"> HYPERLINK \l "_Toc11275" </w:instrText>
      </w:r>
      <w:r>
        <w:fldChar w:fldCharType="separate"/>
      </w:r>
      <w:r>
        <w:rPr>
          <w:rFonts w:hint="eastAsia" w:ascii="仿宋" w:hAnsi="仿宋" w:eastAsia="仿宋" w:cs="仿宋"/>
          <w:szCs w:val="28"/>
        </w:rPr>
        <w:t>货物需求一览表及技术规格技术性能指标</w:t>
      </w:r>
      <w:r>
        <w:tab/>
      </w:r>
      <w:r>
        <w:fldChar w:fldCharType="end"/>
      </w:r>
    </w:p>
    <w:p>
      <w:pPr>
        <w:pStyle w:val="11"/>
        <w:tabs>
          <w:tab w:val="right" w:leader="dot" w:pos="8312"/>
        </w:tabs>
      </w:pPr>
      <w:r>
        <w:fldChar w:fldCharType="begin"/>
      </w:r>
      <w:r>
        <w:instrText xml:space="preserve"> HYPERLINK \l "_Toc10734" </w:instrText>
      </w:r>
      <w:r>
        <w:fldChar w:fldCharType="separate"/>
      </w:r>
      <w:r>
        <w:rPr>
          <w:rFonts w:hint="eastAsia" w:ascii="仿宋" w:hAnsi="仿宋" w:eastAsia="仿宋" w:cs="仿宋"/>
          <w:szCs w:val="32"/>
        </w:rPr>
        <w:t>第5章  评标方法和标准</w:t>
      </w:r>
      <w:r>
        <w:tab/>
      </w:r>
      <w:r>
        <w:fldChar w:fldCharType="end"/>
      </w:r>
    </w:p>
    <w:p>
      <w:pPr>
        <w:pStyle w:val="11"/>
        <w:tabs>
          <w:tab w:val="right" w:leader="dot" w:pos="8312"/>
        </w:tabs>
        <w:ind w:firstLine="420" w:firstLineChars="200"/>
      </w:pPr>
      <w:r>
        <w:fldChar w:fldCharType="begin"/>
      </w:r>
      <w:r>
        <w:instrText xml:space="preserve"> HYPERLINK \l "_Toc10780" </w:instrText>
      </w:r>
      <w:r>
        <w:fldChar w:fldCharType="separate"/>
      </w:r>
      <w:r>
        <w:rPr>
          <w:rFonts w:hint="eastAsia" w:ascii="仿宋" w:hAnsi="仿宋" w:eastAsia="仿宋" w:cs="仿宋"/>
          <w:szCs w:val="28"/>
        </w:rPr>
        <w:t>二、评标委员会</w:t>
      </w:r>
      <w:r>
        <w:tab/>
      </w:r>
      <w:r>
        <w:fldChar w:fldCharType="end"/>
      </w:r>
    </w:p>
    <w:p>
      <w:pPr>
        <w:pStyle w:val="11"/>
        <w:tabs>
          <w:tab w:val="right" w:leader="dot" w:pos="8312"/>
        </w:tabs>
      </w:pPr>
      <w:r>
        <w:fldChar w:fldCharType="begin"/>
      </w:r>
      <w:r>
        <w:instrText xml:space="preserve"> HYPERLINK \l "_Toc15987" </w:instrText>
      </w:r>
      <w:r>
        <w:fldChar w:fldCharType="separate"/>
      </w:r>
      <w:r>
        <w:rPr>
          <w:rFonts w:hint="eastAsia" w:ascii="仿宋" w:hAnsi="仿宋" w:eastAsia="仿宋" w:cs="仿宋"/>
          <w:szCs w:val="32"/>
        </w:rPr>
        <w:t xml:space="preserve">第6章   </w:t>
      </w:r>
      <w:r>
        <w:rPr>
          <w:rFonts w:hint="eastAsia" w:ascii="仿宋" w:hAnsi="仿宋" w:eastAsia="仿宋"/>
        </w:rPr>
        <w:t>政府采购合同</w:t>
      </w:r>
      <w:r>
        <w:tab/>
      </w:r>
      <w:r>
        <w:fldChar w:fldCharType="end"/>
      </w:r>
    </w:p>
    <w:p>
      <w:pPr>
        <w:pStyle w:val="13"/>
        <w:tabs>
          <w:tab w:val="right" w:leader="dot" w:pos="8312"/>
        </w:tabs>
      </w:pPr>
      <w:r>
        <w:fldChar w:fldCharType="begin"/>
      </w:r>
      <w:r>
        <w:instrText xml:space="preserve"> HYPERLINK \l "_Toc17029" </w:instrText>
      </w:r>
      <w:r>
        <w:fldChar w:fldCharType="separate"/>
      </w:r>
      <w:r>
        <w:rPr>
          <w:rFonts w:hint="eastAsia" w:ascii="仿宋" w:hAnsi="仿宋" w:eastAsia="仿宋"/>
        </w:rPr>
        <w:t>第一部分</w:t>
      </w:r>
      <w:r>
        <w:rPr>
          <w:rFonts w:ascii="仿宋" w:hAnsi="仿宋" w:eastAsia="仿宋"/>
        </w:rPr>
        <w:t xml:space="preserve"> </w:t>
      </w:r>
      <w:r>
        <w:rPr>
          <w:rFonts w:hint="eastAsia" w:ascii="仿宋" w:hAnsi="仿宋" w:eastAsia="仿宋"/>
        </w:rPr>
        <w:t>合同书</w:t>
      </w:r>
      <w:r>
        <w:tab/>
      </w:r>
      <w:r>
        <w:fldChar w:fldCharType="end"/>
      </w:r>
    </w:p>
    <w:p>
      <w:pPr>
        <w:pStyle w:val="13"/>
        <w:tabs>
          <w:tab w:val="right" w:leader="dot" w:pos="8312"/>
        </w:tabs>
      </w:pPr>
      <w:r>
        <w:fldChar w:fldCharType="begin"/>
      </w:r>
      <w:r>
        <w:instrText xml:space="preserve"> HYPERLINK \l "_Toc18554" </w:instrText>
      </w:r>
      <w:r>
        <w:fldChar w:fldCharType="separate"/>
      </w:r>
      <w:r>
        <w:rPr>
          <w:rFonts w:hint="eastAsia" w:ascii="仿宋" w:hAnsi="仿宋" w:eastAsia="仿宋" w:cs="仿宋"/>
          <w:szCs w:val="28"/>
        </w:rPr>
        <w:t>第三部分  合同专用条款</w:t>
      </w:r>
      <w:r>
        <w:tab/>
      </w:r>
      <w:r>
        <w:fldChar w:fldCharType="end"/>
      </w:r>
    </w:p>
    <w:p>
      <w:pPr>
        <w:spacing w:line="360" w:lineRule="auto"/>
        <w:ind w:firstLine="420" w:firstLineChars="200"/>
        <w:rPr>
          <w:rFonts w:ascii="仿宋" w:hAnsi="仿宋" w:eastAsia="仿宋" w:cs="仿宋"/>
          <w:sz w:val="24"/>
        </w:rPr>
      </w:pPr>
      <w:r>
        <w:rPr>
          <w:rFonts w:hint="eastAsia" w:ascii="仿宋" w:hAnsi="仿宋" w:eastAsia="仿宋" w:cs="仿宋"/>
        </w:rPr>
        <w:fldChar w:fldCharType="end"/>
      </w:r>
    </w:p>
    <w:p>
      <w:pPr>
        <w:pStyle w:val="2"/>
      </w:pPr>
    </w:p>
    <w:p>
      <w:pPr>
        <w:pStyle w:val="2"/>
      </w:pPr>
    </w:p>
    <w:p>
      <w:pPr>
        <w:pStyle w:val="4"/>
        <w:tabs>
          <w:tab w:val="left" w:pos="0"/>
        </w:tabs>
        <w:spacing w:before="0" w:after="0" w:line="240" w:lineRule="auto"/>
        <w:ind w:firstLine="2800" w:firstLineChars="1000"/>
        <w:jc w:val="both"/>
        <w:rPr>
          <w:rFonts w:ascii="仿宋" w:hAnsi="仿宋" w:eastAsia="仿宋" w:cs="仿宋"/>
          <w:sz w:val="28"/>
          <w:szCs w:val="28"/>
        </w:rPr>
      </w:pPr>
      <w:bookmarkStart w:id="0" w:name="_Toc22782"/>
      <w:bookmarkStart w:id="1" w:name="_Toc26997"/>
      <w:bookmarkStart w:id="2" w:name="_Toc17230"/>
      <w:bookmarkStart w:id="3" w:name="_Toc25817"/>
      <w:bookmarkStart w:id="4" w:name="_Toc216582804"/>
      <w:r>
        <w:rPr>
          <w:rFonts w:hint="eastAsia" w:ascii="仿宋" w:hAnsi="仿宋" w:eastAsia="仿宋" w:cs="仿宋"/>
          <w:sz w:val="28"/>
          <w:szCs w:val="28"/>
        </w:rPr>
        <w:t xml:space="preserve">第1章  </w:t>
      </w:r>
      <w:bookmarkStart w:id="5" w:name="_Toc515647756"/>
      <w:r>
        <w:rPr>
          <w:rFonts w:hint="eastAsia" w:ascii="仿宋" w:hAnsi="仿宋" w:eastAsia="仿宋" w:cs="仿宋"/>
          <w:sz w:val="28"/>
          <w:szCs w:val="28"/>
        </w:rPr>
        <w:t>投标人须知</w:t>
      </w:r>
      <w:bookmarkEnd w:id="0"/>
      <w:bookmarkEnd w:id="1"/>
      <w:bookmarkEnd w:id="2"/>
      <w:bookmarkEnd w:id="3"/>
      <w:bookmarkEnd w:id="4"/>
      <w:bookmarkEnd w:id="5"/>
    </w:p>
    <w:p>
      <w:pPr>
        <w:pStyle w:val="5"/>
        <w:keepNext w:val="0"/>
        <w:keepLines w:val="0"/>
        <w:spacing w:before="0" w:line="240" w:lineRule="auto"/>
        <w:ind w:left="539" w:leftChars="257" w:firstLine="2800" w:firstLineChars="1000"/>
        <w:jc w:val="both"/>
        <w:rPr>
          <w:rFonts w:ascii="仿宋" w:hAnsi="仿宋" w:eastAsia="仿宋" w:cs="仿宋"/>
          <w:color w:val="000000"/>
          <w:sz w:val="28"/>
          <w:szCs w:val="28"/>
        </w:rPr>
      </w:pPr>
      <w:bookmarkStart w:id="6" w:name="_Toc216582805"/>
      <w:bookmarkStart w:id="7" w:name="_Toc515647757"/>
      <w:bookmarkStart w:id="8" w:name="_Toc520356143"/>
      <w:bookmarkStart w:id="9" w:name="_Toc522633268"/>
      <w:bookmarkStart w:id="10" w:name="_Toc22145"/>
      <w:bookmarkStart w:id="11" w:name="_Toc21215"/>
      <w:bookmarkStart w:id="12" w:name="_Toc21015"/>
      <w:bookmarkStart w:id="13" w:name="_Toc3676"/>
      <w:r>
        <w:rPr>
          <w:rFonts w:hint="eastAsia" w:ascii="仿宋" w:hAnsi="仿宋" w:eastAsia="仿宋" w:cs="仿宋"/>
          <w:color w:val="000000"/>
          <w:sz w:val="28"/>
          <w:szCs w:val="28"/>
        </w:rPr>
        <w:t xml:space="preserve">一   </w:t>
      </w:r>
      <w:bookmarkEnd w:id="6"/>
      <w:bookmarkEnd w:id="7"/>
      <w:bookmarkEnd w:id="8"/>
      <w:r>
        <w:rPr>
          <w:rFonts w:hint="eastAsia" w:ascii="仿宋" w:hAnsi="仿宋" w:eastAsia="仿宋" w:cs="仿宋"/>
          <w:color w:val="000000"/>
          <w:sz w:val="28"/>
          <w:szCs w:val="28"/>
        </w:rPr>
        <w:t>总 则</w:t>
      </w:r>
      <w:bookmarkEnd w:id="9"/>
      <w:bookmarkEnd w:id="10"/>
      <w:bookmarkEnd w:id="11"/>
      <w:bookmarkEnd w:id="12"/>
      <w:bookmarkEnd w:id="13"/>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4" w:name="_Toc520356144"/>
      <w:bookmarkStart w:id="15" w:name="_Toc5999"/>
      <w:bookmarkStart w:id="16" w:name="_Toc32189"/>
      <w:bookmarkStart w:id="17" w:name="_Toc32623"/>
      <w:bookmarkStart w:id="18" w:name="_Toc515647758"/>
      <w:r>
        <w:rPr>
          <w:rFonts w:hint="eastAsia" w:ascii="仿宋" w:hAnsi="仿宋" w:eastAsia="仿宋" w:cs="仿宋"/>
          <w:color w:val="000000"/>
          <w:sz w:val="28"/>
          <w:szCs w:val="28"/>
          <w:u w:val="none"/>
        </w:rPr>
        <w:t>1.采购人、采购代理机构及</w:t>
      </w:r>
      <w:bookmarkEnd w:id="14"/>
      <w:r>
        <w:rPr>
          <w:rFonts w:hint="eastAsia" w:ascii="仿宋" w:hAnsi="仿宋" w:eastAsia="仿宋" w:cs="仿宋"/>
          <w:color w:val="000000"/>
          <w:sz w:val="28"/>
          <w:szCs w:val="28"/>
          <w:u w:val="none"/>
        </w:rPr>
        <w:t>投标人</w:t>
      </w:r>
      <w:bookmarkEnd w:id="15"/>
      <w:bookmarkEnd w:id="16"/>
      <w:bookmarkEnd w:id="17"/>
      <w:bookmarkEnd w:id="18"/>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color w:val="000000"/>
          <w:sz w:val="28"/>
          <w:szCs w:val="28"/>
          <w:u w:val="none"/>
        </w:rPr>
        <w:t xml:space="preserve">    </w:t>
      </w:r>
      <w:r>
        <w:rPr>
          <w:rFonts w:hint="eastAsia" w:ascii="仿宋" w:hAnsi="仿宋" w:eastAsia="仿宋" w:cs="仿宋"/>
          <w:b w:val="0"/>
          <w:color w:val="000000"/>
          <w:sz w:val="28"/>
          <w:szCs w:val="28"/>
          <w:u w:val="none"/>
        </w:rPr>
        <w:t>采购人：是指依法开展政府采购活动的国家机关、事业单位、团体组织。</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本项目的采购人见</w:t>
      </w:r>
      <w:r>
        <w:rPr>
          <w:rFonts w:hint="eastAsia" w:ascii="仿宋" w:hAnsi="仿宋" w:eastAsia="仿宋" w:cs="仿宋"/>
          <w:color w:val="000000"/>
          <w:sz w:val="28"/>
          <w:szCs w:val="28"/>
        </w:rPr>
        <w:t>投标人须知资料表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xml:space="preserve"> 采购代理机构：是指在集中采购机构或从事采购代理业务的社会中介机构。本项目的采购代理机构见</w:t>
      </w:r>
      <w:r>
        <w:rPr>
          <w:rFonts w:hint="eastAsia" w:ascii="仿宋" w:hAnsi="仿宋" w:eastAsia="仿宋" w:cs="仿宋"/>
          <w:color w:val="000000"/>
          <w:sz w:val="28"/>
          <w:szCs w:val="28"/>
        </w:rPr>
        <w:t>投标人须知资料表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投标人：是指向采购人提供货物、工程或者服务的法人、非法人组织或者自然人。本项目的投标人及其投标货物须满足以下条件：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1.3.1在中华人民共和国境内注册，能够独立承担民事责任，有生产或供应能力的本国供应商。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1.3.2具备《中华人民共和国政府采购法》第二十二条关于供应商条件的规定，遵守本项目采购人本级和上级财政部门政府采购的有关规定。</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1.3.3以采购代理机构认可的方式获得了本项目的招标文件。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1.3.4符合</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中规定的其他要求。</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1.3.5若</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中写明允许采购进口产品，投标人应保证所投产品可履行合法报通关手续进入中国关境内。</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若</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中未写明允许采购进口产品，如投标人所投产品为进口产品，其投标将被认定为投标无效。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1.3.6若</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中写明专门面向中小企业采购的，如投标人为非中小企业且所投产品为非中小企业产品，其投标将被认定为投标无效。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 如</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中允许联合体投标，对联合体规定如下：</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1.4.1两个以上供应商可以组成一个投标联合体，以一个投标人的身份投标。</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1.4.2联合体各方均应符合《中华人民共和国政府采购法》第二十二条规定的条件。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1.4.3采购人根据采购项目对投标人的特殊要求，联合体中至少应当有一方符合相关规定。</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1.4.4联合体各方应签订共同投标协议，明确约定联合体各方承担的工作和相应的责任，并将共同投标协议连同作为投标文件第一部分的内容提交。</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1.4.5大中型企业、其他自然人、法人或者非法人组织与小型、微型企业组成联合体共同参加投标，共同投标协议中应写明小型、微型企业的协议合同金额占到共同投标协议投标总金额的比例。</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1.4.6联合体中有同类资质的供应商按照联合体分工承担相同工作的，按照较低的资质等级确定联合体的资质等级。</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1.4.7以联合体形式参加政府采购活动的，联合体各方不得再单独参加或者与其他供应商另外组成联合体参加本项目投标，否则相关投标将被认定为投标无效。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1.4.8对联合体投标的其他资格要求见</w:t>
      </w:r>
      <w:r>
        <w:rPr>
          <w:rFonts w:hint="eastAsia" w:ascii="仿宋" w:hAnsi="仿宋" w:eastAsia="仿宋" w:cs="仿宋"/>
          <w:color w:val="000000"/>
          <w:sz w:val="28"/>
          <w:szCs w:val="28"/>
        </w:rPr>
        <w:t>投标人须知资料表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1.5单位负责人为同一人或者存在直接控股、管理关系的不同供应商，其相关投标将被认定为</w:t>
      </w:r>
      <w:r>
        <w:rPr>
          <w:rFonts w:hint="eastAsia" w:ascii="仿宋" w:hAnsi="仿宋" w:eastAsia="仿宋" w:cs="仿宋"/>
          <w:color w:val="000000"/>
          <w:sz w:val="28"/>
          <w:szCs w:val="28"/>
          <w:u w:val="none"/>
        </w:rPr>
        <w:t>投标无效</w:t>
      </w:r>
      <w:r>
        <w:rPr>
          <w:rFonts w:hint="eastAsia" w:ascii="仿宋" w:hAnsi="仿宋" w:eastAsia="仿宋" w:cs="仿宋"/>
          <w:b w:val="0"/>
          <w:color w:val="000000"/>
          <w:sz w:val="28"/>
          <w:szCs w:val="28"/>
          <w:u w:val="none"/>
        </w:rPr>
        <w:t>。</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1.6为本项目提供过整体设计、规范编制或者项目管理、监理、检测等服务的供应商，不得再参加本项目上述服务以外的其他采购活动。否则其投标将被认定为</w:t>
      </w:r>
      <w:r>
        <w:rPr>
          <w:rFonts w:hint="eastAsia" w:ascii="仿宋" w:hAnsi="仿宋" w:eastAsia="仿宋" w:cs="仿宋"/>
          <w:color w:val="000000"/>
          <w:sz w:val="28"/>
          <w:szCs w:val="28"/>
          <w:u w:val="none"/>
        </w:rPr>
        <w:t>投标无效</w:t>
      </w:r>
      <w:r>
        <w:rPr>
          <w:rFonts w:hint="eastAsia" w:ascii="仿宋" w:hAnsi="仿宋" w:eastAsia="仿宋" w:cs="仿宋"/>
          <w:b w:val="0"/>
          <w:color w:val="000000"/>
          <w:sz w:val="28"/>
          <w:szCs w:val="28"/>
          <w:u w:val="none"/>
        </w:rPr>
        <w:t>。</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1.7投标人在投标过程中不得向采购人提供、给予任何有价值的物品，影响其正常决策行为。一经发现，其将被认定为</w:t>
      </w:r>
      <w:r>
        <w:rPr>
          <w:rFonts w:hint="eastAsia" w:ascii="仿宋" w:hAnsi="仿宋" w:eastAsia="仿宋" w:cs="仿宋"/>
          <w:color w:val="000000"/>
          <w:sz w:val="28"/>
          <w:szCs w:val="28"/>
          <w:u w:val="none"/>
        </w:rPr>
        <w:t>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9" w:name="_Toc12139"/>
      <w:bookmarkStart w:id="20" w:name="_Toc5286"/>
      <w:bookmarkStart w:id="21" w:name="_Toc515647759"/>
      <w:bookmarkStart w:id="22" w:name="_Toc4322"/>
      <w:r>
        <w:rPr>
          <w:rFonts w:hint="eastAsia" w:ascii="仿宋" w:hAnsi="仿宋" w:eastAsia="仿宋" w:cs="仿宋"/>
          <w:color w:val="000000"/>
          <w:sz w:val="28"/>
          <w:szCs w:val="28"/>
          <w:u w:val="none"/>
        </w:rPr>
        <w:t>2.资金来源</w:t>
      </w:r>
      <w:bookmarkEnd w:id="19"/>
      <w:bookmarkEnd w:id="20"/>
      <w:bookmarkEnd w:id="21"/>
      <w:bookmarkEnd w:id="22"/>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2.1本项目的采购人已获得足以支付本次招标后所签订的合同项下的资金（包括财政性资金和本项目采购中无法与财政性资金分割的非财政性资金）。</w:t>
      </w:r>
    </w:p>
    <w:p>
      <w:pPr>
        <w:pStyle w:val="6"/>
        <w:keepNext w:val="0"/>
        <w:keepLines w:val="0"/>
        <w:tabs>
          <w:tab w:val="left" w:pos="900"/>
        </w:tabs>
        <w:spacing w:before="0" w:after="0"/>
        <w:ind w:firstLine="560" w:firstLineChars="200"/>
        <w:rPr>
          <w:rFonts w:ascii="仿宋" w:hAnsi="仿宋" w:eastAsia="仿宋" w:cs="仿宋"/>
          <w:color w:val="000000"/>
          <w:sz w:val="28"/>
          <w:szCs w:val="28"/>
        </w:rPr>
      </w:pPr>
      <w:r>
        <w:rPr>
          <w:rFonts w:hint="eastAsia" w:ascii="仿宋" w:hAnsi="仿宋" w:eastAsia="仿宋" w:cs="仿宋"/>
          <w:b w:val="0"/>
          <w:color w:val="000000"/>
          <w:sz w:val="28"/>
          <w:szCs w:val="28"/>
          <w:u w:val="none"/>
        </w:rPr>
        <w:t>2.2项目预算金额和分项或分包最高限价见</w:t>
      </w:r>
      <w:r>
        <w:rPr>
          <w:rFonts w:hint="eastAsia" w:ascii="仿宋" w:hAnsi="仿宋" w:eastAsia="仿宋" w:cs="仿宋"/>
          <w:color w:val="000000"/>
          <w:sz w:val="28"/>
          <w:szCs w:val="28"/>
        </w:rPr>
        <w:t>投标人须知资料表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2.3投标人报价超过招标文件规定的预算金额，其投标将被认定为</w:t>
      </w:r>
      <w:r>
        <w:rPr>
          <w:rFonts w:hint="eastAsia" w:ascii="仿宋" w:hAnsi="仿宋" w:eastAsia="仿宋" w:cs="仿宋"/>
          <w:color w:val="000000"/>
          <w:sz w:val="28"/>
          <w:szCs w:val="28"/>
          <w:u w:val="none"/>
        </w:rPr>
        <w:t>投标无效</w:t>
      </w:r>
      <w:r>
        <w:rPr>
          <w:rFonts w:hint="eastAsia" w:ascii="仿宋" w:hAnsi="仿宋" w:eastAsia="仿宋" w:cs="仿宋"/>
          <w:b w:val="0"/>
          <w:color w:val="000000"/>
          <w:sz w:val="28"/>
          <w:szCs w:val="28"/>
          <w:u w:val="none"/>
        </w:rPr>
        <w:t>。</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3" w:name="_Toc20526"/>
      <w:bookmarkStart w:id="24" w:name="_Toc520356145"/>
      <w:bookmarkStart w:id="25" w:name="_Toc15936"/>
      <w:bookmarkStart w:id="26" w:name="_Toc13828"/>
      <w:bookmarkStart w:id="27" w:name="_Toc515647760"/>
      <w:r>
        <w:rPr>
          <w:rFonts w:hint="eastAsia" w:ascii="仿宋" w:hAnsi="仿宋" w:eastAsia="仿宋" w:cs="仿宋"/>
          <w:color w:val="000000"/>
          <w:sz w:val="28"/>
          <w:szCs w:val="28"/>
          <w:u w:val="none"/>
        </w:rPr>
        <w:t>3.投标费用</w:t>
      </w:r>
      <w:bookmarkEnd w:id="23"/>
      <w:bookmarkEnd w:id="24"/>
      <w:bookmarkEnd w:id="25"/>
      <w:bookmarkEnd w:id="26"/>
      <w:bookmarkEnd w:id="27"/>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不论投标的结果如何，投标人应承担所有与准备和参加投标有关的费用。</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8" w:name="_Toc4463"/>
      <w:bookmarkStart w:id="29" w:name="_Toc515647761"/>
      <w:bookmarkStart w:id="30" w:name="_Toc32665"/>
      <w:bookmarkStart w:id="31" w:name="_Toc6116"/>
      <w:r>
        <w:rPr>
          <w:rFonts w:hint="eastAsia" w:ascii="仿宋" w:hAnsi="仿宋" w:eastAsia="仿宋" w:cs="仿宋"/>
          <w:color w:val="000000"/>
          <w:sz w:val="28"/>
          <w:szCs w:val="28"/>
          <w:u w:val="none"/>
        </w:rPr>
        <w:t>4.适用法律</w:t>
      </w:r>
      <w:bookmarkEnd w:id="28"/>
      <w:bookmarkEnd w:id="29"/>
      <w:bookmarkEnd w:id="30"/>
      <w:bookmarkEnd w:id="31"/>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hint="eastAsia" w:ascii="仿宋" w:hAnsi="仿宋" w:eastAsia="仿宋" w:cs="仿宋"/>
          <w:b w:val="0"/>
          <w:color w:val="000000"/>
          <w:sz w:val="28"/>
          <w:szCs w:val="28"/>
          <w:u w:val="none"/>
        </w:rPr>
        <w:t>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pStyle w:val="5"/>
        <w:keepNext w:val="0"/>
        <w:keepLines w:val="0"/>
        <w:spacing w:before="0" w:line="240" w:lineRule="auto"/>
        <w:ind w:left="539" w:leftChars="257" w:firstLine="2800" w:firstLineChars="1000"/>
        <w:jc w:val="both"/>
        <w:rPr>
          <w:rFonts w:ascii="仿宋" w:hAnsi="仿宋" w:eastAsia="仿宋" w:cs="仿宋"/>
          <w:color w:val="000000"/>
          <w:sz w:val="28"/>
          <w:szCs w:val="28"/>
        </w:rPr>
      </w:pPr>
      <w:bookmarkStart w:id="32" w:name="_Toc515647762"/>
      <w:bookmarkStart w:id="33" w:name="_Toc28572"/>
      <w:bookmarkStart w:id="34" w:name="_Toc522633269"/>
      <w:bookmarkStart w:id="35" w:name="_Toc21566"/>
      <w:bookmarkStart w:id="36" w:name="_Toc4365"/>
      <w:bookmarkStart w:id="37" w:name="_Toc25614"/>
      <w:bookmarkStart w:id="38" w:name="_Toc520356146"/>
      <w:bookmarkStart w:id="39" w:name="_Toc216582806"/>
      <w:r>
        <w:rPr>
          <w:rFonts w:hint="eastAsia" w:ascii="仿宋" w:hAnsi="仿宋" w:eastAsia="仿宋" w:cs="仿宋"/>
          <w:color w:val="000000"/>
          <w:sz w:val="28"/>
          <w:szCs w:val="28"/>
        </w:rPr>
        <w:t>二   招标文件</w:t>
      </w:r>
      <w:bookmarkEnd w:id="32"/>
      <w:bookmarkEnd w:id="33"/>
      <w:bookmarkEnd w:id="34"/>
      <w:bookmarkEnd w:id="35"/>
      <w:bookmarkEnd w:id="36"/>
      <w:bookmarkEnd w:id="37"/>
      <w:bookmarkEnd w:id="38"/>
      <w:bookmarkEnd w:id="39"/>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p>
    <w:p>
      <w:pPr>
        <w:pStyle w:val="6"/>
        <w:keepNext w:val="0"/>
        <w:keepLines w:val="0"/>
        <w:spacing w:before="0" w:after="0"/>
        <w:ind w:firstLine="560" w:firstLineChars="200"/>
        <w:rPr>
          <w:rFonts w:ascii="仿宋" w:hAnsi="仿宋" w:eastAsia="仿宋" w:cs="仿宋"/>
          <w:color w:val="000000"/>
          <w:sz w:val="28"/>
          <w:szCs w:val="28"/>
          <w:u w:val="none"/>
        </w:rPr>
      </w:pPr>
      <w:bookmarkStart w:id="40" w:name="_Toc520356147"/>
      <w:bookmarkStart w:id="41" w:name="_Toc515647763"/>
      <w:bookmarkStart w:id="42" w:name="_Toc4671"/>
      <w:bookmarkStart w:id="43" w:name="_Toc14084"/>
      <w:bookmarkStart w:id="44" w:name="_Toc25743"/>
      <w:r>
        <w:rPr>
          <w:rFonts w:hint="eastAsia" w:ascii="仿宋" w:hAnsi="仿宋" w:eastAsia="仿宋" w:cs="仿宋"/>
          <w:color w:val="000000"/>
          <w:sz w:val="28"/>
          <w:szCs w:val="28"/>
          <w:u w:val="none"/>
        </w:rPr>
        <w:t>5.招标文件构成</w:t>
      </w:r>
      <w:bookmarkEnd w:id="40"/>
      <w:bookmarkEnd w:id="41"/>
      <w:bookmarkEnd w:id="42"/>
      <w:bookmarkEnd w:id="43"/>
      <w:bookmarkEnd w:id="44"/>
    </w:p>
    <w:p>
      <w:pPr>
        <w:ind w:left="9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5.1</w:t>
      </w:r>
      <w:r>
        <w:rPr>
          <w:rFonts w:hint="eastAsia" w:ascii="仿宋" w:hAnsi="仿宋" w:eastAsia="仿宋" w:cs="仿宋"/>
          <w:color w:val="000000"/>
          <w:sz w:val="28"/>
          <w:szCs w:val="28"/>
        </w:rPr>
        <w:tab/>
      </w:r>
      <w:r>
        <w:rPr>
          <w:rFonts w:hint="eastAsia" w:ascii="仿宋" w:hAnsi="仿宋" w:eastAsia="仿宋" w:cs="仿宋"/>
          <w:color w:val="000000"/>
          <w:sz w:val="28"/>
          <w:szCs w:val="28"/>
        </w:rPr>
        <w:t>招标文件内容如下：</w:t>
      </w:r>
    </w:p>
    <w:p>
      <w:pPr>
        <w:numPr>
          <w:ilvl w:val="0"/>
          <w:numId w:val="1"/>
        </w:numPr>
        <w:ind w:left="900" w:leftChars="429"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投标邀请</w:t>
      </w:r>
    </w:p>
    <w:p>
      <w:pPr>
        <w:numPr>
          <w:ilvl w:val="0"/>
          <w:numId w:val="1"/>
        </w:numPr>
        <w:ind w:left="840" w:leftChars="4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投标人须知资料表</w:t>
      </w:r>
    </w:p>
    <w:p>
      <w:pPr>
        <w:tabs>
          <w:tab w:val="left" w:pos="0"/>
        </w:tabs>
        <w:ind w:left="420" w:leftChars="200" w:firstLine="1120" w:firstLineChars="400"/>
        <w:rPr>
          <w:rFonts w:ascii="仿宋" w:hAnsi="仿宋" w:eastAsia="仿宋" w:cs="仿宋"/>
          <w:color w:val="000000"/>
          <w:sz w:val="28"/>
          <w:szCs w:val="28"/>
        </w:rPr>
      </w:pPr>
      <w:r>
        <w:rPr>
          <w:rFonts w:hint="eastAsia" w:ascii="仿宋" w:hAnsi="仿宋" w:eastAsia="仿宋" w:cs="仿宋"/>
          <w:color w:val="000000"/>
          <w:sz w:val="28"/>
          <w:szCs w:val="28"/>
        </w:rPr>
        <w:t>第3章  投标人须知</w:t>
      </w:r>
    </w:p>
    <w:p>
      <w:pPr>
        <w:numPr>
          <w:ilvl w:val="0"/>
          <w:numId w:val="1"/>
        </w:numPr>
        <w:ind w:left="900" w:leftChars="429"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投标文件格式</w:t>
      </w:r>
    </w:p>
    <w:p>
      <w:pPr>
        <w:numPr>
          <w:ilvl w:val="0"/>
          <w:numId w:val="1"/>
        </w:numPr>
        <w:ind w:left="900" w:leftChars="429"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货物需求一览表及技术规格</w:t>
      </w:r>
    </w:p>
    <w:p>
      <w:pPr>
        <w:numPr>
          <w:ilvl w:val="0"/>
          <w:numId w:val="1"/>
        </w:numPr>
        <w:ind w:left="900" w:leftChars="429"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评标方法和标准</w:t>
      </w:r>
    </w:p>
    <w:p>
      <w:pPr>
        <w:ind w:firstLine="1400" w:firstLineChars="500"/>
        <w:rPr>
          <w:rFonts w:ascii="仿宋" w:hAnsi="仿宋" w:eastAsia="仿宋" w:cs="仿宋"/>
          <w:color w:val="000000"/>
          <w:sz w:val="28"/>
          <w:szCs w:val="28"/>
        </w:rPr>
      </w:pPr>
      <w:r>
        <w:rPr>
          <w:rFonts w:hint="eastAsia" w:ascii="仿宋" w:hAnsi="仿宋" w:eastAsia="仿宋" w:cs="仿宋"/>
          <w:color w:val="000000"/>
          <w:sz w:val="28"/>
          <w:szCs w:val="28"/>
        </w:rPr>
        <w:t>第6章政府采购合同格式</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5.2</w:t>
      </w:r>
      <w:r>
        <w:rPr>
          <w:rFonts w:hint="eastAsia" w:ascii="仿宋" w:hAnsi="仿宋" w:eastAsia="仿宋" w:cs="仿宋"/>
          <w:b w:val="0"/>
          <w:color w:val="000000"/>
          <w:sz w:val="28"/>
          <w:szCs w:val="28"/>
          <w:u w:val="none"/>
        </w:rPr>
        <w:t>如本文件的前后内容不一致，以</w:t>
      </w:r>
      <w:r>
        <w:rPr>
          <w:rFonts w:hint="eastAsia" w:ascii="仿宋" w:hAnsi="仿宋" w:eastAsia="仿宋" w:cs="仿宋"/>
          <w:color w:val="000000"/>
          <w:sz w:val="28"/>
          <w:szCs w:val="28"/>
          <w:u w:val="none"/>
        </w:rPr>
        <w:t>“投标人须知资料表”描述为准。</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5.3</w:t>
      </w:r>
      <w:r>
        <w:rPr>
          <w:rFonts w:hint="eastAsia" w:ascii="仿宋" w:hAnsi="仿宋" w:eastAsia="仿宋" w:cs="仿宋"/>
          <w:b w:val="0"/>
          <w:color w:val="000000"/>
          <w:sz w:val="28"/>
          <w:szCs w:val="28"/>
          <w:u w:val="none"/>
        </w:rPr>
        <w:t>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 w:hAnsi="仿宋" w:eastAsia="仿宋" w:cs="仿宋"/>
          <w:color w:val="000000"/>
          <w:sz w:val="28"/>
          <w:szCs w:val="28"/>
          <w:u w:val="none"/>
        </w:rPr>
        <w:t>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45" w:name="_Toc515904805"/>
      <w:bookmarkStart w:id="46" w:name="_Toc520356148"/>
      <w:bookmarkStart w:id="47" w:name="_Toc26044"/>
      <w:bookmarkStart w:id="48" w:name="_Toc9232"/>
      <w:bookmarkStart w:id="49" w:name="_Toc1922"/>
      <w:r>
        <w:rPr>
          <w:rFonts w:hint="eastAsia" w:ascii="仿宋" w:hAnsi="仿宋" w:eastAsia="仿宋" w:cs="仿宋"/>
          <w:color w:val="000000"/>
          <w:sz w:val="28"/>
          <w:szCs w:val="28"/>
          <w:u w:val="none"/>
        </w:rPr>
        <w:t>6.招标文件的澄清</w:t>
      </w:r>
      <w:bookmarkEnd w:id="45"/>
      <w:bookmarkEnd w:id="46"/>
      <w:r>
        <w:rPr>
          <w:rFonts w:hint="eastAsia" w:ascii="仿宋" w:hAnsi="仿宋" w:eastAsia="仿宋" w:cs="仿宋"/>
          <w:color w:val="000000"/>
          <w:sz w:val="28"/>
          <w:szCs w:val="28"/>
          <w:u w:val="none"/>
        </w:rPr>
        <w:t>与修改</w:t>
      </w:r>
      <w:bookmarkEnd w:id="47"/>
      <w:bookmarkEnd w:id="48"/>
      <w:bookmarkEnd w:id="49"/>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color w:val="000000"/>
          <w:sz w:val="28"/>
          <w:szCs w:val="28"/>
          <w:u w:val="none"/>
        </w:rPr>
        <w:t>6.1</w:t>
      </w:r>
      <w:r>
        <w:rPr>
          <w:rFonts w:hint="eastAsia" w:ascii="仿宋" w:hAnsi="仿宋" w:eastAsia="仿宋" w:cs="仿宋"/>
          <w:b w:val="0"/>
          <w:color w:val="000000"/>
          <w:sz w:val="28"/>
          <w:szCs w:val="28"/>
          <w:u w:val="none"/>
        </w:rPr>
        <w:t>为了保证对招标文件的澄清和修改满足法律的时限要求，任何要求对招标文件进行澄清的投标人，均应在投标截止期十五日前，以书面形式将澄清要求通知采购人或采购代理机构。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bookmarkStart w:id="50" w:name="_Ref467378678"/>
      <w:bookmarkStart w:id="51" w:name="_Toc520356149"/>
      <w:bookmarkStart w:id="52" w:name="_Toc515904806"/>
      <w:r>
        <w:rPr>
          <w:rFonts w:hint="eastAsia" w:ascii="仿宋" w:hAnsi="仿宋" w:eastAsia="仿宋" w:cs="仿宋"/>
          <w:b w:val="0"/>
          <w:color w:val="000000"/>
          <w:sz w:val="28"/>
          <w:szCs w:val="28"/>
          <w:u w:val="none"/>
        </w:rPr>
        <w:t>6.2采购人或招标代理机构将在日内对招标文件进行澄清或修改。采购代理机构将以发布澄清（更正）公告的方式，澄清或修改招标文件，澄清或修改内容作为招标文件的组成部分。</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6.3澄清或者修改的内容可能影响投标文件编制的，采购代理机构将以书面形式通知所有购买招标文件的潜在投标人，并对其具有约束力。投标人在收到上述通知后，应及时向采购代理机构回函确认。</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53" w:name="_Toc14569"/>
      <w:bookmarkStart w:id="54" w:name="_Toc12448"/>
      <w:bookmarkStart w:id="55" w:name="_Toc25635"/>
      <w:r>
        <w:rPr>
          <w:rFonts w:hint="eastAsia" w:ascii="仿宋" w:hAnsi="仿宋" w:eastAsia="仿宋" w:cs="仿宋"/>
          <w:color w:val="000000"/>
          <w:sz w:val="28"/>
          <w:szCs w:val="28"/>
          <w:u w:val="none"/>
        </w:rPr>
        <w:t>7</w:t>
      </w:r>
      <w:bookmarkEnd w:id="50"/>
      <w:bookmarkEnd w:id="51"/>
      <w:bookmarkEnd w:id="52"/>
      <w:r>
        <w:rPr>
          <w:rFonts w:hint="eastAsia" w:ascii="仿宋" w:hAnsi="仿宋" w:eastAsia="仿宋" w:cs="仿宋"/>
          <w:color w:val="000000"/>
          <w:sz w:val="28"/>
          <w:szCs w:val="28"/>
          <w:u w:val="none"/>
        </w:rPr>
        <w:t>.投标截止时间的顺延</w:t>
      </w:r>
      <w:bookmarkEnd w:id="53"/>
      <w:bookmarkEnd w:id="54"/>
      <w:bookmarkEnd w:id="55"/>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为使投标人准备投标时有足够的时间对招标文件的澄清或者修改部分进行研究，采购人将依法决定是否顺延投标截止时间。</w:t>
      </w:r>
    </w:p>
    <w:p>
      <w:pPr>
        <w:ind w:left="900"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bookmarkStart w:id="56" w:name="_Toc516367020"/>
      <w:bookmarkStart w:id="57" w:name="_Toc515647766"/>
      <w:bookmarkStart w:id="58" w:name="_Toc7636"/>
      <w:bookmarkStart w:id="59" w:name="_Toc31039"/>
      <w:bookmarkStart w:id="60" w:name="_Toc520356150"/>
      <w:bookmarkStart w:id="61" w:name="_Toc216582807"/>
      <w:bookmarkStart w:id="62" w:name="_Toc30808"/>
      <w:bookmarkStart w:id="63" w:name="_Toc522633270"/>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p>
    <w:p/>
    <w:p>
      <w:pPr>
        <w:pStyle w:val="5"/>
        <w:keepNext w:val="0"/>
        <w:keepLines w:val="0"/>
        <w:tabs>
          <w:tab w:val="left" w:pos="900"/>
        </w:tabs>
        <w:spacing w:before="0" w:line="240" w:lineRule="auto"/>
        <w:ind w:left="539" w:leftChars="257" w:firstLine="560" w:firstLineChars="200"/>
        <w:rPr>
          <w:rFonts w:ascii="仿宋" w:hAnsi="仿宋" w:eastAsia="仿宋" w:cs="仿宋"/>
          <w:color w:val="000000"/>
          <w:sz w:val="28"/>
          <w:szCs w:val="28"/>
        </w:rPr>
      </w:pPr>
      <w:bookmarkStart w:id="64" w:name="_Toc32440"/>
      <w:r>
        <w:rPr>
          <w:rFonts w:hint="eastAsia" w:ascii="仿宋" w:hAnsi="仿宋" w:eastAsia="仿宋" w:cs="仿宋"/>
          <w:color w:val="000000"/>
          <w:sz w:val="28"/>
          <w:szCs w:val="28"/>
        </w:rPr>
        <w:t>三   投标文件</w:t>
      </w:r>
      <w:bookmarkEnd w:id="56"/>
      <w:r>
        <w:rPr>
          <w:rFonts w:hint="eastAsia" w:ascii="仿宋" w:hAnsi="仿宋" w:eastAsia="仿宋" w:cs="仿宋"/>
          <w:color w:val="000000"/>
          <w:sz w:val="28"/>
          <w:szCs w:val="28"/>
        </w:rPr>
        <w:t>的编制</w:t>
      </w:r>
      <w:bookmarkEnd w:id="57"/>
      <w:bookmarkEnd w:id="58"/>
      <w:bookmarkEnd w:id="59"/>
      <w:bookmarkEnd w:id="60"/>
      <w:bookmarkEnd w:id="61"/>
      <w:bookmarkEnd w:id="62"/>
      <w:bookmarkEnd w:id="63"/>
      <w:bookmarkEnd w:id="64"/>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65" w:name="_Toc520356151"/>
      <w:bookmarkStart w:id="66" w:name="_Toc30570"/>
      <w:bookmarkStart w:id="67" w:name="_Toc516367021"/>
      <w:bookmarkStart w:id="68" w:name="_Toc515647767"/>
      <w:bookmarkStart w:id="69" w:name="_Toc7786"/>
      <w:bookmarkStart w:id="70" w:name="_Toc3553"/>
      <w:r>
        <w:rPr>
          <w:rFonts w:hint="eastAsia" w:ascii="仿宋" w:hAnsi="仿宋" w:eastAsia="仿宋" w:cs="仿宋"/>
          <w:color w:val="000000"/>
          <w:sz w:val="28"/>
          <w:szCs w:val="28"/>
          <w:u w:val="none"/>
        </w:rPr>
        <w:t>8.</w:t>
      </w:r>
      <w:r>
        <w:rPr>
          <w:rFonts w:hint="eastAsia" w:ascii="仿宋" w:hAnsi="仿宋" w:eastAsia="仿宋" w:cs="仿宋"/>
          <w:color w:val="000000"/>
          <w:sz w:val="28"/>
          <w:szCs w:val="28"/>
          <w:u w:val="none"/>
        </w:rPr>
        <w:tab/>
      </w:r>
      <w:r>
        <w:rPr>
          <w:rFonts w:hint="eastAsia" w:ascii="仿宋" w:hAnsi="仿宋" w:eastAsia="仿宋" w:cs="仿宋"/>
          <w:color w:val="000000"/>
          <w:sz w:val="28"/>
          <w:szCs w:val="28"/>
          <w:u w:val="none"/>
        </w:rPr>
        <w:t>投标范围及投标文件中标准和计量单位的使用</w:t>
      </w:r>
      <w:bookmarkEnd w:id="65"/>
      <w:bookmarkEnd w:id="66"/>
      <w:bookmarkEnd w:id="67"/>
      <w:bookmarkEnd w:id="68"/>
      <w:bookmarkEnd w:id="69"/>
      <w:bookmarkEnd w:id="70"/>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8.1项目有分包的，投标人不可对招标文件其中某一个或几个分包货物进行投标。</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8.2投标人应当对所投招标文件中“服务需求”所列的所有内容进行投标，如仅响应某一包中的部分内容，其该包投标将被认定为投标无效。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8.3无论招标文件第5章货物需求一览表及技术规格中是否要求，投标人所投货物均应符合国家强制性标准。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8.4除招标文件中有特殊要求外，投标文件中所使用的计量单位，应采用中华人民共和国法定计量单位。</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71" w:name="_Toc516367022"/>
      <w:bookmarkStart w:id="72" w:name="_Ref467306676"/>
      <w:bookmarkStart w:id="73" w:name="_Ref467306195"/>
      <w:bookmarkStart w:id="74" w:name="_Toc18692"/>
      <w:bookmarkStart w:id="75" w:name="_Toc28307"/>
      <w:bookmarkStart w:id="76" w:name="_Toc10364"/>
      <w:bookmarkStart w:id="77" w:name="_Toc515647768"/>
      <w:bookmarkStart w:id="78" w:name="_Toc520356152"/>
      <w:r>
        <w:rPr>
          <w:rFonts w:hint="eastAsia" w:ascii="仿宋" w:hAnsi="仿宋" w:eastAsia="仿宋" w:cs="仿宋"/>
          <w:color w:val="000000"/>
          <w:sz w:val="28"/>
          <w:szCs w:val="28"/>
          <w:u w:val="none"/>
        </w:rPr>
        <w:t>9.投标文件</w:t>
      </w:r>
      <w:bookmarkEnd w:id="71"/>
      <w:bookmarkEnd w:id="72"/>
      <w:bookmarkEnd w:id="73"/>
      <w:r>
        <w:rPr>
          <w:rFonts w:hint="eastAsia" w:ascii="仿宋" w:hAnsi="仿宋" w:eastAsia="仿宋" w:cs="仿宋"/>
          <w:color w:val="000000"/>
          <w:sz w:val="28"/>
          <w:szCs w:val="28"/>
          <w:u w:val="none"/>
        </w:rPr>
        <w:t>构成</w:t>
      </w:r>
      <w:bookmarkEnd w:id="74"/>
      <w:bookmarkEnd w:id="75"/>
      <w:bookmarkEnd w:id="76"/>
      <w:bookmarkEnd w:id="77"/>
      <w:bookmarkEnd w:id="78"/>
    </w:p>
    <w:p>
      <w:pPr>
        <w:pStyle w:val="6"/>
        <w:keepNext w:val="0"/>
        <w:keepLines w:val="0"/>
        <w:tabs>
          <w:tab w:val="left" w:pos="900"/>
        </w:tabs>
        <w:spacing w:before="0" w:after="0"/>
        <w:ind w:firstLine="560" w:firstLineChars="200"/>
        <w:rPr>
          <w:rFonts w:ascii="仿宋" w:hAnsi="仿宋" w:eastAsia="仿宋" w:cs="仿宋"/>
          <w:color w:val="000000"/>
          <w:sz w:val="28"/>
          <w:szCs w:val="28"/>
        </w:rPr>
      </w:pPr>
      <w:bookmarkStart w:id="79" w:name="_Ref467052588"/>
      <w:r>
        <w:rPr>
          <w:rFonts w:hint="eastAsia" w:ascii="仿宋" w:hAnsi="仿宋" w:eastAsia="仿宋" w:cs="仿宋"/>
          <w:color w:val="000000"/>
          <w:sz w:val="28"/>
          <w:szCs w:val="28"/>
          <w:u w:val="none"/>
        </w:rPr>
        <w:t>9.1</w:t>
      </w:r>
      <w:r>
        <w:rPr>
          <w:rFonts w:hint="eastAsia" w:ascii="仿宋" w:hAnsi="仿宋" w:eastAsia="仿宋" w:cs="仿宋"/>
          <w:color w:val="000000"/>
          <w:sz w:val="28"/>
          <w:szCs w:val="28"/>
        </w:rPr>
        <w:t>投标人应完整地按招标文件提供的投标文件格式及要求遍写投标文件，投标文件应包括“开标一览表及资格证明文件”、“商务及技术文件”、“投标文件电子文档（U盘）（即“开标一览表及资格证明文件”及“商务及技术文件”电子文档）”三个部分，三部分投标文件分别单独密封递交。投标人应承担封装失误产生的任何后果。</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9.2上述文件应按照招标文件规定的格式填写、签署和盖章。</w:t>
      </w:r>
    </w:p>
    <w:bookmarkEnd w:id="79"/>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80" w:name="_Toc10379"/>
      <w:bookmarkStart w:id="81" w:name="_Toc13143"/>
      <w:bookmarkStart w:id="82" w:name="_Toc4601"/>
      <w:bookmarkStart w:id="83" w:name="_Toc515647769"/>
      <w:bookmarkStart w:id="84" w:name="_Toc520356153"/>
      <w:bookmarkStart w:id="85" w:name="_Toc516367023"/>
      <w:r>
        <w:rPr>
          <w:rFonts w:hint="eastAsia" w:ascii="仿宋" w:hAnsi="仿宋" w:eastAsia="仿宋" w:cs="仿宋"/>
          <w:color w:val="000000"/>
          <w:sz w:val="28"/>
          <w:szCs w:val="28"/>
          <w:u w:val="none"/>
        </w:rPr>
        <w:t>10.证明投标标的的合格性和符合招标文件规定的技术文件</w:t>
      </w:r>
      <w:bookmarkEnd w:id="80"/>
      <w:bookmarkEnd w:id="81"/>
      <w:bookmarkEnd w:id="82"/>
      <w:bookmarkEnd w:id="83"/>
      <w:bookmarkEnd w:id="84"/>
      <w:bookmarkEnd w:id="85"/>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10.1</w:t>
      </w:r>
      <w:r>
        <w:rPr>
          <w:rFonts w:hint="eastAsia" w:ascii="仿宋" w:hAnsi="仿宋" w:eastAsia="仿宋" w:cs="仿宋"/>
          <w:b w:val="0"/>
          <w:color w:val="000000"/>
          <w:sz w:val="28"/>
          <w:szCs w:val="28"/>
          <w:u w:val="none"/>
        </w:rPr>
        <w:tab/>
      </w:r>
      <w:r>
        <w:rPr>
          <w:rFonts w:hint="eastAsia" w:ascii="仿宋" w:hAnsi="仿宋" w:eastAsia="仿宋" w:cs="仿宋"/>
          <w:b w:val="0"/>
          <w:color w:val="000000"/>
          <w:sz w:val="28"/>
          <w:szCs w:val="28"/>
          <w:u w:val="none"/>
        </w:rPr>
        <w:t>投标人应提交证明文件，证明其投标内容符合招标文件规定。该证明文件是投标文件的一部分。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bookmarkStart w:id="86" w:name="_Ref467306244"/>
      <w:r>
        <w:rPr>
          <w:rFonts w:hint="eastAsia" w:ascii="仿宋" w:hAnsi="仿宋" w:eastAsia="仿宋" w:cs="仿宋"/>
          <w:b w:val="0"/>
          <w:color w:val="000000"/>
          <w:sz w:val="28"/>
          <w:szCs w:val="28"/>
          <w:u w:val="none"/>
        </w:rPr>
        <w:t>10.2上款所述的证明文件，可以是文字资料、图纸和数据，</w:t>
      </w:r>
      <w:bookmarkEnd w:id="86"/>
      <w:r>
        <w:rPr>
          <w:rFonts w:hint="eastAsia" w:ascii="仿宋" w:hAnsi="仿宋" w:eastAsia="仿宋" w:cs="仿宋"/>
          <w:b w:val="0"/>
          <w:color w:val="000000"/>
          <w:sz w:val="28"/>
          <w:szCs w:val="28"/>
          <w:u w:val="none"/>
        </w:rPr>
        <w:t>它包括：</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10.2.10货物主要技术指标和性能的详细说明；</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10.2.2货物从买方开始使用至招标文件规定的保质期内正常、连续地使用所必须的备件和专用工具清单，包括备件和专用工具的货源及现行价格；</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10.2.3对照招标文件技术规格，逐条说明所提供货物及伴随的工程和服务已对招标文件的技术规格做出了实质性的响应，或申明与技术规格条文的偏差和例外。</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10.3投标人应注意采购人在技术规格中指出的工艺、材料和设备的参照品牌型号或分类号仅起说明作用，并没有任何限制性。投标人在投标中可以选用替代牌号或分类号，但这些替代要实质上相当于技术规格的要求。采购人、采购代理机构承诺不以上述参照品牌型号或分类号作为评标时判定其投标是否有效的标准。</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87" w:name="_Toc23231"/>
      <w:bookmarkStart w:id="88" w:name="_Toc2248"/>
      <w:bookmarkStart w:id="89" w:name="_Toc19624"/>
      <w:bookmarkStart w:id="90" w:name="_Toc515647770"/>
      <w:bookmarkStart w:id="91" w:name="_Toc520356155"/>
      <w:r>
        <w:rPr>
          <w:rFonts w:hint="eastAsia" w:ascii="仿宋" w:hAnsi="仿宋" w:eastAsia="仿宋" w:cs="仿宋"/>
          <w:color w:val="000000"/>
          <w:sz w:val="28"/>
          <w:szCs w:val="28"/>
          <w:u w:val="none"/>
        </w:rPr>
        <w:t>11.投标报价</w:t>
      </w:r>
      <w:bookmarkEnd w:id="87"/>
      <w:bookmarkEnd w:id="88"/>
      <w:bookmarkEnd w:id="89"/>
      <w:bookmarkEnd w:id="90"/>
      <w:bookmarkEnd w:id="91"/>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11.1所有投标均以人民币报价。投标人的投标报价应遵守《中华人民共和国价格法》。同时，根据《中华人民共和国政府采购法》第二条的规定，为保证公平竞争，</w:t>
      </w:r>
      <w:r>
        <w:rPr>
          <w:rFonts w:hint="eastAsia" w:ascii="仿宋" w:hAnsi="仿宋" w:eastAsia="仿宋" w:cs="仿宋"/>
          <w:color w:val="000000"/>
          <w:sz w:val="28"/>
          <w:szCs w:val="28"/>
          <w:u w:val="none"/>
        </w:rPr>
        <w:t>如有货物主体部分的赠与行为，其投标将被认定为投标无效。投标总价高于项目预算总价，其投标也将被认定为投标无效。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11.2投标人应在投标分项报价表上标明投标货物及相关服务的单价（如适用）和总价，并由法定代表人或其授权代表签署。</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11.3投标分项报价表上的价格包括以下部分：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11.3.1投标货物安装、调试、检验、技术服务和培训等费用；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11.3.2货物运至最终目的地的运输费和保险费用。</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11.4</w:t>
      </w:r>
      <w:r>
        <w:rPr>
          <w:rFonts w:hint="eastAsia" w:ascii="仿宋" w:hAnsi="仿宋" w:eastAsia="仿宋" w:cs="仿宋"/>
          <w:color w:val="000000"/>
          <w:sz w:val="28"/>
          <w:szCs w:val="28"/>
          <w:u w:val="none"/>
        </w:rPr>
        <w:t>投标人所报的各分项投标单价在合同履行过程中是固定不变的，不得以任何理由予以变更。任何包含价格调整要求的投标，其投标将被认定为投标无效。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11.5</w:t>
      </w:r>
      <w:r>
        <w:rPr>
          <w:rFonts w:hint="eastAsia" w:ascii="仿宋" w:hAnsi="仿宋" w:eastAsia="仿宋" w:cs="仿宋"/>
          <w:color w:val="000000"/>
          <w:sz w:val="28"/>
          <w:szCs w:val="28"/>
          <w:u w:val="none"/>
        </w:rPr>
        <w:t>每种货物只能有一个投标报价。采购人不接受具有附加条件的报价。</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92" w:name="_Ref467306513"/>
      <w:bookmarkStart w:id="93" w:name="_Toc22212"/>
      <w:bookmarkStart w:id="94" w:name="_Toc17788"/>
      <w:bookmarkStart w:id="95" w:name="_Toc11514"/>
      <w:bookmarkStart w:id="96" w:name="_Toc520356156"/>
      <w:bookmarkStart w:id="97" w:name="_Toc515647771"/>
      <w:r>
        <w:rPr>
          <w:rFonts w:hint="eastAsia" w:ascii="仿宋" w:hAnsi="仿宋" w:eastAsia="仿宋" w:cs="仿宋"/>
          <w:color w:val="000000"/>
          <w:sz w:val="28"/>
          <w:szCs w:val="28"/>
          <w:u w:val="none"/>
        </w:rPr>
        <w:t>12.投标保证金</w:t>
      </w:r>
      <w:bookmarkEnd w:id="92"/>
      <w:bookmarkEnd w:id="93"/>
      <w:bookmarkEnd w:id="94"/>
      <w:bookmarkEnd w:id="95"/>
      <w:bookmarkEnd w:id="96"/>
      <w:bookmarkEnd w:id="97"/>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bookmarkStart w:id="98" w:name="_Ref467306302"/>
      <w:r>
        <w:rPr>
          <w:rFonts w:hint="eastAsia" w:ascii="仿宋" w:hAnsi="仿宋" w:eastAsia="仿宋" w:cs="仿宋"/>
          <w:color w:val="000000"/>
          <w:sz w:val="28"/>
          <w:szCs w:val="28"/>
          <w:u w:val="none"/>
        </w:rPr>
        <w:t>12.1</w:t>
      </w:r>
      <w:r>
        <w:rPr>
          <w:rFonts w:hint="eastAsia" w:ascii="仿宋" w:hAnsi="仿宋" w:eastAsia="仿宋" w:cs="仿宋"/>
          <w:b w:val="0"/>
          <w:color w:val="000000"/>
          <w:sz w:val="28"/>
          <w:szCs w:val="28"/>
          <w:u w:val="none"/>
        </w:rPr>
        <w:t>投标人应提交</w:t>
      </w:r>
      <w:r>
        <w:rPr>
          <w:rFonts w:hint="eastAsia" w:ascii="仿宋" w:hAnsi="仿宋" w:eastAsia="仿宋" w:cs="仿宋"/>
          <w:color w:val="000000"/>
          <w:sz w:val="28"/>
          <w:szCs w:val="28"/>
          <w:u w:val="none"/>
        </w:rPr>
        <w:t>投标人须知资料表</w:t>
      </w:r>
      <w:r>
        <w:rPr>
          <w:rFonts w:hint="eastAsia" w:ascii="仿宋" w:hAnsi="仿宋" w:eastAsia="仿宋" w:cs="仿宋"/>
          <w:b w:val="0"/>
          <w:color w:val="000000"/>
          <w:sz w:val="28"/>
          <w:szCs w:val="28"/>
          <w:u w:val="none"/>
        </w:rPr>
        <w:t>中规定的投标保证金</w:t>
      </w:r>
      <w:bookmarkEnd w:id="98"/>
      <w:r>
        <w:rPr>
          <w:rFonts w:hint="eastAsia" w:ascii="仿宋" w:hAnsi="仿宋" w:eastAsia="仿宋" w:cs="仿宋"/>
          <w:b w:val="0"/>
          <w:color w:val="000000"/>
          <w:sz w:val="28"/>
          <w:szCs w:val="28"/>
          <w:u w:val="none"/>
        </w:rPr>
        <w:t>，并作为其投标的一部分。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12.2投标人存在下列情形的，投标保证金不予退还：</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（1）在投标有效期内，撤销投标的；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（2）中标后不按本须知第30条的规定与采购人签订合同的；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（3）中标后不按本须知第31条的规定提交履约保证金的；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（4）中标后不按本须知第32条的规定缴纳中标服务费的；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（5）存在其他违法违规行为的。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bookmarkStart w:id="99" w:name="_Ref467306336"/>
      <w:r>
        <w:rPr>
          <w:rFonts w:hint="eastAsia" w:ascii="仿宋" w:hAnsi="仿宋" w:eastAsia="仿宋" w:cs="仿宋"/>
          <w:b w:val="0"/>
          <w:color w:val="000000"/>
          <w:sz w:val="28"/>
          <w:szCs w:val="28"/>
          <w:u w:val="none"/>
        </w:rPr>
        <w:t>12.3</w:t>
      </w:r>
      <w:bookmarkEnd w:id="99"/>
      <w:r>
        <w:rPr>
          <w:rFonts w:hint="eastAsia" w:ascii="仿宋" w:hAnsi="仿宋" w:eastAsia="仿宋" w:cs="仿宋"/>
          <w:b w:val="0"/>
          <w:color w:val="000000"/>
          <w:sz w:val="28"/>
          <w:szCs w:val="28"/>
          <w:u w:val="none"/>
        </w:rPr>
        <w:t>政府采购信用担保试点范围内的项目，接受符合财政部门规定的政府采购投标担保函原件。（本项目不适用）</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12.4投标人未按本须知第12.1和12.3条规定提交投标保证金的，其投标将被认定为投标无效。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12.5投标保证金的退还</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12.5.1中标人应在与采购人签订合同之日起5个工作日内，及时联系保证金收受机构办理投标保证金无息退还手续。</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12.5.2未中标投标人的投标保证金将在中标通知书发出之日暨中标结果公告公布之日起5个工作日内无息退还。投标人应及时联系保证金收受机构办理退还投标保证金手续。</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12.5.3政府采购投标担保函不予退回。</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12.6因投标人自身原因导致无法及时退还的，采购人或采购代理机构将不承担相应责任。</w:t>
      </w:r>
      <w:bookmarkStart w:id="100" w:name="_Toc23590"/>
      <w:bookmarkStart w:id="101" w:name="_Toc22901"/>
      <w:bookmarkStart w:id="102" w:name="_Toc515647772"/>
      <w:bookmarkStart w:id="103" w:name="_Toc520356157"/>
      <w:bookmarkStart w:id="104" w:name="_Toc32569"/>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13.投标有效期</w:t>
      </w:r>
      <w:bookmarkEnd w:id="100"/>
      <w:bookmarkEnd w:id="101"/>
      <w:bookmarkEnd w:id="102"/>
      <w:bookmarkEnd w:id="103"/>
      <w:bookmarkEnd w:id="104"/>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13.1本项目投标有效期为60个日历天，投标有效期不满足要求的投标，其投标将被认定为投标无效。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13.2</w:t>
      </w:r>
      <w:r>
        <w:rPr>
          <w:rFonts w:hint="eastAsia" w:ascii="仿宋" w:hAnsi="仿宋" w:eastAsia="仿宋" w:cs="仿宋"/>
          <w:b w:val="0"/>
          <w:color w:val="000000"/>
          <w:sz w:val="28"/>
          <w:szCs w:val="28"/>
          <w:u w:val="none"/>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05" w:name="_Toc520356158"/>
      <w:bookmarkStart w:id="106" w:name="_Toc493"/>
      <w:bookmarkStart w:id="107" w:name="_Toc17074"/>
      <w:bookmarkStart w:id="108" w:name="_Toc17609"/>
      <w:bookmarkStart w:id="109" w:name="_Toc515647773"/>
      <w:r>
        <w:rPr>
          <w:rFonts w:hint="eastAsia" w:ascii="仿宋" w:hAnsi="仿宋" w:eastAsia="仿宋" w:cs="仿宋"/>
          <w:color w:val="000000"/>
          <w:sz w:val="28"/>
          <w:szCs w:val="28"/>
          <w:u w:val="none"/>
        </w:rPr>
        <w:t>14.投标文件的签署</w:t>
      </w:r>
      <w:bookmarkEnd w:id="105"/>
      <w:r>
        <w:rPr>
          <w:rFonts w:hint="eastAsia" w:ascii="仿宋" w:hAnsi="仿宋" w:eastAsia="仿宋" w:cs="仿宋"/>
          <w:color w:val="000000"/>
          <w:sz w:val="28"/>
          <w:szCs w:val="28"/>
          <w:u w:val="none"/>
        </w:rPr>
        <w:t>及规定</w:t>
      </w:r>
      <w:bookmarkEnd w:id="106"/>
      <w:bookmarkEnd w:id="107"/>
      <w:bookmarkEnd w:id="108"/>
      <w:bookmarkEnd w:id="109"/>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14.1</w:t>
      </w:r>
      <w:r>
        <w:rPr>
          <w:rFonts w:hint="eastAsia" w:ascii="仿宋" w:hAnsi="仿宋" w:eastAsia="仿宋" w:cs="仿宋"/>
          <w:b w:val="0"/>
          <w:color w:val="000000"/>
          <w:sz w:val="28"/>
          <w:szCs w:val="28"/>
          <w:u w:val="none"/>
        </w:rPr>
        <w:t>投标人应按</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中的规定，</w:t>
      </w:r>
      <w:r>
        <w:rPr>
          <w:rFonts w:hint="eastAsia" w:ascii="仿宋" w:hAnsi="仿宋" w:eastAsia="仿宋" w:cs="仿宋"/>
          <w:color w:val="000000"/>
          <w:sz w:val="28"/>
          <w:szCs w:val="28"/>
          <w:u w:val="none"/>
        </w:rPr>
        <w:t>准备和递交开标一览表及资格证明文件正副本、商务和技术文件正副本、投标文件电子文档（U盘），每份开标一览表及资格证明文件、商务和技术文件封皮须清楚地标明“正本”或“副本”，若正本和副本不符，以正本为准。投标文件电子文档（U盘）张贴投标人名称的标签。</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14.2投标文件的正本需打印或用不褪色墨水书写，并由投标人的法定代表人或经其正式委托代理人按招标文件规定在投标文件上签字并加盖单位印章。委托代理人须持有书面的“法定代表人授权委托书”（投标文件格式二），法定代表人须持有书面的“法定代表人身份证明书”（投标文件格式三），并将其附在投标文件中。如对投标文件进行了修改，则应由投标人的法定代表人或其委托代理人在每一修改处签字。投标文件的副本可采用正本的复印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14.3投标文件的封面，包括项目名称、项目编号、投标人名称、法定代表人或其委托代理人签字、日期</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14.4所有投标文件采用不可拆装的胶订方式装订，否则其投标将被认定为</w:t>
      </w:r>
      <w:r>
        <w:rPr>
          <w:rFonts w:hint="eastAsia" w:ascii="仿宋" w:hAnsi="仿宋" w:eastAsia="仿宋" w:cs="仿宋"/>
          <w:color w:val="000000"/>
          <w:sz w:val="28"/>
          <w:szCs w:val="28"/>
          <w:u w:val="none"/>
        </w:rPr>
        <w:t>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sectPr>
          <w:pgSz w:w="11906" w:h="16838"/>
          <w:pgMar w:top="1440" w:right="1797" w:bottom="1440" w:left="1797" w:header="851" w:footer="992" w:gutter="0"/>
          <w:cols w:space="720" w:num="1"/>
          <w:docGrid w:type="linesAndChars" w:linePitch="312" w:charSpace="0"/>
        </w:sectPr>
      </w:pPr>
      <w:r>
        <w:rPr>
          <w:rFonts w:hint="eastAsia" w:ascii="仿宋" w:hAnsi="仿宋" w:eastAsia="仿宋" w:cs="仿宋"/>
          <w:b w:val="0"/>
          <w:color w:val="000000"/>
          <w:sz w:val="28"/>
          <w:szCs w:val="28"/>
          <w:u w:val="none"/>
        </w:rPr>
        <w:t>14.5投标文件因字迹潦草、表达不清或装订不当所引起的后果由投标人负责。</w:t>
      </w:r>
    </w:p>
    <w:p>
      <w:pPr>
        <w:pStyle w:val="6"/>
        <w:keepNext w:val="0"/>
        <w:keepLines w:val="0"/>
        <w:tabs>
          <w:tab w:val="left" w:pos="900"/>
        </w:tabs>
        <w:spacing w:before="0" w:after="0"/>
        <w:ind w:firstLine="560" w:firstLineChars="200"/>
        <w:jc w:val="center"/>
        <w:rPr>
          <w:rFonts w:ascii="仿宋" w:hAnsi="仿宋" w:eastAsia="仿宋" w:cs="仿宋"/>
          <w:color w:val="000000"/>
          <w:sz w:val="28"/>
          <w:szCs w:val="28"/>
          <w:u w:val="none"/>
        </w:rPr>
      </w:pPr>
      <w:bookmarkStart w:id="110" w:name="_Toc522633271"/>
      <w:bookmarkStart w:id="111" w:name="_Toc11179"/>
      <w:bookmarkStart w:id="112" w:name="_Toc515647774"/>
      <w:bookmarkStart w:id="113" w:name="_Toc216582808"/>
      <w:bookmarkStart w:id="114" w:name="_Toc520356159"/>
      <w:bookmarkStart w:id="115" w:name="_Toc25925"/>
      <w:bookmarkStart w:id="116" w:name="_Toc16865"/>
      <w:r>
        <w:rPr>
          <w:rFonts w:hint="eastAsia" w:ascii="仿宋" w:hAnsi="仿宋" w:eastAsia="仿宋" w:cs="仿宋"/>
          <w:color w:val="000000"/>
          <w:sz w:val="28"/>
          <w:szCs w:val="28"/>
          <w:u w:val="none"/>
        </w:rPr>
        <w:t>四、 投标文件的递交</w:t>
      </w:r>
      <w:bookmarkEnd w:id="110"/>
      <w:bookmarkEnd w:id="111"/>
      <w:bookmarkEnd w:id="112"/>
      <w:bookmarkEnd w:id="113"/>
      <w:bookmarkEnd w:id="114"/>
      <w:bookmarkEnd w:id="115"/>
      <w:bookmarkEnd w:id="116"/>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17" w:name="_Toc515647775"/>
      <w:bookmarkStart w:id="118" w:name="_Toc520356160"/>
      <w:bookmarkStart w:id="119" w:name="_Toc32337"/>
      <w:bookmarkStart w:id="120" w:name="_Toc21645"/>
      <w:bookmarkStart w:id="121" w:name="_Toc26195"/>
      <w:r>
        <w:rPr>
          <w:rFonts w:hint="eastAsia" w:ascii="仿宋" w:hAnsi="仿宋" w:eastAsia="仿宋" w:cs="仿宋"/>
          <w:color w:val="000000"/>
          <w:sz w:val="28"/>
          <w:szCs w:val="28"/>
          <w:u w:val="none"/>
        </w:rPr>
        <w:t>15.投标文件的密封和标记</w:t>
      </w:r>
      <w:bookmarkEnd w:id="117"/>
      <w:bookmarkEnd w:id="118"/>
      <w:bookmarkEnd w:id="119"/>
      <w:bookmarkEnd w:id="120"/>
      <w:bookmarkEnd w:id="121"/>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15.1为方便开标及进行资格审查，投标人应将投标文件三部分的内容分开单独密封提交，并在封皮正面标明“开标一览表及资格证明文件”、“商务及技术文件”及“电子版（U盘）投标文件”字样。</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15.2所有包装封皮和信封上均应：</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（1）注明招标公告或投标邀请书中指明的项目名称、项目编号、投标人名称、法定代表人或其委托代理人签字、日期和“在（开标时间）之前不得启封”的字样。</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（2）在封口处加盖投标人单位章，或由法定代表人（或其委托代理人）签字。</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15.3如果投标人未按上述要求密封的，将被拒绝接收。</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15.4资格证明文件密封装订在其他投标文件中，或其他混装方式，其投标将被认定为投标无效。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22" w:name="_Toc520356161"/>
      <w:bookmarkStart w:id="123" w:name="_Toc9840"/>
      <w:bookmarkStart w:id="124" w:name="_Toc515647776"/>
      <w:bookmarkStart w:id="125" w:name="_Toc24017"/>
      <w:bookmarkStart w:id="126" w:name="_Toc12751"/>
      <w:r>
        <w:rPr>
          <w:rFonts w:hint="eastAsia" w:ascii="仿宋" w:hAnsi="仿宋" w:eastAsia="仿宋" w:cs="仿宋"/>
          <w:color w:val="000000"/>
          <w:sz w:val="28"/>
          <w:szCs w:val="28"/>
          <w:u w:val="none"/>
        </w:rPr>
        <w:t>16.投标截止</w:t>
      </w:r>
      <w:bookmarkEnd w:id="122"/>
      <w:bookmarkEnd w:id="123"/>
      <w:bookmarkEnd w:id="124"/>
      <w:bookmarkEnd w:id="125"/>
      <w:bookmarkEnd w:id="126"/>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color w:val="000000"/>
          <w:sz w:val="28"/>
          <w:szCs w:val="28"/>
          <w:u w:val="none"/>
        </w:rPr>
        <w:t>16.1</w:t>
      </w:r>
      <w:r>
        <w:rPr>
          <w:rFonts w:hint="eastAsia" w:ascii="仿宋" w:hAnsi="仿宋" w:eastAsia="仿宋" w:cs="仿宋"/>
          <w:b w:val="0"/>
          <w:color w:val="000000"/>
          <w:sz w:val="28"/>
          <w:szCs w:val="28"/>
          <w:u w:val="none"/>
        </w:rPr>
        <w:t>投标人应在</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中规定的截止时间前，将投标文件递交到招标公告中规定的地点。</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16.2采购人和采购代理机构有权按本须知的规定，延迟投标截止时间。在此情况下，采购人、采购代理机构和投标人受投标截止时间制约的所有权利和义务均应延长至新的截止时间。</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b w:val="0"/>
          <w:color w:val="000000"/>
          <w:sz w:val="28"/>
          <w:szCs w:val="28"/>
          <w:u w:val="none"/>
        </w:rPr>
        <w:t>16.3采购人和采购代理机构将拒绝接收在投标截止时间后送达的投标文件</w:t>
      </w:r>
      <w:r>
        <w:rPr>
          <w:rFonts w:hint="eastAsia" w:ascii="仿宋" w:hAnsi="仿宋" w:eastAsia="仿宋" w:cs="仿宋"/>
          <w:color w:val="000000"/>
          <w:sz w:val="28"/>
          <w:szCs w:val="28"/>
          <w:u w:val="none"/>
        </w:rPr>
        <w:t>。</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27" w:name="_Toc520356162"/>
      <w:bookmarkStart w:id="128" w:name="_Toc24785"/>
      <w:bookmarkStart w:id="129" w:name="_Toc18537"/>
      <w:bookmarkStart w:id="130" w:name="_Toc515647777"/>
      <w:bookmarkStart w:id="131" w:name="_Toc24275"/>
      <w:r>
        <w:rPr>
          <w:rFonts w:hint="eastAsia" w:ascii="仿宋" w:hAnsi="仿宋" w:eastAsia="仿宋" w:cs="仿宋"/>
          <w:color w:val="000000"/>
          <w:sz w:val="28"/>
          <w:szCs w:val="28"/>
          <w:u w:val="none"/>
        </w:rPr>
        <w:t>17.投标文件的接收、修改与撤回</w:t>
      </w:r>
      <w:bookmarkEnd w:id="127"/>
      <w:bookmarkEnd w:id="128"/>
      <w:bookmarkEnd w:id="129"/>
      <w:bookmarkEnd w:id="130"/>
      <w:bookmarkEnd w:id="131"/>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17.1在投标截止时间后送达的投标文件的，采购人和采购代理机构将拒绝接收。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17.2采购人或者采购代理机构收到投标文件后，应当如实记载投标文件的送达时间和密封情况，并向投标人出具以下签收回执。</w:t>
      </w:r>
    </w:p>
    <w:tbl>
      <w:tblPr>
        <w:tblStyle w:val="15"/>
        <w:tblW w:w="0" w:type="auto"/>
        <w:tblInd w:w="534" w:type="dxa"/>
        <w:tblLayout w:type="fixed"/>
        <w:tblCellMar>
          <w:top w:w="0" w:type="dxa"/>
          <w:left w:w="108" w:type="dxa"/>
          <w:bottom w:w="0" w:type="dxa"/>
          <w:right w:w="108" w:type="dxa"/>
        </w:tblCellMar>
      </w:tblPr>
      <w:tblGrid>
        <w:gridCol w:w="2292"/>
        <w:gridCol w:w="1833"/>
        <w:gridCol w:w="2210"/>
        <w:gridCol w:w="1625"/>
      </w:tblGrid>
      <w:tr>
        <w:tblPrEx>
          <w:tblCellMar>
            <w:top w:w="0" w:type="dxa"/>
            <w:left w:w="108" w:type="dxa"/>
            <w:bottom w:w="0" w:type="dxa"/>
            <w:right w:w="108" w:type="dxa"/>
          </w:tblCellMar>
        </w:tblPrEx>
        <w:trPr>
          <w:trHeight w:val="576" w:hRule="atLeast"/>
        </w:trPr>
        <w:tc>
          <w:tcPr>
            <w:tcW w:w="7960" w:type="dxa"/>
            <w:gridSpan w:val="4"/>
            <w:tcBorders>
              <w:top w:val="nil"/>
              <w:left w:val="nil"/>
              <w:bottom w:val="single" w:color="auto" w:sz="4" w:space="0"/>
              <w:right w:val="nil"/>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xml:space="preserve">接收投标文件回执单        </w:t>
            </w:r>
          </w:p>
        </w:tc>
      </w:tr>
      <w:tr>
        <w:tblPrEx>
          <w:tblCellMar>
            <w:top w:w="0" w:type="dxa"/>
            <w:left w:w="108" w:type="dxa"/>
            <w:bottom w:w="0" w:type="dxa"/>
            <w:right w:w="108" w:type="dxa"/>
          </w:tblCellMar>
        </w:tblPrEx>
        <w:trPr>
          <w:trHeight w:val="515" w:hRule="atLeast"/>
        </w:trPr>
        <w:tc>
          <w:tcPr>
            <w:tcW w:w="2292" w:type="dxa"/>
            <w:tcBorders>
              <w:top w:val="nil"/>
              <w:left w:val="single" w:color="auto" w:sz="4" w:space="0"/>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项目编号</w:t>
            </w:r>
          </w:p>
        </w:tc>
        <w:tc>
          <w:tcPr>
            <w:tcW w:w="5668" w:type="dxa"/>
            <w:gridSpan w:val="3"/>
            <w:tcBorders>
              <w:top w:val="single" w:color="auto" w:sz="4" w:space="0"/>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w:t>
            </w:r>
          </w:p>
        </w:tc>
      </w:tr>
      <w:tr>
        <w:tblPrEx>
          <w:tblCellMar>
            <w:top w:w="0" w:type="dxa"/>
            <w:left w:w="108" w:type="dxa"/>
            <w:bottom w:w="0" w:type="dxa"/>
            <w:right w:w="108" w:type="dxa"/>
          </w:tblCellMar>
        </w:tblPrEx>
        <w:trPr>
          <w:trHeight w:val="515" w:hRule="atLeast"/>
        </w:trPr>
        <w:tc>
          <w:tcPr>
            <w:tcW w:w="2292" w:type="dxa"/>
            <w:tcBorders>
              <w:top w:val="nil"/>
              <w:left w:val="single" w:color="auto" w:sz="4" w:space="0"/>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项目名称</w:t>
            </w:r>
          </w:p>
        </w:tc>
        <w:tc>
          <w:tcPr>
            <w:tcW w:w="5668" w:type="dxa"/>
            <w:gridSpan w:val="3"/>
            <w:tcBorders>
              <w:top w:val="single" w:color="auto" w:sz="4" w:space="0"/>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w:t>
            </w:r>
          </w:p>
        </w:tc>
      </w:tr>
      <w:tr>
        <w:tblPrEx>
          <w:tblCellMar>
            <w:top w:w="0" w:type="dxa"/>
            <w:left w:w="108" w:type="dxa"/>
            <w:bottom w:w="0" w:type="dxa"/>
            <w:right w:w="108" w:type="dxa"/>
          </w:tblCellMar>
        </w:tblPrEx>
        <w:trPr>
          <w:trHeight w:val="515" w:hRule="atLeast"/>
        </w:trPr>
        <w:tc>
          <w:tcPr>
            <w:tcW w:w="2292" w:type="dxa"/>
            <w:tcBorders>
              <w:top w:val="nil"/>
              <w:left w:val="single" w:color="auto" w:sz="4" w:space="0"/>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投标人名称</w:t>
            </w:r>
          </w:p>
        </w:tc>
        <w:tc>
          <w:tcPr>
            <w:tcW w:w="5668" w:type="dxa"/>
            <w:gridSpan w:val="3"/>
            <w:tcBorders>
              <w:top w:val="single" w:color="auto" w:sz="4" w:space="0"/>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w:t>
            </w:r>
          </w:p>
        </w:tc>
      </w:tr>
      <w:tr>
        <w:tblPrEx>
          <w:tblCellMar>
            <w:top w:w="0" w:type="dxa"/>
            <w:left w:w="108" w:type="dxa"/>
            <w:bottom w:w="0" w:type="dxa"/>
            <w:right w:w="108" w:type="dxa"/>
          </w:tblCellMar>
        </w:tblPrEx>
        <w:trPr>
          <w:trHeight w:val="1022" w:hRule="atLeast"/>
        </w:trPr>
        <w:tc>
          <w:tcPr>
            <w:tcW w:w="2292" w:type="dxa"/>
            <w:tcBorders>
              <w:top w:val="nil"/>
              <w:left w:val="single" w:color="auto" w:sz="4" w:space="0"/>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递交时间</w:t>
            </w:r>
          </w:p>
        </w:tc>
        <w:tc>
          <w:tcPr>
            <w:tcW w:w="1833" w:type="dxa"/>
            <w:tcBorders>
              <w:top w:val="nil"/>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w:t>
            </w:r>
          </w:p>
        </w:tc>
        <w:tc>
          <w:tcPr>
            <w:tcW w:w="2210" w:type="dxa"/>
            <w:tcBorders>
              <w:top w:val="nil"/>
              <w:left w:val="nil"/>
              <w:bottom w:val="single" w:color="auto" w:sz="4" w:space="0"/>
              <w:right w:val="single" w:color="auto" w:sz="4" w:space="0"/>
            </w:tcBorders>
            <w:vAlign w:val="center"/>
          </w:tcPr>
          <w:p>
            <w:pPr>
              <w:pStyle w:val="6"/>
              <w:keepNext w:val="0"/>
              <w:keepLines w:val="0"/>
              <w:tabs>
                <w:tab w:val="left" w:pos="900"/>
              </w:tabs>
              <w:spacing w:before="0" w:after="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投标文件</w:t>
            </w:r>
          </w:p>
          <w:p>
            <w:pPr>
              <w:pStyle w:val="6"/>
              <w:keepNext w:val="0"/>
              <w:keepLines w:val="0"/>
              <w:tabs>
                <w:tab w:val="left" w:pos="900"/>
              </w:tabs>
              <w:spacing w:before="0" w:after="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密封情况</w:t>
            </w:r>
          </w:p>
        </w:tc>
        <w:tc>
          <w:tcPr>
            <w:tcW w:w="1625" w:type="dxa"/>
            <w:tcBorders>
              <w:top w:val="nil"/>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w:t>
            </w:r>
          </w:p>
        </w:tc>
      </w:tr>
      <w:tr>
        <w:tblPrEx>
          <w:tblCellMar>
            <w:top w:w="0" w:type="dxa"/>
            <w:left w:w="108" w:type="dxa"/>
            <w:bottom w:w="0" w:type="dxa"/>
            <w:right w:w="108" w:type="dxa"/>
          </w:tblCellMar>
        </w:tblPrEx>
        <w:trPr>
          <w:trHeight w:val="515" w:hRule="atLeast"/>
        </w:trPr>
        <w:tc>
          <w:tcPr>
            <w:tcW w:w="2292" w:type="dxa"/>
            <w:tcBorders>
              <w:top w:val="nil"/>
              <w:left w:val="single" w:color="auto" w:sz="4" w:space="0"/>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接收单位</w:t>
            </w:r>
          </w:p>
        </w:tc>
        <w:tc>
          <w:tcPr>
            <w:tcW w:w="5668" w:type="dxa"/>
            <w:gridSpan w:val="3"/>
            <w:tcBorders>
              <w:top w:val="single" w:color="auto" w:sz="4" w:space="0"/>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p>
        </w:tc>
      </w:tr>
      <w:tr>
        <w:tblPrEx>
          <w:tblCellMar>
            <w:top w:w="0" w:type="dxa"/>
            <w:left w:w="108" w:type="dxa"/>
            <w:bottom w:w="0" w:type="dxa"/>
            <w:right w:w="108" w:type="dxa"/>
          </w:tblCellMar>
        </w:tblPrEx>
        <w:trPr>
          <w:trHeight w:val="523" w:hRule="atLeast"/>
        </w:trPr>
        <w:tc>
          <w:tcPr>
            <w:tcW w:w="2292" w:type="dxa"/>
            <w:tcBorders>
              <w:top w:val="nil"/>
              <w:left w:val="single" w:color="auto" w:sz="4" w:space="0"/>
              <w:bottom w:val="single" w:color="auto" w:sz="4" w:space="0"/>
              <w:right w:val="single" w:color="auto" w:sz="4" w:space="0"/>
            </w:tcBorders>
            <w:vAlign w:val="center"/>
          </w:tcPr>
          <w:p>
            <w:pPr>
              <w:pStyle w:val="6"/>
              <w:keepNext w:val="0"/>
              <w:keepLines w:val="0"/>
              <w:tabs>
                <w:tab w:val="left" w:pos="900"/>
              </w:tabs>
              <w:spacing w:before="0" w:after="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接收人签字：</w:t>
            </w:r>
          </w:p>
        </w:tc>
        <w:tc>
          <w:tcPr>
            <w:tcW w:w="5668" w:type="dxa"/>
            <w:gridSpan w:val="3"/>
            <w:tcBorders>
              <w:top w:val="single" w:color="auto" w:sz="4" w:space="0"/>
              <w:left w:val="nil"/>
              <w:bottom w:val="single" w:color="auto" w:sz="4" w:space="0"/>
              <w:right w:val="single" w:color="auto" w:sz="4" w:space="0"/>
            </w:tcBorders>
            <w:vAlign w:val="center"/>
          </w:tcPr>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w:t>
            </w:r>
          </w:p>
        </w:tc>
      </w:tr>
    </w:tbl>
    <w:p>
      <w:pPr>
        <w:pStyle w:val="6"/>
        <w:keepNext w:val="0"/>
        <w:keepLines w:val="0"/>
        <w:tabs>
          <w:tab w:val="left" w:pos="900"/>
        </w:tabs>
        <w:spacing w:before="0" w:after="0"/>
        <w:rPr>
          <w:rFonts w:ascii="仿宋" w:hAnsi="仿宋" w:eastAsia="仿宋" w:cs="仿宋"/>
          <w:color w:val="000000"/>
          <w:sz w:val="28"/>
          <w:szCs w:val="28"/>
          <w:u w:val="none"/>
        </w:rPr>
      </w:pP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17.3递交投标文件以后，如果投标人要进行修改或撤回投标，须提出书面申请并在投标截止时间前送达开标地点，投标人对投标文件的修改或撤回通知应按本须知规定编制、密封、标记。</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采购人和采购代理机构将予以接收，并视为投标文件的组成部分。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17.4在投标截止期之后，采购人和采购代理机构不接受投标人主动对其投标文件做任何修改。</w:t>
      </w:r>
    </w:p>
    <w:p>
      <w:pPr>
        <w:pStyle w:val="6"/>
        <w:keepNext w:val="0"/>
        <w:keepLines w:val="0"/>
        <w:tabs>
          <w:tab w:val="left" w:pos="900"/>
        </w:tabs>
        <w:spacing w:before="0" w:after="0"/>
        <w:ind w:firstLine="560" w:firstLineChars="200"/>
        <w:rPr>
          <w:rFonts w:ascii="仿宋" w:hAnsi="仿宋" w:eastAsia="仿宋" w:cs="仿宋"/>
          <w:color w:val="000000"/>
          <w:sz w:val="28"/>
          <w:szCs w:val="28"/>
        </w:rPr>
      </w:pPr>
      <w:r>
        <w:rPr>
          <w:rFonts w:hint="eastAsia" w:ascii="仿宋" w:hAnsi="仿宋" w:eastAsia="仿宋" w:cs="仿宋"/>
          <w:b w:val="0"/>
          <w:color w:val="000000"/>
          <w:sz w:val="28"/>
          <w:szCs w:val="28"/>
          <w:u w:val="none"/>
        </w:rPr>
        <w:t>17.5采购人和采购代理机构对所接收投标文件概不退回。</w:t>
      </w:r>
      <w:bookmarkStart w:id="132" w:name="_Toc520356163"/>
      <w:bookmarkStart w:id="133" w:name="_Toc20246"/>
      <w:bookmarkStart w:id="134" w:name="_Toc12436"/>
      <w:bookmarkStart w:id="135" w:name="_Toc515647778"/>
      <w:bookmarkStart w:id="136" w:name="_Toc216582809"/>
      <w:bookmarkStart w:id="137" w:name="_Toc522633272"/>
      <w:bookmarkStart w:id="138" w:name="_Toc28398"/>
    </w:p>
    <w:p>
      <w:pPr>
        <w:pStyle w:val="6"/>
        <w:keepNext w:val="0"/>
        <w:keepLines w:val="0"/>
        <w:tabs>
          <w:tab w:val="left" w:pos="900"/>
        </w:tabs>
        <w:spacing w:before="0" w:after="0"/>
        <w:ind w:firstLine="560" w:firstLineChars="200"/>
        <w:jc w:val="center"/>
        <w:rPr>
          <w:rFonts w:ascii="仿宋" w:hAnsi="仿宋" w:eastAsia="仿宋" w:cs="仿宋"/>
          <w:color w:val="000000"/>
          <w:sz w:val="28"/>
          <w:szCs w:val="28"/>
          <w:u w:val="none"/>
        </w:rPr>
      </w:pPr>
      <w:r>
        <w:rPr>
          <w:rFonts w:hint="eastAsia" w:ascii="仿宋" w:hAnsi="仿宋" w:eastAsia="仿宋" w:cs="仿宋"/>
          <w:color w:val="000000"/>
          <w:sz w:val="28"/>
          <w:szCs w:val="28"/>
          <w:u w:val="none"/>
        </w:rPr>
        <w:t>五   开标及评标</w:t>
      </w:r>
      <w:bookmarkEnd w:id="132"/>
      <w:bookmarkEnd w:id="133"/>
      <w:bookmarkEnd w:id="134"/>
      <w:bookmarkEnd w:id="135"/>
      <w:bookmarkEnd w:id="136"/>
      <w:bookmarkEnd w:id="137"/>
      <w:bookmarkEnd w:id="138"/>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39" w:name="_Toc520356164"/>
      <w:bookmarkStart w:id="140" w:name="_Toc515647779"/>
      <w:bookmarkStart w:id="141" w:name="_Toc17257"/>
      <w:bookmarkStart w:id="142" w:name="_Toc25345"/>
      <w:bookmarkStart w:id="143" w:name="_Toc7186"/>
      <w:r>
        <w:rPr>
          <w:rFonts w:hint="eastAsia" w:ascii="仿宋" w:hAnsi="仿宋" w:eastAsia="仿宋" w:cs="仿宋"/>
          <w:color w:val="000000"/>
          <w:sz w:val="28"/>
          <w:szCs w:val="28"/>
          <w:u w:val="none"/>
        </w:rPr>
        <w:t>18.开标</w:t>
      </w:r>
      <w:bookmarkEnd w:id="139"/>
      <w:bookmarkEnd w:id="140"/>
      <w:bookmarkEnd w:id="141"/>
      <w:bookmarkEnd w:id="142"/>
      <w:bookmarkEnd w:id="143"/>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18.1采购人和采购代理机构将按投标人须知资料表中规定的开标时间和地点组织公开开标并邀请所有投标人代表参加。投标人不足3家的，不得开标。</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18.2开标时，由投标人或其推选的代表检查自己或所代表的投标文件的密封情况，经记录后，由采购人或采购代理机构当众拆封开标一览表及资格证明文件，宣读投标人名称、投标价格及招标文件规定的内容。对于投标人在投标截止期前递交的投标声明，在开标时当众宣读，评标时有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未宣读投标价格、价格折扣等实质内容，评标时不予承认。</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18.3采购人或采购代理机构将对开标过程进行记录</w:t>
      </w:r>
      <w:bookmarkStart w:id="144" w:name="_Toc520356165"/>
      <w:r>
        <w:rPr>
          <w:rFonts w:hint="eastAsia" w:ascii="仿宋" w:hAnsi="仿宋" w:eastAsia="仿宋" w:cs="仿宋"/>
          <w:b w:val="0"/>
          <w:color w:val="000000"/>
          <w:sz w:val="28"/>
          <w:szCs w:val="28"/>
          <w:u w:val="none"/>
        </w:rPr>
        <w:t>，由参加开标的各投标人代表和相关工作人员签字确认，并存档备查。</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18.4投标人代表对开标过程和开标记录有疑义，以及认为采购人、采购代理机构相关工作人员有需要回避的情形的，应当场提出询问或者回避申请。</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45" w:name="_Toc21372"/>
      <w:bookmarkStart w:id="146" w:name="_Toc19296"/>
      <w:bookmarkStart w:id="147" w:name="_Toc515647780"/>
      <w:bookmarkStart w:id="148" w:name="_Toc31290"/>
      <w:r>
        <w:rPr>
          <w:rFonts w:hint="eastAsia" w:ascii="仿宋" w:hAnsi="仿宋" w:eastAsia="仿宋" w:cs="仿宋"/>
          <w:color w:val="000000"/>
          <w:sz w:val="28"/>
          <w:szCs w:val="28"/>
          <w:u w:val="none"/>
        </w:rPr>
        <w:t>19.</w:t>
      </w:r>
      <w:bookmarkEnd w:id="144"/>
      <w:r>
        <w:rPr>
          <w:rFonts w:hint="eastAsia" w:ascii="仿宋" w:hAnsi="仿宋" w:eastAsia="仿宋" w:cs="仿宋"/>
          <w:color w:val="000000"/>
          <w:sz w:val="28"/>
          <w:szCs w:val="28"/>
          <w:u w:val="none"/>
        </w:rPr>
        <w:t>资格审查及组建评标委员会</w:t>
      </w:r>
      <w:bookmarkEnd w:id="145"/>
      <w:bookmarkEnd w:id="146"/>
      <w:bookmarkEnd w:id="147"/>
      <w:bookmarkEnd w:id="148"/>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19.1评标委员会构成：5人或5人以上  其中采购人代表1人，专家成员确定方式：随机抽取。</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19.2采购人或采购代理机构依据法律法规和招标文件中规定的内容，对投标人及其货物的资格进行审查，资格审查文件均须携带原件，未按要求提供资格审查资料的投标人或其中一项未通过的投标人，将视为资格审查不合格，未能通过资格审查的投标人不进入评标；通过资格审查的投标人少于不足三家的，不得评标。</w:t>
      </w:r>
    </w:p>
    <w:p>
      <w:pPr>
        <w:ind w:firstLine="411" w:firstLineChars="147"/>
        <w:rPr>
          <w:rFonts w:ascii="仿宋" w:hAnsi="仿宋" w:eastAsia="仿宋" w:cs="仿宋"/>
          <w:b/>
          <w:color w:val="auto"/>
          <w:sz w:val="28"/>
          <w:szCs w:val="28"/>
        </w:rPr>
      </w:pPr>
      <w:r>
        <w:rPr>
          <w:rFonts w:hint="eastAsia" w:ascii="仿宋" w:hAnsi="仿宋" w:eastAsia="仿宋" w:cs="仿宋"/>
          <w:b/>
          <w:color w:val="auto"/>
          <w:sz w:val="28"/>
          <w:szCs w:val="28"/>
        </w:rPr>
        <w:t>本项目现场开标必须提供证件原件:</w:t>
      </w:r>
    </w:p>
    <w:p>
      <w:pPr>
        <w:pStyle w:val="19"/>
        <w:numPr>
          <w:ilvl w:val="0"/>
          <w:numId w:val="2"/>
        </w:numPr>
        <w:ind w:firstLineChars="0"/>
        <w:rPr>
          <w:rFonts w:ascii="仿宋" w:hAnsi="仿宋" w:eastAsia="仿宋" w:cs="仿宋"/>
          <w:kern w:val="0"/>
          <w:sz w:val="28"/>
          <w:szCs w:val="28"/>
          <w:lang w:bidi="ar"/>
        </w:rPr>
      </w:pPr>
      <w:bookmarkStart w:id="149" w:name="_Toc520356166"/>
      <w:bookmarkStart w:id="150" w:name="_Toc515647781"/>
      <w:bookmarkStart w:id="151" w:name="_Toc26332"/>
      <w:bookmarkStart w:id="152" w:name="_Toc19949"/>
      <w:bookmarkStart w:id="153" w:name="_Toc28479"/>
      <w:r>
        <w:rPr>
          <w:rFonts w:hint="eastAsia" w:ascii="仿宋" w:hAnsi="仿宋" w:eastAsia="仿宋" w:cs="仿宋"/>
          <w:kern w:val="0"/>
          <w:sz w:val="28"/>
          <w:szCs w:val="28"/>
          <w:lang w:bidi="ar"/>
        </w:rPr>
        <w:t>投标人必须满足《中华人民共和国政府采购法》第二十二条要求；</w:t>
      </w:r>
    </w:p>
    <w:p>
      <w:pPr>
        <w:pStyle w:val="19"/>
        <w:numPr>
          <w:ilvl w:val="0"/>
          <w:numId w:val="2"/>
        </w:numPr>
        <w:ind w:firstLineChars="0"/>
        <w:rPr>
          <w:rFonts w:ascii="仿宋" w:hAnsi="仿宋" w:eastAsia="仿宋" w:cs="仿宋"/>
          <w:kern w:val="0"/>
          <w:sz w:val="28"/>
          <w:szCs w:val="28"/>
          <w:lang w:bidi="ar"/>
        </w:rPr>
      </w:pPr>
      <w:r>
        <w:rPr>
          <w:rFonts w:hint="eastAsia" w:ascii="仿宋" w:hAnsi="仿宋" w:eastAsia="仿宋" w:cs="仿宋"/>
          <w:kern w:val="0"/>
          <w:sz w:val="28"/>
          <w:szCs w:val="28"/>
          <w:lang w:bidi="ar"/>
        </w:rPr>
        <w:t>三证合一的营业执照；</w:t>
      </w:r>
    </w:p>
    <w:p>
      <w:pPr>
        <w:widowControl/>
        <w:numPr>
          <w:ilvl w:val="0"/>
          <w:numId w:val="2"/>
        </w:numPr>
        <w:rPr>
          <w:rFonts w:ascii="仿宋" w:hAnsi="仿宋" w:eastAsia="仿宋" w:cs="仿宋"/>
          <w:kern w:val="0"/>
          <w:sz w:val="28"/>
          <w:szCs w:val="28"/>
          <w:lang w:bidi="ar"/>
        </w:rPr>
      </w:pPr>
      <w:r>
        <w:rPr>
          <w:rFonts w:hint="eastAsia" w:ascii="仿宋" w:hAnsi="仿宋" w:eastAsia="仿宋" w:cs="仿宋"/>
          <w:kern w:val="0"/>
          <w:sz w:val="28"/>
          <w:szCs w:val="28"/>
          <w:lang w:bidi="ar"/>
        </w:rPr>
        <w:t>法定代表人授权委托书及授权委托人身份证（法定代表人投标提供身份证原件、）反商业行贿承诺书（加盖公章）原件；</w:t>
      </w:r>
    </w:p>
    <w:p>
      <w:pPr>
        <w:pStyle w:val="19"/>
        <w:numPr>
          <w:ilvl w:val="0"/>
          <w:numId w:val="2"/>
        </w:numPr>
        <w:ind w:firstLineChars="0"/>
        <w:jc w:val="left"/>
        <w:rPr>
          <w:rFonts w:ascii="仿宋" w:hAnsi="仿宋" w:eastAsia="仿宋" w:cs="仿宋"/>
          <w:sz w:val="28"/>
          <w:szCs w:val="28"/>
        </w:rPr>
      </w:pPr>
      <w:r>
        <w:rPr>
          <w:rFonts w:hint="eastAsia" w:ascii="仿宋" w:hAnsi="仿宋" w:eastAsia="仿宋" w:cs="仿宋"/>
          <w:sz w:val="28"/>
          <w:szCs w:val="28"/>
        </w:rPr>
        <w:t>在本公告发出至投标截止间内在“信用中国”网站（http://www.creditchina.gov.cn）、中国政府采购网（http://www.ccgp.gov.cn）、国家企业信用信息公示系统(http://www.gsxt.gov.cn)无尚在处罚期内的不良行为记录网上截图打印加盖公章；</w:t>
      </w:r>
    </w:p>
    <w:p>
      <w:pPr>
        <w:pStyle w:val="19"/>
        <w:numPr>
          <w:ilvl w:val="0"/>
          <w:numId w:val="2"/>
        </w:numPr>
        <w:ind w:firstLineChars="0"/>
        <w:jc w:val="left"/>
        <w:rPr>
          <w:rFonts w:ascii="仿宋" w:hAnsi="仿宋" w:eastAsia="仿宋" w:cs="仿宋"/>
          <w:sz w:val="28"/>
          <w:szCs w:val="28"/>
        </w:rPr>
      </w:pPr>
      <w:r>
        <w:rPr>
          <w:rFonts w:hint="eastAsia" w:ascii="仿宋" w:hAnsi="仿宋" w:eastAsia="仿宋" w:cs="仿宋"/>
          <w:sz w:val="28"/>
          <w:szCs w:val="28"/>
        </w:rPr>
        <w:t>参加政府采购活动前三年内，在经营活动中没有重大违法记录声明；</w:t>
      </w:r>
    </w:p>
    <w:p>
      <w:pPr>
        <w:numPr>
          <w:ilvl w:val="0"/>
          <w:numId w:val="2"/>
        </w:numPr>
        <w:jc w:val="left"/>
        <w:rPr>
          <w:rFonts w:ascii="仿宋" w:hAnsi="仿宋" w:eastAsia="仿宋" w:cs="仿宋"/>
          <w:sz w:val="28"/>
          <w:szCs w:val="28"/>
        </w:rPr>
      </w:pPr>
      <w:r>
        <w:rPr>
          <w:rFonts w:hint="eastAsia" w:ascii="仿宋" w:hAnsi="仿宋" w:eastAsia="仿宋" w:cs="仿宋"/>
          <w:sz w:val="28"/>
          <w:szCs w:val="28"/>
        </w:rPr>
        <w:t>具有良好的商业信誉和健全的财务会计制度；提供</w:t>
      </w:r>
      <w:r>
        <w:rPr>
          <w:rFonts w:hint="eastAsia" w:ascii="仿宋" w:hAnsi="仿宋" w:eastAsia="仿宋" w:cs="仿宋"/>
          <w:b/>
          <w:sz w:val="28"/>
          <w:szCs w:val="28"/>
        </w:rPr>
        <w:t>近两年审计报告原件、（</w:t>
      </w:r>
      <w:r>
        <w:rPr>
          <w:rFonts w:hint="eastAsia" w:ascii="仿宋" w:hAnsi="仿宋" w:eastAsia="仿宋" w:cs="仿宋"/>
          <w:sz w:val="28"/>
          <w:szCs w:val="28"/>
        </w:rPr>
        <w:t xml:space="preserve">新成立不满一年的公司须提供近三个月的财务报告）； </w:t>
      </w:r>
    </w:p>
    <w:p>
      <w:pPr>
        <w:numPr>
          <w:ilvl w:val="0"/>
          <w:numId w:val="2"/>
        </w:numPr>
        <w:jc w:val="left"/>
        <w:rPr>
          <w:rFonts w:ascii="仿宋" w:hAnsi="仿宋" w:eastAsia="仿宋" w:cs="仿宋"/>
          <w:sz w:val="28"/>
          <w:szCs w:val="28"/>
        </w:rPr>
      </w:pPr>
      <w:r>
        <w:rPr>
          <w:rFonts w:hint="eastAsia" w:ascii="仿宋" w:hAnsi="仿宋" w:eastAsia="仿宋" w:cs="仿宋"/>
          <w:sz w:val="28"/>
          <w:szCs w:val="28"/>
        </w:rPr>
        <w:t>被委托人必须是投标单位法人或正式员工，需提供社保部门出具的投标单位上一季度的缴纳社保证明（社保缴费凭证和个人明细表）原件；</w:t>
      </w:r>
    </w:p>
    <w:p>
      <w:pPr>
        <w:numPr>
          <w:ilvl w:val="0"/>
          <w:numId w:val="2"/>
        </w:numPr>
        <w:jc w:val="left"/>
        <w:rPr>
          <w:rFonts w:ascii="仿宋" w:hAnsi="仿宋" w:eastAsia="仿宋" w:cs="仿宋"/>
          <w:sz w:val="28"/>
          <w:szCs w:val="28"/>
        </w:rPr>
      </w:pPr>
      <w:r>
        <w:rPr>
          <w:rFonts w:hint="eastAsia" w:ascii="仿宋" w:hAnsi="仿宋" w:eastAsia="仿宋" w:cs="仿宋"/>
          <w:sz w:val="28"/>
          <w:szCs w:val="28"/>
        </w:rPr>
        <w:t>具有履行合同所必需的设备和专业技术能力的承诺书；</w:t>
      </w:r>
    </w:p>
    <w:p>
      <w:pPr>
        <w:widowControl/>
        <w:rPr>
          <w:rFonts w:ascii="仿宋" w:hAnsi="仿宋" w:eastAsia="仿宋" w:cs="仿宋"/>
          <w:kern w:val="0"/>
          <w:sz w:val="28"/>
          <w:szCs w:val="28"/>
          <w:lang w:bidi="ar"/>
        </w:rPr>
      </w:pPr>
      <w:r>
        <w:rPr>
          <w:rFonts w:hint="eastAsia" w:ascii="仿宋" w:hAnsi="仿宋" w:eastAsia="仿宋" w:cs="仿宋"/>
          <w:kern w:val="0"/>
          <w:sz w:val="28"/>
          <w:szCs w:val="28"/>
          <w:lang w:bidi="ar"/>
        </w:rPr>
        <w:t>9.本项目不接受联合体投标，其他要求详见招标文件；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19.2.1不良信用记录指：投标人在中国政府采购网（</w:t>
      </w:r>
      <w:r>
        <w:fldChar w:fldCharType="begin"/>
      </w:r>
      <w:r>
        <w:instrText xml:space="preserve"> HYPERLINK "http://www.ccgp.gov.cn）被列" </w:instrText>
      </w:r>
      <w:r>
        <w:fldChar w:fldCharType="separate"/>
      </w:r>
      <w:r>
        <w:rPr>
          <w:rFonts w:hint="eastAsia" w:ascii="仿宋" w:hAnsi="仿宋" w:eastAsia="仿宋" w:cs="仿宋"/>
          <w:b w:val="0"/>
          <w:color w:val="000000"/>
          <w:sz w:val="28"/>
          <w:szCs w:val="28"/>
          <w:u w:val="none"/>
        </w:rPr>
        <w:t>www.ccgp.gov.cn）被列</w:t>
      </w:r>
      <w:r>
        <w:rPr>
          <w:rFonts w:hint="eastAsia" w:ascii="仿宋" w:hAnsi="仿宋" w:eastAsia="仿宋" w:cs="仿宋"/>
          <w:b w:val="0"/>
          <w:color w:val="000000"/>
          <w:sz w:val="28"/>
          <w:szCs w:val="28"/>
          <w:u w:val="none"/>
        </w:rPr>
        <w:fldChar w:fldCharType="end"/>
      </w:r>
      <w:r>
        <w:rPr>
          <w:rFonts w:hint="eastAsia" w:ascii="仿宋" w:hAnsi="仿宋" w:eastAsia="仿宋" w:cs="仿宋"/>
          <w:b w:val="0"/>
          <w:color w:val="000000"/>
          <w:sz w:val="28"/>
          <w:szCs w:val="28"/>
          <w:u w:val="none"/>
        </w:rPr>
        <w:t>入政府采购严重违法失信行为记录名单，或在“信用中国”网站（www.creditchina.gov.cn）被列入失信被执行人、重大税收违法案件当事人名单，以及存在《中华人民共和国政府采购法实施条例》第十九条规定的行政处罚记录。</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以联合体形式参加投标的，联合体任何成员存在以上不良信用记录的，联合体投标将被认定为投标无效。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19.2.2查询及记录方式：采购人或采购代理机构经办人将查询网页打印、签字并存档备查。投标人不良信用记录以采购人或采购代理机构查询结果为准。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在本招标文件规定的查询时间之后，网站信息发生的任何变更均不再作为评标依据。</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投标人自行提供的与网站信息不一致的其他证明材料亦不作为资格审查依据。</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19.3按照《中华人民共和国政府采购法》、《中华人民共和国政府采购法实施条例》及本项目本级和上级财政部门的有关规定依法组建的评标委员会，负责评标工作。</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20.投标文件</w:t>
      </w:r>
      <w:bookmarkEnd w:id="149"/>
      <w:r>
        <w:rPr>
          <w:rFonts w:hint="eastAsia" w:ascii="仿宋" w:hAnsi="仿宋" w:eastAsia="仿宋" w:cs="仿宋"/>
          <w:b w:val="0"/>
          <w:color w:val="000000"/>
          <w:sz w:val="28"/>
          <w:szCs w:val="28"/>
          <w:u w:val="none"/>
        </w:rPr>
        <w:t>符合性审查与澄清</w:t>
      </w:r>
      <w:bookmarkEnd w:id="150"/>
      <w:bookmarkEnd w:id="151"/>
      <w:bookmarkEnd w:id="152"/>
      <w:bookmarkEnd w:id="153"/>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20.1符合性审查是指依据招标文件的规定，从投标文件的有效性和完整性对招标文件的响应程度进行审查，以确定是否对招标文件的实质性要求做出响应。</w:t>
      </w:r>
      <w:bookmarkStart w:id="154" w:name="_Hlt522424701"/>
      <w:bookmarkEnd w:id="154"/>
      <w:bookmarkStart w:id="155" w:name="_Toc520356167"/>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20.2</w:t>
      </w:r>
      <w:r>
        <w:rPr>
          <w:rFonts w:hint="eastAsia" w:ascii="仿宋" w:hAnsi="仿宋" w:eastAsia="仿宋" w:cs="仿宋"/>
          <w:color w:val="000000"/>
          <w:sz w:val="28"/>
          <w:szCs w:val="28"/>
          <w:u w:val="none"/>
        </w:rPr>
        <w:tab/>
      </w:r>
      <w:r>
        <w:rPr>
          <w:rFonts w:hint="eastAsia" w:ascii="仿宋" w:hAnsi="仿宋" w:eastAsia="仿宋" w:cs="仿宋"/>
          <w:color w:val="000000"/>
          <w:sz w:val="28"/>
          <w:szCs w:val="28"/>
          <w:u w:val="none"/>
        </w:rPr>
        <w:t>投标文件的澄清</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20.2.1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20.2.2投标人的的澄清、说明或补正将作为投标文件的一部分。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20.3投标文件报价出现前后不一致的，按照下列规定修正：</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（一）投标文件中开标一览表（报价表）内容与投标文中相应内容不一致的，以开标一览表（报价表）为准；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（二）大写金额和小写金额不一致的，以大写金额为准；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（三）单价金额小数点或者百分比有明显错位的，以开标一览表的总价为准，并修改单价；</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（四）总价金额与按单价汇总金额不一致的，以单价金额计算结果为准。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（五）同时出现两种以上不一致的，按照前款规定的顺序修正。修正后的报价按照第20.2条的规定经投标人确认后产生约束力，投标人不确认的，其投标将被认定为投标无效。</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（六）对不同文字文本投标文件的解释发生异议的，以中文文本为准。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20.4投标人所投产品如被列入财政部与国家主管部门颁发的节能产品目录或环境标志产品目录或无线局域网产品目录，应提供相关证明，在评标时予以优先采购，具体优先采购办法见第六章评标方法和标准。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如采购人所采购产品为政府强制采购的节能产品，投标人所投产品的品牌及型号必须为清单中有效期内产品并提供证明文件，否则其投标将被认定为投标无效。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56" w:name="_Toc9469"/>
      <w:bookmarkStart w:id="157" w:name="_Toc6364"/>
      <w:bookmarkStart w:id="158" w:name="_Toc515647782"/>
      <w:bookmarkStart w:id="159" w:name="_Toc18529"/>
      <w:r>
        <w:rPr>
          <w:rFonts w:hint="eastAsia" w:ascii="仿宋" w:hAnsi="仿宋" w:eastAsia="仿宋" w:cs="仿宋"/>
          <w:color w:val="000000"/>
          <w:sz w:val="28"/>
          <w:szCs w:val="28"/>
          <w:u w:val="none"/>
        </w:rPr>
        <w:t>21.投标偏离</w:t>
      </w:r>
      <w:bookmarkEnd w:id="156"/>
      <w:bookmarkEnd w:id="157"/>
      <w:bookmarkEnd w:id="158"/>
      <w:bookmarkEnd w:id="159"/>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评标委员会可以接受投标文件中不构成实质性偏离的不正规或不一致。</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60" w:name="_Toc515647783"/>
      <w:bookmarkStart w:id="161" w:name="_Toc4950"/>
      <w:bookmarkStart w:id="162" w:name="_Toc23936"/>
      <w:bookmarkStart w:id="163" w:name="_Toc6092"/>
      <w:r>
        <w:rPr>
          <w:rFonts w:hint="eastAsia" w:ascii="仿宋" w:hAnsi="仿宋" w:eastAsia="仿宋" w:cs="仿宋"/>
          <w:color w:val="000000"/>
          <w:sz w:val="28"/>
          <w:szCs w:val="28"/>
          <w:u w:val="none"/>
        </w:rPr>
        <w:t>22.投标</w:t>
      </w:r>
      <w:bookmarkEnd w:id="160"/>
      <w:r>
        <w:rPr>
          <w:rFonts w:hint="eastAsia" w:ascii="仿宋" w:hAnsi="仿宋" w:eastAsia="仿宋" w:cs="仿宋"/>
          <w:color w:val="000000"/>
          <w:sz w:val="28"/>
          <w:szCs w:val="28"/>
          <w:u w:val="none"/>
        </w:rPr>
        <w:t>无效</w:t>
      </w:r>
      <w:bookmarkEnd w:id="161"/>
      <w:bookmarkEnd w:id="162"/>
      <w:bookmarkEnd w:id="163"/>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22.1</w:t>
      </w:r>
      <w:r>
        <w:rPr>
          <w:rFonts w:hint="eastAsia" w:ascii="仿宋" w:hAnsi="仿宋" w:eastAsia="仿宋" w:cs="仿宋"/>
          <w:b w:val="0"/>
          <w:color w:val="000000"/>
          <w:sz w:val="28"/>
          <w:szCs w:val="28"/>
          <w:u w:val="none"/>
        </w:rPr>
        <w:t>在比较与评价之前，根据本须知的规定，评标委员会要审查每份投标文件是否实质上响应了招标文件的要求。实质上响应的投标应该是与招标文件要求的全部条款、条件和规格相符，没有重大偏离的投标</w:t>
      </w:r>
      <w:r>
        <w:rPr>
          <w:rFonts w:hint="eastAsia" w:ascii="仿宋" w:hAnsi="仿宋" w:eastAsia="仿宋" w:cs="仿宋"/>
          <w:color w:val="000000"/>
          <w:sz w:val="28"/>
          <w:szCs w:val="28"/>
          <w:u w:val="none"/>
        </w:rPr>
        <w:t>。“设备技术指标描述中，凡有品牌描述或指向某品牌的指标描述均为参考指标，不具备排他性和唯一性”</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评标委员会决定投标的响应性只根据招标文件要求、投标文件内容及财政主管部门指定相关信息发布媒体。</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22.2</w:t>
      </w:r>
      <w:r>
        <w:rPr>
          <w:rFonts w:hint="eastAsia" w:ascii="仿宋" w:hAnsi="仿宋" w:eastAsia="仿宋" w:cs="仿宋"/>
          <w:color w:val="000000"/>
          <w:sz w:val="28"/>
          <w:szCs w:val="28"/>
          <w:u w:val="none"/>
        </w:rPr>
        <w:tab/>
      </w:r>
      <w:r>
        <w:rPr>
          <w:rFonts w:hint="eastAsia" w:ascii="仿宋" w:hAnsi="仿宋" w:eastAsia="仿宋" w:cs="仿宋"/>
          <w:b w:val="0"/>
          <w:color w:val="000000"/>
          <w:sz w:val="28"/>
          <w:szCs w:val="28"/>
          <w:u w:val="none"/>
        </w:rPr>
        <w:t>如发现下列情况之一的，其投标将被认定为</w:t>
      </w:r>
      <w:r>
        <w:rPr>
          <w:rFonts w:hint="eastAsia" w:ascii="仿宋" w:hAnsi="仿宋" w:eastAsia="仿宋" w:cs="仿宋"/>
          <w:color w:val="000000"/>
          <w:sz w:val="28"/>
          <w:szCs w:val="28"/>
          <w:u w:val="none"/>
        </w:rPr>
        <w:t>投标无效：</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(1)未按招标文件规定的形式和金额提交投标保证金的；</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(2)未按照招标文件规定要求签署、盖章的；</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(3)未满足招标文件中技术条款的实质性要求；</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(4)与其他投标人串通投标，或者与招标人串通投标；</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(5)属于招标文件规定的其他投标无效情形；</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(6)评标委员会认为投标人的报价明显低于其他通过符合性检查投标人的报价，有可能影响履约的，且投标人未按照规定证明其报价合理性的；</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（7）投标文件含有采购人不能接受的附加条件的；</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r>
        <w:rPr>
          <w:rFonts w:hint="eastAsia" w:ascii="仿宋" w:hAnsi="仿宋" w:eastAsia="仿宋" w:cs="仿宋"/>
          <w:color w:val="000000"/>
          <w:sz w:val="28"/>
          <w:szCs w:val="28"/>
          <w:u w:val="none"/>
        </w:rPr>
        <w:t>（8）不符合法规和招标文件中规定的其他实质性要求的。</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64" w:name="_Toc8521"/>
      <w:bookmarkStart w:id="165" w:name="_Toc22941"/>
      <w:bookmarkStart w:id="166" w:name="_Toc13652"/>
      <w:bookmarkStart w:id="167" w:name="_Toc515647784"/>
      <w:r>
        <w:rPr>
          <w:rFonts w:hint="eastAsia" w:ascii="仿宋" w:hAnsi="仿宋" w:eastAsia="仿宋" w:cs="仿宋"/>
          <w:color w:val="000000"/>
          <w:sz w:val="28"/>
          <w:szCs w:val="28"/>
          <w:u w:val="none"/>
        </w:rPr>
        <w:t>23.</w:t>
      </w:r>
      <w:bookmarkEnd w:id="155"/>
      <w:r>
        <w:rPr>
          <w:rFonts w:hint="eastAsia" w:ascii="仿宋" w:hAnsi="仿宋" w:eastAsia="仿宋" w:cs="仿宋"/>
          <w:color w:val="000000"/>
          <w:sz w:val="28"/>
          <w:szCs w:val="28"/>
          <w:u w:val="none"/>
        </w:rPr>
        <w:t>比较与评价</w:t>
      </w:r>
      <w:bookmarkEnd w:id="164"/>
      <w:bookmarkEnd w:id="165"/>
      <w:bookmarkEnd w:id="166"/>
      <w:bookmarkEnd w:id="167"/>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23.1经符合性审查合格的投标文件，评标委员会将根据招标文件确定的评标方法和标准，对其技术部分和商务部分作进一步的比较和评价。</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23.2评标严格按照招标文件的要求和条件进行。本项目评标办法为综合评分法即投标文件满足招标文件全部实质性要求，且按照评审因素的量化指标评审得分最高的投标人为中标候选人的评标方法，详细评标标准见招标文件第二册中第五章：</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23.3（1）投标商所投产品应优先选择《财政部国家发展改革委关于调整公布第二十三期节能产品政府采购清单的通知》（财库[2018]17号）、《财政部  环境保护部关于调整公布第十九期环境标志产品政府采购清单的通知》（财库[2017]23号）目录内的产品（须提供节能、环保认证证书复印件加盖公章）。</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6-10%后参与评审。</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68" w:name="_Toc520356168"/>
      <w:bookmarkStart w:id="169" w:name="_Toc515647785"/>
      <w:bookmarkStart w:id="170" w:name="_Toc9378"/>
      <w:bookmarkStart w:id="171" w:name="_Toc20227"/>
      <w:bookmarkStart w:id="172" w:name="_Toc31728"/>
      <w:r>
        <w:rPr>
          <w:rFonts w:hint="eastAsia" w:ascii="仿宋" w:hAnsi="仿宋" w:eastAsia="仿宋" w:cs="仿宋"/>
          <w:color w:val="000000"/>
          <w:sz w:val="28"/>
          <w:szCs w:val="28"/>
          <w:u w:val="none"/>
        </w:rPr>
        <w:t>24</w:t>
      </w:r>
      <w:bookmarkEnd w:id="168"/>
      <w:r>
        <w:rPr>
          <w:rFonts w:hint="eastAsia" w:ascii="仿宋" w:hAnsi="仿宋" w:eastAsia="仿宋" w:cs="仿宋"/>
          <w:color w:val="000000"/>
          <w:sz w:val="28"/>
          <w:szCs w:val="28"/>
          <w:u w:val="none"/>
        </w:rPr>
        <w:t>.废标</w:t>
      </w:r>
      <w:bookmarkEnd w:id="169"/>
      <w:bookmarkEnd w:id="170"/>
      <w:bookmarkEnd w:id="171"/>
      <w:bookmarkEnd w:id="172"/>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xml:space="preserve">出现下列情形之一，将导致项目废标： </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（1） 符合专业条件的供应商或者对招标文件做实质性响应的供应商不足三家；</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（2）出现影响采购公正的违法、违规行为的；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（3）投标人的报价均超过了采购预算，采购人不能支付的；</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 xml:space="preserve">（4）因重大变故，采购任务取消的。   </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73" w:name="_Toc11175"/>
      <w:bookmarkStart w:id="174" w:name="_Toc24972"/>
      <w:bookmarkStart w:id="175" w:name="_Toc31289"/>
      <w:bookmarkStart w:id="176" w:name="_Toc515647786"/>
      <w:bookmarkStart w:id="177" w:name="_Toc520356169"/>
      <w:r>
        <w:rPr>
          <w:rFonts w:hint="eastAsia" w:ascii="仿宋" w:hAnsi="仿宋" w:eastAsia="仿宋" w:cs="仿宋"/>
          <w:color w:val="000000"/>
          <w:sz w:val="28"/>
          <w:szCs w:val="28"/>
          <w:u w:val="none"/>
        </w:rPr>
        <w:t>25.保密原则</w:t>
      </w:r>
      <w:bookmarkEnd w:id="173"/>
      <w:bookmarkEnd w:id="174"/>
      <w:bookmarkEnd w:id="175"/>
      <w:bookmarkEnd w:id="176"/>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25.1</w:t>
      </w:r>
      <w:r>
        <w:rPr>
          <w:rFonts w:hint="eastAsia" w:ascii="仿宋" w:hAnsi="仿宋" w:eastAsia="仿宋" w:cs="仿宋"/>
          <w:b w:val="0"/>
          <w:color w:val="000000"/>
          <w:sz w:val="28"/>
          <w:szCs w:val="28"/>
          <w:u w:val="none"/>
        </w:rPr>
        <w:tab/>
      </w:r>
      <w:r>
        <w:rPr>
          <w:rFonts w:hint="eastAsia" w:ascii="仿宋" w:hAnsi="仿宋" w:eastAsia="仿宋" w:cs="仿宋"/>
          <w:b w:val="0"/>
          <w:color w:val="000000"/>
          <w:sz w:val="28"/>
          <w:szCs w:val="28"/>
          <w:u w:val="none"/>
        </w:rPr>
        <w:t>评标将在严格保密的情况下进行。</w:t>
      </w:r>
    </w:p>
    <w:p>
      <w:pPr>
        <w:pStyle w:val="6"/>
        <w:keepNext w:val="0"/>
        <w:keepLines w:val="0"/>
        <w:tabs>
          <w:tab w:val="left" w:pos="900"/>
        </w:tabs>
        <w:spacing w:before="0" w:after="0"/>
        <w:ind w:firstLine="560" w:firstLineChars="200"/>
      </w:pPr>
      <w:r>
        <w:rPr>
          <w:rFonts w:hint="eastAsia" w:ascii="仿宋" w:hAnsi="仿宋" w:eastAsia="仿宋" w:cs="仿宋"/>
          <w:b w:val="0"/>
          <w:color w:val="000000"/>
          <w:sz w:val="28"/>
          <w:szCs w:val="28"/>
          <w:u w:val="none"/>
        </w:rPr>
        <w:t>25.2</w:t>
      </w:r>
      <w:r>
        <w:rPr>
          <w:rFonts w:hint="eastAsia" w:ascii="仿宋" w:hAnsi="仿宋" w:eastAsia="仿宋" w:cs="仿宋"/>
          <w:b w:val="0"/>
          <w:color w:val="000000"/>
          <w:sz w:val="28"/>
          <w:szCs w:val="28"/>
          <w:u w:val="none"/>
        </w:rPr>
        <w:tab/>
      </w:r>
      <w:r>
        <w:rPr>
          <w:rFonts w:hint="eastAsia" w:ascii="仿宋" w:hAnsi="仿宋" w:eastAsia="仿宋" w:cs="仿宋"/>
          <w:b w:val="0"/>
          <w:color w:val="000000"/>
          <w:sz w:val="28"/>
          <w:szCs w:val="28"/>
          <w:u w:val="none"/>
        </w:rPr>
        <w:t>政府采购评审专家应当遵守评审工作纪律，不得泄露评审文件、评审情况和评审中获悉的商业秘密。</w:t>
      </w:r>
      <w:bookmarkStart w:id="178" w:name="_Toc216582810"/>
      <w:bookmarkStart w:id="179" w:name="_Toc522633273"/>
      <w:bookmarkStart w:id="180" w:name="_Toc2153"/>
      <w:bookmarkStart w:id="181" w:name="_Toc12143"/>
      <w:bookmarkStart w:id="182" w:name="_Toc515647787"/>
      <w:bookmarkStart w:id="183" w:name="_Toc23904"/>
    </w:p>
    <w:p>
      <w:pPr>
        <w:pStyle w:val="5"/>
        <w:keepNext w:val="0"/>
        <w:keepLines w:val="0"/>
        <w:spacing w:before="0" w:line="240" w:lineRule="auto"/>
        <w:ind w:left="539" w:leftChars="257" w:firstLine="3080" w:firstLineChars="1100"/>
        <w:jc w:val="both"/>
        <w:rPr>
          <w:rFonts w:hint="eastAsia" w:ascii="仿宋" w:hAnsi="仿宋" w:eastAsia="仿宋" w:cs="仿宋"/>
          <w:color w:val="000000"/>
          <w:sz w:val="28"/>
          <w:szCs w:val="28"/>
        </w:rPr>
      </w:pPr>
      <w:bookmarkStart w:id="184" w:name="_Toc24748"/>
    </w:p>
    <w:p>
      <w:pPr>
        <w:pStyle w:val="5"/>
        <w:keepNext w:val="0"/>
        <w:keepLines w:val="0"/>
        <w:spacing w:before="0" w:line="240" w:lineRule="auto"/>
        <w:ind w:left="539" w:leftChars="257" w:firstLine="3080" w:firstLineChars="1100"/>
        <w:jc w:val="both"/>
        <w:rPr>
          <w:rFonts w:hint="eastAsia" w:ascii="仿宋" w:hAnsi="仿宋" w:eastAsia="仿宋" w:cs="仿宋"/>
          <w:color w:val="000000"/>
          <w:sz w:val="28"/>
          <w:szCs w:val="28"/>
        </w:rPr>
      </w:pPr>
    </w:p>
    <w:p>
      <w:pPr>
        <w:pStyle w:val="5"/>
        <w:keepNext w:val="0"/>
        <w:keepLines w:val="0"/>
        <w:spacing w:before="0" w:line="240" w:lineRule="auto"/>
        <w:ind w:left="539" w:leftChars="257" w:firstLine="3080" w:firstLineChars="1100"/>
        <w:jc w:val="both"/>
        <w:rPr>
          <w:rFonts w:hint="eastAsia" w:ascii="仿宋" w:hAnsi="仿宋" w:eastAsia="仿宋" w:cs="仿宋"/>
          <w:color w:val="000000"/>
          <w:sz w:val="28"/>
          <w:szCs w:val="28"/>
        </w:rPr>
      </w:pPr>
    </w:p>
    <w:p>
      <w:pPr>
        <w:pStyle w:val="5"/>
        <w:keepNext w:val="0"/>
        <w:keepLines w:val="0"/>
        <w:spacing w:before="0" w:line="240" w:lineRule="auto"/>
        <w:ind w:left="539" w:leftChars="257" w:firstLine="3080" w:firstLineChars="1100"/>
        <w:jc w:val="both"/>
        <w:rPr>
          <w:rFonts w:hint="eastAsia" w:ascii="仿宋" w:hAnsi="仿宋" w:eastAsia="仿宋" w:cs="仿宋"/>
          <w:color w:val="000000"/>
          <w:sz w:val="28"/>
          <w:szCs w:val="28"/>
        </w:rPr>
      </w:pPr>
    </w:p>
    <w:p>
      <w:pPr>
        <w:pStyle w:val="5"/>
        <w:keepNext w:val="0"/>
        <w:keepLines w:val="0"/>
        <w:spacing w:before="0" w:line="240" w:lineRule="auto"/>
        <w:ind w:left="539" w:leftChars="257" w:firstLine="3080" w:firstLineChars="1100"/>
        <w:jc w:val="both"/>
        <w:rPr>
          <w:rFonts w:hint="eastAsia" w:ascii="仿宋" w:hAnsi="仿宋" w:eastAsia="仿宋" w:cs="仿宋"/>
          <w:color w:val="000000"/>
          <w:sz w:val="28"/>
          <w:szCs w:val="28"/>
        </w:rPr>
      </w:pPr>
    </w:p>
    <w:p>
      <w:pPr>
        <w:pStyle w:val="5"/>
        <w:keepNext w:val="0"/>
        <w:keepLines w:val="0"/>
        <w:spacing w:before="0" w:line="240" w:lineRule="auto"/>
        <w:ind w:left="539" w:leftChars="257" w:firstLine="3080" w:firstLineChars="1100"/>
        <w:jc w:val="both"/>
        <w:rPr>
          <w:rFonts w:ascii="仿宋" w:hAnsi="仿宋" w:eastAsia="仿宋" w:cs="仿宋"/>
          <w:color w:val="000000"/>
          <w:sz w:val="28"/>
          <w:szCs w:val="28"/>
        </w:rPr>
      </w:pPr>
      <w:r>
        <w:rPr>
          <w:rFonts w:hint="eastAsia" w:ascii="仿宋" w:hAnsi="仿宋" w:eastAsia="仿宋" w:cs="仿宋"/>
          <w:color w:val="000000"/>
          <w:sz w:val="28"/>
          <w:szCs w:val="28"/>
        </w:rPr>
        <w:t xml:space="preserve">六   </w:t>
      </w:r>
      <w:bookmarkEnd w:id="177"/>
      <w:r>
        <w:rPr>
          <w:rFonts w:hint="eastAsia" w:ascii="仿宋" w:hAnsi="仿宋" w:eastAsia="仿宋" w:cs="仿宋"/>
          <w:color w:val="000000"/>
          <w:sz w:val="28"/>
          <w:szCs w:val="28"/>
        </w:rPr>
        <w:t>确定中标</w:t>
      </w:r>
      <w:bookmarkEnd w:id="178"/>
      <w:bookmarkEnd w:id="179"/>
      <w:bookmarkEnd w:id="180"/>
      <w:bookmarkEnd w:id="181"/>
      <w:bookmarkEnd w:id="182"/>
      <w:bookmarkEnd w:id="183"/>
      <w:bookmarkEnd w:id="184"/>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85" w:name="_Toc515647788"/>
      <w:bookmarkStart w:id="186" w:name="_Toc520356170"/>
      <w:bookmarkStart w:id="187" w:name="_Ref467307010"/>
      <w:bookmarkStart w:id="188" w:name="_Toc28066"/>
      <w:bookmarkStart w:id="189" w:name="_Toc23762"/>
      <w:bookmarkStart w:id="190" w:name="_Toc23617"/>
      <w:r>
        <w:rPr>
          <w:rFonts w:hint="eastAsia" w:ascii="仿宋" w:hAnsi="仿宋" w:eastAsia="仿宋" w:cs="仿宋"/>
          <w:color w:val="000000"/>
          <w:sz w:val="28"/>
          <w:szCs w:val="28"/>
          <w:u w:val="none"/>
        </w:rPr>
        <w:t>26.中标候选人的确定原则及标准</w:t>
      </w:r>
      <w:bookmarkEnd w:id="185"/>
      <w:bookmarkEnd w:id="186"/>
      <w:bookmarkEnd w:id="187"/>
      <w:bookmarkEnd w:id="188"/>
      <w:bookmarkEnd w:id="189"/>
      <w:bookmarkEnd w:id="190"/>
    </w:p>
    <w:p>
      <w:pPr>
        <w:pStyle w:val="6"/>
        <w:keepNext w:val="0"/>
        <w:keepLines w:val="0"/>
        <w:tabs>
          <w:tab w:val="left" w:pos="900"/>
        </w:tabs>
        <w:spacing w:before="0" w:after="0"/>
        <w:ind w:firstLine="560" w:firstLineChars="200"/>
        <w:rPr>
          <w:rFonts w:hAnsi="宋体" w:cs="华文仿宋"/>
          <w:sz w:val="28"/>
          <w:szCs w:val="28"/>
        </w:rPr>
      </w:pPr>
      <w:r>
        <w:rPr>
          <w:rFonts w:hint="eastAsia" w:hAnsi="宋体" w:cs="华文仿宋"/>
          <w:sz w:val="28"/>
          <w:szCs w:val="28"/>
        </w:rPr>
        <w:t>（1）除第28条规定外，在满足招标文件所要求的必要合格条件的前提下，采用综合评分法对提交最后报价的供应商的响应文件和商务、技术进行综合评分，按照评审得分由高到低顺序推荐3名以上进行排序，确定投标候选人；</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bookmarkStart w:id="191" w:name="_Toc520356171"/>
      <w:bookmarkStart w:id="192" w:name="_Toc515647789"/>
      <w:r>
        <w:rPr>
          <w:rFonts w:hint="eastAsia" w:ascii="仿宋" w:hAnsi="仿宋" w:eastAsia="仿宋" w:cs="仿宋"/>
          <w:b w:val="0"/>
          <w:color w:val="000000"/>
          <w:sz w:val="28"/>
          <w:szCs w:val="28"/>
          <w:u w:val="none"/>
        </w:rPr>
        <w:t>（2）评标结果按评审后得分由高到低顺序排列。得分相同的，按修正和扣除后的投标报价由低到高顺序排列。得分与投标报价均相同的处理方式详见招标文件第5章。</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93" w:name="_Toc9653"/>
      <w:bookmarkStart w:id="194" w:name="_Toc23951"/>
      <w:bookmarkStart w:id="195" w:name="_Toc19950"/>
      <w:r>
        <w:rPr>
          <w:rFonts w:hint="eastAsia" w:ascii="仿宋" w:hAnsi="仿宋" w:eastAsia="仿宋" w:cs="仿宋"/>
          <w:color w:val="000000"/>
          <w:sz w:val="28"/>
          <w:szCs w:val="28"/>
          <w:u w:val="none"/>
        </w:rPr>
        <w:t>27</w:t>
      </w:r>
      <w:bookmarkEnd w:id="191"/>
      <w:r>
        <w:rPr>
          <w:rFonts w:hint="eastAsia" w:ascii="仿宋" w:hAnsi="仿宋" w:eastAsia="仿宋" w:cs="仿宋"/>
          <w:color w:val="000000"/>
          <w:sz w:val="28"/>
          <w:szCs w:val="28"/>
          <w:u w:val="none"/>
        </w:rPr>
        <w:t>.确定中标候选人和中标人</w:t>
      </w:r>
      <w:bookmarkEnd w:id="192"/>
      <w:bookmarkEnd w:id="193"/>
      <w:bookmarkEnd w:id="194"/>
      <w:bookmarkEnd w:id="195"/>
    </w:p>
    <w:p>
      <w:pPr>
        <w:pStyle w:val="6"/>
        <w:keepNext w:val="0"/>
        <w:keepLines w:val="0"/>
        <w:spacing w:before="0" w:after="0"/>
        <w:ind w:firstLine="411" w:firstLineChars="147"/>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评标委员会将根据评标标准，按投标人须知资料表中规定数量推荐中标候选人。</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196" w:name="_Toc520356173"/>
      <w:bookmarkStart w:id="197" w:name="_Ref467306874"/>
      <w:bookmarkStart w:id="198" w:name="_Toc13782"/>
      <w:bookmarkStart w:id="199" w:name="_Toc8389"/>
      <w:bookmarkStart w:id="200" w:name="_Toc28562"/>
      <w:bookmarkStart w:id="201" w:name="_Toc515647790"/>
      <w:r>
        <w:rPr>
          <w:rFonts w:hint="eastAsia" w:ascii="仿宋" w:hAnsi="仿宋" w:eastAsia="仿宋" w:cs="仿宋"/>
          <w:color w:val="000000"/>
          <w:sz w:val="28"/>
          <w:szCs w:val="28"/>
          <w:u w:val="none"/>
        </w:rPr>
        <w:t>28.</w:t>
      </w:r>
      <w:bookmarkEnd w:id="196"/>
      <w:bookmarkEnd w:id="197"/>
      <w:r>
        <w:rPr>
          <w:rFonts w:hint="eastAsia" w:ascii="仿宋" w:hAnsi="仿宋" w:eastAsia="仿宋" w:cs="仿宋"/>
          <w:color w:val="000000"/>
          <w:sz w:val="28"/>
          <w:szCs w:val="28"/>
          <w:u w:val="none"/>
        </w:rPr>
        <w:t>采购任务取消</w:t>
      </w:r>
      <w:bookmarkEnd w:id="198"/>
      <w:bookmarkEnd w:id="199"/>
      <w:bookmarkEnd w:id="200"/>
      <w:bookmarkEnd w:id="201"/>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color w:val="000000"/>
          <w:sz w:val="28"/>
          <w:szCs w:val="28"/>
          <w:u w:val="none"/>
        </w:rPr>
        <w:tab/>
      </w:r>
      <w:r>
        <w:rPr>
          <w:rFonts w:hint="eastAsia" w:ascii="仿宋" w:hAnsi="仿宋" w:eastAsia="仿宋" w:cs="仿宋"/>
          <w:b w:val="0"/>
          <w:color w:val="000000"/>
          <w:sz w:val="28"/>
          <w:szCs w:val="28"/>
          <w:u w:val="none"/>
        </w:rPr>
        <w:t>因重大变故采购任务取消时，采购人有权拒绝任何投标人中标，且对受影响的投标人不承担任何责任。</w:t>
      </w:r>
      <w:bookmarkStart w:id="202" w:name="_Toc520356174"/>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03" w:name="_Toc31099"/>
      <w:bookmarkStart w:id="204" w:name="_Toc31142"/>
      <w:bookmarkStart w:id="205" w:name="_Toc30170"/>
      <w:bookmarkStart w:id="206" w:name="_Toc515647791"/>
      <w:r>
        <w:rPr>
          <w:rFonts w:hint="eastAsia" w:ascii="仿宋" w:hAnsi="仿宋" w:eastAsia="仿宋" w:cs="仿宋"/>
          <w:color w:val="000000"/>
          <w:sz w:val="28"/>
          <w:szCs w:val="28"/>
          <w:u w:val="none"/>
        </w:rPr>
        <w:t>29.中标通知书</w:t>
      </w:r>
      <w:bookmarkEnd w:id="202"/>
      <w:r>
        <w:rPr>
          <w:rFonts w:hint="eastAsia" w:ascii="仿宋" w:hAnsi="仿宋" w:eastAsia="仿宋" w:cs="仿宋"/>
          <w:color w:val="000000"/>
          <w:sz w:val="28"/>
          <w:szCs w:val="28"/>
          <w:u w:val="none"/>
        </w:rPr>
        <w:t>和招标结果通知书</w:t>
      </w:r>
      <w:bookmarkEnd w:id="203"/>
      <w:bookmarkEnd w:id="204"/>
      <w:bookmarkEnd w:id="205"/>
      <w:bookmarkEnd w:id="206"/>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29.1在投标有效期内，中标人确定后，采购人或者采购代理机构发布中标公告，同时以书面形式向中标人发出中标通知书。</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29.2中标通知书是合同的组成部分。</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29.3招标结果通知书和中标通知书同时发出。招标结果通知书中将告知未通过资格审查的投标人未通过的原因和未中标人本人的评审得分和排序。</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07" w:name="_Toc14795"/>
      <w:bookmarkStart w:id="208" w:name="_Toc7779"/>
      <w:bookmarkStart w:id="209" w:name="_Toc790"/>
      <w:bookmarkStart w:id="210" w:name="_Toc515647792"/>
      <w:bookmarkStart w:id="211" w:name="_Toc520356175"/>
      <w:bookmarkStart w:id="212" w:name="_Ref467307204"/>
      <w:bookmarkStart w:id="213" w:name="_Ref467307062"/>
      <w:bookmarkStart w:id="214" w:name="_Ref467306978"/>
      <w:bookmarkStart w:id="215" w:name="_Ref467306377"/>
      <w:r>
        <w:rPr>
          <w:rFonts w:hint="eastAsia" w:ascii="仿宋" w:hAnsi="仿宋" w:eastAsia="仿宋" w:cs="仿宋"/>
          <w:color w:val="000000"/>
          <w:sz w:val="28"/>
          <w:szCs w:val="28"/>
          <w:u w:val="none"/>
        </w:rPr>
        <w:t>30.签订合同</w:t>
      </w:r>
      <w:bookmarkEnd w:id="207"/>
      <w:bookmarkEnd w:id="208"/>
      <w:bookmarkEnd w:id="209"/>
      <w:bookmarkEnd w:id="210"/>
      <w:bookmarkEnd w:id="211"/>
      <w:bookmarkEnd w:id="212"/>
      <w:bookmarkEnd w:id="213"/>
      <w:bookmarkEnd w:id="214"/>
      <w:bookmarkEnd w:id="215"/>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30.1中标人应当自发出中标通知书之日起7日内，与采购人签订合同。</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30.2</w:t>
      </w:r>
      <w:bookmarkStart w:id="216" w:name="_Toc520356176"/>
      <w:bookmarkStart w:id="217" w:name="_Ref467307090"/>
      <w:bookmarkStart w:id="218" w:name="_Ref467306425"/>
      <w:r>
        <w:rPr>
          <w:rFonts w:hint="eastAsia" w:ascii="仿宋" w:hAnsi="仿宋" w:eastAsia="仿宋" w:cs="仿宋"/>
          <w:b w:val="0"/>
          <w:color w:val="000000"/>
          <w:sz w:val="28"/>
          <w:szCs w:val="28"/>
          <w:u w:val="none"/>
        </w:rPr>
        <w:t>招标文件、中标人的投标文件及其澄清文件等，均为签订合同的依据。</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30.3中标人拒绝与采购人签订合同的，采购人将按照评审报告推荐的中标候选人名单排序，确定下一中标候选人为中标人，或重新开展政府采购活动。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30.4当出现法规规定的</w:t>
      </w:r>
      <w:r>
        <w:rPr>
          <w:rFonts w:hint="eastAsia" w:ascii="仿宋" w:hAnsi="仿宋" w:eastAsia="仿宋" w:cs="仿宋"/>
          <w:color w:val="000000"/>
          <w:sz w:val="28"/>
          <w:szCs w:val="28"/>
          <w:u w:val="none"/>
        </w:rPr>
        <w:t>中标无效或中标结果无效</w:t>
      </w:r>
      <w:r>
        <w:rPr>
          <w:rFonts w:hint="eastAsia" w:ascii="仿宋" w:hAnsi="仿宋" w:eastAsia="仿宋" w:cs="仿宋"/>
          <w:b w:val="0"/>
          <w:color w:val="000000"/>
          <w:sz w:val="28"/>
          <w:szCs w:val="28"/>
          <w:u w:val="none"/>
        </w:rPr>
        <w:t>情形时，采购人与排名下一位的中标候选人另行签订合同，或依法重新开展采购活动。</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19" w:name="_Toc14080"/>
      <w:bookmarkStart w:id="220" w:name="_Toc7188"/>
      <w:bookmarkStart w:id="221" w:name="_Toc515647793"/>
      <w:bookmarkStart w:id="222" w:name="_Toc22555"/>
      <w:r>
        <w:rPr>
          <w:rFonts w:hint="eastAsia" w:ascii="仿宋" w:hAnsi="仿宋" w:eastAsia="仿宋" w:cs="仿宋"/>
          <w:color w:val="000000"/>
          <w:sz w:val="28"/>
          <w:szCs w:val="28"/>
          <w:u w:val="none"/>
        </w:rPr>
        <w:t>31.履约保证金</w:t>
      </w:r>
      <w:bookmarkEnd w:id="216"/>
      <w:bookmarkEnd w:id="217"/>
      <w:bookmarkEnd w:id="218"/>
      <w:bookmarkEnd w:id="219"/>
      <w:bookmarkEnd w:id="220"/>
      <w:bookmarkEnd w:id="221"/>
      <w:bookmarkEnd w:id="222"/>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31.1中标人应按照</w:t>
      </w:r>
      <w:r>
        <w:rPr>
          <w:rFonts w:hint="eastAsia" w:ascii="仿宋" w:hAnsi="仿宋" w:eastAsia="仿宋" w:cs="仿宋"/>
          <w:color w:val="000000"/>
          <w:sz w:val="28"/>
          <w:szCs w:val="28"/>
        </w:rPr>
        <w:t>投标人须知资料表</w:t>
      </w:r>
      <w:r>
        <w:rPr>
          <w:rFonts w:hint="eastAsia" w:ascii="仿宋" w:hAnsi="仿宋" w:eastAsia="仿宋" w:cs="仿宋"/>
          <w:b w:val="0"/>
          <w:color w:val="000000"/>
          <w:sz w:val="28"/>
          <w:szCs w:val="28"/>
          <w:u w:val="none"/>
        </w:rPr>
        <w:t>规定向采购人缴纳履约保证金。</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31.2如果中标人没有按照上述履约保证金的规定执行，将视为放弃中标资格，中标人的投标保证金将不予退还。在此情况下，采购人将确定下一候选人为中标人。</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23" w:name="_Toc515647794"/>
      <w:bookmarkStart w:id="224" w:name="_Toc31936"/>
      <w:bookmarkStart w:id="225" w:name="_Toc29408"/>
      <w:bookmarkStart w:id="226" w:name="_Toc3090"/>
      <w:r>
        <w:rPr>
          <w:rFonts w:hint="eastAsia" w:ascii="仿宋" w:hAnsi="仿宋" w:eastAsia="仿宋" w:cs="仿宋"/>
          <w:color w:val="000000"/>
          <w:sz w:val="28"/>
          <w:szCs w:val="28"/>
          <w:u w:val="none"/>
        </w:rPr>
        <w:t>32.中标服务费</w:t>
      </w:r>
      <w:bookmarkEnd w:id="223"/>
      <w:bookmarkEnd w:id="224"/>
      <w:bookmarkEnd w:id="225"/>
      <w:bookmarkEnd w:id="226"/>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color w:val="000000"/>
          <w:sz w:val="28"/>
          <w:szCs w:val="28"/>
          <w:u w:val="none"/>
        </w:rPr>
        <w:t xml:space="preserve">   </w:t>
      </w:r>
      <w:r>
        <w:rPr>
          <w:rFonts w:hint="eastAsia" w:ascii="仿宋" w:hAnsi="仿宋" w:eastAsia="仿宋" w:cs="仿宋"/>
          <w:b w:val="0"/>
          <w:color w:val="000000"/>
          <w:sz w:val="28"/>
          <w:szCs w:val="28"/>
          <w:u w:val="none"/>
        </w:rPr>
        <w:t>中标人须按照</w:t>
      </w:r>
      <w:r>
        <w:rPr>
          <w:rFonts w:hint="eastAsia" w:ascii="仿宋" w:hAnsi="仿宋" w:eastAsia="仿宋" w:cs="仿宋"/>
          <w:color w:val="000000"/>
          <w:sz w:val="28"/>
          <w:szCs w:val="28"/>
        </w:rPr>
        <w:t>投标须知资料表</w:t>
      </w:r>
      <w:r>
        <w:rPr>
          <w:rFonts w:hint="eastAsia" w:ascii="仿宋" w:hAnsi="仿宋" w:eastAsia="仿宋" w:cs="仿宋"/>
          <w:b w:val="0"/>
          <w:color w:val="000000"/>
          <w:sz w:val="28"/>
          <w:szCs w:val="28"/>
          <w:u w:val="none"/>
        </w:rPr>
        <w:t>规定，向采购代理机构支付中标服务费。</w:t>
      </w:r>
    </w:p>
    <w:p>
      <w:pPr>
        <w:pStyle w:val="6"/>
        <w:keepNext w:val="0"/>
        <w:keepLines w:val="0"/>
        <w:tabs>
          <w:tab w:val="left" w:pos="900"/>
        </w:tabs>
        <w:spacing w:before="0" w:after="0"/>
        <w:ind w:firstLine="560" w:firstLineChars="200"/>
        <w:rPr>
          <w:rFonts w:ascii="仿宋" w:hAnsi="仿宋" w:eastAsia="仿宋" w:cs="仿宋"/>
          <w:sz w:val="28"/>
          <w:szCs w:val="28"/>
          <w:u w:val="none"/>
        </w:rPr>
      </w:pPr>
      <w:bookmarkStart w:id="227" w:name="_Toc7049"/>
      <w:bookmarkStart w:id="228" w:name="_Toc515647795"/>
      <w:bookmarkStart w:id="229" w:name="_Toc6923"/>
      <w:bookmarkStart w:id="230" w:name="_Toc13588"/>
      <w:r>
        <w:rPr>
          <w:rFonts w:hint="eastAsia" w:ascii="仿宋" w:hAnsi="仿宋" w:eastAsia="仿宋" w:cs="仿宋"/>
          <w:sz w:val="28"/>
          <w:szCs w:val="28"/>
          <w:u w:val="none"/>
        </w:rPr>
        <w:t>33.政府采购信用担保</w:t>
      </w:r>
      <w:bookmarkEnd w:id="227"/>
      <w:bookmarkEnd w:id="228"/>
      <w:bookmarkEnd w:id="229"/>
      <w:bookmarkEnd w:id="230"/>
      <w:r>
        <w:rPr>
          <w:rFonts w:hint="eastAsia" w:ascii="仿宋" w:hAnsi="仿宋" w:eastAsia="仿宋" w:cs="仿宋"/>
          <w:sz w:val="28"/>
          <w:szCs w:val="28"/>
          <w:u w:val="none"/>
        </w:rPr>
        <w:t>（本项目不适用）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33.1本项目是否属于信用担保试点范围见投标人须知资料表。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33.2如属于政府采购信用担保试点范围内，中小型企业投标人可以自由按照财政部门的规定，采用投标担保、履约担保和融资担保。</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33.2.1投标人递交的投标担保函和履约担保函应符合本招标文件的规定。</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33.2.2中标人可以采取融资担保的形式为政府采购项目履约进行融资。</w:t>
      </w:r>
    </w:p>
    <w:p>
      <w:pPr>
        <w:pStyle w:val="6"/>
        <w:keepNext w:val="0"/>
        <w:keepLines w:val="0"/>
        <w:tabs>
          <w:tab w:val="left" w:pos="900"/>
        </w:tabs>
        <w:spacing w:before="0" w:after="0"/>
        <w:ind w:firstLine="560" w:firstLineChars="200"/>
        <w:rPr>
          <w:rFonts w:ascii="仿宋" w:hAnsi="仿宋" w:eastAsia="仿宋" w:cs="仿宋"/>
          <w:color w:val="000000"/>
          <w:sz w:val="28"/>
          <w:szCs w:val="28"/>
        </w:rPr>
      </w:pPr>
      <w:r>
        <w:rPr>
          <w:rFonts w:hint="eastAsia" w:ascii="仿宋" w:hAnsi="仿宋" w:eastAsia="仿宋" w:cs="仿宋"/>
          <w:b w:val="0"/>
          <w:color w:val="000000"/>
          <w:sz w:val="28"/>
          <w:szCs w:val="28"/>
          <w:u w:val="none"/>
        </w:rPr>
        <w:t>33.2.3合格的政府采购专业信用担保机构名单见</w:t>
      </w:r>
      <w:r>
        <w:rPr>
          <w:rFonts w:hint="eastAsia" w:ascii="仿宋" w:hAnsi="仿宋" w:eastAsia="仿宋" w:cs="仿宋"/>
          <w:color w:val="000000"/>
          <w:sz w:val="28"/>
          <w:szCs w:val="28"/>
        </w:rPr>
        <w:t>投标人须知资料表。</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31" w:name="_Toc27198"/>
      <w:bookmarkStart w:id="232" w:name="_Toc2133"/>
      <w:bookmarkStart w:id="233" w:name="_Toc23999"/>
      <w:bookmarkStart w:id="234" w:name="_Toc515647796"/>
      <w:r>
        <w:rPr>
          <w:rFonts w:hint="eastAsia" w:ascii="仿宋" w:hAnsi="仿宋" w:eastAsia="仿宋" w:cs="仿宋"/>
          <w:color w:val="000000"/>
          <w:sz w:val="28"/>
          <w:szCs w:val="28"/>
          <w:u w:val="none"/>
        </w:rPr>
        <w:t>34.廉洁自律规定</w:t>
      </w:r>
      <w:bookmarkEnd w:id="231"/>
      <w:bookmarkEnd w:id="232"/>
      <w:bookmarkEnd w:id="233"/>
      <w:bookmarkEnd w:id="234"/>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34.1采购代理机构工作人员不得以不正当手段获取政府采购代理业务，不得与采购人、供应商恶意串通操纵政府采购活动。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34.2采购代理机构工作人员不得接受采购人或者供应商组织的宴请、旅游、娱乐，不得收受礼品、现金、有价证券等，不得向采购人或者供应商报销应当由个人承担的费用。</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bookmarkStart w:id="235" w:name="_Toc10437"/>
      <w:bookmarkStart w:id="236" w:name="_Toc25480"/>
      <w:bookmarkStart w:id="237" w:name="_Toc11586"/>
      <w:bookmarkStart w:id="238" w:name="_Toc515647797"/>
      <w:r>
        <w:rPr>
          <w:rFonts w:hint="eastAsia" w:ascii="仿宋" w:hAnsi="仿宋" w:eastAsia="仿宋" w:cs="仿宋"/>
          <w:b w:val="0"/>
          <w:color w:val="000000"/>
          <w:sz w:val="28"/>
          <w:szCs w:val="28"/>
          <w:u w:val="none"/>
        </w:rPr>
        <w:t>35.人员回避</w:t>
      </w:r>
      <w:bookmarkEnd w:id="235"/>
      <w:bookmarkEnd w:id="236"/>
      <w:bookmarkEnd w:id="237"/>
      <w:bookmarkEnd w:id="238"/>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投标人认为采购人员及其相关人员有法律法规所列与其他供应商有利害关系的，可以向采购人或采购代理机构书面提出回避申请，并说明理由。</w:t>
      </w:r>
    </w:p>
    <w:p>
      <w:pPr>
        <w:pStyle w:val="6"/>
        <w:keepNext w:val="0"/>
        <w:keepLines w:val="0"/>
        <w:tabs>
          <w:tab w:val="left" w:pos="900"/>
        </w:tabs>
        <w:spacing w:before="0" w:after="0"/>
        <w:ind w:firstLine="560" w:firstLineChars="200"/>
        <w:rPr>
          <w:rFonts w:ascii="仿宋" w:hAnsi="仿宋" w:eastAsia="仿宋" w:cs="仿宋"/>
          <w:color w:val="000000"/>
          <w:sz w:val="28"/>
          <w:szCs w:val="28"/>
          <w:u w:val="none"/>
        </w:rPr>
      </w:pPr>
      <w:bookmarkStart w:id="239" w:name="_Toc10700"/>
      <w:bookmarkStart w:id="240" w:name="_Toc11115"/>
      <w:bookmarkStart w:id="241" w:name="_Toc1148"/>
      <w:bookmarkStart w:id="242" w:name="_Toc515647798"/>
      <w:r>
        <w:rPr>
          <w:rFonts w:hint="eastAsia" w:ascii="仿宋" w:hAnsi="仿宋" w:eastAsia="仿宋" w:cs="仿宋"/>
          <w:color w:val="000000"/>
          <w:sz w:val="28"/>
          <w:szCs w:val="28"/>
          <w:u w:val="none"/>
        </w:rPr>
        <w:t>36.质疑与接收</w:t>
      </w:r>
      <w:bookmarkEnd w:id="239"/>
      <w:bookmarkEnd w:id="240"/>
      <w:bookmarkEnd w:id="241"/>
      <w:bookmarkEnd w:id="242"/>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36.2质疑供应商应按照财政部制定的《政府采购质疑函范本》格式（可从财政部官方网站下载）和《政府采购质疑和投诉办法》的要求，在法定质疑期内以纸质形式提出质疑，针对同一采购程序环节的质疑应一次性提出。</w:t>
      </w:r>
    </w:p>
    <w:p>
      <w:pPr>
        <w:pStyle w:val="6"/>
        <w:keepNext w:val="0"/>
        <w:keepLines w:val="0"/>
        <w:tabs>
          <w:tab w:val="left" w:pos="900"/>
        </w:tabs>
        <w:spacing w:before="0" w:after="0"/>
        <w:ind w:firstLine="560" w:firstLineChars="200"/>
        <w:rPr>
          <w:rFonts w:ascii="仿宋" w:hAnsi="仿宋" w:eastAsia="仿宋" w:cs="仿宋"/>
          <w:b w:val="0"/>
          <w:color w:val="000000"/>
          <w:sz w:val="28"/>
          <w:szCs w:val="28"/>
          <w:u w:val="none"/>
        </w:rPr>
      </w:pPr>
      <w:r>
        <w:rPr>
          <w:rFonts w:hint="eastAsia" w:ascii="仿宋" w:hAnsi="仿宋" w:eastAsia="仿宋" w:cs="仿宋"/>
          <w:b w:val="0"/>
          <w:color w:val="000000"/>
          <w:sz w:val="28"/>
          <w:szCs w:val="28"/>
          <w:u w:val="none"/>
        </w:rPr>
        <w:t>超出法定质疑期的、重复提出的、分次提出的或内容、形式不符合《政府采购质疑和投诉办法》的，质疑供应商将依法承担不利后果。</w:t>
      </w:r>
    </w:p>
    <w:p>
      <w:pPr>
        <w:pStyle w:val="6"/>
        <w:keepNext w:val="0"/>
        <w:keepLines w:val="0"/>
        <w:tabs>
          <w:tab w:val="left" w:pos="900"/>
        </w:tabs>
        <w:spacing w:before="0" w:after="0"/>
        <w:ind w:firstLine="560" w:firstLineChars="200"/>
        <w:rPr>
          <w:rFonts w:ascii="仿宋" w:hAnsi="仿宋" w:eastAsia="仿宋" w:cs="仿宋"/>
          <w:bCs/>
          <w:color w:val="000000"/>
          <w:sz w:val="28"/>
          <w:szCs w:val="28"/>
        </w:rPr>
      </w:pPr>
      <w:r>
        <w:rPr>
          <w:rFonts w:hint="eastAsia" w:ascii="仿宋" w:hAnsi="仿宋" w:eastAsia="仿宋" w:cs="仿宋"/>
          <w:b w:val="0"/>
          <w:color w:val="000000"/>
          <w:sz w:val="28"/>
          <w:szCs w:val="28"/>
          <w:u w:val="none"/>
        </w:rPr>
        <w:t xml:space="preserve">36.3采购代理机构质疑函接收部门、联系电话和通讯地址, </w:t>
      </w:r>
      <w:r>
        <w:rPr>
          <w:rFonts w:hint="eastAsia" w:ascii="仿宋" w:hAnsi="仿宋" w:eastAsia="仿宋" w:cs="仿宋"/>
          <w:color w:val="000000"/>
          <w:sz w:val="28"/>
          <w:szCs w:val="28"/>
          <w:u w:val="none"/>
        </w:rPr>
        <w:t>见</w:t>
      </w:r>
      <w:r>
        <w:rPr>
          <w:rFonts w:hint="eastAsia" w:ascii="仿宋" w:hAnsi="仿宋" w:eastAsia="仿宋" w:cs="仿宋"/>
          <w:bCs/>
          <w:color w:val="000000"/>
          <w:sz w:val="28"/>
          <w:szCs w:val="28"/>
        </w:rPr>
        <w:t>投标人须知资料表。</w:t>
      </w:r>
    </w:p>
    <w:p>
      <w:pPr>
        <w:ind w:left="900" w:firstLine="560" w:firstLineChars="200"/>
        <w:rPr>
          <w:rFonts w:ascii="仿宋" w:hAnsi="仿宋" w:eastAsia="仿宋" w:cs="仿宋"/>
          <w:sz w:val="28"/>
          <w:szCs w:val="28"/>
        </w:rPr>
      </w:pPr>
    </w:p>
    <w:p>
      <w:pPr>
        <w:pStyle w:val="5"/>
        <w:spacing w:before="0" w:line="240" w:lineRule="auto"/>
        <w:ind w:firstLine="2520" w:firstLineChars="900"/>
        <w:jc w:val="both"/>
        <w:rPr>
          <w:rFonts w:ascii="仿宋" w:hAnsi="仿宋" w:eastAsia="仿宋" w:cs="仿宋"/>
          <w:sz w:val="28"/>
          <w:szCs w:val="28"/>
        </w:rPr>
      </w:pPr>
      <w:bookmarkStart w:id="243" w:name="_Toc21748"/>
      <w:bookmarkStart w:id="244" w:name="_Toc515647799"/>
      <w:bookmarkStart w:id="245" w:name="_Toc11469"/>
      <w:bookmarkStart w:id="246" w:name="_Toc16186"/>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5"/>
        <w:spacing w:before="0" w:line="240" w:lineRule="auto"/>
        <w:ind w:firstLine="2520" w:firstLineChars="900"/>
        <w:jc w:val="both"/>
        <w:rPr>
          <w:rFonts w:ascii="仿宋" w:hAnsi="仿宋" w:eastAsia="仿宋" w:cs="仿宋"/>
          <w:sz w:val="28"/>
          <w:szCs w:val="28"/>
        </w:rPr>
      </w:pPr>
      <w:bookmarkStart w:id="247" w:name="_Toc21867"/>
      <w:r>
        <w:rPr>
          <w:rFonts w:hint="eastAsia" w:ascii="仿宋" w:hAnsi="仿宋" w:eastAsia="仿宋" w:cs="仿宋"/>
          <w:sz w:val="28"/>
          <w:szCs w:val="28"/>
        </w:rPr>
        <w:t>附件1：履约保证金保函（格式）</w:t>
      </w:r>
      <w:bookmarkEnd w:id="247"/>
    </w:p>
    <w:p>
      <w:pPr>
        <w:pStyle w:val="8"/>
        <w:ind w:firstLine="3640" w:firstLineChars="1300"/>
        <w:rPr>
          <w:rFonts w:ascii="仿宋" w:hAnsi="仿宋" w:eastAsia="仿宋" w:cs="仿宋"/>
          <w:sz w:val="28"/>
          <w:szCs w:val="28"/>
        </w:rPr>
      </w:pPr>
      <w:r>
        <w:rPr>
          <w:rFonts w:hint="eastAsia" w:ascii="仿宋" w:hAnsi="仿宋" w:eastAsia="仿宋" w:cs="仿宋"/>
          <w:b/>
          <w:sz w:val="28"/>
          <w:szCs w:val="28"/>
        </w:rPr>
        <w:t>（中标后开具）</w:t>
      </w:r>
    </w:p>
    <w:bookmarkEnd w:id="243"/>
    <w:bookmarkEnd w:id="244"/>
    <w:bookmarkEnd w:id="245"/>
    <w:bookmarkEnd w:id="246"/>
    <w:p>
      <w:pPr>
        <w:pStyle w:val="8"/>
        <w:rPr>
          <w:rFonts w:ascii="仿宋" w:hAnsi="仿宋" w:eastAsia="仿宋" w:cs="仿宋"/>
          <w:sz w:val="28"/>
          <w:szCs w:val="28"/>
        </w:rPr>
      </w:pPr>
      <w:r>
        <w:rPr>
          <w:rFonts w:hint="eastAsia" w:ascii="仿宋" w:hAnsi="仿宋" w:eastAsia="仿宋" w:cs="仿宋"/>
          <w:sz w:val="28"/>
          <w:szCs w:val="28"/>
        </w:rPr>
        <w:t>致: (</w:t>
      </w:r>
      <w:r>
        <w:rPr>
          <w:rFonts w:hint="eastAsia" w:ascii="仿宋" w:hAnsi="仿宋" w:eastAsia="仿宋" w:cs="仿宋"/>
          <w:sz w:val="28"/>
          <w:szCs w:val="28"/>
          <w:u w:val="single"/>
        </w:rPr>
        <w:t>采购人名称</w:t>
      </w:r>
      <w:r>
        <w:rPr>
          <w:rFonts w:hint="eastAsia" w:ascii="仿宋" w:hAnsi="仿宋" w:eastAsia="仿宋" w:cs="仿宋"/>
          <w:sz w:val="28"/>
          <w:szCs w:val="28"/>
        </w:rPr>
        <w:t>)</w:t>
      </w:r>
    </w:p>
    <w:p>
      <w:pPr>
        <w:pStyle w:val="8"/>
        <w:ind w:left="539" w:leftChars="257" w:firstLine="560" w:firstLineChars="200"/>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号合同履约保函</w:t>
      </w:r>
    </w:p>
    <w:p>
      <w:pPr>
        <w:pStyle w:val="8"/>
        <w:ind w:left="539" w:leftChars="257" w:firstLine="560" w:firstLineChars="200"/>
        <w:jc w:val="center"/>
        <w:rPr>
          <w:rFonts w:ascii="仿宋" w:hAnsi="仿宋" w:eastAsia="仿宋" w:cs="仿宋"/>
          <w:sz w:val="28"/>
          <w:szCs w:val="28"/>
        </w:rPr>
      </w:pPr>
    </w:p>
    <w:p>
      <w:pPr>
        <w:pStyle w:val="8"/>
        <w:ind w:firstLine="560" w:firstLineChars="200"/>
        <w:rPr>
          <w:rFonts w:ascii="仿宋" w:hAnsi="仿宋" w:eastAsia="仿宋" w:cs="仿宋"/>
          <w:sz w:val="28"/>
          <w:szCs w:val="28"/>
        </w:rPr>
      </w:pPr>
      <w:r>
        <w:rPr>
          <w:rFonts w:hint="eastAsia" w:ascii="仿宋" w:hAnsi="仿宋" w:eastAsia="仿宋" w:cs="仿宋"/>
          <w:sz w:val="28"/>
          <w:szCs w:val="28"/>
        </w:rPr>
        <w:t>本保函作为贵方与(</w:t>
      </w:r>
      <w:r>
        <w:rPr>
          <w:rFonts w:hint="eastAsia" w:ascii="仿宋" w:hAnsi="仿宋" w:eastAsia="仿宋" w:cs="仿宋"/>
          <w:sz w:val="28"/>
          <w:szCs w:val="28"/>
          <w:u w:val="single"/>
        </w:rPr>
        <w:t>供应商名称</w:t>
      </w:r>
      <w:r>
        <w:rPr>
          <w:rFonts w:hint="eastAsia" w:ascii="仿宋" w:hAnsi="仿宋" w:eastAsia="仿宋" w:cs="仿宋"/>
          <w:sz w:val="28"/>
          <w:szCs w:val="28"/>
        </w:rPr>
        <w:t>)(以下简称卖方)于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日就</w:t>
      </w:r>
      <w:r>
        <w:rPr>
          <w:rFonts w:hint="eastAsia" w:ascii="仿宋" w:hAnsi="仿宋" w:eastAsia="仿宋" w:cs="仿宋"/>
          <w:sz w:val="28"/>
          <w:szCs w:val="28"/>
          <w:u w:val="single"/>
        </w:rPr>
        <w:t xml:space="preserve">                  </w:t>
      </w:r>
      <w:r>
        <w:rPr>
          <w:rFonts w:hint="eastAsia" w:ascii="仿宋" w:hAnsi="仿宋" w:eastAsia="仿宋" w:cs="仿宋"/>
          <w:sz w:val="28"/>
          <w:szCs w:val="28"/>
        </w:rPr>
        <w:t>项目(以下简称项目)项下提供(</w:t>
      </w:r>
      <w:r>
        <w:rPr>
          <w:rFonts w:hint="eastAsia" w:ascii="仿宋" w:hAnsi="仿宋" w:eastAsia="仿宋" w:cs="仿宋"/>
          <w:iCs/>
          <w:sz w:val="28"/>
          <w:szCs w:val="28"/>
          <w:u w:val="single"/>
        </w:rPr>
        <w:t>货物名称</w:t>
      </w:r>
      <w:r>
        <w:rPr>
          <w:rFonts w:hint="eastAsia" w:ascii="仿宋" w:hAnsi="仿宋" w:eastAsia="仿宋" w:cs="仿宋"/>
          <w:sz w:val="28"/>
          <w:szCs w:val="28"/>
        </w:rPr>
        <w:t>)(以下简称货物)签订的(</w:t>
      </w:r>
      <w:r>
        <w:rPr>
          <w:rFonts w:hint="eastAsia" w:ascii="仿宋" w:hAnsi="仿宋" w:eastAsia="仿宋" w:cs="仿宋"/>
          <w:iCs/>
          <w:sz w:val="28"/>
          <w:szCs w:val="28"/>
          <w:u w:val="single"/>
        </w:rPr>
        <w:t>合同号</w:t>
      </w:r>
      <w:r>
        <w:rPr>
          <w:rFonts w:hint="eastAsia" w:ascii="仿宋" w:hAnsi="仿宋" w:eastAsia="仿宋" w:cs="仿宋"/>
          <w:sz w:val="28"/>
          <w:szCs w:val="28"/>
        </w:rPr>
        <w:t>)号合同的履约保函。</w:t>
      </w:r>
    </w:p>
    <w:p>
      <w:pPr>
        <w:pStyle w:val="8"/>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iCs/>
          <w:sz w:val="28"/>
          <w:szCs w:val="28"/>
          <w:u w:val="single"/>
        </w:rPr>
        <w:t>出具保函的银行名称</w:t>
      </w:r>
      <w:r>
        <w:rPr>
          <w:rFonts w:hint="eastAsia" w:ascii="仿宋" w:hAnsi="仿宋" w:eastAsia="仿宋" w:cs="仿宋"/>
          <w:sz w:val="28"/>
          <w:szCs w:val="28"/>
        </w:rPr>
        <w:t>)(以下简称银行)无条件地、不可撤销地具结保证本行、其继承人和受让人无追索地向贵方以(</w:t>
      </w:r>
      <w:r>
        <w:rPr>
          <w:rFonts w:hint="eastAsia" w:ascii="仿宋" w:hAnsi="仿宋" w:eastAsia="仿宋" w:cs="仿宋"/>
          <w:iCs/>
          <w:sz w:val="28"/>
          <w:szCs w:val="28"/>
          <w:u w:val="single"/>
        </w:rPr>
        <w:t>货币名称</w:t>
      </w:r>
      <w:r>
        <w:rPr>
          <w:rFonts w:hint="eastAsia" w:ascii="仿宋" w:hAnsi="仿宋" w:eastAsia="仿宋" w:cs="仿宋"/>
          <w:sz w:val="28"/>
          <w:szCs w:val="28"/>
        </w:rPr>
        <w:t>)支付总额不超过(</w:t>
      </w:r>
      <w:r>
        <w:rPr>
          <w:rFonts w:hint="eastAsia" w:ascii="仿宋" w:hAnsi="仿宋" w:eastAsia="仿宋" w:cs="仿宋"/>
          <w:iCs/>
          <w:sz w:val="28"/>
          <w:szCs w:val="28"/>
          <w:u w:val="single"/>
        </w:rPr>
        <w:t>货币数量</w:t>
      </w:r>
      <w:r>
        <w:rPr>
          <w:rFonts w:hint="eastAsia" w:ascii="仿宋" w:hAnsi="仿宋" w:eastAsia="仿宋" w:cs="仿宋"/>
          <w:sz w:val="28"/>
          <w:szCs w:val="28"/>
        </w:rPr>
        <w:t>),即相当于合同价格的</w:t>
      </w:r>
      <w:r>
        <w:rPr>
          <w:rFonts w:hint="eastAsia" w:ascii="仿宋" w:hAnsi="仿宋" w:eastAsia="仿宋" w:cs="仿宋"/>
          <w:sz w:val="28"/>
          <w:szCs w:val="28"/>
          <w:u w:val="single"/>
        </w:rPr>
        <w:t xml:space="preserve">     </w:t>
      </w:r>
      <w:r>
        <w:rPr>
          <w:rFonts w:hint="eastAsia" w:ascii="仿宋" w:hAnsi="仿宋" w:eastAsia="仿宋" w:cs="仿宋"/>
          <w:sz w:val="28"/>
          <w:szCs w:val="28"/>
        </w:rPr>
        <w:t>%,并以此约定如下:</w:t>
      </w:r>
    </w:p>
    <w:p>
      <w:pPr>
        <w:pStyle w:val="8"/>
        <w:ind w:left="539" w:leftChars="257" w:firstLine="560" w:firstLineChars="200"/>
        <w:rPr>
          <w:rFonts w:ascii="仿宋" w:hAnsi="仿宋" w:eastAsia="仿宋" w:cs="仿宋"/>
          <w:sz w:val="28"/>
          <w:szCs w:val="28"/>
        </w:rPr>
      </w:pPr>
      <w:r>
        <w:rPr>
          <w:rFonts w:hint="eastAsia" w:ascii="仿宋" w:hAnsi="仿宋" w:eastAsia="仿宋" w:cs="仿宋"/>
          <w:sz w:val="28"/>
          <w:szCs w:val="28"/>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8"/>
        <w:ind w:left="540" w:firstLine="560" w:firstLineChars="200"/>
        <w:rPr>
          <w:rFonts w:ascii="仿宋" w:hAnsi="仿宋" w:eastAsia="仿宋" w:cs="仿宋"/>
          <w:sz w:val="28"/>
          <w:szCs w:val="28"/>
        </w:rPr>
      </w:pPr>
      <w:r>
        <w:rPr>
          <w:rFonts w:hint="eastAsia" w:ascii="仿宋" w:hAnsi="仿宋" w:eastAsia="仿宋" w:cs="仿宋"/>
          <w:sz w:val="28"/>
          <w:szCs w:val="28"/>
        </w:rPr>
        <w:t>2.本保函项下的任何支付应为免税和净值。对于现有或将来的税收、关税、收费、费用扣减或预提税款，不论这些款项是何种性质和由谁征收，都不应从本保函项下的支付中扣除。</w:t>
      </w:r>
    </w:p>
    <w:p>
      <w:pPr>
        <w:pStyle w:val="8"/>
        <w:rPr>
          <w:rFonts w:ascii="仿宋" w:hAnsi="仿宋" w:eastAsia="仿宋" w:cs="仿宋"/>
          <w:sz w:val="28"/>
          <w:szCs w:val="28"/>
        </w:rPr>
      </w:pPr>
      <w:r>
        <w:rPr>
          <w:rFonts w:hint="eastAsia" w:ascii="仿宋" w:hAnsi="仿宋" w:eastAsia="仿宋" w:cs="仿宋"/>
          <w:sz w:val="28"/>
          <w:szCs w:val="28"/>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8"/>
        <w:rPr>
          <w:rFonts w:ascii="仿宋" w:hAnsi="仿宋" w:eastAsia="仿宋" w:cs="仿宋"/>
          <w:sz w:val="28"/>
          <w:szCs w:val="28"/>
        </w:rPr>
      </w:pPr>
      <w:r>
        <w:rPr>
          <w:rFonts w:hint="eastAsia" w:ascii="仿宋" w:hAnsi="仿宋" w:eastAsia="仿宋" w:cs="仿宋"/>
          <w:sz w:val="28"/>
          <w:szCs w:val="28"/>
        </w:rPr>
        <w:t>4.本保函在本合同规定的保证期期满前完全有效。</w:t>
      </w:r>
    </w:p>
    <w:p>
      <w:pPr>
        <w:pStyle w:val="8"/>
        <w:ind w:left="539" w:leftChars="257" w:firstLine="560" w:firstLineChars="200"/>
        <w:rPr>
          <w:rFonts w:ascii="仿宋" w:hAnsi="仿宋" w:eastAsia="仿宋" w:cs="仿宋"/>
          <w:sz w:val="28"/>
          <w:szCs w:val="28"/>
        </w:rPr>
      </w:pPr>
    </w:p>
    <w:p>
      <w:pPr>
        <w:pStyle w:val="8"/>
        <w:ind w:left="539" w:leftChars="257" w:firstLine="560" w:firstLineChars="200"/>
        <w:rPr>
          <w:rFonts w:ascii="仿宋" w:hAnsi="仿宋" w:eastAsia="仿宋" w:cs="仿宋"/>
          <w:sz w:val="28"/>
          <w:szCs w:val="28"/>
        </w:rPr>
      </w:pPr>
    </w:p>
    <w:p>
      <w:pPr>
        <w:pStyle w:val="8"/>
        <w:ind w:left="539" w:leftChars="257" w:firstLine="560" w:firstLineChars="200"/>
        <w:rPr>
          <w:rFonts w:ascii="仿宋" w:hAnsi="仿宋" w:eastAsia="仿宋" w:cs="仿宋"/>
          <w:sz w:val="28"/>
          <w:szCs w:val="28"/>
        </w:rPr>
      </w:pPr>
    </w:p>
    <w:p>
      <w:pPr>
        <w:pStyle w:val="8"/>
        <w:ind w:left="539" w:leftChars="257" w:firstLine="560" w:firstLineChars="200"/>
        <w:rPr>
          <w:rFonts w:ascii="仿宋" w:hAnsi="仿宋" w:eastAsia="仿宋" w:cs="仿宋"/>
          <w:sz w:val="28"/>
          <w:szCs w:val="28"/>
        </w:rPr>
      </w:pPr>
    </w:p>
    <w:p>
      <w:pPr>
        <w:pStyle w:val="8"/>
        <w:ind w:left="539" w:leftChars="257" w:firstLine="560" w:firstLineChars="200"/>
        <w:rPr>
          <w:rFonts w:ascii="仿宋" w:hAnsi="仿宋" w:eastAsia="仿宋" w:cs="仿宋"/>
          <w:sz w:val="28"/>
          <w:szCs w:val="28"/>
        </w:rPr>
      </w:pPr>
    </w:p>
    <w:p>
      <w:pPr>
        <w:pStyle w:val="8"/>
        <w:ind w:left="539" w:leftChars="257" w:firstLine="560" w:firstLineChars="200"/>
        <w:rPr>
          <w:rFonts w:ascii="仿宋" w:hAnsi="仿宋" w:eastAsia="仿宋" w:cs="仿宋"/>
          <w:sz w:val="28"/>
          <w:szCs w:val="28"/>
        </w:rPr>
      </w:pPr>
    </w:p>
    <w:p>
      <w:pPr>
        <w:pStyle w:val="8"/>
        <w:ind w:firstLine="1120" w:firstLineChars="400"/>
        <w:rPr>
          <w:rFonts w:ascii="仿宋" w:hAnsi="仿宋" w:eastAsia="仿宋" w:cs="仿宋"/>
          <w:sz w:val="28"/>
          <w:szCs w:val="28"/>
        </w:rPr>
      </w:pPr>
      <w:r>
        <w:rPr>
          <w:rFonts w:hint="eastAsia" w:ascii="仿宋" w:hAnsi="仿宋" w:eastAsia="仿宋" w:cs="仿宋"/>
          <w:sz w:val="28"/>
          <w:szCs w:val="28"/>
        </w:rPr>
        <w:t>谨启</w:t>
      </w:r>
    </w:p>
    <w:p>
      <w:pPr>
        <w:pStyle w:val="8"/>
        <w:ind w:left="539" w:leftChars="257" w:firstLine="560" w:firstLineChars="200"/>
        <w:rPr>
          <w:rFonts w:ascii="仿宋" w:hAnsi="仿宋" w:eastAsia="仿宋" w:cs="仿宋"/>
          <w:sz w:val="28"/>
          <w:szCs w:val="28"/>
        </w:rPr>
      </w:pPr>
      <w:r>
        <w:rPr>
          <w:rFonts w:hint="eastAsia" w:ascii="仿宋" w:hAnsi="仿宋" w:eastAsia="仿宋" w:cs="仿宋"/>
          <w:sz w:val="28"/>
          <w:szCs w:val="28"/>
        </w:rPr>
        <w:t>出具保函银行名称：</w:t>
      </w:r>
      <w:r>
        <w:rPr>
          <w:rFonts w:hint="eastAsia" w:ascii="仿宋" w:hAnsi="仿宋" w:eastAsia="仿宋" w:cs="仿宋"/>
          <w:sz w:val="28"/>
          <w:szCs w:val="28"/>
          <w:u w:val="single"/>
        </w:rPr>
        <w:t xml:space="preserve">                             </w:t>
      </w:r>
    </w:p>
    <w:p>
      <w:pPr>
        <w:pStyle w:val="8"/>
        <w:ind w:left="539" w:leftChars="257" w:firstLine="560" w:firstLineChars="200"/>
        <w:rPr>
          <w:rFonts w:ascii="仿宋" w:hAnsi="仿宋" w:eastAsia="仿宋" w:cs="仿宋"/>
          <w:sz w:val="28"/>
          <w:szCs w:val="28"/>
          <w:u w:val="single"/>
        </w:rPr>
      </w:pPr>
      <w:r>
        <w:rPr>
          <w:rFonts w:hint="eastAsia" w:ascii="仿宋" w:hAnsi="仿宋" w:eastAsia="仿宋" w:cs="仿宋"/>
          <w:sz w:val="28"/>
          <w:szCs w:val="28"/>
        </w:rPr>
        <w:t>签字人姓名和职务：</w:t>
      </w:r>
      <w:r>
        <w:rPr>
          <w:rFonts w:hint="eastAsia" w:ascii="仿宋" w:hAnsi="仿宋" w:eastAsia="仿宋" w:cs="仿宋"/>
          <w:sz w:val="28"/>
          <w:szCs w:val="28"/>
          <w:u w:val="single"/>
        </w:rPr>
        <w:t xml:space="preserve">                             </w:t>
      </w:r>
    </w:p>
    <w:p>
      <w:pPr>
        <w:pStyle w:val="8"/>
        <w:ind w:left="539" w:leftChars="257" w:firstLine="560" w:firstLineChars="200"/>
        <w:rPr>
          <w:rFonts w:ascii="仿宋" w:hAnsi="仿宋" w:eastAsia="仿宋" w:cs="仿宋"/>
          <w:sz w:val="28"/>
          <w:szCs w:val="28"/>
        </w:rPr>
      </w:pPr>
      <w:r>
        <w:rPr>
          <w:rFonts w:hint="eastAsia" w:ascii="仿宋" w:hAnsi="仿宋" w:eastAsia="仿宋" w:cs="仿宋"/>
          <w:sz w:val="28"/>
          <w:szCs w:val="28"/>
        </w:rPr>
        <w:t>签字人签名：</w:t>
      </w:r>
      <w:r>
        <w:rPr>
          <w:rFonts w:hint="eastAsia" w:ascii="仿宋" w:hAnsi="仿宋" w:eastAsia="仿宋" w:cs="仿宋"/>
          <w:sz w:val="28"/>
          <w:szCs w:val="28"/>
          <w:u w:val="single"/>
        </w:rPr>
        <w:t xml:space="preserve">                                   </w:t>
      </w:r>
    </w:p>
    <w:p>
      <w:pPr>
        <w:pStyle w:val="8"/>
        <w:ind w:left="539" w:leftChars="257" w:firstLine="560" w:firstLineChars="200"/>
        <w:rPr>
          <w:rFonts w:ascii="仿宋" w:hAnsi="仿宋" w:eastAsia="仿宋" w:cs="仿宋"/>
          <w:sz w:val="28"/>
          <w:szCs w:val="28"/>
        </w:rPr>
      </w:pPr>
      <w:r>
        <w:rPr>
          <w:rFonts w:hint="eastAsia" w:ascii="仿宋" w:hAnsi="仿宋" w:eastAsia="仿宋" w:cs="仿宋"/>
          <w:sz w:val="28"/>
          <w:szCs w:val="28"/>
        </w:rPr>
        <w:t>公章：</w:t>
      </w:r>
      <w:r>
        <w:rPr>
          <w:rFonts w:hint="eastAsia" w:ascii="仿宋" w:hAnsi="仿宋" w:eastAsia="仿宋" w:cs="仿宋"/>
          <w:sz w:val="28"/>
          <w:szCs w:val="28"/>
          <w:u w:val="single"/>
        </w:rPr>
        <w:t xml:space="preserve">                                         </w:t>
      </w:r>
      <w:r>
        <w:rPr>
          <w:rFonts w:hint="eastAsia" w:ascii="仿宋" w:hAnsi="仿宋" w:eastAsia="仿宋" w:cs="仿宋"/>
          <w:sz w:val="28"/>
          <w:szCs w:val="28"/>
        </w:rPr>
        <w:br w:type="page"/>
      </w:r>
      <w:bookmarkStart w:id="248" w:name="_Toc7612"/>
      <w:bookmarkStart w:id="249" w:name="_Toc515647800"/>
      <w:bookmarkStart w:id="250" w:name="_Toc10951"/>
      <w:bookmarkStart w:id="251" w:name="_Toc6548"/>
      <w:r>
        <w:rPr>
          <w:rFonts w:hint="eastAsia" w:ascii="仿宋" w:hAnsi="仿宋" w:eastAsia="仿宋" w:cs="仿宋"/>
          <w:sz w:val="28"/>
          <w:szCs w:val="28"/>
        </w:rPr>
        <w:t xml:space="preserve">         附件2：履约担保函格式</w:t>
      </w:r>
      <w:bookmarkEnd w:id="248"/>
      <w:bookmarkEnd w:id="249"/>
      <w:bookmarkEnd w:id="250"/>
      <w:bookmarkEnd w:id="251"/>
    </w:p>
    <w:p>
      <w:pPr>
        <w:pStyle w:val="5"/>
        <w:spacing w:before="0" w:line="240" w:lineRule="auto"/>
        <w:ind w:left="539" w:leftChars="257" w:firstLine="840" w:firstLineChars="300"/>
        <w:jc w:val="both"/>
        <w:rPr>
          <w:rFonts w:ascii="仿宋" w:hAnsi="仿宋" w:eastAsia="仿宋" w:cs="仿宋"/>
          <w:b w:val="0"/>
          <w:sz w:val="28"/>
          <w:szCs w:val="28"/>
        </w:rPr>
      </w:pPr>
      <w:bookmarkStart w:id="252" w:name="_Toc13962"/>
      <w:bookmarkStart w:id="253" w:name="_Toc22026"/>
      <w:bookmarkStart w:id="254" w:name="_Toc30861"/>
      <w:bookmarkStart w:id="255" w:name="_Toc515647801"/>
      <w:bookmarkStart w:id="256" w:name="_Toc162"/>
      <w:r>
        <w:rPr>
          <w:rFonts w:hint="eastAsia" w:ascii="仿宋" w:hAnsi="仿宋" w:eastAsia="仿宋" w:cs="仿宋"/>
          <w:sz w:val="28"/>
          <w:szCs w:val="28"/>
        </w:rPr>
        <w:t>（采用政府采购信用担保形式时使用）</w:t>
      </w:r>
      <w:bookmarkEnd w:id="252"/>
      <w:bookmarkEnd w:id="253"/>
      <w:bookmarkEnd w:id="254"/>
      <w:bookmarkEnd w:id="255"/>
      <w:bookmarkEnd w:id="256"/>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编号：</w:t>
      </w:r>
    </w:p>
    <w:p>
      <w:pPr>
        <w:ind w:firstLine="560" w:firstLineChars="200"/>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（采购人）：</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鉴于你方与</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日签定编号为   的《</w:t>
      </w:r>
      <w:r>
        <w:rPr>
          <w:rFonts w:hint="eastAsia" w:ascii="仿宋" w:hAnsi="仿宋" w:eastAsia="仿宋" w:cs="仿宋"/>
          <w:sz w:val="28"/>
          <w:szCs w:val="28"/>
          <w:u w:val="single"/>
        </w:rPr>
        <w:t xml:space="preserve">           </w:t>
      </w:r>
      <w:r>
        <w:rPr>
          <w:rFonts w:hint="eastAsia" w:ascii="仿宋" w:hAnsi="仿宋" w:eastAsia="仿宋" w:cs="仿宋"/>
          <w:sz w:val="28"/>
          <w:szCs w:val="28"/>
        </w:rPr>
        <w:t>政府采购合同》（以下简称主合同），且依据该合同的约定，供应商应在</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ind w:firstLine="560" w:firstLineChars="200"/>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日前向你方交纳履约保证金，且可以履约担保函的形式交纳履约保证金。应供应商的申请，我方以保证的方式向你方提供如下履约保证金担保：</w:t>
      </w:r>
    </w:p>
    <w:p>
      <w:pPr>
        <w:ind w:firstLine="560" w:firstLineChars="200"/>
        <w:rPr>
          <w:rFonts w:ascii="仿宋" w:hAnsi="仿宋" w:eastAsia="仿宋" w:cs="仿宋"/>
          <w:sz w:val="28"/>
          <w:szCs w:val="28"/>
        </w:rPr>
      </w:pPr>
      <w:r>
        <w:rPr>
          <w:rFonts w:hint="eastAsia" w:ascii="仿宋" w:hAnsi="仿宋" w:eastAsia="仿宋" w:cs="仿宋"/>
          <w:sz w:val="28"/>
          <w:szCs w:val="28"/>
        </w:rPr>
        <w:t>一、保证责任的情形及保证金额</w:t>
      </w:r>
    </w:p>
    <w:p>
      <w:pPr>
        <w:ind w:firstLine="560" w:firstLineChars="200"/>
        <w:rPr>
          <w:rFonts w:ascii="仿宋" w:hAnsi="仿宋" w:eastAsia="仿宋" w:cs="仿宋"/>
          <w:sz w:val="28"/>
          <w:szCs w:val="28"/>
        </w:rPr>
      </w:pPr>
      <w:r>
        <w:rPr>
          <w:rFonts w:hint="eastAsia" w:ascii="仿宋" w:hAnsi="仿宋" w:eastAsia="仿宋" w:cs="仿宋"/>
          <w:sz w:val="28"/>
          <w:szCs w:val="28"/>
        </w:rPr>
        <w:t>（一）在供应商出现下列情形之一时，我方承担保证责任：</w:t>
      </w:r>
    </w:p>
    <w:p>
      <w:pPr>
        <w:ind w:firstLine="560" w:firstLineChars="200"/>
        <w:rPr>
          <w:rFonts w:ascii="仿宋" w:hAnsi="仿宋" w:eastAsia="仿宋" w:cs="仿宋"/>
          <w:sz w:val="28"/>
          <w:szCs w:val="28"/>
        </w:rPr>
      </w:pPr>
      <w:r>
        <w:rPr>
          <w:rFonts w:hint="eastAsia" w:ascii="仿宋" w:hAnsi="仿宋" w:eastAsia="仿宋" w:cs="仿宋"/>
          <w:sz w:val="28"/>
          <w:szCs w:val="28"/>
        </w:rPr>
        <w:t>1．将中标项目转让给他人，或者在投标文件中未说明，且未经采购招标机构人同意，将中标项目分包给他人的；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2．主合同约定的应当缴纳履约保证金的情形: </w:t>
      </w:r>
    </w:p>
    <w:p>
      <w:pPr>
        <w:ind w:firstLine="560" w:firstLineChars="200"/>
        <w:rPr>
          <w:rFonts w:ascii="仿宋" w:hAnsi="仿宋" w:eastAsia="仿宋" w:cs="仿宋"/>
          <w:sz w:val="28"/>
          <w:szCs w:val="28"/>
        </w:rPr>
      </w:pPr>
      <w:r>
        <w:rPr>
          <w:rFonts w:hint="eastAsia" w:ascii="仿宋" w:hAnsi="仿宋" w:eastAsia="仿宋" w:cs="仿宋"/>
          <w:sz w:val="28"/>
          <w:szCs w:val="28"/>
        </w:rPr>
        <w:t>（1）未按主合同约定的质量、数量和期限供应货物/提供服务/完成工程的；</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（2）我方的保证范围是主合同约定的合同价款总额的</w:t>
      </w:r>
      <w:r>
        <w:rPr>
          <w:rFonts w:hint="eastAsia" w:ascii="仿宋" w:hAnsi="仿宋" w:eastAsia="仿宋" w:cs="仿宋"/>
          <w:sz w:val="28"/>
          <w:szCs w:val="28"/>
          <w:u w:val="single"/>
        </w:rPr>
        <w:t xml:space="preserve">        </w:t>
      </w:r>
      <w:r>
        <w:rPr>
          <w:rFonts w:hint="eastAsia" w:ascii="仿宋" w:hAnsi="仿宋" w:eastAsia="仿宋" w:cs="仿宋"/>
          <w:sz w:val="28"/>
          <w:szCs w:val="28"/>
        </w:rPr>
        <w:t>%数额为</w:t>
      </w:r>
      <w:r>
        <w:rPr>
          <w:rFonts w:hint="eastAsia" w:ascii="仿宋" w:hAnsi="仿宋" w:eastAsia="仿宋" w:cs="仿宋"/>
          <w:sz w:val="28"/>
          <w:szCs w:val="28"/>
          <w:u w:val="single"/>
        </w:rPr>
        <w:t xml:space="preserve">         </w:t>
      </w:r>
      <w:r>
        <w:rPr>
          <w:rFonts w:hint="eastAsia" w:ascii="仿宋" w:hAnsi="仿宋" w:eastAsia="仿宋" w:cs="仿宋"/>
          <w:sz w:val="28"/>
          <w:szCs w:val="28"/>
        </w:rPr>
        <w:t>元（大写</w:t>
      </w:r>
      <w:r>
        <w:rPr>
          <w:rFonts w:hint="eastAsia" w:ascii="仿宋" w:hAnsi="仿宋" w:eastAsia="仿宋" w:cs="仿宋"/>
          <w:sz w:val="28"/>
          <w:szCs w:val="28"/>
          <w:u w:val="single"/>
        </w:rPr>
        <w:t xml:space="preserve">           </w:t>
      </w:r>
      <w:r>
        <w:rPr>
          <w:rFonts w:hint="eastAsia" w:ascii="仿宋" w:hAnsi="仿宋" w:eastAsia="仿宋" w:cs="仿宋"/>
          <w:sz w:val="28"/>
          <w:szCs w:val="28"/>
        </w:rPr>
        <w:t>），币种为</w:t>
      </w:r>
      <w:r>
        <w:rPr>
          <w:rFonts w:hint="eastAsia" w:ascii="仿宋" w:hAnsi="仿宋" w:eastAsia="仿宋" w:cs="仿宋"/>
          <w:sz w:val="28"/>
          <w:szCs w:val="28"/>
          <w:u w:val="single"/>
        </w:rPr>
        <w:t xml:space="preserve">        </w:t>
      </w:r>
      <w:r>
        <w:rPr>
          <w:rFonts w:hint="eastAsia" w:ascii="仿宋" w:hAnsi="仿宋" w:eastAsia="仿宋" w:cs="仿宋"/>
          <w:sz w:val="28"/>
          <w:szCs w:val="28"/>
        </w:rPr>
        <w:t>。（即主合同履约保证金金额）</w:t>
      </w:r>
    </w:p>
    <w:p>
      <w:pPr>
        <w:ind w:firstLine="560" w:firstLineChars="200"/>
        <w:rPr>
          <w:rFonts w:ascii="仿宋" w:hAnsi="仿宋" w:eastAsia="仿宋" w:cs="仿宋"/>
          <w:sz w:val="28"/>
          <w:szCs w:val="28"/>
        </w:rPr>
      </w:pPr>
      <w:r>
        <w:rPr>
          <w:rFonts w:hint="eastAsia" w:ascii="仿宋" w:hAnsi="仿宋" w:eastAsia="仿宋" w:cs="仿宋"/>
          <w:sz w:val="28"/>
          <w:szCs w:val="28"/>
        </w:rPr>
        <w:t>二、保证的方式及保证期间</w:t>
      </w:r>
    </w:p>
    <w:p>
      <w:pPr>
        <w:ind w:firstLine="560" w:firstLineChars="200"/>
        <w:rPr>
          <w:rFonts w:ascii="仿宋" w:hAnsi="仿宋" w:eastAsia="仿宋" w:cs="仿宋"/>
          <w:sz w:val="28"/>
          <w:szCs w:val="28"/>
        </w:rPr>
      </w:pPr>
      <w:r>
        <w:rPr>
          <w:rFonts w:hint="eastAsia" w:ascii="仿宋" w:hAnsi="仿宋" w:eastAsia="仿宋" w:cs="仿宋"/>
          <w:sz w:val="28"/>
          <w:szCs w:val="28"/>
        </w:rPr>
        <w:t>我方保证的方式为：连带责任保证。</w:t>
      </w:r>
    </w:p>
    <w:p>
      <w:pPr>
        <w:ind w:firstLine="560" w:firstLineChars="200"/>
        <w:rPr>
          <w:rFonts w:ascii="仿宋" w:hAnsi="仿宋" w:eastAsia="仿宋" w:cs="仿宋"/>
          <w:sz w:val="28"/>
          <w:szCs w:val="28"/>
        </w:rPr>
      </w:pPr>
      <w:r>
        <w:rPr>
          <w:rFonts w:hint="eastAsia" w:ascii="仿宋" w:hAnsi="仿宋" w:eastAsia="仿宋" w:cs="仿宋"/>
          <w:sz w:val="28"/>
          <w:szCs w:val="28"/>
        </w:rPr>
        <w:t>我方保证的期间为：自本合同生效之日起至供应商按照主合同约定的供货/完工期限届满后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p>
    <w:p>
      <w:pPr>
        <w:ind w:firstLine="560" w:firstLineChars="200"/>
        <w:rPr>
          <w:rFonts w:ascii="仿宋" w:hAnsi="仿宋" w:eastAsia="仿宋" w:cs="仿宋"/>
          <w:sz w:val="28"/>
          <w:szCs w:val="28"/>
        </w:rPr>
      </w:pPr>
      <w:r>
        <w:rPr>
          <w:rFonts w:hint="eastAsia" w:ascii="仿宋" w:hAnsi="仿宋" w:eastAsia="仿宋" w:cs="仿宋"/>
          <w:sz w:val="28"/>
          <w:szCs w:val="28"/>
        </w:rPr>
        <w:t>如果供应商未按主合同约定向贵方供应货物/提供服务/完成工程的，由我方在保证金额内向你方支付上述款项。</w:t>
      </w:r>
    </w:p>
    <w:p>
      <w:pPr>
        <w:ind w:firstLine="560" w:firstLineChars="200"/>
        <w:rPr>
          <w:rFonts w:ascii="仿宋" w:hAnsi="仿宋" w:eastAsia="仿宋" w:cs="仿宋"/>
          <w:sz w:val="28"/>
          <w:szCs w:val="28"/>
        </w:rPr>
      </w:pPr>
      <w:r>
        <w:rPr>
          <w:rFonts w:hint="eastAsia" w:ascii="仿宋" w:hAnsi="仿宋" w:eastAsia="仿宋" w:cs="仿宋"/>
          <w:sz w:val="28"/>
          <w:szCs w:val="28"/>
        </w:rPr>
        <w:t>三、承担保证责任的程序</w:t>
      </w:r>
    </w:p>
    <w:p>
      <w:pPr>
        <w:ind w:firstLine="560" w:firstLineChars="200"/>
        <w:rPr>
          <w:rFonts w:ascii="仿宋" w:hAnsi="仿宋" w:eastAsia="仿宋" w:cs="仿宋"/>
          <w:sz w:val="28"/>
          <w:szCs w:val="28"/>
        </w:rPr>
      </w:pPr>
      <w:r>
        <w:rPr>
          <w:rFonts w:hint="eastAsia" w:ascii="仿宋" w:hAnsi="仿宋" w:eastAsia="仿宋" w:cs="仿宋"/>
          <w:sz w:val="28"/>
          <w:szCs w:val="28"/>
        </w:rPr>
        <w:t>1．你方要求我方承担保证责任的，应在本保函保证期间内向我方发出书面索赔通知。索赔通知应写明要求索赔的金额，支付款项应到达的帐号。并附有证明供应商违约事实的证明材料。</w:t>
      </w:r>
    </w:p>
    <w:p>
      <w:pPr>
        <w:ind w:firstLine="560" w:firstLineChars="200"/>
        <w:rPr>
          <w:rFonts w:ascii="仿宋" w:hAnsi="仿宋" w:eastAsia="仿宋" w:cs="仿宋"/>
          <w:sz w:val="28"/>
          <w:szCs w:val="28"/>
        </w:rPr>
      </w:pPr>
      <w:r>
        <w:rPr>
          <w:rFonts w:hint="eastAsia" w:ascii="仿宋" w:hAnsi="仿宋" w:eastAsia="仿宋" w:cs="仿宋"/>
          <w:sz w:val="28"/>
          <w:szCs w:val="28"/>
        </w:rPr>
        <w:t>如果你方与供应商因货物质量问题产生争议，你方还需同时提供</w:t>
      </w:r>
      <w:r>
        <w:rPr>
          <w:rFonts w:hint="eastAsia" w:ascii="仿宋" w:hAnsi="仿宋" w:eastAsia="仿宋" w:cs="仿宋"/>
          <w:sz w:val="28"/>
          <w:szCs w:val="28"/>
          <w:u w:val="single"/>
        </w:rPr>
        <w:t xml:space="preserve">        </w:t>
      </w:r>
      <w:r>
        <w:rPr>
          <w:rFonts w:hint="eastAsia" w:ascii="仿宋" w:hAnsi="仿宋" w:eastAsia="仿宋" w:cs="仿宋"/>
          <w:sz w:val="28"/>
          <w:szCs w:val="28"/>
        </w:rPr>
        <w:t>部门出具的质量检测报告，或经诉讼（仲裁）程序裁决后的裁决书、调解书，本保证人即按照检测结果或裁决书、调解书决定是否承担保证责任。</w:t>
      </w:r>
    </w:p>
    <w:p>
      <w:pPr>
        <w:ind w:firstLine="560" w:firstLineChars="200"/>
        <w:rPr>
          <w:rFonts w:ascii="仿宋" w:hAnsi="仿宋" w:eastAsia="仿宋" w:cs="仿宋"/>
          <w:sz w:val="28"/>
          <w:szCs w:val="28"/>
        </w:rPr>
      </w:pPr>
      <w:r>
        <w:rPr>
          <w:rFonts w:hint="eastAsia" w:ascii="仿宋" w:hAnsi="仿宋" w:eastAsia="仿宋" w:cs="仿宋"/>
          <w:sz w:val="28"/>
          <w:szCs w:val="28"/>
        </w:rPr>
        <w:t>2． 我方收到你方的书面索赔通知及相应证明材料，在</w:t>
      </w:r>
      <w:r>
        <w:rPr>
          <w:rFonts w:hint="eastAsia" w:ascii="仿宋" w:hAnsi="仿宋" w:eastAsia="仿宋" w:cs="仿宋"/>
          <w:sz w:val="28"/>
          <w:szCs w:val="28"/>
          <w:u w:val="single"/>
        </w:rPr>
        <w:t xml:space="preserve">     </w:t>
      </w:r>
      <w:r>
        <w:rPr>
          <w:rFonts w:hint="eastAsia" w:ascii="仿宋" w:hAnsi="仿宋" w:eastAsia="仿宋" w:cs="仿宋"/>
          <w:sz w:val="28"/>
          <w:szCs w:val="28"/>
        </w:rPr>
        <w:t>工作日内进行核定后按照本保函的承诺承担保证责任。</w:t>
      </w:r>
    </w:p>
    <w:p>
      <w:pPr>
        <w:ind w:firstLine="560" w:firstLineChars="200"/>
        <w:rPr>
          <w:rFonts w:ascii="仿宋" w:hAnsi="仿宋" w:eastAsia="仿宋" w:cs="仿宋"/>
          <w:sz w:val="28"/>
          <w:szCs w:val="28"/>
        </w:rPr>
      </w:pPr>
      <w:r>
        <w:rPr>
          <w:rFonts w:hint="eastAsia" w:ascii="仿宋" w:hAnsi="仿宋" w:eastAsia="仿宋" w:cs="仿宋"/>
          <w:sz w:val="28"/>
          <w:szCs w:val="28"/>
        </w:rPr>
        <w:t>四、保证责任的终止</w:t>
      </w:r>
    </w:p>
    <w:p>
      <w:pPr>
        <w:ind w:firstLine="560" w:firstLineChars="200"/>
        <w:rPr>
          <w:rFonts w:ascii="仿宋" w:hAnsi="仿宋" w:eastAsia="仿宋" w:cs="仿宋"/>
          <w:sz w:val="28"/>
          <w:szCs w:val="28"/>
        </w:rPr>
      </w:pPr>
      <w:r>
        <w:rPr>
          <w:rFonts w:hint="eastAsia" w:ascii="仿宋" w:hAnsi="仿宋" w:eastAsia="仿宋" w:cs="仿宋"/>
          <w:sz w:val="28"/>
          <w:szCs w:val="28"/>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560" w:firstLineChars="200"/>
        <w:rPr>
          <w:rFonts w:ascii="仿宋" w:hAnsi="仿宋" w:eastAsia="仿宋" w:cs="仿宋"/>
          <w:sz w:val="28"/>
          <w:szCs w:val="28"/>
        </w:rPr>
      </w:pPr>
      <w:r>
        <w:rPr>
          <w:rFonts w:hint="eastAsia" w:ascii="仿宋" w:hAnsi="仿宋" w:eastAsia="仿宋" w:cs="仿宋"/>
          <w:sz w:val="28"/>
          <w:szCs w:val="28"/>
        </w:rPr>
        <w:t>2．我方按照本保函向你方履行了保证责任后，自我方向你方支付款项（支付款项从我方账户划出）之日起，保证责任即终止。</w:t>
      </w:r>
    </w:p>
    <w:p>
      <w:pPr>
        <w:ind w:firstLine="560" w:firstLineChars="200"/>
        <w:rPr>
          <w:rFonts w:ascii="仿宋" w:hAnsi="仿宋" w:eastAsia="仿宋" w:cs="仿宋"/>
          <w:sz w:val="28"/>
          <w:szCs w:val="28"/>
        </w:rPr>
      </w:pPr>
      <w:r>
        <w:rPr>
          <w:rFonts w:hint="eastAsia" w:ascii="仿宋" w:hAnsi="仿宋" w:eastAsia="仿宋" w:cs="仿宋"/>
          <w:sz w:val="28"/>
          <w:szCs w:val="28"/>
        </w:rPr>
        <w:t>3．按照法律法规的规定或出现应终止我方保证责任的其它情形的，我方在本保函项下的保证责任亦终止。</w:t>
      </w:r>
    </w:p>
    <w:p>
      <w:pPr>
        <w:ind w:firstLine="560" w:firstLineChars="200"/>
        <w:rPr>
          <w:rFonts w:ascii="仿宋" w:hAnsi="仿宋" w:eastAsia="仿宋" w:cs="仿宋"/>
          <w:sz w:val="28"/>
          <w:szCs w:val="28"/>
        </w:rPr>
      </w:pPr>
      <w:r>
        <w:rPr>
          <w:rFonts w:hint="eastAsia" w:ascii="仿宋" w:hAnsi="仿宋" w:eastAsia="仿宋" w:cs="仿宋"/>
          <w:sz w:val="28"/>
          <w:szCs w:val="28"/>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560" w:firstLineChars="200"/>
        <w:rPr>
          <w:rFonts w:ascii="仿宋" w:hAnsi="仿宋" w:eastAsia="仿宋" w:cs="仿宋"/>
          <w:sz w:val="28"/>
          <w:szCs w:val="28"/>
        </w:rPr>
      </w:pPr>
      <w:r>
        <w:rPr>
          <w:rFonts w:hint="eastAsia" w:ascii="仿宋" w:hAnsi="仿宋" w:eastAsia="仿宋" w:cs="仿宋"/>
          <w:sz w:val="28"/>
          <w:szCs w:val="28"/>
        </w:rPr>
        <w:t>五、免责条款</w:t>
      </w:r>
    </w:p>
    <w:p>
      <w:pPr>
        <w:ind w:firstLine="560" w:firstLineChars="200"/>
        <w:rPr>
          <w:rFonts w:ascii="仿宋" w:hAnsi="仿宋" w:eastAsia="仿宋" w:cs="仿宋"/>
          <w:sz w:val="28"/>
          <w:szCs w:val="28"/>
        </w:rPr>
      </w:pPr>
      <w:r>
        <w:rPr>
          <w:rFonts w:hint="eastAsia" w:ascii="仿宋" w:hAnsi="仿宋" w:eastAsia="仿宋" w:cs="仿宋"/>
          <w:sz w:val="28"/>
          <w:szCs w:val="28"/>
        </w:rPr>
        <w:t>1．因你方违反主合同约定致使供应商不能履行义务的，我方不承担保证责任。</w:t>
      </w:r>
    </w:p>
    <w:p>
      <w:pPr>
        <w:ind w:firstLine="560" w:firstLineChars="200"/>
        <w:rPr>
          <w:rFonts w:ascii="仿宋" w:hAnsi="仿宋" w:eastAsia="仿宋" w:cs="仿宋"/>
          <w:sz w:val="28"/>
          <w:szCs w:val="28"/>
        </w:rPr>
      </w:pPr>
      <w:r>
        <w:rPr>
          <w:rFonts w:hint="eastAsia" w:ascii="仿宋" w:hAnsi="仿宋" w:eastAsia="仿宋" w:cs="仿宋"/>
          <w:sz w:val="28"/>
          <w:szCs w:val="28"/>
        </w:rPr>
        <w:t>2．依照法律法规的规定或你方与供应商的另行约定，全部或者部分免除供应商应缴纳的保证金义务的，我方亦免除相应的保证责任。</w:t>
      </w:r>
    </w:p>
    <w:p>
      <w:pPr>
        <w:ind w:firstLine="560" w:firstLineChars="200"/>
        <w:rPr>
          <w:rFonts w:ascii="仿宋" w:hAnsi="仿宋" w:eastAsia="仿宋" w:cs="仿宋"/>
          <w:sz w:val="28"/>
          <w:szCs w:val="28"/>
        </w:rPr>
      </w:pPr>
      <w:r>
        <w:rPr>
          <w:rFonts w:hint="eastAsia" w:ascii="仿宋" w:hAnsi="仿宋" w:eastAsia="仿宋" w:cs="仿宋"/>
          <w:sz w:val="28"/>
          <w:szCs w:val="28"/>
        </w:rPr>
        <w:t>3．因不可抗力造成供应商不能履行供货义务的，我方不承担保证责任。</w:t>
      </w:r>
    </w:p>
    <w:p>
      <w:pPr>
        <w:ind w:firstLine="560" w:firstLineChars="200"/>
        <w:rPr>
          <w:rFonts w:ascii="仿宋" w:hAnsi="仿宋" w:eastAsia="仿宋" w:cs="仿宋"/>
          <w:sz w:val="28"/>
          <w:szCs w:val="28"/>
        </w:rPr>
      </w:pPr>
      <w:r>
        <w:rPr>
          <w:rFonts w:hint="eastAsia" w:ascii="仿宋" w:hAnsi="仿宋" w:eastAsia="仿宋" w:cs="仿宋"/>
          <w:sz w:val="28"/>
          <w:szCs w:val="28"/>
        </w:rPr>
        <w:t>六、争议的解决</w:t>
      </w:r>
    </w:p>
    <w:p>
      <w:pPr>
        <w:ind w:firstLine="560" w:firstLineChars="200"/>
        <w:rPr>
          <w:rFonts w:ascii="仿宋" w:hAnsi="仿宋" w:eastAsia="仿宋" w:cs="仿宋"/>
          <w:sz w:val="28"/>
          <w:szCs w:val="28"/>
        </w:rPr>
      </w:pPr>
      <w:r>
        <w:rPr>
          <w:rFonts w:hint="eastAsia" w:ascii="仿宋" w:hAnsi="仿宋" w:eastAsia="仿宋" w:cs="仿宋"/>
          <w:sz w:val="28"/>
          <w:szCs w:val="28"/>
        </w:rPr>
        <w:t>因本保函发生的纠纷，由你我双方协商解决，协商不成的，通过诉讼程序解决，诉讼管辖地法院为</w:t>
      </w:r>
      <w:r>
        <w:rPr>
          <w:rFonts w:hint="eastAsia" w:ascii="仿宋" w:hAnsi="仿宋" w:eastAsia="仿宋" w:cs="仿宋"/>
          <w:sz w:val="28"/>
          <w:szCs w:val="28"/>
          <w:u w:val="single"/>
        </w:rPr>
        <w:t xml:space="preserve">        </w:t>
      </w:r>
      <w:r>
        <w:rPr>
          <w:rFonts w:hint="eastAsia" w:ascii="仿宋" w:hAnsi="仿宋" w:eastAsia="仿宋" w:cs="仿宋"/>
          <w:sz w:val="28"/>
          <w:szCs w:val="28"/>
        </w:rPr>
        <w:t>法院。</w:t>
      </w:r>
    </w:p>
    <w:p>
      <w:pPr>
        <w:ind w:firstLine="560" w:firstLineChars="200"/>
        <w:rPr>
          <w:rFonts w:ascii="仿宋" w:hAnsi="仿宋" w:eastAsia="仿宋" w:cs="仿宋"/>
          <w:sz w:val="28"/>
          <w:szCs w:val="28"/>
        </w:rPr>
      </w:pPr>
      <w:r>
        <w:rPr>
          <w:rFonts w:hint="eastAsia" w:ascii="仿宋" w:hAnsi="仿宋" w:eastAsia="仿宋" w:cs="仿宋"/>
          <w:sz w:val="28"/>
          <w:szCs w:val="28"/>
        </w:rPr>
        <w:t>七、保函的生效</w:t>
      </w:r>
    </w:p>
    <w:p>
      <w:pPr>
        <w:ind w:firstLine="560" w:firstLineChars="200"/>
        <w:rPr>
          <w:rFonts w:ascii="仿宋" w:hAnsi="仿宋" w:eastAsia="仿宋" w:cs="仿宋"/>
          <w:sz w:val="28"/>
          <w:szCs w:val="28"/>
        </w:rPr>
      </w:pPr>
      <w:r>
        <w:rPr>
          <w:rFonts w:hint="eastAsia" w:ascii="仿宋" w:hAnsi="仿宋" w:eastAsia="仿宋" w:cs="仿宋"/>
          <w:sz w:val="28"/>
          <w:szCs w:val="28"/>
        </w:rPr>
        <w:t>本保函自我方加盖公章之日起生效。</w:t>
      </w:r>
    </w:p>
    <w:p>
      <w:pPr>
        <w:ind w:firstLine="5880" w:firstLineChars="2100"/>
        <w:rPr>
          <w:rFonts w:ascii="仿宋" w:hAnsi="仿宋" w:eastAsia="仿宋" w:cs="仿宋"/>
          <w:sz w:val="28"/>
          <w:szCs w:val="28"/>
        </w:rPr>
      </w:pPr>
      <w:r>
        <w:rPr>
          <w:rFonts w:hint="eastAsia" w:ascii="仿宋" w:hAnsi="仿宋" w:eastAsia="仿宋" w:cs="仿宋"/>
          <w:sz w:val="28"/>
          <w:szCs w:val="28"/>
        </w:rPr>
        <w:t>保证人：（公章）</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w:t>
      </w:r>
    </w:p>
    <w:p>
      <w:pPr>
        <w:pStyle w:val="2"/>
        <w:ind w:firstLine="0"/>
        <w:jc w:val="center"/>
        <w:rPr>
          <w:rFonts w:ascii="仿宋" w:hAnsi="仿宋" w:eastAsia="仿宋" w:cs="仿宋"/>
          <w:szCs w:val="32"/>
        </w:rPr>
      </w:pPr>
      <w:bookmarkStart w:id="257" w:name="_Toc216582812"/>
      <w:bookmarkStart w:id="258" w:name="_Toc728"/>
      <w:bookmarkStart w:id="259" w:name="_Toc702"/>
      <w:bookmarkStart w:id="260" w:name="_Toc515647802"/>
      <w:bookmarkStart w:id="261" w:name="_Toc19692"/>
      <w:r>
        <w:rPr>
          <w:rFonts w:hint="eastAsia" w:ascii="仿宋" w:hAnsi="仿宋" w:eastAsia="仿宋" w:cs="仿宋"/>
          <w:b/>
          <w:color w:val="000000"/>
          <w:sz w:val="28"/>
          <w:szCs w:val="28"/>
        </w:rPr>
        <w:t>第2章  投标文件格式</w:t>
      </w:r>
      <w:bookmarkEnd w:id="257"/>
      <w:bookmarkEnd w:id="258"/>
      <w:bookmarkEnd w:id="259"/>
      <w:bookmarkEnd w:id="260"/>
      <w:bookmarkEnd w:id="261"/>
    </w:p>
    <w:p>
      <w:pPr>
        <w:ind w:firstLine="560" w:firstLineChars="200"/>
        <w:rPr>
          <w:rFonts w:ascii="仿宋" w:hAnsi="仿宋" w:eastAsia="仿宋" w:cs="仿宋"/>
          <w:sz w:val="28"/>
          <w:szCs w:val="28"/>
        </w:rPr>
      </w:pPr>
      <w:r>
        <w:rPr>
          <w:rFonts w:hint="eastAsia" w:ascii="仿宋" w:hAnsi="仿宋" w:eastAsia="仿宋" w:cs="仿宋"/>
          <w:sz w:val="28"/>
          <w:szCs w:val="28"/>
        </w:rPr>
        <w:t>1.投标人必须满足《中华人民共和国政府采购法》第二十二条要求；</w:t>
      </w:r>
    </w:p>
    <w:p>
      <w:pPr>
        <w:ind w:firstLine="560" w:firstLineChars="200"/>
        <w:rPr>
          <w:rFonts w:ascii="仿宋" w:hAnsi="仿宋" w:eastAsia="仿宋" w:cs="仿宋"/>
          <w:sz w:val="28"/>
          <w:szCs w:val="28"/>
        </w:rPr>
      </w:pPr>
      <w:r>
        <w:rPr>
          <w:rFonts w:hint="eastAsia" w:ascii="仿宋" w:hAnsi="仿宋" w:eastAsia="仿宋" w:cs="仿宋"/>
          <w:sz w:val="28"/>
          <w:szCs w:val="28"/>
        </w:rPr>
        <w:t>2.三证合一的营业执照；</w:t>
      </w:r>
    </w:p>
    <w:p>
      <w:pPr>
        <w:ind w:firstLine="560" w:firstLineChars="200"/>
        <w:rPr>
          <w:rFonts w:ascii="仿宋" w:hAnsi="仿宋" w:eastAsia="仿宋" w:cs="仿宋"/>
          <w:sz w:val="28"/>
          <w:szCs w:val="28"/>
        </w:rPr>
      </w:pPr>
      <w:r>
        <w:rPr>
          <w:rFonts w:hint="eastAsia" w:ascii="仿宋" w:hAnsi="仿宋" w:eastAsia="仿宋" w:cs="仿宋"/>
          <w:sz w:val="28"/>
          <w:szCs w:val="28"/>
        </w:rPr>
        <w:t>3.法定代表人授权委托书及授权委托人身份证（法定代表人投标提供法身份证原件、）反商业行贿承诺书（加盖公章）原件；</w:t>
      </w:r>
    </w:p>
    <w:p>
      <w:pPr>
        <w:ind w:firstLine="560" w:firstLineChars="200"/>
        <w:rPr>
          <w:rFonts w:ascii="仿宋" w:hAnsi="仿宋" w:eastAsia="仿宋" w:cs="仿宋"/>
          <w:sz w:val="28"/>
          <w:szCs w:val="28"/>
        </w:rPr>
      </w:pPr>
      <w:r>
        <w:rPr>
          <w:rFonts w:hint="eastAsia" w:ascii="仿宋" w:hAnsi="仿宋" w:eastAsia="仿宋" w:cs="仿宋"/>
          <w:sz w:val="28"/>
          <w:szCs w:val="28"/>
        </w:rPr>
        <w:t>4.在本公告发出至投标截止间内在“信用中国”网站（http://www.creditchina.gov.cn）、中国政府采购网（http://www.ccgp.gov.cn）、国家企业信用信息公示系统(http://www.gsxt.gov.cn)无尚在处罚期内的不良行为记录网上截图打印加盖公章；</w:t>
      </w:r>
    </w:p>
    <w:p>
      <w:pPr>
        <w:ind w:firstLine="560" w:firstLineChars="200"/>
        <w:rPr>
          <w:rFonts w:ascii="仿宋" w:hAnsi="仿宋" w:eastAsia="仿宋" w:cs="仿宋"/>
          <w:sz w:val="28"/>
          <w:szCs w:val="28"/>
        </w:rPr>
      </w:pPr>
      <w:r>
        <w:rPr>
          <w:rFonts w:hint="eastAsia" w:ascii="仿宋" w:hAnsi="仿宋" w:eastAsia="仿宋" w:cs="仿宋"/>
          <w:sz w:val="28"/>
          <w:szCs w:val="28"/>
        </w:rPr>
        <w:t>5.参加政府采购活动前三年内，在经营活动中没有重大违法记录声明；</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6.具有良好的商业信誉和健全的财务会计制度；（近两年审计报告原件；新成立不满一年的公司须提供近三个月的财务报告）； </w:t>
      </w:r>
    </w:p>
    <w:p>
      <w:pPr>
        <w:ind w:firstLine="560" w:firstLineChars="200"/>
        <w:rPr>
          <w:rFonts w:ascii="仿宋" w:hAnsi="仿宋" w:eastAsia="仿宋" w:cs="仿宋"/>
          <w:sz w:val="28"/>
          <w:szCs w:val="28"/>
        </w:rPr>
      </w:pPr>
      <w:r>
        <w:rPr>
          <w:rFonts w:hint="eastAsia" w:ascii="仿宋" w:hAnsi="仿宋" w:eastAsia="仿宋" w:cs="仿宋"/>
          <w:sz w:val="28"/>
          <w:szCs w:val="28"/>
        </w:rPr>
        <w:t>7.被委托人必须是投标单位法人或正式员工，需提供社保部门出具的投标单位上一季度的缴纳社保证明（社保缴费凭证和个人明细表）原件；</w:t>
      </w:r>
    </w:p>
    <w:p>
      <w:pPr>
        <w:ind w:firstLine="560" w:firstLineChars="200"/>
        <w:rPr>
          <w:rFonts w:ascii="仿宋" w:hAnsi="仿宋" w:eastAsia="仿宋" w:cs="仿宋"/>
          <w:sz w:val="28"/>
          <w:szCs w:val="28"/>
        </w:rPr>
      </w:pPr>
      <w:r>
        <w:rPr>
          <w:rFonts w:hint="eastAsia" w:ascii="仿宋" w:hAnsi="仿宋" w:eastAsia="仿宋" w:cs="仿宋"/>
          <w:sz w:val="28"/>
          <w:szCs w:val="28"/>
        </w:rPr>
        <w:t>8.具有履行合同所必需的设备和专业技术能力的承诺书；</w:t>
      </w:r>
    </w:p>
    <w:p>
      <w:pPr>
        <w:ind w:firstLine="560" w:firstLineChars="200"/>
        <w:rPr>
          <w:rFonts w:ascii="仿宋" w:hAnsi="仿宋" w:eastAsia="仿宋" w:cs="仿宋"/>
          <w:sz w:val="28"/>
          <w:szCs w:val="28"/>
        </w:rPr>
      </w:pPr>
      <w:r>
        <w:rPr>
          <w:rFonts w:hint="eastAsia" w:ascii="仿宋" w:hAnsi="仿宋" w:eastAsia="仿宋" w:cs="仿宋"/>
          <w:sz w:val="28"/>
          <w:szCs w:val="28"/>
        </w:rPr>
        <w:t>9.投标人须知资料表要求的其他资格证明文件;</w:t>
      </w:r>
    </w:p>
    <w:p>
      <w:pPr>
        <w:tabs>
          <w:tab w:val="left" w:pos="5580"/>
        </w:tabs>
        <w:rPr>
          <w:rFonts w:ascii="仿宋" w:hAnsi="仿宋" w:eastAsia="仿宋" w:cs="仿宋"/>
          <w:color w:val="000000"/>
          <w:sz w:val="28"/>
          <w:szCs w:val="28"/>
        </w:rPr>
      </w:pPr>
    </w:p>
    <w:p>
      <w:pPr>
        <w:pStyle w:val="2"/>
      </w:pPr>
    </w:p>
    <w:p>
      <w:pPr>
        <w:pStyle w:val="5"/>
        <w:keepNext w:val="0"/>
        <w:keepLines w:val="0"/>
        <w:spacing w:before="0" w:line="240" w:lineRule="auto"/>
        <w:ind w:left="539" w:leftChars="257" w:firstLine="560" w:firstLineChars="200"/>
        <w:rPr>
          <w:rFonts w:ascii="仿宋" w:hAnsi="仿宋" w:eastAsia="仿宋" w:cs="仿宋"/>
          <w:color w:val="000000"/>
          <w:sz w:val="28"/>
          <w:szCs w:val="28"/>
        </w:rPr>
      </w:pPr>
      <w:bookmarkStart w:id="262" w:name="_Toc522633276"/>
      <w:bookmarkStart w:id="263" w:name="_Toc27529"/>
      <w:bookmarkStart w:id="264" w:name="_Toc14309"/>
      <w:bookmarkStart w:id="265" w:name="_Toc30524"/>
      <w:bookmarkStart w:id="266" w:name="_Toc16568"/>
      <w:bookmarkStart w:id="267" w:name="_Toc515647804"/>
      <w:r>
        <w:rPr>
          <w:rFonts w:hint="eastAsia" w:ascii="仿宋" w:hAnsi="仿宋" w:eastAsia="仿宋" w:cs="仿宋"/>
          <w:color w:val="000000"/>
          <w:sz w:val="28"/>
          <w:szCs w:val="28"/>
        </w:rPr>
        <w:t>1．开标一览表（投标文件格式一）</w:t>
      </w:r>
      <w:bookmarkEnd w:id="262"/>
      <w:bookmarkEnd w:id="263"/>
      <w:bookmarkEnd w:id="264"/>
      <w:bookmarkEnd w:id="265"/>
      <w:bookmarkEnd w:id="266"/>
      <w:bookmarkEnd w:id="267"/>
    </w:p>
    <w:p>
      <w:pPr>
        <w:pStyle w:val="8"/>
        <w:tabs>
          <w:tab w:val="left" w:pos="5580"/>
        </w:tabs>
        <w:ind w:left="268" w:leftChars="128" w:firstLine="560" w:firstLineChars="200"/>
        <w:rPr>
          <w:rFonts w:ascii="仿宋" w:hAnsi="仿宋" w:eastAsia="仿宋" w:cs="仿宋"/>
          <w:color w:val="000000"/>
          <w:sz w:val="28"/>
          <w:szCs w:val="28"/>
        </w:rPr>
      </w:pPr>
    </w:p>
    <w:p>
      <w:pPr>
        <w:pStyle w:val="8"/>
        <w:tabs>
          <w:tab w:val="left" w:pos="5580"/>
        </w:tabs>
        <w:ind w:left="268" w:leftChars="128" w:firstLine="560" w:firstLineChars="200"/>
        <w:rPr>
          <w:rFonts w:ascii="仿宋" w:hAnsi="仿宋" w:eastAsia="仿宋" w:cs="仿宋"/>
          <w:color w:val="000000"/>
          <w:sz w:val="28"/>
          <w:szCs w:val="28"/>
        </w:rPr>
      </w:pPr>
    </w:p>
    <w:p>
      <w:pPr>
        <w:pStyle w:val="2"/>
        <w:tabs>
          <w:tab w:val="left" w:pos="5580"/>
        </w:tabs>
        <w:ind w:left="539" w:leftChars="257" w:firstLine="560" w:firstLineChars="200"/>
        <w:jc w:val="center"/>
        <w:rPr>
          <w:rFonts w:ascii="仿宋" w:hAnsi="仿宋" w:eastAsia="仿宋" w:cs="仿宋"/>
          <w:b/>
          <w:color w:val="000000"/>
          <w:sz w:val="28"/>
          <w:szCs w:val="28"/>
        </w:rPr>
      </w:pPr>
      <w:bookmarkStart w:id="268" w:name="_Hlt520356241"/>
      <w:bookmarkEnd w:id="268"/>
      <w:bookmarkStart w:id="269" w:name="_Toc494296984"/>
      <w:bookmarkStart w:id="270" w:name="_Toc480942349"/>
      <w:bookmarkStart w:id="271" w:name="_Ref467988698"/>
      <w:bookmarkStart w:id="272" w:name="_Toc520356217"/>
      <w:bookmarkStart w:id="273" w:name="_Toc216582813"/>
      <w:r>
        <w:rPr>
          <w:rFonts w:hint="eastAsia" w:ascii="仿宋" w:hAnsi="仿宋" w:eastAsia="仿宋" w:cs="仿宋"/>
          <w:b/>
          <w:color w:val="000000"/>
          <w:sz w:val="28"/>
          <w:szCs w:val="28"/>
        </w:rPr>
        <w:t>开标一览表</w:t>
      </w:r>
      <w:bookmarkEnd w:id="269"/>
      <w:r>
        <w:rPr>
          <w:rFonts w:hint="eastAsia" w:ascii="仿宋" w:hAnsi="仿宋" w:eastAsia="仿宋" w:cs="仿宋"/>
          <w:b/>
          <w:color w:val="000000"/>
          <w:sz w:val="28"/>
          <w:szCs w:val="28"/>
        </w:rPr>
        <w:cr/>
      </w:r>
    </w:p>
    <w:p>
      <w:pPr>
        <w:pStyle w:val="2"/>
        <w:tabs>
          <w:tab w:val="left" w:pos="5580"/>
        </w:tabs>
        <w:ind w:left="539" w:leftChars="257" w:firstLine="560" w:firstLineChars="200"/>
        <w:rPr>
          <w:rFonts w:ascii="仿宋" w:hAnsi="仿宋" w:eastAsia="仿宋" w:cs="仿宋"/>
          <w:color w:val="000000"/>
          <w:sz w:val="28"/>
          <w:szCs w:val="28"/>
        </w:rPr>
      </w:pPr>
    </w:p>
    <w:p>
      <w:pPr>
        <w:tabs>
          <w:tab w:val="left" w:pos="1800"/>
          <w:tab w:val="left" w:pos="5580"/>
        </w:tabs>
        <w:ind w:left="539" w:leftChars="257" w:right="-867" w:rightChars="-41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项目名称：　                  项目编号：                 包号：                                 报价单位：人民币</w:t>
      </w:r>
      <w:r>
        <w:rPr>
          <w:rFonts w:hint="eastAsia" w:ascii="仿宋" w:hAnsi="仿宋" w:eastAsia="仿宋" w:cs="仿宋"/>
          <w:b/>
          <w:color w:val="000000"/>
          <w:sz w:val="28"/>
          <w:szCs w:val="28"/>
        </w:rPr>
        <w:t>万元</w:t>
      </w:r>
    </w:p>
    <w:tbl>
      <w:tblPr>
        <w:tblStyle w:val="15"/>
        <w:tblW w:w="9155" w:type="dxa"/>
        <w:tblInd w:w="-61" w:type="dxa"/>
        <w:tblLayout w:type="fixed"/>
        <w:tblCellMar>
          <w:top w:w="0" w:type="dxa"/>
          <w:left w:w="0" w:type="dxa"/>
          <w:bottom w:w="0" w:type="dxa"/>
          <w:right w:w="0" w:type="dxa"/>
        </w:tblCellMar>
      </w:tblPr>
      <w:tblGrid>
        <w:gridCol w:w="1420"/>
        <w:gridCol w:w="2073"/>
        <w:gridCol w:w="2072"/>
        <w:gridCol w:w="1445"/>
        <w:gridCol w:w="1268"/>
        <w:gridCol w:w="877"/>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ind w:right="-199"/>
              <w:rPr>
                <w:rFonts w:ascii="仿宋" w:hAnsi="仿宋" w:eastAsia="仿宋" w:cs="仿宋"/>
                <w:color w:val="000000"/>
                <w:sz w:val="28"/>
                <w:szCs w:val="28"/>
              </w:rPr>
            </w:pPr>
            <w:r>
              <w:rPr>
                <w:rFonts w:hint="eastAsia" w:ascii="仿宋" w:hAnsi="仿宋" w:eastAsia="仿宋" w:cs="仿宋"/>
                <w:color w:val="000000"/>
                <w:sz w:val="28"/>
                <w:szCs w:val="28"/>
              </w:rPr>
              <w:t>货物名称</w:t>
            </w:r>
          </w:p>
        </w:tc>
        <w:tc>
          <w:tcPr>
            <w:tcW w:w="2073" w:type="dxa"/>
            <w:tcBorders>
              <w:top w:val="single" w:color="auto" w:sz="4" w:space="0"/>
              <w:left w:val="single" w:color="auto" w:sz="8" w:space="0"/>
              <w:bottom w:val="single" w:color="auto" w:sz="8" w:space="0"/>
              <w:right w:val="single" w:color="auto" w:sz="4" w:space="0"/>
            </w:tcBorders>
            <w:vAlign w:val="center"/>
          </w:tcPr>
          <w:p>
            <w:pPr>
              <w:tabs>
                <w:tab w:val="left" w:pos="5580"/>
              </w:tabs>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投标总价</w:t>
            </w:r>
          </w:p>
        </w:tc>
        <w:tc>
          <w:tcPr>
            <w:tcW w:w="2072" w:type="dxa"/>
            <w:tcBorders>
              <w:top w:val="single" w:color="auto" w:sz="8" w:space="0"/>
              <w:left w:val="nil"/>
              <w:bottom w:val="single" w:color="auto" w:sz="8" w:space="0"/>
              <w:right w:val="single" w:color="auto" w:sz="4" w:space="0"/>
            </w:tcBorders>
            <w:vAlign w:val="center"/>
          </w:tcPr>
          <w:p>
            <w:pPr>
              <w:tabs>
                <w:tab w:val="left" w:pos="5580"/>
              </w:tabs>
              <w:rPr>
                <w:rFonts w:ascii="仿宋" w:hAnsi="仿宋" w:eastAsia="仿宋" w:cs="仿宋"/>
                <w:color w:val="000000"/>
                <w:sz w:val="28"/>
                <w:szCs w:val="28"/>
              </w:rPr>
            </w:pPr>
            <w:r>
              <w:rPr>
                <w:rFonts w:hint="eastAsia" w:ascii="仿宋" w:hAnsi="仿宋" w:eastAsia="仿宋" w:cs="仿宋"/>
                <w:color w:val="000000"/>
                <w:sz w:val="28"/>
                <w:szCs w:val="28"/>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交货期</w:t>
            </w:r>
          </w:p>
        </w:tc>
        <w:tc>
          <w:tcPr>
            <w:tcW w:w="1268" w:type="dxa"/>
            <w:tcBorders>
              <w:top w:val="single" w:color="auto" w:sz="8" w:space="0"/>
              <w:left w:val="nil"/>
              <w:bottom w:val="single" w:color="auto" w:sz="8" w:space="0"/>
              <w:right w:val="single" w:color="auto" w:sz="4" w:space="0"/>
            </w:tcBorders>
            <w:vAlign w:val="center"/>
          </w:tcPr>
          <w:p>
            <w:pPr>
              <w:tabs>
                <w:tab w:val="left" w:pos="5580"/>
              </w:tabs>
              <w:rPr>
                <w:rFonts w:ascii="仿宋" w:hAnsi="仿宋" w:eastAsia="仿宋" w:cs="仿宋"/>
                <w:color w:val="000000"/>
                <w:sz w:val="28"/>
                <w:szCs w:val="28"/>
              </w:rPr>
            </w:pPr>
            <w:r>
              <w:rPr>
                <w:rFonts w:hint="eastAsia" w:ascii="仿宋" w:hAnsi="仿宋" w:eastAsia="仿宋" w:cs="仿宋"/>
                <w:color w:val="000000"/>
                <w:sz w:val="28"/>
                <w:szCs w:val="28"/>
              </w:rPr>
              <w:t>交货地点</w:t>
            </w:r>
          </w:p>
        </w:tc>
        <w:tc>
          <w:tcPr>
            <w:tcW w:w="877" w:type="dxa"/>
            <w:tcBorders>
              <w:top w:val="single" w:color="auto" w:sz="8" w:space="0"/>
              <w:left w:val="single" w:color="auto" w:sz="4" w:space="0"/>
              <w:bottom w:val="single" w:color="auto" w:sz="8" w:space="0"/>
              <w:right w:val="single" w:color="auto" w:sz="8" w:space="0"/>
            </w:tcBorders>
            <w:vAlign w:val="center"/>
          </w:tcPr>
          <w:p>
            <w:pPr>
              <w:tabs>
                <w:tab w:val="left" w:pos="5580"/>
              </w:tabs>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ind w:left="539" w:leftChars="257" w:firstLine="560" w:firstLineChars="200"/>
              <w:jc w:val="center"/>
              <w:rPr>
                <w:rFonts w:ascii="仿宋" w:hAnsi="仿宋" w:eastAsia="仿宋" w:cs="仿宋"/>
                <w:color w:val="000000"/>
                <w:sz w:val="28"/>
                <w:szCs w:val="28"/>
              </w:rPr>
            </w:pPr>
          </w:p>
        </w:tc>
        <w:tc>
          <w:tcPr>
            <w:tcW w:w="2073" w:type="dxa"/>
            <w:tcBorders>
              <w:top w:val="single" w:color="auto" w:sz="8" w:space="0"/>
              <w:left w:val="single" w:color="auto" w:sz="8" w:space="0"/>
              <w:bottom w:val="single" w:color="auto" w:sz="4" w:space="0"/>
              <w:right w:val="single" w:color="auto" w:sz="4" w:space="0"/>
            </w:tcBorders>
            <w:vAlign w:val="center"/>
          </w:tcPr>
          <w:p>
            <w:pPr>
              <w:tabs>
                <w:tab w:val="left" w:pos="5580"/>
              </w:tabs>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大写：</w:t>
            </w:r>
          </w:p>
          <w:p>
            <w:pPr>
              <w:tabs>
                <w:tab w:val="left" w:pos="5580"/>
              </w:tabs>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小写：</w:t>
            </w:r>
          </w:p>
        </w:tc>
        <w:tc>
          <w:tcPr>
            <w:tcW w:w="2072" w:type="dxa"/>
            <w:tcBorders>
              <w:top w:val="single" w:color="auto" w:sz="8" w:space="0"/>
              <w:left w:val="nil"/>
              <w:bottom w:val="single" w:color="auto" w:sz="4" w:space="0"/>
              <w:right w:val="single" w:color="auto" w:sz="4" w:space="0"/>
            </w:tcBorders>
            <w:vAlign w:val="center"/>
          </w:tcPr>
          <w:p>
            <w:pPr>
              <w:tabs>
                <w:tab w:val="left" w:pos="5580"/>
              </w:tabs>
              <w:ind w:left="539" w:leftChars="257" w:firstLine="560" w:firstLineChars="200"/>
              <w:jc w:val="center"/>
              <w:rPr>
                <w:rFonts w:ascii="仿宋" w:hAnsi="仿宋" w:eastAsia="仿宋" w:cs="仿宋"/>
                <w:color w:val="000000"/>
                <w:sz w:val="28"/>
                <w:szCs w:val="28"/>
              </w:rPr>
            </w:pPr>
          </w:p>
        </w:tc>
        <w:tc>
          <w:tcPr>
            <w:tcW w:w="1445" w:type="dxa"/>
            <w:tcBorders>
              <w:top w:val="single" w:color="auto" w:sz="8" w:space="0"/>
              <w:left w:val="nil"/>
              <w:bottom w:val="single" w:color="auto" w:sz="4" w:space="0"/>
              <w:right w:val="single" w:color="auto" w:sz="4" w:space="0"/>
            </w:tcBorders>
            <w:vAlign w:val="center"/>
          </w:tcPr>
          <w:p>
            <w:pPr>
              <w:tabs>
                <w:tab w:val="left" w:pos="5580"/>
              </w:tabs>
              <w:ind w:left="539" w:leftChars="257" w:firstLine="560" w:firstLineChars="200"/>
              <w:jc w:val="center"/>
              <w:rPr>
                <w:rFonts w:ascii="仿宋" w:hAnsi="仿宋" w:eastAsia="仿宋" w:cs="仿宋"/>
                <w:color w:val="000000"/>
                <w:sz w:val="28"/>
                <w:szCs w:val="28"/>
              </w:rPr>
            </w:pPr>
          </w:p>
        </w:tc>
        <w:tc>
          <w:tcPr>
            <w:tcW w:w="1268" w:type="dxa"/>
            <w:tcBorders>
              <w:top w:val="single" w:color="auto" w:sz="8" w:space="0"/>
              <w:left w:val="nil"/>
              <w:bottom w:val="single" w:color="auto" w:sz="4" w:space="0"/>
              <w:right w:val="single" w:color="auto" w:sz="4" w:space="0"/>
            </w:tcBorders>
            <w:vAlign w:val="center"/>
          </w:tcPr>
          <w:p>
            <w:pPr>
              <w:tabs>
                <w:tab w:val="left" w:pos="5580"/>
              </w:tabs>
              <w:ind w:left="539" w:leftChars="257" w:firstLine="560" w:firstLineChars="200"/>
              <w:jc w:val="center"/>
              <w:rPr>
                <w:rFonts w:ascii="仿宋" w:hAnsi="仿宋" w:eastAsia="仿宋" w:cs="仿宋"/>
                <w:color w:val="000000"/>
                <w:sz w:val="28"/>
                <w:szCs w:val="28"/>
              </w:rPr>
            </w:pPr>
          </w:p>
        </w:tc>
        <w:tc>
          <w:tcPr>
            <w:tcW w:w="877" w:type="dxa"/>
            <w:tcBorders>
              <w:top w:val="single" w:color="auto" w:sz="8" w:space="0"/>
              <w:left w:val="single" w:color="auto" w:sz="4" w:space="0"/>
              <w:bottom w:val="single" w:color="auto" w:sz="4" w:space="0"/>
              <w:right w:val="single" w:color="auto" w:sz="8" w:space="0"/>
            </w:tcBorders>
            <w:vAlign w:val="center"/>
          </w:tcPr>
          <w:p>
            <w:pPr>
              <w:tabs>
                <w:tab w:val="left" w:pos="5580"/>
              </w:tabs>
              <w:ind w:left="539" w:leftChars="257" w:firstLine="560" w:firstLineChars="200"/>
              <w:jc w:val="center"/>
              <w:rPr>
                <w:rFonts w:ascii="仿宋" w:hAnsi="仿宋" w:eastAsia="仿宋" w:cs="仿宋"/>
                <w:color w:val="000000"/>
                <w:sz w:val="28"/>
                <w:szCs w:val="28"/>
              </w:rPr>
            </w:pPr>
          </w:p>
        </w:tc>
      </w:tr>
    </w:tbl>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u w:val="single"/>
        </w:rPr>
      </w:pP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投标人名称（单位盖章）：</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法定代表人或委托代理人(签字):</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注:1、此表应按投标人须知的规定装订密封。</w:t>
      </w:r>
    </w:p>
    <w:p>
      <w:pPr>
        <w:pStyle w:val="8"/>
        <w:tabs>
          <w:tab w:val="left" w:pos="5580"/>
        </w:tabs>
        <w:ind w:left="898" w:leftChars="428"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type="linesAndChars" w:linePitch="312" w:charSpace="0"/>
        </w:sectPr>
      </w:pPr>
      <w:r>
        <w:rPr>
          <w:rFonts w:hint="eastAsia" w:ascii="仿宋" w:hAnsi="仿宋" w:eastAsia="仿宋" w:cs="仿宋"/>
          <w:color w:val="000000"/>
          <w:sz w:val="28"/>
          <w:szCs w:val="28"/>
        </w:rPr>
        <w:t>2、此表中，投标总价应和投标分项报价表的总价相一致</w:t>
      </w:r>
    </w:p>
    <w:p>
      <w:pPr>
        <w:pStyle w:val="5"/>
        <w:keepNext w:val="0"/>
        <w:keepLines w:val="0"/>
        <w:spacing w:before="0" w:line="240" w:lineRule="auto"/>
        <w:ind w:firstLine="280" w:firstLineChars="100"/>
        <w:jc w:val="both"/>
        <w:rPr>
          <w:rFonts w:ascii="仿宋" w:hAnsi="仿宋" w:eastAsia="仿宋" w:cs="仿宋"/>
          <w:color w:val="000000"/>
          <w:sz w:val="28"/>
          <w:szCs w:val="28"/>
        </w:rPr>
      </w:pPr>
      <w:bookmarkStart w:id="274" w:name="_Toc515647805"/>
      <w:bookmarkStart w:id="275" w:name="_Toc608"/>
      <w:bookmarkStart w:id="276" w:name="_Toc17577"/>
      <w:bookmarkStart w:id="277" w:name="_Toc2345"/>
      <w:bookmarkStart w:id="278" w:name="_Toc29899"/>
      <w:bookmarkStart w:id="279" w:name="_Toc522633277"/>
      <w:r>
        <w:rPr>
          <w:rFonts w:hint="eastAsia" w:ascii="仿宋" w:hAnsi="仿宋" w:eastAsia="仿宋" w:cs="仿宋"/>
          <w:color w:val="000000"/>
          <w:sz w:val="28"/>
          <w:szCs w:val="28"/>
        </w:rPr>
        <w:t>2．法人或者非法人组织的营业执照等证明文件</w:t>
      </w:r>
      <w:bookmarkEnd w:id="274"/>
      <w:bookmarkStart w:id="280" w:name="_Toc515647806"/>
      <w:r>
        <w:rPr>
          <w:rFonts w:hint="eastAsia" w:ascii="仿宋" w:hAnsi="仿宋" w:eastAsia="仿宋" w:cs="仿宋"/>
          <w:color w:val="000000"/>
          <w:sz w:val="28"/>
          <w:szCs w:val="28"/>
        </w:rPr>
        <w:t>或其他证明</w:t>
      </w:r>
      <w:bookmarkEnd w:id="275"/>
      <w:bookmarkEnd w:id="276"/>
      <w:bookmarkEnd w:id="277"/>
      <w:bookmarkEnd w:id="278"/>
      <w:bookmarkEnd w:id="279"/>
      <w:bookmarkEnd w:id="280"/>
    </w:p>
    <w:p>
      <w:pPr>
        <w:pStyle w:val="8"/>
        <w:tabs>
          <w:tab w:val="left" w:pos="5580"/>
        </w:tabs>
        <w:ind w:firstLine="560" w:firstLineChars="200"/>
        <w:rPr>
          <w:rFonts w:ascii="仿宋" w:hAnsi="仿宋" w:eastAsia="仿宋" w:cs="仿宋"/>
          <w:b/>
          <w:color w:val="000000"/>
          <w:sz w:val="28"/>
          <w:szCs w:val="28"/>
        </w:rPr>
      </w:pPr>
    </w:p>
    <w:p>
      <w:pPr>
        <w:pStyle w:val="8"/>
        <w:tabs>
          <w:tab w:val="left" w:pos="5580"/>
        </w:tabs>
        <w:ind w:left="539" w:leftChars="257" w:firstLine="560" w:firstLineChars="200"/>
        <w:rPr>
          <w:rFonts w:ascii="仿宋" w:hAnsi="仿宋" w:eastAsia="仿宋" w:cs="仿宋"/>
          <w:b/>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说明：提供有效的营业执照等证明文件复印件，复印件上应加盖本单位公章。</w:t>
      </w: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type="linesAndChars" w:linePitch="312" w:charSpace="0"/>
        </w:sectPr>
      </w:pPr>
    </w:p>
    <w:p>
      <w:pPr>
        <w:pStyle w:val="5"/>
        <w:keepNext w:val="0"/>
        <w:keepLines w:val="0"/>
        <w:spacing w:before="0" w:line="240" w:lineRule="auto"/>
        <w:ind w:firstLine="1120" w:firstLineChars="400"/>
        <w:jc w:val="both"/>
        <w:rPr>
          <w:rFonts w:ascii="仿宋" w:hAnsi="仿宋" w:eastAsia="仿宋" w:cs="仿宋"/>
          <w:color w:val="000000"/>
          <w:sz w:val="28"/>
          <w:szCs w:val="28"/>
        </w:rPr>
      </w:pPr>
      <w:bookmarkStart w:id="281" w:name="_Toc522633279"/>
      <w:bookmarkStart w:id="282" w:name="_Toc26975"/>
      <w:bookmarkStart w:id="283" w:name="_Toc23503"/>
      <w:bookmarkStart w:id="284" w:name="_Toc1083"/>
      <w:bookmarkStart w:id="285" w:name="_Toc515647807"/>
      <w:bookmarkStart w:id="286" w:name="_Toc22472"/>
      <w:r>
        <w:rPr>
          <w:rFonts w:hint="eastAsia" w:ascii="仿宋" w:hAnsi="仿宋" w:eastAsia="仿宋" w:cs="仿宋"/>
          <w:color w:val="000000"/>
          <w:sz w:val="28"/>
          <w:szCs w:val="28"/>
        </w:rPr>
        <w:t>3．法定代表人授权委托书或法定代表人证明书</w:t>
      </w:r>
      <w:bookmarkEnd w:id="281"/>
      <w:bookmarkEnd w:id="282"/>
      <w:bookmarkEnd w:id="283"/>
      <w:bookmarkEnd w:id="284"/>
      <w:bookmarkEnd w:id="285"/>
      <w:bookmarkEnd w:id="286"/>
    </w:p>
    <w:p>
      <w:pPr>
        <w:pStyle w:val="8"/>
        <w:tabs>
          <w:tab w:val="left" w:pos="5580"/>
        </w:tabs>
        <w:ind w:firstLine="1680" w:firstLineChars="600"/>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法定代表人授权委托书（投标文件格式二）</w:t>
      </w: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本授权书声明：注册于</w:t>
      </w:r>
      <w:r>
        <w:rPr>
          <w:rFonts w:hint="eastAsia" w:ascii="仿宋" w:hAnsi="仿宋" w:eastAsia="仿宋" w:cs="仿宋"/>
          <w:color w:val="000000"/>
          <w:sz w:val="28"/>
          <w:szCs w:val="28"/>
          <w:u w:val="single"/>
        </w:rPr>
        <w:t>（国家或地区的名称）</w:t>
      </w:r>
      <w:r>
        <w:rPr>
          <w:rFonts w:hint="eastAsia" w:ascii="仿宋" w:hAnsi="仿宋" w:eastAsia="仿宋" w:cs="仿宋"/>
          <w:color w:val="000000"/>
          <w:sz w:val="28"/>
          <w:szCs w:val="28"/>
        </w:rPr>
        <w:t>的（</w:t>
      </w:r>
      <w:r>
        <w:rPr>
          <w:rFonts w:hint="eastAsia" w:ascii="仿宋" w:hAnsi="仿宋" w:eastAsia="仿宋" w:cs="仿宋"/>
          <w:iCs/>
          <w:color w:val="000000"/>
          <w:sz w:val="28"/>
          <w:szCs w:val="28"/>
          <w:u w:val="single"/>
        </w:rPr>
        <w:t>投标人</w:t>
      </w:r>
      <w:r>
        <w:rPr>
          <w:rFonts w:hint="eastAsia" w:ascii="仿宋" w:hAnsi="仿宋" w:eastAsia="仿宋" w:cs="仿宋"/>
          <w:color w:val="000000"/>
          <w:sz w:val="28"/>
          <w:szCs w:val="28"/>
        </w:rPr>
        <w:t>）的在下面签字的（</w:t>
      </w:r>
      <w:r>
        <w:rPr>
          <w:rFonts w:hint="eastAsia" w:ascii="仿宋" w:hAnsi="仿宋" w:eastAsia="仿宋" w:cs="仿宋"/>
          <w:iCs/>
          <w:color w:val="000000"/>
          <w:sz w:val="28"/>
          <w:szCs w:val="28"/>
          <w:u w:val="single"/>
        </w:rPr>
        <w:t>法人代表姓名、职务</w:t>
      </w:r>
      <w:r>
        <w:rPr>
          <w:rFonts w:hint="eastAsia" w:ascii="仿宋" w:hAnsi="仿宋" w:eastAsia="仿宋" w:cs="仿宋"/>
          <w:color w:val="000000"/>
          <w:sz w:val="28"/>
          <w:szCs w:val="28"/>
        </w:rPr>
        <w:t>）代表我单位授权（</w:t>
      </w:r>
      <w:r>
        <w:rPr>
          <w:rFonts w:hint="eastAsia" w:ascii="仿宋" w:hAnsi="仿宋" w:eastAsia="仿宋" w:cs="仿宋"/>
          <w:iCs/>
          <w:color w:val="000000"/>
          <w:sz w:val="28"/>
          <w:szCs w:val="28"/>
          <w:u w:val="single"/>
        </w:rPr>
        <w:t>投标人</w:t>
      </w:r>
      <w:r>
        <w:rPr>
          <w:rFonts w:hint="eastAsia" w:ascii="仿宋" w:hAnsi="仿宋" w:eastAsia="仿宋" w:cs="仿宋"/>
          <w:color w:val="000000"/>
          <w:sz w:val="28"/>
          <w:szCs w:val="28"/>
        </w:rPr>
        <w:t>）的在下面签字的（</w:t>
      </w:r>
      <w:r>
        <w:rPr>
          <w:rFonts w:hint="eastAsia" w:ascii="仿宋" w:hAnsi="仿宋" w:eastAsia="仿宋" w:cs="仿宋"/>
          <w:iCs/>
          <w:color w:val="000000"/>
          <w:sz w:val="28"/>
          <w:szCs w:val="28"/>
          <w:u w:val="single"/>
        </w:rPr>
        <w:t>被授权人的姓名、职务</w:t>
      </w:r>
      <w:r>
        <w:rPr>
          <w:rFonts w:hint="eastAsia" w:ascii="仿宋" w:hAnsi="仿宋" w:eastAsia="仿宋" w:cs="仿宋"/>
          <w:color w:val="000000"/>
          <w:sz w:val="28"/>
          <w:szCs w:val="28"/>
        </w:rPr>
        <w:t>）为我单位的合法代理人，就（</w:t>
      </w:r>
      <w:r>
        <w:rPr>
          <w:rFonts w:hint="eastAsia" w:ascii="仿宋" w:hAnsi="仿宋" w:eastAsia="仿宋" w:cs="仿宋"/>
          <w:iCs/>
          <w:color w:val="000000"/>
          <w:sz w:val="28"/>
          <w:szCs w:val="28"/>
          <w:u w:val="single"/>
        </w:rPr>
        <w:t>项目名称</w:t>
      </w:r>
      <w:r>
        <w:rPr>
          <w:rFonts w:hint="eastAsia" w:ascii="仿宋" w:hAnsi="仿宋" w:eastAsia="仿宋" w:cs="仿宋"/>
          <w:color w:val="000000"/>
          <w:sz w:val="28"/>
          <w:szCs w:val="28"/>
        </w:rPr>
        <w:t>）、（</w:t>
      </w:r>
      <w:r>
        <w:rPr>
          <w:rFonts w:hint="eastAsia" w:ascii="仿宋" w:hAnsi="仿宋" w:eastAsia="仿宋" w:cs="仿宋"/>
          <w:iCs/>
          <w:color w:val="000000"/>
          <w:sz w:val="28"/>
          <w:szCs w:val="28"/>
          <w:u w:val="single"/>
        </w:rPr>
        <w:t>项目编号</w:t>
      </w:r>
      <w:r>
        <w:rPr>
          <w:rFonts w:hint="eastAsia" w:ascii="仿宋" w:hAnsi="仿宋" w:eastAsia="仿宋" w:cs="仿宋"/>
          <w:color w:val="000000"/>
          <w:sz w:val="28"/>
          <w:szCs w:val="28"/>
        </w:rPr>
        <w:t>）投标以我单位名义处理一切与之有关的事务。</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本授权书于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日签字生效,有效期至</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特此声明。</w:t>
      </w:r>
    </w:p>
    <w:p>
      <w:pPr>
        <w:pStyle w:val="8"/>
        <w:tabs>
          <w:tab w:val="left" w:pos="5580"/>
        </w:tabs>
        <w:ind w:left="-539" w:leftChars="-257" w:firstLine="1400" w:firstLineChars="500"/>
        <w:rPr>
          <w:rFonts w:ascii="仿宋" w:hAnsi="仿宋" w:eastAsia="仿宋" w:cs="仿宋"/>
          <w:color w:val="000000"/>
          <w:sz w:val="28"/>
          <w:szCs w:val="28"/>
        </w:rPr>
      </w:pPr>
      <w:r>
        <w:rPr>
          <w:rFonts w:hint="eastAsia" w:ascii="仿宋" w:hAnsi="仿宋" w:eastAsia="仿宋" w:cs="仿宋"/>
          <w:color w:val="000000"/>
          <w:sz w:val="28"/>
          <w:szCs w:val="28"/>
        </w:rPr>
        <w:t xml:space="preserve"> （附法定代人和被授权人身份证复印件正反面）</w:t>
      </w: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投标人（盖单位章）;  </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法定代表人（签字或签章）：</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委托代理人：</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通讯地址：</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电　　　　话：</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p>
    <w:p>
      <w:pPr>
        <w:pStyle w:val="8"/>
        <w:tabs>
          <w:tab w:val="left" w:pos="5580"/>
        </w:tabs>
        <w:ind w:firstLine="1120" w:firstLineChars="400"/>
        <w:rPr>
          <w:rFonts w:ascii="仿宋" w:hAnsi="仿宋" w:eastAsia="仿宋" w:cs="仿宋"/>
          <w:b/>
          <w:color w:val="000000"/>
          <w:kern w:val="0"/>
          <w:sz w:val="28"/>
          <w:szCs w:val="28"/>
        </w:rPr>
      </w:pPr>
    </w:p>
    <w:p>
      <w:pPr>
        <w:pStyle w:val="8"/>
        <w:tabs>
          <w:tab w:val="left" w:pos="5580"/>
        </w:tabs>
        <w:ind w:firstLine="1120" w:firstLineChars="400"/>
        <w:rPr>
          <w:rFonts w:ascii="仿宋" w:hAnsi="仿宋" w:eastAsia="仿宋" w:cs="仿宋"/>
          <w:b/>
          <w:color w:val="000000"/>
          <w:kern w:val="0"/>
          <w:sz w:val="28"/>
          <w:szCs w:val="28"/>
        </w:rPr>
      </w:pPr>
    </w:p>
    <w:p>
      <w:pPr>
        <w:pStyle w:val="8"/>
        <w:tabs>
          <w:tab w:val="left" w:pos="5580"/>
        </w:tabs>
        <w:ind w:firstLine="1120" w:firstLineChars="400"/>
        <w:rPr>
          <w:rFonts w:ascii="仿宋" w:hAnsi="仿宋" w:eastAsia="仿宋" w:cs="仿宋"/>
          <w:b/>
          <w:color w:val="000000"/>
          <w:kern w:val="0"/>
          <w:sz w:val="28"/>
          <w:szCs w:val="28"/>
        </w:rPr>
      </w:pPr>
    </w:p>
    <w:p>
      <w:pPr>
        <w:pStyle w:val="8"/>
        <w:tabs>
          <w:tab w:val="left" w:pos="5580"/>
        </w:tabs>
        <w:ind w:firstLine="1120" w:firstLineChars="400"/>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法定代表人身份证明书（投标文件格式三）</w:t>
      </w:r>
    </w:p>
    <w:p>
      <w:pPr>
        <w:pStyle w:val="8"/>
        <w:tabs>
          <w:tab w:val="left" w:pos="5580"/>
        </w:tabs>
        <w:ind w:left="539" w:leftChars="257" w:firstLine="560" w:firstLineChars="200"/>
        <w:jc w:val="center"/>
        <w:rPr>
          <w:rFonts w:ascii="仿宋" w:hAnsi="仿宋" w:eastAsia="仿宋" w:cs="仿宋"/>
          <w:b/>
          <w:color w:val="000000"/>
          <w:kern w:val="0"/>
          <w:sz w:val="28"/>
          <w:szCs w:val="28"/>
        </w:rPr>
      </w:pP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本证明书声明：注册于</w:t>
      </w:r>
      <w:r>
        <w:rPr>
          <w:rFonts w:hint="eastAsia" w:ascii="仿宋" w:hAnsi="仿宋" w:eastAsia="仿宋" w:cs="仿宋"/>
          <w:color w:val="000000"/>
          <w:sz w:val="28"/>
          <w:szCs w:val="28"/>
          <w:u w:val="single"/>
        </w:rPr>
        <w:t>（国家或地区的名称）</w:t>
      </w:r>
      <w:r>
        <w:rPr>
          <w:rFonts w:hint="eastAsia" w:ascii="仿宋" w:hAnsi="仿宋" w:eastAsia="仿宋" w:cs="仿宋"/>
          <w:color w:val="000000"/>
          <w:sz w:val="28"/>
          <w:szCs w:val="28"/>
        </w:rPr>
        <w:t>的（</w:t>
      </w:r>
      <w:r>
        <w:rPr>
          <w:rFonts w:hint="eastAsia" w:ascii="仿宋" w:hAnsi="仿宋" w:eastAsia="仿宋" w:cs="仿宋"/>
          <w:iCs/>
          <w:color w:val="000000"/>
          <w:sz w:val="28"/>
          <w:szCs w:val="28"/>
          <w:u w:val="single"/>
        </w:rPr>
        <w:t>投标人</w:t>
      </w:r>
      <w:r>
        <w:rPr>
          <w:rFonts w:hint="eastAsia" w:ascii="仿宋" w:hAnsi="仿宋" w:eastAsia="仿宋" w:cs="仿宋"/>
          <w:color w:val="000000"/>
          <w:sz w:val="28"/>
          <w:szCs w:val="28"/>
        </w:rPr>
        <w:t>）的在下面签字的（</w:t>
      </w:r>
      <w:r>
        <w:rPr>
          <w:rFonts w:hint="eastAsia" w:ascii="仿宋" w:hAnsi="仿宋" w:eastAsia="仿宋" w:cs="仿宋"/>
          <w:iCs/>
          <w:color w:val="000000"/>
          <w:sz w:val="28"/>
          <w:szCs w:val="28"/>
          <w:u w:val="single"/>
        </w:rPr>
        <w:t>法人代表姓名、职务</w:t>
      </w:r>
      <w:r>
        <w:rPr>
          <w:rFonts w:hint="eastAsia" w:ascii="仿宋" w:hAnsi="仿宋" w:eastAsia="仿宋" w:cs="仿宋"/>
          <w:color w:val="000000"/>
          <w:sz w:val="28"/>
          <w:szCs w:val="28"/>
        </w:rPr>
        <w:t>）为我单位的法定代表人，就（</w:t>
      </w:r>
      <w:r>
        <w:rPr>
          <w:rFonts w:hint="eastAsia" w:ascii="仿宋" w:hAnsi="仿宋" w:eastAsia="仿宋" w:cs="仿宋"/>
          <w:iCs/>
          <w:color w:val="000000"/>
          <w:sz w:val="28"/>
          <w:szCs w:val="28"/>
          <w:u w:val="single"/>
        </w:rPr>
        <w:t>项目名称</w:t>
      </w:r>
      <w:r>
        <w:rPr>
          <w:rFonts w:hint="eastAsia" w:ascii="仿宋" w:hAnsi="仿宋" w:eastAsia="仿宋" w:cs="仿宋"/>
          <w:color w:val="000000"/>
          <w:sz w:val="28"/>
          <w:szCs w:val="28"/>
        </w:rPr>
        <w:t>）、（</w:t>
      </w:r>
      <w:r>
        <w:rPr>
          <w:rFonts w:hint="eastAsia" w:ascii="仿宋" w:hAnsi="仿宋" w:eastAsia="仿宋" w:cs="仿宋"/>
          <w:iCs/>
          <w:color w:val="000000"/>
          <w:sz w:val="28"/>
          <w:szCs w:val="28"/>
          <w:u w:val="single"/>
        </w:rPr>
        <w:t>项目编号</w:t>
      </w:r>
      <w:r>
        <w:rPr>
          <w:rFonts w:hint="eastAsia" w:ascii="仿宋" w:hAnsi="仿宋" w:eastAsia="仿宋" w:cs="仿宋"/>
          <w:color w:val="000000"/>
          <w:sz w:val="28"/>
          <w:szCs w:val="28"/>
        </w:rPr>
        <w:t>）投标以我单位名义处理一切与之有关的事务。</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特此声明。</w:t>
      </w:r>
      <w:r>
        <w:rPr>
          <w:rFonts w:hint="eastAsia" w:ascii="仿宋" w:hAnsi="仿宋" w:eastAsia="仿宋" w:cs="仿宋"/>
          <w:color w:val="000000"/>
          <w:sz w:val="28"/>
          <w:szCs w:val="28"/>
        </w:rPr>
        <w:cr/>
      </w:r>
      <w:r>
        <w:rPr>
          <w:rFonts w:hint="eastAsia" w:ascii="仿宋" w:hAnsi="仿宋" w:eastAsia="仿宋" w:cs="仿宋"/>
          <w:color w:val="000000"/>
          <w:sz w:val="28"/>
          <w:szCs w:val="28"/>
        </w:rPr>
        <w:cr/>
      </w:r>
      <w:r>
        <w:rPr>
          <w:rFonts w:hint="eastAsia" w:ascii="仿宋" w:hAnsi="仿宋" w:eastAsia="仿宋" w:cs="仿宋"/>
          <w:color w:val="000000"/>
          <w:sz w:val="28"/>
          <w:szCs w:val="28"/>
        </w:rPr>
        <w:t xml:space="preserve">           （附法定代人身份证复印件正反面）</w:t>
      </w: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投标人（盖单位章）; </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法定代表人（签字或签章）：</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详细通讯地址：</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电　　　　话：</w:t>
      </w:r>
      <w:r>
        <w:rPr>
          <w:rFonts w:hint="eastAsia" w:ascii="仿宋" w:hAnsi="仿宋" w:eastAsia="仿宋" w:cs="仿宋"/>
          <w:color w:val="000000"/>
          <w:sz w:val="28"/>
          <w:szCs w:val="28"/>
          <w:u w:val="single"/>
        </w:rPr>
        <w:t xml:space="preserve">                                 </w:t>
      </w:r>
    </w:p>
    <w:p>
      <w:pPr>
        <w:pStyle w:val="8"/>
        <w:tabs>
          <w:tab w:val="left" w:pos="5580"/>
        </w:tabs>
        <w:ind w:firstLine="560" w:firstLineChars="200"/>
        <w:rPr>
          <w:rFonts w:ascii="仿宋" w:hAnsi="仿宋" w:eastAsia="仿宋" w:cs="仿宋"/>
          <w:color w:val="000000"/>
          <w:sz w:val="28"/>
          <w:szCs w:val="28"/>
          <w:u w:val="single"/>
        </w:rPr>
      </w:pPr>
    </w:p>
    <w:p>
      <w:pPr>
        <w:pStyle w:val="8"/>
        <w:tabs>
          <w:tab w:val="left" w:pos="5580"/>
        </w:tabs>
        <w:ind w:firstLine="560" w:firstLineChars="200"/>
        <w:rPr>
          <w:rFonts w:ascii="仿宋" w:hAnsi="仿宋" w:eastAsia="仿宋" w:cs="仿宋"/>
          <w:color w:val="000000"/>
          <w:sz w:val="28"/>
          <w:szCs w:val="28"/>
          <w:u w:val="single"/>
        </w:rPr>
      </w:pPr>
    </w:p>
    <w:p>
      <w:pPr>
        <w:pStyle w:val="8"/>
        <w:tabs>
          <w:tab w:val="left" w:pos="5580"/>
        </w:tabs>
        <w:ind w:left="539" w:leftChars="257" w:firstLine="560" w:firstLineChars="200"/>
        <w:jc w:val="center"/>
        <w:rPr>
          <w:rFonts w:ascii="仿宋" w:hAnsi="仿宋" w:eastAsia="仿宋" w:cs="仿宋"/>
          <w:b/>
          <w:color w:val="000000"/>
          <w:kern w:val="0"/>
          <w:sz w:val="28"/>
          <w:szCs w:val="28"/>
        </w:rPr>
      </w:pPr>
    </w:p>
    <w:p>
      <w:pPr>
        <w:pStyle w:val="5"/>
        <w:keepNext w:val="0"/>
        <w:keepLines w:val="0"/>
        <w:spacing w:before="0" w:line="240" w:lineRule="auto"/>
        <w:ind w:firstLine="280" w:firstLineChars="100"/>
        <w:jc w:val="both"/>
        <w:rPr>
          <w:rFonts w:ascii="仿宋" w:hAnsi="仿宋" w:eastAsia="仿宋" w:cs="仿宋"/>
          <w:color w:val="000000"/>
          <w:sz w:val="28"/>
          <w:szCs w:val="28"/>
        </w:rPr>
      </w:pPr>
      <w:bookmarkStart w:id="287" w:name="_Toc7039"/>
      <w:bookmarkStart w:id="288" w:name="_Toc515647808"/>
      <w:bookmarkStart w:id="289" w:name="_Toc522633280"/>
      <w:bookmarkStart w:id="290" w:name="_Toc32520"/>
      <w:bookmarkStart w:id="291" w:name="_Toc18130"/>
    </w:p>
    <w:p>
      <w:pPr>
        <w:pStyle w:val="5"/>
        <w:keepNext w:val="0"/>
        <w:keepLines w:val="0"/>
        <w:spacing w:before="0" w:line="240" w:lineRule="auto"/>
        <w:ind w:firstLine="280" w:firstLineChars="100"/>
        <w:jc w:val="both"/>
        <w:rPr>
          <w:rFonts w:ascii="仿宋" w:hAnsi="仿宋" w:eastAsia="仿宋" w:cs="仿宋"/>
          <w:color w:val="000000"/>
          <w:sz w:val="28"/>
          <w:szCs w:val="28"/>
        </w:rPr>
      </w:pPr>
    </w:p>
    <w:p>
      <w:pPr>
        <w:pStyle w:val="5"/>
        <w:keepNext w:val="0"/>
        <w:keepLines w:val="0"/>
        <w:spacing w:before="0" w:line="240" w:lineRule="auto"/>
        <w:ind w:firstLine="280" w:firstLineChars="100"/>
        <w:jc w:val="both"/>
        <w:rPr>
          <w:rFonts w:ascii="仿宋" w:hAnsi="仿宋" w:eastAsia="仿宋" w:cs="仿宋"/>
          <w:color w:val="000000"/>
          <w:sz w:val="28"/>
          <w:szCs w:val="28"/>
        </w:rPr>
      </w:pPr>
      <w:bookmarkStart w:id="292" w:name="_Toc25389"/>
      <w:r>
        <w:rPr>
          <w:rFonts w:hint="eastAsia" w:ascii="仿宋" w:hAnsi="仿宋" w:eastAsia="仿宋" w:cs="仿宋"/>
          <w:color w:val="000000"/>
          <w:sz w:val="28"/>
          <w:szCs w:val="28"/>
        </w:rPr>
        <w:t>4．具有良好的商业信誉和健全的财务会计制度的证明文件</w:t>
      </w:r>
      <w:bookmarkEnd w:id="287"/>
      <w:bookmarkEnd w:id="288"/>
      <w:bookmarkEnd w:id="289"/>
      <w:bookmarkEnd w:id="290"/>
      <w:bookmarkEnd w:id="291"/>
      <w:bookmarkEnd w:id="292"/>
    </w:p>
    <w:p>
      <w:pPr>
        <w:tabs>
          <w:tab w:val="left" w:pos="5580"/>
        </w:tabs>
        <w:ind w:left="539" w:leftChars="257" w:firstLine="560" w:firstLineChars="200"/>
        <w:jc w:val="center"/>
        <w:rPr>
          <w:rFonts w:ascii="仿宋" w:hAnsi="仿宋" w:eastAsia="仿宋" w:cs="仿宋"/>
          <w:b/>
          <w:color w:val="000000"/>
          <w:sz w:val="28"/>
          <w:szCs w:val="28"/>
        </w:rPr>
      </w:pPr>
    </w:p>
    <w:p>
      <w:pPr>
        <w:tabs>
          <w:tab w:val="left" w:pos="3060"/>
          <w:tab w:val="left" w:pos="5580"/>
        </w:tabs>
        <w:ind w:firstLine="560" w:firstLineChars="200"/>
        <w:rPr>
          <w:rFonts w:ascii="仿宋" w:hAnsi="仿宋" w:eastAsia="仿宋" w:cs="仿宋"/>
          <w:b/>
          <w:color w:val="000000"/>
          <w:sz w:val="28"/>
          <w:szCs w:val="28"/>
        </w:rPr>
      </w:pPr>
    </w:p>
    <w:p>
      <w:pPr>
        <w:tabs>
          <w:tab w:val="left" w:pos="5580"/>
        </w:tabs>
        <w:rPr>
          <w:rFonts w:ascii="仿宋" w:hAnsi="仿宋" w:eastAsia="仿宋" w:cs="仿宋"/>
          <w:bCs/>
          <w:color w:val="000000"/>
          <w:sz w:val="28"/>
          <w:szCs w:val="28"/>
        </w:rPr>
      </w:pPr>
      <w:r>
        <w:rPr>
          <w:rFonts w:hint="eastAsia" w:ascii="仿宋" w:hAnsi="仿宋" w:eastAsia="仿宋" w:cs="仿宋"/>
          <w:color w:val="000000"/>
          <w:sz w:val="28"/>
          <w:szCs w:val="28"/>
        </w:rPr>
        <w:t>说明：提供本单位上年度经会计师事务所出具的审计报告复印件须加盖</w:t>
      </w:r>
      <w:r>
        <w:rPr>
          <w:rFonts w:hint="eastAsia" w:ascii="仿宋" w:hAnsi="仿宋" w:eastAsia="仿宋" w:cs="仿宋"/>
          <w:bCs/>
          <w:color w:val="000000"/>
          <w:sz w:val="28"/>
          <w:szCs w:val="28"/>
        </w:rPr>
        <w:t>本单位公章。</w:t>
      </w:r>
    </w:p>
    <w:p>
      <w:pPr>
        <w:pStyle w:val="2"/>
        <w:ind w:firstLine="560" w:firstLineChars="200"/>
        <w:rPr>
          <w:rFonts w:ascii="仿宋" w:hAnsi="仿宋" w:eastAsia="仿宋" w:cs="仿宋"/>
          <w:color w:val="000000"/>
          <w:sz w:val="28"/>
          <w:szCs w:val="28"/>
        </w:rPr>
      </w:pPr>
      <w:bookmarkStart w:id="293" w:name="_Toc31238"/>
      <w:bookmarkStart w:id="294" w:name="_Toc11047"/>
      <w:bookmarkStart w:id="295" w:name="_Toc515647809"/>
      <w:bookmarkStart w:id="296" w:name="_Toc28445"/>
    </w:p>
    <w:p>
      <w:pPr>
        <w:pStyle w:val="2"/>
        <w:ind w:firstLine="560" w:firstLineChars="200"/>
        <w:rPr>
          <w:rFonts w:ascii="仿宋" w:hAnsi="仿宋" w:eastAsia="仿宋" w:cs="仿宋"/>
          <w:color w:val="000000"/>
          <w:sz w:val="28"/>
          <w:szCs w:val="28"/>
        </w:rPr>
      </w:pPr>
    </w:p>
    <w:p>
      <w:pPr>
        <w:pStyle w:val="2"/>
        <w:ind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type="linesAndChars" w:linePitch="312" w:charSpace="0"/>
        </w:sectPr>
      </w:pPr>
    </w:p>
    <w:p>
      <w:pPr>
        <w:pStyle w:val="5"/>
        <w:keepNext w:val="0"/>
        <w:keepLines w:val="0"/>
        <w:spacing w:before="0" w:line="240" w:lineRule="auto"/>
        <w:ind w:firstLine="2800" w:firstLineChars="1000"/>
        <w:jc w:val="both"/>
        <w:rPr>
          <w:rFonts w:ascii="仿宋" w:hAnsi="仿宋" w:eastAsia="仿宋" w:cs="仿宋"/>
          <w:color w:val="000000"/>
          <w:sz w:val="28"/>
          <w:szCs w:val="28"/>
        </w:rPr>
      </w:pPr>
      <w:bookmarkStart w:id="297" w:name="_Toc522633281"/>
      <w:bookmarkStart w:id="298" w:name="_Toc5476"/>
      <w:r>
        <w:rPr>
          <w:rFonts w:hint="eastAsia" w:ascii="仿宋" w:hAnsi="仿宋" w:eastAsia="仿宋" w:cs="仿宋"/>
          <w:color w:val="000000"/>
          <w:sz w:val="28"/>
          <w:szCs w:val="28"/>
        </w:rPr>
        <w:t>5．投标保证收据原件</w:t>
      </w:r>
      <w:bookmarkEnd w:id="293"/>
      <w:bookmarkEnd w:id="294"/>
      <w:bookmarkEnd w:id="295"/>
      <w:bookmarkEnd w:id="296"/>
      <w:bookmarkEnd w:id="297"/>
      <w:bookmarkEnd w:id="298"/>
    </w:p>
    <w:p>
      <w:pPr>
        <w:pStyle w:val="2"/>
        <w:ind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type="linesAndChars" w:linePitch="312" w:charSpace="0"/>
        </w:sectPr>
      </w:pPr>
    </w:p>
    <w:p>
      <w:pPr>
        <w:pStyle w:val="5"/>
        <w:keepNext w:val="0"/>
        <w:keepLines w:val="0"/>
        <w:spacing w:before="0" w:line="240" w:lineRule="auto"/>
        <w:jc w:val="both"/>
        <w:rPr>
          <w:rFonts w:ascii="仿宋" w:hAnsi="仿宋" w:eastAsia="仿宋" w:cs="仿宋"/>
          <w:color w:val="000000"/>
          <w:sz w:val="28"/>
          <w:szCs w:val="28"/>
        </w:rPr>
      </w:pPr>
      <w:bookmarkStart w:id="299" w:name="_Toc515647810"/>
      <w:bookmarkStart w:id="300" w:name="_Toc13602"/>
      <w:bookmarkStart w:id="301" w:name="_Toc522633282"/>
      <w:bookmarkStart w:id="302" w:name="_Toc18754"/>
      <w:bookmarkStart w:id="303" w:name="_Toc5710"/>
      <w:bookmarkStart w:id="304" w:name="_Toc4869"/>
      <w:r>
        <w:rPr>
          <w:rFonts w:hint="eastAsia" w:ascii="仿宋" w:hAnsi="仿宋" w:eastAsia="仿宋" w:cs="仿宋"/>
          <w:color w:val="000000"/>
          <w:sz w:val="28"/>
          <w:szCs w:val="28"/>
        </w:rPr>
        <w:t>6．</w:t>
      </w:r>
      <w:bookmarkEnd w:id="299"/>
      <w:bookmarkEnd w:id="300"/>
      <w:bookmarkEnd w:id="301"/>
      <w:bookmarkEnd w:id="302"/>
      <w:bookmarkEnd w:id="303"/>
      <w:r>
        <w:rPr>
          <w:rFonts w:hint="eastAsia" w:ascii="仿宋" w:hAnsi="仿宋" w:eastAsia="仿宋" w:cs="仿宋"/>
          <w:color w:val="000000"/>
          <w:sz w:val="28"/>
          <w:szCs w:val="28"/>
        </w:rPr>
        <w:t>被委托人必须是投标单位法人或正式员工，需提供社保部门出具的投标单位上一季度的缴纳社保证明（社保缴费凭证和个人明细表）</w:t>
      </w:r>
      <w:bookmarkEnd w:id="304"/>
    </w:p>
    <w:p>
      <w:pPr>
        <w:pStyle w:val="5"/>
        <w:keepNext w:val="0"/>
        <w:keepLines w:val="0"/>
        <w:spacing w:before="0" w:line="240" w:lineRule="auto"/>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jc w:val="center"/>
        <w:rPr>
          <w:rFonts w:ascii="仿宋" w:hAnsi="仿宋" w:eastAsia="仿宋" w:cs="仿宋"/>
          <w:b/>
          <w:color w:val="000000"/>
          <w:sz w:val="28"/>
          <w:szCs w:val="28"/>
        </w:rPr>
      </w:pPr>
    </w:p>
    <w:p>
      <w:pPr>
        <w:pStyle w:val="8"/>
        <w:tabs>
          <w:tab w:val="left" w:pos="5580"/>
        </w:tabs>
        <w:ind w:left="540" w:firstLine="560" w:firstLineChars="200"/>
        <w:rPr>
          <w:rFonts w:ascii="仿宋" w:hAnsi="仿宋" w:eastAsia="仿宋" w:cs="仿宋"/>
          <w:b/>
          <w:color w:val="000000"/>
          <w:sz w:val="28"/>
          <w:szCs w:val="28"/>
        </w:rPr>
      </w:pPr>
    </w:p>
    <w:p>
      <w:pPr>
        <w:pStyle w:val="8"/>
        <w:tabs>
          <w:tab w:val="left" w:pos="5580"/>
        </w:tabs>
        <w:ind w:left="54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说明：1.按照</w:t>
      </w:r>
      <w:r>
        <w:rPr>
          <w:rFonts w:hint="eastAsia" w:ascii="仿宋" w:hAnsi="仿宋" w:eastAsia="仿宋" w:cs="仿宋"/>
          <w:b/>
          <w:bCs/>
          <w:color w:val="000000"/>
          <w:sz w:val="28"/>
          <w:szCs w:val="28"/>
          <w:u w:val="single"/>
        </w:rPr>
        <w:t>投标人须知资料表</w:t>
      </w:r>
      <w:r>
        <w:rPr>
          <w:rFonts w:hint="eastAsia" w:ascii="仿宋" w:hAnsi="仿宋" w:eastAsia="仿宋" w:cs="仿宋"/>
          <w:color w:val="000000"/>
          <w:sz w:val="28"/>
          <w:szCs w:val="28"/>
        </w:rPr>
        <w:t>中的规定提供复印件。</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2.复印件上应加盖本单位公章。</w:t>
      </w:r>
    </w:p>
    <w:p>
      <w:pPr>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8"/>
        <w:tabs>
          <w:tab w:val="left" w:pos="5580"/>
        </w:tabs>
        <w:ind w:left="539" w:leftChars="257" w:firstLine="560" w:firstLineChars="200"/>
        <w:rPr>
          <w:rFonts w:ascii="仿宋" w:hAnsi="仿宋" w:eastAsia="仿宋" w:cs="仿宋"/>
          <w:color w:val="000000"/>
          <w:sz w:val="28"/>
          <w:szCs w:val="28"/>
        </w:rPr>
      </w:pPr>
    </w:p>
    <w:p>
      <w:pPr>
        <w:pStyle w:val="5"/>
        <w:keepNext w:val="0"/>
        <w:keepLines w:val="0"/>
        <w:spacing w:before="0" w:line="240" w:lineRule="auto"/>
        <w:jc w:val="both"/>
        <w:rPr>
          <w:rFonts w:ascii="仿宋" w:hAnsi="仿宋" w:eastAsia="仿宋" w:cs="仿宋"/>
          <w:color w:val="000000"/>
          <w:sz w:val="28"/>
          <w:szCs w:val="28"/>
        </w:rPr>
      </w:pPr>
      <w:r>
        <w:rPr>
          <w:rFonts w:hint="eastAsia" w:ascii="仿宋" w:hAnsi="仿宋" w:eastAsia="仿宋" w:cs="仿宋"/>
          <w:color w:val="000000"/>
          <w:sz w:val="28"/>
          <w:szCs w:val="28"/>
        </w:rPr>
        <w:br w:type="page"/>
      </w:r>
      <w:bookmarkStart w:id="305" w:name="_Toc12631"/>
      <w:bookmarkStart w:id="306" w:name="_Toc24428"/>
      <w:bookmarkStart w:id="307" w:name="_Toc515647811"/>
      <w:bookmarkStart w:id="308" w:name="_Toc32670"/>
      <w:bookmarkStart w:id="309" w:name="_Toc522633283"/>
      <w:bookmarkStart w:id="310" w:name="_Toc17342"/>
      <w:r>
        <w:rPr>
          <w:rFonts w:hint="eastAsia" w:ascii="仿宋" w:hAnsi="仿宋" w:eastAsia="仿宋" w:cs="仿宋"/>
          <w:color w:val="000000"/>
          <w:sz w:val="28"/>
          <w:szCs w:val="28"/>
        </w:rPr>
        <w:t xml:space="preserve">     7．</w:t>
      </w:r>
      <w:bookmarkEnd w:id="305"/>
      <w:bookmarkEnd w:id="306"/>
      <w:bookmarkEnd w:id="307"/>
      <w:bookmarkEnd w:id="308"/>
      <w:bookmarkEnd w:id="309"/>
      <w:r>
        <w:rPr>
          <w:rFonts w:hint="eastAsia" w:ascii="仿宋" w:hAnsi="仿宋" w:eastAsia="仿宋" w:cs="仿宋"/>
          <w:color w:val="000000"/>
          <w:sz w:val="28"/>
          <w:szCs w:val="28"/>
        </w:rPr>
        <w:t>在“信用中国”网站（WWW.creditchina.gov.cn）、中国政府采购网（www.ccgp.gov.cn）被列入失信被执行人、重大税收违法案件当事人名单、政府采购严重违法失信行为记录名单的（尚在处罚期内的）查询记录</w:t>
      </w:r>
      <w:bookmarkEnd w:id="310"/>
    </w:p>
    <w:p>
      <w:pPr>
        <w:pStyle w:val="8"/>
        <w:tabs>
          <w:tab w:val="left" w:pos="5580"/>
        </w:tabs>
        <w:ind w:left="539" w:leftChars="257" w:firstLine="560" w:firstLineChars="200"/>
        <w:jc w:val="center"/>
        <w:rPr>
          <w:rFonts w:ascii="仿宋" w:hAnsi="仿宋" w:eastAsia="仿宋" w:cs="仿宋"/>
          <w:b/>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说明：1.投标人应按照相关法规规定如实作出说明，并提供招标公告发布至投标截止时间前在上述网站查询结果截图。</w:t>
      </w:r>
    </w:p>
    <w:p>
      <w:pPr>
        <w:pStyle w:val="8"/>
        <w:tabs>
          <w:tab w:val="left" w:pos="5580"/>
        </w:tabs>
        <w:ind w:left="644" w:leftChars="30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2．按照招标文件的规定加盖单位章（自然人投标的无需盖章，需要签字）。</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bookmarkStart w:id="311" w:name="_Toc29703"/>
      <w:bookmarkStart w:id="312" w:name="_Toc17207"/>
      <w:bookmarkStart w:id="313" w:name="_Toc28937"/>
      <w:bookmarkStart w:id="314" w:name="_Toc515647813"/>
    </w:p>
    <w:p>
      <w:pPr>
        <w:pStyle w:val="8"/>
        <w:tabs>
          <w:tab w:val="left" w:pos="5580"/>
        </w:tabs>
        <w:ind w:firstLine="560" w:firstLineChars="200"/>
        <w:rPr>
          <w:rFonts w:ascii="仿宋" w:hAnsi="仿宋" w:eastAsia="仿宋" w:cs="仿宋"/>
          <w:color w:val="000000"/>
          <w:sz w:val="28"/>
          <w:szCs w:val="28"/>
        </w:rPr>
      </w:pPr>
    </w:p>
    <w:p>
      <w:pPr>
        <w:pStyle w:val="8"/>
        <w:tabs>
          <w:tab w:val="left" w:pos="5580"/>
        </w:tabs>
        <w:ind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type="linesAndChars" w:linePitch="312" w:charSpace="0"/>
        </w:sectPr>
      </w:pPr>
    </w:p>
    <w:p>
      <w:pPr>
        <w:pStyle w:val="5"/>
        <w:keepNext w:val="0"/>
        <w:keepLines w:val="0"/>
        <w:spacing w:before="0" w:line="240" w:lineRule="auto"/>
        <w:ind w:left="539" w:leftChars="257" w:firstLine="560" w:firstLineChars="200"/>
        <w:jc w:val="both"/>
        <w:rPr>
          <w:rFonts w:ascii="仿宋" w:hAnsi="仿宋" w:eastAsia="仿宋" w:cs="仿宋"/>
          <w:color w:val="000000"/>
          <w:sz w:val="28"/>
          <w:szCs w:val="28"/>
        </w:rPr>
      </w:pPr>
      <w:bookmarkStart w:id="315" w:name="_Toc16754"/>
      <w:bookmarkStart w:id="316" w:name="_Toc522633284"/>
      <w:r>
        <w:rPr>
          <w:rFonts w:hint="eastAsia" w:ascii="仿宋" w:hAnsi="仿宋" w:eastAsia="仿宋" w:cs="仿宋"/>
          <w:color w:val="000000"/>
          <w:sz w:val="28"/>
          <w:szCs w:val="28"/>
        </w:rPr>
        <w:t>8．投标人须知资料表要求的其他资格证明文件</w:t>
      </w:r>
      <w:bookmarkEnd w:id="311"/>
      <w:bookmarkEnd w:id="312"/>
      <w:bookmarkEnd w:id="313"/>
      <w:bookmarkEnd w:id="314"/>
      <w:bookmarkEnd w:id="315"/>
      <w:bookmarkEnd w:id="316"/>
    </w:p>
    <w:p>
      <w:pPr>
        <w:ind w:left="539" w:leftChars="257" w:firstLine="560" w:firstLineChars="200"/>
        <w:jc w:val="center"/>
        <w:rPr>
          <w:rFonts w:ascii="仿宋" w:hAnsi="仿宋" w:eastAsia="仿宋" w:cs="仿宋"/>
          <w:b/>
          <w:bCs/>
          <w:color w:val="000000"/>
          <w:sz w:val="28"/>
          <w:szCs w:val="28"/>
        </w:rPr>
      </w:pPr>
    </w:p>
    <w:p>
      <w:pPr>
        <w:ind w:left="539" w:leftChars="257" w:firstLine="560" w:firstLineChars="200"/>
        <w:jc w:val="center"/>
        <w:rPr>
          <w:rFonts w:ascii="仿宋" w:hAnsi="仿宋" w:eastAsia="仿宋" w:cs="仿宋"/>
          <w:b/>
          <w:bCs/>
          <w:color w:val="000000"/>
          <w:sz w:val="28"/>
          <w:szCs w:val="28"/>
        </w:rPr>
      </w:pPr>
    </w:p>
    <w:p>
      <w:pPr>
        <w:ind w:left="539" w:leftChars="257" w:firstLine="560" w:firstLineChars="200"/>
        <w:jc w:val="center"/>
        <w:rPr>
          <w:rFonts w:ascii="仿宋" w:hAnsi="仿宋" w:eastAsia="仿宋" w:cs="仿宋"/>
          <w:b/>
          <w:bCs/>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说明：1.应提供</w:t>
      </w:r>
      <w:r>
        <w:rPr>
          <w:rFonts w:hint="eastAsia" w:ascii="仿宋" w:hAnsi="仿宋" w:eastAsia="仿宋" w:cs="仿宋"/>
          <w:b/>
          <w:bCs/>
          <w:color w:val="000000"/>
          <w:sz w:val="28"/>
          <w:szCs w:val="28"/>
          <w:u w:val="single"/>
        </w:rPr>
        <w:t>投标人须知资料表</w:t>
      </w:r>
      <w:r>
        <w:rPr>
          <w:rFonts w:hint="eastAsia" w:ascii="仿宋" w:hAnsi="仿宋" w:eastAsia="仿宋" w:cs="仿宋"/>
          <w:color w:val="000000"/>
          <w:sz w:val="28"/>
          <w:szCs w:val="28"/>
        </w:rPr>
        <w:t>要求的其他资格证明文件。</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2.复印件上应加盖本单位章（自然人投标的无需盖章，需要签字）。</w:t>
      </w:r>
    </w:p>
    <w:p>
      <w:pPr>
        <w:pStyle w:val="2"/>
        <w:ind w:firstLine="560" w:firstLineChars="200"/>
        <w:rPr>
          <w:rFonts w:ascii="仿宋" w:hAnsi="仿宋" w:eastAsia="仿宋" w:cs="仿宋"/>
          <w:color w:val="000000"/>
          <w:sz w:val="28"/>
          <w:szCs w:val="28"/>
        </w:rPr>
      </w:pPr>
      <w:bookmarkStart w:id="317" w:name="_Toc7730"/>
      <w:bookmarkStart w:id="318" w:name="_Toc2502"/>
      <w:bookmarkStart w:id="319" w:name="_Toc515647814"/>
      <w:bookmarkStart w:id="320" w:name="_Toc23044"/>
    </w:p>
    <w:p>
      <w:pPr>
        <w:pStyle w:val="2"/>
        <w:ind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type="linesAndChars" w:linePitch="312" w:charSpace="0"/>
        </w:sectPr>
      </w:pPr>
    </w:p>
    <w:bookmarkEnd w:id="317"/>
    <w:bookmarkEnd w:id="318"/>
    <w:bookmarkEnd w:id="319"/>
    <w:bookmarkEnd w:id="320"/>
    <w:p>
      <w:pPr>
        <w:pStyle w:val="8"/>
        <w:tabs>
          <w:tab w:val="left" w:pos="5580"/>
        </w:tabs>
        <w:ind w:firstLine="2560" w:firstLineChars="800"/>
        <w:rPr>
          <w:rFonts w:ascii="仿宋" w:hAnsi="仿宋" w:eastAsia="仿宋" w:cs="仿宋"/>
          <w:b/>
          <w:bCs/>
          <w:color w:val="000000"/>
          <w:sz w:val="32"/>
          <w:szCs w:val="32"/>
        </w:rPr>
      </w:pPr>
      <w:bookmarkStart w:id="321" w:name="_Toc11180"/>
      <w:bookmarkStart w:id="322" w:name="_Toc515647816"/>
      <w:bookmarkStart w:id="323" w:name="_Toc22967"/>
      <w:bookmarkStart w:id="324" w:name="_Toc522633285"/>
      <w:bookmarkStart w:id="325" w:name="_Toc30317"/>
      <w:r>
        <w:rPr>
          <w:rFonts w:hint="eastAsia" w:ascii="仿宋" w:hAnsi="仿宋" w:eastAsia="仿宋" w:cs="仿宋"/>
          <w:b/>
          <w:bCs/>
          <w:color w:val="000000"/>
          <w:sz w:val="32"/>
          <w:szCs w:val="32"/>
        </w:rPr>
        <w:t>第二部分  商务及技术文件</w:t>
      </w:r>
      <w:bookmarkEnd w:id="321"/>
      <w:bookmarkEnd w:id="322"/>
      <w:bookmarkEnd w:id="323"/>
      <w:bookmarkEnd w:id="324"/>
      <w:bookmarkEnd w:id="325"/>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1、投标书（投标文件格式四）</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2、投标分项报价表（投标文件格式五）</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3、货物说明一览表（投标文件格式六）</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4、技术规格偏离表（投标文件格式七）</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5、商务条款偏离表（投标文件格式八）</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6、符合《政府采购促进中小企业发展暂行办法》、《关于政府采购支持监狱企业发展有关问题的通知》和《三部门联合发布关于促进残疾人就业政府采购政策的通知》和价格扣减条件的投标人须提交）</w:t>
      </w:r>
    </w:p>
    <w:p>
      <w:pPr>
        <w:pStyle w:val="8"/>
        <w:ind w:firstLine="1120" w:firstLineChars="400"/>
        <w:rPr>
          <w:rFonts w:ascii="仿宋" w:hAnsi="仿宋" w:eastAsia="仿宋" w:cs="仿宋"/>
          <w:color w:val="000000"/>
          <w:sz w:val="28"/>
          <w:szCs w:val="28"/>
        </w:rPr>
      </w:pPr>
      <w:r>
        <w:rPr>
          <w:rFonts w:hint="eastAsia" w:ascii="仿宋" w:hAnsi="仿宋" w:eastAsia="仿宋" w:cs="仿宋"/>
          <w:color w:val="000000"/>
          <w:sz w:val="28"/>
          <w:szCs w:val="28"/>
        </w:rPr>
        <w:t>6-1《投标人企业（单位）类型声明函》（投标文件格式九）</w:t>
      </w:r>
    </w:p>
    <w:p>
      <w:pPr>
        <w:pStyle w:val="8"/>
        <w:ind w:left="310" w:leftChars="148"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6-2《制造商投标人企业（单位）类型声明函》（投标文件格式十）</w:t>
      </w:r>
    </w:p>
    <w:p>
      <w:pPr>
        <w:pStyle w:val="8"/>
        <w:ind w:left="310" w:leftChars="148"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6-3《残疾人福利性单位声明函》（投标文件格式十一）</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7、投标人关联单位的说明</w:t>
      </w:r>
    </w:p>
    <w:p>
      <w:pPr>
        <w:pStyle w:val="8"/>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8、其他有利于投标人的文件</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br w:type="page"/>
      </w:r>
      <w:bookmarkStart w:id="326" w:name="_Toc522633286"/>
      <w:bookmarkStart w:id="327" w:name="_Toc8525"/>
      <w:bookmarkStart w:id="328" w:name="_Toc2041"/>
      <w:bookmarkStart w:id="329" w:name="_Toc515647817"/>
      <w:bookmarkStart w:id="330" w:name="_Toc14915"/>
      <w:r>
        <w:rPr>
          <w:rFonts w:hint="eastAsia" w:ascii="仿宋" w:hAnsi="仿宋" w:eastAsia="仿宋" w:cs="仿宋"/>
          <w:b/>
          <w:bCs/>
          <w:color w:val="000000"/>
          <w:sz w:val="28"/>
          <w:szCs w:val="28"/>
        </w:rPr>
        <w:t xml:space="preserve">      </w:t>
      </w:r>
      <w:r>
        <w:rPr>
          <w:rFonts w:hint="eastAsia" w:ascii="仿宋" w:hAnsi="仿宋" w:eastAsia="仿宋" w:cs="仿宋"/>
          <w:b/>
          <w:bCs/>
          <w:color w:val="000000"/>
          <w:sz w:val="32"/>
          <w:szCs w:val="32"/>
        </w:rPr>
        <w:t>1</w:t>
      </w:r>
      <w:bookmarkStart w:id="331" w:name="_Hlt520355504"/>
      <w:bookmarkEnd w:id="331"/>
      <w:r>
        <w:rPr>
          <w:rFonts w:hint="eastAsia" w:ascii="仿宋" w:hAnsi="仿宋" w:eastAsia="仿宋" w:cs="仿宋"/>
          <w:b/>
          <w:bCs/>
          <w:color w:val="000000"/>
          <w:sz w:val="32"/>
          <w:szCs w:val="32"/>
        </w:rPr>
        <w:t>．投标</w:t>
      </w:r>
      <w:bookmarkEnd w:id="270"/>
      <w:bookmarkEnd w:id="271"/>
      <w:r>
        <w:rPr>
          <w:rFonts w:hint="eastAsia" w:ascii="仿宋" w:hAnsi="仿宋" w:eastAsia="仿宋" w:cs="仿宋"/>
          <w:b/>
          <w:bCs/>
          <w:color w:val="000000"/>
          <w:sz w:val="32"/>
          <w:szCs w:val="32"/>
        </w:rPr>
        <w:t>书</w:t>
      </w:r>
      <w:bookmarkEnd w:id="272"/>
      <w:r>
        <w:rPr>
          <w:rFonts w:hint="eastAsia" w:ascii="仿宋" w:hAnsi="仿宋" w:eastAsia="仿宋" w:cs="仿宋"/>
          <w:b/>
          <w:bCs/>
          <w:color w:val="000000"/>
          <w:sz w:val="32"/>
          <w:szCs w:val="32"/>
        </w:rPr>
        <w:t>（投标文件格式四）</w:t>
      </w:r>
      <w:bookmarkEnd w:id="273"/>
      <w:bookmarkEnd w:id="326"/>
      <w:bookmarkEnd w:id="327"/>
      <w:bookmarkEnd w:id="328"/>
      <w:bookmarkEnd w:id="329"/>
      <w:bookmarkEnd w:id="330"/>
    </w:p>
    <w:p>
      <w:pPr>
        <w:tabs>
          <w:tab w:val="left" w:pos="5580"/>
        </w:tabs>
        <w:ind w:left="539" w:leftChars="257" w:firstLine="560" w:firstLineChars="200"/>
        <w:rPr>
          <w:rFonts w:ascii="仿宋" w:hAnsi="仿宋" w:eastAsia="仿宋" w:cs="仿宋"/>
          <w:color w:val="000000"/>
          <w:sz w:val="28"/>
          <w:szCs w:val="28"/>
        </w:rPr>
      </w:pPr>
    </w:p>
    <w:p>
      <w:pPr>
        <w:tabs>
          <w:tab w:val="left" w:pos="5580"/>
        </w:tabs>
        <w:rPr>
          <w:rFonts w:ascii="仿宋" w:hAnsi="仿宋" w:eastAsia="仿宋" w:cs="仿宋"/>
          <w:color w:val="000000"/>
          <w:sz w:val="28"/>
          <w:szCs w:val="28"/>
        </w:rPr>
      </w:pPr>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rPr>
        <w:t>采购代理机构</w:t>
      </w:r>
    </w:p>
    <w:p>
      <w:pPr>
        <w:pStyle w:val="8"/>
        <w:tabs>
          <w:tab w:val="left" w:pos="5580"/>
        </w:tabs>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根据贵方(</w:t>
      </w:r>
      <w:r>
        <w:rPr>
          <w:rFonts w:hint="eastAsia" w:ascii="仿宋" w:hAnsi="仿宋" w:eastAsia="仿宋" w:cs="仿宋"/>
          <w:iCs/>
          <w:color w:val="000000"/>
          <w:sz w:val="28"/>
          <w:szCs w:val="28"/>
          <w:u w:val="single"/>
        </w:rPr>
        <w:t>项目名称</w:t>
      </w:r>
      <w:r>
        <w:rPr>
          <w:rFonts w:hint="eastAsia" w:ascii="仿宋" w:hAnsi="仿宋" w:eastAsia="仿宋" w:cs="仿宋"/>
          <w:color w:val="000000"/>
          <w:sz w:val="28"/>
          <w:szCs w:val="28"/>
        </w:rPr>
        <w:t>)项目的投标邀请(</w:t>
      </w:r>
      <w:r>
        <w:rPr>
          <w:rFonts w:hint="eastAsia" w:ascii="仿宋" w:hAnsi="仿宋" w:eastAsia="仿宋" w:cs="仿宋"/>
          <w:iCs/>
          <w:color w:val="000000"/>
          <w:sz w:val="28"/>
          <w:szCs w:val="28"/>
          <w:u w:val="single"/>
        </w:rPr>
        <w:t>项目编号</w:t>
      </w:r>
      <w:r>
        <w:rPr>
          <w:rFonts w:hint="eastAsia" w:ascii="仿宋" w:hAnsi="仿宋" w:eastAsia="仿宋" w:cs="仿宋"/>
          <w:color w:val="000000"/>
          <w:sz w:val="28"/>
          <w:szCs w:val="28"/>
        </w:rPr>
        <w:t>),签字代表(</w:t>
      </w:r>
      <w:r>
        <w:rPr>
          <w:rFonts w:hint="eastAsia" w:ascii="仿宋" w:hAnsi="仿宋" w:eastAsia="仿宋" w:cs="仿宋"/>
          <w:iCs/>
          <w:color w:val="000000"/>
          <w:sz w:val="28"/>
          <w:szCs w:val="28"/>
          <w:u w:val="single"/>
        </w:rPr>
        <w:t>姓名、职务</w:t>
      </w:r>
      <w:r>
        <w:rPr>
          <w:rFonts w:hint="eastAsia" w:ascii="仿宋" w:hAnsi="仿宋" w:eastAsia="仿宋" w:cs="仿宋"/>
          <w:color w:val="000000"/>
          <w:sz w:val="28"/>
          <w:szCs w:val="28"/>
        </w:rPr>
        <w:t>)经正式授权并代表投标人（</w:t>
      </w:r>
      <w:r>
        <w:rPr>
          <w:rFonts w:hint="eastAsia" w:ascii="仿宋" w:hAnsi="仿宋" w:eastAsia="仿宋" w:cs="仿宋"/>
          <w:iCs/>
          <w:color w:val="000000"/>
          <w:sz w:val="28"/>
          <w:szCs w:val="28"/>
          <w:u w:val="single"/>
        </w:rPr>
        <w:t>名称、地址</w:t>
      </w:r>
      <w:r>
        <w:rPr>
          <w:rFonts w:hint="eastAsia" w:ascii="仿宋" w:hAnsi="仿宋" w:eastAsia="仿宋" w:cs="仿宋"/>
          <w:color w:val="000000"/>
          <w:sz w:val="28"/>
          <w:szCs w:val="28"/>
        </w:rPr>
        <w:t>）提交下述文件正本</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份、副本</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份及电子文档</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份，并以</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形式出具的金额为人民币</w:t>
      </w:r>
      <w:r>
        <w:rPr>
          <w:rFonts w:hint="eastAsia" w:ascii="仿宋" w:hAnsi="仿宋" w:eastAsia="仿宋" w:cs="仿宋"/>
          <w:color w:val="000000"/>
          <w:sz w:val="28"/>
          <w:szCs w:val="28"/>
          <w:u w:val="single"/>
        </w:rPr>
        <w:t>　　　　</w:t>
      </w:r>
      <w:r>
        <w:rPr>
          <w:rFonts w:hint="eastAsia" w:ascii="仿宋" w:hAnsi="仿宋" w:eastAsia="仿宋" w:cs="仿宋"/>
          <w:color w:val="000000"/>
          <w:sz w:val="28"/>
          <w:szCs w:val="28"/>
        </w:rPr>
        <w:t>元的投标保证金。</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据此，签字代表宣布同意如下：</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（1）本投标有效期为自投标截止之日起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个日历日。</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（2）已详细审查全部招标文件，包括所有补充通知（如果有的话），完全理解并同意放弃对这方面有不明、误解和质疑的权力。</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（3）在规定的开标时间后，遵守招标文件中有关保证金的规定。</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（4）我方不是为本项目提供整体设计、规范编制或者项目管理、监理、检测等服务的供应商，我方不是采购代理机构的附属机构。</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（5）在领取中标通知书的同时按招标文件规定的形式，向贵方一次性支付中标服务费。</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（6）按照贵方可能要求，提供与其投标有关的一切数据或资料，完全理解贵方不一定接受最低价的投标或收到的任何投标。</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（7）按照招标文件的规定履行合同责任和义务。</w:t>
      </w:r>
    </w:p>
    <w:p>
      <w:pPr>
        <w:pStyle w:val="8"/>
        <w:tabs>
          <w:tab w:val="left" w:pos="5580"/>
        </w:tabs>
        <w:ind w:left="142" w:leftChars="68"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与本投标有关的一切正式往来信函请寄：</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传真：</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电子邮箱：</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法定代表人或其委托代理人签字：</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投标人名称（盖章）：</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投标人开户银行（全称）：</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投标人银行账号：</w:t>
      </w:r>
      <w:r>
        <w:rPr>
          <w:rFonts w:hint="eastAsia" w:ascii="仿宋" w:hAnsi="仿宋" w:eastAsia="仿宋" w:cs="仿宋"/>
          <w:color w:val="000000"/>
          <w:sz w:val="28"/>
          <w:szCs w:val="28"/>
          <w:u w:val="single"/>
        </w:rPr>
        <w:t xml:space="preserve">　　　　　　　　 　　             </w:t>
      </w:r>
    </w:p>
    <w:p>
      <w:pPr>
        <w:pStyle w:val="8"/>
        <w:tabs>
          <w:tab w:val="left" w:pos="5580"/>
        </w:tabs>
        <w:ind w:left="539"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bookmarkStart w:id="332" w:name="_Hlt520356243"/>
      <w:bookmarkEnd w:id="332"/>
      <w:bookmarkStart w:id="333" w:name="_Hlt520355938"/>
      <w:bookmarkEnd w:id="333"/>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pPr>
    </w:p>
    <w:p>
      <w:pPr>
        <w:pStyle w:val="8"/>
        <w:tabs>
          <w:tab w:val="left" w:pos="5580"/>
        </w:tabs>
        <w:ind w:left="539" w:leftChars="257" w:firstLine="560" w:firstLineChars="200"/>
        <w:rPr>
          <w:rFonts w:ascii="仿宋" w:hAnsi="仿宋" w:eastAsia="仿宋" w:cs="仿宋"/>
          <w:color w:val="000000"/>
          <w:sz w:val="28"/>
          <w:szCs w:val="28"/>
        </w:rPr>
        <w:sectPr>
          <w:footerReference r:id="rId5" w:type="default"/>
          <w:pgSz w:w="11906" w:h="16838"/>
          <w:pgMar w:top="1440" w:right="1797" w:bottom="1440" w:left="1797" w:header="851" w:footer="992" w:gutter="0"/>
          <w:cols w:space="720" w:num="1"/>
          <w:docGrid w:type="linesAndChars" w:linePitch="312" w:charSpace="0"/>
        </w:sectPr>
      </w:pPr>
    </w:p>
    <w:p>
      <w:pPr>
        <w:pStyle w:val="5"/>
        <w:keepNext w:val="0"/>
        <w:keepLines w:val="0"/>
        <w:spacing w:before="0" w:line="240" w:lineRule="auto"/>
        <w:ind w:left="540" w:leftChars="257" w:firstLine="562" w:firstLineChars="200"/>
        <w:rPr>
          <w:rFonts w:ascii="仿宋" w:hAnsi="仿宋" w:eastAsia="仿宋" w:cs="仿宋"/>
          <w:color w:val="000000"/>
          <w:sz w:val="28"/>
          <w:szCs w:val="28"/>
        </w:rPr>
      </w:pPr>
      <w:bookmarkStart w:id="334" w:name="_Toc216582815"/>
      <w:bookmarkStart w:id="335" w:name="_Toc20897"/>
      <w:bookmarkStart w:id="336" w:name="_Toc515647818"/>
      <w:bookmarkStart w:id="337" w:name="_Toc1881"/>
      <w:bookmarkStart w:id="338" w:name="_Toc522633287"/>
      <w:bookmarkStart w:id="339" w:name="_Toc10388"/>
      <w:bookmarkStart w:id="340" w:name="_Toc12972"/>
      <w:r>
        <w:rPr>
          <w:rFonts w:hint="eastAsia" w:ascii="仿宋" w:hAnsi="仿宋" w:eastAsia="仿宋" w:cs="仿宋"/>
          <w:color w:val="000000"/>
          <w:sz w:val="28"/>
          <w:szCs w:val="28"/>
        </w:rPr>
        <w:t>2．投标分项报价表</w:t>
      </w:r>
      <w:bookmarkEnd w:id="334"/>
      <w:r>
        <w:rPr>
          <w:rFonts w:hint="eastAsia" w:ascii="仿宋" w:hAnsi="仿宋" w:eastAsia="仿宋" w:cs="仿宋"/>
          <w:color w:val="000000"/>
          <w:sz w:val="28"/>
          <w:szCs w:val="28"/>
        </w:rPr>
        <w:t>（投标文件格式五）</w:t>
      </w:r>
      <w:bookmarkEnd w:id="335"/>
      <w:bookmarkEnd w:id="336"/>
      <w:bookmarkEnd w:id="337"/>
      <w:bookmarkEnd w:id="338"/>
      <w:bookmarkEnd w:id="339"/>
      <w:bookmarkEnd w:id="340"/>
    </w:p>
    <w:p>
      <w:pPr>
        <w:pStyle w:val="8"/>
        <w:ind w:left="540" w:leftChars="257" w:firstLine="560" w:firstLineChars="200"/>
        <w:rPr>
          <w:rFonts w:ascii="仿宋" w:hAnsi="仿宋" w:eastAsia="仿宋" w:cs="仿宋"/>
          <w:color w:val="000000"/>
          <w:sz w:val="28"/>
          <w:szCs w:val="28"/>
        </w:rPr>
      </w:pPr>
    </w:p>
    <w:p>
      <w:pPr>
        <w:pStyle w:val="8"/>
        <w:rPr>
          <w:rFonts w:ascii="仿宋" w:hAnsi="仿宋" w:eastAsia="仿宋" w:cs="仿宋"/>
          <w:color w:val="000000"/>
          <w:sz w:val="28"/>
          <w:szCs w:val="28"/>
        </w:rPr>
      </w:pPr>
      <w:r>
        <w:rPr>
          <w:rFonts w:hint="eastAsia" w:ascii="仿宋" w:hAnsi="仿宋" w:eastAsia="仿宋" w:cs="仿宋"/>
          <w:color w:val="000000"/>
          <w:sz w:val="28"/>
          <w:szCs w:val="28"/>
        </w:rPr>
        <w:t>项目名称:                      项目编号:                         包号: 　 　报价单位：人民币万元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05"/>
        <w:gridCol w:w="1984"/>
        <w:gridCol w:w="1226"/>
        <w:gridCol w:w="1050"/>
        <w:gridCol w:w="1509"/>
        <w:gridCol w:w="1177"/>
        <w:gridCol w:w="1717"/>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34"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205" w:type="dxa"/>
            <w:vAlign w:val="center"/>
          </w:tcPr>
          <w:p>
            <w:pPr>
              <w:pStyle w:val="8"/>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货物名称</w:t>
            </w:r>
          </w:p>
        </w:tc>
        <w:tc>
          <w:tcPr>
            <w:tcW w:w="1984"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型号和规格</w:t>
            </w:r>
          </w:p>
        </w:tc>
        <w:tc>
          <w:tcPr>
            <w:tcW w:w="1226"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数量</w:t>
            </w:r>
          </w:p>
        </w:tc>
        <w:tc>
          <w:tcPr>
            <w:tcW w:w="1050"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原产地</w:t>
            </w:r>
          </w:p>
        </w:tc>
        <w:tc>
          <w:tcPr>
            <w:tcW w:w="150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制造商名称</w:t>
            </w:r>
          </w:p>
        </w:tc>
        <w:tc>
          <w:tcPr>
            <w:tcW w:w="1177"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单价</w:t>
            </w:r>
          </w:p>
        </w:tc>
        <w:tc>
          <w:tcPr>
            <w:tcW w:w="1717" w:type="dxa"/>
            <w:vAlign w:val="center"/>
          </w:tcPr>
          <w:p>
            <w:pPr>
              <w:pStyle w:val="8"/>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总价</w:t>
            </w:r>
          </w:p>
        </w:tc>
        <w:tc>
          <w:tcPr>
            <w:tcW w:w="976"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34" w:type="dxa"/>
            <w:vAlign w:val="center"/>
          </w:tcPr>
          <w:p>
            <w:pPr>
              <w:pStyle w:val="8"/>
              <w:ind w:left="269" w:leftChars="128"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205" w:type="dxa"/>
            <w:vAlign w:val="center"/>
          </w:tcPr>
          <w:p>
            <w:pPr>
              <w:pStyle w:val="8"/>
              <w:ind w:firstLine="560" w:firstLineChars="200"/>
              <w:jc w:val="center"/>
              <w:rPr>
                <w:rFonts w:ascii="仿宋" w:hAnsi="仿宋" w:eastAsia="仿宋" w:cs="仿宋"/>
                <w:color w:val="000000"/>
                <w:sz w:val="28"/>
                <w:szCs w:val="28"/>
              </w:rPr>
            </w:pPr>
          </w:p>
        </w:tc>
        <w:tc>
          <w:tcPr>
            <w:tcW w:w="1984" w:type="dxa"/>
            <w:vAlign w:val="center"/>
          </w:tcPr>
          <w:p>
            <w:pPr>
              <w:pStyle w:val="8"/>
              <w:ind w:left="540" w:leftChars="257" w:firstLine="560" w:firstLineChars="200"/>
              <w:jc w:val="center"/>
              <w:rPr>
                <w:rFonts w:ascii="仿宋" w:hAnsi="仿宋" w:eastAsia="仿宋" w:cs="仿宋"/>
                <w:color w:val="000000"/>
                <w:sz w:val="28"/>
                <w:szCs w:val="28"/>
              </w:rPr>
            </w:pPr>
          </w:p>
        </w:tc>
        <w:tc>
          <w:tcPr>
            <w:tcW w:w="1226" w:type="dxa"/>
            <w:vAlign w:val="center"/>
          </w:tcPr>
          <w:p>
            <w:pPr>
              <w:pStyle w:val="8"/>
              <w:ind w:left="540" w:leftChars="257" w:firstLine="560" w:firstLineChars="200"/>
              <w:jc w:val="center"/>
              <w:rPr>
                <w:rFonts w:ascii="仿宋" w:hAnsi="仿宋" w:eastAsia="仿宋" w:cs="仿宋"/>
                <w:color w:val="000000"/>
                <w:sz w:val="28"/>
                <w:szCs w:val="28"/>
              </w:rPr>
            </w:pPr>
          </w:p>
        </w:tc>
        <w:tc>
          <w:tcPr>
            <w:tcW w:w="1050" w:type="dxa"/>
            <w:vAlign w:val="center"/>
          </w:tcPr>
          <w:p>
            <w:pPr>
              <w:pStyle w:val="8"/>
              <w:ind w:left="540" w:leftChars="257" w:firstLine="560" w:firstLineChars="200"/>
              <w:jc w:val="center"/>
              <w:rPr>
                <w:rFonts w:ascii="仿宋" w:hAnsi="仿宋" w:eastAsia="仿宋" w:cs="仿宋"/>
                <w:color w:val="000000"/>
                <w:sz w:val="28"/>
                <w:szCs w:val="28"/>
              </w:rPr>
            </w:pPr>
          </w:p>
        </w:tc>
        <w:tc>
          <w:tcPr>
            <w:tcW w:w="1509" w:type="dxa"/>
            <w:vAlign w:val="center"/>
          </w:tcPr>
          <w:p>
            <w:pPr>
              <w:pStyle w:val="8"/>
              <w:ind w:left="540" w:leftChars="257" w:firstLine="560" w:firstLineChars="200"/>
              <w:jc w:val="center"/>
              <w:rPr>
                <w:rFonts w:ascii="仿宋" w:hAnsi="仿宋" w:eastAsia="仿宋" w:cs="仿宋"/>
                <w:color w:val="000000"/>
                <w:sz w:val="28"/>
                <w:szCs w:val="28"/>
              </w:rPr>
            </w:pPr>
          </w:p>
        </w:tc>
        <w:tc>
          <w:tcPr>
            <w:tcW w:w="1177" w:type="dxa"/>
            <w:vAlign w:val="center"/>
          </w:tcPr>
          <w:p>
            <w:pPr>
              <w:pStyle w:val="8"/>
              <w:ind w:left="540" w:leftChars="257" w:firstLine="560" w:firstLineChars="200"/>
              <w:jc w:val="center"/>
              <w:rPr>
                <w:rFonts w:ascii="仿宋" w:hAnsi="仿宋" w:eastAsia="仿宋" w:cs="仿宋"/>
                <w:color w:val="000000"/>
                <w:sz w:val="28"/>
                <w:szCs w:val="28"/>
              </w:rPr>
            </w:pPr>
          </w:p>
        </w:tc>
        <w:tc>
          <w:tcPr>
            <w:tcW w:w="1717" w:type="dxa"/>
            <w:vAlign w:val="center"/>
          </w:tcPr>
          <w:p>
            <w:pPr>
              <w:pStyle w:val="8"/>
              <w:ind w:left="540" w:leftChars="257" w:firstLine="560" w:firstLineChars="200"/>
              <w:jc w:val="center"/>
              <w:rPr>
                <w:rFonts w:ascii="仿宋" w:hAnsi="仿宋" w:eastAsia="仿宋" w:cs="仿宋"/>
                <w:color w:val="000000"/>
                <w:sz w:val="28"/>
                <w:szCs w:val="28"/>
              </w:rPr>
            </w:pPr>
          </w:p>
        </w:tc>
        <w:tc>
          <w:tcPr>
            <w:tcW w:w="976" w:type="dxa"/>
            <w:vAlign w:val="center"/>
          </w:tcPr>
          <w:p>
            <w:pPr>
              <w:pStyle w:val="8"/>
              <w:ind w:left="540" w:leftChars="257" w:firstLine="560" w:firstLineChars="200"/>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34" w:type="dxa"/>
            <w:vAlign w:val="center"/>
          </w:tcPr>
          <w:p>
            <w:pPr>
              <w:pStyle w:val="8"/>
              <w:ind w:left="269" w:leftChars="128"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205" w:type="dxa"/>
            <w:vAlign w:val="center"/>
          </w:tcPr>
          <w:p>
            <w:pPr>
              <w:pStyle w:val="8"/>
              <w:ind w:firstLine="560" w:firstLineChars="200"/>
              <w:jc w:val="center"/>
              <w:rPr>
                <w:rFonts w:ascii="仿宋" w:hAnsi="仿宋" w:eastAsia="仿宋" w:cs="仿宋"/>
                <w:color w:val="000000"/>
                <w:sz w:val="28"/>
                <w:szCs w:val="28"/>
              </w:rPr>
            </w:pPr>
          </w:p>
        </w:tc>
        <w:tc>
          <w:tcPr>
            <w:tcW w:w="1984" w:type="dxa"/>
            <w:vAlign w:val="center"/>
          </w:tcPr>
          <w:p>
            <w:pPr>
              <w:pStyle w:val="8"/>
              <w:ind w:left="540" w:leftChars="257" w:firstLine="560" w:firstLineChars="200"/>
              <w:jc w:val="center"/>
              <w:rPr>
                <w:rFonts w:ascii="仿宋" w:hAnsi="仿宋" w:eastAsia="仿宋" w:cs="仿宋"/>
                <w:color w:val="000000"/>
                <w:sz w:val="28"/>
                <w:szCs w:val="28"/>
              </w:rPr>
            </w:pPr>
          </w:p>
        </w:tc>
        <w:tc>
          <w:tcPr>
            <w:tcW w:w="1226" w:type="dxa"/>
            <w:vAlign w:val="center"/>
          </w:tcPr>
          <w:p>
            <w:pPr>
              <w:pStyle w:val="8"/>
              <w:ind w:left="540" w:leftChars="257" w:firstLine="560" w:firstLineChars="200"/>
              <w:jc w:val="center"/>
              <w:rPr>
                <w:rFonts w:ascii="仿宋" w:hAnsi="仿宋" w:eastAsia="仿宋" w:cs="仿宋"/>
                <w:color w:val="000000"/>
                <w:sz w:val="28"/>
                <w:szCs w:val="28"/>
              </w:rPr>
            </w:pPr>
          </w:p>
        </w:tc>
        <w:tc>
          <w:tcPr>
            <w:tcW w:w="1050" w:type="dxa"/>
            <w:vAlign w:val="center"/>
          </w:tcPr>
          <w:p>
            <w:pPr>
              <w:pStyle w:val="8"/>
              <w:ind w:left="540" w:leftChars="257" w:firstLine="560" w:firstLineChars="200"/>
              <w:jc w:val="center"/>
              <w:rPr>
                <w:rFonts w:ascii="仿宋" w:hAnsi="仿宋" w:eastAsia="仿宋" w:cs="仿宋"/>
                <w:color w:val="000000"/>
                <w:sz w:val="28"/>
                <w:szCs w:val="28"/>
              </w:rPr>
            </w:pPr>
          </w:p>
        </w:tc>
        <w:tc>
          <w:tcPr>
            <w:tcW w:w="1509" w:type="dxa"/>
            <w:vAlign w:val="center"/>
          </w:tcPr>
          <w:p>
            <w:pPr>
              <w:pStyle w:val="8"/>
              <w:ind w:left="540" w:leftChars="257" w:firstLine="560" w:firstLineChars="200"/>
              <w:jc w:val="center"/>
              <w:rPr>
                <w:rFonts w:ascii="仿宋" w:hAnsi="仿宋" w:eastAsia="仿宋" w:cs="仿宋"/>
                <w:color w:val="000000"/>
                <w:sz w:val="28"/>
                <w:szCs w:val="28"/>
              </w:rPr>
            </w:pPr>
          </w:p>
        </w:tc>
        <w:tc>
          <w:tcPr>
            <w:tcW w:w="1177" w:type="dxa"/>
            <w:vAlign w:val="center"/>
          </w:tcPr>
          <w:p>
            <w:pPr>
              <w:pStyle w:val="8"/>
              <w:ind w:left="540" w:leftChars="257" w:firstLine="560" w:firstLineChars="200"/>
              <w:jc w:val="center"/>
              <w:rPr>
                <w:rFonts w:ascii="仿宋" w:hAnsi="仿宋" w:eastAsia="仿宋" w:cs="仿宋"/>
                <w:color w:val="000000"/>
                <w:sz w:val="28"/>
                <w:szCs w:val="28"/>
              </w:rPr>
            </w:pPr>
          </w:p>
        </w:tc>
        <w:tc>
          <w:tcPr>
            <w:tcW w:w="1717" w:type="dxa"/>
            <w:vAlign w:val="center"/>
          </w:tcPr>
          <w:p>
            <w:pPr>
              <w:pStyle w:val="8"/>
              <w:ind w:left="540" w:leftChars="257" w:firstLine="560" w:firstLineChars="200"/>
              <w:jc w:val="center"/>
              <w:rPr>
                <w:rFonts w:ascii="仿宋" w:hAnsi="仿宋" w:eastAsia="仿宋" w:cs="仿宋"/>
                <w:color w:val="000000"/>
                <w:sz w:val="28"/>
                <w:szCs w:val="28"/>
              </w:rPr>
            </w:pPr>
          </w:p>
        </w:tc>
        <w:tc>
          <w:tcPr>
            <w:tcW w:w="976" w:type="dxa"/>
            <w:vAlign w:val="center"/>
          </w:tcPr>
          <w:p>
            <w:pPr>
              <w:pStyle w:val="8"/>
              <w:ind w:left="540" w:leftChars="257" w:firstLine="560" w:firstLineChars="200"/>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34" w:type="dxa"/>
            <w:vAlign w:val="center"/>
          </w:tcPr>
          <w:p>
            <w:pPr>
              <w:pStyle w:val="8"/>
              <w:ind w:left="269" w:leftChars="128"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205" w:type="dxa"/>
            <w:vAlign w:val="center"/>
          </w:tcPr>
          <w:p>
            <w:pPr>
              <w:pStyle w:val="8"/>
              <w:ind w:firstLine="560" w:firstLineChars="200"/>
              <w:jc w:val="center"/>
              <w:rPr>
                <w:rFonts w:ascii="仿宋" w:hAnsi="仿宋" w:eastAsia="仿宋" w:cs="仿宋"/>
                <w:color w:val="000000"/>
                <w:sz w:val="28"/>
                <w:szCs w:val="28"/>
              </w:rPr>
            </w:pPr>
          </w:p>
        </w:tc>
        <w:tc>
          <w:tcPr>
            <w:tcW w:w="1984" w:type="dxa"/>
            <w:vAlign w:val="center"/>
          </w:tcPr>
          <w:p>
            <w:pPr>
              <w:pStyle w:val="8"/>
              <w:ind w:left="540" w:leftChars="257" w:firstLine="560" w:firstLineChars="200"/>
              <w:jc w:val="center"/>
              <w:rPr>
                <w:rFonts w:ascii="仿宋" w:hAnsi="仿宋" w:eastAsia="仿宋" w:cs="仿宋"/>
                <w:color w:val="000000"/>
                <w:sz w:val="28"/>
                <w:szCs w:val="28"/>
              </w:rPr>
            </w:pPr>
          </w:p>
        </w:tc>
        <w:tc>
          <w:tcPr>
            <w:tcW w:w="1226" w:type="dxa"/>
            <w:vAlign w:val="center"/>
          </w:tcPr>
          <w:p>
            <w:pPr>
              <w:pStyle w:val="8"/>
              <w:ind w:left="540" w:leftChars="257" w:firstLine="560" w:firstLineChars="200"/>
              <w:jc w:val="center"/>
              <w:rPr>
                <w:rFonts w:ascii="仿宋" w:hAnsi="仿宋" w:eastAsia="仿宋" w:cs="仿宋"/>
                <w:color w:val="000000"/>
                <w:sz w:val="28"/>
                <w:szCs w:val="28"/>
              </w:rPr>
            </w:pPr>
          </w:p>
        </w:tc>
        <w:tc>
          <w:tcPr>
            <w:tcW w:w="1050" w:type="dxa"/>
            <w:vAlign w:val="center"/>
          </w:tcPr>
          <w:p>
            <w:pPr>
              <w:pStyle w:val="8"/>
              <w:ind w:left="540" w:leftChars="257" w:firstLine="560" w:firstLineChars="200"/>
              <w:jc w:val="center"/>
              <w:rPr>
                <w:rFonts w:ascii="仿宋" w:hAnsi="仿宋" w:eastAsia="仿宋" w:cs="仿宋"/>
                <w:color w:val="000000"/>
                <w:sz w:val="28"/>
                <w:szCs w:val="28"/>
              </w:rPr>
            </w:pPr>
          </w:p>
        </w:tc>
        <w:tc>
          <w:tcPr>
            <w:tcW w:w="1509" w:type="dxa"/>
            <w:vAlign w:val="center"/>
          </w:tcPr>
          <w:p>
            <w:pPr>
              <w:pStyle w:val="8"/>
              <w:ind w:left="540" w:leftChars="257" w:firstLine="560" w:firstLineChars="200"/>
              <w:jc w:val="center"/>
              <w:rPr>
                <w:rFonts w:ascii="仿宋" w:hAnsi="仿宋" w:eastAsia="仿宋" w:cs="仿宋"/>
                <w:color w:val="000000"/>
                <w:sz w:val="28"/>
                <w:szCs w:val="28"/>
              </w:rPr>
            </w:pPr>
          </w:p>
        </w:tc>
        <w:tc>
          <w:tcPr>
            <w:tcW w:w="1177" w:type="dxa"/>
            <w:vAlign w:val="center"/>
          </w:tcPr>
          <w:p>
            <w:pPr>
              <w:pStyle w:val="8"/>
              <w:ind w:left="540" w:leftChars="257" w:firstLine="560" w:firstLineChars="200"/>
              <w:jc w:val="center"/>
              <w:rPr>
                <w:rFonts w:ascii="仿宋" w:hAnsi="仿宋" w:eastAsia="仿宋" w:cs="仿宋"/>
                <w:color w:val="000000"/>
                <w:sz w:val="28"/>
                <w:szCs w:val="28"/>
              </w:rPr>
            </w:pPr>
          </w:p>
        </w:tc>
        <w:tc>
          <w:tcPr>
            <w:tcW w:w="1717" w:type="dxa"/>
            <w:vAlign w:val="center"/>
          </w:tcPr>
          <w:p>
            <w:pPr>
              <w:pStyle w:val="8"/>
              <w:ind w:left="540" w:leftChars="257" w:firstLine="560" w:firstLineChars="200"/>
              <w:jc w:val="center"/>
              <w:rPr>
                <w:rFonts w:ascii="仿宋" w:hAnsi="仿宋" w:eastAsia="仿宋" w:cs="仿宋"/>
                <w:color w:val="000000"/>
                <w:sz w:val="28"/>
                <w:szCs w:val="28"/>
              </w:rPr>
            </w:pPr>
          </w:p>
        </w:tc>
        <w:tc>
          <w:tcPr>
            <w:tcW w:w="976" w:type="dxa"/>
            <w:vAlign w:val="center"/>
          </w:tcPr>
          <w:p>
            <w:pPr>
              <w:pStyle w:val="8"/>
              <w:ind w:left="540" w:leftChars="257" w:firstLine="560" w:firstLineChars="200"/>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34" w:type="dxa"/>
            <w:vAlign w:val="center"/>
          </w:tcPr>
          <w:p>
            <w:pPr>
              <w:pStyle w:val="8"/>
              <w:ind w:left="269" w:leftChars="128"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205" w:type="dxa"/>
            <w:vAlign w:val="center"/>
          </w:tcPr>
          <w:p>
            <w:pPr>
              <w:pStyle w:val="8"/>
              <w:ind w:firstLine="560" w:firstLineChars="200"/>
              <w:rPr>
                <w:rFonts w:ascii="仿宋" w:hAnsi="仿宋" w:eastAsia="仿宋" w:cs="仿宋"/>
                <w:color w:val="000000"/>
                <w:sz w:val="28"/>
                <w:szCs w:val="28"/>
              </w:rPr>
            </w:pPr>
          </w:p>
        </w:tc>
        <w:tc>
          <w:tcPr>
            <w:tcW w:w="1984" w:type="dxa"/>
            <w:vAlign w:val="center"/>
          </w:tcPr>
          <w:p>
            <w:pPr>
              <w:pStyle w:val="8"/>
              <w:ind w:left="540" w:leftChars="257" w:firstLine="560" w:firstLineChars="200"/>
              <w:jc w:val="center"/>
              <w:rPr>
                <w:rFonts w:ascii="仿宋" w:hAnsi="仿宋" w:eastAsia="仿宋" w:cs="仿宋"/>
                <w:color w:val="000000"/>
                <w:sz w:val="28"/>
                <w:szCs w:val="28"/>
              </w:rPr>
            </w:pPr>
          </w:p>
        </w:tc>
        <w:tc>
          <w:tcPr>
            <w:tcW w:w="1226" w:type="dxa"/>
            <w:vAlign w:val="center"/>
          </w:tcPr>
          <w:p>
            <w:pPr>
              <w:pStyle w:val="8"/>
              <w:ind w:left="540" w:leftChars="257" w:firstLine="560" w:firstLineChars="200"/>
              <w:jc w:val="center"/>
              <w:rPr>
                <w:rFonts w:ascii="仿宋" w:hAnsi="仿宋" w:eastAsia="仿宋" w:cs="仿宋"/>
                <w:color w:val="000000"/>
                <w:sz w:val="28"/>
                <w:szCs w:val="28"/>
              </w:rPr>
            </w:pPr>
          </w:p>
        </w:tc>
        <w:tc>
          <w:tcPr>
            <w:tcW w:w="1050" w:type="dxa"/>
            <w:vAlign w:val="center"/>
          </w:tcPr>
          <w:p>
            <w:pPr>
              <w:pStyle w:val="8"/>
              <w:ind w:left="540" w:leftChars="257" w:firstLine="560" w:firstLineChars="200"/>
              <w:jc w:val="center"/>
              <w:rPr>
                <w:rFonts w:ascii="仿宋" w:hAnsi="仿宋" w:eastAsia="仿宋" w:cs="仿宋"/>
                <w:color w:val="000000"/>
                <w:sz w:val="28"/>
                <w:szCs w:val="28"/>
              </w:rPr>
            </w:pPr>
          </w:p>
        </w:tc>
        <w:tc>
          <w:tcPr>
            <w:tcW w:w="1509" w:type="dxa"/>
            <w:vAlign w:val="center"/>
          </w:tcPr>
          <w:p>
            <w:pPr>
              <w:pStyle w:val="8"/>
              <w:ind w:left="540" w:leftChars="257" w:firstLine="560" w:firstLineChars="200"/>
              <w:jc w:val="center"/>
              <w:rPr>
                <w:rFonts w:ascii="仿宋" w:hAnsi="仿宋" w:eastAsia="仿宋" w:cs="仿宋"/>
                <w:color w:val="000000"/>
                <w:sz w:val="28"/>
                <w:szCs w:val="28"/>
              </w:rPr>
            </w:pPr>
          </w:p>
        </w:tc>
        <w:tc>
          <w:tcPr>
            <w:tcW w:w="1177" w:type="dxa"/>
            <w:vAlign w:val="center"/>
          </w:tcPr>
          <w:p>
            <w:pPr>
              <w:pStyle w:val="8"/>
              <w:ind w:left="540" w:leftChars="257" w:firstLine="560" w:firstLineChars="200"/>
              <w:jc w:val="center"/>
              <w:rPr>
                <w:rFonts w:ascii="仿宋" w:hAnsi="仿宋" w:eastAsia="仿宋" w:cs="仿宋"/>
                <w:color w:val="000000"/>
                <w:sz w:val="28"/>
                <w:szCs w:val="28"/>
              </w:rPr>
            </w:pPr>
          </w:p>
        </w:tc>
        <w:tc>
          <w:tcPr>
            <w:tcW w:w="1717" w:type="dxa"/>
            <w:vAlign w:val="center"/>
          </w:tcPr>
          <w:p>
            <w:pPr>
              <w:pStyle w:val="8"/>
              <w:ind w:left="540" w:leftChars="257" w:firstLine="560" w:firstLineChars="200"/>
              <w:jc w:val="center"/>
              <w:rPr>
                <w:rFonts w:ascii="仿宋" w:hAnsi="仿宋" w:eastAsia="仿宋" w:cs="仿宋"/>
                <w:color w:val="000000"/>
                <w:sz w:val="28"/>
                <w:szCs w:val="28"/>
              </w:rPr>
            </w:pPr>
          </w:p>
        </w:tc>
        <w:tc>
          <w:tcPr>
            <w:tcW w:w="976" w:type="dxa"/>
            <w:vAlign w:val="center"/>
          </w:tcPr>
          <w:p>
            <w:pPr>
              <w:pStyle w:val="8"/>
              <w:ind w:left="540" w:leftChars="257" w:firstLine="560" w:firstLineChars="200"/>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34" w:type="dxa"/>
            <w:vAlign w:val="center"/>
          </w:tcPr>
          <w:p>
            <w:pPr>
              <w:pStyle w:val="8"/>
              <w:ind w:left="269" w:leftChars="128"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2205" w:type="dxa"/>
            <w:vAlign w:val="center"/>
          </w:tcPr>
          <w:p>
            <w:pPr>
              <w:pStyle w:val="8"/>
              <w:ind w:firstLine="560" w:firstLineChars="200"/>
              <w:rPr>
                <w:rFonts w:ascii="仿宋" w:hAnsi="仿宋" w:eastAsia="仿宋" w:cs="仿宋"/>
                <w:color w:val="000000"/>
                <w:sz w:val="28"/>
                <w:szCs w:val="28"/>
              </w:rPr>
            </w:pPr>
          </w:p>
        </w:tc>
        <w:tc>
          <w:tcPr>
            <w:tcW w:w="1984" w:type="dxa"/>
            <w:vAlign w:val="center"/>
          </w:tcPr>
          <w:p>
            <w:pPr>
              <w:pStyle w:val="8"/>
              <w:ind w:left="540" w:leftChars="257" w:firstLine="560" w:firstLineChars="200"/>
              <w:jc w:val="center"/>
              <w:rPr>
                <w:rFonts w:ascii="仿宋" w:hAnsi="仿宋" w:eastAsia="仿宋" w:cs="仿宋"/>
                <w:color w:val="000000"/>
                <w:sz w:val="28"/>
                <w:szCs w:val="28"/>
              </w:rPr>
            </w:pPr>
          </w:p>
        </w:tc>
        <w:tc>
          <w:tcPr>
            <w:tcW w:w="1226" w:type="dxa"/>
            <w:vAlign w:val="center"/>
          </w:tcPr>
          <w:p>
            <w:pPr>
              <w:pStyle w:val="8"/>
              <w:ind w:left="540" w:leftChars="257" w:firstLine="560" w:firstLineChars="200"/>
              <w:jc w:val="center"/>
              <w:rPr>
                <w:rFonts w:ascii="仿宋" w:hAnsi="仿宋" w:eastAsia="仿宋" w:cs="仿宋"/>
                <w:color w:val="000000"/>
                <w:sz w:val="28"/>
                <w:szCs w:val="28"/>
              </w:rPr>
            </w:pPr>
          </w:p>
        </w:tc>
        <w:tc>
          <w:tcPr>
            <w:tcW w:w="1050" w:type="dxa"/>
            <w:vAlign w:val="center"/>
          </w:tcPr>
          <w:p>
            <w:pPr>
              <w:pStyle w:val="8"/>
              <w:ind w:left="540" w:leftChars="257" w:firstLine="560" w:firstLineChars="200"/>
              <w:jc w:val="center"/>
              <w:rPr>
                <w:rFonts w:ascii="仿宋" w:hAnsi="仿宋" w:eastAsia="仿宋" w:cs="仿宋"/>
                <w:color w:val="000000"/>
                <w:sz w:val="28"/>
                <w:szCs w:val="28"/>
              </w:rPr>
            </w:pPr>
          </w:p>
        </w:tc>
        <w:tc>
          <w:tcPr>
            <w:tcW w:w="1509" w:type="dxa"/>
            <w:vAlign w:val="center"/>
          </w:tcPr>
          <w:p>
            <w:pPr>
              <w:pStyle w:val="8"/>
              <w:ind w:left="540" w:leftChars="257" w:firstLine="560" w:firstLineChars="200"/>
              <w:jc w:val="center"/>
              <w:rPr>
                <w:rFonts w:ascii="仿宋" w:hAnsi="仿宋" w:eastAsia="仿宋" w:cs="仿宋"/>
                <w:color w:val="000000"/>
                <w:sz w:val="28"/>
                <w:szCs w:val="28"/>
              </w:rPr>
            </w:pPr>
          </w:p>
        </w:tc>
        <w:tc>
          <w:tcPr>
            <w:tcW w:w="1177" w:type="dxa"/>
            <w:vAlign w:val="center"/>
          </w:tcPr>
          <w:p>
            <w:pPr>
              <w:pStyle w:val="8"/>
              <w:ind w:left="540" w:leftChars="257" w:firstLine="560" w:firstLineChars="200"/>
              <w:jc w:val="center"/>
              <w:rPr>
                <w:rFonts w:ascii="仿宋" w:hAnsi="仿宋" w:eastAsia="仿宋" w:cs="仿宋"/>
                <w:color w:val="000000"/>
                <w:sz w:val="28"/>
                <w:szCs w:val="28"/>
              </w:rPr>
            </w:pPr>
          </w:p>
        </w:tc>
        <w:tc>
          <w:tcPr>
            <w:tcW w:w="1717" w:type="dxa"/>
            <w:vAlign w:val="center"/>
          </w:tcPr>
          <w:p>
            <w:pPr>
              <w:pStyle w:val="8"/>
              <w:ind w:left="540" w:leftChars="257" w:firstLine="560" w:firstLineChars="200"/>
              <w:jc w:val="center"/>
              <w:rPr>
                <w:rFonts w:ascii="仿宋" w:hAnsi="仿宋" w:eastAsia="仿宋" w:cs="仿宋"/>
                <w:color w:val="000000"/>
                <w:sz w:val="28"/>
                <w:szCs w:val="28"/>
              </w:rPr>
            </w:pPr>
          </w:p>
        </w:tc>
        <w:tc>
          <w:tcPr>
            <w:tcW w:w="976" w:type="dxa"/>
            <w:vAlign w:val="center"/>
          </w:tcPr>
          <w:p>
            <w:pPr>
              <w:pStyle w:val="8"/>
              <w:ind w:left="540" w:leftChars="257" w:firstLine="560" w:firstLineChars="200"/>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34" w:type="dxa"/>
            <w:vAlign w:val="center"/>
          </w:tcPr>
          <w:p>
            <w:pPr>
              <w:pStyle w:val="8"/>
              <w:ind w:left="269" w:leftChars="128"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2205" w:type="dxa"/>
            <w:vAlign w:val="center"/>
          </w:tcPr>
          <w:p>
            <w:pPr>
              <w:pStyle w:val="8"/>
              <w:ind w:firstLine="560" w:firstLineChars="200"/>
              <w:jc w:val="center"/>
              <w:rPr>
                <w:rFonts w:ascii="仿宋" w:hAnsi="仿宋" w:eastAsia="仿宋" w:cs="仿宋"/>
                <w:color w:val="000000"/>
                <w:sz w:val="28"/>
                <w:szCs w:val="28"/>
              </w:rPr>
            </w:pPr>
          </w:p>
        </w:tc>
        <w:tc>
          <w:tcPr>
            <w:tcW w:w="1984" w:type="dxa"/>
            <w:vAlign w:val="center"/>
          </w:tcPr>
          <w:p>
            <w:pPr>
              <w:pStyle w:val="8"/>
              <w:ind w:left="540" w:leftChars="257" w:firstLine="560" w:firstLineChars="200"/>
              <w:jc w:val="center"/>
              <w:rPr>
                <w:rFonts w:ascii="仿宋" w:hAnsi="仿宋" w:eastAsia="仿宋" w:cs="仿宋"/>
                <w:color w:val="000000"/>
                <w:sz w:val="28"/>
                <w:szCs w:val="28"/>
              </w:rPr>
            </w:pPr>
          </w:p>
        </w:tc>
        <w:tc>
          <w:tcPr>
            <w:tcW w:w="1226" w:type="dxa"/>
            <w:vAlign w:val="center"/>
          </w:tcPr>
          <w:p>
            <w:pPr>
              <w:pStyle w:val="8"/>
              <w:ind w:left="540" w:leftChars="257" w:firstLine="560" w:firstLineChars="200"/>
              <w:jc w:val="center"/>
              <w:rPr>
                <w:rFonts w:ascii="仿宋" w:hAnsi="仿宋" w:eastAsia="仿宋" w:cs="仿宋"/>
                <w:color w:val="000000"/>
                <w:sz w:val="28"/>
                <w:szCs w:val="28"/>
              </w:rPr>
            </w:pPr>
          </w:p>
        </w:tc>
        <w:tc>
          <w:tcPr>
            <w:tcW w:w="1050" w:type="dxa"/>
            <w:vAlign w:val="center"/>
          </w:tcPr>
          <w:p>
            <w:pPr>
              <w:pStyle w:val="8"/>
              <w:ind w:left="540" w:leftChars="257" w:firstLine="560" w:firstLineChars="200"/>
              <w:jc w:val="center"/>
              <w:rPr>
                <w:rFonts w:ascii="仿宋" w:hAnsi="仿宋" w:eastAsia="仿宋" w:cs="仿宋"/>
                <w:color w:val="000000"/>
                <w:sz w:val="28"/>
                <w:szCs w:val="28"/>
              </w:rPr>
            </w:pPr>
          </w:p>
        </w:tc>
        <w:tc>
          <w:tcPr>
            <w:tcW w:w="1509" w:type="dxa"/>
            <w:vAlign w:val="center"/>
          </w:tcPr>
          <w:p>
            <w:pPr>
              <w:pStyle w:val="8"/>
              <w:ind w:left="540" w:leftChars="257" w:firstLine="560" w:firstLineChars="200"/>
              <w:jc w:val="center"/>
              <w:rPr>
                <w:rFonts w:ascii="仿宋" w:hAnsi="仿宋" w:eastAsia="仿宋" w:cs="仿宋"/>
                <w:color w:val="000000"/>
                <w:sz w:val="28"/>
                <w:szCs w:val="28"/>
              </w:rPr>
            </w:pPr>
          </w:p>
        </w:tc>
        <w:tc>
          <w:tcPr>
            <w:tcW w:w="1177" w:type="dxa"/>
            <w:vAlign w:val="center"/>
          </w:tcPr>
          <w:p>
            <w:pPr>
              <w:pStyle w:val="8"/>
              <w:ind w:left="540" w:leftChars="257" w:firstLine="560" w:firstLineChars="200"/>
              <w:jc w:val="center"/>
              <w:rPr>
                <w:rFonts w:ascii="仿宋" w:hAnsi="仿宋" w:eastAsia="仿宋" w:cs="仿宋"/>
                <w:color w:val="000000"/>
                <w:sz w:val="28"/>
                <w:szCs w:val="28"/>
              </w:rPr>
            </w:pPr>
          </w:p>
        </w:tc>
        <w:tc>
          <w:tcPr>
            <w:tcW w:w="1717" w:type="dxa"/>
            <w:vAlign w:val="center"/>
          </w:tcPr>
          <w:p>
            <w:pPr>
              <w:pStyle w:val="8"/>
              <w:ind w:left="540" w:leftChars="257" w:firstLine="560" w:firstLineChars="200"/>
              <w:jc w:val="center"/>
              <w:rPr>
                <w:rFonts w:ascii="仿宋" w:hAnsi="仿宋" w:eastAsia="仿宋" w:cs="仿宋"/>
                <w:color w:val="000000"/>
                <w:sz w:val="28"/>
                <w:szCs w:val="28"/>
              </w:rPr>
            </w:pPr>
          </w:p>
        </w:tc>
        <w:tc>
          <w:tcPr>
            <w:tcW w:w="976" w:type="dxa"/>
            <w:vAlign w:val="center"/>
          </w:tcPr>
          <w:p>
            <w:pPr>
              <w:pStyle w:val="8"/>
              <w:ind w:left="540" w:leftChars="257" w:firstLine="560" w:firstLineChars="200"/>
              <w:jc w:val="center"/>
              <w:rPr>
                <w:rFonts w:ascii="仿宋" w:hAnsi="仿宋" w:eastAsia="仿宋" w:cs="仿宋"/>
                <w:color w:val="000000"/>
                <w:sz w:val="28"/>
                <w:szCs w:val="28"/>
              </w:rPr>
            </w:pPr>
          </w:p>
        </w:tc>
      </w:tr>
    </w:tbl>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法定代表人或其委托代理人签字: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投标人(盖单位章):</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2. 此表按照“投标人须知-11.投标报价”要求填报。</w:t>
      </w: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3.如果开标一览表（报价表）内容与投标文件中明细表内容不一致的，以开标一览表（报价表）内容为准。</w:t>
      </w:r>
    </w:p>
    <w:p>
      <w:pPr>
        <w:pStyle w:val="8"/>
        <w:ind w:left="899" w:leftChars="428"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4.此表按照项目设备清单依次填报</w:t>
      </w:r>
      <w:r>
        <w:rPr>
          <w:rFonts w:hint="eastAsia" w:ascii="仿宋" w:hAnsi="仿宋" w:eastAsia="仿宋" w:cs="仿宋"/>
          <w:color w:val="000000"/>
          <w:sz w:val="28"/>
          <w:szCs w:val="28"/>
        </w:rPr>
        <w:t>（行数不够时自行扩展）</w:t>
      </w:r>
      <w:r>
        <w:rPr>
          <w:rFonts w:hint="eastAsia" w:ascii="仿宋" w:hAnsi="仿宋" w:eastAsia="仿宋" w:cs="仿宋"/>
          <w:b/>
          <w:color w:val="000000"/>
          <w:sz w:val="28"/>
          <w:szCs w:val="28"/>
        </w:rPr>
        <w:t>，不可增减项，否则按照无效投标处理；</w:t>
      </w: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br w:type="page"/>
      </w:r>
    </w:p>
    <w:p>
      <w:pPr>
        <w:pStyle w:val="5"/>
        <w:keepNext w:val="0"/>
        <w:keepLines w:val="0"/>
        <w:spacing w:before="0" w:line="240" w:lineRule="auto"/>
        <w:ind w:left="540" w:leftChars="257" w:firstLine="562" w:firstLineChars="200"/>
        <w:rPr>
          <w:rFonts w:ascii="仿宋" w:hAnsi="仿宋" w:eastAsia="仿宋" w:cs="仿宋"/>
          <w:color w:val="000000"/>
          <w:sz w:val="28"/>
          <w:szCs w:val="28"/>
        </w:rPr>
      </w:pPr>
      <w:bookmarkStart w:id="341" w:name="_Toc216582816"/>
      <w:bookmarkStart w:id="342" w:name="_Toc515647819"/>
      <w:bookmarkStart w:id="343" w:name="_Toc18267"/>
      <w:bookmarkStart w:id="344" w:name="_Toc32398"/>
      <w:bookmarkStart w:id="345" w:name="_Toc522633288"/>
      <w:bookmarkStart w:id="346" w:name="_Toc14037"/>
      <w:bookmarkStart w:id="347" w:name="_Toc4649"/>
      <w:r>
        <w:rPr>
          <w:rFonts w:hint="eastAsia" w:ascii="仿宋" w:hAnsi="仿宋" w:eastAsia="仿宋" w:cs="仿宋"/>
          <w:color w:val="000000"/>
          <w:sz w:val="28"/>
          <w:szCs w:val="28"/>
        </w:rPr>
        <w:t>4   货物说明一览表</w:t>
      </w:r>
      <w:bookmarkEnd w:id="341"/>
      <w:r>
        <w:rPr>
          <w:rFonts w:hint="eastAsia" w:ascii="仿宋" w:hAnsi="仿宋" w:eastAsia="仿宋" w:cs="仿宋"/>
          <w:color w:val="000000"/>
          <w:sz w:val="28"/>
          <w:szCs w:val="28"/>
        </w:rPr>
        <w:t>（投标文件格式六）</w:t>
      </w:r>
      <w:bookmarkEnd w:id="342"/>
      <w:bookmarkEnd w:id="343"/>
      <w:bookmarkEnd w:id="344"/>
      <w:bookmarkEnd w:id="345"/>
      <w:bookmarkEnd w:id="346"/>
      <w:bookmarkEnd w:id="347"/>
    </w:p>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项目名称:                                    项目编号:                          </w:t>
      </w:r>
    </w:p>
    <w:p>
      <w:pPr>
        <w:pStyle w:val="8"/>
        <w:ind w:left="540" w:leftChars="257" w:firstLine="560" w:firstLineChars="200"/>
        <w:rPr>
          <w:rFonts w:ascii="仿宋" w:hAnsi="仿宋" w:eastAsia="仿宋" w:cs="仿宋"/>
          <w:color w:val="000000"/>
          <w:sz w:val="28"/>
          <w:szCs w:val="28"/>
        </w:rPr>
      </w:pPr>
    </w:p>
    <w:tbl>
      <w:tblPr>
        <w:tblStyle w:val="1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1980" w:type="dxa"/>
          </w:tcPr>
          <w:p>
            <w:pPr>
              <w:pStyle w:val="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货物名称</w:t>
            </w:r>
          </w:p>
        </w:tc>
        <w:tc>
          <w:tcPr>
            <w:tcW w:w="1800" w:type="dxa"/>
          </w:tcPr>
          <w:p>
            <w:pPr>
              <w:pStyle w:val="8"/>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主要规格</w:t>
            </w:r>
          </w:p>
        </w:tc>
        <w:tc>
          <w:tcPr>
            <w:tcW w:w="1620" w:type="dxa"/>
          </w:tcPr>
          <w:p>
            <w:pPr>
              <w:pStyle w:val="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数量</w:t>
            </w:r>
          </w:p>
        </w:tc>
        <w:tc>
          <w:tcPr>
            <w:tcW w:w="1980" w:type="dxa"/>
          </w:tcPr>
          <w:p>
            <w:pPr>
              <w:pStyle w:val="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交货期</w:t>
            </w:r>
          </w:p>
        </w:tc>
        <w:tc>
          <w:tcPr>
            <w:tcW w:w="2160" w:type="dxa"/>
          </w:tcPr>
          <w:p>
            <w:pPr>
              <w:pStyle w:val="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交货地点</w:t>
            </w:r>
          </w:p>
        </w:tc>
        <w:tc>
          <w:tcPr>
            <w:tcW w:w="1980" w:type="dxa"/>
          </w:tcPr>
          <w:p>
            <w:pPr>
              <w:pStyle w:val="8"/>
              <w:ind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1800" w:type="dxa"/>
          </w:tcPr>
          <w:p>
            <w:pPr>
              <w:pStyle w:val="8"/>
              <w:ind w:left="540" w:leftChars="257" w:firstLine="560" w:firstLineChars="200"/>
              <w:rPr>
                <w:rFonts w:ascii="仿宋" w:hAnsi="仿宋" w:eastAsia="仿宋" w:cs="仿宋"/>
                <w:color w:val="000000"/>
                <w:sz w:val="28"/>
                <w:szCs w:val="28"/>
              </w:rPr>
            </w:pPr>
          </w:p>
        </w:tc>
        <w:tc>
          <w:tcPr>
            <w:tcW w:w="162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c>
          <w:tcPr>
            <w:tcW w:w="2160" w:type="dxa"/>
          </w:tcPr>
          <w:p>
            <w:pPr>
              <w:pStyle w:val="8"/>
              <w:ind w:left="540" w:leftChars="257" w:firstLine="560" w:firstLineChars="200"/>
              <w:rPr>
                <w:rFonts w:ascii="仿宋" w:hAnsi="仿宋" w:eastAsia="仿宋" w:cs="仿宋"/>
                <w:color w:val="000000"/>
                <w:sz w:val="28"/>
                <w:szCs w:val="28"/>
              </w:rPr>
            </w:pPr>
          </w:p>
        </w:tc>
        <w:tc>
          <w:tcPr>
            <w:tcW w:w="1980" w:type="dxa"/>
          </w:tcPr>
          <w:p>
            <w:pPr>
              <w:pStyle w:val="8"/>
              <w:ind w:left="540" w:leftChars="257" w:firstLine="560" w:firstLineChars="200"/>
              <w:rPr>
                <w:rFonts w:ascii="仿宋" w:hAnsi="仿宋" w:eastAsia="仿宋" w:cs="仿宋"/>
                <w:color w:val="000000"/>
                <w:sz w:val="28"/>
                <w:szCs w:val="28"/>
              </w:rPr>
            </w:pPr>
          </w:p>
        </w:tc>
      </w:tr>
    </w:tbl>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法定代表人或其委托代理人签字: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投标人(盖单位章):</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注：1.“主要规格”按照投标人须知-10的条款要求填写，并提交相应证明资料。</w:t>
      </w:r>
    </w:p>
    <w:p>
      <w:pPr>
        <w:pStyle w:val="8"/>
        <w:ind w:left="540" w:leftChars="257"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2.规格和参数如实填写，不可复制粘贴货物需求一览表中的技术规格，否则按照无效投标处理。</w:t>
      </w:r>
    </w:p>
    <w:p>
      <w:pPr>
        <w:pStyle w:val="8"/>
        <w:ind w:left="540" w:leftChars="257" w:firstLine="560" w:firstLineChars="200"/>
        <w:jc w:val="center"/>
        <w:rPr>
          <w:rFonts w:ascii="仿宋" w:hAnsi="仿宋" w:eastAsia="仿宋" w:cs="仿宋"/>
          <w:color w:val="000000"/>
          <w:sz w:val="28"/>
          <w:szCs w:val="28"/>
        </w:rPr>
      </w:pPr>
    </w:p>
    <w:p>
      <w:pPr>
        <w:pStyle w:val="8"/>
        <w:ind w:left="540" w:leftChars="257" w:firstLine="560" w:firstLineChars="200"/>
        <w:jc w:val="center"/>
        <w:rPr>
          <w:rFonts w:ascii="仿宋" w:hAnsi="仿宋" w:eastAsia="仿宋" w:cs="仿宋"/>
          <w:color w:val="000000"/>
          <w:sz w:val="28"/>
          <w:szCs w:val="28"/>
        </w:rPr>
        <w:sectPr>
          <w:pgSz w:w="16838" w:h="11906" w:orient="landscape"/>
          <w:pgMar w:top="1797" w:right="1440" w:bottom="1797" w:left="1440" w:header="851" w:footer="992" w:gutter="0"/>
          <w:cols w:space="720" w:num="1"/>
          <w:docGrid w:linePitch="312" w:charSpace="0"/>
        </w:sectPr>
      </w:pPr>
    </w:p>
    <w:p>
      <w:pPr>
        <w:pStyle w:val="5"/>
        <w:keepNext w:val="0"/>
        <w:keepLines w:val="0"/>
        <w:spacing w:before="0" w:line="240" w:lineRule="auto"/>
        <w:ind w:left="540" w:leftChars="257" w:firstLine="562" w:firstLineChars="200"/>
        <w:rPr>
          <w:rFonts w:ascii="仿宋" w:hAnsi="仿宋" w:eastAsia="仿宋" w:cs="仿宋"/>
          <w:color w:val="000000"/>
          <w:sz w:val="28"/>
          <w:szCs w:val="28"/>
        </w:rPr>
      </w:pPr>
      <w:bookmarkStart w:id="348" w:name="_Toc216582817"/>
      <w:bookmarkStart w:id="349" w:name="_Toc17312"/>
      <w:bookmarkStart w:id="350" w:name="_Toc522633289"/>
      <w:bookmarkStart w:id="351" w:name="_Toc29780"/>
      <w:bookmarkStart w:id="352" w:name="_Toc28959"/>
      <w:bookmarkStart w:id="353" w:name="_Toc22563"/>
      <w:bookmarkStart w:id="354" w:name="_Toc515647820"/>
      <w:r>
        <w:rPr>
          <w:rFonts w:hint="eastAsia" w:ascii="仿宋" w:hAnsi="仿宋" w:eastAsia="仿宋" w:cs="仿宋"/>
          <w:color w:val="000000"/>
          <w:sz w:val="28"/>
          <w:szCs w:val="28"/>
        </w:rPr>
        <w:t>5   技术规格偏离表</w:t>
      </w:r>
      <w:bookmarkEnd w:id="348"/>
      <w:r>
        <w:rPr>
          <w:rFonts w:hint="eastAsia" w:ascii="仿宋" w:hAnsi="仿宋" w:eastAsia="仿宋" w:cs="仿宋"/>
          <w:color w:val="000000"/>
          <w:sz w:val="28"/>
          <w:szCs w:val="28"/>
        </w:rPr>
        <w:t>（投标文件格式七）</w:t>
      </w:r>
      <w:bookmarkEnd w:id="349"/>
      <w:bookmarkEnd w:id="350"/>
      <w:bookmarkEnd w:id="351"/>
      <w:bookmarkEnd w:id="352"/>
      <w:bookmarkEnd w:id="353"/>
      <w:bookmarkEnd w:id="354"/>
    </w:p>
    <w:p>
      <w:pPr>
        <w:pStyle w:val="8"/>
        <w:ind w:left="540" w:leftChars="257" w:firstLine="560" w:firstLineChars="200"/>
        <w:jc w:val="center"/>
        <w:rPr>
          <w:rFonts w:ascii="仿宋" w:hAnsi="仿宋" w:eastAsia="仿宋" w:cs="仿宋"/>
          <w:color w:val="000000"/>
          <w:sz w:val="28"/>
          <w:szCs w:val="28"/>
        </w:rPr>
      </w:pPr>
    </w:p>
    <w:p>
      <w:pPr>
        <w:pStyle w:val="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项目名称:                                                         项目编号:</w:t>
      </w:r>
    </w:p>
    <w:p>
      <w:pPr>
        <w:pStyle w:val="8"/>
        <w:ind w:left="540" w:leftChars="257" w:firstLine="560" w:firstLineChars="200"/>
        <w:jc w:val="center"/>
        <w:rPr>
          <w:rFonts w:ascii="仿宋" w:hAnsi="仿宋" w:eastAsia="仿宋" w:cs="仿宋"/>
          <w:color w:val="000000"/>
          <w:sz w:val="28"/>
          <w:szCs w:val="28"/>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985"/>
        <w:gridCol w:w="2835"/>
        <w:gridCol w:w="2977"/>
        <w:gridCol w:w="184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80"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1985"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货物名称（项）</w:t>
            </w:r>
          </w:p>
        </w:tc>
        <w:tc>
          <w:tcPr>
            <w:tcW w:w="2835" w:type="dxa"/>
            <w:vAlign w:val="center"/>
          </w:tcPr>
          <w:p>
            <w:pPr>
              <w:pStyle w:val="8"/>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招标规格</w:t>
            </w:r>
          </w:p>
        </w:tc>
        <w:tc>
          <w:tcPr>
            <w:tcW w:w="2977" w:type="dxa"/>
            <w:vAlign w:val="center"/>
          </w:tcPr>
          <w:p>
            <w:pPr>
              <w:pStyle w:val="8"/>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投标规格</w:t>
            </w:r>
          </w:p>
        </w:tc>
        <w:tc>
          <w:tcPr>
            <w:tcW w:w="1842"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偏离情况</w:t>
            </w:r>
          </w:p>
        </w:tc>
        <w:tc>
          <w:tcPr>
            <w:tcW w:w="1696" w:type="dxa"/>
            <w:vAlign w:val="center"/>
          </w:tcPr>
          <w:p>
            <w:pPr>
              <w:pStyle w:val="8"/>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80" w:type="dxa"/>
          </w:tcPr>
          <w:p>
            <w:pPr>
              <w:pStyle w:val="8"/>
              <w:ind w:left="540" w:leftChars="257" w:firstLine="560" w:firstLineChars="200"/>
              <w:rPr>
                <w:rFonts w:ascii="仿宋" w:hAnsi="仿宋" w:eastAsia="仿宋" w:cs="仿宋"/>
                <w:color w:val="000000"/>
                <w:sz w:val="28"/>
                <w:szCs w:val="28"/>
              </w:rPr>
            </w:pPr>
          </w:p>
        </w:tc>
        <w:tc>
          <w:tcPr>
            <w:tcW w:w="1985" w:type="dxa"/>
          </w:tcPr>
          <w:p>
            <w:pPr>
              <w:pStyle w:val="8"/>
              <w:ind w:left="540" w:leftChars="257" w:firstLine="560" w:firstLineChars="200"/>
              <w:rPr>
                <w:rFonts w:ascii="仿宋" w:hAnsi="仿宋" w:eastAsia="仿宋" w:cs="仿宋"/>
                <w:color w:val="000000"/>
                <w:sz w:val="28"/>
                <w:szCs w:val="28"/>
              </w:rPr>
            </w:pPr>
          </w:p>
        </w:tc>
        <w:tc>
          <w:tcPr>
            <w:tcW w:w="2835" w:type="dxa"/>
          </w:tcPr>
          <w:p>
            <w:pPr>
              <w:pStyle w:val="8"/>
              <w:ind w:left="540" w:leftChars="257" w:firstLine="560" w:firstLineChars="200"/>
              <w:rPr>
                <w:rFonts w:ascii="仿宋" w:hAnsi="仿宋" w:eastAsia="仿宋" w:cs="仿宋"/>
                <w:color w:val="000000"/>
                <w:sz w:val="28"/>
                <w:szCs w:val="28"/>
              </w:rPr>
            </w:pPr>
          </w:p>
        </w:tc>
        <w:tc>
          <w:tcPr>
            <w:tcW w:w="2977" w:type="dxa"/>
          </w:tcPr>
          <w:p>
            <w:pPr>
              <w:pStyle w:val="8"/>
              <w:ind w:left="540" w:leftChars="257" w:firstLine="560" w:firstLineChars="200"/>
              <w:rPr>
                <w:rFonts w:ascii="仿宋" w:hAnsi="仿宋" w:eastAsia="仿宋" w:cs="仿宋"/>
                <w:color w:val="000000"/>
                <w:sz w:val="28"/>
                <w:szCs w:val="28"/>
              </w:rPr>
            </w:pPr>
          </w:p>
        </w:tc>
        <w:tc>
          <w:tcPr>
            <w:tcW w:w="1842" w:type="dxa"/>
          </w:tcPr>
          <w:p>
            <w:pPr>
              <w:pStyle w:val="8"/>
              <w:ind w:left="540" w:leftChars="257" w:firstLine="560" w:firstLineChars="200"/>
              <w:rPr>
                <w:rFonts w:ascii="仿宋" w:hAnsi="仿宋" w:eastAsia="仿宋" w:cs="仿宋"/>
                <w:color w:val="000000"/>
                <w:sz w:val="28"/>
                <w:szCs w:val="28"/>
              </w:rPr>
            </w:pPr>
          </w:p>
        </w:tc>
        <w:tc>
          <w:tcPr>
            <w:tcW w:w="1696"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80" w:type="dxa"/>
          </w:tcPr>
          <w:p>
            <w:pPr>
              <w:pStyle w:val="8"/>
              <w:ind w:left="540" w:leftChars="257" w:firstLine="560" w:firstLineChars="200"/>
              <w:rPr>
                <w:rFonts w:ascii="仿宋" w:hAnsi="仿宋" w:eastAsia="仿宋" w:cs="仿宋"/>
                <w:color w:val="000000"/>
                <w:sz w:val="28"/>
                <w:szCs w:val="28"/>
              </w:rPr>
            </w:pPr>
          </w:p>
        </w:tc>
        <w:tc>
          <w:tcPr>
            <w:tcW w:w="1985" w:type="dxa"/>
          </w:tcPr>
          <w:p>
            <w:pPr>
              <w:pStyle w:val="8"/>
              <w:ind w:left="540" w:leftChars="257" w:firstLine="560" w:firstLineChars="200"/>
              <w:rPr>
                <w:rFonts w:ascii="仿宋" w:hAnsi="仿宋" w:eastAsia="仿宋" w:cs="仿宋"/>
                <w:color w:val="000000"/>
                <w:sz w:val="28"/>
                <w:szCs w:val="28"/>
              </w:rPr>
            </w:pPr>
          </w:p>
        </w:tc>
        <w:tc>
          <w:tcPr>
            <w:tcW w:w="2835" w:type="dxa"/>
          </w:tcPr>
          <w:p>
            <w:pPr>
              <w:pStyle w:val="8"/>
              <w:ind w:left="540" w:leftChars="257" w:firstLine="560" w:firstLineChars="200"/>
              <w:rPr>
                <w:rFonts w:ascii="仿宋" w:hAnsi="仿宋" w:eastAsia="仿宋" w:cs="仿宋"/>
                <w:color w:val="000000"/>
                <w:sz w:val="28"/>
                <w:szCs w:val="28"/>
              </w:rPr>
            </w:pPr>
          </w:p>
        </w:tc>
        <w:tc>
          <w:tcPr>
            <w:tcW w:w="2977" w:type="dxa"/>
          </w:tcPr>
          <w:p>
            <w:pPr>
              <w:pStyle w:val="8"/>
              <w:ind w:left="540" w:leftChars="257" w:firstLine="560" w:firstLineChars="200"/>
              <w:rPr>
                <w:rFonts w:ascii="仿宋" w:hAnsi="仿宋" w:eastAsia="仿宋" w:cs="仿宋"/>
                <w:color w:val="000000"/>
                <w:sz w:val="28"/>
                <w:szCs w:val="28"/>
              </w:rPr>
            </w:pPr>
          </w:p>
        </w:tc>
        <w:tc>
          <w:tcPr>
            <w:tcW w:w="1842" w:type="dxa"/>
          </w:tcPr>
          <w:p>
            <w:pPr>
              <w:pStyle w:val="8"/>
              <w:ind w:left="540" w:leftChars="257" w:firstLine="560" w:firstLineChars="200"/>
              <w:rPr>
                <w:rFonts w:ascii="仿宋" w:hAnsi="仿宋" w:eastAsia="仿宋" w:cs="仿宋"/>
                <w:color w:val="000000"/>
                <w:sz w:val="28"/>
                <w:szCs w:val="28"/>
              </w:rPr>
            </w:pPr>
          </w:p>
        </w:tc>
        <w:tc>
          <w:tcPr>
            <w:tcW w:w="1696"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80" w:type="dxa"/>
          </w:tcPr>
          <w:p>
            <w:pPr>
              <w:pStyle w:val="8"/>
              <w:ind w:left="540" w:leftChars="257" w:firstLine="560" w:firstLineChars="200"/>
              <w:rPr>
                <w:rFonts w:ascii="仿宋" w:hAnsi="仿宋" w:eastAsia="仿宋" w:cs="仿宋"/>
                <w:color w:val="000000"/>
                <w:sz w:val="28"/>
                <w:szCs w:val="28"/>
              </w:rPr>
            </w:pPr>
          </w:p>
        </w:tc>
        <w:tc>
          <w:tcPr>
            <w:tcW w:w="1985" w:type="dxa"/>
          </w:tcPr>
          <w:p>
            <w:pPr>
              <w:pStyle w:val="8"/>
              <w:ind w:left="540" w:leftChars="257" w:firstLine="560" w:firstLineChars="200"/>
              <w:rPr>
                <w:rFonts w:ascii="仿宋" w:hAnsi="仿宋" w:eastAsia="仿宋" w:cs="仿宋"/>
                <w:color w:val="000000"/>
                <w:sz w:val="28"/>
                <w:szCs w:val="28"/>
              </w:rPr>
            </w:pPr>
          </w:p>
        </w:tc>
        <w:tc>
          <w:tcPr>
            <w:tcW w:w="2835" w:type="dxa"/>
          </w:tcPr>
          <w:p>
            <w:pPr>
              <w:pStyle w:val="8"/>
              <w:ind w:left="540" w:leftChars="257" w:firstLine="560" w:firstLineChars="200"/>
              <w:rPr>
                <w:rFonts w:ascii="仿宋" w:hAnsi="仿宋" w:eastAsia="仿宋" w:cs="仿宋"/>
                <w:color w:val="000000"/>
                <w:sz w:val="28"/>
                <w:szCs w:val="28"/>
              </w:rPr>
            </w:pPr>
          </w:p>
        </w:tc>
        <w:tc>
          <w:tcPr>
            <w:tcW w:w="2977" w:type="dxa"/>
          </w:tcPr>
          <w:p>
            <w:pPr>
              <w:pStyle w:val="8"/>
              <w:ind w:left="540" w:leftChars="257" w:firstLine="560" w:firstLineChars="200"/>
              <w:rPr>
                <w:rFonts w:ascii="仿宋" w:hAnsi="仿宋" w:eastAsia="仿宋" w:cs="仿宋"/>
                <w:color w:val="000000"/>
                <w:sz w:val="28"/>
                <w:szCs w:val="28"/>
              </w:rPr>
            </w:pPr>
          </w:p>
        </w:tc>
        <w:tc>
          <w:tcPr>
            <w:tcW w:w="1842" w:type="dxa"/>
          </w:tcPr>
          <w:p>
            <w:pPr>
              <w:pStyle w:val="8"/>
              <w:ind w:left="540" w:leftChars="257" w:firstLine="560" w:firstLineChars="200"/>
              <w:rPr>
                <w:rFonts w:ascii="仿宋" w:hAnsi="仿宋" w:eastAsia="仿宋" w:cs="仿宋"/>
                <w:color w:val="000000"/>
                <w:sz w:val="28"/>
                <w:szCs w:val="28"/>
              </w:rPr>
            </w:pPr>
          </w:p>
        </w:tc>
        <w:tc>
          <w:tcPr>
            <w:tcW w:w="1696"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80" w:type="dxa"/>
          </w:tcPr>
          <w:p>
            <w:pPr>
              <w:pStyle w:val="8"/>
              <w:ind w:left="540" w:leftChars="257" w:firstLine="560" w:firstLineChars="200"/>
              <w:rPr>
                <w:rFonts w:ascii="仿宋" w:hAnsi="仿宋" w:eastAsia="仿宋" w:cs="仿宋"/>
                <w:color w:val="000000"/>
                <w:sz w:val="28"/>
                <w:szCs w:val="28"/>
              </w:rPr>
            </w:pPr>
          </w:p>
        </w:tc>
        <w:tc>
          <w:tcPr>
            <w:tcW w:w="1985" w:type="dxa"/>
          </w:tcPr>
          <w:p>
            <w:pPr>
              <w:pStyle w:val="8"/>
              <w:ind w:left="540" w:leftChars="257" w:firstLine="560" w:firstLineChars="200"/>
              <w:rPr>
                <w:rFonts w:ascii="仿宋" w:hAnsi="仿宋" w:eastAsia="仿宋" w:cs="仿宋"/>
                <w:color w:val="000000"/>
                <w:sz w:val="28"/>
                <w:szCs w:val="28"/>
              </w:rPr>
            </w:pPr>
          </w:p>
        </w:tc>
        <w:tc>
          <w:tcPr>
            <w:tcW w:w="2835" w:type="dxa"/>
          </w:tcPr>
          <w:p>
            <w:pPr>
              <w:pStyle w:val="8"/>
              <w:ind w:left="540" w:leftChars="257" w:firstLine="560" w:firstLineChars="200"/>
              <w:rPr>
                <w:rFonts w:ascii="仿宋" w:hAnsi="仿宋" w:eastAsia="仿宋" w:cs="仿宋"/>
                <w:color w:val="000000"/>
                <w:sz w:val="28"/>
                <w:szCs w:val="28"/>
              </w:rPr>
            </w:pPr>
          </w:p>
        </w:tc>
        <w:tc>
          <w:tcPr>
            <w:tcW w:w="2977" w:type="dxa"/>
          </w:tcPr>
          <w:p>
            <w:pPr>
              <w:pStyle w:val="8"/>
              <w:ind w:left="540" w:leftChars="257" w:firstLine="560" w:firstLineChars="200"/>
              <w:rPr>
                <w:rFonts w:ascii="仿宋" w:hAnsi="仿宋" w:eastAsia="仿宋" w:cs="仿宋"/>
                <w:color w:val="000000"/>
                <w:sz w:val="28"/>
                <w:szCs w:val="28"/>
              </w:rPr>
            </w:pPr>
          </w:p>
        </w:tc>
        <w:tc>
          <w:tcPr>
            <w:tcW w:w="1842" w:type="dxa"/>
          </w:tcPr>
          <w:p>
            <w:pPr>
              <w:pStyle w:val="8"/>
              <w:ind w:left="540" w:leftChars="257" w:firstLine="560" w:firstLineChars="200"/>
              <w:rPr>
                <w:rFonts w:ascii="仿宋" w:hAnsi="仿宋" w:eastAsia="仿宋" w:cs="仿宋"/>
                <w:color w:val="000000"/>
                <w:sz w:val="28"/>
                <w:szCs w:val="28"/>
              </w:rPr>
            </w:pPr>
          </w:p>
        </w:tc>
        <w:tc>
          <w:tcPr>
            <w:tcW w:w="1696"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80" w:type="dxa"/>
          </w:tcPr>
          <w:p>
            <w:pPr>
              <w:pStyle w:val="8"/>
              <w:ind w:left="540" w:leftChars="257" w:firstLine="560" w:firstLineChars="200"/>
              <w:rPr>
                <w:rFonts w:ascii="仿宋" w:hAnsi="仿宋" w:eastAsia="仿宋" w:cs="仿宋"/>
                <w:color w:val="000000"/>
                <w:sz w:val="28"/>
                <w:szCs w:val="28"/>
              </w:rPr>
            </w:pPr>
          </w:p>
        </w:tc>
        <w:tc>
          <w:tcPr>
            <w:tcW w:w="1985" w:type="dxa"/>
          </w:tcPr>
          <w:p>
            <w:pPr>
              <w:pStyle w:val="8"/>
              <w:ind w:left="540" w:leftChars="257" w:firstLine="560" w:firstLineChars="200"/>
              <w:rPr>
                <w:rFonts w:ascii="仿宋" w:hAnsi="仿宋" w:eastAsia="仿宋" w:cs="仿宋"/>
                <w:color w:val="000000"/>
                <w:sz w:val="28"/>
                <w:szCs w:val="28"/>
              </w:rPr>
            </w:pPr>
          </w:p>
        </w:tc>
        <w:tc>
          <w:tcPr>
            <w:tcW w:w="2835" w:type="dxa"/>
          </w:tcPr>
          <w:p>
            <w:pPr>
              <w:pStyle w:val="8"/>
              <w:ind w:left="540" w:leftChars="257" w:firstLine="560" w:firstLineChars="200"/>
              <w:rPr>
                <w:rFonts w:ascii="仿宋" w:hAnsi="仿宋" w:eastAsia="仿宋" w:cs="仿宋"/>
                <w:color w:val="000000"/>
                <w:sz w:val="28"/>
                <w:szCs w:val="28"/>
              </w:rPr>
            </w:pPr>
          </w:p>
        </w:tc>
        <w:tc>
          <w:tcPr>
            <w:tcW w:w="2977" w:type="dxa"/>
          </w:tcPr>
          <w:p>
            <w:pPr>
              <w:pStyle w:val="8"/>
              <w:ind w:left="540" w:leftChars="257" w:firstLine="560" w:firstLineChars="200"/>
              <w:rPr>
                <w:rFonts w:ascii="仿宋" w:hAnsi="仿宋" w:eastAsia="仿宋" w:cs="仿宋"/>
                <w:color w:val="000000"/>
                <w:sz w:val="28"/>
                <w:szCs w:val="28"/>
              </w:rPr>
            </w:pPr>
          </w:p>
        </w:tc>
        <w:tc>
          <w:tcPr>
            <w:tcW w:w="1842" w:type="dxa"/>
          </w:tcPr>
          <w:p>
            <w:pPr>
              <w:pStyle w:val="8"/>
              <w:ind w:left="540" w:leftChars="257" w:firstLine="560" w:firstLineChars="200"/>
              <w:rPr>
                <w:rFonts w:ascii="仿宋" w:hAnsi="仿宋" w:eastAsia="仿宋" w:cs="仿宋"/>
                <w:color w:val="000000"/>
                <w:sz w:val="28"/>
                <w:szCs w:val="28"/>
              </w:rPr>
            </w:pPr>
          </w:p>
        </w:tc>
        <w:tc>
          <w:tcPr>
            <w:tcW w:w="1696" w:type="dxa"/>
          </w:tcPr>
          <w:p>
            <w:pPr>
              <w:pStyle w:val="8"/>
              <w:ind w:left="540" w:leftChars="257" w:firstLine="560" w:firstLineChars="200"/>
              <w:rPr>
                <w:rFonts w:ascii="仿宋" w:hAnsi="仿宋" w:eastAsia="仿宋" w:cs="仿宋"/>
                <w:color w:val="000000"/>
                <w:sz w:val="28"/>
                <w:szCs w:val="28"/>
              </w:rPr>
            </w:pPr>
          </w:p>
        </w:tc>
      </w:tr>
    </w:tbl>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法定代表人或其委托代理人签字: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投标人(盖单位章):</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注：“投标规格”中的规格和参数如实填写，不可复制粘贴货物需求一览表中的技术规格，否则按照无效投标处理。</w:t>
      </w:r>
    </w:p>
    <w:p>
      <w:pPr>
        <w:pStyle w:val="8"/>
        <w:tabs>
          <w:tab w:val="left" w:pos="5370"/>
        </w:tabs>
        <w:ind w:firstLine="560" w:firstLineChars="200"/>
        <w:rPr>
          <w:rFonts w:ascii="仿宋" w:hAnsi="仿宋" w:eastAsia="仿宋" w:cs="仿宋"/>
          <w:color w:val="000000"/>
          <w:sz w:val="28"/>
          <w:szCs w:val="28"/>
          <w:u w:val="single"/>
        </w:rPr>
        <w:sectPr>
          <w:headerReference r:id="rId6" w:type="default"/>
          <w:headerReference r:id="rId7" w:type="even"/>
          <w:footerReference r:id="rId8" w:type="even"/>
          <w:pgSz w:w="16838" w:h="11906" w:orient="landscape"/>
          <w:pgMar w:top="1797" w:right="1440" w:bottom="1797" w:left="1440" w:header="851" w:footer="992" w:gutter="0"/>
          <w:cols w:space="720" w:num="1"/>
          <w:docGrid w:linePitch="312" w:charSpace="0"/>
        </w:sectPr>
      </w:pPr>
    </w:p>
    <w:p>
      <w:pPr>
        <w:pStyle w:val="5"/>
        <w:keepNext w:val="0"/>
        <w:keepLines w:val="0"/>
        <w:spacing w:before="0" w:line="240" w:lineRule="auto"/>
        <w:ind w:left="540" w:leftChars="257" w:firstLine="562" w:firstLineChars="200"/>
        <w:rPr>
          <w:rFonts w:ascii="仿宋" w:hAnsi="仿宋" w:eastAsia="仿宋" w:cs="仿宋"/>
          <w:color w:val="000000"/>
          <w:sz w:val="28"/>
          <w:szCs w:val="28"/>
        </w:rPr>
      </w:pPr>
      <w:bookmarkStart w:id="355" w:name="_Toc216582818"/>
      <w:bookmarkStart w:id="356" w:name="_Toc1980"/>
      <w:bookmarkStart w:id="357" w:name="_Toc17189"/>
      <w:bookmarkStart w:id="358" w:name="_Toc522633290"/>
      <w:bookmarkStart w:id="359" w:name="_Toc515647821"/>
      <w:bookmarkStart w:id="360" w:name="_Toc23"/>
      <w:bookmarkStart w:id="361" w:name="_Toc28374"/>
      <w:r>
        <w:rPr>
          <w:rFonts w:hint="eastAsia" w:ascii="仿宋" w:hAnsi="仿宋" w:eastAsia="仿宋" w:cs="仿宋"/>
          <w:color w:val="000000"/>
          <w:sz w:val="28"/>
          <w:szCs w:val="28"/>
        </w:rPr>
        <w:t>6   商务条款偏离表</w:t>
      </w:r>
      <w:bookmarkEnd w:id="355"/>
      <w:r>
        <w:rPr>
          <w:rFonts w:hint="eastAsia" w:ascii="仿宋" w:hAnsi="仿宋" w:eastAsia="仿宋" w:cs="仿宋"/>
          <w:color w:val="000000"/>
          <w:sz w:val="28"/>
          <w:szCs w:val="28"/>
        </w:rPr>
        <w:t>（投标文件格式八）</w:t>
      </w:r>
      <w:bookmarkEnd w:id="356"/>
      <w:bookmarkEnd w:id="357"/>
      <w:bookmarkEnd w:id="358"/>
      <w:bookmarkEnd w:id="359"/>
      <w:bookmarkEnd w:id="360"/>
      <w:bookmarkEnd w:id="361"/>
    </w:p>
    <w:p>
      <w:pPr>
        <w:pStyle w:val="8"/>
        <w:ind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项目名称:                                                          项目编号: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2662"/>
        <w:gridCol w:w="4819"/>
        <w:gridCol w:w="283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662" w:type="dxa"/>
          </w:tcPr>
          <w:p>
            <w:pPr>
              <w:pStyle w:val="8"/>
              <w:rPr>
                <w:rFonts w:ascii="仿宋" w:hAnsi="仿宋" w:eastAsia="仿宋" w:cs="仿宋"/>
                <w:color w:val="000000"/>
                <w:sz w:val="28"/>
                <w:szCs w:val="28"/>
              </w:rPr>
            </w:pPr>
            <w:r>
              <w:rPr>
                <w:rFonts w:hint="eastAsia" w:ascii="仿宋" w:hAnsi="仿宋" w:eastAsia="仿宋" w:cs="仿宋"/>
                <w:color w:val="000000"/>
                <w:sz w:val="28"/>
                <w:szCs w:val="28"/>
              </w:rPr>
              <w:t>招标文件条款号</w:t>
            </w:r>
          </w:p>
        </w:tc>
        <w:tc>
          <w:tcPr>
            <w:tcW w:w="4819" w:type="dxa"/>
          </w:tcPr>
          <w:p>
            <w:pPr>
              <w:pStyle w:val="8"/>
              <w:rPr>
                <w:rFonts w:ascii="仿宋" w:hAnsi="仿宋" w:eastAsia="仿宋" w:cs="仿宋"/>
                <w:color w:val="000000"/>
                <w:sz w:val="28"/>
                <w:szCs w:val="28"/>
              </w:rPr>
            </w:pPr>
            <w:r>
              <w:rPr>
                <w:rFonts w:hint="eastAsia" w:ascii="仿宋" w:hAnsi="仿宋" w:eastAsia="仿宋" w:cs="仿宋"/>
                <w:color w:val="000000"/>
                <w:sz w:val="28"/>
                <w:szCs w:val="28"/>
              </w:rPr>
              <w:t>招标文件的商务条款</w:t>
            </w:r>
          </w:p>
        </w:tc>
        <w:tc>
          <w:tcPr>
            <w:tcW w:w="2835" w:type="dxa"/>
          </w:tcPr>
          <w:p>
            <w:pPr>
              <w:pStyle w:val="8"/>
              <w:rPr>
                <w:rFonts w:ascii="仿宋" w:hAnsi="仿宋" w:eastAsia="仿宋" w:cs="仿宋"/>
                <w:color w:val="000000"/>
                <w:sz w:val="28"/>
                <w:szCs w:val="28"/>
              </w:rPr>
            </w:pPr>
            <w:r>
              <w:rPr>
                <w:rFonts w:hint="eastAsia" w:ascii="仿宋" w:hAnsi="仿宋" w:eastAsia="仿宋" w:cs="仿宋"/>
                <w:color w:val="000000"/>
                <w:sz w:val="28"/>
                <w:szCs w:val="28"/>
              </w:rPr>
              <w:t>投标文件的商务条款</w:t>
            </w:r>
          </w:p>
        </w:tc>
        <w:tc>
          <w:tcPr>
            <w:tcW w:w="2055" w:type="dxa"/>
          </w:tcPr>
          <w:p>
            <w:pPr>
              <w:pStyle w:val="8"/>
              <w:rPr>
                <w:rFonts w:ascii="仿宋" w:hAnsi="仿宋" w:eastAsia="仿宋" w:cs="仿宋"/>
                <w:color w:val="000000"/>
                <w:sz w:val="28"/>
                <w:szCs w:val="28"/>
              </w:rPr>
            </w:pPr>
            <w:r>
              <w:rPr>
                <w:rFonts w:hint="eastAsia" w:ascii="仿宋" w:hAnsi="仿宋" w:eastAsia="仿宋" w:cs="仿宋"/>
                <w:color w:val="000000"/>
                <w:sz w:val="28"/>
                <w:szCs w:val="28"/>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662" w:type="dxa"/>
          </w:tcPr>
          <w:p>
            <w:pPr>
              <w:pStyle w:val="8"/>
              <w:rPr>
                <w:rFonts w:ascii="仿宋" w:hAnsi="仿宋" w:eastAsia="仿宋" w:cs="仿宋"/>
                <w:color w:val="000000"/>
                <w:sz w:val="28"/>
                <w:szCs w:val="28"/>
              </w:rPr>
            </w:pPr>
            <w:r>
              <w:rPr>
                <w:rFonts w:hint="eastAsia" w:ascii="仿宋" w:hAnsi="仿宋" w:eastAsia="仿宋" w:cs="仿宋"/>
                <w:color w:val="000000"/>
                <w:kern w:val="0"/>
                <w:sz w:val="28"/>
                <w:szCs w:val="28"/>
              </w:rPr>
              <w:t>中小企业投标要求（1.3.6）</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kern w:val="0"/>
                <w:sz w:val="28"/>
                <w:szCs w:val="28"/>
              </w:rPr>
              <w:t>本项目</w:t>
            </w:r>
            <w:r>
              <w:rPr>
                <w:rFonts w:hint="eastAsia" w:ascii="仿宋" w:hAnsi="仿宋" w:eastAsia="仿宋" w:cs="仿宋"/>
                <w:color w:val="000000"/>
                <w:kern w:val="0"/>
                <w:sz w:val="28"/>
                <w:szCs w:val="28"/>
                <w:u w:val="single"/>
              </w:rPr>
              <w:t>不</w:t>
            </w:r>
            <w:r>
              <w:rPr>
                <w:rFonts w:hint="eastAsia" w:ascii="仿宋" w:hAnsi="仿宋" w:eastAsia="仿宋" w:cs="仿宋"/>
                <w:iCs/>
                <w:color w:val="000000"/>
                <w:kern w:val="0"/>
                <w:sz w:val="28"/>
                <w:szCs w:val="28"/>
                <w:u w:val="single"/>
              </w:rPr>
              <w:t>适用</w:t>
            </w:r>
          </w:p>
        </w:tc>
        <w:tc>
          <w:tcPr>
            <w:tcW w:w="2835" w:type="dxa"/>
          </w:tcPr>
          <w:p>
            <w:pPr>
              <w:pStyle w:val="8"/>
              <w:ind w:left="540" w:leftChars="257" w:firstLine="560" w:firstLineChars="200"/>
              <w:jc w:val="center"/>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联合体投标规定（</w:t>
            </w:r>
            <w:r>
              <w:rPr>
                <w:rFonts w:hint="eastAsia" w:ascii="仿宋" w:hAnsi="仿宋" w:eastAsia="仿宋" w:cs="仿宋"/>
                <w:color w:val="000000"/>
                <w:sz w:val="28"/>
                <w:szCs w:val="28"/>
              </w:rPr>
              <w:t>1.4</w:t>
            </w:r>
            <w:r>
              <w:rPr>
                <w:rFonts w:hint="eastAsia" w:ascii="仿宋" w:hAnsi="仿宋" w:eastAsia="仿宋" w:cs="仿宋"/>
                <w:color w:val="000000"/>
                <w:kern w:val="0"/>
                <w:sz w:val="28"/>
                <w:szCs w:val="28"/>
              </w:rPr>
              <w:t>）</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kern w:val="0"/>
                <w:sz w:val="28"/>
                <w:szCs w:val="28"/>
              </w:rPr>
              <w:t>本项目</w:t>
            </w:r>
            <w:r>
              <w:rPr>
                <w:rFonts w:hint="eastAsia" w:ascii="仿宋" w:hAnsi="仿宋" w:eastAsia="仿宋" w:cs="仿宋"/>
                <w:iCs/>
                <w:color w:val="000000"/>
                <w:kern w:val="0"/>
                <w:sz w:val="28"/>
                <w:szCs w:val="28"/>
                <w:u w:val="single"/>
              </w:rPr>
              <w:t>不接受</w:t>
            </w:r>
            <w:r>
              <w:rPr>
                <w:rFonts w:hint="eastAsia" w:ascii="仿宋" w:hAnsi="仿宋" w:eastAsia="仿宋" w:cs="仿宋"/>
                <w:color w:val="000000"/>
                <w:kern w:val="0"/>
                <w:sz w:val="28"/>
                <w:szCs w:val="28"/>
              </w:rPr>
              <w:t>联合体投标</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投标人的关联（1.5）</w:t>
            </w:r>
          </w:p>
        </w:tc>
        <w:tc>
          <w:tcPr>
            <w:tcW w:w="4819" w:type="dxa"/>
            <w:vAlign w:val="center"/>
          </w:tcPr>
          <w:p>
            <w:pPr>
              <w:rPr>
                <w:rFonts w:ascii="仿宋" w:hAnsi="仿宋" w:eastAsia="仿宋" w:cs="仿宋"/>
                <w:color w:val="000000"/>
                <w:sz w:val="28"/>
                <w:szCs w:val="28"/>
              </w:rPr>
            </w:pPr>
            <w:r>
              <w:rPr>
                <w:rFonts w:hint="eastAsia" w:ascii="仿宋" w:hAnsi="仿宋" w:eastAsia="仿宋" w:cs="仿宋"/>
                <w:color w:val="000000"/>
                <w:kern w:val="0"/>
                <w:sz w:val="28"/>
                <w:szCs w:val="28"/>
              </w:rPr>
              <w:t>在同一标包内，单位负责人为非同一人或者不存在直接控股、管理关系的不同供应商。</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满足投标范围的完整性要求（8.1）</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投标人对招标文件中所列的所有内容进行投标。</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2662" w:type="dxa"/>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未包含价格调整要求（11.4）</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投标人所报的各分项投标报价在合同履行过程中是固定不变的，不得以任何理由予以变更。</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2662" w:type="dxa"/>
          </w:tcPr>
          <w:p>
            <w:pPr>
              <w:pStyle w:val="8"/>
              <w:rPr>
                <w:rFonts w:ascii="仿宋" w:hAnsi="仿宋" w:eastAsia="仿宋" w:cs="仿宋"/>
                <w:color w:val="000000"/>
                <w:sz w:val="28"/>
                <w:szCs w:val="28"/>
              </w:rPr>
            </w:pPr>
            <w:r>
              <w:rPr>
                <w:rFonts w:hint="eastAsia" w:ascii="仿宋" w:hAnsi="仿宋" w:eastAsia="仿宋" w:cs="仿宋"/>
                <w:color w:val="000000"/>
                <w:kern w:val="0"/>
                <w:sz w:val="28"/>
                <w:szCs w:val="28"/>
              </w:rPr>
              <w:t>投标保证金（12.1）</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符合招标文件要求</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投标有效期满足要求（13.1）</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自提交投标文件截止之日起</w:t>
            </w:r>
            <w:r>
              <w:rPr>
                <w:rFonts w:hint="eastAsia" w:ascii="仿宋" w:hAnsi="仿宋" w:eastAsia="仿宋" w:cs="仿宋"/>
                <w:color w:val="000000"/>
                <w:sz w:val="28"/>
                <w:szCs w:val="28"/>
                <w:u w:val="single"/>
              </w:rPr>
              <w:t xml:space="preserve"> 60日</w:t>
            </w:r>
            <w:r>
              <w:rPr>
                <w:rFonts w:hint="eastAsia" w:ascii="仿宋" w:hAnsi="仿宋" w:eastAsia="仿宋" w:cs="仿宋"/>
                <w:color w:val="000000"/>
                <w:sz w:val="28"/>
                <w:szCs w:val="28"/>
              </w:rPr>
              <w:t>历日内</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投标文件的装订方式（14.4）</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所有投标文件采用不可拆装的胶订方式装订</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投标文件的签署和盖章符合要求（14.2、14.5）</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按照招标文件规定要求签署、盖章。</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2662" w:type="dxa"/>
          </w:tcPr>
          <w:p>
            <w:pPr>
              <w:rPr>
                <w:rFonts w:ascii="仿宋" w:hAnsi="仿宋" w:eastAsia="仿宋" w:cs="仿宋"/>
                <w:color w:val="000000"/>
                <w:sz w:val="28"/>
                <w:szCs w:val="28"/>
              </w:rPr>
            </w:pPr>
            <w:r>
              <w:rPr>
                <w:rFonts w:hint="eastAsia" w:ascii="仿宋" w:hAnsi="仿宋" w:eastAsia="仿宋" w:cs="仿宋"/>
                <w:color w:val="000000"/>
                <w:kern w:val="0"/>
                <w:sz w:val="28"/>
                <w:szCs w:val="28"/>
              </w:rPr>
              <w:t>接受价格的算术修正（20.3）</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投标文件报价出现前后不一致的，应按照招标文件规定的顺序修正。修正后的报价经投标人确认后产生约束力。</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11</w:t>
            </w:r>
          </w:p>
        </w:tc>
        <w:tc>
          <w:tcPr>
            <w:tcW w:w="2662" w:type="dxa"/>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符合强制采购节能产品要求（20.6）</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kern w:val="0"/>
                <w:sz w:val="28"/>
                <w:szCs w:val="28"/>
              </w:rPr>
              <w:t>本项目</w:t>
            </w:r>
            <w:r>
              <w:rPr>
                <w:rFonts w:hint="eastAsia" w:ascii="仿宋" w:hAnsi="仿宋" w:eastAsia="仿宋" w:cs="仿宋"/>
                <w:iCs/>
                <w:color w:val="000000"/>
                <w:kern w:val="0"/>
                <w:sz w:val="28"/>
                <w:szCs w:val="28"/>
                <w:u w:val="single"/>
              </w:rPr>
              <w:t>不适用</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12</w:t>
            </w:r>
          </w:p>
        </w:tc>
        <w:tc>
          <w:tcPr>
            <w:tcW w:w="2662" w:type="dxa"/>
          </w:tcPr>
          <w:p>
            <w:pPr>
              <w:pStyle w:val="8"/>
              <w:rPr>
                <w:rFonts w:ascii="仿宋" w:hAnsi="仿宋" w:eastAsia="仿宋" w:cs="仿宋"/>
                <w:color w:val="000000"/>
                <w:sz w:val="28"/>
                <w:szCs w:val="28"/>
              </w:rPr>
            </w:pPr>
            <w:r>
              <w:rPr>
                <w:rFonts w:hint="eastAsia" w:ascii="仿宋" w:hAnsi="仿宋" w:eastAsia="仿宋" w:cs="仿宋"/>
                <w:color w:val="000000"/>
                <w:kern w:val="0"/>
                <w:sz w:val="28"/>
                <w:szCs w:val="28"/>
              </w:rPr>
              <w:t>未发现串通投标（22.2）</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未与其他投标人串通投标，或者与招标人串通投标。</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13</w:t>
            </w:r>
          </w:p>
        </w:tc>
        <w:tc>
          <w:tcPr>
            <w:tcW w:w="2662" w:type="dxa"/>
          </w:tcPr>
          <w:p>
            <w:pPr>
              <w:pStyle w:val="8"/>
              <w:rPr>
                <w:rFonts w:ascii="仿宋" w:hAnsi="仿宋" w:eastAsia="仿宋" w:cs="仿宋"/>
                <w:color w:val="000000"/>
                <w:kern w:val="0"/>
                <w:sz w:val="28"/>
                <w:szCs w:val="28"/>
              </w:rPr>
            </w:pPr>
            <w:r>
              <w:rPr>
                <w:rFonts w:hint="eastAsia" w:ascii="仿宋" w:hAnsi="仿宋" w:eastAsia="仿宋" w:cs="仿宋"/>
                <w:color w:val="000000"/>
                <w:kern w:val="0"/>
                <w:sz w:val="28"/>
                <w:szCs w:val="28"/>
              </w:rPr>
              <w:t>报价说明可以接受（22.2）</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投标人的报价明显低于其他通过符合性检查投标人的报价，有可能影响履约的，投标人能按照规定证明其报价合理性。</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1" w:type="dxa"/>
          </w:tcPr>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14</w:t>
            </w:r>
          </w:p>
        </w:tc>
        <w:tc>
          <w:tcPr>
            <w:tcW w:w="2662" w:type="dxa"/>
          </w:tcPr>
          <w:p>
            <w:pPr>
              <w:pStyle w:val="8"/>
              <w:rPr>
                <w:rFonts w:ascii="仿宋" w:hAnsi="仿宋" w:eastAsia="仿宋" w:cs="仿宋"/>
                <w:color w:val="000000"/>
                <w:kern w:val="0"/>
                <w:sz w:val="28"/>
                <w:szCs w:val="28"/>
              </w:rPr>
            </w:pPr>
            <w:r>
              <w:rPr>
                <w:rFonts w:hint="eastAsia" w:ascii="仿宋" w:hAnsi="仿宋" w:eastAsia="仿宋" w:cs="仿宋"/>
                <w:color w:val="000000"/>
                <w:sz w:val="28"/>
                <w:szCs w:val="28"/>
              </w:rPr>
              <w:t>无采购人不能接受的附加条件（22.2）</w:t>
            </w:r>
          </w:p>
        </w:tc>
        <w:tc>
          <w:tcPr>
            <w:tcW w:w="4819" w:type="dxa"/>
            <w:vAlign w:val="center"/>
          </w:tcPr>
          <w:p>
            <w:pPr>
              <w:pStyle w:val="8"/>
              <w:rPr>
                <w:rFonts w:ascii="仿宋" w:hAnsi="仿宋" w:eastAsia="仿宋" w:cs="仿宋"/>
                <w:color w:val="000000"/>
                <w:sz w:val="28"/>
                <w:szCs w:val="28"/>
              </w:rPr>
            </w:pPr>
            <w:r>
              <w:rPr>
                <w:rFonts w:hint="eastAsia" w:ascii="仿宋" w:hAnsi="仿宋" w:eastAsia="仿宋" w:cs="仿宋"/>
                <w:color w:val="000000"/>
                <w:sz w:val="28"/>
                <w:szCs w:val="28"/>
              </w:rPr>
              <w:t>投标文件未含有采购人不能接受的附加条件。</w:t>
            </w:r>
          </w:p>
        </w:tc>
        <w:tc>
          <w:tcPr>
            <w:tcW w:w="2835" w:type="dxa"/>
          </w:tcPr>
          <w:p>
            <w:pPr>
              <w:pStyle w:val="8"/>
              <w:ind w:left="540" w:leftChars="257" w:firstLine="560" w:firstLineChars="200"/>
              <w:rPr>
                <w:rFonts w:ascii="仿宋" w:hAnsi="仿宋" w:eastAsia="仿宋" w:cs="仿宋"/>
                <w:color w:val="000000"/>
                <w:sz w:val="28"/>
                <w:szCs w:val="28"/>
              </w:rPr>
            </w:pPr>
          </w:p>
        </w:tc>
        <w:tc>
          <w:tcPr>
            <w:tcW w:w="2055" w:type="dxa"/>
          </w:tcPr>
          <w:p>
            <w:pPr>
              <w:pStyle w:val="8"/>
              <w:ind w:left="540" w:leftChars="257" w:firstLine="560" w:firstLineChars="200"/>
              <w:rPr>
                <w:rFonts w:ascii="仿宋" w:hAnsi="仿宋" w:eastAsia="仿宋" w:cs="仿宋"/>
                <w:color w:val="000000"/>
                <w:sz w:val="28"/>
                <w:szCs w:val="28"/>
              </w:rPr>
            </w:pPr>
          </w:p>
        </w:tc>
      </w:tr>
    </w:tbl>
    <w:p>
      <w:pPr>
        <w:pStyle w:val="8"/>
        <w:ind w:left="540" w:leftChars="257" w:firstLine="560" w:firstLineChars="200"/>
        <w:rPr>
          <w:rFonts w:ascii="仿宋" w:hAnsi="仿宋" w:eastAsia="仿宋" w:cs="仿宋"/>
          <w:color w:val="000000"/>
          <w:sz w:val="28"/>
          <w:szCs w:val="28"/>
        </w:rPr>
      </w:pPr>
    </w:p>
    <w:p>
      <w:pPr>
        <w:pStyle w:val="8"/>
        <w:ind w:left="540" w:leftChars="257"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法定代表人或其委托代理人签字: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0" w:firstLineChars="200"/>
        <w:rPr>
          <w:rFonts w:ascii="仿宋" w:hAnsi="仿宋" w:eastAsia="仿宋" w:cs="仿宋"/>
          <w:color w:val="000000"/>
          <w:sz w:val="28"/>
          <w:szCs w:val="28"/>
          <w:u w:val="single"/>
        </w:rPr>
        <w:sectPr>
          <w:pgSz w:w="16838" w:h="11906" w:orient="landscape"/>
          <w:pgMar w:top="1797" w:right="1440" w:bottom="1797" w:left="1440" w:header="851" w:footer="992" w:gutter="0"/>
          <w:cols w:space="720" w:num="1"/>
          <w:docGrid w:linePitch="312" w:charSpace="0"/>
        </w:sectPr>
      </w:pPr>
      <w:r>
        <w:rPr>
          <w:rFonts w:hint="eastAsia" w:ascii="仿宋" w:hAnsi="仿宋" w:eastAsia="仿宋" w:cs="仿宋"/>
          <w:color w:val="000000"/>
          <w:sz w:val="28"/>
          <w:szCs w:val="28"/>
        </w:rPr>
        <w:t>投标人(盖单位章):</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8"/>
        <w:tabs>
          <w:tab w:val="left" w:pos="5370"/>
        </w:tabs>
        <w:ind w:left="540" w:leftChars="257" w:firstLine="560" w:firstLineChars="200"/>
        <w:rPr>
          <w:rFonts w:ascii="仿宋" w:hAnsi="仿宋" w:eastAsia="仿宋" w:cs="仿宋"/>
          <w:color w:val="000000"/>
          <w:sz w:val="28"/>
          <w:szCs w:val="28"/>
        </w:rPr>
      </w:pPr>
    </w:p>
    <w:p>
      <w:pPr>
        <w:pStyle w:val="5"/>
        <w:keepNext w:val="0"/>
        <w:keepLines w:val="0"/>
        <w:spacing w:before="0" w:line="240" w:lineRule="auto"/>
        <w:ind w:firstLine="562" w:firstLineChars="200"/>
        <w:rPr>
          <w:rFonts w:ascii="仿宋" w:hAnsi="仿宋" w:eastAsia="仿宋" w:cs="仿宋"/>
          <w:b w:val="0"/>
          <w:color w:val="000000"/>
          <w:sz w:val="28"/>
          <w:szCs w:val="28"/>
        </w:rPr>
      </w:pPr>
      <w:bookmarkStart w:id="362" w:name="_Hlt520273711"/>
      <w:bookmarkEnd w:id="362"/>
      <w:bookmarkStart w:id="363" w:name="_Hlt520350918"/>
      <w:bookmarkEnd w:id="363"/>
      <w:bookmarkStart w:id="364" w:name="_Hlt520343000"/>
      <w:bookmarkEnd w:id="364"/>
      <w:bookmarkStart w:id="365" w:name="_Hlt520274407"/>
      <w:bookmarkEnd w:id="365"/>
      <w:bookmarkStart w:id="366" w:name="_Hlt520274911"/>
      <w:bookmarkEnd w:id="366"/>
      <w:bookmarkStart w:id="367" w:name="_Hlt520343392"/>
      <w:bookmarkEnd w:id="367"/>
      <w:bookmarkStart w:id="368" w:name="_Hlt520350957"/>
      <w:bookmarkEnd w:id="368"/>
      <w:bookmarkStart w:id="369" w:name="_Hlt520274065"/>
      <w:bookmarkEnd w:id="369"/>
      <w:bookmarkStart w:id="370" w:name="_Hlt520274393"/>
      <w:bookmarkEnd w:id="370"/>
      <w:bookmarkStart w:id="371" w:name="_Hlt520273973"/>
      <w:bookmarkEnd w:id="371"/>
      <w:bookmarkStart w:id="372" w:name="_Hlt520271212"/>
      <w:bookmarkEnd w:id="372"/>
      <w:bookmarkStart w:id="373" w:name="_Toc25347"/>
      <w:bookmarkStart w:id="374" w:name="_Toc15821"/>
      <w:bookmarkStart w:id="375" w:name="_Toc522633291"/>
      <w:bookmarkStart w:id="376" w:name="_Toc515647823"/>
      <w:bookmarkStart w:id="377" w:name="_Toc21312"/>
      <w:bookmarkStart w:id="378" w:name="_Toc10725"/>
      <w:r>
        <w:rPr>
          <w:rFonts w:hint="eastAsia" w:ascii="仿宋" w:hAnsi="仿宋" w:eastAsia="仿宋" w:cs="仿宋"/>
          <w:color w:val="000000"/>
          <w:sz w:val="28"/>
          <w:szCs w:val="28"/>
        </w:rPr>
        <w:t xml:space="preserve">6-1 </w:t>
      </w:r>
      <w:r>
        <w:rPr>
          <w:rFonts w:hint="eastAsia" w:ascii="仿宋" w:hAnsi="仿宋" w:eastAsia="仿宋" w:cs="仿宋"/>
          <w:b w:val="0"/>
          <w:color w:val="000000"/>
          <w:sz w:val="28"/>
          <w:szCs w:val="28"/>
        </w:rPr>
        <w:t xml:space="preserve"> </w:t>
      </w:r>
      <w:r>
        <w:rPr>
          <w:rFonts w:hint="eastAsia" w:ascii="仿宋" w:hAnsi="仿宋" w:eastAsia="仿宋" w:cs="仿宋"/>
          <w:color w:val="000000"/>
          <w:sz w:val="28"/>
          <w:szCs w:val="28"/>
        </w:rPr>
        <w:t>投标人企业（单位）类型声明函（投标文件格式九）</w:t>
      </w:r>
      <w:bookmarkEnd w:id="373"/>
      <w:bookmarkEnd w:id="374"/>
      <w:bookmarkEnd w:id="375"/>
      <w:bookmarkEnd w:id="376"/>
      <w:bookmarkEnd w:id="377"/>
      <w:bookmarkEnd w:id="378"/>
    </w:p>
    <w:p>
      <w:pPr>
        <w:ind w:left="540" w:leftChars="257" w:firstLine="562" w:firstLineChars="200"/>
        <w:jc w:val="center"/>
        <w:rPr>
          <w:rFonts w:ascii="仿宋" w:hAnsi="仿宋" w:eastAsia="仿宋" w:cs="仿宋"/>
          <w:b/>
          <w:color w:val="000000"/>
          <w:kern w:val="0"/>
          <w:sz w:val="28"/>
          <w:szCs w:val="28"/>
        </w:rPr>
      </w:pP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本企业（单位）郑重声明下列事项（按照实际情况勾选或填空）：</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1、□本企业（单位）为直接投标人提供本企业（单位）制造的货物。</w:t>
      </w:r>
    </w:p>
    <w:p>
      <w:pPr>
        <w:numPr>
          <w:ilvl w:val="0"/>
          <w:numId w:val="3"/>
        </w:num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根据《工业和信息化部、国家统计局、国家发展和改革委员会、财政部关于印发中小企业划型标准规定的通知》（工信部联企业[2011]300号）规定的划分标准，本企业为______（请填写：中型、小型、微型）企业。</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 本企业</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（请填写：是、不是）监狱企业。后附省级以上监狱管理局、戒毒管理局（含新疆生产建设兵团）出具的属于监狱企业的证明文件。</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r>
        <w:rPr>
          <w:rFonts w:hint="eastAsia" w:ascii="仿宋" w:hAnsi="仿宋" w:eastAsia="仿宋" w:cs="仿宋"/>
          <w:color w:val="000000"/>
          <w:sz w:val="28"/>
          <w:szCs w:val="28"/>
        </w:rPr>
        <w:t xml:space="preserve"> </w:t>
      </w:r>
      <w:r>
        <w:rPr>
          <w:rFonts w:hint="eastAsia" w:ascii="仿宋" w:hAnsi="仿宋" w:eastAsia="仿宋" w:cs="仿宋"/>
          <w:color w:val="000000"/>
          <w:kern w:val="0"/>
          <w:sz w:val="28"/>
          <w:szCs w:val="28"/>
        </w:rPr>
        <w:t>根据《关于促进残疾人就业政府采购政策的通知》（财库〔2017〕141号）。本单位</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（请填写：是、不是）残疾人福利性单位。</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本企业（单位）为代理商，提供其他______（请填写：中型、小型、微型）企业、监狱企业或残疾人福利性单位制造的货物。本条所称货物不包括使用大型企业注册商标的货物。（后附制造商企业（单位）类型声明函）。</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本企业（单位）对上述声明的真实性负责。如有虚假，将依法承担相应责任。</w:t>
      </w:r>
    </w:p>
    <w:p>
      <w:pPr>
        <w:spacing w:before="100" w:beforeAutospacing="1" w:after="100" w:afterAutospacing="1"/>
        <w:ind w:firstLine="6440" w:firstLineChars="2300"/>
        <w:jc w:val="left"/>
        <w:rPr>
          <w:rFonts w:ascii="仿宋" w:hAnsi="仿宋" w:eastAsia="仿宋" w:cs="仿宋"/>
          <w:color w:val="000000"/>
          <w:kern w:val="0"/>
          <w:sz w:val="28"/>
          <w:szCs w:val="28"/>
        </w:rPr>
      </w:pPr>
    </w:p>
    <w:p>
      <w:pPr>
        <w:spacing w:before="100" w:beforeAutospacing="1" w:after="100" w:afterAutospacing="1"/>
        <w:ind w:firstLine="6440" w:firstLineChars="2300"/>
        <w:jc w:val="left"/>
        <w:rPr>
          <w:rFonts w:ascii="仿宋" w:hAnsi="仿宋" w:eastAsia="仿宋" w:cs="仿宋"/>
          <w:color w:val="000000"/>
          <w:kern w:val="0"/>
          <w:sz w:val="28"/>
          <w:szCs w:val="28"/>
        </w:rPr>
      </w:pPr>
    </w:p>
    <w:p>
      <w:pPr>
        <w:spacing w:before="100" w:beforeAutospacing="1" w:after="100" w:afterAutospacing="1"/>
        <w:ind w:firstLine="5320" w:firstLineChars="19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投标人名称（盖单位章）：</w:t>
      </w:r>
    </w:p>
    <w:p>
      <w:pPr>
        <w:spacing w:before="100" w:beforeAutospacing="1" w:after="100" w:afterAutospacing="1"/>
        <w:ind w:firstLine="5880" w:firstLineChars="21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日　期：</w:t>
      </w:r>
    </w:p>
    <w:p>
      <w:pPr>
        <w:pStyle w:val="2"/>
        <w:rPr>
          <w:rFonts w:ascii="仿宋" w:hAnsi="仿宋" w:eastAsia="仿宋" w:cs="仿宋"/>
          <w:color w:val="000000"/>
          <w:sz w:val="28"/>
          <w:szCs w:val="28"/>
        </w:rPr>
      </w:pPr>
    </w:p>
    <w:p>
      <w:pPr>
        <w:pStyle w:val="2"/>
        <w:rPr>
          <w:rFonts w:ascii="仿宋" w:hAnsi="仿宋" w:eastAsia="仿宋" w:cs="仿宋"/>
          <w:color w:val="000000"/>
          <w:sz w:val="28"/>
          <w:szCs w:val="28"/>
        </w:rPr>
        <w:sectPr>
          <w:pgSz w:w="11906" w:h="16838"/>
          <w:pgMar w:top="1440" w:right="1797" w:bottom="1440" w:left="1797" w:header="851" w:footer="992" w:gutter="0"/>
          <w:cols w:space="720" w:num="1"/>
          <w:docGrid w:linePitch="312" w:charSpace="0"/>
        </w:sectPr>
      </w:pPr>
    </w:p>
    <w:p>
      <w:pPr>
        <w:pStyle w:val="2"/>
        <w:ind w:firstLine="560" w:firstLineChars="200"/>
        <w:rPr>
          <w:rFonts w:ascii="仿宋" w:hAnsi="仿宋" w:eastAsia="仿宋" w:cs="仿宋"/>
          <w:color w:val="000000"/>
          <w:sz w:val="28"/>
          <w:szCs w:val="28"/>
        </w:rPr>
      </w:pPr>
      <w:bookmarkStart w:id="379" w:name="_Toc13776"/>
      <w:bookmarkStart w:id="380" w:name="_Toc11803"/>
      <w:bookmarkStart w:id="381" w:name="_Toc515647824"/>
      <w:bookmarkStart w:id="382" w:name="_Toc10977"/>
    </w:p>
    <w:p>
      <w:pPr>
        <w:pStyle w:val="5"/>
        <w:keepNext w:val="0"/>
        <w:keepLines w:val="0"/>
        <w:spacing w:before="0" w:line="240" w:lineRule="auto"/>
        <w:ind w:firstLine="562" w:firstLineChars="200"/>
        <w:rPr>
          <w:rFonts w:ascii="仿宋" w:hAnsi="仿宋" w:eastAsia="仿宋" w:cs="仿宋"/>
          <w:b w:val="0"/>
          <w:color w:val="000000"/>
          <w:sz w:val="28"/>
          <w:szCs w:val="28"/>
        </w:rPr>
      </w:pPr>
      <w:bookmarkStart w:id="383" w:name="_Toc522633292"/>
      <w:bookmarkStart w:id="384" w:name="_Toc865"/>
      <w:r>
        <w:rPr>
          <w:rFonts w:hint="eastAsia" w:ascii="仿宋" w:hAnsi="仿宋" w:eastAsia="仿宋" w:cs="仿宋"/>
          <w:color w:val="000000"/>
          <w:sz w:val="28"/>
          <w:szCs w:val="28"/>
        </w:rPr>
        <w:t>6-2   制造商企业（单位）类型声明函（投标文件格式十）</w:t>
      </w:r>
      <w:bookmarkEnd w:id="379"/>
      <w:bookmarkEnd w:id="380"/>
      <w:bookmarkEnd w:id="381"/>
      <w:bookmarkEnd w:id="382"/>
      <w:bookmarkEnd w:id="383"/>
      <w:bookmarkEnd w:id="384"/>
    </w:p>
    <w:p>
      <w:pPr>
        <w:ind w:left="540" w:leftChars="257" w:firstLine="562" w:firstLineChars="200"/>
        <w:jc w:val="center"/>
        <w:rPr>
          <w:rFonts w:ascii="仿宋" w:hAnsi="仿宋" w:eastAsia="仿宋" w:cs="仿宋"/>
          <w:b/>
          <w:color w:val="000000"/>
          <w:kern w:val="0"/>
          <w:sz w:val="28"/>
          <w:szCs w:val="28"/>
        </w:rPr>
      </w:pP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本企业（单位）作为______单位的______ 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本企业为______（请填写：中型、小型、微型）企业。</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（请填写：是、不是）监狱企业。后附省级以上监狱管理局、戒毒管理局（含新疆生产建设兵团）出具的属于监狱企业的证明文件。</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本单位为</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（请填写：是、不是）残疾人福利性单位。</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本企业为</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（请填写：是、不是）喀什地区本地生产企业。</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本企业（单位）提供本企业（单位）制造的货物。</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本企业（单位）对上述声明的真实性负责。如有虚假，将依法承担相应责任。</w:t>
      </w:r>
    </w:p>
    <w:p>
      <w:pPr>
        <w:spacing w:before="100" w:beforeAutospacing="1" w:after="100" w:afterAutospacing="1"/>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本声明函经制造商和投标人共同盖章生效。</w:t>
      </w:r>
    </w:p>
    <w:p>
      <w:pPr>
        <w:spacing w:before="100" w:beforeAutospacing="1" w:after="100" w:afterAutospacing="1"/>
        <w:ind w:firstLine="560" w:firstLineChars="200"/>
        <w:jc w:val="left"/>
        <w:rPr>
          <w:rFonts w:ascii="仿宋" w:hAnsi="仿宋" w:eastAsia="仿宋" w:cs="仿宋"/>
          <w:color w:val="000000"/>
          <w:kern w:val="0"/>
          <w:sz w:val="28"/>
          <w:szCs w:val="28"/>
        </w:rPr>
      </w:pPr>
    </w:p>
    <w:p>
      <w:pPr>
        <w:spacing w:before="100" w:beforeAutospacing="1" w:after="100" w:afterAutospacing="1"/>
        <w:ind w:firstLine="5320" w:firstLineChars="19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制造商名称（盖单位章）：                 </w:t>
      </w:r>
    </w:p>
    <w:p>
      <w:pPr>
        <w:spacing w:before="100" w:beforeAutospacing="1" w:after="100" w:afterAutospacing="1"/>
        <w:ind w:firstLine="5320" w:firstLineChars="19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投标人名称（盖单位章）：</w:t>
      </w:r>
    </w:p>
    <w:p>
      <w:pPr>
        <w:spacing w:before="100" w:beforeAutospacing="1" w:after="100" w:afterAutospacing="1"/>
        <w:ind w:firstLine="6440" w:firstLineChars="23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日　期：                  </w:t>
      </w:r>
    </w:p>
    <w:p>
      <w:pPr>
        <w:spacing w:before="100" w:beforeAutospacing="1" w:after="100" w:afterAutospacing="1"/>
        <w:ind w:firstLine="560" w:firstLineChars="200"/>
        <w:jc w:val="left"/>
        <w:rPr>
          <w:rFonts w:ascii="仿宋" w:hAnsi="仿宋" w:eastAsia="仿宋" w:cs="仿宋"/>
          <w:color w:val="000000"/>
          <w:sz w:val="28"/>
          <w:szCs w:val="28"/>
        </w:rPr>
      </w:pPr>
    </w:p>
    <w:p>
      <w:pPr>
        <w:pStyle w:val="5"/>
        <w:keepNext w:val="0"/>
        <w:keepLines w:val="0"/>
        <w:spacing w:before="0" w:line="240" w:lineRule="auto"/>
        <w:ind w:firstLine="562" w:firstLineChars="200"/>
        <w:jc w:val="both"/>
        <w:rPr>
          <w:rFonts w:ascii="仿宋" w:hAnsi="仿宋" w:eastAsia="仿宋" w:cs="仿宋"/>
          <w:color w:val="000000"/>
          <w:sz w:val="28"/>
          <w:szCs w:val="28"/>
        </w:rPr>
      </w:pPr>
      <w:bookmarkStart w:id="385" w:name="_Toc522633293"/>
      <w:bookmarkStart w:id="386" w:name="_Toc23068"/>
      <w:bookmarkStart w:id="387" w:name="_Toc515647825"/>
      <w:bookmarkStart w:id="388" w:name="_Toc24603"/>
      <w:bookmarkStart w:id="389" w:name="_Toc19284"/>
      <w:bookmarkStart w:id="390" w:name="OLE_LINK14"/>
      <w:bookmarkStart w:id="391" w:name="OLE_LINK13"/>
    </w:p>
    <w:p>
      <w:pPr>
        <w:pStyle w:val="5"/>
        <w:keepNext w:val="0"/>
        <w:keepLines w:val="0"/>
        <w:spacing w:before="0" w:line="240" w:lineRule="auto"/>
        <w:ind w:firstLine="562" w:firstLineChars="200"/>
        <w:jc w:val="both"/>
        <w:rPr>
          <w:rFonts w:ascii="仿宋" w:hAnsi="仿宋" w:eastAsia="仿宋" w:cs="仿宋"/>
          <w:color w:val="000000"/>
          <w:sz w:val="28"/>
          <w:szCs w:val="28"/>
        </w:rPr>
      </w:pPr>
      <w:bookmarkStart w:id="392" w:name="_Toc28270"/>
      <w:r>
        <w:rPr>
          <w:rFonts w:hint="eastAsia" w:ascii="仿宋" w:hAnsi="仿宋" w:eastAsia="仿宋" w:cs="仿宋"/>
          <w:color w:val="000000"/>
          <w:sz w:val="28"/>
          <w:szCs w:val="28"/>
        </w:rPr>
        <w:t>6-3   残疾人福利性单位声明函（投标文件格式十一）</w:t>
      </w:r>
      <w:bookmarkEnd w:id="385"/>
      <w:bookmarkEnd w:id="386"/>
      <w:bookmarkEnd w:id="387"/>
      <w:bookmarkEnd w:id="388"/>
      <w:bookmarkEnd w:id="389"/>
      <w:bookmarkEnd w:id="392"/>
    </w:p>
    <w:bookmarkEnd w:id="390"/>
    <w:bookmarkEnd w:id="391"/>
    <w:p>
      <w:pPr>
        <w:ind w:left="540" w:leftChars="257" w:firstLine="560" w:firstLineChars="200"/>
        <w:jc w:val="center"/>
        <w:rPr>
          <w:rFonts w:ascii="仿宋" w:hAnsi="仿宋" w:eastAsia="仿宋" w:cs="仿宋"/>
          <w:color w:val="000000"/>
          <w:kern w:val="0"/>
          <w:sz w:val="28"/>
          <w:szCs w:val="28"/>
        </w:rPr>
      </w:pP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ind w:left="540" w:leftChars="257"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本单位对上述声明的真实性负责。如有虚假，将依法承担相应责任。</w:t>
      </w: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残疾人福利性单位名称（盖单位章）：</w:t>
      </w:r>
    </w:p>
    <w:p>
      <w:pPr>
        <w:ind w:left="540" w:leftChars="257" w:firstLine="560" w:firstLineChars="20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p>
    <w:p>
      <w:pPr>
        <w:ind w:left="540" w:leftChars="257" w:firstLine="560" w:firstLineChars="200"/>
        <w:jc w:val="center"/>
        <w:rPr>
          <w:rFonts w:ascii="仿宋" w:hAnsi="仿宋" w:eastAsia="仿宋" w:cs="仿宋"/>
          <w:color w:val="000000"/>
          <w:kern w:val="0"/>
          <w:sz w:val="28"/>
          <w:szCs w:val="28"/>
        </w:rPr>
      </w:pPr>
    </w:p>
    <w:p>
      <w:pPr>
        <w:ind w:left="540" w:leftChars="257" w:firstLine="560" w:firstLineChars="20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日  期;</w:t>
      </w: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ind w:left="540" w:leftChars="257" w:firstLine="562" w:firstLineChars="200"/>
        <w:jc w:val="center"/>
        <w:rPr>
          <w:rFonts w:ascii="仿宋" w:hAnsi="仿宋" w:eastAsia="仿宋" w:cs="仿宋"/>
          <w:b/>
          <w:color w:val="000000"/>
          <w:kern w:val="0"/>
          <w:sz w:val="28"/>
          <w:szCs w:val="28"/>
        </w:rPr>
      </w:pPr>
    </w:p>
    <w:p>
      <w:pPr>
        <w:pStyle w:val="5"/>
        <w:keepNext w:val="0"/>
        <w:keepLines w:val="0"/>
        <w:spacing w:before="0" w:line="240" w:lineRule="auto"/>
        <w:ind w:firstLine="2530" w:firstLineChars="900"/>
        <w:jc w:val="both"/>
        <w:rPr>
          <w:rFonts w:ascii="仿宋" w:hAnsi="仿宋" w:eastAsia="仿宋" w:cs="仿宋"/>
          <w:color w:val="000000"/>
          <w:sz w:val="28"/>
          <w:szCs w:val="28"/>
        </w:rPr>
      </w:pPr>
      <w:bookmarkStart w:id="393" w:name="_Toc28099"/>
      <w:bookmarkStart w:id="394" w:name="_Toc30795"/>
      <w:bookmarkStart w:id="395" w:name="_Toc522633294"/>
      <w:bookmarkStart w:id="396" w:name="_Toc9367"/>
      <w:bookmarkStart w:id="397" w:name="_Toc10002"/>
      <w:bookmarkStart w:id="398" w:name="_Toc515647827"/>
      <w:r>
        <w:rPr>
          <w:rFonts w:hint="eastAsia" w:ascii="仿宋" w:hAnsi="仿宋" w:eastAsia="仿宋" w:cs="仿宋"/>
          <w:color w:val="000000"/>
          <w:sz w:val="28"/>
          <w:szCs w:val="28"/>
        </w:rPr>
        <w:t>7   投标人关联单位的说明</w:t>
      </w:r>
      <w:bookmarkEnd w:id="393"/>
      <w:bookmarkEnd w:id="394"/>
      <w:bookmarkEnd w:id="395"/>
      <w:bookmarkEnd w:id="396"/>
      <w:bookmarkEnd w:id="397"/>
      <w:bookmarkEnd w:id="398"/>
    </w:p>
    <w:p>
      <w:pPr>
        <w:pStyle w:val="2"/>
        <w:ind w:firstLine="560" w:firstLineChars="200"/>
        <w:jc w:val="center"/>
        <w:rPr>
          <w:rFonts w:ascii="仿宋" w:hAnsi="仿宋" w:eastAsia="仿宋" w:cs="仿宋"/>
          <w:color w:val="000000"/>
          <w:sz w:val="28"/>
          <w:szCs w:val="28"/>
        </w:rPr>
      </w:pPr>
    </w:p>
    <w:p>
      <w:pPr>
        <w:pStyle w:val="2"/>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说明：投标人应当如实披露与本单位存在下列关联关系的单位名称：</w:t>
      </w:r>
    </w:p>
    <w:p>
      <w:pPr>
        <w:pStyle w:val="2"/>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（1）与投标人单位负责人为同一人的其他单位；</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xml:space="preserve">    （2）与投标人存在直接控股、管理关系的其他单位。</w:t>
      </w:r>
    </w:p>
    <w:p>
      <w:pPr>
        <w:pStyle w:val="2"/>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br w:type="page"/>
      </w:r>
    </w:p>
    <w:p>
      <w:pPr>
        <w:pStyle w:val="5"/>
        <w:keepNext w:val="0"/>
        <w:keepLines w:val="0"/>
        <w:spacing w:before="0" w:line="240" w:lineRule="auto"/>
        <w:ind w:left="540" w:leftChars="257" w:firstLine="562" w:firstLineChars="200"/>
        <w:rPr>
          <w:rFonts w:ascii="仿宋" w:hAnsi="仿宋" w:eastAsia="仿宋" w:cs="仿宋"/>
          <w:color w:val="000000"/>
          <w:sz w:val="28"/>
          <w:szCs w:val="28"/>
        </w:rPr>
      </w:pPr>
      <w:bookmarkStart w:id="399" w:name="_Toc23582"/>
      <w:bookmarkStart w:id="400" w:name="_Toc522633295"/>
      <w:r>
        <w:rPr>
          <w:rFonts w:hint="eastAsia" w:ascii="仿宋" w:hAnsi="仿宋" w:eastAsia="仿宋" w:cs="仿宋"/>
          <w:color w:val="000000"/>
          <w:sz w:val="28"/>
          <w:szCs w:val="28"/>
        </w:rPr>
        <w:t>8、其他有利于投标人的文件或证明材料</w:t>
      </w:r>
      <w:bookmarkEnd w:id="399"/>
      <w:bookmarkEnd w:id="400"/>
    </w:p>
    <w:p>
      <w:pPr>
        <w:pStyle w:val="2"/>
        <w:ind w:firstLine="560" w:firstLineChars="200"/>
        <w:rPr>
          <w:rFonts w:ascii="仿宋" w:hAnsi="仿宋" w:eastAsia="仿宋" w:cs="仿宋"/>
          <w:color w:val="000000"/>
          <w:sz w:val="28"/>
          <w:szCs w:val="28"/>
        </w:rPr>
      </w:pPr>
    </w:p>
    <w:p>
      <w:pPr>
        <w:pStyle w:val="2"/>
        <w:ind w:firstLine="560" w:firstLineChars="200"/>
        <w:rPr>
          <w:rFonts w:ascii="仿宋" w:hAnsi="仿宋" w:eastAsia="仿宋" w:cs="仿宋"/>
          <w:color w:val="000000"/>
          <w:sz w:val="28"/>
          <w:szCs w:val="28"/>
        </w:rPr>
        <w:sectPr>
          <w:pgSz w:w="11906" w:h="16838"/>
          <w:pgMar w:top="1440" w:right="1797" w:bottom="1440" w:left="1797" w:header="851" w:footer="992" w:gutter="0"/>
          <w:cols w:space="720" w:num="1"/>
          <w:docGrid w:linePitch="312" w:charSpace="0"/>
        </w:sectPr>
      </w:pPr>
      <w:r>
        <w:rPr>
          <w:rFonts w:hint="eastAsia" w:ascii="仿宋" w:hAnsi="仿宋" w:eastAsia="仿宋" w:cs="仿宋"/>
          <w:color w:val="000000"/>
          <w:sz w:val="28"/>
          <w:szCs w:val="28"/>
        </w:rPr>
        <w:t>注：参照“第六章评分方法和标准”，提供有力于投标人的其他证明文件或供货及服务方案。</w:t>
      </w:r>
    </w:p>
    <w:p>
      <w:pPr>
        <w:ind w:left="540" w:leftChars="257" w:firstLine="562" w:firstLineChars="200"/>
        <w:jc w:val="center"/>
        <w:rPr>
          <w:rFonts w:ascii="仿宋" w:hAnsi="仿宋" w:eastAsia="仿宋" w:cs="仿宋"/>
          <w:b/>
          <w:sz w:val="28"/>
          <w:szCs w:val="28"/>
        </w:rPr>
      </w:pPr>
      <w:r>
        <w:rPr>
          <w:rFonts w:hint="eastAsia" w:ascii="仿宋" w:hAnsi="仿宋" w:eastAsia="仿宋" w:cs="仿宋"/>
          <w:b/>
          <w:sz w:val="28"/>
          <w:szCs w:val="28"/>
        </w:rPr>
        <w:t xml:space="preserve"> </w:t>
      </w: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bCs/>
          <w:sz w:val="28"/>
          <w:szCs w:val="28"/>
        </w:rPr>
      </w:pPr>
    </w:p>
    <w:p>
      <w:pPr>
        <w:ind w:left="540" w:leftChars="257" w:firstLine="562" w:firstLineChars="200"/>
        <w:jc w:val="center"/>
        <w:rPr>
          <w:rFonts w:ascii="仿宋" w:hAnsi="仿宋" w:eastAsia="仿宋" w:cs="仿宋"/>
          <w:b/>
          <w:bCs/>
          <w:sz w:val="28"/>
          <w:szCs w:val="28"/>
        </w:rPr>
      </w:pPr>
    </w:p>
    <w:p>
      <w:pPr>
        <w:ind w:left="540" w:leftChars="257" w:firstLine="562" w:firstLineChars="200"/>
        <w:jc w:val="center"/>
        <w:rPr>
          <w:rFonts w:ascii="仿宋" w:hAnsi="仿宋" w:eastAsia="仿宋" w:cs="仿宋"/>
          <w:b/>
          <w:bCs/>
          <w:sz w:val="28"/>
          <w:szCs w:val="28"/>
        </w:rPr>
      </w:pPr>
    </w:p>
    <w:p>
      <w:pPr>
        <w:ind w:left="540" w:leftChars="257" w:firstLine="562" w:firstLineChars="200"/>
        <w:jc w:val="center"/>
        <w:rPr>
          <w:rFonts w:ascii="仿宋" w:hAnsi="仿宋" w:eastAsia="仿宋" w:cs="仿宋"/>
          <w:b/>
          <w:bCs/>
          <w:sz w:val="28"/>
          <w:szCs w:val="28"/>
        </w:rPr>
      </w:pPr>
    </w:p>
    <w:p>
      <w:pPr>
        <w:ind w:left="540" w:leftChars="257" w:firstLine="1968" w:firstLineChars="700"/>
        <w:rPr>
          <w:rFonts w:ascii="仿宋" w:hAnsi="仿宋" w:eastAsia="仿宋" w:cs="仿宋"/>
          <w:b/>
          <w:sz w:val="28"/>
          <w:szCs w:val="28"/>
        </w:rPr>
      </w:pPr>
    </w:p>
    <w:p>
      <w:pPr>
        <w:ind w:left="540" w:leftChars="257" w:firstLine="1968" w:firstLineChars="700"/>
        <w:rPr>
          <w:rFonts w:ascii="仿宋" w:hAnsi="仿宋" w:eastAsia="仿宋" w:cs="仿宋"/>
          <w:b/>
          <w:sz w:val="28"/>
          <w:szCs w:val="28"/>
        </w:rPr>
      </w:pPr>
    </w:p>
    <w:p>
      <w:pPr>
        <w:ind w:firstLine="3534" w:firstLineChars="800"/>
        <w:rPr>
          <w:rFonts w:ascii="仿宋" w:hAnsi="仿宋" w:eastAsia="仿宋" w:cs="仿宋"/>
          <w:b/>
          <w:sz w:val="44"/>
          <w:szCs w:val="44"/>
        </w:rPr>
      </w:pPr>
    </w:p>
    <w:p>
      <w:pPr>
        <w:ind w:firstLine="3534" w:firstLineChars="800"/>
        <w:rPr>
          <w:rFonts w:ascii="仿宋" w:hAnsi="仿宋" w:eastAsia="仿宋" w:cs="仿宋"/>
          <w:b/>
          <w:sz w:val="44"/>
          <w:szCs w:val="44"/>
        </w:rPr>
      </w:pPr>
    </w:p>
    <w:p>
      <w:pPr>
        <w:ind w:firstLine="3534" w:firstLineChars="800"/>
        <w:rPr>
          <w:rFonts w:ascii="仿宋" w:hAnsi="仿宋" w:eastAsia="仿宋" w:cs="仿宋"/>
          <w:b/>
          <w:sz w:val="44"/>
          <w:szCs w:val="44"/>
        </w:rPr>
      </w:pPr>
    </w:p>
    <w:p>
      <w:pPr>
        <w:ind w:firstLine="3534" w:firstLineChars="800"/>
        <w:rPr>
          <w:rFonts w:ascii="仿宋" w:hAnsi="仿宋" w:eastAsia="仿宋" w:cs="仿宋"/>
          <w:b/>
          <w:sz w:val="44"/>
          <w:szCs w:val="44"/>
        </w:rPr>
      </w:pPr>
    </w:p>
    <w:p>
      <w:pPr>
        <w:jc w:val="center"/>
        <w:rPr>
          <w:rFonts w:ascii="仿宋" w:hAnsi="仿宋" w:eastAsia="仿宋" w:cs="仿宋"/>
          <w:b/>
          <w:sz w:val="52"/>
          <w:szCs w:val="52"/>
        </w:rPr>
      </w:pPr>
      <w:r>
        <w:rPr>
          <w:rFonts w:hint="eastAsia" w:ascii="仿宋" w:hAnsi="仿宋" w:eastAsia="仿宋" w:cs="仿宋"/>
          <w:b/>
          <w:sz w:val="52"/>
          <w:szCs w:val="52"/>
        </w:rPr>
        <w:t>第二册</w:t>
      </w:r>
    </w:p>
    <w:p>
      <w:pPr>
        <w:ind w:left="540" w:leftChars="257" w:firstLine="562" w:firstLineChars="200"/>
        <w:rPr>
          <w:rFonts w:ascii="仿宋" w:hAnsi="仿宋" w:eastAsia="仿宋" w:cs="仿宋"/>
          <w:b/>
          <w:sz w:val="28"/>
          <w:szCs w:val="28"/>
        </w:rPr>
      </w:pPr>
    </w:p>
    <w:p>
      <w:pPr>
        <w:ind w:left="540" w:leftChars="257" w:firstLine="562" w:firstLineChars="200"/>
        <w:rPr>
          <w:rFonts w:ascii="仿宋" w:hAnsi="仿宋" w:eastAsia="仿宋" w:cs="仿宋"/>
          <w:b/>
          <w:sz w:val="28"/>
          <w:szCs w:val="28"/>
        </w:rPr>
      </w:pPr>
    </w:p>
    <w:p>
      <w:pPr>
        <w:ind w:left="540" w:leftChars="257" w:firstLine="562" w:firstLineChars="200"/>
        <w:rPr>
          <w:rFonts w:ascii="仿宋" w:hAnsi="仿宋" w:eastAsia="仿宋" w:cs="仿宋"/>
          <w:b/>
          <w:sz w:val="28"/>
          <w:szCs w:val="28"/>
        </w:rPr>
      </w:pPr>
    </w:p>
    <w:p>
      <w:pPr>
        <w:ind w:left="540" w:leftChars="257" w:firstLine="562" w:firstLineChars="200"/>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p>
    <w:p>
      <w:pPr>
        <w:pStyle w:val="2"/>
        <w:ind w:firstLine="562" w:firstLineChars="200"/>
        <w:jc w:val="both"/>
        <w:rPr>
          <w:rFonts w:ascii="仿宋" w:hAnsi="仿宋" w:eastAsia="仿宋" w:cs="仿宋"/>
          <w:b/>
          <w:sz w:val="28"/>
          <w:szCs w:val="28"/>
        </w:rPr>
      </w:pPr>
    </w:p>
    <w:p>
      <w:pPr>
        <w:pStyle w:val="2"/>
        <w:ind w:firstLine="562" w:firstLineChars="200"/>
        <w:jc w:val="both"/>
        <w:rPr>
          <w:rFonts w:ascii="仿宋" w:hAnsi="仿宋" w:eastAsia="仿宋" w:cs="仿宋"/>
          <w:b/>
          <w:color w:val="FF0000"/>
          <w:sz w:val="28"/>
          <w:szCs w:val="28"/>
        </w:rPr>
      </w:pPr>
    </w:p>
    <w:p>
      <w:pPr>
        <w:pStyle w:val="2"/>
        <w:ind w:firstLine="562" w:firstLineChars="200"/>
        <w:jc w:val="both"/>
        <w:rPr>
          <w:rFonts w:ascii="仿宋" w:hAnsi="仿宋" w:eastAsia="仿宋" w:cs="仿宋"/>
          <w:b/>
          <w:color w:val="FF0000"/>
          <w:sz w:val="28"/>
          <w:szCs w:val="28"/>
        </w:rPr>
      </w:pPr>
    </w:p>
    <w:p>
      <w:pPr>
        <w:pStyle w:val="2"/>
        <w:ind w:firstLine="562" w:firstLineChars="200"/>
        <w:jc w:val="both"/>
        <w:rPr>
          <w:rFonts w:ascii="仿宋" w:hAnsi="仿宋" w:eastAsia="仿宋" w:cs="仿宋"/>
          <w:b/>
          <w:color w:val="FF0000"/>
          <w:sz w:val="28"/>
          <w:szCs w:val="28"/>
        </w:rPr>
      </w:pPr>
    </w:p>
    <w:p>
      <w:pPr>
        <w:pStyle w:val="2"/>
        <w:ind w:firstLine="562" w:firstLineChars="200"/>
        <w:jc w:val="both"/>
        <w:rPr>
          <w:rFonts w:ascii="仿宋" w:hAnsi="仿宋" w:eastAsia="仿宋" w:cs="仿宋"/>
          <w:b/>
          <w:color w:val="FF0000"/>
          <w:sz w:val="28"/>
          <w:szCs w:val="28"/>
        </w:rPr>
      </w:pPr>
    </w:p>
    <w:p>
      <w:pPr>
        <w:pStyle w:val="2"/>
        <w:ind w:firstLine="3092" w:firstLineChars="1100"/>
        <w:jc w:val="both"/>
        <w:rPr>
          <w:rFonts w:ascii="仿宋" w:hAnsi="仿宋" w:eastAsia="仿宋" w:cs="仿宋"/>
          <w:b/>
          <w:color w:val="0C0C0C"/>
          <w:sz w:val="28"/>
          <w:szCs w:val="28"/>
        </w:rPr>
      </w:pPr>
    </w:p>
    <w:p>
      <w:pPr>
        <w:pStyle w:val="2"/>
        <w:ind w:firstLine="3092" w:firstLineChars="1100"/>
        <w:jc w:val="both"/>
        <w:rPr>
          <w:rFonts w:ascii="仿宋" w:hAnsi="仿宋" w:eastAsia="仿宋" w:cs="仿宋"/>
          <w:b/>
          <w:color w:val="0C0C0C"/>
          <w:sz w:val="28"/>
          <w:szCs w:val="28"/>
        </w:rPr>
      </w:pPr>
    </w:p>
    <w:p>
      <w:pPr>
        <w:pStyle w:val="2"/>
        <w:ind w:firstLine="3092" w:firstLineChars="1100"/>
        <w:jc w:val="both"/>
        <w:rPr>
          <w:rFonts w:ascii="仿宋" w:hAnsi="仿宋" w:eastAsia="仿宋" w:cs="仿宋"/>
          <w:b/>
          <w:color w:val="0C0C0C"/>
          <w:sz w:val="28"/>
          <w:szCs w:val="28"/>
        </w:rPr>
      </w:pPr>
    </w:p>
    <w:p>
      <w:pPr>
        <w:pStyle w:val="4"/>
        <w:numPr>
          <w:ilvl w:val="0"/>
          <w:numId w:val="4"/>
        </w:numPr>
        <w:spacing w:before="0" w:after="0" w:line="240" w:lineRule="auto"/>
        <w:ind w:firstLine="2891" w:firstLineChars="900"/>
        <w:jc w:val="both"/>
        <w:rPr>
          <w:rFonts w:ascii="仿宋" w:hAnsi="仿宋" w:eastAsia="仿宋" w:cs="仿宋"/>
          <w:szCs w:val="32"/>
        </w:rPr>
      </w:pPr>
      <w:bookmarkStart w:id="401" w:name="_Toc10163"/>
      <w:r>
        <w:rPr>
          <w:rFonts w:hint="eastAsia" w:ascii="仿宋" w:hAnsi="仿宋" w:eastAsia="仿宋" w:cs="仿宋"/>
          <w:szCs w:val="32"/>
        </w:rPr>
        <w:t>投标邀请</w:t>
      </w:r>
      <w:bookmarkEnd w:id="401"/>
    </w:p>
    <w:p/>
    <w:p>
      <w:pPr>
        <w:widowControl/>
        <w:ind w:firstLine="480" w:firstLineChars="200"/>
        <w:rPr>
          <w:rFonts w:ascii="仿宋" w:hAnsi="仿宋" w:eastAsia="仿宋" w:cs="仿宋"/>
          <w:b/>
          <w:bCs/>
          <w:kern w:val="0"/>
          <w:sz w:val="24"/>
        </w:rPr>
      </w:pPr>
      <w:r>
        <w:rPr>
          <w:rFonts w:hint="eastAsia" w:ascii="仿宋" w:hAnsi="仿宋" w:eastAsia="仿宋" w:cs="仿宋"/>
          <w:sz w:val="24"/>
        </w:rPr>
        <w:t>新疆天健建设工程项目管理有限公司</w:t>
      </w:r>
      <w:r>
        <w:rPr>
          <w:rFonts w:hint="eastAsia" w:ascii="仿宋" w:hAnsi="仿宋" w:eastAsia="仿宋" w:cs="仿宋"/>
          <w:kern w:val="0"/>
          <w:sz w:val="24"/>
        </w:rPr>
        <w:t>受喀什大学委托，就“喀什大学计算机科学与技术学院大数据与人工智能实验室平台项目”进行公开招标，现邀请合格供应商前来投标。</w:t>
      </w:r>
    </w:p>
    <w:p>
      <w:pPr>
        <w:widowControl/>
        <w:ind w:firstLine="482" w:firstLineChars="200"/>
        <w:rPr>
          <w:rFonts w:ascii="仿宋" w:hAnsi="仿宋" w:eastAsia="仿宋" w:cs="仿宋"/>
          <w:b/>
          <w:bCs/>
          <w:kern w:val="0"/>
          <w:sz w:val="24"/>
        </w:rPr>
      </w:pPr>
      <w:r>
        <w:rPr>
          <w:rFonts w:hint="eastAsia" w:ascii="仿宋" w:hAnsi="仿宋" w:eastAsia="仿宋" w:cs="仿宋"/>
          <w:b/>
          <w:bCs/>
          <w:kern w:val="0"/>
          <w:sz w:val="24"/>
        </w:rPr>
        <w:t>一、项目基本情况</w:t>
      </w:r>
    </w:p>
    <w:p>
      <w:pPr>
        <w:ind w:firstLine="480" w:firstLineChars="200"/>
        <w:rPr>
          <w:rFonts w:ascii="仿宋" w:hAnsi="仿宋" w:eastAsia="仿宋" w:cs="仿宋"/>
          <w:kern w:val="0"/>
          <w:sz w:val="24"/>
        </w:rPr>
      </w:pPr>
      <w:r>
        <w:rPr>
          <w:rFonts w:hint="eastAsia" w:ascii="仿宋" w:hAnsi="仿宋" w:eastAsia="仿宋" w:cs="仿宋"/>
          <w:sz w:val="24"/>
        </w:rPr>
        <w:t>1、项目名称：喀什大学</w:t>
      </w:r>
      <w:r>
        <w:rPr>
          <w:rFonts w:hint="eastAsia" w:ascii="仿宋" w:hAnsi="仿宋" w:eastAsia="仿宋" w:cs="仿宋"/>
          <w:kern w:val="0"/>
          <w:sz w:val="24"/>
        </w:rPr>
        <w:t>计算机科学与技术学院大数据与人工智能实验室平台项目</w:t>
      </w:r>
    </w:p>
    <w:p>
      <w:pPr>
        <w:ind w:firstLine="480" w:firstLineChars="200"/>
        <w:rPr>
          <w:rFonts w:ascii="仿宋" w:hAnsi="仿宋" w:eastAsia="仿宋" w:cs="仿宋"/>
          <w:sz w:val="24"/>
        </w:rPr>
      </w:pPr>
      <w:r>
        <w:rPr>
          <w:rFonts w:hint="eastAsia" w:ascii="仿宋" w:hAnsi="仿宋" w:eastAsia="仿宋" w:cs="仿宋"/>
          <w:sz w:val="24"/>
        </w:rPr>
        <w:t>2、项目编号：KSDX(GK)(2021)-TJ-02号</w:t>
      </w:r>
    </w:p>
    <w:p>
      <w:pPr>
        <w:ind w:firstLine="480" w:firstLineChars="200"/>
        <w:rPr>
          <w:rFonts w:ascii="仿宋" w:hAnsi="仿宋" w:eastAsia="仿宋" w:cs="仿宋"/>
          <w:sz w:val="24"/>
        </w:rPr>
      </w:pPr>
      <w:r>
        <w:rPr>
          <w:rFonts w:hint="eastAsia" w:ascii="仿宋" w:hAnsi="仿宋" w:eastAsia="仿宋" w:cs="仿宋"/>
          <w:sz w:val="24"/>
        </w:rPr>
        <w:t>3、采购单位： 喀什大学</w:t>
      </w:r>
    </w:p>
    <w:p>
      <w:pPr>
        <w:ind w:firstLine="480" w:firstLineChars="200"/>
        <w:rPr>
          <w:rFonts w:ascii="仿宋" w:hAnsi="仿宋" w:eastAsia="仿宋" w:cs="仿宋"/>
          <w:sz w:val="24"/>
        </w:rPr>
      </w:pPr>
      <w:r>
        <w:rPr>
          <w:rFonts w:hint="eastAsia" w:ascii="仿宋" w:hAnsi="仿宋" w:eastAsia="仿宋" w:cs="仿宋"/>
          <w:sz w:val="24"/>
        </w:rPr>
        <w:t>4、代理机构：新疆天健建设工程项目管理有限公司</w:t>
      </w:r>
    </w:p>
    <w:p>
      <w:pPr>
        <w:ind w:left="479" w:leftChars="228"/>
        <w:rPr>
          <w:rFonts w:ascii="仿宋" w:hAnsi="仿宋" w:eastAsia="仿宋" w:cs="仿宋"/>
          <w:sz w:val="24"/>
        </w:rPr>
      </w:pPr>
      <w:r>
        <w:rPr>
          <w:rFonts w:hint="eastAsia" w:ascii="仿宋" w:hAnsi="仿宋" w:eastAsia="仿宋" w:cs="仿宋"/>
          <w:sz w:val="24"/>
        </w:rPr>
        <w:t>5、交货地点：</w:t>
      </w:r>
      <w:r>
        <w:rPr>
          <w:rFonts w:hint="eastAsia" w:ascii="仿宋" w:hAnsi="仿宋" w:eastAsia="仿宋" w:cs="仿宋"/>
          <w:kern w:val="0"/>
          <w:sz w:val="24"/>
        </w:rPr>
        <w:t>计算机科学与技术学院</w:t>
      </w:r>
    </w:p>
    <w:p>
      <w:pPr>
        <w:ind w:left="479" w:leftChars="228"/>
        <w:rPr>
          <w:rFonts w:ascii="仿宋" w:hAnsi="仿宋" w:eastAsia="仿宋" w:cs="仿宋"/>
          <w:b/>
          <w:bCs/>
          <w:sz w:val="24"/>
        </w:rPr>
      </w:pPr>
      <w:r>
        <w:rPr>
          <w:rFonts w:hint="eastAsia" w:ascii="仿宋" w:hAnsi="仿宋" w:eastAsia="仿宋" w:cs="仿宋"/>
          <w:b/>
          <w:bCs/>
          <w:sz w:val="24"/>
        </w:rPr>
        <w:t>6、采购内容及预算金额:4600000元（肆佰陆拾万元整）</w:t>
      </w:r>
    </w:p>
    <w:tbl>
      <w:tblPr>
        <w:tblStyle w:val="15"/>
        <w:tblpPr w:leftFromText="180" w:rightFromText="180" w:vertAnchor="text" w:horzAnchor="page" w:tblpXSpec="center" w:tblpY="306"/>
        <w:tblOverlap w:val="never"/>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565"/>
        <w:gridCol w:w="1680"/>
        <w:gridCol w:w="916"/>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79" w:type="dxa"/>
            <w:vAlign w:val="center"/>
          </w:tcPr>
          <w:p>
            <w:pPr>
              <w:pStyle w:val="2"/>
              <w:ind w:firstLine="0"/>
              <w:jc w:val="center"/>
              <w:rPr>
                <w:rFonts w:ascii="仿宋" w:hAnsi="仿宋" w:eastAsia="仿宋" w:cs="仿宋"/>
                <w:b/>
                <w:bCs/>
                <w:szCs w:val="24"/>
              </w:rPr>
            </w:pPr>
            <w:r>
              <w:rPr>
                <w:rFonts w:hint="eastAsia" w:ascii="仿宋" w:hAnsi="仿宋" w:eastAsia="仿宋" w:cs="仿宋"/>
                <w:b/>
                <w:bCs/>
                <w:szCs w:val="24"/>
              </w:rPr>
              <w:t>标项序号</w:t>
            </w:r>
          </w:p>
        </w:tc>
        <w:tc>
          <w:tcPr>
            <w:tcW w:w="2565" w:type="dxa"/>
            <w:vAlign w:val="center"/>
          </w:tcPr>
          <w:p>
            <w:pPr>
              <w:pStyle w:val="2"/>
              <w:ind w:firstLine="0"/>
              <w:jc w:val="center"/>
              <w:rPr>
                <w:rFonts w:ascii="仿宋" w:hAnsi="仿宋" w:eastAsia="仿宋" w:cs="仿宋"/>
                <w:b/>
                <w:bCs/>
                <w:szCs w:val="24"/>
              </w:rPr>
            </w:pPr>
            <w:r>
              <w:rPr>
                <w:rFonts w:hint="eastAsia" w:ascii="仿宋" w:hAnsi="仿宋" w:eastAsia="仿宋" w:cs="仿宋"/>
                <w:b/>
                <w:bCs/>
                <w:szCs w:val="24"/>
              </w:rPr>
              <w:t>标项名称</w:t>
            </w:r>
          </w:p>
        </w:tc>
        <w:tc>
          <w:tcPr>
            <w:tcW w:w="1680" w:type="dxa"/>
            <w:vAlign w:val="center"/>
          </w:tcPr>
          <w:p>
            <w:pPr>
              <w:pStyle w:val="2"/>
              <w:ind w:firstLine="0"/>
              <w:jc w:val="center"/>
              <w:rPr>
                <w:rFonts w:ascii="仿宋" w:hAnsi="仿宋" w:eastAsia="仿宋" w:cs="仿宋"/>
                <w:b/>
                <w:bCs/>
                <w:szCs w:val="24"/>
              </w:rPr>
            </w:pPr>
            <w:r>
              <w:rPr>
                <w:rFonts w:hint="eastAsia" w:ascii="仿宋" w:hAnsi="仿宋" w:eastAsia="仿宋" w:cs="仿宋"/>
                <w:b/>
                <w:bCs/>
                <w:szCs w:val="24"/>
              </w:rPr>
              <w:t>预算金额（元）</w:t>
            </w:r>
          </w:p>
        </w:tc>
        <w:tc>
          <w:tcPr>
            <w:tcW w:w="916" w:type="dxa"/>
            <w:vAlign w:val="center"/>
          </w:tcPr>
          <w:p>
            <w:pPr>
              <w:pStyle w:val="2"/>
              <w:ind w:firstLine="0"/>
              <w:jc w:val="center"/>
              <w:rPr>
                <w:rFonts w:ascii="仿宋" w:hAnsi="仿宋" w:eastAsia="仿宋" w:cs="仿宋"/>
                <w:b/>
                <w:bCs/>
                <w:szCs w:val="24"/>
              </w:rPr>
            </w:pPr>
            <w:r>
              <w:rPr>
                <w:rFonts w:hint="eastAsia" w:ascii="仿宋" w:hAnsi="仿宋" w:eastAsia="仿宋" w:cs="仿宋"/>
                <w:b/>
                <w:bCs/>
                <w:szCs w:val="24"/>
              </w:rPr>
              <w:t>单位</w:t>
            </w:r>
          </w:p>
        </w:tc>
        <w:tc>
          <w:tcPr>
            <w:tcW w:w="1918" w:type="dxa"/>
            <w:vAlign w:val="center"/>
          </w:tcPr>
          <w:p>
            <w:pPr>
              <w:pStyle w:val="2"/>
              <w:ind w:firstLine="0"/>
              <w:jc w:val="center"/>
              <w:rPr>
                <w:rFonts w:ascii="仿宋" w:hAnsi="仿宋" w:eastAsia="仿宋" w:cs="仿宋"/>
                <w:b/>
                <w:bCs/>
                <w:szCs w:val="24"/>
              </w:rPr>
            </w:pPr>
            <w:r>
              <w:rPr>
                <w:rFonts w:hint="eastAsia" w:ascii="仿宋" w:hAnsi="仿宋" w:eastAsia="仿宋" w:cs="仿宋"/>
                <w:b/>
                <w:bCs/>
                <w:szCs w:val="24"/>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79" w:type="dxa"/>
            <w:vAlign w:val="center"/>
          </w:tcPr>
          <w:p>
            <w:pPr>
              <w:pStyle w:val="2"/>
              <w:jc w:val="both"/>
              <w:rPr>
                <w:rFonts w:ascii="仿宋" w:hAnsi="仿宋" w:eastAsia="仿宋" w:cs="仿宋"/>
                <w:b/>
                <w:bCs/>
                <w:szCs w:val="24"/>
              </w:rPr>
            </w:pPr>
            <w:r>
              <w:rPr>
                <w:rFonts w:hint="eastAsia" w:ascii="仿宋" w:hAnsi="仿宋" w:eastAsia="仿宋" w:cs="仿宋"/>
                <w:b/>
                <w:bCs/>
                <w:szCs w:val="24"/>
              </w:rPr>
              <w:t>1</w:t>
            </w:r>
          </w:p>
        </w:tc>
        <w:tc>
          <w:tcPr>
            <w:tcW w:w="2565" w:type="dxa"/>
            <w:vAlign w:val="center"/>
          </w:tcPr>
          <w:p>
            <w:pPr>
              <w:rPr>
                <w:rFonts w:ascii="仿宋" w:hAnsi="仿宋" w:eastAsia="仿宋" w:cs="仿宋"/>
                <w:b/>
                <w:bCs/>
                <w:color w:val="FF0000"/>
              </w:rPr>
            </w:pPr>
            <w:r>
              <w:rPr>
                <w:rFonts w:hint="eastAsia" w:ascii="仿宋" w:hAnsi="仿宋" w:eastAsia="仿宋" w:cs="仿宋"/>
                <w:b/>
                <w:bCs/>
                <w:kern w:val="0"/>
                <w:sz w:val="24"/>
              </w:rPr>
              <w:t>喀什大学计算机科学与技术学院大数据与人工智能实验室平台项目</w:t>
            </w:r>
          </w:p>
        </w:tc>
        <w:tc>
          <w:tcPr>
            <w:tcW w:w="1680" w:type="dxa"/>
            <w:vAlign w:val="center"/>
          </w:tcPr>
          <w:p>
            <w:pPr>
              <w:pStyle w:val="2"/>
              <w:ind w:firstLine="0"/>
              <w:jc w:val="center"/>
              <w:rPr>
                <w:rFonts w:ascii="仿宋" w:hAnsi="仿宋" w:eastAsia="仿宋" w:cs="仿宋"/>
                <w:b/>
                <w:bCs/>
                <w:szCs w:val="24"/>
              </w:rPr>
            </w:pPr>
            <w:r>
              <w:rPr>
                <w:rFonts w:hint="eastAsia" w:ascii="仿宋" w:hAnsi="仿宋" w:eastAsia="仿宋" w:cs="仿宋"/>
                <w:b/>
                <w:bCs/>
                <w:szCs w:val="24"/>
              </w:rPr>
              <w:t>4600000</w:t>
            </w:r>
          </w:p>
        </w:tc>
        <w:tc>
          <w:tcPr>
            <w:tcW w:w="916" w:type="dxa"/>
            <w:vAlign w:val="center"/>
          </w:tcPr>
          <w:p>
            <w:pPr>
              <w:pStyle w:val="2"/>
              <w:jc w:val="both"/>
              <w:rPr>
                <w:rFonts w:ascii="仿宋" w:hAnsi="仿宋" w:eastAsia="仿宋" w:cs="仿宋"/>
                <w:b/>
                <w:bCs/>
                <w:szCs w:val="24"/>
              </w:rPr>
            </w:pPr>
            <w:r>
              <w:rPr>
                <w:rFonts w:hint="eastAsia" w:ascii="仿宋" w:hAnsi="仿宋" w:eastAsia="仿宋" w:cs="仿宋"/>
                <w:b/>
                <w:bCs/>
                <w:szCs w:val="24"/>
              </w:rPr>
              <w:t>批</w:t>
            </w:r>
          </w:p>
        </w:tc>
        <w:tc>
          <w:tcPr>
            <w:tcW w:w="1918" w:type="dxa"/>
            <w:vAlign w:val="center"/>
          </w:tcPr>
          <w:p>
            <w:pPr>
              <w:pStyle w:val="2"/>
              <w:ind w:firstLine="0"/>
              <w:jc w:val="both"/>
              <w:rPr>
                <w:rFonts w:ascii="仿宋" w:hAnsi="仿宋" w:eastAsia="仿宋" w:cs="仿宋"/>
                <w:b/>
                <w:bCs/>
                <w:szCs w:val="24"/>
              </w:rPr>
            </w:pPr>
            <w:r>
              <w:rPr>
                <w:rFonts w:hint="eastAsia" w:ascii="仿宋" w:hAnsi="仿宋" w:eastAsia="仿宋" w:cs="仿宋"/>
                <w:b/>
                <w:bCs/>
                <w:szCs w:val="24"/>
              </w:rPr>
              <w:t>详见招标文件</w:t>
            </w:r>
          </w:p>
        </w:tc>
      </w:tr>
    </w:tbl>
    <w:p>
      <w:pPr>
        <w:ind w:firstLine="241" w:firstLineChars="100"/>
        <w:rPr>
          <w:rFonts w:ascii="仿宋" w:hAnsi="仿宋" w:eastAsia="仿宋" w:cs="仿宋"/>
          <w:b/>
          <w:bCs/>
          <w:sz w:val="24"/>
        </w:rPr>
      </w:pPr>
      <w:r>
        <w:rPr>
          <w:rFonts w:hint="eastAsia" w:ascii="仿宋" w:hAnsi="仿宋" w:eastAsia="仿宋" w:cs="仿宋"/>
          <w:b/>
          <w:bCs/>
          <w:sz w:val="24"/>
        </w:rPr>
        <w:t>二、投标供应商资格要求：</w:t>
      </w:r>
    </w:p>
    <w:p>
      <w:pPr>
        <w:pStyle w:val="19"/>
        <w:ind w:firstLine="480"/>
        <w:rPr>
          <w:rFonts w:ascii="仿宋" w:hAnsi="仿宋" w:eastAsia="仿宋" w:cs="仿宋"/>
          <w:color w:val="auto"/>
          <w:kern w:val="0"/>
          <w:sz w:val="24"/>
          <w:lang w:bidi="ar"/>
        </w:rPr>
      </w:pPr>
      <w:r>
        <w:rPr>
          <w:rFonts w:hint="eastAsia" w:ascii="仿宋" w:hAnsi="仿宋" w:eastAsia="仿宋" w:cs="仿宋"/>
          <w:color w:val="auto"/>
          <w:kern w:val="0"/>
          <w:sz w:val="24"/>
          <w:lang w:bidi="ar"/>
        </w:rPr>
        <w:t>1、投标人必须满足《中华人民共和国政府采购法》第二十二条要求；</w:t>
      </w:r>
    </w:p>
    <w:p>
      <w:pPr>
        <w:pStyle w:val="19"/>
        <w:ind w:firstLine="480"/>
        <w:rPr>
          <w:rFonts w:ascii="仿宋" w:hAnsi="仿宋" w:eastAsia="仿宋" w:cs="仿宋"/>
          <w:color w:val="auto"/>
          <w:kern w:val="0"/>
          <w:sz w:val="24"/>
          <w:lang w:bidi="ar"/>
        </w:rPr>
      </w:pPr>
      <w:r>
        <w:rPr>
          <w:rFonts w:hint="eastAsia" w:ascii="仿宋" w:hAnsi="仿宋" w:eastAsia="仿宋" w:cs="仿宋"/>
          <w:color w:val="auto"/>
          <w:kern w:val="0"/>
          <w:sz w:val="24"/>
          <w:lang w:bidi="ar"/>
        </w:rPr>
        <w:t>2、三证合一的营业执照；</w:t>
      </w:r>
    </w:p>
    <w:p>
      <w:pPr>
        <w:widowControl/>
        <w:ind w:firstLine="480" w:firstLineChars="200"/>
        <w:rPr>
          <w:rFonts w:ascii="仿宋" w:hAnsi="仿宋" w:eastAsia="仿宋" w:cs="仿宋"/>
          <w:color w:val="auto"/>
          <w:kern w:val="0"/>
          <w:sz w:val="24"/>
          <w:lang w:bidi="ar"/>
        </w:rPr>
      </w:pPr>
      <w:r>
        <w:rPr>
          <w:rFonts w:hint="eastAsia" w:ascii="仿宋" w:hAnsi="仿宋" w:eastAsia="仿宋" w:cs="仿宋"/>
          <w:color w:val="auto"/>
          <w:kern w:val="0"/>
          <w:sz w:val="24"/>
          <w:lang w:bidi="ar"/>
        </w:rPr>
        <w:t>3、法定代表人授权委托书及授权委托人身份证（法定代表人投标提供法身份证原件、）反商业行贿承诺书（加盖公章）原件；</w:t>
      </w:r>
    </w:p>
    <w:p>
      <w:pPr>
        <w:pStyle w:val="19"/>
        <w:ind w:firstLine="480"/>
        <w:jc w:val="left"/>
        <w:rPr>
          <w:rFonts w:ascii="仿宋" w:hAnsi="仿宋" w:eastAsia="仿宋" w:cs="仿宋"/>
          <w:color w:val="auto"/>
          <w:sz w:val="24"/>
        </w:rPr>
      </w:pPr>
      <w:r>
        <w:rPr>
          <w:rFonts w:hint="eastAsia" w:ascii="仿宋" w:hAnsi="仿宋" w:eastAsia="仿宋" w:cs="仿宋"/>
          <w:color w:val="auto"/>
          <w:sz w:val="24"/>
        </w:rPr>
        <w:t>4、在本公告发出至投标截止间内在“信用中国”网站（http://www.creditchina.gov.cn）、中国政府采购网（http://www.ccgp.gov.cn）、国家企业信用信息公示系统(http://www.gsxt.gov.cn)无尚在处罚期内的不良行为记录网上截图打印加盖公章；</w:t>
      </w:r>
    </w:p>
    <w:p>
      <w:pPr>
        <w:pStyle w:val="19"/>
        <w:ind w:firstLine="480"/>
        <w:jc w:val="left"/>
        <w:rPr>
          <w:rFonts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5、参加政府采购活动前三年内，在经营活动中没有重大违法记录声明；</w:t>
      </w:r>
    </w:p>
    <w:p>
      <w:pPr>
        <w:ind w:firstLine="480" w:firstLineChars="200"/>
        <w:jc w:val="left"/>
        <w:rPr>
          <w:rFonts w:ascii="仿宋" w:hAnsi="仿宋" w:eastAsia="仿宋" w:cs="仿宋"/>
          <w:color w:val="auto"/>
          <w:sz w:val="24"/>
        </w:rPr>
      </w:pPr>
      <w:r>
        <w:rPr>
          <w:rFonts w:hint="eastAsia" w:ascii="仿宋" w:hAnsi="仿宋" w:eastAsia="仿宋" w:cs="仿宋"/>
          <w:color w:val="auto"/>
          <w:sz w:val="24"/>
        </w:rPr>
        <w:t xml:space="preserve">6、具有良好的商业信誉和健全的财务会计制度；（提供近两年审计报告原件；新成立不满一年的公司须提供近三个月的财务报告）； </w:t>
      </w:r>
    </w:p>
    <w:p>
      <w:pPr>
        <w:ind w:firstLine="480" w:firstLineChars="200"/>
        <w:jc w:val="left"/>
        <w:rPr>
          <w:rFonts w:ascii="仿宋" w:hAnsi="仿宋" w:eastAsia="仿宋" w:cs="仿宋"/>
          <w:color w:val="auto"/>
          <w:sz w:val="24"/>
        </w:rPr>
      </w:pPr>
      <w:r>
        <w:rPr>
          <w:rFonts w:hint="eastAsia" w:ascii="仿宋" w:hAnsi="仿宋" w:eastAsia="仿宋" w:cs="仿宋"/>
          <w:color w:val="auto"/>
          <w:sz w:val="24"/>
        </w:rPr>
        <w:t>7、被委托人必须是投标单位法人或正式员工，需提供社保部门出具的投标单位上一季度的缴纳社保证明（社保缴费凭证和个人明细表）原件；</w:t>
      </w:r>
    </w:p>
    <w:p>
      <w:pPr>
        <w:ind w:firstLine="480" w:firstLineChars="200"/>
        <w:jc w:val="left"/>
        <w:rPr>
          <w:rFonts w:ascii="仿宋" w:hAnsi="仿宋" w:eastAsia="仿宋" w:cs="仿宋"/>
          <w:color w:val="auto"/>
          <w:sz w:val="24"/>
        </w:rPr>
      </w:pPr>
      <w:r>
        <w:rPr>
          <w:rFonts w:hint="eastAsia" w:ascii="仿宋" w:hAnsi="仿宋" w:eastAsia="仿宋" w:cs="仿宋"/>
          <w:color w:val="auto"/>
          <w:sz w:val="24"/>
        </w:rPr>
        <w:t>8、具有履行合同所必需的设备和专业技术能力的承诺及证明资料；</w:t>
      </w:r>
    </w:p>
    <w:p>
      <w:pPr>
        <w:widowControl/>
        <w:ind w:firstLine="480" w:firstLineChars="200"/>
        <w:rPr>
          <w:rFonts w:ascii="仿宋" w:hAnsi="仿宋" w:eastAsia="仿宋" w:cs="仿宋"/>
          <w:color w:val="auto"/>
          <w:kern w:val="0"/>
          <w:sz w:val="24"/>
          <w:lang w:bidi="ar"/>
        </w:rPr>
      </w:pPr>
      <w:r>
        <w:rPr>
          <w:rFonts w:hint="eastAsia" w:ascii="仿宋" w:hAnsi="仿宋" w:eastAsia="仿宋" w:cs="仿宋"/>
          <w:color w:val="auto"/>
          <w:kern w:val="0"/>
          <w:sz w:val="24"/>
          <w:lang w:bidi="ar"/>
        </w:rPr>
        <w:t>9、本项目不接受联合体投标，其他要求详见招标文件；</w:t>
      </w:r>
    </w:p>
    <w:p>
      <w:pPr>
        <w:jc w:val="left"/>
        <w:rPr>
          <w:rFonts w:ascii="仿宋" w:hAnsi="仿宋" w:eastAsia="仿宋" w:cs="仿宋"/>
          <w:b/>
          <w:bCs/>
          <w:color w:val="auto"/>
          <w:kern w:val="0"/>
          <w:sz w:val="24"/>
        </w:rPr>
      </w:pPr>
      <w:r>
        <w:rPr>
          <w:rFonts w:hint="eastAsia" w:ascii="仿宋" w:hAnsi="仿宋" w:eastAsia="仿宋" w:cs="仿宋"/>
          <w:b/>
          <w:bCs/>
          <w:color w:val="auto"/>
          <w:kern w:val="0"/>
          <w:sz w:val="24"/>
        </w:rPr>
        <w:t>三、招标文件的获取时间、地址：</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1、招标文件获取方式：凡拟参加本次招标项目的供应商，可线下获取。</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sz w:val="24"/>
        </w:rPr>
        <w:t>2、报名获取时间</w:t>
      </w:r>
      <w:r>
        <w:rPr>
          <w:rFonts w:hint="eastAsia" w:ascii="仿宋" w:hAnsi="仿宋" w:eastAsia="仿宋" w:cs="仿宋"/>
          <w:color w:val="auto"/>
          <w:sz w:val="24"/>
        </w:rPr>
        <w:t>：2021年3月</w:t>
      </w:r>
      <w:r>
        <w:rPr>
          <w:rFonts w:hint="eastAsia" w:ascii="仿宋" w:hAnsi="仿宋" w:eastAsia="仿宋" w:cs="仿宋"/>
          <w:color w:val="auto"/>
          <w:sz w:val="24"/>
          <w:lang w:val="en-US" w:eastAsia="zh-CN"/>
        </w:rPr>
        <w:t>10</w:t>
      </w:r>
      <w:r>
        <w:rPr>
          <w:rFonts w:hint="eastAsia" w:ascii="仿宋" w:hAnsi="仿宋" w:eastAsia="仿宋" w:cs="仿宋"/>
          <w:color w:val="auto"/>
          <w:sz w:val="24"/>
        </w:rPr>
        <w:t>日起至2021年3月1</w:t>
      </w:r>
      <w:r>
        <w:rPr>
          <w:rFonts w:hint="eastAsia" w:ascii="仿宋" w:hAnsi="仿宋" w:eastAsia="仿宋" w:cs="仿宋"/>
          <w:color w:val="auto"/>
          <w:sz w:val="24"/>
          <w:lang w:val="en-US" w:eastAsia="zh-CN"/>
        </w:rPr>
        <w:t>7</w:t>
      </w:r>
      <w:r>
        <w:rPr>
          <w:rFonts w:hint="eastAsia" w:ascii="仿宋" w:hAnsi="仿宋" w:eastAsia="仿宋" w:cs="仿宋"/>
          <w:color w:val="auto"/>
          <w:sz w:val="24"/>
        </w:rPr>
        <w:t>日【上午10:00-13:30时及下午16:00-19:30时（北京时间)】；</w:t>
      </w:r>
    </w:p>
    <w:p>
      <w:pPr>
        <w:pStyle w:val="2"/>
        <w:spacing w:line="360" w:lineRule="auto"/>
        <w:rPr>
          <w:rFonts w:ascii="仿宋" w:hAnsi="仿宋" w:eastAsia="仿宋" w:cs="仿宋"/>
          <w:color w:val="auto"/>
          <w:kern w:val="2"/>
          <w:szCs w:val="24"/>
        </w:rPr>
      </w:pPr>
      <w:r>
        <w:rPr>
          <w:rFonts w:hint="eastAsia" w:ascii="仿宋" w:hAnsi="仿宋" w:eastAsia="仿宋" w:cs="仿宋"/>
          <w:color w:val="auto"/>
          <w:kern w:val="2"/>
          <w:szCs w:val="24"/>
        </w:rPr>
        <w:t>3、报名获取地址：喀什市中亚商贸第一城3号楼二楼60号</w:t>
      </w:r>
    </w:p>
    <w:p>
      <w:pPr>
        <w:pStyle w:val="2"/>
        <w:spacing w:line="360" w:lineRule="auto"/>
        <w:rPr>
          <w:rFonts w:ascii="仿宋" w:hAnsi="仿宋" w:eastAsia="仿宋" w:cs="仿宋"/>
          <w:kern w:val="2"/>
          <w:szCs w:val="24"/>
        </w:rPr>
      </w:pPr>
      <w:r>
        <w:rPr>
          <w:rFonts w:hint="eastAsia" w:ascii="仿宋" w:hAnsi="仿宋" w:eastAsia="仿宋" w:cs="仿宋"/>
          <w:kern w:val="2"/>
          <w:szCs w:val="24"/>
        </w:rPr>
        <w:t>4、获取费用：200元</w:t>
      </w:r>
    </w:p>
    <w:p>
      <w:pPr>
        <w:widowControl/>
        <w:spacing w:line="360" w:lineRule="auto"/>
        <w:jc w:val="left"/>
        <w:rPr>
          <w:rFonts w:ascii="仿宋" w:hAnsi="仿宋" w:eastAsia="仿宋" w:cs="仿宋"/>
          <w:b/>
          <w:bCs/>
          <w:kern w:val="0"/>
          <w:sz w:val="24"/>
        </w:rPr>
      </w:pPr>
      <w:r>
        <w:rPr>
          <w:rFonts w:hint="eastAsia" w:ascii="仿宋" w:hAnsi="仿宋" w:eastAsia="仿宋" w:cs="仿宋"/>
          <w:b/>
          <w:bCs/>
          <w:kern w:val="0"/>
          <w:sz w:val="24"/>
        </w:rPr>
        <w:t>四、开标时间及开标地点：</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sz w:val="24"/>
        </w:rPr>
        <w:t>1、投标截止时间及开标时间：</w:t>
      </w:r>
      <w:r>
        <w:rPr>
          <w:rFonts w:hint="eastAsia" w:ascii="仿宋" w:hAnsi="仿宋" w:eastAsia="仿宋" w:cs="仿宋"/>
          <w:color w:val="auto"/>
          <w:sz w:val="24"/>
        </w:rPr>
        <w:t xml:space="preserve">2021年 3月 </w:t>
      </w:r>
      <w:r>
        <w:rPr>
          <w:rFonts w:hint="eastAsia" w:ascii="仿宋" w:hAnsi="仿宋" w:eastAsia="仿宋" w:cs="仿宋"/>
          <w:color w:val="auto"/>
          <w:sz w:val="24"/>
          <w:lang w:val="en-US" w:eastAsia="zh-CN"/>
        </w:rPr>
        <w:t>30</w:t>
      </w:r>
      <w:r>
        <w:rPr>
          <w:rFonts w:hint="eastAsia" w:ascii="仿宋" w:hAnsi="仿宋" w:eastAsia="仿宋" w:cs="仿宋"/>
          <w:color w:val="auto"/>
          <w:sz w:val="24"/>
        </w:rPr>
        <w:t>日上午11:00(北京时间)；</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2、投标地址及开标地点：喀什市中亚商贸第一城3号楼二楼60号</w:t>
      </w:r>
    </w:p>
    <w:p>
      <w:pPr>
        <w:widowControl/>
        <w:jc w:val="left"/>
        <w:rPr>
          <w:rFonts w:ascii="仿宋" w:hAnsi="仿宋" w:eastAsia="仿宋" w:cs="仿宋"/>
          <w:b/>
          <w:bCs/>
          <w:kern w:val="0"/>
          <w:sz w:val="24"/>
        </w:rPr>
      </w:pPr>
      <w:r>
        <w:rPr>
          <w:rFonts w:hint="eastAsia" w:ascii="仿宋" w:hAnsi="仿宋" w:eastAsia="仿宋" w:cs="仿宋"/>
          <w:b/>
          <w:bCs/>
          <w:kern w:val="0"/>
          <w:sz w:val="24"/>
        </w:rPr>
        <w:t>五、投标保证金：</w:t>
      </w:r>
    </w:p>
    <w:tbl>
      <w:tblPr>
        <w:tblStyle w:val="15"/>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487"/>
        <w:gridCol w:w="1305"/>
        <w:gridCol w:w="1719"/>
        <w:gridCol w:w="1380"/>
        <w:gridCol w:w="1275"/>
        <w:gridCol w:w="1577"/>
      </w:tblGrid>
      <w:tr>
        <w:tblPrEx>
          <w:tblCellMar>
            <w:top w:w="0" w:type="dxa"/>
            <w:left w:w="108" w:type="dxa"/>
            <w:bottom w:w="0" w:type="dxa"/>
            <w:right w:w="108" w:type="dxa"/>
          </w:tblCellMar>
        </w:tblPrEx>
        <w:trPr>
          <w:trHeight w:val="1280" w:hRule="atLeast"/>
        </w:trPr>
        <w:tc>
          <w:tcPr>
            <w:tcW w:w="448"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487"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标项名称</w:t>
            </w:r>
          </w:p>
        </w:tc>
        <w:tc>
          <w:tcPr>
            <w:tcW w:w="1305"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投标保证金金额（元）</w:t>
            </w:r>
          </w:p>
        </w:tc>
        <w:tc>
          <w:tcPr>
            <w:tcW w:w="1719"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开户银行</w:t>
            </w:r>
          </w:p>
        </w:tc>
        <w:tc>
          <w:tcPr>
            <w:tcW w:w="1380"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收款账号</w:t>
            </w:r>
          </w:p>
        </w:tc>
        <w:tc>
          <w:tcPr>
            <w:tcW w:w="1275"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交付方式</w:t>
            </w:r>
          </w:p>
        </w:tc>
        <w:tc>
          <w:tcPr>
            <w:tcW w:w="1577"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账户名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48"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1</w:t>
            </w:r>
          </w:p>
        </w:tc>
        <w:tc>
          <w:tcPr>
            <w:tcW w:w="1487" w:type="dxa"/>
            <w:vAlign w:val="center"/>
          </w:tcPr>
          <w:p>
            <w:pPr>
              <w:rPr>
                <w:rFonts w:ascii="仿宋" w:hAnsi="仿宋" w:eastAsia="仿宋" w:cs="仿宋"/>
                <w:b/>
                <w:bCs/>
                <w:color w:val="FF0000"/>
              </w:rPr>
            </w:pPr>
            <w:r>
              <w:rPr>
                <w:rFonts w:hint="eastAsia" w:ascii="仿宋" w:hAnsi="仿宋" w:eastAsia="仿宋" w:cs="仿宋"/>
                <w:b/>
                <w:bCs/>
                <w:kern w:val="0"/>
                <w:sz w:val="24"/>
              </w:rPr>
              <w:t>喀什大学计算机科学与技术学院大数据与人工智能实验室平台项目</w:t>
            </w:r>
          </w:p>
        </w:tc>
        <w:tc>
          <w:tcPr>
            <w:tcW w:w="1305"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90000</w:t>
            </w:r>
          </w:p>
        </w:tc>
        <w:tc>
          <w:tcPr>
            <w:tcW w:w="1719"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中国银行股份有限公司喀什市人民西路支行</w:t>
            </w:r>
          </w:p>
        </w:tc>
        <w:tc>
          <w:tcPr>
            <w:tcW w:w="1380"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107682333910</w:t>
            </w:r>
          </w:p>
        </w:tc>
        <w:tc>
          <w:tcPr>
            <w:tcW w:w="1275"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企业账户转账、电汇</w:t>
            </w:r>
          </w:p>
        </w:tc>
        <w:tc>
          <w:tcPr>
            <w:tcW w:w="1577" w:type="dxa"/>
          </w:tcPr>
          <w:p>
            <w:pPr>
              <w:pStyle w:val="14"/>
              <w:spacing w:line="240" w:lineRule="auto"/>
              <w:ind w:right="-86" w:rightChars="-41"/>
              <w:jc w:val="center"/>
              <w:rPr>
                <w:rFonts w:ascii="仿宋" w:hAnsi="仿宋" w:eastAsia="仿宋" w:cs="仿宋"/>
                <w:b/>
                <w:bCs/>
                <w:sz w:val="24"/>
                <w:szCs w:val="24"/>
              </w:rPr>
            </w:pPr>
            <w:r>
              <w:rPr>
                <w:rFonts w:hint="eastAsia" w:ascii="仿宋" w:hAnsi="仿宋" w:eastAsia="仿宋" w:cs="仿宋"/>
                <w:b/>
                <w:bCs/>
                <w:sz w:val="24"/>
                <w:szCs w:val="24"/>
              </w:rPr>
              <w:t>新疆天健建设工程项目管理有限公司喀什分公司</w:t>
            </w:r>
          </w:p>
        </w:tc>
      </w:tr>
    </w:tbl>
    <w:p>
      <w:pPr>
        <w:widowControl/>
        <w:rPr>
          <w:rFonts w:ascii="仿宋" w:hAnsi="仿宋" w:eastAsia="仿宋" w:cs="仿宋"/>
          <w:b/>
          <w:bCs/>
          <w:sz w:val="24"/>
          <w:shd w:val="clear" w:color="auto" w:fill="FFFFFF"/>
        </w:rPr>
      </w:pPr>
      <w:r>
        <w:rPr>
          <w:rFonts w:hint="eastAsia" w:ascii="仿宋" w:hAnsi="仿宋" w:eastAsia="仿宋" w:cs="仿宋"/>
          <w:b/>
          <w:bCs/>
          <w:kern w:val="0"/>
          <w:sz w:val="24"/>
        </w:rPr>
        <w:t>六、其他事项：</w:t>
      </w:r>
    </w:p>
    <w:p>
      <w:pPr>
        <w:widowControl/>
        <w:ind w:left="239" w:leftChars="114" w:firstLine="480" w:firstLineChars="200"/>
        <w:jc w:val="left"/>
        <w:rPr>
          <w:rFonts w:ascii="仿宋" w:hAnsi="仿宋" w:eastAsia="仿宋" w:cs="仿宋"/>
          <w:b/>
          <w:bCs/>
          <w:kern w:val="0"/>
          <w:sz w:val="24"/>
        </w:rPr>
      </w:pPr>
      <w:r>
        <w:rPr>
          <w:rFonts w:hint="eastAsia" w:ascii="仿宋" w:hAnsi="仿宋" w:eastAsia="仿宋" w:cs="仿宋"/>
          <w:sz w:val="24"/>
          <w:shd w:val="clear" w:color="auto" w:fill="FFFFFF"/>
        </w:rPr>
        <w:t>1、本项目公告期限为5个工作日，供应商认为采购文件使自己的权益受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jc w:val="left"/>
        <w:rPr>
          <w:rFonts w:ascii="仿宋" w:hAnsi="仿宋" w:eastAsia="仿宋" w:cs="仿宋"/>
          <w:b/>
          <w:bCs/>
          <w:kern w:val="0"/>
          <w:sz w:val="24"/>
        </w:rPr>
      </w:pPr>
    </w:p>
    <w:p>
      <w:pPr>
        <w:widowControl/>
        <w:jc w:val="left"/>
        <w:rPr>
          <w:rFonts w:ascii="仿宋" w:hAnsi="仿宋" w:eastAsia="仿宋" w:cs="仿宋"/>
          <w:b/>
          <w:bCs/>
          <w:kern w:val="0"/>
          <w:sz w:val="24"/>
        </w:rPr>
      </w:pPr>
    </w:p>
    <w:p>
      <w:pPr>
        <w:widowControl/>
        <w:jc w:val="left"/>
        <w:rPr>
          <w:rFonts w:ascii="仿宋" w:hAnsi="仿宋" w:eastAsia="仿宋" w:cs="仿宋"/>
          <w:sz w:val="24"/>
        </w:rPr>
      </w:pPr>
      <w:r>
        <w:rPr>
          <w:rFonts w:hint="eastAsia" w:ascii="仿宋" w:hAnsi="仿宋" w:eastAsia="仿宋" w:cs="仿宋"/>
          <w:b/>
          <w:bCs/>
          <w:kern w:val="0"/>
          <w:sz w:val="24"/>
        </w:rPr>
        <w:t>七、联系方式</w:t>
      </w:r>
      <w:r>
        <w:rPr>
          <w:rFonts w:hint="eastAsia" w:ascii="仿宋" w:hAnsi="仿宋" w:eastAsia="仿宋" w:cs="仿宋"/>
          <w:sz w:val="24"/>
        </w:rPr>
        <w:t xml:space="preserve">　 </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代理公司名称：新疆天健建设工程项目管理有限公司（盖章）</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地　　址：喀什市中亚商贸第一城3号楼二楼60号</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联 系 人：李凤琴  </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电　　话：18699813395　　　　 </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采购人名称：喀什大学（盖章） 　　　</w:t>
      </w:r>
    </w:p>
    <w:p>
      <w:pPr>
        <w:ind w:left="479" w:leftChars="228"/>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kern w:val="0"/>
          <w:sz w:val="24"/>
        </w:rPr>
        <w:t>计算机科学与技术学院</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联 系 人：袁</w:t>
      </w:r>
      <w:r>
        <w:rPr>
          <w:rFonts w:hint="eastAsia" w:ascii="仿宋" w:hAnsi="仿宋" w:eastAsia="仿宋" w:cs="仿宋"/>
          <w:kern w:val="0"/>
          <w:sz w:val="24"/>
        </w:rPr>
        <w:t>老师</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电     话：13899129916</w:t>
      </w:r>
    </w:p>
    <w:p>
      <w:pPr>
        <w:widowControl/>
        <w:spacing w:line="360" w:lineRule="auto"/>
        <w:ind w:left="3919" w:leftChars="266" w:hanging="3360" w:hangingChars="1400"/>
        <w:jc w:val="left"/>
        <w:rPr>
          <w:rFonts w:ascii="仿宋" w:hAnsi="仿宋" w:eastAsia="仿宋" w:cs="仿宋"/>
          <w:sz w:val="24"/>
        </w:rPr>
      </w:pPr>
      <w:r>
        <w:rPr>
          <w:rFonts w:hint="eastAsia" w:ascii="仿宋" w:hAnsi="仿宋" w:eastAsia="仿宋" w:cs="仿宋"/>
          <w:sz w:val="24"/>
        </w:rPr>
        <w:t>同级政府采购监督管理部门：自治区财政厅政府采购管理办公室 </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 李正勇 </w:t>
      </w:r>
    </w:p>
    <w:p>
      <w:pPr>
        <w:pStyle w:val="14"/>
        <w:spacing w:line="360" w:lineRule="auto"/>
        <w:ind w:firstLine="480" w:firstLineChars="200"/>
        <w:rPr>
          <w:rFonts w:ascii="仿宋" w:hAnsi="仿宋" w:eastAsia="仿宋" w:cs="仿宋"/>
          <w:color w:val="FF0000"/>
          <w:sz w:val="28"/>
          <w:szCs w:val="28"/>
        </w:rPr>
      </w:pPr>
      <w:r>
        <w:rPr>
          <w:rFonts w:hint="eastAsia" w:ascii="仿宋" w:hAnsi="仿宋" w:eastAsia="仿宋" w:cs="仿宋"/>
          <w:sz w:val="24"/>
          <w:szCs w:val="24"/>
        </w:rPr>
        <w:t>监督投诉电话：0991-2359479 </w:t>
      </w:r>
    </w:p>
    <w:p>
      <w:pPr>
        <w:pStyle w:val="4"/>
        <w:spacing w:line="240" w:lineRule="auto"/>
        <w:ind w:firstLine="2249" w:firstLineChars="700"/>
        <w:jc w:val="both"/>
        <w:rPr>
          <w:rFonts w:ascii="仿宋" w:hAnsi="仿宋" w:eastAsia="仿宋" w:cs="仿宋"/>
          <w:szCs w:val="32"/>
        </w:rPr>
      </w:pPr>
      <w:bookmarkStart w:id="402" w:name="_Toc11754"/>
      <w:r>
        <w:rPr>
          <w:rFonts w:hint="eastAsia" w:ascii="仿宋" w:hAnsi="仿宋" w:eastAsia="仿宋" w:cs="仿宋"/>
          <w:szCs w:val="32"/>
        </w:rPr>
        <w:t>第4章 投标人须知资料表</w:t>
      </w:r>
      <w:bookmarkEnd w:id="402"/>
    </w:p>
    <w:p>
      <w:pPr>
        <w:rPr>
          <w:rFonts w:ascii="仿宋" w:hAnsi="仿宋" w:eastAsia="仿宋" w:cs="仿宋"/>
          <w:sz w:val="28"/>
          <w:szCs w:val="28"/>
        </w:rPr>
      </w:pPr>
      <w:r>
        <w:rPr>
          <w:rFonts w:hint="eastAsia" w:ascii="仿宋" w:hAnsi="仿宋" w:eastAsia="仿宋" w:cs="仿宋"/>
          <w:sz w:val="28"/>
          <w:szCs w:val="28"/>
        </w:rPr>
        <w:t>本表是本招标项目的具体资料，是对投标人须知的具体补充和修改，如有矛盾，应以本资料表为准。</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59"/>
        <w:gridCol w:w="70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1259" w:type="dxa"/>
            <w:vAlign w:val="center"/>
          </w:tcPr>
          <w:p>
            <w:pPr>
              <w:rPr>
                <w:rFonts w:ascii="仿宋" w:hAnsi="仿宋" w:eastAsia="仿宋" w:cs="仿宋"/>
                <w:sz w:val="28"/>
                <w:szCs w:val="28"/>
              </w:rPr>
            </w:pPr>
            <w:r>
              <w:rPr>
                <w:rFonts w:hint="eastAsia" w:ascii="仿宋" w:hAnsi="仿宋" w:eastAsia="仿宋" w:cs="仿宋"/>
                <w:sz w:val="28"/>
                <w:szCs w:val="28"/>
              </w:rPr>
              <w:t>条款号</w:t>
            </w:r>
          </w:p>
        </w:tc>
        <w:tc>
          <w:tcPr>
            <w:tcW w:w="7049" w:type="dxa"/>
            <w:vAlign w:val="center"/>
          </w:tcPr>
          <w:p>
            <w:pPr>
              <w:ind w:left="540" w:leftChars="257" w:firstLine="562" w:firstLineChars="200"/>
              <w:rPr>
                <w:rFonts w:ascii="仿宋" w:hAnsi="仿宋" w:eastAsia="仿宋" w:cs="仿宋"/>
                <w:b/>
                <w:sz w:val="28"/>
                <w:szCs w:val="28"/>
              </w:rPr>
            </w:pPr>
            <w:r>
              <w:rPr>
                <w:rFonts w:hint="eastAsia" w:ascii="仿宋" w:hAnsi="仿宋" w:eastAsia="仿宋" w:cs="仿宋"/>
                <w:b/>
                <w:sz w:val="28"/>
                <w:szCs w:val="28"/>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采购人：喀什大学</w:t>
            </w:r>
          </w:p>
          <w:p>
            <w:pPr>
              <w:rPr>
                <w:rFonts w:ascii="仿宋" w:hAnsi="仿宋" w:eastAsia="仿宋" w:cs="仿宋"/>
                <w:color w:val="auto"/>
                <w:sz w:val="28"/>
                <w:szCs w:val="28"/>
              </w:rPr>
            </w:pPr>
            <w:r>
              <w:rPr>
                <w:rFonts w:hint="eastAsia" w:ascii="仿宋" w:hAnsi="仿宋" w:eastAsia="仿宋" w:cs="仿宋"/>
                <w:color w:val="auto"/>
                <w:sz w:val="28"/>
                <w:szCs w:val="28"/>
              </w:rPr>
              <w:t>联系人：袁老师 　          电话：13899129916</w:t>
            </w:r>
          </w:p>
          <w:p>
            <w:pPr>
              <w:rPr>
                <w:rFonts w:ascii="仿宋" w:hAnsi="仿宋" w:eastAsia="仿宋" w:cs="仿宋"/>
                <w:color w:val="auto"/>
                <w:sz w:val="28"/>
                <w:szCs w:val="28"/>
              </w:rPr>
            </w:pPr>
            <w:r>
              <w:rPr>
                <w:rFonts w:hint="eastAsia" w:ascii="仿宋" w:hAnsi="仿宋" w:eastAsia="仿宋" w:cs="仿宋"/>
                <w:color w:val="auto"/>
                <w:sz w:val="28"/>
                <w:szCs w:val="28"/>
              </w:rPr>
              <w:t>地址：</w:t>
            </w:r>
            <w:r>
              <w:rPr>
                <w:rFonts w:hint="eastAsia" w:ascii="仿宋" w:hAnsi="仿宋" w:eastAsia="仿宋" w:cs="仿宋"/>
                <w:color w:val="auto"/>
                <w:kern w:val="0"/>
                <w:sz w:val="28"/>
                <w:szCs w:val="28"/>
              </w:rPr>
              <w:t>计算机科学与技术学院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1.2</w:t>
            </w:r>
          </w:p>
        </w:tc>
        <w:tc>
          <w:tcPr>
            <w:tcW w:w="7049" w:type="dxa"/>
            <w:vAlign w:val="center"/>
          </w:tcPr>
          <w:p>
            <w:pPr>
              <w:rPr>
                <w:rFonts w:ascii="仿宋" w:hAnsi="仿宋" w:eastAsia="仿宋" w:cs="仿宋"/>
                <w:color w:val="auto"/>
                <w:sz w:val="28"/>
                <w:szCs w:val="28"/>
                <w:u w:val="single"/>
              </w:rPr>
            </w:pPr>
            <w:r>
              <w:rPr>
                <w:rFonts w:hint="eastAsia" w:ascii="仿宋" w:hAnsi="仿宋" w:eastAsia="仿宋" w:cs="仿宋"/>
                <w:color w:val="auto"/>
                <w:sz w:val="28"/>
                <w:szCs w:val="28"/>
                <w:u w:val="single"/>
              </w:rPr>
              <w:t>采购代理机构：新疆天健建设工程项目管理有限公司</w:t>
            </w:r>
          </w:p>
          <w:p>
            <w:pPr>
              <w:rPr>
                <w:rFonts w:ascii="仿宋" w:hAnsi="仿宋" w:eastAsia="仿宋" w:cs="仿宋"/>
                <w:color w:val="auto"/>
                <w:sz w:val="28"/>
                <w:szCs w:val="28"/>
                <w:u w:val="single"/>
              </w:rPr>
            </w:pPr>
            <w:r>
              <w:rPr>
                <w:rFonts w:hint="eastAsia" w:ascii="仿宋" w:hAnsi="仿宋" w:eastAsia="仿宋" w:cs="仿宋"/>
                <w:color w:val="auto"/>
                <w:sz w:val="28"/>
                <w:szCs w:val="28"/>
                <w:u w:val="single"/>
              </w:rPr>
              <w:t>地址：喀什市中亚商贸城3号楼二楼60室</w:t>
            </w:r>
          </w:p>
          <w:p>
            <w:pPr>
              <w:rPr>
                <w:rFonts w:ascii="仿宋" w:hAnsi="仿宋" w:eastAsia="仿宋" w:cs="仿宋"/>
                <w:color w:val="auto"/>
                <w:sz w:val="28"/>
                <w:szCs w:val="28"/>
              </w:rPr>
            </w:pPr>
            <w:r>
              <w:rPr>
                <w:rFonts w:hint="eastAsia" w:ascii="仿宋" w:hAnsi="仿宋" w:eastAsia="仿宋" w:cs="仿宋"/>
                <w:color w:val="auto"/>
                <w:sz w:val="28"/>
                <w:szCs w:val="28"/>
                <w:u w:val="single"/>
              </w:rPr>
              <w:t>业务联系人：李凤琴          电话：</w:t>
            </w:r>
            <w:r>
              <w:rPr>
                <w:rFonts w:hint="eastAsia" w:ascii="仿宋" w:hAnsi="仿宋" w:eastAsia="仿宋" w:cs="仿宋"/>
                <w:color w:val="auto"/>
                <w:sz w:val="28"/>
                <w:szCs w:val="28"/>
              </w:rPr>
              <w:t>18699813395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1.3</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合格投标人的其他资格要求：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1.4   </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是否允许采购进口产品：</w:t>
            </w:r>
            <w:r>
              <w:rPr>
                <w:rFonts w:hint="eastAsia" w:ascii="仿宋" w:hAnsi="仿宋" w:eastAsia="仿宋" w:cs="仿宋"/>
                <w:color w:val="auto"/>
                <w:sz w:val="28"/>
                <w:szCs w:val="28"/>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3"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1.5</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是否为专门面向中小企业采购：</w:t>
            </w:r>
            <w:r>
              <w:rPr>
                <w:rFonts w:hint="eastAsia" w:ascii="仿宋" w:hAnsi="仿宋" w:eastAsia="仿宋" w:cs="仿宋"/>
                <w:color w:val="auto"/>
                <w:sz w:val="28"/>
                <w:szCs w:val="28"/>
                <w:u w:val="single"/>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3"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1.6</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是否允许联合体投标：</w:t>
            </w:r>
            <w:r>
              <w:rPr>
                <w:rFonts w:hint="eastAsia" w:ascii="仿宋" w:hAnsi="仿宋" w:eastAsia="仿宋" w:cs="仿宋"/>
                <w:color w:val="auto"/>
                <w:sz w:val="28"/>
                <w:szCs w:val="28"/>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1.7</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2.1</w:t>
            </w:r>
          </w:p>
        </w:tc>
        <w:tc>
          <w:tcPr>
            <w:tcW w:w="7049" w:type="dxa"/>
            <w:vAlign w:val="center"/>
          </w:tcPr>
          <w:p>
            <w:pPr>
              <w:widowControl/>
              <w:tabs>
                <w:tab w:val="left" w:pos="4276"/>
                <w:tab w:val="left" w:pos="8522"/>
              </w:tabs>
              <w:jc w:val="left"/>
              <w:rPr>
                <w:rFonts w:ascii="仿宋" w:hAnsi="仿宋" w:eastAsia="仿宋" w:cs="仿宋"/>
                <w:b/>
                <w:bCs/>
                <w:color w:val="auto"/>
                <w:kern w:val="0"/>
                <w:sz w:val="28"/>
                <w:szCs w:val="28"/>
              </w:rPr>
            </w:pPr>
            <w:r>
              <w:rPr>
                <w:rFonts w:hint="eastAsia" w:ascii="仿宋" w:hAnsi="仿宋" w:eastAsia="仿宋" w:cs="仿宋"/>
                <w:b/>
                <w:bCs/>
                <w:color w:val="auto"/>
                <w:sz w:val="28"/>
                <w:szCs w:val="28"/>
              </w:rPr>
              <w:t>大数据与人工智能实验室仪器设备预算金额：4600000</w:t>
            </w:r>
            <w:r>
              <w:rPr>
                <w:rFonts w:hint="eastAsia" w:ascii="仿宋" w:hAnsi="仿宋" w:eastAsia="仿宋" w:cs="仿宋"/>
                <w:b/>
                <w:bCs/>
                <w:color w:val="auto"/>
                <w:kern w:val="0"/>
                <w:sz w:val="28"/>
                <w:szCs w:val="28"/>
              </w:rPr>
              <w:t>元（肆佰陆拾万元</w:t>
            </w:r>
            <w:r>
              <w:rPr>
                <w:rFonts w:hint="eastAsia" w:ascii="仿宋" w:hAnsi="仿宋" w:eastAsia="仿宋" w:cs="仿宋"/>
                <w:b/>
                <w:bCs/>
                <w:color w:val="auto"/>
                <w:sz w:val="28"/>
                <w:szCs w:val="28"/>
              </w:rPr>
              <w:t>整</w:t>
            </w:r>
            <w:r>
              <w:rPr>
                <w:rFonts w:hint="eastAsia" w:ascii="仿宋" w:hAnsi="仿宋" w:eastAsia="仿宋" w:cs="仿宋"/>
                <w:b/>
                <w:bCs/>
                <w:color w:val="auto"/>
                <w:kern w:val="0"/>
                <w:sz w:val="28"/>
                <w:szCs w:val="28"/>
              </w:rPr>
              <w:t>）</w:t>
            </w:r>
          </w:p>
          <w:p>
            <w:pPr>
              <w:pStyle w:val="2"/>
              <w:ind w:firstLine="0"/>
              <w:rPr>
                <w:rFonts w:ascii="仿宋" w:hAnsi="仿宋" w:eastAsia="仿宋" w:cs="仿宋"/>
                <w:color w:val="auto"/>
                <w:sz w:val="28"/>
                <w:szCs w:val="28"/>
              </w:rPr>
            </w:pPr>
            <w:r>
              <w:rPr>
                <w:rFonts w:hint="eastAsia" w:ascii="仿宋" w:hAnsi="仿宋" w:eastAsia="仿宋" w:cs="仿宋"/>
                <w:b/>
                <w:bCs/>
                <w:color w:val="auto"/>
                <w:sz w:val="28"/>
                <w:szCs w:val="28"/>
              </w:rPr>
              <w:t>不能超过本项目预算价，否则按废标处理。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2.2</w:t>
            </w:r>
          </w:p>
        </w:tc>
        <w:tc>
          <w:tcPr>
            <w:tcW w:w="7049"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如投标商对多个包进行投标，可以中标</w:t>
            </w:r>
            <w:r>
              <w:rPr>
                <w:rFonts w:hint="eastAsia" w:ascii="仿宋" w:hAnsi="仿宋" w:eastAsia="仿宋" w:cs="仿宋"/>
                <w:color w:val="auto"/>
                <w:sz w:val="28"/>
                <w:szCs w:val="28"/>
                <w:u w:val="single"/>
              </w:rPr>
              <w:t xml:space="preserve"> </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2.3</w:t>
            </w:r>
          </w:p>
        </w:tc>
        <w:tc>
          <w:tcPr>
            <w:tcW w:w="7049" w:type="dxa"/>
            <w:vAlign w:val="center"/>
          </w:tcPr>
          <w:p>
            <w:pPr>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u w:val="single"/>
              </w:rPr>
              <w:t>保证金形式：</w:t>
            </w:r>
            <w:r>
              <w:rPr>
                <w:rFonts w:hint="eastAsia" w:ascii="仿宋" w:hAnsi="仿宋" w:eastAsia="仿宋" w:cs="仿宋"/>
                <w:color w:val="auto"/>
                <w:sz w:val="28"/>
                <w:szCs w:val="28"/>
                <w:u w:val="single"/>
              </w:rPr>
              <w:sym w:font="Wingdings 2" w:char="00A3"/>
            </w:r>
            <w:r>
              <w:rPr>
                <w:rFonts w:hint="eastAsia" w:ascii="仿宋" w:hAnsi="仿宋" w:eastAsia="仿宋" w:cs="仿宋"/>
                <w:color w:val="auto"/>
                <w:sz w:val="28"/>
                <w:szCs w:val="28"/>
                <w:u w:val="single"/>
              </w:rPr>
              <w:t xml:space="preserve">保函  </w:t>
            </w:r>
            <w:r>
              <w:rPr>
                <w:rFonts w:hint="eastAsia" w:ascii="仿宋" w:hAnsi="仿宋" w:eastAsia="仿宋" w:cs="仿宋"/>
                <w:color w:val="auto"/>
                <w:sz w:val="28"/>
                <w:szCs w:val="28"/>
                <w:u w:val="single"/>
              </w:rPr>
              <w:sym w:font="Wingdings 2" w:char="0052"/>
            </w:r>
            <w:r>
              <w:rPr>
                <w:rFonts w:hint="eastAsia" w:ascii="仿宋" w:hAnsi="仿宋" w:eastAsia="仿宋" w:cs="仿宋"/>
                <w:color w:val="auto"/>
                <w:sz w:val="28"/>
                <w:szCs w:val="28"/>
                <w:u w:val="single"/>
              </w:rPr>
              <w:t xml:space="preserve">电汇  </w:t>
            </w:r>
            <w:r>
              <w:rPr>
                <w:rFonts w:hint="eastAsia" w:ascii="仿宋" w:hAnsi="仿宋" w:eastAsia="仿宋" w:cs="仿宋"/>
                <w:color w:val="auto"/>
                <w:sz w:val="28"/>
                <w:szCs w:val="28"/>
                <w:u w:val="single"/>
              </w:rPr>
              <w:sym w:font="Wingdings 2" w:char="00A3"/>
            </w:r>
            <w:r>
              <w:rPr>
                <w:rFonts w:hint="eastAsia" w:ascii="仿宋" w:hAnsi="仿宋" w:eastAsia="仿宋" w:cs="仿宋"/>
                <w:color w:val="auto"/>
                <w:sz w:val="28"/>
                <w:szCs w:val="28"/>
                <w:u w:val="single"/>
              </w:rPr>
              <w:t>支票</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sym w:font="Wingdings 2" w:char="0052"/>
            </w:r>
            <w:r>
              <w:rPr>
                <w:rFonts w:hint="eastAsia" w:ascii="仿宋" w:hAnsi="仿宋" w:eastAsia="仿宋" w:cs="仿宋"/>
                <w:color w:val="auto"/>
                <w:sz w:val="28"/>
                <w:szCs w:val="28"/>
                <w:u w:val="single"/>
                <w:lang w:val="en-US" w:eastAsia="zh-CN"/>
              </w:rPr>
              <w:t xml:space="preserve">转账   </w:t>
            </w:r>
          </w:p>
          <w:p>
            <w:pPr>
              <w:rPr>
                <w:rFonts w:ascii="仿宋" w:hAnsi="仿宋" w:eastAsia="仿宋" w:cs="仿宋"/>
                <w:color w:val="auto"/>
                <w:sz w:val="28"/>
                <w:szCs w:val="28"/>
                <w:u w:val="single"/>
              </w:rPr>
            </w:pPr>
            <w:r>
              <w:rPr>
                <w:rFonts w:hint="eastAsia" w:ascii="仿宋" w:hAnsi="仿宋" w:eastAsia="仿宋" w:cs="仿宋"/>
                <w:color w:val="auto"/>
                <w:sz w:val="28"/>
                <w:szCs w:val="28"/>
              </w:rPr>
              <w:sym w:font="Wingdings 2" w:char="00A3"/>
            </w:r>
            <w:r>
              <w:rPr>
                <w:rFonts w:hint="eastAsia" w:ascii="仿宋" w:hAnsi="仿宋" w:eastAsia="仿宋" w:cs="仿宋"/>
                <w:color w:val="auto"/>
                <w:sz w:val="28"/>
                <w:szCs w:val="28"/>
                <w:u w:val="single"/>
              </w:rPr>
              <w:t xml:space="preserve">   网银   </w:t>
            </w:r>
            <w:r>
              <w:rPr>
                <w:rFonts w:hint="eastAsia" w:ascii="仿宋" w:hAnsi="仿宋" w:eastAsia="仿宋" w:cs="仿宋"/>
                <w:iCs/>
                <w:color w:val="auto"/>
                <w:sz w:val="28"/>
                <w:szCs w:val="28"/>
                <w:u w:val="single"/>
              </w:rPr>
              <w:t>（</w:t>
            </w:r>
            <w:r>
              <w:rPr>
                <w:rFonts w:hint="eastAsia" w:ascii="仿宋" w:hAnsi="仿宋" w:eastAsia="仿宋" w:cs="仿宋"/>
                <w:iCs/>
                <w:color w:val="auto"/>
                <w:sz w:val="28"/>
                <w:szCs w:val="28"/>
              </w:rPr>
              <w:t>本项目允许的其他形式）</w:t>
            </w:r>
            <w:r>
              <w:rPr>
                <w:rFonts w:hint="eastAsia" w:ascii="仿宋" w:hAnsi="仿宋" w:eastAsia="仿宋" w:cs="仿宋"/>
                <w:i/>
                <w:color w:val="auto"/>
                <w:sz w:val="28"/>
                <w:szCs w:val="28"/>
              </w:rPr>
              <w:t xml:space="preserve"> </w:t>
            </w:r>
          </w:p>
          <w:p>
            <w:pPr>
              <w:rPr>
                <w:rFonts w:ascii="仿宋" w:hAnsi="仿宋" w:eastAsia="仿宋" w:cs="仿宋"/>
                <w:i/>
                <w:color w:val="auto"/>
                <w:sz w:val="28"/>
                <w:szCs w:val="28"/>
              </w:rPr>
            </w:pPr>
            <w:r>
              <w:rPr>
                <w:rFonts w:hint="eastAsia" w:ascii="仿宋" w:hAnsi="仿宋" w:eastAsia="仿宋" w:cs="仿宋"/>
                <w:color w:val="auto"/>
                <w:sz w:val="28"/>
                <w:szCs w:val="28"/>
                <w:u w:val="single"/>
              </w:rPr>
              <w:t>保证金数额：</w:t>
            </w:r>
            <w:r>
              <w:rPr>
                <w:rFonts w:hint="eastAsia" w:ascii="仿宋" w:hAnsi="仿宋" w:eastAsia="仿宋" w:cs="仿宋"/>
                <w:iCs/>
                <w:color w:val="auto"/>
                <w:sz w:val="28"/>
                <w:szCs w:val="28"/>
              </w:rPr>
              <w:t>（按照各分包控制金额2%以内的整数计算）</w:t>
            </w:r>
          </w:p>
          <w:p>
            <w:pPr>
              <w:widowControl/>
              <w:rPr>
                <w:rFonts w:ascii="仿宋" w:hAnsi="仿宋" w:eastAsia="仿宋" w:cs="仿宋"/>
                <w:b/>
                <w:bCs/>
                <w:color w:val="auto"/>
                <w:sz w:val="28"/>
                <w:szCs w:val="28"/>
              </w:rPr>
            </w:pPr>
            <w:r>
              <w:rPr>
                <w:rFonts w:hint="eastAsia" w:ascii="仿宋" w:hAnsi="仿宋" w:eastAsia="仿宋" w:cs="仿宋"/>
                <w:b/>
                <w:bCs/>
                <w:color w:val="auto"/>
                <w:sz w:val="28"/>
                <w:szCs w:val="28"/>
              </w:rPr>
              <w:t>大数据与人工智能实验室仪器设备投标保证金金额90000元（玖万元整）</w:t>
            </w:r>
          </w:p>
          <w:p>
            <w:pPr>
              <w:rPr>
                <w:rFonts w:ascii="仿宋" w:hAnsi="仿宋" w:eastAsia="仿宋" w:cs="仿宋"/>
                <w:b/>
                <w:bCs/>
                <w:color w:val="auto"/>
                <w:kern w:val="0"/>
                <w:sz w:val="28"/>
                <w:szCs w:val="28"/>
                <w:u w:val="single"/>
                <w:lang w:bidi="ar"/>
              </w:rPr>
            </w:pPr>
            <w:r>
              <w:rPr>
                <w:rFonts w:hint="eastAsia" w:ascii="仿宋" w:hAnsi="仿宋" w:eastAsia="仿宋" w:cs="仿宋"/>
                <w:color w:val="auto"/>
                <w:sz w:val="28"/>
                <w:szCs w:val="28"/>
              </w:rPr>
              <w:t>保证金收款人：</w:t>
            </w:r>
            <w:r>
              <w:rPr>
                <w:rFonts w:hint="eastAsia" w:ascii="仿宋" w:hAnsi="仿宋" w:eastAsia="仿宋" w:cs="仿宋"/>
                <w:b/>
                <w:bCs/>
                <w:color w:val="auto"/>
                <w:kern w:val="0"/>
                <w:sz w:val="28"/>
                <w:szCs w:val="28"/>
                <w:u w:val="single"/>
                <w:lang w:bidi="ar"/>
              </w:rPr>
              <w:t>新疆天健建设工程项目管理有限公司喀什分公司</w:t>
            </w:r>
          </w:p>
          <w:p>
            <w:pPr>
              <w:rPr>
                <w:rFonts w:ascii="仿宋" w:hAnsi="仿宋" w:eastAsia="仿宋" w:cs="仿宋"/>
                <w:color w:val="auto"/>
                <w:sz w:val="28"/>
                <w:szCs w:val="28"/>
              </w:rPr>
            </w:pPr>
            <w:r>
              <w:rPr>
                <w:rFonts w:hint="eastAsia" w:ascii="仿宋" w:hAnsi="仿宋" w:eastAsia="仿宋" w:cs="仿宋"/>
                <w:color w:val="auto"/>
                <w:sz w:val="28"/>
                <w:szCs w:val="28"/>
              </w:rPr>
              <w:t>其它信息：打款时注明投标保证金项目名称及和项目编号。投标保证金转入</w:t>
            </w:r>
            <w:r>
              <w:rPr>
                <w:rFonts w:hint="eastAsia" w:ascii="仿宋" w:hAnsi="仿宋" w:eastAsia="仿宋" w:cs="仿宋"/>
                <w:b/>
                <w:bCs/>
                <w:color w:val="auto"/>
                <w:kern w:val="0"/>
                <w:sz w:val="28"/>
                <w:szCs w:val="28"/>
                <w:u w:val="single"/>
                <w:lang w:bidi="ar"/>
              </w:rPr>
              <w:t>新疆天健建设工程项目管理有限公司喀什分公司</w:t>
            </w:r>
            <w:r>
              <w:rPr>
                <w:rFonts w:hint="eastAsia" w:ascii="仿宋" w:hAnsi="仿宋" w:eastAsia="仿宋" w:cs="仿宋"/>
                <w:color w:val="auto"/>
                <w:sz w:val="28"/>
                <w:szCs w:val="28"/>
              </w:rPr>
              <w:t>账户后，换取保证金收据并将收据复印件胶装至投标文件中（资格审查时提交原件）。</w:t>
            </w:r>
          </w:p>
          <w:p>
            <w:pPr>
              <w:rPr>
                <w:rFonts w:ascii="仿宋" w:hAnsi="仿宋" w:eastAsia="仿宋" w:cs="仿宋"/>
                <w:color w:val="auto"/>
                <w:sz w:val="28"/>
                <w:szCs w:val="28"/>
              </w:rPr>
            </w:pPr>
            <w:r>
              <w:rPr>
                <w:rFonts w:hint="eastAsia" w:ascii="仿宋" w:hAnsi="仿宋" w:eastAsia="仿宋" w:cs="仿宋"/>
                <w:color w:val="auto"/>
                <w:sz w:val="28"/>
                <w:szCs w:val="28"/>
              </w:rPr>
              <w:t>到账截止时间：2021年3月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（北京时间）。打款后请联系我方确认是否到账。</w:t>
            </w:r>
          </w:p>
          <w:p>
            <w:pPr>
              <w:rPr>
                <w:rFonts w:ascii="仿宋" w:hAnsi="仿宋" w:eastAsia="仿宋" w:cs="仿宋"/>
                <w:color w:val="auto"/>
                <w:sz w:val="28"/>
                <w:szCs w:val="28"/>
              </w:rPr>
            </w:pPr>
            <w:r>
              <w:rPr>
                <w:rFonts w:hint="eastAsia" w:ascii="仿宋" w:hAnsi="仿宋" w:eastAsia="仿宋" w:cs="仿宋"/>
                <w:color w:val="auto"/>
                <w:sz w:val="28"/>
                <w:szCs w:val="28"/>
              </w:rPr>
              <w:t>联系电话：18699813395</w:t>
            </w:r>
          </w:p>
          <w:p>
            <w:pPr>
              <w:rPr>
                <w:rFonts w:ascii="仿宋" w:hAnsi="仿宋" w:eastAsia="仿宋" w:cs="仿宋"/>
                <w:b/>
                <w:bCs/>
                <w:iCs/>
                <w:color w:val="auto"/>
                <w:sz w:val="28"/>
                <w:szCs w:val="28"/>
              </w:rPr>
            </w:pPr>
            <w:r>
              <w:rPr>
                <w:rFonts w:hint="eastAsia" w:ascii="仿宋" w:hAnsi="仿宋" w:eastAsia="仿宋" w:cs="仿宋"/>
                <w:b/>
                <w:bCs/>
                <w:iCs/>
                <w:color w:val="auto"/>
                <w:sz w:val="28"/>
                <w:szCs w:val="28"/>
              </w:rPr>
              <w:t>开 户 名：新疆天健建设工程项目管理有限公司喀什分公司</w:t>
            </w:r>
          </w:p>
          <w:p>
            <w:pPr>
              <w:rPr>
                <w:rFonts w:ascii="仿宋" w:hAnsi="仿宋" w:eastAsia="仿宋" w:cs="仿宋"/>
                <w:b/>
                <w:bCs/>
                <w:iCs/>
                <w:color w:val="auto"/>
                <w:sz w:val="28"/>
                <w:szCs w:val="28"/>
              </w:rPr>
            </w:pPr>
            <w:r>
              <w:rPr>
                <w:rFonts w:hint="eastAsia" w:ascii="仿宋" w:hAnsi="仿宋" w:eastAsia="仿宋" w:cs="仿宋"/>
                <w:b/>
                <w:bCs/>
                <w:iCs/>
                <w:color w:val="auto"/>
                <w:sz w:val="28"/>
                <w:szCs w:val="28"/>
              </w:rPr>
              <w:t>开户银行：中国银行股份有限公司喀什市人民西路支行</w:t>
            </w:r>
          </w:p>
          <w:p>
            <w:pPr>
              <w:rPr>
                <w:rFonts w:ascii="仿宋" w:hAnsi="仿宋" w:eastAsia="仿宋" w:cs="仿宋"/>
                <w:i/>
                <w:color w:val="auto"/>
                <w:sz w:val="28"/>
                <w:szCs w:val="28"/>
              </w:rPr>
            </w:pPr>
            <w:r>
              <w:rPr>
                <w:rFonts w:hint="eastAsia" w:ascii="仿宋" w:hAnsi="仿宋" w:eastAsia="仿宋" w:cs="仿宋"/>
                <w:b/>
                <w:bCs/>
                <w:iCs/>
                <w:color w:val="auto"/>
                <w:sz w:val="28"/>
                <w:szCs w:val="28"/>
              </w:rPr>
              <w:t>账    号：107682333910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9"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2.4</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投标有效期：60日历日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2.5</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第一部分投标文件：正本：壹份、副本：肆份；</w:t>
            </w:r>
          </w:p>
          <w:p>
            <w:pPr>
              <w:rPr>
                <w:rFonts w:ascii="宋体" w:hAnsi="宋体" w:cs="宋体"/>
                <w:b/>
                <w:bCs/>
                <w:color w:val="auto"/>
                <w:sz w:val="28"/>
                <w:szCs w:val="28"/>
              </w:rPr>
            </w:pPr>
            <w:r>
              <w:rPr>
                <w:rFonts w:hint="eastAsia" w:ascii="宋体" w:hAnsi="宋体" w:cs="宋体"/>
                <w:b/>
                <w:bCs/>
                <w:color w:val="auto"/>
                <w:sz w:val="28"/>
                <w:szCs w:val="28"/>
              </w:rPr>
              <w:t>第二部分投标文件：正本：壹份、副本：肆份；</w:t>
            </w:r>
          </w:p>
          <w:p>
            <w:pPr>
              <w:rPr>
                <w:rFonts w:ascii="宋体" w:hAnsi="宋体" w:cs="宋体"/>
                <w:b/>
                <w:bCs/>
                <w:color w:val="auto"/>
                <w:sz w:val="28"/>
                <w:szCs w:val="28"/>
              </w:rPr>
            </w:pPr>
            <w:r>
              <w:rPr>
                <w:rFonts w:hint="eastAsia" w:ascii="宋体" w:hAnsi="宋体" w:cs="宋体"/>
                <w:b/>
                <w:bCs/>
                <w:color w:val="auto"/>
                <w:sz w:val="28"/>
                <w:szCs w:val="28"/>
              </w:rPr>
              <w:t>除上述文件外，还须密封递交投标文件电子文档 壹 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3.1</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投标截止时间：2021年3月</w:t>
            </w:r>
            <w:r>
              <w:rPr>
                <w:rFonts w:hint="eastAsia" w:ascii="宋体" w:hAnsi="宋体" w:cs="宋体"/>
                <w:b/>
                <w:bCs/>
                <w:color w:val="auto"/>
                <w:sz w:val="28"/>
                <w:szCs w:val="28"/>
                <w:lang w:val="en-US" w:eastAsia="zh-CN"/>
              </w:rPr>
              <w:t>30</w:t>
            </w:r>
            <w:r>
              <w:rPr>
                <w:rFonts w:hint="eastAsia" w:ascii="宋体" w:hAnsi="宋体" w:cs="宋体"/>
                <w:b/>
                <w:bCs/>
                <w:color w:val="auto"/>
                <w:sz w:val="28"/>
                <w:szCs w:val="28"/>
              </w:rPr>
              <w:t>日上午11:00分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3.2</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开标时间：2021年3月</w:t>
            </w:r>
            <w:r>
              <w:rPr>
                <w:rFonts w:hint="eastAsia" w:ascii="宋体" w:hAnsi="宋体" w:cs="宋体"/>
                <w:b/>
                <w:bCs/>
                <w:color w:val="auto"/>
                <w:sz w:val="28"/>
                <w:szCs w:val="28"/>
                <w:lang w:val="en-US" w:eastAsia="zh-CN"/>
              </w:rPr>
              <w:t>30</w:t>
            </w:r>
            <w:r>
              <w:rPr>
                <w:rFonts w:hint="eastAsia" w:ascii="宋体" w:hAnsi="宋体" w:cs="宋体"/>
                <w:b/>
                <w:bCs/>
                <w:color w:val="auto"/>
                <w:sz w:val="28"/>
                <w:szCs w:val="28"/>
              </w:rPr>
              <w:t>日上午11:00分 （北京时间） 　</w:t>
            </w:r>
          </w:p>
          <w:p>
            <w:pPr>
              <w:rPr>
                <w:rFonts w:ascii="宋体" w:hAnsi="宋体" w:cs="宋体"/>
                <w:b/>
                <w:bCs/>
                <w:color w:val="auto"/>
                <w:sz w:val="28"/>
                <w:szCs w:val="28"/>
              </w:rPr>
            </w:pPr>
            <w:r>
              <w:rPr>
                <w:rFonts w:hint="eastAsia" w:ascii="宋体" w:hAnsi="宋体" w:cs="宋体"/>
                <w:b/>
                <w:bCs/>
                <w:color w:val="auto"/>
                <w:sz w:val="28"/>
                <w:szCs w:val="28"/>
              </w:rPr>
              <w:t>开标地点：喀什市中亚商贸第一城3号楼二楼60号开标室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4.1</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核心产品：大数据与人工智能实验室仪器设备一批（详细数量规格参数见招标文件）（含安装调试）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4.2</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评标方法：公开招标，采用综合评分法。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4.3</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 xml:space="preserve">推荐中标候选供应商的数量：　3个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4.4</w:t>
            </w:r>
          </w:p>
        </w:tc>
        <w:tc>
          <w:tcPr>
            <w:tcW w:w="7049" w:type="dxa"/>
            <w:vAlign w:val="center"/>
          </w:tcPr>
          <w:p>
            <w:pPr>
              <w:rPr>
                <w:rFonts w:ascii="宋体" w:hAnsi="宋体" w:cs="宋体"/>
                <w:b/>
                <w:bCs/>
                <w:color w:val="auto"/>
                <w:sz w:val="28"/>
                <w:szCs w:val="28"/>
              </w:rPr>
            </w:pPr>
            <w:r>
              <w:rPr>
                <w:rFonts w:hint="eastAsia" w:ascii="宋体" w:hAnsi="宋体" w:cs="宋体"/>
                <w:b/>
                <w:bCs/>
                <w:color w:val="auto"/>
                <w:sz w:val="28"/>
                <w:szCs w:val="28"/>
              </w:rPr>
              <w:t xml:space="preserve">招标人是否委托评标委员会直接确定中标人：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4.5</w:t>
            </w:r>
          </w:p>
        </w:tc>
        <w:tc>
          <w:tcPr>
            <w:tcW w:w="7049" w:type="dxa"/>
            <w:vAlign w:val="center"/>
          </w:tcPr>
          <w:p>
            <w:pPr>
              <w:rPr>
                <w:rFonts w:hint="eastAsia" w:ascii="宋体" w:hAnsi="宋体" w:eastAsia="宋体" w:cs="宋体"/>
                <w:b/>
                <w:bCs/>
                <w:color w:val="auto"/>
                <w:sz w:val="28"/>
                <w:szCs w:val="28"/>
                <w:lang w:eastAsia="zh-CN"/>
              </w:rPr>
            </w:pPr>
            <w:r>
              <w:rPr>
                <w:rFonts w:hint="eastAsia" w:ascii="宋体" w:hAnsi="宋体" w:cs="宋体"/>
                <w:b/>
                <w:bCs/>
                <w:color w:val="auto"/>
                <w:sz w:val="28"/>
                <w:szCs w:val="28"/>
              </w:rPr>
              <w:t>履约保证金金额：</w:t>
            </w:r>
            <w:r>
              <w:rPr>
                <w:rFonts w:hint="eastAsia" w:ascii="宋体" w:hAnsi="宋体" w:cs="宋体"/>
                <w:b/>
                <w:bCs/>
                <w:color w:val="auto"/>
                <w:sz w:val="28"/>
                <w:szCs w:val="28"/>
                <w:lang w:eastAsia="zh-CN"/>
              </w:rPr>
              <w:t>由中标单位的投标保证金</w:t>
            </w:r>
            <w:bookmarkStart w:id="551" w:name="_GoBack"/>
            <w:bookmarkEnd w:id="551"/>
            <w:r>
              <w:rPr>
                <w:rFonts w:hint="eastAsia" w:ascii="宋体" w:hAnsi="宋体" w:cs="宋体"/>
                <w:b/>
                <w:bCs/>
                <w:color w:val="auto"/>
                <w:sz w:val="28"/>
                <w:szCs w:val="28"/>
                <w:lang w:eastAsia="zh-CN"/>
              </w:rPr>
              <w:t>转为履约保证金</w:t>
            </w:r>
          </w:p>
          <w:p>
            <w:pPr>
              <w:rPr>
                <w:rFonts w:ascii="宋体" w:hAnsi="宋体" w:cs="宋体"/>
                <w:b/>
                <w:bCs/>
                <w:color w:val="auto"/>
                <w:sz w:val="28"/>
                <w:szCs w:val="28"/>
              </w:rPr>
            </w:pPr>
            <w:r>
              <w:rPr>
                <w:rFonts w:hint="eastAsia" w:ascii="宋体" w:hAnsi="宋体" w:cs="宋体"/>
                <w:b/>
                <w:bCs/>
                <w:color w:val="auto"/>
                <w:sz w:val="28"/>
                <w:szCs w:val="28"/>
              </w:rPr>
              <w:t>履约保证金形式：电汇、</w:t>
            </w:r>
            <w:r>
              <w:rPr>
                <w:rFonts w:hint="eastAsia" w:ascii="宋体" w:hAnsi="宋体" w:cs="宋体"/>
                <w:b/>
                <w:bCs/>
                <w:color w:val="auto"/>
                <w:sz w:val="28"/>
                <w:szCs w:val="28"/>
                <w:lang w:eastAsia="zh-CN"/>
              </w:rPr>
              <w:t>转账。</w:t>
            </w:r>
            <w:r>
              <w:rPr>
                <w:rFonts w:hint="eastAsia" w:ascii="宋体" w:hAnsi="宋体" w:cs="宋体"/>
                <w:b/>
                <w:bCs/>
                <w:color w:val="auto"/>
                <w:sz w:val="28"/>
                <w:szCs w:val="28"/>
              </w:rPr>
              <w:t xml:space="preserve">            </w:t>
            </w:r>
          </w:p>
          <w:p>
            <w:pPr>
              <w:rPr>
                <w:rFonts w:ascii="仿宋" w:hAnsi="仿宋" w:eastAsia="仿宋" w:cs="仿宋"/>
                <w:color w:val="auto"/>
                <w:sz w:val="28"/>
                <w:szCs w:val="28"/>
                <w:u w:val="single"/>
              </w:rPr>
            </w:pPr>
            <w:r>
              <w:rPr>
                <w:rFonts w:hint="eastAsia" w:ascii="宋体" w:hAnsi="宋体" w:cs="宋体"/>
                <w:b/>
                <w:bCs/>
                <w:color w:val="auto"/>
                <w:sz w:val="28"/>
                <w:szCs w:val="28"/>
              </w:rPr>
              <w:t>提交履约保证金的时间：签订合同后   5  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4.6</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不管投标结果如何，投标人均应承担自己投标所需一切费用。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4.7</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招标文件每本售价200元人民币。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4.8</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本项目的采购预算价为：4600000元（肆佰陆拾万元整）；投标总报价超过采购预算价的按废标处理。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5.1</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交货日期：合同签订后60日内。如交货时间发生变更，应双方协商并取得一致意见。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5.2</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质保期：产品质保期为3年，在质保期内乙方将免费更换所有故障的零部件，排除软件、硬件故障，并定期访问用户，了解设备使用情况。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5.3</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付款方式：全部货物安装调试完毕并验收合格后支付合同总额的95%，仪器设备运行1年后，若无质量问题，方可付5%余款(不计利息)。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5.4</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交货地点：喀什大学东城校区（新泉校区）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5.5</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售后服务要求：在产品试用期间做一次全面技术培训，每个实验室培训不少于2人；在质保期内，定期对产品进行维护，质保期外，提供及时的保修服务，不得影响甲方正常使用，费用另计。投标商必须针对本项目提出详细的、可操作性的、体现保障能力的售后服务方案和服务承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59" w:type="dxa"/>
            <w:vAlign w:val="center"/>
          </w:tcPr>
          <w:p>
            <w:pPr>
              <w:spacing w:line="240" w:lineRule="atLeast"/>
              <w:rPr>
                <w:rFonts w:ascii="宋体" w:hAnsi="宋体" w:cs="宋体"/>
                <w:color w:val="auto"/>
                <w:sz w:val="28"/>
                <w:szCs w:val="28"/>
              </w:rPr>
            </w:pPr>
            <w:r>
              <w:rPr>
                <w:rFonts w:hint="eastAsia" w:ascii="宋体" w:hAnsi="宋体" w:cs="宋体"/>
                <w:color w:val="auto"/>
                <w:sz w:val="28"/>
                <w:szCs w:val="28"/>
              </w:rPr>
              <w:t>5.6</w:t>
            </w:r>
          </w:p>
        </w:tc>
        <w:tc>
          <w:tcPr>
            <w:tcW w:w="7049" w:type="dxa"/>
            <w:vAlign w:val="center"/>
          </w:tcPr>
          <w:p>
            <w:pPr>
              <w:spacing w:line="240" w:lineRule="atLeast"/>
              <w:rPr>
                <w:rFonts w:ascii="宋体" w:hAnsi="宋体" w:cs="宋体"/>
                <w:b/>
                <w:bCs/>
                <w:color w:val="auto"/>
                <w:sz w:val="28"/>
                <w:szCs w:val="28"/>
              </w:rPr>
            </w:pPr>
            <w:r>
              <w:rPr>
                <w:rFonts w:hint="eastAsia" w:ascii="宋体" w:hAnsi="宋体" w:cs="宋体"/>
                <w:b/>
                <w:bCs/>
                <w:color w:val="auto"/>
                <w:sz w:val="28"/>
                <w:szCs w:val="28"/>
              </w:rPr>
              <w:t>提供所投产品的技术支持文件，必须为所投产品制造商官方公开发行的技术资料，内容应完整明确(包括详细的技术参数描述、产品彩页、配置情况说明等)。</w:t>
            </w:r>
          </w:p>
        </w:tc>
      </w:tr>
    </w:tbl>
    <w:p>
      <w:pPr>
        <w:ind w:firstLine="560" w:firstLineChars="200"/>
        <w:rPr>
          <w:rFonts w:ascii="仿宋" w:hAnsi="仿宋" w:eastAsia="仿宋" w:cs="仿宋"/>
          <w:color w:val="FF0000"/>
          <w:sz w:val="28"/>
          <w:szCs w:val="28"/>
        </w:rPr>
        <w:sectPr>
          <w:headerReference r:id="rId9" w:type="default"/>
          <w:headerReference r:id="rId10" w:type="even"/>
          <w:footerReference r:id="rId11" w:type="even"/>
          <w:pgSz w:w="11906" w:h="16838"/>
          <w:pgMar w:top="1440" w:right="1797" w:bottom="1440" w:left="1797" w:header="851" w:footer="992" w:gutter="0"/>
          <w:cols w:space="720" w:num="1"/>
          <w:docGrid w:linePitch="312" w:charSpace="0"/>
        </w:sectPr>
      </w:pPr>
    </w:p>
    <w:p>
      <w:pPr>
        <w:widowControl/>
        <w:ind w:firstLine="562" w:firstLineChars="200"/>
        <w:jc w:val="center"/>
        <w:rPr>
          <w:rFonts w:ascii="仿宋" w:hAnsi="仿宋" w:eastAsia="仿宋" w:cs="仿宋"/>
          <w:b/>
          <w:kern w:val="0"/>
          <w:sz w:val="28"/>
          <w:szCs w:val="28"/>
        </w:rPr>
      </w:pPr>
      <w:r>
        <w:rPr>
          <w:rFonts w:hint="eastAsia" w:ascii="仿宋" w:hAnsi="仿宋" w:eastAsia="仿宋" w:cs="仿宋"/>
          <w:b/>
          <w:kern w:val="0"/>
          <w:sz w:val="28"/>
          <w:szCs w:val="28"/>
        </w:rPr>
        <w:t>资格审查表</w:t>
      </w:r>
    </w:p>
    <w:p>
      <w:pPr>
        <w:ind w:firstLine="560" w:firstLineChars="200"/>
        <w:rPr>
          <w:rFonts w:ascii="仿宋" w:hAnsi="仿宋" w:eastAsia="仿宋" w:cs="仿宋"/>
          <w:sz w:val="28"/>
          <w:szCs w:val="28"/>
        </w:rPr>
      </w:pPr>
    </w:p>
    <w:tbl>
      <w:tblPr>
        <w:tblStyle w:val="15"/>
        <w:tblW w:w="0" w:type="auto"/>
        <w:jc w:val="center"/>
        <w:tblLayout w:type="fixed"/>
        <w:tblCellMar>
          <w:top w:w="0" w:type="dxa"/>
          <w:left w:w="108" w:type="dxa"/>
          <w:bottom w:w="0" w:type="dxa"/>
          <w:right w:w="108" w:type="dxa"/>
        </w:tblCellMar>
      </w:tblPr>
      <w:tblGrid>
        <w:gridCol w:w="1517"/>
        <w:gridCol w:w="1320"/>
        <w:gridCol w:w="1470"/>
        <w:gridCol w:w="2355"/>
        <w:gridCol w:w="1425"/>
        <w:gridCol w:w="1125"/>
        <w:gridCol w:w="1470"/>
        <w:gridCol w:w="1005"/>
        <w:gridCol w:w="1005"/>
      </w:tblGrid>
      <w:tr>
        <w:tblPrEx>
          <w:tblCellMar>
            <w:top w:w="0" w:type="dxa"/>
            <w:left w:w="108" w:type="dxa"/>
            <w:bottom w:w="0" w:type="dxa"/>
            <w:right w:w="108" w:type="dxa"/>
          </w:tblCellMar>
        </w:tblPrEx>
        <w:trPr>
          <w:trHeight w:val="583" w:hRule="atLeast"/>
          <w:jc w:val="center"/>
        </w:trPr>
        <w:tc>
          <w:tcPr>
            <w:tcW w:w="15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投标人名称</w:t>
            </w:r>
          </w:p>
        </w:tc>
        <w:tc>
          <w:tcPr>
            <w:tcW w:w="9165"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审查项目</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p>
        </w:tc>
      </w:tr>
      <w:tr>
        <w:tblPrEx>
          <w:tblCellMar>
            <w:top w:w="0" w:type="dxa"/>
            <w:left w:w="108" w:type="dxa"/>
            <w:bottom w:w="0" w:type="dxa"/>
            <w:right w:w="108" w:type="dxa"/>
          </w:tblCellMar>
        </w:tblPrEx>
        <w:trPr>
          <w:trHeight w:val="4043" w:hRule="atLeast"/>
          <w:jc w:val="center"/>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1"/>
                <w:szCs w:val="21"/>
              </w:rPr>
            </w:pPr>
          </w:p>
        </w:tc>
        <w:tc>
          <w:tcPr>
            <w:tcW w:w="1320"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sz w:val="21"/>
                <w:szCs w:val="21"/>
              </w:rPr>
            </w:pPr>
            <w:r>
              <w:rPr>
                <w:rFonts w:hint="eastAsia" w:ascii="仿宋" w:hAnsi="仿宋" w:eastAsia="仿宋" w:cs="仿宋"/>
                <w:color w:val="auto"/>
                <w:kern w:val="0"/>
                <w:sz w:val="21"/>
                <w:szCs w:val="21"/>
              </w:rPr>
              <w:t>具有合格的三证合一企业法人营业执照</w:t>
            </w:r>
          </w:p>
        </w:tc>
        <w:tc>
          <w:tcPr>
            <w:tcW w:w="147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p>
          <w:p>
            <w:pPr>
              <w:widowControl/>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法定代表人授权委托书及授权委托人身份证（法定代表人投标提供法身份证原件、）反商业行贿承诺书（加盖公章）原件</w:t>
            </w:r>
          </w:p>
          <w:p>
            <w:pPr>
              <w:widowControl/>
              <w:jc w:val="center"/>
              <w:rPr>
                <w:rFonts w:ascii="仿宋" w:hAnsi="仿宋" w:eastAsia="仿宋" w:cs="仿宋"/>
                <w:color w:val="auto"/>
                <w:kern w:val="0"/>
                <w:sz w:val="21"/>
                <w:szCs w:val="21"/>
              </w:rPr>
            </w:pPr>
          </w:p>
        </w:tc>
        <w:tc>
          <w:tcPr>
            <w:tcW w:w="235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无重大违法记录声明参加本次采购活动前三年内，在经营活动中无重大违法记录，受行政主管部门的处罚不能参加投标，参加政府采购活动前三年内，在经营活动中没有重大违法记录,凡拟参加本次招标项目的投标人及生产厂家，如在“信用中国”网站（网站（http://www.creditchina.gov.cn））等有不良行为记录的（尚在处罚期内的），将拒绝其参加本次政府采购活动，需提供相关网站截屏打印件（加盖投标单位公章）</w:t>
            </w:r>
          </w:p>
          <w:p>
            <w:pPr>
              <w:widowControl/>
              <w:jc w:val="center"/>
              <w:rPr>
                <w:rFonts w:ascii="仿宋" w:hAnsi="仿宋" w:eastAsia="仿宋" w:cs="仿宋"/>
                <w:color w:val="auto"/>
                <w:kern w:val="0"/>
                <w:sz w:val="21"/>
                <w:szCs w:val="21"/>
              </w:rPr>
            </w:pPr>
          </w:p>
        </w:tc>
        <w:tc>
          <w:tcPr>
            <w:tcW w:w="142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r>
              <w:rPr>
                <w:rFonts w:hint="eastAsia" w:ascii="仿宋" w:hAnsi="仿宋" w:eastAsia="仿宋" w:cs="仿宋"/>
                <w:color w:val="auto"/>
                <w:sz w:val="21"/>
                <w:szCs w:val="21"/>
                <w:shd w:val="clear" w:color="auto" w:fill="FFFFFF"/>
              </w:rPr>
              <w:t>被委托人必须是投标单位法人或正式员工，需提供社保部门出具的投标单位上一季度的缴纳社保证明（社保缴费凭证和个人明细表）</w:t>
            </w:r>
          </w:p>
        </w:tc>
        <w:tc>
          <w:tcPr>
            <w:tcW w:w="112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具有良好的商业信誉和健全的财务会计制度；（近两年审计报告原件；新成立不满一年的公司须提供近三个月的财务报告）</w:t>
            </w:r>
          </w:p>
        </w:tc>
        <w:tc>
          <w:tcPr>
            <w:tcW w:w="1470" w:type="dxa"/>
            <w:tcBorders>
              <w:top w:val="nil"/>
              <w:left w:val="nil"/>
              <w:bottom w:val="single" w:color="auto" w:sz="4" w:space="0"/>
              <w:right w:val="single" w:color="auto" w:sz="4" w:space="0"/>
            </w:tcBorders>
            <w:vAlign w:val="center"/>
          </w:tcPr>
          <w:p>
            <w:pPr>
              <w:widowControl/>
              <w:jc w:val="center"/>
              <w:rPr>
                <w:rFonts w:ascii="仿宋" w:hAnsi="仿宋" w:eastAsia="仿宋" w:cs="仿宋"/>
                <w:i/>
                <w:iCs/>
                <w:color w:val="auto"/>
                <w:kern w:val="0"/>
                <w:sz w:val="21"/>
                <w:szCs w:val="21"/>
              </w:rPr>
            </w:pPr>
            <w:r>
              <w:rPr>
                <w:rFonts w:hint="eastAsia" w:ascii="仿宋" w:hAnsi="仿宋" w:eastAsia="仿宋" w:cs="仿宋"/>
                <w:color w:val="auto"/>
                <w:sz w:val="21"/>
                <w:szCs w:val="21"/>
                <w:shd w:val="clear" w:color="auto" w:fill="FFFFFF"/>
              </w:rPr>
              <w:t>具有履行合同所必需的设备和专业技术能力承诺书</w:t>
            </w:r>
          </w:p>
        </w:tc>
        <w:tc>
          <w:tcPr>
            <w:tcW w:w="1005" w:type="dxa"/>
            <w:tcBorders>
              <w:top w:val="nil"/>
              <w:left w:val="nil"/>
              <w:bottom w:val="single" w:color="auto" w:sz="4" w:space="0"/>
              <w:right w:val="single" w:color="auto" w:sz="4" w:space="0"/>
            </w:tcBorders>
            <w:vAlign w:val="center"/>
          </w:tcPr>
          <w:p>
            <w:pPr>
              <w:widowControl/>
              <w:rPr>
                <w:rFonts w:ascii="仿宋" w:hAnsi="仿宋" w:eastAsia="仿宋" w:cs="仿宋"/>
                <w:i/>
                <w:iCs/>
                <w:color w:val="auto"/>
                <w:kern w:val="0"/>
                <w:sz w:val="21"/>
                <w:szCs w:val="21"/>
              </w:rPr>
            </w:pPr>
            <w:r>
              <w:rPr>
                <w:rFonts w:hint="eastAsia" w:ascii="仿宋" w:hAnsi="仿宋" w:eastAsia="仿宋" w:cs="仿宋"/>
                <w:color w:val="auto"/>
                <w:sz w:val="21"/>
                <w:szCs w:val="21"/>
                <w:shd w:val="clear" w:color="auto" w:fill="FFFFFF"/>
              </w:rPr>
              <w:t>投标保证金收据</w:t>
            </w:r>
          </w:p>
        </w:tc>
        <w:tc>
          <w:tcPr>
            <w:tcW w:w="100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本项目不接受联合体投标</w:t>
            </w:r>
          </w:p>
        </w:tc>
      </w:tr>
      <w:tr>
        <w:tblPrEx>
          <w:tblCellMar>
            <w:top w:w="0" w:type="dxa"/>
            <w:left w:w="108" w:type="dxa"/>
            <w:bottom w:w="0" w:type="dxa"/>
            <w:right w:w="108" w:type="dxa"/>
          </w:tblCellMar>
        </w:tblPrEx>
        <w:trPr>
          <w:trHeight w:val="806" w:hRule="atLeast"/>
          <w:jc w:val="center"/>
        </w:trPr>
        <w:tc>
          <w:tcPr>
            <w:tcW w:w="151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320"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470"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235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4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1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470"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00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00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r>
    </w:tbl>
    <w:p>
      <w:pPr>
        <w:pStyle w:val="4"/>
        <w:numPr>
          <w:ilvl w:val="0"/>
          <w:numId w:val="5"/>
        </w:numPr>
        <w:spacing w:before="0" w:after="0" w:line="240" w:lineRule="auto"/>
        <w:ind w:firstLine="562" w:firstLineChars="200"/>
        <w:rPr>
          <w:rFonts w:ascii="仿宋" w:hAnsi="仿宋" w:eastAsia="仿宋" w:cs="仿宋"/>
          <w:sz w:val="28"/>
          <w:szCs w:val="28"/>
        </w:rPr>
        <w:sectPr>
          <w:pgSz w:w="16838" w:h="11906" w:orient="landscape"/>
          <w:pgMar w:top="1797" w:right="1440" w:bottom="1797" w:left="1440" w:header="851" w:footer="992" w:gutter="0"/>
          <w:cols w:space="720" w:num="1"/>
          <w:docGrid w:linePitch="312" w:charSpace="0"/>
        </w:sectPr>
      </w:pPr>
    </w:p>
    <w:p>
      <w:pPr>
        <w:pStyle w:val="5"/>
        <w:spacing w:line="240" w:lineRule="auto"/>
        <w:ind w:firstLine="1687" w:firstLineChars="600"/>
        <w:jc w:val="both"/>
        <w:rPr>
          <w:rFonts w:ascii="仿宋" w:hAnsi="仿宋" w:eastAsia="仿宋" w:cs="仿宋"/>
          <w:b w:val="0"/>
          <w:color w:val="0C0C0C"/>
          <w:sz w:val="28"/>
          <w:szCs w:val="28"/>
          <w:lang w:bidi="ar"/>
        </w:rPr>
      </w:pPr>
      <w:bookmarkStart w:id="403" w:name="_Toc11275"/>
      <w:r>
        <w:rPr>
          <w:rFonts w:hint="eastAsia" w:ascii="仿宋" w:hAnsi="仿宋" w:eastAsia="仿宋" w:cs="仿宋"/>
          <w:color w:val="0C0C0C"/>
          <w:sz w:val="28"/>
          <w:szCs w:val="28"/>
        </w:rPr>
        <w:t>货物需求一览表及技术规格</w:t>
      </w:r>
      <w:bookmarkStart w:id="404" w:name="OLE_LINK1"/>
      <w:r>
        <w:rPr>
          <w:rFonts w:hint="eastAsia" w:ascii="仿宋" w:hAnsi="仿宋" w:eastAsia="仿宋" w:cs="仿宋"/>
          <w:color w:val="0C0C0C"/>
          <w:sz w:val="28"/>
          <w:szCs w:val="28"/>
        </w:rPr>
        <w:t>技术性能指标</w:t>
      </w:r>
      <w:bookmarkEnd w:id="403"/>
    </w:p>
    <w:p>
      <w:pPr>
        <w:pStyle w:val="2"/>
        <w:ind w:firstLine="0"/>
        <w:rPr>
          <w:rFonts w:ascii="仿宋" w:hAnsi="仿宋" w:eastAsia="仿宋" w:cs="仿宋"/>
          <w:b/>
          <w:color w:val="0C0C0C"/>
          <w:sz w:val="28"/>
          <w:szCs w:val="28"/>
          <w:lang w:bidi="ar"/>
        </w:rPr>
      </w:pPr>
      <w:r>
        <w:rPr>
          <w:rFonts w:hint="eastAsia" w:ascii="仿宋" w:hAnsi="仿宋" w:eastAsia="仿宋" w:cs="仿宋"/>
          <w:b/>
          <w:color w:val="0C0C0C"/>
          <w:sz w:val="28"/>
          <w:szCs w:val="28"/>
          <w:lang w:bidi="ar"/>
        </w:rPr>
        <w:t>附件一</w:t>
      </w:r>
    </w:p>
    <w:bookmarkEnd w:id="404"/>
    <w:tbl>
      <w:tblPr>
        <w:tblStyle w:val="15"/>
        <w:tblW w:w="8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31"/>
        <w:gridCol w:w="4198"/>
        <w:gridCol w:w="580"/>
        <w:gridCol w:w="660"/>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6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331"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仪器设备名称</w:t>
            </w:r>
          </w:p>
        </w:tc>
        <w:tc>
          <w:tcPr>
            <w:tcW w:w="4198"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详细功能、性能、技术指标及要求</w:t>
            </w:r>
          </w:p>
        </w:tc>
        <w:tc>
          <w:tcPr>
            <w:tcW w:w="58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66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c>
          <w:tcPr>
            <w:tcW w:w="68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67" w:type="dxa"/>
            <w:noWrap/>
            <w:vAlign w:val="center"/>
          </w:tcPr>
          <w:p>
            <w:pPr>
              <w:jc w:val="right"/>
              <w:rPr>
                <w:rFonts w:ascii="宋体" w:hAnsi="宋体" w:cs="宋体"/>
                <w:color w:val="auto"/>
                <w:szCs w:val="21"/>
              </w:rPr>
            </w:pPr>
            <w:r>
              <w:rPr>
                <w:rFonts w:hint="eastAsia"/>
                <w:color w:val="auto"/>
                <w:szCs w:val="21"/>
              </w:rPr>
              <w:t>1</w:t>
            </w:r>
          </w:p>
        </w:tc>
        <w:tc>
          <w:tcPr>
            <w:tcW w:w="1331" w:type="dxa"/>
            <w:vAlign w:val="center"/>
          </w:tcPr>
          <w:p>
            <w:pPr>
              <w:rPr>
                <w:rFonts w:ascii="宋体" w:hAnsi="宋体" w:cs="宋体"/>
                <w:color w:val="auto"/>
                <w:sz w:val="18"/>
                <w:szCs w:val="18"/>
              </w:rPr>
            </w:pPr>
            <w:r>
              <w:rPr>
                <w:rFonts w:hint="eastAsia"/>
                <w:color w:val="auto"/>
                <w:sz w:val="18"/>
                <w:szCs w:val="18"/>
              </w:rPr>
              <w:t>数据科学管理平台</w:t>
            </w:r>
          </w:p>
        </w:tc>
        <w:tc>
          <w:tcPr>
            <w:tcW w:w="4198" w:type="dxa"/>
            <w:vAlign w:val="center"/>
          </w:tcPr>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数据科学管理平台功能需包含以下各方面：</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1．数据科学管理功能模块：</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1.1支持资源弹性即时调度，即可按需自动分配资源，并且资源使用完毕后可以自动释放。</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1.2支持工作文件的持久化存储，管理员可对用户的存储空间进行分配和管理，支持永久保存用户的工作文件。</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1.3支持管理员将特定计算资源分配给平台的的全体成员、特定群组或单个成员，并支持控制资源的使用时长。</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1.4支持管理员对平台内的人员、资源使用情况进行实时监控、实时统计分析。</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1.5支持镜像管理功能，镜像中至少包含python和R的主流数据分析与机器学习框架与包，用户可自定义镜像，管理员可对自定义镜像授权管理。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1.6支持将不同类型的数据源提供安全统一的管理、展现与共享，支持的数据源类型至少包含本地数据文件上传和在线访问数据库。</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1.7数据使用权限支持以协作者、群组形式进行进行授权管理。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1.8支持分角色、群组、成员三个层面对平台内的人员进行结构化的管理，包含功能模块、内容资源的权限分配管理。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1.9至少支持60人并发实验。</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2.人工智能教学科研模块</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人工智能与大数据教学-科研模块：满足人工智能、机器学习、深度学习、大数据、数据科学等课程的教学与科研需求，至少提供以下功能：</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2.1至少可提供python2、python3、R和Julia的分析环境，分析环境中需要内置常用机器学习框架包括但不仅限于Numpy, Pandas, Scipy, Matplotlib, Scikit-learn, LightGBM, XGBoost; 深度学习框架包括但不限于tensorflow, keras, pytorch, paddlepaddle；支持老师自定义配置教学过程中所依赖的工具包提供给学生使用；</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2.2提供Jupyter Notebook编程环境，提供代码片段库，可实现代码片段的即插即用，涵盖数据读取、数据清洗、特征工程、数据建模等流程常用代码片段，包括不仅限于描述性统计信息、缺失值处理、pandas基本操作、Numpy基本操作、matplotlib 基本操作、降维、回归、分类等代码片段，也支持收藏构建自己的代码库，避免编程过程中重复造轮子；</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2.3包含针对Python语言程序设计、数据科学、机器学习、人工智能、深度学习、图像处理、自然语言处理等课程的配套教学资源和数据资源。</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2.4支持在线作业、在线考试、在线答疑、成绩分析统计等基本的课程管理功能，并将程序自动评判与课程管理相结合，以构建自动化的交互学习环境；支持针对客观题和程序题的自动阅卷。</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3.大数据实训模块</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3.1同时支撑部署类实验和集群类实验。针对部署类实验，采用主流的容器技术提供轻量、灵活、易用的大数据集群环境，并提供容器技术架构说明。针对非部署类实验，提供企业级大数据实验环境，采用共享大规模集群的实验方式，给学生提供“开箱即用”的实验环境，可以直接连接到集群上开展实验。</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3.2大数据实验实训环境镜像，镜像内集成了：①工业界和学术界常用大数据工具的客户端及安装包；②各个实验资源的实验支撑资料，实验支撑材料包括代码文件、数据集、相关实验脚本等内容，覆盖Hadoop大数据技术、Spark大数据技术、数据挖掘、数据可视化、数据采集、网络爬虫等课程。③大数据部署实验所需的容器环境。④可连接大数据集群的客户端配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3.3提供工业生产环境级别的大数据集群，基于大数据集群提供包括但不限于以下多种大数据服务：HDFS、YARN、MapReduce、Hive、HBase、ZooKeeper、 Storm、Kafka、Spark等。根据用户硬件资源情况，大数据集群包含的节点数量可弹性扩展。</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3.4提供本地集群环境，为每个学生提供了多个Docker节点，支撑学生在这些Docker节点上配置和部署大数据集群环境。</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3.5提供大数据技术、分布式数据库、数据挖掘、数据分析与可视化等课程的教学资源和数据资源。</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4.程序设计类课程资源模块</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4.1至少支持Python、C、C++、Java等编程语言的自动评判，并支持调试程序。</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4.2针对C语言、Python语言、Java等语言提供程序设计类题库，该题库要覆盖所有的基础知识点，包含易、中、难三种题型。</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5.数据资源包</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提供人工智能有关的数据资源，数据资源覆盖分类包括：金融、交通、医疗健康、自然语言处理、推荐系统、语音识别、指纹识别、社会数据、处理后的科研和竞赛数据、Web标签图像、材质纹理图像、场景图像、其它图像数据、人脸图像、人形轮廓图像、视觉文字识别图像、特定一类事物图像、物体分类图像、姿势动作图像、综合图像、密集人群视频、目标检测视频、其它视频、人类动作视频、综合视频等，资源总量不少于2T，包括但不仅限于：</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5.1自然语言处理数据集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①中文文本分类数据集（至少有十万条记录）。</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②中文情感分析数据集（至少有十万条记录）。</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③中英文双语对齐语料库（至少有三十万条记录）。</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④中文命名实体语料库（至少有十万条）。</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⑤中文聊天机器人语料库（至少有十万条记录）。</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⑥英文自然语言处理语料库（至少有三种）。</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5.2语音数据集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①中文语音语料库</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②THUYG-20 维吾尔语语音数据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③TIMIT 美式英语语音识别数据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④中英文双语语料库</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5.3图像数据集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Animals WithAttributes 标签图像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HARRISON dataset-HARRISON 社交标签图像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NUS-WIDE 标签图像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Visual Synset 标签图像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CURET 纹理材质图像数据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Describable Textures 纹理图像数据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ETHZ Synthesizability 纹理图像数据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KTH-TIPS 纹理材质图像数据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Places2 场景图像数据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Street Scences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SUN 场景图像数据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The Celebrity inPlaces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 GoogleStreet View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Visual Question Answering V1.0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Visual Question Answering V2.0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300 Face in Wild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Bao Face 人脸数据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BioID Face 人脸数据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Caltech 10k WebFaces 人脸图像数据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CelebA 名人人脸图像数据</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CMU Frontal Face Images</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DC-IGN 论文人脸数据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Extended Yale Face Database B 人脸数据</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FDDB_Face Detection Data Set and Benchmark</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IMDB-WIKI 500k+ 人脸图像、年龄性别数据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Labeled Faces in the Wild 人脸数据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NIST Mugshot Identification Database Faces in the Wild 人脸数据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VGG Face 人脸图像数据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Biwi Kinect Head Pose 头部姿势数据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MPII Human Shape人体轮廓数据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上半身人像数据 INRIA Person 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3D MNIST 数字识别图像数据【Kaggle数据】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MediaTeam Document 文档影印和内容数据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MNIST 手写数字识别图像数据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NIST Handprinted Forms and Characters 手写英文字符数据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NIST Structured Forms Reference Set of Binary Images (SFRS) II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NIST Structured Forms Reference Set of Binary Images (SFRS)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Street View House Number 门牌号图像数据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Text Recognition 文字图像数据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102_Category_Flower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17_Category_Flower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Caltech-UCSDBirds200 鸟类图像数据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CMU-Oxford Sculpture 塑像雕像图像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Fashion-MNIST 时尚服饰图像数据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Food-101 美食图像数据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Labeled Fishes in the Wild 鱼类图像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MIT Cars 汽车图像数据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Nature Conservancy Fisheries Monitoring 过度捕捞监控图像数据【Kaggle数据】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Oxford-IIIT Pet 宠物图像数据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Stanford Car 汽车图像数据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Stanford Cars 汽车图像数据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Stanford Dogs Dataset 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UCI Folio Leaf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美国 Yelp 点评网站酒店照片</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辛普森一家卡通形象图像【Kaggle竞赛】</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著名的猫图像标注数据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Caltech-101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Caltech-256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CIFAR-10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CIFAR-100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COIL-100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COIL-20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GRAZ 图像分类数据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iCubWorld 图像分类数据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LabelMe_12_50k图像数据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Multi-class 图像分类数据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NEC Toy Animal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NORB v1.0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STL-10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Buffy pose 人类姿势图像数据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Buffy Stickmen V3 人体轮廓识别图像数据</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HMDB_a large human motion database</w:t>
            </w:r>
          </w:p>
          <w:p>
            <w:pPr>
              <w:widowControl/>
              <w:adjustRightInd w:val="0"/>
              <w:snapToGrid w:val="0"/>
              <w:jc w:val="left"/>
              <w:rPr>
                <w:rFonts w:ascii="宋体" w:hAnsi="宋体" w:cs="宋体"/>
                <w:color w:val="auto"/>
                <w:kern w:val="0"/>
                <w:sz w:val="18"/>
                <w:szCs w:val="18"/>
              </w:rPr>
            </w:pPr>
            <w:r>
              <w:rPr>
                <w:rFonts w:ascii="宋体" w:hAnsi="宋体" w:cs="宋体"/>
                <w:color w:val="auto"/>
                <w:kern w:val="0"/>
                <w:sz w:val="18"/>
                <w:szCs w:val="18"/>
              </w:rPr>
              <w:t>Human Actionsand Scenes Dataset</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Human Pose Evaluator 人体轮廓识别图像数据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VGG Human Pose Estimation 姿势图像标注数据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COCO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ILSVRC 2014 训练数据（ImageNet的一部分）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Imagenet 小尺寸图像数据集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PASCAL Visual Object Classes 2010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PASCAL Visual Object Classes 2011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PASCAL Visual Object Classes 2012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SUFR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Visual Genome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Visual7w 图像数据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Yahoo Flickr 照片和视频数据集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5.4频数据集</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Crowd Counting 高密度人群图像</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Crowd Segmentation 高密度人群视频数据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Tracking in High Density Crowds 高密度人群视频</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ALOV++ 物体追踪视频数据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Caltech Pedestrian 行人视频数据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Daimler 行人视频数据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ETH 行人视频数据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INRIA 行人视频数据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TudBrussels 行人视频数据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UCSD Pedestrian 行人视频数据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Fire Detection 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HMDB 人类动作视频</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HOLLYWOOD2 人类行为动作视频数据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Microsoft Research Action 人类动作视频数据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Motion Capture 动作捕捉视频数据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Recognition of human actions 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SBU Kinect Interaction 肢体动作视频数据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 iPhone 运动中传感器数据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 Sport 人类动作视频数据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 YouTube 人类动作视频数据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UCF-ARG 人类动作视频数据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UCF101 Action Recognition 动作识别数据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UCF50 Action Recognition 动作识别数据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UT-Interaction 人类动作视频数据</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6.针对具体需求进行定制开发。</w:t>
            </w:r>
          </w:p>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 w:val="18"/>
                <w:szCs w:val="18"/>
              </w:rPr>
              <w:t>7.软件及数据更新：终身免费更新软件及数据资源包，三年免费维护。</w:t>
            </w:r>
          </w:p>
          <w:p>
            <w:pPr>
              <w:widowControl/>
              <w:adjustRightInd w:val="0"/>
              <w:snapToGrid w:val="0"/>
              <w:jc w:val="left"/>
              <w:rPr>
                <w:color w:val="auto"/>
              </w:rPr>
            </w:pPr>
            <w:r>
              <w:rPr>
                <w:rFonts w:hint="eastAsia" w:ascii="宋体" w:hAnsi="宋体" w:cs="宋体"/>
                <w:color w:val="auto"/>
                <w:kern w:val="0"/>
                <w:sz w:val="18"/>
                <w:szCs w:val="18"/>
              </w:rPr>
              <w:t>8.安装与调试：中标方负责软件的安装、调试，确保软件正常运行，由甲方指定培训地点，培训甲方3-4名管理人员。</w:t>
            </w:r>
          </w:p>
          <w:p>
            <w:pPr>
              <w:pStyle w:val="3"/>
              <w:rPr>
                <w:color w:val="auto"/>
              </w:rPr>
            </w:pPr>
            <w:r>
              <w:rPr>
                <w:rFonts w:hint="eastAsia" w:ascii="宋体" w:hAnsi="宋体" w:eastAsia="宋体" w:cs="宋体"/>
                <w:b/>
                <w:bCs/>
                <w:snapToGrid/>
                <w:color w:val="auto"/>
                <w:kern w:val="0"/>
                <w:sz w:val="18"/>
                <w:szCs w:val="18"/>
                <w:lang w:val="en-US" w:eastAsia="zh-CN" w:bidi="ar-SA"/>
              </w:rPr>
              <w:t>1、2、3项为重要指标</w:t>
            </w:r>
          </w:p>
        </w:tc>
        <w:tc>
          <w:tcPr>
            <w:tcW w:w="580" w:type="dxa"/>
            <w:vAlign w:val="center"/>
          </w:tcPr>
          <w:p>
            <w:pPr>
              <w:jc w:val="center"/>
              <w:rPr>
                <w:color w:val="auto"/>
              </w:rPr>
            </w:pPr>
            <w:r>
              <w:rPr>
                <w:rFonts w:hint="eastAsia"/>
                <w:color w:val="auto"/>
              </w:rPr>
              <w:t>套</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67" w:type="dxa"/>
            <w:noWrap/>
            <w:vAlign w:val="center"/>
          </w:tcPr>
          <w:p>
            <w:pPr>
              <w:jc w:val="right"/>
              <w:rPr>
                <w:rFonts w:ascii="宋体" w:hAnsi="宋体" w:cs="宋体"/>
                <w:color w:val="auto"/>
                <w:szCs w:val="21"/>
              </w:rPr>
            </w:pPr>
            <w:r>
              <w:rPr>
                <w:rFonts w:hint="eastAsia"/>
                <w:color w:val="auto"/>
                <w:szCs w:val="21"/>
              </w:rPr>
              <w:t>2</w:t>
            </w:r>
          </w:p>
        </w:tc>
        <w:tc>
          <w:tcPr>
            <w:tcW w:w="1331" w:type="dxa"/>
            <w:vAlign w:val="center"/>
          </w:tcPr>
          <w:p>
            <w:pPr>
              <w:rPr>
                <w:color w:val="auto"/>
                <w:sz w:val="18"/>
                <w:szCs w:val="18"/>
              </w:rPr>
            </w:pPr>
            <w:r>
              <w:rPr>
                <w:color w:val="auto"/>
                <w:sz w:val="18"/>
                <w:szCs w:val="18"/>
              </w:rPr>
              <w:t>Web</w:t>
            </w:r>
            <w:r>
              <w:rPr>
                <w:rFonts w:hint="eastAsia"/>
                <w:color w:val="auto"/>
                <w:sz w:val="18"/>
                <w:szCs w:val="18"/>
              </w:rPr>
              <w:t>用服务器</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1．芯片组：相当或优于Intel C620芯片组；</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2．CPU：配置不低于2颗Intel Xeon Silver 4210 10C 85W 2.2GHz 处理器；</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3．内存：配置不低于64GB DDR4 2666MHz内存；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4．硬盘：配置不低于3块4TB 7.2K SAS 12Gb 热插拔 512n 硬盘；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5．独立智能阵列卡，配置不低于Raid 0/1/10/5 2G缓存；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6．网卡：配置不少于2个千兆电口，2个万兆光口，1个专用的管理端口；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7．电源：相当或优于2个550W+铂金电源，1+1热插拔冗余电源，支持240V高压直流；</w:t>
            </w:r>
          </w:p>
          <w:p>
            <w:pPr>
              <w:widowControl/>
              <w:jc w:val="left"/>
              <w:rPr>
                <w:color w:val="auto"/>
              </w:rPr>
            </w:pPr>
            <w:r>
              <w:rPr>
                <w:rFonts w:hint="eastAsia" w:ascii="宋体" w:hAnsi="宋体" w:cs="宋体"/>
                <w:color w:val="auto"/>
                <w:kern w:val="0"/>
                <w:sz w:val="18"/>
                <w:szCs w:val="18"/>
              </w:rPr>
              <w:t>8．I/O：支持≥5个PCIe 3.0插槽。</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67" w:type="dxa"/>
            <w:noWrap/>
            <w:vAlign w:val="center"/>
          </w:tcPr>
          <w:p>
            <w:pPr>
              <w:jc w:val="right"/>
              <w:rPr>
                <w:rFonts w:ascii="宋体" w:hAnsi="宋体" w:cs="宋体"/>
                <w:color w:val="auto"/>
                <w:szCs w:val="21"/>
              </w:rPr>
            </w:pPr>
            <w:r>
              <w:rPr>
                <w:rFonts w:hint="eastAsia"/>
                <w:color w:val="auto"/>
                <w:szCs w:val="21"/>
              </w:rPr>
              <w:t>3</w:t>
            </w:r>
          </w:p>
        </w:tc>
        <w:tc>
          <w:tcPr>
            <w:tcW w:w="1331" w:type="dxa"/>
            <w:vAlign w:val="center"/>
          </w:tcPr>
          <w:p>
            <w:pPr>
              <w:rPr>
                <w:rFonts w:ascii="宋体" w:hAnsi="宋体" w:cs="宋体"/>
                <w:color w:val="auto"/>
                <w:sz w:val="18"/>
                <w:szCs w:val="18"/>
              </w:rPr>
            </w:pPr>
            <w:r>
              <w:rPr>
                <w:rFonts w:hint="eastAsia"/>
                <w:color w:val="auto"/>
                <w:sz w:val="18"/>
                <w:szCs w:val="18"/>
              </w:rPr>
              <w:t>大数据计算资源池服务器</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1．芯片组：相当或优于Intel C620芯片组；</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2．CPU：配置不低于2颗Intel Xeon Gold 5218 16核 32线程 2.3GHz 处理器；</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3．内存：配置不低于512GB DDR4 2666MHz内存；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4．硬盘：配置不低于6块4TB 7.2K SAS 12Gb 热插拔 512n 硬盘；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5．独立智能阵列卡，配置不低于Raid 0/1/10/5 2G缓存；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6．网卡：配置不少于2个千兆电口，2个万兆光口，1个专用的管理端口；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7．电源：相当或优于2个800W+铂金电源，1+1热插拔冗余电源，支持240V高压直流；</w:t>
            </w:r>
          </w:p>
          <w:p>
            <w:pPr>
              <w:widowControl/>
              <w:jc w:val="left"/>
              <w:rPr>
                <w:color w:val="auto"/>
              </w:rPr>
            </w:pPr>
            <w:r>
              <w:rPr>
                <w:rFonts w:hint="eastAsia" w:ascii="宋体" w:hAnsi="宋体" w:cs="宋体"/>
                <w:color w:val="auto"/>
                <w:kern w:val="0"/>
                <w:sz w:val="18"/>
                <w:szCs w:val="18"/>
              </w:rPr>
              <w:t>8．I/O：支持≥3个PCIe 3.0插槽。</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567" w:type="dxa"/>
            <w:noWrap/>
            <w:vAlign w:val="center"/>
          </w:tcPr>
          <w:p>
            <w:pPr>
              <w:jc w:val="right"/>
              <w:rPr>
                <w:rFonts w:ascii="宋体" w:hAnsi="宋体" w:cs="宋体"/>
                <w:color w:val="auto"/>
                <w:szCs w:val="21"/>
              </w:rPr>
            </w:pPr>
            <w:r>
              <w:rPr>
                <w:rFonts w:hint="eastAsia"/>
                <w:color w:val="auto"/>
                <w:szCs w:val="21"/>
              </w:rPr>
              <w:t>4</w:t>
            </w:r>
          </w:p>
        </w:tc>
        <w:tc>
          <w:tcPr>
            <w:tcW w:w="1331" w:type="dxa"/>
            <w:vAlign w:val="center"/>
          </w:tcPr>
          <w:p>
            <w:pPr>
              <w:rPr>
                <w:rFonts w:ascii="宋体" w:hAnsi="宋体" w:cs="宋体"/>
                <w:color w:val="auto"/>
                <w:sz w:val="18"/>
                <w:szCs w:val="18"/>
              </w:rPr>
            </w:pPr>
            <w:r>
              <w:rPr>
                <w:rFonts w:hint="eastAsia"/>
                <w:color w:val="auto"/>
                <w:sz w:val="18"/>
                <w:szCs w:val="18"/>
              </w:rPr>
              <w:t>人工智能</w:t>
            </w:r>
            <w:r>
              <w:rPr>
                <w:color w:val="auto"/>
                <w:sz w:val="18"/>
                <w:szCs w:val="18"/>
              </w:rPr>
              <w:t>GPU</w:t>
            </w:r>
            <w:r>
              <w:rPr>
                <w:rFonts w:hint="eastAsia"/>
                <w:color w:val="auto"/>
                <w:sz w:val="18"/>
                <w:szCs w:val="18"/>
              </w:rPr>
              <w:t>服务器</w:t>
            </w:r>
          </w:p>
        </w:tc>
        <w:tc>
          <w:tcPr>
            <w:tcW w:w="4198" w:type="dxa"/>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1．芯片组：相当或优于Intel C620芯片组；</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2．CPU：配置不低于2颗Intel Xeon Silver 4216 16核 32线程 2.1GHz 处理器；</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3．内存：配置不低于512GB DDR4 2666MHz内存；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4．硬盘：配置不低于6块4TB 7.2K SAS 12Gb 热插拔 512n 硬盘；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5．独立智能阵列卡，配置不低于Raid 0/1/10/5 2G缓存；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6．网卡：配置不少于2个千兆电口，2个千兆光口，1个专用的管理端口；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7．电源：相当或优于2个2200W钛金电源，1+1热插拔冗余电源，支持240V高压直流；</w:t>
            </w:r>
          </w:p>
          <w:p>
            <w:pPr>
              <w:widowControl/>
              <w:jc w:val="left"/>
              <w:rPr>
                <w:color w:val="auto"/>
              </w:rPr>
            </w:pPr>
            <w:r>
              <w:rPr>
                <w:rFonts w:hint="eastAsia" w:ascii="宋体" w:hAnsi="宋体" w:cs="宋体"/>
                <w:color w:val="auto"/>
                <w:kern w:val="0"/>
                <w:sz w:val="18"/>
                <w:szCs w:val="18"/>
              </w:rPr>
              <w:t>8．配置：不少于6块NVIDIA TESLA T4 16GB。</w:t>
            </w:r>
          </w:p>
          <w:p>
            <w:pPr>
              <w:pStyle w:val="3"/>
              <w:rPr>
                <w:color w:val="auto"/>
              </w:rPr>
            </w:pPr>
            <w:r>
              <w:rPr>
                <w:rFonts w:hint="eastAsia" w:ascii="宋体" w:hAnsi="宋体" w:eastAsia="宋体" w:cs="宋体"/>
                <w:b/>
                <w:bCs/>
                <w:snapToGrid/>
                <w:color w:val="auto"/>
                <w:kern w:val="0"/>
                <w:sz w:val="18"/>
                <w:szCs w:val="18"/>
                <w:lang w:val="en-US" w:eastAsia="zh-CN" w:bidi="ar-SA"/>
              </w:rPr>
              <w:t>1、2、3、4、8项为重要指标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67" w:type="dxa"/>
            <w:noWrap/>
            <w:vAlign w:val="center"/>
          </w:tcPr>
          <w:p>
            <w:pPr>
              <w:jc w:val="right"/>
              <w:rPr>
                <w:rFonts w:ascii="宋体" w:hAnsi="宋体" w:cs="宋体"/>
                <w:color w:val="auto"/>
                <w:szCs w:val="21"/>
              </w:rPr>
            </w:pPr>
            <w:r>
              <w:rPr>
                <w:rFonts w:hint="eastAsia"/>
                <w:color w:val="auto"/>
                <w:szCs w:val="21"/>
              </w:rPr>
              <w:t>5</w:t>
            </w:r>
          </w:p>
        </w:tc>
        <w:tc>
          <w:tcPr>
            <w:tcW w:w="1331" w:type="dxa"/>
            <w:vAlign w:val="center"/>
          </w:tcPr>
          <w:p>
            <w:pPr>
              <w:rPr>
                <w:rFonts w:ascii="宋体" w:hAnsi="宋体" w:cs="宋体"/>
                <w:color w:val="auto"/>
                <w:sz w:val="18"/>
                <w:szCs w:val="18"/>
              </w:rPr>
            </w:pPr>
            <w:r>
              <w:rPr>
                <w:rFonts w:hint="eastAsia"/>
                <w:color w:val="auto"/>
                <w:sz w:val="18"/>
                <w:szCs w:val="18"/>
              </w:rPr>
              <w:t>人工智能科研</w:t>
            </w:r>
            <w:r>
              <w:rPr>
                <w:rFonts w:hint="eastAsia" w:ascii="等线" w:hAnsi="等线" w:eastAsia="等线"/>
                <w:color w:val="auto"/>
                <w:sz w:val="18"/>
                <w:szCs w:val="18"/>
              </w:rPr>
              <w:t>GPU</w:t>
            </w:r>
            <w:r>
              <w:rPr>
                <w:rFonts w:hint="eastAsia"/>
                <w:color w:val="auto"/>
                <w:sz w:val="18"/>
                <w:szCs w:val="18"/>
              </w:rPr>
              <w:t>计算服务器</w:t>
            </w:r>
          </w:p>
        </w:tc>
        <w:tc>
          <w:tcPr>
            <w:tcW w:w="4198" w:type="dxa"/>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1．芯片组：相当或优于Intel C620芯片组；</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2．CPU：配置不低于2颗Intel Xeon Silver 4216 16核 32线程 2.1GHz 处理器；</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3．内存：配置不低于512GB DDR4 2666MHz内存；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4．硬盘：配置不低于6块4TB 7.2K SAS 12Gb 热插拔 512n 硬盘；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5．独立智能阵列卡，配置不少于Raid 0/1/10/5 2G缓存；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6．网卡：配置不少于2个千兆电口，2个千兆光口，1个专用的管理端口；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7．电源：相当或优于4个2000W钛金电源，2+2热插拔冗余电源，支持240V高压直流；</w:t>
            </w:r>
          </w:p>
          <w:p>
            <w:pPr>
              <w:widowControl/>
              <w:jc w:val="left"/>
              <w:rPr>
                <w:color w:val="auto"/>
              </w:rPr>
            </w:pPr>
            <w:r>
              <w:rPr>
                <w:rFonts w:hint="eastAsia" w:ascii="宋体" w:hAnsi="宋体" w:cs="宋体"/>
                <w:color w:val="auto"/>
                <w:kern w:val="0"/>
                <w:sz w:val="18"/>
                <w:szCs w:val="18"/>
              </w:rPr>
              <w:t>8．GPU：配置不少于8块NVIDIA TESLA T4 16GB。</w:t>
            </w:r>
          </w:p>
          <w:p>
            <w:pPr>
              <w:pStyle w:val="2"/>
              <w:ind w:firstLine="0"/>
              <w:rPr>
                <w:color w:val="auto"/>
              </w:rPr>
            </w:pPr>
            <w:r>
              <w:rPr>
                <w:rFonts w:hint="eastAsia" w:ascii="宋体" w:hAnsi="宋体" w:eastAsia="宋体" w:cs="宋体"/>
                <w:b/>
                <w:bCs/>
                <w:snapToGrid/>
                <w:color w:val="auto"/>
                <w:kern w:val="0"/>
                <w:sz w:val="18"/>
                <w:szCs w:val="18"/>
                <w:lang w:val="en-US" w:eastAsia="zh-CN" w:bidi="ar-SA"/>
              </w:rPr>
              <w:t>1、2、3、4、8项为重要指标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7" w:type="dxa"/>
            <w:noWrap/>
            <w:vAlign w:val="center"/>
          </w:tcPr>
          <w:p>
            <w:pPr>
              <w:jc w:val="right"/>
              <w:rPr>
                <w:rFonts w:ascii="宋体" w:hAnsi="宋体" w:cs="宋体"/>
                <w:color w:val="auto"/>
                <w:szCs w:val="21"/>
              </w:rPr>
            </w:pPr>
            <w:r>
              <w:rPr>
                <w:rFonts w:hint="eastAsia"/>
                <w:color w:val="auto"/>
                <w:szCs w:val="21"/>
              </w:rPr>
              <w:t>6</w:t>
            </w:r>
          </w:p>
        </w:tc>
        <w:tc>
          <w:tcPr>
            <w:tcW w:w="1331" w:type="dxa"/>
            <w:vAlign w:val="center"/>
          </w:tcPr>
          <w:p>
            <w:pPr>
              <w:rPr>
                <w:rFonts w:ascii="宋体" w:hAnsi="宋体" w:cs="宋体"/>
                <w:color w:val="auto"/>
                <w:sz w:val="18"/>
                <w:szCs w:val="18"/>
              </w:rPr>
            </w:pPr>
            <w:r>
              <w:rPr>
                <w:rFonts w:hint="eastAsia"/>
                <w:color w:val="auto"/>
                <w:sz w:val="18"/>
                <w:szCs w:val="18"/>
              </w:rPr>
              <w:t>服务器机柜及套件</w:t>
            </w:r>
          </w:p>
        </w:tc>
        <w:tc>
          <w:tcPr>
            <w:tcW w:w="4198" w:type="dxa"/>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1.机柜：19寸 42U的标准机柜。</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 KVM：1U一体化KVM</w:t>
            </w:r>
          </w:p>
        </w:tc>
        <w:tc>
          <w:tcPr>
            <w:tcW w:w="580" w:type="dxa"/>
            <w:vAlign w:val="center"/>
          </w:tcPr>
          <w:p>
            <w:pPr>
              <w:jc w:val="center"/>
              <w:rPr>
                <w:color w:val="auto"/>
              </w:rPr>
            </w:pPr>
            <w:r>
              <w:rPr>
                <w:rFonts w:hint="eastAsia"/>
                <w:color w:val="auto"/>
              </w:rPr>
              <w:t>套</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67" w:type="dxa"/>
            <w:noWrap/>
            <w:vAlign w:val="center"/>
          </w:tcPr>
          <w:p>
            <w:pPr>
              <w:jc w:val="right"/>
              <w:rPr>
                <w:rFonts w:ascii="宋体" w:hAnsi="宋体" w:cs="宋体"/>
                <w:color w:val="auto"/>
                <w:szCs w:val="21"/>
              </w:rPr>
            </w:pPr>
            <w:r>
              <w:rPr>
                <w:rFonts w:hint="eastAsia"/>
                <w:color w:val="auto"/>
                <w:szCs w:val="21"/>
              </w:rPr>
              <w:t>7</w:t>
            </w:r>
          </w:p>
        </w:tc>
        <w:tc>
          <w:tcPr>
            <w:tcW w:w="1331" w:type="dxa"/>
            <w:vAlign w:val="center"/>
          </w:tcPr>
          <w:p>
            <w:pPr>
              <w:rPr>
                <w:rFonts w:ascii="宋体" w:hAnsi="宋体" w:cs="宋体"/>
                <w:color w:val="auto"/>
                <w:sz w:val="18"/>
                <w:szCs w:val="18"/>
              </w:rPr>
            </w:pPr>
            <w:r>
              <w:rPr>
                <w:rFonts w:hint="eastAsia"/>
                <w:color w:val="auto"/>
                <w:sz w:val="18"/>
                <w:szCs w:val="18"/>
              </w:rPr>
              <w:t>高性能工作站</w:t>
            </w:r>
          </w:p>
        </w:tc>
        <w:tc>
          <w:tcPr>
            <w:tcW w:w="4198" w:type="dxa"/>
            <w:vAlign w:val="center"/>
          </w:tcPr>
          <w:p>
            <w:pPr>
              <w:widowControl/>
              <w:jc w:val="left"/>
              <w:rPr>
                <w:rFonts w:ascii="宋体" w:hAnsi="宋体" w:cs="宋体"/>
                <w:color w:val="auto"/>
                <w:sz w:val="18"/>
                <w:szCs w:val="18"/>
              </w:rPr>
            </w:pPr>
            <w:r>
              <w:rPr>
                <w:rFonts w:hint="eastAsia" w:ascii="宋体" w:hAnsi="宋体" w:cs="宋体"/>
                <w:color w:val="auto"/>
                <w:kern w:val="0"/>
                <w:sz w:val="18"/>
                <w:szCs w:val="18"/>
              </w:rPr>
              <w:t>1．处理器：性能不低于</w:t>
            </w:r>
            <w:r>
              <w:rPr>
                <w:rFonts w:hint="eastAsia" w:ascii="宋体" w:hAnsi="宋体" w:cs="宋体"/>
                <w:color w:val="auto"/>
                <w:sz w:val="18"/>
                <w:szCs w:val="18"/>
              </w:rPr>
              <w:t>Intel i9-</w:t>
            </w:r>
            <w:r>
              <w:rPr>
                <w:rFonts w:ascii="宋体" w:hAnsi="宋体" w:cs="宋体"/>
                <w:color w:val="auto"/>
                <w:sz w:val="18"/>
                <w:szCs w:val="18"/>
              </w:rPr>
              <w:t>9900k</w:t>
            </w:r>
            <w:r>
              <w:rPr>
                <w:rFonts w:hint="eastAsia" w:ascii="宋体" w:hAnsi="宋体" w:cs="宋体"/>
                <w:color w:val="auto"/>
                <w:sz w:val="18"/>
                <w:szCs w:val="18"/>
              </w:rPr>
              <w:t>主频3.6G 8核心；</w:t>
            </w:r>
          </w:p>
          <w:p>
            <w:pPr>
              <w:widowControl/>
              <w:jc w:val="left"/>
              <w:rPr>
                <w:rFonts w:ascii="宋体" w:hAnsi="宋体" w:cs="宋体"/>
                <w:color w:val="auto"/>
                <w:sz w:val="18"/>
                <w:szCs w:val="18"/>
              </w:rPr>
            </w:pPr>
            <w:r>
              <w:rPr>
                <w:rFonts w:hint="eastAsia" w:ascii="宋体" w:hAnsi="宋体" w:cs="宋体"/>
                <w:color w:val="auto"/>
                <w:sz w:val="18"/>
                <w:szCs w:val="18"/>
              </w:rPr>
              <w:t>2．内存：本次配置≥64GB DDR4 2933 ECC RDIMM；</w:t>
            </w:r>
          </w:p>
          <w:p>
            <w:pPr>
              <w:widowControl/>
              <w:jc w:val="left"/>
              <w:rPr>
                <w:rFonts w:ascii="宋体" w:hAnsi="宋体" w:cs="宋体"/>
                <w:color w:val="auto"/>
                <w:kern w:val="0"/>
                <w:sz w:val="18"/>
                <w:szCs w:val="18"/>
              </w:rPr>
            </w:pPr>
            <w:r>
              <w:rPr>
                <w:rFonts w:hint="eastAsia" w:ascii="宋体" w:hAnsi="宋体" w:cs="宋体"/>
                <w:color w:val="auto"/>
                <w:sz w:val="18"/>
                <w:szCs w:val="18"/>
              </w:rPr>
              <w:t>3．硬盘：容量与速度不低于</w:t>
            </w:r>
            <w:r>
              <w:rPr>
                <w:rFonts w:hint="eastAsia" w:ascii="宋体" w:hAnsi="宋体" w:cs="宋体"/>
                <w:color w:val="auto"/>
                <w:kern w:val="0"/>
                <w:sz w:val="18"/>
                <w:szCs w:val="18"/>
              </w:rPr>
              <w:t>1T 7200转 SATA+512G SSD M2 PCIE 双硬盘,可支持4个3.5寸硬盘槽位；提供M.2 PCIe NVME SSD硬盘槽位；可支持4个3.5寸硬盘槽位；提供M.2 PCIe NVME SSD硬盘槽位；</w:t>
            </w:r>
          </w:p>
          <w:p>
            <w:pPr>
              <w:widowControl/>
              <w:jc w:val="left"/>
              <w:rPr>
                <w:rFonts w:ascii="宋体" w:hAnsi="宋体" w:cs="宋体"/>
                <w:color w:val="auto"/>
                <w:sz w:val="18"/>
                <w:szCs w:val="18"/>
              </w:rPr>
            </w:pPr>
            <w:r>
              <w:rPr>
                <w:rFonts w:hint="eastAsia" w:ascii="宋体" w:hAnsi="宋体" w:cs="宋体"/>
                <w:color w:val="auto"/>
                <w:sz w:val="18"/>
                <w:szCs w:val="18"/>
              </w:rPr>
              <w:t>4．显卡：性能不低于</w:t>
            </w:r>
            <w:r>
              <w:rPr>
                <w:rFonts w:ascii="宋体" w:hAnsi="宋体" w:cs="宋体"/>
                <w:color w:val="auto"/>
                <w:sz w:val="18"/>
                <w:szCs w:val="18"/>
              </w:rPr>
              <w:t>NVIDIA Quadro P2000</w:t>
            </w:r>
          </w:p>
          <w:p>
            <w:pPr>
              <w:widowControl/>
              <w:jc w:val="left"/>
              <w:rPr>
                <w:rFonts w:ascii="宋体" w:hAnsi="宋体" w:cs="宋体"/>
                <w:color w:val="auto"/>
                <w:sz w:val="18"/>
                <w:szCs w:val="18"/>
              </w:rPr>
            </w:pPr>
            <w:r>
              <w:rPr>
                <w:rFonts w:hint="eastAsia" w:ascii="宋体" w:hAnsi="宋体" w:cs="宋体"/>
                <w:color w:val="auto"/>
                <w:sz w:val="18"/>
                <w:szCs w:val="18"/>
              </w:rPr>
              <w:t>5．音频：5个音频接口，支持5.1声道；</w:t>
            </w:r>
          </w:p>
          <w:p>
            <w:pPr>
              <w:widowControl/>
              <w:jc w:val="left"/>
              <w:rPr>
                <w:rFonts w:ascii="宋体" w:hAnsi="宋体" w:cs="宋体"/>
                <w:color w:val="auto"/>
                <w:sz w:val="18"/>
                <w:szCs w:val="18"/>
              </w:rPr>
            </w:pPr>
            <w:r>
              <w:rPr>
                <w:rFonts w:hint="eastAsia" w:ascii="宋体" w:hAnsi="宋体" w:cs="宋体"/>
                <w:color w:val="auto"/>
                <w:sz w:val="18"/>
                <w:szCs w:val="18"/>
              </w:rPr>
              <w:t>6．网卡：集成千兆网卡；</w:t>
            </w:r>
          </w:p>
          <w:p>
            <w:pPr>
              <w:widowControl/>
              <w:jc w:val="left"/>
              <w:rPr>
                <w:rFonts w:ascii="宋体" w:hAnsi="宋体" w:cs="宋体"/>
                <w:color w:val="auto"/>
                <w:sz w:val="18"/>
                <w:szCs w:val="18"/>
              </w:rPr>
            </w:pPr>
            <w:r>
              <w:rPr>
                <w:rFonts w:hint="eastAsia" w:ascii="宋体" w:hAnsi="宋体" w:cs="宋体"/>
                <w:color w:val="auto"/>
                <w:sz w:val="18"/>
                <w:szCs w:val="18"/>
              </w:rPr>
              <w:t>7．键盘鼠标：USB键盘鼠标；</w:t>
            </w:r>
          </w:p>
          <w:p>
            <w:pPr>
              <w:widowControl/>
              <w:jc w:val="left"/>
              <w:rPr>
                <w:rFonts w:ascii="宋体" w:hAnsi="宋体" w:cs="宋体"/>
                <w:color w:val="auto"/>
                <w:sz w:val="18"/>
                <w:szCs w:val="18"/>
              </w:rPr>
            </w:pPr>
            <w:r>
              <w:rPr>
                <w:rFonts w:hint="eastAsia" w:ascii="宋体" w:hAnsi="宋体" w:cs="宋体"/>
                <w:color w:val="auto"/>
                <w:sz w:val="18"/>
                <w:szCs w:val="18"/>
              </w:rPr>
              <w:t>8．电源：≥500W节能电源；</w:t>
            </w:r>
          </w:p>
          <w:p>
            <w:pPr>
              <w:widowControl/>
              <w:jc w:val="left"/>
              <w:rPr>
                <w:rFonts w:ascii="宋体" w:hAnsi="宋体" w:cs="宋体"/>
                <w:color w:val="auto"/>
                <w:sz w:val="18"/>
                <w:szCs w:val="18"/>
              </w:rPr>
            </w:pPr>
            <w:r>
              <w:rPr>
                <w:rFonts w:hint="eastAsia" w:ascii="宋体" w:hAnsi="宋体" w:cs="宋体"/>
                <w:color w:val="auto"/>
                <w:sz w:val="18"/>
                <w:szCs w:val="18"/>
              </w:rPr>
              <w:t>9．机箱：塔式标准机箱；</w:t>
            </w:r>
          </w:p>
          <w:p>
            <w:pPr>
              <w:widowControl/>
              <w:jc w:val="left"/>
              <w:rPr>
                <w:rFonts w:ascii="宋体" w:hAnsi="宋体" w:cs="宋体"/>
                <w:color w:val="auto"/>
                <w:sz w:val="18"/>
                <w:szCs w:val="18"/>
              </w:rPr>
            </w:pPr>
            <w:r>
              <w:rPr>
                <w:rFonts w:hint="eastAsia" w:ascii="宋体" w:hAnsi="宋体" w:cs="宋体"/>
                <w:color w:val="auto"/>
                <w:sz w:val="18"/>
                <w:szCs w:val="18"/>
              </w:rPr>
              <w:t>10．防水抗菌键盘鼠标；</w:t>
            </w:r>
          </w:p>
          <w:p>
            <w:pPr>
              <w:widowControl/>
              <w:jc w:val="left"/>
              <w:rPr>
                <w:rFonts w:ascii="宋体" w:hAnsi="宋体" w:cs="宋体"/>
                <w:color w:val="auto"/>
                <w:sz w:val="18"/>
                <w:szCs w:val="18"/>
              </w:rPr>
            </w:pPr>
            <w:r>
              <w:rPr>
                <w:rFonts w:hint="eastAsia" w:ascii="宋体" w:hAnsi="宋体" w:cs="宋体"/>
                <w:color w:val="auto"/>
                <w:sz w:val="18"/>
                <w:szCs w:val="18"/>
              </w:rPr>
              <w:t>10．服务：原厂三年免费上门服务，接到报修电话，24小时内上门检修；</w:t>
            </w:r>
          </w:p>
          <w:p>
            <w:pPr>
              <w:ind w:left="18" w:hanging="18" w:hangingChars="10"/>
              <w:rPr>
                <w:rFonts w:ascii="宋体" w:hAnsi="宋体" w:cs="宋体"/>
                <w:b/>
                <w:bCs/>
                <w:color w:val="auto"/>
                <w:kern w:val="0"/>
                <w:sz w:val="18"/>
                <w:szCs w:val="18"/>
              </w:rPr>
            </w:pPr>
            <w:r>
              <w:rPr>
                <w:rFonts w:hint="eastAsia" w:ascii="宋体" w:hAnsi="宋体" w:cs="宋体"/>
                <w:color w:val="auto"/>
                <w:kern w:val="0"/>
                <w:sz w:val="18"/>
                <w:szCs w:val="18"/>
              </w:rPr>
              <w:t>12．</w:t>
            </w:r>
            <w:r>
              <w:rPr>
                <w:rFonts w:ascii="宋体" w:hAnsi="宋体" w:cs="宋体"/>
                <w:b/>
                <w:bCs/>
                <w:color w:val="auto"/>
                <w:kern w:val="0"/>
                <w:sz w:val="18"/>
                <w:szCs w:val="18"/>
              </w:rPr>
              <w:t>保修</w:t>
            </w:r>
            <w:r>
              <w:rPr>
                <w:rFonts w:hint="eastAsia" w:ascii="宋体" w:hAnsi="宋体" w:cs="宋体"/>
                <w:b/>
                <w:bCs/>
                <w:color w:val="auto"/>
                <w:kern w:val="0"/>
                <w:sz w:val="18"/>
                <w:szCs w:val="18"/>
              </w:rPr>
              <w:t>：</w:t>
            </w:r>
            <w:r>
              <w:rPr>
                <w:rFonts w:ascii="宋体" w:hAnsi="宋体" w:cs="宋体"/>
                <w:b/>
                <w:bCs/>
                <w:color w:val="auto"/>
                <w:kern w:val="0"/>
                <w:sz w:val="18"/>
                <w:szCs w:val="18"/>
              </w:rPr>
              <w:t>三年完全免费的原厂商售后服务：包括原厂商800/</w:t>
            </w:r>
            <w:r>
              <w:rPr>
                <w:rFonts w:hint="eastAsia" w:ascii="宋体" w:hAnsi="宋体" w:cs="宋体"/>
                <w:b/>
                <w:bCs/>
                <w:color w:val="auto"/>
                <w:kern w:val="0"/>
                <w:sz w:val="18"/>
                <w:szCs w:val="18"/>
              </w:rPr>
              <w:t>400</w:t>
            </w:r>
            <w:r>
              <w:rPr>
                <w:rFonts w:ascii="宋体" w:hAnsi="宋体" w:cs="宋体"/>
                <w:b/>
                <w:bCs/>
                <w:color w:val="auto"/>
                <w:kern w:val="0"/>
                <w:sz w:val="18"/>
                <w:szCs w:val="18"/>
              </w:rPr>
              <w:t>电话支持、所有部件（包括键盘鼠标在内）的原厂商备件、不晚于第</w:t>
            </w:r>
            <w:r>
              <w:rPr>
                <w:rFonts w:hint="eastAsia" w:ascii="宋体" w:hAnsi="宋体" w:cs="宋体"/>
                <w:b/>
                <w:bCs/>
                <w:color w:val="auto"/>
                <w:kern w:val="0"/>
                <w:sz w:val="18"/>
                <w:szCs w:val="18"/>
              </w:rPr>
              <w:t>七</w:t>
            </w:r>
            <w:r>
              <w:rPr>
                <w:rFonts w:ascii="宋体" w:hAnsi="宋体" w:cs="宋体"/>
                <w:b/>
                <w:bCs/>
                <w:color w:val="auto"/>
                <w:kern w:val="0"/>
                <w:sz w:val="18"/>
                <w:szCs w:val="18"/>
              </w:rPr>
              <w:t>个工作日原厂商售后服务工程师上门</w:t>
            </w:r>
            <w:r>
              <w:rPr>
                <w:rFonts w:hint="eastAsia" w:ascii="宋体" w:hAnsi="宋体" w:cs="宋体"/>
                <w:b/>
                <w:bCs/>
                <w:color w:val="auto"/>
                <w:kern w:val="0"/>
                <w:sz w:val="18"/>
                <w:szCs w:val="18"/>
              </w:rPr>
              <w:t>，三年硬盘不返还；</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13．机器必须全新原厂整装出厂，整体包装在运抵用户安装地点前不能拆封，保修状态可以通过主机序列号或者服务号直接在厂家官网或者400/800等免费服务电话直接查询到所有部件的保修情况，保修期限必须一致，如出现保修状态不完整或者不一致情况，用户有权拒收；</w:t>
            </w:r>
          </w:p>
          <w:p>
            <w:pPr>
              <w:widowControl/>
              <w:jc w:val="left"/>
              <w:rPr>
                <w:color w:val="auto"/>
              </w:rPr>
            </w:pPr>
            <w:r>
              <w:rPr>
                <w:rFonts w:hint="eastAsia" w:ascii="宋体" w:hAnsi="宋体" w:cs="宋体"/>
                <w:color w:val="auto"/>
                <w:kern w:val="0"/>
                <w:sz w:val="18"/>
                <w:szCs w:val="18"/>
              </w:rPr>
              <w:t>14．设备交货时，中标单位必须在用户指定的机房内安装到位，并且安装用户指定/提供的各种软件。安装完成后配合使用单位进行测试。测试通过方可组织验收。</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180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67" w:type="dxa"/>
            <w:noWrap/>
            <w:vAlign w:val="center"/>
          </w:tcPr>
          <w:p>
            <w:pPr>
              <w:jc w:val="right"/>
              <w:rPr>
                <w:rFonts w:ascii="宋体" w:hAnsi="宋体" w:cs="宋体"/>
                <w:color w:val="auto"/>
                <w:szCs w:val="21"/>
              </w:rPr>
            </w:pPr>
            <w:r>
              <w:rPr>
                <w:rFonts w:hint="eastAsia"/>
                <w:color w:val="auto"/>
                <w:szCs w:val="21"/>
              </w:rPr>
              <w:t>8</w:t>
            </w:r>
          </w:p>
        </w:tc>
        <w:tc>
          <w:tcPr>
            <w:tcW w:w="1331" w:type="dxa"/>
            <w:vAlign w:val="center"/>
          </w:tcPr>
          <w:p>
            <w:pPr>
              <w:rPr>
                <w:rFonts w:ascii="宋体" w:hAnsi="宋体" w:cs="宋体"/>
                <w:color w:val="auto"/>
                <w:sz w:val="18"/>
                <w:szCs w:val="18"/>
              </w:rPr>
            </w:pPr>
            <w:r>
              <w:rPr>
                <w:rFonts w:hint="eastAsia"/>
                <w:color w:val="auto"/>
                <w:sz w:val="18"/>
                <w:szCs w:val="18"/>
              </w:rPr>
              <w:t>综合布线</w:t>
            </w:r>
          </w:p>
        </w:tc>
        <w:tc>
          <w:tcPr>
            <w:tcW w:w="4198" w:type="dxa"/>
            <w:vAlign w:val="center"/>
          </w:tcPr>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本次综合布线2间机房，在现有的静电地板下铺设强电与弱电，根据施工现场条件，进行踏勘后提出合理的布线方案并组织实施，经甲方认可同意，最终满足实验室的正常运行。</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1．整个实验室网络采用了6类4对UTP线缆，配合千兆以太网交换机，传输速率&gt;=1000Mbps，距网线水晶头20cm处标明设备使用IP；</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2．实验室配电箱及强电改造，保证实验室供电安全。实验室需从楼层竖井接强电至实验室，每间实验室单独配置配电箱，对教师用机和学生用机的电源进行单独控制，根据教室学生座椅摆放位置进行线缆铺设，原则上每10套计算机采用国标6m²的三项全铜线缆（火-零-地），在配电箱上进行独立控制；</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3．所有的强电和弱电均采用金属线槽独立铺设，做到横平竖直；</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4．网线做水晶头直接接设备，强电在每个点处设插座，静电地板下每两个点为一组，安装插线板及固定架；</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 xml:space="preserve">5．在机柜处用理线架对网线进行汇总整理，并做好标识，同时制作跳线； </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6. 两间新布线的机房需要铺设光纤到控制室，估计总长度250米，使用单模软光纤，机房端与控制室端均熔接4芯，两边均需使用光纤盒安装在机柜上，并装配好法兰和跳线。</w:t>
            </w:r>
          </w:p>
        </w:tc>
        <w:tc>
          <w:tcPr>
            <w:tcW w:w="580" w:type="dxa"/>
            <w:vAlign w:val="center"/>
          </w:tcPr>
          <w:p>
            <w:pPr>
              <w:jc w:val="center"/>
              <w:rPr>
                <w:color w:val="auto"/>
              </w:rPr>
            </w:pPr>
            <w:r>
              <w:rPr>
                <w:rFonts w:hint="eastAsia"/>
                <w:color w:val="auto"/>
              </w:rPr>
              <w:t>点</w:t>
            </w:r>
          </w:p>
        </w:tc>
        <w:tc>
          <w:tcPr>
            <w:tcW w:w="660" w:type="dxa"/>
            <w:vAlign w:val="center"/>
          </w:tcPr>
          <w:p>
            <w:pPr>
              <w:jc w:val="center"/>
              <w:rPr>
                <w:color w:val="auto"/>
              </w:rPr>
            </w:pPr>
            <w:r>
              <w:rPr>
                <w:rFonts w:hint="eastAsia"/>
                <w:color w:val="auto"/>
              </w:rPr>
              <w:t>120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67" w:type="dxa"/>
            <w:noWrap/>
            <w:vAlign w:val="center"/>
          </w:tcPr>
          <w:p>
            <w:pPr>
              <w:jc w:val="right"/>
              <w:rPr>
                <w:rFonts w:ascii="宋体" w:hAnsi="宋体" w:cs="宋体"/>
                <w:color w:val="auto"/>
                <w:szCs w:val="21"/>
              </w:rPr>
            </w:pPr>
            <w:r>
              <w:rPr>
                <w:rFonts w:hint="eastAsia"/>
                <w:color w:val="auto"/>
                <w:szCs w:val="21"/>
              </w:rPr>
              <w:t>9</w:t>
            </w:r>
          </w:p>
        </w:tc>
        <w:tc>
          <w:tcPr>
            <w:tcW w:w="1331" w:type="dxa"/>
            <w:vAlign w:val="center"/>
          </w:tcPr>
          <w:p>
            <w:pPr>
              <w:rPr>
                <w:rFonts w:ascii="宋体" w:hAnsi="宋体" w:cs="宋体"/>
                <w:color w:val="auto"/>
                <w:sz w:val="18"/>
                <w:szCs w:val="18"/>
              </w:rPr>
            </w:pPr>
            <w:r>
              <w:rPr>
                <w:rFonts w:hint="eastAsia"/>
                <w:color w:val="auto"/>
                <w:sz w:val="18"/>
                <w:szCs w:val="18"/>
              </w:rPr>
              <w:t>超薄显示器</w:t>
            </w:r>
          </w:p>
        </w:tc>
        <w:tc>
          <w:tcPr>
            <w:tcW w:w="4198" w:type="dxa"/>
            <w:vAlign w:val="center"/>
          </w:tcPr>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1．与图形工作站同一品牌</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2．可视屏幕尺寸:</w:t>
            </w:r>
            <w:r>
              <w:rPr>
                <w:rFonts w:hint="eastAsia" w:ascii="Arial" w:hAnsi="Arial" w:cs="Arial"/>
                <w:color w:val="auto"/>
                <w:sz w:val="18"/>
                <w:szCs w:val="18"/>
              </w:rPr>
              <w:t xml:space="preserve"> ≥</w:t>
            </w:r>
            <w:r>
              <w:rPr>
                <w:rFonts w:hint="eastAsia" w:ascii="宋体" w:hAnsi="宋体" w:cs="宋体"/>
                <w:color w:val="auto"/>
                <w:kern w:val="0"/>
                <w:sz w:val="18"/>
                <w:szCs w:val="18"/>
              </w:rPr>
              <w:t>21.5英寸</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3．物理分辨率:</w:t>
            </w:r>
            <w:r>
              <w:rPr>
                <w:rFonts w:hint="eastAsia" w:ascii="Arial" w:hAnsi="Arial" w:cs="Arial"/>
                <w:color w:val="auto"/>
                <w:sz w:val="18"/>
                <w:szCs w:val="18"/>
              </w:rPr>
              <w:t xml:space="preserve"> ≥</w:t>
            </w:r>
            <w:r>
              <w:rPr>
                <w:rFonts w:hint="eastAsia" w:ascii="宋体" w:hAnsi="宋体" w:cs="宋体"/>
                <w:color w:val="auto"/>
                <w:kern w:val="0"/>
                <w:sz w:val="18"/>
                <w:szCs w:val="18"/>
              </w:rPr>
              <w:t>1920x1080</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4．屏幕类型:TN</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5．显示比例:16:9</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6．面板：IPS</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7．像素点距：</w:t>
            </w:r>
            <w:r>
              <w:rPr>
                <w:rFonts w:ascii="宋体" w:hAnsi="宋体" w:cs="宋体"/>
                <w:color w:val="auto"/>
                <w:kern w:val="0"/>
                <w:sz w:val="18"/>
                <w:szCs w:val="18"/>
              </w:rPr>
              <w:t>≤</w:t>
            </w:r>
            <w:r>
              <w:rPr>
                <w:rFonts w:hint="eastAsia" w:ascii="宋体" w:hAnsi="宋体" w:cs="宋体"/>
                <w:color w:val="auto"/>
                <w:kern w:val="0"/>
                <w:sz w:val="18"/>
                <w:szCs w:val="18"/>
              </w:rPr>
              <w:t>0.25x 0.25</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8．可视角度：</w:t>
            </w:r>
            <w:r>
              <w:rPr>
                <w:rFonts w:hint="eastAsia" w:ascii="Arial" w:hAnsi="Arial" w:cs="Arial"/>
                <w:color w:val="auto"/>
                <w:sz w:val="18"/>
                <w:szCs w:val="18"/>
              </w:rPr>
              <w:t>≥</w:t>
            </w:r>
            <w:r>
              <w:rPr>
                <w:rFonts w:hint="eastAsia" w:ascii="宋体" w:hAnsi="宋体" w:cs="宋体"/>
                <w:color w:val="auto"/>
                <w:kern w:val="0"/>
                <w:sz w:val="18"/>
                <w:szCs w:val="18"/>
              </w:rPr>
              <w:t>178/178</w:t>
            </w:r>
          </w:p>
          <w:p>
            <w:pPr>
              <w:ind w:left="18" w:hanging="18" w:hangingChars="10"/>
              <w:rPr>
                <w:rFonts w:ascii="宋体" w:hAnsi="宋体" w:cs="宋体"/>
                <w:color w:val="auto"/>
                <w:kern w:val="0"/>
                <w:sz w:val="18"/>
                <w:szCs w:val="18"/>
              </w:rPr>
            </w:pPr>
            <w:r>
              <w:rPr>
                <w:rFonts w:hint="eastAsia" w:ascii="宋体" w:hAnsi="宋体" w:cs="宋体"/>
                <w:color w:val="auto"/>
                <w:kern w:val="0"/>
                <w:sz w:val="18"/>
                <w:szCs w:val="18"/>
              </w:rPr>
              <w:t>9．对比度：</w:t>
            </w:r>
            <w:r>
              <w:rPr>
                <w:rFonts w:hint="eastAsia" w:ascii="Arial" w:hAnsi="Arial" w:cs="Arial"/>
                <w:color w:val="auto"/>
                <w:sz w:val="18"/>
                <w:szCs w:val="18"/>
              </w:rPr>
              <w:t>≥</w:t>
            </w:r>
            <w:r>
              <w:rPr>
                <w:rFonts w:hint="eastAsia" w:ascii="宋体" w:hAnsi="宋体" w:cs="宋体"/>
                <w:color w:val="auto"/>
                <w:kern w:val="0"/>
                <w:sz w:val="18"/>
                <w:szCs w:val="18"/>
              </w:rPr>
              <w:t>1000:1</w:t>
            </w:r>
          </w:p>
          <w:p>
            <w:pPr>
              <w:widowControl/>
              <w:jc w:val="left"/>
              <w:rPr>
                <w:rFonts w:ascii="宋体" w:hAnsi="宋体" w:cs="宋体"/>
                <w:color w:val="auto"/>
                <w:sz w:val="18"/>
                <w:szCs w:val="18"/>
              </w:rPr>
            </w:pPr>
            <w:r>
              <w:rPr>
                <w:rFonts w:hint="eastAsia" w:ascii="宋体" w:hAnsi="宋体" w:cs="宋体"/>
                <w:color w:val="auto"/>
                <w:kern w:val="0"/>
                <w:sz w:val="18"/>
                <w:szCs w:val="18"/>
              </w:rPr>
              <w:t>10．响应时间：</w:t>
            </w:r>
            <w:r>
              <w:rPr>
                <w:rFonts w:ascii="宋体" w:hAnsi="宋体" w:cs="宋体"/>
                <w:color w:val="auto"/>
                <w:kern w:val="0"/>
                <w:sz w:val="18"/>
                <w:szCs w:val="18"/>
              </w:rPr>
              <w:t>≤</w:t>
            </w:r>
            <w:r>
              <w:rPr>
                <w:rFonts w:hint="eastAsia" w:ascii="宋体" w:hAnsi="宋体" w:cs="宋体"/>
                <w:color w:val="auto"/>
                <w:kern w:val="0"/>
                <w:sz w:val="18"/>
                <w:szCs w:val="18"/>
              </w:rPr>
              <w:t>7s</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180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567" w:type="dxa"/>
            <w:noWrap/>
            <w:vAlign w:val="center"/>
          </w:tcPr>
          <w:p>
            <w:pPr>
              <w:jc w:val="right"/>
              <w:rPr>
                <w:rFonts w:ascii="宋体" w:hAnsi="宋体" w:cs="宋体"/>
                <w:color w:val="auto"/>
                <w:szCs w:val="21"/>
              </w:rPr>
            </w:pPr>
            <w:r>
              <w:rPr>
                <w:rFonts w:hint="eastAsia"/>
                <w:color w:val="auto"/>
                <w:szCs w:val="21"/>
              </w:rPr>
              <w:t>10</w:t>
            </w:r>
          </w:p>
        </w:tc>
        <w:tc>
          <w:tcPr>
            <w:tcW w:w="1331" w:type="dxa"/>
            <w:vAlign w:val="center"/>
          </w:tcPr>
          <w:p>
            <w:pPr>
              <w:rPr>
                <w:rFonts w:ascii="宋体" w:hAnsi="宋体" w:cs="宋体"/>
                <w:color w:val="auto"/>
                <w:sz w:val="18"/>
                <w:szCs w:val="18"/>
              </w:rPr>
            </w:pPr>
            <w:r>
              <w:rPr>
                <w:rFonts w:hint="eastAsia"/>
                <w:color w:val="auto"/>
                <w:sz w:val="18"/>
                <w:szCs w:val="18"/>
              </w:rPr>
              <w:t>云桌面系统</w:t>
            </w:r>
          </w:p>
        </w:tc>
        <w:tc>
          <w:tcPr>
            <w:tcW w:w="4198" w:type="dxa"/>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1、桌面并发性能</w:t>
            </w:r>
          </w:p>
          <w:p>
            <w:pPr>
              <w:widowControl/>
              <w:rPr>
                <w:rFonts w:ascii="宋体" w:hAnsi="宋体" w:cs="宋体"/>
                <w:color w:val="auto"/>
                <w:kern w:val="0"/>
                <w:sz w:val="18"/>
                <w:szCs w:val="18"/>
              </w:rPr>
            </w:pPr>
            <w:r>
              <w:rPr>
                <w:rFonts w:hint="eastAsia" w:ascii="宋体" w:hAnsi="宋体" w:cs="宋体"/>
                <w:color w:val="auto"/>
                <w:kern w:val="0"/>
                <w:sz w:val="18"/>
                <w:szCs w:val="18"/>
              </w:rPr>
              <w:t>1.1系统应采用mysql或者orlace大型数据库，一台服务器支持200台终端同时流畅运行 AutoCAD、3DMax、视频制作、图像处理等大型软件；</w:t>
            </w:r>
          </w:p>
          <w:p>
            <w:pPr>
              <w:widowControl/>
              <w:rPr>
                <w:rFonts w:ascii="宋体" w:hAnsi="宋体" w:cs="宋体"/>
                <w:color w:val="auto"/>
                <w:kern w:val="0"/>
                <w:sz w:val="18"/>
                <w:szCs w:val="18"/>
              </w:rPr>
            </w:pPr>
            <w:r>
              <w:rPr>
                <w:rFonts w:hint="eastAsia" w:ascii="宋体" w:hAnsi="宋体" w:cs="宋体"/>
                <w:color w:val="auto"/>
                <w:kern w:val="0"/>
                <w:sz w:val="18"/>
                <w:szCs w:val="18"/>
              </w:rPr>
              <w:t>1.2 采用新一代虚拟仿真技术，终端本地硬盘无需安装操作系统，通过网络启动虚拟桌面方式运行操作系统及应用；</w:t>
            </w:r>
          </w:p>
          <w:p>
            <w:pPr>
              <w:widowControl/>
              <w:rPr>
                <w:rFonts w:ascii="宋体" w:hAnsi="宋体" w:cs="宋体"/>
                <w:color w:val="auto"/>
                <w:kern w:val="0"/>
                <w:sz w:val="18"/>
                <w:szCs w:val="18"/>
              </w:rPr>
            </w:pPr>
            <w:r>
              <w:rPr>
                <w:rFonts w:hint="eastAsia" w:ascii="宋体" w:hAnsi="宋体" w:cs="宋体"/>
                <w:color w:val="auto"/>
                <w:kern w:val="0"/>
                <w:sz w:val="18"/>
                <w:szCs w:val="18"/>
              </w:rPr>
              <w:t>1.3 采用集中管理、分布计算的模式；所有计算处理由客户端本地进行，充分利用本地硬件资源，包括内存、CPU、显卡、硬盘等 。要求能够流畅运行AutoCAD、Pro_E、UG、Catia、3DMax、M</w:t>
            </w:r>
            <w:r>
              <w:rPr>
                <w:rFonts w:ascii="宋体" w:hAnsi="宋体" w:cs="宋体"/>
                <w:color w:val="auto"/>
                <w:kern w:val="0"/>
                <w:sz w:val="18"/>
                <w:szCs w:val="18"/>
              </w:rPr>
              <w:t>aya</w:t>
            </w:r>
            <w:r>
              <w:rPr>
                <w:rFonts w:hint="eastAsia" w:ascii="宋体" w:hAnsi="宋体" w:cs="宋体"/>
                <w:color w:val="auto"/>
                <w:kern w:val="0"/>
                <w:sz w:val="18"/>
                <w:szCs w:val="18"/>
              </w:rPr>
              <w:t>、视频制作、图像处理、Voip，高清视频播放等大型应用；</w:t>
            </w:r>
          </w:p>
          <w:p>
            <w:pPr>
              <w:widowControl/>
              <w:rPr>
                <w:rFonts w:ascii="宋体" w:hAnsi="宋体" w:cs="宋体"/>
                <w:color w:val="auto"/>
                <w:kern w:val="0"/>
                <w:sz w:val="18"/>
                <w:szCs w:val="18"/>
              </w:rPr>
            </w:pPr>
            <w:r>
              <w:rPr>
                <w:rFonts w:hint="eastAsia" w:ascii="宋体" w:hAnsi="宋体" w:cs="宋体"/>
                <w:color w:val="auto"/>
                <w:kern w:val="0"/>
                <w:sz w:val="18"/>
                <w:szCs w:val="18"/>
              </w:rPr>
              <w:t>1.4 服务器端和管理端均支持跨平台，既可以在windows服务器上部署，也可以在linux服务器上部署（需提供在windows和linux服务器上部署的截图）；</w:t>
            </w:r>
          </w:p>
          <w:p>
            <w:pPr>
              <w:widowControl/>
              <w:rPr>
                <w:rFonts w:ascii="宋体" w:hAnsi="宋体" w:cs="宋体"/>
                <w:color w:val="auto"/>
                <w:kern w:val="0"/>
                <w:sz w:val="18"/>
                <w:szCs w:val="18"/>
              </w:rPr>
            </w:pPr>
            <w:r>
              <w:rPr>
                <w:rFonts w:hint="eastAsia" w:ascii="宋体" w:hAnsi="宋体" w:cs="宋体"/>
                <w:color w:val="auto"/>
                <w:kern w:val="0"/>
                <w:sz w:val="18"/>
                <w:szCs w:val="18"/>
              </w:rPr>
              <w:t>1.5 支持同时发布运算在终端和运算在服务器两种虚拟桌面，满足不同用户对桌面功能或终端性能的要求；</w:t>
            </w:r>
          </w:p>
          <w:p>
            <w:pPr>
              <w:widowControl/>
              <w:rPr>
                <w:rFonts w:ascii="宋体" w:hAnsi="宋体" w:cs="宋体"/>
                <w:color w:val="auto"/>
                <w:kern w:val="0"/>
                <w:sz w:val="18"/>
                <w:szCs w:val="18"/>
              </w:rPr>
            </w:pPr>
            <w:r>
              <w:rPr>
                <w:rFonts w:hint="eastAsia" w:ascii="宋体" w:hAnsi="宋体" w:cs="宋体"/>
                <w:color w:val="auto"/>
                <w:kern w:val="0"/>
                <w:sz w:val="18"/>
                <w:szCs w:val="18"/>
              </w:rPr>
              <w:t>1.6 两种虚拟桌面的管理操作必须在同一个管理界面内，降低运维复杂度。</w:t>
            </w:r>
          </w:p>
          <w:p>
            <w:pPr>
              <w:widowControl/>
              <w:rPr>
                <w:rFonts w:ascii="宋体" w:hAnsi="宋体" w:cs="宋体"/>
                <w:color w:val="auto"/>
                <w:kern w:val="0"/>
                <w:sz w:val="18"/>
                <w:szCs w:val="18"/>
              </w:rPr>
            </w:pPr>
            <w:r>
              <w:rPr>
                <w:rFonts w:hint="eastAsia" w:ascii="宋体" w:hAnsi="宋体" w:cs="宋体"/>
                <w:color w:val="auto"/>
                <w:kern w:val="0"/>
                <w:sz w:val="18"/>
                <w:szCs w:val="18"/>
              </w:rPr>
              <w:t>2、桌面高可用性</w:t>
            </w:r>
          </w:p>
          <w:p>
            <w:pPr>
              <w:widowControl/>
              <w:rPr>
                <w:rFonts w:ascii="宋体" w:hAnsi="宋体" w:cs="宋体"/>
                <w:color w:val="auto"/>
                <w:kern w:val="0"/>
                <w:sz w:val="18"/>
                <w:szCs w:val="18"/>
              </w:rPr>
            </w:pPr>
            <w:r>
              <w:rPr>
                <w:rFonts w:hint="eastAsia" w:ascii="宋体" w:hAnsi="宋体" w:cs="宋体"/>
                <w:color w:val="auto"/>
                <w:kern w:val="0"/>
                <w:sz w:val="18"/>
                <w:szCs w:val="18"/>
              </w:rPr>
              <w:t>2.1系统必须支持网络和硬盘双启动方式：当终端电脑出现硬盘故障或者无硬盘时，终端自动通过网络启动；当网络中断时，终端可正常运行无需重启；</w:t>
            </w:r>
          </w:p>
          <w:p>
            <w:pPr>
              <w:widowControl/>
              <w:rPr>
                <w:rFonts w:ascii="宋体" w:hAnsi="宋体" w:cs="宋体"/>
                <w:color w:val="auto"/>
                <w:kern w:val="0"/>
                <w:sz w:val="18"/>
                <w:szCs w:val="18"/>
              </w:rPr>
            </w:pPr>
            <w:r>
              <w:rPr>
                <w:rFonts w:hint="eastAsia" w:ascii="宋体" w:hAnsi="宋体" w:cs="宋体"/>
                <w:color w:val="auto"/>
                <w:kern w:val="0"/>
                <w:sz w:val="18"/>
                <w:szCs w:val="18"/>
              </w:rPr>
              <w:t>2.2 双启动必须是完全自动执行，同时本地硬盘操作系统和网络读取的操作系统是全自动实时同步的。不需要通过网络ghost等方式在本地硬盘安装操作系统或者断网断硬盘时需要手工切换或者重启。终端自动更新时可以通过管理端的更新进度条查看更新状态；</w:t>
            </w:r>
          </w:p>
          <w:p>
            <w:pPr>
              <w:widowControl/>
              <w:rPr>
                <w:rFonts w:ascii="宋体" w:hAnsi="宋体" w:cs="宋体"/>
                <w:color w:val="auto"/>
                <w:kern w:val="0"/>
                <w:sz w:val="18"/>
                <w:szCs w:val="18"/>
              </w:rPr>
            </w:pPr>
            <w:r>
              <w:rPr>
                <w:rFonts w:hint="eastAsia" w:ascii="宋体" w:hAnsi="宋体" w:cs="宋体"/>
                <w:color w:val="auto"/>
                <w:kern w:val="0"/>
                <w:sz w:val="18"/>
                <w:szCs w:val="18"/>
              </w:rPr>
              <w:t>2.3 支持自动还原和更新，客户机只需要重启便能够恢复到初始的可靠状态；在无DHCP情况下，更新管理设备端的文件，也能够实现所有客户机的更新，且不影响其他工作环境；能够支持对客户机进行统一远程开机、重启等操作（需提供重启还原、无DHCP启动和远程开机的功能截图）；</w:t>
            </w:r>
          </w:p>
          <w:p>
            <w:pPr>
              <w:rPr>
                <w:rFonts w:ascii="宋体" w:hAnsi="宋体" w:cs="宋体"/>
                <w:color w:val="auto"/>
                <w:kern w:val="0"/>
                <w:sz w:val="18"/>
                <w:szCs w:val="18"/>
              </w:rPr>
            </w:pPr>
            <w:r>
              <w:rPr>
                <w:rFonts w:hint="eastAsia" w:ascii="宋体" w:hAnsi="宋体" w:cs="宋体"/>
                <w:color w:val="auto"/>
                <w:kern w:val="0"/>
                <w:sz w:val="18"/>
                <w:szCs w:val="18"/>
              </w:rPr>
              <w:t>2.4 支持将多台服务器组建成资源池，同一用户的多个虚拟桌面可分配至不同服务器，提高业务负载能力；</w:t>
            </w:r>
          </w:p>
          <w:p>
            <w:pPr>
              <w:rPr>
                <w:rFonts w:ascii="宋体" w:hAnsi="宋体" w:cs="宋体"/>
                <w:color w:val="auto"/>
                <w:kern w:val="0"/>
                <w:sz w:val="18"/>
                <w:szCs w:val="18"/>
              </w:rPr>
            </w:pPr>
            <w:r>
              <w:rPr>
                <w:rFonts w:hint="eastAsia" w:ascii="宋体" w:hAnsi="宋体" w:cs="宋体"/>
                <w:color w:val="auto"/>
                <w:kern w:val="0"/>
                <w:sz w:val="18"/>
                <w:szCs w:val="18"/>
              </w:rPr>
              <w:t>2.5</w:t>
            </w:r>
            <w:r>
              <w:rPr>
                <w:rFonts w:ascii="宋体" w:hAnsi="宋体" w:cs="宋体"/>
                <w:color w:val="auto"/>
                <w:kern w:val="0"/>
                <w:sz w:val="18"/>
                <w:szCs w:val="18"/>
              </w:rPr>
              <w:t xml:space="preserve"> </w:t>
            </w:r>
            <w:r>
              <w:rPr>
                <w:rFonts w:hint="eastAsia" w:ascii="宋体" w:hAnsi="宋体" w:cs="宋体"/>
                <w:color w:val="auto"/>
                <w:kern w:val="0"/>
                <w:sz w:val="18"/>
                <w:szCs w:val="18"/>
              </w:rPr>
              <w:t>终端平台软件支持全系统平台，Windows系列：Windows7、Windows10、Windows Server 2012、Windows Server 2016</w:t>
            </w:r>
            <w:r>
              <w:rPr>
                <w:rFonts w:ascii="宋体" w:hAnsi="宋体" w:cs="宋体"/>
                <w:color w:val="auto"/>
                <w:kern w:val="0"/>
                <w:sz w:val="18"/>
                <w:szCs w:val="18"/>
              </w:rPr>
              <w:t xml:space="preserve"> </w:t>
            </w:r>
            <w:r>
              <w:rPr>
                <w:rFonts w:hint="eastAsia" w:ascii="宋体" w:hAnsi="宋体" w:cs="宋体"/>
                <w:color w:val="auto"/>
                <w:kern w:val="0"/>
                <w:sz w:val="18"/>
                <w:szCs w:val="18"/>
              </w:rPr>
              <w:t>； Linux系列：Fedora、Ubuntu、CentOS；</w:t>
            </w:r>
          </w:p>
          <w:p>
            <w:pPr>
              <w:rPr>
                <w:rFonts w:ascii="宋体" w:hAnsi="宋体" w:cs="宋体"/>
                <w:color w:val="auto"/>
                <w:kern w:val="0"/>
                <w:sz w:val="18"/>
                <w:szCs w:val="18"/>
              </w:rPr>
            </w:pPr>
            <w:r>
              <w:rPr>
                <w:rFonts w:hint="eastAsia" w:ascii="宋体" w:hAnsi="宋体" w:cs="宋体"/>
                <w:color w:val="auto"/>
                <w:kern w:val="0"/>
                <w:sz w:val="18"/>
                <w:szCs w:val="18"/>
              </w:rPr>
              <w:t>2.6</w:t>
            </w:r>
            <w:r>
              <w:rPr>
                <w:rFonts w:ascii="宋体" w:hAnsi="宋体" w:cs="宋体"/>
                <w:color w:val="auto"/>
                <w:kern w:val="0"/>
                <w:sz w:val="18"/>
                <w:szCs w:val="18"/>
              </w:rPr>
              <w:t xml:space="preserve"> </w:t>
            </w:r>
            <w:r>
              <w:rPr>
                <w:rFonts w:hint="eastAsia" w:ascii="宋体" w:hAnsi="宋体" w:cs="宋体"/>
                <w:color w:val="auto"/>
                <w:kern w:val="0"/>
                <w:sz w:val="18"/>
                <w:szCs w:val="18"/>
              </w:rPr>
              <w:t>要求采用盘网融合技术，支持网络启动、本地启动、盘网混合启动三种模式，尽量减少对服务器和网络的依赖，保证终端可离线运行，脱网使用。</w:t>
            </w:r>
          </w:p>
          <w:p>
            <w:pPr>
              <w:rPr>
                <w:rFonts w:ascii="宋体" w:hAnsi="宋体" w:cs="宋体"/>
                <w:color w:val="auto"/>
                <w:kern w:val="0"/>
                <w:sz w:val="18"/>
                <w:szCs w:val="18"/>
              </w:rPr>
            </w:pPr>
            <w:r>
              <w:rPr>
                <w:rFonts w:hint="eastAsia" w:ascii="宋体" w:hAnsi="宋体" w:cs="宋体"/>
                <w:color w:val="auto"/>
                <w:kern w:val="0"/>
                <w:sz w:val="18"/>
                <w:szCs w:val="18"/>
              </w:rPr>
              <w:t>3．桌面兼容性</w:t>
            </w:r>
          </w:p>
          <w:p>
            <w:pPr>
              <w:rPr>
                <w:rFonts w:ascii="宋体" w:hAnsi="宋体" w:cs="宋体"/>
                <w:color w:val="auto"/>
                <w:kern w:val="0"/>
                <w:sz w:val="18"/>
                <w:szCs w:val="18"/>
              </w:rPr>
            </w:pPr>
            <w:r>
              <w:rPr>
                <w:rFonts w:hint="eastAsia" w:ascii="宋体" w:hAnsi="宋体" w:cs="宋体"/>
                <w:color w:val="auto"/>
                <w:kern w:val="0"/>
                <w:sz w:val="18"/>
                <w:szCs w:val="18"/>
              </w:rPr>
              <w:t>3.1 采用操作系统镜像和驱动分离技术，需通过单一操作系统镜像文件同时启动不同硬件及至少3种不同显卡的客户端PC，无需通过多个镜像来解决多硬件兼容问题（需提供独立加载显卡硬件驱动的配置截图）；</w:t>
            </w:r>
          </w:p>
          <w:p>
            <w:pPr>
              <w:rPr>
                <w:rFonts w:ascii="宋体" w:hAnsi="宋体" w:cs="宋体"/>
                <w:color w:val="auto"/>
                <w:kern w:val="0"/>
                <w:sz w:val="18"/>
                <w:szCs w:val="18"/>
              </w:rPr>
            </w:pPr>
            <w:r>
              <w:rPr>
                <w:rFonts w:hint="eastAsia" w:ascii="宋体" w:hAnsi="宋体" w:cs="宋体"/>
                <w:color w:val="auto"/>
                <w:kern w:val="0"/>
                <w:sz w:val="18"/>
                <w:szCs w:val="18"/>
              </w:rPr>
              <w:t>3.2 支持个性化设置迁移，系统重启后自动清除系统进程和服务中的病毒木马，保留用户自定义的用户名和密码、桌面壁纸等个性化配置，必须保持重启前状态，不会还原（需提供个性化设置迁移的功能截图）；</w:t>
            </w:r>
          </w:p>
          <w:p>
            <w:pPr>
              <w:rPr>
                <w:rFonts w:ascii="宋体" w:hAnsi="宋体" w:cs="宋体"/>
                <w:color w:val="auto"/>
                <w:kern w:val="0"/>
                <w:sz w:val="18"/>
                <w:szCs w:val="18"/>
              </w:rPr>
            </w:pPr>
            <w:r>
              <w:rPr>
                <w:rFonts w:hint="eastAsia" w:ascii="宋体" w:hAnsi="宋体" w:cs="宋体"/>
                <w:color w:val="auto"/>
                <w:kern w:val="0"/>
                <w:sz w:val="18"/>
                <w:szCs w:val="18"/>
              </w:rPr>
              <w:t>3.3 客户端应当具有个人加密磁盘功能，用户存储的数据在服务器端以加密单文件形式保存。用户在任何一台虚拟终端上都可以基于独立的用户密码系统打开磁盘空间；</w:t>
            </w:r>
          </w:p>
          <w:p>
            <w:pPr>
              <w:rPr>
                <w:rFonts w:ascii="宋体" w:hAnsi="宋体" w:cs="宋体"/>
                <w:color w:val="auto"/>
                <w:kern w:val="0"/>
                <w:sz w:val="18"/>
                <w:szCs w:val="18"/>
              </w:rPr>
            </w:pPr>
            <w:r>
              <w:rPr>
                <w:rFonts w:hint="eastAsia" w:ascii="宋体" w:hAnsi="宋体" w:cs="宋体"/>
                <w:color w:val="auto"/>
                <w:kern w:val="0"/>
                <w:sz w:val="18"/>
                <w:szCs w:val="18"/>
              </w:rPr>
              <w:t>3.4 支持对移动存储设备、软驱、并口、串口、调制解调器、打印机、扫描器、磁带、声卡、智能卡等接入设备控制（需提供对外设控制的功能截图）。</w:t>
            </w:r>
          </w:p>
          <w:p>
            <w:pPr>
              <w:rPr>
                <w:rFonts w:ascii="宋体" w:hAnsi="宋体" w:cs="宋体"/>
                <w:color w:val="auto"/>
                <w:kern w:val="0"/>
                <w:sz w:val="18"/>
                <w:szCs w:val="18"/>
              </w:rPr>
            </w:pPr>
            <w:r>
              <w:rPr>
                <w:rFonts w:hint="eastAsia" w:ascii="宋体" w:hAnsi="宋体" w:cs="宋体"/>
                <w:color w:val="auto"/>
                <w:kern w:val="0"/>
                <w:sz w:val="18"/>
                <w:szCs w:val="18"/>
              </w:rPr>
              <w:t>4、桌面易管理性</w:t>
            </w:r>
          </w:p>
          <w:p>
            <w:pPr>
              <w:rPr>
                <w:rFonts w:ascii="宋体" w:hAnsi="宋体" w:cs="宋体"/>
                <w:color w:val="auto"/>
                <w:kern w:val="0"/>
                <w:sz w:val="18"/>
                <w:szCs w:val="18"/>
              </w:rPr>
            </w:pPr>
            <w:r>
              <w:rPr>
                <w:rFonts w:hint="eastAsia" w:ascii="宋体" w:hAnsi="宋体" w:cs="宋体"/>
                <w:color w:val="auto"/>
                <w:kern w:val="0"/>
                <w:sz w:val="18"/>
                <w:szCs w:val="18"/>
              </w:rPr>
              <w:t>4.1 两台或多台服务器间可实现冗余和负载均衡。1台设备中断，该设备所连接的客户机无需重启，可以正常工作，以保证工作环境的连续性（需提供服务器冗余和负载均衡的功能截图）；</w:t>
            </w:r>
          </w:p>
          <w:p>
            <w:pPr>
              <w:rPr>
                <w:rFonts w:ascii="宋体" w:hAnsi="宋体" w:cs="宋体"/>
                <w:color w:val="auto"/>
                <w:kern w:val="0"/>
                <w:sz w:val="18"/>
                <w:szCs w:val="18"/>
              </w:rPr>
            </w:pPr>
            <w:r>
              <w:rPr>
                <w:rFonts w:hint="eastAsia" w:ascii="宋体" w:hAnsi="宋体" w:cs="宋体"/>
                <w:color w:val="auto"/>
                <w:kern w:val="0"/>
                <w:sz w:val="18"/>
                <w:szCs w:val="18"/>
              </w:rPr>
              <w:t>4.2具备管理员账号创建任意多个子管理员账号功能，并可自定义管理员权限，实现机房多人分级安全管理，可通过W</w:t>
            </w:r>
            <w:r>
              <w:rPr>
                <w:rFonts w:ascii="宋体" w:hAnsi="宋体" w:cs="宋体"/>
                <w:color w:val="auto"/>
                <w:kern w:val="0"/>
                <w:sz w:val="18"/>
                <w:szCs w:val="18"/>
              </w:rPr>
              <w:t>EB</w:t>
            </w:r>
            <w:r>
              <w:rPr>
                <w:rFonts w:hint="eastAsia" w:ascii="宋体" w:hAnsi="宋体" w:cs="宋体"/>
                <w:color w:val="auto"/>
                <w:kern w:val="0"/>
                <w:sz w:val="18"/>
                <w:szCs w:val="18"/>
              </w:rPr>
              <w:t>访问管理系统，并在W</w:t>
            </w:r>
            <w:r>
              <w:rPr>
                <w:rFonts w:ascii="宋体" w:hAnsi="宋体" w:cs="宋体"/>
                <w:color w:val="auto"/>
                <w:kern w:val="0"/>
                <w:sz w:val="18"/>
                <w:szCs w:val="18"/>
              </w:rPr>
              <w:t>EB</w:t>
            </w:r>
            <w:r>
              <w:rPr>
                <w:rFonts w:hint="eastAsia" w:ascii="宋体" w:hAnsi="宋体" w:cs="宋体"/>
                <w:color w:val="auto"/>
                <w:kern w:val="0"/>
                <w:sz w:val="18"/>
                <w:szCs w:val="18"/>
              </w:rPr>
              <w:t>页面实现管理操作；</w:t>
            </w:r>
          </w:p>
          <w:p>
            <w:pPr>
              <w:rPr>
                <w:rFonts w:ascii="宋体" w:hAnsi="宋体" w:cs="宋体"/>
                <w:color w:val="auto"/>
                <w:kern w:val="0"/>
                <w:sz w:val="18"/>
                <w:szCs w:val="18"/>
              </w:rPr>
            </w:pPr>
            <w:r>
              <w:rPr>
                <w:rFonts w:hint="eastAsia" w:ascii="宋体" w:hAnsi="宋体" w:cs="宋体"/>
                <w:color w:val="auto"/>
                <w:kern w:val="0"/>
                <w:sz w:val="18"/>
                <w:szCs w:val="18"/>
              </w:rPr>
              <w:t>4.3 系统必须提供图形化状态监控界面，管理员能实时查看当前系统状态、网络流量、内存和磁盘读写速度，系统运行状态；（需提供图形化状态监控的界面截图）</w:t>
            </w:r>
          </w:p>
          <w:p>
            <w:pPr>
              <w:rPr>
                <w:rFonts w:ascii="宋体" w:hAnsi="宋体" w:cs="宋体"/>
                <w:color w:val="auto"/>
                <w:kern w:val="0"/>
                <w:sz w:val="18"/>
                <w:szCs w:val="18"/>
              </w:rPr>
            </w:pPr>
            <w:r>
              <w:rPr>
                <w:rFonts w:hint="eastAsia" w:ascii="宋体" w:hAnsi="宋体" w:cs="宋体"/>
                <w:color w:val="auto"/>
                <w:kern w:val="0"/>
                <w:sz w:val="18"/>
                <w:szCs w:val="18"/>
              </w:rPr>
              <w:t>4.4 系统的管理策略可按照时间段进行设置，以方便不同的工作管理需要；系统具备进程白名单的功能，可以防止学生上课运行和课程无关的软件（需提供按照时间段管理和进程白名单的功能截图）；</w:t>
            </w:r>
          </w:p>
          <w:p>
            <w:pPr>
              <w:rPr>
                <w:rFonts w:ascii="宋体" w:hAnsi="宋体" w:cs="宋体"/>
                <w:color w:val="auto"/>
                <w:kern w:val="0"/>
                <w:sz w:val="18"/>
                <w:szCs w:val="18"/>
              </w:rPr>
            </w:pPr>
            <w:r>
              <w:rPr>
                <w:rFonts w:hint="eastAsia" w:ascii="宋体" w:hAnsi="宋体" w:cs="宋体"/>
                <w:color w:val="auto"/>
                <w:kern w:val="0"/>
                <w:sz w:val="18"/>
                <w:szCs w:val="18"/>
              </w:rPr>
              <w:t>4.5 系统应当具有灰度更新功能，管理员对虚拟系统镜像的变更可先在指定范围内更新，确认无误后再更新到所有客户终端机，避免出现误操作（需提供灰度更新的功能截图）；</w:t>
            </w:r>
          </w:p>
          <w:p>
            <w:pPr>
              <w:rPr>
                <w:rFonts w:ascii="宋体" w:hAnsi="宋体" w:cs="宋体"/>
                <w:color w:val="auto"/>
                <w:kern w:val="0"/>
                <w:sz w:val="18"/>
                <w:szCs w:val="18"/>
              </w:rPr>
            </w:pPr>
            <w:r>
              <w:rPr>
                <w:rFonts w:hint="eastAsia" w:ascii="宋体" w:hAnsi="宋体" w:cs="宋体"/>
                <w:color w:val="auto"/>
                <w:kern w:val="0"/>
                <w:sz w:val="18"/>
                <w:szCs w:val="18"/>
              </w:rPr>
              <w:t>4.6为了避免上课期间系统更新影响教学，平台应该提供更新限速策略，根据实际情况动态限制终端操作系统和软件的更新速度。（需提供更新限速的功能截图）；</w:t>
            </w:r>
          </w:p>
          <w:p>
            <w:pPr>
              <w:rPr>
                <w:rFonts w:ascii="宋体" w:hAnsi="宋体" w:cs="宋体"/>
                <w:color w:val="auto"/>
                <w:kern w:val="0"/>
                <w:sz w:val="18"/>
                <w:szCs w:val="18"/>
              </w:rPr>
            </w:pPr>
            <w:r>
              <w:rPr>
                <w:rFonts w:hint="eastAsia" w:ascii="宋体" w:hAnsi="宋体" w:cs="宋体"/>
                <w:color w:val="auto"/>
                <w:kern w:val="0"/>
                <w:sz w:val="18"/>
                <w:szCs w:val="18"/>
              </w:rPr>
              <w:t>4.7具备终端无分区无系统情况下的自动部署功能，能够根据终端容量的不同实现不同的分区策略（需提供自动部署的功能截图）；</w:t>
            </w:r>
          </w:p>
          <w:p>
            <w:pPr>
              <w:rPr>
                <w:rFonts w:ascii="宋体" w:hAnsi="宋体" w:cs="宋体"/>
                <w:color w:val="auto"/>
                <w:kern w:val="0"/>
                <w:sz w:val="18"/>
                <w:szCs w:val="18"/>
              </w:rPr>
            </w:pPr>
            <w:r>
              <w:rPr>
                <w:rFonts w:hint="eastAsia" w:ascii="宋体" w:hAnsi="宋体" w:cs="宋体"/>
                <w:color w:val="auto"/>
                <w:kern w:val="0"/>
                <w:sz w:val="18"/>
                <w:szCs w:val="18"/>
              </w:rPr>
              <w:t>4.8支持多超管功能，允许同时对多个操作系统镜像进行更新升级或者软件安装；支持虚拟盘特定目录穿透功能，可在服务端指定虚拟盘穿透目录，配合更新服务可实现穿透更新；</w:t>
            </w:r>
          </w:p>
          <w:p>
            <w:pPr>
              <w:rPr>
                <w:rFonts w:ascii="宋体" w:hAnsi="宋体" w:cs="宋体"/>
                <w:color w:val="auto"/>
                <w:kern w:val="0"/>
                <w:sz w:val="18"/>
                <w:szCs w:val="18"/>
              </w:rPr>
            </w:pPr>
            <w:r>
              <w:rPr>
                <w:rFonts w:hint="eastAsia" w:ascii="宋体" w:hAnsi="宋体" w:cs="宋体"/>
                <w:color w:val="auto"/>
                <w:kern w:val="0"/>
                <w:sz w:val="18"/>
                <w:szCs w:val="18"/>
              </w:rPr>
              <w:t>4.9 支持将终端按机房号进行群组划分，可直接对单独机房终端执行功能设置和切换策略，便于管理员快速管理不同机房的终端；支持将多种功能策略组合成策略组，实现一键切换不同应用场景（需提供群组管理和策略组管理的功能载图）；</w:t>
            </w:r>
          </w:p>
          <w:p>
            <w:pPr>
              <w:rPr>
                <w:rFonts w:ascii="宋体" w:hAnsi="宋体" w:cs="宋体"/>
                <w:color w:val="auto"/>
                <w:kern w:val="0"/>
                <w:sz w:val="18"/>
                <w:szCs w:val="18"/>
              </w:rPr>
            </w:pPr>
            <w:r>
              <w:rPr>
                <w:rFonts w:hint="eastAsia" w:ascii="宋体" w:hAnsi="宋体" w:cs="宋体"/>
                <w:color w:val="auto"/>
                <w:kern w:val="0"/>
                <w:sz w:val="18"/>
                <w:szCs w:val="18"/>
              </w:rPr>
              <w:t>4.10 支持使用PC、笔记本、云终端、手机、平板等作为虚拟桌面终端，支持Android、IOS等手机、平板访问虚拟桌面；</w:t>
            </w:r>
          </w:p>
          <w:p>
            <w:pPr>
              <w:rPr>
                <w:rFonts w:ascii="宋体" w:hAnsi="宋体" w:cs="宋体"/>
                <w:color w:val="auto"/>
                <w:kern w:val="0"/>
                <w:sz w:val="18"/>
                <w:szCs w:val="18"/>
              </w:rPr>
            </w:pPr>
            <w:r>
              <w:rPr>
                <w:rFonts w:hint="eastAsia" w:ascii="宋体" w:hAnsi="宋体" w:cs="宋体"/>
                <w:color w:val="auto"/>
                <w:kern w:val="0"/>
                <w:sz w:val="18"/>
                <w:szCs w:val="18"/>
              </w:rPr>
              <w:t>4.11 支持虚拟桌面模板功能，可使用快速克隆部署方式，部署单个虚拟桌面时间不超过10秒。</w:t>
            </w:r>
          </w:p>
          <w:p>
            <w:pPr>
              <w:rPr>
                <w:rFonts w:ascii="宋体" w:hAnsi="宋体" w:cs="宋体"/>
                <w:color w:val="auto"/>
                <w:kern w:val="0"/>
                <w:sz w:val="18"/>
                <w:szCs w:val="18"/>
              </w:rPr>
            </w:pPr>
            <w:r>
              <w:rPr>
                <w:rFonts w:hint="eastAsia" w:ascii="宋体" w:hAnsi="宋体" w:cs="宋体"/>
                <w:color w:val="auto"/>
                <w:kern w:val="0"/>
                <w:sz w:val="18"/>
                <w:szCs w:val="18"/>
              </w:rPr>
              <w:t>5、桌面安全性</w:t>
            </w:r>
          </w:p>
          <w:p>
            <w:pPr>
              <w:rPr>
                <w:rFonts w:ascii="宋体" w:hAnsi="宋体" w:cs="宋体"/>
                <w:color w:val="auto"/>
                <w:kern w:val="0"/>
                <w:sz w:val="18"/>
                <w:szCs w:val="18"/>
              </w:rPr>
            </w:pPr>
            <w:r>
              <w:rPr>
                <w:rFonts w:hint="eastAsia" w:ascii="宋体" w:hAnsi="宋体" w:cs="宋体"/>
                <w:color w:val="auto"/>
                <w:kern w:val="0"/>
                <w:sz w:val="18"/>
                <w:szCs w:val="18"/>
              </w:rPr>
              <w:t>5.1系统能够从驱动层防止ARP攻击；避免因为ARP病毒导致网络瘫痪（需提供防止ARP攻击和被攻击的配置截图）；</w:t>
            </w:r>
          </w:p>
          <w:p>
            <w:pPr>
              <w:rPr>
                <w:rFonts w:ascii="宋体" w:hAnsi="宋体" w:cs="宋体"/>
                <w:color w:val="auto"/>
                <w:kern w:val="0"/>
                <w:sz w:val="18"/>
                <w:szCs w:val="18"/>
              </w:rPr>
            </w:pPr>
            <w:r>
              <w:rPr>
                <w:rFonts w:hint="eastAsia" w:ascii="宋体" w:hAnsi="宋体" w:cs="宋体"/>
                <w:color w:val="auto"/>
                <w:kern w:val="0"/>
                <w:sz w:val="18"/>
                <w:szCs w:val="18"/>
              </w:rPr>
              <w:t>5.2 系统可以支持对用户上网行为的审计功能，能够记录终端计算机上网的URL痕迹；支持终端计算机按时间段进行自动截屏，防止学生不认真学习（需提供记录终端计算机上网的URL的功能和自动截屏功能的配置截图）；</w:t>
            </w:r>
          </w:p>
          <w:p>
            <w:pPr>
              <w:rPr>
                <w:rFonts w:ascii="宋体" w:hAnsi="宋体" w:cs="宋体"/>
                <w:color w:val="auto"/>
                <w:kern w:val="0"/>
                <w:sz w:val="18"/>
                <w:szCs w:val="18"/>
              </w:rPr>
            </w:pPr>
            <w:r>
              <w:rPr>
                <w:rFonts w:hint="eastAsia" w:ascii="宋体" w:hAnsi="宋体" w:cs="宋体"/>
                <w:color w:val="auto"/>
                <w:kern w:val="0"/>
                <w:sz w:val="18"/>
                <w:szCs w:val="18"/>
              </w:rPr>
              <w:t>5.3有效记录客户端电脑硬件信息，防止硬件资产丢失，方便管理员及时掌握每个终端PC硬件资产的最新情况；（需提供硬件等资产信息展示的配置截图）</w:t>
            </w:r>
          </w:p>
          <w:p>
            <w:pPr>
              <w:rPr>
                <w:rFonts w:ascii="宋体" w:hAnsi="宋体" w:cs="宋体"/>
                <w:color w:val="auto"/>
                <w:kern w:val="0"/>
                <w:sz w:val="18"/>
                <w:szCs w:val="18"/>
              </w:rPr>
            </w:pPr>
            <w:r>
              <w:rPr>
                <w:rFonts w:hint="eastAsia" w:ascii="宋体" w:hAnsi="宋体" w:cs="宋体"/>
                <w:color w:val="auto"/>
                <w:kern w:val="0"/>
                <w:sz w:val="18"/>
                <w:szCs w:val="18"/>
              </w:rPr>
              <w:t>5.4系统支持流量控制功能，该功能必须是基于驱动层而不是应用层来实现客户机的流量控制，能够按照内网/外网/上传/下载/流量大小等多种条件进行规则判断，能够防止蠕虫病毒产生的大流量数据包发送（需提供流量控制的功能截图）；</w:t>
            </w:r>
          </w:p>
          <w:p>
            <w:pPr>
              <w:rPr>
                <w:rFonts w:ascii="宋体" w:hAnsi="宋体" w:cs="宋体"/>
                <w:color w:val="auto"/>
                <w:kern w:val="0"/>
                <w:sz w:val="18"/>
                <w:szCs w:val="18"/>
              </w:rPr>
            </w:pPr>
            <w:r>
              <w:rPr>
                <w:rFonts w:hint="eastAsia" w:ascii="宋体" w:hAnsi="宋体" w:cs="宋体"/>
                <w:color w:val="auto"/>
                <w:kern w:val="0"/>
                <w:sz w:val="18"/>
                <w:szCs w:val="18"/>
              </w:rPr>
              <w:t>5.5支持对终端本地的硬盘保护；可对本地硬盘各分区进行还原保护以及密码加密保护（需提供硬盘保护的功能截图）；</w:t>
            </w:r>
          </w:p>
          <w:p>
            <w:pPr>
              <w:rPr>
                <w:rFonts w:ascii="宋体" w:hAnsi="宋体" w:cs="宋体"/>
                <w:color w:val="auto"/>
                <w:kern w:val="0"/>
                <w:sz w:val="18"/>
                <w:szCs w:val="18"/>
              </w:rPr>
            </w:pPr>
            <w:r>
              <w:rPr>
                <w:rFonts w:hint="eastAsia" w:ascii="宋体" w:hAnsi="宋体" w:cs="宋体"/>
                <w:color w:val="auto"/>
                <w:kern w:val="0"/>
                <w:sz w:val="18"/>
                <w:szCs w:val="18"/>
              </w:rPr>
              <w:t>5.6</w:t>
            </w:r>
            <w:r>
              <w:rPr>
                <w:rFonts w:ascii="宋体" w:hAnsi="宋体" w:cs="宋体"/>
                <w:color w:val="auto"/>
                <w:kern w:val="0"/>
                <w:sz w:val="18"/>
                <w:szCs w:val="18"/>
              </w:rPr>
              <w:t xml:space="preserve"> </w:t>
            </w:r>
            <w:r>
              <w:rPr>
                <w:rFonts w:hint="eastAsia" w:ascii="宋体" w:hAnsi="宋体" w:cs="宋体"/>
                <w:color w:val="auto"/>
                <w:kern w:val="0"/>
                <w:sz w:val="18"/>
                <w:szCs w:val="18"/>
              </w:rPr>
              <w:t>要求每间机房须单独设置双机热备服务器，避免特殊情况下服务器宕机导致所有机房机器全部不能使用；</w:t>
            </w:r>
          </w:p>
          <w:p>
            <w:pPr>
              <w:rPr>
                <w:rFonts w:ascii="宋体" w:hAnsi="宋体" w:cs="宋体"/>
                <w:color w:val="auto"/>
                <w:kern w:val="0"/>
                <w:sz w:val="18"/>
                <w:szCs w:val="18"/>
              </w:rPr>
            </w:pPr>
            <w:r>
              <w:rPr>
                <w:rFonts w:hint="eastAsia" w:ascii="宋体" w:hAnsi="宋体" w:cs="宋体"/>
                <w:color w:val="auto"/>
                <w:kern w:val="0"/>
                <w:sz w:val="18"/>
                <w:szCs w:val="18"/>
              </w:rPr>
              <w:t>5.7</w:t>
            </w:r>
            <w:r>
              <w:rPr>
                <w:rFonts w:ascii="宋体" w:hAnsi="宋体" w:cs="宋体"/>
                <w:color w:val="auto"/>
                <w:kern w:val="0"/>
                <w:sz w:val="18"/>
                <w:szCs w:val="18"/>
              </w:rPr>
              <w:t xml:space="preserve"> </w:t>
            </w:r>
            <w:r>
              <w:rPr>
                <w:rFonts w:hint="eastAsia" w:ascii="宋体" w:hAnsi="宋体" w:cs="宋体"/>
                <w:color w:val="auto"/>
                <w:kern w:val="0"/>
                <w:sz w:val="18"/>
                <w:szCs w:val="18"/>
              </w:rPr>
              <w:t>要求实现外设管控：管控U盘、光驱等外接设备，确保系统安全和数据安全，满足学生上机考试等不允许使用移动外设存储条件。</w:t>
            </w:r>
          </w:p>
          <w:p>
            <w:pPr>
              <w:rPr>
                <w:rFonts w:ascii="宋体" w:hAnsi="宋体" w:cs="宋体"/>
                <w:color w:val="auto"/>
                <w:kern w:val="0"/>
                <w:sz w:val="18"/>
                <w:szCs w:val="18"/>
              </w:rPr>
            </w:pPr>
            <w:r>
              <w:rPr>
                <w:rFonts w:hint="eastAsia" w:ascii="宋体" w:hAnsi="宋体" w:cs="宋体"/>
                <w:color w:val="auto"/>
                <w:kern w:val="0"/>
                <w:sz w:val="18"/>
                <w:szCs w:val="18"/>
              </w:rPr>
              <w:t>6．视频播放：虚拟桌面内播放视频不限制播放器和视频网站类型，如QQ影音、迅雷看看、优酷、CNTV等。</w:t>
            </w:r>
          </w:p>
          <w:p>
            <w:pPr>
              <w:rPr>
                <w:rFonts w:ascii="宋体" w:hAnsi="宋体" w:cs="宋体"/>
                <w:color w:val="auto"/>
                <w:kern w:val="0"/>
                <w:sz w:val="18"/>
                <w:szCs w:val="18"/>
              </w:rPr>
            </w:pPr>
            <w:r>
              <w:rPr>
                <w:rFonts w:hint="eastAsia" w:ascii="宋体" w:hAnsi="宋体" w:cs="宋体"/>
                <w:color w:val="auto"/>
                <w:kern w:val="0"/>
                <w:sz w:val="18"/>
                <w:szCs w:val="18"/>
              </w:rPr>
              <w:t>7．vlan隔离：支持VLAN隔离，支持对虚拟机按机房分组，实现VLAN隔离功能。</w:t>
            </w:r>
          </w:p>
          <w:p>
            <w:pPr>
              <w:rPr>
                <w:rFonts w:ascii="宋体" w:hAnsi="宋体" w:cs="宋体"/>
                <w:color w:val="auto"/>
                <w:kern w:val="0"/>
                <w:sz w:val="18"/>
                <w:szCs w:val="18"/>
              </w:rPr>
            </w:pPr>
            <w:r>
              <w:rPr>
                <w:rFonts w:hint="eastAsia" w:ascii="宋体" w:hAnsi="宋体" w:cs="宋体"/>
                <w:color w:val="auto"/>
                <w:kern w:val="0"/>
                <w:sz w:val="18"/>
                <w:szCs w:val="18"/>
              </w:rPr>
              <w:t>8.维保服务：须提供至少3年的免费维保服务。</w:t>
            </w:r>
          </w:p>
          <w:p>
            <w:pPr>
              <w:widowControl/>
              <w:jc w:val="left"/>
              <w:rPr>
                <w:rFonts w:hint="eastAsia"/>
                <w:color w:val="auto"/>
              </w:rPr>
            </w:pPr>
            <w:r>
              <w:rPr>
                <w:rFonts w:hint="eastAsia" w:ascii="宋体" w:hAnsi="宋体" w:cs="宋体"/>
                <w:color w:val="auto"/>
                <w:kern w:val="0"/>
                <w:sz w:val="18"/>
                <w:szCs w:val="18"/>
              </w:rPr>
              <w:t>9．安装调试：乙方负责180节点系统的安装调试和培训，保证系统正常使用。</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点</w:t>
            </w:r>
          </w:p>
        </w:tc>
        <w:tc>
          <w:tcPr>
            <w:tcW w:w="660" w:type="dxa"/>
            <w:vAlign w:val="center"/>
          </w:tcPr>
          <w:p>
            <w:pPr>
              <w:jc w:val="center"/>
              <w:rPr>
                <w:color w:val="auto"/>
              </w:rPr>
            </w:pPr>
            <w:r>
              <w:rPr>
                <w:rFonts w:hint="eastAsia"/>
                <w:color w:val="auto"/>
              </w:rPr>
              <w:t>180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67" w:type="dxa"/>
            <w:noWrap/>
            <w:vAlign w:val="center"/>
          </w:tcPr>
          <w:p>
            <w:pPr>
              <w:jc w:val="right"/>
              <w:rPr>
                <w:rFonts w:ascii="宋体" w:hAnsi="宋体" w:cs="宋体"/>
                <w:color w:val="auto"/>
                <w:szCs w:val="21"/>
              </w:rPr>
            </w:pPr>
            <w:r>
              <w:rPr>
                <w:rFonts w:hint="eastAsia"/>
                <w:color w:val="auto"/>
                <w:szCs w:val="21"/>
              </w:rPr>
              <w:t>11</w:t>
            </w:r>
          </w:p>
        </w:tc>
        <w:tc>
          <w:tcPr>
            <w:tcW w:w="1331" w:type="dxa"/>
            <w:vAlign w:val="center"/>
          </w:tcPr>
          <w:p>
            <w:pPr>
              <w:rPr>
                <w:rFonts w:ascii="宋体" w:hAnsi="宋体" w:cs="宋体"/>
                <w:color w:val="auto"/>
                <w:sz w:val="18"/>
                <w:szCs w:val="18"/>
              </w:rPr>
            </w:pPr>
            <w:r>
              <w:rPr>
                <w:rFonts w:hint="eastAsia"/>
                <w:color w:val="auto"/>
                <w:sz w:val="18"/>
                <w:szCs w:val="18"/>
              </w:rPr>
              <w:t>便携式计算机</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1．处理器：性能≥i7-10710U(1.1GHz-4.7GHz,12MB缓存6核12线程)；</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2．内存：容量≥16GB DDR4;</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3．硬盘：容量≥512GB SSD；</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4．显卡：≥AMD Radeon RX640 2G独显；</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5．显示器：≥14" FHD LED背光屏；</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6．电池：45Wh锂聚合物3芯电池；</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7．操作系统：≥Win10 家庭版</w:t>
            </w:r>
          </w:p>
          <w:p>
            <w:pPr>
              <w:widowControl/>
              <w:jc w:val="left"/>
              <w:rPr>
                <w:color w:val="auto"/>
              </w:rPr>
            </w:pPr>
            <w:r>
              <w:rPr>
                <w:rFonts w:hint="eastAsia" w:ascii="宋体" w:hAnsi="宋体" w:cs="宋体"/>
                <w:color w:val="auto"/>
                <w:kern w:val="0"/>
                <w:sz w:val="18"/>
                <w:szCs w:val="18"/>
              </w:rPr>
              <w:t xml:space="preserve">8．其他：蓝牙，摄像头，金属壳，黑色  </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3</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67" w:type="dxa"/>
            <w:noWrap/>
            <w:vAlign w:val="center"/>
          </w:tcPr>
          <w:p>
            <w:pPr>
              <w:jc w:val="right"/>
              <w:rPr>
                <w:rFonts w:ascii="宋体" w:hAnsi="宋体" w:cs="宋体"/>
                <w:color w:val="auto"/>
                <w:szCs w:val="21"/>
              </w:rPr>
            </w:pPr>
            <w:r>
              <w:rPr>
                <w:rFonts w:hint="eastAsia"/>
                <w:color w:val="auto"/>
                <w:szCs w:val="21"/>
              </w:rPr>
              <w:t>12</w:t>
            </w:r>
          </w:p>
        </w:tc>
        <w:tc>
          <w:tcPr>
            <w:tcW w:w="1331" w:type="dxa"/>
            <w:vAlign w:val="center"/>
          </w:tcPr>
          <w:p>
            <w:pPr>
              <w:rPr>
                <w:rFonts w:ascii="宋体" w:hAnsi="宋体" w:cs="宋体"/>
                <w:color w:val="auto"/>
                <w:sz w:val="18"/>
                <w:szCs w:val="18"/>
              </w:rPr>
            </w:pPr>
            <w:r>
              <w:rPr>
                <w:rFonts w:hint="eastAsia"/>
                <w:color w:val="auto"/>
                <w:sz w:val="18"/>
                <w:szCs w:val="18"/>
              </w:rPr>
              <w:t>液晶电视</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1．像素：不低于 3840*2160</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2．屏幕类型：LED</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3．屏幕尺寸：≥120英寸</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4．亮度：≥600流明</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5．操作系统：不低于Android 5.0 </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6．端口参数： USB2.0接口 ≥2个， HDMI2.0接口≥2个</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7．USB支持格式：USB支持视频格式：MPEG2_HD，MPEG4_SD、 MPEG4_HD、H、264、FLV、AVS，RMVB、WMV(VC1)； USB支持音频格式： AAC，PCM， MP3，MP2，COOK， AC3 ，DRA,WMA； USB支持图片格式：JPEG、BMP、PNG</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8．连接方式：无线/网线</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每台提供HDMI数据线1根（长度预计6米）</w:t>
            </w:r>
          </w:p>
          <w:p>
            <w:pPr>
              <w:widowControl/>
              <w:jc w:val="left"/>
              <w:rPr>
                <w:color w:val="auto"/>
              </w:rPr>
            </w:pPr>
            <w:r>
              <w:rPr>
                <w:rFonts w:hint="eastAsia" w:ascii="宋体" w:hAnsi="宋体" w:cs="宋体"/>
                <w:color w:val="auto"/>
                <w:kern w:val="0"/>
                <w:sz w:val="18"/>
                <w:szCs w:val="18"/>
              </w:rPr>
              <w:t>9．安装：乙方按照甲方要求及实际教室情况进行落地支架安装调试，所需安装支架及配件由乙方提供。</w:t>
            </w:r>
          </w:p>
          <w:p>
            <w:pPr>
              <w:pStyle w:val="3"/>
              <w:rPr>
                <w:color w:val="auto"/>
              </w:rPr>
            </w:pPr>
            <w:r>
              <w:rPr>
                <w:rFonts w:hint="eastAsia" w:ascii="宋体" w:hAnsi="宋体" w:eastAsia="宋体" w:cs="宋体"/>
                <w:b/>
                <w:bCs/>
                <w:snapToGrid/>
                <w:color w:val="auto"/>
                <w:kern w:val="0"/>
                <w:sz w:val="18"/>
                <w:szCs w:val="18"/>
                <w:lang w:val="en-US" w:eastAsia="zh-CN" w:bidi="ar-SA"/>
              </w:rPr>
              <w:t>1、2、3项为重要指标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3</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67" w:type="dxa"/>
            <w:noWrap/>
            <w:vAlign w:val="center"/>
          </w:tcPr>
          <w:p>
            <w:pPr>
              <w:jc w:val="right"/>
              <w:rPr>
                <w:rFonts w:ascii="宋体" w:hAnsi="宋体" w:cs="宋体"/>
                <w:color w:val="auto"/>
                <w:szCs w:val="21"/>
              </w:rPr>
            </w:pPr>
            <w:r>
              <w:rPr>
                <w:rFonts w:hint="eastAsia"/>
                <w:color w:val="auto"/>
                <w:szCs w:val="21"/>
              </w:rPr>
              <w:t>13</w:t>
            </w:r>
          </w:p>
        </w:tc>
        <w:tc>
          <w:tcPr>
            <w:tcW w:w="1331" w:type="dxa"/>
            <w:vAlign w:val="center"/>
          </w:tcPr>
          <w:p>
            <w:pPr>
              <w:rPr>
                <w:color w:val="auto"/>
                <w:sz w:val="18"/>
                <w:szCs w:val="18"/>
              </w:rPr>
            </w:pPr>
            <w:r>
              <w:rPr>
                <w:color w:val="auto"/>
                <w:sz w:val="18"/>
                <w:szCs w:val="18"/>
              </w:rPr>
              <w:t>48</w:t>
            </w:r>
            <w:r>
              <w:rPr>
                <w:rFonts w:hint="eastAsia"/>
                <w:color w:val="auto"/>
                <w:sz w:val="18"/>
                <w:szCs w:val="18"/>
              </w:rPr>
              <w:t>口交换机</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1.应用层级：三层</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2.背板带宽≥256Gbps</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3.包转发率≥72Mpps</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4.接口类型: ≥48个1000Base-T端口，4个1000Base-X千兆Combo口</w:t>
            </w:r>
          </w:p>
          <w:p>
            <w:pPr>
              <w:widowControl/>
              <w:jc w:val="left"/>
              <w:rPr>
                <w:color w:val="auto"/>
              </w:rPr>
            </w:pPr>
            <w:r>
              <w:rPr>
                <w:rFonts w:hint="eastAsia" w:ascii="宋体" w:hAnsi="宋体" w:cs="宋体"/>
                <w:color w:val="auto"/>
                <w:kern w:val="0"/>
                <w:sz w:val="18"/>
                <w:szCs w:val="18"/>
              </w:rPr>
              <w:t>5.协议支持：IEEE 802.3,IEEE 802.3u,IEEE 802.3ab,IEEE 802.3z,IEEE 802.3x,IEEE 802.1Q,IEEE 802.1d,IEEE 802.1X</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2</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67" w:type="dxa"/>
            <w:noWrap/>
            <w:vAlign w:val="center"/>
          </w:tcPr>
          <w:p>
            <w:pPr>
              <w:jc w:val="right"/>
              <w:rPr>
                <w:rFonts w:ascii="宋体" w:hAnsi="宋体" w:cs="宋体"/>
                <w:color w:val="auto"/>
                <w:szCs w:val="21"/>
              </w:rPr>
            </w:pPr>
            <w:r>
              <w:rPr>
                <w:rFonts w:hint="eastAsia"/>
                <w:color w:val="auto"/>
                <w:szCs w:val="21"/>
              </w:rPr>
              <w:t>14</w:t>
            </w:r>
          </w:p>
        </w:tc>
        <w:tc>
          <w:tcPr>
            <w:tcW w:w="1331" w:type="dxa"/>
            <w:vAlign w:val="center"/>
          </w:tcPr>
          <w:p>
            <w:pPr>
              <w:rPr>
                <w:color w:val="auto"/>
                <w:sz w:val="18"/>
                <w:szCs w:val="18"/>
              </w:rPr>
            </w:pPr>
            <w:r>
              <w:rPr>
                <w:color w:val="auto"/>
                <w:sz w:val="18"/>
                <w:szCs w:val="18"/>
              </w:rPr>
              <w:t>24</w:t>
            </w:r>
            <w:r>
              <w:rPr>
                <w:rFonts w:hint="eastAsia"/>
                <w:color w:val="auto"/>
                <w:sz w:val="18"/>
                <w:szCs w:val="18"/>
              </w:rPr>
              <w:t>口交换机</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应用层级：三层</w:t>
            </w:r>
            <w:r>
              <w:rPr>
                <w:rFonts w:ascii="宋体" w:hAnsi="宋体" w:cs="宋体"/>
                <w:color w:val="auto"/>
                <w:kern w:val="0"/>
                <w:sz w:val="18"/>
                <w:szCs w:val="18"/>
              </w:rPr>
              <w:br w:type="textWrapping"/>
            </w:r>
            <w:r>
              <w:rPr>
                <w:rFonts w:hint="eastAsia" w:ascii="宋体" w:hAnsi="宋体" w:cs="宋体"/>
                <w:color w:val="auto"/>
                <w:kern w:val="0"/>
                <w:sz w:val="18"/>
                <w:szCs w:val="18"/>
              </w:rPr>
              <w:t>2.</w:t>
            </w:r>
            <w:r>
              <w:rPr>
                <w:rFonts w:ascii="宋体" w:hAnsi="宋体" w:cs="宋体"/>
                <w:color w:val="auto"/>
                <w:kern w:val="0"/>
                <w:sz w:val="18"/>
                <w:szCs w:val="18"/>
              </w:rPr>
              <w:t>背板带宽&gt;=256Gbps</w:t>
            </w:r>
            <w:r>
              <w:rPr>
                <w:rFonts w:ascii="宋体" w:hAnsi="宋体" w:cs="宋体"/>
                <w:color w:val="auto"/>
                <w:kern w:val="0"/>
                <w:sz w:val="18"/>
                <w:szCs w:val="18"/>
              </w:rPr>
              <w:br w:type="textWrapping"/>
            </w:r>
            <w:r>
              <w:rPr>
                <w:rFonts w:hint="eastAsia" w:ascii="宋体" w:hAnsi="宋体" w:cs="宋体"/>
                <w:color w:val="auto"/>
                <w:kern w:val="0"/>
                <w:sz w:val="18"/>
                <w:szCs w:val="18"/>
              </w:rPr>
              <w:t>3.</w:t>
            </w:r>
            <w:r>
              <w:rPr>
                <w:rFonts w:ascii="宋体" w:hAnsi="宋体" w:cs="宋体"/>
                <w:color w:val="auto"/>
                <w:kern w:val="0"/>
                <w:sz w:val="18"/>
                <w:szCs w:val="18"/>
              </w:rPr>
              <w:t>包转发率&gt;=72Mpps</w:t>
            </w:r>
            <w:r>
              <w:rPr>
                <w:rFonts w:ascii="宋体" w:hAnsi="宋体" w:cs="宋体"/>
                <w:color w:val="auto"/>
                <w:kern w:val="0"/>
                <w:sz w:val="18"/>
                <w:szCs w:val="18"/>
              </w:rPr>
              <w:br w:type="textWrapping"/>
            </w:r>
            <w:r>
              <w:rPr>
                <w:rFonts w:hint="eastAsia" w:ascii="宋体" w:hAnsi="宋体" w:cs="宋体"/>
                <w:color w:val="auto"/>
                <w:kern w:val="0"/>
                <w:sz w:val="18"/>
                <w:szCs w:val="18"/>
              </w:rPr>
              <w:t>4.</w:t>
            </w:r>
            <w:r>
              <w:rPr>
                <w:rFonts w:ascii="宋体" w:hAnsi="宋体" w:cs="宋体"/>
                <w:color w:val="auto"/>
                <w:kern w:val="0"/>
                <w:sz w:val="18"/>
                <w:szCs w:val="18"/>
              </w:rPr>
              <w:t>接口类型:20个1000Base-T端口，4个1000Base-X千兆Combo口</w:t>
            </w:r>
          </w:p>
          <w:p>
            <w:pPr>
              <w:widowControl/>
              <w:jc w:val="left"/>
              <w:rPr>
                <w:color w:val="auto"/>
              </w:rPr>
            </w:pPr>
            <w:r>
              <w:rPr>
                <w:rFonts w:hint="eastAsia" w:ascii="宋体" w:hAnsi="宋体" w:cs="宋体"/>
                <w:color w:val="auto"/>
                <w:kern w:val="0"/>
                <w:sz w:val="18"/>
                <w:szCs w:val="18"/>
              </w:rPr>
              <w:t>5. 协议支持：IEEE 802.3,IEEE 802.3u,IEEE 802.3ab,IEEE 802.3z,IEEE 802.3x,IEEE 802.1Q,IEEE 802.1d,IEEE 802.1X</w:t>
            </w:r>
          </w:p>
          <w:p>
            <w:pPr>
              <w:pStyle w:val="3"/>
              <w:rPr>
                <w:color w:val="auto"/>
              </w:rPr>
            </w:pPr>
            <w:r>
              <w:rPr>
                <w:rFonts w:hint="eastAsia" w:ascii="宋体" w:hAnsi="宋体" w:eastAsia="宋体" w:cs="宋体"/>
                <w:b/>
                <w:bCs/>
                <w:snapToGrid/>
                <w:color w:val="auto"/>
                <w:kern w:val="0"/>
                <w:sz w:val="18"/>
                <w:szCs w:val="18"/>
                <w:lang w:val="en-US" w:eastAsia="zh-CN" w:bidi="ar-SA"/>
              </w:rPr>
              <w:t>1、2、3、4项为重要指标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3</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67" w:type="dxa"/>
            <w:noWrap/>
            <w:vAlign w:val="center"/>
          </w:tcPr>
          <w:p>
            <w:pPr>
              <w:jc w:val="right"/>
              <w:rPr>
                <w:rFonts w:ascii="宋体" w:hAnsi="宋体" w:cs="宋体"/>
                <w:color w:val="auto"/>
                <w:szCs w:val="21"/>
              </w:rPr>
            </w:pPr>
            <w:r>
              <w:rPr>
                <w:rFonts w:hint="eastAsia"/>
                <w:color w:val="auto"/>
                <w:szCs w:val="21"/>
              </w:rPr>
              <w:t>15</w:t>
            </w:r>
          </w:p>
        </w:tc>
        <w:tc>
          <w:tcPr>
            <w:tcW w:w="1331" w:type="dxa"/>
            <w:vAlign w:val="center"/>
          </w:tcPr>
          <w:p>
            <w:pPr>
              <w:rPr>
                <w:rFonts w:ascii="宋体" w:hAnsi="宋体" w:cs="宋体"/>
                <w:color w:val="auto"/>
                <w:sz w:val="18"/>
                <w:szCs w:val="18"/>
              </w:rPr>
            </w:pPr>
            <w:r>
              <w:rPr>
                <w:rFonts w:hint="eastAsia"/>
                <w:color w:val="auto"/>
                <w:sz w:val="18"/>
                <w:szCs w:val="18"/>
              </w:rPr>
              <w:t>光口交换机</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1.应用层级：三层</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2.包转发率:&gt;=96Mpps</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3.接口：24个千兆SFP端口，4个复用的10/100/1000Base-T Combo端口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4.IP路由：支持静态路由、RIP路由、OSPF路由</w:t>
            </w:r>
          </w:p>
          <w:p>
            <w:pPr>
              <w:widowControl/>
              <w:jc w:val="left"/>
              <w:rPr>
                <w:color w:val="auto"/>
              </w:rPr>
            </w:pPr>
            <w:r>
              <w:rPr>
                <w:rFonts w:hint="eastAsia" w:ascii="宋体" w:hAnsi="宋体" w:cs="宋体"/>
                <w:color w:val="auto"/>
                <w:kern w:val="0"/>
                <w:sz w:val="18"/>
                <w:szCs w:val="18"/>
              </w:rPr>
              <w:t>5. 协议支持：IEEE 802.3,IEEE 802.3u,IEEE 802.3ab,IEEE 802.3z,IEEE 802.3x,IEEE 802.1Q,IEEE 802.1d,IEEE 802.1X</w:t>
            </w:r>
          </w:p>
          <w:p>
            <w:pPr>
              <w:pStyle w:val="3"/>
              <w:rPr>
                <w:color w:val="auto"/>
              </w:rPr>
            </w:pPr>
            <w:r>
              <w:rPr>
                <w:rFonts w:hint="eastAsia" w:ascii="宋体" w:hAnsi="宋体" w:eastAsia="宋体" w:cs="宋体"/>
                <w:b/>
                <w:bCs/>
                <w:snapToGrid/>
                <w:color w:val="auto"/>
                <w:kern w:val="0"/>
                <w:sz w:val="18"/>
                <w:szCs w:val="18"/>
                <w:lang w:val="en-US" w:eastAsia="zh-CN" w:bidi="ar-SA"/>
              </w:rPr>
              <w:t>1、2、3项为重要指标</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67" w:type="dxa"/>
            <w:vAlign w:val="center"/>
          </w:tcPr>
          <w:p>
            <w:pPr>
              <w:jc w:val="right"/>
              <w:rPr>
                <w:rFonts w:ascii="宋体" w:hAnsi="宋体" w:cs="宋体"/>
                <w:color w:val="auto"/>
                <w:szCs w:val="21"/>
              </w:rPr>
            </w:pPr>
            <w:r>
              <w:rPr>
                <w:rFonts w:hint="eastAsia"/>
                <w:color w:val="auto"/>
                <w:szCs w:val="21"/>
              </w:rPr>
              <w:t>16</w:t>
            </w:r>
          </w:p>
        </w:tc>
        <w:tc>
          <w:tcPr>
            <w:tcW w:w="1331" w:type="dxa"/>
            <w:vAlign w:val="center"/>
          </w:tcPr>
          <w:p>
            <w:pPr>
              <w:rPr>
                <w:rFonts w:ascii="宋体" w:hAnsi="宋体" w:cs="宋体"/>
                <w:color w:val="auto"/>
                <w:sz w:val="18"/>
                <w:szCs w:val="18"/>
              </w:rPr>
            </w:pPr>
            <w:r>
              <w:rPr>
                <w:rFonts w:hint="eastAsia"/>
                <w:color w:val="auto"/>
                <w:sz w:val="18"/>
                <w:szCs w:val="18"/>
              </w:rPr>
              <w:t>实验桌</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长120*宽55*高76cm(双人、双主机、双显示器），背板：离地25 cm，材质：钢制，颜色：浅灰 订制</w:t>
            </w:r>
          </w:p>
        </w:tc>
        <w:tc>
          <w:tcPr>
            <w:tcW w:w="580" w:type="dxa"/>
            <w:vAlign w:val="center"/>
          </w:tcPr>
          <w:p>
            <w:pPr>
              <w:jc w:val="center"/>
              <w:rPr>
                <w:color w:val="auto"/>
              </w:rPr>
            </w:pPr>
            <w:r>
              <w:rPr>
                <w:rFonts w:hint="eastAsia"/>
                <w:color w:val="auto"/>
              </w:rPr>
              <w:t>台</w:t>
            </w:r>
          </w:p>
        </w:tc>
        <w:tc>
          <w:tcPr>
            <w:tcW w:w="660" w:type="dxa"/>
            <w:vAlign w:val="center"/>
          </w:tcPr>
          <w:p>
            <w:pPr>
              <w:jc w:val="center"/>
              <w:rPr>
                <w:color w:val="auto"/>
              </w:rPr>
            </w:pPr>
            <w:r>
              <w:rPr>
                <w:rFonts w:hint="eastAsia"/>
                <w:color w:val="auto"/>
              </w:rPr>
              <w:t>85</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right"/>
              <w:rPr>
                <w:rFonts w:ascii="宋体" w:hAnsi="宋体" w:cs="宋体"/>
                <w:color w:val="auto"/>
                <w:szCs w:val="21"/>
              </w:rPr>
            </w:pPr>
            <w:r>
              <w:rPr>
                <w:rFonts w:hint="eastAsia"/>
                <w:color w:val="auto"/>
                <w:szCs w:val="21"/>
              </w:rPr>
              <w:t>17</w:t>
            </w:r>
          </w:p>
        </w:tc>
        <w:tc>
          <w:tcPr>
            <w:tcW w:w="1331" w:type="dxa"/>
            <w:vAlign w:val="center"/>
          </w:tcPr>
          <w:p>
            <w:pPr>
              <w:rPr>
                <w:rFonts w:ascii="宋体" w:hAnsi="宋体" w:cs="宋体"/>
                <w:color w:val="auto"/>
                <w:sz w:val="18"/>
                <w:szCs w:val="18"/>
              </w:rPr>
            </w:pPr>
            <w:r>
              <w:rPr>
                <w:rFonts w:hint="eastAsia"/>
                <w:color w:val="auto"/>
                <w:sz w:val="18"/>
                <w:szCs w:val="18"/>
              </w:rPr>
              <w:t>实验椅</w:t>
            </w:r>
          </w:p>
        </w:tc>
        <w:tc>
          <w:tcPr>
            <w:tcW w:w="4198" w:type="dxa"/>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长0.35M*宽0.25M*高0.46M  钢制，带脚垫 订制</w:t>
            </w:r>
          </w:p>
        </w:tc>
        <w:tc>
          <w:tcPr>
            <w:tcW w:w="580" w:type="dxa"/>
            <w:vAlign w:val="center"/>
          </w:tcPr>
          <w:p>
            <w:pPr>
              <w:jc w:val="center"/>
              <w:rPr>
                <w:color w:val="auto"/>
              </w:rPr>
            </w:pPr>
            <w:r>
              <w:rPr>
                <w:rFonts w:hint="eastAsia"/>
                <w:color w:val="auto"/>
              </w:rPr>
              <w:t>把</w:t>
            </w:r>
          </w:p>
        </w:tc>
        <w:tc>
          <w:tcPr>
            <w:tcW w:w="660" w:type="dxa"/>
            <w:vAlign w:val="center"/>
          </w:tcPr>
          <w:p>
            <w:pPr>
              <w:jc w:val="center"/>
              <w:rPr>
                <w:color w:val="auto"/>
              </w:rPr>
            </w:pPr>
            <w:r>
              <w:rPr>
                <w:rFonts w:hint="eastAsia"/>
                <w:color w:val="auto"/>
              </w:rPr>
              <w:t>250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18</w:t>
            </w:r>
          </w:p>
        </w:tc>
        <w:tc>
          <w:tcPr>
            <w:tcW w:w="1331" w:type="dxa"/>
            <w:vAlign w:val="center"/>
          </w:tcPr>
          <w:p>
            <w:pPr>
              <w:rPr>
                <w:color w:val="auto"/>
                <w:sz w:val="18"/>
                <w:szCs w:val="18"/>
              </w:rPr>
            </w:pPr>
            <w:r>
              <w:rPr>
                <w:color w:val="auto"/>
                <w:sz w:val="18"/>
                <w:szCs w:val="18"/>
              </w:rPr>
              <w:t>1.6m实验桌</w:t>
            </w:r>
          </w:p>
        </w:tc>
        <w:tc>
          <w:tcPr>
            <w:tcW w:w="4198" w:type="dxa"/>
            <w:vAlign w:val="center"/>
          </w:tcPr>
          <w:p>
            <w:pPr>
              <w:widowControl/>
              <w:jc w:val="left"/>
              <w:rPr>
                <w:color w:val="auto"/>
                <w:sz w:val="18"/>
                <w:szCs w:val="18"/>
              </w:rPr>
            </w:pPr>
            <w:r>
              <w:rPr>
                <w:rFonts w:hint="eastAsia"/>
                <w:color w:val="auto"/>
                <w:sz w:val="18"/>
                <w:szCs w:val="18"/>
              </w:rPr>
              <w:t>长160*宽60*高75cm(双人、双主机、双显示器），桌面可翻转，隐藏显示器，材质：钢制桌体、防火板桌面，颜色：浅灰 订制</w:t>
            </w:r>
          </w:p>
        </w:tc>
        <w:tc>
          <w:tcPr>
            <w:tcW w:w="580" w:type="dxa"/>
            <w:vAlign w:val="center"/>
          </w:tcPr>
          <w:p>
            <w:pPr>
              <w:jc w:val="center"/>
              <w:rPr>
                <w:color w:val="auto"/>
                <w:sz w:val="18"/>
                <w:szCs w:val="18"/>
              </w:rPr>
            </w:pPr>
            <w:r>
              <w:rPr>
                <w:rFonts w:hint="eastAsia"/>
                <w:color w:val="auto"/>
                <w:sz w:val="18"/>
                <w:szCs w:val="18"/>
              </w:rPr>
              <w:t>台</w:t>
            </w:r>
          </w:p>
        </w:tc>
        <w:tc>
          <w:tcPr>
            <w:tcW w:w="660" w:type="dxa"/>
            <w:vAlign w:val="center"/>
          </w:tcPr>
          <w:p>
            <w:pPr>
              <w:jc w:val="center"/>
              <w:rPr>
                <w:color w:val="auto"/>
                <w:sz w:val="18"/>
                <w:szCs w:val="18"/>
              </w:rPr>
            </w:pPr>
            <w:r>
              <w:rPr>
                <w:rFonts w:hint="eastAsia"/>
                <w:color w:val="auto"/>
                <w:sz w:val="18"/>
                <w:szCs w:val="18"/>
              </w:rPr>
              <w:t>20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19</w:t>
            </w:r>
          </w:p>
        </w:tc>
        <w:tc>
          <w:tcPr>
            <w:tcW w:w="1331" w:type="dxa"/>
            <w:vAlign w:val="center"/>
          </w:tcPr>
          <w:p>
            <w:pPr>
              <w:rPr>
                <w:color w:val="auto"/>
                <w:sz w:val="18"/>
                <w:szCs w:val="18"/>
              </w:rPr>
            </w:pPr>
            <w:r>
              <w:rPr>
                <w:color w:val="auto"/>
                <w:sz w:val="18"/>
                <w:szCs w:val="18"/>
              </w:rPr>
              <w:t>靠背实验椅</w:t>
            </w:r>
          </w:p>
        </w:tc>
        <w:tc>
          <w:tcPr>
            <w:tcW w:w="4198" w:type="dxa"/>
            <w:vAlign w:val="center"/>
          </w:tcPr>
          <w:p>
            <w:pPr>
              <w:widowControl/>
              <w:jc w:val="left"/>
              <w:rPr>
                <w:color w:val="auto"/>
                <w:sz w:val="18"/>
                <w:szCs w:val="18"/>
              </w:rPr>
            </w:pPr>
            <w:r>
              <w:rPr>
                <w:rFonts w:hint="eastAsia"/>
                <w:color w:val="auto"/>
                <w:sz w:val="18"/>
                <w:szCs w:val="18"/>
              </w:rPr>
              <w:t>带靠背，钢架，织物座椅，定制</w:t>
            </w:r>
          </w:p>
        </w:tc>
        <w:tc>
          <w:tcPr>
            <w:tcW w:w="580" w:type="dxa"/>
            <w:vAlign w:val="center"/>
          </w:tcPr>
          <w:p>
            <w:pPr>
              <w:jc w:val="center"/>
              <w:rPr>
                <w:color w:val="auto"/>
                <w:sz w:val="18"/>
                <w:szCs w:val="18"/>
              </w:rPr>
            </w:pPr>
            <w:r>
              <w:rPr>
                <w:rFonts w:hint="eastAsia"/>
                <w:color w:val="auto"/>
                <w:sz w:val="18"/>
                <w:szCs w:val="18"/>
              </w:rPr>
              <w:t>把</w:t>
            </w:r>
          </w:p>
        </w:tc>
        <w:tc>
          <w:tcPr>
            <w:tcW w:w="660" w:type="dxa"/>
            <w:vAlign w:val="center"/>
          </w:tcPr>
          <w:p>
            <w:pPr>
              <w:jc w:val="center"/>
              <w:rPr>
                <w:color w:val="auto"/>
                <w:sz w:val="18"/>
                <w:szCs w:val="18"/>
              </w:rPr>
            </w:pPr>
            <w:r>
              <w:rPr>
                <w:rFonts w:hint="eastAsia"/>
                <w:color w:val="auto"/>
                <w:sz w:val="18"/>
                <w:szCs w:val="18"/>
              </w:rPr>
              <w:t>50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20</w:t>
            </w:r>
          </w:p>
        </w:tc>
        <w:tc>
          <w:tcPr>
            <w:tcW w:w="1331" w:type="dxa"/>
            <w:vAlign w:val="center"/>
          </w:tcPr>
          <w:p>
            <w:pPr>
              <w:rPr>
                <w:color w:val="auto"/>
                <w:sz w:val="18"/>
                <w:szCs w:val="18"/>
              </w:rPr>
            </w:pPr>
            <w:r>
              <w:rPr>
                <w:color w:val="auto"/>
                <w:sz w:val="18"/>
                <w:szCs w:val="18"/>
              </w:rPr>
              <w:t>0.8m</w:t>
            </w:r>
            <w:r>
              <w:rPr>
                <w:rFonts w:hint="eastAsia"/>
                <w:color w:val="auto"/>
                <w:sz w:val="18"/>
                <w:szCs w:val="18"/>
              </w:rPr>
              <w:t>实验桌</w:t>
            </w:r>
          </w:p>
        </w:tc>
        <w:tc>
          <w:tcPr>
            <w:tcW w:w="4198" w:type="dxa"/>
            <w:vAlign w:val="center"/>
          </w:tcPr>
          <w:p>
            <w:pPr>
              <w:widowControl/>
              <w:jc w:val="left"/>
              <w:rPr>
                <w:color w:val="auto"/>
                <w:sz w:val="18"/>
                <w:szCs w:val="18"/>
              </w:rPr>
            </w:pPr>
            <w:r>
              <w:rPr>
                <w:rFonts w:hint="eastAsia"/>
                <w:color w:val="auto"/>
                <w:sz w:val="18"/>
                <w:szCs w:val="18"/>
              </w:rPr>
              <w:t>长80*宽60*高75cm(单人、单主机、单显示器），桌面可翻转，隐藏显示器，材质：钢制桌体、防火板桌面，颜色：浅灰 订制</w:t>
            </w:r>
          </w:p>
        </w:tc>
        <w:tc>
          <w:tcPr>
            <w:tcW w:w="580" w:type="dxa"/>
            <w:vAlign w:val="center"/>
          </w:tcPr>
          <w:p>
            <w:pPr>
              <w:jc w:val="center"/>
              <w:rPr>
                <w:color w:val="auto"/>
                <w:sz w:val="18"/>
                <w:szCs w:val="18"/>
              </w:rPr>
            </w:pPr>
            <w:r>
              <w:rPr>
                <w:rFonts w:hint="eastAsia"/>
                <w:color w:val="auto"/>
                <w:sz w:val="18"/>
                <w:szCs w:val="18"/>
              </w:rPr>
              <w:t>台</w:t>
            </w:r>
          </w:p>
        </w:tc>
        <w:tc>
          <w:tcPr>
            <w:tcW w:w="660" w:type="dxa"/>
            <w:vAlign w:val="center"/>
          </w:tcPr>
          <w:p>
            <w:pPr>
              <w:jc w:val="center"/>
              <w:rPr>
                <w:color w:val="auto"/>
                <w:sz w:val="18"/>
                <w:szCs w:val="18"/>
              </w:rPr>
            </w:pPr>
            <w:r>
              <w:rPr>
                <w:rFonts w:hint="eastAsia"/>
                <w:color w:val="auto"/>
                <w:sz w:val="18"/>
                <w:szCs w:val="18"/>
              </w:rPr>
              <w:t>10</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21</w:t>
            </w:r>
          </w:p>
        </w:tc>
        <w:tc>
          <w:tcPr>
            <w:tcW w:w="1331" w:type="dxa"/>
            <w:vAlign w:val="center"/>
          </w:tcPr>
          <w:p>
            <w:pPr>
              <w:rPr>
                <w:color w:val="auto"/>
                <w:sz w:val="18"/>
                <w:szCs w:val="18"/>
              </w:rPr>
            </w:pPr>
            <w:r>
              <w:rPr>
                <w:rFonts w:hint="eastAsia"/>
                <w:color w:val="auto"/>
                <w:sz w:val="18"/>
                <w:szCs w:val="18"/>
              </w:rPr>
              <w:t>半球摄像机</w:t>
            </w:r>
          </w:p>
        </w:tc>
        <w:tc>
          <w:tcPr>
            <w:tcW w:w="4198" w:type="dxa"/>
            <w:vAlign w:val="center"/>
          </w:tcPr>
          <w:p>
            <w:pPr>
              <w:widowControl/>
              <w:jc w:val="left"/>
              <w:rPr>
                <w:color w:val="auto"/>
                <w:sz w:val="18"/>
                <w:szCs w:val="18"/>
              </w:rPr>
            </w:pPr>
            <w:r>
              <w:rPr>
                <w:rFonts w:hint="eastAsia"/>
                <w:color w:val="auto"/>
                <w:sz w:val="18"/>
                <w:szCs w:val="18"/>
              </w:rPr>
              <w:t>1.具有400万像素CMOS传感器</w:t>
            </w:r>
          </w:p>
          <w:p>
            <w:pPr>
              <w:widowControl/>
              <w:jc w:val="left"/>
              <w:rPr>
                <w:color w:val="auto"/>
                <w:sz w:val="18"/>
                <w:szCs w:val="18"/>
              </w:rPr>
            </w:pPr>
            <w:r>
              <w:rPr>
                <w:rFonts w:hint="eastAsia"/>
                <w:color w:val="auto"/>
                <w:sz w:val="18"/>
                <w:szCs w:val="18"/>
              </w:rPr>
              <w:t>2.最小照度 0.07 Lux @(F1.2,AGC ON), 0 Lux with IR；0.1 Lux @(F1.4,AGC ON), 0 Lux with IR；</w:t>
            </w:r>
          </w:p>
          <w:p>
            <w:pPr>
              <w:widowControl/>
              <w:jc w:val="left"/>
              <w:rPr>
                <w:color w:val="auto"/>
                <w:sz w:val="18"/>
                <w:szCs w:val="18"/>
              </w:rPr>
            </w:pPr>
            <w:r>
              <w:rPr>
                <w:rFonts w:hint="eastAsia"/>
                <w:color w:val="auto"/>
                <w:sz w:val="18"/>
                <w:szCs w:val="18"/>
              </w:rPr>
              <w:t>3.快门 1/3秒至1/100,000秒；</w:t>
            </w:r>
          </w:p>
          <w:p>
            <w:pPr>
              <w:widowControl/>
              <w:jc w:val="left"/>
              <w:rPr>
                <w:color w:val="auto"/>
                <w:sz w:val="18"/>
                <w:szCs w:val="18"/>
              </w:rPr>
            </w:pPr>
            <w:r>
              <w:rPr>
                <w:rFonts w:hint="eastAsia"/>
                <w:color w:val="auto"/>
                <w:sz w:val="18"/>
                <w:szCs w:val="18"/>
              </w:rPr>
              <w:t>4.镜头 2.0mm, 水平视场角:120.4°,</w:t>
            </w:r>
          </w:p>
          <w:p>
            <w:pPr>
              <w:widowControl/>
              <w:jc w:val="left"/>
              <w:rPr>
                <w:color w:val="auto"/>
                <w:sz w:val="18"/>
                <w:szCs w:val="18"/>
              </w:rPr>
            </w:pPr>
            <w:r>
              <w:rPr>
                <w:rFonts w:hint="eastAsia"/>
                <w:color w:val="auto"/>
                <w:sz w:val="18"/>
                <w:szCs w:val="18"/>
              </w:rPr>
              <w:t>5.宽动态范围不小于120dB；</w:t>
            </w:r>
          </w:p>
          <w:p>
            <w:pPr>
              <w:widowControl/>
              <w:jc w:val="left"/>
              <w:rPr>
                <w:color w:val="auto"/>
                <w:sz w:val="18"/>
                <w:szCs w:val="18"/>
              </w:rPr>
            </w:pPr>
            <w:r>
              <w:rPr>
                <w:rFonts w:hint="eastAsia"/>
                <w:color w:val="auto"/>
                <w:sz w:val="18"/>
                <w:szCs w:val="18"/>
              </w:rPr>
              <w:t>6.视频压缩标准 H.265 / H.264 / MJPEG；</w:t>
            </w:r>
          </w:p>
          <w:p>
            <w:pPr>
              <w:widowControl/>
              <w:jc w:val="left"/>
              <w:rPr>
                <w:color w:val="auto"/>
                <w:sz w:val="18"/>
                <w:szCs w:val="18"/>
              </w:rPr>
            </w:pPr>
            <w:r>
              <w:rPr>
                <w:rFonts w:hint="eastAsia"/>
                <w:color w:val="auto"/>
                <w:sz w:val="18"/>
                <w:szCs w:val="18"/>
              </w:rPr>
              <w:t>7.需支持三码流技术，可同时输出三路码流，主码流最高2560x1440@30fps，第三码流最大2560x1440@30fps，子码流704x576@30fps。</w:t>
            </w:r>
          </w:p>
          <w:p>
            <w:pPr>
              <w:widowControl/>
              <w:jc w:val="left"/>
              <w:rPr>
                <w:color w:val="auto"/>
                <w:sz w:val="18"/>
                <w:szCs w:val="18"/>
              </w:rPr>
            </w:pPr>
            <w:r>
              <w:rPr>
                <w:rFonts w:hint="eastAsia"/>
                <w:color w:val="auto"/>
                <w:sz w:val="18"/>
                <w:szCs w:val="18"/>
              </w:rPr>
              <w:t>8.帧率 50Hz: 25fps</w:t>
            </w:r>
          </w:p>
          <w:p>
            <w:pPr>
              <w:widowControl/>
              <w:jc w:val="left"/>
              <w:rPr>
                <w:color w:val="auto"/>
                <w:sz w:val="18"/>
                <w:szCs w:val="18"/>
              </w:rPr>
            </w:pPr>
            <w:r>
              <w:rPr>
                <w:rFonts w:hint="eastAsia"/>
                <w:color w:val="auto"/>
                <w:sz w:val="18"/>
                <w:szCs w:val="18"/>
              </w:rPr>
              <w:t>9.ROI支持三码流分别设置1个固定区域；</w:t>
            </w:r>
          </w:p>
          <w:p>
            <w:pPr>
              <w:widowControl/>
              <w:jc w:val="left"/>
              <w:rPr>
                <w:color w:val="auto"/>
                <w:sz w:val="18"/>
                <w:szCs w:val="18"/>
              </w:rPr>
            </w:pPr>
            <w:r>
              <w:rPr>
                <w:rFonts w:hint="eastAsia"/>
                <w:color w:val="auto"/>
                <w:sz w:val="18"/>
                <w:szCs w:val="18"/>
              </w:rPr>
              <w:t>10.支持Micro SD(即TF卡)/Micro SDHC/Micro SDXC卡(128G)断网本地存储,NAS(NFS,SMB/CIFS均支持) ；</w:t>
            </w:r>
          </w:p>
          <w:p>
            <w:pPr>
              <w:widowControl/>
              <w:jc w:val="left"/>
              <w:rPr>
                <w:color w:val="auto"/>
                <w:sz w:val="18"/>
                <w:szCs w:val="18"/>
              </w:rPr>
            </w:pPr>
            <w:r>
              <w:rPr>
                <w:rFonts w:hint="eastAsia"/>
                <w:color w:val="auto"/>
                <w:sz w:val="18"/>
                <w:szCs w:val="18"/>
              </w:rPr>
              <w:t>11.支持智能后检索，配合NVR支持事件的二次检索分析；</w:t>
            </w:r>
          </w:p>
          <w:p>
            <w:pPr>
              <w:widowControl/>
              <w:jc w:val="left"/>
              <w:rPr>
                <w:color w:val="auto"/>
                <w:sz w:val="18"/>
                <w:szCs w:val="18"/>
              </w:rPr>
            </w:pPr>
            <w:r>
              <w:rPr>
                <w:rFonts w:hint="eastAsia"/>
                <w:color w:val="auto"/>
                <w:sz w:val="18"/>
                <w:szCs w:val="18"/>
              </w:rPr>
              <w:t>12.智能功能：越界侦测,区域入侵侦测,场景变更侦测,人脸侦测,虚焦侦测,音频异常侦测，物品遗留侦测,物品拾取侦测,非法停车侦测,人员聚集侦测,徘徊侦测,快速移动侦测,进入区域侦测,离开区域侦测；</w:t>
            </w:r>
          </w:p>
          <w:p>
            <w:pPr>
              <w:widowControl/>
              <w:jc w:val="left"/>
              <w:rPr>
                <w:color w:val="auto"/>
                <w:sz w:val="18"/>
                <w:szCs w:val="18"/>
              </w:rPr>
            </w:pPr>
            <w:r>
              <w:rPr>
                <w:rFonts w:hint="eastAsia"/>
                <w:color w:val="auto"/>
                <w:sz w:val="18"/>
                <w:szCs w:val="18"/>
              </w:rPr>
              <w:t>13.需具有20路取流路数能力，以满足更多用户同时在线访问摄像机视频；</w:t>
            </w:r>
          </w:p>
          <w:p>
            <w:pPr>
              <w:widowControl/>
              <w:jc w:val="left"/>
              <w:rPr>
                <w:color w:val="auto"/>
                <w:sz w:val="18"/>
                <w:szCs w:val="18"/>
              </w:rPr>
            </w:pPr>
            <w:r>
              <w:rPr>
                <w:rFonts w:hint="eastAsia"/>
                <w:color w:val="auto"/>
                <w:sz w:val="18"/>
                <w:szCs w:val="18"/>
              </w:rPr>
              <w:t>14.需具有2路报警输入、2路报警输出、1个音频输入、1个音频输出接口、1个BNC模拟输出口；</w:t>
            </w:r>
          </w:p>
          <w:p>
            <w:pPr>
              <w:widowControl/>
              <w:jc w:val="left"/>
              <w:rPr>
                <w:color w:val="auto"/>
                <w:sz w:val="18"/>
                <w:szCs w:val="18"/>
              </w:rPr>
            </w:pPr>
            <w:r>
              <w:rPr>
                <w:rFonts w:hint="eastAsia"/>
                <w:color w:val="auto"/>
                <w:sz w:val="18"/>
                <w:szCs w:val="18"/>
              </w:rPr>
              <w:t>工作温度和湿度 -30℃~60℃,湿度小于95%(无凝结)；</w:t>
            </w:r>
          </w:p>
          <w:p>
            <w:pPr>
              <w:widowControl/>
              <w:jc w:val="left"/>
              <w:rPr>
                <w:color w:val="auto"/>
                <w:sz w:val="18"/>
                <w:szCs w:val="18"/>
              </w:rPr>
            </w:pPr>
            <w:r>
              <w:rPr>
                <w:rFonts w:hint="eastAsia"/>
                <w:color w:val="auto"/>
                <w:sz w:val="18"/>
                <w:szCs w:val="18"/>
              </w:rPr>
              <w:t>15.电源供应 DC12V±25% / PoE(802.3af)；</w:t>
            </w:r>
          </w:p>
          <w:p>
            <w:pPr>
              <w:widowControl/>
              <w:jc w:val="left"/>
              <w:rPr>
                <w:color w:val="auto"/>
                <w:sz w:val="18"/>
                <w:szCs w:val="18"/>
              </w:rPr>
            </w:pPr>
            <w:r>
              <w:rPr>
                <w:rFonts w:hint="eastAsia"/>
                <w:color w:val="auto"/>
                <w:sz w:val="18"/>
                <w:szCs w:val="18"/>
              </w:rPr>
              <w:t>16.红外照射距离 20-30米；</w:t>
            </w:r>
          </w:p>
          <w:p>
            <w:pPr>
              <w:widowControl/>
              <w:jc w:val="left"/>
              <w:rPr>
                <w:color w:val="auto"/>
                <w:sz w:val="18"/>
                <w:szCs w:val="18"/>
              </w:rPr>
            </w:pPr>
            <w:r>
              <w:rPr>
                <w:rFonts w:hint="eastAsia"/>
                <w:color w:val="auto"/>
                <w:sz w:val="18"/>
                <w:szCs w:val="18"/>
              </w:rPr>
              <w:t>17.防护等级 IP67；</w:t>
            </w:r>
          </w:p>
          <w:p>
            <w:pPr>
              <w:widowControl/>
              <w:jc w:val="left"/>
              <w:rPr>
                <w:color w:val="auto"/>
              </w:rPr>
            </w:pPr>
            <w:r>
              <w:rPr>
                <w:rFonts w:hint="eastAsia"/>
                <w:color w:val="auto"/>
                <w:sz w:val="18"/>
                <w:szCs w:val="18"/>
              </w:rPr>
              <w:t>18.防暴等级 防暴等级支持IK10。</w:t>
            </w:r>
          </w:p>
          <w:p>
            <w:pPr>
              <w:pStyle w:val="3"/>
              <w:rPr>
                <w:color w:val="auto"/>
              </w:rPr>
            </w:pPr>
            <w:r>
              <w:rPr>
                <w:rFonts w:hint="eastAsia" w:ascii="宋体" w:hAnsi="宋体" w:eastAsia="宋体" w:cs="宋体"/>
                <w:b/>
                <w:bCs/>
                <w:snapToGrid/>
                <w:color w:val="auto"/>
                <w:kern w:val="0"/>
                <w:sz w:val="18"/>
                <w:szCs w:val="18"/>
                <w:lang w:val="en-US" w:eastAsia="zh-CN" w:bidi="ar-SA"/>
              </w:rPr>
              <w:t>1、4、5项为重要指标</w:t>
            </w:r>
          </w:p>
        </w:tc>
        <w:tc>
          <w:tcPr>
            <w:tcW w:w="580" w:type="dxa"/>
            <w:vAlign w:val="center"/>
          </w:tcPr>
          <w:p>
            <w:pPr>
              <w:jc w:val="center"/>
              <w:rPr>
                <w:color w:val="auto"/>
                <w:sz w:val="18"/>
                <w:szCs w:val="18"/>
              </w:rPr>
            </w:pPr>
            <w:r>
              <w:rPr>
                <w:rFonts w:hint="eastAsia"/>
                <w:color w:val="auto"/>
                <w:sz w:val="18"/>
                <w:szCs w:val="18"/>
              </w:rPr>
              <w:t>台</w:t>
            </w:r>
          </w:p>
        </w:tc>
        <w:tc>
          <w:tcPr>
            <w:tcW w:w="660" w:type="dxa"/>
            <w:vAlign w:val="center"/>
          </w:tcPr>
          <w:p>
            <w:pPr>
              <w:jc w:val="center"/>
              <w:rPr>
                <w:color w:val="auto"/>
                <w:sz w:val="18"/>
                <w:szCs w:val="18"/>
              </w:rPr>
            </w:pPr>
            <w:r>
              <w:rPr>
                <w:rFonts w:hint="eastAsia"/>
                <w:color w:val="auto"/>
                <w:sz w:val="18"/>
                <w:szCs w:val="18"/>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22</w:t>
            </w:r>
          </w:p>
        </w:tc>
        <w:tc>
          <w:tcPr>
            <w:tcW w:w="1331" w:type="dxa"/>
            <w:vAlign w:val="center"/>
          </w:tcPr>
          <w:p>
            <w:pPr>
              <w:rPr>
                <w:color w:val="auto"/>
                <w:sz w:val="18"/>
                <w:szCs w:val="18"/>
              </w:rPr>
            </w:pPr>
            <w:r>
              <w:rPr>
                <w:rFonts w:hint="eastAsia"/>
                <w:color w:val="auto"/>
                <w:sz w:val="18"/>
                <w:szCs w:val="18"/>
              </w:rPr>
              <w:t>筒型摄像机</w:t>
            </w:r>
          </w:p>
        </w:tc>
        <w:tc>
          <w:tcPr>
            <w:tcW w:w="4198" w:type="dxa"/>
            <w:vAlign w:val="center"/>
          </w:tcPr>
          <w:p>
            <w:pPr>
              <w:widowControl/>
              <w:jc w:val="left"/>
              <w:rPr>
                <w:color w:val="auto"/>
                <w:sz w:val="18"/>
                <w:szCs w:val="18"/>
              </w:rPr>
            </w:pPr>
            <w:r>
              <w:rPr>
                <w:rFonts w:hint="eastAsia"/>
                <w:color w:val="auto"/>
                <w:sz w:val="18"/>
                <w:szCs w:val="18"/>
              </w:rPr>
              <w:t>1.400万1/1.8"CMOS 智能全彩筒型网络摄像机</w:t>
            </w:r>
          </w:p>
          <w:p>
            <w:pPr>
              <w:widowControl/>
              <w:jc w:val="left"/>
              <w:rPr>
                <w:color w:val="auto"/>
                <w:sz w:val="18"/>
                <w:szCs w:val="18"/>
              </w:rPr>
            </w:pPr>
            <w:r>
              <w:rPr>
                <w:rFonts w:hint="eastAsia"/>
                <w:color w:val="auto"/>
                <w:sz w:val="18"/>
                <w:szCs w:val="18"/>
              </w:rPr>
              <w:t>最低照度: 彩色：0.0005 Lux @ (F1.0, AGC ON)，0 Lux with Light；</w:t>
            </w:r>
          </w:p>
          <w:p>
            <w:pPr>
              <w:widowControl/>
              <w:jc w:val="left"/>
              <w:rPr>
                <w:color w:val="auto"/>
                <w:sz w:val="18"/>
                <w:szCs w:val="18"/>
              </w:rPr>
            </w:pPr>
            <w:r>
              <w:rPr>
                <w:rFonts w:hint="eastAsia"/>
                <w:color w:val="auto"/>
                <w:sz w:val="18"/>
                <w:szCs w:val="18"/>
              </w:rPr>
              <w:t>2.宽动态不小于120 dB；</w:t>
            </w:r>
          </w:p>
          <w:p>
            <w:pPr>
              <w:widowControl/>
              <w:jc w:val="left"/>
              <w:rPr>
                <w:color w:val="auto"/>
                <w:sz w:val="18"/>
                <w:szCs w:val="18"/>
              </w:rPr>
            </w:pPr>
            <w:r>
              <w:rPr>
                <w:rFonts w:hint="eastAsia"/>
                <w:color w:val="auto"/>
                <w:sz w:val="18"/>
                <w:szCs w:val="18"/>
              </w:rPr>
              <w:t>3.支持防补光过曝 ；</w:t>
            </w:r>
          </w:p>
          <w:p>
            <w:pPr>
              <w:widowControl/>
              <w:jc w:val="left"/>
              <w:rPr>
                <w:color w:val="auto"/>
                <w:sz w:val="18"/>
                <w:szCs w:val="18"/>
              </w:rPr>
            </w:pPr>
            <w:r>
              <w:rPr>
                <w:rFonts w:hint="eastAsia"/>
                <w:color w:val="auto"/>
                <w:sz w:val="18"/>
                <w:szCs w:val="18"/>
              </w:rPr>
              <w:t>4.补光灯类型: 暖白光：3000 K；</w:t>
            </w:r>
          </w:p>
          <w:p>
            <w:pPr>
              <w:widowControl/>
              <w:jc w:val="left"/>
              <w:rPr>
                <w:color w:val="auto"/>
                <w:sz w:val="18"/>
                <w:szCs w:val="18"/>
              </w:rPr>
            </w:pPr>
            <w:r>
              <w:rPr>
                <w:rFonts w:hint="eastAsia"/>
                <w:color w:val="auto"/>
                <w:sz w:val="18"/>
                <w:szCs w:val="18"/>
              </w:rPr>
              <w:t>5.补光距离: 暖白光：最远可达30 m；</w:t>
            </w:r>
          </w:p>
          <w:p>
            <w:pPr>
              <w:widowControl/>
              <w:jc w:val="left"/>
              <w:rPr>
                <w:color w:val="auto"/>
                <w:sz w:val="18"/>
                <w:szCs w:val="18"/>
              </w:rPr>
            </w:pPr>
            <w:r>
              <w:rPr>
                <w:rFonts w:hint="eastAsia"/>
                <w:color w:val="auto"/>
                <w:sz w:val="18"/>
                <w:szCs w:val="18"/>
              </w:rPr>
              <w:t>6.最大图像尺寸: 2560 × 1440；</w:t>
            </w:r>
          </w:p>
          <w:p>
            <w:pPr>
              <w:widowControl/>
              <w:jc w:val="left"/>
              <w:rPr>
                <w:color w:val="auto"/>
                <w:sz w:val="18"/>
                <w:szCs w:val="18"/>
              </w:rPr>
            </w:pPr>
            <w:r>
              <w:rPr>
                <w:rFonts w:hint="eastAsia"/>
                <w:color w:val="auto"/>
                <w:sz w:val="18"/>
                <w:szCs w:val="18"/>
              </w:rPr>
              <w:t>7.视频压缩标准: 主码流：H.265/H.264；</w:t>
            </w:r>
          </w:p>
          <w:p>
            <w:pPr>
              <w:widowControl/>
              <w:jc w:val="left"/>
              <w:rPr>
                <w:color w:val="auto"/>
                <w:sz w:val="18"/>
                <w:szCs w:val="18"/>
              </w:rPr>
            </w:pPr>
            <w:r>
              <w:rPr>
                <w:rFonts w:hint="eastAsia"/>
                <w:color w:val="auto"/>
                <w:sz w:val="18"/>
                <w:szCs w:val="18"/>
              </w:rPr>
              <w:t>8.网络存储: 支持Micro SD(即TF卡)/Micro SDHC/Micro SDXC卡（最大256 GB），支持NAS（NFS，SMB/CIFS均支持）；</w:t>
            </w:r>
          </w:p>
          <w:p>
            <w:pPr>
              <w:widowControl/>
              <w:jc w:val="left"/>
              <w:rPr>
                <w:color w:val="auto"/>
                <w:sz w:val="18"/>
                <w:szCs w:val="18"/>
              </w:rPr>
            </w:pPr>
            <w:r>
              <w:rPr>
                <w:rFonts w:hint="eastAsia"/>
                <w:color w:val="auto"/>
                <w:sz w:val="18"/>
                <w:szCs w:val="18"/>
              </w:rPr>
              <w:t>9.白天或夜晚均可输出彩色视频图像；</w:t>
            </w:r>
          </w:p>
          <w:p>
            <w:pPr>
              <w:widowControl/>
              <w:jc w:val="left"/>
              <w:rPr>
                <w:color w:val="auto"/>
                <w:sz w:val="18"/>
                <w:szCs w:val="18"/>
              </w:rPr>
            </w:pPr>
            <w:r>
              <w:rPr>
                <w:rFonts w:hint="eastAsia"/>
                <w:color w:val="auto"/>
                <w:sz w:val="18"/>
                <w:szCs w:val="18"/>
              </w:rPr>
              <w:t>10.需具有20路取流路数能力，以满足更多用户同时在线访问摄像机视频；</w:t>
            </w:r>
          </w:p>
          <w:p>
            <w:pPr>
              <w:widowControl/>
              <w:jc w:val="left"/>
              <w:rPr>
                <w:color w:val="auto"/>
                <w:sz w:val="18"/>
                <w:szCs w:val="18"/>
              </w:rPr>
            </w:pPr>
            <w:r>
              <w:rPr>
                <w:rFonts w:hint="eastAsia"/>
                <w:color w:val="auto"/>
                <w:sz w:val="18"/>
                <w:szCs w:val="18"/>
              </w:rPr>
              <w:t>11.具有电子防抖、ROI感兴趣区域、SVC可伸缩编码、自动增益、背光补偿、数字降噪、强光抑制、走廊模式、视频水印等功能；</w:t>
            </w:r>
          </w:p>
          <w:p>
            <w:pPr>
              <w:widowControl/>
              <w:jc w:val="left"/>
              <w:rPr>
                <w:color w:val="auto"/>
                <w:sz w:val="18"/>
                <w:szCs w:val="18"/>
              </w:rPr>
            </w:pPr>
            <w:r>
              <w:rPr>
                <w:rFonts w:hint="eastAsia"/>
                <w:color w:val="auto"/>
                <w:sz w:val="18"/>
                <w:szCs w:val="18"/>
              </w:rPr>
              <w:t>12.具备人脸检测、区域入侵检测、越界检测、虚焦检测、进入区域、离开区域、徘徊、人员聚集、逆行、场景变更等功能；</w:t>
            </w:r>
          </w:p>
          <w:p>
            <w:pPr>
              <w:widowControl/>
              <w:jc w:val="left"/>
              <w:rPr>
                <w:color w:val="auto"/>
                <w:sz w:val="18"/>
                <w:szCs w:val="18"/>
              </w:rPr>
            </w:pPr>
            <w:r>
              <w:rPr>
                <w:rFonts w:hint="eastAsia"/>
                <w:color w:val="auto"/>
                <w:sz w:val="18"/>
                <w:szCs w:val="18"/>
              </w:rPr>
              <w:t>13.报警: 1输入，1输出（报警输出最大支持DC12 V，20mA）；</w:t>
            </w:r>
          </w:p>
          <w:p>
            <w:pPr>
              <w:widowControl/>
              <w:jc w:val="left"/>
              <w:rPr>
                <w:color w:val="auto"/>
                <w:sz w:val="18"/>
                <w:szCs w:val="18"/>
              </w:rPr>
            </w:pPr>
            <w:r>
              <w:rPr>
                <w:rFonts w:hint="eastAsia"/>
                <w:color w:val="auto"/>
                <w:sz w:val="18"/>
                <w:szCs w:val="18"/>
              </w:rPr>
              <w:t>14.音频: 内置1个麦克风；1输入(Line in)：2芯端子，1输出(Line out)：2芯端子；</w:t>
            </w:r>
          </w:p>
          <w:p>
            <w:pPr>
              <w:widowControl/>
              <w:jc w:val="left"/>
              <w:rPr>
                <w:color w:val="auto"/>
                <w:sz w:val="18"/>
                <w:szCs w:val="18"/>
              </w:rPr>
            </w:pPr>
            <w:r>
              <w:rPr>
                <w:rFonts w:hint="eastAsia"/>
                <w:color w:val="auto"/>
                <w:sz w:val="18"/>
                <w:szCs w:val="18"/>
              </w:rPr>
              <w:t>15.复位: 支持；</w:t>
            </w:r>
          </w:p>
          <w:p>
            <w:pPr>
              <w:widowControl/>
              <w:jc w:val="left"/>
              <w:rPr>
                <w:color w:val="auto"/>
                <w:sz w:val="18"/>
                <w:szCs w:val="18"/>
              </w:rPr>
            </w:pPr>
            <w:r>
              <w:rPr>
                <w:rFonts w:hint="eastAsia"/>
                <w:color w:val="auto"/>
                <w:sz w:val="18"/>
                <w:szCs w:val="18"/>
              </w:rPr>
              <w:t>16.网络: 1个RJ45 10M / 100M 自适应以太网口；</w:t>
            </w:r>
          </w:p>
          <w:p>
            <w:pPr>
              <w:widowControl/>
              <w:jc w:val="left"/>
              <w:rPr>
                <w:color w:val="auto"/>
                <w:sz w:val="18"/>
                <w:szCs w:val="18"/>
              </w:rPr>
            </w:pPr>
            <w:r>
              <w:rPr>
                <w:rFonts w:hint="eastAsia"/>
                <w:color w:val="auto"/>
                <w:sz w:val="18"/>
                <w:szCs w:val="18"/>
              </w:rPr>
              <w:t>17.电源输出: DC12 V 100 mA，仅供拾音器供电使用；(无凝结)；</w:t>
            </w:r>
          </w:p>
          <w:p>
            <w:pPr>
              <w:widowControl/>
              <w:jc w:val="left"/>
              <w:rPr>
                <w:color w:val="auto"/>
                <w:sz w:val="18"/>
                <w:szCs w:val="18"/>
              </w:rPr>
            </w:pPr>
            <w:r>
              <w:rPr>
                <w:rFonts w:hint="eastAsia"/>
                <w:color w:val="auto"/>
                <w:sz w:val="18"/>
                <w:szCs w:val="18"/>
              </w:rPr>
              <w:t>18.启动及工作温湿度: -30 ℃~60 ℃；湿度小于95%(无凝结)(无凝结)；</w:t>
            </w:r>
          </w:p>
          <w:p>
            <w:pPr>
              <w:widowControl/>
              <w:jc w:val="left"/>
              <w:rPr>
                <w:color w:val="auto"/>
                <w:sz w:val="18"/>
                <w:szCs w:val="18"/>
              </w:rPr>
            </w:pPr>
            <w:r>
              <w:rPr>
                <w:rFonts w:hint="eastAsia"/>
                <w:color w:val="auto"/>
                <w:sz w:val="18"/>
                <w:szCs w:val="18"/>
              </w:rPr>
              <w:t>19.供电方式: DC：12 V ± 25%，支持防反接保护；POE：802.3af，Class 3；</w:t>
            </w:r>
          </w:p>
          <w:p>
            <w:pPr>
              <w:widowControl/>
              <w:jc w:val="left"/>
              <w:rPr>
                <w:color w:val="auto"/>
                <w:sz w:val="18"/>
                <w:szCs w:val="18"/>
              </w:rPr>
            </w:pPr>
            <w:r>
              <w:rPr>
                <w:rFonts w:hint="eastAsia"/>
                <w:color w:val="auto"/>
                <w:sz w:val="18"/>
                <w:szCs w:val="18"/>
              </w:rPr>
              <w:t>20.电流及功耗: DC：12 V，0.50 A，6W Max；POE：802.3af，36 V~57 V，0.20 A~0.13 A，7 W Max；</w:t>
            </w:r>
          </w:p>
          <w:p>
            <w:pPr>
              <w:widowControl/>
              <w:jc w:val="left"/>
              <w:rPr>
                <w:color w:val="auto"/>
              </w:rPr>
            </w:pPr>
            <w:r>
              <w:rPr>
                <w:rFonts w:hint="eastAsia"/>
                <w:color w:val="auto"/>
                <w:sz w:val="18"/>
                <w:szCs w:val="18"/>
              </w:rPr>
              <w:t>21防护: IP66。</w:t>
            </w:r>
          </w:p>
          <w:p>
            <w:pPr>
              <w:pStyle w:val="3"/>
              <w:rPr>
                <w:color w:val="auto"/>
              </w:rPr>
            </w:pPr>
            <w:r>
              <w:rPr>
                <w:rFonts w:hint="eastAsia" w:ascii="宋体" w:hAnsi="宋体" w:eastAsia="宋体" w:cs="宋体"/>
                <w:b/>
                <w:bCs/>
                <w:snapToGrid/>
                <w:color w:val="auto"/>
                <w:kern w:val="0"/>
                <w:sz w:val="18"/>
                <w:szCs w:val="18"/>
                <w:lang w:val="en-US" w:eastAsia="zh-CN" w:bidi="ar-SA"/>
              </w:rPr>
              <w:t>1、2项为重要指标</w:t>
            </w:r>
          </w:p>
        </w:tc>
        <w:tc>
          <w:tcPr>
            <w:tcW w:w="580" w:type="dxa"/>
            <w:vAlign w:val="center"/>
          </w:tcPr>
          <w:p>
            <w:pPr>
              <w:jc w:val="center"/>
              <w:rPr>
                <w:color w:val="auto"/>
                <w:sz w:val="18"/>
                <w:szCs w:val="18"/>
              </w:rPr>
            </w:pPr>
            <w:r>
              <w:rPr>
                <w:rFonts w:hint="eastAsia"/>
                <w:color w:val="auto"/>
                <w:sz w:val="18"/>
                <w:szCs w:val="18"/>
              </w:rPr>
              <w:t>台</w:t>
            </w:r>
          </w:p>
        </w:tc>
        <w:tc>
          <w:tcPr>
            <w:tcW w:w="660" w:type="dxa"/>
            <w:vAlign w:val="center"/>
          </w:tcPr>
          <w:p>
            <w:pPr>
              <w:jc w:val="center"/>
              <w:rPr>
                <w:color w:val="auto"/>
                <w:sz w:val="18"/>
                <w:szCs w:val="18"/>
              </w:rPr>
            </w:pPr>
            <w:r>
              <w:rPr>
                <w:rFonts w:hint="eastAsia"/>
                <w:color w:val="auto"/>
                <w:sz w:val="18"/>
                <w:szCs w:val="18"/>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23</w:t>
            </w:r>
          </w:p>
        </w:tc>
        <w:tc>
          <w:tcPr>
            <w:tcW w:w="1331" w:type="dxa"/>
            <w:vAlign w:val="center"/>
          </w:tcPr>
          <w:p>
            <w:pPr>
              <w:rPr>
                <w:color w:val="auto"/>
                <w:sz w:val="18"/>
                <w:szCs w:val="18"/>
              </w:rPr>
            </w:pPr>
            <w:r>
              <w:rPr>
                <w:color w:val="auto"/>
                <w:sz w:val="18"/>
                <w:szCs w:val="18"/>
              </w:rPr>
              <w:t>硬盘录像机</w:t>
            </w:r>
          </w:p>
        </w:tc>
        <w:tc>
          <w:tcPr>
            <w:tcW w:w="4198" w:type="dxa"/>
            <w:vAlign w:val="center"/>
          </w:tcPr>
          <w:p>
            <w:pPr>
              <w:widowControl/>
              <w:jc w:val="left"/>
              <w:rPr>
                <w:color w:val="auto"/>
                <w:sz w:val="18"/>
                <w:szCs w:val="18"/>
              </w:rPr>
            </w:pPr>
            <w:r>
              <w:rPr>
                <w:rFonts w:hint="eastAsia"/>
                <w:color w:val="auto"/>
                <w:sz w:val="18"/>
                <w:szCs w:val="18"/>
              </w:rPr>
              <w:t>1.1U机箱；</w:t>
            </w:r>
          </w:p>
          <w:p>
            <w:pPr>
              <w:widowControl/>
              <w:jc w:val="left"/>
              <w:rPr>
                <w:color w:val="auto"/>
                <w:sz w:val="18"/>
                <w:szCs w:val="18"/>
              </w:rPr>
            </w:pPr>
            <w:r>
              <w:rPr>
                <w:rFonts w:hint="eastAsia"/>
                <w:color w:val="auto"/>
                <w:sz w:val="18"/>
                <w:szCs w:val="18"/>
              </w:rPr>
              <w:t>2.8路H.265、H.264混合接入；</w:t>
            </w:r>
          </w:p>
          <w:p>
            <w:pPr>
              <w:widowControl/>
              <w:jc w:val="left"/>
              <w:rPr>
                <w:color w:val="auto"/>
                <w:sz w:val="18"/>
                <w:szCs w:val="18"/>
              </w:rPr>
            </w:pPr>
            <w:r>
              <w:rPr>
                <w:rFonts w:hint="eastAsia"/>
                <w:color w:val="auto"/>
                <w:sz w:val="18"/>
                <w:szCs w:val="18"/>
              </w:rPr>
              <w:t>3.128M接入/128M存储/256M转发；</w:t>
            </w:r>
          </w:p>
          <w:p>
            <w:pPr>
              <w:widowControl/>
              <w:jc w:val="left"/>
              <w:rPr>
                <w:color w:val="auto"/>
                <w:sz w:val="18"/>
                <w:szCs w:val="18"/>
              </w:rPr>
            </w:pPr>
            <w:r>
              <w:rPr>
                <w:rFonts w:hint="eastAsia"/>
                <w:color w:val="auto"/>
                <w:sz w:val="18"/>
                <w:szCs w:val="18"/>
              </w:rPr>
              <w:t>4.支持2个SATA接口，每个接口5.1TB/2TB/3TB/4TB/6TB硬盘；</w:t>
            </w:r>
          </w:p>
          <w:p>
            <w:pPr>
              <w:widowControl/>
              <w:jc w:val="left"/>
              <w:rPr>
                <w:color w:val="auto"/>
                <w:sz w:val="18"/>
                <w:szCs w:val="18"/>
              </w:rPr>
            </w:pPr>
            <w:r>
              <w:rPr>
                <w:rFonts w:hint="eastAsia"/>
                <w:color w:val="auto"/>
                <w:sz w:val="18"/>
                <w:szCs w:val="18"/>
              </w:rPr>
              <w:t>6.1个HDMI、1个VGA，异源输出；</w:t>
            </w:r>
          </w:p>
          <w:p>
            <w:pPr>
              <w:widowControl/>
              <w:jc w:val="left"/>
              <w:rPr>
                <w:color w:val="auto"/>
                <w:sz w:val="18"/>
                <w:szCs w:val="18"/>
              </w:rPr>
            </w:pPr>
            <w:r>
              <w:rPr>
                <w:rFonts w:hint="eastAsia"/>
                <w:color w:val="auto"/>
                <w:sz w:val="18"/>
                <w:szCs w:val="18"/>
              </w:rPr>
              <w:t>7.报警4进1出；</w:t>
            </w:r>
          </w:p>
          <w:p>
            <w:pPr>
              <w:widowControl/>
              <w:jc w:val="left"/>
              <w:rPr>
                <w:color w:val="auto"/>
                <w:sz w:val="18"/>
                <w:szCs w:val="18"/>
              </w:rPr>
            </w:pPr>
            <w:r>
              <w:rPr>
                <w:rFonts w:hint="eastAsia"/>
                <w:color w:val="auto"/>
                <w:sz w:val="18"/>
                <w:szCs w:val="18"/>
              </w:rPr>
              <w:t>8.8路1080P或2路4K H.265、H.264混合解码；</w:t>
            </w:r>
          </w:p>
          <w:p>
            <w:pPr>
              <w:widowControl/>
              <w:jc w:val="left"/>
              <w:rPr>
                <w:color w:val="auto"/>
                <w:sz w:val="18"/>
                <w:szCs w:val="18"/>
              </w:rPr>
            </w:pPr>
            <w:r>
              <w:rPr>
                <w:rFonts w:hint="eastAsia"/>
                <w:color w:val="auto"/>
                <w:sz w:val="18"/>
                <w:szCs w:val="18"/>
              </w:rPr>
              <w:t>9.1个千兆网口，1个USB2.0，1个USB3.0；</w:t>
            </w:r>
          </w:p>
          <w:p>
            <w:pPr>
              <w:widowControl/>
              <w:jc w:val="left"/>
              <w:rPr>
                <w:color w:val="auto"/>
                <w:sz w:val="18"/>
                <w:szCs w:val="18"/>
              </w:rPr>
            </w:pPr>
            <w:r>
              <w:rPr>
                <w:rFonts w:hint="eastAsia"/>
                <w:color w:val="auto"/>
                <w:sz w:val="18"/>
                <w:szCs w:val="18"/>
              </w:rPr>
              <w:t>10.支持接入具有断网续传功能的网络摄像机,当设备与摄像机之间网络中断并恢复后,可自动接收摄像机内存储的视频图像；</w:t>
            </w:r>
          </w:p>
          <w:p>
            <w:pPr>
              <w:widowControl/>
              <w:jc w:val="left"/>
              <w:rPr>
                <w:color w:val="auto"/>
                <w:sz w:val="18"/>
                <w:szCs w:val="18"/>
              </w:rPr>
            </w:pPr>
            <w:r>
              <w:rPr>
                <w:rFonts w:hint="eastAsia"/>
                <w:color w:val="auto"/>
                <w:sz w:val="18"/>
                <w:szCs w:val="18"/>
              </w:rPr>
              <w:t>11.支持客户端与设备端进行实时双向对讲；支持客户端与设备的IP通道进行实时双向对讲；</w:t>
            </w:r>
          </w:p>
          <w:p>
            <w:pPr>
              <w:widowControl/>
              <w:jc w:val="left"/>
              <w:rPr>
                <w:color w:val="auto"/>
                <w:sz w:val="18"/>
                <w:szCs w:val="18"/>
              </w:rPr>
            </w:pPr>
            <w:r>
              <w:rPr>
                <w:rFonts w:hint="eastAsia"/>
                <w:color w:val="auto"/>
                <w:sz w:val="18"/>
                <w:szCs w:val="18"/>
              </w:rPr>
              <w:t>12.Smart 2.0/ANR/智能检索/浓缩播放/车牌检索/人脸检索/热度图/客流量统计/视频摘要回放/分时段回放/超高倍速回放/双系统备份；</w:t>
            </w:r>
          </w:p>
        </w:tc>
        <w:tc>
          <w:tcPr>
            <w:tcW w:w="580" w:type="dxa"/>
            <w:vAlign w:val="center"/>
          </w:tcPr>
          <w:p>
            <w:pPr>
              <w:jc w:val="center"/>
              <w:rPr>
                <w:color w:val="auto"/>
                <w:sz w:val="18"/>
                <w:szCs w:val="18"/>
              </w:rPr>
            </w:pPr>
            <w:r>
              <w:rPr>
                <w:rFonts w:hint="eastAsia"/>
                <w:color w:val="auto"/>
                <w:sz w:val="18"/>
                <w:szCs w:val="18"/>
              </w:rPr>
              <w:t>台</w:t>
            </w:r>
          </w:p>
        </w:tc>
        <w:tc>
          <w:tcPr>
            <w:tcW w:w="660" w:type="dxa"/>
            <w:vAlign w:val="center"/>
          </w:tcPr>
          <w:p>
            <w:pPr>
              <w:jc w:val="center"/>
              <w:rPr>
                <w:color w:val="auto"/>
                <w:sz w:val="18"/>
                <w:szCs w:val="18"/>
              </w:rPr>
            </w:pPr>
            <w:r>
              <w:rPr>
                <w:rFonts w:hint="eastAsia"/>
                <w:color w:val="auto"/>
                <w:sz w:val="18"/>
                <w:szCs w:val="18"/>
              </w:rPr>
              <w:t>1</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24</w:t>
            </w:r>
          </w:p>
        </w:tc>
        <w:tc>
          <w:tcPr>
            <w:tcW w:w="1331" w:type="dxa"/>
            <w:vAlign w:val="center"/>
          </w:tcPr>
          <w:p>
            <w:pPr>
              <w:rPr>
                <w:color w:val="auto"/>
                <w:sz w:val="18"/>
                <w:szCs w:val="18"/>
              </w:rPr>
            </w:pPr>
            <w:r>
              <w:rPr>
                <w:color w:val="auto"/>
                <w:sz w:val="18"/>
                <w:szCs w:val="18"/>
              </w:rPr>
              <w:t>监控级硬盘</w:t>
            </w:r>
          </w:p>
        </w:tc>
        <w:tc>
          <w:tcPr>
            <w:tcW w:w="4198" w:type="dxa"/>
            <w:vAlign w:val="center"/>
          </w:tcPr>
          <w:p>
            <w:pPr>
              <w:widowControl/>
              <w:jc w:val="left"/>
              <w:rPr>
                <w:color w:val="auto"/>
                <w:sz w:val="18"/>
                <w:szCs w:val="18"/>
              </w:rPr>
            </w:pPr>
            <w:r>
              <w:rPr>
                <w:color w:val="auto"/>
                <w:sz w:val="18"/>
                <w:szCs w:val="18"/>
              </w:rPr>
              <w:t>SEAGATE,SKYHAWK,6TB,256MB,SATA 6Gb/s</w:t>
            </w:r>
          </w:p>
        </w:tc>
        <w:tc>
          <w:tcPr>
            <w:tcW w:w="580" w:type="dxa"/>
            <w:vAlign w:val="center"/>
          </w:tcPr>
          <w:p>
            <w:pPr>
              <w:jc w:val="center"/>
              <w:rPr>
                <w:color w:val="auto"/>
                <w:sz w:val="18"/>
                <w:szCs w:val="18"/>
              </w:rPr>
            </w:pPr>
            <w:r>
              <w:rPr>
                <w:rFonts w:hint="eastAsia"/>
                <w:color w:val="auto"/>
                <w:sz w:val="18"/>
                <w:szCs w:val="18"/>
              </w:rPr>
              <w:t>块</w:t>
            </w:r>
          </w:p>
        </w:tc>
        <w:tc>
          <w:tcPr>
            <w:tcW w:w="660" w:type="dxa"/>
            <w:vAlign w:val="center"/>
          </w:tcPr>
          <w:p>
            <w:pPr>
              <w:jc w:val="center"/>
              <w:rPr>
                <w:color w:val="auto"/>
                <w:sz w:val="18"/>
                <w:szCs w:val="18"/>
              </w:rPr>
            </w:pPr>
            <w:r>
              <w:rPr>
                <w:rFonts w:hint="eastAsia"/>
                <w:color w:val="auto"/>
                <w:sz w:val="18"/>
                <w:szCs w:val="18"/>
              </w:rPr>
              <w:t>2</w:t>
            </w:r>
          </w:p>
        </w:tc>
        <w:tc>
          <w:tcPr>
            <w:tcW w:w="68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color w:val="auto"/>
                <w:sz w:val="18"/>
                <w:szCs w:val="18"/>
              </w:rPr>
              <w:t>25</w:t>
            </w:r>
          </w:p>
        </w:tc>
        <w:tc>
          <w:tcPr>
            <w:tcW w:w="1331" w:type="dxa"/>
            <w:vAlign w:val="center"/>
          </w:tcPr>
          <w:p>
            <w:pPr>
              <w:rPr>
                <w:color w:val="auto"/>
                <w:sz w:val="18"/>
                <w:szCs w:val="18"/>
              </w:rPr>
            </w:pPr>
            <w:r>
              <w:rPr>
                <w:color w:val="auto"/>
                <w:sz w:val="18"/>
                <w:szCs w:val="18"/>
              </w:rPr>
              <w:t>12V摄像机电源</w:t>
            </w:r>
          </w:p>
        </w:tc>
        <w:tc>
          <w:tcPr>
            <w:tcW w:w="4198" w:type="dxa"/>
            <w:vAlign w:val="center"/>
          </w:tcPr>
          <w:p>
            <w:pPr>
              <w:widowControl/>
              <w:jc w:val="left"/>
              <w:rPr>
                <w:color w:val="auto"/>
                <w:sz w:val="18"/>
                <w:szCs w:val="18"/>
              </w:rPr>
            </w:pPr>
            <w:r>
              <w:rPr>
                <w:rFonts w:hint="eastAsia"/>
                <w:color w:val="auto"/>
                <w:sz w:val="18"/>
                <w:szCs w:val="18"/>
              </w:rPr>
              <w:t>1.国标,12V1A输出,Φ2.1圆头，桌面式，输入350mm,输出800mm</w:t>
            </w:r>
          </w:p>
          <w:p>
            <w:pPr>
              <w:widowControl/>
              <w:jc w:val="left"/>
              <w:rPr>
                <w:color w:val="auto"/>
                <w:sz w:val="18"/>
                <w:szCs w:val="18"/>
              </w:rPr>
            </w:pPr>
            <w:r>
              <w:rPr>
                <w:rFonts w:hint="eastAsia"/>
                <w:color w:val="auto"/>
                <w:sz w:val="18"/>
                <w:szCs w:val="18"/>
              </w:rPr>
              <w:t>2.输入电压：AC170V~240V</w:t>
            </w:r>
          </w:p>
        </w:tc>
        <w:tc>
          <w:tcPr>
            <w:tcW w:w="580" w:type="dxa"/>
            <w:vAlign w:val="center"/>
          </w:tcPr>
          <w:p>
            <w:pPr>
              <w:jc w:val="center"/>
              <w:rPr>
                <w:color w:val="auto"/>
                <w:sz w:val="18"/>
                <w:szCs w:val="18"/>
              </w:rPr>
            </w:pPr>
            <w:r>
              <w:rPr>
                <w:color w:val="auto"/>
                <w:sz w:val="18"/>
                <w:szCs w:val="18"/>
              </w:rPr>
              <w:t>个</w:t>
            </w:r>
          </w:p>
        </w:tc>
        <w:tc>
          <w:tcPr>
            <w:tcW w:w="660" w:type="dxa"/>
            <w:vAlign w:val="center"/>
          </w:tcPr>
          <w:p>
            <w:pPr>
              <w:jc w:val="center"/>
              <w:rPr>
                <w:color w:val="auto"/>
                <w:sz w:val="18"/>
                <w:szCs w:val="18"/>
              </w:rPr>
            </w:pPr>
            <w:r>
              <w:rPr>
                <w:rFonts w:hint="eastAsia"/>
                <w:color w:val="auto"/>
                <w:sz w:val="18"/>
                <w:szCs w:val="18"/>
              </w:rPr>
              <w:t>2</w:t>
            </w:r>
          </w:p>
        </w:tc>
        <w:tc>
          <w:tcPr>
            <w:tcW w:w="68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7" w:type="dxa"/>
            <w:vAlign w:val="center"/>
          </w:tcPr>
          <w:p>
            <w:pPr>
              <w:jc w:val="center"/>
              <w:rPr>
                <w:color w:val="auto"/>
                <w:sz w:val="18"/>
                <w:szCs w:val="18"/>
              </w:rPr>
            </w:pPr>
            <w:r>
              <w:rPr>
                <w:rFonts w:hint="eastAsia"/>
                <w:color w:val="auto"/>
                <w:sz w:val="18"/>
                <w:szCs w:val="18"/>
              </w:rPr>
              <w:t>26</w:t>
            </w:r>
          </w:p>
        </w:tc>
        <w:tc>
          <w:tcPr>
            <w:tcW w:w="1331" w:type="dxa"/>
            <w:vAlign w:val="center"/>
          </w:tcPr>
          <w:p>
            <w:pPr>
              <w:rPr>
                <w:color w:val="auto"/>
                <w:sz w:val="18"/>
                <w:szCs w:val="18"/>
              </w:rPr>
            </w:pPr>
            <w:r>
              <w:rPr>
                <w:color w:val="auto"/>
                <w:sz w:val="18"/>
                <w:szCs w:val="18"/>
              </w:rPr>
              <w:t>12门密码储物柜</w:t>
            </w:r>
          </w:p>
        </w:tc>
        <w:tc>
          <w:tcPr>
            <w:tcW w:w="4198" w:type="dxa"/>
            <w:vAlign w:val="center"/>
          </w:tcPr>
          <w:p>
            <w:pPr>
              <w:widowControl/>
              <w:jc w:val="left"/>
              <w:rPr>
                <w:color w:val="auto"/>
                <w:sz w:val="18"/>
                <w:szCs w:val="18"/>
              </w:rPr>
            </w:pPr>
            <w:r>
              <w:rPr>
                <w:rFonts w:hint="eastAsia"/>
                <w:color w:val="auto"/>
                <w:sz w:val="18"/>
                <w:szCs w:val="18"/>
              </w:rPr>
              <w:t>高</w:t>
            </w:r>
            <w:r>
              <w:rPr>
                <w:rFonts w:hint="eastAsia" w:ascii="宋体" w:hAnsi="宋体" w:cs="宋体"/>
                <w:color w:val="auto"/>
                <w:kern w:val="0"/>
                <w:sz w:val="18"/>
                <w:szCs w:val="18"/>
              </w:rPr>
              <w:t>≥</w:t>
            </w:r>
            <w:r>
              <w:rPr>
                <w:rFonts w:hint="eastAsia"/>
                <w:color w:val="auto"/>
                <w:sz w:val="18"/>
                <w:szCs w:val="18"/>
              </w:rPr>
              <w:t>180cm*宽</w:t>
            </w:r>
            <w:r>
              <w:rPr>
                <w:rFonts w:hint="eastAsia" w:ascii="宋体" w:hAnsi="宋体" w:cs="宋体"/>
                <w:color w:val="auto"/>
                <w:kern w:val="0"/>
                <w:sz w:val="18"/>
                <w:szCs w:val="18"/>
              </w:rPr>
              <w:t>≥</w:t>
            </w:r>
            <w:r>
              <w:rPr>
                <w:rFonts w:hint="eastAsia"/>
                <w:color w:val="auto"/>
                <w:sz w:val="18"/>
                <w:szCs w:val="18"/>
              </w:rPr>
              <w:t>85cm*深度</w:t>
            </w:r>
            <w:r>
              <w:rPr>
                <w:rFonts w:hint="eastAsia" w:ascii="宋体" w:hAnsi="宋体" w:cs="宋体"/>
                <w:color w:val="auto"/>
                <w:kern w:val="0"/>
                <w:sz w:val="18"/>
                <w:szCs w:val="18"/>
              </w:rPr>
              <w:t>≥</w:t>
            </w:r>
            <w:r>
              <w:rPr>
                <w:rFonts w:hint="eastAsia"/>
                <w:color w:val="auto"/>
                <w:sz w:val="18"/>
                <w:szCs w:val="18"/>
              </w:rPr>
              <w:t>46cm，12门，钢制，扫码开锁，定制</w:t>
            </w:r>
          </w:p>
        </w:tc>
        <w:tc>
          <w:tcPr>
            <w:tcW w:w="580" w:type="dxa"/>
            <w:vAlign w:val="center"/>
          </w:tcPr>
          <w:p>
            <w:pPr>
              <w:jc w:val="center"/>
              <w:rPr>
                <w:color w:val="auto"/>
                <w:sz w:val="18"/>
                <w:szCs w:val="18"/>
              </w:rPr>
            </w:pPr>
            <w:r>
              <w:rPr>
                <w:color w:val="auto"/>
                <w:sz w:val="18"/>
                <w:szCs w:val="18"/>
              </w:rPr>
              <w:t>件</w:t>
            </w:r>
          </w:p>
        </w:tc>
        <w:tc>
          <w:tcPr>
            <w:tcW w:w="660" w:type="dxa"/>
            <w:vAlign w:val="center"/>
          </w:tcPr>
          <w:p>
            <w:pPr>
              <w:jc w:val="center"/>
              <w:rPr>
                <w:color w:val="auto"/>
                <w:sz w:val="18"/>
                <w:szCs w:val="18"/>
              </w:rPr>
            </w:pPr>
            <w:r>
              <w:rPr>
                <w:color w:val="auto"/>
                <w:sz w:val="18"/>
                <w:szCs w:val="18"/>
              </w:rPr>
              <w:t>1</w:t>
            </w:r>
          </w:p>
        </w:tc>
        <w:tc>
          <w:tcPr>
            <w:tcW w:w="687" w:type="dxa"/>
            <w:vAlign w:val="center"/>
          </w:tcPr>
          <w:p>
            <w:pPr>
              <w:jc w:val="center"/>
              <w:rPr>
                <w:color w:val="auto"/>
                <w:szCs w:val="21"/>
              </w:rPr>
            </w:pPr>
          </w:p>
        </w:tc>
      </w:tr>
    </w:tbl>
    <w:p>
      <w:pPr>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2"/>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rFonts w:ascii="仿宋" w:hAnsi="仿宋" w:eastAsia="仿宋" w:cs="仿宋"/>
          <w:b/>
          <w:bCs/>
          <w:color w:val="auto"/>
          <w:szCs w:val="21"/>
        </w:rPr>
      </w:pPr>
    </w:p>
    <w:p>
      <w:pPr>
        <w:pStyle w:val="2"/>
        <w:rPr>
          <w:rFonts w:ascii="仿宋" w:hAnsi="仿宋" w:eastAsia="仿宋" w:cs="仿宋"/>
          <w:b/>
          <w:bCs/>
          <w:color w:val="auto"/>
          <w:szCs w:val="21"/>
        </w:rPr>
      </w:pPr>
    </w:p>
    <w:p>
      <w:pPr>
        <w:pStyle w:val="3"/>
        <w:rPr>
          <w:rFonts w:ascii="仿宋" w:hAnsi="仿宋" w:eastAsia="仿宋" w:cs="仿宋"/>
          <w:b/>
          <w:bCs/>
          <w:color w:val="auto"/>
          <w:szCs w:val="21"/>
        </w:rPr>
      </w:pPr>
    </w:p>
    <w:p>
      <w:pPr>
        <w:rPr>
          <w:color w:val="auto"/>
        </w:rPr>
      </w:pPr>
    </w:p>
    <w:p>
      <w:pPr>
        <w:pStyle w:val="2"/>
        <w:ind w:firstLine="0"/>
        <w:rPr>
          <w:rFonts w:ascii="仿宋" w:hAnsi="仿宋" w:eastAsia="仿宋" w:cs="仿宋"/>
          <w:b/>
          <w:bCs/>
          <w:color w:val="auto"/>
          <w:szCs w:val="21"/>
        </w:rPr>
      </w:pPr>
    </w:p>
    <w:p>
      <w:pPr>
        <w:rPr>
          <w:rFonts w:ascii="仿宋" w:hAnsi="仿宋" w:eastAsia="仿宋" w:cs="仿宋"/>
          <w:b/>
          <w:bCs/>
          <w:color w:val="auto"/>
          <w:szCs w:val="21"/>
        </w:rPr>
      </w:pPr>
      <w:r>
        <w:rPr>
          <w:rFonts w:hint="eastAsia" w:ascii="仿宋" w:hAnsi="仿宋" w:eastAsia="仿宋" w:cs="仿宋"/>
          <w:b/>
          <w:bCs/>
          <w:color w:val="auto"/>
          <w:szCs w:val="21"/>
        </w:rPr>
        <w:t>附件二</w:t>
      </w:r>
    </w:p>
    <w:tbl>
      <w:tblPr>
        <w:tblStyle w:val="15"/>
        <w:tblW w:w="0" w:type="auto"/>
        <w:jc w:val="center"/>
        <w:tblLayout w:type="fixed"/>
        <w:tblCellMar>
          <w:top w:w="0" w:type="dxa"/>
          <w:left w:w="108" w:type="dxa"/>
          <w:bottom w:w="0" w:type="dxa"/>
          <w:right w:w="108" w:type="dxa"/>
        </w:tblCellMar>
      </w:tblPr>
      <w:tblGrid>
        <w:gridCol w:w="709"/>
        <w:gridCol w:w="2693"/>
        <w:gridCol w:w="709"/>
        <w:gridCol w:w="709"/>
        <w:gridCol w:w="1134"/>
      </w:tblGrid>
      <w:tr>
        <w:tblPrEx>
          <w:tblCellMar>
            <w:top w:w="0" w:type="dxa"/>
            <w:left w:w="108" w:type="dxa"/>
            <w:bottom w:w="0" w:type="dxa"/>
            <w:right w:w="108" w:type="dxa"/>
          </w:tblCellMar>
        </w:tblPrEx>
        <w:trPr>
          <w:trHeight w:val="45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auto"/>
                <w:kern w:val="0"/>
                <w:szCs w:val="21"/>
              </w:rPr>
            </w:pPr>
            <w:r>
              <w:rPr>
                <w:rFonts w:hint="eastAsia" w:ascii="宋体" w:hAnsi="宋体" w:cs="宋体"/>
                <w:b/>
                <w:bCs/>
                <w:color w:val="auto"/>
                <w:kern w:val="0"/>
                <w:szCs w:val="21"/>
              </w:rPr>
              <w:t>仪器设备名称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CellMar>
            <w:top w:w="0" w:type="dxa"/>
            <w:left w:w="108" w:type="dxa"/>
            <w:bottom w:w="0" w:type="dxa"/>
            <w:right w:w="108" w:type="dxa"/>
          </w:tblCellMar>
        </w:tblPrEx>
        <w:trPr>
          <w:trHeight w:val="45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数据科学管理平台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套</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45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2</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Web用服务器</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3</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大数据计算资源池服务器</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4</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人工智能GPU服务器</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5</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人工智能科研GPU计算服务器</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6</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服务器机柜及套件</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套</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45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7</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高性能工作站</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180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45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8</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综合布线</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点</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120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45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9</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超薄显示器</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180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45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10</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云桌面系统</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点</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180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95"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11</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便携式计算机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12</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液晶电视</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13</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48口交换机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14</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24口交换机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15</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光口交换机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16</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1.2m实验桌</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85</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17</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钢制实验椅</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把</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250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18</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1.6m实验桌</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20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19</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靠背实验椅</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把</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50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20</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0.8m实验桌</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21</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半球摄像机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22</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筒型摄像机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23</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硬盘录像机</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台</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tcPr>
          <w:p>
            <w:pPr>
              <w:rPr>
                <w:color w:val="auto"/>
              </w:rPr>
            </w:pPr>
            <w:r>
              <w:rPr>
                <w:rFonts w:hint="eastAsia"/>
                <w:color w:val="auto"/>
              </w:rPr>
              <w:t>24</w:t>
            </w:r>
          </w:p>
        </w:tc>
        <w:tc>
          <w:tcPr>
            <w:tcW w:w="2693" w:type="dxa"/>
            <w:tcBorders>
              <w:top w:val="nil"/>
              <w:left w:val="nil"/>
              <w:bottom w:val="single" w:color="auto" w:sz="4" w:space="0"/>
              <w:right w:val="single" w:color="auto" w:sz="4" w:space="0"/>
            </w:tcBorders>
            <w:vAlign w:val="center"/>
          </w:tcPr>
          <w:p>
            <w:pPr>
              <w:rPr>
                <w:color w:val="auto"/>
              </w:rPr>
            </w:pPr>
            <w:r>
              <w:rPr>
                <w:rFonts w:hint="eastAsia"/>
                <w:color w:val="auto"/>
              </w:rPr>
              <w:t>监控级硬盘</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块</w:t>
            </w:r>
          </w:p>
        </w:tc>
        <w:tc>
          <w:tcPr>
            <w:tcW w:w="709" w:type="dxa"/>
            <w:tcBorders>
              <w:top w:val="nil"/>
              <w:left w:val="nil"/>
              <w:bottom w:val="single" w:color="auto" w:sz="4" w:space="0"/>
              <w:right w:val="single" w:color="auto" w:sz="4" w:space="0"/>
            </w:tcBorders>
          </w:tcPr>
          <w:p>
            <w:pPr>
              <w:jc w:val="center"/>
              <w:rPr>
                <w:color w:val="auto"/>
              </w:rPr>
            </w:pPr>
            <w:r>
              <w:rPr>
                <w:rFonts w:hint="eastAsia"/>
                <w:color w:val="auto"/>
              </w:rPr>
              <w:t>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vAlign w:val="center"/>
          </w:tcPr>
          <w:p>
            <w:pPr>
              <w:jc w:val="center"/>
              <w:rPr>
                <w:color w:val="auto"/>
                <w:szCs w:val="21"/>
              </w:rPr>
            </w:pPr>
            <w:r>
              <w:rPr>
                <w:color w:val="auto"/>
                <w:szCs w:val="21"/>
              </w:rPr>
              <w:t>25</w:t>
            </w:r>
          </w:p>
        </w:tc>
        <w:tc>
          <w:tcPr>
            <w:tcW w:w="2693" w:type="dxa"/>
            <w:tcBorders>
              <w:top w:val="nil"/>
              <w:left w:val="nil"/>
              <w:bottom w:val="single" w:color="auto" w:sz="4" w:space="0"/>
              <w:right w:val="single" w:color="auto" w:sz="4" w:space="0"/>
            </w:tcBorders>
            <w:vAlign w:val="center"/>
          </w:tcPr>
          <w:p>
            <w:pPr>
              <w:rPr>
                <w:color w:val="auto"/>
                <w:szCs w:val="21"/>
              </w:rPr>
            </w:pPr>
            <w:r>
              <w:rPr>
                <w:color w:val="auto"/>
                <w:szCs w:val="21"/>
              </w:rPr>
              <w:t>12V摄像机电源</w:t>
            </w:r>
          </w:p>
        </w:tc>
        <w:tc>
          <w:tcPr>
            <w:tcW w:w="70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个</w:t>
            </w:r>
          </w:p>
        </w:tc>
        <w:tc>
          <w:tcPr>
            <w:tcW w:w="709" w:type="dxa"/>
            <w:tcBorders>
              <w:top w:val="nil"/>
              <w:left w:val="nil"/>
              <w:bottom w:val="single" w:color="auto" w:sz="4" w:space="0"/>
              <w:right w:val="single" w:color="auto" w:sz="4" w:space="0"/>
            </w:tcBorders>
            <w:vAlign w:val="center"/>
          </w:tcPr>
          <w:p>
            <w:pPr>
              <w:jc w:val="center"/>
              <w:rPr>
                <w:color w:val="auto"/>
                <w:szCs w:val="21"/>
              </w:rPr>
            </w:pPr>
            <w:r>
              <w:rPr>
                <w:rFonts w:hint="eastAsia"/>
                <w:color w:val="auto"/>
                <w:szCs w:val="21"/>
              </w:rPr>
              <w:t>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noWrap/>
            <w:vAlign w:val="center"/>
          </w:tcPr>
          <w:p>
            <w:pPr>
              <w:jc w:val="center"/>
              <w:rPr>
                <w:color w:val="auto"/>
                <w:szCs w:val="21"/>
              </w:rPr>
            </w:pPr>
            <w:r>
              <w:rPr>
                <w:color w:val="auto"/>
                <w:szCs w:val="21"/>
              </w:rPr>
              <w:t>26</w:t>
            </w:r>
          </w:p>
        </w:tc>
        <w:tc>
          <w:tcPr>
            <w:tcW w:w="2693" w:type="dxa"/>
            <w:tcBorders>
              <w:top w:val="nil"/>
              <w:left w:val="nil"/>
              <w:bottom w:val="single" w:color="auto" w:sz="4" w:space="0"/>
              <w:right w:val="single" w:color="auto" w:sz="4" w:space="0"/>
            </w:tcBorders>
            <w:vAlign w:val="center"/>
          </w:tcPr>
          <w:p>
            <w:pPr>
              <w:rPr>
                <w:color w:val="auto"/>
                <w:szCs w:val="21"/>
              </w:rPr>
            </w:pPr>
            <w:r>
              <w:rPr>
                <w:color w:val="auto"/>
                <w:szCs w:val="21"/>
              </w:rPr>
              <w:t>12门密码储物柜</w:t>
            </w:r>
          </w:p>
        </w:tc>
        <w:tc>
          <w:tcPr>
            <w:tcW w:w="70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件</w:t>
            </w:r>
          </w:p>
        </w:tc>
        <w:tc>
          <w:tcPr>
            <w:tcW w:w="70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bl>
    <w:p>
      <w:pPr>
        <w:ind w:firstLine="422" w:firstLineChars="200"/>
        <w:rPr>
          <w:rFonts w:ascii="仿宋" w:hAnsi="仿宋" w:eastAsia="仿宋" w:cs="仿宋"/>
          <w:b/>
          <w:bCs/>
          <w:szCs w:val="21"/>
        </w:rPr>
      </w:pPr>
    </w:p>
    <w:p>
      <w:pPr>
        <w:pStyle w:val="2"/>
        <w:rPr>
          <w:rFonts w:ascii="仿宋" w:hAnsi="仿宋" w:eastAsia="仿宋" w:cs="仿宋"/>
          <w:b/>
          <w:bCs/>
          <w:color w:val="FF0000"/>
          <w:szCs w:val="21"/>
        </w:rPr>
      </w:pPr>
    </w:p>
    <w:p>
      <w:pPr>
        <w:pStyle w:val="2"/>
        <w:rPr>
          <w:rFonts w:ascii="仿宋" w:hAnsi="仿宋" w:eastAsia="仿宋" w:cs="仿宋"/>
          <w:b/>
          <w:bCs/>
          <w:color w:val="FF0000"/>
          <w:szCs w:val="21"/>
        </w:rPr>
      </w:pPr>
    </w:p>
    <w:p>
      <w:pPr>
        <w:pStyle w:val="2"/>
        <w:rPr>
          <w:rFonts w:ascii="仿宋" w:hAnsi="仿宋" w:eastAsia="仿宋" w:cs="仿宋"/>
          <w:b/>
          <w:bCs/>
          <w:color w:val="FF0000"/>
          <w:szCs w:val="21"/>
        </w:rPr>
      </w:pPr>
    </w:p>
    <w:p>
      <w:pPr>
        <w:pStyle w:val="2"/>
        <w:rPr>
          <w:rFonts w:ascii="仿宋" w:hAnsi="仿宋" w:eastAsia="仿宋" w:cs="仿宋"/>
          <w:b/>
          <w:bCs/>
          <w:color w:val="FF0000"/>
          <w:szCs w:val="21"/>
        </w:rPr>
      </w:pPr>
    </w:p>
    <w:p>
      <w:pPr>
        <w:pStyle w:val="2"/>
        <w:rPr>
          <w:rFonts w:ascii="仿宋" w:hAnsi="仿宋" w:eastAsia="仿宋" w:cs="仿宋"/>
          <w:b/>
          <w:bCs/>
          <w:color w:val="FF0000"/>
          <w:szCs w:val="21"/>
        </w:rPr>
      </w:pPr>
    </w:p>
    <w:p>
      <w:pPr>
        <w:pStyle w:val="2"/>
        <w:rPr>
          <w:rFonts w:ascii="仿宋" w:hAnsi="仿宋" w:eastAsia="仿宋" w:cs="仿宋"/>
          <w:b/>
          <w:bCs/>
          <w:color w:val="FF0000"/>
          <w:szCs w:val="21"/>
        </w:rPr>
      </w:pPr>
    </w:p>
    <w:p>
      <w:pPr>
        <w:pStyle w:val="2"/>
        <w:rPr>
          <w:rFonts w:ascii="仿宋" w:hAnsi="仿宋" w:eastAsia="仿宋" w:cs="仿宋"/>
          <w:b/>
          <w:bCs/>
          <w:color w:val="FF0000"/>
          <w:szCs w:val="21"/>
        </w:rPr>
      </w:pPr>
    </w:p>
    <w:p>
      <w:pPr>
        <w:pStyle w:val="4"/>
        <w:spacing w:line="240" w:lineRule="auto"/>
        <w:rPr>
          <w:rFonts w:ascii="仿宋" w:hAnsi="仿宋" w:eastAsia="仿宋" w:cs="仿宋"/>
          <w:szCs w:val="32"/>
        </w:rPr>
      </w:pPr>
      <w:bookmarkStart w:id="405" w:name="_Toc10734"/>
      <w:r>
        <w:rPr>
          <w:rFonts w:hint="eastAsia" w:ascii="仿宋" w:hAnsi="仿宋" w:eastAsia="仿宋" w:cs="仿宋"/>
          <w:szCs w:val="32"/>
        </w:rPr>
        <w:t>第5章  评标方法和标准</w:t>
      </w:r>
      <w:bookmarkEnd w:id="405"/>
    </w:p>
    <w:p>
      <w:pPr>
        <w:pStyle w:val="7"/>
        <w:tabs>
          <w:tab w:val="clear" w:pos="567"/>
        </w:tabs>
        <w:spacing w:before="0" w:line="240" w:lineRule="auto"/>
        <w:ind w:firstLine="840" w:firstLineChars="300"/>
        <w:rPr>
          <w:rFonts w:ascii="仿宋" w:hAnsi="仿宋" w:eastAsia="仿宋" w:cs="仿宋"/>
          <w:sz w:val="28"/>
          <w:szCs w:val="28"/>
        </w:rPr>
      </w:pPr>
      <w:r>
        <w:rPr>
          <w:rFonts w:hint="eastAsia" w:ascii="仿宋" w:hAnsi="仿宋" w:eastAsia="仿宋" w:cs="仿宋"/>
          <w:sz w:val="28"/>
          <w:szCs w:val="28"/>
        </w:rPr>
        <w:t>本项目将按照招标文件第一章投标人须知中“五 开标及评标”、“六 确定中标”及本章的规定评标。</w:t>
      </w:r>
    </w:p>
    <w:p>
      <w:pPr>
        <w:ind w:firstLine="560" w:firstLineChars="200"/>
        <w:rPr>
          <w:rFonts w:ascii="仿宋" w:hAnsi="仿宋" w:eastAsia="仿宋" w:cs="仿宋"/>
          <w:color w:val="FF0000"/>
          <w:sz w:val="28"/>
          <w:szCs w:val="28"/>
        </w:rPr>
      </w:pPr>
      <w:r>
        <w:rPr>
          <w:rFonts w:hint="eastAsia" w:ascii="仿宋" w:hAnsi="仿宋" w:eastAsia="仿宋" w:cs="仿宋"/>
          <w:color w:val="000000"/>
          <w:sz w:val="28"/>
          <w:szCs w:val="28"/>
        </w:rPr>
        <w:t>注：1.根据《政府采购促进中小企业发展暂行办法》（财库[2011]181号）、《财政部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6-10%后参与评审。</w:t>
      </w:r>
    </w:p>
    <w:p>
      <w:pPr>
        <w:pStyle w:val="7"/>
        <w:tabs>
          <w:tab w:val="clear" w:pos="567"/>
        </w:tabs>
        <w:spacing w:before="0" w:line="240" w:lineRule="auto"/>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2.投标人所投产品如被列入财政部与国家主管部门颁发的节能产品目录或环境标志产品目录或无线局域网产品目录，应提供相关证明，在评标时予以优先采购，具体优惠措施为</w:t>
      </w:r>
      <w:r>
        <w:rPr>
          <w:rFonts w:hint="eastAsia" w:ascii="仿宋" w:hAnsi="仿宋" w:eastAsia="仿宋" w:cs="仿宋"/>
          <w:color w:val="000000"/>
          <w:sz w:val="28"/>
          <w:szCs w:val="28"/>
          <w:u w:val="single"/>
        </w:rPr>
        <w:t>：投标商所投产品应优先选择《财政部国家发展改革委关于调整公布第二十四期节能产品政府采购清单的通知》（财库〔2018〕73号）、《财政部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ascii="仿宋" w:hAnsi="仿宋" w:eastAsia="仿宋" w:cs="仿宋"/>
          <w:b/>
          <w:color w:val="000000"/>
          <w:sz w:val="28"/>
          <w:szCs w:val="28"/>
          <w:u w:val="single"/>
        </w:rPr>
        <w:t>综合评分加0.5分。</w:t>
      </w:r>
    </w:p>
    <w:p>
      <w:pPr>
        <w:pStyle w:val="7"/>
        <w:tabs>
          <w:tab w:val="clear" w:pos="567"/>
        </w:tabs>
        <w:spacing w:before="0" w:line="240" w:lineRule="auto"/>
        <w:ind w:left="-181" w:leftChars="-86" w:firstLine="560" w:firstLineChars="200"/>
        <w:rPr>
          <w:rFonts w:ascii="仿宋" w:hAnsi="仿宋" w:eastAsia="仿宋" w:cs="仿宋"/>
          <w:b/>
          <w:color w:val="000000"/>
          <w:sz w:val="28"/>
          <w:szCs w:val="28"/>
          <w:u w:val="single"/>
        </w:rPr>
      </w:pPr>
      <w:r>
        <w:rPr>
          <w:rFonts w:hint="eastAsia" w:ascii="仿宋" w:hAnsi="仿宋" w:eastAsia="仿宋" w:cs="仿宋"/>
          <w:color w:val="000000"/>
          <w:sz w:val="28"/>
          <w:szCs w:val="28"/>
        </w:rPr>
        <w:t>3.对创新产品或创新性企业的优惠措施为</w:t>
      </w:r>
      <w:r>
        <w:rPr>
          <w:rFonts w:hint="eastAsia" w:ascii="仿宋" w:hAnsi="仿宋" w:eastAsia="仿宋" w:cs="仿宋"/>
          <w:color w:val="000000"/>
          <w:sz w:val="28"/>
          <w:szCs w:val="28"/>
          <w:u w:val="single"/>
        </w:rPr>
        <w:t>：</w:t>
      </w:r>
      <w:r>
        <w:rPr>
          <w:rFonts w:hint="eastAsia" w:ascii="仿宋" w:hAnsi="仿宋" w:eastAsia="仿宋" w:cs="仿宋"/>
          <w:b/>
          <w:color w:val="000000"/>
          <w:sz w:val="28"/>
          <w:szCs w:val="28"/>
          <w:u w:val="single"/>
        </w:rPr>
        <w:t xml:space="preserve">综合评分加0.5分。 </w:t>
      </w:r>
    </w:p>
    <w:p>
      <w:pPr>
        <w:pStyle w:val="7"/>
        <w:tabs>
          <w:tab w:val="clear" w:pos="567"/>
        </w:tabs>
        <w:spacing w:before="0" w:line="240" w:lineRule="auto"/>
        <w:ind w:left="-181" w:leftChars="-86"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4.同品牌处理办法：</w:t>
      </w:r>
    </w:p>
    <w:p>
      <w:pPr>
        <w:pStyle w:val="7"/>
        <w:tabs>
          <w:tab w:val="clear" w:pos="567"/>
        </w:tabs>
        <w:spacing w:before="0" w:line="240" w:lineRule="auto"/>
        <w:ind w:left="-181" w:leftChars="-86" w:firstLine="560" w:firstLineChars="200"/>
        <w:rPr>
          <w:rFonts w:ascii="仿宋" w:hAnsi="仿宋" w:eastAsia="仿宋" w:cs="仿宋"/>
          <w:b/>
          <w:color w:val="000000"/>
          <w:sz w:val="28"/>
          <w:szCs w:val="28"/>
          <w:u w:val="single"/>
        </w:rPr>
      </w:pPr>
      <w:r>
        <w:rPr>
          <w:rFonts w:hint="eastAsia" w:ascii="仿宋" w:hAnsi="仿宋" w:eastAsia="仿宋" w:cs="仿宋"/>
          <w:color w:val="000000"/>
          <w:sz w:val="28"/>
          <w:szCs w:val="28"/>
        </w:rPr>
        <w:t>则：</w:t>
      </w:r>
      <w:r>
        <w:rPr>
          <w:rFonts w:hint="eastAsia" w:ascii="仿宋" w:hAnsi="仿宋" w:eastAsia="仿宋" w:cs="仿宋"/>
          <w:b/>
          <w:color w:val="000000"/>
          <w:sz w:val="28"/>
          <w:szCs w:val="28"/>
          <w:u w:val="single"/>
        </w:rPr>
        <w:t>按一家投标人计算，评审后得分最高的同品牌投标人获得中标人推荐资格；评审得分相同的采取随机抽取方式确定。</w:t>
      </w:r>
    </w:p>
    <w:p>
      <w:pPr>
        <w:pStyle w:val="7"/>
        <w:tabs>
          <w:tab w:val="clear" w:pos="567"/>
        </w:tabs>
        <w:spacing w:before="0" w:line="240" w:lineRule="auto"/>
        <w:ind w:left="-181" w:leftChars="-86"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6.中标候选人并列式时的处理方式：   </w:t>
      </w:r>
    </w:p>
    <w:p>
      <w:pPr>
        <w:pStyle w:val="7"/>
        <w:tabs>
          <w:tab w:val="clear" w:pos="567"/>
        </w:tabs>
        <w:spacing w:before="0" w:line="240" w:lineRule="auto"/>
        <w:ind w:left="-181" w:leftChars="-86"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则：</w:t>
      </w:r>
      <w:r>
        <w:rPr>
          <w:rFonts w:hint="eastAsia" w:ascii="仿宋" w:hAnsi="仿宋" w:eastAsia="仿宋" w:cs="仿宋"/>
          <w:b/>
          <w:color w:val="000000"/>
          <w:sz w:val="28"/>
          <w:szCs w:val="28"/>
          <w:u w:val="single"/>
        </w:rPr>
        <w:t>优先选择报价较低的投标供应商。</w:t>
      </w:r>
      <w:r>
        <w:rPr>
          <w:rFonts w:hint="eastAsia" w:ascii="仿宋" w:hAnsi="仿宋" w:eastAsia="仿宋" w:cs="仿宋"/>
          <w:color w:val="000000"/>
          <w:sz w:val="28"/>
          <w:szCs w:val="28"/>
          <w:u w:val="single"/>
        </w:rPr>
        <w:t xml:space="preserve">  </w:t>
      </w:r>
    </w:p>
    <w:p/>
    <w:p>
      <w:pPr>
        <w:tabs>
          <w:tab w:val="center" w:pos="4252"/>
        </w:tabs>
        <w:jc w:val="left"/>
        <w:sectPr>
          <w:pgSz w:w="11906" w:h="16838"/>
          <w:pgMar w:top="1701" w:right="1701" w:bottom="1701" w:left="1701" w:header="851" w:footer="851" w:gutter="0"/>
          <w:cols w:space="720" w:num="1"/>
          <w:docGrid w:type="lines" w:linePitch="312" w:charSpace="0"/>
        </w:sectPr>
      </w:pPr>
    </w:p>
    <w:p>
      <w:pPr>
        <w:jc w:val="center"/>
        <w:outlineLvl w:val="0"/>
        <w:rPr>
          <w:rFonts w:ascii="仿宋" w:hAnsi="仿宋" w:eastAsia="仿宋" w:cs="仿宋"/>
          <w:sz w:val="28"/>
          <w:szCs w:val="28"/>
        </w:rPr>
      </w:pPr>
      <w:bookmarkStart w:id="406" w:name="_Toc10780"/>
      <w:bookmarkStart w:id="407" w:name="_Toc507399904"/>
      <w:r>
        <w:rPr>
          <w:rFonts w:hint="eastAsia" w:ascii="仿宋" w:hAnsi="仿宋" w:eastAsia="仿宋" w:cs="仿宋"/>
          <w:sz w:val="28"/>
          <w:szCs w:val="28"/>
        </w:rPr>
        <w:t>二、评标委员会</w:t>
      </w:r>
      <w:bookmarkEnd w:id="406"/>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招标机构将按照《中华人民共和国招标投标法》及有关规定并在招标领导小组的领导下组建评标委员会，其成员由技术、经济等方面的专家、招标人代表组成。评标委员会依法根据招标文件的规定对投标文件进行评审、质疑、评价和比较，向招标人推荐中标候选人。</w:t>
      </w:r>
    </w:p>
    <w:p>
      <w:pPr>
        <w:ind w:firstLine="562" w:firstLineChars="200"/>
        <w:rPr>
          <w:rFonts w:ascii="仿宋" w:hAnsi="仿宋" w:eastAsia="仿宋" w:cs="仿宋"/>
          <w:b/>
          <w:bCs/>
          <w:color w:val="00000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562" w:firstLineChars="200"/>
        <w:jc w:val="center"/>
        <w:rPr>
          <w:rFonts w:ascii="仿宋" w:hAnsi="仿宋" w:eastAsia="仿宋" w:cs="仿宋"/>
          <w:b/>
          <w:bCs/>
          <w:color w:val="000000"/>
          <w:kern w:val="0"/>
          <w:sz w:val="28"/>
          <w:szCs w:val="28"/>
        </w:rPr>
      </w:pPr>
    </w:p>
    <w:p>
      <w:pPr>
        <w:ind w:firstLine="3373" w:firstLineChars="1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资格性审查</w:t>
      </w:r>
    </w:p>
    <w:tbl>
      <w:tblPr>
        <w:tblStyle w:val="15"/>
        <w:tblpPr w:leftFromText="180" w:rightFromText="180" w:vertAnchor="text" w:horzAnchor="page" w:tblpXSpec="center" w:tblpY="116"/>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399"/>
        <w:gridCol w:w="1623"/>
        <w:gridCol w:w="1459"/>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22" w:type="dxa"/>
            <w:vMerge w:val="restart"/>
            <w:vAlign w:val="center"/>
          </w:tcPr>
          <w:p>
            <w:pPr>
              <w:rPr>
                <w:rFonts w:ascii="仿宋" w:hAnsi="仿宋" w:eastAsia="仿宋" w:cs="仿宋"/>
                <w:color w:val="000000"/>
                <w:sz w:val="24"/>
              </w:rPr>
            </w:pPr>
            <w:r>
              <w:rPr>
                <w:rFonts w:hint="eastAsia" w:ascii="仿宋" w:hAnsi="仿宋" w:eastAsia="仿宋" w:cs="仿宋"/>
                <w:color w:val="000000"/>
                <w:sz w:val="24"/>
              </w:rPr>
              <w:t>序号</w:t>
            </w:r>
          </w:p>
        </w:tc>
        <w:tc>
          <w:tcPr>
            <w:tcW w:w="4399" w:type="dxa"/>
            <w:vMerge w:val="restart"/>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评审内容</w:t>
            </w:r>
          </w:p>
        </w:tc>
        <w:tc>
          <w:tcPr>
            <w:tcW w:w="4398" w:type="dxa"/>
            <w:gridSpan w:val="3"/>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22" w:type="dxa"/>
            <w:vMerge w:val="continue"/>
            <w:vAlign w:val="center"/>
          </w:tcPr>
          <w:p>
            <w:pPr>
              <w:ind w:firstLine="480" w:firstLineChars="200"/>
              <w:jc w:val="center"/>
              <w:rPr>
                <w:rFonts w:ascii="仿宋" w:hAnsi="仿宋" w:eastAsia="仿宋" w:cs="仿宋"/>
                <w:color w:val="000000"/>
                <w:sz w:val="24"/>
              </w:rPr>
            </w:pPr>
          </w:p>
        </w:tc>
        <w:tc>
          <w:tcPr>
            <w:tcW w:w="4399" w:type="dxa"/>
            <w:vMerge w:val="continue"/>
            <w:vAlign w:val="center"/>
          </w:tcPr>
          <w:p>
            <w:pPr>
              <w:ind w:firstLine="480" w:firstLineChars="200"/>
              <w:jc w:val="center"/>
              <w:rPr>
                <w:rFonts w:ascii="仿宋" w:hAnsi="仿宋" w:eastAsia="仿宋" w:cs="仿宋"/>
                <w:color w:val="000000"/>
                <w:sz w:val="24"/>
              </w:rPr>
            </w:pPr>
          </w:p>
        </w:tc>
        <w:tc>
          <w:tcPr>
            <w:tcW w:w="1623" w:type="dxa"/>
            <w:vAlign w:val="center"/>
          </w:tcPr>
          <w:p>
            <w:pPr>
              <w:rPr>
                <w:rFonts w:ascii="仿宋" w:hAnsi="仿宋" w:eastAsia="仿宋" w:cs="仿宋"/>
                <w:color w:val="000000"/>
                <w:sz w:val="24"/>
              </w:rPr>
            </w:pPr>
            <w:r>
              <w:rPr>
                <w:rFonts w:hint="eastAsia" w:ascii="仿宋" w:hAnsi="仿宋" w:eastAsia="仿宋" w:cs="仿宋"/>
                <w:color w:val="000000"/>
                <w:sz w:val="24"/>
              </w:rPr>
              <w:t>供应商1</w:t>
            </w:r>
          </w:p>
        </w:tc>
        <w:tc>
          <w:tcPr>
            <w:tcW w:w="1459" w:type="dxa"/>
            <w:vAlign w:val="center"/>
          </w:tcPr>
          <w:p>
            <w:pPr>
              <w:rPr>
                <w:rFonts w:ascii="仿宋" w:hAnsi="仿宋" w:eastAsia="仿宋" w:cs="仿宋"/>
                <w:color w:val="000000"/>
                <w:sz w:val="24"/>
              </w:rPr>
            </w:pPr>
            <w:r>
              <w:rPr>
                <w:rFonts w:hint="eastAsia" w:ascii="仿宋" w:hAnsi="仿宋" w:eastAsia="仿宋" w:cs="仿宋"/>
                <w:color w:val="000000"/>
                <w:sz w:val="24"/>
              </w:rPr>
              <w:t>供应商2</w:t>
            </w:r>
          </w:p>
        </w:tc>
        <w:tc>
          <w:tcPr>
            <w:tcW w:w="1316" w:type="dxa"/>
            <w:vAlign w:val="center"/>
          </w:tcPr>
          <w:p>
            <w:pPr>
              <w:rPr>
                <w:rFonts w:ascii="仿宋" w:hAnsi="仿宋" w:eastAsia="仿宋" w:cs="仿宋"/>
                <w:color w:val="000000"/>
                <w:sz w:val="24"/>
              </w:rPr>
            </w:pPr>
            <w:r>
              <w:rPr>
                <w:rFonts w:hint="eastAsia" w:ascii="仿宋" w:hAnsi="仿宋" w:eastAsia="仿宋" w:cs="仿宋"/>
                <w:color w:val="000000"/>
                <w:sz w:val="24"/>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1</w:t>
            </w:r>
          </w:p>
        </w:tc>
        <w:tc>
          <w:tcPr>
            <w:tcW w:w="4399" w:type="dxa"/>
            <w:vAlign w:val="center"/>
          </w:tcPr>
          <w:p>
            <w:pPr>
              <w:rPr>
                <w:rFonts w:ascii="仿宋" w:hAnsi="仿宋" w:eastAsia="仿宋" w:cs="仿宋"/>
                <w:sz w:val="24"/>
              </w:rPr>
            </w:pPr>
            <w:r>
              <w:rPr>
                <w:rFonts w:hint="eastAsia" w:ascii="仿宋" w:hAnsi="仿宋" w:eastAsia="仿宋" w:cs="仿宋"/>
                <w:sz w:val="24"/>
              </w:rPr>
              <w:t>三证合一的营业执照</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2</w:t>
            </w:r>
          </w:p>
        </w:tc>
        <w:tc>
          <w:tcPr>
            <w:tcW w:w="4399" w:type="dxa"/>
            <w:vAlign w:val="center"/>
          </w:tcPr>
          <w:p>
            <w:pPr>
              <w:rPr>
                <w:rFonts w:ascii="仿宋" w:hAnsi="仿宋" w:eastAsia="仿宋" w:cs="仿宋"/>
                <w:sz w:val="24"/>
              </w:rPr>
            </w:pPr>
            <w:r>
              <w:rPr>
                <w:rFonts w:hint="eastAsia" w:ascii="仿宋" w:hAnsi="仿宋" w:eastAsia="仿宋" w:cs="仿宋"/>
                <w:sz w:val="24"/>
              </w:rPr>
              <w:t>法定代表人授权委托书及授权委托人身份证（法定代表人投标提供法身份证原件、）反商业行贿承诺书（加盖公章）原件；</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3</w:t>
            </w:r>
          </w:p>
        </w:tc>
        <w:tc>
          <w:tcPr>
            <w:tcW w:w="4399" w:type="dxa"/>
            <w:vAlign w:val="center"/>
          </w:tcPr>
          <w:p>
            <w:pPr>
              <w:rPr>
                <w:rFonts w:ascii="仿宋" w:hAnsi="仿宋" w:eastAsia="仿宋" w:cs="仿宋"/>
                <w:sz w:val="24"/>
              </w:rPr>
            </w:pPr>
            <w:r>
              <w:rPr>
                <w:rFonts w:hint="eastAsia" w:ascii="仿宋" w:hAnsi="仿宋" w:eastAsia="仿宋" w:cs="仿宋"/>
                <w:sz w:val="24"/>
              </w:rPr>
              <w:t>在本公告发出至投标截止间内在“信用中国”网站（http://www.creditchina.gov.cn）、中国政府采购网（http://www.ccgp.gov.cn）、国家企业信用信息公示系统(http://www.gsxt.gov.cn)无尚在处罚期内的不良行为记录网上截图打印加盖公章</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4</w:t>
            </w:r>
          </w:p>
        </w:tc>
        <w:tc>
          <w:tcPr>
            <w:tcW w:w="4399" w:type="dxa"/>
            <w:vAlign w:val="center"/>
          </w:tcPr>
          <w:p>
            <w:pPr>
              <w:rPr>
                <w:rFonts w:ascii="仿宋" w:hAnsi="仿宋" w:eastAsia="仿宋" w:cs="仿宋"/>
                <w:sz w:val="24"/>
              </w:rPr>
            </w:pPr>
            <w:r>
              <w:rPr>
                <w:rFonts w:hint="eastAsia" w:ascii="仿宋" w:hAnsi="仿宋" w:eastAsia="仿宋" w:cs="仿宋"/>
                <w:sz w:val="24"/>
              </w:rPr>
              <w:t xml:space="preserve">具有良好的商业信誉和健全的财务会计制度；（近两年审计报告原件；新成立不满一年的公司须提供近三个月的财务报告） </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5</w:t>
            </w:r>
          </w:p>
        </w:tc>
        <w:tc>
          <w:tcPr>
            <w:tcW w:w="4399" w:type="dxa"/>
            <w:vAlign w:val="center"/>
          </w:tcPr>
          <w:p>
            <w:pPr>
              <w:rPr>
                <w:rFonts w:ascii="仿宋" w:hAnsi="仿宋" w:eastAsia="仿宋" w:cs="仿宋"/>
                <w:sz w:val="24"/>
              </w:rPr>
            </w:pPr>
            <w:r>
              <w:rPr>
                <w:rFonts w:hint="eastAsia" w:ascii="仿宋" w:hAnsi="仿宋" w:eastAsia="仿宋" w:cs="仿宋"/>
                <w:sz w:val="24"/>
              </w:rPr>
              <w:t>被委托人必须是投标单位法人或正式员工，需提供社保部门出具的投标单位上一季度的缴纳社保证明（社保缴费凭证和个人明细表）原件</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6</w:t>
            </w:r>
          </w:p>
        </w:tc>
        <w:tc>
          <w:tcPr>
            <w:tcW w:w="4399" w:type="dxa"/>
            <w:vAlign w:val="center"/>
          </w:tcPr>
          <w:p>
            <w:pPr>
              <w:rPr>
                <w:rFonts w:ascii="仿宋" w:hAnsi="仿宋" w:eastAsia="仿宋" w:cs="仿宋"/>
                <w:sz w:val="24"/>
              </w:rPr>
            </w:pPr>
            <w:r>
              <w:rPr>
                <w:rFonts w:hint="eastAsia" w:ascii="仿宋" w:hAnsi="仿宋" w:eastAsia="仿宋" w:cs="仿宋"/>
                <w:sz w:val="24"/>
              </w:rPr>
              <w:t>具有履行合同所必需的设备和专业技术能力的承诺书。</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7</w:t>
            </w:r>
          </w:p>
        </w:tc>
        <w:tc>
          <w:tcPr>
            <w:tcW w:w="4399" w:type="dxa"/>
            <w:vAlign w:val="center"/>
          </w:tcPr>
          <w:p>
            <w:pPr>
              <w:ind w:firstLine="480" w:firstLineChars="200"/>
              <w:rPr>
                <w:rFonts w:ascii="仿宋" w:hAnsi="仿宋" w:eastAsia="仿宋" w:cs="仿宋"/>
                <w:sz w:val="24"/>
              </w:rPr>
            </w:pPr>
            <w:r>
              <w:rPr>
                <w:rFonts w:hint="eastAsia" w:ascii="仿宋" w:hAnsi="仿宋" w:eastAsia="仿宋" w:cs="仿宋"/>
                <w:sz w:val="24"/>
              </w:rPr>
              <w:t>投标保证金（收据）</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2" w:type="dxa"/>
            <w:vAlign w:val="center"/>
          </w:tcPr>
          <w:p>
            <w:pPr>
              <w:ind w:firstLine="480" w:firstLineChars="200"/>
              <w:jc w:val="center"/>
              <w:rPr>
                <w:rFonts w:ascii="仿宋" w:hAnsi="仿宋" w:eastAsia="仿宋" w:cs="仿宋"/>
                <w:color w:val="000000"/>
                <w:sz w:val="24"/>
              </w:rPr>
            </w:pPr>
            <w:r>
              <w:rPr>
                <w:rFonts w:hint="eastAsia" w:ascii="仿宋" w:hAnsi="仿宋" w:eastAsia="仿宋" w:cs="仿宋"/>
                <w:color w:val="000000"/>
                <w:sz w:val="24"/>
              </w:rPr>
              <w:t>8</w:t>
            </w:r>
          </w:p>
        </w:tc>
        <w:tc>
          <w:tcPr>
            <w:tcW w:w="4399" w:type="dxa"/>
            <w:vAlign w:val="center"/>
          </w:tcPr>
          <w:p>
            <w:pPr>
              <w:ind w:firstLine="480" w:firstLineChars="200"/>
              <w:rPr>
                <w:rFonts w:ascii="仿宋" w:hAnsi="仿宋" w:eastAsia="仿宋" w:cs="仿宋"/>
                <w:sz w:val="24"/>
              </w:rPr>
            </w:pPr>
            <w:r>
              <w:rPr>
                <w:rFonts w:hint="eastAsia" w:ascii="仿宋" w:hAnsi="仿宋" w:eastAsia="仿宋" w:cs="仿宋"/>
                <w:sz w:val="24"/>
              </w:rPr>
              <w:t>结论</w:t>
            </w:r>
          </w:p>
        </w:tc>
        <w:tc>
          <w:tcPr>
            <w:tcW w:w="1623" w:type="dxa"/>
          </w:tcPr>
          <w:p>
            <w:pPr>
              <w:ind w:firstLine="480" w:firstLineChars="200"/>
              <w:rPr>
                <w:rFonts w:ascii="仿宋" w:hAnsi="仿宋" w:eastAsia="仿宋" w:cs="仿宋"/>
                <w:color w:val="000000"/>
                <w:sz w:val="24"/>
              </w:rPr>
            </w:pPr>
          </w:p>
        </w:tc>
        <w:tc>
          <w:tcPr>
            <w:tcW w:w="1459" w:type="dxa"/>
          </w:tcPr>
          <w:p>
            <w:pPr>
              <w:ind w:firstLine="480" w:firstLineChars="200"/>
              <w:rPr>
                <w:rFonts w:ascii="仿宋" w:hAnsi="仿宋" w:eastAsia="仿宋" w:cs="仿宋"/>
                <w:color w:val="000000"/>
                <w:sz w:val="24"/>
              </w:rPr>
            </w:pPr>
          </w:p>
        </w:tc>
        <w:tc>
          <w:tcPr>
            <w:tcW w:w="1316" w:type="dxa"/>
          </w:tcPr>
          <w:p>
            <w:pPr>
              <w:ind w:firstLine="480" w:firstLineChars="200"/>
              <w:rPr>
                <w:rFonts w:ascii="仿宋" w:hAnsi="仿宋" w:eastAsia="仿宋" w:cs="仿宋"/>
                <w:color w:val="000000"/>
                <w:sz w:val="24"/>
              </w:rPr>
            </w:pPr>
          </w:p>
        </w:tc>
      </w:tr>
    </w:tbl>
    <w:p>
      <w:pPr>
        <w:ind w:firstLine="562" w:firstLineChars="200"/>
        <w:rPr>
          <w:rFonts w:ascii="仿宋" w:hAnsi="仿宋" w:eastAsia="仿宋" w:cs="仿宋"/>
          <w:b/>
          <w:bCs/>
          <w:sz w:val="28"/>
          <w:szCs w:val="28"/>
        </w:rPr>
      </w:pPr>
      <w:r>
        <w:rPr>
          <w:rFonts w:hint="eastAsia" w:ascii="仿宋" w:hAnsi="仿宋" w:eastAsia="仿宋" w:cs="仿宋"/>
          <w:b/>
          <w:bCs/>
          <w:sz w:val="28"/>
          <w:szCs w:val="28"/>
        </w:rPr>
        <w:t>备注：1.如果投标文件中有一项未通过上述审查标准，评标委员会将认定整个投标文件未响应招标文件而予以废标处理。</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2.表中所述分项评审结果分两种：（1）合格用“√”表示；（2）不合格用“×”表示。</w:t>
      </w:r>
    </w:p>
    <w:p>
      <w:pPr>
        <w:ind w:firstLine="3935" w:firstLineChars="1400"/>
        <w:rPr>
          <w:rFonts w:ascii="仿宋" w:hAnsi="仿宋" w:eastAsia="仿宋" w:cs="仿宋"/>
          <w:b/>
          <w:bCs/>
          <w:sz w:val="28"/>
          <w:szCs w:val="28"/>
        </w:rPr>
      </w:pPr>
      <w:r>
        <w:rPr>
          <w:rFonts w:hint="eastAsia" w:ascii="仿宋" w:hAnsi="仿宋" w:eastAsia="仿宋" w:cs="仿宋"/>
          <w:b/>
          <w:bCs/>
          <w:sz w:val="28"/>
          <w:szCs w:val="28"/>
        </w:rPr>
        <w:t>符合性审查</w:t>
      </w:r>
    </w:p>
    <w:tbl>
      <w:tblPr>
        <w:tblStyle w:val="15"/>
        <w:tblW w:w="9408" w:type="dxa"/>
        <w:tblInd w:w="0" w:type="dxa"/>
        <w:tblLayout w:type="fixed"/>
        <w:tblCellMar>
          <w:top w:w="15" w:type="dxa"/>
          <w:left w:w="15" w:type="dxa"/>
          <w:bottom w:w="15" w:type="dxa"/>
          <w:right w:w="15" w:type="dxa"/>
        </w:tblCellMar>
      </w:tblPr>
      <w:tblGrid>
        <w:gridCol w:w="585"/>
        <w:gridCol w:w="5298"/>
        <w:gridCol w:w="1500"/>
        <w:gridCol w:w="1137"/>
        <w:gridCol w:w="888"/>
      </w:tblGrid>
      <w:tr>
        <w:tblPrEx>
          <w:tblCellMar>
            <w:top w:w="15" w:type="dxa"/>
            <w:left w:w="15" w:type="dxa"/>
            <w:bottom w:w="15" w:type="dxa"/>
            <w:right w:w="15" w:type="dxa"/>
          </w:tblCellMar>
        </w:tblPrEx>
        <w:trPr>
          <w:trHeight w:val="614" w:hRule="atLeast"/>
        </w:trPr>
        <w:tc>
          <w:tcPr>
            <w:tcW w:w="5883" w:type="dxa"/>
            <w:gridSpan w:val="2"/>
            <w:vAlign w:val="center"/>
          </w:tcPr>
          <w:p>
            <w:pPr>
              <w:widowControl/>
              <w:ind w:firstLine="562" w:firstLineChars="200"/>
              <w:jc w:val="left"/>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项目编号：</w:t>
            </w:r>
          </w:p>
        </w:tc>
        <w:tc>
          <w:tcPr>
            <w:tcW w:w="1500" w:type="dxa"/>
            <w:vAlign w:val="center"/>
          </w:tcPr>
          <w:p>
            <w:pPr>
              <w:rPr>
                <w:rFonts w:ascii="仿宋" w:hAnsi="仿宋" w:eastAsia="仿宋" w:cs="仿宋"/>
                <w:b/>
                <w:color w:val="000000"/>
                <w:sz w:val="28"/>
                <w:szCs w:val="28"/>
              </w:rPr>
            </w:pPr>
            <w:r>
              <w:rPr>
                <w:rFonts w:hint="eastAsia" w:ascii="仿宋" w:hAnsi="仿宋" w:eastAsia="仿宋" w:cs="仿宋"/>
                <w:b/>
                <w:color w:val="000000"/>
                <w:kern w:val="0"/>
                <w:sz w:val="28"/>
                <w:szCs w:val="28"/>
              </w:rPr>
              <w:t>开标时间：</w:t>
            </w:r>
          </w:p>
        </w:tc>
        <w:tc>
          <w:tcPr>
            <w:tcW w:w="1137" w:type="dxa"/>
            <w:vAlign w:val="center"/>
          </w:tcPr>
          <w:p>
            <w:pPr>
              <w:ind w:firstLine="562" w:firstLineChars="200"/>
              <w:jc w:val="right"/>
              <w:rPr>
                <w:rFonts w:ascii="仿宋" w:hAnsi="仿宋" w:eastAsia="仿宋" w:cs="仿宋"/>
                <w:b/>
                <w:color w:val="000000"/>
                <w:sz w:val="28"/>
                <w:szCs w:val="28"/>
              </w:rPr>
            </w:pPr>
          </w:p>
        </w:tc>
        <w:tc>
          <w:tcPr>
            <w:tcW w:w="888" w:type="dxa"/>
            <w:vAlign w:val="center"/>
          </w:tcPr>
          <w:p>
            <w:pPr>
              <w:widowControl/>
              <w:ind w:firstLine="562" w:firstLineChars="200"/>
              <w:jc w:val="right"/>
              <w:textAlignment w:val="center"/>
              <w:rPr>
                <w:rFonts w:ascii="仿宋" w:hAnsi="仿宋" w:eastAsia="仿宋" w:cs="仿宋"/>
                <w:b/>
                <w:color w:val="000000"/>
                <w:sz w:val="28"/>
                <w:szCs w:val="28"/>
              </w:rPr>
            </w:pPr>
          </w:p>
        </w:tc>
      </w:tr>
      <w:tr>
        <w:tblPrEx>
          <w:tblCellMar>
            <w:top w:w="15" w:type="dxa"/>
            <w:left w:w="15" w:type="dxa"/>
            <w:bottom w:w="15" w:type="dxa"/>
            <w:right w:w="15" w:type="dxa"/>
          </w:tblCellMar>
        </w:tblPrEx>
        <w:trPr>
          <w:trHeight w:val="45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序号</w:t>
            </w:r>
          </w:p>
        </w:tc>
        <w:tc>
          <w:tcPr>
            <w:tcW w:w="529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项目</w:t>
            </w: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Cs w:val="21"/>
              </w:rPr>
            </w:pPr>
            <w:r>
              <w:rPr>
                <w:rFonts w:hint="eastAsia" w:ascii="仿宋" w:hAnsi="仿宋" w:eastAsia="仿宋" w:cs="仿宋"/>
                <w:color w:val="000000"/>
                <w:szCs w:val="21"/>
              </w:rPr>
              <w:t>供应商1</w:t>
            </w:r>
          </w:p>
        </w:tc>
        <w:tc>
          <w:tcPr>
            <w:tcW w:w="113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Cs w:val="21"/>
              </w:rPr>
            </w:pPr>
            <w:r>
              <w:rPr>
                <w:rFonts w:hint="eastAsia" w:ascii="仿宋" w:hAnsi="仿宋" w:eastAsia="仿宋" w:cs="仿宋"/>
                <w:color w:val="000000"/>
                <w:szCs w:val="21"/>
              </w:rPr>
              <w:t>供应商2</w:t>
            </w: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Cs w:val="21"/>
              </w:rPr>
            </w:pPr>
            <w:r>
              <w:rPr>
                <w:rFonts w:hint="eastAsia" w:ascii="仿宋" w:hAnsi="仿宋" w:eastAsia="仿宋" w:cs="仿宋"/>
                <w:color w:val="000000"/>
                <w:szCs w:val="21"/>
              </w:rPr>
              <w:t>供应商3</w:t>
            </w:r>
          </w:p>
        </w:tc>
      </w:tr>
      <w:tr>
        <w:tblPrEx>
          <w:tblCellMar>
            <w:top w:w="15" w:type="dxa"/>
            <w:left w:w="15" w:type="dxa"/>
            <w:bottom w:w="15" w:type="dxa"/>
            <w:right w:w="15" w:type="dxa"/>
          </w:tblCellMar>
        </w:tblPrEx>
        <w:trPr>
          <w:trHeight w:val="512"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 w:hAnsi="仿宋" w:eastAsia="仿宋" w:cs="仿宋"/>
                <w:color w:val="000000"/>
                <w:szCs w:val="21"/>
              </w:rPr>
            </w:pPr>
          </w:p>
        </w:tc>
        <w:tc>
          <w:tcPr>
            <w:tcW w:w="5298"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 w:hAnsi="仿宋" w:eastAsia="仿宋" w:cs="仿宋"/>
                <w:color w:val="000000"/>
                <w:szCs w:val="21"/>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是否合格</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是否合格</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是否合格</w:t>
            </w: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未按招标文件的规定提交投标保证金的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投标文件未按招标文件的要求签署、盖章的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不具备招标文件中规定的资格要求的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报价超过招标文件中规定的预算金额或者最高限价的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投标人名称、组织机构与资格预审时不符，涉嫌以他人名义投标的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85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投标人之间或者投标人与采购人串通投标的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评标委员会共同确定有实质上不响应招标文件要求的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8</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投标文件没有投标单位法定代表人或其授权代表签字（章）和加盖投标单位公章的（投标文件正本的印章和签字不能为复印件）</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9</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投标文件载明的技术规格、技术标准、货物包装方式、检验标准和方法等，不符合招标文件要求的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61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10</w:t>
            </w:r>
          </w:p>
        </w:tc>
        <w:tc>
          <w:tcPr>
            <w:tcW w:w="5298"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投标文件含有采购人不能接受的附加条件的</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11</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投标人详细地址、联系人、电话</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12</w:t>
            </w:r>
          </w:p>
        </w:tc>
        <w:tc>
          <w:tcPr>
            <w:tcW w:w="5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不满足招标文件实质性要求的其他情形</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375" w:hRule="atLeast"/>
        </w:trPr>
        <w:tc>
          <w:tcPr>
            <w:tcW w:w="5883"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24"/>
              </w:rPr>
              <w:t>评审结果</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center"/>
              <w:rPr>
                <w:rFonts w:ascii="仿宋" w:hAnsi="仿宋" w:eastAsia="仿宋" w:cs="仿宋"/>
                <w:color w:val="000000"/>
                <w:sz w:val="18"/>
                <w:szCs w:val="18"/>
              </w:rPr>
            </w:pPr>
          </w:p>
        </w:tc>
      </w:tr>
      <w:tr>
        <w:tblPrEx>
          <w:tblCellMar>
            <w:top w:w="15" w:type="dxa"/>
            <w:left w:w="15" w:type="dxa"/>
            <w:bottom w:w="15" w:type="dxa"/>
            <w:right w:w="15" w:type="dxa"/>
          </w:tblCellMar>
        </w:tblPrEx>
        <w:trPr>
          <w:trHeight w:val="1097" w:hRule="atLeast"/>
        </w:trPr>
        <w:tc>
          <w:tcPr>
            <w:tcW w:w="9408" w:type="dxa"/>
            <w:gridSpan w:val="5"/>
            <w:vAlign w:val="center"/>
          </w:tcPr>
          <w:p>
            <w:pPr>
              <w:ind w:firstLine="562" w:firstLineChars="200"/>
              <w:rPr>
                <w:rFonts w:ascii="仿宋" w:hAnsi="仿宋" w:eastAsia="仿宋" w:cs="仿宋"/>
                <w:b/>
                <w:bCs/>
                <w:sz w:val="28"/>
                <w:szCs w:val="28"/>
              </w:rPr>
            </w:pPr>
            <w:r>
              <w:rPr>
                <w:rFonts w:hint="eastAsia" w:ascii="仿宋" w:hAnsi="仿宋" w:eastAsia="仿宋" w:cs="仿宋"/>
                <w:b/>
                <w:bCs/>
                <w:sz w:val="28"/>
                <w:szCs w:val="28"/>
              </w:rPr>
              <w:t>“√”表示合格；“×”表示不合格，一项不合格结果为不合格，如不合格，请在结果中写明原因。</w:t>
            </w:r>
          </w:p>
        </w:tc>
      </w:tr>
    </w:tbl>
    <w:p>
      <w:pPr>
        <w:ind w:firstLine="562" w:firstLineChars="200"/>
        <w:rPr>
          <w:rFonts w:ascii="仿宋" w:hAnsi="仿宋" w:eastAsia="仿宋" w:cs="仿宋"/>
          <w:b/>
          <w:color w:val="000000"/>
          <w:kern w:val="0"/>
          <w:sz w:val="28"/>
          <w:szCs w:val="28"/>
          <w:u w:val="single"/>
        </w:rPr>
      </w:pPr>
      <w:r>
        <w:rPr>
          <w:rFonts w:hint="eastAsia" w:ascii="仿宋" w:hAnsi="仿宋" w:eastAsia="仿宋" w:cs="仿宋"/>
          <w:b/>
          <w:bCs/>
          <w:sz w:val="28"/>
          <w:szCs w:val="28"/>
        </w:rPr>
        <w:t>备注：为方便评标专家的比对，请投标企业在技术规格偏离表中对所投产品进行详细描述。</w:t>
      </w:r>
    </w:p>
    <w:tbl>
      <w:tblPr>
        <w:tblStyle w:val="15"/>
        <w:tblpPr w:leftFromText="180" w:rightFromText="180" w:vertAnchor="page" w:horzAnchor="margin" w:tblpY="2255"/>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021"/>
        <w:gridCol w:w="584"/>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rPr>
            </w:pPr>
            <w:bookmarkStart w:id="408" w:name="_Toc24541"/>
            <w:r>
              <w:rPr>
                <w:rFonts w:hint="eastAsia" w:ascii="仿宋" w:hAnsi="仿宋" w:eastAsia="仿宋" w:cs="仿宋"/>
                <w:b/>
                <w:bCs/>
                <w:kern w:val="0"/>
                <w:sz w:val="24"/>
              </w:rPr>
              <w:t>评标</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评分项目</w:t>
            </w:r>
          </w:p>
        </w:tc>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分值</w:t>
            </w:r>
          </w:p>
        </w:tc>
        <w:tc>
          <w:tcPr>
            <w:tcW w:w="6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4"/>
              </w:rPr>
            </w:pPr>
            <w:r>
              <w:rPr>
                <w:rFonts w:hint="eastAsia" w:ascii="仿宋" w:hAnsi="仿宋" w:eastAsia="仿宋" w:cs="仿宋"/>
                <w:b/>
                <w:bCs/>
                <w:kern w:val="0"/>
                <w:sz w:val="24"/>
              </w:rPr>
              <w:t>评分要素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报价部分（38）</w:t>
            </w:r>
          </w:p>
        </w:tc>
        <w:tc>
          <w:tcPr>
            <w:tcW w:w="1021"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 xml:space="preserve">投标报价得 分 </w:t>
            </w:r>
          </w:p>
        </w:tc>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38分</w:t>
            </w:r>
          </w:p>
        </w:tc>
        <w:tc>
          <w:tcPr>
            <w:tcW w:w="6693" w:type="dxa"/>
            <w:tcBorders>
              <w:top w:val="single" w:color="auto" w:sz="4" w:space="0"/>
              <w:left w:val="single" w:color="auto" w:sz="4" w:space="0"/>
              <w:right w:val="single" w:color="auto" w:sz="4" w:space="0"/>
            </w:tcBorders>
            <w:vAlign w:val="center"/>
          </w:tcPr>
          <w:p>
            <w:pPr>
              <w:widowControl/>
              <w:jc w:val="left"/>
              <w:rPr>
                <w:rFonts w:ascii="仿宋" w:hAnsi="仿宋" w:eastAsia="仿宋" w:cs="仿宋"/>
                <w:color w:val="auto"/>
                <w:sz w:val="24"/>
              </w:rPr>
            </w:pPr>
            <w:r>
              <w:rPr>
                <w:rFonts w:hint="eastAsia" w:ascii="仿宋" w:hAnsi="仿宋" w:eastAsia="仿宋" w:cs="仿宋"/>
                <w:b/>
                <w:bCs/>
                <w:color w:val="auto"/>
                <w:kern w:val="0"/>
                <w:sz w:val="24"/>
              </w:rPr>
              <w:t>采用低价优先法计算，即满足招标文件要求且投标价格最低的投标报价为评标基准价，其价格分为满分，其他投标人的价格分统一按照下列公式计算：投标报价得分=（评标基准价/投标报价）×38。计算结果保留至小数点后两位，不满足招标文件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700" w:type="dxa"/>
            <w:tcBorders>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技术部分（40）</w:t>
            </w:r>
          </w:p>
        </w:tc>
        <w:tc>
          <w:tcPr>
            <w:tcW w:w="1021" w:type="dxa"/>
            <w:tcBorders>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基本性能</w:t>
            </w:r>
          </w:p>
        </w:tc>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40分</w:t>
            </w:r>
          </w:p>
        </w:tc>
        <w:tc>
          <w:tcPr>
            <w:tcW w:w="6693" w:type="dxa"/>
            <w:tcBorders>
              <w:top w:val="single" w:color="auto" w:sz="4" w:space="0"/>
              <w:left w:val="single" w:color="auto" w:sz="4" w:space="0"/>
              <w:right w:val="single" w:color="auto" w:sz="4" w:space="0"/>
            </w:tcBorders>
            <w:vAlign w:val="center"/>
          </w:tcPr>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满足招标文件中技术参数要求,根据投标产品的基本性能、集成系统的整体性能、配置的完善性、技术方案的适用性和先进性、是否基本最新产品、是否存在升级淘汰、更新替代风险等情况，</w:t>
            </w:r>
          </w:p>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所投产品技术参数满足招标文件要求，得30分</w:t>
            </w:r>
          </w:p>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所投产品技术参数优于招标文件要求，每优于一项得2分，最高不得超过10分。</w:t>
            </w:r>
          </w:p>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重要指标（设备技术性能指标表中已标出）出现负偏离该</w:t>
            </w:r>
            <w:r>
              <w:rPr>
                <w:rFonts w:hint="eastAsia" w:ascii="仿宋" w:hAnsi="仿宋" w:eastAsia="仿宋" w:cs="仿宋"/>
                <w:b/>
                <w:bCs/>
                <w:color w:val="auto"/>
                <w:kern w:val="0"/>
                <w:sz w:val="24"/>
                <w:lang w:eastAsia="zh-CN"/>
              </w:rPr>
              <w:t>技术部分</w:t>
            </w:r>
            <w:r>
              <w:rPr>
                <w:rFonts w:hint="eastAsia" w:ascii="仿宋" w:hAnsi="仿宋" w:eastAsia="仿宋" w:cs="仿宋"/>
                <w:b/>
                <w:bCs/>
                <w:color w:val="auto"/>
                <w:kern w:val="0"/>
                <w:sz w:val="24"/>
              </w:rPr>
              <w:t>得0分，其它指标每出现一项负偏离扣3分，扣完为止。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00"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商务部分（22）</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企业及财务状况</w:t>
            </w:r>
          </w:p>
        </w:tc>
        <w:tc>
          <w:tcPr>
            <w:tcW w:w="584"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b/>
                <w:bCs/>
                <w:color w:val="auto"/>
                <w:kern w:val="0"/>
                <w:sz w:val="24"/>
              </w:rPr>
              <w:t>5分</w:t>
            </w:r>
          </w:p>
        </w:tc>
        <w:tc>
          <w:tcPr>
            <w:tcW w:w="6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 xml:space="preserve">根据投标人或制造商近两年财务状况进行评价（以会计事务所审计的财务报表为准，复印件加盖公章），提供并有盈余者得5分，提供但不盈利者得3分，不提供者的不得分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00" w:type="dxa"/>
            <w:vMerge w:val="continue"/>
            <w:tcBorders>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业绩</w:t>
            </w:r>
          </w:p>
        </w:tc>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2分</w:t>
            </w:r>
          </w:p>
        </w:tc>
        <w:tc>
          <w:tcPr>
            <w:tcW w:w="6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投标人近三年的销售业绩情况。（业绩以合同和中标通知书为依据）,新疆以内每个1分，新疆以外每个0.5分,最高2分。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00" w:type="dxa"/>
            <w:vMerge w:val="continue"/>
            <w:tcBorders>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p>
        </w:tc>
        <w:tc>
          <w:tcPr>
            <w:tcW w:w="102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质保及售后服务承诺</w:t>
            </w:r>
          </w:p>
        </w:tc>
        <w:tc>
          <w:tcPr>
            <w:tcW w:w="584"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15分</w:t>
            </w:r>
          </w:p>
        </w:tc>
        <w:tc>
          <w:tcPr>
            <w:tcW w:w="6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免费质保年限3分，完全响应招标文件免费质保年限要求的得2分,出现正偏离的，质保年限每多一年加0.5分，最多加1分,出现负偏离的作为无效投标处理;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700" w:type="dxa"/>
            <w:vMerge w:val="continue"/>
            <w:tcBorders>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p>
        </w:tc>
        <w:tc>
          <w:tcPr>
            <w:tcW w:w="1021" w:type="dxa"/>
            <w:vMerge w:val="continue"/>
            <w:tcBorders>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p>
        </w:tc>
        <w:tc>
          <w:tcPr>
            <w:tcW w:w="584" w:type="dxa"/>
            <w:vMerge w:val="continue"/>
            <w:tcBorders>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p>
        </w:tc>
        <w:tc>
          <w:tcPr>
            <w:tcW w:w="6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服务响应时间：在对短的时间响应并在最快的时间到达现场并维修好的，提供应急策略及承诺的得5分，没有应急策略不得分。</w:t>
            </w:r>
          </w:p>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负责人为使用单位培训操作维护人员，并在投标文件中列出培训的内容方式的得5分。</w:t>
            </w:r>
          </w:p>
          <w:p>
            <w:pPr>
              <w:rPr>
                <w:rFonts w:hint="eastAsia" w:ascii="仿宋" w:hAnsi="仿宋" w:eastAsia="仿宋" w:cs="仿宋"/>
                <w:b/>
                <w:bCs/>
                <w:color w:val="auto"/>
                <w:kern w:val="0"/>
                <w:sz w:val="24"/>
              </w:rPr>
            </w:pPr>
            <w:r>
              <w:rPr>
                <w:rFonts w:hint="eastAsia" w:ascii="仿宋" w:hAnsi="仿宋" w:eastAsia="仿宋" w:cs="仿宋"/>
                <w:b/>
                <w:bCs/>
                <w:color w:val="auto"/>
                <w:kern w:val="0"/>
                <w:sz w:val="24"/>
              </w:rPr>
              <w:t>投标商在喀什地区拥有能够保障项目售后服务能力及相应服务机构的得2分。</w:t>
            </w:r>
          </w:p>
        </w:tc>
      </w:tr>
      <w:bookmarkEnd w:id="408"/>
    </w:tbl>
    <w:p>
      <w:pPr>
        <w:ind w:firstLine="560" w:firstLineChars="200"/>
        <w:rPr>
          <w:rFonts w:ascii="仿宋" w:hAnsi="仿宋" w:eastAsia="仿宋" w:cs="仿宋"/>
          <w:sz w:val="28"/>
          <w:szCs w:val="28"/>
        </w:rPr>
      </w:pPr>
    </w:p>
    <w:p>
      <w:pPr>
        <w:pStyle w:val="2"/>
      </w:pPr>
    </w:p>
    <w:p>
      <w:pPr>
        <w:pStyle w:val="2"/>
      </w:pPr>
    </w:p>
    <w:p>
      <w:pPr>
        <w:ind w:firstLine="560" w:firstLineChars="200"/>
        <w:rPr>
          <w:rFonts w:ascii="仿宋" w:hAnsi="仿宋" w:eastAsia="仿宋" w:cs="仿宋"/>
          <w:sz w:val="28"/>
          <w:szCs w:val="28"/>
        </w:rPr>
      </w:pPr>
      <w:r>
        <w:rPr>
          <w:rFonts w:hint="eastAsia" w:ascii="仿宋" w:hAnsi="仿宋" w:eastAsia="仿宋" w:cs="仿宋"/>
          <w:sz w:val="28"/>
          <w:szCs w:val="28"/>
        </w:rPr>
        <w:t>以上为评分标准：</w:t>
      </w:r>
    </w:p>
    <w:p>
      <w:pPr>
        <w:ind w:firstLine="560" w:firstLineChars="200"/>
        <w:rPr>
          <w:rFonts w:ascii="仿宋" w:hAnsi="仿宋" w:eastAsia="仿宋" w:cs="仿宋"/>
          <w:sz w:val="28"/>
          <w:szCs w:val="28"/>
        </w:rPr>
      </w:pPr>
      <w:r>
        <w:rPr>
          <w:rFonts w:hint="eastAsia" w:ascii="仿宋" w:hAnsi="仿宋" w:eastAsia="仿宋" w:cs="仿宋"/>
          <w:sz w:val="28"/>
          <w:szCs w:val="28"/>
        </w:rPr>
        <w:t>评审完毕，评标委员会根据汇总各投标企业的综合得分，按照得分高低进行排序，取前三名作为中标候选人推荐给招标委员会。如果两投标人的得分相同，投标价格低者排在前。</w:t>
      </w:r>
    </w:p>
    <w:p>
      <w:pPr>
        <w:pStyle w:val="2"/>
        <w:ind w:firstLine="560" w:firstLineChars="200"/>
        <w:rPr>
          <w:rFonts w:ascii="仿宋" w:hAnsi="仿宋" w:eastAsia="仿宋" w:cs="仿宋"/>
          <w:sz w:val="28"/>
          <w:szCs w:val="28"/>
        </w:rPr>
      </w:pPr>
    </w:p>
    <w:p>
      <w:pPr>
        <w:ind w:firstLine="562" w:firstLineChars="200"/>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firstLine="562" w:firstLineChars="200"/>
        <w:jc w:val="center"/>
        <w:rPr>
          <w:rFonts w:ascii="仿宋" w:hAnsi="仿宋" w:eastAsia="仿宋" w:cs="仿宋"/>
          <w:b/>
          <w:sz w:val="28"/>
          <w:szCs w:val="28"/>
        </w:rPr>
      </w:pPr>
    </w:p>
    <w:p>
      <w:pPr>
        <w:ind w:firstLine="562" w:firstLineChars="200"/>
        <w:jc w:val="center"/>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1968" w:firstLineChars="700"/>
        <w:rPr>
          <w:rFonts w:ascii="仿宋" w:hAnsi="仿宋" w:eastAsia="仿宋" w:cs="仿宋"/>
          <w:b/>
          <w:sz w:val="28"/>
          <w:szCs w:val="28"/>
        </w:rPr>
      </w:pPr>
    </w:p>
    <w:p>
      <w:pPr>
        <w:ind w:firstLine="3654" w:firstLineChars="700"/>
        <w:rPr>
          <w:rFonts w:ascii="仿宋" w:hAnsi="仿宋" w:eastAsia="仿宋" w:cs="仿宋"/>
          <w:b/>
          <w:sz w:val="52"/>
          <w:szCs w:val="52"/>
        </w:rPr>
      </w:pPr>
      <w:r>
        <w:rPr>
          <w:rFonts w:hint="eastAsia" w:ascii="仿宋" w:hAnsi="仿宋" w:eastAsia="仿宋" w:cs="仿宋"/>
          <w:b/>
          <w:sz w:val="52"/>
          <w:szCs w:val="52"/>
        </w:rPr>
        <w:t>第三册</w:t>
      </w: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ind w:left="540" w:leftChars="257" w:firstLine="562" w:firstLineChars="200"/>
        <w:jc w:val="center"/>
        <w:rPr>
          <w:rFonts w:ascii="仿宋" w:hAnsi="仿宋" w:eastAsia="仿宋" w:cs="仿宋"/>
          <w:b/>
          <w:sz w:val="28"/>
          <w:szCs w:val="28"/>
        </w:rPr>
      </w:pPr>
    </w:p>
    <w:p>
      <w:pPr>
        <w:pStyle w:val="4"/>
        <w:tabs>
          <w:tab w:val="left" w:pos="0"/>
        </w:tabs>
        <w:spacing w:before="0" w:after="0" w:line="240" w:lineRule="atLeast"/>
        <w:jc w:val="both"/>
        <w:rPr>
          <w:rFonts w:ascii="仿宋" w:hAnsi="仿宋" w:eastAsia="仿宋" w:cs="仿宋"/>
          <w:b w:val="0"/>
          <w:sz w:val="28"/>
          <w:szCs w:val="28"/>
        </w:rPr>
      </w:pPr>
      <w:bookmarkStart w:id="409" w:name="_Toc4796"/>
      <w:bookmarkStart w:id="410" w:name="_Toc6865"/>
      <w:bookmarkStart w:id="411" w:name="_Toc515647833"/>
      <w:bookmarkStart w:id="412" w:name="_Toc4337"/>
    </w:p>
    <w:p/>
    <w:p>
      <w:pPr>
        <w:pStyle w:val="2"/>
      </w:pPr>
    </w:p>
    <w:p>
      <w:pPr>
        <w:pStyle w:val="2"/>
      </w:pPr>
    </w:p>
    <w:p>
      <w:pPr>
        <w:pStyle w:val="2"/>
      </w:pPr>
    </w:p>
    <w:p>
      <w:pPr>
        <w:pStyle w:val="2"/>
      </w:pPr>
    </w:p>
    <w:p>
      <w:pPr>
        <w:pStyle w:val="2"/>
      </w:pPr>
    </w:p>
    <w:p>
      <w:pPr>
        <w:pStyle w:val="2"/>
      </w:pPr>
    </w:p>
    <w:p>
      <w:pPr>
        <w:pStyle w:val="2"/>
      </w:pPr>
    </w:p>
    <w:p>
      <w:pPr>
        <w:pStyle w:val="4"/>
        <w:tabs>
          <w:tab w:val="left" w:pos="0"/>
        </w:tabs>
        <w:spacing w:before="0" w:after="0" w:line="240" w:lineRule="atLeast"/>
        <w:jc w:val="both"/>
        <w:rPr>
          <w:rFonts w:ascii="仿宋" w:hAnsi="仿宋" w:eastAsia="仿宋" w:cs="仿宋"/>
          <w:b w:val="0"/>
          <w:sz w:val="28"/>
          <w:szCs w:val="28"/>
        </w:rPr>
      </w:pPr>
    </w:p>
    <w:p>
      <w:pPr>
        <w:pStyle w:val="4"/>
        <w:tabs>
          <w:tab w:val="left" w:pos="0"/>
        </w:tabs>
        <w:spacing w:before="0" w:after="0" w:line="240" w:lineRule="atLeast"/>
        <w:rPr>
          <w:rFonts w:ascii="仿宋" w:hAnsi="仿宋" w:eastAsia="仿宋"/>
        </w:rPr>
      </w:pPr>
      <w:bookmarkStart w:id="413" w:name="_Toc15987"/>
      <w:r>
        <w:rPr>
          <w:rFonts w:hint="eastAsia" w:ascii="仿宋" w:hAnsi="仿宋" w:eastAsia="仿宋" w:cs="仿宋"/>
          <w:szCs w:val="32"/>
        </w:rPr>
        <w:t xml:space="preserve">第6章   </w:t>
      </w:r>
      <w:bookmarkEnd w:id="407"/>
      <w:bookmarkEnd w:id="409"/>
      <w:bookmarkEnd w:id="410"/>
      <w:bookmarkEnd w:id="411"/>
      <w:bookmarkEnd w:id="412"/>
      <w:bookmarkStart w:id="414" w:name="_Toc24175"/>
      <w:bookmarkStart w:id="415" w:name="_Toc331685783"/>
      <w:r>
        <w:rPr>
          <w:rFonts w:hint="eastAsia" w:ascii="仿宋" w:hAnsi="仿宋" w:eastAsia="仿宋"/>
        </w:rPr>
        <w:t>政府采购合同</w:t>
      </w:r>
      <w:bookmarkEnd w:id="413"/>
      <w:bookmarkEnd w:id="414"/>
      <w:bookmarkStart w:id="416" w:name="_Hlt487972895"/>
      <w:bookmarkEnd w:id="416"/>
      <w:bookmarkStart w:id="417" w:name="_Toc487900382"/>
      <w:bookmarkStart w:id="418" w:name="_Toc216513788"/>
    </w:p>
    <w:bookmarkEnd w:id="417"/>
    <w:bookmarkEnd w:id="418"/>
    <w:p>
      <w:pPr>
        <w:rPr>
          <w:rFonts w:ascii="仿宋" w:hAnsi="仿宋" w:eastAsia="仿宋"/>
        </w:rPr>
      </w:pPr>
    </w:p>
    <w:p>
      <w:pPr>
        <w:rPr>
          <w:rFonts w:ascii="仿宋" w:hAnsi="仿宋" w:eastAsia="仿宋"/>
          <w:sz w:val="24"/>
          <w:u w:val="single"/>
        </w:rPr>
      </w:pPr>
      <w:r>
        <w:rPr>
          <w:rFonts w:hint="eastAsia" w:ascii="仿宋" w:hAnsi="仿宋" w:eastAsia="仿宋"/>
          <w:sz w:val="24"/>
        </w:rPr>
        <w:t>合同编号：</w:t>
      </w:r>
      <w:r>
        <w:rPr>
          <w:rFonts w:ascii="仿宋" w:hAnsi="仿宋" w:eastAsia="仿宋"/>
          <w:sz w:val="24"/>
          <w:u w:val="single"/>
        </w:rPr>
        <w:t xml:space="preserve">           </w:t>
      </w:r>
    </w:p>
    <w:p>
      <w:pPr>
        <w:spacing w:line="480" w:lineRule="auto"/>
        <w:jc w:val="center"/>
        <w:rPr>
          <w:rFonts w:ascii="仿宋" w:hAnsi="仿宋" w:eastAsia="仿宋"/>
          <w:b/>
          <w:sz w:val="28"/>
          <w:szCs w:val="28"/>
        </w:rPr>
      </w:pPr>
    </w:p>
    <w:p>
      <w:pPr>
        <w:spacing w:line="480" w:lineRule="auto"/>
        <w:jc w:val="center"/>
        <w:rPr>
          <w:rFonts w:ascii="仿宋" w:hAnsi="仿宋" w:eastAsia="仿宋"/>
          <w:b/>
          <w:sz w:val="28"/>
          <w:szCs w:val="28"/>
        </w:rPr>
      </w:pPr>
    </w:p>
    <w:p>
      <w:pPr>
        <w:spacing w:line="480" w:lineRule="auto"/>
        <w:jc w:val="center"/>
        <w:rPr>
          <w:rFonts w:ascii="仿宋" w:hAnsi="仿宋" w:eastAsia="仿宋"/>
          <w:b/>
          <w:sz w:val="28"/>
          <w:szCs w:val="28"/>
        </w:rPr>
      </w:pPr>
    </w:p>
    <w:p>
      <w:pPr>
        <w:spacing w:line="480" w:lineRule="auto"/>
        <w:jc w:val="center"/>
        <w:rPr>
          <w:rFonts w:ascii="仿宋" w:hAnsi="仿宋" w:eastAsia="仿宋"/>
          <w:b/>
          <w:sz w:val="24"/>
        </w:rPr>
      </w:pPr>
      <w:r>
        <w:rPr>
          <w:rFonts w:hint="eastAsia" w:ascii="仿宋" w:hAnsi="仿宋" w:eastAsia="仿宋"/>
          <w:b/>
          <w:sz w:val="44"/>
          <w:szCs w:val="44"/>
        </w:rPr>
        <w:t>政府采购合同</w:t>
      </w:r>
    </w:p>
    <w:p>
      <w:pPr>
        <w:pStyle w:val="20"/>
        <w:ind w:firstLine="0"/>
        <w:rPr>
          <w:rFonts w:ascii="仿宋" w:hAnsi="仿宋" w:eastAsia="仿宋"/>
          <w:szCs w:val="24"/>
        </w:rPr>
      </w:pPr>
    </w:p>
    <w:p>
      <w:pPr>
        <w:pStyle w:val="20"/>
        <w:ind w:firstLine="0"/>
        <w:rPr>
          <w:rFonts w:ascii="仿宋" w:hAnsi="仿宋" w:eastAsia="仿宋"/>
          <w:szCs w:val="24"/>
        </w:rPr>
      </w:pPr>
    </w:p>
    <w:p>
      <w:pPr>
        <w:pStyle w:val="20"/>
        <w:ind w:firstLine="0"/>
        <w:rPr>
          <w:rFonts w:ascii="仿宋" w:hAnsi="仿宋" w:eastAsia="仿宋"/>
          <w:szCs w:val="24"/>
        </w:rPr>
      </w:pPr>
    </w:p>
    <w:p>
      <w:pPr>
        <w:pStyle w:val="5"/>
        <w:keepNext w:val="0"/>
        <w:keepLines w:val="0"/>
        <w:spacing w:before="0" w:line="240" w:lineRule="atLeast"/>
        <w:ind w:left="1080" w:leftChars="257" w:hanging="540"/>
        <w:rPr>
          <w:rFonts w:ascii="仿宋" w:hAnsi="仿宋" w:eastAsia="仿宋"/>
          <w:color w:val="000000"/>
          <w:sz w:val="28"/>
        </w:rPr>
      </w:pPr>
      <w:bookmarkStart w:id="419" w:name="_Toc29173"/>
      <w:bookmarkStart w:id="420" w:name="_Toc17029"/>
      <w:r>
        <w:rPr>
          <w:rFonts w:hint="eastAsia" w:ascii="仿宋" w:hAnsi="仿宋" w:eastAsia="仿宋"/>
          <w:color w:val="000000"/>
          <w:sz w:val="28"/>
        </w:rPr>
        <w:t>第一部分</w:t>
      </w:r>
      <w:r>
        <w:rPr>
          <w:rFonts w:ascii="仿宋" w:hAnsi="仿宋" w:eastAsia="仿宋"/>
          <w:color w:val="000000"/>
          <w:sz w:val="28"/>
        </w:rPr>
        <w:t xml:space="preserve"> </w:t>
      </w:r>
      <w:r>
        <w:rPr>
          <w:rFonts w:hint="eastAsia" w:ascii="仿宋" w:hAnsi="仿宋" w:eastAsia="仿宋"/>
          <w:color w:val="000000"/>
          <w:sz w:val="28"/>
        </w:rPr>
        <w:t>合同书</w:t>
      </w:r>
      <w:bookmarkEnd w:id="419"/>
      <w:bookmarkEnd w:id="420"/>
    </w:p>
    <w:p>
      <w:pPr>
        <w:pStyle w:val="20"/>
        <w:ind w:firstLine="0"/>
        <w:rPr>
          <w:rFonts w:ascii="仿宋" w:hAnsi="仿宋" w:eastAsia="仿宋"/>
          <w:szCs w:val="24"/>
        </w:rPr>
      </w:pPr>
    </w:p>
    <w:p>
      <w:pPr>
        <w:pStyle w:val="20"/>
        <w:ind w:firstLine="0"/>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1"/>
        <w:spacing w:before="120" w:line="22" w:lineRule="atLeast"/>
        <w:rPr>
          <w:rFonts w:ascii="仿宋" w:hAnsi="仿宋" w:eastAsia="仿宋"/>
          <w:szCs w:val="24"/>
        </w:rPr>
      </w:pPr>
    </w:p>
    <w:p>
      <w:pPr>
        <w:pStyle w:val="21"/>
        <w:spacing w:before="120" w:line="22" w:lineRule="atLeast"/>
        <w:rPr>
          <w:rFonts w:ascii="仿宋" w:hAnsi="仿宋" w:eastAsia="仿宋"/>
          <w:szCs w:val="24"/>
        </w:rPr>
      </w:pPr>
    </w:p>
    <w:p>
      <w:pPr>
        <w:rPr>
          <w:rFonts w:ascii="仿宋" w:hAnsi="仿宋" w:eastAsia="仿宋"/>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ind w:left="540" w:leftChars="257" w:firstLine="562" w:firstLineChars="200"/>
        <w:rPr>
          <w:rFonts w:ascii="仿宋" w:hAnsi="仿宋" w:eastAsia="仿宋" w:cs="仿宋"/>
          <w:b/>
          <w:bCs/>
          <w:snapToGrid w:val="0"/>
          <w:sz w:val="28"/>
          <w:szCs w:val="28"/>
        </w:rPr>
      </w:pPr>
    </w:p>
    <w:p>
      <w:pPr>
        <w:pStyle w:val="7"/>
        <w:adjustRightInd w:val="0"/>
        <w:snapToGrid w:val="0"/>
        <w:spacing w:line="240" w:lineRule="auto"/>
        <w:ind w:firstLine="562" w:firstLineChars="200"/>
        <w:rPr>
          <w:rFonts w:ascii="仿宋" w:hAnsi="仿宋" w:eastAsia="仿宋" w:cs="仿宋"/>
          <w:b/>
          <w:bCs/>
          <w:snapToGrid w:val="0"/>
          <w:sz w:val="28"/>
          <w:szCs w:val="28"/>
        </w:rPr>
      </w:pPr>
    </w:p>
    <w:p>
      <w:pPr>
        <w:pStyle w:val="7"/>
        <w:adjustRightInd w:val="0"/>
        <w:snapToGrid w:val="0"/>
        <w:spacing w:line="240" w:lineRule="auto"/>
        <w:ind w:firstLine="562" w:firstLineChars="200"/>
        <w:jc w:val="center"/>
        <w:rPr>
          <w:rFonts w:ascii="仿宋" w:hAnsi="仿宋" w:eastAsia="仿宋" w:cs="仿宋"/>
          <w:b/>
          <w:bCs/>
          <w:snapToGrid w:val="0"/>
          <w:sz w:val="28"/>
          <w:szCs w:val="28"/>
        </w:rPr>
      </w:pPr>
    </w:p>
    <w:p>
      <w:pPr>
        <w:pStyle w:val="7"/>
        <w:adjustRightInd w:val="0"/>
        <w:snapToGrid w:val="0"/>
        <w:spacing w:line="240" w:lineRule="auto"/>
        <w:ind w:firstLine="3654" w:firstLineChars="1300"/>
        <w:rPr>
          <w:rFonts w:ascii="仿宋" w:hAnsi="仿宋" w:eastAsia="仿宋" w:cs="仿宋"/>
          <w:b/>
          <w:bCs/>
          <w:snapToGrid w:val="0"/>
          <w:sz w:val="28"/>
          <w:szCs w:val="28"/>
        </w:rPr>
      </w:pPr>
    </w:p>
    <w:p>
      <w:pPr>
        <w:pStyle w:val="7"/>
        <w:adjustRightInd w:val="0"/>
        <w:snapToGrid w:val="0"/>
        <w:spacing w:line="240" w:lineRule="auto"/>
        <w:ind w:firstLine="3654" w:firstLineChars="1300"/>
        <w:rPr>
          <w:rFonts w:ascii="仿宋" w:hAnsi="仿宋" w:eastAsia="仿宋" w:cs="仿宋"/>
          <w:b/>
          <w:bCs/>
          <w:snapToGrid w:val="0"/>
          <w:sz w:val="28"/>
          <w:szCs w:val="28"/>
        </w:rPr>
      </w:pPr>
      <w:r>
        <w:rPr>
          <w:rFonts w:hint="eastAsia" w:ascii="仿宋" w:hAnsi="仿宋" w:eastAsia="仿宋" w:cs="仿宋"/>
          <w:b/>
          <w:bCs/>
          <w:snapToGrid w:val="0"/>
          <w:sz w:val="28"/>
          <w:szCs w:val="28"/>
        </w:rPr>
        <w:t>合  同  书</w:t>
      </w:r>
    </w:p>
    <w:p>
      <w:pPr>
        <w:pStyle w:val="7"/>
        <w:tabs>
          <w:tab w:val="left" w:pos="1565"/>
          <w:tab w:val="left" w:pos="4085"/>
          <w:tab w:val="clear" w:pos="567"/>
        </w:tabs>
        <w:adjustRightInd w:val="0"/>
        <w:snapToGrid w:val="0"/>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napToGrid w:val="0"/>
          <w:spacing w:val="-5"/>
          <w:sz w:val="28"/>
          <w:szCs w:val="28"/>
        </w:rPr>
        <w:t>（</w:t>
      </w:r>
      <w:r>
        <w:rPr>
          <w:rFonts w:hint="eastAsia" w:ascii="仿宋" w:hAnsi="仿宋" w:eastAsia="仿宋" w:cs="仿宋"/>
          <w:snapToGrid w:val="0"/>
          <w:sz w:val="28"/>
          <w:szCs w:val="28"/>
        </w:rPr>
        <w:t>采购</w:t>
      </w:r>
      <w:r>
        <w:rPr>
          <w:rFonts w:hint="eastAsia" w:ascii="仿宋" w:hAnsi="仿宋" w:eastAsia="仿宋" w:cs="仿宋"/>
          <w:snapToGrid w:val="0"/>
          <w:spacing w:val="-5"/>
          <w:sz w:val="28"/>
          <w:szCs w:val="28"/>
        </w:rPr>
        <w:t>人</w:t>
      </w:r>
      <w:r>
        <w:rPr>
          <w:rFonts w:hint="eastAsia" w:ascii="仿宋" w:hAnsi="仿宋" w:eastAsia="仿宋" w:cs="仿宋"/>
          <w:snapToGrid w:val="0"/>
          <w:sz w:val="28"/>
          <w:szCs w:val="28"/>
        </w:rPr>
        <w:t xml:space="preserve">）    </w:t>
      </w:r>
    </w:p>
    <w:p>
      <w:pPr>
        <w:pStyle w:val="7"/>
        <w:tabs>
          <w:tab w:val="left" w:pos="1565"/>
          <w:tab w:val="left" w:pos="4085"/>
          <w:tab w:val="clear" w:pos="567"/>
        </w:tabs>
        <w:adjustRightInd w:val="0"/>
        <w:snapToGrid w:val="0"/>
        <w:spacing w:line="240" w:lineRule="auto"/>
        <w:ind w:firstLine="560" w:firstLineChars="200"/>
        <w:rPr>
          <w:rFonts w:ascii="仿宋" w:hAnsi="仿宋" w:eastAsia="仿宋" w:cs="仿宋"/>
          <w:snapToGrid w:val="0"/>
          <w:sz w:val="28"/>
          <w:szCs w:val="28"/>
          <w:u w:val="single"/>
        </w:rPr>
      </w:pPr>
      <w:r>
        <w:rPr>
          <w:rFonts w:hint="eastAsia" w:ascii="仿宋" w:hAnsi="仿宋" w:eastAsia="仿宋" w:cs="仿宋"/>
          <w:sz w:val="28"/>
          <w:szCs w:val="28"/>
        </w:rPr>
        <w:t>乙方：</w:t>
      </w:r>
      <w:r>
        <w:rPr>
          <w:rFonts w:hint="eastAsia" w:ascii="仿宋" w:hAnsi="仿宋" w:eastAsia="仿宋" w:cs="仿宋"/>
          <w:snapToGrid w:val="0"/>
          <w:sz w:val="28"/>
          <w:szCs w:val="28"/>
        </w:rPr>
        <w:t>（</w:t>
      </w:r>
      <w:r>
        <w:rPr>
          <w:rFonts w:hint="eastAsia" w:ascii="仿宋" w:hAnsi="仿宋" w:eastAsia="仿宋" w:cs="仿宋"/>
          <w:snapToGrid w:val="0"/>
          <w:spacing w:val="-5"/>
          <w:sz w:val="28"/>
          <w:szCs w:val="28"/>
        </w:rPr>
        <w:t>成</w:t>
      </w:r>
      <w:r>
        <w:rPr>
          <w:rFonts w:hint="eastAsia" w:ascii="仿宋" w:hAnsi="仿宋" w:eastAsia="仿宋" w:cs="仿宋"/>
          <w:snapToGrid w:val="0"/>
          <w:sz w:val="28"/>
          <w:szCs w:val="28"/>
        </w:rPr>
        <w:t>交</w:t>
      </w:r>
      <w:r>
        <w:rPr>
          <w:rFonts w:hint="eastAsia" w:ascii="仿宋" w:hAnsi="仿宋" w:eastAsia="仿宋" w:cs="仿宋"/>
          <w:snapToGrid w:val="0"/>
          <w:spacing w:val="-5"/>
          <w:sz w:val="28"/>
          <w:szCs w:val="28"/>
        </w:rPr>
        <w:t>供</w:t>
      </w:r>
      <w:r>
        <w:rPr>
          <w:rFonts w:hint="eastAsia" w:ascii="仿宋" w:hAnsi="仿宋" w:eastAsia="仿宋" w:cs="仿宋"/>
          <w:snapToGrid w:val="0"/>
          <w:sz w:val="28"/>
          <w:szCs w:val="28"/>
        </w:rPr>
        <w:t xml:space="preserve">应商）   </w:t>
      </w:r>
    </w:p>
    <w:p>
      <w:pPr>
        <w:pStyle w:val="8"/>
        <w:tabs>
          <w:tab w:val="left" w:pos="4678"/>
        </w:tabs>
        <w:adjustRightInd w:val="0"/>
        <w:snapToGrid w:val="0"/>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甲方所需</w:t>
      </w:r>
      <w:r>
        <w:rPr>
          <w:rFonts w:hint="eastAsia" w:ascii="仿宋" w:hAnsi="仿宋" w:eastAsia="仿宋" w:cs="仿宋"/>
          <w:b/>
          <w:bCs/>
          <w:iCs/>
          <w:color w:val="FF0000"/>
          <w:sz w:val="28"/>
          <w:szCs w:val="28"/>
          <w:u w:val="single"/>
        </w:rPr>
        <w:t xml:space="preserve">     </w:t>
      </w:r>
      <w:r>
        <w:rPr>
          <w:rFonts w:hint="eastAsia" w:ascii="仿宋" w:hAnsi="仿宋" w:eastAsia="仿宋" w:cs="仿宋"/>
          <w:sz w:val="28"/>
          <w:szCs w:val="28"/>
          <w:lang w:val="zh-CN"/>
        </w:rPr>
        <w:t>，经确定中标单位为</w:t>
      </w:r>
      <w:r>
        <w:rPr>
          <w:rFonts w:hint="eastAsia" w:ascii="仿宋" w:hAnsi="仿宋" w:eastAsia="仿宋" w:cs="仿宋"/>
          <w:b/>
          <w:bCs/>
          <w:snapToGrid w:val="0"/>
          <w:color w:val="FF0000"/>
          <w:sz w:val="28"/>
          <w:szCs w:val="28"/>
          <w:u w:val="single"/>
        </w:rPr>
        <w:t xml:space="preserve">      </w:t>
      </w:r>
      <w:r>
        <w:rPr>
          <w:rFonts w:hint="eastAsia" w:ascii="仿宋" w:hAnsi="仿宋" w:eastAsia="仿宋" w:cs="仿宋"/>
          <w:iCs/>
          <w:sz w:val="28"/>
          <w:szCs w:val="28"/>
          <w:lang w:val="zh-CN"/>
        </w:rPr>
        <w:t>（乙方）</w:t>
      </w:r>
      <w:r>
        <w:rPr>
          <w:rFonts w:hint="eastAsia" w:ascii="仿宋" w:hAnsi="仿宋" w:eastAsia="仿宋" w:cs="仿宋"/>
          <w:sz w:val="28"/>
          <w:szCs w:val="28"/>
          <w:lang w:val="zh-CN"/>
        </w:rPr>
        <w:t>。甲、乙、双方依据《中华人民共和国合同法》的规定，</w:t>
      </w:r>
      <w:r>
        <w:rPr>
          <w:rFonts w:hint="eastAsia" w:ascii="仿宋" w:hAnsi="仿宋" w:eastAsia="仿宋" w:cs="仿宋"/>
          <w:sz w:val="28"/>
          <w:szCs w:val="28"/>
        </w:rPr>
        <w:t>为了确保产品质量，</w:t>
      </w:r>
      <w:r>
        <w:rPr>
          <w:rFonts w:hint="eastAsia" w:ascii="仿宋" w:hAnsi="仿宋" w:eastAsia="仿宋" w:cs="仿宋"/>
          <w:sz w:val="28"/>
          <w:szCs w:val="28"/>
          <w:lang w:val="zh-CN"/>
        </w:rPr>
        <w:t>本着平等互利，等价有偿、协商一致之原则签订本合同，经甲、乙、双方充分协商，最终就供货达成如下条款：</w:t>
      </w:r>
    </w:p>
    <w:p>
      <w:pPr>
        <w:ind w:firstLine="562" w:firstLineChars="200"/>
        <w:rPr>
          <w:rFonts w:ascii="仿宋" w:hAnsi="仿宋" w:eastAsia="仿宋" w:cs="仿宋"/>
          <w:b/>
          <w:sz w:val="28"/>
          <w:szCs w:val="28"/>
        </w:rPr>
      </w:pPr>
      <w:r>
        <w:rPr>
          <w:rFonts w:hint="eastAsia" w:ascii="仿宋" w:hAnsi="仿宋" w:eastAsia="仿宋" w:cs="仿宋"/>
          <w:b/>
          <w:sz w:val="28"/>
          <w:szCs w:val="28"/>
        </w:rPr>
        <w:t>一、乙方所供设备名称、型号、数量及价格（见附件）</w:t>
      </w:r>
    </w:p>
    <w:p>
      <w:pPr>
        <w:ind w:firstLine="560" w:firstLineChars="200"/>
        <w:rPr>
          <w:rFonts w:ascii="仿宋" w:hAnsi="仿宋" w:eastAsia="仿宋" w:cs="仿宋"/>
          <w:sz w:val="28"/>
          <w:szCs w:val="28"/>
        </w:rPr>
      </w:pPr>
      <w:r>
        <w:rPr>
          <w:rFonts w:hint="eastAsia" w:ascii="仿宋" w:hAnsi="仿宋" w:eastAsia="仿宋" w:cs="仿宋"/>
          <w:sz w:val="28"/>
          <w:szCs w:val="28"/>
        </w:rPr>
        <w:t>1、招标过程中的甲方招标文件、变更说明、中标通知书、答疑记录、中标方的投标文件及其澄清文件等，均视为本合同的一部分。</w:t>
      </w:r>
    </w:p>
    <w:p>
      <w:pPr>
        <w:ind w:firstLine="560" w:firstLineChars="200"/>
        <w:rPr>
          <w:rFonts w:ascii="仿宋" w:hAnsi="仿宋" w:eastAsia="仿宋" w:cs="仿宋"/>
          <w:sz w:val="28"/>
          <w:szCs w:val="28"/>
        </w:rPr>
      </w:pPr>
      <w:r>
        <w:rPr>
          <w:rFonts w:hint="eastAsia" w:ascii="仿宋" w:hAnsi="仿宋" w:eastAsia="仿宋" w:cs="仿宋"/>
          <w:sz w:val="28"/>
          <w:szCs w:val="28"/>
        </w:rPr>
        <w:t>2、甲方在授予合同时有权在总价不变的情况下，对“标的清单”中的规定的设备数量和服务予以合理的增加或减少。</w:t>
      </w:r>
    </w:p>
    <w:p>
      <w:pPr>
        <w:ind w:firstLine="560" w:firstLineChars="200"/>
        <w:rPr>
          <w:rFonts w:ascii="仿宋" w:hAnsi="仿宋" w:eastAsia="仿宋" w:cs="仿宋"/>
          <w:sz w:val="28"/>
          <w:szCs w:val="28"/>
        </w:rPr>
      </w:pPr>
      <w:r>
        <w:rPr>
          <w:rFonts w:hint="eastAsia" w:ascii="仿宋" w:hAnsi="仿宋" w:eastAsia="仿宋" w:cs="仿宋"/>
          <w:sz w:val="28"/>
          <w:szCs w:val="28"/>
        </w:rPr>
        <w:t>3、乙方供货产品必须注明产品产地、材质或商标。</w:t>
      </w:r>
    </w:p>
    <w:p>
      <w:pPr>
        <w:ind w:firstLine="560" w:firstLineChars="200"/>
        <w:rPr>
          <w:rFonts w:ascii="仿宋" w:hAnsi="仿宋" w:eastAsia="仿宋" w:cs="仿宋"/>
          <w:sz w:val="28"/>
          <w:szCs w:val="28"/>
        </w:rPr>
      </w:pPr>
      <w:r>
        <w:rPr>
          <w:rFonts w:hint="eastAsia" w:ascii="仿宋" w:hAnsi="仿宋" w:eastAsia="仿宋" w:cs="仿宋"/>
          <w:sz w:val="28"/>
          <w:szCs w:val="28"/>
        </w:rPr>
        <w:t>4、产品的技术标准（包括质量要求）</w:t>
      </w:r>
    </w:p>
    <w:p>
      <w:pPr>
        <w:ind w:firstLine="560" w:firstLineChars="200"/>
        <w:rPr>
          <w:rFonts w:ascii="仿宋" w:hAnsi="仿宋" w:eastAsia="仿宋" w:cs="仿宋"/>
          <w:sz w:val="28"/>
          <w:szCs w:val="28"/>
        </w:rPr>
      </w:pPr>
      <w:r>
        <w:rPr>
          <w:rFonts w:hint="eastAsia" w:ascii="仿宋" w:hAnsi="仿宋" w:eastAsia="仿宋" w:cs="仿宋"/>
          <w:sz w:val="28"/>
          <w:szCs w:val="28"/>
        </w:rPr>
        <w:t>乙方所供产品的规格、质量和数量按照甲方标书文件所列标准执行，未列产品标准的，按照行业标准或省级以上标准执行。如甲方有特殊要求的，按甲乙双方在合同中商定的技术条件或补充的技术要求执行。（在合同附加条款中注明执行的标准代号、编号和标准名称）。</w:t>
      </w:r>
    </w:p>
    <w:p>
      <w:pPr>
        <w:ind w:firstLine="560" w:firstLineChars="200"/>
        <w:rPr>
          <w:rFonts w:ascii="仿宋" w:hAnsi="仿宋" w:eastAsia="仿宋" w:cs="仿宋"/>
          <w:sz w:val="28"/>
          <w:szCs w:val="28"/>
        </w:rPr>
      </w:pPr>
      <w:r>
        <w:rPr>
          <w:rFonts w:hint="eastAsia" w:ascii="仿宋" w:hAnsi="仿宋" w:eastAsia="仿宋" w:cs="仿宋"/>
          <w:sz w:val="28"/>
          <w:szCs w:val="28"/>
        </w:rPr>
        <w:t>5、产品交货数量在运输途中意外损坏或减量一律由乙方承担。</w:t>
      </w:r>
    </w:p>
    <w:p>
      <w:pPr>
        <w:ind w:firstLine="560" w:firstLineChars="200"/>
        <w:rPr>
          <w:rFonts w:ascii="仿宋" w:hAnsi="仿宋" w:eastAsia="仿宋" w:cs="仿宋"/>
          <w:sz w:val="28"/>
          <w:szCs w:val="28"/>
        </w:rPr>
      </w:pPr>
      <w:r>
        <w:rPr>
          <w:rFonts w:hint="eastAsia" w:ascii="仿宋" w:hAnsi="仿宋" w:eastAsia="仿宋" w:cs="仿宋"/>
          <w:sz w:val="28"/>
          <w:szCs w:val="28"/>
        </w:rPr>
        <w:t>6、乙方必须负责提供不少于供货总数的1%的成品备品备件和5%的部分配件，须交由喀什市教育局封存，以备以后不时之需。</w:t>
      </w:r>
    </w:p>
    <w:p>
      <w:pPr>
        <w:ind w:firstLine="562" w:firstLineChars="200"/>
        <w:rPr>
          <w:rFonts w:ascii="仿宋" w:hAnsi="仿宋" w:eastAsia="仿宋" w:cs="仿宋"/>
          <w:b/>
          <w:bCs/>
          <w:sz w:val="28"/>
          <w:szCs w:val="28"/>
          <w:lang w:val="zh-CN"/>
        </w:rPr>
      </w:pPr>
      <w:r>
        <w:rPr>
          <w:rFonts w:hint="eastAsia" w:ascii="仿宋" w:hAnsi="仿宋" w:eastAsia="仿宋" w:cs="仿宋"/>
          <w:b/>
          <w:sz w:val="28"/>
          <w:szCs w:val="28"/>
          <w:lang w:val="zh-CN"/>
        </w:rPr>
        <w:t>二、供货中标金额及所含费用</w:t>
      </w:r>
    </w:p>
    <w:p>
      <w:pPr>
        <w:adjustRightInd w:val="0"/>
        <w:snapToGrid w:val="0"/>
        <w:ind w:left="-88" w:leftChars="-42" w:firstLine="560" w:firstLineChars="200"/>
        <w:rPr>
          <w:rFonts w:ascii="仿宋" w:hAnsi="仿宋" w:eastAsia="仿宋" w:cs="仿宋"/>
          <w:bCs/>
          <w:i/>
          <w:sz w:val="28"/>
          <w:szCs w:val="28"/>
        </w:rPr>
      </w:pPr>
      <w:r>
        <w:rPr>
          <w:rFonts w:hint="eastAsia" w:ascii="仿宋" w:hAnsi="仿宋" w:eastAsia="仿宋" w:cs="仿宋"/>
          <w:sz w:val="28"/>
          <w:szCs w:val="28"/>
          <w:lang w:val="zh-CN"/>
        </w:rPr>
        <w:t>乙方所供设备中标金额为</w:t>
      </w:r>
      <w:r>
        <w:rPr>
          <w:rFonts w:hint="eastAsia" w:ascii="仿宋" w:hAnsi="仿宋" w:eastAsia="仿宋" w:cs="仿宋"/>
          <w:b/>
          <w:iCs/>
          <w:sz w:val="28"/>
          <w:szCs w:val="28"/>
          <w:u w:val="single"/>
          <w:lang w:val="zh-CN"/>
        </w:rPr>
        <w:t>大写（</w:t>
      </w:r>
      <w:r>
        <w:rPr>
          <w:rFonts w:hint="eastAsia" w:ascii="仿宋" w:hAnsi="仿宋" w:eastAsia="仿宋" w:cs="仿宋"/>
          <w:b/>
          <w:iCs/>
          <w:sz w:val="28"/>
          <w:szCs w:val="28"/>
          <w:u w:val="single"/>
        </w:rPr>
        <w:t>人民币    ）：, 小写：（￥</w:t>
      </w:r>
      <w:r>
        <w:rPr>
          <w:rFonts w:hint="eastAsia" w:ascii="仿宋" w:hAnsi="仿宋" w:eastAsia="仿宋" w:cs="仿宋"/>
          <w:b/>
          <w:iCs/>
          <w:color w:val="FF0000"/>
          <w:sz w:val="28"/>
          <w:szCs w:val="28"/>
          <w:u w:val="single"/>
        </w:rPr>
        <w:t xml:space="preserve">       </w:t>
      </w:r>
      <w:r>
        <w:rPr>
          <w:rFonts w:hint="eastAsia" w:ascii="仿宋" w:hAnsi="仿宋" w:eastAsia="仿宋" w:cs="仿宋"/>
          <w:b/>
          <w:iCs/>
          <w:sz w:val="28"/>
          <w:szCs w:val="28"/>
          <w:u w:val="single"/>
        </w:rPr>
        <w:t>）元</w:t>
      </w:r>
      <w:r>
        <w:rPr>
          <w:rFonts w:hint="eastAsia" w:ascii="仿宋" w:hAnsi="仿宋" w:eastAsia="仿宋" w:cs="仿宋"/>
          <w:iCs/>
          <w:sz w:val="28"/>
          <w:szCs w:val="28"/>
        </w:rPr>
        <w:t>，</w:t>
      </w:r>
      <w:r>
        <w:rPr>
          <w:rFonts w:hint="eastAsia" w:ascii="仿宋" w:hAnsi="仿宋" w:eastAsia="仿宋" w:cs="仿宋"/>
          <w:sz w:val="28"/>
          <w:szCs w:val="28"/>
          <w:lang w:val="zh-CN"/>
        </w:rPr>
        <w:t>此金额中包含以下内容：</w:t>
      </w:r>
    </w:p>
    <w:p>
      <w:pPr>
        <w:adjustRightInd w:val="0"/>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1、所供设备价款；</w:t>
      </w:r>
    </w:p>
    <w:p>
      <w:pPr>
        <w:pStyle w:val="12"/>
        <w:ind w:firstLine="560" w:firstLineChars="200"/>
        <w:rPr>
          <w:rFonts w:ascii="仿宋" w:hAnsi="仿宋" w:eastAsia="仿宋" w:cs="仿宋"/>
          <w:sz w:val="28"/>
          <w:szCs w:val="28"/>
          <w:lang w:val="zh-CN"/>
        </w:rPr>
      </w:pPr>
    </w:p>
    <w:p>
      <w:pPr>
        <w:pStyle w:val="12"/>
        <w:ind w:firstLine="560" w:firstLineChars="200"/>
        <w:rPr>
          <w:rFonts w:ascii="仿宋" w:hAnsi="仿宋" w:eastAsia="仿宋" w:cs="仿宋"/>
          <w:sz w:val="28"/>
          <w:szCs w:val="28"/>
          <w:lang w:val="zh-CN"/>
        </w:rPr>
      </w:pPr>
    </w:p>
    <w:p>
      <w:pPr>
        <w:pStyle w:val="12"/>
        <w:ind w:firstLine="560" w:firstLineChars="200"/>
        <w:rPr>
          <w:rFonts w:ascii="仿宋" w:hAnsi="仿宋" w:eastAsia="仿宋" w:cs="仿宋"/>
          <w:sz w:val="28"/>
          <w:szCs w:val="28"/>
          <w:lang w:val="zh-CN"/>
        </w:rPr>
      </w:pPr>
    </w:p>
    <w:p>
      <w:pPr>
        <w:adjustRightInd w:val="0"/>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2、运输费、保险费、装卸费；</w:t>
      </w:r>
    </w:p>
    <w:p>
      <w:pPr>
        <w:adjustRightInd w:val="0"/>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3、协助安装、调试、施工费、验收费；</w:t>
      </w:r>
    </w:p>
    <w:p>
      <w:pPr>
        <w:adjustRightInd w:val="0"/>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4、“三包”及承诺售后服务费；</w:t>
      </w:r>
    </w:p>
    <w:p>
      <w:pPr>
        <w:adjustRightInd w:val="0"/>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5、各类税金。</w:t>
      </w:r>
    </w:p>
    <w:p>
      <w:pPr>
        <w:ind w:firstLine="562" w:firstLineChars="200"/>
        <w:rPr>
          <w:rFonts w:ascii="仿宋" w:hAnsi="仿宋" w:eastAsia="仿宋" w:cs="仿宋"/>
          <w:b/>
          <w:bCs/>
          <w:sz w:val="28"/>
          <w:szCs w:val="28"/>
          <w:lang w:val="zh-CN"/>
        </w:rPr>
      </w:pPr>
      <w:r>
        <w:rPr>
          <w:rFonts w:hint="eastAsia" w:ascii="仿宋" w:hAnsi="仿宋" w:eastAsia="仿宋" w:cs="仿宋"/>
          <w:b/>
          <w:sz w:val="28"/>
          <w:szCs w:val="28"/>
          <w:lang w:val="zh-CN"/>
        </w:rPr>
        <w:t>三、付款方式</w:t>
      </w:r>
    </w:p>
    <w:p>
      <w:pPr>
        <w:ind w:firstLine="560" w:firstLineChars="200"/>
        <w:rPr>
          <w:rFonts w:ascii="仿宋" w:hAnsi="仿宋" w:eastAsia="仿宋" w:cs="仿宋"/>
          <w:sz w:val="28"/>
          <w:szCs w:val="28"/>
        </w:rPr>
      </w:pPr>
      <w:r>
        <w:rPr>
          <w:rFonts w:hint="eastAsia" w:ascii="仿宋" w:hAnsi="仿宋" w:eastAsia="仿宋" w:cs="仿宋"/>
          <w:sz w:val="28"/>
          <w:szCs w:val="28"/>
        </w:rPr>
        <w:t>合同总价为</w:t>
      </w:r>
      <w:r>
        <w:rPr>
          <w:rFonts w:hint="eastAsia" w:ascii="仿宋" w:hAnsi="仿宋" w:eastAsia="仿宋" w:cs="仿宋"/>
          <w:b/>
          <w:sz w:val="28"/>
          <w:szCs w:val="28"/>
          <w:u w:val="single"/>
        </w:rPr>
        <w:t>人民币（￥：0</w:t>
      </w:r>
      <w:r>
        <w:rPr>
          <w:rFonts w:hint="eastAsia" w:ascii="仿宋" w:hAnsi="仿宋" w:eastAsia="仿宋" w:cs="仿宋"/>
          <w:b/>
          <w:iCs/>
          <w:color w:val="FF0000"/>
          <w:sz w:val="28"/>
          <w:szCs w:val="28"/>
          <w:u w:val="single"/>
        </w:rPr>
        <w:t>.00</w:t>
      </w:r>
      <w:r>
        <w:rPr>
          <w:rFonts w:hint="eastAsia" w:ascii="仿宋" w:hAnsi="仿宋" w:eastAsia="仿宋" w:cs="仿宋"/>
          <w:b/>
          <w:sz w:val="28"/>
          <w:szCs w:val="28"/>
          <w:u w:val="single"/>
        </w:rPr>
        <w:t>元）</w:t>
      </w:r>
      <w:r>
        <w:rPr>
          <w:rFonts w:hint="eastAsia" w:ascii="仿宋" w:hAnsi="仿宋" w:eastAsia="仿宋" w:cs="仿宋"/>
          <w:sz w:val="28"/>
          <w:szCs w:val="28"/>
          <w:u w:val="single"/>
        </w:rPr>
        <w:t>，</w:t>
      </w:r>
      <w:r>
        <w:rPr>
          <w:rFonts w:hint="eastAsia" w:ascii="仿宋" w:hAnsi="仿宋" w:eastAsia="仿宋" w:cs="仿宋"/>
          <w:b/>
          <w:iCs/>
          <w:sz w:val="28"/>
          <w:szCs w:val="28"/>
          <w:u w:val="single"/>
        </w:rPr>
        <w:t>大写（人民币）：</w:t>
      </w:r>
      <w:r>
        <w:rPr>
          <w:rFonts w:hint="eastAsia" w:ascii="仿宋" w:hAnsi="仿宋" w:eastAsia="仿宋" w:cs="仿宋"/>
          <w:sz w:val="28"/>
          <w:szCs w:val="28"/>
        </w:rPr>
        <w:t>。</w:t>
      </w:r>
    </w:p>
    <w:p>
      <w:pPr>
        <w:ind w:firstLine="562" w:firstLineChars="200"/>
        <w:rPr>
          <w:rFonts w:ascii="仿宋" w:hAnsi="仿宋" w:eastAsia="仿宋" w:cs="仿宋"/>
          <w:b/>
          <w:bCs/>
          <w:sz w:val="28"/>
          <w:szCs w:val="28"/>
          <w:lang w:val="zh-CN"/>
        </w:rPr>
      </w:pPr>
      <w:r>
        <w:rPr>
          <w:rFonts w:hint="eastAsia" w:ascii="仿宋" w:hAnsi="仿宋" w:eastAsia="仿宋" w:cs="仿宋"/>
          <w:b/>
          <w:sz w:val="28"/>
          <w:szCs w:val="28"/>
          <w:lang w:val="zh-CN"/>
        </w:rPr>
        <w:t>四、交货日期</w:t>
      </w:r>
    </w:p>
    <w:p>
      <w:pPr>
        <w:adjustRightInd w:val="0"/>
        <w:snapToGrid w:val="0"/>
        <w:ind w:firstLine="560" w:firstLineChars="200"/>
        <w:textAlignment w:val="baseline"/>
        <w:rPr>
          <w:rFonts w:ascii="仿宋" w:hAnsi="仿宋" w:eastAsia="仿宋" w:cs="仿宋"/>
          <w:iCs/>
          <w:sz w:val="28"/>
          <w:szCs w:val="28"/>
          <w:lang w:val="zh-CN"/>
        </w:rPr>
      </w:pPr>
      <w:r>
        <w:rPr>
          <w:rFonts w:hint="eastAsia" w:ascii="仿宋" w:hAnsi="仿宋" w:eastAsia="仿宋" w:cs="仿宋"/>
          <w:iCs/>
          <w:sz w:val="28"/>
          <w:szCs w:val="28"/>
          <w:lang w:val="zh-CN"/>
        </w:rPr>
        <w:t>1、乙方必须在签订合同后，接到甲方供货要求后，于</w:t>
      </w:r>
      <w:r>
        <w:rPr>
          <w:rFonts w:hint="eastAsia" w:ascii="仿宋" w:hAnsi="仿宋" w:eastAsia="仿宋" w:cs="仿宋"/>
          <w:b/>
          <w:bCs/>
          <w:iCs/>
          <w:color w:val="FF0000"/>
          <w:sz w:val="28"/>
          <w:szCs w:val="28"/>
          <w:u w:val="single"/>
        </w:rPr>
        <w:t xml:space="preserve">    </w:t>
      </w:r>
      <w:r>
        <w:rPr>
          <w:rFonts w:hint="eastAsia" w:ascii="仿宋" w:hAnsi="仿宋" w:eastAsia="仿宋" w:cs="仿宋"/>
          <w:iCs/>
          <w:sz w:val="28"/>
          <w:szCs w:val="28"/>
          <w:lang w:val="zh-CN"/>
        </w:rPr>
        <w:t>完成全部货物供应安装。乙方对交货日期要求如有变更，应提前5日以书面形式通知甲方，并征得甲方同意后方可变更。否则，变更无效。</w:t>
      </w:r>
    </w:p>
    <w:p>
      <w:pPr>
        <w:adjustRightInd w:val="0"/>
        <w:snapToGrid w:val="0"/>
        <w:ind w:firstLine="560" w:firstLineChars="200"/>
        <w:textAlignment w:val="baseline"/>
        <w:rPr>
          <w:rFonts w:ascii="仿宋" w:hAnsi="仿宋" w:eastAsia="仿宋" w:cs="仿宋"/>
          <w:sz w:val="28"/>
          <w:szCs w:val="28"/>
          <w:lang w:val="zh-CN"/>
        </w:rPr>
      </w:pPr>
      <w:r>
        <w:rPr>
          <w:rFonts w:hint="eastAsia" w:ascii="仿宋" w:hAnsi="仿宋" w:eastAsia="仿宋" w:cs="仿宋"/>
          <w:sz w:val="28"/>
          <w:szCs w:val="28"/>
          <w:lang w:val="zh-CN"/>
        </w:rPr>
        <w:t>2、产品的包装标准和包装物的供应</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乙方所供产品的包装，按国家或行业部门技术规定执行，产品的包装物、产品的包装费用由乙方负责。不得向甲方另外收取包装费用。</w:t>
      </w:r>
    </w:p>
    <w:p>
      <w:pPr>
        <w:ind w:firstLine="562" w:firstLineChars="200"/>
        <w:rPr>
          <w:rFonts w:ascii="仿宋" w:hAnsi="仿宋" w:eastAsia="仿宋" w:cs="仿宋"/>
          <w:b/>
          <w:bCs/>
          <w:sz w:val="28"/>
          <w:szCs w:val="28"/>
        </w:rPr>
      </w:pPr>
      <w:r>
        <w:rPr>
          <w:rFonts w:hint="eastAsia" w:ascii="仿宋" w:hAnsi="仿宋" w:eastAsia="仿宋" w:cs="仿宋"/>
          <w:b/>
          <w:sz w:val="28"/>
          <w:szCs w:val="28"/>
          <w:lang w:val="zh-CN"/>
        </w:rPr>
        <w:t>五、</w:t>
      </w:r>
      <w:r>
        <w:rPr>
          <w:rFonts w:hint="eastAsia" w:ascii="仿宋" w:hAnsi="仿宋" w:eastAsia="仿宋" w:cs="仿宋"/>
          <w:b/>
          <w:sz w:val="28"/>
          <w:szCs w:val="28"/>
        </w:rPr>
        <w:t>产品的交货单位、交货方法、运输方式、 到货地点</w:t>
      </w:r>
    </w:p>
    <w:p>
      <w:pPr>
        <w:adjustRightInd w:val="0"/>
        <w:snapToGrid w:val="0"/>
        <w:ind w:firstLine="560" w:firstLineChars="200"/>
        <w:textAlignment w:val="baseline"/>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b/>
          <w:sz w:val="28"/>
          <w:szCs w:val="28"/>
          <w:lang w:val="zh-CN"/>
        </w:rPr>
        <w:t>到货地点和接货单位：</w:t>
      </w:r>
      <w:r>
        <w:rPr>
          <w:rFonts w:hint="eastAsia" w:ascii="仿宋" w:hAnsi="仿宋" w:eastAsia="仿宋" w:cs="仿宋"/>
          <w:color w:val="FF0000"/>
          <w:sz w:val="28"/>
          <w:szCs w:val="28"/>
          <w:u w:val="single"/>
        </w:rPr>
        <w:t xml:space="preserve">              </w:t>
      </w:r>
      <w:r>
        <w:rPr>
          <w:rFonts w:hint="eastAsia" w:ascii="仿宋" w:hAnsi="仿宋" w:eastAsia="仿宋" w:cs="仿宋"/>
          <w:sz w:val="28"/>
          <w:szCs w:val="28"/>
          <w:lang w:val="zh-CN"/>
        </w:rPr>
        <w:t>。</w:t>
      </w:r>
    </w:p>
    <w:p>
      <w:pPr>
        <w:adjustRightInd w:val="0"/>
        <w:snapToGrid w:val="0"/>
        <w:ind w:firstLine="560" w:firstLineChars="200"/>
        <w:textAlignment w:val="baseline"/>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b/>
          <w:sz w:val="28"/>
          <w:szCs w:val="28"/>
          <w:lang w:val="zh-CN"/>
        </w:rPr>
        <w:t>交货方法：</w:t>
      </w:r>
      <w:r>
        <w:rPr>
          <w:rFonts w:hint="eastAsia" w:ascii="仿宋" w:hAnsi="仿宋" w:eastAsia="仿宋" w:cs="仿宋"/>
          <w:sz w:val="28"/>
          <w:szCs w:val="28"/>
          <w:lang w:val="zh-CN"/>
        </w:rPr>
        <w:t>乙方需把中标货物送到甲方指定的地点。乙方如果不能按照标书中规定日期之前把合格的中标货物送到指定地点，视为供应商不能履行合同，甲方有权没收供应商的投标保证金及履约保证金，并依法解除与该供应商签定的合同。</w:t>
      </w:r>
    </w:p>
    <w:p>
      <w:pPr>
        <w:ind w:firstLine="560" w:firstLineChars="200"/>
        <w:rPr>
          <w:rFonts w:ascii="仿宋" w:hAnsi="仿宋" w:eastAsia="仿宋" w:cs="仿宋"/>
          <w:sz w:val="28"/>
          <w:szCs w:val="28"/>
        </w:rPr>
      </w:pPr>
      <w:r>
        <w:rPr>
          <w:rFonts w:hint="eastAsia" w:ascii="仿宋" w:hAnsi="仿宋" w:eastAsia="仿宋" w:cs="仿宋"/>
          <w:sz w:val="28"/>
          <w:szCs w:val="28"/>
        </w:rPr>
        <w:t>3、甲方如要变更到货地点，应在合同规定的交货期限前5天通知乙方，以便乙方变更运输计划。产品的运输和装卸费用由乙方承担。</w:t>
      </w:r>
    </w:p>
    <w:p>
      <w:pPr>
        <w:ind w:firstLine="562" w:firstLineChars="200"/>
        <w:rPr>
          <w:rFonts w:ascii="仿宋" w:hAnsi="仿宋" w:eastAsia="仿宋" w:cs="仿宋"/>
          <w:b/>
          <w:bCs/>
          <w:sz w:val="28"/>
          <w:szCs w:val="28"/>
          <w:lang w:val="zh-CN"/>
        </w:rPr>
      </w:pPr>
      <w:r>
        <w:rPr>
          <w:rFonts w:hint="eastAsia" w:ascii="仿宋" w:hAnsi="仿宋" w:eastAsia="仿宋" w:cs="仿宋"/>
          <w:b/>
          <w:sz w:val="28"/>
          <w:szCs w:val="28"/>
          <w:lang w:val="zh-CN"/>
        </w:rPr>
        <w:t>六、 产品质量保证：</w:t>
      </w:r>
    </w:p>
    <w:p>
      <w:pPr>
        <w:adjustRightInd w:val="0"/>
        <w:ind w:left="105" w:leftChars="50" w:firstLine="560" w:firstLineChars="200"/>
        <w:rPr>
          <w:rFonts w:ascii="仿宋" w:hAnsi="仿宋" w:eastAsia="仿宋" w:cs="仿宋"/>
          <w:sz w:val="28"/>
          <w:szCs w:val="28"/>
          <w:lang w:val="zh-CN"/>
        </w:rPr>
      </w:pPr>
      <w:r>
        <w:rPr>
          <w:rFonts w:hint="eastAsia" w:ascii="仿宋" w:hAnsi="仿宋" w:eastAsia="仿宋" w:cs="仿宋"/>
          <w:sz w:val="28"/>
          <w:szCs w:val="28"/>
          <w:lang w:val="zh-CN"/>
        </w:rPr>
        <w:t>1、乙方提供的所有设备必须保证是原装正品。</w:t>
      </w:r>
    </w:p>
    <w:p>
      <w:pPr>
        <w:adjustRightInd w:val="0"/>
        <w:ind w:left="105" w:leftChars="50" w:firstLine="560" w:firstLineChars="200"/>
        <w:rPr>
          <w:rFonts w:ascii="仿宋" w:hAnsi="仿宋" w:eastAsia="仿宋" w:cs="仿宋"/>
          <w:sz w:val="28"/>
          <w:szCs w:val="28"/>
          <w:lang w:val="zh-CN"/>
        </w:rPr>
      </w:pPr>
      <w:r>
        <w:rPr>
          <w:rFonts w:hint="eastAsia" w:ascii="仿宋" w:hAnsi="仿宋" w:eastAsia="仿宋" w:cs="仿宋"/>
          <w:sz w:val="28"/>
          <w:szCs w:val="28"/>
          <w:lang w:val="zh-CN"/>
        </w:rPr>
        <w:t>2、乙方所供设备的型号、数量、规格及技术要求必须与合同中所规定的技术要求条款相一致。</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lang w:val="zh-CN"/>
        </w:rPr>
        <w:t>3、甲方对所有设备均请专家验收，若发现产品不属正品、质量有问题，</w:t>
      </w:r>
      <w:r>
        <w:rPr>
          <w:rFonts w:hint="eastAsia" w:ascii="仿宋" w:hAnsi="仿宋" w:eastAsia="仿宋" w:cs="仿宋"/>
          <w:sz w:val="28"/>
          <w:szCs w:val="28"/>
        </w:rPr>
        <w:t>甲方拒绝付款。</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4、在质保期内若发现设备有缺陷（包括潜在的缺陷或不符合要求的材料等），甲方将以书面形式通知乙方，乙方应在约定的时间内弥补缺陷，价格仍按合同价。</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5、乙方提供的产品若出现厂家停产并已升级，乙方应按升级产品的配置提供产品，价格仍按合同价。</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6、乙方保证所供货物应按厂家承诺的保修服务条款，免费提供因设备质量问题而必须更换的零部件或整机，价格仍按合同价。</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 xml:space="preserve">   7、验收中所产生的一切费用由乙方承担，价格仍按合同价。</w:t>
      </w:r>
    </w:p>
    <w:p>
      <w:pPr>
        <w:adjustRightInd w:val="0"/>
        <w:snapToGrid w:val="0"/>
        <w:ind w:firstLine="562" w:firstLineChars="200"/>
        <w:textAlignment w:val="baseline"/>
        <w:rPr>
          <w:rFonts w:ascii="仿宋" w:hAnsi="仿宋" w:eastAsia="仿宋" w:cs="仿宋"/>
          <w:b/>
          <w:sz w:val="28"/>
          <w:szCs w:val="28"/>
        </w:rPr>
      </w:pPr>
      <w:r>
        <w:rPr>
          <w:rFonts w:hint="eastAsia" w:ascii="仿宋" w:hAnsi="仿宋" w:eastAsia="仿宋" w:cs="仿宋"/>
          <w:b/>
          <w:sz w:val="28"/>
          <w:szCs w:val="28"/>
        </w:rPr>
        <w:t>七、售后服务</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1、乙方提供所有产品的售后服务体系、服务保证及服务承诺，并出具书面售后服务协议。乙方必须履行的保养、修理、供应备件和其他技术服务。</w:t>
      </w:r>
    </w:p>
    <w:p>
      <w:pPr>
        <w:adjustRightInd w:val="0"/>
        <w:snapToGrid w:val="0"/>
        <w:ind w:firstLine="560" w:firstLineChars="200"/>
        <w:textAlignment w:val="baseline"/>
        <w:rPr>
          <w:rFonts w:ascii="仿宋" w:hAnsi="仿宋" w:eastAsia="仿宋" w:cs="仿宋"/>
          <w:sz w:val="28"/>
          <w:szCs w:val="28"/>
        </w:rPr>
      </w:pPr>
      <w:r>
        <w:rPr>
          <w:rFonts w:hint="eastAsia" w:ascii="仿宋" w:hAnsi="仿宋" w:eastAsia="仿宋" w:cs="仿宋"/>
          <w:sz w:val="28"/>
          <w:szCs w:val="28"/>
        </w:rPr>
        <w:t>2、所有产品在保修期内出现质量问题，乙方必须在接到通知后7个自然日内负责更换，因乙方原因不能及时保证售后服务的，将扣除全部质量保证金。</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3、乙方提供的伴随服务的费用应包含在合同价款中，甲方不在另行支付。</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iCs/>
          <w:sz w:val="28"/>
          <w:szCs w:val="28"/>
        </w:rPr>
        <w:t>本项目</w:t>
      </w:r>
      <w:r>
        <w:rPr>
          <w:rFonts w:hint="eastAsia" w:ascii="仿宋" w:hAnsi="仿宋" w:eastAsia="仿宋" w:cs="仿宋"/>
          <w:b/>
          <w:iCs/>
          <w:color w:val="FF0000"/>
          <w:sz w:val="28"/>
          <w:szCs w:val="28"/>
          <w:u w:val="single"/>
        </w:rPr>
        <w:t xml:space="preserve">     </w:t>
      </w:r>
      <w:r>
        <w:rPr>
          <w:rFonts w:hint="eastAsia" w:ascii="仿宋" w:hAnsi="仿宋" w:eastAsia="仿宋" w:cs="仿宋"/>
          <w:sz w:val="28"/>
          <w:szCs w:val="28"/>
        </w:rPr>
        <w:t>，每年开学前由中标方负责检查所供产品是否正常，不正常予以更换或维护，保证所供产品在开学前可以正常使用。</w:t>
      </w:r>
    </w:p>
    <w:p>
      <w:pPr>
        <w:ind w:firstLine="562" w:firstLineChars="200"/>
        <w:rPr>
          <w:rFonts w:ascii="仿宋" w:hAnsi="仿宋" w:eastAsia="仿宋" w:cs="仿宋"/>
          <w:b/>
          <w:bCs/>
          <w:sz w:val="28"/>
          <w:szCs w:val="28"/>
        </w:rPr>
      </w:pPr>
      <w:r>
        <w:rPr>
          <w:rFonts w:hint="eastAsia" w:ascii="仿宋" w:hAnsi="仿宋" w:eastAsia="仿宋" w:cs="仿宋"/>
          <w:b/>
          <w:sz w:val="28"/>
          <w:szCs w:val="28"/>
        </w:rPr>
        <w:t> 八、甲方的违约责任</w:t>
      </w:r>
    </w:p>
    <w:p>
      <w:pPr>
        <w:ind w:firstLine="560" w:firstLineChars="200"/>
        <w:rPr>
          <w:rFonts w:ascii="仿宋" w:hAnsi="仿宋" w:eastAsia="仿宋" w:cs="仿宋"/>
          <w:sz w:val="28"/>
          <w:szCs w:val="28"/>
        </w:rPr>
      </w:pPr>
      <w:r>
        <w:rPr>
          <w:rFonts w:hint="eastAsia" w:ascii="仿宋" w:hAnsi="仿宋" w:eastAsia="仿宋" w:cs="仿宋"/>
          <w:sz w:val="28"/>
          <w:szCs w:val="28"/>
        </w:rPr>
        <w:t>1、甲方在乙方按合同规定交货或安装、调试后无正当理由而拖延接收、验收或拒接接收、验收的，应承担因此给乙方造成的直接损失。</w:t>
      </w:r>
    </w:p>
    <w:p>
      <w:pPr>
        <w:ind w:firstLine="560" w:firstLineChars="200"/>
        <w:rPr>
          <w:rFonts w:ascii="仿宋" w:hAnsi="仿宋" w:eastAsia="仿宋" w:cs="仿宋"/>
          <w:sz w:val="28"/>
          <w:szCs w:val="28"/>
        </w:rPr>
      </w:pPr>
      <w:r>
        <w:rPr>
          <w:rFonts w:hint="eastAsia" w:ascii="仿宋" w:hAnsi="仿宋" w:eastAsia="仿宋" w:cs="仿宋"/>
          <w:sz w:val="28"/>
          <w:szCs w:val="28"/>
        </w:rPr>
        <w:t>2、甲方未按合同规定的时间和要求提供应交的技术资料，乙方有权将交货日期顺延。</w:t>
      </w:r>
    </w:p>
    <w:p>
      <w:pPr>
        <w:ind w:firstLine="562" w:firstLineChars="200"/>
        <w:rPr>
          <w:rFonts w:ascii="仿宋" w:hAnsi="仿宋" w:eastAsia="仿宋" w:cs="仿宋"/>
          <w:b/>
          <w:bCs/>
          <w:sz w:val="28"/>
          <w:szCs w:val="28"/>
        </w:rPr>
      </w:pPr>
      <w:r>
        <w:rPr>
          <w:rFonts w:hint="eastAsia" w:ascii="仿宋" w:hAnsi="仿宋" w:eastAsia="仿宋" w:cs="仿宋"/>
          <w:b/>
          <w:sz w:val="28"/>
          <w:szCs w:val="28"/>
        </w:rPr>
        <w:t>九、乙方的违约责任</w:t>
      </w:r>
    </w:p>
    <w:p>
      <w:pPr>
        <w:ind w:firstLine="560" w:firstLineChars="200"/>
        <w:rPr>
          <w:rFonts w:ascii="仿宋" w:hAnsi="仿宋" w:eastAsia="仿宋" w:cs="仿宋"/>
          <w:sz w:val="28"/>
          <w:szCs w:val="28"/>
        </w:rPr>
      </w:pPr>
      <w:r>
        <w:rPr>
          <w:rFonts w:hint="eastAsia" w:ascii="仿宋" w:hAnsi="仿宋" w:eastAsia="仿宋" w:cs="仿宋"/>
          <w:sz w:val="28"/>
          <w:szCs w:val="28"/>
        </w:rPr>
        <w:t>  1、除本合同第十条规定情况外，如果乙方没有按照合同规定的时间交货和提供服务，甲方有权从货款中扣除误期赔偿费而不影响合同项下的其他补救方法，赔偿费按每天赔偿迟交货物的交货价或延期服务的服务费用的百分之一（1%）计收，直至交货或提供服务为止。但误期赔偿费的最高限额不超过合同价的百分之五（5%），一旦达到误期赔偿的最高限额，甲方有权终止合同。</w:t>
      </w:r>
    </w:p>
    <w:p>
      <w:pPr>
        <w:ind w:firstLine="560" w:firstLineChars="200"/>
        <w:rPr>
          <w:rFonts w:ascii="仿宋" w:hAnsi="仿宋" w:eastAsia="仿宋" w:cs="仿宋"/>
          <w:sz w:val="28"/>
          <w:szCs w:val="28"/>
        </w:rPr>
      </w:pPr>
      <w:r>
        <w:rPr>
          <w:rFonts w:hint="eastAsia" w:ascii="仿宋" w:hAnsi="仿宋" w:eastAsia="仿宋" w:cs="仿宋"/>
          <w:sz w:val="28"/>
          <w:szCs w:val="28"/>
        </w:rPr>
        <w:t>2、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firstLine="560" w:firstLineChars="200"/>
        <w:rPr>
          <w:rFonts w:ascii="仿宋" w:hAnsi="仿宋" w:eastAsia="仿宋" w:cs="仿宋"/>
          <w:sz w:val="28"/>
          <w:szCs w:val="28"/>
        </w:rPr>
      </w:pPr>
      <w:r>
        <w:rPr>
          <w:rFonts w:hint="eastAsia" w:ascii="仿宋" w:hAnsi="仿宋" w:eastAsia="仿宋" w:cs="仿宋"/>
          <w:sz w:val="28"/>
          <w:szCs w:val="28"/>
        </w:rPr>
        <w:t>3、如果乙方延迟交货，甲方有权终止全部或部分合同，并依其认为适当的条件和方法购买与未交货物类似的货物，乙方应购买类似货物所超出的那部分费用，乙方应继续执行合同中未终止的部分。</w:t>
      </w:r>
    </w:p>
    <w:p>
      <w:pPr>
        <w:ind w:firstLine="562" w:firstLineChars="200"/>
        <w:rPr>
          <w:rFonts w:ascii="仿宋" w:hAnsi="仿宋" w:eastAsia="仿宋" w:cs="仿宋"/>
          <w:b/>
          <w:bCs/>
          <w:sz w:val="28"/>
          <w:szCs w:val="28"/>
        </w:rPr>
      </w:pPr>
      <w:r>
        <w:rPr>
          <w:rFonts w:hint="eastAsia" w:ascii="仿宋" w:hAnsi="仿宋" w:eastAsia="仿宋" w:cs="仿宋"/>
          <w:b/>
          <w:sz w:val="28"/>
          <w:szCs w:val="28"/>
        </w:rPr>
        <w:t>十、不可抗力</w:t>
      </w:r>
    </w:p>
    <w:p>
      <w:pPr>
        <w:ind w:firstLine="560" w:firstLineChars="200"/>
        <w:rPr>
          <w:rFonts w:ascii="仿宋" w:hAnsi="仿宋" w:eastAsia="仿宋" w:cs="仿宋"/>
          <w:sz w:val="28"/>
          <w:szCs w:val="28"/>
        </w:rPr>
      </w:pPr>
      <w:r>
        <w:rPr>
          <w:rFonts w:hint="eastAsia" w:ascii="仿宋" w:hAnsi="仿宋" w:eastAsia="仿宋" w:cs="仿宋"/>
          <w:sz w:val="28"/>
          <w:szCs w:val="28"/>
        </w:rPr>
        <w:t>1、甲乙双方的任何一方由于不可抗力的原因不能履行合同时，应及时向对方通报不能履行或不完全履行的理由，在取得有关主管机关证明以后，允许延期履行、部分履行或者不履行合同，并根据情况可部分或全部免予承担违约责任。</w:t>
      </w:r>
    </w:p>
    <w:p>
      <w:pPr>
        <w:ind w:firstLine="560" w:firstLineChars="200"/>
        <w:rPr>
          <w:rFonts w:ascii="仿宋" w:hAnsi="仿宋" w:eastAsia="仿宋" w:cs="仿宋"/>
          <w:sz w:val="28"/>
          <w:szCs w:val="28"/>
        </w:rPr>
      </w:pPr>
      <w:r>
        <w:rPr>
          <w:rFonts w:hint="eastAsia" w:ascii="仿宋" w:hAnsi="仿宋" w:eastAsia="仿宋" w:cs="仿宋"/>
          <w:sz w:val="28"/>
          <w:szCs w:val="28"/>
        </w:rPr>
        <w:t>2、但是延迟履行后发生不可抗力的，不能免除责任。</w:t>
      </w:r>
    </w:p>
    <w:p>
      <w:pPr>
        <w:ind w:firstLine="562" w:firstLineChars="200"/>
        <w:rPr>
          <w:rFonts w:ascii="仿宋" w:hAnsi="仿宋" w:eastAsia="仿宋" w:cs="仿宋"/>
          <w:b/>
          <w:bCs/>
          <w:sz w:val="28"/>
          <w:szCs w:val="28"/>
        </w:rPr>
      </w:pPr>
      <w:r>
        <w:rPr>
          <w:rFonts w:hint="eastAsia" w:ascii="仿宋" w:hAnsi="仿宋" w:eastAsia="仿宋" w:cs="仿宋"/>
          <w:b/>
          <w:sz w:val="28"/>
          <w:szCs w:val="28"/>
        </w:rPr>
        <w:t>十一、其他</w:t>
      </w:r>
    </w:p>
    <w:p>
      <w:pPr>
        <w:ind w:firstLine="560" w:firstLineChars="200"/>
        <w:rPr>
          <w:rFonts w:ascii="仿宋" w:hAnsi="仿宋" w:eastAsia="仿宋" w:cs="仿宋"/>
          <w:sz w:val="28"/>
          <w:szCs w:val="28"/>
        </w:rPr>
      </w:pPr>
      <w:r>
        <w:rPr>
          <w:rFonts w:hint="eastAsia" w:ascii="仿宋" w:hAnsi="仿宋" w:eastAsia="仿宋" w:cs="仿宋"/>
          <w:sz w:val="28"/>
          <w:szCs w:val="28"/>
        </w:rPr>
        <w:t>本合同自双方签字、盖章后，生效。本合同中未尽事宜，由双方协商解决；双方无法达成共识，提请当地仲裁机构仲裁，本合同涂改无效。本合同</w:t>
      </w:r>
      <w:r>
        <w:rPr>
          <w:rFonts w:hint="eastAsia" w:ascii="仿宋" w:hAnsi="仿宋" w:eastAsia="仿宋" w:cs="仿宋"/>
          <w:b/>
          <w:sz w:val="28"/>
          <w:szCs w:val="28"/>
          <w:u w:val="single"/>
        </w:rPr>
        <w:t>一式五份</w:t>
      </w:r>
      <w:r>
        <w:rPr>
          <w:rFonts w:hint="eastAsia" w:ascii="仿宋" w:hAnsi="仿宋" w:eastAsia="仿宋" w:cs="仿宋"/>
          <w:sz w:val="28"/>
          <w:szCs w:val="28"/>
        </w:rPr>
        <w:t>。对于本合同未尽事宜，双方可签订补充协议或以附件的形式对本合同中的有关问题做出补充、说明、解释。附件具有同等法律效力。</w:t>
      </w:r>
    </w:p>
    <w:p>
      <w:pPr>
        <w:ind w:firstLine="560" w:firstLineChars="200"/>
        <w:rPr>
          <w:rFonts w:ascii="仿宋" w:hAnsi="仿宋" w:eastAsia="仿宋" w:cs="仿宋"/>
          <w:sz w:val="28"/>
          <w:szCs w:val="28"/>
          <w:lang w:val="zh-CN"/>
        </w:rPr>
      </w:pPr>
      <w:r>
        <w:rPr>
          <w:rFonts w:hint="eastAsia" w:ascii="仿宋" w:hAnsi="仿宋" w:eastAsia="仿宋" w:cs="仿宋"/>
          <w:sz w:val="28"/>
          <w:szCs w:val="28"/>
        </w:rPr>
        <w:t>本合同在合同各方签字盖章后生效。</w:t>
      </w:r>
    </w:p>
    <w:p>
      <w:pPr>
        <w:adjustRightInd w:val="0"/>
        <w:snapToGrid w:val="0"/>
        <w:ind w:firstLine="562" w:firstLineChars="200"/>
        <w:textAlignment w:val="baseline"/>
        <w:rPr>
          <w:rFonts w:ascii="仿宋" w:hAnsi="仿宋" w:eastAsia="仿宋" w:cs="仿宋"/>
          <w:b/>
          <w:sz w:val="28"/>
          <w:szCs w:val="28"/>
        </w:rPr>
      </w:pPr>
    </w:p>
    <w:p>
      <w:pPr>
        <w:adjustRightInd w:val="0"/>
        <w:snapToGrid w:val="0"/>
        <w:ind w:firstLine="562" w:firstLineChars="200"/>
        <w:textAlignment w:val="baseline"/>
        <w:rPr>
          <w:rFonts w:ascii="仿宋" w:hAnsi="仿宋" w:eastAsia="仿宋" w:cs="仿宋"/>
          <w:b/>
          <w:sz w:val="28"/>
          <w:szCs w:val="28"/>
        </w:rPr>
      </w:pPr>
    </w:p>
    <w:p>
      <w:pPr>
        <w:adjustRightInd w:val="0"/>
        <w:snapToGrid w:val="0"/>
        <w:ind w:firstLine="562" w:firstLineChars="200"/>
        <w:textAlignment w:val="baseline"/>
        <w:rPr>
          <w:rFonts w:ascii="仿宋" w:hAnsi="仿宋" w:eastAsia="仿宋" w:cs="仿宋"/>
          <w:b/>
          <w:sz w:val="28"/>
          <w:szCs w:val="28"/>
        </w:rPr>
      </w:pPr>
    </w:p>
    <w:p>
      <w:pPr>
        <w:adjustRightInd w:val="0"/>
        <w:snapToGrid w:val="0"/>
        <w:ind w:firstLine="562" w:firstLineChars="200"/>
        <w:textAlignment w:val="baseline"/>
        <w:rPr>
          <w:rFonts w:ascii="仿宋" w:hAnsi="仿宋" w:eastAsia="仿宋" w:cs="仿宋"/>
          <w:b/>
          <w:sz w:val="28"/>
          <w:szCs w:val="28"/>
        </w:rPr>
      </w:pPr>
    </w:p>
    <w:p>
      <w:pPr>
        <w:adjustRightInd w:val="0"/>
        <w:snapToGrid w:val="0"/>
        <w:ind w:firstLine="562" w:firstLineChars="200"/>
        <w:textAlignment w:val="baseline"/>
        <w:rPr>
          <w:rFonts w:ascii="仿宋" w:hAnsi="仿宋" w:eastAsia="仿宋" w:cs="仿宋"/>
          <w:bCs/>
          <w:sz w:val="28"/>
          <w:szCs w:val="28"/>
        </w:rPr>
      </w:pPr>
      <w:r>
        <w:rPr>
          <w:rFonts w:hint="eastAsia" w:ascii="仿宋" w:hAnsi="仿宋" w:eastAsia="仿宋" w:cs="仿宋"/>
          <w:b/>
          <w:sz w:val="28"/>
          <w:szCs w:val="28"/>
        </w:rPr>
        <w:t>甲  方：</w:t>
      </w:r>
      <w:r>
        <w:rPr>
          <w:rFonts w:hint="eastAsia" w:ascii="仿宋" w:hAnsi="仿宋" w:eastAsia="仿宋" w:cs="仿宋"/>
          <w:color w:val="FF0000"/>
          <w:sz w:val="28"/>
          <w:szCs w:val="28"/>
        </w:rPr>
        <w:t xml:space="preserve">                        </w:t>
      </w:r>
      <w:r>
        <w:rPr>
          <w:rFonts w:hint="eastAsia" w:ascii="仿宋" w:hAnsi="仿宋" w:eastAsia="仿宋" w:cs="仿宋"/>
          <w:b/>
          <w:sz w:val="28"/>
          <w:szCs w:val="28"/>
        </w:rPr>
        <w:t>乙  方：</w:t>
      </w:r>
      <w:r>
        <w:rPr>
          <w:rFonts w:hint="eastAsia" w:ascii="仿宋" w:hAnsi="仿宋" w:eastAsia="仿宋" w:cs="仿宋"/>
          <w:bCs/>
          <w:sz w:val="28"/>
          <w:szCs w:val="28"/>
        </w:rPr>
        <w:t xml:space="preserve"> </w:t>
      </w:r>
    </w:p>
    <w:p>
      <w:pPr>
        <w:adjustRightInd w:val="0"/>
        <w:snapToGrid w:val="0"/>
        <w:ind w:left="5320" w:firstLine="560" w:firstLineChars="200"/>
        <w:textAlignment w:val="baseline"/>
        <w:rPr>
          <w:rFonts w:ascii="仿宋" w:hAnsi="仿宋" w:eastAsia="仿宋" w:cs="仿宋"/>
          <w:bCs/>
          <w:sz w:val="28"/>
          <w:szCs w:val="28"/>
        </w:rPr>
      </w:pPr>
    </w:p>
    <w:p>
      <w:pPr>
        <w:adjustRightInd w:val="0"/>
        <w:snapToGrid w:val="0"/>
        <w:ind w:firstLine="562" w:firstLineChars="200"/>
        <w:rPr>
          <w:rFonts w:ascii="仿宋" w:hAnsi="仿宋" w:eastAsia="仿宋" w:cs="仿宋"/>
          <w:b/>
          <w:sz w:val="28"/>
          <w:szCs w:val="28"/>
        </w:rPr>
      </w:pPr>
      <w:r>
        <w:rPr>
          <w:rFonts w:hint="eastAsia" w:ascii="仿宋" w:hAnsi="仿宋" w:eastAsia="仿宋" w:cs="仿宋"/>
          <w:b/>
          <w:sz w:val="28"/>
          <w:szCs w:val="28"/>
        </w:rPr>
        <w:t>单位负责人：                    法定代表人：</w:t>
      </w:r>
    </w:p>
    <w:p>
      <w:pPr>
        <w:adjustRightInd w:val="0"/>
        <w:snapToGrid w:val="0"/>
        <w:ind w:firstLine="562" w:firstLineChars="200"/>
        <w:rPr>
          <w:rFonts w:ascii="仿宋" w:hAnsi="仿宋" w:eastAsia="仿宋" w:cs="仿宋"/>
          <w:b/>
          <w:sz w:val="28"/>
          <w:szCs w:val="28"/>
        </w:rPr>
      </w:pPr>
    </w:p>
    <w:p>
      <w:pPr>
        <w:adjustRightInd w:val="0"/>
        <w:snapToGrid w:val="0"/>
        <w:ind w:firstLine="562" w:firstLineChars="200"/>
        <w:rPr>
          <w:rFonts w:ascii="仿宋" w:hAnsi="仿宋" w:eastAsia="仿宋" w:cs="仿宋"/>
          <w:bCs/>
          <w:color w:val="FF0000"/>
          <w:sz w:val="28"/>
          <w:szCs w:val="28"/>
        </w:rPr>
      </w:pPr>
      <w:r>
        <w:rPr>
          <w:rFonts w:hint="eastAsia" w:ascii="仿宋" w:hAnsi="仿宋" w:eastAsia="仿宋" w:cs="仿宋"/>
          <w:b/>
          <w:sz w:val="28"/>
          <w:szCs w:val="28"/>
        </w:rPr>
        <w:t>联系电话：                      联系电话：</w:t>
      </w:r>
    </w:p>
    <w:p>
      <w:pPr>
        <w:pStyle w:val="14"/>
        <w:spacing w:line="240" w:lineRule="auto"/>
        <w:ind w:firstLine="562" w:firstLineChars="200"/>
        <w:rPr>
          <w:rFonts w:ascii="仿宋" w:hAnsi="仿宋" w:eastAsia="仿宋" w:cs="仿宋"/>
          <w:b/>
          <w:bCs/>
          <w:sz w:val="28"/>
          <w:szCs w:val="28"/>
        </w:rPr>
      </w:pPr>
    </w:p>
    <w:p>
      <w:pPr>
        <w:pStyle w:val="14"/>
        <w:spacing w:line="240" w:lineRule="auto"/>
        <w:ind w:firstLine="562" w:firstLineChars="200"/>
        <w:rPr>
          <w:rFonts w:ascii="仿宋" w:hAnsi="仿宋" w:eastAsia="仿宋" w:cs="仿宋"/>
          <w:color w:val="FF0000"/>
          <w:sz w:val="28"/>
          <w:szCs w:val="28"/>
        </w:rPr>
      </w:pPr>
      <w:r>
        <w:rPr>
          <w:rFonts w:hint="eastAsia" w:ascii="仿宋" w:hAnsi="仿宋" w:eastAsia="仿宋" w:cs="仿宋"/>
          <w:b/>
          <w:bCs/>
          <w:sz w:val="28"/>
          <w:szCs w:val="28"/>
        </w:rPr>
        <w:t>签定日期：</w:t>
      </w:r>
      <w:r>
        <w:rPr>
          <w:rFonts w:hint="eastAsia" w:ascii="仿宋" w:hAnsi="仿宋" w:eastAsia="仿宋" w:cs="仿宋"/>
          <w:color w:val="FF0000"/>
          <w:sz w:val="28"/>
          <w:szCs w:val="28"/>
        </w:rPr>
        <w:t xml:space="preserve">                       </w:t>
      </w:r>
      <w:r>
        <w:rPr>
          <w:rFonts w:hint="eastAsia" w:ascii="仿宋" w:hAnsi="仿宋" w:eastAsia="仿宋" w:cs="仿宋"/>
          <w:b/>
          <w:bCs/>
          <w:sz w:val="28"/>
          <w:szCs w:val="28"/>
        </w:rPr>
        <w:t>签定日期：</w:t>
      </w:r>
      <w:r>
        <w:rPr>
          <w:rFonts w:hint="eastAsia" w:ascii="仿宋" w:hAnsi="仿宋" w:eastAsia="仿宋" w:cs="仿宋"/>
          <w:color w:val="FF0000"/>
          <w:sz w:val="28"/>
          <w:szCs w:val="28"/>
        </w:rPr>
        <w:t xml:space="preserve"> </w:t>
      </w:r>
    </w:p>
    <w:p>
      <w:pPr>
        <w:adjustRightInd w:val="0"/>
        <w:snapToGrid w:val="0"/>
        <w:ind w:firstLine="560" w:firstLineChars="200"/>
        <w:rPr>
          <w:rFonts w:ascii="仿宋" w:hAnsi="仿宋" w:eastAsia="仿宋" w:cs="仿宋"/>
          <w:snapToGrid w:val="0"/>
          <w:sz w:val="28"/>
          <w:szCs w:val="28"/>
        </w:rPr>
      </w:pPr>
    </w:p>
    <w:p>
      <w:pPr>
        <w:adjustRightInd w:val="0"/>
        <w:snapToGrid w:val="0"/>
        <w:ind w:firstLine="560" w:firstLineChars="200"/>
        <w:rPr>
          <w:rFonts w:ascii="仿宋" w:hAnsi="仿宋" w:eastAsia="仿宋" w:cs="仿宋"/>
          <w:snapToGrid w:val="0"/>
          <w:sz w:val="28"/>
          <w:szCs w:val="28"/>
        </w:rPr>
      </w:pPr>
    </w:p>
    <w:p>
      <w:pPr>
        <w:pStyle w:val="12"/>
        <w:ind w:firstLine="560" w:firstLineChars="200"/>
        <w:rPr>
          <w:rFonts w:ascii="仿宋" w:hAnsi="仿宋" w:eastAsia="仿宋" w:cs="仿宋"/>
          <w:snapToGrid w:val="0"/>
          <w:sz w:val="28"/>
          <w:szCs w:val="28"/>
        </w:rPr>
      </w:pPr>
    </w:p>
    <w:p>
      <w:pPr>
        <w:pStyle w:val="12"/>
        <w:ind w:firstLine="560" w:firstLineChars="200"/>
        <w:rPr>
          <w:rFonts w:ascii="仿宋" w:hAnsi="仿宋" w:eastAsia="仿宋" w:cs="仿宋"/>
          <w:snapToGrid w:val="0"/>
          <w:sz w:val="28"/>
          <w:szCs w:val="28"/>
        </w:rPr>
      </w:pPr>
    </w:p>
    <w:p>
      <w:pPr>
        <w:pStyle w:val="12"/>
        <w:ind w:firstLine="560" w:firstLineChars="200"/>
        <w:rPr>
          <w:rFonts w:ascii="仿宋" w:hAnsi="仿宋" w:eastAsia="仿宋" w:cs="仿宋"/>
          <w:snapToGrid w:val="0"/>
          <w:sz w:val="28"/>
          <w:szCs w:val="28"/>
        </w:rPr>
      </w:pPr>
    </w:p>
    <w:p>
      <w:pPr>
        <w:pStyle w:val="12"/>
        <w:ind w:firstLine="560" w:firstLineChars="200"/>
        <w:rPr>
          <w:rFonts w:ascii="仿宋" w:hAnsi="仿宋" w:eastAsia="仿宋" w:cs="仿宋"/>
          <w:snapToGrid w:val="0"/>
          <w:sz w:val="28"/>
          <w:szCs w:val="28"/>
        </w:rPr>
      </w:pPr>
    </w:p>
    <w:p>
      <w:pPr>
        <w:pStyle w:val="12"/>
        <w:ind w:firstLine="560" w:firstLineChars="200"/>
        <w:rPr>
          <w:rFonts w:ascii="仿宋" w:hAnsi="仿宋" w:eastAsia="仿宋" w:cs="仿宋"/>
          <w:sz w:val="28"/>
          <w:szCs w:val="28"/>
        </w:rPr>
      </w:pPr>
    </w:p>
    <w:p>
      <w:pPr>
        <w:pStyle w:val="12"/>
        <w:ind w:firstLine="560" w:firstLineChars="200"/>
        <w:rPr>
          <w:rFonts w:ascii="仿宋" w:hAnsi="仿宋" w:eastAsia="仿宋" w:cs="仿宋"/>
          <w:sz w:val="28"/>
          <w:szCs w:val="28"/>
        </w:rPr>
      </w:pPr>
    </w:p>
    <w:p>
      <w:pPr>
        <w:tabs>
          <w:tab w:val="left" w:pos="8820"/>
          <w:tab w:val="left" w:pos="9345"/>
          <w:tab w:val="left" w:pos="9765"/>
        </w:tabs>
        <w:adjustRightInd w:val="0"/>
        <w:snapToGrid w:val="0"/>
        <w:spacing w:before="156" w:beforeLines="50"/>
        <w:ind w:right="384" w:rightChars="183" w:firstLine="562" w:firstLineChars="200"/>
        <w:outlineLvl w:val="1"/>
        <w:rPr>
          <w:rFonts w:ascii="仿宋" w:hAnsi="仿宋" w:eastAsia="仿宋" w:cs="仿宋"/>
          <w:b/>
          <w:bCs/>
          <w:color w:val="FF0000"/>
          <w:sz w:val="28"/>
          <w:szCs w:val="28"/>
        </w:rPr>
      </w:pPr>
    </w:p>
    <w:p>
      <w:pPr>
        <w:tabs>
          <w:tab w:val="left" w:pos="8820"/>
          <w:tab w:val="left" w:pos="9345"/>
          <w:tab w:val="left" w:pos="9765"/>
        </w:tabs>
        <w:adjustRightInd w:val="0"/>
        <w:snapToGrid w:val="0"/>
        <w:spacing w:before="156" w:beforeLines="50"/>
        <w:ind w:right="384" w:rightChars="183" w:firstLine="562" w:firstLineChars="200"/>
        <w:outlineLvl w:val="1"/>
        <w:rPr>
          <w:rFonts w:ascii="仿宋" w:hAnsi="仿宋" w:eastAsia="仿宋" w:cs="仿宋"/>
          <w:b/>
          <w:bCs/>
          <w:color w:val="FF0000"/>
          <w:sz w:val="28"/>
          <w:szCs w:val="28"/>
        </w:rPr>
      </w:pPr>
    </w:p>
    <w:p>
      <w:pPr>
        <w:ind w:firstLine="560" w:firstLineChars="200"/>
        <w:jc w:val="center"/>
        <w:rPr>
          <w:rFonts w:ascii="仿宋" w:hAnsi="仿宋" w:eastAsia="仿宋" w:cs="仿宋"/>
          <w:snapToGrid w:val="0"/>
          <w:sz w:val="28"/>
          <w:szCs w:val="28"/>
        </w:rPr>
      </w:pPr>
    </w:p>
    <w:p>
      <w:pPr>
        <w:rPr>
          <w:rFonts w:ascii="仿宋" w:hAnsi="仿宋" w:eastAsia="仿宋" w:cs="仿宋"/>
          <w:snapToGrid w:val="0"/>
          <w:sz w:val="28"/>
          <w:szCs w:val="28"/>
        </w:rPr>
      </w:pPr>
    </w:p>
    <w:p>
      <w:pPr>
        <w:ind w:firstLine="1960" w:firstLineChars="700"/>
        <w:rPr>
          <w:rFonts w:ascii="仿宋" w:hAnsi="仿宋" w:eastAsia="仿宋" w:cs="仿宋"/>
          <w:snapToGrid w:val="0"/>
          <w:sz w:val="28"/>
          <w:szCs w:val="28"/>
        </w:rPr>
      </w:pPr>
    </w:p>
    <w:p>
      <w:pPr>
        <w:ind w:firstLine="1960" w:firstLineChars="700"/>
        <w:rPr>
          <w:rFonts w:ascii="仿宋" w:hAnsi="仿宋" w:eastAsia="仿宋" w:cs="仿宋"/>
          <w:snapToGrid w:val="0"/>
          <w:sz w:val="28"/>
          <w:szCs w:val="28"/>
        </w:rPr>
      </w:pPr>
    </w:p>
    <w:p>
      <w:pPr>
        <w:ind w:firstLine="1960" w:firstLineChars="700"/>
        <w:rPr>
          <w:rFonts w:ascii="仿宋" w:hAnsi="仿宋" w:eastAsia="仿宋" w:cs="仿宋"/>
          <w:snapToGrid w:val="0"/>
          <w:sz w:val="28"/>
          <w:szCs w:val="28"/>
        </w:rPr>
      </w:pPr>
    </w:p>
    <w:p>
      <w:pPr>
        <w:ind w:firstLine="3213" w:firstLineChars="1000"/>
        <w:rPr>
          <w:rFonts w:ascii="仿宋" w:hAnsi="仿宋" w:eastAsia="仿宋" w:cs="仿宋"/>
          <w:b/>
          <w:bCs/>
          <w:snapToGrid w:val="0"/>
          <w:sz w:val="32"/>
          <w:szCs w:val="32"/>
        </w:rPr>
      </w:pPr>
      <w:r>
        <w:rPr>
          <w:rFonts w:hint="eastAsia" w:ascii="仿宋" w:hAnsi="仿宋" w:eastAsia="仿宋" w:cs="仿宋"/>
          <w:b/>
          <w:bCs/>
          <w:snapToGrid w:val="0"/>
          <w:sz w:val="32"/>
          <w:szCs w:val="32"/>
        </w:rPr>
        <w:t>售后服务承诺</w:t>
      </w:r>
    </w:p>
    <w:p>
      <w:pPr>
        <w:ind w:firstLine="2520" w:firstLineChars="900"/>
        <w:rPr>
          <w:rFonts w:ascii="仿宋" w:hAnsi="仿宋" w:eastAsia="仿宋" w:cs="仿宋"/>
          <w:color w:val="000000"/>
          <w:sz w:val="28"/>
          <w:szCs w:val="28"/>
        </w:rPr>
      </w:pPr>
      <w:r>
        <w:rPr>
          <w:rFonts w:hint="eastAsia" w:ascii="仿宋" w:hAnsi="仿宋" w:eastAsia="仿宋" w:cs="仿宋"/>
          <w:color w:val="000000"/>
          <w:sz w:val="28"/>
          <w:szCs w:val="28"/>
        </w:rPr>
        <w:t>第二部分 合同一般条款</w:t>
      </w:r>
      <w:bookmarkEnd w:id="415"/>
    </w:p>
    <w:p>
      <w:pPr>
        <w:ind w:firstLine="562" w:firstLineChars="200"/>
        <w:rPr>
          <w:rFonts w:ascii="仿宋" w:hAnsi="仿宋" w:eastAsia="仿宋" w:cs="仿宋"/>
          <w:b/>
          <w:sz w:val="28"/>
          <w:szCs w:val="28"/>
        </w:rPr>
      </w:pPr>
      <w:bookmarkStart w:id="421" w:name="_Ref467379094"/>
      <w:bookmarkStart w:id="422" w:name="_Ref467378463"/>
      <w:bookmarkStart w:id="423" w:name="_Toc279701240"/>
      <w:bookmarkStart w:id="424" w:name="_Ref467379205"/>
      <w:bookmarkStart w:id="425" w:name="_Ref467379225"/>
      <w:bookmarkStart w:id="426" w:name="_Ref467378404"/>
      <w:bookmarkStart w:id="427" w:name="_Ref467379109"/>
      <w:bookmarkStart w:id="428" w:name="_Ref467379214"/>
      <w:bookmarkStart w:id="429" w:name="_Ref467379101"/>
      <w:bookmarkStart w:id="430" w:name="_Ref467379195"/>
      <w:bookmarkStart w:id="431" w:name="_Toc259093669"/>
      <w:bookmarkStart w:id="432" w:name="_Toc487900349"/>
      <w:bookmarkStart w:id="433" w:name="_Ref467378499"/>
      <w:bookmarkStart w:id="434" w:name="_Toc16917"/>
      <w:bookmarkStart w:id="435" w:name="_Toc28763"/>
      <w:bookmarkStart w:id="436" w:name="_Toc19614"/>
      <w:r>
        <w:rPr>
          <w:rFonts w:hint="eastAsia" w:ascii="仿宋" w:hAnsi="仿宋" w:eastAsia="仿宋" w:cs="仿宋"/>
          <w:b/>
          <w:sz w:val="28"/>
          <w:szCs w:val="28"/>
        </w:rPr>
        <w:t>2.1 定义</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ind w:firstLine="560" w:firstLineChars="200"/>
        <w:rPr>
          <w:rFonts w:ascii="仿宋" w:hAnsi="仿宋" w:eastAsia="仿宋" w:cs="仿宋"/>
          <w:sz w:val="28"/>
          <w:szCs w:val="28"/>
        </w:rPr>
      </w:pPr>
      <w:r>
        <w:rPr>
          <w:rFonts w:hint="eastAsia" w:ascii="仿宋" w:hAnsi="仿宋" w:eastAsia="仿宋" w:cs="仿宋"/>
          <w:sz w:val="28"/>
          <w:szCs w:val="28"/>
        </w:rPr>
        <w:t>本合同中的下列词语应按以下内容进行解释：</w:t>
      </w:r>
    </w:p>
    <w:p>
      <w:pPr>
        <w:ind w:firstLine="560" w:firstLineChars="200"/>
        <w:rPr>
          <w:rFonts w:ascii="仿宋" w:hAnsi="仿宋" w:eastAsia="仿宋" w:cs="仿宋"/>
          <w:sz w:val="28"/>
          <w:szCs w:val="28"/>
        </w:rPr>
      </w:pPr>
      <w:r>
        <w:rPr>
          <w:rFonts w:hint="eastAsia" w:ascii="仿宋" w:hAnsi="仿宋" w:eastAsia="仿宋" w:cs="仿宋"/>
          <w:sz w:val="28"/>
          <w:szCs w:val="28"/>
        </w:rPr>
        <w:t>2.1.1 “合同”系指采购人和中标供应商签订的载明双方当事人所达成的协议，并包括所有的附件、附录和构成合同的其他文件。</w:t>
      </w:r>
    </w:p>
    <w:p>
      <w:pPr>
        <w:ind w:firstLine="560" w:firstLineChars="200"/>
        <w:rPr>
          <w:rFonts w:ascii="仿宋" w:hAnsi="仿宋" w:eastAsia="仿宋" w:cs="仿宋"/>
          <w:sz w:val="28"/>
          <w:szCs w:val="28"/>
        </w:rPr>
      </w:pPr>
      <w:r>
        <w:rPr>
          <w:rFonts w:hint="eastAsia" w:ascii="仿宋" w:hAnsi="仿宋" w:eastAsia="仿宋" w:cs="仿宋"/>
          <w:sz w:val="28"/>
          <w:szCs w:val="28"/>
        </w:rPr>
        <w:t>2.1.2 “合同价”系指根据合同约定，中标供应商在完全履行合同义务后，采购人应支付给中标供应商的价格。</w:t>
      </w:r>
    </w:p>
    <w:p>
      <w:pPr>
        <w:ind w:firstLine="560" w:firstLineChars="200"/>
        <w:rPr>
          <w:rFonts w:ascii="仿宋" w:hAnsi="仿宋" w:eastAsia="仿宋" w:cs="仿宋"/>
          <w:sz w:val="28"/>
          <w:szCs w:val="28"/>
        </w:rPr>
      </w:pPr>
      <w:r>
        <w:rPr>
          <w:rFonts w:hint="eastAsia" w:ascii="仿宋" w:hAnsi="仿宋" w:eastAsia="仿宋" w:cs="仿宋"/>
          <w:sz w:val="28"/>
          <w:szCs w:val="28"/>
        </w:rPr>
        <w:t>2.1.3 “货物”系指中标供应商根据合同约定应向采购人交付的一切各种形态和种类的物品，包括原材料、燃料、设备、机械、仪表、备件、计算机软件、产品等，并包括工具、手册等其他相关资料。</w:t>
      </w:r>
    </w:p>
    <w:p>
      <w:pPr>
        <w:ind w:firstLine="560" w:firstLineChars="200"/>
        <w:rPr>
          <w:rFonts w:ascii="仿宋" w:hAnsi="仿宋" w:eastAsia="仿宋" w:cs="仿宋"/>
          <w:sz w:val="28"/>
          <w:szCs w:val="28"/>
        </w:rPr>
      </w:pPr>
      <w:bookmarkStart w:id="437" w:name="_Ref467378840"/>
      <w:r>
        <w:rPr>
          <w:rFonts w:hint="eastAsia" w:ascii="仿宋" w:hAnsi="仿宋" w:eastAsia="仿宋" w:cs="仿宋"/>
          <w:sz w:val="28"/>
          <w:szCs w:val="28"/>
        </w:rPr>
        <w:t>2.1.4 “甲方”系指与中标供应商签署合同的采购人</w:t>
      </w:r>
      <w:bookmarkEnd w:id="437"/>
      <w:r>
        <w:rPr>
          <w:rFonts w:hint="eastAsia" w:ascii="仿宋" w:hAnsi="仿宋" w:eastAsia="仿宋" w:cs="仿宋"/>
          <w:sz w:val="28"/>
          <w:szCs w:val="28"/>
        </w:rPr>
        <w:t>；采购人委托采购代理机构代表其与乙方签订合同的，采购人的授权委托书作为合同附件。</w:t>
      </w:r>
    </w:p>
    <w:p>
      <w:pPr>
        <w:ind w:firstLine="560" w:firstLineChars="200"/>
        <w:rPr>
          <w:rFonts w:ascii="仿宋" w:hAnsi="仿宋" w:eastAsia="仿宋" w:cs="仿宋"/>
          <w:sz w:val="28"/>
          <w:szCs w:val="28"/>
        </w:rPr>
      </w:pPr>
      <w:bookmarkStart w:id="438" w:name="_Ref467379400"/>
      <w:r>
        <w:rPr>
          <w:rFonts w:hint="eastAsia" w:ascii="仿宋" w:hAnsi="仿宋" w:eastAsia="仿宋" w:cs="仿宋"/>
          <w:sz w:val="28"/>
          <w:szCs w:val="28"/>
        </w:rPr>
        <w:t>2.1.5 “乙方”系指根据合同约定交付货物的中标供应商</w:t>
      </w:r>
      <w:bookmarkEnd w:id="438"/>
      <w:r>
        <w:rPr>
          <w:rFonts w:hint="eastAsia" w:ascii="仿宋" w:hAnsi="仿宋" w:eastAsia="仿宋" w:cs="仿宋"/>
          <w:sz w:val="28"/>
          <w:szCs w:val="28"/>
        </w:rPr>
        <w:t>；两个以上的自然人、法人或者其他组织组成一个联合体，以一个供应商的身份共同参加政府采购的，联合体各方均应为乙方或者与乙方相同地位的合同当事人，并就合同约定的事项对甲方承担连带责任。</w:t>
      </w:r>
    </w:p>
    <w:p>
      <w:pPr>
        <w:ind w:firstLine="560" w:firstLineChars="200"/>
        <w:rPr>
          <w:rFonts w:ascii="仿宋" w:hAnsi="仿宋" w:eastAsia="仿宋" w:cs="仿宋"/>
          <w:sz w:val="28"/>
          <w:szCs w:val="28"/>
        </w:rPr>
      </w:pPr>
      <w:bookmarkStart w:id="439" w:name="_Ref467379436"/>
      <w:r>
        <w:rPr>
          <w:rFonts w:hint="eastAsia" w:ascii="仿宋" w:hAnsi="仿宋" w:eastAsia="仿宋" w:cs="仿宋"/>
          <w:sz w:val="28"/>
          <w:szCs w:val="28"/>
        </w:rPr>
        <w:t>2.1.6 “现场”系指合同约定货物将要运至或者安装的地点。</w:t>
      </w:r>
      <w:bookmarkEnd w:id="439"/>
    </w:p>
    <w:p>
      <w:pPr>
        <w:ind w:firstLine="562" w:firstLineChars="200"/>
        <w:rPr>
          <w:rFonts w:ascii="仿宋" w:hAnsi="仿宋" w:eastAsia="仿宋" w:cs="仿宋"/>
          <w:b/>
          <w:sz w:val="28"/>
          <w:szCs w:val="28"/>
        </w:rPr>
      </w:pPr>
      <w:bookmarkStart w:id="440" w:name="_Toc259093670"/>
      <w:bookmarkStart w:id="441" w:name="_Toc279701241"/>
      <w:bookmarkStart w:id="442" w:name="_Toc487900350"/>
      <w:bookmarkStart w:id="443" w:name="_Toc27635"/>
      <w:bookmarkStart w:id="444" w:name="_Toc32504"/>
      <w:bookmarkStart w:id="445" w:name="_Toc13336"/>
      <w:r>
        <w:rPr>
          <w:rFonts w:hint="eastAsia" w:ascii="仿宋" w:hAnsi="仿宋" w:eastAsia="仿宋" w:cs="仿宋"/>
          <w:b/>
          <w:sz w:val="28"/>
          <w:szCs w:val="28"/>
        </w:rPr>
        <w:t>2.2 技术规范</w:t>
      </w:r>
      <w:bookmarkEnd w:id="440"/>
      <w:bookmarkEnd w:id="441"/>
      <w:bookmarkEnd w:id="442"/>
      <w:bookmarkEnd w:id="443"/>
      <w:bookmarkEnd w:id="444"/>
      <w:bookmarkEnd w:id="445"/>
    </w:p>
    <w:p>
      <w:pPr>
        <w:ind w:firstLine="560" w:firstLineChars="200"/>
        <w:rPr>
          <w:rFonts w:ascii="仿宋" w:hAnsi="仿宋" w:eastAsia="仿宋" w:cs="仿宋"/>
          <w:sz w:val="28"/>
          <w:szCs w:val="28"/>
        </w:rPr>
      </w:pPr>
      <w:r>
        <w:rPr>
          <w:rFonts w:hint="eastAsia" w:ascii="仿宋" w:hAnsi="仿宋" w:eastAsia="仿宋" w:cs="仿宋"/>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ind w:firstLine="562" w:firstLineChars="200"/>
        <w:rPr>
          <w:rFonts w:ascii="仿宋" w:hAnsi="仿宋" w:eastAsia="仿宋" w:cs="仿宋"/>
          <w:b/>
          <w:sz w:val="28"/>
          <w:szCs w:val="28"/>
        </w:rPr>
      </w:pPr>
      <w:bookmarkStart w:id="446" w:name="_Toc259093671"/>
      <w:bookmarkStart w:id="447" w:name="_Toc279701242"/>
      <w:bookmarkStart w:id="448" w:name="_Toc487900351"/>
      <w:bookmarkStart w:id="449" w:name="_Toc9829"/>
      <w:bookmarkStart w:id="450" w:name="_Toc31634"/>
      <w:bookmarkStart w:id="451" w:name="_Toc27853"/>
      <w:r>
        <w:rPr>
          <w:rFonts w:hint="eastAsia" w:ascii="仿宋" w:hAnsi="仿宋" w:eastAsia="仿宋" w:cs="仿宋"/>
          <w:b/>
          <w:sz w:val="28"/>
          <w:szCs w:val="28"/>
        </w:rPr>
        <w:t>2.3 知识产权</w:t>
      </w:r>
      <w:bookmarkEnd w:id="446"/>
      <w:bookmarkEnd w:id="447"/>
      <w:bookmarkEnd w:id="448"/>
      <w:bookmarkEnd w:id="449"/>
      <w:bookmarkEnd w:id="450"/>
      <w:bookmarkEnd w:id="451"/>
    </w:p>
    <w:p>
      <w:pPr>
        <w:ind w:firstLine="560" w:firstLineChars="200"/>
        <w:rPr>
          <w:rFonts w:ascii="仿宋" w:hAnsi="仿宋" w:eastAsia="仿宋" w:cs="仿宋"/>
          <w:sz w:val="28"/>
          <w:szCs w:val="28"/>
        </w:rPr>
      </w:pPr>
      <w:r>
        <w:rPr>
          <w:rFonts w:hint="eastAsia" w:ascii="仿宋" w:hAnsi="仿宋" w:eastAsia="仿宋" w:cs="仿宋"/>
          <w:sz w:val="28"/>
          <w:szCs w:val="28"/>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ind w:firstLine="560" w:firstLineChars="200"/>
        <w:rPr>
          <w:rFonts w:ascii="仿宋" w:hAnsi="仿宋" w:eastAsia="仿宋" w:cs="仿宋"/>
          <w:sz w:val="28"/>
          <w:szCs w:val="28"/>
        </w:rPr>
      </w:pPr>
      <w:r>
        <w:rPr>
          <w:rFonts w:hint="eastAsia" w:ascii="仿宋" w:hAnsi="仿宋" w:eastAsia="仿宋" w:cs="仿宋"/>
          <w:sz w:val="28"/>
          <w:szCs w:val="28"/>
        </w:rPr>
        <w:t>2.3.2具有知识产权的计算机软件等货物的知识产权归属，详见</w:t>
      </w:r>
      <w:r>
        <w:rPr>
          <w:rFonts w:hint="eastAsia" w:ascii="仿宋" w:hAnsi="仿宋" w:eastAsia="仿宋" w:cs="仿宋"/>
          <w:b/>
          <w:iCs/>
          <w:sz w:val="28"/>
          <w:szCs w:val="28"/>
          <w:u w:val="single"/>
        </w:rPr>
        <w:t>合同专用条款</w:t>
      </w:r>
      <w:r>
        <w:rPr>
          <w:rFonts w:hint="eastAsia" w:ascii="仿宋" w:hAnsi="仿宋" w:eastAsia="仿宋" w:cs="仿宋"/>
          <w:sz w:val="28"/>
          <w:szCs w:val="28"/>
        </w:rPr>
        <w:t>。</w:t>
      </w:r>
    </w:p>
    <w:p>
      <w:pPr>
        <w:ind w:firstLine="562" w:firstLineChars="200"/>
        <w:rPr>
          <w:rFonts w:ascii="仿宋" w:hAnsi="仿宋" w:eastAsia="仿宋" w:cs="仿宋"/>
          <w:b/>
          <w:sz w:val="28"/>
          <w:szCs w:val="28"/>
        </w:rPr>
      </w:pPr>
      <w:bookmarkStart w:id="452" w:name="_Toc29149"/>
      <w:bookmarkStart w:id="453" w:name="_Toc4194"/>
      <w:bookmarkStart w:id="454" w:name="_Toc11932"/>
      <w:r>
        <w:rPr>
          <w:rFonts w:hint="eastAsia" w:ascii="仿宋" w:hAnsi="仿宋" w:eastAsia="仿宋" w:cs="仿宋"/>
          <w:b/>
          <w:sz w:val="28"/>
          <w:szCs w:val="28"/>
        </w:rPr>
        <w:t>2.4 包装和装运</w:t>
      </w:r>
      <w:bookmarkEnd w:id="452"/>
      <w:bookmarkEnd w:id="453"/>
      <w:bookmarkEnd w:id="454"/>
    </w:p>
    <w:p>
      <w:pPr>
        <w:ind w:firstLine="560" w:firstLineChars="200"/>
        <w:rPr>
          <w:rFonts w:ascii="仿宋" w:hAnsi="仿宋" w:eastAsia="仿宋" w:cs="仿宋"/>
          <w:sz w:val="28"/>
          <w:szCs w:val="28"/>
        </w:rPr>
      </w:pPr>
      <w:r>
        <w:rPr>
          <w:rFonts w:hint="eastAsia" w:ascii="仿宋" w:hAnsi="仿宋" w:eastAsia="仿宋" w:cs="仿宋"/>
          <w:sz w:val="28"/>
          <w:szCs w:val="28"/>
        </w:rPr>
        <w:t>2.4.1除</w:t>
      </w:r>
      <w:r>
        <w:rPr>
          <w:rFonts w:hint="eastAsia" w:ascii="仿宋" w:hAnsi="仿宋" w:eastAsia="仿宋" w:cs="仿宋"/>
          <w:b/>
          <w:iCs/>
          <w:sz w:val="28"/>
          <w:szCs w:val="28"/>
          <w:u w:val="single"/>
        </w:rPr>
        <w:t>合同专用条款</w:t>
      </w:r>
      <w:r>
        <w:rPr>
          <w:rFonts w:hint="eastAsia" w:ascii="仿宋" w:hAnsi="仿宋" w:eastAsia="仿宋" w:cs="仿宋"/>
          <w:sz w:val="28"/>
          <w:szCs w:val="28"/>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ind w:firstLine="560" w:firstLineChars="200"/>
        <w:rPr>
          <w:rFonts w:ascii="仿宋" w:hAnsi="仿宋" w:eastAsia="仿宋" w:cs="仿宋"/>
          <w:sz w:val="28"/>
          <w:szCs w:val="28"/>
        </w:rPr>
      </w:pPr>
      <w:r>
        <w:rPr>
          <w:rFonts w:hint="eastAsia" w:ascii="仿宋" w:hAnsi="仿宋" w:eastAsia="仿宋" w:cs="仿宋"/>
          <w:sz w:val="28"/>
          <w:szCs w:val="28"/>
        </w:rPr>
        <w:t>2.4.2 装运货物的要求和通知，详见</w:t>
      </w:r>
      <w:r>
        <w:rPr>
          <w:rFonts w:hint="eastAsia" w:ascii="仿宋" w:hAnsi="仿宋" w:eastAsia="仿宋" w:cs="仿宋"/>
          <w:b/>
          <w:iCs/>
          <w:sz w:val="28"/>
          <w:szCs w:val="28"/>
          <w:u w:val="single"/>
        </w:rPr>
        <w:t>合同专用条款</w:t>
      </w:r>
      <w:r>
        <w:rPr>
          <w:rFonts w:hint="eastAsia" w:ascii="仿宋" w:hAnsi="仿宋" w:eastAsia="仿宋" w:cs="仿宋"/>
          <w:sz w:val="28"/>
          <w:szCs w:val="28"/>
        </w:rPr>
        <w:t>。</w:t>
      </w:r>
    </w:p>
    <w:p>
      <w:pPr>
        <w:ind w:firstLine="562" w:firstLineChars="200"/>
        <w:rPr>
          <w:rFonts w:ascii="仿宋" w:hAnsi="仿宋" w:eastAsia="仿宋" w:cs="仿宋"/>
          <w:b/>
          <w:sz w:val="28"/>
          <w:szCs w:val="28"/>
        </w:rPr>
      </w:pPr>
      <w:bookmarkStart w:id="455" w:name="_Toc279701245"/>
      <w:bookmarkStart w:id="456" w:name="_Ref467379542"/>
      <w:bookmarkStart w:id="457" w:name="_Toc487900354"/>
      <w:bookmarkStart w:id="458" w:name="_Toc259093674"/>
      <w:bookmarkStart w:id="459" w:name="_Ref467378541"/>
      <w:bookmarkStart w:id="460" w:name="_Ref467379536"/>
      <w:bookmarkStart w:id="461" w:name="_Ref467378591"/>
      <w:bookmarkStart w:id="462" w:name="_Ref467379527"/>
      <w:bookmarkStart w:id="463" w:name="_Toc30272"/>
      <w:bookmarkStart w:id="464" w:name="_Toc26182"/>
      <w:bookmarkStart w:id="465" w:name="_Toc19074"/>
      <w:r>
        <w:rPr>
          <w:rFonts w:hint="eastAsia" w:ascii="仿宋" w:hAnsi="仿宋" w:eastAsia="仿宋" w:cs="仿宋"/>
          <w:b/>
          <w:sz w:val="28"/>
          <w:szCs w:val="28"/>
        </w:rPr>
        <w:t>2.</w:t>
      </w:r>
      <w:bookmarkEnd w:id="455"/>
      <w:bookmarkEnd w:id="456"/>
      <w:bookmarkEnd w:id="457"/>
      <w:bookmarkEnd w:id="458"/>
      <w:bookmarkEnd w:id="459"/>
      <w:bookmarkEnd w:id="460"/>
      <w:bookmarkEnd w:id="461"/>
      <w:bookmarkEnd w:id="462"/>
      <w:r>
        <w:rPr>
          <w:rFonts w:hint="eastAsia" w:ascii="仿宋" w:hAnsi="仿宋" w:eastAsia="仿宋" w:cs="仿宋"/>
          <w:b/>
          <w:sz w:val="28"/>
          <w:szCs w:val="28"/>
        </w:rPr>
        <w:t>5 履约检查和问题反馈</w:t>
      </w:r>
      <w:bookmarkEnd w:id="463"/>
      <w:bookmarkEnd w:id="464"/>
      <w:bookmarkEnd w:id="465"/>
    </w:p>
    <w:p>
      <w:pPr>
        <w:ind w:firstLine="560" w:firstLineChars="200"/>
        <w:rPr>
          <w:rFonts w:ascii="仿宋" w:hAnsi="仿宋" w:eastAsia="仿宋" w:cs="仿宋"/>
          <w:sz w:val="28"/>
          <w:szCs w:val="28"/>
        </w:rPr>
      </w:pPr>
      <w:bookmarkStart w:id="466" w:name="_Ref467379657"/>
      <w:r>
        <w:rPr>
          <w:rFonts w:hint="eastAsia" w:ascii="仿宋" w:hAnsi="仿宋" w:eastAsia="仿宋" w:cs="仿宋"/>
          <w:sz w:val="28"/>
          <w:szCs w:val="28"/>
        </w:rPr>
        <w:t>2.5.1</w:t>
      </w:r>
      <w:bookmarkEnd w:id="466"/>
      <w:bookmarkStart w:id="467" w:name="_Toc186431854"/>
      <w:bookmarkStart w:id="468" w:name="_Toc279701247"/>
      <w:bookmarkStart w:id="469" w:name="_Ref467379793"/>
      <w:bookmarkStart w:id="470" w:name="_Ref467379807"/>
      <w:bookmarkStart w:id="471" w:name="_Toc487900357"/>
      <w:bookmarkStart w:id="472" w:name="_Toc259093676"/>
      <w:r>
        <w:rPr>
          <w:rFonts w:hint="eastAsia" w:ascii="仿宋" w:hAnsi="仿宋" w:eastAsia="仿宋" w:cs="仿宋"/>
          <w:sz w:val="28"/>
          <w:szCs w:val="28"/>
        </w:rPr>
        <w:t>甲方有权在其认为必要时，对乙方是否能够按照合同约定交付货物进行履约检查，以确保乙方所交付的货物能够依约满足甲方之项目需求，但不得因履约检查妨碍乙方的正常工作，乙方应予积极配合；</w:t>
      </w:r>
    </w:p>
    <w:p>
      <w:pPr>
        <w:ind w:firstLine="560" w:firstLineChars="200"/>
        <w:rPr>
          <w:rFonts w:ascii="仿宋" w:hAnsi="仿宋" w:eastAsia="仿宋" w:cs="仿宋"/>
          <w:sz w:val="28"/>
          <w:szCs w:val="28"/>
        </w:rPr>
      </w:pPr>
      <w:r>
        <w:rPr>
          <w:rFonts w:hint="eastAsia" w:ascii="仿宋" w:hAnsi="仿宋" w:eastAsia="仿宋" w:cs="仿宋"/>
          <w:sz w:val="28"/>
          <w:szCs w:val="28"/>
        </w:rPr>
        <w:t>2.5.2 合同履行期间，甲方有权将履行过程中出现的问题反馈给乙方，双方当事人应以书面形式约定需要完善和改进的内容</w:t>
      </w:r>
      <w:bookmarkEnd w:id="467"/>
      <w:bookmarkStart w:id="473" w:name="_Toc186431855"/>
      <w:r>
        <w:rPr>
          <w:rFonts w:hint="eastAsia" w:ascii="仿宋" w:hAnsi="仿宋" w:eastAsia="仿宋" w:cs="仿宋"/>
          <w:sz w:val="28"/>
          <w:szCs w:val="28"/>
        </w:rPr>
        <w:t>。</w:t>
      </w:r>
    </w:p>
    <w:bookmarkEnd w:id="473"/>
    <w:p>
      <w:pPr>
        <w:ind w:firstLine="562" w:firstLineChars="200"/>
        <w:rPr>
          <w:rFonts w:ascii="仿宋" w:hAnsi="仿宋" w:eastAsia="仿宋" w:cs="仿宋"/>
          <w:b/>
          <w:sz w:val="28"/>
          <w:szCs w:val="28"/>
        </w:rPr>
      </w:pPr>
      <w:bookmarkStart w:id="474" w:name="_Toc28451"/>
      <w:bookmarkStart w:id="475" w:name="_Toc19219"/>
      <w:bookmarkStart w:id="476" w:name="_Toc7836"/>
      <w:r>
        <w:rPr>
          <w:rFonts w:hint="eastAsia" w:ascii="仿宋" w:hAnsi="仿宋" w:eastAsia="仿宋" w:cs="仿宋"/>
          <w:b/>
          <w:sz w:val="28"/>
          <w:szCs w:val="28"/>
        </w:rPr>
        <w:t>2.6 结算方式和付款条件</w:t>
      </w:r>
      <w:bookmarkEnd w:id="468"/>
      <w:bookmarkEnd w:id="469"/>
      <w:bookmarkEnd w:id="470"/>
      <w:bookmarkEnd w:id="471"/>
      <w:bookmarkEnd w:id="472"/>
      <w:bookmarkEnd w:id="474"/>
      <w:bookmarkEnd w:id="475"/>
      <w:bookmarkEnd w:id="476"/>
    </w:p>
    <w:p>
      <w:pPr>
        <w:ind w:firstLine="560" w:firstLineChars="200"/>
        <w:rPr>
          <w:rFonts w:ascii="仿宋" w:hAnsi="仿宋" w:eastAsia="仿宋" w:cs="仿宋"/>
          <w:sz w:val="28"/>
          <w:szCs w:val="28"/>
        </w:rPr>
      </w:pPr>
      <w:r>
        <w:rPr>
          <w:rFonts w:hint="eastAsia" w:ascii="仿宋" w:hAnsi="仿宋" w:eastAsia="仿宋" w:cs="仿宋"/>
          <w:sz w:val="28"/>
          <w:szCs w:val="28"/>
        </w:rPr>
        <w:t>详见</w:t>
      </w:r>
      <w:r>
        <w:rPr>
          <w:rFonts w:hint="eastAsia" w:ascii="仿宋" w:hAnsi="仿宋" w:eastAsia="仿宋" w:cs="仿宋"/>
          <w:b/>
          <w:iCs/>
          <w:sz w:val="28"/>
          <w:szCs w:val="28"/>
          <w:u w:val="single"/>
        </w:rPr>
        <w:t>合同专用条款</w:t>
      </w:r>
      <w:r>
        <w:rPr>
          <w:rFonts w:hint="eastAsia" w:ascii="仿宋" w:hAnsi="仿宋" w:eastAsia="仿宋" w:cs="仿宋"/>
          <w:sz w:val="28"/>
          <w:szCs w:val="28"/>
        </w:rPr>
        <w:t>。</w:t>
      </w:r>
    </w:p>
    <w:p>
      <w:pPr>
        <w:ind w:firstLine="562" w:firstLineChars="200"/>
        <w:rPr>
          <w:rFonts w:ascii="仿宋" w:hAnsi="仿宋" w:eastAsia="仿宋" w:cs="仿宋"/>
          <w:b/>
          <w:sz w:val="28"/>
          <w:szCs w:val="28"/>
        </w:rPr>
      </w:pPr>
      <w:bookmarkStart w:id="477" w:name="_Ref467379852"/>
      <w:bookmarkStart w:id="478" w:name="_Ref467379863"/>
      <w:bookmarkStart w:id="479" w:name="_Ref467379923"/>
      <w:bookmarkStart w:id="480" w:name="_Toc487900358"/>
      <w:bookmarkStart w:id="481" w:name="_Toc259093677"/>
      <w:bookmarkStart w:id="482" w:name="_Toc279701248"/>
      <w:bookmarkStart w:id="483" w:name="_Toc774"/>
      <w:bookmarkStart w:id="484" w:name="_Toc16110"/>
      <w:bookmarkStart w:id="485" w:name="_Toc3225"/>
      <w:r>
        <w:rPr>
          <w:rFonts w:hint="eastAsia" w:ascii="仿宋" w:hAnsi="仿宋" w:eastAsia="仿宋" w:cs="仿宋"/>
          <w:b/>
          <w:sz w:val="28"/>
          <w:szCs w:val="28"/>
        </w:rPr>
        <w:t>2.7 技术资料</w:t>
      </w:r>
      <w:bookmarkEnd w:id="477"/>
      <w:bookmarkEnd w:id="478"/>
      <w:bookmarkEnd w:id="479"/>
      <w:bookmarkEnd w:id="480"/>
      <w:bookmarkEnd w:id="481"/>
      <w:bookmarkEnd w:id="482"/>
      <w:r>
        <w:rPr>
          <w:rFonts w:hint="eastAsia" w:ascii="仿宋" w:hAnsi="仿宋" w:eastAsia="仿宋" w:cs="仿宋"/>
          <w:b/>
          <w:sz w:val="28"/>
          <w:szCs w:val="28"/>
        </w:rPr>
        <w:t>和保密义务</w:t>
      </w:r>
      <w:bookmarkEnd w:id="483"/>
      <w:bookmarkEnd w:id="484"/>
      <w:bookmarkEnd w:id="485"/>
    </w:p>
    <w:p>
      <w:pPr>
        <w:ind w:firstLine="560" w:firstLineChars="200"/>
        <w:rPr>
          <w:rFonts w:ascii="仿宋" w:hAnsi="仿宋" w:eastAsia="仿宋" w:cs="仿宋"/>
          <w:sz w:val="28"/>
          <w:szCs w:val="28"/>
        </w:rPr>
      </w:pPr>
      <w:r>
        <w:rPr>
          <w:rFonts w:hint="eastAsia" w:ascii="仿宋" w:hAnsi="仿宋" w:eastAsia="仿宋" w:cs="仿宋"/>
          <w:sz w:val="28"/>
          <w:szCs w:val="28"/>
        </w:rPr>
        <w:t>2.7.1 乙方有权依据合同约定和项目需要，向甲方了解有关情况，调阅有关资料等，甲方应予积极配合；</w:t>
      </w:r>
    </w:p>
    <w:p>
      <w:pPr>
        <w:ind w:firstLine="560" w:firstLineChars="200"/>
        <w:rPr>
          <w:rFonts w:ascii="仿宋" w:hAnsi="仿宋" w:eastAsia="仿宋" w:cs="仿宋"/>
          <w:sz w:val="28"/>
          <w:szCs w:val="28"/>
        </w:rPr>
      </w:pPr>
      <w:r>
        <w:rPr>
          <w:rFonts w:hint="eastAsia" w:ascii="仿宋" w:hAnsi="仿宋" w:eastAsia="仿宋" w:cs="仿宋"/>
          <w:sz w:val="28"/>
          <w:szCs w:val="28"/>
        </w:rPr>
        <w:t>2.7.2 乙方有义务妥善保管和保护由甲方提供的前款信息和资料等；</w:t>
      </w:r>
    </w:p>
    <w:p>
      <w:pPr>
        <w:ind w:firstLine="560" w:firstLineChars="200"/>
        <w:rPr>
          <w:rFonts w:ascii="仿宋" w:hAnsi="仿宋" w:eastAsia="仿宋" w:cs="仿宋"/>
          <w:sz w:val="28"/>
          <w:szCs w:val="28"/>
        </w:rPr>
      </w:pPr>
      <w:r>
        <w:rPr>
          <w:rFonts w:hint="eastAsia" w:ascii="仿宋" w:hAnsi="仿宋" w:eastAsia="仿宋" w:cs="仿宋"/>
          <w:sz w:val="28"/>
          <w:szCs w:val="28"/>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ind w:firstLine="562" w:firstLineChars="200"/>
        <w:rPr>
          <w:rFonts w:ascii="仿宋" w:hAnsi="仿宋" w:eastAsia="仿宋" w:cs="仿宋"/>
          <w:b/>
          <w:sz w:val="28"/>
          <w:szCs w:val="28"/>
        </w:rPr>
      </w:pPr>
      <w:bookmarkStart w:id="486" w:name="_Toc7860"/>
      <w:r>
        <w:rPr>
          <w:rFonts w:hint="eastAsia" w:ascii="仿宋" w:hAnsi="仿宋" w:eastAsia="仿宋" w:cs="仿宋"/>
          <w:b/>
          <w:sz w:val="28"/>
          <w:szCs w:val="28"/>
        </w:rPr>
        <w:t>2.8 质量保证</w:t>
      </w:r>
      <w:bookmarkEnd w:id="486"/>
    </w:p>
    <w:p>
      <w:pPr>
        <w:ind w:firstLine="560" w:firstLineChars="200"/>
        <w:rPr>
          <w:rFonts w:ascii="仿宋" w:hAnsi="仿宋" w:eastAsia="仿宋" w:cs="仿宋"/>
          <w:sz w:val="28"/>
          <w:szCs w:val="28"/>
        </w:rPr>
      </w:pPr>
      <w:r>
        <w:rPr>
          <w:rFonts w:hint="eastAsia" w:ascii="仿宋" w:hAnsi="仿宋" w:eastAsia="仿宋" w:cs="仿宋"/>
          <w:sz w:val="28"/>
          <w:szCs w:val="28"/>
        </w:rPr>
        <w:t>2.8.1 乙方应建立和完善履行合同的内部质量保证体系，并提供相关内部规章制度给甲方，以便甲方进行监督检查；</w:t>
      </w:r>
    </w:p>
    <w:p>
      <w:pPr>
        <w:ind w:firstLine="560" w:firstLineChars="200"/>
        <w:rPr>
          <w:rFonts w:ascii="仿宋" w:hAnsi="仿宋" w:eastAsia="仿宋" w:cs="仿宋"/>
          <w:sz w:val="28"/>
          <w:szCs w:val="28"/>
        </w:rPr>
      </w:pPr>
      <w:r>
        <w:rPr>
          <w:rFonts w:hint="eastAsia" w:ascii="仿宋" w:hAnsi="仿宋" w:eastAsia="仿宋" w:cs="仿宋"/>
          <w:sz w:val="28"/>
          <w:szCs w:val="28"/>
        </w:rPr>
        <w:t>2.8.2 乙方应保证履行合同的人员数量和素质、软件和硬件设备的配置、场地、环境和设施等满足全面履行合同的要求，并应接受甲方的监督检查。</w:t>
      </w:r>
    </w:p>
    <w:p>
      <w:pPr>
        <w:ind w:firstLine="562" w:firstLineChars="200"/>
        <w:rPr>
          <w:rFonts w:ascii="仿宋" w:hAnsi="仿宋" w:eastAsia="仿宋" w:cs="仿宋"/>
          <w:b/>
          <w:sz w:val="28"/>
          <w:szCs w:val="28"/>
        </w:rPr>
      </w:pPr>
      <w:bookmarkStart w:id="487" w:name="_Toc17244"/>
      <w:bookmarkStart w:id="488" w:name="_Toc259093681"/>
      <w:bookmarkStart w:id="489" w:name="_Toc279701252"/>
      <w:bookmarkStart w:id="490" w:name="_Toc487900362"/>
      <w:r>
        <w:rPr>
          <w:rFonts w:hint="eastAsia" w:ascii="仿宋" w:hAnsi="仿宋" w:eastAsia="仿宋" w:cs="仿宋"/>
          <w:b/>
          <w:sz w:val="28"/>
          <w:szCs w:val="28"/>
        </w:rPr>
        <w:t>2.9 货物的风险负担</w:t>
      </w:r>
      <w:bookmarkEnd w:id="487"/>
    </w:p>
    <w:p>
      <w:pPr>
        <w:ind w:firstLine="560" w:firstLineChars="200"/>
        <w:rPr>
          <w:rFonts w:ascii="仿宋" w:hAnsi="仿宋" w:eastAsia="仿宋" w:cs="仿宋"/>
          <w:b/>
          <w:sz w:val="28"/>
          <w:szCs w:val="28"/>
        </w:rPr>
      </w:pPr>
      <w:r>
        <w:rPr>
          <w:rFonts w:hint="eastAsia" w:ascii="仿宋" w:hAnsi="仿宋" w:eastAsia="仿宋" w:cs="仿宋"/>
          <w:sz w:val="28"/>
          <w:szCs w:val="28"/>
        </w:rPr>
        <w:t>货物或者在途货物或者交付给第一承运人后的货物毁损、灭失的风险负担详见</w:t>
      </w:r>
      <w:r>
        <w:rPr>
          <w:rFonts w:hint="eastAsia" w:ascii="仿宋" w:hAnsi="仿宋" w:eastAsia="仿宋" w:cs="仿宋"/>
          <w:b/>
          <w:iCs/>
          <w:sz w:val="28"/>
          <w:szCs w:val="28"/>
          <w:u w:val="single"/>
        </w:rPr>
        <w:t>合同专用条款</w:t>
      </w:r>
      <w:r>
        <w:rPr>
          <w:rFonts w:hint="eastAsia" w:ascii="仿宋" w:hAnsi="仿宋" w:eastAsia="仿宋" w:cs="仿宋"/>
          <w:sz w:val="28"/>
          <w:szCs w:val="28"/>
        </w:rPr>
        <w:t>。</w:t>
      </w:r>
    </w:p>
    <w:p>
      <w:pPr>
        <w:ind w:firstLine="562" w:firstLineChars="200"/>
        <w:rPr>
          <w:rFonts w:ascii="仿宋" w:hAnsi="仿宋" w:eastAsia="仿宋" w:cs="仿宋"/>
          <w:b/>
          <w:sz w:val="28"/>
          <w:szCs w:val="28"/>
        </w:rPr>
      </w:pPr>
      <w:bookmarkStart w:id="491" w:name="_Toc14055"/>
      <w:r>
        <w:rPr>
          <w:rFonts w:hint="eastAsia" w:ascii="仿宋" w:hAnsi="仿宋" w:eastAsia="仿宋" w:cs="仿宋"/>
          <w:b/>
          <w:sz w:val="28"/>
          <w:szCs w:val="28"/>
        </w:rPr>
        <w:t>2.10 延迟交货</w:t>
      </w:r>
      <w:bookmarkEnd w:id="488"/>
      <w:bookmarkEnd w:id="489"/>
      <w:bookmarkEnd w:id="490"/>
      <w:bookmarkEnd w:id="491"/>
    </w:p>
    <w:p>
      <w:pPr>
        <w:ind w:firstLine="560" w:firstLineChars="200"/>
        <w:rPr>
          <w:rFonts w:ascii="仿宋" w:hAnsi="仿宋" w:eastAsia="仿宋" w:cs="仿宋"/>
          <w:sz w:val="28"/>
          <w:szCs w:val="28"/>
        </w:rPr>
      </w:pPr>
      <w:r>
        <w:rPr>
          <w:rFonts w:hint="eastAsia" w:ascii="仿宋" w:hAnsi="仿宋" w:eastAsia="仿宋" w:cs="仿宋"/>
          <w:sz w:val="28"/>
          <w:szCs w:val="28"/>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ind w:firstLine="562" w:firstLineChars="200"/>
        <w:rPr>
          <w:rFonts w:ascii="仿宋" w:hAnsi="仿宋" w:eastAsia="仿宋" w:cs="仿宋"/>
          <w:b/>
          <w:sz w:val="28"/>
          <w:szCs w:val="28"/>
        </w:rPr>
      </w:pPr>
      <w:bookmarkStart w:id="492" w:name="_Toc7502"/>
      <w:bookmarkStart w:id="493" w:name="_Toc279701254"/>
      <w:bookmarkStart w:id="494" w:name="_Toc259093683"/>
      <w:bookmarkStart w:id="495" w:name="_Toc487900364"/>
      <w:bookmarkStart w:id="496" w:name="_Ref467378121"/>
      <w:r>
        <w:rPr>
          <w:rFonts w:hint="eastAsia" w:ascii="仿宋" w:hAnsi="仿宋" w:eastAsia="仿宋" w:cs="仿宋"/>
          <w:b/>
          <w:sz w:val="28"/>
          <w:szCs w:val="28"/>
        </w:rPr>
        <w:t>2.11 合同变更</w:t>
      </w:r>
      <w:bookmarkEnd w:id="492"/>
    </w:p>
    <w:p>
      <w:pPr>
        <w:ind w:firstLine="560" w:firstLineChars="200"/>
        <w:rPr>
          <w:rFonts w:ascii="仿宋" w:hAnsi="仿宋" w:eastAsia="仿宋" w:cs="仿宋"/>
          <w:sz w:val="28"/>
          <w:szCs w:val="28"/>
        </w:rPr>
      </w:pPr>
      <w:r>
        <w:rPr>
          <w:rFonts w:hint="eastAsia" w:ascii="仿宋" w:hAnsi="仿宋" w:eastAsia="仿宋" w:cs="仿宋"/>
          <w:sz w:val="28"/>
          <w:szCs w:val="28"/>
        </w:rPr>
        <w:t>2.11.1双方当事人协商一致，可以签订书面补充合同的形式变更合同，但不得违背采购文件确定的事项，且如果系追加与合同标的相同的货物的，那么所有补充合同的采购金额不得超过原合同价的10%；</w:t>
      </w:r>
    </w:p>
    <w:p>
      <w:pPr>
        <w:ind w:firstLine="560" w:firstLineChars="200"/>
        <w:rPr>
          <w:rFonts w:ascii="仿宋" w:hAnsi="仿宋" w:eastAsia="仿宋" w:cs="仿宋"/>
          <w:sz w:val="28"/>
          <w:szCs w:val="28"/>
        </w:rPr>
      </w:pPr>
      <w:r>
        <w:rPr>
          <w:rFonts w:hint="eastAsia" w:ascii="仿宋" w:hAnsi="仿宋" w:eastAsia="仿宋" w:cs="仿宋"/>
          <w:sz w:val="28"/>
          <w:szCs w:val="28"/>
        </w:rPr>
        <w:t>2.11.2 合同继续履行将损害国家利益和社会公共利益的，双方当事人应当以书面形式变更合同。有过错的一方应当承担赔偿责任，双方当事人都有过错的，各自承担相应的责任。</w:t>
      </w:r>
      <w:bookmarkStart w:id="497" w:name="_Toc487900369"/>
      <w:bookmarkStart w:id="498" w:name="_Toc279701259"/>
      <w:bookmarkStart w:id="499" w:name="_Toc259093688"/>
    </w:p>
    <w:p>
      <w:pPr>
        <w:ind w:firstLine="562" w:firstLineChars="200"/>
        <w:rPr>
          <w:rFonts w:ascii="仿宋" w:hAnsi="仿宋" w:eastAsia="仿宋" w:cs="仿宋"/>
          <w:b/>
          <w:sz w:val="28"/>
          <w:szCs w:val="28"/>
        </w:rPr>
      </w:pPr>
      <w:bookmarkStart w:id="500" w:name="_Toc22955"/>
      <w:bookmarkStart w:id="501" w:name="_Toc15237"/>
      <w:bookmarkStart w:id="502" w:name="_Toc10366"/>
      <w:r>
        <w:rPr>
          <w:rFonts w:hint="eastAsia" w:ascii="仿宋" w:hAnsi="仿宋" w:eastAsia="仿宋" w:cs="仿宋"/>
          <w:b/>
          <w:sz w:val="28"/>
          <w:szCs w:val="28"/>
        </w:rPr>
        <w:t>2.12 合同转让</w:t>
      </w:r>
      <w:bookmarkEnd w:id="497"/>
      <w:bookmarkEnd w:id="498"/>
      <w:bookmarkEnd w:id="499"/>
      <w:r>
        <w:rPr>
          <w:rFonts w:hint="eastAsia" w:ascii="仿宋" w:hAnsi="仿宋" w:eastAsia="仿宋" w:cs="仿宋"/>
          <w:b/>
          <w:sz w:val="28"/>
          <w:szCs w:val="28"/>
        </w:rPr>
        <w:t>和分包</w:t>
      </w:r>
      <w:bookmarkEnd w:id="500"/>
      <w:bookmarkEnd w:id="501"/>
      <w:bookmarkEnd w:id="502"/>
    </w:p>
    <w:p>
      <w:pPr>
        <w:ind w:firstLine="560" w:firstLineChars="200"/>
        <w:rPr>
          <w:rFonts w:ascii="仿宋" w:hAnsi="仿宋" w:eastAsia="仿宋" w:cs="仿宋"/>
          <w:sz w:val="28"/>
          <w:szCs w:val="28"/>
        </w:rPr>
      </w:pPr>
      <w:r>
        <w:rPr>
          <w:rFonts w:hint="eastAsia" w:ascii="仿宋" w:hAnsi="仿宋" w:eastAsia="仿宋" w:cs="仿宋"/>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ind w:firstLine="562" w:firstLineChars="200"/>
        <w:rPr>
          <w:rFonts w:ascii="仿宋" w:hAnsi="仿宋" w:eastAsia="仿宋" w:cs="仿宋"/>
          <w:b/>
          <w:sz w:val="28"/>
          <w:szCs w:val="28"/>
        </w:rPr>
      </w:pPr>
      <w:bookmarkStart w:id="503" w:name="_Toc13566"/>
      <w:bookmarkStart w:id="504" w:name="_Toc16508"/>
      <w:bookmarkStart w:id="505" w:name="_Toc14066"/>
      <w:r>
        <w:rPr>
          <w:rFonts w:hint="eastAsia" w:ascii="仿宋" w:hAnsi="仿宋" w:eastAsia="仿宋" w:cs="仿宋"/>
          <w:b/>
          <w:sz w:val="28"/>
          <w:szCs w:val="28"/>
        </w:rPr>
        <w:t>2.13 不可抗力</w:t>
      </w:r>
      <w:bookmarkEnd w:id="503"/>
      <w:bookmarkEnd w:id="504"/>
      <w:bookmarkEnd w:id="505"/>
    </w:p>
    <w:p>
      <w:pPr>
        <w:ind w:firstLine="560" w:firstLineChars="200"/>
        <w:rPr>
          <w:rFonts w:ascii="仿宋" w:hAnsi="仿宋" w:eastAsia="仿宋" w:cs="仿宋"/>
          <w:sz w:val="28"/>
          <w:szCs w:val="28"/>
        </w:rPr>
      </w:pPr>
      <w:r>
        <w:rPr>
          <w:rFonts w:hint="eastAsia" w:ascii="仿宋" w:hAnsi="仿宋" w:eastAsia="仿宋" w:cs="仿宋"/>
          <w:sz w:val="28"/>
          <w:szCs w:val="28"/>
        </w:rPr>
        <w:t>2.13.1如果任何一方遭遇法律规定的不可抗力，致使合同履行受阻时，履行合同的期限应予延长，延长的期限应相当于不可抗力所影响的时间；</w:t>
      </w:r>
    </w:p>
    <w:p>
      <w:pPr>
        <w:ind w:firstLine="560" w:firstLineChars="200"/>
        <w:rPr>
          <w:rFonts w:ascii="仿宋" w:hAnsi="仿宋" w:eastAsia="仿宋" w:cs="仿宋"/>
          <w:sz w:val="28"/>
          <w:szCs w:val="28"/>
        </w:rPr>
      </w:pPr>
      <w:r>
        <w:rPr>
          <w:rFonts w:hint="eastAsia" w:ascii="仿宋" w:hAnsi="仿宋" w:eastAsia="仿宋" w:cs="仿宋"/>
          <w:sz w:val="28"/>
          <w:szCs w:val="28"/>
        </w:rPr>
        <w:t>2.13.2 因不可抗力致使不能实现合同目的的，当事人可以解除合同；</w:t>
      </w:r>
    </w:p>
    <w:p>
      <w:pPr>
        <w:ind w:firstLine="560" w:firstLineChars="200"/>
        <w:rPr>
          <w:rFonts w:ascii="仿宋" w:hAnsi="仿宋" w:eastAsia="仿宋" w:cs="仿宋"/>
          <w:sz w:val="28"/>
          <w:szCs w:val="28"/>
        </w:rPr>
      </w:pPr>
      <w:r>
        <w:rPr>
          <w:rFonts w:hint="eastAsia" w:ascii="仿宋" w:hAnsi="仿宋" w:eastAsia="仿宋" w:cs="仿宋"/>
          <w:sz w:val="28"/>
          <w:szCs w:val="28"/>
        </w:rPr>
        <w:t>2.13.3 因不可抗力致使合同有变更必要的，双方当事人应在</w:t>
      </w:r>
      <w:r>
        <w:rPr>
          <w:rFonts w:hint="eastAsia" w:ascii="仿宋" w:hAnsi="仿宋" w:eastAsia="仿宋" w:cs="仿宋"/>
          <w:b/>
          <w:iCs/>
          <w:sz w:val="28"/>
          <w:szCs w:val="28"/>
          <w:u w:val="single"/>
        </w:rPr>
        <w:t>合同专用条款</w:t>
      </w:r>
      <w:r>
        <w:rPr>
          <w:rFonts w:hint="eastAsia" w:ascii="仿宋" w:hAnsi="仿宋" w:eastAsia="仿宋" w:cs="仿宋"/>
          <w:sz w:val="28"/>
          <w:szCs w:val="28"/>
        </w:rPr>
        <w:t>约定时间内以书面形式变更合同；</w:t>
      </w:r>
    </w:p>
    <w:p>
      <w:pPr>
        <w:ind w:firstLine="560" w:firstLineChars="200"/>
        <w:rPr>
          <w:rFonts w:ascii="仿宋" w:hAnsi="仿宋" w:eastAsia="仿宋" w:cs="仿宋"/>
          <w:sz w:val="28"/>
          <w:szCs w:val="28"/>
        </w:rPr>
      </w:pPr>
      <w:r>
        <w:rPr>
          <w:rFonts w:hint="eastAsia" w:ascii="仿宋" w:hAnsi="仿宋" w:eastAsia="仿宋" w:cs="仿宋"/>
          <w:sz w:val="28"/>
          <w:szCs w:val="28"/>
        </w:rPr>
        <w:t>2.13.4受不可抗力影响的一方在不可抗力发生后，应在</w:t>
      </w:r>
      <w:r>
        <w:rPr>
          <w:rFonts w:hint="eastAsia" w:ascii="仿宋" w:hAnsi="仿宋" w:eastAsia="仿宋" w:cs="仿宋"/>
          <w:b/>
          <w:iCs/>
          <w:sz w:val="28"/>
          <w:szCs w:val="28"/>
          <w:u w:val="single"/>
        </w:rPr>
        <w:t>合同专用条款</w:t>
      </w:r>
      <w:r>
        <w:rPr>
          <w:rFonts w:hint="eastAsia" w:ascii="仿宋" w:hAnsi="仿宋" w:eastAsia="仿宋" w:cs="仿宋"/>
          <w:sz w:val="28"/>
          <w:szCs w:val="28"/>
        </w:rPr>
        <w:t>约定时间内以书面形式通知对方当事人，并在</w:t>
      </w:r>
      <w:r>
        <w:rPr>
          <w:rFonts w:hint="eastAsia" w:ascii="仿宋" w:hAnsi="仿宋" w:eastAsia="仿宋" w:cs="仿宋"/>
          <w:b/>
          <w:iCs/>
          <w:sz w:val="28"/>
          <w:szCs w:val="28"/>
          <w:u w:val="single"/>
        </w:rPr>
        <w:t>合同专用条款</w:t>
      </w:r>
      <w:r>
        <w:rPr>
          <w:rFonts w:hint="eastAsia" w:ascii="仿宋" w:hAnsi="仿宋" w:eastAsia="仿宋" w:cs="仿宋"/>
          <w:sz w:val="28"/>
          <w:szCs w:val="28"/>
        </w:rPr>
        <w:t>约定时间内，将有关部门出具的证明文件送达对方当事人。</w:t>
      </w:r>
    </w:p>
    <w:p>
      <w:pPr>
        <w:ind w:firstLine="562" w:firstLineChars="200"/>
        <w:rPr>
          <w:rFonts w:ascii="仿宋" w:hAnsi="仿宋" w:eastAsia="仿宋" w:cs="仿宋"/>
          <w:b/>
          <w:sz w:val="28"/>
          <w:szCs w:val="28"/>
        </w:rPr>
      </w:pPr>
      <w:bookmarkStart w:id="506" w:name="_Toc689"/>
      <w:bookmarkStart w:id="507" w:name="_Toc30676"/>
      <w:bookmarkStart w:id="508" w:name="_Toc487900365"/>
      <w:bookmarkStart w:id="509" w:name="_Toc259093684"/>
      <w:bookmarkStart w:id="510" w:name="_Toc279701255"/>
      <w:bookmarkStart w:id="511" w:name="_Toc6969"/>
      <w:r>
        <w:rPr>
          <w:rFonts w:hint="eastAsia" w:ascii="仿宋" w:hAnsi="仿宋" w:eastAsia="仿宋" w:cs="仿宋"/>
          <w:b/>
          <w:sz w:val="28"/>
          <w:szCs w:val="28"/>
        </w:rPr>
        <w:t>2.14 税费</w:t>
      </w:r>
      <w:bookmarkEnd w:id="506"/>
      <w:bookmarkEnd w:id="507"/>
      <w:bookmarkEnd w:id="508"/>
      <w:bookmarkEnd w:id="509"/>
      <w:bookmarkEnd w:id="510"/>
      <w:bookmarkEnd w:id="511"/>
    </w:p>
    <w:p>
      <w:pPr>
        <w:ind w:firstLine="560" w:firstLineChars="200"/>
        <w:rPr>
          <w:rFonts w:ascii="仿宋" w:hAnsi="仿宋" w:eastAsia="仿宋" w:cs="仿宋"/>
          <w:sz w:val="28"/>
          <w:szCs w:val="28"/>
        </w:rPr>
      </w:pPr>
      <w:r>
        <w:rPr>
          <w:rFonts w:hint="eastAsia" w:ascii="仿宋" w:hAnsi="仿宋" w:eastAsia="仿宋" w:cs="仿宋"/>
          <w:sz w:val="28"/>
          <w:szCs w:val="28"/>
        </w:rPr>
        <w:t>与合同有关的一切税费，均按照中华人民共和国法律的相关规定。</w:t>
      </w:r>
    </w:p>
    <w:p>
      <w:pPr>
        <w:ind w:firstLine="562" w:firstLineChars="200"/>
        <w:rPr>
          <w:rFonts w:ascii="仿宋" w:hAnsi="仿宋" w:eastAsia="仿宋" w:cs="仿宋"/>
          <w:b/>
          <w:sz w:val="28"/>
          <w:szCs w:val="28"/>
        </w:rPr>
      </w:pPr>
      <w:bookmarkStart w:id="512" w:name="_Toc487900368"/>
      <w:bookmarkStart w:id="513" w:name="_Toc279701258"/>
      <w:bookmarkStart w:id="514" w:name="_Toc259093687"/>
      <w:bookmarkStart w:id="515" w:name="_Toc16959"/>
      <w:bookmarkStart w:id="516" w:name="_Toc7102"/>
      <w:bookmarkStart w:id="517" w:name="_Toc8298"/>
      <w:r>
        <w:rPr>
          <w:rFonts w:hint="eastAsia" w:ascii="仿宋" w:hAnsi="仿宋" w:eastAsia="仿宋" w:cs="仿宋"/>
          <w:b/>
          <w:sz w:val="28"/>
          <w:szCs w:val="28"/>
        </w:rPr>
        <w:t>2.15 乙方破产</w:t>
      </w:r>
      <w:bookmarkEnd w:id="512"/>
      <w:bookmarkEnd w:id="513"/>
      <w:bookmarkEnd w:id="514"/>
      <w:bookmarkEnd w:id="515"/>
      <w:bookmarkEnd w:id="516"/>
      <w:bookmarkEnd w:id="517"/>
    </w:p>
    <w:p>
      <w:pPr>
        <w:ind w:firstLine="560" w:firstLineChars="200"/>
        <w:rPr>
          <w:rFonts w:ascii="仿宋" w:hAnsi="仿宋" w:eastAsia="仿宋" w:cs="仿宋"/>
          <w:sz w:val="28"/>
          <w:szCs w:val="28"/>
        </w:rPr>
      </w:pPr>
      <w:r>
        <w:rPr>
          <w:rFonts w:hint="eastAsia" w:ascii="仿宋" w:hAnsi="仿宋" w:eastAsia="仿宋" w:cs="仿宋"/>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ind w:firstLine="562" w:firstLineChars="200"/>
        <w:rPr>
          <w:rFonts w:ascii="仿宋" w:hAnsi="仿宋" w:eastAsia="仿宋" w:cs="仿宋"/>
          <w:b/>
          <w:sz w:val="28"/>
          <w:szCs w:val="28"/>
        </w:rPr>
      </w:pPr>
      <w:bookmarkStart w:id="518" w:name="_Toc15387"/>
      <w:bookmarkStart w:id="519" w:name="_Toc6134"/>
      <w:bookmarkStart w:id="520" w:name="_Toc29333"/>
      <w:r>
        <w:rPr>
          <w:rFonts w:hint="eastAsia" w:ascii="仿宋" w:hAnsi="仿宋" w:eastAsia="仿宋" w:cs="仿宋"/>
          <w:b/>
          <w:sz w:val="28"/>
          <w:szCs w:val="28"/>
        </w:rPr>
        <w:t>2.16 合同中止、终止</w:t>
      </w:r>
      <w:bookmarkEnd w:id="518"/>
      <w:bookmarkEnd w:id="519"/>
      <w:bookmarkEnd w:id="520"/>
    </w:p>
    <w:p>
      <w:pPr>
        <w:ind w:firstLine="560" w:firstLineChars="200"/>
        <w:rPr>
          <w:rFonts w:ascii="仿宋" w:hAnsi="仿宋" w:eastAsia="仿宋" w:cs="仿宋"/>
          <w:sz w:val="28"/>
          <w:szCs w:val="28"/>
        </w:rPr>
      </w:pPr>
      <w:r>
        <w:rPr>
          <w:rFonts w:hint="eastAsia" w:ascii="仿宋" w:hAnsi="仿宋" w:eastAsia="仿宋" w:cs="仿宋"/>
          <w:sz w:val="28"/>
          <w:szCs w:val="28"/>
        </w:rPr>
        <w:t>2.16.1 双方当事人不得擅自中止或者终止合同；</w:t>
      </w:r>
    </w:p>
    <w:p>
      <w:pPr>
        <w:ind w:firstLine="560" w:firstLineChars="200"/>
        <w:rPr>
          <w:rFonts w:ascii="仿宋" w:hAnsi="仿宋" w:eastAsia="仿宋" w:cs="仿宋"/>
          <w:sz w:val="28"/>
          <w:szCs w:val="28"/>
        </w:rPr>
      </w:pPr>
      <w:r>
        <w:rPr>
          <w:rFonts w:hint="eastAsia" w:ascii="仿宋" w:hAnsi="仿宋" w:eastAsia="仿宋" w:cs="仿宋"/>
          <w:sz w:val="28"/>
          <w:szCs w:val="28"/>
        </w:rPr>
        <w:t>2.16.2合同继续履行将损害国家利益和社会公共利益的，双方当事人应当中止或者终止合同。有过错的一方应当承担赔偿责任，双方当事人都有过错的，各自承担相应的责任。</w:t>
      </w:r>
    </w:p>
    <w:p>
      <w:pPr>
        <w:ind w:firstLine="562" w:firstLineChars="200"/>
        <w:rPr>
          <w:rFonts w:ascii="仿宋" w:hAnsi="仿宋" w:eastAsia="仿宋" w:cs="仿宋"/>
          <w:b/>
          <w:sz w:val="28"/>
          <w:szCs w:val="28"/>
        </w:rPr>
      </w:pPr>
      <w:bookmarkStart w:id="521" w:name="_Toc6596"/>
      <w:bookmarkStart w:id="522" w:name="_Toc1125"/>
      <w:bookmarkStart w:id="523" w:name="_Toc14563"/>
      <w:r>
        <w:rPr>
          <w:rFonts w:hint="eastAsia" w:ascii="仿宋" w:hAnsi="仿宋" w:eastAsia="仿宋" w:cs="仿宋"/>
          <w:b/>
          <w:sz w:val="28"/>
          <w:szCs w:val="28"/>
        </w:rPr>
        <w:t>2.17 检验和验收</w:t>
      </w:r>
      <w:bookmarkEnd w:id="521"/>
      <w:bookmarkEnd w:id="522"/>
      <w:bookmarkEnd w:id="523"/>
    </w:p>
    <w:p>
      <w:pPr>
        <w:tabs>
          <w:tab w:val="left" w:pos="360"/>
          <w:tab w:val="left" w:pos="540"/>
          <w:tab w:val="left" w:pos="1080"/>
        </w:tabs>
        <w:ind w:firstLine="560" w:firstLineChars="200"/>
        <w:rPr>
          <w:rFonts w:ascii="仿宋" w:hAnsi="仿宋" w:eastAsia="仿宋" w:cs="仿宋"/>
          <w:sz w:val="28"/>
          <w:szCs w:val="28"/>
        </w:rPr>
      </w:pPr>
      <w:r>
        <w:rPr>
          <w:rFonts w:hint="eastAsia" w:ascii="仿宋" w:hAnsi="仿宋" w:eastAsia="仿宋" w:cs="仿宋"/>
          <w:sz w:val="28"/>
          <w:szCs w:val="28"/>
        </w:rPr>
        <w:t>2.17.1货物交付前，乙方应对货物的质量、数量等方面进行详细、全面的检验，并向甲方出具证明货物符合合同约定的文件；货物交付时，乙方在</w:t>
      </w:r>
      <w:r>
        <w:rPr>
          <w:rFonts w:hint="eastAsia" w:ascii="仿宋" w:hAnsi="仿宋" w:eastAsia="仿宋" w:cs="仿宋"/>
          <w:b/>
          <w:iCs/>
          <w:sz w:val="28"/>
          <w:szCs w:val="28"/>
          <w:u w:val="single"/>
        </w:rPr>
        <w:t>合同专用条款</w:t>
      </w:r>
      <w:r>
        <w:rPr>
          <w:rFonts w:hint="eastAsia" w:ascii="仿宋" w:hAnsi="仿宋" w:eastAsia="仿宋" w:cs="仿宋"/>
          <w:sz w:val="28"/>
          <w:szCs w:val="28"/>
        </w:rPr>
        <w:t>约定时间内组织验收，并可依法邀请相关方参加，验收应出具验收书。</w:t>
      </w:r>
    </w:p>
    <w:p>
      <w:pPr>
        <w:tabs>
          <w:tab w:val="left" w:pos="360"/>
          <w:tab w:val="left" w:pos="540"/>
          <w:tab w:val="left" w:pos="1080"/>
        </w:tabs>
        <w:ind w:firstLine="560" w:firstLineChars="200"/>
        <w:rPr>
          <w:rFonts w:ascii="仿宋" w:hAnsi="仿宋" w:eastAsia="仿宋" w:cs="仿宋"/>
          <w:sz w:val="28"/>
          <w:szCs w:val="28"/>
        </w:rPr>
      </w:pPr>
      <w:r>
        <w:rPr>
          <w:rFonts w:hint="eastAsia" w:ascii="仿宋" w:hAnsi="仿宋" w:eastAsia="仿宋" w:cs="仿宋"/>
          <w:sz w:val="28"/>
          <w:szCs w:val="28"/>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ind w:firstLine="560" w:firstLineChars="200"/>
        <w:rPr>
          <w:rFonts w:ascii="仿宋" w:hAnsi="仿宋" w:eastAsia="仿宋" w:cs="仿宋"/>
          <w:sz w:val="28"/>
          <w:szCs w:val="28"/>
        </w:rPr>
      </w:pPr>
      <w:r>
        <w:rPr>
          <w:rFonts w:hint="eastAsia" w:ascii="仿宋" w:hAnsi="仿宋" w:eastAsia="仿宋" w:cs="仿宋"/>
          <w:sz w:val="28"/>
          <w:szCs w:val="28"/>
        </w:rPr>
        <w:t>2.17.3 检验和验收标准、程序等具体内容以及前述验收书的效力详见</w:t>
      </w:r>
      <w:r>
        <w:rPr>
          <w:rFonts w:hint="eastAsia" w:ascii="仿宋" w:hAnsi="仿宋" w:eastAsia="仿宋" w:cs="仿宋"/>
          <w:b/>
          <w:iCs/>
          <w:sz w:val="28"/>
          <w:szCs w:val="28"/>
          <w:u w:val="single"/>
        </w:rPr>
        <w:t>合同专用条款</w:t>
      </w:r>
      <w:r>
        <w:rPr>
          <w:rFonts w:hint="eastAsia" w:ascii="仿宋" w:hAnsi="仿宋" w:eastAsia="仿宋" w:cs="仿宋"/>
          <w:i/>
          <w:sz w:val="28"/>
          <w:szCs w:val="28"/>
        </w:rPr>
        <w:t>。</w:t>
      </w:r>
    </w:p>
    <w:bookmarkEnd w:id="493"/>
    <w:bookmarkEnd w:id="494"/>
    <w:bookmarkEnd w:id="495"/>
    <w:bookmarkEnd w:id="496"/>
    <w:p>
      <w:pPr>
        <w:ind w:firstLine="562" w:firstLineChars="200"/>
        <w:rPr>
          <w:rFonts w:ascii="仿宋" w:hAnsi="仿宋" w:eastAsia="仿宋" w:cs="仿宋"/>
          <w:b/>
          <w:sz w:val="28"/>
          <w:szCs w:val="28"/>
        </w:rPr>
      </w:pPr>
      <w:bookmarkStart w:id="524" w:name="_Toc487900371"/>
      <w:bookmarkStart w:id="525" w:name="_Toc279701261"/>
      <w:bookmarkStart w:id="526" w:name="_Toc259093690"/>
      <w:bookmarkStart w:id="527" w:name="_Toc11284"/>
      <w:bookmarkStart w:id="528" w:name="_Toc25182"/>
      <w:bookmarkStart w:id="529" w:name="_Toc19604"/>
      <w:r>
        <w:rPr>
          <w:rFonts w:hint="eastAsia" w:ascii="仿宋" w:hAnsi="仿宋" w:eastAsia="仿宋" w:cs="仿宋"/>
          <w:b/>
          <w:sz w:val="28"/>
          <w:szCs w:val="28"/>
        </w:rPr>
        <w:t>2.18 通知</w:t>
      </w:r>
      <w:bookmarkEnd w:id="524"/>
      <w:bookmarkEnd w:id="525"/>
      <w:bookmarkEnd w:id="526"/>
      <w:r>
        <w:rPr>
          <w:rFonts w:hint="eastAsia" w:ascii="仿宋" w:hAnsi="仿宋" w:eastAsia="仿宋" w:cs="仿宋"/>
          <w:b/>
          <w:sz w:val="28"/>
          <w:szCs w:val="28"/>
        </w:rPr>
        <w:t>和送达</w:t>
      </w:r>
      <w:bookmarkEnd w:id="527"/>
      <w:bookmarkEnd w:id="528"/>
      <w:bookmarkEnd w:id="529"/>
    </w:p>
    <w:p>
      <w:pPr>
        <w:ind w:firstLine="560" w:firstLineChars="200"/>
        <w:rPr>
          <w:rFonts w:ascii="仿宋" w:hAnsi="仿宋" w:eastAsia="仿宋" w:cs="仿宋"/>
          <w:sz w:val="28"/>
          <w:szCs w:val="28"/>
        </w:rPr>
      </w:pPr>
      <w:bookmarkStart w:id="530" w:name="_Toc3135"/>
      <w:bookmarkStart w:id="531" w:name="_Toc6698"/>
      <w:bookmarkStart w:id="532" w:name="_Toc487900372"/>
      <w:bookmarkStart w:id="533" w:name="_Toc259093691"/>
      <w:bookmarkStart w:id="534" w:name="_Toc279701262"/>
      <w:r>
        <w:rPr>
          <w:rFonts w:hint="eastAsia" w:ascii="仿宋" w:hAnsi="仿宋" w:eastAsia="仿宋" w:cs="仿宋"/>
          <w:sz w:val="28"/>
          <w:szCs w:val="28"/>
        </w:rPr>
        <w:t>2.18.1 任何一方因履行合同而以合同第一部分尾部所列明的</w:t>
      </w:r>
      <w:r>
        <w:rPr>
          <w:rFonts w:hint="eastAsia" w:ascii="仿宋" w:hAnsi="仿宋" w:eastAsia="仿宋" w:cs="仿宋"/>
          <w:sz w:val="28"/>
          <w:szCs w:val="28"/>
          <w:u w:val="single"/>
        </w:rPr>
        <w:t xml:space="preserve">          </w:t>
      </w:r>
      <w:r>
        <w:rPr>
          <w:rFonts w:hint="eastAsia" w:ascii="仿宋" w:hAnsi="仿宋" w:eastAsia="仿宋" w:cs="仿宋"/>
          <w:sz w:val="28"/>
          <w:szCs w:val="28"/>
        </w:rPr>
        <w:t>发出的所有通知、文件、材料，均视为已向对方当事人送达；任何一方变更上述送达方式或者地址的，应于</w:t>
      </w:r>
      <w:r>
        <w:rPr>
          <w:rFonts w:hint="eastAsia" w:ascii="仿宋" w:hAnsi="仿宋" w:eastAsia="仿宋" w:cs="仿宋"/>
          <w:sz w:val="28"/>
          <w:szCs w:val="28"/>
          <w:u w:val="single"/>
        </w:rPr>
        <w:t xml:space="preserve">   </w:t>
      </w:r>
      <w:r>
        <w:rPr>
          <w:rFonts w:hint="eastAsia" w:ascii="仿宋" w:hAnsi="仿宋" w:eastAsia="仿宋" w:cs="仿宋"/>
          <w:sz w:val="28"/>
          <w:szCs w:val="28"/>
        </w:rPr>
        <w:t>个工作日内书面通知对方当事人，在对方当事人收到有关变更通知之前，变更前的约定送达方式或者地址仍视为有效。</w:t>
      </w:r>
      <w:bookmarkEnd w:id="530"/>
      <w:bookmarkEnd w:id="531"/>
    </w:p>
    <w:p>
      <w:pPr>
        <w:ind w:firstLine="560" w:firstLineChars="200"/>
        <w:rPr>
          <w:rFonts w:ascii="仿宋" w:hAnsi="仿宋" w:eastAsia="仿宋" w:cs="仿宋"/>
          <w:sz w:val="28"/>
          <w:szCs w:val="28"/>
        </w:rPr>
      </w:pPr>
      <w:bookmarkStart w:id="535" w:name="_Toc23294"/>
      <w:bookmarkStart w:id="536" w:name="_Toc23128"/>
      <w:r>
        <w:rPr>
          <w:rFonts w:hint="eastAsia" w:ascii="仿宋" w:hAnsi="仿宋" w:eastAsia="仿宋" w:cs="仿宋"/>
          <w:sz w:val="28"/>
          <w:szCs w:val="28"/>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ind w:firstLine="562" w:firstLineChars="200"/>
        <w:rPr>
          <w:rFonts w:ascii="仿宋" w:hAnsi="仿宋" w:eastAsia="仿宋" w:cs="仿宋"/>
          <w:b/>
          <w:sz w:val="28"/>
          <w:szCs w:val="28"/>
        </w:rPr>
      </w:pPr>
      <w:bookmarkStart w:id="537" w:name="_Toc18540"/>
      <w:bookmarkStart w:id="538" w:name="_Toc4355"/>
      <w:bookmarkStart w:id="539" w:name="_Toc30599"/>
      <w:r>
        <w:rPr>
          <w:rFonts w:hint="eastAsia" w:ascii="仿宋" w:hAnsi="仿宋" w:eastAsia="仿宋" w:cs="仿宋"/>
          <w:b/>
          <w:sz w:val="28"/>
          <w:szCs w:val="28"/>
        </w:rPr>
        <w:t>2.19 计量单位</w:t>
      </w:r>
      <w:bookmarkEnd w:id="532"/>
      <w:bookmarkEnd w:id="533"/>
      <w:bookmarkEnd w:id="534"/>
      <w:bookmarkEnd w:id="537"/>
      <w:bookmarkEnd w:id="538"/>
      <w:bookmarkEnd w:id="539"/>
    </w:p>
    <w:p>
      <w:pPr>
        <w:ind w:firstLine="560" w:firstLineChars="200"/>
        <w:rPr>
          <w:rFonts w:ascii="仿宋" w:hAnsi="仿宋" w:eastAsia="仿宋" w:cs="仿宋"/>
          <w:sz w:val="28"/>
          <w:szCs w:val="28"/>
        </w:rPr>
      </w:pPr>
      <w:r>
        <w:rPr>
          <w:rFonts w:hint="eastAsia" w:ascii="仿宋" w:hAnsi="仿宋" w:eastAsia="仿宋" w:cs="仿宋"/>
          <w:sz w:val="28"/>
          <w:szCs w:val="28"/>
        </w:rPr>
        <w:t>除技术规范中另有规定外,合同的计量单位均使用国家法定计量单位。</w:t>
      </w:r>
    </w:p>
    <w:p>
      <w:pPr>
        <w:ind w:firstLine="562" w:firstLineChars="200"/>
        <w:rPr>
          <w:rFonts w:ascii="仿宋" w:hAnsi="仿宋" w:eastAsia="仿宋" w:cs="仿宋"/>
          <w:b/>
          <w:sz w:val="28"/>
          <w:szCs w:val="28"/>
        </w:rPr>
      </w:pPr>
      <w:bookmarkStart w:id="540" w:name="_Toc279701263"/>
      <w:bookmarkStart w:id="541" w:name="_Toc259093692"/>
      <w:bookmarkStart w:id="542" w:name="_Toc487900373"/>
      <w:bookmarkStart w:id="543" w:name="_Toc18567"/>
      <w:bookmarkStart w:id="544" w:name="_Toc12773"/>
      <w:bookmarkStart w:id="545" w:name="_Toc10330"/>
      <w:r>
        <w:rPr>
          <w:rFonts w:hint="eastAsia" w:ascii="仿宋" w:hAnsi="仿宋" w:eastAsia="仿宋" w:cs="仿宋"/>
          <w:b/>
          <w:sz w:val="28"/>
          <w:szCs w:val="28"/>
        </w:rPr>
        <w:t>2.20 合同使用的文字和适用的法律</w:t>
      </w:r>
      <w:bookmarkEnd w:id="540"/>
      <w:bookmarkEnd w:id="541"/>
      <w:bookmarkEnd w:id="542"/>
      <w:bookmarkEnd w:id="543"/>
      <w:bookmarkEnd w:id="544"/>
      <w:bookmarkEnd w:id="545"/>
    </w:p>
    <w:p>
      <w:pPr>
        <w:ind w:firstLine="560" w:firstLineChars="200"/>
        <w:rPr>
          <w:rFonts w:ascii="仿宋" w:hAnsi="仿宋" w:eastAsia="仿宋" w:cs="仿宋"/>
          <w:sz w:val="28"/>
          <w:szCs w:val="28"/>
        </w:rPr>
      </w:pPr>
      <w:r>
        <w:rPr>
          <w:rFonts w:hint="eastAsia" w:ascii="仿宋" w:hAnsi="仿宋" w:eastAsia="仿宋" w:cs="仿宋"/>
          <w:sz w:val="28"/>
          <w:szCs w:val="28"/>
        </w:rPr>
        <w:t>2.20.1 合同使用汉语书就、变更和解释；</w:t>
      </w:r>
    </w:p>
    <w:p>
      <w:pPr>
        <w:ind w:firstLine="560" w:firstLineChars="200"/>
        <w:rPr>
          <w:rFonts w:ascii="仿宋" w:hAnsi="仿宋" w:eastAsia="仿宋" w:cs="仿宋"/>
          <w:sz w:val="28"/>
          <w:szCs w:val="28"/>
        </w:rPr>
      </w:pPr>
      <w:r>
        <w:rPr>
          <w:rFonts w:hint="eastAsia" w:ascii="仿宋" w:hAnsi="仿宋" w:eastAsia="仿宋" w:cs="仿宋"/>
          <w:sz w:val="28"/>
          <w:szCs w:val="28"/>
        </w:rPr>
        <w:t>2.20.2 合同适用中华人民共和国法律。</w:t>
      </w:r>
    </w:p>
    <w:p>
      <w:pPr>
        <w:ind w:firstLine="562" w:firstLineChars="200"/>
        <w:rPr>
          <w:rFonts w:ascii="仿宋" w:hAnsi="仿宋" w:eastAsia="仿宋" w:cs="仿宋"/>
          <w:b/>
          <w:sz w:val="28"/>
          <w:szCs w:val="28"/>
        </w:rPr>
      </w:pPr>
      <w:bookmarkStart w:id="546" w:name="_Toc14001"/>
      <w:bookmarkStart w:id="547" w:name="_Toc19890"/>
      <w:bookmarkStart w:id="548" w:name="_Toc6885"/>
      <w:r>
        <w:rPr>
          <w:rFonts w:hint="eastAsia" w:ascii="仿宋" w:hAnsi="仿宋" w:eastAsia="仿宋" w:cs="仿宋"/>
          <w:b/>
          <w:sz w:val="28"/>
          <w:szCs w:val="28"/>
        </w:rPr>
        <w:t>2.21 合同份数</w:t>
      </w:r>
      <w:bookmarkEnd w:id="546"/>
      <w:bookmarkEnd w:id="547"/>
      <w:bookmarkEnd w:id="548"/>
    </w:p>
    <w:p>
      <w:pPr>
        <w:ind w:firstLine="560" w:firstLineChars="200"/>
        <w:rPr>
          <w:rFonts w:ascii="仿宋" w:hAnsi="仿宋" w:eastAsia="仿宋" w:cs="仿宋"/>
          <w:sz w:val="28"/>
          <w:szCs w:val="28"/>
        </w:rPr>
      </w:pPr>
      <w:r>
        <w:rPr>
          <w:rFonts w:hint="eastAsia" w:ascii="仿宋" w:hAnsi="仿宋" w:eastAsia="仿宋" w:cs="仿宋"/>
          <w:sz w:val="28"/>
          <w:szCs w:val="28"/>
        </w:rPr>
        <w:t>合同份数按</w:t>
      </w:r>
      <w:r>
        <w:rPr>
          <w:rFonts w:hint="eastAsia" w:ascii="仿宋" w:hAnsi="仿宋" w:eastAsia="仿宋" w:cs="仿宋"/>
          <w:b/>
          <w:iCs/>
          <w:sz w:val="28"/>
          <w:szCs w:val="28"/>
          <w:u w:val="single"/>
        </w:rPr>
        <w:t>合同专用条款</w:t>
      </w:r>
      <w:r>
        <w:rPr>
          <w:rFonts w:hint="eastAsia" w:ascii="仿宋" w:hAnsi="仿宋" w:eastAsia="仿宋" w:cs="仿宋"/>
          <w:sz w:val="28"/>
          <w:szCs w:val="28"/>
        </w:rPr>
        <w:t>规定，每份均具有同等法律效力。</w:t>
      </w:r>
    </w:p>
    <w:p>
      <w:pPr>
        <w:pStyle w:val="5"/>
        <w:keepNext w:val="0"/>
        <w:keepLines w:val="0"/>
        <w:spacing w:before="0" w:line="240" w:lineRule="auto"/>
        <w:ind w:left="540" w:leftChars="257" w:firstLine="562" w:firstLineChars="200"/>
        <w:rPr>
          <w:rFonts w:ascii="仿宋" w:hAnsi="仿宋" w:eastAsia="仿宋" w:cs="仿宋"/>
          <w:sz w:val="28"/>
          <w:szCs w:val="28"/>
        </w:rPr>
      </w:pPr>
      <w:r>
        <w:rPr>
          <w:rFonts w:hint="eastAsia" w:ascii="仿宋" w:hAnsi="仿宋" w:eastAsia="仿宋" w:cs="仿宋"/>
          <w:sz w:val="28"/>
          <w:szCs w:val="28"/>
        </w:rPr>
        <w:br w:type="page"/>
      </w:r>
      <w:bookmarkStart w:id="549" w:name="_Toc331685784"/>
      <w:bookmarkStart w:id="550" w:name="_Toc18554"/>
      <w:r>
        <w:rPr>
          <w:rFonts w:hint="eastAsia" w:ascii="仿宋" w:hAnsi="仿宋" w:eastAsia="仿宋" w:cs="仿宋"/>
          <w:color w:val="000000"/>
          <w:sz w:val="28"/>
          <w:szCs w:val="28"/>
        </w:rPr>
        <w:t>第三部分  合同专用条款</w:t>
      </w:r>
      <w:bookmarkEnd w:id="549"/>
      <w:bookmarkEnd w:id="550"/>
    </w:p>
    <w:p>
      <w:pPr>
        <w:ind w:firstLine="560" w:firstLineChars="200"/>
        <w:rPr>
          <w:rFonts w:ascii="仿宋" w:hAnsi="仿宋" w:eastAsia="仿宋" w:cs="仿宋"/>
          <w:sz w:val="28"/>
          <w:szCs w:val="28"/>
        </w:rPr>
      </w:pPr>
      <w:r>
        <w:rPr>
          <w:rFonts w:hint="eastAsia" w:ascii="仿宋" w:hAnsi="仿宋" w:eastAsia="仿宋" w:cs="仿宋"/>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5"/>
        <w:gridCol w:w="74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5" w:type="dxa"/>
            <w:tcBorders>
              <w:left w:val="single" w:color="auto" w:sz="4" w:space="0"/>
            </w:tcBorders>
            <w:vAlign w:val="center"/>
          </w:tcPr>
          <w:p>
            <w:pPr>
              <w:rPr>
                <w:rFonts w:ascii="仿宋" w:hAnsi="仿宋" w:eastAsia="仿宋" w:cs="仿宋"/>
                <w:b/>
                <w:sz w:val="28"/>
                <w:szCs w:val="28"/>
              </w:rPr>
            </w:pPr>
            <w:r>
              <w:rPr>
                <w:rFonts w:hint="eastAsia" w:ascii="仿宋" w:hAnsi="仿宋" w:eastAsia="仿宋" w:cs="仿宋"/>
                <w:b/>
                <w:sz w:val="28"/>
                <w:szCs w:val="28"/>
              </w:rPr>
              <w:t>条款号</w:t>
            </w:r>
          </w:p>
        </w:tc>
        <w:tc>
          <w:tcPr>
            <w:tcW w:w="7469" w:type="dxa"/>
            <w:vAlign w:val="center"/>
          </w:tcPr>
          <w:p>
            <w:pPr>
              <w:ind w:firstLine="562" w:firstLineChars="200"/>
              <w:jc w:val="center"/>
              <w:rPr>
                <w:rFonts w:ascii="仿宋" w:hAnsi="仿宋" w:eastAsia="仿宋" w:cs="仿宋"/>
                <w:b/>
                <w:sz w:val="28"/>
                <w:szCs w:val="28"/>
              </w:rPr>
            </w:pPr>
            <w:r>
              <w:rPr>
                <w:rFonts w:hint="eastAsia" w:ascii="仿宋" w:hAnsi="仿宋" w:eastAsia="仿宋" w:cs="仿宋"/>
                <w:b/>
                <w:sz w:val="28"/>
                <w:szCs w:val="28"/>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65" w:type="dxa"/>
            <w:tcBorders>
              <w:left w:val="single" w:color="auto" w:sz="4" w:space="0"/>
            </w:tcBorders>
            <w:vAlign w:val="center"/>
          </w:tcPr>
          <w:p>
            <w:pPr>
              <w:ind w:firstLine="560" w:firstLineChars="200"/>
              <w:rPr>
                <w:rFonts w:ascii="仿宋" w:hAnsi="仿宋" w:eastAsia="仿宋" w:cs="仿宋"/>
                <w:sz w:val="28"/>
                <w:szCs w:val="28"/>
              </w:rPr>
            </w:pPr>
          </w:p>
        </w:tc>
        <w:tc>
          <w:tcPr>
            <w:tcW w:w="7469" w:type="dxa"/>
            <w:vAlign w:val="center"/>
          </w:tcPr>
          <w:p>
            <w:pPr>
              <w:ind w:firstLine="560" w:firstLineChars="200"/>
              <w:rPr>
                <w:rFonts w:ascii="仿宋" w:hAnsi="仿宋" w:eastAsia="仿宋" w:cs="仿宋"/>
                <w:sz w:val="28"/>
                <w:szCs w:val="28"/>
              </w:rPr>
            </w:pPr>
          </w:p>
        </w:tc>
      </w:tr>
    </w:tbl>
    <w:p>
      <w:pPr>
        <w:ind w:firstLine="560" w:firstLineChars="200"/>
        <w:rPr>
          <w:rFonts w:ascii="仿宋" w:hAnsi="仿宋" w:eastAsia="仿宋" w:cs="仿宋"/>
          <w:sz w:val="28"/>
          <w:szCs w:val="28"/>
        </w:rPr>
      </w:pPr>
    </w:p>
    <w:p>
      <w:pPr>
        <w:pStyle w:val="12"/>
        <w:ind w:firstLine="560" w:firstLineChars="200"/>
        <w:rPr>
          <w:rFonts w:ascii="仿宋" w:hAnsi="仿宋" w:eastAsia="仿宋" w:cs="仿宋"/>
          <w:sz w:val="28"/>
          <w:szCs w:val="28"/>
        </w:rPr>
      </w:pPr>
    </w:p>
    <w:p>
      <w:pPr>
        <w:ind w:firstLine="560" w:firstLineChars="200"/>
        <w:jc w:val="center"/>
        <w:rPr>
          <w:rFonts w:ascii="仿宋" w:hAnsi="仿宋" w:eastAsia="仿宋" w:cs="仿宋"/>
          <w:sz w:val="28"/>
          <w:szCs w:val="28"/>
        </w:rPr>
      </w:pPr>
    </w:p>
    <w:p>
      <w:pPr>
        <w:ind w:firstLine="560" w:firstLineChars="200"/>
        <w:jc w:val="center"/>
        <w:rPr>
          <w:rFonts w:ascii="仿宋" w:hAnsi="仿宋" w:eastAsia="仿宋" w:cs="仿宋"/>
          <w:sz w:val="28"/>
          <w:szCs w:val="28"/>
        </w:rPr>
      </w:pPr>
    </w:p>
    <w:p>
      <w:pPr>
        <w:ind w:firstLine="560" w:firstLineChars="200"/>
        <w:jc w:val="center"/>
        <w:rPr>
          <w:rFonts w:ascii="仿宋" w:hAnsi="仿宋" w:eastAsia="仿宋" w:cs="仿宋"/>
          <w:sz w:val="28"/>
          <w:szCs w:val="28"/>
        </w:rPr>
      </w:pPr>
    </w:p>
    <w:p>
      <w:pPr>
        <w:ind w:firstLine="560" w:firstLineChars="200"/>
        <w:jc w:val="center"/>
        <w:rPr>
          <w:rFonts w:ascii="仿宋" w:hAnsi="仿宋" w:eastAsia="仿宋" w:cs="仿宋"/>
          <w:sz w:val="28"/>
          <w:szCs w:val="28"/>
        </w:rPr>
      </w:pPr>
    </w:p>
    <w:p>
      <w:pPr>
        <w:pStyle w:val="12"/>
        <w:ind w:firstLine="560" w:firstLineChars="200"/>
        <w:rPr>
          <w:rFonts w:ascii="仿宋" w:hAnsi="仿宋" w:eastAsia="仿宋" w:cs="仿宋"/>
          <w:sz w:val="28"/>
          <w:szCs w:val="28"/>
        </w:rPr>
      </w:pPr>
    </w:p>
    <w:p/>
    <w:sectPr>
      <w:headerReference r:id="rId12" w:type="default"/>
      <w:footerReference r:id="rId13" w:type="default"/>
      <w:pgSz w:w="11906" w:h="16838"/>
      <w:pgMar w:top="1701" w:right="1701" w:bottom="1701" w:left="170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pPr>
  </w:p>
  <w:p>
    <w:pPr>
      <w:pStyle w:val="9"/>
      <w:wordWrap w:val="0"/>
      <w:ind w:right="360"/>
      <w:jc w:val="right"/>
    </w:pPr>
    <w:r>
      <w:rPr>
        <w:rFonts w:hint="eastAsia"/>
      </w:rPr>
      <w:t>新疆天健建设工程项目管理有限公司                                  联系电话：0998-2536667</w:t>
    </w:r>
  </w:p>
  <w:p>
    <w:pPr>
      <w:pStyle w:val="9"/>
      <w:ind w:right="360" w:firstLine="360"/>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pStyle w:val="9"/>
                            <w:rPr>
                              <w:rStyle w:val="17"/>
                            </w:rPr>
                          </w:pPr>
                          <w:r>
                            <w:fldChar w:fldCharType="begin"/>
                          </w:r>
                          <w:r>
                            <w:rPr>
                              <w:rStyle w:val="17"/>
                            </w:rPr>
                            <w:instrText xml:space="preserve">PAGE  </w:instrText>
                          </w:r>
                          <w:r>
                            <w:fldChar w:fldCharType="separate"/>
                          </w:r>
                          <w:r>
                            <w:rPr>
                              <w:rStyle w:val="17"/>
                            </w:rPr>
                            <w:t>40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AELgH3xwEAAIoDAAAOAAAAZHJzL2Uyb0RvYy54bWytU8Fu2zAMvQ/Y&#10;Pwi6L06KZWmNOMWGoEWBYRvQ7gMUWYoFSKIgKrHzA9sf7LTL7vuufEcp20m37tLDLjJF0o98j9Ty&#10;unOW7VVEA77is8mUM+Ul1MZvK/714ebNJWeYhK+FBa8qflDIr1evXy3bUKoLaMDWKjIC8Vi2oeJN&#10;SqEsCpSNcgInEJSnoIboRKJr3BZ1FC2hO1tcTKfvihZiHSJIhUje9RDkI2J8CSBobaRag9w55dOA&#10;GpUViShhYwLyVd+t1kqmz1qjSsxWnJim/qQiZG/yWayWotxGERojxxbES1p4xskJ46noGWotkmC7&#10;aP6BckZGQNBpIsEVA5FeEWIxmz7T5r4RQfVcSGoMZ9Hx/8HKT/svkZmaNoEzLxwN/Pjj+/Hn7+Ov&#10;b2yW5WkDlpR1HygvdR+gy6mjH8mZWXc6uvwlPoziJO7hLK7qEpPknC8Wl3POJEVmbxdX83kGKZ7+&#10;DRHTrQLHslHxSKPrFRX7j5iG1FNKLuXhxlhLflFa/5eDMLOnyI0PDWYrdZtu7HoD9YHItDT1inta&#10;cs7snSdR84KcjHgyNqORa2B4v0tUuO8now5QYzEaUc9oXKe8A3/e+6ynJ7R6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fLHALRAAAAAgEAAA8AAAAAAAAAAQAgAAAAIgAAAGRycy9kb3ducmV2Lnht&#10;bFBLAQIUABQAAAAIAIdO4kAELgH3xwEAAIoDAAAOAAAAAAAAAAEAIAAAACABAABkcnMvZTJvRG9j&#10;LnhtbFBLBQYAAAAABgAGAFkBAABZBQ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68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59264;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xVNlFyAEAAIsDAAAOAAAAZHJzL2Uyb0RvYy54bWytU0tu2zAQ3Rfo&#10;HQjua9puUiSC5SCFkSBA0RZIewCaIi0C/IFDW/IF2ht01U33PZfP0SElO02yySIbajgzfDPvzWhx&#10;1VtDdjKC9q6ms8mUEumEb7Tb1PT7t5t3F5RA4q7hxjtZ070EerV8+2bRhUrOfetNIyNBEAdVF2ra&#10;phQqxkC00nKY+CAdBpWPlie8xg1rIu8Q3Ro2n04/sM7HJkQvJAB6V0OQjojxJYBeKS3kyoutlS4N&#10;qFEanpAStDoAXZZulZIifVEKZCKmpsg0lROLoL3OJ1sueLWJPLRajC3wl7TwhJPl2mHRE9SKJ062&#10;UT+DslpED16lifCWDUSKIshiNn2izX3LgyxcUGoIJ9Hh9WDF593XSHRT0zkljlsc+OHXz8Pvv4c/&#10;P8g8y9MFqDDrPmBe6j/6Hpfm6Ad0Zta9ijZ/kQ/BOIq7P4kr+0REfjQ7u3x/TonA0Ozs4vyyiM8e&#10;HocI6VZ6S7JR04izK5Ly3SdI2AimHlNyLedvtDFlfsY9cmBi9rDc+dBhtlK/7kc6a9/skU2HY6+p&#10;wy2nxNw5VDVvyNGIR2M9GrkGhOttwsKln4w6QI3FcEalzXGf8hL8fy9ZD//Q8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LoFF0QAAAAMBAAAPAAAAAAAAAAEAIAAAACIAAABkcnMvZG93bnJldi54&#10;bWxQSwECFAAUAAAACACHTuJAMVTZRcgBAACLAwAADgAAAAAAAAABACAAAAAgAQAAZHJzL2Uyb0Rv&#10;Yy54bWxQSwUGAAAAAAYABgBZAQAAWg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68</w:t>
                    </w:r>
                    <w:r>
                      <w:fldChar w:fldCharType="end"/>
                    </w:r>
                  </w:p>
                </w:txbxContent>
              </v:textbox>
            </v:shape>
          </w:pict>
        </mc:Fallback>
      </mc:AlternateContent>
    </w:r>
  </w:p>
  <w:p>
    <w:pPr>
      <w:pStyle w:val="9"/>
      <w:wordWrap w:val="0"/>
      <w:ind w:right="360"/>
      <w:jc w:val="right"/>
    </w:pPr>
    <w:r>
      <w:rPr>
        <w:rFonts w:hint="eastAsia"/>
      </w:rPr>
      <w:t>新疆天健建设工程项目管理有限公司                                  联系电话：0998-2536667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99</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dH6DtzgEAAJcDAAAOAAAAZHJzL2Uyb0RvYy54bWytU82O0zAQviPx&#10;Dpbv1M12C2zUdAWqFiEhQFp4ANdxGkv+k8dt0heAN+DEhTvP1efYsZN0f7jsgUsyHk+++b5vJqvr&#10;3mhykAGUsxUtZnNKpBWuVnZX0e/fbl69pQQitzXXzsqKHiXQ6/XLF6vOl/LCtU7XMhAEsVB2vqJt&#10;jL5kDEQrDYeZ89LiZeOC4RGPYcfqwDtEN5pdzOevWedC7YMTEgCzm+GSjojhOYCuaZSQGyf2Rto4&#10;oAapeURJ0CoPdJ3ZNo0U8UvTgIxEVxSVxvzEJhhv05OtV7zcBe5bJUYK/DkUnmgyXFlseoba8MjJ&#10;Pqh/oIwSwYFr4kw4wwYh2RFUUcyfeHPbci+zFrQa/Nl0+H+w4vPhayCqruiCEssNDvz06+fp99/T&#10;nx9kkezpPJRYdeuxLvbvXY9LM+UBk0l13wST3qiH4D2aezybK/tIRPqouLxaLCkReFVcvrlaLhMK&#10;u//YB4gfpDMkBRUNOLtsKT98gjiUTiWpl3U3Sus8P20fJRAzZVhiPjBMUey3/Shn6+ojqulw7BW1&#10;uOWU6I8WXU0bMgVhCrZTsPdB7VqkVmRe4N/tI5LI3FKHAXZsjPPK6sbdSgvx8Jyr7v+n9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pb8P0QAAAAMBAAAPAAAAAAAAAAEAIAAAACIAAABkcnMvZG93&#10;bnJldi54bWxQSwECFAAUAAAACACHTuJA3R+g7c4BAACXAwAADgAAAAAAAAABACAAAAAgAQAAZHJz&#10;L2Uyb0RvYy54bWxQSwUGAAAAAAYABgBZAQAAYA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99</w:t>
                    </w:r>
                    <w:r>
                      <w:rPr>
                        <w:lang w:val="zh-CN"/>
                      </w:rPr>
                      <w:fldChar w:fldCharType="end"/>
                    </w:r>
                  </w:p>
                </w:txbxContent>
              </v:textbox>
            </v:shape>
          </w:pict>
        </mc:Fallback>
      </mc:AlternateContent>
    </w:r>
    <w:r>
      <w:rPr>
        <w:rFonts w:hint="eastAsia"/>
      </w:rPr>
      <w:t>新疆天健建设工程项目管理有限公司                                        联系电话：0998-2536667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1575"/>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C2C87"/>
    <w:multiLevelType w:val="singleLevel"/>
    <w:tmpl w:val="90CC2C87"/>
    <w:lvl w:ilvl="0" w:tentative="0">
      <w:start w:val="3"/>
      <w:numFmt w:val="decimal"/>
      <w:suff w:val="space"/>
      <w:lvlText w:val="第%1章"/>
      <w:lvlJc w:val="left"/>
    </w:lvl>
  </w:abstractNum>
  <w:abstractNum w:abstractNumId="1">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2">
    <w:nsid w:val="377D9FDF"/>
    <w:multiLevelType w:val="singleLevel"/>
    <w:tmpl w:val="377D9FDF"/>
    <w:lvl w:ilvl="0" w:tentative="0">
      <w:start w:val="1"/>
      <w:numFmt w:val="decimal"/>
      <w:suff w:val="nothing"/>
      <w:lvlText w:val="（%1）"/>
      <w:lvlJc w:val="left"/>
    </w:lvl>
  </w:abstractNum>
  <w:abstractNum w:abstractNumId="3">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4">
    <w:nsid w:val="7E63B6DC"/>
    <w:multiLevelType w:val="singleLevel"/>
    <w:tmpl w:val="7E63B6DC"/>
    <w:lvl w:ilvl="0" w:tentative="0">
      <w:start w:val="1"/>
      <w:numFmt w:val="decimal"/>
      <w:lvlText w:val="%1."/>
      <w:lvlJc w:val="left"/>
      <w:pPr>
        <w:ind w:left="425" w:hanging="425"/>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B21D7"/>
    <w:rsid w:val="000E789E"/>
    <w:rsid w:val="001041F8"/>
    <w:rsid w:val="00150B68"/>
    <w:rsid w:val="0019355C"/>
    <w:rsid w:val="001C3631"/>
    <w:rsid w:val="00204227"/>
    <w:rsid w:val="00255D7C"/>
    <w:rsid w:val="00264996"/>
    <w:rsid w:val="0028508A"/>
    <w:rsid w:val="002A63DC"/>
    <w:rsid w:val="002C0BC4"/>
    <w:rsid w:val="003571FC"/>
    <w:rsid w:val="0044110F"/>
    <w:rsid w:val="0047078A"/>
    <w:rsid w:val="004B2B00"/>
    <w:rsid w:val="00516032"/>
    <w:rsid w:val="005A06F6"/>
    <w:rsid w:val="00662084"/>
    <w:rsid w:val="006E2A08"/>
    <w:rsid w:val="00766912"/>
    <w:rsid w:val="007E01AB"/>
    <w:rsid w:val="007F21BD"/>
    <w:rsid w:val="008A5BA9"/>
    <w:rsid w:val="008C0D4E"/>
    <w:rsid w:val="008C3CD6"/>
    <w:rsid w:val="009420F5"/>
    <w:rsid w:val="00A90C58"/>
    <w:rsid w:val="00B90345"/>
    <w:rsid w:val="00BB7BB1"/>
    <w:rsid w:val="00DD7EEC"/>
    <w:rsid w:val="00DF6884"/>
    <w:rsid w:val="00E52784"/>
    <w:rsid w:val="00EA4756"/>
    <w:rsid w:val="00EF2CCE"/>
    <w:rsid w:val="00F34B03"/>
    <w:rsid w:val="00F538A1"/>
    <w:rsid w:val="062A4F22"/>
    <w:rsid w:val="113F62AA"/>
    <w:rsid w:val="1DDE5961"/>
    <w:rsid w:val="2A114592"/>
    <w:rsid w:val="2A1F45E3"/>
    <w:rsid w:val="2DDA463E"/>
    <w:rsid w:val="38535664"/>
    <w:rsid w:val="4321404D"/>
    <w:rsid w:val="49607412"/>
    <w:rsid w:val="5FCE3900"/>
    <w:rsid w:val="63A766BE"/>
    <w:rsid w:val="776B21D7"/>
    <w:rsid w:val="7D69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2"/>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utoSpaceDE w:val="0"/>
      <w:autoSpaceDN w:val="0"/>
      <w:adjustRightInd w:val="0"/>
      <w:ind w:firstLine="420"/>
      <w:jc w:val="left"/>
    </w:pPr>
    <w:rPr>
      <w:rFonts w:ascii="宋体"/>
      <w:kern w:val="0"/>
      <w:sz w:val="24"/>
      <w:szCs w:val="20"/>
    </w:rPr>
  </w:style>
  <w:style w:type="paragraph" w:styleId="3">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7">
    <w:name w:val="Body Text"/>
    <w:basedOn w:val="1"/>
    <w:qFormat/>
    <w:uiPriority w:val="0"/>
    <w:pPr>
      <w:tabs>
        <w:tab w:val="left" w:pos="567"/>
      </w:tabs>
      <w:spacing w:before="120" w:line="22" w:lineRule="atLeast"/>
    </w:pPr>
    <w:rPr>
      <w:rFonts w:ascii="宋体" w:hAnsi="宋体"/>
      <w:sz w:val="24"/>
    </w:rPr>
  </w:style>
  <w:style w:type="paragraph" w:styleId="8">
    <w:name w:val="Plain Text"/>
    <w:basedOn w:val="1"/>
    <w:qFormat/>
    <w:uiPriority w:val="0"/>
    <w:rPr>
      <w:rFonts w:ascii="宋体" w:hAnsi="Courier New"/>
      <w:szCs w:val="20"/>
    </w:rPr>
  </w:style>
  <w:style w:type="paragraph" w:styleId="9">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footnote text"/>
    <w:basedOn w:val="1"/>
    <w:qFormat/>
    <w:uiPriority w:val="0"/>
    <w:pPr>
      <w:snapToGrid w:val="0"/>
    </w:pPr>
    <w:rPr>
      <w:sz w:val="18"/>
    </w:rPr>
  </w:style>
  <w:style w:type="paragraph" w:styleId="13">
    <w:name w:val="toc 2"/>
    <w:basedOn w:val="1"/>
    <w:next w:val="1"/>
    <w:qFormat/>
    <w:uiPriority w:val="39"/>
    <w:pPr>
      <w:ind w:left="420" w:leftChars="200"/>
    </w:pPr>
  </w:style>
  <w:style w:type="paragraph" w:styleId="14">
    <w:name w:val="Normal (Web)"/>
    <w:basedOn w:val="1"/>
    <w:qFormat/>
    <w:uiPriority w:val="0"/>
    <w:pPr>
      <w:widowControl/>
      <w:spacing w:line="300" w:lineRule="atLeast"/>
      <w:jc w:val="left"/>
    </w:pPr>
    <w:rPr>
      <w:rFonts w:ascii="宋体" w:hAnsi="宋体" w:cs="宋体"/>
      <w:kern w:val="0"/>
      <w:szCs w:val="21"/>
    </w:rPr>
  </w:style>
  <w:style w:type="character" w:styleId="17">
    <w:name w:val="page number"/>
    <w:basedOn w:val="16"/>
    <w:qFormat/>
    <w:uiPriority w:val="0"/>
  </w:style>
  <w:style w:type="character" w:styleId="18">
    <w:name w:val="Hyperlink"/>
    <w:basedOn w:val="16"/>
    <w:qFormat/>
    <w:uiPriority w:val="0"/>
    <w:rPr>
      <w:color w:val="0000FF"/>
      <w:u w:val="single"/>
    </w:rPr>
  </w:style>
  <w:style w:type="paragraph" w:customStyle="1" w:styleId="19">
    <w:name w:val="列出段落1"/>
    <w:basedOn w:val="1"/>
    <w:qFormat/>
    <w:uiPriority w:val="0"/>
    <w:pPr>
      <w:ind w:firstLine="420" w:firstLineChars="200"/>
    </w:pPr>
  </w:style>
  <w:style w:type="paragraph" w:customStyle="1" w:styleId="20">
    <w:name w:val="正文缩进1"/>
    <w:basedOn w:val="1"/>
    <w:qFormat/>
    <w:uiPriority w:val="99"/>
    <w:pPr>
      <w:autoSpaceDE w:val="0"/>
      <w:autoSpaceDN w:val="0"/>
      <w:adjustRightInd w:val="0"/>
      <w:ind w:firstLine="420"/>
      <w:jc w:val="left"/>
    </w:pPr>
    <w:rPr>
      <w:rFonts w:ascii="宋体"/>
      <w:kern w:val="0"/>
      <w:sz w:val="24"/>
      <w:szCs w:val="20"/>
    </w:rPr>
  </w:style>
  <w:style w:type="paragraph" w:customStyle="1" w:styleId="21">
    <w:name w:val="索引 11"/>
    <w:basedOn w:val="1"/>
    <w:next w:val="1"/>
    <w:qFormat/>
    <w:uiPriority w:val="99"/>
    <w:pPr>
      <w:spacing w:line="360" w:lineRule="auto"/>
    </w:pPr>
    <w:rPr>
      <w:rFonts w:ascii="仿宋_GB2312" w:eastAsia="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99</Pages>
  <Words>7472</Words>
  <Characters>42591</Characters>
  <Lines>354</Lines>
  <Paragraphs>99</Paragraphs>
  <TotalTime>28</TotalTime>
  <ScaleCrop>false</ScaleCrop>
  <LinksUpToDate>false</LinksUpToDate>
  <CharactersWithSpaces>49964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2021-03-05T03:56:00Z</dcterms:created>
  <dc:creator>123</dc:creator>
  <cp:lastModifiedBy>AAAAAA王者</cp:lastModifiedBy>
  <cp:lastPrinted>2021-03-09T04:20:00Z</cp:lastPrinted>
  <dcterms:modified xsi:type="dcterms:W3CDTF">2021-03-09T09:22:19Z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