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ajorEastAsia" w:hAnsiTheme="majorEastAsia" w:eastAsiaTheme="majorEastAsia"/>
          <w:color w:val="auto"/>
          <w:highlight w:val="none"/>
        </w:rPr>
      </w:pPr>
    </w:p>
    <w:p>
      <w:pPr>
        <w:tabs>
          <w:tab w:val="left" w:pos="1134"/>
          <w:tab w:val="left" w:pos="5481"/>
          <w:tab w:val="left" w:pos="5859"/>
        </w:tabs>
        <w:jc w:val="center"/>
        <w:rPr>
          <w:rFonts w:cs="宋体" w:asciiTheme="majorEastAsia" w:hAnsiTheme="majorEastAsia" w:eastAsiaTheme="majorEastAsia"/>
          <w:color w:val="auto"/>
          <w:sz w:val="72"/>
          <w:szCs w:val="72"/>
          <w:highlight w:val="none"/>
        </w:rPr>
      </w:pPr>
      <w:r>
        <w:rPr>
          <w:rFonts w:hint="eastAsia" w:cs="宋体" w:asciiTheme="majorEastAsia" w:hAnsiTheme="majorEastAsia" w:eastAsiaTheme="majorEastAsia"/>
          <w:color w:val="auto"/>
          <w:sz w:val="72"/>
          <w:szCs w:val="72"/>
          <w:highlight w:val="none"/>
        </w:rPr>
        <w:t>政府采购</w:t>
      </w:r>
    </w:p>
    <w:p>
      <w:pPr>
        <w:tabs>
          <w:tab w:val="left" w:pos="1134"/>
          <w:tab w:val="left" w:pos="5481"/>
          <w:tab w:val="left" w:pos="5859"/>
        </w:tabs>
        <w:jc w:val="center"/>
        <w:rPr>
          <w:rFonts w:cs="宋体" w:asciiTheme="majorEastAsia" w:hAnsiTheme="majorEastAsia" w:eastAsiaTheme="majorEastAsia"/>
          <w:color w:val="auto"/>
          <w:sz w:val="72"/>
          <w:szCs w:val="72"/>
          <w:highlight w:val="none"/>
        </w:rPr>
      </w:pPr>
      <w:r>
        <w:rPr>
          <w:rFonts w:hint="eastAsia" w:cs="宋体" w:asciiTheme="majorEastAsia" w:hAnsiTheme="majorEastAsia" w:eastAsiaTheme="majorEastAsia"/>
          <w:color w:val="auto"/>
          <w:sz w:val="72"/>
          <w:szCs w:val="72"/>
          <w:highlight w:val="none"/>
        </w:rPr>
        <w:t>招标文件</w:t>
      </w:r>
    </w:p>
    <w:p>
      <w:pPr>
        <w:tabs>
          <w:tab w:val="left" w:pos="1134"/>
          <w:tab w:val="left" w:pos="5481"/>
          <w:tab w:val="left" w:pos="5859"/>
        </w:tabs>
        <w:jc w:val="center"/>
        <w:rPr>
          <w:rFonts w:cs="宋体" w:asciiTheme="majorEastAsia" w:hAnsiTheme="majorEastAsia" w:eastAsiaTheme="majorEastAsia"/>
          <w:b/>
          <w:color w:val="auto"/>
          <w:sz w:val="36"/>
          <w:szCs w:val="36"/>
          <w:highlight w:val="none"/>
        </w:rPr>
      </w:pPr>
    </w:p>
    <w:p>
      <w:pPr>
        <w:tabs>
          <w:tab w:val="left" w:pos="1134"/>
          <w:tab w:val="left" w:pos="5160"/>
        </w:tabs>
        <w:jc w:val="center"/>
        <w:rPr>
          <w:rFonts w:cs="宋体" w:asciiTheme="majorEastAsia" w:hAnsiTheme="majorEastAsia" w:eastAsiaTheme="majorEastAsia"/>
          <w:color w:val="auto"/>
          <w:sz w:val="72"/>
          <w:szCs w:val="72"/>
          <w:highlight w:val="none"/>
        </w:rPr>
      </w:pPr>
      <w:r>
        <w:rPr>
          <w:rFonts w:hint="eastAsia" w:cs="宋体" w:asciiTheme="majorEastAsia" w:hAnsiTheme="majorEastAsia" w:eastAsiaTheme="majorEastAsia"/>
          <w:color w:val="auto"/>
          <w:sz w:val="72"/>
          <w:szCs w:val="72"/>
          <w:highlight w:val="none"/>
        </w:rPr>
        <w:t>（货物类）</w:t>
      </w:r>
    </w:p>
    <w:p>
      <w:pPr>
        <w:tabs>
          <w:tab w:val="left" w:pos="1134"/>
          <w:tab w:val="left" w:pos="5481"/>
          <w:tab w:val="left" w:pos="5859"/>
        </w:tabs>
        <w:jc w:val="center"/>
        <w:rPr>
          <w:rFonts w:cs="宋体" w:asciiTheme="majorEastAsia" w:hAnsiTheme="majorEastAsia" w:eastAsiaTheme="majorEastAsia"/>
          <w:b/>
          <w:color w:val="auto"/>
          <w:sz w:val="32"/>
          <w:highlight w:val="none"/>
        </w:rPr>
      </w:pPr>
    </w:p>
    <w:p>
      <w:pPr>
        <w:tabs>
          <w:tab w:val="left" w:pos="1134"/>
          <w:tab w:val="left" w:pos="5481"/>
          <w:tab w:val="left" w:pos="5859"/>
        </w:tabs>
        <w:jc w:val="center"/>
        <w:rPr>
          <w:rFonts w:cs="宋体" w:asciiTheme="majorEastAsia" w:hAnsiTheme="majorEastAsia" w:eastAsiaTheme="majorEastAsia"/>
          <w:b/>
          <w:color w:val="auto"/>
          <w:sz w:val="32"/>
          <w:highlight w:val="none"/>
        </w:rPr>
      </w:pPr>
    </w:p>
    <w:p>
      <w:pPr>
        <w:rPr>
          <w:rFonts w:asciiTheme="majorEastAsia" w:hAnsiTheme="majorEastAsia" w:eastAsiaTheme="majorEastAsia"/>
          <w:color w:val="auto"/>
          <w:highlight w:val="none"/>
        </w:rPr>
      </w:pPr>
      <w:bookmarkStart w:id="0" w:name="EB6899ae5d34c74b11b8bf0f5b6fa18add"/>
      <w:bookmarkEnd w:id="0"/>
    </w:p>
    <w:p>
      <w:pPr>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pStyle w:val="7"/>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pStyle w:val="7"/>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rPr>
          <w:rFonts w:cs="宋体" w:asciiTheme="majorEastAsia" w:hAnsiTheme="majorEastAsia" w:eastAsiaTheme="majorEastAsia"/>
          <w:b/>
          <w:color w:val="auto"/>
          <w:sz w:val="32"/>
          <w:szCs w:val="24"/>
          <w:highlight w:val="none"/>
        </w:rPr>
      </w:pPr>
    </w:p>
    <w:p>
      <w:pPr>
        <w:pStyle w:val="21"/>
        <w:spacing w:line="360" w:lineRule="auto"/>
        <w:ind w:left="0" w:leftChars="0" w:firstLine="851" w:firstLineChars="265"/>
        <w:rPr>
          <w:rFonts w:cs="宋体" w:asciiTheme="majorEastAsia" w:hAnsiTheme="majorEastAsia" w:eastAsiaTheme="majorEastAsia"/>
          <w:b/>
          <w:color w:val="auto"/>
          <w:sz w:val="32"/>
          <w:highlight w:val="none"/>
        </w:rPr>
      </w:pPr>
      <w:r>
        <w:rPr>
          <w:rFonts w:hint="eastAsia" w:cs="宋体" w:asciiTheme="majorEastAsia" w:hAnsiTheme="majorEastAsia" w:eastAsiaTheme="majorEastAsia"/>
          <w:b/>
          <w:color w:val="auto"/>
          <w:sz w:val="32"/>
          <w:highlight w:val="none"/>
        </w:rPr>
        <w:t>项目名称：石河子大学2023年度“中央支持地方高校改革发展资金”一流学科、部省合建项目：薄层色谱成像仪等设备采购</w:t>
      </w:r>
    </w:p>
    <w:p>
      <w:pPr>
        <w:pStyle w:val="48"/>
        <w:spacing w:line="360" w:lineRule="auto"/>
        <w:ind w:firstLine="964" w:firstLineChars="300"/>
        <w:outlineLvl w:val="2"/>
        <w:rPr>
          <w:rFonts w:cs="宋体" w:asciiTheme="majorEastAsia" w:hAnsiTheme="majorEastAsia" w:eastAsiaTheme="majorEastAsia"/>
          <w:b/>
          <w:color w:val="auto"/>
          <w:sz w:val="32"/>
          <w:szCs w:val="24"/>
          <w:highlight w:val="none"/>
        </w:rPr>
      </w:pPr>
      <w:r>
        <w:rPr>
          <w:rFonts w:hint="eastAsia" w:cs="宋体" w:asciiTheme="majorEastAsia" w:hAnsiTheme="majorEastAsia" w:eastAsiaTheme="majorEastAsia"/>
          <w:b/>
          <w:color w:val="auto"/>
          <w:sz w:val="32"/>
          <w:highlight w:val="none"/>
        </w:rPr>
        <w:t>项目编号：</w:t>
      </w:r>
      <w:r>
        <w:rPr>
          <w:rFonts w:hint="eastAsia" w:cs="宋体" w:asciiTheme="majorEastAsia" w:hAnsiTheme="majorEastAsia" w:eastAsiaTheme="majorEastAsia"/>
          <w:b/>
          <w:color w:val="auto"/>
          <w:sz w:val="32"/>
          <w:szCs w:val="24"/>
          <w:highlight w:val="none"/>
        </w:rPr>
        <w:t>JWZB(2023)Z-137</w:t>
      </w:r>
    </w:p>
    <w:p>
      <w:pPr>
        <w:pStyle w:val="49"/>
        <w:spacing w:line="360" w:lineRule="auto"/>
        <w:ind w:firstLine="964" w:firstLineChars="300"/>
        <w:rPr>
          <w:b/>
          <w:bCs/>
          <w:color w:val="auto"/>
          <w:sz w:val="32"/>
          <w:szCs w:val="32"/>
          <w:highlight w:val="none"/>
        </w:rPr>
      </w:pPr>
      <w:r>
        <w:rPr>
          <w:rFonts w:hint="eastAsia"/>
          <w:b/>
          <w:bCs/>
          <w:color w:val="auto"/>
          <w:sz w:val="32"/>
          <w:szCs w:val="32"/>
          <w:highlight w:val="none"/>
        </w:rPr>
        <w:t>采购人：石河子大学</w:t>
      </w:r>
    </w:p>
    <w:p>
      <w:pPr>
        <w:pStyle w:val="21"/>
        <w:spacing w:line="360" w:lineRule="auto"/>
        <w:ind w:left="0" w:leftChars="0" w:firstLine="993" w:firstLineChars="309"/>
        <w:rPr>
          <w:rFonts w:cs="宋体" w:asciiTheme="majorEastAsia" w:hAnsiTheme="majorEastAsia" w:eastAsiaTheme="majorEastAsia"/>
          <w:b/>
          <w:color w:val="auto"/>
          <w:sz w:val="32"/>
          <w:highlight w:val="none"/>
          <w:u w:val="single"/>
        </w:rPr>
      </w:pPr>
      <w:r>
        <w:rPr>
          <w:rFonts w:hint="eastAsia" w:cs="宋体" w:asciiTheme="majorEastAsia" w:hAnsiTheme="majorEastAsia" w:eastAsiaTheme="majorEastAsia"/>
          <w:b/>
          <w:color w:val="auto"/>
          <w:sz w:val="32"/>
          <w:highlight w:val="none"/>
        </w:rPr>
        <w:t>采购代理机构：</w:t>
      </w:r>
      <w:bookmarkStart w:id="1" w:name="EBcb0878e322384cd0a66fff8323730c6e"/>
      <w:r>
        <w:rPr>
          <w:rFonts w:hint="eastAsia" w:cs="宋体" w:asciiTheme="majorEastAsia" w:hAnsiTheme="majorEastAsia" w:eastAsiaTheme="majorEastAsia"/>
          <w:b/>
          <w:color w:val="auto"/>
          <w:sz w:val="32"/>
          <w:highlight w:val="none"/>
        </w:rPr>
        <w:t>新疆经纬招标有限责任公司</w:t>
      </w:r>
      <w:bookmarkEnd w:id="1"/>
    </w:p>
    <w:p>
      <w:pPr>
        <w:pStyle w:val="21"/>
        <w:spacing w:line="360" w:lineRule="auto"/>
        <w:ind w:left="0" w:leftChars="0" w:firstLine="993" w:firstLineChars="309"/>
        <w:rPr>
          <w:rFonts w:cs="宋体" w:asciiTheme="majorEastAsia" w:hAnsiTheme="majorEastAsia" w:eastAsiaTheme="majorEastAsia"/>
          <w:b/>
          <w:color w:val="auto"/>
          <w:sz w:val="32"/>
          <w:highlight w:val="none"/>
        </w:rPr>
      </w:pPr>
      <w:r>
        <w:rPr>
          <w:rFonts w:hint="eastAsia" w:cs="宋体" w:asciiTheme="majorEastAsia" w:hAnsiTheme="majorEastAsia" w:eastAsiaTheme="majorEastAsia"/>
          <w:b/>
          <w:color w:val="auto"/>
          <w:sz w:val="32"/>
          <w:highlight w:val="none"/>
        </w:rPr>
        <w:t xml:space="preserve">日期：2023年 4 月  </w:t>
      </w:r>
    </w:p>
    <w:p>
      <w:pPr>
        <w:rPr>
          <w:rFonts w:cs="宋体" w:asciiTheme="majorEastAsia" w:hAnsiTheme="majorEastAsia" w:eastAsiaTheme="majorEastAsia"/>
          <w:color w:val="auto"/>
          <w:highlight w:val="none"/>
        </w:rPr>
      </w:pPr>
    </w:p>
    <w:p>
      <w:pPr>
        <w:spacing w:line="360" w:lineRule="auto"/>
        <w:jc w:val="center"/>
        <w:rPr>
          <w:rFonts w:cs="宋体" w:asciiTheme="majorEastAsia" w:hAnsiTheme="majorEastAsia" w:eastAsiaTheme="majorEastAsia"/>
          <w:b/>
          <w:color w:val="auto"/>
          <w:sz w:val="28"/>
          <w:szCs w:val="28"/>
          <w:highlight w:val="none"/>
          <w:lang w:val="zh-CN"/>
        </w:rPr>
      </w:pPr>
      <w:r>
        <w:rPr>
          <w:rFonts w:cs="宋体" w:asciiTheme="majorEastAsia" w:hAnsiTheme="majorEastAsia" w:eastAsiaTheme="majorEastAsia"/>
          <w:color w:val="auto"/>
          <w:highlight w:val="none"/>
        </w:rPr>
        <w:br w:type="page"/>
      </w:r>
      <w:r>
        <w:rPr>
          <w:rFonts w:cs="宋体" w:asciiTheme="majorEastAsia" w:hAnsiTheme="majorEastAsia" w:eastAsiaTheme="majorEastAsia"/>
          <w:b/>
          <w:color w:val="auto"/>
          <w:sz w:val="44"/>
          <w:szCs w:val="44"/>
          <w:highlight w:val="none"/>
          <w:lang w:val="zh-CN"/>
        </w:rPr>
        <w:t>目录</w:t>
      </w:r>
    </w:p>
    <w:p>
      <w:pPr>
        <w:pStyle w:val="7"/>
        <w:rPr>
          <w:rFonts w:asciiTheme="majorEastAsia" w:hAnsiTheme="majorEastAsia" w:eastAsiaTheme="majorEastAsia"/>
          <w:color w:val="auto"/>
          <w:highlight w:val="none"/>
        </w:rPr>
      </w:pPr>
    </w:p>
    <w:p>
      <w:pPr>
        <w:pStyle w:val="31"/>
        <w:tabs>
          <w:tab w:val="right" w:leader="dot" w:pos="8306"/>
          <w:tab w:val="clear" w:pos="8302"/>
        </w:tabs>
        <w:spacing w:line="480" w:lineRule="auto"/>
        <w:rPr>
          <w:rFonts w:cs="宋体" w:asciiTheme="majorEastAsia" w:hAnsiTheme="majorEastAsia" w:eastAsiaTheme="majorEastAsia"/>
          <w:color w:val="auto"/>
          <w:sz w:val="28"/>
          <w:szCs w:val="28"/>
          <w:highlight w:val="none"/>
        </w:rPr>
      </w:pPr>
      <w:r>
        <w:rPr>
          <w:rFonts w:cs="宋体" w:asciiTheme="majorEastAsia" w:hAnsiTheme="majorEastAsia" w:eastAsiaTheme="majorEastAsia"/>
          <w:color w:val="auto"/>
          <w:szCs w:val="21"/>
          <w:highlight w:val="none"/>
        </w:rPr>
        <w:fldChar w:fldCharType="begin"/>
      </w:r>
      <w:r>
        <w:rPr>
          <w:rFonts w:cs="宋体" w:asciiTheme="majorEastAsia" w:hAnsiTheme="majorEastAsia" w:eastAsiaTheme="majorEastAsia"/>
          <w:color w:val="auto"/>
          <w:szCs w:val="21"/>
          <w:highlight w:val="none"/>
        </w:rPr>
        <w:instrText xml:space="preserve"> TOC \o "1-3" \u </w:instrText>
      </w:r>
      <w:r>
        <w:rPr>
          <w:rFonts w:cs="宋体" w:asciiTheme="majorEastAsia" w:hAnsiTheme="majorEastAsia" w:eastAsiaTheme="majorEastAsia"/>
          <w:color w:val="auto"/>
          <w:szCs w:val="21"/>
          <w:highlight w:val="none"/>
        </w:rPr>
        <w:fldChar w:fldCharType="separate"/>
      </w:r>
      <w:r>
        <w:rPr>
          <w:rFonts w:hint="eastAsia" w:cs="宋体" w:asciiTheme="majorEastAsia" w:hAnsiTheme="majorEastAsia" w:eastAsiaTheme="majorEastAsia"/>
          <w:color w:val="auto"/>
          <w:sz w:val="28"/>
          <w:szCs w:val="28"/>
          <w:highlight w:val="none"/>
        </w:rPr>
        <w:t>第一部分 招标公告</w:t>
      </w:r>
      <w:r>
        <w:rPr>
          <w:rFonts w:hint="eastAsia" w:cs="宋体" w:asciiTheme="majorEastAsia" w:hAnsiTheme="majorEastAsia" w:eastAsiaTheme="majorEastAsia"/>
          <w:color w:val="auto"/>
          <w:sz w:val="28"/>
          <w:szCs w:val="28"/>
          <w:highlight w:val="none"/>
        </w:rPr>
        <w:tab/>
      </w:r>
      <w:r>
        <w:rPr>
          <w:rFonts w:hint="eastAsia" w:cs="宋体" w:asciiTheme="majorEastAsia" w:hAnsiTheme="majorEastAsia" w:eastAsiaTheme="majorEastAsia"/>
          <w:color w:val="auto"/>
          <w:sz w:val="28"/>
          <w:szCs w:val="28"/>
          <w:highlight w:val="none"/>
        </w:rPr>
        <w:fldChar w:fldCharType="begin"/>
      </w:r>
      <w:r>
        <w:rPr>
          <w:rFonts w:hint="eastAsia" w:cs="宋体" w:asciiTheme="majorEastAsia" w:hAnsiTheme="majorEastAsia" w:eastAsiaTheme="majorEastAsia"/>
          <w:color w:val="auto"/>
          <w:sz w:val="28"/>
          <w:szCs w:val="28"/>
          <w:highlight w:val="none"/>
        </w:rPr>
        <w:instrText xml:space="preserve"> PAGEREF _Toc24282 \h </w:instrText>
      </w:r>
      <w:r>
        <w:rPr>
          <w:rFonts w:hint="eastAsia" w:cs="宋体" w:asciiTheme="majorEastAsia" w:hAnsiTheme="majorEastAsia" w:eastAsiaTheme="majorEastAsia"/>
          <w:color w:val="auto"/>
          <w:sz w:val="28"/>
          <w:szCs w:val="28"/>
          <w:highlight w:val="none"/>
        </w:rPr>
        <w:fldChar w:fldCharType="separate"/>
      </w:r>
      <w:r>
        <w:rPr>
          <w:rFonts w:hint="eastAsia" w:cs="宋体" w:asciiTheme="majorEastAsia" w:hAnsiTheme="majorEastAsia" w:eastAsiaTheme="majorEastAsia"/>
          <w:color w:val="auto"/>
          <w:sz w:val="28"/>
          <w:szCs w:val="28"/>
          <w:highlight w:val="none"/>
        </w:rPr>
        <w:t>3</w:t>
      </w:r>
      <w:r>
        <w:rPr>
          <w:rFonts w:hint="eastAsia" w:cs="宋体" w:asciiTheme="majorEastAsia" w:hAnsiTheme="majorEastAsia" w:eastAsiaTheme="majorEastAsia"/>
          <w:color w:val="auto"/>
          <w:sz w:val="28"/>
          <w:szCs w:val="28"/>
          <w:highlight w:val="none"/>
        </w:rPr>
        <w:fldChar w:fldCharType="end"/>
      </w:r>
    </w:p>
    <w:p>
      <w:pPr>
        <w:pStyle w:val="31"/>
        <w:tabs>
          <w:tab w:val="right" w:leader="dot" w:pos="8306"/>
          <w:tab w:val="clear" w:pos="8302"/>
        </w:tabs>
        <w:spacing w:line="480" w:lineRule="auto"/>
        <w:rPr>
          <w:rFonts w:cs="宋体" w:asciiTheme="majorEastAsia" w:hAnsiTheme="majorEastAsia" w:eastAsiaTheme="majorEastAsia"/>
          <w:color w:val="auto"/>
          <w:sz w:val="28"/>
          <w:szCs w:val="28"/>
          <w:highlight w:val="none"/>
        </w:rPr>
      </w:pPr>
      <w:r>
        <w:rPr>
          <w:rFonts w:hint="eastAsia" w:cs="宋体" w:asciiTheme="majorEastAsia" w:hAnsiTheme="majorEastAsia" w:eastAsiaTheme="majorEastAsia"/>
          <w:color w:val="auto"/>
          <w:sz w:val="28"/>
          <w:szCs w:val="28"/>
          <w:highlight w:val="none"/>
        </w:rPr>
        <w:t>第二部分 投标人须知</w:t>
      </w:r>
      <w:r>
        <w:rPr>
          <w:rFonts w:hint="eastAsia" w:cs="宋体" w:asciiTheme="majorEastAsia" w:hAnsiTheme="majorEastAsia" w:eastAsiaTheme="majorEastAsia"/>
          <w:color w:val="auto"/>
          <w:sz w:val="28"/>
          <w:szCs w:val="28"/>
          <w:highlight w:val="none"/>
        </w:rPr>
        <w:tab/>
      </w:r>
      <w:r>
        <w:rPr>
          <w:rFonts w:hint="eastAsia" w:cs="宋体" w:asciiTheme="majorEastAsia" w:hAnsiTheme="majorEastAsia" w:eastAsiaTheme="majorEastAsia"/>
          <w:color w:val="auto"/>
          <w:sz w:val="28"/>
          <w:szCs w:val="28"/>
          <w:highlight w:val="none"/>
        </w:rPr>
        <w:fldChar w:fldCharType="begin"/>
      </w:r>
      <w:r>
        <w:rPr>
          <w:rFonts w:hint="eastAsia" w:cs="宋体" w:asciiTheme="majorEastAsia" w:hAnsiTheme="majorEastAsia" w:eastAsiaTheme="majorEastAsia"/>
          <w:color w:val="auto"/>
          <w:sz w:val="28"/>
          <w:szCs w:val="28"/>
          <w:highlight w:val="none"/>
        </w:rPr>
        <w:instrText xml:space="preserve"> PAGEREF _Toc28386 \h </w:instrText>
      </w:r>
      <w:r>
        <w:rPr>
          <w:rFonts w:hint="eastAsia" w:cs="宋体" w:asciiTheme="majorEastAsia" w:hAnsiTheme="majorEastAsia" w:eastAsiaTheme="majorEastAsia"/>
          <w:color w:val="auto"/>
          <w:sz w:val="28"/>
          <w:szCs w:val="28"/>
          <w:highlight w:val="none"/>
        </w:rPr>
        <w:fldChar w:fldCharType="separate"/>
      </w:r>
      <w:r>
        <w:rPr>
          <w:rFonts w:hint="eastAsia" w:cs="宋体" w:asciiTheme="majorEastAsia" w:hAnsiTheme="majorEastAsia" w:eastAsiaTheme="majorEastAsia"/>
          <w:color w:val="auto"/>
          <w:sz w:val="28"/>
          <w:szCs w:val="28"/>
          <w:highlight w:val="none"/>
        </w:rPr>
        <w:t>7</w:t>
      </w:r>
      <w:r>
        <w:rPr>
          <w:rFonts w:hint="eastAsia" w:cs="宋体" w:asciiTheme="majorEastAsia" w:hAnsiTheme="majorEastAsia" w:eastAsiaTheme="majorEastAsia"/>
          <w:color w:val="auto"/>
          <w:sz w:val="28"/>
          <w:szCs w:val="28"/>
          <w:highlight w:val="none"/>
        </w:rPr>
        <w:fldChar w:fldCharType="end"/>
      </w:r>
    </w:p>
    <w:p>
      <w:pPr>
        <w:pStyle w:val="34"/>
        <w:tabs>
          <w:tab w:val="right" w:leader="dot" w:pos="8306"/>
        </w:tabs>
        <w:spacing w:line="480" w:lineRule="auto"/>
        <w:rPr>
          <w:rFonts w:cs="宋体" w:asciiTheme="majorEastAsia" w:hAnsiTheme="majorEastAsia" w:eastAsiaTheme="majorEastAsia"/>
          <w:color w:val="auto"/>
          <w:sz w:val="28"/>
          <w:szCs w:val="28"/>
          <w:highlight w:val="none"/>
        </w:rPr>
      </w:pPr>
      <w:r>
        <w:rPr>
          <w:rFonts w:hint="eastAsia" w:cs="宋体" w:asciiTheme="majorEastAsia" w:hAnsiTheme="majorEastAsia" w:eastAsiaTheme="majorEastAsia"/>
          <w:color w:val="auto"/>
          <w:sz w:val="28"/>
          <w:szCs w:val="28"/>
          <w:highlight w:val="none"/>
        </w:rPr>
        <w:t>投标人须知前附表</w:t>
      </w:r>
      <w:r>
        <w:rPr>
          <w:rFonts w:hint="eastAsia" w:cs="宋体" w:asciiTheme="majorEastAsia" w:hAnsiTheme="majorEastAsia" w:eastAsiaTheme="majorEastAsia"/>
          <w:color w:val="auto"/>
          <w:sz w:val="28"/>
          <w:szCs w:val="28"/>
          <w:highlight w:val="none"/>
        </w:rPr>
        <w:tab/>
      </w:r>
      <w:r>
        <w:rPr>
          <w:rFonts w:hint="eastAsia" w:cs="宋体" w:asciiTheme="majorEastAsia" w:hAnsiTheme="majorEastAsia" w:eastAsiaTheme="majorEastAsia"/>
          <w:color w:val="auto"/>
          <w:sz w:val="28"/>
          <w:szCs w:val="28"/>
          <w:highlight w:val="none"/>
        </w:rPr>
        <w:fldChar w:fldCharType="begin"/>
      </w:r>
      <w:r>
        <w:rPr>
          <w:rFonts w:hint="eastAsia" w:cs="宋体" w:asciiTheme="majorEastAsia" w:hAnsiTheme="majorEastAsia" w:eastAsiaTheme="majorEastAsia"/>
          <w:color w:val="auto"/>
          <w:sz w:val="28"/>
          <w:szCs w:val="28"/>
          <w:highlight w:val="none"/>
        </w:rPr>
        <w:instrText xml:space="preserve"> PAGEREF _Toc28391 \h </w:instrText>
      </w:r>
      <w:r>
        <w:rPr>
          <w:rFonts w:hint="eastAsia" w:cs="宋体" w:asciiTheme="majorEastAsia" w:hAnsiTheme="majorEastAsia" w:eastAsiaTheme="majorEastAsia"/>
          <w:color w:val="auto"/>
          <w:sz w:val="28"/>
          <w:szCs w:val="28"/>
          <w:highlight w:val="none"/>
        </w:rPr>
        <w:fldChar w:fldCharType="separate"/>
      </w:r>
      <w:r>
        <w:rPr>
          <w:rFonts w:hint="eastAsia" w:cs="宋体" w:asciiTheme="majorEastAsia" w:hAnsiTheme="majorEastAsia" w:eastAsiaTheme="majorEastAsia"/>
          <w:color w:val="auto"/>
          <w:sz w:val="28"/>
          <w:szCs w:val="28"/>
          <w:highlight w:val="none"/>
        </w:rPr>
        <w:t>7</w:t>
      </w:r>
      <w:r>
        <w:rPr>
          <w:rFonts w:hint="eastAsia" w:cs="宋体" w:asciiTheme="majorEastAsia" w:hAnsiTheme="majorEastAsia" w:eastAsiaTheme="majorEastAsia"/>
          <w:color w:val="auto"/>
          <w:sz w:val="28"/>
          <w:szCs w:val="28"/>
          <w:highlight w:val="none"/>
        </w:rPr>
        <w:fldChar w:fldCharType="end"/>
      </w:r>
    </w:p>
    <w:p>
      <w:pPr>
        <w:pStyle w:val="31"/>
        <w:tabs>
          <w:tab w:val="right" w:leader="dot" w:pos="8306"/>
          <w:tab w:val="clear" w:pos="8302"/>
        </w:tabs>
        <w:spacing w:line="480" w:lineRule="auto"/>
        <w:rPr>
          <w:rFonts w:cs="宋体" w:asciiTheme="majorEastAsia" w:hAnsiTheme="majorEastAsia" w:eastAsiaTheme="majorEastAsia"/>
          <w:color w:val="auto"/>
          <w:sz w:val="28"/>
          <w:szCs w:val="28"/>
          <w:highlight w:val="none"/>
        </w:rPr>
      </w:pPr>
      <w:r>
        <w:rPr>
          <w:rFonts w:hint="eastAsia" w:cs="宋体" w:asciiTheme="majorEastAsia" w:hAnsiTheme="majorEastAsia" w:eastAsiaTheme="majorEastAsia"/>
          <w:color w:val="auto"/>
          <w:sz w:val="28"/>
          <w:szCs w:val="28"/>
          <w:highlight w:val="none"/>
        </w:rPr>
        <w:t>第三部分 采购需求</w:t>
      </w:r>
      <w:r>
        <w:rPr>
          <w:rFonts w:hint="eastAsia" w:cs="宋体" w:asciiTheme="majorEastAsia" w:hAnsiTheme="majorEastAsia" w:eastAsiaTheme="majorEastAsia"/>
          <w:color w:val="auto"/>
          <w:sz w:val="28"/>
          <w:szCs w:val="28"/>
          <w:highlight w:val="none"/>
        </w:rPr>
        <w:tab/>
      </w:r>
      <w:r>
        <w:rPr>
          <w:rFonts w:hint="eastAsia" w:cs="宋体" w:asciiTheme="majorEastAsia" w:hAnsiTheme="majorEastAsia" w:eastAsiaTheme="majorEastAsia"/>
          <w:color w:val="auto"/>
          <w:sz w:val="28"/>
          <w:szCs w:val="28"/>
          <w:highlight w:val="none"/>
        </w:rPr>
        <w:fldChar w:fldCharType="begin"/>
      </w:r>
      <w:r>
        <w:rPr>
          <w:rFonts w:hint="eastAsia" w:cs="宋体" w:asciiTheme="majorEastAsia" w:hAnsiTheme="majorEastAsia" w:eastAsiaTheme="majorEastAsia"/>
          <w:color w:val="auto"/>
          <w:sz w:val="28"/>
          <w:szCs w:val="28"/>
          <w:highlight w:val="none"/>
        </w:rPr>
        <w:instrText xml:space="preserve"> PAGEREF _Toc31966 \h </w:instrText>
      </w:r>
      <w:r>
        <w:rPr>
          <w:rFonts w:hint="eastAsia" w:cs="宋体" w:asciiTheme="majorEastAsia" w:hAnsiTheme="majorEastAsia" w:eastAsiaTheme="majorEastAsia"/>
          <w:color w:val="auto"/>
          <w:sz w:val="28"/>
          <w:szCs w:val="28"/>
          <w:highlight w:val="none"/>
        </w:rPr>
        <w:fldChar w:fldCharType="separate"/>
      </w:r>
      <w:r>
        <w:rPr>
          <w:rFonts w:hint="eastAsia" w:cs="宋体" w:asciiTheme="majorEastAsia" w:hAnsiTheme="majorEastAsia" w:eastAsiaTheme="majorEastAsia"/>
          <w:color w:val="auto"/>
          <w:sz w:val="28"/>
          <w:szCs w:val="28"/>
          <w:highlight w:val="none"/>
        </w:rPr>
        <w:t>39</w:t>
      </w:r>
      <w:r>
        <w:rPr>
          <w:rFonts w:hint="eastAsia" w:cs="宋体" w:asciiTheme="majorEastAsia" w:hAnsiTheme="majorEastAsia" w:eastAsiaTheme="majorEastAsia"/>
          <w:color w:val="auto"/>
          <w:sz w:val="28"/>
          <w:szCs w:val="28"/>
          <w:highlight w:val="none"/>
        </w:rPr>
        <w:fldChar w:fldCharType="end"/>
      </w:r>
    </w:p>
    <w:p>
      <w:pPr>
        <w:pStyle w:val="31"/>
        <w:tabs>
          <w:tab w:val="right" w:leader="dot" w:pos="8306"/>
          <w:tab w:val="clear" w:pos="8302"/>
        </w:tabs>
        <w:spacing w:line="480" w:lineRule="auto"/>
        <w:rPr>
          <w:rFonts w:cs="宋体" w:asciiTheme="majorEastAsia" w:hAnsiTheme="majorEastAsia" w:eastAsiaTheme="majorEastAsia"/>
          <w:color w:val="auto"/>
          <w:sz w:val="28"/>
          <w:szCs w:val="28"/>
          <w:highlight w:val="none"/>
        </w:rPr>
      </w:pPr>
      <w:r>
        <w:rPr>
          <w:rFonts w:hint="eastAsia" w:cs="宋体" w:asciiTheme="majorEastAsia" w:hAnsiTheme="majorEastAsia" w:eastAsiaTheme="majorEastAsia"/>
          <w:color w:val="auto"/>
          <w:sz w:val="28"/>
          <w:szCs w:val="28"/>
          <w:highlight w:val="none"/>
        </w:rPr>
        <w:t>第四部分 评审方法</w:t>
      </w:r>
      <w:r>
        <w:rPr>
          <w:rFonts w:hint="eastAsia" w:cs="宋体" w:asciiTheme="majorEastAsia" w:hAnsiTheme="majorEastAsia" w:eastAsiaTheme="majorEastAsia"/>
          <w:color w:val="auto"/>
          <w:sz w:val="28"/>
          <w:szCs w:val="28"/>
          <w:highlight w:val="none"/>
        </w:rPr>
        <w:tab/>
      </w:r>
      <w:r>
        <w:rPr>
          <w:rFonts w:hint="eastAsia" w:cs="宋体" w:asciiTheme="majorEastAsia" w:hAnsiTheme="majorEastAsia" w:eastAsiaTheme="majorEastAsia"/>
          <w:color w:val="auto"/>
          <w:sz w:val="28"/>
          <w:szCs w:val="28"/>
          <w:highlight w:val="none"/>
        </w:rPr>
        <w:fldChar w:fldCharType="begin"/>
      </w:r>
      <w:r>
        <w:rPr>
          <w:rFonts w:hint="eastAsia" w:cs="宋体" w:asciiTheme="majorEastAsia" w:hAnsiTheme="majorEastAsia" w:eastAsiaTheme="majorEastAsia"/>
          <w:color w:val="auto"/>
          <w:sz w:val="28"/>
          <w:szCs w:val="28"/>
          <w:highlight w:val="none"/>
        </w:rPr>
        <w:instrText xml:space="preserve"> PAGEREF _Toc29084 \h </w:instrText>
      </w:r>
      <w:r>
        <w:rPr>
          <w:rFonts w:hint="eastAsia" w:cs="宋体" w:asciiTheme="majorEastAsia" w:hAnsiTheme="majorEastAsia" w:eastAsiaTheme="majorEastAsia"/>
          <w:color w:val="auto"/>
          <w:sz w:val="28"/>
          <w:szCs w:val="28"/>
          <w:highlight w:val="none"/>
        </w:rPr>
        <w:fldChar w:fldCharType="separate"/>
      </w:r>
      <w:r>
        <w:rPr>
          <w:rFonts w:hint="eastAsia" w:cs="宋体" w:asciiTheme="majorEastAsia" w:hAnsiTheme="majorEastAsia" w:eastAsiaTheme="majorEastAsia"/>
          <w:color w:val="auto"/>
          <w:sz w:val="28"/>
          <w:szCs w:val="28"/>
          <w:highlight w:val="none"/>
        </w:rPr>
        <w:t>51</w:t>
      </w:r>
      <w:r>
        <w:rPr>
          <w:rFonts w:hint="eastAsia" w:cs="宋体" w:asciiTheme="majorEastAsia" w:hAnsiTheme="majorEastAsia" w:eastAsiaTheme="majorEastAsia"/>
          <w:color w:val="auto"/>
          <w:sz w:val="28"/>
          <w:szCs w:val="28"/>
          <w:highlight w:val="none"/>
        </w:rPr>
        <w:fldChar w:fldCharType="end"/>
      </w:r>
    </w:p>
    <w:p>
      <w:pPr>
        <w:pStyle w:val="31"/>
        <w:tabs>
          <w:tab w:val="right" w:leader="dot" w:pos="8306"/>
          <w:tab w:val="clear" w:pos="8302"/>
        </w:tabs>
        <w:spacing w:line="480" w:lineRule="auto"/>
        <w:rPr>
          <w:rFonts w:cs="宋体" w:asciiTheme="majorEastAsia" w:hAnsiTheme="majorEastAsia" w:eastAsiaTheme="majorEastAsia"/>
          <w:color w:val="auto"/>
          <w:sz w:val="28"/>
          <w:szCs w:val="28"/>
          <w:highlight w:val="none"/>
        </w:rPr>
      </w:pPr>
      <w:r>
        <w:rPr>
          <w:rFonts w:hint="eastAsia" w:cs="宋体" w:asciiTheme="majorEastAsia" w:hAnsiTheme="majorEastAsia" w:eastAsiaTheme="majorEastAsia"/>
          <w:color w:val="auto"/>
          <w:sz w:val="28"/>
          <w:szCs w:val="28"/>
          <w:highlight w:val="none"/>
        </w:rPr>
        <w:t>第五部分 政府采购合同</w:t>
      </w:r>
      <w:r>
        <w:rPr>
          <w:rFonts w:hint="eastAsia" w:cs="宋体" w:asciiTheme="majorEastAsia" w:hAnsiTheme="majorEastAsia" w:eastAsiaTheme="majorEastAsia"/>
          <w:color w:val="auto"/>
          <w:sz w:val="28"/>
          <w:szCs w:val="28"/>
          <w:highlight w:val="none"/>
        </w:rPr>
        <w:tab/>
      </w:r>
      <w:r>
        <w:rPr>
          <w:rFonts w:hint="eastAsia" w:cs="宋体" w:asciiTheme="majorEastAsia" w:hAnsiTheme="majorEastAsia" w:eastAsiaTheme="majorEastAsia"/>
          <w:color w:val="auto"/>
          <w:sz w:val="28"/>
          <w:szCs w:val="28"/>
          <w:highlight w:val="none"/>
        </w:rPr>
        <w:fldChar w:fldCharType="begin"/>
      </w:r>
      <w:r>
        <w:rPr>
          <w:rFonts w:hint="eastAsia" w:cs="宋体" w:asciiTheme="majorEastAsia" w:hAnsiTheme="majorEastAsia" w:eastAsiaTheme="majorEastAsia"/>
          <w:color w:val="auto"/>
          <w:sz w:val="28"/>
          <w:szCs w:val="28"/>
          <w:highlight w:val="none"/>
        </w:rPr>
        <w:instrText xml:space="preserve"> PAGEREF _Toc29049 \h </w:instrText>
      </w:r>
      <w:r>
        <w:rPr>
          <w:rFonts w:hint="eastAsia" w:cs="宋体" w:asciiTheme="majorEastAsia" w:hAnsiTheme="majorEastAsia" w:eastAsiaTheme="majorEastAsia"/>
          <w:color w:val="auto"/>
          <w:sz w:val="28"/>
          <w:szCs w:val="28"/>
          <w:highlight w:val="none"/>
        </w:rPr>
        <w:fldChar w:fldCharType="separate"/>
      </w:r>
      <w:r>
        <w:rPr>
          <w:rFonts w:hint="eastAsia" w:cs="宋体" w:asciiTheme="majorEastAsia" w:hAnsiTheme="majorEastAsia" w:eastAsiaTheme="majorEastAsia"/>
          <w:color w:val="auto"/>
          <w:sz w:val="28"/>
          <w:szCs w:val="28"/>
          <w:highlight w:val="none"/>
        </w:rPr>
        <w:t>59</w:t>
      </w:r>
      <w:r>
        <w:rPr>
          <w:rFonts w:hint="eastAsia" w:cs="宋体" w:asciiTheme="majorEastAsia" w:hAnsiTheme="majorEastAsia" w:eastAsiaTheme="majorEastAsia"/>
          <w:color w:val="auto"/>
          <w:sz w:val="28"/>
          <w:szCs w:val="28"/>
          <w:highlight w:val="none"/>
        </w:rPr>
        <w:fldChar w:fldCharType="end"/>
      </w:r>
    </w:p>
    <w:p>
      <w:pPr>
        <w:pStyle w:val="31"/>
        <w:tabs>
          <w:tab w:val="right" w:leader="dot" w:pos="8306"/>
          <w:tab w:val="clear" w:pos="8302"/>
        </w:tabs>
        <w:spacing w:line="480" w:lineRule="auto"/>
        <w:rPr>
          <w:rFonts w:asciiTheme="majorEastAsia" w:hAnsiTheme="majorEastAsia" w:eastAsiaTheme="majorEastAsia"/>
          <w:color w:val="auto"/>
          <w:highlight w:val="none"/>
        </w:rPr>
      </w:pPr>
      <w:r>
        <w:rPr>
          <w:rFonts w:hint="eastAsia" w:cs="宋体" w:asciiTheme="majorEastAsia" w:hAnsiTheme="majorEastAsia" w:eastAsiaTheme="majorEastAsia"/>
          <w:color w:val="auto"/>
          <w:sz w:val="28"/>
          <w:szCs w:val="28"/>
          <w:highlight w:val="none"/>
        </w:rPr>
        <w:t>第六部分 投标文件格式</w:t>
      </w:r>
      <w:r>
        <w:rPr>
          <w:rFonts w:hint="eastAsia" w:cs="宋体" w:asciiTheme="majorEastAsia" w:hAnsiTheme="majorEastAsia" w:eastAsiaTheme="majorEastAsia"/>
          <w:color w:val="auto"/>
          <w:sz w:val="28"/>
          <w:szCs w:val="28"/>
          <w:highlight w:val="none"/>
        </w:rPr>
        <w:tab/>
      </w:r>
      <w:r>
        <w:rPr>
          <w:rFonts w:hint="eastAsia" w:cs="宋体" w:asciiTheme="majorEastAsia" w:hAnsiTheme="majorEastAsia" w:eastAsiaTheme="majorEastAsia"/>
          <w:color w:val="auto"/>
          <w:sz w:val="28"/>
          <w:szCs w:val="28"/>
          <w:highlight w:val="none"/>
        </w:rPr>
        <w:t>77</w:t>
      </w:r>
    </w:p>
    <w:p>
      <w:pPr>
        <w:spacing w:line="480" w:lineRule="auto"/>
        <w:rPr>
          <w:rFonts w:cs="宋体" w:asciiTheme="majorEastAsia" w:hAnsiTheme="majorEastAsia" w:eastAsiaTheme="majorEastAsia"/>
          <w:color w:val="auto"/>
          <w:highlight w:val="none"/>
        </w:rPr>
      </w:pPr>
      <w:r>
        <w:rPr>
          <w:rFonts w:cs="宋体" w:asciiTheme="majorEastAsia" w:hAnsiTheme="majorEastAsia" w:eastAsiaTheme="majorEastAsia"/>
          <w:color w:val="auto"/>
          <w:szCs w:val="21"/>
          <w:highlight w:val="none"/>
        </w:rPr>
        <w:fldChar w:fldCharType="end"/>
      </w:r>
    </w:p>
    <w:p>
      <w:pPr>
        <w:rPr>
          <w:rFonts w:cs="宋体" w:asciiTheme="majorEastAsia" w:hAnsiTheme="majorEastAsia" w:eastAsiaTheme="majorEastAsia"/>
          <w:color w:val="auto"/>
          <w:highlight w:val="none"/>
        </w:rPr>
      </w:pPr>
      <w:r>
        <w:rPr>
          <w:rFonts w:cs="宋体" w:asciiTheme="majorEastAsia" w:hAnsiTheme="majorEastAsia" w:eastAsiaTheme="majorEastAsia"/>
          <w:b/>
          <w:bCs/>
          <w:color w:val="auto"/>
          <w:highlight w:val="none"/>
          <w:lang w:val="zh-CN"/>
        </w:rPr>
        <w:br w:type="page"/>
      </w:r>
    </w:p>
    <w:p>
      <w:pPr>
        <w:pStyle w:val="36"/>
        <w:rPr>
          <w:rFonts w:asciiTheme="majorEastAsia" w:hAnsiTheme="majorEastAsia" w:eastAsiaTheme="majorEastAsia"/>
          <w:color w:val="auto"/>
          <w:highlight w:val="none"/>
        </w:rPr>
      </w:pPr>
      <w:bookmarkStart w:id="2" w:name="_Toc503463616"/>
      <w:bookmarkStart w:id="3" w:name="_Toc24282"/>
      <w:r>
        <w:rPr>
          <w:rFonts w:hint="eastAsia" w:asciiTheme="majorEastAsia" w:hAnsiTheme="majorEastAsia" w:eastAsiaTheme="majorEastAsia"/>
          <w:color w:val="auto"/>
          <w:highlight w:val="none"/>
        </w:rPr>
        <w:t>第一部分</w:t>
      </w:r>
      <w:bookmarkEnd w:id="2"/>
      <w:r>
        <w:rPr>
          <w:rFonts w:hint="eastAsia" w:asciiTheme="majorEastAsia" w:hAnsiTheme="majorEastAsia" w:eastAsiaTheme="majorEastAsia"/>
          <w:color w:val="auto"/>
          <w:highlight w:val="none"/>
        </w:rPr>
        <w:t xml:space="preserve"> 招标公告</w:t>
      </w:r>
      <w:bookmarkEnd w:id="3"/>
    </w:p>
    <w:p>
      <w:pPr>
        <w:rPr>
          <w:rFonts w:cs="宋体" w:asciiTheme="majorEastAsia" w:hAnsiTheme="majorEastAsia" w:eastAsiaTheme="majorEastAsia"/>
          <w:color w:val="auto"/>
          <w:sz w:val="20"/>
          <w:highlight w:val="none"/>
        </w:rPr>
      </w:pPr>
      <w:bookmarkStart w:id="4" w:name="EBbcab609e0bf6445cb7952b8c7da88b0a"/>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tcPr>
          <w:p>
            <w:pPr>
              <w:pStyle w:val="35"/>
              <w:widowControl/>
              <w:rPr>
                <w:rFonts w:asciiTheme="minorEastAsia" w:hAnsiTheme="minorEastAsia" w:eastAsiaTheme="minorEastAsia" w:cstheme="minorEastAsia"/>
                <w:color w:val="auto"/>
                <w:szCs w:val="24"/>
                <w:highlight w:val="none"/>
              </w:rPr>
            </w:pPr>
            <w:bookmarkStart w:id="5" w:name="_Toc26794"/>
            <w:r>
              <w:rPr>
                <w:rFonts w:hint="eastAsia" w:asciiTheme="minorEastAsia" w:hAnsiTheme="minorEastAsia" w:eastAsiaTheme="minorEastAsia" w:cstheme="minorEastAsia"/>
                <w:color w:val="auto"/>
                <w:szCs w:val="24"/>
                <w:highlight w:val="none"/>
              </w:rPr>
              <w:t>项目概况 </w:t>
            </w:r>
          </w:p>
          <w:p>
            <w:pPr>
              <w:pStyle w:val="35"/>
              <w:widowControl/>
              <w:ind w:firstLine="720" w:firstLineChars="300"/>
              <w:rPr>
                <w:rFonts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项目名称：石河子大学2023年度“中央支持地方高校改革发展资金”一流学科、部省合建项目：薄层色谱成像仪等设备采购招标项目的潜在投标人应在政采云平台（https://www.zcygov.cn/）获取招标文件，并于</w:t>
            </w:r>
            <w:r>
              <w:rPr>
                <w:rFonts w:hint="eastAsia" w:asciiTheme="minorEastAsia" w:hAnsiTheme="minorEastAsia" w:eastAsiaTheme="minorEastAsia" w:cstheme="minorEastAsia"/>
                <w:color w:val="auto"/>
                <w:szCs w:val="24"/>
                <w:highlight w:val="none"/>
              </w:rPr>
              <w:t>2023年6月</w:t>
            </w:r>
            <w:r>
              <w:rPr>
                <w:rFonts w:hint="eastAsia" w:asciiTheme="minorEastAsia" w:hAnsiTheme="minorEastAsia" w:eastAsiaTheme="minorEastAsia" w:cstheme="minorEastAsia"/>
                <w:color w:val="auto"/>
                <w:szCs w:val="24"/>
                <w:highlight w:val="none"/>
                <w:lang w:val="en-US" w:eastAsia="zh-CN"/>
              </w:rPr>
              <w:t>6</w:t>
            </w:r>
            <w:r>
              <w:rPr>
                <w:rFonts w:hint="eastAsia" w:asciiTheme="minorEastAsia" w:hAnsiTheme="minorEastAsia" w:eastAsiaTheme="minorEastAsia" w:cstheme="minorEastAsia"/>
                <w:color w:val="auto"/>
                <w:szCs w:val="24"/>
                <w:highlight w:val="none"/>
              </w:rPr>
              <w:t>日 11:00</w:t>
            </w:r>
            <w:r>
              <w:rPr>
                <w:rFonts w:hint="eastAsia" w:asciiTheme="minorEastAsia" w:hAnsiTheme="minorEastAsia" w:eastAsiaTheme="minorEastAsia" w:cstheme="minorEastAsia"/>
                <w:color w:val="auto"/>
                <w:szCs w:val="24"/>
                <w:highlight w:val="none"/>
              </w:rPr>
              <w:t>（北京时间）前递交投标文件。</w:t>
            </w:r>
          </w:p>
          <w:p>
            <w:pPr>
              <w:pStyle w:val="35"/>
              <w:widowControl/>
              <w:rPr>
                <w:rFonts w:asciiTheme="majorEastAsia" w:hAnsiTheme="majorEastAsia" w:eastAsiaTheme="majorEastAsia"/>
                <w:color w:val="auto"/>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7"/>
                <w:szCs w:val="27"/>
                <w:highlight w:val="none"/>
              </w:rPr>
              <w:t>                            </w:t>
            </w:r>
          </w:p>
        </w:tc>
      </w:tr>
    </w:tbl>
    <w:p>
      <w:pPr>
        <w:pStyle w:val="5"/>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一、项目基本情况</w:t>
      </w:r>
      <w:bookmarkEnd w:id="5"/>
    </w:p>
    <w:p>
      <w:pPr>
        <w:pStyle w:val="48"/>
        <w:spacing w:line="360" w:lineRule="auto"/>
        <w:ind w:firstLine="240" w:firstLineChars="100"/>
        <w:outlineLvl w:val="2"/>
        <w:rPr>
          <w:rFonts w:asciiTheme="majorEastAsia" w:hAnsiTheme="majorEastAsia" w:eastAsiaTheme="majorEastAsia"/>
          <w:color w:val="auto"/>
          <w:sz w:val="24"/>
          <w:szCs w:val="24"/>
          <w:highlight w:val="none"/>
        </w:rPr>
      </w:pPr>
      <w:bookmarkStart w:id="6" w:name="_Toc2222"/>
      <w:r>
        <w:rPr>
          <w:rFonts w:hint="eastAsia" w:asciiTheme="majorEastAsia" w:hAnsiTheme="majorEastAsia" w:eastAsiaTheme="majorEastAsia"/>
          <w:color w:val="auto"/>
          <w:sz w:val="24"/>
          <w:szCs w:val="24"/>
          <w:highlight w:val="none"/>
        </w:rPr>
        <w:t>项目编号：</w:t>
      </w:r>
      <w:bookmarkEnd w:id="6"/>
      <w:r>
        <w:rPr>
          <w:rFonts w:hint="eastAsia" w:asciiTheme="majorEastAsia" w:hAnsiTheme="majorEastAsia" w:eastAsiaTheme="majorEastAsia"/>
          <w:color w:val="auto"/>
          <w:sz w:val="24"/>
          <w:szCs w:val="24"/>
          <w:highlight w:val="none"/>
        </w:rPr>
        <w:t>JWZB(2023)Z-137</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项目名称：石河子大学2023年度“中央支持地方高校改革发展资金”一流学科、部省合建项目：薄层色谱成像仪等设备采购</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预算金额（元）：700000</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最高限价（元）：700000</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采购需求：详见招标文件</w:t>
      </w:r>
    </w:p>
    <w:p>
      <w:pPr>
        <w:pStyle w:val="48"/>
        <w:spacing w:line="360" w:lineRule="auto"/>
        <w:ind w:firstLine="240" w:firstLineChars="100"/>
        <w:rPr>
          <w:rFonts w:asciiTheme="majorEastAsia" w:hAnsiTheme="majorEastAsia" w:eastAsiaTheme="majorEastAsia"/>
          <w:color w:val="auto"/>
          <w:sz w:val="24"/>
          <w:szCs w:val="24"/>
          <w:highlight w:val="none"/>
        </w:rPr>
      </w:pP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项目名称：石河子大学2023年度“中央支持地方高校改革发展资金”一流学科、部省合建项目：薄层色谱成像仪等设备采购</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数量：1批</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预算金额（元）：700000</w:t>
      </w:r>
    </w:p>
    <w:p>
      <w:pPr>
        <w:pStyle w:val="48"/>
        <w:spacing w:line="360" w:lineRule="auto"/>
        <w:ind w:firstLine="240" w:firstLineChars="100"/>
        <w:rPr>
          <w:rFonts w:asciiTheme="minorEastAsia" w:hAnsiTheme="minorEastAsia" w:cstheme="minorEastAsia"/>
          <w:color w:val="auto"/>
          <w:sz w:val="24"/>
          <w:szCs w:val="24"/>
          <w:highlight w:val="none"/>
        </w:rPr>
      </w:pPr>
      <w:r>
        <w:rPr>
          <w:rFonts w:hint="eastAsia" w:asciiTheme="majorEastAsia" w:hAnsiTheme="majorEastAsia" w:eastAsiaTheme="majorEastAsia"/>
          <w:color w:val="auto"/>
          <w:sz w:val="24"/>
          <w:szCs w:val="24"/>
          <w:highlight w:val="none"/>
        </w:rPr>
        <w:t>简要规格描述或项目基本概况介绍、用途：</w:t>
      </w:r>
      <w:r>
        <w:rPr>
          <w:rFonts w:hint="eastAsia" w:asciiTheme="minorEastAsia" w:hAnsiTheme="minorEastAsia" w:eastAsiaTheme="minorEastAsia" w:cstheme="minorEastAsia"/>
          <w:color w:val="auto"/>
          <w:sz w:val="24"/>
          <w:szCs w:val="24"/>
          <w:highlight w:val="none"/>
        </w:rPr>
        <w:t>1、</w:t>
      </w:r>
      <w:r>
        <w:rPr>
          <w:rFonts w:hint="eastAsia" w:ascii="宋体" w:hAnsi="宋体"/>
          <w:color w:val="auto"/>
          <w:sz w:val="24"/>
          <w:szCs w:val="24"/>
          <w:highlight w:val="none"/>
        </w:rPr>
        <w:t>薄层色谱成像仪1台（允许进口）</w:t>
      </w:r>
      <w:r>
        <w:rPr>
          <w:rFonts w:hint="eastAsia" w:asciiTheme="minorEastAsia" w:hAnsiTheme="minorEastAsia" w:eastAsiaTheme="minorEastAsia" w:cstheme="minorEastAsia"/>
          <w:color w:val="auto"/>
          <w:sz w:val="24"/>
          <w:szCs w:val="24"/>
          <w:highlight w:val="none"/>
        </w:rPr>
        <w:t>；2、</w:t>
      </w:r>
      <w:r>
        <w:rPr>
          <w:rFonts w:hint="eastAsia" w:ascii="宋体" w:hAnsi="宋体"/>
          <w:color w:val="auto"/>
          <w:sz w:val="24"/>
          <w:szCs w:val="24"/>
          <w:highlight w:val="none"/>
          <w:u w:val="single"/>
        </w:rPr>
        <w:t>天然产物合成、药物合成的理论计算服务器</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台</w:t>
      </w:r>
      <w:r>
        <w:rPr>
          <w:rFonts w:hint="eastAsia" w:asciiTheme="minorEastAsia" w:hAnsiTheme="minorEastAsia" w:eastAsiaTheme="minorEastAsia" w:cstheme="minorEastAsia"/>
          <w:color w:val="auto"/>
          <w:sz w:val="24"/>
          <w:szCs w:val="24"/>
          <w:highlight w:val="none"/>
        </w:rPr>
        <w:t>；3、</w:t>
      </w:r>
      <w:r>
        <w:rPr>
          <w:rFonts w:hint="eastAsia" w:ascii="宋体" w:hAnsi="宋体"/>
          <w:color w:val="auto"/>
          <w:sz w:val="24"/>
          <w:szCs w:val="24"/>
          <w:highlight w:val="none"/>
          <w:u w:val="single"/>
        </w:rPr>
        <w:t>全自动化学发光荧光图像分析系</w:t>
      </w:r>
      <w:r>
        <w:rPr>
          <w:rFonts w:hint="eastAsia" w:ascii="宋体" w:hAnsi="宋体"/>
          <w:color w:val="auto"/>
          <w:sz w:val="24"/>
          <w:szCs w:val="24"/>
          <w:highlight w:val="none"/>
        </w:rPr>
        <w:t>统</w:t>
      </w:r>
      <w:r>
        <w:rPr>
          <w:rFonts w:hint="eastAsia" w:asciiTheme="minorEastAsia" w:hAnsiTheme="minorEastAsia" w:eastAsiaTheme="minorEastAsia" w:cstheme="minorEastAsia"/>
          <w:color w:val="auto"/>
          <w:sz w:val="24"/>
          <w:szCs w:val="24"/>
          <w:highlight w:val="none"/>
        </w:rPr>
        <w:t>1套；4、</w:t>
      </w:r>
      <w:r>
        <w:rPr>
          <w:rFonts w:hint="eastAsia" w:ascii="宋体" w:hAnsi="宋体"/>
          <w:color w:val="auto"/>
          <w:sz w:val="24"/>
          <w:szCs w:val="24"/>
          <w:highlight w:val="none"/>
          <w:u w:val="single"/>
        </w:rPr>
        <w:t>超微量紫外可见光分光光度计</w:t>
      </w:r>
      <w:r>
        <w:rPr>
          <w:rFonts w:hint="eastAsia" w:asciiTheme="minorEastAsia" w:hAnsiTheme="minorEastAsia" w:eastAsiaTheme="minorEastAsia" w:cstheme="minorEastAsia"/>
          <w:color w:val="auto"/>
          <w:sz w:val="24"/>
          <w:szCs w:val="24"/>
          <w:highlight w:val="none"/>
        </w:rPr>
        <w:t>1台；5、</w:t>
      </w:r>
      <w:r>
        <w:rPr>
          <w:rFonts w:hint="eastAsia" w:ascii="宋体" w:hAnsi="宋体"/>
          <w:color w:val="auto"/>
          <w:sz w:val="24"/>
          <w:szCs w:val="24"/>
          <w:highlight w:val="none"/>
          <w:u w:val="single"/>
        </w:rPr>
        <w:t>八通道恒电位仪</w:t>
      </w:r>
      <w:r>
        <w:rPr>
          <w:rFonts w:hint="eastAsia" w:asciiTheme="minorEastAsia" w:hAnsiTheme="minorEastAsia" w:eastAsiaTheme="minorEastAsia" w:cstheme="minorEastAsia"/>
          <w:color w:val="auto"/>
          <w:sz w:val="24"/>
          <w:szCs w:val="24"/>
          <w:highlight w:val="none"/>
          <w:u w:val="single"/>
        </w:rPr>
        <w:t>1台</w:t>
      </w:r>
      <w:r>
        <w:rPr>
          <w:rFonts w:hint="eastAsia" w:asciiTheme="minorEastAsia" w:hAnsiTheme="minorEastAsia" w:eastAsiaTheme="minorEastAsia" w:cstheme="minorEastAsia"/>
          <w:color w:val="auto"/>
          <w:sz w:val="24"/>
          <w:szCs w:val="24"/>
          <w:highlight w:val="none"/>
        </w:rPr>
        <w:t>。6、</w:t>
      </w:r>
      <w:r>
        <w:rPr>
          <w:rFonts w:hint="eastAsia" w:ascii="宋体" w:hAnsi="宋体"/>
          <w:color w:val="auto"/>
          <w:sz w:val="24"/>
          <w:szCs w:val="24"/>
          <w:highlight w:val="none"/>
          <w:u w:val="single"/>
        </w:rPr>
        <w:t>细胞光毒性辐照仪1台。</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合同履约期限:详见招标文件</w:t>
      </w:r>
    </w:p>
    <w:p>
      <w:pPr>
        <w:pStyle w:val="48"/>
        <w:spacing w:line="360" w:lineRule="auto"/>
        <w:ind w:firstLine="240" w:firstLineChars="100"/>
        <w:outlineLvl w:val="2"/>
        <w:rPr>
          <w:rFonts w:asciiTheme="majorEastAsia" w:hAnsiTheme="majorEastAsia" w:eastAsiaTheme="majorEastAsia"/>
          <w:color w:val="auto"/>
          <w:sz w:val="24"/>
          <w:szCs w:val="24"/>
          <w:highlight w:val="none"/>
        </w:rPr>
      </w:pPr>
      <w:bookmarkStart w:id="7" w:name="_Toc19770"/>
      <w:r>
        <w:rPr>
          <w:rFonts w:hint="eastAsia" w:asciiTheme="majorEastAsia" w:hAnsiTheme="majorEastAsia" w:eastAsiaTheme="majorEastAsia"/>
          <w:color w:val="auto"/>
          <w:sz w:val="24"/>
          <w:szCs w:val="24"/>
          <w:highlight w:val="none"/>
        </w:rPr>
        <w:t>本项目（是/否）接受联合体投标:否</w:t>
      </w:r>
      <w:bookmarkEnd w:id="7"/>
    </w:p>
    <w:p>
      <w:pPr>
        <w:pStyle w:val="5"/>
        <w:rPr>
          <w:rFonts w:asciiTheme="majorEastAsia" w:hAnsiTheme="majorEastAsia" w:eastAsiaTheme="majorEastAsia"/>
          <w:color w:val="auto"/>
          <w:highlight w:val="none"/>
        </w:rPr>
      </w:pPr>
      <w:bookmarkStart w:id="8" w:name="_Toc15101"/>
      <w:r>
        <w:rPr>
          <w:rFonts w:hint="eastAsia" w:asciiTheme="majorEastAsia" w:hAnsiTheme="majorEastAsia" w:eastAsiaTheme="majorEastAsia"/>
          <w:color w:val="auto"/>
          <w:highlight w:val="none"/>
        </w:rPr>
        <w:t>二、申请人的资格要求</w:t>
      </w:r>
      <w:bookmarkEnd w:id="8"/>
    </w:p>
    <w:p>
      <w:pPr>
        <w:pStyle w:val="48"/>
        <w:spacing w:line="360" w:lineRule="auto"/>
        <w:ind w:firstLine="480" w:firstLineChars="2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1</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满足《中华人民共和国政府采购法》第二十二条规定</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2</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落实政府采购政策需满足的资格要求：</w:t>
      </w:r>
      <w:r>
        <w:rPr>
          <w:rFonts w:hint="eastAsia" w:asciiTheme="majorEastAsia" w:hAnsiTheme="majorEastAsia" w:eastAsiaTheme="majorEastAsia"/>
          <w:color w:val="auto"/>
          <w:sz w:val="24"/>
          <w:szCs w:val="24"/>
          <w:highlight w:val="none"/>
        </w:rPr>
        <w:t>本项目为非专门面向中小企业采购项目</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（1）财政部、国家发展改革委、生态环境部、市场监管总局《关于调整优化节能产品、环境标志产品政府采购执行机制的通知》（财库[2019]9号文）；</w:t>
      </w:r>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（2）财政部、生态环境部《关于印发环境标志产品政府采购品目清单的通知》（财库[2019]18号文）；</w:t>
      </w:r>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（3）财政部、发展改革委《关于印发节能产品政府采购品目清单的通知》（财库[2019]19号文）；</w:t>
      </w:r>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（4）市场监管总局《市场监管总局关于发布参与实施政府采购节能产品、环境标志产品认证机构名录的公告》（2019 年第16号）；</w:t>
      </w:r>
    </w:p>
    <w:p>
      <w:pPr>
        <w:pStyle w:val="48"/>
        <w:spacing w:line="360" w:lineRule="auto"/>
        <w:ind w:firstLine="480" w:firstLineChars="2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5</w:t>
      </w:r>
      <w:r>
        <w:rPr>
          <w:rFonts w:asciiTheme="majorEastAsia" w:hAnsiTheme="majorEastAsia" w:eastAsiaTheme="majorEastAsia"/>
          <w:color w:val="auto"/>
          <w:sz w:val="24"/>
          <w:szCs w:val="24"/>
          <w:highlight w:val="none"/>
        </w:rPr>
        <w:t>）财政部、司法部《关于政府采购支持监狱企业发展有关问题的通知》（财库〔2014〕68号文）；</w:t>
      </w:r>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（6）《财政部民政部中国残疾人联合会关于促进残疾人就业政府采购政策的通知》财库〔2017〕141号；</w:t>
      </w:r>
      <w:bookmarkStart w:id="9" w:name="EBe3290e3ce0a54d37b8231675e6566a87"/>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（7）《政府采购促进中小企业发展管理办法》（财库【</w:t>
      </w:r>
      <w:r>
        <w:rPr>
          <w:rFonts w:asciiTheme="majorEastAsia" w:hAnsiTheme="majorEastAsia" w:eastAsiaTheme="majorEastAsia"/>
          <w:color w:val="auto"/>
          <w:sz w:val="24"/>
          <w:szCs w:val="24"/>
          <w:highlight w:val="none"/>
        </w:rPr>
        <w:t>2020】46号文）、关于转发《政府采购促进中小企业发展管理办法》（兵财库【2021】7号文）、《关于进一步加大政府采购支持中小企业力度的通知》【财库〔2022】19号）</w:t>
      </w:r>
      <w:r>
        <w:rPr>
          <w:rFonts w:hint="eastAsia" w:asciiTheme="majorEastAsia" w:hAnsiTheme="majorEastAsia" w:eastAsiaTheme="majorEastAsia"/>
          <w:color w:val="auto"/>
          <w:sz w:val="24"/>
          <w:szCs w:val="24"/>
          <w:highlight w:val="none"/>
        </w:rPr>
        <w:t>；</w:t>
      </w:r>
    </w:p>
    <w:bookmarkEnd w:id="9"/>
    <w:p>
      <w:pPr>
        <w:pStyle w:val="48"/>
        <w:spacing w:line="360" w:lineRule="auto"/>
        <w:ind w:firstLine="480" w:firstLineChars="200"/>
        <w:outlineLvl w:val="2"/>
        <w:rPr>
          <w:rFonts w:asciiTheme="majorEastAsia" w:hAnsiTheme="majorEastAsia" w:eastAsiaTheme="majorEastAsia"/>
          <w:color w:val="auto"/>
          <w:sz w:val="24"/>
          <w:szCs w:val="24"/>
          <w:highlight w:val="none"/>
        </w:rPr>
      </w:pPr>
      <w:bookmarkStart w:id="10" w:name="_Toc1007"/>
      <w:r>
        <w:rPr>
          <w:rFonts w:asciiTheme="majorEastAsia" w:hAnsiTheme="majorEastAsia" w:eastAsiaTheme="majorEastAsia"/>
          <w:color w:val="auto"/>
          <w:sz w:val="24"/>
          <w:szCs w:val="24"/>
          <w:highlight w:val="none"/>
        </w:rPr>
        <w:t>3.本项目的特定资格要求：</w:t>
      </w:r>
      <w:bookmarkEnd w:id="10"/>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（1）单位负责人为同一人或者存在直接控股、管理关系的不同供应商，不得参加同一合同项下的政府采购活动；</w:t>
      </w:r>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（2）除单一来源采购项目外，为采购项目提供整体设计、规范编制或者项目管理、监理、检测等服务的供应商，不得再参加该采购项目的其他采购活动。</w:t>
      </w:r>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（3）供应商未被列入“信用中国”网站（www.creditchina.gov.cn）和中国政府采购网（www.ccgp.gov.cn）渠道信用记录失信被执行人、税收违法黑名单以及政府采购严重违法失信行为记录名单。</w:t>
      </w:r>
    </w:p>
    <w:p>
      <w:pPr>
        <w:pStyle w:val="5"/>
        <w:rPr>
          <w:rFonts w:asciiTheme="majorEastAsia" w:hAnsiTheme="majorEastAsia" w:eastAsiaTheme="majorEastAsia"/>
          <w:color w:val="auto"/>
          <w:highlight w:val="none"/>
        </w:rPr>
      </w:pPr>
      <w:bookmarkStart w:id="11" w:name="_Toc25875"/>
      <w:r>
        <w:rPr>
          <w:rFonts w:hint="eastAsia" w:asciiTheme="majorEastAsia" w:hAnsiTheme="majorEastAsia" w:eastAsiaTheme="majorEastAsia"/>
          <w:color w:val="auto"/>
          <w:highlight w:val="none"/>
        </w:rPr>
        <w:t>三、获取招标文件</w:t>
      </w:r>
      <w:bookmarkEnd w:id="11"/>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 xml:space="preserve">时间: </w:t>
      </w:r>
      <w:r>
        <w:rPr>
          <w:rFonts w:hint="eastAsia" w:asciiTheme="majorEastAsia" w:hAnsiTheme="majorEastAsia" w:eastAsiaTheme="majorEastAsia"/>
          <w:color w:val="auto"/>
          <w:sz w:val="24"/>
          <w:szCs w:val="24"/>
          <w:highlight w:val="none"/>
        </w:rPr>
        <w:t xml:space="preserve">2023年 </w:t>
      </w:r>
      <w:r>
        <w:rPr>
          <w:rFonts w:asciiTheme="majorEastAsia" w:hAnsiTheme="majorEastAsia" w:eastAsiaTheme="majorEastAsia"/>
          <w:color w:val="auto"/>
          <w:sz w:val="24"/>
          <w:szCs w:val="24"/>
          <w:highlight w:val="none"/>
        </w:rPr>
        <w:t>5</w:t>
      </w:r>
      <w:r>
        <w:rPr>
          <w:rFonts w:hint="eastAsia" w:asciiTheme="majorEastAsia" w:hAnsiTheme="majorEastAsia" w:eastAsiaTheme="majorEastAsia"/>
          <w:color w:val="auto"/>
          <w:sz w:val="24"/>
          <w:szCs w:val="24"/>
          <w:highlight w:val="none"/>
        </w:rPr>
        <w:t>月</w:t>
      </w:r>
      <w:r>
        <w:rPr>
          <w:rFonts w:hint="eastAsia" w:asciiTheme="majorEastAsia" w:hAnsiTheme="majorEastAsia" w:eastAsiaTheme="majorEastAsia"/>
          <w:color w:val="auto"/>
          <w:sz w:val="24"/>
          <w:szCs w:val="24"/>
          <w:highlight w:val="none"/>
          <w:lang w:val="en-US" w:eastAsia="zh-CN"/>
        </w:rPr>
        <w:t>6</w:t>
      </w:r>
      <w:r>
        <w:rPr>
          <w:rFonts w:hint="eastAsia" w:asciiTheme="majorEastAsia" w:hAnsiTheme="majorEastAsia" w:eastAsiaTheme="majorEastAsia"/>
          <w:color w:val="auto"/>
          <w:sz w:val="24"/>
          <w:szCs w:val="24"/>
          <w:highlight w:val="none"/>
        </w:rPr>
        <w:t>日到2023年</w:t>
      </w:r>
      <w:r>
        <w:rPr>
          <w:rFonts w:hint="eastAsia" w:asciiTheme="majorEastAsia" w:hAnsiTheme="majorEastAsia" w:eastAsiaTheme="majorEastAsia"/>
          <w:color w:val="auto"/>
          <w:sz w:val="24"/>
          <w:szCs w:val="24"/>
          <w:highlight w:val="none"/>
          <w:lang w:val="en-US" w:eastAsia="zh-CN"/>
        </w:rPr>
        <w:t>6</w:t>
      </w:r>
      <w:r>
        <w:rPr>
          <w:rFonts w:hint="eastAsia" w:asciiTheme="majorEastAsia" w:hAnsiTheme="majorEastAsia" w:eastAsiaTheme="majorEastAsia"/>
          <w:color w:val="auto"/>
          <w:sz w:val="24"/>
          <w:szCs w:val="24"/>
          <w:highlight w:val="none"/>
        </w:rPr>
        <w:t>月</w:t>
      </w:r>
      <w:r>
        <w:rPr>
          <w:rFonts w:hint="eastAsia" w:asciiTheme="majorEastAsia" w:hAnsiTheme="majorEastAsia" w:eastAsiaTheme="majorEastAsia"/>
          <w:color w:val="auto"/>
          <w:sz w:val="24"/>
          <w:szCs w:val="24"/>
          <w:highlight w:val="none"/>
          <w:lang w:val="en-US" w:eastAsia="zh-CN"/>
        </w:rPr>
        <w:t>5</w:t>
      </w:r>
      <w:r>
        <w:rPr>
          <w:rFonts w:hint="eastAsia" w:asciiTheme="majorEastAsia" w:hAnsiTheme="majorEastAsia" w:eastAsiaTheme="majorEastAsia"/>
          <w:color w:val="auto"/>
          <w:sz w:val="24"/>
          <w:szCs w:val="24"/>
          <w:highlight w:val="none"/>
        </w:rPr>
        <w:t>日</w:t>
      </w:r>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地点：</w:t>
      </w:r>
      <w:r>
        <w:rPr>
          <w:rFonts w:asciiTheme="majorEastAsia" w:hAnsiTheme="majorEastAsia" w:eastAsiaTheme="majorEastAsia"/>
          <w:color w:val="auto"/>
          <w:sz w:val="24"/>
          <w:szCs w:val="24"/>
          <w:highlight w:val="none"/>
        </w:rPr>
        <w:t>政采云平台线上报名及获取采购文件（https://www.zcygov.cn/）</w:t>
      </w:r>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方式：供应商登录政采云平台</w:t>
      </w:r>
      <w:r>
        <w:rPr>
          <w:rFonts w:asciiTheme="majorEastAsia" w:hAnsiTheme="majorEastAsia" w:eastAsiaTheme="majorEastAsia"/>
          <w:color w:val="auto"/>
          <w:sz w:val="24"/>
          <w:szCs w:val="24"/>
          <w:highlight w:val="none"/>
        </w:rPr>
        <w:t>（https://www.zcygov.cn/）</w:t>
      </w:r>
      <w:r>
        <w:rPr>
          <w:rFonts w:hint="eastAsia" w:asciiTheme="majorEastAsia" w:hAnsiTheme="majorEastAsia" w:eastAsiaTheme="majorEastAsia"/>
          <w:color w:val="auto"/>
          <w:sz w:val="24"/>
          <w:szCs w:val="24"/>
          <w:highlight w:val="none"/>
        </w:rPr>
        <w:t>在线申请获取采购文件（进入“项目采购”应用，在获取采购文件菜单中选择项目，申请获取采购文件）。</w:t>
      </w:r>
    </w:p>
    <w:p>
      <w:pPr>
        <w:pStyle w:val="5"/>
        <w:rPr>
          <w:rFonts w:asciiTheme="majorEastAsia" w:hAnsiTheme="majorEastAsia" w:eastAsiaTheme="majorEastAsia"/>
          <w:color w:val="auto"/>
          <w:highlight w:val="none"/>
        </w:rPr>
      </w:pPr>
      <w:bookmarkStart w:id="12" w:name="_Toc30124"/>
      <w:r>
        <w:rPr>
          <w:rFonts w:hint="eastAsia" w:asciiTheme="majorEastAsia" w:hAnsiTheme="majorEastAsia" w:eastAsiaTheme="majorEastAsia"/>
          <w:color w:val="auto"/>
          <w:highlight w:val="none"/>
        </w:rPr>
        <w:t>四、提交投标文件截止时间、开标时间和地点</w:t>
      </w:r>
      <w:bookmarkEnd w:id="12"/>
    </w:p>
    <w:p>
      <w:pPr>
        <w:pStyle w:val="48"/>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1、投标截止时间：</w:t>
      </w:r>
      <w:bookmarkStart w:id="13" w:name="EBb98861794e5c4b3996bfa613a2ea70e4"/>
      <w:r>
        <w:rPr>
          <w:rFonts w:hint="eastAsia" w:asciiTheme="majorEastAsia" w:hAnsiTheme="majorEastAsia" w:eastAsiaTheme="majorEastAsia"/>
          <w:color w:val="auto"/>
          <w:sz w:val="24"/>
          <w:szCs w:val="24"/>
          <w:highlight w:val="none"/>
        </w:rPr>
        <w:t>2023年6月</w:t>
      </w:r>
      <w:r>
        <w:rPr>
          <w:rFonts w:hint="eastAsia" w:asciiTheme="majorEastAsia" w:hAnsiTheme="majorEastAsia" w:eastAsiaTheme="majorEastAsia"/>
          <w:color w:val="auto"/>
          <w:sz w:val="24"/>
          <w:szCs w:val="24"/>
          <w:highlight w:val="none"/>
          <w:lang w:val="en-US" w:eastAsia="zh-CN"/>
        </w:rPr>
        <w:t>6</w:t>
      </w:r>
      <w:r>
        <w:rPr>
          <w:rFonts w:hint="eastAsia" w:asciiTheme="majorEastAsia" w:hAnsiTheme="majorEastAsia" w:eastAsiaTheme="majorEastAsia"/>
          <w:color w:val="auto"/>
          <w:sz w:val="24"/>
          <w:szCs w:val="24"/>
          <w:highlight w:val="none"/>
        </w:rPr>
        <w:t>日11:00</w:t>
      </w:r>
      <w:bookmarkEnd w:id="13"/>
      <w:r>
        <w:rPr>
          <w:rFonts w:hint="eastAsia" w:asciiTheme="majorEastAsia" w:hAnsiTheme="majorEastAsia" w:eastAsiaTheme="majorEastAsia"/>
          <w:color w:val="auto"/>
          <w:sz w:val="24"/>
          <w:szCs w:val="24"/>
          <w:highlight w:val="none"/>
        </w:rPr>
        <w:t>(北京时间)</w:t>
      </w:r>
      <w:r>
        <w:rPr>
          <w:rFonts w:hint="eastAsia" w:asciiTheme="majorEastAsia" w:hAnsiTheme="majorEastAsia" w:eastAsiaTheme="majorEastAsia"/>
          <w:color w:val="auto"/>
          <w:sz w:val="24"/>
          <w:szCs w:val="24"/>
          <w:highlight w:val="none"/>
        </w:rPr>
        <w:t>，供应商应在此之前将加密的投标文件上传至政采云</w:t>
      </w:r>
      <w:r>
        <w:rPr>
          <w:rFonts w:asciiTheme="majorEastAsia" w:hAnsiTheme="majorEastAsia" w:eastAsiaTheme="majorEastAsia"/>
          <w:color w:val="auto"/>
          <w:sz w:val="24"/>
          <w:szCs w:val="24"/>
          <w:highlight w:val="none"/>
        </w:rPr>
        <w:t>（https://www.zcygov.cn/）</w:t>
      </w:r>
      <w:r>
        <w:rPr>
          <w:rFonts w:hint="eastAsia" w:asciiTheme="majorEastAsia" w:hAnsiTheme="majorEastAsia" w:eastAsiaTheme="majorEastAsia"/>
          <w:color w:val="auto"/>
          <w:sz w:val="24"/>
          <w:szCs w:val="24"/>
          <w:highlight w:val="none"/>
        </w:rPr>
        <w:t>（逾期未上传的或不符合规定的投标文件将被拒绝接收）。</w:t>
      </w:r>
    </w:p>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 xml:space="preserve"> 2、开标时间：</w:t>
      </w:r>
      <w:r>
        <w:rPr>
          <w:rFonts w:hint="eastAsia" w:asciiTheme="majorEastAsia" w:hAnsiTheme="majorEastAsia" w:eastAsiaTheme="majorEastAsia"/>
          <w:color w:val="auto"/>
          <w:sz w:val="24"/>
          <w:szCs w:val="24"/>
          <w:highlight w:val="none"/>
        </w:rPr>
        <w:t>2023年</w:t>
      </w:r>
      <w:r>
        <w:rPr>
          <w:rFonts w:asciiTheme="majorEastAsia" w:hAnsiTheme="majorEastAsia" w:eastAsiaTheme="majorEastAsia"/>
          <w:color w:val="auto"/>
          <w:sz w:val="24"/>
          <w:szCs w:val="24"/>
          <w:highlight w:val="none"/>
        </w:rPr>
        <w:t>6</w:t>
      </w:r>
      <w:r>
        <w:rPr>
          <w:rFonts w:hint="eastAsia" w:asciiTheme="majorEastAsia" w:hAnsiTheme="majorEastAsia" w:eastAsiaTheme="majorEastAsia"/>
          <w:color w:val="auto"/>
          <w:sz w:val="24"/>
          <w:szCs w:val="24"/>
          <w:highlight w:val="none"/>
        </w:rPr>
        <w:t>月</w:t>
      </w:r>
      <w:r>
        <w:rPr>
          <w:rFonts w:hint="eastAsia" w:asciiTheme="majorEastAsia" w:hAnsiTheme="majorEastAsia" w:eastAsiaTheme="majorEastAsia"/>
          <w:color w:val="auto"/>
          <w:sz w:val="24"/>
          <w:szCs w:val="24"/>
          <w:highlight w:val="none"/>
          <w:lang w:val="en-US" w:eastAsia="zh-CN"/>
        </w:rPr>
        <w:t>6</w:t>
      </w:r>
      <w:r>
        <w:rPr>
          <w:rFonts w:hint="eastAsia" w:asciiTheme="majorEastAsia" w:hAnsiTheme="majorEastAsia" w:eastAsiaTheme="majorEastAsia"/>
          <w:color w:val="auto"/>
          <w:sz w:val="24"/>
          <w:szCs w:val="24"/>
          <w:highlight w:val="none"/>
        </w:rPr>
        <w:t>日11:00 (北京时间)</w:t>
      </w:r>
    </w:p>
    <w:p>
      <w:pPr>
        <w:pStyle w:val="48"/>
        <w:spacing w:line="360" w:lineRule="auto"/>
        <w:ind w:firstLine="360" w:firstLineChars="15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3、开标地点：新疆乌鲁木齐市天山区光明路</w:t>
      </w:r>
      <w:r>
        <w:rPr>
          <w:rFonts w:asciiTheme="majorEastAsia" w:hAnsiTheme="majorEastAsia" w:eastAsiaTheme="majorEastAsia"/>
          <w:color w:val="auto"/>
          <w:sz w:val="24"/>
          <w:szCs w:val="24"/>
          <w:highlight w:val="none"/>
        </w:rPr>
        <w:t>276号E阳臻品1503室会议室（政采云平台https://www.zcygov.cn/不见面开标大厅）</w:t>
      </w:r>
      <w:r>
        <w:rPr>
          <w:rFonts w:hint="eastAsia" w:asciiTheme="majorEastAsia" w:hAnsiTheme="majorEastAsia" w:eastAsiaTheme="majorEastAsia"/>
          <w:color w:val="auto"/>
          <w:sz w:val="24"/>
          <w:szCs w:val="24"/>
          <w:highlight w:val="none"/>
        </w:rPr>
        <w:t>。</w:t>
      </w:r>
    </w:p>
    <w:p>
      <w:pPr>
        <w:pStyle w:val="48"/>
        <w:spacing w:line="360" w:lineRule="auto"/>
        <w:ind w:firstLine="360" w:firstLineChars="150"/>
        <w:outlineLvl w:val="2"/>
        <w:rPr>
          <w:rFonts w:asciiTheme="majorEastAsia" w:hAnsiTheme="majorEastAsia" w:eastAsiaTheme="majorEastAsia"/>
          <w:color w:val="auto"/>
          <w:sz w:val="24"/>
          <w:szCs w:val="24"/>
          <w:highlight w:val="none"/>
        </w:rPr>
      </w:pPr>
      <w:bookmarkStart w:id="14" w:name="_Toc12292"/>
      <w:r>
        <w:rPr>
          <w:rFonts w:hint="eastAsia" w:asciiTheme="majorEastAsia" w:hAnsiTheme="majorEastAsia" w:eastAsiaTheme="majorEastAsia"/>
          <w:color w:val="auto"/>
          <w:sz w:val="24"/>
          <w:szCs w:val="24"/>
          <w:highlight w:val="none"/>
        </w:rPr>
        <w:t>4、开标方式：不见面开标，供应商不需要到达现场。</w:t>
      </w:r>
      <w:bookmarkEnd w:id="14"/>
    </w:p>
    <w:p>
      <w:pPr>
        <w:pStyle w:val="5"/>
        <w:rPr>
          <w:rFonts w:asciiTheme="majorEastAsia" w:hAnsiTheme="majorEastAsia" w:eastAsiaTheme="majorEastAsia"/>
          <w:color w:val="auto"/>
          <w:highlight w:val="none"/>
        </w:rPr>
      </w:pPr>
      <w:bookmarkStart w:id="15" w:name="_Toc25603"/>
      <w:r>
        <w:rPr>
          <w:rFonts w:hint="eastAsia" w:asciiTheme="majorEastAsia" w:hAnsiTheme="majorEastAsia" w:eastAsiaTheme="majorEastAsia"/>
          <w:color w:val="auto"/>
          <w:highlight w:val="none"/>
        </w:rPr>
        <w:t>五、公告期限 </w:t>
      </w:r>
      <w:bookmarkEnd w:id="15"/>
    </w:p>
    <w:p>
      <w:pPr>
        <w:pStyle w:val="48"/>
        <w:spacing w:line="360" w:lineRule="auto"/>
        <w:ind w:firstLine="480" w:firstLineChars="200"/>
        <w:outlineLvl w:val="2"/>
        <w:rPr>
          <w:rFonts w:asciiTheme="majorEastAsia" w:hAnsiTheme="majorEastAsia" w:eastAsiaTheme="majorEastAsia"/>
          <w:color w:val="auto"/>
          <w:sz w:val="24"/>
          <w:szCs w:val="24"/>
          <w:highlight w:val="none"/>
        </w:rPr>
      </w:pPr>
      <w:bookmarkStart w:id="16" w:name="_Toc107520970"/>
      <w:bookmarkStart w:id="17" w:name="_Toc26786"/>
      <w:bookmarkStart w:id="18" w:name="_Toc107520449"/>
      <w:bookmarkStart w:id="19" w:name="_Toc107369284"/>
      <w:bookmarkStart w:id="20" w:name="_Toc53593347"/>
      <w:bookmarkStart w:id="21" w:name="_Toc256000001"/>
      <w:r>
        <w:rPr>
          <w:rFonts w:asciiTheme="majorEastAsia" w:hAnsiTheme="majorEastAsia" w:eastAsiaTheme="majorEastAsia"/>
          <w:color w:val="auto"/>
          <w:sz w:val="24"/>
          <w:szCs w:val="24"/>
          <w:highlight w:val="none"/>
        </w:rPr>
        <w:t>自本公告发布之日起5个工作日</w:t>
      </w:r>
      <w:bookmarkEnd w:id="16"/>
      <w:bookmarkEnd w:id="17"/>
      <w:bookmarkEnd w:id="18"/>
      <w:bookmarkEnd w:id="19"/>
    </w:p>
    <w:p>
      <w:pPr>
        <w:pStyle w:val="5"/>
        <w:rPr>
          <w:rFonts w:asciiTheme="majorEastAsia" w:hAnsiTheme="majorEastAsia" w:eastAsiaTheme="majorEastAsia"/>
          <w:color w:val="auto"/>
          <w:highlight w:val="none"/>
        </w:rPr>
      </w:pPr>
      <w:bookmarkStart w:id="22" w:name="_Toc107520450"/>
      <w:bookmarkStart w:id="23" w:name="_Toc23522"/>
      <w:bookmarkStart w:id="24" w:name="_Toc107369285"/>
      <w:r>
        <w:rPr>
          <w:rFonts w:hint="eastAsia" w:asciiTheme="majorEastAsia" w:hAnsiTheme="majorEastAsia" w:eastAsiaTheme="majorEastAsia"/>
          <w:color w:val="auto"/>
          <w:highlight w:val="none"/>
        </w:rPr>
        <w:t>六、其他补充事宜</w:t>
      </w:r>
      <w:bookmarkEnd w:id="22"/>
      <w:bookmarkEnd w:id="23"/>
      <w:bookmarkEnd w:id="24"/>
    </w:p>
    <w:p>
      <w:pPr>
        <w:pStyle w:val="48"/>
        <w:spacing w:line="360" w:lineRule="auto"/>
        <w:ind w:firstLine="480" w:firstLineChars="200"/>
        <w:outlineLvl w:val="2"/>
        <w:rPr>
          <w:rFonts w:asciiTheme="majorEastAsia" w:hAnsiTheme="majorEastAsia" w:eastAsiaTheme="majorEastAsia"/>
          <w:color w:val="auto"/>
          <w:sz w:val="24"/>
          <w:szCs w:val="24"/>
          <w:highlight w:val="none"/>
        </w:rPr>
      </w:pPr>
      <w:bookmarkStart w:id="25" w:name="_Toc107520451"/>
      <w:bookmarkStart w:id="26" w:name="_Toc107369286"/>
      <w:bookmarkStart w:id="27" w:name="_Toc107520972"/>
      <w:bookmarkStart w:id="28" w:name="_Toc5629"/>
      <w:r>
        <w:rPr>
          <w:rFonts w:asciiTheme="majorEastAsia" w:hAnsiTheme="majorEastAsia" w:eastAsiaTheme="majorEastAsia"/>
          <w:color w:val="auto"/>
          <w:sz w:val="24"/>
          <w:szCs w:val="24"/>
          <w:highlight w:val="none"/>
        </w:rPr>
        <w:t>1、本项目实行网上投标，采用电子投标文件；</w:t>
      </w:r>
      <w:bookmarkEnd w:id="25"/>
      <w:bookmarkEnd w:id="26"/>
      <w:bookmarkEnd w:id="27"/>
      <w:bookmarkEnd w:id="28"/>
    </w:p>
    <w:p>
      <w:pPr>
        <w:pStyle w:val="48"/>
        <w:spacing w:line="360" w:lineRule="auto"/>
        <w:ind w:firstLine="480" w:firstLineChars="200"/>
        <w:outlineLvl w:val="0"/>
        <w:rPr>
          <w:rFonts w:asciiTheme="majorEastAsia" w:hAnsiTheme="majorEastAsia" w:eastAsiaTheme="majorEastAsia"/>
          <w:color w:val="auto"/>
          <w:sz w:val="24"/>
          <w:szCs w:val="24"/>
          <w:highlight w:val="none"/>
        </w:rPr>
      </w:pPr>
      <w:bookmarkStart w:id="29" w:name="_Toc107520973"/>
      <w:bookmarkStart w:id="30" w:name="_Toc107520452"/>
      <w:bookmarkStart w:id="31" w:name="_Toc9864"/>
      <w:bookmarkStart w:id="32" w:name="_Toc107369287"/>
      <w:r>
        <w:rPr>
          <w:rFonts w:asciiTheme="majorEastAsia" w:hAnsiTheme="majorEastAsia" w:eastAsiaTheme="majorEastAsia"/>
          <w:color w:val="auto"/>
          <w:sz w:val="24"/>
          <w:szCs w:val="24"/>
          <w:highlight w:val="none"/>
        </w:rPr>
        <w:t>2、各供应商应在开标前应确保成为新疆生产建设兵团政府采购网正式注册入库供应商，并完成CA数字证书（符合国密标准）申领。因未注册入库、未办理CA数字证书等原因造成无法投标或投标失败等后果由供应商自行承担。有意向参与兵团区域电子开评标的供应商，可访问新疆数字证书认证中心官方网站（</w:t>
      </w:r>
      <w:r>
        <w:rPr>
          <w:color w:val="auto"/>
          <w:highlight w:val="none"/>
        </w:rPr>
        <w:fldChar w:fldCharType="begin"/>
      </w:r>
      <w:r>
        <w:rPr>
          <w:color w:val="auto"/>
          <w:highlight w:val="none"/>
        </w:rPr>
        <w:instrText xml:space="preserve"> HYPERLINK "https://www.xjca.com.cn/）或下载" </w:instrText>
      </w:r>
      <w:r>
        <w:rPr>
          <w:color w:val="auto"/>
          <w:highlight w:val="none"/>
        </w:rPr>
        <w:fldChar w:fldCharType="separate"/>
      </w:r>
      <w:r>
        <w:rPr>
          <w:rStyle w:val="44"/>
          <w:rFonts w:asciiTheme="majorEastAsia" w:hAnsiTheme="majorEastAsia" w:eastAsiaTheme="majorEastAsia"/>
          <w:color w:val="auto"/>
          <w:sz w:val="24"/>
          <w:szCs w:val="24"/>
          <w:highlight w:val="none"/>
          <w:u w:val="none"/>
        </w:rPr>
        <w:t>https://www.xjca.com.cn/）或下载“新疆政务通”APP自行进行申领。如需咨询，请联系新疆CA服务热线0991-2819290</w:t>
      </w:r>
      <w:r>
        <w:rPr>
          <w:rStyle w:val="44"/>
          <w:rFonts w:asciiTheme="majorEastAsia" w:hAnsiTheme="majorEastAsia" w:eastAsiaTheme="majorEastAsia"/>
          <w:color w:val="auto"/>
          <w:sz w:val="24"/>
          <w:szCs w:val="24"/>
          <w:highlight w:val="none"/>
          <w:u w:val="none"/>
        </w:rPr>
        <w:fldChar w:fldCharType="end"/>
      </w:r>
      <w:r>
        <w:rPr>
          <w:rFonts w:asciiTheme="majorEastAsia" w:hAnsiTheme="majorEastAsia" w:eastAsiaTheme="majorEastAsia"/>
          <w:color w:val="auto"/>
          <w:sz w:val="24"/>
          <w:szCs w:val="24"/>
          <w:highlight w:val="none"/>
        </w:rPr>
        <w:t>；</w:t>
      </w:r>
      <w:bookmarkEnd w:id="29"/>
      <w:bookmarkEnd w:id="30"/>
      <w:bookmarkEnd w:id="31"/>
      <w:bookmarkEnd w:id="32"/>
    </w:p>
    <w:p>
      <w:pPr>
        <w:pStyle w:val="48"/>
        <w:spacing w:line="360" w:lineRule="auto"/>
        <w:ind w:firstLine="480" w:firstLineChars="200"/>
        <w:outlineLvl w:val="0"/>
        <w:rPr>
          <w:rFonts w:asciiTheme="majorEastAsia" w:hAnsiTheme="majorEastAsia" w:eastAsiaTheme="majorEastAsia"/>
          <w:color w:val="auto"/>
          <w:sz w:val="24"/>
          <w:szCs w:val="24"/>
          <w:highlight w:val="none"/>
        </w:rPr>
      </w:pPr>
      <w:bookmarkStart w:id="33" w:name="_Toc107369288"/>
      <w:bookmarkStart w:id="34" w:name="_Toc2307"/>
      <w:bookmarkStart w:id="35" w:name="_Toc107520453"/>
      <w:bookmarkStart w:id="36" w:name="_Toc107520974"/>
      <w:r>
        <w:rPr>
          <w:rFonts w:asciiTheme="majorEastAsia" w:hAnsiTheme="majorEastAsia" w:eastAsiaTheme="majorEastAsia"/>
          <w:color w:val="auto"/>
          <w:sz w:val="24"/>
          <w:szCs w:val="24"/>
          <w:highlight w:val="none"/>
        </w:rPr>
        <w:t>3、供应商将政采云电子交易客户端下载、安装完成后，可通过账号密码或CA登录客户端进行投标文件的制作。在使用政采云投标客户端时，建议使用WIN7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bookmarkEnd w:id="33"/>
      <w:bookmarkEnd w:id="34"/>
      <w:bookmarkEnd w:id="35"/>
      <w:bookmarkEnd w:id="36"/>
    </w:p>
    <w:p>
      <w:pPr>
        <w:pStyle w:val="5"/>
        <w:rPr>
          <w:rFonts w:asciiTheme="majorEastAsia" w:hAnsiTheme="majorEastAsia" w:eastAsiaTheme="majorEastAsia"/>
          <w:color w:val="auto"/>
          <w:highlight w:val="none"/>
        </w:rPr>
      </w:pPr>
      <w:bookmarkStart w:id="37" w:name="_Toc107520975"/>
      <w:bookmarkStart w:id="38" w:name="_Toc107520454"/>
      <w:bookmarkStart w:id="39" w:name="_Toc107369289"/>
      <w:bookmarkStart w:id="40" w:name="_Toc29489"/>
      <w:r>
        <w:rPr>
          <w:rFonts w:hint="eastAsia" w:asciiTheme="majorEastAsia" w:hAnsiTheme="majorEastAsia" w:eastAsiaTheme="majorEastAsia"/>
          <w:color w:val="auto"/>
          <w:highlight w:val="none"/>
        </w:rPr>
        <w:t>七、对本次采购提出询问，请按以下方式联系</w:t>
      </w:r>
      <w:bookmarkEnd w:id="20"/>
      <w:bookmarkEnd w:id="21"/>
      <w:bookmarkEnd w:id="37"/>
      <w:bookmarkEnd w:id="38"/>
      <w:bookmarkEnd w:id="39"/>
      <w:bookmarkEnd w:id="40"/>
    </w:p>
    <w:p>
      <w:pPr>
        <w:pStyle w:val="48"/>
        <w:spacing w:line="360" w:lineRule="auto"/>
        <w:ind w:left="239" w:leftChars="114" w:firstLine="240" w:firstLineChars="100"/>
        <w:outlineLvl w:val="2"/>
        <w:rPr>
          <w:rFonts w:asciiTheme="majorEastAsia" w:hAnsiTheme="majorEastAsia" w:eastAsiaTheme="majorEastAsia"/>
          <w:color w:val="auto"/>
          <w:sz w:val="24"/>
          <w:szCs w:val="24"/>
          <w:highlight w:val="none"/>
        </w:rPr>
      </w:pPr>
      <w:bookmarkStart w:id="41" w:name="_Toc22009"/>
      <w:r>
        <w:rPr>
          <w:rFonts w:asciiTheme="majorEastAsia" w:hAnsiTheme="majorEastAsia" w:eastAsiaTheme="majorEastAsia"/>
          <w:color w:val="auto"/>
          <w:sz w:val="24"/>
          <w:szCs w:val="24"/>
          <w:highlight w:val="none"/>
        </w:rPr>
        <w:t>1</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采购人信息</w:t>
      </w:r>
      <w:bookmarkEnd w:id="41"/>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名称：</w:t>
      </w:r>
      <w:r>
        <w:rPr>
          <w:rFonts w:hint="eastAsia" w:asciiTheme="majorEastAsia" w:hAnsiTheme="majorEastAsia" w:eastAsiaTheme="majorEastAsia"/>
          <w:color w:val="auto"/>
          <w:sz w:val="24"/>
          <w:szCs w:val="24"/>
          <w:highlight w:val="none"/>
        </w:rPr>
        <w:t>石河子大学</w:t>
      </w: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地址：</w:t>
      </w:r>
      <w:r>
        <w:rPr>
          <w:rFonts w:hint="eastAsia" w:asciiTheme="majorEastAsia" w:hAnsiTheme="majorEastAsia" w:eastAsiaTheme="majorEastAsia"/>
          <w:color w:val="auto"/>
          <w:sz w:val="24"/>
          <w:szCs w:val="24"/>
          <w:highlight w:val="none"/>
        </w:rPr>
        <w:t>石河子市北四路2</w:t>
      </w:r>
      <w:r>
        <w:rPr>
          <w:rFonts w:asciiTheme="majorEastAsia" w:hAnsiTheme="majorEastAsia" w:eastAsiaTheme="majorEastAsia"/>
          <w:color w:val="auto"/>
          <w:sz w:val="24"/>
          <w:szCs w:val="24"/>
          <w:highlight w:val="none"/>
        </w:rPr>
        <w:t>21</w:t>
      </w:r>
      <w:r>
        <w:rPr>
          <w:rFonts w:hint="eastAsia" w:asciiTheme="majorEastAsia" w:hAnsiTheme="majorEastAsia" w:eastAsiaTheme="majorEastAsia"/>
          <w:color w:val="auto"/>
          <w:sz w:val="24"/>
          <w:szCs w:val="24"/>
          <w:highlight w:val="none"/>
        </w:rPr>
        <w:t>号</w:t>
      </w: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项目联系人：</w:t>
      </w:r>
      <w:r>
        <w:rPr>
          <w:rFonts w:hint="eastAsia" w:asciiTheme="majorEastAsia" w:hAnsiTheme="majorEastAsia" w:eastAsiaTheme="majorEastAsia"/>
          <w:color w:val="auto"/>
          <w:sz w:val="24"/>
          <w:szCs w:val="24"/>
          <w:highlight w:val="none"/>
        </w:rPr>
        <w:t>汤朝阳</w:t>
      </w: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项目联系方式：</w:t>
      </w:r>
      <w:r>
        <w:rPr>
          <w:rFonts w:hint="eastAsia" w:asciiTheme="majorEastAsia" w:hAnsiTheme="majorEastAsia" w:eastAsiaTheme="majorEastAsia"/>
          <w:color w:val="auto"/>
          <w:sz w:val="24"/>
          <w:szCs w:val="24"/>
          <w:highlight w:val="none"/>
        </w:rPr>
        <w:t>0993-2058967</w:t>
      </w:r>
    </w:p>
    <w:p>
      <w:pPr>
        <w:pStyle w:val="48"/>
        <w:spacing w:line="360" w:lineRule="auto"/>
        <w:ind w:firstLine="480" w:firstLineChars="200"/>
        <w:rPr>
          <w:rFonts w:asciiTheme="majorEastAsia" w:hAnsiTheme="majorEastAsia" w:eastAsiaTheme="majorEastAsia"/>
          <w:color w:val="auto"/>
          <w:sz w:val="24"/>
          <w:szCs w:val="24"/>
          <w:highlight w:val="none"/>
        </w:rPr>
      </w:pPr>
    </w:p>
    <w:p>
      <w:pPr>
        <w:pStyle w:val="48"/>
        <w:spacing w:line="360" w:lineRule="auto"/>
        <w:ind w:firstLine="480" w:firstLineChars="200"/>
        <w:outlineLvl w:val="2"/>
        <w:rPr>
          <w:rFonts w:asciiTheme="majorEastAsia" w:hAnsiTheme="majorEastAsia" w:eastAsiaTheme="majorEastAsia"/>
          <w:color w:val="auto"/>
          <w:sz w:val="24"/>
          <w:szCs w:val="24"/>
          <w:highlight w:val="none"/>
        </w:rPr>
      </w:pPr>
      <w:bookmarkStart w:id="42" w:name="_Toc1823"/>
      <w:r>
        <w:rPr>
          <w:rFonts w:hint="eastAsia" w:asciiTheme="majorEastAsia" w:hAnsiTheme="majorEastAsia" w:eastAsiaTheme="majorEastAsia"/>
          <w:color w:val="auto"/>
          <w:sz w:val="24"/>
          <w:szCs w:val="24"/>
          <w:highlight w:val="none"/>
        </w:rPr>
        <w:t>2、采购代理机构信息</w:t>
      </w:r>
      <w:bookmarkEnd w:id="42"/>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名称：新疆经纬招标有限责任公司</w:t>
      </w: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地址：</w:t>
      </w:r>
      <w:r>
        <w:rPr>
          <w:rFonts w:hint="eastAsia" w:asciiTheme="majorEastAsia" w:hAnsiTheme="majorEastAsia" w:eastAsiaTheme="majorEastAsia"/>
          <w:color w:val="auto"/>
          <w:sz w:val="24"/>
          <w:szCs w:val="24"/>
          <w:highlight w:val="none"/>
        </w:rPr>
        <w:t>乌鲁木齐市天山区光明路</w:t>
      </w:r>
      <w:r>
        <w:rPr>
          <w:rFonts w:asciiTheme="majorEastAsia" w:hAnsiTheme="majorEastAsia" w:eastAsiaTheme="majorEastAsia"/>
          <w:color w:val="auto"/>
          <w:sz w:val="24"/>
          <w:szCs w:val="24"/>
          <w:highlight w:val="none"/>
        </w:rPr>
        <w:t>276号E阳臻品15层1503室</w:t>
      </w: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项目联系人：</w:t>
      </w:r>
      <w:r>
        <w:rPr>
          <w:rFonts w:hint="eastAsia" w:asciiTheme="majorEastAsia" w:hAnsiTheme="majorEastAsia" w:eastAsiaTheme="majorEastAsia"/>
          <w:color w:val="auto"/>
          <w:sz w:val="24"/>
          <w:szCs w:val="24"/>
          <w:highlight w:val="none"/>
        </w:rPr>
        <w:t>王文生</w:t>
      </w: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项目联系方式：</w:t>
      </w:r>
      <w:r>
        <w:rPr>
          <w:rFonts w:hint="eastAsia" w:asciiTheme="majorEastAsia" w:hAnsiTheme="majorEastAsia" w:eastAsiaTheme="majorEastAsia"/>
          <w:color w:val="auto"/>
          <w:sz w:val="24"/>
          <w:szCs w:val="24"/>
          <w:highlight w:val="none"/>
        </w:rPr>
        <w:t>15899172096</w:t>
      </w: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p>
      <w:pPr>
        <w:pStyle w:val="48"/>
        <w:spacing w:line="360" w:lineRule="auto"/>
        <w:ind w:left="239" w:leftChars="114" w:firstLine="240" w:firstLineChars="100"/>
        <w:rPr>
          <w:rFonts w:asciiTheme="majorEastAsia" w:hAnsiTheme="majorEastAsia" w:eastAsiaTheme="majorEastAsia"/>
          <w:color w:val="auto"/>
          <w:sz w:val="24"/>
          <w:szCs w:val="24"/>
          <w:highlight w:val="none"/>
        </w:rPr>
      </w:pPr>
    </w:p>
    <w:bookmarkEnd w:id="4"/>
    <w:p>
      <w:pPr>
        <w:pStyle w:val="36"/>
        <w:rPr>
          <w:rFonts w:asciiTheme="majorEastAsia" w:hAnsiTheme="majorEastAsia" w:eastAsiaTheme="majorEastAsia"/>
          <w:color w:val="auto"/>
          <w:highlight w:val="none"/>
        </w:rPr>
      </w:pPr>
      <w:bookmarkStart w:id="43" w:name="_Toc503463617"/>
      <w:bookmarkStart w:id="44" w:name="_Toc28386"/>
      <w:r>
        <w:rPr>
          <w:rFonts w:hint="eastAsia" w:asciiTheme="majorEastAsia" w:hAnsiTheme="majorEastAsia" w:eastAsiaTheme="majorEastAsia"/>
          <w:color w:val="auto"/>
          <w:highlight w:val="none"/>
        </w:rPr>
        <w:t>第二部分 投标人须知</w:t>
      </w:r>
      <w:bookmarkEnd w:id="43"/>
      <w:bookmarkEnd w:id="44"/>
    </w:p>
    <w:p>
      <w:pPr>
        <w:pStyle w:val="5"/>
        <w:rPr>
          <w:rFonts w:asciiTheme="majorEastAsia" w:hAnsiTheme="majorEastAsia" w:eastAsiaTheme="majorEastAsia"/>
          <w:color w:val="auto"/>
          <w:kern w:val="2"/>
          <w:highlight w:val="none"/>
        </w:rPr>
      </w:pPr>
      <w:bookmarkStart w:id="45" w:name="EB30be2cd937ea416b86595e1f810ebc36"/>
      <w:bookmarkEnd w:id="45"/>
      <w:bookmarkStart w:id="46" w:name="EBffab4e229c294506b82ba390aef19cb7"/>
      <w:bookmarkEnd w:id="46"/>
      <w:bookmarkStart w:id="47" w:name="_Toc28391"/>
      <w:bookmarkStart w:id="48" w:name="_Toc256000032"/>
      <w:bookmarkStart w:id="49" w:name="_Toc107520456"/>
      <w:bookmarkStart w:id="50" w:name="_Toc519111258"/>
      <w:bookmarkStart w:id="51" w:name="EBa8d2f72bef714875b4f7f1dcbc2ec5b5"/>
      <w:r>
        <w:rPr>
          <w:rFonts w:hint="eastAsia" w:asciiTheme="majorEastAsia" w:hAnsiTheme="majorEastAsia" w:eastAsiaTheme="majorEastAsia"/>
          <w:color w:val="auto"/>
          <w:kern w:val="2"/>
          <w:highlight w:val="none"/>
        </w:rPr>
        <w:t>投标人须知前附表</w:t>
      </w:r>
      <w:bookmarkEnd w:id="47"/>
      <w:bookmarkEnd w:id="48"/>
      <w:bookmarkEnd w:id="49"/>
      <w:bookmarkEnd w:id="50"/>
    </w:p>
    <w:tbl>
      <w:tblPr>
        <w:tblStyle w:val="3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09"/>
        <w:gridCol w:w="1055"/>
        <w:gridCol w:w="5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序号</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内容</w:t>
            </w:r>
          </w:p>
        </w:tc>
        <w:tc>
          <w:tcPr>
            <w:tcW w:w="5390" w:type="dxa"/>
            <w:vAlign w:val="center"/>
          </w:tcPr>
          <w:p>
            <w:pPr>
              <w:pStyle w:val="52"/>
              <w:adjustRightInd w:val="0"/>
              <w:spacing w:line="400" w:lineRule="exact"/>
              <w:jc w:val="center"/>
              <w:textAlignment w:val="baseline"/>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w:t>
            </w:r>
          </w:p>
        </w:tc>
        <w:tc>
          <w:tcPr>
            <w:tcW w:w="2664" w:type="dxa"/>
            <w:gridSpan w:val="2"/>
            <w:vAlign w:val="center"/>
          </w:tcPr>
          <w:p>
            <w:pPr>
              <w:pStyle w:val="52"/>
              <w:adjustRightInd w:val="0"/>
              <w:spacing w:line="400" w:lineRule="exact"/>
              <w:jc w:val="center"/>
              <w:textAlignment w:val="baseline"/>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项目名称</w:t>
            </w:r>
          </w:p>
        </w:tc>
        <w:tc>
          <w:tcPr>
            <w:tcW w:w="5390" w:type="dxa"/>
            <w:vAlign w:val="center"/>
          </w:tcPr>
          <w:p>
            <w:pPr>
              <w:pStyle w:val="48"/>
              <w:spacing w:line="360" w:lineRule="auto"/>
              <w:ind w:firstLine="240" w:firstLineChars="1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石河子大学2023年度“中央支持地方高校改革发展资金”一流学科、部省合建项目：薄层色谱成像仪等设备采购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w:t>
            </w:r>
          </w:p>
        </w:tc>
        <w:tc>
          <w:tcPr>
            <w:tcW w:w="2664" w:type="dxa"/>
            <w:gridSpan w:val="2"/>
            <w:vAlign w:val="center"/>
          </w:tcPr>
          <w:p>
            <w:pPr>
              <w:pStyle w:val="52"/>
              <w:adjustRightInd w:val="0"/>
              <w:spacing w:line="400" w:lineRule="exact"/>
              <w:jc w:val="center"/>
              <w:textAlignment w:val="baseline"/>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采购人</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名称：</w:t>
            </w:r>
            <w:bookmarkStart w:id="52" w:name="EBb6ad2cf3d0204425ac8183b4daa0b826"/>
            <w:r>
              <w:rPr>
                <w:rFonts w:hint="eastAsia" w:asciiTheme="majorEastAsia" w:hAnsiTheme="majorEastAsia" w:eastAsiaTheme="majorEastAsia"/>
                <w:color w:val="auto"/>
                <w:kern w:val="2"/>
                <w:sz w:val="24"/>
                <w:szCs w:val="24"/>
                <w:highlight w:val="none"/>
              </w:rPr>
              <w:t>石河子大学</w:t>
            </w:r>
            <w:bookmarkEnd w:id="52"/>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地址：</w:t>
            </w:r>
            <w:bookmarkStart w:id="53" w:name="EBb50dba763ba049ce955d277a99e63990"/>
            <w:r>
              <w:rPr>
                <w:rFonts w:hint="eastAsia" w:asciiTheme="majorEastAsia" w:hAnsiTheme="majorEastAsia" w:eastAsiaTheme="majorEastAsia"/>
                <w:color w:val="auto"/>
                <w:kern w:val="2"/>
                <w:sz w:val="24"/>
                <w:szCs w:val="24"/>
                <w:highlight w:val="none"/>
              </w:rPr>
              <w:t>石河子市北四路</w:t>
            </w:r>
            <w:bookmarkEnd w:id="53"/>
            <w:r>
              <w:rPr>
                <w:rFonts w:hint="eastAsia" w:asciiTheme="majorEastAsia" w:hAnsiTheme="majorEastAsia" w:eastAsiaTheme="majorEastAsia"/>
                <w:color w:val="auto"/>
                <w:kern w:val="2"/>
                <w:sz w:val="24"/>
                <w:szCs w:val="24"/>
                <w:highlight w:val="none"/>
              </w:rPr>
              <w:t>2</w:t>
            </w:r>
            <w:r>
              <w:rPr>
                <w:rFonts w:asciiTheme="majorEastAsia" w:hAnsiTheme="majorEastAsia" w:eastAsiaTheme="majorEastAsia"/>
                <w:color w:val="auto"/>
                <w:kern w:val="2"/>
                <w:sz w:val="24"/>
                <w:szCs w:val="24"/>
                <w:highlight w:val="none"/>
              </w:rPr>
              <w:t>21</w:t>
            </w:r>
            <w:r>
              <w:rPr>
                <w:rFonts w:hint="eastAsia" w:asciiTheme="majorEastAsia" w:hAnsiTheme="majorEastAsia" w:eastAsiaTheme="majorEastAsia"/>
                <w:color w:val="auto"/>
                <w:kern w:val="2"/>
                <w:sz w:val="24"/>
                <w:szCs w:val="24"/>
                <w:highlight w:val="none"/>
              </w:rPr>
              <w:t>号</w:t>
            </w:r>
          </w:p>
          <w:p>
            <w:pPr>
              <w:pStyle w:val="52"/>
              <w:spacing w:line="400" w:lineRule="exact"/>
              <w:rPr>
                <w:rFonts w:asciiTheme="majorEastAsia" w:hAnsiTheme="majorEastAsia" w:eastAsiaTheme="majorEastAsia"/>
                <w:color w:val="auto"/>
                <w:kern w:val="2"/>
                <w:sz w:val="24"/>
                <w:szCs w:val="24"/>
                <w:highlight w:val="none"/>
                <w:u w:val="single"/>
              </w:rPr>
            </w:pPr>
            <w:r>
              <w:rPr>
                <w:rFonts w:hint="eastAsia" w:asciiTheme="majorEastAsia" w:hAnsiTheme="majorEastAsia" w:eastAsiaTheme="majorEastAsia"/>
                <w:color w:val="auto"/>
                <w:kern w:val="2"/>
                <w:sz w:val="24"/>
                <w:szCs w:val="24"/>
                <w:highlight w:val="none"/>
              </w:rPr>
              <w:t>联系人：汤朝阳</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联系电话：</w:t>
            </w:r>
            <w:bookmarkStart w:id="54" w:name="EBb02062c7f213427390e93f40bb6fd07d"/>
            <w:r>
              <w:rPr>
                <w:rFonts w:hint="eastAsia" w:asciiTheme="majorEastAsia" w:hAnsiTheme="majorEastAsia" w:eastAsiaTheme="majorEastAsia"/>
                <w:color w:val="auto"/>
                <w:kern w:val="2"/>
                <w:sz w:val="24"/>
                <w:szCs w:val="24"/>
                <w:highlight w:val="none"/>
              </w:rPr>
              <w:t>0993-2058967</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采购代理</w:t>
            </w:r>
            <w:r>
              <w:rPr>
                <w:rFonts w:asciiTheme="majorEastAsia" w:hAnsiTheme="majorEastAsia" w:eastAsiaTheme="majorEastAsia"/>
                <w:b/>
                <w:color w:val="auto"/>
                <w:sz w:val="24"/>
                <w:szCs w:val="24"/>
                <w:highlight w:val="none"/>
              </w:rPr>
              <w:t>机构</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名称：新疆经纬招标有限责任公司</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地址：乌鲁木齐市天山区光明路</w:t>
            </w:r>
            <w:r>
              <w:rPr>
                <w:rFonts w:asciiTheme="majorEastAsia" w:hAnsiTheme="majorEastAsia" w:eastAsiaTheme="majorEastAsia"/>
                <w:color w:val="auto"/>
                <w:kern w:val="2"/>
                <w:sz w:val="24"/>
                <w:szCs w:val="24"/>
                <w:highlight w:val="none"/>
              </w:rPr>
              <w:t>276号E阳臻品15层1503室</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联系人：王文生</w:t>
            </w:r>
          </w:p>
          <w:p>
            <w:pPr>
              <w:pStyle w:val="52"/>
              <w:widowControl/>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联系电话：15899172096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4</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cs="宋体" w:asciiTheme="majorEastAsia" w:hAnsiTheme="majorEastAsia" w:eastAsiaTheme="majorEastAsia"/>
                <w:color w:val="auto"/>
                <w:szCs w:val="21"/>
                <w:highlight w:val="none"/>
              </w:rPr>
              <w:t>★</w:t>
            </w:r>
            <w:r>
              <w:rPr>
                <w:rFonts w:hint="eastAsia" w:asciiTheme="majorEastAsia" w:hAnsiTheme="majorEastAsia" w:eastAsiaTheme="majorEastAsia"/>
                <w:b/>
                <w:color w:val="auto"/>
                <w:sz w:val="24"/>
                <w:szCs w:val="24"/>
                <w:highlight w:val="none"/>
              </w:rPr>
              <w:t>采购内容</w:t>
            </w:r>
          </w:p>
        </w:tc>
        <w:tc>
          <w:tcPr>
            <w:tcW w:w="5390" w:type="dxa"/>
            <w:vAlign w:val="center"/>
          </w:tcPr>
          <w:p>
            <w:pPr>
              <w:pStyle w:val="52"/>
              <w:widowControl/>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详见招标文件第三部分采购需求；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5</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b/>
                <w:color w:val="auto"/>
                <w:sz w:val="24"/>
                <w:szCs w:val="24"/>
                <w:highlight w:val="none"/>
              </w:rPr>
              <w:t>投标人资格要求</w:t>
            </w:r>
          </w:p>
        </w:tc>
        <w:tc>
          <w:tcPr>
            <w:tcW w:w="5390" w:type="dxa"/>
            <w:vAlign w:val="center"/>
          </w:tcPr>
          <w:p>
            <w:pPr>
              <w:pStyle w:val="52"/>
              <w:widowControl/>
              <w:spacing w:line="400" w:lineRule="exact"/>
              <w:rPr>
                <w:rFonts w:asciiTheme="majorEastAsia" w:hAnsiTheme="majorEastAsia" w:eastAsiaTheme="majorEastAsia"/>
                <w:color w:val="auto"/>
                <w:kern w:val="2"/>
                <w:sz w:val="24"/>
                <w:szCs w:val="24"/>
                <w:highlight w:val="none"/>
              </w:rPr>
            </w:pPr>
            <w:bookmarkStart w:id="55" w:name="EB7907836f74a6455bb75d2ff8b438afad"/>
            <w:r>
              <w:rPr>
                <w:rFonts w:hint="eastAsia" w:asciiTheme="majorEastAsia" w:hAnsiTheme="majorEastAsia" w:eastAsiaTheme="majorEastAsia"/>
                <w:color w:val="auto"/>
                <w:kern w:val="2"/>
                <w:sz w:val="24"/>
                <w:szCs w:val="24"/>
                <w:highlight w:val="none"/>
              </w:rPr>
              <w:t>（1）供应商应符合《中华人民共和国政府采购法》第二十二条规定；</w:t>
            </w:r>
          </w:p>
          <w:bookmarkEnd w:id="55"/>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w:t>
            </w:r>
            <w:r>
              <w:rPr>
                <w:rFonts w:asciiTheme="majorEastAsia" w:hAnsiTheme="majorEastAsia" w:eastAsiaTheme="majorEastAsia"/>
                <w:color w:val="auto"/>
                <w:kern w:val="2"/>
                <w:sz w:val="24"/>
                <w:szCs w:val="24"/>
                <w:highlight w:val="none"/>
              </w:rPr>
              <w:t>）单位负责人为同一人或者存在直接控股、管理关系的不同供应商，不得参加同一合同项下的政府采购活动；</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w:t>
            </w:r>
            <w:r>
              <w:rPr>
                <w:rFonts w:asciiTheme="majorEastAsia" w:hAnsiTheme="majorEastAsia" w:eastAsiaTheme="majorEastAsia"/>
                <w:color w:val="auto"/>
                <w:kern w:val="2"/>
                <w:sz w:val="24"/>
                <w:szCs w:val="24"/>
                <w:highlight w:val="none"/>
              </w:rPr>
              <w:t>）除单一来源采购项目外，为采购项目提供整体设计、规范编制或者项目管理、监理、检测等服务的供应商，不得再参加该采购项目的其他采购活动。</w:t>
            </w:r>
          </w:p>
          <w:p>
            <w:pPr>
              <w:pStyle w:val="52"/>
              <w:spacing w:line="400" w:lineRule="exact"/>
              <w:rPr>
                <w:rFonts w:asciiTheme="majorEastAsia" w:hAnsiTheme="majorEastAsia" w:eastAsiaTheme="majorEastAsia"/>
                <w:color w:val="auto"/>
                <w:sz w:val="24"/>
                <w:szCs w:val="24"/>
                <w:highlight w:val="none"/>
                <w:lang w:val="zh-TW"/>
              </w:rPr>
            </w:pPr>
            <w:r>
              <w:rPr>
                <w:rFonts w:hint="eastAsia" w:asciiTheme="majorEastAsia" w:hAnsiTheme="majorEastAsia" w:eastAsiaTheme="majorEastAsia"/>
                <w:color w:val="auto"/>
                <w:kern w:val="2"/>
                <w:sz w:val="24"/>
                <w:szCs w:val="24"/>
                <w:highlight w:val="none"/>
              </w:rPr>
              <w:t>（4</w:t>
            </w:r>
            <w:r>
              <w:rPr>
                <w:rFonts w:asciiTheme="majorEastAsia" w:hAnsiTheme="majorEastAsia" w:eastAsiaTheme="majorEastAsia"/>
                <w:color w:val="auto"/>
                <w:kern w:val="2"/>
                <w:sz w:val="24"/>
                <w:szCs w:val="24"/>
                <w:highlight w:val="none"/>
              </w:rPr>
              <w:t>）供应商未被列入“信用中国”网站（www.creditchina.gov.cn）和中国政府采购网（www.ccgp.gov.cn）渠道信用记录失信被执行人、税收违法黑名单以及政府采购严重违法失信行为记录名单。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6</w:t>
            </w:r>
          </w:p>
        </w:tc>
        <w:tc>
          <w:tcPr>
            <w:tcW w:w="1609" w:type="dxa"/>
            <w:vMerge w:val="restart"/>
            <w:vAlign w:val="center"/>
          </w:tcPr>
          <w:p>
            <w:pPr>
              <w:pStyle w:val="52"/>
              <w:spacing w:line="400" w:lineRule="exact"/>
              <w:jc w:val="center"/>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b/>
                <w:color w:val="auto"/>
                <w:sz w:val="24"/>
                <w:szCs w:val="24"/>
                <w:highlight w:val="none"/>
              </w:rPr>
              <w:t>投标文件的组成部分</w:t>
            </w:r>
          </w:p>
        </w:tc>
        <w:tc>
          <w:tcPr>
            <w:tcW w:w="105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封面</w:t>
            </w:r>
          </w:p>
        </w:tc>
        <w:tc>
          <w:tcPr>
            <w:tcW w:w="5390" w:type="dxa"/>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(1)投标文件封面；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1609"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105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资格审查材料</w:t>
            </w:r>
          </w:p>
        </w:tc>
        <w:tc>
          <w:tcPr>
            <w:tcW w:w="5390" w:type="dxa"/>
            <w:vAlign w:val="center"/>
          </w:tcPr>
          <w:p>
            <w:pPr>
              <w:pStyle w:val="53"/>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kern w:val="2"/>
                <w:sz w:val="24"/>
                <w:szCs w:val="24"/>
                <w:highlight w:val="none"/>
              </w:rPr>
              <w:t>营业执照（自然人提供身份证明文件、事业单位提供事业单位法人证书）；</w:t>
            </w:r>
          </w:p>
          <w:p>
            <w:pPr>
              <w:pStyle w:val="53"/>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备注：自然人无需提供</w:t>
            </w:r>
          </w:p>
          <w:p>
            <w:pPr>
              <w:pStyle w:val="53"/>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kern w:val="2"/>
                <w:sz w:val="24"/>
                <w:szCs w:val="24"/>
                <w:highlight w:val="none"/>
              </w:rPr>
              <w:t>法定代表人身份证明及授权委托书（法人组织提供授权委托书、其他组织提供负责人授权书、自然人提供身份证明文件）；</w:t>
            </w:r>
          </w:p>
          <w:p>
            <w:pPr>
              <w:pStyle w:val="53"/>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备注：自然人提供身份证</w:t>
            </w:r>
          </w:p>
          <w:p>
            <w:pPr>
              <w:pStyle w:val="53"/>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(4)</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kern w:val="2"/>
                <w:sz w:val="24"/>
                <w:szCs w:val="24"/>
                <w:highlight w:val="none"/>
              </w:rPr>
              <w:t>投标保证金</w:t>
            </w:r>
            <w:r>
              <w:rPr>
                <w:rFonts w:asciiTheme="majorEastAsia" w:hAnsiTheme="majorEastAsia" w:eastAsiaTheme="majorEastAsia"/>
                <w:color w:val="auto"/>
                <w:kern w:val="2"/>
                <w:sz w:val="24"/>
                <w:szCs w:val="24"/>
                <w:highlight w:val="none"/>
              </w:rPr>
              <w:t>(提供递交保证金的凭证或投标保证金收据）</w:t>
            </w:r>
            <w:r>
              <w:rPr>
                <w:rFonts w:hint="eastAsia" w:asciiTheme="majorEastAsia" w:hAnsiTheme="majorEastAsia" w:eastAsiaTheme="majorEastAsia"/>
                <w:color w:val="auto"/>
                <w:kern w:val="2"/>
                <w:sz w:val="24"/>
                <w:szCs w:val="24"/>
                <w:highlight w:val="none"/>
              </w:rPr>
              <w:t>；</w:t>
            </w:r>
          </w:p>
          <w:p>
            <w:pPr>
              <w:pStyle w:val="53"/>
              <w:spacing w:line="400" w:lineRule="exact"/>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color w:val="auto"/>
                <w:kern w:val="2"/>
                <w:sz w:val="24"/>
                <w:szCs w:val="24"/>
                <w:highlight w:val="none"/>
              </w:rPr>
              <w:t>(5)中、小企业声明函（中小企业，是指在中华人民共和国境内依法设立，依据国务院批准的中小企业划分标准确定的中型企业、小型企业和微型企业，但与大企业的负责人为同一人，或者与大企业存在直接控股、管理关系的除外。</w:t>
            </w:r>
            <w:r>
              <w:rPr>
                <w:rFonts w:asciiTheme="majorEastAsia" w:hAnsiTheme="majorEastAsia" w:eastAsiaTheme="majorEastAsia"/>
                <w:color w:val="auto"/>
                <w:kern w:val="2"/>
                <w:sz w:val="24"/>
                <w:szCs w:val="24"/>
                <w:highlight w:val="none"/>
              </w:rPr>
              <w:t>符合中小企业划分标准的个体工商户，在政府采购活动中视同中小企业。）（若供应商为监狱企业、残疾人福利企业，提供相应证明材料后享受中小企业同等政策。）</w:t>
            </w:r>
            <w:r>
              <w:rPr>
                <w:rFonts w:hint="eastAsia" w:asciiTheme="majorEastAsia" w:hAnsiTheme="majorEastAsia" w:eastAsiaTheme="majorEastAsia"/>
                <w:color w:val="auto"/>
                <w:kern w:val="2"/>
                <w:sz w:val="24"/>
                <w:szCs w:val="24"/>
                <w:highlight w:val="none"/>
              </w:rPr>
              <w:t>；</w:t>
            </w:r>
          </w:p>
          <w:p>
            <w:pPr>
              <w:pStyle w:val="53"/>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(6) 供应商认为有必要提供的声明及文件资料：</w:t>
            </w:r>
          </w:p>
          <w:p>
            <w:pPr>
              <w:pStyle w:val="53"/>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(7)</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kern w:val="2"/>
                <w:sz w:val="24"/>
                <w:szCs w:val="24"/>
                <w:highlight w:val="none"/>
              </w:rPr>
              <w:t>《中华人民共和国政府采购法》第二十二条应当具备的条件；并在投标文件中提供下列材料：</w:t>
            </w:r>
          </w:p>
          <w:p>
            <w:pPr>
              <w:pStyle w:val="53"/>
              <w:spacing w:line="400" w:lineRule="exact"/>
              <w:outlineLvl w:val="2"/>
              <w:rPr>
                <w:rFonts w:asciiTheme="majorEastAsia" w:hAnsiTheme="majorEastAsia" w:eastAsiaTheme="majorEastAsia"/>
                <w:b/>
                <w:bCs/>
                <w:color w:val="auto"/>
                <w:kern w:val="2"/>
                <w:sz w:val="24"/>
                <w:szCs w:val="24"/>
                <w:highlight w:val="none"/>
              </w:rPr>
            </w:pPr>
            <w:bookmarkStart w:id="56" w:name="_Toc256000015"/>
            <w:bookmarkStart w:id="57" w:name="_Toc256000036"/>
            <w:bookmarkStart w:id="58" w:name="_Toc256000003"/>
            <w:bookmarkStart w:id="59" w:name="_Toc107520978"/>
            <w:bookmarkStart w:id="60" w:name="_Toc256000007"/>
            <w:bookmarkStart w:id="61" w:name="_Toc107520457"/>
            <w:bookmarkStart w:id="62" w:name="_Toc3610"/>
            <w:bookmarkStart w:id="63" w:name="_Toc256000002"/>
            <w:bookmarkStart w:id="64" w:name="_Toc107369292"/>
            <w:r>
              <w:rPr>
                <w:rFonts w:hint="eastAsia" w:asciiTheme="majorEastAsia" w:hAnsiTheme="majorEastAsia" w:eastAsiaTheme="majorEastAsia"/>
                <w:b/>
                <w:bCs/>
                <w:color w:val="auto"/>
                <w:kern w:val="2"/>
                <w:sz w:val="24"/>
                <w:szCs w:val="24"/>
                <w:highlight w:val="none"/>
              </w:rPr>
              <w:t>①具有独立承担民事责任的能力；</w:t>
            </w:r>
            <w:bookmarkEnd w:id="56"/>
            <w:bookmarkEnd w:id="57"/>
            <w:bookmarkEnd w:id="58"/>
            <w:bookmarkEnd w:id="59"/>
            <w:bookmarkEnd w:id="60"/>
            <w:bookmarkEnd w:id="61"/>
            <w:bookmarkEnd w:id="62"/>
            <w:bookmarkEnd w:id="63"/>
            <w:bookmarkEnd w:id="64"/>
          </w:p>
          <w:p>
            <w:pPr>
              <w:pStyle w:val="53"/>
              <w:spacing w:line="400" w:lineRule="exact"/>
              <w:outlineLvl w:val="2"/>
              <w:rPr>
                <w:rFonts w:asciiTheme="majorEastAsia" w:hAnsiTheme="majorEastAsia" w:eastAsiaTheme="majorEastAsia"/>
                <w:color w:val="auto"/>
                <w:kern w:val="2"/>
                <w:sz w:val="24"/>
                <w:szCs w:val="24"/>
                <w:highlight w:val="none"/>
              </w:rPr>
            </w:pPr>
            <w:bookmarkStart w:id="65" w:name="_Toc256000004"/>
            <w:bookmarkStart w:id="66" w:name="_Toc256000037"/>
            <w:bookmarkStart w:id="67" w:name="_Toc107520458"/>
            <w:bookmarkStart w:id="68" w:name="_Toc256000017"/>
            <w:bookmarkStart w:id="69" w:name="_Toc256000023"/>
            <w:bookmarkStart w:id="70" w:name="_Toc107369293"/>
            <w:bookmarkStart w:id="71" w:name="_Toc107520979"/>
            <w:bookmarkStart w:id="72" w:name="_Toc256000009"/>
            <w:bookmarkStart w:id="73" w:name="_Toc17197"/>
            <w:r>
              <w:rPr>
                <w:rFonts w:hint="eastAsia" w:asciiTheme="majorEastAsia" w:hAnsiTheme="majorEastAsia" w:eastAsiaTheme="majorEastAsia"/>
                <w:color w:val="auto"/>
                <w:kern w:val="2"/>
                <w:sz w:val="24"/>
                <w:szCs w:val="24"/>
                <w:highlight w:val="none"/>
              </w:rPr>
              <w:t>（法人或者其他组织的营业执照等证明文件，自然人的身份证明）</w:t>
            </w:r>
            <w:bookmarkEnd w:id="65"/>
            <w:bookmarkEnd w:id="66"/>
            <w:bookmarkEnd w:id="67"/>
            <w:bookmarkEnd w:id="68"/>
            <w:bookmarkEnd w:id="69"/>
            <w:bookmarkEnd w:id="70"/>
            <w:bookmarkEnd w:id="71"/>
            <w:bookmarkEnd w:id="72"/>
            <w:bookmarkEnd w:id="73"/>
          </w:p>
          <w:p>
            <w:pPr>
              <w:pStyle w:val="53"/>
              <w:spacing w:line="400" w:lineRule="exact"/>
              <w:outlineLvl w:val="2"/>
              <w:rPr>
                <w:rFonts w:ascii="宋体" w:hAnsi="宋体" w:cs="宋体"/>
                <w:b/>
                <w:bCs/>
                <w:color w:val="auto"/>
                <w:sz w:val="24"/>
                <w:szCs w:val="24"/>
                <w:highlight w:val="none"/>
              </w:rPr>
            </w:pPr>
            <w:bookmarkStart w:id="74" w:name="_Toc16713"/>
            <w:bookmarkStart w:id="75" w:name="_Toc256000011"/>
            <w:bookmarkStart w:id="76" w:name="_Toc256000034"/>
            <w:bookmarkStart w:id="77" w:name="_Toc256000019"/>
            <w:bookmarkStart w:id="78" w:name="_Toc256000027"/>
            <w:bookmarkStart w:id="79" w:name="_Toc256000048"/>
            <w:r>
              <w:rPr>
                <w:rFonts w:hint="eastAsia" w:asciiTheme="majorEastAsia" w:hAnsiTheme="majorEastAsia" w:eastAsiaTheme="majorEastAsia"/>
                <w:b/>
                <w:bCs/>
                <w:color w:val="auto"/>
                <w:kern w:val="2"/>
                <w:sz w:val="24"/>
                <w:szCs w:val="22"/>
                <w:highlight w:val="none"/>
              </w:rPr>
              <w:t>②</w:t>
            </w:r>
            <w:r>
              <w:rPr>
                <w:rFonts w:ascii="宋体" w:hAnsi="宋体" w:cs="宋体"/>
                <w:b/>
                <w:bCs/>
                <w:color w:val="auto"/>
                <w:sz w:val="24"/>
                <w:szCs w:val="24"/>
                <w:highlight w:val="none"/>
              </w:rPr>
              <w:t>具有良好的商业信誉和健全的财务会计制度（注：财务报表需加盖本单位公章，资信证明需加盖出具机关印章，资信证明内容须包含商业信誉良好的相关内容）</w:t>
            </w:r>
            <w:r>
              <w:rPr>
                <w:rFonts w:hint="eastAsia" w:ascii="宋体" w:hAnsi="宋体" w:cs="宋体"/>
                <w:b/>
                <w:bCs/>
                <w:color w:val="auto"/>
                <w:sz w:val="24"/>
                <w:szCs w:val="24"/>
                <w:highlight w:val="none"/>
              </w:rPr>
              <w:t>；</w:t>
            </w:r>
          </w:p>
          <w:p>
            <w:pPr>
              <w:pStyle w:val="53"/>
              <w:spacing w:line="400" w:lineRule="exact"/>
              <w:outlineLvl w:val="2"/>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供应商是法人组织的应提供经审计的上一年度完整的财务报告。</w:t>
            </w:r>
          </w:p>
          <w:p>
            <w:pPr>
              <w:pStyle w:val="53"/>
              <w:spacing w:line="400" w:lineRule="exact"/>
              <w:outlineLvl w:val="2"/>
              <w:rPr>
                <w:rFonts w:ascii="宋体" w:hAnsi="宋体" w:cs="宋体"/>
                <w:color w:val="auto"/>
                <w:sz w:val="24"/>
                <w:szCs w:val="24"/>
                <w:highlight w:val="none"/>
              </w:rPr>
            </w:pPr>
            <w:r>
              <w:rPr>
                <w:rFonts w:ascii="宋体" w:hAnsi="宋体" w:cs="宋体"/>
                <w:color w:val="auto"/>
                <w:sz w:val="24"/>
                <w:szCs w:val="24"/>
                <w:highlight w:val="none"/>
              </w:rPr>
              <w:t>（完整的财务审计报告须包含资产负债表、现金流量表、利润表、财务报表附注等内容。并加盖有第三方审计公司的印章。若审计报告内容不完整、提供的财务审计报告未加盖第三方审计公司印章、印章不能清晰可见的均视为无效材料。）</w:t>
            </w:r>
          </w:p>
          <w:p>
            <w:pPr>
              <w:pStyle w:val="53"/>
              <w:spacing w:line="400" w:lineRule="exact"/>
              <w:outlineLvl w:val="2"/>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供应商是法人组织的，且成立不足一年的提供截止开标前近3个月的财务报表和其截止开标前1个月银行出具的资信证明。</w:t>
            </w:r>
          </w:p>
          <w:p>
            <w:pPr>
              <w:pStyle w:val="53"/>
              <w:spacing w:line="400" w:lineRule="exact"/>
              <w:outlineLvl w:val="2"/>
              <w:rPr>
                <w:rFonts w:asciiTheme="majorEastAsia" w:hAnsiTheme="majorEastAsia" w:eastAsiaTheme="majorEastAsia"/>
                <w:b/>
                <w:bCs/>
                <w:color w:val="auto"/>
                <w:kern w:val="2"/>
                <w:sz w:val="24"/>
                <w:szCs w:val="22"/>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其他组织、事业单位或自然人，没有经审计的财务报告，应当提供投标截止时间前一个月银行出具的资信证明。</w:t>
            </w:r>
          </w:p>
          <w:p>
            <w:pPr>
              <w:pStyle w:val="53"/>
              <w:spacing w:line="400" w:lineRule="exact"/>
              <w:outlineLvl w:val="2"/>
              <w:rPr>
                <w:rFonts w:asciiTheme="majorEastAsia" w:hAnsiTheme="majorEastAsia" w:eastAsiaTheme="majorEastAsia"/>
                <w:b/>
                <w:bCs/>
                <w:color w:val="auto"/>
                <w:kern w:val="2"/>
                <w:sz w:val="24"/>
                <w:szCs w:val="22"/>
                <w:highlight w:val="none"/>
              </w:rPr>
            </w:pPr>
            <w:r>
              <w:rPr>
                <w:rFonts w:hint="eastAsia" w:asciiTheme="majorEastAsia" w:hAnsiTheme="majorEastAsia" w:eastAsiaTheme="majorEastAsia"/>
                <w:b/>
                <w:bCs/>
                <w:color w:val="auto"/>
                <w:kern w:val="2"/>
                <w:sz w:val="24"/>
                <w:szCs w:val="22"/>
                <w:highlight w:val="none"/>
              </w:rPr>
              <w:fldChar w:fldCharType="begin"/>
            </w:r>
            <w:r>
              <w:rPr>
                <w:rFonts w:hint="eastAsia" w:asciiTheme="majorEastAsia" w:hAnsiTheme="majorEastAsia" w:eastAsiaTheme="majorEastAsia"/>
                <w:b/>
                <w:bCs/>
                <w:color w:val="auto"/>
                <w:kern w:val="2"/>
                <w:sz w:val="24"/>
                <w:szCs w:val="22"/>
                <w:highlight w:val="none"/>
              </w:rPr>
              <w:instrText xml:space="preserve"> = 3 \* GB3 </w:instrText>
            </w:r>
            <w:r>
              <w:rPr>
                <w:rFonts w:hint="eastAsia" w:asciiTheme="majorEastAsia" w:hAnsiTheme="majorEastAsia" w:eastAsiaTheme="majorEastAsia"/>
                <w:b/>
                <w:bCs/>
                <w:color w:val="auto"/>
                <w:kern w:val="2"/>
                <w:sz w:val="24"/>
                <w:szCs w:val="22"/>
                <w:highlight w:val="none"/>
              </w:rPr>
              <w:fldChar w:fldCharType="separate"/>
            </w:r>
            <w:bookmarkStart w:id="80" w:name="_Toc256000043"/>
            <w:r>
              <w:rPr>
                <w:rFonts w:hint="eastAsia" w:asciiTheme="majorEastAsia" w:hAnsiTheme="majorEastAsia" w:eastAsiaTheme="majorEastAsia"/>
                <w:b/>
                <w:bCs/>
                <w:color w:val="auto"/>
                <w:kern w:val="2"/>
                <w:sz w:val="24"/>
                <w:szCs w:val="22"/>
                <w:highlight w:val="none"/>
              </w:rPr>
              <w:t>③</w:t>
            </w:r>
            <w:r>
              <w:rPr>
                <w:rFonts w:hint="eastAsia" w:asciiTheme="majorEastAsia" w:hAnsiTheme="majorEastAsia" w:eastAsiaTheme="majorEastAsia"/>
                <w:b/>
                <w:color w:val="auto"/>
                <w:kern w:val="2"/>
                <w:sz w:val="24"/>
                <w:szCs w:val="22"/>
                <w:highlight w:val="none"/>
              </w:rPr>
              <w:fldChar w:fldCharType="end"/>
            </w:r>
            <w:r>
              <w:rPr>
                <w:rFonts w:hint="eastAsia" w:asciiTheme="majorEastAsia" w:hAnsiTheme="majorEastAsia" w:eastAsiaTheme="majorEastAsia"/>
                <w:b/>
                <w:bCs/>
                <w:color w:val="auto"/>
                <w:kern w:val="2"/>
                <w:sz w:val="24"/>
                <w:szCs w:val="22"/>
                <w:highlight w:val="none"/>
              </w:rPr>
              <w:t>具有履行合同所必需的设备和专业技术能力；</w:t>
            </w:r>
            <w:bookmarkEnd w:id="74"/>
            <w:bookmarkEnd w:id="80"/>
          </w:p>
          <w:p>
            <w:pPr>
              <w:pStyle w:val="53"/>
              <w:spacing w:line="400" w:lineRule="exact"/>
              <w:outlineLvl w:val="2"/>
              <w:rPr>
                <w:rFonts w:asciiTheme="majorEastAsia" w:hAnsiTheme="majorEastAsia" w:eastAsiaTheme="majorEastAsia"/>
                <w:color w:val="auto"/>
                <w:kern w:val="2"/>
                <w:sz w:val="24"/>
                <w:szCs w:val="22"/>
                <w:highlight w:val="none"/>
              </w:rPr>
            </w:pPr>
            <w:bookmarkStart w:id="81" w:name="_Toc256000016"/>
            <w:bookmarkStart w:id="82" w:name="_Toc256000044"/>
            <w:bookmarkStart w:id="83" w:name="_Toc17212"/>
            <w:bookmarkStart w:id="84" w:name="_Toc256000008"/>
            <w:bookmarkStart w:id="85" w:name="_Toc256000031"/>
            <w:bookmarkStart w:id="86" w:name="_Toc256000024"/>
            <w:r>
              <w:rPr>
                <w:rFonts w:hint="eastAsia" w:asciiTheme="majorEastAsia" w:hAnsiTheme="majorEastAsia" w:eastAsiaTheme="majorEastAsia"/>
                <w:color w:val="auto"/>
                <w:kern w:val="2"/>
                <w:sz w:val="24"/>
                <w:szCs w:val="22"/>
                <w:highlight w:val="none"/>
              </w:rPr>
              <w:t>（</w:t>
            </w:r>
            <w:r>
              <w:rPr>
                <w:rFonts w:asciiTheme="majorEastAsia" w:hAnsiTheme="majorEastAsia" w:eastAsiaTheme="majorEastAsia"/>
                <w:color w:val="auto"/>
                <w:kern w:val="2"/>
                <w:sz w:val="24"/>
                <w:szCs w:val="22"/>
                <w:highlight w:val="none"/>
              </w:rPr>
              <w:t>提供具有履行合同所必需的设备和专业技术能力相关证明材料或声明；</w:t>
            </w:r>
            <w:r>
              <w:rPr>
                <w:rFonts w:hint="eastAsia" w:asciiTheme="majorEastAsia" w:hAnsiTheme="majorEastAsia" w:eastAsiaTheme="majorEastAsia"/>
                <w:color w:val="auto"/>
                <w:kern w:val="2"/>
                <w:sz w:val="24"/>
                <w:szCs w:val="22"/>
                <w:highlight w:val="none"/>
              </w:rPr>
              <w:t>）</w:t>
            </w:r>
            <w:bookmarkEnd w:id="81"/>
            <w:bookmarkEnd w:id="82"/>
            <w:bookmarkEnd w:id="83"/>
            <w:bookmarkEnd w:id="84"/>
            <w:bookmarkEnd w:id="85"/>
            <w:bookmarkEnd w:id="86"/>
          </w:p>
          <w:p>
            <w:pPr>
              <w:pStyle w:val="53"/>
              <w:spacing w:line="400" w:lineRule="exact"/>
              <w:outlineLvl w:val="2"/>
              <w:rPr>
                <w:rFonts w:asciiTheme="majorEastAsia" w:hAnsiTheme="majorEastAsia" w:eastAsiaTheme="majorEastAsia"/>
                <w:b/>
                <w:color w:val="auto"/>
                <w:kern w:val="2"/>
                <w:sz w:val="24"/>
                <w:szCs w:val="24"/>
                <w:highlight w:val="none"/>
              </w:rPr>
            </w:pPr>
            <w:bookmarkStart w:id="87" w:name="_Toc24826"/>
            <w:r>
              <w:rPr>
                <w:rFonts w:hint="eastAsia" w:asciiTheme="majorEastAsia" w:hAnsiTheme="majorEastAsia" w:eastAsiaTheme="majorEastAsia"/>
                <w:b/>
                <w:bCs/>
                <w:color w:val="auto"/>
                <w:kern w:val="2"/>
                <w:sz w:val="24"/>
                <w:szCs w:val="24"/>
                <w:highlight w:val="none"/>
              </w:rPr>
              <w:fldChar w:fldCharType="begin"/>
            </w:r>
            <w:r>
              <w:rPr>
                <w:rFonts w:hint="eastAsia" w:asciiTheme="majorEastAsia" w:hAnsiTheme="majorEastAsia" w:eastAsiaTheme="majorEastAsia"/>
                <w:b/>
                <w:bCs/>
                <w:color w:val="auto"/>
                <w:kern w:val="2"/>
                <w:sz w:val="24"/>
                <w:szCs w:val="24"/>
                <w:highlight w:val="none"/>
              </w:rPr>
              <w:instrText xml:space="preserve"> = 4 \* GB3 </w:instrText>
            </w:r>
            <w:r>
              <w:rPr>
                <w:rFonts w:hint="eastAsia" w:asciiTheme="majorEastAsia" w:hAnsiTheme="majorEastAsia" w:eastAsiaTheme="majorEastAsia"/>
                <w:b/>
                <w:bCs/>
                <w:color w:val="auto"/>
                <w:kern w:val="2"/>
                <w:sz w:val="24"/>
                <w:szCs w:val="24"/>
                <w:highlight w:val="none"/>
              </w:rPr>
              <w:fldChar w:fldCharType="separate"/>
            </w:r>
            <w:bookmarkStart w:id="88" w:name="_Toc256000045"/>
            <w:bookmarkStart w:id="89" w:name="_Toc107520986"/>
            <w:bookmarkStart w:id="90" w:name="_Toc107369300"/>
            <w:bookmarkStart w:id="91" w:name="_Toc107520465"/>
            <w:bookmarkStart w:id="92" w:name="_Toc121485551"/>
            <w:r>
              <w:rPr>
                <w:rFonts w:hint="eastAsia" w:asciiTheme="majorEastAsia" w:hAnsiTheme="majorEastAsia" w:eastAsiaTheme="majorEastAsia"/>
                <w:b/>
                <w:bCs/>
                <w:color w:val="auto"/>
                <w:kern w:val="2"/>
                <w:sz w:val="24"/>
                <w:szCs w:val="24"/>
                <w:highlight w:val="none"/>
              </w:rPr>
              <w:t>④</w:t>
            </w:r>
            <w:r>
              <w:rPr>
                <w:rFonts w:hint="eastAsia" w:asciiTheme="majorEastAsia" w:hAnsiTheme="majorEastAsia" w:eastAsiaTheme="majorEastAsia"/>
                <w:b/>
                <w:color w:val="auto"/>
                <w:kern w:val="2"/>
                <w:sz w:val="24"/>
                <w:szCs w:val="24"/>
                <w:highlight w:val="none"/>
              </w:rPr>
              <w:fldChar w:fldCharType="end"/>
            </w:r>
            <w:r>
              <w:rPr>
                <w:rFonts w:hint="eastAsia" w:asciiTheme="majorEastAsia" w:hAnsiTheme="majorEastAsia" w:eastAsiaTheme="majorEastAsia"/>
                <w:b/>
                <w:bCs/>
                <w:color w:val="auto"/>
                <w:kern w:val="2"/>
                <w:sz w:val="24"/>
                <w:szCs w:val="24"/>
                <w:highlight w:val="none"/>
              </w:rPr>
              <w:t>有依法缴纳税收和社会保障资金的良好记录（注：所有证明材料需加盖出具机关印章</w:t>
            </w:r>
            <w:r>
              <w:rPr>
                <w:rFonts w:asciiTheme="majorEastAsia" w:hAnsiTheme="majorEastAsia" w:eastAsiaTheme="majorEastAsia"/>
                <w:b/>
                <w:bCs/>
                <w:color w:val="auto"/>
                <w:kern w:val="2"/>
                <w:sz w:val="24"/>
                <w:szCs w:val="24"/>
                <w:highlight w:val="none"/>
              </w:rPr>
              <w:t>,必须写明税款/费款所属期）</w:t>
            </w:r>
            <w:r>
              <w:rPr>
                <w:rFonts w:hint="eastAsia" w:asciiTheme="majorEastAsia" w:hAnsiTheme="majorEastAsia" w:eastAsiaTheme="majorEastAsia"/>
                <w:b/>
                <w:bCs/>
                <w:color w:val="auto"/>
                <w:kern w:val="2"/>
                <w:sz w:val="24"/>
                <w:szCs w:val="24"/>
                <w:highlight w:val="none"/>
              </w:rPr>
              <w:t>；</w:t>
            </w:r>
            <w:bookmarkEnd w:id="87"/>
            <w:bookmarkEnd w:id="88"/>
            <w:bookmarkEnd w:id="89"/>
            <w:bookmarkEnd w:id="90"/>
            <w:bookmarkEnd w:id="91"/>
            <w:bookmarkEnd w:id="92"/>
          </w:p>
          <w:p>
            <w:pPr>
              <w:pStyle w:val="53"/>
              <w:spacing w:line="400" w:lineRule="exact"/>
              <w:outlineLvl w:val="2"/>
              <w:rPr>
                <w:rFonts w:asciiTheme="majorEastAsia" w:hAnsiTheme="majorEastAsia" w:eastAsiaTheme="majorEastAsia"/>
                <w:color w:val="auto"/>
                <w:kern w:val="2"/>
                <w:sz w:val="24"/>
                <w:szCs w:val="24"/>
                <w:highlight w:val="none"/>
              </w:rPr>
            </w:pPr>
            <w:bookmarkStart w:id="93" w:name="_Toc17259"/>
            <w:bookmarkStart w:id="94" w:name="_Toc107520466"/>
            <w:bookmarkStart w:id="95" w:name="_Toc107369301"/>
            <w:bookmarkStart w:id="96" w:name="_Toc107520987"/>
            <w:bookmarkStart w:id="97" w:name="_Toc121485552"/>
            <w:bookmarkStart w:id="98" w:name="_Toc107520991"/>
            <w:bookmarkStart w:id="99" w:name="_Toc107369305"/>
            <w:bookmarkStart w:id="100" w:name="_Toc107520470"/>
            <w:r>
              <w:rPr>
                <w:rFonts w:hint="eastAsia" w:asciiTheme="majorEastAsia" w:hAnsiTheme="majorEastAsia" w:eastAsiaTheme="majorEastAsia"/>
                <w:color w:val="auto"/>
                <w:kern w:val="2"/>
                <w:sz w:val="24"/>
                <w:szCs w:val="24"/>
                <w:highlight w:val="none"/>
              </w:rPr>
              <w:t>1、提供截止开标前近半年内任意</w:t>
            </w:r>
            <w:r>
              <w:rPr>
                <w:rFonts w:hint="eastAsia" w:cs="宋体" w:asciiTheme="majorEastAsia" w:hAnsiTheme="majorEastAsia" w:eastAsiaTheme="majorEastAsia"/>
                <w:color w:val="auto"/>
                <w:kern w:val="2"/>
                <w:sz w:val="24"/>
                <w:szCs w:val="24"/>
                <w:highlight w:val="none"/>
              </w:rPr>
              <w:t>三</w:t>
            </w:r>
            <w:r>
              <w:rPr>
                <w:rFonts w:cs="宋体" w:asciiTheme="majorEastAsia" w:hAnsiTheme="majorEastAsia" w:eastAsiaTheme="majorEastAsia"/>
                <w:color w:val="auto"/>
                <w:kern w:val="2"/>
                <w:sz w:val="24"/>
                <w:szCs w:val="24"/>
                <w:highlight w:val="none"/>
              </w:rPr>
              <w:t>个月</w:t>
            </w:r>
            <w:r>
              <w:rPr>
                <w:rFonts w:hint="eastAsia" w:asciiTheme="majorEastAsia" w:hAnsiTheme="majorEastAsia" w:eastAsiaTheme="majorEastAsia"/>
                <w:color w:val="auto"/>
                <w:kern w:val="2"/>
                <w:sz w:val="24"/>
                <w:szCs w:val="24"/>
                <w:highlight w:val="none"/>
              </w:rPr>
              <w:t>税收缴纳完成的证明资料。</w:t>
            </w:r>
            <w:bookmarkEnd w:id="93"/>
            <w:bookmarkEnd w:id="94"/>
            <w:bookmarkEnd w:id="95"/>
            <w:bookmarkEnd w:id="96"/>
            <w:bookmarkEnd w:id="97"/>
          </w:p>
          <w:p>
            <w:pPr>
              <w:pStyle w:val="53"/>
              <w:spacing w:line="400" w:lineRule="exact"/>
              <w:outlineLvl w:val="2"/>
              <w:rPr>
                <w:rFonts w:asciiTheme="majorEastAsia" w:hAnsiTheme="majorEastAsia" w:eastAsiaTheme="majorEastAsia"/>
                <w:color w:val="auto"/>
                <w:kern w:val="2"/>
                <w:sz w:val="24"/>
                <w:szCs w:val="24"/>
                <w:highlight w:val="none"/>
              </w:rPr>
            </w:pPr>
            <w:bookmarkStart w:id="101" w:name="_Toc107520467"/>
            <w:bookmarkStart w:id="102" w:name="_Toc13767"/>
            <w:bookmarkStart w:id="103" w:name="_Toc107520988"/>
            <w:bookmarkStart w:id="104" w:name="_Toc107369302"/>
            <w:bookmarkStart w:id="105" w:name="_Toc121485553"/>
            <w:r>
              <w:rPr>
                <w:rFonts w:hint="eastAsia" w:asciiTheme="majorEastAsia" w:hAnsiTheme="majorEastAsia" w:eastAsiaTheme="majorEastAsia"/>
                <w:color w:val="auto"/>
                <w:kern w:val="2"/>
                <w:sz w:val="24"/>
                <w:szCs w:val="24"/>
                <w:highlight w:val="none"/>
              </w:rPr>
              <w:t>提供截止开标前近半年内任意</w:t>
            </w:r>
            <w:r>
              <w:rPr>
                <w:rFonts w:hint="eastAsia" w:cs="宋体" w:asciiTheme="majorEastAsia" w:hAnsiTheme="majorEastAsia" w:eastAsiaTheme="majorEastAsia"/>
                <w:color w:val="auto"/>
                <w:kern w:val="2"/>
                <w:sz w:val="24"/>
                <w:szCs w:val="24"/>
                <w:highlight w:val="none"/>
              </w:rPr>
              <w:t>三</w:t>
            </w:r>
            <w:r>
              <w:rPr>
                <w:rFonts w:cs="宋体" w:asciiTheme="majorEastAsia" w:hAnsiTheme="majorEastAsia" w:eastAsiaTheme="majorEastAsia"/>
                <w:color w:val="auto"/>
                <w:kern w:val="2"/>
                <w:sz w:val="24"/>
                <w:szCs w:val="24"/>
                <w:highlight w:val="none"/>
              </w:rPr>
              <w:t>个月</w:t>
            </w:r>
            <w:r>
              <w:rPr>
                <w:rFonts w:hint="eastAsia" w:asciiTheme="majorEastAsia" w:hAnsiTheme="majorEastAsia" w:eastAsiaTheme="majorEastAsia"/>
                <w:color w:val="auto"/>
                <w:kern w:val="2"/>
                <w:sz w:val="24"/>
                <w:szCs w:val="24"/>
                <w:highlight w:val="none"/>
              </w:rPr>
              <w:t>（以税款所属期为准）税收部门出具的完成税收缴纳证明。申报表、征集单、银行的缴纳回执单等不予认可。其它无需纳税或免税的必须提供出具部门相关证明。</w:t>
            </w:r>
            <w:bookmarkEnd w:id="101"/>
            <w:bookmarkEnd w:id="102"/>
            <w:bookmarkEnd w:id="103"/>
            <w:bookmarkEnd w:id="104"/>
            <w:bookmarkEnd w:id="105"/>
          </w:p>
          <w:p>
            <w:pPr>
              <w:pStyle w:val="53"/>
              <w:spacing w:line="400" w:lineRule="exact"/>
              <w:outlineLvl w:val="2"/>
              <w:rPr>
                <w:rFonts w:asciiTheme="majorEastAsia" w:hAnsiTheme="majorEastAsia" w:eastAsiaTheme="majorEastAsia"/>
                <w:color w:val="auto"/>
                <w:kern w:val="2"/>
                <w:sz w:val="24"/>
                <w:szCs w:val="24"/>
                <w:highlight w:val="none"/>
              </w:rPr>
            </w:pPr>
            <w:bookmarkStart w:id="106" w:name="_Toc107369303"/>
            <w:bookmarkStart w:id="107" w:name="_Toc27547"/>
            <w:bookmarkStart w:id="108" w:name="_Toc107520989"/>
            <w:bookmarkStart w:id="109" w:name="_Toc107520468"/>
            <w:bookmarkStart w:id="110" w:name="_Toc121485554"/>
            <w:r>
              <w:rPr>
                <w:rFonts w:hint="eastAsia" w:asciiTheme="majorEastAsia" w:hAnsiTheme="majorEastAsia" w:eastAsiaTheme="majorEastAsia"/>
                <w:color w:val="auto"/>
                <w:kern w:val="2"/>
                <w:sz w:val="24"/>
                <w:szCs w:val="24"/>
                <w:highlight w:val="none"/>
              </w:rPr>
              <w:t>2、提供截止开标前近半年内任意三</w:t>
            </w:r>
            <w:r>
              <w:rPr>
                <w:rFonts w:asciiTheme="majorEastAsia" w:hAnsiTheme="majorEastAsia" w:eastAsiaTheme="majorEastAsia"/>
                <w:color w:val="auto"/>
                <w:kern w:val="2"/>
                <w:sz w:val="24"/>
                <w:szCs w:val="24"/>
                <w:highlight w:val="none"/>
              </w:rPr>
              <w:t>个月</w:t>
            </w:r>
            <w:r>
              <w:rPr>
                <w:rFonts w:hint="eastAsia" w:asciiTheme="majorEastAsia" w:hAnsiTheme="majorEastAsia" w:eastAsiaTheme="majorEastAsia"/>
                <w:color w:val="auto"/>
                <w:kern w:val="2"/>
                <w:sz w:val="24"/>
                <w:szCs w:val="24"/>
                <w:highlight w:val="none"/>
              </w:rPr>
              <w:t>税收部门或社保机构出具的完成社保缴纳证明。</w:t>
            </w:r>
            <w:bookmarkEnd w:id="106"/>
            <w:bookmarkEnd w:id="107"/>
            <w:bookmarkEnd w:id="108"/>
            <w:bookmarkEnd w:id="109"/>
            <w:bookmarkEnd w:id="110"/>
          </w:p>
          <w:p>
            <w:pPr>
              <w:pStyle w:val="53"/>
              <w:spacing w:line="400" w:lineRule="exact"/>
              <w:outlineLvl w:val="2"/>
              <w:rPr>
                <w:rFonts w:asciiTheme="majorEastAsia" w:hAnsiTheme="majorEastAsia" w:eastAsiaTheme="majorEastAsia"/>
                <w:color w:val="auto"/>
                <w:kern w:val="2"/>
                <w:sz w:val="24"/>
                <w:szCs w:val="24"/>
                <w:highlight w:val="none"/>
              </w:rPr>
            </w:pPr>
            <w:bookmarkStart w:id="111" w:name="_Toc21914"/>
            <w:bookmarkStart w:id="112" w:name="_Toc121485555"/>
            <w:bookmarkStart w:id="113" w:name="_Toc107520469"/>
            <w:bookmarkStart w:id="114" w:name="_Toc107369304"/>
            <w:bookmarkStart w:id="115" w:name="_Toc107520990"/>
            <w:r>
              <w:rPr>
                <w:rFonts w:hint="eastAsia" w:asciiTheme="majorEastAsia" w:hAnsiTheme="majorEastAsia" w:eastAsiaTheme="majorEastAsia"/>
                <w:color w:val="auto"/>
                <w:kern w:val="2"/>
                <w:sz w:val="24"/>
                <w:szCs w:val="24"/>
                <w:highlight w:val="none"/>
              </w:rPr>
              <w:t>提供截止开标前近半年内任意三</w:t>
            </w:r>
            <w:r>
              <w:rPr>
                <w:rFonts w:asciiTheme="majorEastAsia" w:hAnsiTheme="majorEastAsia" w:eastAsiaTheme="majorEastAsia"/>
                <w:color w:val="auto"/>
                <w:kern w:val="2"/>
                <w:sz w:val="24"/>
                <w:szCs w:val="24"/>
                <w:highlight w:val="none"/>
              </w:rPr>
              <w:t>个月</w:t>
            </w:r>
            <w:r>
              <w:rPr>
                <w:rFonts w:hint="eastAsia" w:asciiTheme="majorEastAsia" w:hAnsiTheme="majorEastAsia" w:eastAsiaTheme="majorEastAsia"/>
                <w:color w:val="auto"/>
                <w:kern w:val="2"/>
                <w:sz w:val="24"/>
                <w:szCs w:val="24"/>
                <w:highlight w:val="none"/>
              </w:rPr>
              <w:t>（以费款所属期为准）税收部门或社保机构出具的完成社保缴纳证明。申报表、征集单、银行的缴纳回执单等不予认可。如委托其他机构代缴代扣，还需同时提供供应商与机构签署的服务合同或代缴协议，其中应明确写明第三方为供应商代缴其社会保险，否则不予认可。其它无需缴纳或免缴的也必须提供社保部门相关证明。</w:t>
            </w:r>
            <w:bookmarkEnd w:id="111"/>
            <w:bookmarkEnd w:id="112"/>
            <w:bookmarkEnd w:id="113"/>
            <w:bookmarkEnd w:id="114"/>
            <w:bookmarkEnd w:id="115"/>
          </w:p>
          <w:p>
            <w:pPr>
              <w:pStyle w:val="53"/>
              <w:spacing w:line="400" w:lineRule="exact"/>
              <w:outlineLvl w:val="2"/>
              <w:rPr>
                <w:rFonts w:asciiTheme="majorEastAsia" w:hAnsiTheme="majorEastAsia" w:eastAsiaTheme="majorEastAsia"/>
                <w:color w:val="auto"/>
                <w:kern w:val="2"/>
                <w:sz w:val="24"/>
                <w:szCs w:val="24"/>
                <w:highlight w:val="none"/>
              </w:rPr>
            </w:pPr>
            <w:bookmarkStart w:id="116" w:name="_Toc7833"/>
            <w:bookmarkStart w:id="117" w:name="_Toc121485556"/>
            <w:r>
              <w:rPr>
                <w:rFonts w:hint="eastAsia" w:asciiTheme="majorEastAsia" w:hAnsiTheme="majorEastAsia" w:eastAsiaTheme="majorEastAsia"/>
                <w:color w:val="auto"/>
                <w:kern w:val="2"/>
                <w:sz w:val="24"/>
                <w:szCs w:val="24"/>
                <w:highlight w:val="none"/>
              </w:rPr>
              <w:t>3、其他组织和自然人也需按上述要求提供依法缴纳税收和社会保障资金的证明材料。</w:t>
            </w:r>
            <w:bookmarkEnd w:id="98"/>
            <w:bookmarkEnd w:id="99"/>
            <w:bookmarkEnd w:id="100"/>
            <w:bookmarkEnd w:id="116"/>
            <w:bookmarkEnd w:id="117"/>
          </w:p>
          <w:p>
            <w:pPr>
              <w:pStyle w:val="53"/>
              <w:spacing w:line="400" w:lineRule="exact"/>
              <w:outlineLvl w:val="2"/>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注：所有证明材料需加盖出具机关印章</w:t>
            </w:r>
            <w:r>
              <w:rPr>
                <w:rFonts w:asciiTheme="majorEastAsia" w:hAnsiTheme="majorEastAsia" w:eastAsiaTheme="majorEastAsia"/>
                <w:color w:val="auto"/>
                <w:kern w:val="2"/>
                <w:sz w:val="24"/>
                <w:szCs w:val="24"/>
                <w:highlight w:val="none"/>
              </w:rPr>
              <w:t>,必须写明费款所属期。</w:t>
            </w:r>
          </w:p>
          <w:p>
            <w:pPr>
              <w:pStyle w:val="53"/>
              <w:spacing w:line="400" w:lineRule="exact"/>
              <w:outlineLvl w:val="2"/>
              <w:rPr>
                <w:rFonts w:asciiTheme="majorEastAsia" w:hAnsiTheme="majorEastAsia" w:eastAsiaTheme="majorEastAsia"/>
                <w:b/>
                <w:bCs/>
                <w:color w:val="auto"/>
                <w:kern w:val="2"/>
                <w:sz w:val="24"/>
                <w:szCs w:val="24"/>
                <w:highlight w:val="none"/>
              </w:rPr>
            </w:pPr>
            <w:bookmarkStart w:id="118" w:name="_Toc107520992"/>
            <w:bookmarkStart w:id="119" w:name="_Toc107520471"/>
            <w:bookmarkStart w:id="120" w:name="_Toc29269"/>
            <w:bookmarkStart w:id="121" w:name="_Toc107369306"/>
            <w:r>
              <w:rPr>
                <w:rFonts w:hint="eastAsia" w:asciiTheme="majorEastAsia" w:hAnsiTheme="majorEastAsia" w:eastAsiaTheme="majorEastAsia"/>
                <w:b/>
                <w:bCs/>
                <w:color w:val="auto"/>
                <w:kern w:val="2"/>
                <w:sz w:val="24"/>
                <w:szCs w:val="24"/>
                <w:highlight w:val="none"/>
              </w:rPr>
              <w:t>⑤参加政府采购活动前三年内，在经营活动中没有重大违法记录；</w:t>
            </w:r>
            <w:bookmarkEnd w:id="75"/>
            <w:bookmarkEnd w:id="76"/>
            <w:bookmarkEnd w:id="77"/>
            <w:bookmarkEnd w:id="78"/>
            <w:bookmarkEnd w:id="79"/>
            <w:bookmarkEnd w:id="118"/>
            <w:bookmarkEnd w:id="119"/>
            <w:bookmarkEnd w:id="120"/>
            <w:bookmarkEnd w:id="121"/>
          </w:p>
          <w:p>
            <w:pPr>
              <w:pStyle w:val="53"/>
              <w:spacing w:line="400" w:lineRule="exact"/>
              <w:outlineLvl w:val="2"/>
              <w:rPr>
                <w:rFonts w:asciiTheme="majorEastAsia" w:hAnsiTheme="majorEastAsia" w:eastAsiaTheme="majorEastAsia"/>
                <w:color w:val="auto"/>
                <w:kern w:val="2"/>
                <w:sz w:val="24"/>
                <w:szCs w:val="24"/>
                <w:highlight w:val="none"/>
              </w:rPr>
            </w:pPr>
            <w:bookmarkStart w:id="122" w:name="_Toc256000020"/>
            <w:bookmarkStart w:id="123" w:name="_Toc256000012"/>
            <w:bookmarkStart w:id="124" w:name="_Toc256000049"/>
            <w:bookmarkStart w:id="125" w:name="_Toc107520993"/>
            <w:bookmarkStart w:id="126" w:name="_Toc256000028"/>
            <w:bookmarkStart w:id="127" w:name="_Toc256000035"/>
            <w:bookmarkStart w:id="128" w:name="_Toc107520472"/>
            <w:bookmarkStart w:id="129" w:name="_Toc24553"/>
            <w:bookmarkStart w:id="130" w:name="_Toc107369307"/>
            <w:r>
              <w:rPr>
                <w:rFonts w:hint="eastAsia" w:asciiTheme="majorEastAsia" w:hAnsiTheme="majorEastAsia" w:eastAsiaTheme="majorEastAsia"/>
                <w:color w:val="auto"/>
                <w:kern w:val="2"/>
                <w:sz w:val="24"/>
                <w:szCs w:val="24"/>
                <w:highlight w:val="none"/>
              </w:rPr>
              <w:t>（</w:t>
            </w:r>
            <w:r>
              <w:rPr>
                <w:rFonts w:asciiTheme="majorEastAsia" w:hAnsiTheme="majorEastAsia" w:eastAsiaTheme="majorEastAsia"/>
                <w:color w:val="auto"/>
                <w:kern w:val="2"/>
                <w:sz w:val="24"/>
                <w:szCs w:val="24"/>
                <w:highlight w:val="none"/>
              </w:rPr>
              <w:t>提供参加政府采购活动近三年无重大违法记录声明书；</w:t>
            </w:r>
            <w:r>
              <w:rPr>
                <w:rFonts w:hint="eastAsia" w:asciiTheme="majorEastAsia" w:hAnsiTheme="majorEastAsia" w:eastAsiaTheme="majorEastAsia"/>
                <w:color w:val="auto"/>
                <w:kern w:val="2"/>
                <w:sz w:val="24"/>
                <w:szCs w:val="24"/>
                <w:highlight w:val="none"/>
              </w:rPr>
              <w:t>）</w:t>
            </w:r>
            <w:bookmarkEnd w:id="122"/>
            <w:bookmarkEnd w:id="123"/>
            <w:bookmarkEnd w:id="124"/>
            <w:bookmarkEnd w:id="125"/>
            <w:bookmarkEnd w:id="126"/>
            <w:bookmarkEnd w:id="127"/>
            <w:bookmarkEnd w:id="128"/>
            <w:bookmarkEnd w:id="129"/>
            <w:bookmarkEnd w:id="130"/>
          </w:p>
          <w:p>
            <w:pPr>
              <w:pStyle w:val="53"/>
              <w:spacing w:line="400" w:lineRule="exact"/>
              <w:outlineLvl w:val="2"/>
              <w:rPr>
                <w:rFonts w:asciiTheme="majorEastAsia" w:hAnsiTheme="majorEastAsia" w:eastAsiaTheme="majorEastAsia"/>
                <w:b/>
                <w:bCs/>
                <w:color w:val="auto"/>
                <w:kern w:val="2"/>
                <w:sz w:val="24"/>
                <w:szCs w:val="24"/>
                <w:highlight w:val="none"/>
              </w:rPr>
            </w:pPr>
            <w:bookmarkStart w:id="131" w:name="_Toc15881"/>
            <w:r>
              <w:rPr>
                <w:rFonts w:asciiTheme="majorEastAsia" w:hAnsiTheme="majorEastAsia" w:eastAsiaTheme="majorEastAsia"/>
                <w:b/>
                <w:bCs/>
                <w:color w:val="auto"/>
                <w:kern w:val="2"/>
                <w:sz w:val="24"/>
                <w:szCs w:val="24"/>
                <w:highlight w:val="none"/>
              </w:rPr>
              <w:t>⑥</w:t>
            </w:r>
            <w:r>
              <w:rPr>
                <w:rFonts w:hint="eastAsia" w:asciiTheme="majorEastAsia" w:hAnsiTheme="majorEastAsia" w:eastAsiaTheme="majorEastAsia"/>
                <w:b/>
                <w:bCs/>
                <w:color w:val="auto"/>
                <w:kern w:val="2"/>
                <w:sz w:val="24"/>
                <w:szCs w:val="24"/>
                <w:highlight w:val="none"/>
              </w:rPr>
              <w:t>法律、行政法规规定的其他；</w:t>
            </w:r>
            <w:bookmarkEnd w:id="131"/>
          </w:p>
          <w:p>
            <w:pPr>
              <w:pStyle w:val="53"/>
              <w:spacing w:line="400" w:lineRule="exact"/>
              <w:outlineLvl w:val="2"/>
              <w:rPr>
                <w:rFonts w:asciiTheme="majorEastAsia" w:hAnsiTheme="majorEastAsia" w:eastAsiaTheme="majorEastAsia"/>
                <w:color w:val="auto"/>
                <w:sz w:val="24"/>
                <w:szCs w:val="24"/>
                <w:highlight w:val="none"/>
              </w:rPr>
            </w:pPr>
            <w:bookmarkStart w:id="132" w:name="_Toc107369309"/>
            <w:bookmarkStart w:id="133" w:name="_Toc107520994"/>
            <w:bookmarkStart w:id="134" w:name="_Toc107520473"/>
            <w:bookmarkStart w:id="135" w:name="_Toc5686"/>
            <w:r>
              <w:rPr>
                <w:rFonts w:hint="eastAsia" w:asciiTheme="majorEastAsia" w:hAnsiTheme="majorEastAsia" w:eastAsiaTheme="majorEastAsia"/>
                <w:color w:val="auto"/>
                <w:kern w:val="2"/>
                <w:sz w:val="24"/>
                <w:szCs w:val="24"/>
                <w:highlight w:val="none"/>
              </w:rPr>
              <w:t>（8）</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kern w:val="2"/>
                <w:sz w:val="24"/>
                <w:szCs w:val="24"/>
                <w:highlight w:val="none"/>
              </w:rPr>
              <w:t>不参与围标串标承诺书；</w:t>
            </w:r>
            <w:bookmarkEnd w:id="132"/>
            <w:bookmarkEnd w:id="133"/>
            <w:bookmarkEnd w:id="134"/>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1609"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105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商务</w:t>
            </w:r>
          </w:p>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文件</w:t>
            </w:r>
          </w:p>
        </w:tc>
        <w:tc>
          <w:tcPr>
            <w:tcW w:w="5390" w:type="dxa"/>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(1)</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sz w:val="24"/>
                <w:szCs w:val="24"/>
                <w:highlight w:val="none"/>
              </w:rPr>
              <w:t>投标函；</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(2)</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sz w:val="24"/>
                <w:szCs w:val="24"/>
                <w:highlight w:val="none"/>
              </w:rPr>
              <w:t>开标一览表；</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(3)</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sz w:val="24"/>
                <w:szCs w:val="24"/>
                <w:highlight w:val="none"/>
              </w:rPr>
              <w:t>投标报价明细表</w:t>
            </w:r>
            <w:r>
              <w:rPr>
                <w:rFonts w:hint="eastAsia" w:asciiTheme="majorEastAsia" w:hAnsiTheme="majorEastAsia" w:eastAsiaTheme="majorEastAsia"/>
                <w:color w:val="auto"/>
                <w:kern w:val="2"/>
                <w:sz w:val="24"/>
                <w:szCs w:val="24"/>
                <w:highlight w:val="none"/>
              </w:rPr>
              <w:t>；</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(4)</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sz w:val="24"/>
                <w:szCs w:val="24"/>
                <w:highlight w:val="none"/>
              </w:rPr>
              <w:t>商务方案；</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(5)</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sz w:val="24"/>
                <w:szCs w:val="24"/>
                <w:highlight w:val="none"/>
              </w:rPr>
              <w:t>商务条款偏离说明表；</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(6)供应商认为有必要提供的声明及文件资料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1609" w:type="dxa"/>
            <w:vMerge w:val="continue"/>
            <w:vAlign w:val="center"/>
          </w:tcPr>
          <w:p>
            <w:pPr>
              <w:pStyle w:val="52"/>
              <w:spacing w:line="400" w:lineRule="exact"/>
              <w:jc w:val="center"/>
              <w:rPr>
                <w:rFonts w:asciiTheme="majorEastAsia" w:hAnsiTheme="majorEastAsia" w:eastAsiaTheme="majorEastAsia"/>
                <w:color w:val="auto"/>
                <w:kern w:val="2"/>
                <w:sz w:val="24"/>
                <w:szCs w:val="24"/>
                <w:highlight w:val="none"/>
              </w:rPr>
            </w:pPr>
          </w:p>
        </w:tc>
        <w:tc>
          <w:tcPr>
            <w:tcW w:w="105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技术</w:t>
            </w:r>
          </w:p>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文件</w:t>
            </w:r>
          </w:p>
        </w:tc>
        <w:tc>
          <w:tcPr>
            <w:tcW w:w="5390" w:type="dxa"/>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投标人自行编写的技术文件：</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1、货物主要技术指标和运行性能：</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&lt;1&gt;</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kern w:val="2"/>
                <w:sz w:val="24"/>
                <w:szCs w:val="24"/>
                <w:highlight w:val="none"/>
              </w:rPr>
              <w:t>技术明细表；</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&lt;2&gt;同货物的彩页照片；</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&lt;3&gt;</w:t>
            </w:r>
            <w:r>
              <w:rPr>
                <w:rFonts w:hint="eastAsia" w:cs="宋体" w:asciiTheme="majorEastAsia" w:hAnsiTheme="majorEastAsia" w:eastAsiaTheme="majorEastAsia"/>
                <w:color w:val="auto"/>
                <w:sz w:val="24"/>
                <w:szCs w:val="24"/>
                <w:highlight w:val="none"/>
                <w:lang w:val="zh-TW" w:eastAsia="zh-TW"/>
              </w:rPr>
              <w:t>★</w:t>
            </w:r>
            <w:r>
              <w:rPr>
                <w:rFonts w:hint="eastAsia" w:asciiTheme="majorEastAsia" w:hAnsiTheme="majorEastAsia" w:eastAsiaTheme="majorEastAsia"/>
                <w:color w:val="auto"/>
                <w:kern w:val="2"/>
                <w:sz w:val="24"/>
                <w:szCs w:val="24"/>
                <w:highlight w:val="none"/>
              </w:rPr>
              <w:t>货物技术规范偏离表；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1609" w:type="dxa"/>
            <w:vMerge w:val="continue"/>
            <w:vAlign w:val="center"/>
          </w:tcPr>
          <w:p>
            <w:pPr>
              <w:pStyle w:val="52"/>
              <w:spacing w:line="400" w:lineRule="exact"/>
              <w:jc w:val="center"/>
              <w:rPr>
                <w:rFonts w:asciiTheme="majorEastAsia" w:hAnsiTheme="majorEastAsia" w:eastAsiaTheme="majorEastAsia"/>
                <w:color w:val="auto"/>
                <w:kern w:val="2"/>
                <w:sz w:val="24"/>
                <w:szCs w:val="24"/>
                <w:highlight w:val="none"/>
              </w:rPr>
            </w:pPr>
          </w:p>
        </w:tc>
        <w:tc>
          <w:tcPr>
            <w:tcW w:w="105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服务</w:t>
            </w:r>
          </w:p>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文件</w:t>
            </w:r>
          </w:p>
        </w:tc>
        <w:tc>
          <w:tcPr>
            <w:tcW w:w="5390" w:type="dxa"/>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投标人自行编写的服务文件：</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①货物售后服务：</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&lt;1&gt;货物的保修期和售后服务的程序、内容及措施；</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&lt;2&gt;响应时间和技术支持情况；</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②售后服务网点明细表（包括联系人、详细地址、电话、传真）及</w:t>
            </w:r>
            <w:r>
              <w:rPr>
                <w:rFonts w:hint="eastAsia" w:asciiTheme="majorEastAsia" w:hAnsiTheme="majorEastAsia" w:eastAsiaTheme="majorEastAsia"/>
                <w:color w:val="auto"/>
                <w:kern w:val="2"/>
                <w:sz w:val="24"/>
                <w:szCs w:val="24"/>
                <w:highlight w:val="none"/>
              </w:rPr>
              <w:t>本地化服务情况一览表；</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③服务项目偏离表。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7</w:t>
            </w:r>
          </w:p>
        </w:tc>
        <w:tc>
          <w:tcPr>
            <w:tcW w:w="2664" w:type="dxa"/>
            <w:gridSpan w:val="2"/>
            <w:vAlign w:val="center"/>
          </w:tcPr>
          <w:p>
            <w:pPr>
              <w:pStyle w:val="52"/>
              <w:spacing w:line="400" w:lineRule="exact"/>
              <w:jc w:val="center"/>
              <w:rPr>
                <w:rFonts w:asciiTheme="majorEastAsia" w:hAnsiTheme="majorEastAsia" w:eastAsiaTheme="majorEastAsia"/>
                <w:b/>
                <w:color w:val="auto"/>
                <w:kern w:val="2"/>
                <w:sz w:val="24"/>
                <w:szCs w:val="24"/>
                <w:highlight w:val="none"/>
              </w:rPr>
            </w:pPr>
            <w:r>
              <w:rPr>
                <w:rFonts w:hint="eastAsia" w:cs="宋体" w:asciiTheme="majorEastAsia" w:hAnsiTheme="majorEastAsia" w:eastAsiaTheme="majorEastAsia"/>
                <w:color w:val="auto"/>
                <w:szCs w:val="21"/>
                <w:highlight w:val="none"/>
              </w:rPr>
              <w:t>★</w:t>
            </w:r>
            <w:r>
              <w:rPr>
                <w:rFonts w:hint="eastAsia" w:asciiTheme="majorEastAsia" w:hAnsiTheme="majorEastAsia" w:eastAsiaTheme="majorEastAsia"/>
                <w:b/>
                <w:color w:val="auto"/>
                <w:kern w:val="2"/>
                <w:sz w:val="24"/>
                <w:szCs w:val="24"/>
                <w:highlight w:val="none"/>
              </w:rPr>
              <w:t>是否允许联合体投标</w:t>
            </w:r>
          </w:p>
        </w:tc>
        <w:tc>
          <w:tcPr>
            <w:tcW w:w="5390" w:type="dxa"/>
            <w:vAlign w:val="center"/>
          </w:tcPr>
          <w:p>
            <w:pPr>
              <w:pStyle w:val="52"/>
              <w:autoSpaceDE w:val="0"/>
              <w:autoSpaceDN w:val="0"/>
              <w:adjustRightInd w:val="0"/>
              <w:spacing w:line="400" w:lineRule="exact"/>
              <w:rPr>
                <w:rFonts w:asciiTheme="majorEastAsia" w:hAnsiTheme="majorEastAsia" w:eastAsiaTheme="majorEastAsia"/>
                <w:color w:val="auto"/>
                <w:kern w:val="2"/>
                <w:sz w:val="28"/>
                <w:szCs w:val="28"/>
                <w:highlight w:val="none"/>
              </w:rPr>
            </w:pPr>
            <w:bookmarkStart w:id="136" w:name="EBc6ac0877da194e1ead2e51743a97925a"/>
            <w:r>
              <w:rPr>
                <w:rFonts w:hint="eastAsia" w:eastAsia="MS Mincho" w:cs="MS Mincho" w:asciiTheme="majorEastAsia" w:hAnsiTheme="majorEastAsia"/>
                <w:color w:val="auto"/>
                <w:kern w:val="2"/>
                <w:sz w:val="28"/>
                <w:szCs w:val="28"/>
                <w:highlight w:val="none"/>
              </w:rPr>
              <w:t>☑</w:t>
            </w:r>
            <w:r>
              <w:rPr>
                <w:rFonts w:hint="eastAsia" w:asciiTheme="majorEastAsia" w:hAnsiTheme="majorEastAsia" w:eastAsiaTheme="majorEastAsia"/>
                <w:color w:val="auto"/>
                <w:kern w:val="2"/>
                <w:sz w:val="28"/>
                <w:szCs w:val="28"/>
                <w:highlight w:val="none"/>
              </w:rPr>
              <w:t>否</w:t>
            </w:r>
          </w:p>
          <w:p>
            <w:pPr>
              <w:pStyle w:val="52"/>
              <w:autoSpaceDE w:val="0"/>
              <w:autoSpaceDN w:val="0"/>
              <w:adjustRightInd w:val="0"/>
              <w:spacing w:line="400" w:lineRule="exact"/>
              <w:rPr>
                <w:rFonts w:asciiTheme="majorEastAsia" w:hAnsiTheme="majorEastAsia" w:eastAsiaTheme="majorEastAsia"/>
                <w:color w:val="auto"/>
                <w:kern w:val="2"/>
                <w:sz w:val="28"/>
                <w:szCs w:val="28"/>
                <w:highlight w:val="none"/>
              </w:rPr>
            </w:pPr>
            <w:r>
              <w:rPr>
                <w:rFonts w:hint="eastAsia" w:asciiTheme="majorEastAsia" w:hAnsiTheme="majorEastAsia" w:eastAsiaTheme="majorEastAsia"/>
                <w:color w:val="auto"/>
                <w:kern w:val="2"/>
                <w:sz w:val="28"/>
                <w:szCs w:val="28"/>
                <w:highlight w:val="none"/>
              </w:rPr>
              <w:t>□是</w:t>
            </w:r>
            <w:bookmarkEnd w:id="136"/>
          </w:p>
          <w:p>
            <w:pPr>
              <w:pStyle w:val="52"/>
              <w:autoSpaceDE w:val="0"/>
              <w:autoSpaceDN w:val="0"/>
              <w:adjustRightInd w:val="0"/>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应满足要求：</w:t>
            </w:r>
            <w:bookmarkStart w:id="137" w:name="EB1dd35195cf7a408cbb23b7f0f4c1857f"/>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8</w:t>
            </w:r>
          </w:p>
        </w:tc>
        <w:tc>
          <w:tcPr>
            <w:tcW w:w="2664" w:type="dxa"/>
            <w:gridSpan w:val="2"/>
            <w:vAlign w:val="center"/>
          </w:tcPr>
          <w:p>
            <w:pPr>
              <w:pStyle w:val="52"/>
              <w:spacing w:line="400" w:lineRule="exact"/>
              <w:jc w:val="center"/>
              <w:rPr>
                <w:rFonts w:asciiTheme="majorEastAsia" w:hAnsiTheme="majorEastAsia" w:eastAsiaTheme="majorEastAsia"/>
                <w:b/>
                <w:color w:val="auto"/>
                <w:kern w:val="2"/>
                <w:sz w:val="24"/>
                <w:szCs w:val="24"/>
                <w:highlight w:val="none"/>
              </w:rPr>
            </w:pPr>
            <w:r>
              <w:rPr>
                <w:rFonts w:hint="eastAsia" w:cs="宋体" w:asciiTheme="majorEastAsia" w:hAnsiTheme="majorEastAsia" w:eastAsiaTheme="majorEastAsia"/>
                <w:color w:val="auto"/>
                <w:szCs w:val="21"/>
                <w:highlight w:val="none"/>
              </w:rPr>
              <w:t>★</w:t>
            </w:r>
            <w:r>
              <w:rPr>
                <w:rFonts w:hint="eastAsia" w:asciiTheme="majorEastAsia" w:hAnsiTheme="majorEastAsia" w:eastAsiaTheme="majorEastAsia"/>
                <w:b/>
                <w:color w:val="auto"/>
                <w:kern w:val="2"/>
                <w:sz w:val="24"/>
                <w:szCs w:val="24"/>
                <w:highlight w:val="none"/>
              </w:rPr>
              <w:t>是否允许投报进口产品</w:t>
            </w:r>
          </w:p>
        </w:tc>
        <w:tc>
          <w:tcPr>
            <w:tcW w:w="5390" w:type="dxa"/>
            <w:vAlign w:val="center"/>
          </w:tcPr>
          <w:p>
            <w:pPr>
              <w:pStyle w:val="52"/>
              <w:autoSpaceDE w:val="0"/>
              <w:autoSpaceDN w:val="0"/>
              <w:adjustRightInd w:val="0"/>
              <w:spacing w:line="400" w:lineRule="exact"/>
              <w:rPr>
                <w:rFonts w:hint="default" w:eastAsia="宋体" w:cs="宋体" w:asciiTheme="majorEastAsia" w:hAnsiTheme="majorEastAsia"/>
                <w:b/>
                <w:bCs/>
                <w:color w:val="auto"/>
                <w:kern w:val="2"/>
                <w:sz w:val="28"/>
                <w:szCs w:val="28"/>
                <w:highlight w:val="none"/>
                <w:lang w:val="en-US" w:eastAsia="zh-CN"/>
              </w:rPr>
            </w:pPr>
            <w:bookmarkStart w:id="138" w:name="EB7401d5a3a7c54a98b25d14a9dd4d0afa"/>
            <w:r>
              <w:rPr>
                <w:rFonts w:hint="eastAsia" w:ascii="宋体" w:hAnsi="宋体"/>
                <w:color w:val="auto"/>
                <w:sz w:val="24"/>
                <w:szCs w:val="24"/>
                <w:highlight w:val="none"/>
              </w:rPr>
              <w:t>薄层色谱成像仪</w:t>
            </w:r>
            <w:r>
              <w:rPr>
                <w:rFonts w:hint="eastAsia" w:asciiTheme="minorEastAsia" w:hAnsiTheme="minorEastAsia" w:eastAsiaTheme="minorEastAsia" w:cstheme="minorEastAsia"/>
                <w:b/>
                <w:bCs/>
                <w:color w:val="auto"/>
                <w:sz w:val="21"/>
                <w:szCs w:val="21"/>
                <w:highlight w:val="none"/>
              </w:rPr>
              <w:t>允许进口</w:t>
            </w:r>
            <w:r>
              <w:rPr>
                <w:rFonts w:hint="eastAsia" w:asciiTheme="majorEastAsia" w:hAnsiTheme="majorEastAsia" w:eastAsiaTheme="majorEastAsia"/>
                <w:color w:val="auto"/>
                <w:kern w:val="2"/>
                <w:sz w:val="24"/>
                <w:szCs w:val="24"/>
                <w:highlight w:val="none"/>
              </w:rPr>
              <w:t xml:space="preserve"> </w:t>
            </w:r>
            <w:bookmarkEnd w:id="138"/>
            <w:r>
              <w:rPr>
                <w:rFonts w:hint="eastAsia" w:asciiTheme="majorEastAsia" w:hAnsiTheme="majorEastAsia" w:eastAsiaTheme="majorEastAsia"/>
                <w:color w:val="auto"/>
                <w:kern w:val="2"/>
                <w:sz w:val="24"/>
                <w:szCs w:val="24"/>
                <w:highlight w:val="none"/>
              </w:rPr>
              <w:t>。</w:t>
            </w:r>
            <w:r>
              <w:rPr>
                <w:rFonts w:hint="eastAsia" w:ascii="宋体" w:hAnsi="宋体"/>
                <w:color w:val="auto"/>
                <w:sz w:val="24"/>
                <w:szCs w:val="24"/>
                <w:highlight w:val="none"/>
                <w:u w:val="none"/>
              </w:rPr>
              <w:t>天然产物合成、药物合成的理论计算服务器</w:t>
            </w:r>
            <w:r>
              <w:rPr>
                <w:rFonts w:hint="eastAsia" w:ascii="宋体" w:hAnsi="宋体"/>
                <w:color w:val="auto"/>
                <w:sz w:val="24"/>
                <w:szCs w:val="24"/>
                <w:highlight w:val="none"/>
                <w:u w:val="none"/>
                <w:lang w:eastAsia="zh-CN"/>
              </w:rPr>
              <w:t>，</w:t>
            </w:r>
            <w:r>
              <w:rPr>
                <w:rFonts w:hint="eastAsia" w:ascii="宋体" w:hAnsi="宋体"/>
                <w:color w:val="auto"/>
                <w:sz w:val="24"/>
                <w:szCs w:val="24"/>
                <w:highlight w:val="none"/>
                <w:u w:val="none"/>
              </w:rPr>
              <w:t>全自动化学发光荧光图像分析系统</w:t>
            </w:r>
            <w:r>
              <w:rPr>
                <w:rFonts w:hint="eastAsia" w:asciiTheme="minorEastAsia" w:hAnsiTheme="minorEastAsia" w:eastAsiaTheme="minorEastAsia" w:cstheme="minorEastAsia"/>
                <w:color w:val="auto"/>
                <w:sz w:val="24"/>
                <w:szCs w:val="24"/>
                <w:highlight w:val="none"/>
                <w:u w:val="none"/>
                <w:lang w:eastAsia="zh-CN"/>
              </w:rPr>
              <w:t>，</w:t>
            </w:r>
            <w:r>
              <w:rPr>
                <w:rFonts w:hint="eastAsia" w:ascii="宋体" w:hAnsi="宋体"/>
                <w:color w:val="auto"/>
                <w:sz w:val="24"/>
                <w:szCs w:val="24"/>
                <w:highlight w:val="none"/>
                <w:u w:val="none"/>
              </w:rPr>
              <w:t>超微量紫外可见光分光光度计</w:t>
            </w:r>
            <w:r>
              <w:rPr>
                <w:rFonts w:hint="eastAsia" w:asciiTheme="minorEastAsia" w:hAnsiTheme="minorEastAsia" w:eastAsiaTheme="minorEastAsia" w:cstheme="minorEastAsia"/>
                <w:color w:val="auto"/>
                <w:sz w:val="24"/>
                <w:szCs w:val="24"/>
                <w:highlight w:val="none"/>
                <w:u w:val="none"/>
                <w:lang w:eastAsia="zh-CN"/>
              </w:rPr>
              <w:t>，</w:t>
            </w:r>
            <w:r>
              <w:rPr>
                <w:rFonts w:hint="eastAsia" w:ascii="宋体" w:hAnsi="宋体"/>
                <w:color w:val="auto"/>
                <w:sz w:val="24"/>
                <w:szCs w:val="24"/>
                <w:highlight w:val="none"/>
                <w:u w:val="none"/>
              </w:rPr>
              <w:t>八通道恒电位仪</w:t>
            </w:r>
            <w:r>
              <w:rPr>
                <w:rFonts w:hint="eastAsia" w:asciiTheme="minorEastAsia" w:hAnsiTheme="minorEastAsia" w:eastAsiaTheme="minorEastAsia" w:cstheme="minorEastAsia"/>
                <w:color w:val="auto"/>
                <w:sz w:val="24"/>
                <w:szCs w:val="24"/>
                <w:highlight w:val="none"/>
                <w:u w:val="none"/>
                <w:lang w:eastAsia="zh-CN"/>
              </w:rPr>
              <w:t>，</w:t>
            </w:r>
            <w:r>
              <w:rPr>
                <w:rFonts w:hint="eastAsia" w:ascii="宋体" w:hAnsi="宋体"/>
                <w:color w:val="auto"/>
                <w:sz w:val="24"/>
                <w:szCs w:val="24"/>
                <w:highlight w:val="none"/>
                <w:u w:val="none"/>
              </w:rPr>
              <w:t>细胞光毒性辐照仪</w:t>
            </w:r>
            <w:r>
              <w:rPr>
                <w:rFonts w:hint="eastAsia" w:ascii="宋体" w:hAnsi="宋体"/>
                <w:color w:val="auto"/>
                <w:sz w:val="24"/>
                <w:szCs w:val="24"/>
                <w:highlight w:val="none"/>
                <w:u w:val="none"/>
                <w:lang w:val="en-US" w:eastAsia="zh-CN"/>
              </w:rPr>
              <w:t>均为国产设备，不接受进口设备。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9</w:t>
            </w:r>
          </w:p>
        </w:tc>
        <w:tc>
          <w:tcPr>
            <w:tcW w:w="2664" w:type="dxa"/>
            <w:gridSpan w:val="2"/>
            <w:vAlign w:val="center"/>
          </w:tcPr>
          <w:p>
            <w:pPr>
              <w:pStyle w:val="52"/>
              <w:spacing w:line="400" w:lineRule="exact"/>
              <w:jc w:val="center"/>
              <w:rPr>
                <w:rFonts w:asciiTheme="majorEastAsia" w:hAnsiTheme="majorEastAsia" w:eastAsiaTheme="majorEastAsia"/>
                <w:b/>
                <w:color w:val="auto"/>
                <w:kern w:val="2"/>
                <w:sz w:val="24"/>
                <w:szCs w:val="24"/>
                <w:highlight w:val="none"/>
              </w:rPr>
            </w:pPr>
            <w:r>
              <w:rPr>
                <w:rFonts w:hint="eastAsia" w:cs="宋体" w:asciiTheme="majorEastAsia" w:hAnsiTheme="majorEastAsia" w:eastAsiaTheme="majorEastAsia"/>
                <w:color w:val="auto"/>
                <w:szCs w:val="21"/>
                <w:highlight w:val="none"/>
              </w:rPr>
              <w:t>★</w:t>
            </w:r>
            <w:r>
              <w:rPr>
                <w:rFonts w:hint="eastAsia" w:asciiTheme="majorEastAsia" w:hAnsiTheme="majorEastAsia" w:eastAsiaTheme="majorEastAsia"/>
                <w:b/>
                <w:color w:val="auto"/>
                <w:kern w:val="2"/>
                <w:sz w:val="24"/>
                <w:szCs w:val="24"/>
                <w:highlight w:val="none"/>
              </w:rPr>
              <w:t>是否允许投标人将项目非主体、非关键性工作交由他人完成</w:t>
            </w:r>
          </w:p>
        </w:tc>
        <w:tc>
          <w:tcPr>
            <w:tcW w:w="5390" w:type="dxa"/>
            <w:vAlign w:val="center"/>
          </w:tcPr>
          <w:p>
            <w:pPr>
              <w:pStyle w:val="52"/>
              <w:spacing w:line="400" w:lineRule="exact"/>
              <w:rPr>
                <w:rFonts w:asciiTheme="majorEastAsia" w:hAnsiTheme="majorEastAsia" w:eastAsiaTheme="majorEastAsia"/>
                <w:color w:val="auto"/>
                <w:kern w:val="2"/>
                <w:sz w:val="28"/>
                <w:szCs w:val="28"/>
                <w:highlight w:val="none"/>
              </w:rPr>
            </w:pPr>
            <w:bookmarkStart w:id="139" w:name="EB7f9a2183097e49ed95bd12c9f3aa7860"/>
            <w:r>
              <w:rPr>
                <w:rFonts w:hint="eastAsia" w:cs="MS Mincho" w:asciiTheme="majorEastAsia" w:hAnsiTheme="majorEastAsia"/>
                <w:b/>
                <w:bCs/>
                <w:color w:val="auto"/>
                <w:kern w:val="2"/>
                <w:sz w:val="28"/>
                <w:szCs w:val="28"/>
                <w:highlight w:val="none"/>
              </w:rPr>
              <w:sym w:font="Wingdings 2" w:char="0052"/>
            </w:r>
            <w:r>
              <w:rPr>
                <w:rFonts w:hint="eastAsia" w:asciiTheme="majorEastAsia" w:hAnsiTheme="majorEastAsia" w:eastAsiaTheme="majorEastAsia"/>
                <w:color w:val="auto"/>
                <w:kern w:val="2"/>
                <w:sz w:val="28"/>
                <w:szCs w:val="28"/>
                <w:highlight w:val="none"/>
              </w:rPr>
              <w:t>否</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□是</w:t>
            </w:r>
            <w:bookmarkEnd w:id="139"/>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中标人按照合同约定或者经采购人同意，可以将项目非主体、非关键性工作分包交由他人完成。此时，接受分包的人应当具备相应的资格条件，并不得再次分包。</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分包内容要求：</w:t>
            </w:r>
            <w:bookmarkStart w:id="140" w:name="EB114dadb1fbea4d6bb5ee4c9c12eddd86"/>
            <w:bookmarkEnd w:id="140"/>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分包金额要求：</w:t>
            </w:r>
            <w:bookmarkStart w:id="141" w:name="EBff7b7e9300cb4bc4b2cbeaa04fed307a"/>
            <w:bookmarkEnd w:id="141"/>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接受分包的第三人资质要求：</w:t>
            </w:r>
            <w:bookmarkStart w:id="142" w:name="EB6ec0273c4f0d479fbc03387394b9e6ec"/>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10</w:t>
            </w:r>
          </w:p>
        </w:tc>
        <w:tc>
          <w:tcPr>
            <w:tcW w:w="2664" w:type="dxa"/>
            <w:gridSpan w:val="2"/>
            <w:vAlign w:val="center"/>
          </w:tcPr>
          <w:p>
            <w:pPr>
              <w:pStyle w:val="52"/>
              <w:spacing w:line="400" w:lineRule="exact"/>
              <w:jc w:val="center"/>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b/>
                <w:color w:val="auto"/>
                <w:kern w:val="2"/>
                <w:sz w:val="24"/>
                <w:szCs w:val="24"/>
                <w:highlight w:val="none"/>
              </w:rPr>
              <w:t>踏勘现场</w:t>
            </w:r>
          </w:p>
        </w:tc>
        <w:tc>
          <w:tcPr>
            <w:tcW w:w="5390" w:type="dxa"/>
            <w:vAlign w:val="center"/>
          </w:tcPr>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bookmarkStart w:id="143" w:name="EBbb43714198e3424880ac7b30e46e04ef"/>
            <w:r>
              <w:rPr>
                <w:rFonts w:hint="eastAsia" w:cs="MS Mincho" w:asciiTheme="majorEastAsia" w:hAnsiTheme="majorEastAsia"/>
                <w:color w:val="auto"/>
                <w:kern w:val="2"/>
                <w:sz w:val="28"/>
                <w:szCs w:val="28"/>
                <w:highlight w:val="none"/>
              </w:rPr>
              <w:sym w:font="Wingdings 2" w:char="0052"/>
            </w:r>
            <w:r>
              <w:rPr>
                <w:rFonts w:hint="eastAsia" w:asciiTheme="majorEastAsia" w:hAnsiTheme="majorEastAsia" w:eastAsiaTheme="majorEastAsia"/>
                <w:color w:val="auto"/>
                <w:kern w:val="2"/>
                <w:sz w:val="24"/>
                <w:szCs w:val="24"/>
                <w:highlight w:val="none"/>
              </w:rPr>
              <w:t>自行踏勘</w:t>
            </w:r>
          </w:p>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□统一组织</w:t>
            </w:r>
            <w:bookmarkEnd w:id="143"/>
          </w:p>
          <w:p>
            <w:pPr>
              <w:pStyle w:val="52"/>
              <w:autoSpaceDE w:val="0"/>
              <w:autoSpaceDN w:val="0"/>
              <w:adjustRightInd w:val="0"/>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联系人：</w:t>
            </w:r>
            <w:bookmarkStart w:id="144" w:name="EB33dad0166b464ee8823a1950c9666961"/>
            <w:bookmarkEnd w:id="144"/>
          </w:p>
          <w:p>
            <w:pPr>
              <w:pStyle w:val="52"/>
              <w:autoSpaceDE w:val="0"/>
              <w:autoSpaceDN w:val="0"/>
              <w:adjustRightInd w:val="0"/>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联系电话：</w:t>
            </w:r>
            <w:bookmarkStart w:id="145" w:name="EB65e499a587da460c841a67f90f8055d0"/>
            <w:bookmarkEnd w:id="145"/>
          </w:p>
          <w:p>
            <w:pPr>
              <w:pStyle w:val="52"/>
              <w:autoSpaceDE w:val="0"/>
              <w:autoSpaceDN w:val="0"/>
              <w:adjustRightInd w:val="0"/>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踏勘时间：</w:t>
            </w:r>
            <w:bookmarkStart w:id="146" w:name="EB2c99bcd88c504ac287899c97ccd7f5ce"/>
            <w:bookmarkEnd w:id="146"/>
          </w:p>
          <w:p>
            <w:pPr>
              <w:pStyle w:val="52"/>
              <w:autoSpaceDE w:val="0"/>
              <w:autoSpaceDN w:val="0"/>
              <w:adjustRightInd w:val="0"/>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踏勘地点：</w:t>
            </w:r>
            <w:bookmarkStart w:id="147" w:name="EB71dedbf36fe341cc8bc2b5c198b26335"/>
            <w:bookmark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11</w:t>
            </w:r>
          </w:p>
        </w:tc>
        <w:tc>
          <w:tcPr>
            <w:tcW w:w="2664" w:type="dxa"/>
            <w:gridSpan w:val="2"/>
            <w:vAlign w:val="center"/>
          </w:tcPr>
          <w:p>
            <w:pPr>
              <w:pStyle w:val="52"/>
              <w:spacing w:line="400" w:lineRule="exact"/>
              <w:jc w:val="center"/>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b/>
                <w:color w:val="auto"/>
                <w:kern w:val="2"/>
                <w:sz w:val="24"/>
                <w:szCs w:val="24"/>
                <w:highlight w:val="none"/>
              </w:rPr>
              <w:t>答疑接受时间</w:t>
            </w:r>
          </w:p>
        </w:tc>
        <w:tc>
          <w:tcPr>
            <w:tcW w:w="5390" w:type="dxa"/>
            <w:vAlign w:val="center"/>
          </w:tcPr>
          <w:p>
            <w:pPr>
              <w:pStyle w:val="52"/>
              <w:spacing w:line="400" w:lineRule="exact"/>
              <w:rPr>
                <w:rFonts w:asciiTheme="majorEastAsia" w:hAnsiTheme="majorEastAsia" w:eastAsiaTheme="majorEastAsia"/>
                <w:bCs/>
                <w:color w:val="auto"/>
                <w:kern w:val="2"/>
                <w:sz w:val="24"/>
                <w:szCs w:val="24"/>
                <w:highlight w:val="none"/>
              </w:rPr>
            </w:pPr>
            <w:r>
              <w:rPr>
                <w:rFonts w:hint="eastAsia" w:cs="宋体" w:asciiTheme="majorEastAsia" w:hAnsiTheme="majorEastAsia" w:eastAsiaTheme="majorEastAsia"/>
                <w:color w:val="auto"/>
                <w:sz w:val="24"/>
                <w:szCs w:val="24"/>
                <w:highlight w:val="none"/>
              </w:rPr>
              <w:t>公告发布后7个工作日内（含7个工作日）接受投标人疑问或澄清要求（逾期视为理解和接受）。</w:t>
            </w:r>
          </w:p>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sz w:val="24"/>
                <w:szCs w:val="24"/>
                <w:highlight w:val="none"/>
              </w:rPr>
              <w:t>联系人：</w:t>
            </w:r>
            <w:r>
              <w:rPr>
                <w:rFonts w:hint="eastAsia" w:cs="宋体" w:asciiTheme="majorEastAsia" w:hAnsiTheme="majorEastAsia" w:eastAsiaTheme="majorEastAsia"/>
                <w:color w:val="auto"/>
                <w:sz w:val="24"/>
                <w:szCs w:val="24"/>
                <w:highlight w:val="none"/>
              </w:rPr>
              <w:t>王文生</w:t>
            </w:r>
          </w:p>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联系电话：15899172096</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提交方式：</w:t>
            </w:r>
            <w:r>
              <w:rPr>
                <w:rFonts w:hint="eastAsia" w:cs="宋体" w:asciiTheme="majorEastAsia" w:hAnsiTheme="majorEastAsia" w:eastAsiaTheme="majorEastAsia"/>
                <w:color w:val="auto"/>
                <w:sz w:val="24"/>
                <w:szCs w:val="24"/>
                <w:highlight w:val="none"/>
              </w:rPr>
              <w:t>纸质版递交至新疆经纬招标有限责任公司</w:t>
            </w:r>
          </w:p>
          <w:p>
            <w:pPr>
              <w:pStyle w:val="52"/>
              <w:spacing w:line="400" w:lineRule="exact"/>
              <w:rPr>
                <w:rFonts w:asciiTheme="majorEastAsia" w:hAnsiTheme="majorEastAsia" w:eastAsiaTheme="majorEastAsia"/>
                <w:b/>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注：</w:t>
            </w:r>
            <w:r>
              <w:rPr>
                <w:rFonts w:hint="eastAsia" w:cs="宋体" w:asciiTheme="majorEastAsia" w:hAnsiTheme="majorEastAsia" w:eastAsiaTheme="majorEastAsia"/>
                <w:color w:val="auto"/>
                <w:sz w:val="24"/>
                <w:szCs w:val="24"/>
                <w:highlight w:val="none"/>
              </w:rPr>
              <w:t>澄清、修改文件发出后，投标人必须使用最新的澄清文件制作电子投标文件，否则将无法完成上传。</w:t>
            </w:r>
            <w:r>
              <w:rPr>
                <w:rFonts w:asciiTheme="majorEastAsia" w:hAnsiTheme="majorEastAsia" w:eastAsiaTheme="majorEastAsia"/>
                <w:bCs/>
                <w:color w:val="auto"/>
                <w:sz w:val="24"/>
                <w:szCs w:val="24"/>
                <w:highlight w:val="none"/>
              </w:rPr>
              <w:t>答疑接受时间内未要求澄清或答疑的视为接受招标文件中所有的内容。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12</w:t>
            </w:r>
          </w:p>
        </w:tc>
        <w:tc>
          <w:tcPr>
            <w:tcW w:w="2664" w:type="dxa"/>
            <w:gridSpan w:val="2"/>
            <w:vAlign w:val="center"/>
          </w:tcPr>
          <w:p>
            <w:pPr>
              <w:pStyle w:val="52"/>
              <w:spacing w:line="400" w:lineRule="exact"/>
              <w:jc w:val="center"/>
              <w:rPr>
                <w:rFonts w:asciiTheme="majorEastAsia" w:hAnsiTheme="majorEastAsia" w:eastAsiaTheme="majorEastAsia"/>
                <w:b/>
                <w:color w:val="auto"/>
                <w:kern w:val="2"/>
                <w:sz w:val="24"/>
                <w:szCs w:val="24"/>
                <w:highlight w:val="none"/>
              </w:rPr>
            </w:pPr>
            <w:r>
              <w:rPr>
                <w:rFonts w:hint="eastAsia" w:cs="宋体" w:asciiTheme="majorEastAsia" w:hAnsiTheme="majorEastAsia" w:eastAsiaTheme="majorEastAsia"/>
                <w:color w:val="auto"/>
                <w:szCs w:val="21"/>
                <w:highlight w:val="none"/>
              </w:rPr>
              <w:t>★</w:t>
            </w:r>
            <w:r>
              <w:rPr>
                <w:rFonts w:hint="eastAsia" w:asciiTheme="majorEastAsia" w:hAnsiTheme="majorEastAsia" w:eastAsiaTheme="majorEastAsia"/>
                <w:b/>
                <w:color w:val="auto"/>
                <w:kern w:val="2"/>
                <w:sz w:val="24"/>
                <w:szCs w:val="24"/>
                <w:highlight w:val="none"/>
              </w:rPr>
              <w:t>投标有效期</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hint="eastAsia" w:cs="仿宋" w:asciiTheme="majorEastAsia" w:hAnsiTheme="majorEastAsia" w:eastAsiaTheme="majorEastAsia"/>
                <w:color w:val="auto"/>
                <w:kern w:val="2"/>
                <w:sz w:val="24"/>
                <w:szCs w:val="24"/>
                <w:highlight w:val="none"/>
                <w:lang w:val="zh-CN"/>
              </w:rPr>
              <w:t>自投标截止之日起</w:t>
            </w:r>
            <w:bookmarkStart w:id="148" w:name="EB5a3362fe8fc1402b9d5cafc876bbbffd"/>
            <w:r>
              <w:rPr>
                <w:rFonts w:hint="eastAsia" w:cs="仿宋" w:asciiTheme="majorEastAsia" w:hAnsiTheme="majorEastAsia" w:eastAsiaTheme="majorEastAsia"/>
                <w:color w:val="auto"/>
                <w:kern w:val="2"/>
                <w:sz w:val="24"/>
                <w:szCs w:val="24"/>
                <w:highlight w:val="none"/>
                <w:u w:val="single"/>
                <w:lang w:val="zh-CN"/>
              </w:rPr>
              <w:t>90</w:t>
            </w:r>
            <w:bookmarkEnd w:id="148"/>
            <w:r>
              <w:rPr>
                <w:rFonts w:hint="eastAsia" w:cs="仿宋" w:asciiTheme="majorEastAsia" w:hAnsiTheme="majorEastAsia" w:eastAsiaTheme="majorEastAsia"/>
                <w:color w:val="auto"/>
                <w:kern w:val="2"/>
                <w:sz w:val="24"/>
                <w:szCs w:val="24"/>
                <w:highlight w:val="none"/>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13</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投标截止时间</w:t>
            </w:r>
          </w:p>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（开标时间）</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截止时间：</w:t>
            </w:r>
            <w:r>
              <w:rPr>
                <w:rFonts w:hint="eastAsia" w:asciiTheme="majorEastAsia" w:hAnsiTheme="majorEastAsia" w:eastAsiaTheme="majorEastAsia"/>
                <w:color w:val="auto"/>
                <w:sz w:val="24"/>
                <w:szCs w:val="24"/>
                <w:highlight w:val="none"/>
              </w:rPr>
              <w:t>2023年</w:t>
            </w:r>
            <w:r>
              <w:rPr>
                <w:rFonts w:asciiTheme="majorEastAsia" w:hAnsiTheme="majorEastAsia" w:eastAsiaTheme="majorEastAsia"/>
                <w:color w:val="auto"/>
                <w:sz w:val="24"/>
                <w:szCs w:val="24"/>
                <w:highlight w:val="none"/>
              </w:rPr>
              <w:t>6</w:t>
            </w:r>
            <w:r>
              <w:rPr>
                <w:rFonts w:hint="eastAsia" w:asciiTheme="majorEastAsia" w:hAnsiTheme="majorEastAsia" w:eastAsiaTheme="majorEastAsia"/>
                <w:color w:val="auto"/>
                <w:sz w:val="24"/>
                <w:szCs w:val="24"/>
                <w:highlight w:val="none"/>
              </w:rPr>
              <w:t>月</w:t>
            </w:r>
            <w:r>
              <w:rPr>
                <w:rFonts w:hint="eastAsia" w:asciiTheme="majorEastAsia" w:hAnsiTheme="majorEastAsia" w:eastAsiaTheme="majorEastAsia"/>
                <w:color w:val="auto"/>
                <w:sz w:val="24"/>
                <w:szCs w:val="24"/>
                <w:highlight w:val="none"/>
                <w:lang w:val="en-US" w:eastAsia="zh-CN"/>
              </w:rPr>
              <w:t>6</w:t>
            </w:r>
            <w:r>
              <w:rPr>
                <w:rFonts w:hint="eastAsia" w:asciiTheme="majorEastAsia" w:hAnsiTheme="majorEastAsia" w:eastAsiaTheme="majorEastAsia"/>
                <w:color w:val="auto"/>
                <w:sz w:val="24"/>
                <w:szCs w:val="24"/>
                <w:highlight w:val="none"/>
              </w:rPr>
              <w:t>日11:00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14</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投标人在投标截止</w:t>
            </w:r>
          </w:p>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时间前提交的文件</w:t>
            </w:r>
          </w:p>
        </w:tc>
        <w:tc>
          <w:tcPr>
            <w:tcW w:w="5390" w:type="dxa"/>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kern w:val="2"/>
                <w:sz w:val="24"/>
                <w:szCs w:val="24"/>
                <w:highlight w:val="none"/>
              </w:rPr>
              <w:t>投标文件（具体要求见本表第15项）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15</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投标文件份数</w:t>
            </w:r>
          </w:p>
        </w:tc>
        <w:tc>
          <w:tcPr>
            <w:tcW w:w="5390" w:type="dxa"/>
            <w:vAlign w:val="center"/>
          </w:tcPr>
          <w:p>
            <w:pPr>
              <w:pStyle w:val="54"/>
              <w:widowControl/>
              <w:autoSpaceDE w:val="0"/>
              <w:autoSpaceDN w:val="0"/>
              <w:spacing w:line="400" w:lineRule="exact"/>
              <w:rPr>
                <w:rFonts w:cs="宋体" w:asciiTheme="majorEastAsia" w:hAnsiTheme="majorEastAsia" w:eastAsiaTheme="majorEastAsia"/>
                <w:b/>
                <w:color w:val="auto"/>
                <w:kern w:val="2"/>
                <w:sz w:val="24"/>
                <w:szCs w:val="24"/>
                <w:highlight w:val="none"/>
              </w:rPr>
            </w:pPr>
            <w:r>
              <w:rPr>
                <w:rFonts w:hint="eastAsia" w:eastAsia="MS Mincho" w:cs="MS Mincho" w:asciiTheme="majorEastAsia" w:hAnsiTheme="majorEastAsia"/>
                <w:color w:val="auto"/>
                <w:kern w:val="2"/>
                <w:sz w:val="24"/>
                <w:szCs w:val="24"/>
                <w:highlight w:val="none"/>
              </w:rPr>
              <w:t>☑</w:t>
            </w:r>
            <w:r>
              <w:rPr>
                <w:rFonts w:hint="eastAsia" w:cs="宋体" w:asciiTheme="majorEastAsia" w:hAnsiTheme="majorEastAsia" w:eastAsiaTheme="majorEastAsia"/>
                <w:b/>
                <w:color w:val="auto"/>
                <w:kern w:val="2"/>
                <w:sz w:val="24"/>
                <w:szCs w:val="24"/>
                <w:highlight w:val="none"/>
              </w:rPr>
              <w:t>采用不见面开标：</w:t>
            </w:r>
          </w:p>
          <w:p>
            <w:pPr>
              <w:pStyle w:val="52"/>
              <w:spacing w:line="400" w:lineRule="exact"/>
              <w:rPr>
                <w:rFonts w:asciiTheme="majorEastAsia" w:hAnsiTheme="majorEastAsia" w:eastAsiaTheme="majorEastAsia"/>
                <w:color w:val="auto"/>
                <w:sz w:val="24"/>
                <w:szCs w:val="24"/>
                <w:highlight w:val="none"/>
              </w:rPr>
            </w:pPr>
            <w:r>
              <w:rPr>
                <w:rFonts w:cs="宋体" w:asciiTheme="majorEastAsia" w:hAnsiTheme="majorEastAsia" w:eastAsiaTheme="majorEastAsia"/>
                <w:color w:val="auto"/>
                <w:kern w:val="2"/>
                <w:sz w:val="24"/>
                <w:szCs w:val="24"/>
                <w:highlight w:val="none"/>
              </w:rPr>
              <w:t>1</w:t>
            </w:r>
            <w:r>
              <w:rPr>
                <w:rFonts w:hint="eastAsia" w:cs="宋体" w:asciiTheme="majorEastAsia" w:hAnsiTheme="majorEastAsia" w:eastAsiaTheme="majorEastAsia"/>
                <w:color w:val="auto"/>
                <w:kern w:val="2"/>
                <w:sz w:val="24"/>
                <w:szCs w:val="24"/>
                <w:highlight w:val="none"/>
              </w:rPr>
              <w:t>.</w:t>
            </w:r>
            <w:r>
              <w:rPr>
                <w:rFonts w:cs="宋体" w:asciiTheme="majorEastAsia" w:hAnsiTheme="majorEastAsia" w:eastAsiaTheme="majorEastAsia"/>
                <w:color w:val="auto"/>
                <w:kern w:val="2"/>
                <w:sz w:val="24"/>
                <w:szCs w:val="24"/>
                <w:highlight w:val="none"/>
              </w:rPr>
              <w:t>本项目采用不见面开标、投标人需要递交电子投标文件，</w:t>
            </w:r>
            <w:r>
              <w:rPr>
                <w:rFonts w:hint="eastAsia" w:asciiTheme="majorEastAsia" w:hAnsiTheme="majorEastAsia" w:eastAsiaTheme="majorEastAsia"/>
                <w:color w:val="auto"/>
                <w:sz w:val="24"/>
                <w:szCs w:val="24"/>
                <w:highlight w:val="none"/>
              </w:rPr>
              <w:t>加密的电子投标文件，在投标截止时间前通过政采云平台</w:t>
            </w:r>
            <w:r>
              <w:rPr>
                <w:rFonts w:asciiTheme="majorEastAsia" w:hAnsiTheme="majorEastAsia" w:eastAsiaTheme="majorEastAsia"/>
                <w:color w:val="auto"/>
                <w:sz w:val="24"/>
                <w:szCs w:val="24"/>
                <w:highlight w:val="none"/>
              </w:rPr>
              <w:t>（https://www.zcygov.cn/）</w:t>
            </w:r>
            <w:r>
              <w:rPr>
                <w:rFonts w:hint="eastAsia" w:asciiTheme="majorEastAsia" w:hAnsiTheme="majorEastAsia" w:eastAsiaTheme="majorEastAsia"/>
                <w:color w:val="auto"/>
                <w:sz w:val="24"/>
                <w:szCs w:val="24"/>
                <w:highlight w:val="none"/>
              </w:rPr>
              <w:t>上传到指定位置。</w:t>
            </w:r>
            <w:r>
              <w:rPr>
                <w:rFonts w:cs="宋体" w:asciiTheme="majorEastAsia" w:hAnsiTheme="majorEastAsia" w:eastAsiaTheme="majorEastAsia"/>
                <w:color w:val="auto"/>
                <w:kern w:val="2"/>
                <w:sz w:val="24"/>
                <w:szCs w:val="24"/>
                <w:highlight w:val="none"/>
              </w:rPr>
              <w:t>无需递交纸质文件。</w:t>
            </w:r>
          </w:p>
          <w:p>
            <w:pPr>
              <w:pStyle w:val="54"/>
              <w:spacing w:line="400" w:lineRule="exact"/>
              <w:rPr>
                <w:rFonts w:asciiTheme="majorEastAsia" w:hAnsiTheme="majorEastAsia" w:eastAsiaTheme="majorEastAsia"/>
                <w:color w:val="auto"/>
                <w:kern w:val="2"/>
                <w:sz w:val="24"/>
                <w:szCs w:val="24"/>
                <w:highlight w:val="none"/>
              </w:rPr>
            </w:pPr>
            <w:r>
              <w:rPr>
                <w:rFonts w:cs="宋体" w:asciiTheme="majorEastAsia" w:hAnsiTheme="majorEastAsia" w:eastAsiaTheme="majorEastAsia"/>
                <w:color w:val="auto"/>
                <w:kern w:val="2"/>
                <w:sz w:val="24"/>
                <w:szCs w:val="24"/>
                <w:highlight w:val="none"/>
              </w:rPr>
              <w:t>2.本项目采用远程不见面交易的模式。开标当日，投标人无需到达开标现场，仅需在任意地点通</w:t>
            </w:r>
            <w:r>
              <w:rPr>
                <w:rFonts w:hint="eastAsia" w:cs="宋体" w:asciiTheme="majorEastAsia" w:hAnsiTheme="majorEastAsia" w:eastAsiaTheme="majorEastAsia"/>
                <w:color w:val="auto"/>
                <w:kern w:val="2"/>
                <w:sz w:val="24"/>
                <w:szCs w:val="24"/>
                <w:highlight w:val="none"/>
              </w:rPr>
              <w:t>过</w:t>
            </w:r>
            <w:r>
              <w:rPr>
                <w:rFonts w:hint="eastAsia" w:asciiTheme="majorEastAsia" w:hAnsiTheme="majorEastAsia" w:eastAsiaTheme="majorEastAsia"/>
                <w:color w:val="auto"/>
                <w:sz w:val="24"/>
                <w:szCs w:val="24"/>
                <w:highlight w:val="none"/>
              </w:rPr>
              <w:t>政采云平台</w:t>
            </w:r>
            <w:r>
              <w:rPr>
                <w:rFonts w:asciiTheme="majorEastAsia" w:hAnsiTheme="majorEastAsia" w:eastAsiaTheme="majorEastAsia"/>
                <w:color w:val="auto"/>
                <w:sz w:val="24"/>
                <w:szCs w:val="24"/>
                <w:highlight w:val="none"/>
              </w:rPr>
              <w:t>（https://www.zcygov.cn/）</w:t>
            </w:r>
            <w:r>
              <w:rPr>
                <w:rFonts w:cs="宋体" w:asciiTheme="majorEastAsia" w:hAnsiTheme="majorEastAsia" w:eastAsiaTheme="majorEastAsia"/>
                <w:color w:val="auto"/>
                <w:kern w:val="2"/>
                <w:sz w:val="24"/>
                <w:szCs w:val="24"/>
                <w:highlight w:val="none"/>
              </w:rPr>
              <w:t>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w:t>
            </w:r>
            <w:r>
              <w:rPr>
                <w:rFonts w:hint="eastAsia" w:cs="宋体" w:asciiTheme="majorEastAsia" w:hAnsiTheme="majorEastAsia" w:eastAsiaTheme="majorEastAsia"/>
                <w:color w:val="auto"/>
                <w:kern w:val="2"/>
                <w:sz w:val="24"/>
                <w:szCs w:val="24"/>
                <w:highlight w:val="none"/>
              </w:rPr>
              <w:t>采购</w:t>
            </w:r>
            <w:r>
              <w:rPr>
                <w:rFonts w:cs="宋体" w:asciiTheme="majorEastAsia" w:hAnsiTheme="majorEastAsia" w:eastAsiaTheme="majorEastAsia"/>
                <w:color w:val="auto"/>
                <w:kern w:val="2"/>
                <w:sz w:val="24"/>
                <w:szCs w:val="24"/>
                <w:highlight w:val="none"/>
              </w:rPr>
              <w:t>人原因或网上招投标平台发生故障，导致无法按时完成投标文件解密或开、评标工作无法进行的，可根据实际情况相应延迟解密时间或调整开、评标时间（友情提示：若投标人已领取副锁（含多把副锁）请注意正副锁的使用差别，</w:t>
            </w:r>
            <w:r>
              <w:rPr>
                <w:rFonts w:hint="eastAsia" w:cs="宋体" w:asciiTheme="majorEastAsia" w:hAnsiTheme="majorEastAsia" w:eastAsiaTheme="majorEastAsia"/>
                <w:color w:val="auto"/>
                <w:kern w:val="2"/>
                <w:sz w:val="24"/>
                <w:szCs w:val="24"/>
                <w:highlight w:val="none"/>
              </w:rPr>
              <w:t>务必使用生成投标文件的那把锁解密</w:t>
            </w:r>
            <w:r>
              <w:rPr>
                <w:rFonts w:cs="宋体" w:asciiTheme="majorEastAsia" w:hAnsiTheme="majorEastAsia" w:eastAsiaTheme="majorEastAsia"/>
                <w:color w:val="auto"/>
                <w:kern w:val="2"/>
                <w:sz w:val="24"/>
                <w:szCs w:val="24"/>
                <w:highlight w:val="none"/>
              </w:rPr>
              <w:t>）。</w:t>
            </w:r>
          </w:p>
          <w:p>
            <w:pPr>
              <w:pStyle w:val="52"/>
              <w:spacing w:line="400" w:lineRule="exact"/>
              <w:rPr>
                <w:rFonts w:asciiTheme="majorEastAsia" w:hAnsiTheme="majorEastAsia" w:eastAsiaTheme="majorEastAsia"/>
                <w:color w:val="auto"/>
                <w:kern w:val="2"/>
                <w:sz w:val="24"/>
                <w:szCs w:val="24"/>
                <w:highlight w:val="none"/>
              </w:rPr>
            </w:pPr>
            <w:r>
              <w:rPr>
                <w:rFonts w:cs="宋体" w:asciiTheme="majorEastAsia" w:hAnsiTheme="majorEastAsia" w:eastAsiaTheme="majorEastAsia"/>
                <w:color w:val="auto"/>
                <w:kern w:val="2"/>
                <w:sz w:val="24"/>
                <w:szCs w:val="24"/>
                <w:highlight w:val="none"/>
              </w:rPr>
              <w:t>3.远程开标前，投标人务必在</w:t>
            </w:r>
            <w:r>
              <w:rPr>
                <w:rFonts w:hint="eastAsia" w:asciiTheme="majorEastAsia" w:hAnsiTheme="majorEastAsia" w:eastAsiaTheme="majorEastAsia"/>
                <w:color w:val="auto"/>
                <w:sz w:val="24"/>
                <w:szCs w:val="24"/>
                <w:highlight w:val="none"/>
              </w:rPr>
              <w:t>政采云平台</w:t>
            </w:r>
            <w:r>
              <w:rPr>
                <w:rFonts w:asciiTheme="majorEastAsia" w:hAnsiTheme="majorEastAsia" w:eastAsiaTheme="majorEastAsia"/>
                <w:color w:val="auto"/>
                <w:sz w:val="24"/>
                <w:szCs w:val="24"/>
                <w:highlight w:val="none"/>
              </w:rPr>
              <w:t>（https://www.zcygov.cn/）</w:t>
            </w:r>
            <w:r>
              <w:rPr>
                <w:rFonts w:cs="宋体" w:asciiTheme="majorEastAsia" w:hAnsiTheme="majorEastAsia" w:eastAsiaTheme="majorEastAsia"/>
                <w:color w:val="auto"/>
                <w:kern w:val="2"/>
                <w:sz w:val="24"/>
                <w:szCs w:val="24"/>
                <w:highlight w:val="none"/>
              </w:rPr>
              <w:t>投标文件上传模块中使用“模拟解密”功能，验证本机远程自助解密环境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16</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开标时间及地点</w:t>
            </w:r>
          </w:p>
        </w:tc>
        <w:tc>
          <w:tcPr>
            <w:tcW w:w="5390" w:type="dxa"/>
            <w:vAlign w:val="center"/>
          </w:tcPr>
          <w:p>
            <w:pPr>
              <w:pStyle w:val="54"/>
              <w:widowControl/>
              <w:spacing w:line="400" w:lineRule="exact"/>
              <w:rPr>
                <w:rFonts w:asciiTheme="majorEastAsia" w:hAnsiTheme="majorEastAsia" w:eastAsiaTheme="majorEastAsia"/>
                <w:b/>
                <w:color w:val="auto"/>
                <w:sz w:val="24"/>
                <w:szCs w:val="24"/>
                <w:highlight w:val="none"/>
              </w:rPr>
            </w:pPr>
            <w:r>
              <w:rPr>
                <w:rFonts w:hint="eastAsia" w:eastAsia="MS Mincho" w:cs="MS Mincho" w:asciiTheme="majorEastAsia" w:hAnsiTheme="majorEastAsia"/>
                <w:color w:val="auto"/>
                <w:kern w:val="2"/>
                <w:sz w:val="24"/>
                <w:szCs w:val="24"/>
                <w:highlight w:val="none"/>
              </w:rPr>
              <w:t>☑</w:t>
            </w:r>
            <w:r>
              <w:rPr>
                <w:rFonts w:hint="eastAsia" w:asciiTheme="majorEastAsia" w:hAnsiTheme="majorEastAsia" w:eastAsiaTheme="majorEastAsia"/>
                <w:b/>
                <w:color w:val="auto"/>
                <w:kern w:val="2"/>
                <w:sz w:val="24"/>
                <w:szCs w:val="24"/>
                <w:highlight w:val="none"/>
              </w:rPr>
              <w:t>采用</w:t>
            </w:r>
            <w:r>
              <w:rPr>
                <w:rFonts w:hint="eastAsia" w:asciiTheme="majorEastAsia" w:hAnsiTheme="majorEastAsia" w:eastAsiaTheme="majorEastAsia"/>
                <w:b/>
                <w:color w:val="auto"/>
                <w:sz w:val="24"/>
                <w:szCs w:val="24"/>
                <w:highlight w:val="none"/>
              </w:rPr>
              <w:t>不见面开标：</w:t>
            </w:r>
          </w:p>
          <w:p>
            <w:pPr>
              <w:pStyle w:val="54"/>
              <w:spacing w:line="400" w:lineRule="exact"/>
              <w:ind w:leftChars="-1" w:hanging="2" w:hangingChars="1"/>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sz w:val="24"/>
                <w:szCs w:val="24"/>
                <w:highlight w:val="none"/>
              </w:rPr>
              <w:t>开标时间：</w:t>
            </w:r>
            <w:r>
              <w:rPr>
                <w:rFonts w:hint="eastAsia" w:asciiTheme="majorEastAsia" w:hAnsiTheme="majorEastAsia" w:eastAsiaTheme="majorEastAsia"/>
                <w:color w:val="auto"/>
                <w:kern w:val="2"/>
                <w:sz w:val="24"/>
                <w:szCs w:val="24"/>
                <w:highlight w:val="none"/>
              </w:rPr>
              <w:t>同投标截止时间</w:t>
            </w:r>
            <w:r>
              <w:rPr>
                <w:rFonts w:hint="eastAsia" w:asciiTheme="majorEastAsia" w:hAnsiTheme="majorEastAsia" w:eastAsiaTheme="majorEastAsia"/>
                <w:color w:val="auto"/>
                <w:sz w:val="24"/>
                <w:szCs w:val="24"/>
                <w:highlight w:val="none"/>
              </w:rPr>
              <w:t>（逾期未上传的投标文件将被拒绝接收，不符合要求的投标文件将被退回）</w:t>
            </w:r>
          </w:p>
          <w:p>
            <w:pPr>
              <w:pStyle w:val="54"/>
              <w:spacing w:line="400" w:lineRule="exact"/>
              <w:ind w:leftChars="-1" w:hanging="2" w:hangingChars="1"/>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开标地点：新疆乌鲁木齐市天山区光明路</w:t>
            </w:r>
            <w:r>
              <w:rPr>
                <w:rFonts w:cs="宋体" w:asciiTheme="majorEastAsia" w:hAnsiTheme="majorEastAsia" w:eastAsiaTheme="majorEastAsia"/>
                <w:color w:val="auto"/>
                <w:sz w:val="24"/>
                <w:szCs w:val="24"/>
                <w:highlight w:val="none"/>
              </w:rPr>
              <w:t>276号E阳臻品1503室会议室（政采云平台https://www.zcygov.cn/不见面开标大厅）</w:t>
            </w:r>
            <w:r>
              <w:rPr>
                <w:rFonts w:hint="eastAsia" w:cs="宋体" w:asciiTheme="majorEastAsia" w:hAnsiTheme="majorEastAsia" w:eastAsiaTheme="majorEastAsia"/>
                <w:color w:val="auto"/>
                <w:sz w:val="24"/>
                <w:szCs w:val="24"/>
                <w:highlight w:val="none"/>
              </w:rPr>
              <w:t>；本项目为不见面开标，投标单位无需到达现场。</w:t>
            </w:r>
          </w:p>
          <w:p>
            <w:pPr>
              <w:pStyle w:val="54"/>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不见面开标默认解密时长：</w:t>
            </w:r>
            <w:r>
              <w:rPr>
                <w:rFonts w:hint="eastAsia" w:cs="宋体" w:asciiTheme="majorEastAsia" w:hAnsiTheme="majorEastAsia" w:eastAsiaTheme="majorEastAsia"/>
                <w:bCs/>
                <w:color w:val="auto"/>
                <w:kern w:val="2"/>
                <w:sz w:val="24"/>
                <w:szCs w:val="24"/>
                <w:highlight w:val="none"/>
                <w:u w:val="single"/>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17</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评标委员会的组成</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评标委员会构成：5人，其中招标人代表1人</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评委确定方式：开标前于政采云专家库中抽取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18</w:t>
            </w:r>
          </w:p>
        </w:tc>
        <w:tc>
          <w:tcPr>
            <w:tcW w:w="2664" w:type="dxa"/>
            <w:gridSpan w:val="2"/>
            <w:vMerge w:val="restart"/>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cs="宋体" w:asciiTheme="majorEastAsia" w:hAnsiTheme="majorEastAsia" w:eastAsiaTheme="majorEastAsia"/>
                <w:color w:val="auto"/>
                <w:szCs w:val="21"/>
                <w:highlight w:val="none"/>
              </w:rPr>
              <w:t>★</w:t>
            </w:r>
            <w:r>
              <w:rPr>
                <w:rFonts w:hint="eastAsia" w:asciiTheme="majorEastAsia" w:hAnsiTheme="majorEastAsia" w:eastAsiaTheme="majorEastAsia"/>
                <w:b/>
                <w:color w:val="auto"/>
                <w:sz w:val="24"/>
                <w:szCs w:val="24"/>
                <w:highlight w:val="none"/>
              </w:rPr>
              <w:t>投标保证金</w:t>
            </w:r>
          </w:p>
        </w:tc>
        <w:tc>
          <w:tcPr>
            <w:tcW w:w="5390" w:type="dxa"/>
            <w:vAlign w:val="center"/>
          </w:tcPr>
          <w:p>
            <w:pPr>
              <w:pStyle w:val="52"/>
              <w:spacing w:line="400" w:lineRule="exact"/>
              <w:rPr>
                <w:rFonts w:asciiTheme="majorEastAsia" w:hAnsiTheme="majorEastAsia" w:eastAsiaTheme="majorEastAsia"/>
                <w:bCs/>
                <w:color w:val="auto"/>
                <w:sz w:val="24"/>
                <w:szCs w:val="24"/>
                <w:highlight w:val="none"/>
              </w:rPr>
            </w:pPr>
            <w:r>
              <w:rPr>
                <w:rFonts w:hint="eastAsia" w:asciiTheme="majorEastAsia" w:hAnsiTheme="majorEastAsia" w:eastAsiaTheme="majorEastAsia"/>
                <w:color w:val="auto"/>
                <w:kern w:val="2"/>
                <w:sz w:val="24"/>
                <w:szCs w:val="24"/>
                <w:highlight w:val="none"/>
              </w:rPr>
              <w:t>缴纳方式：电汇、网银转账或保函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2664" w:type="dxa"/>
            <w:gridSpan w:val="2"/>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5390" w:type="dxa"/>
            <w:vAlign w:val="center"/>
          </w:tcPr>
          <w:p>
            <w:pPr>
              <w:pStyle w:val="24"/>
              <w:spacing w:line="40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kern w:val="0"/>
                <w:sz w:val="24"/>
                <w:highlight w:val="none"/>
              </w:rPr>
              <w:t>金额（小写）：</w:t>
            </w:r>
            <w:bookmarkStart w:id="149" w:name="EB6d3f3d4bc1fe49838b57e1bcaa321f47"/>
            <w:bookmarkEnd w:id="149"/>
            <w:r>
              <w:rPr>
                <w:rFonts w:hint="eastAsia" w:asciiTheme="majorEastAsia" w:hAnsiTheme="majorEastAsia" w:eastAsiaTheme="majorEastAsia"/>
                <w:color w:val="auto"/>
                <w:kern w:val="0"/>
                <w:sz w:val="24"/>
                <w:highlight w:val="none"/>
                <w:u w:val="single"/>
              </w:rPr>
              <w:t>10000</w:t>
            </w:r>
            <w:r>
              <w:rPr>
                <w:rFonts w:asciiTheme="majorEastAsia" w:hAnsiTheme="majorEastAsia" w:eastAsiaTheme="majorEastAsia"/>
                <w:color w:val="auto"/>
                <w:kern w:val="0"/>
                <w:sz w:val="24"/>
                <w:highlight w:val="none"/>
                <w:u w:val="single"/>
              </w:rPr>
              <w:t>.00</w:t>
            </w:r>
            <w:r>
              <w:rPr>
                <w:rFonts w:hint="eastAsia" w:asciiTheme="majorEastAsia" w:hAnsiTheme="majorEastAsia" w:eastAsiaTheme="majorEastAsia"/>
                <w:color w:val="auto"/>
                <w:kern w:val="0"/>
                <w:sz w:val="24"/>
                <w:highlight w:val="none"/>
                <w:u w:val="single"/>
              </w:rPr>
              <w:t>元</w:t>
            </w:r>
          </w:p>
          <w:p>
            <w:pPr>
              <w:pStyle w:val="24"/>
              <w:spacing w:line="400" w:lineRule="exact"/>
              <w:rPr>
                <w:rFonts w:asciiTheme="majorEastAsia" w:hAnsiTheme="majorEastAsia" w:eastAsiaTheme="majorEastAsia"/>
                <w:color w:val="auto"/>
                <w:kern w:val="0"/>
                <w:sz w:val="24"/>
                <w:highlight w:val="none"/>
                <w:u w:val="single"/>
              </w:rPr>
            </w:pPr>
            <w:r>
              <w:rPr>
                <w:rFonts w:hint="eastAsia" w:asciiTheme="majorEastAsia" w:hAnsiTheme="majorEastAsia" w:eastAsiaTheme="majorEastAsia"/>
                <w:color w:val="auto"/>
                <w:kern w:val="0"/>
                <w:sz w:val="24"/>
                <w:highlight w:val="none"/>
              </w:rPr>
              <w:t>金额（大写）：</w:t>
            </w:r>
            <w:bookmarkStart w:id="150" w:name="EB50c373fb488e45df8b9e693e805e8d57"/>
            <w:bookmarkEnd w:id="150"/>
            <w:r>
              <w:rPr>
                <w:rFonts w:hint="eastAsia" w:asciiTheme="majorEastAsia" w:hAnsiTheme="majorEastAsia" w:eastAsiaTheme="majorEastAsia"/>
                <w:color w:val="auto"/>
                <w:kern w:val="0"/>
                <w:sz w:val="24"/>
                <w:highlight w:val="none"/>
                <w:u w:val="single"/>
              </w:rPr>
              <w:t>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2664" w:type="dxa"/>
            <w:gridSpan w:val="2"/>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5390" w:type="dxa"/>
            <w:vAlign w:val="center"/>
          </w:tcPr>
          <w:p>
            <w:pPr>
              <w:pStyle w:val="54"/>
              <w:spacing w:line="400" w:lineRule="exact"/>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单位名称：新疆经纬招标有限责任公司</w:t>
            </w:r>
          </w:p>
          <w:p>
            <w:pPr>
              <w:pStyle w:val="54"/>
              <w:spacing w:line="400" w:lineRule="exact"/>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开户行：乌鲁木齐市银行天山区支行</w:t>
            </w:r>
          </w:p>
          <w:p>
            <w:pPr>
              <w:pStyle w:val="54"/>
              <w:spacing w:line="400" w:lineRule="exact"/>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行号：</w:t>
            </w:r>
            <w:r>
              <w:rPr>
                <w:rFonts w:cs="宋体" w:asciiTheme="majorEastAsia" w:hAnsiTheme="majorEastAsia" w:eastAsiaTheme="majorEastAsia"/>
                <w:color w:val="auto"/>
                <w:kern w:val="2"/>
                <w:sz w:val="24"/>
                <w:szCs w:val="24"/>
                <w:highlight w:val="none"/>
              </w:rPr>
              <w:t>313881000027</w:t>
            </w:r>
          </w:p>
          <w:p>
            <w:pPr>
              <w:pStyle w:val="54"/>
              <w:spacing w:line="400" w:lineRule="exact"/>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账号：</w:t>
            </w:r>
            <w:r>
              <w:rPr>
                <w:rFonts w:cs="宋体" w:asciiTheme="majorEastAsia" w:hAnsiTheme="majorEastAsia" w:eastAsiaTheme="majorEastAsia"/>
                <w:color w:val="auto"/>
                <w:kern w:val="2"/>
                <w:sz w:val="24"/>
                <w:szCs w:val="24"/>
                <w:highlight w:val="none"/>
              </w:rPr>
              <w:t>0000020070110084283987</w:t>
            </w:r>
          </w:p>
          <w:p>
            <w:pPr>
              <w:pStyle w:val="54"/>
              <w:spacing w:line="400" w:lineRule="exact"/>
              <w:rPr>
                <w:rFonts w:asciiTheme="majorEastAsia" w:hAnsiTheme="majorEastAsia" w:eastAsiaTheme="majorEastAsia"/>
                <w:b/>
                <w:color w:val="auto"/>
                <w:kern w:val="2"/>
                <w:sz w:val="24"/>
                <w:szCs w:val="24"/>
                <w:highlight w:val="none"/>
              </w:rPr>
            </w:pPr>
            <w:r>
              <w:rPr>
                <w:rFonts w:hint="eastAsia" w:cs="宋体" w:asciiTheme="majorEastAsia" w:hAnsiTheme="majorEastAsia" w:eastAsiaTheme="majorEastAsia"/>
                <w:b/>
                <w:color w:val="auto"/>
                <w:kern w:val="2"/>
                <w:sz w:val="24"/>
                <w:szCs w:val="24"/>
                <w:highlight w:val="none"/>
              </w:rPr>
              <w:t>打款备注：项目名称、包号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2664" w:type="dxa"/>
            <w:gridSpan w:val="2"/>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5390" w:type="dxa"/>
            <w:tcBorders>
              <w:bottom w:val="single" w:color="auto" w:sz="4" w:space="0"/>
            </w:tcBorders>
            <w:vAlign w:val="center"/>
          </w:tcPr>
          <w:p>
            <w:pPr>
              <w:pStyle w:val="54"/>
              <w:spacing w:line="400" w:lineRule="exact"/>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到账截止时间：</w:t>
            </w:r>
            <w:bookmarkStart w:id="151" w:name="EB961a54d590dd4901836fe4678f9cafb9"/>
            <w:bookmarkEnd w:id="151"/>
            <w:r>
              <w:rPr>
                <w:rFonts w:hint="eastAsia" w:asciiTheme="majorEastAsia" w:hAnsiTheme="majorEastAsia" w:eastAsiaTheme="majorEastAsia"/>
                <w:color w:val="auto"/>
                <w:kern w:val="2"/>
                <w:sz w:val="24"/>
                <w:szCs w:val="24"/>
                <w:highlight w:val="none"/>
              </w:rPr>
              <w:t>同投标截止时间</w:t>
            </w:r>
          </w:p>
          <w:p>
            <w:pPr>
              <w:pStyle w:val="54"/>
              <w:spacing w:line="400" w:lineRule="exact"/>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注：</w:t>
            </w:r>
          </w:p>
          <w:p>
            <w:pPr>
              <w:pStyle w:val="54"/>
              <w:spacing w:line="400" w:lineRule="exact"/>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(1)投标保证金必须以网银、银行柜台等转账的形式由投标人的企业账户汇出(个体工商户除外)</w:t>
            </w:r>
          </w:p>
          <w:p>
            <w:pPr>
              <w:pStyle w:val="54"/>
              <w:spacing w:line="400" w:lineRule="exact"/>
              <w:rPr>
                <w:rFonts w:cs="宋体" w:asciiTheme="majorEastAsia" w:hAnsiTheme="majorEastAsia" w:eastAsiaTheme="majorEastAsia"/>
                <w:color w:val="auto"/>
                <w:kern w:val="2"/>
                <w:sz w:val="24"/>
                <w:szCs w:val="24"/>
                <w:highlight w:val="none"/>
              </w:rPr>
            </w:pPr>
            <w:r>
              <w:rPr>
                <w:rFonts w:cs="宋体" w:asciiTheme="majorEastAsia" w:hAnsiTheme="majorEastAsia" w:eastAsiaTheme="majorEastAsia"/>
                <w:color w:val="auto"/>
                <w:kern w:val="2"/>
                <w:sz w:val="24"/>
                <w:szCs w:val="24"/>
                <w:highlight w:val="none"/>
              </w:rPr>
              <w:t>(</w:t>
            </w:r>
            <w:r>
              <w:rPr>
                <w:rFonts w:hint="eastAsia" w:cs="宋体" w:asciiTheme="majorEastAsia" w:hAnsiTheme="majorEastAsia" w:eastAsiaTheme="majorEastAsia"/>
                <w:color w:val="auto"/>
                <w:kern w:val="2"/>
                <w:sz w:val="24"/>
                <w:szCs w:val="24"/>
                <w:highlight w:val="none"/>
              </w:rPr>
              <w:t>2</w:t>
            </w:r>
            <w:r>
              <w:rPr>
                <w:rFonts w:cs="宋体" w:asciiTheme="majorEastAsia" w:hAnsiTheme="majorEastAsia" w:eastAsiaTheme="majorEastAsia"/>
                <w:color w:val="auto"/>
                <w:kern w:val="2"/>
                <w:sz w:val="24"/>
                <w:szCs w:val="24"/>
                <w:highlight w:val="none"/>
              </w:rPr>
              <w:t>)</w:t>
            </w:r>
            <w:r>
              <w:rPr>
                <w:rFonts w:hint="eastAsia" w:cs="宋体" w:asciiTheme="majorEastAsia" w:hAnsiTheme="majorEastAsia" w:eastAsiaTheme="majorEastAsia"/>
                <w:color w:val="auto"/>
                <w:kern w:val="2"/>
                <w:sz w:val="24"/>
                <w:szCs w:val="24"/>
                <w:highlight w:val="none"/>
              </w:rPr>
              <w:t>投标保证金必须在投标截止时间（开标时间）前缴纳至招标公司账户，投标人需自行评估因异地、跨行、公休日等因素造成的投标保证金到账延迟风险，并承担相应责任。故此，投标人可以在投标截止时间前</w:t>
            </w:r>
            <w:r>
              <w:rPr>
                <w:rFonts w:cs="宋体" w:asciiTheme="majorEastAsia" w:hAnsiTheme="majorEastAsia" w:eastAsiaTheme="majorEastAsia"/>
                <w:color w:val="auto"/>
                <w:kern w:val="2"/>
                <w:sz w:val="24"/>
                <w:szCs w:val="24"/>
                <w:highlight w:val="none"/>
              </w:rPr>
              <w:t>2-3</w:t>
            </w:r>
            <w:r>
              <w:rPr>
                <w:rFonts w:hint="eastAsia" w:cs="宋体" w:asciiTheme="majorEastAsia" w:hAnsiTheme="majorEastAsia" w:eastAsiaTheme="majorEastAsia"/>
                <w:color w:val="auto"/>
                <w:kern w:val="2"/>
                <w:sz w:val="24"/>
                <w:szCs w:val="24"/>
                <w:highlight w:val="none"/>
              </w:rPr>
              <w:t>个工作日完成保证金缴纳工作。</w:t>
            </w:r>
          </w:p>
          <w:p>
            <w:pPr>
              <w:pStyle w:val="54"/>
              <w:spacing w:line="400" w:lineRule="exact"/>
              <w:rPr>
                <w:rFonts w:cs="宋体" w:asciiTheme="majorEastAsia" w:hAnsiTheme="majorEastAsia" w:eastAsiaTheme="majorEastAsia"/>
                <w:color w:val="auto"/>
                <w:kern w:val="2"/>
                <w:sz w:val="24"/>
                <w:szCs w:val="24"/>
                <w:highlight w:val="none"/>
              </w:rPr>
            </w:pPr>
            <w:r>
              <w:rPr>
                <w:rFonts w:cs="宋体" w:asciiTheme="majorEastAsia" w:hAnsiTheme="majorEastAsia" w:eastAsiaTheme="majorEastAsia"/>
                <w:color w:val="auto"/>
                <w:kern w:val="2"/>
                <w:sz w:val="24"/>
                <w:szCs w:val="24"/>
                <w:highlight w:val="none"/>
              </w:rPr>
              <w:t>(</w:t>
            </w:r>
            <w:r>
              <w:rPr>
                <w:rFonts w:hint="eastAsia" w:cs="宋体" w:asciiTheme="majorEastAsia" w:hAnsiTheme="majorEastAsia" w:eastAsiaTheme="majorEastAsia"/>
                <w:color w:val="auto"/>
                <w:kern w:val="2"/>
                <w:sz w:val="24"/>
                <w:szCs w:val="24"/>
                <w:highlight w:val="none"/>
              </w:rPr>
              <w:t>3</w:t>
            </w:r>
            <w:r>
              <w:rPr>
                <w:rFonts w:cs="宋体" w:asciiTheme="majorEastAsia" w:hAnsiTheme="majorEastAsia" w:eastAsiaTheme="majorEastAsia"/>
                <w:color w:val="auto"/>
                <w:kern w:val="2"/>
                <w:sz w:val="24"/>
                <w:szCs w:val="24"/>
                <w:highlight w:val="none"/>
              </w:rPr>
              <w:t>)</w:t>
            </w:r>
            <w:r>
              <w:rPr>
                <w:rFonts w:hint="eastAsia" w:cs="宋体" w:asciiTheme="majorEastAsia" w:hAnsiTheme="majorEastAsia" w:eastAsiaTheme="majorEastAsia"/>
                <w:color w:val="auto"/>
                <w:kern w:val="2"/>
                <w:sz w:val="24"/>
                <w:szCs w:val="24"/>
                <w:highlight w:val="none"/>
              </w:rPr>
              <w:t>投标保证金的提交以招标公司账户到账时间为准。</w:t>
            </w:r>
          </w:p>
          <w:p>
            <w:pPr>
              <w:pStyle w:val="54"/>
              <w:spacing w:line="400" w:lineRule="exact"/>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(4)投标保证金的到款及退还业务，详情请致电代理公司财务：</w:t>
            </w:r>
            <w:r>
              <w:rPr>
                <w:rFonts w:cs="宋体" w:asciiTheme="majorEastAsia" w:hAnsiTheme="majorEastAsia" w:eastAsiaTheme="majorEastAsia"/>
                <w:color w:val="auto"/>
                <w:kern w:val="2"/>
                <w:sz w:val="24"/>
                <w:szCs w:val="24"/>
                <w:highlight w:val="none"/>
              </w:rPr>
              <w:t>0991-8813422（李女士）</w:t>
            </w:r>
          </w:p>
          <w:p>
            <w:pPr>
              <w:pStyle w:val="54"/>
              <w:spacing w:line="400" w:lineRule="exact"/>
              <w:rPr>
                <w:rFonts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kern w:val="2"/>
                <w:sz w:val="24"/>
                <w:szCs w:val="24"/>
                <w:highlight w:val="none"/>
              </w:rPr>
              <w:t>(5)投标保证金以银行、保险公司或担保公司出具的保函形式递交的，在申请、使用、查看应用过程中遇见问题可咨询技术支撑方：</w:t>
            </w:r>
            <w:r>
              <w:rPr>
                <w:rFonts w:cs="宋体" w:asciiTheme="majorEastAsia" w:hAnsiTheme="majorEastAsia" w:eastAsiaTheme="majorEastAsia"/>
                <w:color w:val="auto"/>
                <w:kern w:val="2"/>
                <w:sz w:val="24"/>
                <w:szCs w:val="24"/>
                <w:highlight w:val="none"/>
              </w:rPr>
              <w:t>400-903-9583。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19</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节能、环保要求</w:t>
            </w:r>
          </w:p>
        </w:tc>
        <w:tc>
          <w:tcPr>
            <w:tcW w:w="5390" w:type="dxa"/>
            <w:tcBorders>
              <w:top w:val="single" w:color="auto" w:sz="4" w:space="0"/>
            </w:tcBorders>
            <w:vAlign w:val="center"/>
          </w:tcPr>
          <w:p>
            <w:pPr>
              <w:pStyle w:val="56"/>
              <w:spacing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按国家有关节能环保政策执行：</w:t>
            </w:r>
          </w:p>
          <w:p>
            <w:pPr>
              <w:pStyle w:val="56"/>
              <w:spacing w:line="400" w:lineRule="exact"/>
              <w:rPr>
                <w:rFonts w:cs="宋体" w:asciiTheme="majorEastAsia" w:hAnsiTheme="majorEastAsia" w:eastAsiaTheme="majorEastAsia"/>
                <w:color w:val="auto"/>
                <w:sz w:val="24"/>
                <w:szCs w:val="24"/>
                <w:highlight w:val="none"/>
              </w:rPr>
            </w:pPr>
            <w:bookmarkStart w:id="152" w:name="EB014b7c5e8ad2493cb0d11473b927bad7"/>
            <w:r>
              <w:rPr>
                <w:rFonts w:hint="eastAsia" w:hAnsi="宋体" w:eastAsia="MS Mincho" w:cs="MS Mincho" w:asciiTheme="majorEastAsia"/>
                <w:color w:val="auto"/>
                <w:sz w:val="24"/>
                <w:szCs w:val="24"/>
                <w:highlight w:val="none"/>
              </w:rPr>
              <w:t>☑</w:t>
            </w:r>
            <w:bookmarkEnd w:id="152"/>
            <w:r>
              <w:rPr>
                <w:rFonts w:hint="eastAsia" w:cs="宋体" w:asciiTheme="majorEastAsia" w:hAnsiTheme="majorEastAsia" w:eastAsiaTheme="majorEastAsia"/>
                <w:color w:val="auto"/>
                <w:sz w:val="24"/>
                <w:szCs w:val="24"/>
                <w:highlight w:val="none"/>
              </w:rPr>
              <w:t>采用综合评分法，加分幅度：</w:t>
            </w:r>
          </w:p>
          <w:p>
            <w:pPr>
              <w:pStyle w:val="48"/>
              <w:spacing w:line="440" w:lineRule="exact"/>
              <w:ind w:firstLine="480" w:firstLineChars="200"/>
              <w:rPr>
                <w:rFonts w:cs="宋体" w:asciiTheme="majorEastAsia" w:hAnsiTheme="majorEastAsia" w:eastAsiaTheme="majorEastAsia"/>
                <w:color w:val="auto"/>
                <w:sz w:val="24"/>
                <w:szCs w:val="24"/>
                <w:highlight w:val="none"/>
              </w:rPr>
            </w:pPr>
            <w:bookmarkStart w:id="153" w:name="EBd0de26cdb1574024a88e47e5896278b3"/>
            <w:bookmarkEnd w:id="153"/>
            <w:r>
              <w:rPr>
                <w:rFonts w:cs="宋体" w:asciiTheme="majorEastAsia" w:hAnsiTheme="majorEastAsia" w:eastAsiaTheme="majorEastAsia"/>
                <w:color w:val="auto"/>
                <w:sz w:val="24"/>
                <w:szCs w:val="24"/>
                <w:highlight w:val="none"/>
              </w:rPr>
              <w:t>采购产品为节能产品和环境标志产品参照财政部、国家发展改革委、生态环境部、市场监管总局《关于调整优化节能产品、环境标志产品政府采购执行机制的通知》（财库[2019]9号文）；</w:t>
            </w:r>
            <w:r>
              <w:rPr>
                <w:rFonts w:hint="eastAsia" w:cs="宋体" w:asciiTheme="majorEastAsia" w:hAnsiTheme="majorEastAsia" w:eastAsiaTheme="majorEastAsia"/>
                <w:color w:val="auto"/>
                <w:sz w:val="24"/>
                <w:szCs w:val="24"/>
                <w:highlight w:val="none"/>
              </w:rPr>
              <w:t>市场监管总局《市场监管总局关于发布参与实施政府采购节能产品、环境标志产品认证机构名录的公告》（2019 年第16号）；</w:t>
            </w:r>
            <w:r>
              <w:rPr>
                <w:rFonts w:cs="宋体" w:asciiTheme="majorEastAsia" w:hAnsiTheme="majorEastAsia" w:eastAsiaTheme="majorEastAsia"/>
                <w:color w:val="auto"/>
                <w:sz w:val="24"/>
                <w:szCs w:val="24"/>
                <w:highlight w:val="none"/>
              </w:rPr>
              <w:t>财政部、生态环境部《关于印发环境标志产品政府采购品目清单的通知》（财库[2019]18号文）；财政部、发展改革委《关于印发节能产品政府采购品目清单的通知》（财库[2019]19号文）</w:t>
            </w:r>
            <w:r>
              <w:rPr>
                <w:rFonts w:hint="eastAsia" w:cs="宋体" w:asciiTheme="majorEastAsia" w:hAnsiTheme="majorEastAsia" w:eastAsiaTheme="majorEastAsia"/>
                <w:color w:val="auto"/>
                <w:sz w:val="24"/>
                <w:szCs w:val="24"/>
                <w:highlight w:val="none"/>
              </w:rPr>
              <w:t>。</w:t>
            </w:r>
          </w:p>
          <w:p>
            <w:pPr>
              <w:pStyle w:val="48"/>
              <w:spacing w:line="440" w:lineRule="exact"/>
              <w:ind w:firstLine="480" w:firstLineChars="200"/>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lang w:val="zh-TW" w:eastAsia="zh-TW"/>
              </w:rPr>
              <w:t>★</w:t>
            </w:r>
            <w:r>
              <w:rPr>
                <w:rFonts w:hint="eastAsia" w:cs="宋体" w:asciiTheme="majorEastAsia" w:hAnsiTheme="majorEastAsia" w:eastAsiaTheme="majorEastAsia"/>
                <w:color w:val="auto"/>
                <w:sz w:val="24"/>
                <w:szCs w:val="24"/>
                <w:highlight w:val="none"/>
              </w:rPr>
              <w:t>本次投标产品类别若属于政府强制采购产品类别的，须按照要求提供依据国家确定的认证机构出具的、处于有效期之内的节能产品认证证书，否则投标无效。</w:t>
            </w:r>
          </w:p>
          <w:p>
            <w:pPr>
              <w:pStyle w:val="48"/>
              <w:spacing w:line="440" w:lineRule="exact"/>
              <w:ind w:firstLine="480" w:firstLineChars="200"/>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属于政府优先采购产品类别的，须按照要求提供依据国家确定的认证机构出具的、处于有效期之内的节能产品或环境标志产品认证证书，否则不予认定。在投标报价时必须对此类产品单独分项报价，计算出小计及占合同包总金额的百分比，未单独分项报价且未提供属于品目内且符合标准产品的证明资料的不给予加分。若节能、环境标志清单内的产品仅是构成投标产品的部件、组件或零件的，则该投标产品不予加分。</w:t>
            </w:r>
          </w:p>
          <w:p>
            <w:pPr>
              <w:pStyle w:val="52"/>
              <w:spacing w:line="400" w:lineRule="exact"/>
              <w:rPr>
                <w:rFonts w:asciiTheme="majorEastAsia" w:hAnsiTheme="majorEastAsia" w:eastAsiaTheme="majorEastAsia"/>
                <w:color w:val="auto"/>
                <w:sz w:val="24"/>
                <w:szCs w:val="24"/>
                <w:highlight w:val="none"/>
              </w:rPr>
            </w:pPr>
            <w:bookmarkStart w:id="154" w:name="EB644ae36679fa4df199a48b3e9c1e6df3"/>
            <w:r>
              <w:rPr>
                <w:rFonts w:hint="eastAsia" w:cs="宋体" w:asciiTheme="majorEastAsia" w:hAnsiTheme="majorEastAsia" w:eastAsiaTheme="majorEastAsia"/>
                <w:color w:val="auto"/>
                <w:sz w:val="24"/>
                <w:szCs w:val="24"/>
                <w:highlight w:val="none"/>
              </w:rPr>
              <w:t>□</w:t>
            </w:r>
            <w:bookmarkEnd w:id="154"/>
            <w:r>
              <w:rPr>
                <w:rFonts w:hint="eastAsia" w:cs="宋体" w:asciiTheme="majorEastAsia" w:hAnsiTheme="majorEastAsia" w:eastAsiaTheme="majorEastAsia"/>
                <w:color w:val="auto"/>
                <w:sz w:val="24"/>
                <w:szCs w:val="24"/>
                <w:highlight w:val="none"/>
              </w:rPr>
              <w:t>采用最低评标价法，加分幅度：</w:t>
            </w:r>
            <w:bookmarkStart w:id="155" w:name="EB5eb2ef9949894c46a4ae078c6e67fc3e"/>
            <w:bookmarkEnd w:id="1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20</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中小微型企业</w:t>
            </w:r>
          </w:p>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有关政策</w:t>
            </w:r>
          </w:p>
        </w:tc>
        <w:tc>
          <w:tcPr>
            <w:tcW w:w="5390" w:type="dxa"/>
            <w:tcBorders>
              <w:top w:val="single" w:color="auto" w:sz="4" w:space="0"/>
            </w:tcBorders>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(1)《政府采购促进中小企业发展管理办法》（财库【</w:t>
            </w:r>
            <w:r>
              <w:rPr>
                <w:rFonts w:asciiTheme="majorEastAsia" w:hAnsiTheme="majorEastAsia" w:eastAsiaTheme="majorEastAsia"/>
                <w:color w:val="auto"/>
                <w:sz w:val="24"/>
                <w:szCs w:val="24"/>
                <w:highlight w:val="none"/>
              </w:rPr>
              <w:t>2020】46号文）、关于转发《政府采购促进中小企业发展管理办法》（兵财库【2021】7号文）、《关于进一步加大政府采购支持中小企业力度的通知》【财库〔2022】19号）</w:t>
            </w:r>
            <w:r>
              <w:rPr>
                <w:rFonts w:hint="eastAsia" w:asciiTheme="majorEastAsia" w:hAnsiTheme="majorEastAsia" w:eastAsiaTheme="majorEastAsia"/>
                <w:color w:val="auto"/>
                <w:sz w:val="24"/>
                <w:szCs w:val="24"/>
                <w:highlight w:val="none"/>
              </w:rPr>
              <w:t>；</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(2)根据工信部等部委发布的《关于印发中小企业划型标准规定的通知》（工信部联企业[2011]300号）规定执行；本项目采购标的对应的中小企业划分标准所属行业为</w:t>
            </w:r>
            <w:r>
              <w:rPr>
                <w:rFonts w:hint="eastAsia" w:asciiTheme="majorEastAsia" w:hAnsiTheme="majorEastAsia" w:eastAsiaTheme="majorEastAsia"/>
                <w:color w:val="auto"/>
                <w:sz w:val="24"/>
                <w:szCs w:val="24"/>
                <w:highlight w:val="none"/>
                <w:u w:val="single"/>
              </w:rPr>
              <w:t xml:space="preserve">  工业  </w:t>
            </w:r>
            <w:r>
              <w:rPr>
                <w:rFonts w:hint="eastAsia" w:asciiTheme="majorEastAsia" w:hAnsiTheme="majorEastAsia" w:eastAsiaTheme="majorEastAsia"/>
                <w:color w:val="auto"/>
                <w:sz w:val="24"/>
                <w:szCs w:val="24"/>
                <w:highlight w:val="none"/>
              </w:rPr>
              <w:t>。</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(3)价格扣除幅度：价格给予</w:t>
            </w:r>
            <w:r>
              <w:rPr>
                <w:rFonts w:hint="eastAsia" w:asciiTheme="majorEastAsia" w:hAnsiTheme="majorEastAsia" w:eastAsiaTheme="majorEastAsia"/>
                <w:color w:val="auto"/>
                <w:sz w:val="24"/>
                <w:szCs w:val="24"/>
                <w:highlight w:val="none"/>
                <w:u w:val="single"/>
              </w:rPr>
              <w:t xml:space="preserve"> 10 </w:t>
            </w:r>
            <w:r>
              <w:rPr>
                <w:rFonts w:asciiTheme="majorEastAsia" w:hAnsiTheme="majorEastAsia" w:eastAsiaTheme="majorEastAsia"/>
                <w:color w:val="auto"/>
                <w:sz w:val="24"/>
                <w:szCs w:val="24"/>
                <w:highlight w:val="none"/>
              </w:rPr>
              <w:t>%的扣除</w:t>
            </w:r>
            <w:r>
              <w:rPr>
                <w:rFonts w:hint="eastAsia" w:asciiTheme="majorEastAsia" w:hAnsiTheme="majorEastAsia" w:eastAsiaTheme="majorEastAsia"/>
                <w:color w:val="auto"/>
                <w:sz w:val="24"/>
                <w:szCs w:val="24"/>
                <w:highlight w:val="none"/>
              </w:rPr>
              <w:t>；</w:t>
            </w:r>
          </w:p>
          <w:p>
            <w:pPr>
              <w:pStyle w:val="57"/>
              <w:spacing w:line="400" w:lineRule="exact"/>
              <w:rPr>
                <w:rFonts w:asciiTheme="majorEastAsia" w:hAnsiTheme="majorEastAsia" w:eastAsiaTheme="majorEastAsia"/>
                <w:color w:val="auto"/>
                <w:kern w:val="2"/>
                <w:sz w:val="24"/>
                <w:highlight w:val="none"/>
              </w:rPr>
            </w:pPr>
            <w:r>
              <w:rPr>
                <w:rFonts w:hint="eastAsia" w:asciiTheme="majorEastAsia" w:hAnsiTheme="majorEastAsia" w:eastAsiaTheme="majorEastAsia"/>
                <w:color w:val="auto"/>
                <w:sz w:val="24"/>
                <w:highlight w:val="none"/>
              </w:rPr>
              <w:t>(4)</w:t>
            </w:r>
            <w:r>
              <w:rPr>
                <w:rFonts w:hint="eastAsia" w:asciiTheme="majorEastAsia" w:hAnsiTheme="majorEastAsia" w:eastAsiaTheme="majorEastAsia"/>
                <w:color w:val="auto"/>
                <w:kern w:val="2"/>
                <w:sz w:val="24"/>
                <w:highlight w:val="none"/>
              </w:rPr>
              <w:t>小型和微型企业适用价格扣除办法时应提供的相关资料：</w:t>
            </w:r>
          </w:p>
          <w:p>
            <w:pPr>
              <w:pStyle w:val="57"/>
              <w:spacing w:line="400" w:lineRule="exact"/>
              <w:rPr>
                <w:rFonts w:asciiTheme="majorEastAsia" w:hAnsiTheme="majorEastAsia" w:eastAsiaTheme="majorEastAsia"/>
                <w:color w:val="auto"/>
                <w:kern w:val="2"/>
                <w:sz w:val="24"/>
                <w:highlight w:val="none"/>
              </w:rPr>
            </w:pPr>
            <w:r>
              <w:rPr>
                <w:rFonts w:hint="eastAsia" w:asciiTheme="majorEastAsia" w:hAnsiTheme="majorEastAsia" w:eastAsiaTheme="majorEastAsia"/>
                <w:color w:val="auto"/>
                <w:kern w:val="2"/>
                <w:sz w:val="24"/>
                <w:highlight w:val="none"/>
              </w:rPr>
              <w:t>供应商需在响应文件报价部分中“中、小型企业产品明细表”中逐项注明所投产品的产品名称、制造商、型号并备注是否属于小型\微型企业。</w:t>
            </w:r>
          </w:p>
          <w:p>
            <w:pPr>
              <w:pStyle w:val="57"/>
              <w:spacing w:line="400" w:lineRule="exact"/>
              <w:rPr>
                <w:rFonts w:asciiTheme="majorEastAsia" w:hAnsiTheme="majorEastAsia" w:eastAsiaTheme="majorEastAsia"/>
                <w:color w:val="auto"/>
                <w:kern w:val="2"/>
                <w:sz w:val="24"/>
                <w:highlight w:val="none"/>
              </w:rPr>
            </w:pPr>
            <w:r>
              <w:rPr>
                <w:rFonts w:hint="eastAsia" w:asciiTheme="majorEastAsia" w:hAnsiTheme="majorEastAsia" w:eastAsiaTheme="majorEastAsia"/>
                <w:color w:val="auto"/>
                <w:kern w:val="2"/>
                <w:sz w:val="24"/>
                <w:highlight w:val="none"/>
              </w:rPr>
              <w:t>根据中华人民共和国财政部、中华人民共和国民政部、中国残疾人联合会《关于促进残疾人就业政府采购政策的通知》（</w:t>
            </w:r>
            <w:r>
              <w:rPr>
                <w:rFonts w:hint="eastAsia" w:asciiTheme="majorEastAsia" w:hAnsiTheme="majorEastAsia" w:eastAsiaTheme="majorEastAsia"/>
                <w:color w:val="auto"/>
                <w:sz w:val="24"/>
                <w:highlight w:val="none"/>
              </w:rPr>
              <w:t>（财库〔2017〕141号）</w:t>
            </w:r>
            <w:r>
              <w:rPr>
                <w:rFonts w:hint="eastAsia" w:asciiTheme="majorEastAsia" w:hAnsiTheme="majorEastAsia" w:eastAsiaTheme="majorEastAsia"/>
                <w:color w:val="auto"/>
                <w:kern w:val="2"/>
                <w:sz w:val="24"/>
                <w:highlight w:val="none"/>
              </w:rPr>
              <w:t>文件的规定：残疾人福利性单位视同小型、微型企业。</w:t>
            </w:r>
          </w:p>
          <w:p>
            <w:pPr>
              <w:pStyle w:val="57"/>
              <w:spacing w:line="400" w:lineRule="exact"/>
              <w:rPr>
                <w:rFonts w:asciiTheme="majorEastAsia" w:hAnsiTheme="majorEastAsia" w:eastAsiaTheme="majorEastAsia"/>
                <w:color w:val="auto"/>
                <w:kern w:val="2"/>
                <w:sz w:val="24"/>
                <w:highlight w:val="none"/>
              </w:rPr>
            </w:pPr>
            <w:r>
              <w:rPr>
                <w:rFonts w:hint="eastAsia" w:asciiTheme="majorEastAsia" w:hAnsiTheme="majorEastAsia" w:eastAsiaTheme="majorEastAsia"/>
                <w:color w:val="auto"/>
                <w:kern w:val="2"/>
                <w:sz w:val="24"/>
                <w:highlight w:val="none"/>
              </w:rPr>
              <w:t>根据财政部、司法部《关于政府采购支持监狱企业发展有关问题的通知》(财库【2014】68号)文件的规定：在政府采购活动中，监狱企业视同小型、微型企业</w:t>
            </w:r>
          </w:p>
          <w:p>
            <w:pPr>
              <w:pStyle w:val="57"/>
              <w:spacing w:line="40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kern w:val="2"/>
                <w:sz w:val="24"/>
                <w:highlight w:val="none"/>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21</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技术部分是否采用</w:t>
            </w:r>
          </w:p>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“暗标”评审方式</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bookmarkStart w:id="156" w:name="EB9ad3541a282b4a7283f6b2d3dd53e7a3"/>
            <w:r>
              <w:rPr>
                <w:rFonts w:hint="eastAsia" w:asciiTheme="majorEastAsia" w:hAnsiTheme="majorEastAsia" w:eastAsiaTheme="majorEastAsia"/>
                <w:color w:val="auto"/>
                <w:kern w:val="2"/>
                <w:sz w:val="24"/>
                <w:szCs w:val="24"/>
                <w:highlight w:val="none"/>
              </w:rPr>
              <w:t>□是</w:t>
            </w:r>
          </w:p>
          <w:p>
            <w:pPr>
              <w:pStyle w:val="52"/>
              <w:spacing w:line="400" w:lineRule="exact"/>
              <w:rPr>
                <w:rFonts w:asciiTheme="majorEastAsia" w:hAnsiTheme="majorEastAsia" w:eastAsiaTheme="majorEastAsia"/>
                <w:color w:val="auto"/>
                <w:sz w:val="24"/>
                <w:szCs w:val="24"/>
                <w:highlight w:val="none"/>
              </w:rPr>
            </w:pPr>
            <w:r>
              <w:rPr>
                <w:rFonts w:hint="eastAsia" w:eastAsia="MS Mincho" w:cs="MS Mincho" w:asciiTheme="majorEastAsia" w:hAnsi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否</w:t>
            </w:r>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22</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评审方法</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bookmarkStart w:id="157" w:name="EBfac76cf65e4c418cba0e15c753f1359b"/>
            <w:r>
              <w:rPr>
                <w:rFonts w:hint="eastAsia" w:eastAsia="MS Mincho" w:cs="MS Mincho" w:asciiTheme="majorEastAsia" w:hAnsiTheme="majorEastAsia"/>
                <w:color w:val="auto"/>
                <w:kern w:val="2"/>
                <w:sz w:val="24"/>
                <w:szCs w:val="24"/>
                <w:highlight w:val="none"/>
              </w:rPr>
              <w:t>☑</w:t>
            </w:r>
            <w:bookmarkEnd w:id="157"/>
            <w:r>
              <w:rPr>
                <w:rFonts w:hint="eastAsia" w:asciiTheme="majorEastAsia" w:hAnsiTheme="majorEastAsia" w:eastAsiaTheme="majorEastAsia"/>
                <w:color w:val="auto"/>
                <w:kern w:val="2"/>
                <w:sz w:val="24"/>
                <w:szCs w:val="24"/>
                <w:highlight w:val="none"/>
              </w:rPr>
              <w:t>资格后审</w:t>
            </w:r>
            <w:bookmarkStart w:id="158" w:name="EB4850bee832394c4083be5b8112f9b3b6"/>
            <w:r>
              <w:rPr>
                <w:rFonts w:hint="eastAsia" w:asciiTheme="majorEastAsia" w:hAnsiTheme="majorEastAsia" w:eastAsiaTheme="majorEastAsia"/>
                <w:color w:val="auto"/>
                <w:kern w:val="2"/>
                <w:sz w:val="24"/>
                <w:szCs w:val="24"/>
                <w:highlight w:val="none"/>
              </w:rPr>
              <w:t>□</w:t>
            </w:r>
            <w:bookmarkEnd w:id="158"/>
            <w:r>
              <w:rPr>
                <w:rFonts w:hint="eastAsia" w:asciiTheme="majorEastAsia" w:hAnsiTheme="majorEastAsia" w:eastAsiaTheme="majorEastAsia"/>
                <w:color w:val="auto"/>
                <w:kern w:val="2"/>
                <w:sz w:val="24"/>
                <w:szCs w:val="24"/>
                <w:highlight w:val="none"/>
              </w:rPr>
              <w:t>资格预审</w:t>
            </w:r>
          </w:p>
          <w:p>
            <w:pPr>
              <w:pStyle w:val="52"/>
              <w:spacing w:line="400" w:lineRule="exact"/>
              <w:rPr>
                <w:rFonts w:asciiTheme="majorEastAsia" w:hAnsiTheme="majorEastAsia" w:eastAsiaTheme="majorEastAsia"/>
                <w:color w:val="auto"/>
                <w:sz w:val="24"/>
                <w:szCs w:val="24"/>
                <w:highlight w:val="none"/>
              </w:rPr>
            </w:pPr>
            <w:bookmarkStart w:id="159" w:name="EB0074e2ed01924d5f940b01ce03dab020"/>
            <w:r>
              <w:rPr>
                <w:rFonts w:hint="eastAsia" w:eastAsia="MS Mincho" w:cs="MS Mincho" w:asciiTheme="majorEastAsia" w:hAnsiTheme="majorEastAsia"/>
                <w:color w:val="auto"/>
                <w:kern w:val="2"/>
                <w:sz w:val="24"/>
                <w:szCs w:val="24"/>
                <w:highlight w:val="none"/>
              </w:rPr>
              <w:t>☑</w:t>
            </w:r>
            <w:bookmarkEnd w:id="159"/>
            <w:r>
              <w:rPr>
                <w:rFonts w:hint="eastAsia" w:asciiTheme="majorEastAsia" w:hAnsiTheme="majorEastAsia" w:eastAsiaTheme="majorEastAsia"/>
                <w:color w:val="auto"/>
                <w:kern w:val="2"/>
                <w:sz w:val="24"/>
                <w:szCs w:val="24"/>
                <w:highlight w:val="none"/>
              </w:rPr>
              <w:t>综合评分法</w:t>
            </w:r>
            <w:bookmarkStart w:id="160" w:name="EB504ecbbb163e422887a350c6a0196cea"/>
            <w:r>
              <w:rPr>
                <w:rFonts w:hint="eastAsia" w:asciiTheme="majorEastAsia" w:hAnsiTheme="majorEastAsia" w:eastAsiaTheme="majorEastAsia"/>
                <w:color w:val="auto"/>
                <w:kern w:val="2"/>
                <w:sz w:val="24"/>
                <w:szCs w:val="24"/>
                <w:highlight w:val="none"/>
              </w:rPr>
              <w:t>□</w:t>
            </w:r>
            <w:bookmarkEnd w:id="160"/>
            <w:r>
              <w:rPr>
                <w:rFonts w:hint="eastAsia" w:asciiTheme="majorEastAsia" w:hAnsiTheme="majorEastAsia" w:eastAsiaTheme="majorEastAsia"/>
                <w:color w:val="auto"/>
                <w:sz w:val="24"/>
                <w:szCs w:val="24"/>
                <w:highlight w:val="none"/>
              </w:rPr>
              <w:t>最低评标价法</w:t>
            </w:r>
          </w:p>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注：</w:t>
            </w:r>
          </w:p>
          <w:p>
            <w:pPr>
              <w:pStyle w:val="52"/>
              <w:spacing w:line="400" w:lineRule="exact"/>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最低评标价法，是指以价格为主要因素确定中标供应商的评标方法，即在全部满足招标文件实质性要求前提下，依据统一的价格要素评定最低报价，以提出最低报价的投标人作为中标候选供应商或者中标供应商的评标方法。投标报价相同的，按技术指标优劣顺序排列，技术指标较优的一方为中标人。</w:t>
            </w:r>
          </w:p>
          <w:p>
            <w:pPr>
              <w:pStyle w:val="52"/>
              <w:spacing w:line="40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2.综合评分法</w:t>
            </w:r>
          </w:p>
          <w:p>
            <w:pPr>
              <w:pStyle w:val="52"/>
              <w:spacing w:line="40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2.1综合评分法是指在最大限度地满足招标文件实质性要求前提下，按照招标文件中规定的评分细则评审后，以评标最终得分最高的投标人作为中标人的评标方法。每一投标人的最终得分为所有评委评分的算术平均值</w:t>
            </w:r>
            <w:r>
              <w:rPr>
                <w:rFonts w:hint="eastAsia" w:asciiTheme="majorEastAsia" w:hAnsiTheme="majorEastAsia" w:eastAsiaTheme="majorEastAsia"/>
                <w:b/>
                <w:color w:val="auto"/>
                <w:sz w:val="24"/>
                <w:szCs w:val="24"/>
                <w:highlight w:val="none"/>
              </w:rPr>
              <w:t>。</w:t>
            </w:r>
            <w:r>
              <w:rPr>
                <w:rFonts w:hint="eastAsia" w:asciiTheme="majorEastAsia" w:hAnsiTheme="majorEastAsia" w:eastAsiaTheme="majorEastAsia"/>
                <w:color w:val="auto"/>
                <w:sz w:val="24"/>
                <w:szCs w:val="24"/>
                <w:highlight w:val="none"/>
              </w:rPr>
              <w:t>得分相同的，报价较低的一方为中标人。得分且投标报价相同的，技术指标较优的一方为中标人。</w:t>
            </w:r>
          </w:p>
          <w:p>
            <w:pPr>
              <w:pStyle w:val="52"/>
              <w:spacing w:line="400" w:lineRule="exact"/>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2.2使用综合评分法的采购项目，提供相同品牌产品且通过资格审查、符合性审查的不同投标人参加同一合同项下投标的（部分产品品牌相同的以核心产品为准），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2"/>
              <w:numPr>
                <w:ilvl w:val="0"/>
                <w:numId w:val="1"/>
              </w:numPr>
              <w:spacing w:line="400" w:lineRule="exact"/>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如一个分包内包含多种产品的，采购人可以在招标文件中载明核心产品，投标人提供的核心产品中只要有1个核心产品的品牌相同，相关投标人将被认定为属于提供相同品牌产品，按本款第2.2条规定处理。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23</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核心产品</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hint="eastAsia" w:ascii="宋体" w:hAnsi="宋体"/>
                <w:color w:val="auto"/>
                <w:sz w:val="24"/>
                <w:szCs w:val="24"/>
                <w:highlight w:val="none"/>
              </w:rPr>
              <w:t>薄层色谱成像仪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24</w:t>
            </w:r>
          </w:p>
        </w:tc>
        <w:tc>
          <w:tcPr>
            <w:tcW w:w="2664" w:type="dxa"/>
            <w:gridSpan w:val="2"/>
            <w:vMerge w:val="restart"/>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履约保证金</w:t>
            </w:r>
          </w:p>
        </w:tc>
        <w:tc>
          <w:tcPr>
            <w:tcW w:w="5390" w:type="dxa"/>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□不交纳</w:t>
            </w:r>
          </w:p>
          <w:p>
            <w:pPr>
              <w:pStyle w:val="52"/>
              <w:spacing w:line="400" w:lineRule="exact"/>
              <w:rPr>
                <w:rFonts w:asciiTheme="majorEastAsia" w:hAnsiTheme="majorEastAsia" w:eastAsiaTheme="majorEastAsia"/>
                <w:color w:val="auto"/>
                <w:sz w:val="24"/>
                <w:szCs w:val="24"/>
                <w:highlight w:val="none"/>
              </w:rPr>
            </w:pPr>
            <w:r>
              <w:rPr>
                <w:rFonts w:hint="eastAsia" w:eastAsia="MS Mincho" w:cs="MS Mincho" w:asciiTheme="majorEastAsia" w:hAnsiTheme="majorEastAsia"/>
                <w:color w:val="auto"/>
                <w:sz w:val="24"/>
                <w:szCs w:val="24"/>
                <w:highlight w:val="none"/>
              </w:rPr>
              <w:t>☑</w:t>
            </w:r>
            <w:r>
              <w:rPr>
                <w:rFonts w:hint="eastAsia" w:asciiTheme="majorEastAsia" w:hAnsiTheme="majorEastAsia" w:eastAsiaTheme="majorEastAsia"/>
                <w:color w:val="auto"/>
                <w:sz w:val="24"/>
                <w:szCs w:val="24"/>
                <w:highlight w:val="none"/>
              </w:rPr>
              <w:t>交纳</w:t>
            </w:r>
          </w:p>
          <w:p>
            <w:pPr>
              <w:pStyle w:val="52"/>
              <w:spacing w:line="400" w:lineRule="exact"/>
              <w:rPr>
                <w:rFonts w:asciiTheme="majorEastAsia" w:hAnsiTheme="majorEastAsia" w:eastAsiaTheme="majorEastAsia"/>
                <w:bCs/>
                <w:color w:val="auto"/>
                <w:sz w:val="24"/>
                <w:szCs w:val="24"/>
                <w:highlight w:val="none"/>
              </w:rPr>
            </w:pPr>
            <w:r>
              <w:rPr>
                <w:rFonts w:hint="eastAsia" w:asciiTheme="majorEastAsia" w:hAnsiTheme="majorEastAsia" w:eastAsiaTheme="majorEastAsia"/>
                <w:bCs/>
                <w:color w:val="auto"/>
                <w:sz w:val="24"/>
                <w:szCs w:val="24"/>
                <w:highlight w:val="none"/>
              </w:rPr>
              <w:t>履约保证金的交纳必须在签订合同前以公对公账户进行电汇或转账，否则不予认可。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2664" w:type="dxa"/>
            <w:gridSpan w:val="2"/>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5390" w:type="dxa"/>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kern w:val="2"/>
                <w:sz w:val="24"/>
                <w:szCs w:val="24"/>
                <w:highlight w:val="none"/>
              </w:rPr>
              <w:t>交纳时间：中标公示期结束后3个工作日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2664" w:type="dxa"/>
            <w:gridSpan w:val="2"/>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5390" w:type="dxa"/>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kern w:val="2"/>
                <w:sz w:val="24"/>
                <w:szCs w:val="24"/>
                <w:highlight w:val="none"/>
              </w:rPr>
              <w:t>交纳金额：中标金额的5%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2664" w:type="dxa"/>
            <w:gridSpan w:val="2"/>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收款单位：石河子大学</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开户银行：中国银行石河子市分行石河子大学支行</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银行账号：107604669455</w:t>
            </w:r>
            <w:bookmarkStart w:id="161" w:name="EBa4fb169a75a341219e360dca69dbc0e0"/>
            <w:bookmarkEnd w:id="1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2664" w:type="dxa"/>
            <w:gridSpan w:val="2"/>
            <w:vMerge w:val="continue"/>
            <w:vAlign w:val="center"/>
          </w:tcPr>
          <w:p>
            <w:pPr>
              <w:pStyle w:val="52"/>
              <w:spacing w:line="400" w:lineRule="exact"/>
              <w:jc w:val="center"/>
              <w:rPr>
                <w:rFonts w:asciiTheme="majorEastAsia" w:hAnsiTheme="majorEastAsia" w:eastAsiaTheme="majorEastAsia"/>
                <w:b/>
                <w:color w:val="auto"/>
                <w:sz w:val="24"/>
                <w:szCs w:val="24"/>
                <w:highlight w:val="none"/>
              </w:rPr>
            </w:pPr>
          </w:p>
        </w:tc>
        <w:tc>
          <w:tcPr>
            <w:tcW w:w="5390" w:type="dxa"/>
            <w:vAlign w:val="center"/>
          </w:tcPr>
          <w:p>
            <w:pPr>
              <w:pStyle w:val="52"/>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kern w:val="2"/>
                <w:sz w:val="24"/>
                <w:szCs w:val="24"/>
                <w:highlight w:val="none"/>
              </w:rPr>
              <w:t>项目完成验收合格无质量问题后无息退还。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25</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代理服务费</w:t>
            </w:r>
          </w:p>
        </w:tc>
        <w:tc>
          <w:tcPr>
            <w:tcW w:w="5390" w:type="dxa"/>
            <w:vAlign w:val="center"/>
          </w:tcPr>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bookmarkStart w:id="162" w:name="EB61747f1953474773bc4afe96f1735977"/>
            <w:r>
              <w:rPr>
                <w:rFonts w:hint="eastAsia" w:asciiTheme="majorEastAsia" w:hAnsiTheme="majorEastAsia" w:eastAsiaTheme="majorEastAsia"/>
                <w:color w:val="auto"/>
                <w:kern w:val="2"/>
                <w:sz w:val="24"/>
                <w:szCs w:val="24"/>
                <w:highlight w:val="none"/>
              </w:rPr>
              <w:t>□不交纳</w:t>
            </w:r>
          </w:p>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r>
              <w:rPr>
                <w:rFonts w:hint="eastAsia" w:eastAsia="MS Mincho" w:cs="MS Mincho" w:asciiTheme="majorEastAsia" w:hAnsi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交纳</w:t>
            </w:r>
            <w:bookmarkEnd w:id="162"/>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交纳时间：中标公示结束后</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交纳金额：参照原国家计委计价格【</w:t>
            </w:r>
            <w:r>
              <w:rPr>
                <w:rFonts w:asciiTheme="majorEastAsia" w:hAnsiTheme="majorEastAsia" w:eastAsiaTheme="majorEastAsia"/>
                <w:color w:val="auto"/>
                <w:kern w:val="2"/>
                <w:sz w:val="24"/>
                <w:szCs w:val="24"/>
                <w:highlight w:val="none"/>
              </w:rPr>
              <w:t>2002】1980号文和国家发改委发改办价格【2003】857号文的计算</w:t>
            </w:r>
            <w:r>
              <w:rPr>
                <w:rFonts w:hint="eastAsia" w:asciiTheme="majorEastAsia" w:hAnsiTheme="majorEastAsia" w:eastAsiaTheme="majorEastAsia"/>
                <w:color w:val="auto"/>
                <w:kern w:val="2"/>
                <w:sz w:val="24"/>
                <w:szCs w:val="24"/>
                <w:highlight w:val="none"/>
              </w:rPr>
              <w:t>标准</w:t>
            </w:r>
            <w:r>
              <w:rPr>
                <w:rFonts w:asciiTheme="majorEastAsia" w:hAnsiTheme="majorEastAsia" w:eastAsiaTheme="majorEastAsia"/>
                <w:color w:val="auto"/>
                <w:kern w:val="2"/>
                <w:sz w:val="24"/>
                <w:szCs w:val="24"/>
                <w:highlight w:val="none"/>
              </w:rPr>
              <w:t>下浮</w:t>
            </w:r>
            <w:r>
              <w:rPr>
                <w:rFonts w:hint="eastAsia" w:asciiTheme="majorEastAsia" w:hAnsiTheme="majorEastAsia" w:eastAsiaTheme="majorEastAsia"/>
                <w:color w:val="auto"/>
                <w:kern w:val="2"/>
                <w:sz w:val="24"/>
                <w:szCs w:val="24"/>
                <w:highlight w:val="none"/>
              </w:rPr>
              <w:t>2</w:t>
            </w:r>
            <w:r>
              <w:rPr>
                <w:rFonts w:asciiTheme="majorEastAsia" w:hAnsiTheme="majorEastAsia" w:eastAsiaTheme="majorEastAsia"/>
                <w:color w:val="auto"/>
                <w:kern w:val="2"/>
                <w:sz w:val="24"/>
                <w:szCs w:val="24"/>
                <w:highlight w:val="none"/>
              </w:rPr>
              <w:t>0%收取</w:t>
            </w:r>
            <w:r>
              <w:rPr>
                <w:rFonts w:hint="eastAsia" w:asciiTheme="majorEastAsia" w:hAnsiTheme="majorEastAsia" w:eastAsiaTheme="majorEastAsia"/>
                <w:color w:val="auto"/>
                <w:kern w:val="2"/>
                <w:sz w:val="24"/>
                <w:szCs w:val="24"/>
                <w:highlight w:val="none"/>
              </w:rPr>
              <w:t>。</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收款单位：新疆经纬招标有限责任公司</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开户银行：中国工商银行乌鲁木齐市新民路支行营业处</w:t>
            </w:r>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银行账号：</w:t>
            </w:r>
            <w:r>
              <w:rPr>
                <w:rFonts w:asciiTheme="majorEastAsia" w:hAnsiTheme="majorEastAsia" w:eastAsiaTheme="majorEastAsia"/>
                <w:color w:val="auto"/>
                <w:kern w:val="2"/>
                <w:sz w:val="24"/>
                <w:szCs w:val="24"/>
                <w:highlight w:val="none"/>
              </w:rPr>
              <w:t>3002015109024942731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26</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场地服务费</w:t>
            </w:r>
          </w:p>
        </w:tc>
        <w:tc>
          <w:tcPr>
            <w:tcW w:w="5390" w:type="dxa"/>
            <w:vAlign w:val="center"/>
          </w:tcPr>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bookmarkStart w:id="163" w:name="EB032dd5bb9a2a45ea8238724fe0749933"/>
            <w:r>
              <w:rPr>
                <w:rFonts w:hint="eastAsia" w:eastAsia="MS Mincho" w:cs="MS Mincho" w:asciiTheme="majorEastAsia" w:hAnsiTheme="majorEastAsia"/>
                <w:color w:val="auto"/>
                <w:sz w:val="24"/>
                <w:szCs w:val="24"/>
                <w:highlight w:val="none"/>
              </w:rPr>
              <w:t>☑</w:t>
            </w:r>
            <w:r>
              <w:rPr>
                <w:rFonts w:hint="eastAsia" w:asciiTheme="majorEastAsia" w:hAnsiTheme="majorEastAsia" w:eastAsiaTheme="majorEastAsia"/>
                <w:color w:val="auto"/>
                <w:kern w:val="2"/>
                <w:sz w:val="24"/>
                <w:szCs w:val="24"/>
                <w:highlight w:val="none"/>
              </w:rPr>
              <w:t>不交纳</w:t>
            </w:r>
          </w:p>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□交纳</w:t>
            </w:r>
            <w:bookmarkEnd w:id="163"/>
          </w:p>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27</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公证费</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bookmarkStart w:id="164" w:name="EB2ce5b88eba94499ba45199c3c51dafe2"/>
            <w:r>
              <w:rPr>
                <w:rFonts w:hint="eastAsia" w:asciiTheme="majorEastAsia" w:hAnsiTheme="majorEastAsia" w:eastAsiaTheme="majorEastAsia"/>
                <w:b/>
                <w:bCs/>
                <w:color w:val="auto"/>
                <w:kern w:val="2"/>
                <w:sz w:val="24"/>
                <w:szCs w:val="24"/>
                <w:highlight w:val="none"/>
              </w:rPr>
              <w:sym w:font="Wingdings 2" w:char="0052"/>
            </w:r>
            <w:r>
              <w:rPr>
                <w:rFonts w:hint="eastAsia" w:asciiTheme="majorEastAsia" w:hAnsiTheme="majorEastAsia" w:eastAsiaTheme="majorEastAsia"/>
                <w:color w:val="auto"/>
                <w:kern w:val="2"/>
                <w:sz w:val="24"/>
                <w:szCs w:val="24"/>
                <w:highlight w:val="none"/>
              </w:rPr>
              <w:t>不交纳</w:t>
            </w:r>
          </w:p>
          <w:p>
            <w:pPr>
              <w:pStyle w:val="52"/>
              <w:spacing w:line="400" w:lineRule="exact"/>
              <w:rPr>
                <w:rFonts w:asciiTheme="majorEastAsia" w:hAnsiTheme="majorEastAsia" w:eastAsiaTheme="majorEastAsia"/>
                <w:color w:val="auto"/>
                <w:sz w:val="24"/>
                <w:szCs w:val="24"/>
                <w:highlight w:val="none"/>
              </w:rPr>
            </w:pPr>
            <w:r>
              <w:rPr>
                <w:rFonts w:hint="eastAsia" w:cs="MS Mincho" w:asciiTheme="majorEastAsia" w:hAnsiTheme="majorEastAsia" w:eastAsiaTheme="majorEastAsia"/>
                <w:color w:val="auto"/>
                <w:sz w:val="24"/>
                <w:szCs w:val="24"/>
                <w:highlight w:val="none"/>
              </w:rPr>
              <w:t>□</w:t>
            </w:r>
            <w:r>
              <w:rPr>
                <w:rFonts w:hint="eastAsia" w:asciiTheme="majorEastAsia" w:hAnsiTheme="majorEastAsia" w:eastAsiaTheme="majorEastAsia"/>
                <w:color w:val="auto"/>
                <w:kern w:val="2"/>
                <w:sz w:val="24"/>
                <w:szCs w:val="24"/>
                <w:highlight w:val="none"/>
              </w:rPr>
              <w:t>交纳</w:t>
            </w:r>
            <w:bookmarkEnd w:id="1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28</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付款途径</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bookmarkStart w:id="165" w:name="EBea6107e5580a4549be5b498765332fd3"/>
            <w:r>
              <w:rPr>
                <w:rFonts w:hint="eastAsia" w:asciiTheme="majorEastAsia" w:hAnsiTheme="majorEastAsia" w:eastAsiaTheme="majorEastAsia"/>
                <w:color w:val="auto"/>
                <w:kern w:val="2"/>
                <w:sz w:val="24"/>
                <w:szCs w:val="24"/>
                <w:highlight w:val="none"/>
              </w:rPr>
              <w:t>电汇或网银</w:t>
            </w:r>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29</w:t>
            </w:r>
          </w:p>
        </w:tc>
        <w:tc>
          <w:tcPr>
            <w:tcW w:w="2664" w:type="dxa"/>
            <w:gridSpan w:val="2"/>
            <w:vAlign w:val="center"/>
          </w:tcPr>
          <w:p>
            <w:pPr>
              <w:pStyle w:val="52"/>
              <w:spacing w:line="400" w:lineRule="exact"/>
              <w:ind w:left="1592" w:hanging="1592"/>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付款方式</w:t>
            </w:r>
          </w:p>
        </w:tc>
        <w:tc>
          <w:tcPr>
            <w:tcW w:w="5390" w:type="dxa"/>
            <w:vAlign w:val="center"/>
          </w:tcPr>
          <w:p>
            <w:pPr>
              <w:pStyle w:val="24"/>
              <w:spacing w:line="360" w:lineRule="auto"/>
              <w:ind w:left="210" w:leftChars="100"/>
              <w:rPr>
                <w:rFonts w:asciiTheme="majorEastAsia" w:hAnsiTheme="majorEastAsia" w:eastAsiaTheme="majorEastAsia"/>
                <w:color w:val="auto"/>
                <w:highlight w:val="none"/>
              </w:rPr>
            </w:pPr>
            <w:r>
              <w:rPr>
                <w:rFonts w:hint="eastAsia" w:asciiTheme="majorEastAsia" w:hAnsiTheme="majorEastAsia" w:eastAsiaTheme="majorEastAsia"/>
                <w:color w:val="auto"/>
                <w:sz w:val="24"/>
                <w:highlight w:val="none"/>
              </w:rPr>
              <w:t>合同签订前，中标供应商向采购单位缴纳合同价款</w:t>
            </w:r>
            <w:r>
              <w:rPr>
                <w:rFonts w:asciiTheme="majorEastAsia" w:hAnsiTheme="majorEastAsia" w:eastAsiaTheme="majorEastAsia"/>
                <w:color w:val="auto"/>
                <w:sz w:val="24"/>
                <w:highlight w:val="none"/>
              </w:rPr>
              <w:t>5%的履约保证金；采购单位在合同生效后支付给中标供应商合同价款的30%作为合同预付款。中标供应商在收到预付款7个工作日内依法开具相应的收据并交付给采购单位。中标供应商在约定的交付期限内将设备全部运至采购单位指定地点安装调试完毕，经采购单位或采购单位指定（或委托）的第三方机构检测验收合格后，中标供应商依法开具相应的发票交付给采购单位，采购单位向中标供应商支付合同剩余价款，并将5%的履约保证金无息退还给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30</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lang w:val="zh-TW" w:eastAsia="zh-TW"/>
              </w:rPr>
              <w:t>★</w:t>
            </w:r>
            <w:r>
              <w:rPr>
                <w:rFonts w:hint="eastAsia" w:asciiTheme="majorEastAsia" w:hAnsiTheme="majorEastAsia" w:eastAsiaTheme="majorEastAsia"/>
                <w:b/>
                <w:color w:val="auto"/>
                <w:sz w:val="24"/>
                <w:szCs w:val="24"/>
                <w:highlight w:val="none"/>
              </w:rPr>
              <w:t>交付日期</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sz w:val="24"/>
                <w:szCs w:val="24"/>
                <w:highlight w:val="none"/>
              </w:rPr>
              <w:t>合同生效后国产设备30日以内,进口设备90日以内。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31</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lang w:val="zh-TW" w:eastAsia="zh-TW"/>
              </w:rPr>
              <w:t>★</w:t>
            </w:r>
            <w:r>
              <w:rPr>
                <w:rFonts w:hint="eastAsia" w:asciiTheme="majorEastAsia" w:hAnsiTheme="majorEastAsia" w:eastAsiaTheme="majorEastAsia"/>
                <w:b/>
                <w:color w:val="auto"/>
                <w:sz w:val="24"/>
                <w:szCs w:val="24"/>
                <w:highlight w:val="none"/>
              </w:rPr>
              <w:t>交付地点</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cs="宋体" w:asciiTheme="majorEastAsia" w:hAnsiTheme="majorEastAsia" w:eastAsiaTheme="majorEastAsia"/>
                <w:color w:val="auto"/>
                <w:sz w:val="24"/>
                <w:szCs w:val="24"/>
                <w:highlight w:val="none"/>
              </w:rPr>
              <w:t>石河子大学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32</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lang w:val="zh-TW" w:eastAsia="zh-TW"/>
              </w:rPr>
              <w:t>★</w:t>
            </w:r>
            <w:r>
              <w:rPr>
                <w:rFonts w:hint="eastAsia" w:asciiTheme="majorEastAsia" w:hAnsiTheme="majorEastAsia" w:eastAsiaTheme="majorEastAsia"/>
                <w:b/>
                <w:color w:val="auto"/>
                <w:sz w:val="24"/>
                <w:szCs w:val="24"/>
                <w:highlight w:val="none"/>
              </w:rPr>
              <w:t>质保期</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cs="宋体" w:asciiTheme="majorEastAsia" w:hAnsiTheme="majorEastAsia" w:eastAsiaTheme="majorEastAsia"/>
                <w:color w:val="auto"/>
                <w:sz w:val="24"/>
                <w:szCs w:val="24"/>
                <w:highlight w:val="none"/>
              </w:rPr>
              <w:t>不少于一年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33</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争议的解决</w:t>
            </w:r>
          </w:p>
        </w:tc>
        <w:tc>
          <w:tcPr>
            <w:tcW w:w="5390" w:type="dxa"/>
            <w:vAlign w:val="center"/>
          </w:tcPr>
          <w:p>
            <w:pPr>
              <w:pStyle w:val="52"/>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若甲、乙双方发生纠纷，应首先友好协商解决，如不能达成一致意见，可向石河子人民法院提起诉讼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34</w:t>
            </w:r>
          </w:p>
        </w:tc>
        <w:tc>
          <w:tcPr>
            <w:tcW w:w="2664" w:type="dxa"/>
            <w:gridSpan w:val="2"/>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是否需要</w:t>
            </w:r>
          </w:p>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提交样品</w:t>
            </w:r>
          </w:p>
        </w:tc>
        <w:tc>
          <w:tcPr>
            <w:tcW w:w="5390" w:type="dxa"/>
            <w:vAlign w:val="center"/>
          </w:tcPr>
          <w:p>
            <w:pPr>
              <w:pStyle w:val="52"/>
              <w:autoSpaceDE w:val="0"/>
              <w:autoSpaceDN w:val="0"/>
              <w:adjustRightInd w:val="0"/>
              <w:spacing w:line="400" w:lineRule="exact"/>
              <w:ind w:left="360" w:hanging="360"/>
              <w:rPr>
                <w:rFonts w:asciiTheme="majorEastAsia" w:hAnsiTheme="majorEastAsia" w:eastAsiaTheme="majorEastAsia"/>
                <w:color w:val="auto"/>
                <w:kern w:val="2"/>
                <w:sz w:val="24"/>
                <w:szCs w:val="24"/>
                <w:highlight w:val="none"/>
              </w:rPr>
            </w:pPr>
            <w:r>
              <w:rPr>
                <w:rFonts w:hint="eastAsia" w:eastAsia="MS Mincho" w:cs="MS Mincho" w:asciiTheme="majorEastAsia" w:hAnsiTheme="majorEastAsia"/>
                <w:color w:val="auto"/>
                <w:kern w:val="2"/>
                <w:sz w:val="24"/>
                <w:szCs w:val="24"/>
                <w:highlight w:val="none"/>
              </w:rPr>
              <w:t>☑</w:t>
            </w:r>
            <w:r>
              <w:rPr>
                <w:rFonts w:hint="eastAsia" w:cs="宋体" w:asciiTheme="majorEastAsia" w:hAnsiTheme="majorEastAsia" w:eastAsiaTheme="majorEastAsia"/>
                <w:color w:val="auto"/>
                <w:kern w:val="2"/>
                <w:sz w:val="24"/>
                <w:szCs w:val="24"/>
                <w:highlight w:val="none"/>
              </w:rPr>
              <w:t>不需要</w:t>
            </w:r>
          </w:p>
          <w:p>
            <w:pPr>
              <w:pStyle w:val="52"/>
              <w:autoSpaceDE w:val="0"/>
              <w:autoSpaceDN w:val="0"/>
              <w:adjustRightInd w:val="0"/>
              <w:spacing w:line="400" w:lineRule="exact"/>
              <w:ind w:left="360" w:hanging="36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□需要，样品要求如下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35</w:t>
            </w:r>
          </w:p>
        </w:tc>
        <w:tc>
          <w:tcPr>
            <w:tcW w:w="2664" w:type="dxa"/>
            <w:gridSpan w:val="2"/>
            <w:vAlign w:val="center"/>
          </w:tcPr>
          <w:p>
            <w:pPr>
              <w:pStyle w:val="52"/>
              <w:autoSpaceDE w:val="0"/>
              <w:autoSpaceDN w:val="0"/>
              <w:adjustRightInd w:val="0"/>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现场陈述</w:t>
            </w:r>
          </w:p>
        </w:tc>
        <w:tc>
          <w:tcPr>
            <w:tcW w:w="5390" w:type="dxa"/>
            <w:vAlign w:val="center"/>
          </w:tcPr>
          <w:p>
            <w:pPr>
              <w:pStyle w:val="52"/>
              <w:autoSpaceDE w:val="0"/>
              <w:autoSpaceDN w:val="0"/>
              <w:adjustRightInd w:val="0"/>
              <w:spacing w:line="400" w:lineRule="exact"/>
              <w:ind w:left="360" w:hanging="360"/>
              <w:rPr>
                <w:rFonts w:asciiTheme="majorEastAsia" w:hAnsiTheme="majorEastAsia" w:eastAsiaTheme="majorEastAsia"/>
                <w:color w:val="auto"/>
                <w:kern w:val="2"/>
                <w:sz w:val="24"/>
                <w:szCs w:val="24"/>
                <w:highlight w:val="none"/>
              </w:rPr>
            </w:pPr>
            <w:bookmarkStart w:id="166" w:name="EB2bf8f7172c8d4220b807b8bf667df51d"/>
            <w:r>
              <w:rPr>
                <w:rFonts w:hint="eastAsia" w:eastAsia="MS Mincho" w:cs="MS Mincho" w:asciiTheme="majorEastAsia" w:hAnsi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不需要</w:t>
            </w:r>
          </w:p>
          <w:p>
            <w:pPr>
              <w:pStyle w:val="52"/>
              <w:autoSpaceDE w:val="0"/>
              <w:autoSpaceDN w:val="0"/>
              <w:adjustRightInd w:val="0"/>
              <w:spacing w:line="400" w:lineRule="exact"/>
              <w:ind w:left="360" w:hanging="36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□需要</w:t>
            </w:r>
            <w:bookmarkEnd w:id="166"/>
          </w:p>
          <w:p>
            <w:pPr>
              <w:pStyle w:val="52"/>
              <w:autoSpaceDE w:val="0"/>
              <w:autoSpaceDN w:val="0"/>
              <w:adjustRightInd w:val="0"/>
              <w:spacing w:line="400" w:lineRule="exact"/>
              <w:ind w:left="360" w:hanging="360"/>
              <w:rPr>
                <w:rFonts w:asciiTheme="majorEastAsia" w:hAnsiTheme="majorEastAsia" w:eastAsiaTheme="majorEastAsia"/>
                <w:color w:val="auto"/>
                <w:kern w:val="2"/>
                <w:sz w:val="24"/>
                <w:szCs w:val="24"/>
                <w:highlight w:val="none"/>
                <w:lang w:val="zh-CN"/>
              </w:rPr>
            </w:pPr>
            <w:r>
              <w:rPr>
                <w:rFonts w:hint="eastAsia" w:cs="仿宋" w:asciiTheme="majorEastAsia" w:hAnsiTheme="majorEastAsia" w:eastAsiaTheme="majorEastAsia"/>
                <w:color w:val="auto"/>
                <w:kern w:val="2"/>
                <w:sz w:val="24"/>
                <w:szCs w:val="24"/>
                <w:highlight w:val="none"/>
                <w:lang w:val="zh-CN"/>
              </w:rPr>
              <w:t>陈述要求如下：</w:t>
            </w:r>
          </w:p>
          <w:p>
            <w:pPr>
              <w:pStyle w:val="52"/>
              <w:autoSpaceDE w:val="0"/>
              <w:autoSpaceDN w:val="0"/>
              <w:adjustRightInd w:val="0"/>
              <w:spacing w:line="400" w:lineRule="exact"/>
              <w:rPr>
                <w:rFonts w:cs="仿宋" w:asciiTheme="majorEastAsia" w:hAnsiTheme="majorEastAsia" w:eastAsiaTheme="majorEastAsia"/>
                <w:color w:val="auto"/>
                <w:kern w:val="2"/>
                <w:sz w:val="24"/>
                <w:szCs w:val="24"/>
                <w:highlight w:val="none"/>
                <w:lang w:val="zh-CN"/>
              </w:rPr>
            </w:pPr>
            <w:r>
              <w:rPr>
                <w:rFonts w:cs="仿宋" w:asciiTheme="majorEastAsia" w:hAnsiTheme="majorEastAsia" w:eastAsiaTheme="majorEastAsia"/>
                <w:color w:val="auto"/>
                <w:kern w:val="2"/>
                <w:sz w:val="24"/>
                <w:szCs w:val="24"/>
                <w:highlight w:val="none"/>
                <w:lang w:val="zh-CN"/>
              </w:rPr>
              <w:t>1</w:t>
            </w:r>
            <w:r>
              <w:rPr>
                <w:rFonts w:hint="eastAsia" w:cs="仿宋" w:asciiTheme="majorEastAsia" w:hAnsiTheme="majorEastAsia" w:eastAsiaTheme="majorEastAsia"/>
                <w:color w:val="auto"/>
                <w:kern w:val="2"/>
                <w:sz w:val="24"/>
                <w:szCs w:val="24"/>
                <w:highlight w:val="none"/>
                <w:lang w:val="zh-CN"/>
              </w:rPr>
              <w:t>、陈述内容：</w:t>
            </w:r>
            <w:bookmarkStart w:id="167" w:name="EB8e817217aed9401989abb25b506169e6"/>
            <w:bookmarkEnd w:id="167"/>
          </w:p>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lang w:val="zh-CN"/>
              </w:rPr>
            </w:pPr>
            <w:r>
              <w:rPr>
                <w:rFonts w:hint="eastAsia" w:cs="仿宋" w:asciiTheme="majorEastAsia" w:hAnsiTheme="majorEastAsia" w:eastAsiaTheme="majorEastAsia"/>
                <w:color w:val="auto"/>
                <w:kern w:val="2"/>
                <w:sz w:val="24"/>
                <w:szCs w:val="24"/>
                <w:highlight w:val="none"/>
                <w:lang w:val="zh-CN"/>
              </w:rPr>
              <w:t>2、陈述人员：</w:t>
            </w:r>
            <w:bookmarkStart w:id="168" w:name="EB4908ff0acb7b4a98a58a498edb4c9258"/>
            <w:bookmarkEnd w:id="168"/>
          </w:p>
          <w:p>
            <w:pPr>
              <w:pStyle w:val="52"/>
              <w:autoSpaceDE w:val="0"/>
              <w:autoSpaceDN w:val="0"/>
              <w:adjustRightInd w:val="0"/>
              <w:spacing w:line="400" w:lineRule="exact"/>
              <w:rPr>
                <w:rFonts w:cs="仿宋" w:asciiTheme="majorEastAsia" w:hAnsiTheme="majorEastAsia" w:eastAsiaTheme="majorEastAsia"/>
                <w:color w:val="auto"/>
                <w:kern w:val="2"/>
                <w:sz w:val="24"/>
                <w:szCs w:val="24"/>
                <w:highlight w:val="none"/>
                <w:lang w:val="zh-CN"/>
              </w:rPr>
            </w:pPr>
            <w:r>
              <w:rPr>
                <w:rFonts w:hint="eastAsia" w:cs="仿宋" w:asciiTheme="majorEastAsia" w:hAnsiTheme="majorEastAsia" w:eastAsiaTheme="majorEastAsia"/>
                <w:color w:val="auto"/>
                <w:kern w:val="2"/>
                <w:sz w:val="24"/>
                <w:szCs w:val="24"/>
                <w:highlight w:val="none"/>
                <w:lang w:val="zh-CN"/>
              </w:rPr>
              <w:t>3、陈述时限：</w:t>
            </w:r>
            <w:bookmarkStart w:id="169" w:name="EB4edb8bce40184beabd65baaba629a8ea"/>
            <w:bookmarkEnd w:id="169"/>
            <w:r>
              <w:rPr>
                <w:rFonts w:hint="eastAsia" w:cs="仿宋" w:asciiTheme="majorEastAsia" w:hAnsiTheme="majorEastAsia" w:eastAsiaTheme="majorEastAsia"/>
                <w:color w:val="auto"/>
                <w:kern w:val="2"/>
                <w:sz w:val="24"/>
                <w:szCs w:val="24"/>
                <w:highlight w:val="none"/>
                <w:lang w:val="zh-CN"/>
              </w:rPr>
              <w:t>分钟。</w:t>
            </w:r>
          </w:p>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lang w:val="zh-CN"/>
              </w:rPr>
            </w:pPr>
            <w:r>
              <w:rPr>
                <w:rFonts w:hint="eastAsia" w:cs="仿宋" w:asciiTheme="majorEastAsia" w:hAnsiTheme="majorEastAsia" w:eastAsiaTheme="majorEastAsia"/>
                <w:color w:val="auto"/>
                <w:kern w:val="2"/>
                <w:sz w:val="24"/>
                <w:szCs w:val="24"/>
                <w:highlight w:val="none"/>
                <w:lang w:val="zh-CN"/>
              </w:rPr>
              <w:t>4、陈述形式：</w:t>
            </w:r>
            <w:bookmarkStart w:id="170" w:name="EBd42c040edea44a2dbd5466f21dc66587"/>
            <w:bookmarkEnd w:id="170"/>
          </w:p>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r>
              <w:rPr>
                <w:rFonts w:hint="eastAsia" w:cs="仿宋" w:asciiTheme="majorEastAsia" w:hAnsiTheme="majorEastAsia" w:eastAsiaTheme="majorEastAsia"/>
                <w:color w:val="auto"/>
                <w:kern w:val="2"/>
                <w:sz w:val="24"/>
                <w:szCs w:val="24"/>
                <w:highlight w:val="none"/>
                <w:lang w:val="zh-CN"/>
              </w:rPr>
              <w:t>5、其他：(1)依照签到顺序依次进行；(2)投标人可放弃陈述，但需要签字确认。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36</w:t>
            </w:r>
          </w:p>
        </w:tc>
        <w:tc>
          <w:tcPr>
            <w:tcW w:w="2664" w:type="dxa"/>
            <w:gridSpan w:val="2"/>
            <w:vAlign w:val="center"/>
          </w:tcPr>
          <w:p>
            <w:pPr>
              <w:pStyle w:val="52"/>
              <w:autoSpaceDE w:val="0"/>
              <w:autoSpaceDN w:val="0"/>
              <w:adjustRightInd w:val="0"/>
              <w:spacing w:line="400" w:lineRule="exact"/>
              <w:jc w:val="center"/>
              <w:rPr>
                <w:rFonts w:asciiTheme="majorEastAsia" w:hAnsiTheme="majorEastAsia" w:eastAsiaTheme="majorEastAsia"/>
                <w:b/>
                <w:color w:val="auto"/>
                <w:sz w:val="24"/>
                <w:szCs w:val="24"/>
                <w:highlight w:val="none"/>
              </w:rPr>
            </w:pPr>
            <w:r>
              <w:rPr>
                <w:rFonts w:hint="eastAsia" w:cs="宋体" w:asciiTheme="majorEastAsia" w:hAnsiTheme="majorEastAsia" w:eastAsiaTheme="majorEastAsia"/>
                <w:color w:val="auto"/>
                <w:szCs w:val="21"/>
                <w:highlight w:val="none"/>
              </w:rPr>
              <w:t>★</w:t>
            </w:r>
            <w:r>
              <w:rPr>
                <w:rFonts w:hint="eastAsia" w:asciiTheme="majorEastAsia" w:hAnsiTheme="majorEastAsia" w:eastAsiaTheme="majorEastAsia"/>
                <w:b/>
                <w:color w:val="auto"/>
                <w:sz w:val="24"/>
                <w:szCs w:val="24"/>
                <w:highlight w:val="none"/>
              </w:rPr>
              <w:t>项目预算</w:t>
            </w:r>
          </w:p>
        </w:tc>
        <w:tc>
          <w:tcPr>
            <w:tcW w:w="5390" w:type="dxa"/>
            <w:vAlign w:val="center"/>
          </w:tcPr>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本项目预算</w:t>
            </w:r>
            <w:bookmarkStart w:id="171" w:name="EB37045333926244749e63270637dfc851"/>
            <w:r>
              <w:rPr>
                <w:rFonts w:hint="eastAsia" w:asciiTheme="majorEastAsia" w:hAnsiTheme="majorEastAsia" w:eastAsiaTheme="majorEastAsia"/>
                <w:color w:val="auto"/>
                <w:kern w:val="2"/>
                <w:sz w:val="24"/>
                <w:szCs w:val="24"/>
                <w:highlight w:val="none"/>
              </w:rPr>
              <w:t>为700000元</w:t>
            </w:r>
            <w:bookmarkEnd w:id="171"/>
            <w:r>
              <w:rPr>
                <w:rFonts w:hint="eastAsia" w:asciiTheme="majorEastAsia" w:hAnsiTheme="majorEastAsia" w:eastAsiaTheme="majorEastAsia"/>
                <w:color w:val="auto"/>
                <w:kern w:val="2"/>
                <w:sz w:val="24"/>
                <w:szCs w:val="24"/>
                <w:highlight w:val="none"/>
              </w:rPr>
              <w:t>。</w:t>
            </w:r>
            <w:r>
              <w:rPr>
                <w:rFonts w:cs="宋体" w:asciiTheme="majorEastAsia" w:hAnsiTheme="majorEastAsia" w:eastAsiaTheme="majorEastAsia"/>
                <w:color w:val="auto"/>
                <w:sz w:val="24"/>
                <w:szCs w:val="24"/>
                <w:highlight w:val="none"/>
              </w:rPr>
              <w:t>本项目不接受选择性报价，对于出现的政采云平台开标唱标环节经投标供应商确认的投标报价与投标文件中开标一览表的报价不一致的现象，视作选择性报价，将被作为无效投标处理。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37</w:t>
            </w:r>
          </w:p>
        </w:tc>
        <w:tc>
          <w:tcPr>
            <w:tcW w:w="2664" w:type="dxa"/>
            <w:gridSpan w:val="2"/>
            <w:vAlign w:val="center"/>
          </w:tcPr>
          <w:p>
            <w:pPr>
              <w:pStyle w:val="52"/>
              <w:autoSpaceDE w:val="0"/>
              <w:autoSpaceDN w:val="0"/>
              <w:adjustRightInd w:val="0"/>
              <w:spacing w:line="400" w:lineRule="exact"/>
              <w:jc w:val="center"/>
              <w:rPr>
                <w:rFonts w:asciiTheme="majorEastAsia" w:hAnsiTheme="majorEastAsia" w:eastAsiaTheme="majorEastAsia"/>
                <w:b/>
                <w:color w:val="auto"/>
                <w:sz w:val="24"/>
                <w:szCs w:val="24"/>
                <w:highlight w:val="none"/>
              </w:rPr>
            </w:pPr>
            <w:r>
              <w:rPr>
                <w:rFonts w:hint="eastAsia" w:cs="宋体" w:asciiTheme="majorEastAsia" w:hAnsiTheme="majorEastAsia" w:eastAsiaTheme="majorEastAsia"/>
                <w:color w:val="auto"/>
                <w:szCs w:val="21"/>
                <w:highlight w:val="none"/>
              </w:rPr>
              <w:t>★</w:t>
            </w:r>
            <w:r>
              <w:rPr>
                <w:rFonts w:hint="eastAsia" w:asciiTheme="majorEastAsia" w:hAnsiTheme="majorEastAsia" w:eastAsiaTheme="majorEastAsia"/>
                <w:b/>
                <w:color w:val="auto"/>
                <w:sz w:val="24"/>
                <w:szCs w:val="24"/>
                <w:highlight w:val="none"/>
              </w:rPr>
              <w:t>其他</w:t>
            </w:r>
          </w:p>
        </w:tc>
        <w:tc>
          <w:tcPr>
            <w:tcW w:w="5390" w:type="dxa"/>
            <w:vAlign w:val="center"/>
          </w:tcPr>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r>
              <w:rPr>
                <w:rFonts w:hint="eastAsia" w:cs="仿宋" w:asciiTheme="majorEastAsia" w:hAnsiTheme="majorEastAsia" w:eastAsiaTheme="majorEastAsia"/>
                <w:color w:val="auto"/>
                <w:kern w:val="2"/>
                <w:sz w:val="24"/>
                <w:szCs w:val="24"/>
                <w:highlight w:val="none"/>
                <w:lang w:val="zh-CN"/>
              </w:rPr>
              <w:t>本项目不接受任何可调整可选择的报价及备选方案。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38</w:t>
            </w:r>
          </w:p>
        </w:tc>
        <w:tc>
          <w:tcPr>
            <w:tcW w:w="2664" w:type="dxa"/>
            <w:gridSpan w:val="2"/>
            <w:vAlign w:val="center"/>
          </w:tcPr>
          <w:p>
            <w:pPr>
              <w:pStyle w:val="52"/>
              <w:autoSpaceDE w:val="0"/>
              <w:autoSpaceDN w:val="0"/>
              <w:adjustRightInd w:val="0"/>
              <w:spacing w:line="400" w:lineRule="exact"/>
              <w:jc w:val="center"/>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招标人补充的其他内容</w:t>
            </w:r>
          </w:p>
        </w:tc>
        <w:tc>
          <w:tcPr>
            <w:tcW w:w="5390" w:type="dxa"/>
            <w:vAlign w:val="center"/>
          </w:tcPr>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bookmarkStart w:id="172" w:name="EB74ae452a189a4b2c993499fc5939ae2d"/>
            <w:r>
              <w:rPr>
                <w:rFonts w:hint="eastAsia" w:asciiTheme="majorEastAsia" w:hAnsiTheme="majorEastAsia" w:eastAsiaTheme="majorEastAsia"/>
                <w:color w:val="auto"/>
                <w:kern w:val="2"/>
                <w:sz w:val="24"/>
                <w:szCs w:val="24"/>
                <w:highlight w:val="none"/>
              </w:rPr>
              <w:t>中标人：</w:t>
            </w:r>
          </w:p>
          <w:p>
            <w:pPr>
              <w:pStyle w:val="52"/>
              <w:autoSpaceDE w:val="0"/>
              <w:autoSpaceDN w:val="0"/>
              <w:adjustRightInd w:val="0"/>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1、本次招标项目选1家中标单位。</w:t>
            </w:r>
          </w:p>
          <w:p>
            <w:pPr>
              <w:pStyle w:val="52"/>
              <w:autoSpaceDE w:val="0"/>
              <w:autoSpaceDN w:val="0"/>
              <w:adjustRightInd w:val="0"/>
              <w:spacing w:line="400" w:lineRule="exact"/>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color w:val="auto"/>
                <w:kern w:val="2"/>
                <w:sz w:val="24"/>
                <w:szCs w:val="24"/>
                <w:highlight w:val="none"/>
              </w:rPr>
              <w:t>2、合同价：按照中标单位的中标价作为执行合同的价格。</w:t>
            </w:r>
            <w:bookmarkEnd w:id="172"/>
          </w:p>
          <w:p>
            <w:pPr>
              <w:pStyle w:val="52"/>
              <w:autoSpaceDE w:val="0"/>
              <w:autoSpaceDN w:val="0"/>
              <w:adjustRightInd w:val="0"/>
              <w:spacing w:line="400" w:lineRule="exact"/>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b/>
                <w:color w:val="auto"/>
                <w:kern w:val="2"/>
                <w:sz w:val="24"/>
                <w:szCs w:val="24"/>
                <w:highlight w:val="none"/>
              </w:rPr>
              <w:t>本项目采用不见面开标，投标人的法定代表人或其委托代理人无需到达开标现场，仅需在任意地点通过政采云平台</w:t>
            </w:r>
            <w:r>
              <w:rPr>
                <w:rFonts w:asciiTheme="majorEastAsia" w:hAnsiTheme="majorEastAsia" w:eastAsiaTheme="majorEastAsia"/>
                <w:b/>
                <w:color w:val="auto"/>
                <w:kern w:val="2"/>
                <w:sz w:val="24"/>
                <w:szCs w:val="24"/>
                <w:highlight w:val="none"/>
              </w:rPr>
              <w:t>（https://www.zcygov.cn/）</w:t>
            </w:r>
            <w:r>
              <w:rPr>
                <w:rFonts w:hint="eastAsia" w:asciiTheme="majorEastAsia" w:hAnsiTheme="majorEastAsia" w:eastAsiaTheme="majorEastAsia"/>
                <w:b/>
                <w:color w:val="auto"/>
                <w:kern w:val="2"/>
                <w:sz w:val="24"/>
                <w:szCs w:val="24"/>
                <w:highlight w:val="none"/>
              </w:rPr>
              <w:t>，使用CA密钥完成远程解密、提疑澄清、开标唱标、结果公布等交互环节。</w:t>
            </w:r>
          </w:p>
          <w:p>
            <w:pPr>
              <w:pStyle w:val="52"/>
              <w:autoSpaceDE w:val="0"/>
              <w:autoSpaceDN w:val="0"/>
              <w:adjustRightInd w:val="0"/>
              <w:spacing w:line="400" w:lineRule="exact"/>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kern w:val="2"/>
                <w:sz w:val="24"/>
                <w:szCs w:val="24"/>
                <w:highlight w:val="none"/>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39</w:t>
            </w:r>
          </w:p>
        </w:tc>
        <w:tc>
          <w:tcPr>
            <w:tcW w:w="2664" w:type="dxa"/>
            <w:gridSpan w:val="2"/>
            <w:vAlign w:val="center"/>
          </w:tcPr>
          <w:p>
            <w:pPr>
              <w:pStyle w:val="52"/>
              <w:autoSpaceDE w:val="0"/>
              <w:autoSpaceDN w:val="0"/>
              <w:adjustRightInd w:val="0"/>
              <w:spacing w:line="400" w:lineRule="exact"/>
              <w:jc w:val="center"/>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确定中标供应商的方法</w:t>
            </w:r>
          </w:p>
        </w:tc>
        <w:tc>
          <w:tcPr>
            <w:tcW w:w="5390" w:type="dxa"/>
            <w:vAlign w:val="center"/>
          </w:tcPr>
          <w:p>
            <w:pPr>
              <w:pStyle w:val="52"/>
              <w:autoSpaceDE w:val="0"/>
              <w:autoSpaceDN w:val="0"/>
              <w:adjustRightInd w:val="0"/>
              <w:spacing w:line="400" w:lineRule="exact"/>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□委托本项目评审小组负责</w:t>
            </w:r>
          </w:p>
          <w:p>
            <w:pPr>
              <w:pStyle w:val="52"/>
              <w:autoSpaceDE w:val="0"/>
              <w:autoSpaceDN w:val="0"/>
              <w:adjustRightInd w:val="0"/>
              <w:spacing w:line="400" w:lineRule="exact"/>
              <w:rPr>
                <w:rFonts w:cs="宋体" w:asciiTheme="majorEastAsia" w:hAnsiTheme="majorEastAsia" w:eastAsiaTheme="majorEastAsia"/>
                <w:bCs/>
                <w:color w:val="auto"/>
                <w:kern w:val="2"/>
                <w:sz w:val="24"/>
                <w:szCs w:val="24"/>
                <w:highlight w:val="none"/>
              </w:rPr>
            </w:pPr>
            <w:r>
              <w:rPr>
                <w:rFonts w:hint="eastAsia" w:eastAsia="MS Mincho" w:cs="MS Mincho" w:asciiTheme="majorEastAsia" w:hAnsiTheme="majorEastAsia"/>
                <w:bCs/>
                <w:color w:val="auto"/>
                <w:kern w:val="2"/>
                <w:sz w:val="24"/>
                <w:szCs w:val="24"/>
                <w:highlight w:val="none"/>
              </w:rPr>
              <w:t>☑</w:t>
            </w:r>
            <w:r>
              <w:rPr>
                <w:rFonts w:hint="eastAsia" w:cs="宋体" w:asciiTheme="majorEastAsia" w:hAnsiTheme="majorEastAsia" w:eastAsiaTheme="majorEastAsia"/>
                <w:bCs/>
                <w:color w:val="auto"/>
                <w:kern w:val="2"/>
                <w:sz w:val="24"/>
                <w:szCs w:val="24"/>
                <w:highlight w:val="none"/>
              </w:rPr>
              <w:t>采购单位另行研究决定</w:t>
            </w:r>
          </w:p>
          <w:p>
            <w:pPr>
              <w:pStyle w:val="52"/>
              <w:autoSpaceDE w:val="0"/>
              <w:autoSpaceDN w:val="0"/>
              <w:adjustRightInd w:val="0"/>
              <w:spacing w:line="400" w:lineRule="exact"/>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bCs/>
                <w:color w:val="auto"/>
                <w:kern w:val="2"/>
                <w:sz w:val="24"/>
                <w:szCs w:val="24"/>
                <w:highlight w:val="none"/>
              </w:rPr>
              <w:t>□由采购单位所派代表工作单位现场负责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注意事项</w:t>
            </w:r>
          </w:p>
        </w:tc>
        <w:tc>
          <w:tcPr>
            <w:tcW w:w="8054" w:type="dxa"/>
            <w:gridSpan w:val="3"/>
            <w:vAlign w:val="center"/>
          </w:tcPr>
          <w:p>
            <w:pPr>
              <w:pStyle w:val="52"/>
              <w:spacing w:line="400" w:lineRule="exact"/>
              <w:ind w:right="-10"/>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注：</w:t>
            </w:r>
          </w:p>
          <w:p>
            <w:pPr>
              <w:pStyle w:val="52"/>
              <w:spacing w:line="400" w:lineRule="exact"/>
              <w:ind w:right="-10"/>
              <w:rPr>
                <w:rFonts w:asciiTheme="majorEastAsia" w:hAnsiTheme="majorEastAsia" w:eastAsiaTheme="majorEastAsia"/>
                <w:b/>
                <w:bCs/>
                <w:color w:val="auto"/>
                <w:kern w:val="2"/>
                <w:sz w:val="24"/>
                <w:szCs w:val="24"/>
                <w:highlight w:val="none"/>
              </w:rPr>
            </w:pPr>
            <w:r>
              <w:rPr>
                <w:rFonts w:hint="eastAsia" w:asciiTheme="majorEastAsia" w:hAnsiTheme="majorEastAsia" w:eastAsiaTheme="majorEastAsia"/>
                <w:b/>
                <w:bCs/>
                <w:color w:val="auto"/>
                <w:kern w:val="2"/>
                <w:sz w:val="24"/>
                <w:szCs w:val="24"/>
                <w:highlight w:val="none"/>
              </w:rPr>
              <w:t>1、无论何种原因，即使投标人开标时携带了证书材料的原件，但在投标文件中未提供与之内容完全一致的扫描件的，评标委员会可以视同其未提供。</w:t>
            </w:r>
          </w:p>
          <w:p>
            <w:pPr>
              <w:pStyle w:val="52"/>
              <w:spacing w:line="400" w:lineRule="exact"/>
              <w:ind w:right="-10"/>
              <w:rPr>
                <w:rFonts w:asciiTheme="majorEastAsia" w:hAnsiTheme="majorEastAsia" w:eastAsiaTheme="majorEastAsia"/>
                <w:b/>
                <w:bCs/>
                <w:color w:val="auto"/>
                <w:kern w:val="2"/>
                <w:sz w:val="24"/>
                <w:szCs w:val="24"/>
                <w:highlight w:val="none"/>
              </w:rPr>
            </w:pPr>
            <w:r>
              <w:rPr>
                <w:rFonts w:hint="eastAsia" w:asciiTheme="majorEastAsia" w:hAnsiTheme="majorEastAsia" w:eastAsiaTheme="majorEastAsia"/>
                <w:b/>
                <w:bCs/>
                <w:color w:val="auto"/>
                <w:kern w:val="2"/>
                <w:sz w:val="24"/>
                <w:szCs w:val="24"/>
                <w:highlight w:val="none"/>
              </w:rPr>
              <w:t>2、</w:t>
            </w:r>
            <w:r>
              <w:rPr>
                <w:rFonts w:asciiTheme="majorEastAsia" w:hAnsiTheme="majorEastAsia" w:eastAsiaTheme="majorEastAsia"/>
                <w:b/>
                <w:bCs/>
                <w:color w:val="auto"/>
                <w:kern w:val="2"/>
                <w:sz w:val="24"/>
                <w:szCs w:val="24"/>
                <w:highlight w:val="none"/>
              </w:rPr>
              <w:t>第六部分投标文件格式文件要求盖单位章</w:t>
            </w:r>
            <w:r>
              <w:rPr>
                <w:rFonts w:hint="eastAsia" w:asciiTheme="majorEastAsia" w:hAnsiTheme="majorEastAsia" w:eastAsiaTheme="majorEastAsia"/>
                <w:b/>
                <w:bCs/>
                <w:color w:val="auto"/>
                <w:kern w:val="2"/>
                <w:sz w:val="24"/>
                <w:szCs w:val="24"/>
                <w:highlight w:val="none"/>
              </w:rPr>
              <w:t>、签字</w:t>
            </w:r>
            <w:r>
              <w:rPr>
                <w:rFonts w:asciiTheme="majorEastAsia" w:hAnsiTheme="majorEastAsia" w:eastAsiaTheme="majorEastAsia"/>
                <w:b/>
                <w:bCs/>
                <w:color w:val="auto"/>
                <w:kern w:val="2"/>
                <w:sz w:val="24"/>
                <w:szCs w:val="24"/>
                <w:highlight w:val="none"/>
              </w:rPr>
              <w:t>的地方，供应商均应使用CA数字证书加盖供应商的单位章</w:t>
            </w:r>
            <w:r>
              <w:rPr>
                <w:rFonts w:hint="eastAsia" w:asciiTheme="majorEastAsia" w:hAnsiTheme="majorEastAsia" w:eastAsiaTheme="majorEastAsia"/>
                <w:b/>
                <w:bCs/>
                <w:color w:val="auto"/>
                <w:kern w:val="2"/>
                <w:sz w:val="24"/>
                <w:szCs w:val="24"/>
                <w:highlight w:val="none"/>
              </w:rPr>
              <w:t>，</w:t>
            </w:r>
            <w:r>
              <w:rPr>
                <w:rFonts w:asciiTheme="majorEastAsia" w:hAnsiTheme="majorEastAsia" w:eastAsiaTheme="majorEastAsia"/>
                <w:b/>
                <w:bCs/>
                <w:color w:val="auto"/>
                <w:kern w:val="2"/>
                <w:sz w:val="24"/>
                <w:szCs w:val="24"/>
                <w:highlight w:val="none"/>
              </w:rPr>
              <w:t>法定代表人</w:t>
            </w:r>
            <w:r>
              <w:rPr>
                <w:rFonts w:hint="eastAsia" w:asciiTheme="majorEastAsia" w:hAnsiTheme="majorEastAsia" w:eastAsiaTheme="majorEastAsia"/>
                <w:b/>
                <w:bCs/>
                <w:color w:val="auto"/>
                <w:kern w:val="2"/>
                <w:sz w:val="24"/>
                <w:szCs w:val="24"/>
                <w:highlight w:val="none"/>
              </w:rPr>
              <w:t>或授权委托人均应盖章或签字</w:t>
            </w:r>
            <w:r>
              <w:rPr>
                <w:rFonts w:asciiTheme="majorEastAsia" w:hAnsiTheme="majorEastAsia" w:eastAsiaTheme="majorEastAsia"/>
                <w:b/>
                <w:bCs/>
                <w:color w:val="auto"/>
                <w:kern w:val="2"/>
                <w:sz w:val="24"/>
                <w:szCs w:val="24"/>
                <w:highlight w:val="none"/>
              </w:rPr>
              <w:t>。</w:t>
            </w:r>
          </w:p>
          <w:p>
            <w:pPr>
              <w:pStyle w:val="52"/>
              <w:spacing w:line="400" w:lineRule="exact"/>
              <w:ind w:right="-10"/>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
                <w:bCs/>
                <w:color w:val="auto"/>
                <w:kern w:val="2"/>
                <w:sz w:val="24"/>
                <w:szCs w:val="24"/>
                <w:highlight w:val="none"/>
              </w:rPr>
              <w:t>3、</w:t>
            </w:r>
            <w:r>
              <w:rPr>
                <w:rFonts w:asciiTheme="majorEastAsia" w:hAnsiTheme="majorEastAsia" w:eastAsiaTheme="majorEastAsia"/>
                <w:b/>
                <w:bCs/>
                <w:color w:val="auto"/>
                <w:kern w:val="2"/>
                <w:sz w:val="24"/>
                <w:szCs w:val="24"/>
                <w:highlight w:val="none"/>
              </w:rPr>
              <w:t>本项目不接受选择性报价，对于出现的政采云平台开标唱标环节经投标供应商确认的投标报价与投标文件中开标一览表的报价不一致的现象，视作选择性报价，将被作为无效投标处理。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备注</w:t>
            </w:r>
          </w:p>
        </w:tc>
        <w:tc>
          <w:tcPr>
            <w:tcW w:w="8054" w:type="dxa"/>
            <w:gridSpan w:val="3"/>
            <w:vAlign w:val="center"/>
          </w:tcPr>
          <w:p>
            <w:pPr>
              <w:pStyle w:val="52"/>
              <w:spacing w:line="400" w:lineRule="exact"/>
              <w:ind w:right="-10"/>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有下列情况之一的，采购响应无效：</w:t>
            </w:r>
          </w:p>
          <w:p>
            <w:pPr>
              <w:pStyle w:val="52"/>
              <w:spacing w:line="400" w:lineRule="exact"/>
              <w:ind w:right="-10"/>
              <w:rPr>
                <w:rFonts w:asciiTheme="majorEastAsia" w:hAnsiTheme="majorEastAsia" w:eastAsiaTheme="majorEastAsia"/>
                <w:bCs/>
                <w:color w:val="auto"/>
                <w:kern w:val="2"/>
                <w:sz w:val="24"/>
                <w:szCs w:val="24"/>
                <w:highlight w:val="none"/>
              </w:rPr>
            </w:pPr>
            <w:r>
              <w:rPr>
                <w:rFonts w:asciiTheme="majorEastAsia" w:hAnsiTheme="majorEastAsia" w:eastAsiaTheme="majorEastAsia"/>
                <w:bCs/>
                <w:color w:val="auto"/>
                <w:kern w:val="2"/>
                <w:sz w:val="24"/>
                <w:szCs w:val="24"/>
                <w:highlight w:val="none"/>
              </w:rPr>
              <w:t>1.投标人不具备《中华人民共和国政府采购法》第二十二</w:t>
            </w:r>
            <w:r>
              <w:rPr>
                <w:rFonts w:hint="eastAsia" w:asciiTheme="majorEastAsia" w:hAnsiTheme="majorEastAsia" w:eastAsiaTheme="majorEastAsia"/>
                <w:bCs/>
                <w:color w:val="auto"/>
                <w:kern w:val="2"/>
                <w:sz w:val="24"/>
                <w:szCs w:val="24"/>
                <w:highlight w:val="none"/>
              </w:rPr>
              <w:t>条规定条件</w:t>
            </w:r>
            <w:r>
              <w:rPr>
                <w:rFonts w:asciiTheme="majorEastAsia" w:hAnsiTheme="majorEastAsia" w:eastAsiaTheme="majorEastAsia"/>
                <w:bCs/>
                <w:color w:val="auto"/>
                <w:kern w:val="2"/>
                <w:sz w:val="24"/>
                <w:szCs w:val="24"/>
                <w:highlight w:val="none"/>
              </w:rPr>
              <w:t>;</w:t>
            </w:r>
          </w:p>
          <w:p>
            <w:pPr>
              <w:pStyle w:val="52"/>
              <w:spacing w:line="400" w:lineRule="exact"/>
              <w:ind w:right="-10"/>
              <w:rPr>
                <w:rFonts w:asciiTheme="majorEastAsia" w:hAnsiTheme="majorEastAsia" w:eastAsiaTheme="majorEastAsia"/>
                <w:bCs/>
                <w:color w:val="auto"/>
                <w:kern w:val="2"/>
                <w:sz w:val="24"/>
                <w:szCs w:val="24"/>
                <w:highlight w:val="none"/>
              </w:rPr>
            </w:pPr>
            <w:r>
              <w:rPr>
                <w:rFonts w:asciiTheme="majorEastAsia" w:hAnsiTheme="majorEastAsia" w:eastAsiaTheme="majorEastAsia"/>
                <w:bCs/>
                <w:color w:val="auto"/>
                <w:kern w:val="2"/>
                <w:sz w:val="24"/>
                <w:szCs w:val="24"/>
                <w:highlight w:val="none"/>
              </w:rPr>
              <w:t>2.采购响应文件没有按采购文件的要求盖章或</w:t>
            </w:r>
            <w:r>
              <w:rPr>
                <w:rFonts w:hint="eastAsia" w:asciiTheme="majorEastAsia" w:hAnsiTheme="majorEastAsia" w:eastAsiaTheme="majorEastAsia"/>
                <w:bCs/>
                <w:color w:val="auto"/>
                <w:kern w:val="2"/>
                <w:sz w:val="24"/>
                <w:szCs w:val="24"/>
                <w:highlight w:val="none"/>
              </w:rPr>
              <w:t>签字；</w:t>
            </w:r>
          </w:p>
          <w:p>
            <w:pPr>
              <w:pStyle w:val="52"/>
              <w:spacing w:line="400" w:lineRule="exact"/>
              <w:ind w:right="-10"/>
              <w:rPr>
                <w:rFonts w:asciiTheme="majorEastAsia" w:hAnsiTheme="majorEastAsia" w:eastAsiaTheme="majorEastAsia"/>
                <w:bCs/>
                <w:color w:val="auto"/>
                <w:kern w:val="2"/>
                <w:sz w:val="24"/>
                <w:szCs w:val="24"/>
                <w:highlight w:val="none"/>
              </w:rPr>
            </w:pPr>
            <w:r>
              <w:rPr>
                <w:rFonts w:asciiTheme="majorEastAsia" w:hAnsiTheme="majorEastAsia" w:eastAsiaTheme="majorEastAsia"/>
                <w:bCs/>
                <w:color w:val="auto"/>
                <w:kern w:val="2"/>
                <w:sz w:val="24"/>
                <w:szCs w:val="24"/>
                <w:highlight w:val="none"/>
              </w:rPr>
              <w:t>3.投标人不符合资格条件</w:t>
            </w:r>
            <w:r>
              <w:rPr>
                <w:rFonts w:hint="eastAsia" w:asciiTheme="majorEastAsia" w:hAnsiTheme="majorEastAsia" w:eastAsiaTheme="majorEastAsia"/>
                <w:bCs/>
                <w:color w:val="auto"/>
                <w:kern w:val="2"/>
                <w:sz w:val="24"/>
                <w:szCs w:val="24"/>
                <w:highlight w:val="none"/>
              </w:rPr>
              <w:t>；</w:t>
            </w:r>
          </w:p>
          <w:p>
            <w:pPr>
              <w:pStyle w:val="52"/>
              <w:spacing w:line="400" w:lineRule="exact"/>
              <w:ind w:right="-10"/>
              <w:rPr>
                <w:rFonts w:asciiTheme="majorEastAsia" w:hAnsiTheme="majorEastAsia" w:eastAsiaTheme="majorEastAsia"/>
                <w:bCs/>
                <w:color w:val="auto"/>
                <w:kern w:val="2"/>
                <w:sz w:val="24"/>
                <w:szCs w:val="24"/>
                <w:highlight w:val="none"/>
              </w:rPr>
            </w:pPr>
            <w:r>
              <w:rPr>
                <w:rFonts w:asciiTheme="majorEastAsia" w:hAnsiTheme="majorEastAsia" w:eastAsiaTheme="majorEastAsia"/>
                <w:bCs/>
                <w:color w:val="auto"/>
                <w:kern w:val="2"/>
                <w:sz w:val="24"/>
                <w:szCs w:val="24"/>
                <w:highlight w:val="none"/>
              </w:rPr>
              <w:t>4.采购响应文件提供虚假材料</w:t>
            </w:r>
            <w:r>
              <w:rPr>
                <w:rFonts w:hint="eastAsia" w:asciiTheme="majorEastAsia" w:hAnsiTheme="majorEastAsia" w:eastAsiaTheme="majorEastAsia"/>
                <w:bCs/>
                <w:color w:val="auto"/>
                <w:kern w:val="2"/>
                <w:sz w:val="24"/>
                <w:szCs w:val="24"/>
                <w:highlight w:val="none"/>
              </w:rPr>
              <w:t>；</w:t>
            </w:r>
          </w:p>
          <w:p>
            <w:pPr>
              <w:pStyle w:val="52"/>
              <w:spacing w:line="400" w:lineRule="exact"/>
              <w:ind w:right="-10"/>
              <w:rPr>
                <w:rFonts w:asciiTheme="majorEastAsia" w:hAnsiTheme="majorEastAsia" w:eastAsiaTheme="majorEastAsia"/>
                <w:bCs/>
                <w:color w:val="auto"/>
                <w:kern w:val="2"/>
                <w:sz w:val="24"/>
                <w:szCs w:val="24"/>
                <w:highlight w:val="none"/>
              </w:rPr>
            </w:pPr>
            <w:r>
              <w:rPr>
                <w:rFonts w:asciiTheme="majorEastAsia" w:hAnsiTheme="majorEastAsia" w:eastAsiaTheme="majorEastAsia"/>
                <w:bCs/>
                <w:color w:val="auto"/>
                <w:kern w:val="2"/>
                <w:sz w:val="24"/>
                <w:szCs w:val="24"/>
                <w:highlight w:val="none"/>
              </w:rPr>
              <w:t>5.采购响应文件未完全满足采购文件中带“★”号的实质性</w:t>
            </w:r>
            <w:r>
              <w:rPr>
                <w:rFonts w:hint="eastAsia" w:asciiTheme="majorEastAsia" w:hAnsiTheme="majorEastAsia" w:eastAsiaTheme="majorEastAsia"/>
                <w:bCs/>
                <w:color w:val="auto"/>
                <w:kern w:val="2"/>
                <w:sz w:val="24"/>
                <w:szCs w:val="24"/>
                <w:highlight w:val="none"/>
              </w:rPr>
              <w:t>条款或指标；</w:t>
            </w:r>
          </w:p>
          <w:p>
            <w:pPr>
              <w:pStyle w:val="52"/>
              <w:spacing w:line="400" w:lineRule="exact"/>
              <w:ind w:right="-10"/>
              <w:rPr>
                <w:rFonts w:asciiTheme="majorEastAsia" w:hAnsiTheme="majorEastAsia" w:eastAsiaTheme="majorEastAsia"/>
                <w:bCs/>
                <w:color w:val="auto"/>
                <w:kern w:val="2"/>
                <w:sz w:val="24"/>
                <w:szCs w:val="24"/>
                <w:highlight w:val="none"/>
              </w:rPr>
            </w:pPr>
            <w:r>
              <w:rPr>
                <w:rFonts w:asciiTheme="majorEastAsia" w:hAnsiTheme="majorEastAsia" w:eastAsiaTheme="majorEastAsia"/>
                <w:bCs/>
                <w:color w:val="auto"/>
                <w:kern w:val="2"/>
                <w:sz w:val="24"/>
                <w:szCs w:val="24"/>
                <w:highlight w:val="none"/>
              </w:rPr>
              <w:t>6.投标人报价不确定或超过采购文件中列出的采购预算(最高限价)</w:t>
            </w:r>
            <w:r>
              <w:rPr>
                <w:rFonts w:hint="eastAsia" w:asciiTheme="majorEastAsia" w:hAnsiTheme="majorEastAsia" w:eastAsiaTheme="majorEastAsia"/>
                <w:bCs/>
                <w:color w:val="auto"/>
                <w:kern w:val="2"/>
                <w:sz w:val="24"/>
                <w:szCs w:val="24"/>
                <w:highlight w:val="none"/>
              </w:rPr>
              <w:t>；</w:t>
            </w:r>
          </w:p>
          <w:p>
            <w:pPr>
              <w:pStyle w:val="52"/>
              <w:spacing w:line="400" w:lineRule="exact"/>
              <w:ind w:right="-10"/>
              <w:rPr>
                <w:rFonts w:asciiTheme="majorEastAsia" w:hAnsiTheme="majorEastAsia" w:eastAsiaTheme="majorEastAsia"/>
                <w:bCs/>
                <w:color w:val="auto"/>
                <w:kern w:val="2"/>
                <w:sz w:val="24"/>
                <w:szCs w:val="24"/>
                <w:highlight w:val="none"/>
              </w:rPr>
            </w:pPr>
            <w:r>
              <w:rPr>
                <w:rFonts w:asciiTheme="majorEastAsia" w:hAnsiTheme="majorEastAsia" w:eastAsiaTheme="majorEastAsia"/>
                <w:bCs/>
                <w:color w:val="auto"/>
                <w:kern w:val="2"/>
                <w:sz w:val="24"/>
                <w:szCs w:val="24"/>
                <w:highlight w:val="none"/>
              </w:rPr>
              <w:t>7.联合体的投标人未提交各方共同签署的协议</w:t>
            </w:r>
            <w:r>
              <w:rPr>
                <w:rFonts w:hint="eastAsia" w:asciiTheme="majorEastAsia" w:hAnsiTheme="majorEastAsia" w:eastAsiaTheme="majorEastAsia"/>
                <w:bCs/>
                <w:color w:val="auto"/>
                <w:kern w:val="2"/>
                <w:sz w:val="24"/>
                <w:szCs w:val="24"/>
                <w:highlight w:val="none"/>
              </w:rPr>
              <w:t>；</w:t>
            </w:r>
          </w:p>
          <w:p>
            <w:pPr>
              <w:pStyle w:val="52"/>
              <w:spacing w:line="400" w:lineRule="exact"/>
              <w:ind w:right="-10"/>
              <w:rPr>
                <w:rFonts w:asciiTheme="majorEastAsia" w:hAnsiTheme="majorEastAsia" w:eastAsiaTheme="majorEastAsia"/>
                <w:bCs/>
                <w:color w:val="auto"/>
                <w:kern w:val="2"/>
                <w:sz w:val="24"/>
                <w:szCs w:val="24"/>
                <w:highlight w:val="none"/>
              </w:rPr>
            </w:pPr>
            <w:r>
              <w:rPr>
                <w:rFonts w:asciiTheme="majorEastAsia" w:hAnsiTheme="majorEastAsia" w:eastAsiaTheme="majorEastAsia"/>
                <w:bCs/>
                <w:color w:val="auto"/>
                <w:kern w:val="2"/>
                <w:sz w:val="24"/>
                <w:szCs w:val="24"/>
                <w:highlight w:val="none"/>
              </w:rPr>
              <w:t>8.投标人未按采购文件要求交纳投标保证金</w:t>
            </w:r>
            <w:r>
              <w:rPr>
                <w:rFonts w:hint="eastAsia" w:asciiTheme="majorEastAsia" w:hAnsiTheme="majorEastAsia" w:eastAsiaTheme="majorEastAsia"/>
                <w:bCs/>
                <w:color w:val="auto"/>
                <w:kern w:val="2"/>
                <w:sz w:val="24"/>
                <w:szCs w:val="24"/>
                <w:highlight w:val="none"/>
              </w:rPr>
              <w:t>；</w:t>
            </w:r>
          </w:p>
          <w:p>
            <w:pPr>
              <w:pStyle w:val="51"/>
              <w:spacing w:line="400" w:lineRule="exact"/>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color w:val="auto"/>
                <w:kern w:val="2"/>
                <w:sz w:val="24"/>
                <w:szCs w:val="24"/>
                <w:highlight w:val="none"/>
              </w:rPr>
              <w:t>9.投标人提供可调整的投标方案和报价；</w:t>
            </w:r>
          </w:p>
          <w:p>
            <w:pPr>
              <w:pStyle w:val="51"/>
              <w:spacing w:line="400" w:lineRule="exact"/>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10.投标人投标文件填报的内容不详，或没有提供招标文件中所要求的全部资料及数据的；</w:t>
            </w:r>
          </w:p>
          <w:p>
            <w:pPr>
              <w:pStyle w:val="51"/>
              <w:spacing w:line="400" w:lineRule="exact"/>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color w:val="auto"/>
                <w:kern w:val="2"/>
                <w:sz w:val="24"/>
                <w:szCs w:val="24"/>
                <w:highlight w:val="none"/>
              </w:rPr>
              <w:t>11.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r>
              <w:rPr>
                <w:rFonts w:hint="eastAsia" w:asciiTheme="majorEastAsia" w:hAnsiTheme="majorEastAsia" w:eastAsiaTheme="majorEastAsia"/>
                <w:b/>
                <w:color w:val="auto"/>
                <w:kern w:val="2"/>
                <w:sz w:val="24"/>
                <w:szCs w:val="24"/>
                <w:highlight w:val="none"/>
              </w:rPr>
              <w:t>；</w:t>
            </w:r>
          </w:p>
          <w:p>
            <w:pPr>
              <w:pStyle w:val="52"/>
              <w:spacing w:line="400" w:lineRule="exact"/>
              <w:ind w:right="-10"/>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12</w:t>
            </w:r>
            <w:r>
              <w:rPr>
                <w:rFonts w:asciiTheme="majorEastAsia" w:hAnsiTheme="majorEastAsia" w:eastAsiaTheme="majorEastAsia"/>
                <w:bCs/>
                <w:color w:val="auto"/>
                <w:kern w:val="2"/>
                <w:sz w:val="24"/>
                <w:szCs w:val="24"/>
                <w:highlight w:val="none"/>
              </w:rPr>
              <w:t>.评审期间，投标人没有按评标委员会的要求提交经授权</w:t>
            </w:r>
            <w:r>
              <w:rPr>
                <w:rFonts w:hint="eastAsia" w:asciiTheme="majorEastAsia" w:hAnsiTheme="majorEastAsia" w:eastAsiaTheme="majorEastAsia"/>
                <w:bCs/>
                <w:color w:val="auto"/>
                <w:kern w:val="2"/>
                <w:sz w:val="24"/>
                <w:szCs w:val="24"/>
                <w:highlight w:val="none"/>
              </w:rPr>
              <w:t>代表盖章或签字的澄清、说明、补正或改变了采购响应文件的实质性内容；</w:t>
            </w:r>
          </w:p>
          <w:p>
            <w:pPr>
              <w:pStyle w:val="52"/>
              <w:spacing w:line="400" w:lineRule="exact"/>
              <w:ind w:right="-10"/>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13</w:t>
            </w:r>
            <w:r>
              <w:rPr>
                <w:rFonts w:asciiTheme="majorEastAsia" w:hAnsiTheme="majorEastAsia" w:eastAsiaTheme="majorEastAsia"/>
                <w:bCs/>
                <w:color w:val="auto"/>
                <w:kern w:val="2"/>
                <w:sz w:val="24"/>
                <w:szCs w:val="24"/>
                <w:highlight w:val="none"/>
              </w:rPr>
              <w:t>.投标人对采购人、采购代理机构、评标委员会及其工作</w:t>
            </w:r>
            <w:r>
              <w:rPr>
                <w:rFonts w:hint="eastAsia" w:asciiTheme="majorEastAsia" w:hAnsiTheme="majorEastAsia" w:eastAsiaTheme="majorEastAsia"/>
                <w:bCs/>
                <w:color w:val="auto"/>
                <w:kern w:val="2"/>
                <w:sz w:val="24"/>
                <w:szCs w:val="24"/>
                <w:highlight w:val="none"/>
              </w:rPr>
              <w:t>人员施加影响，有碍公平、公正；</w:t>
            </w:r>
          </w:p>
          <w:p>
            <w:pPr>
              <w:pStyle w:val="52"/>
              <w:spacing w:line="400" w:lineRule="exact"/>
              <w:ind w:right="-10"/>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14.经评审委员会认定投标文件技术参数及要求复制、粘贴采购文件的；</w:t>
            </w:r>
          </w:p>
          <w:p>
            <w:pPr>
              <w:pStyle w:val="52"/>
              <w:spacing w:line="400" w:lineRule="exact"/>
              <w:ind w:right="-10"/>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15</w:t>
            </w:r>
            <w:r>
              <w:rPr>
                <w:rFonts w:asciiTheme="majorEastAsia" w:hAnsiTheme="majorEastAsia" w:eastAsiaTheme="majorEastAsia"/>
                <w:bCs/>
                <w:color w:val="auto"/>
                <w:kern w:val="2"/>
                <w:sz w:val="24"/>
                <w:szCs w:val="24"/>
                <w:highlight w:val="none"/>
              </w:rPr>
              <w:t>.法律、法规、规章及招标文件中规定属于响应无效的其他情形。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pStyle w:val="52"/>
              <w:spacing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报价要求</w:t>
            </w:r>
            <w:r>
              <w:rPr>
                <w:rFonts w:hint="eastAsia" w:cs="宋体" w:asciiTheme="majorEastAsia" w:hAnsiTheme="majorEastAsia" w:eastAsiaTheme="majorEastAsia"/>
                <w:color w:val="auto"/>
                <w:sz w:val="21"/>
                <w:szCs w:val="21"/>
                <w:highlight w:val="none"/>
                <w:lang w:val="zh-TW" w:eastAsia="zh-TW"/>
              </w:rPr>
              <w:t>★</w:t>
            </w:r>
          </w:p>
        </w:tc>
        <w:tc>
          <w:tcPr>
            <w:tcW w:w="8054" w:type="dxa"/>
            <w:gridSpan w:val="3"/>
            <w:vAlign w:val="center"/>
          </w:tcPr>
          <w:p>
            <w:pPr>
              <w:spacing w:line="400" w:lineRule="exact"/>
              <w:rPr>
                <w:rFonts w:cs="宋体" w:asciiTheme="majorEastAsia" w:hAnsiTheme="majorEastAsia" w:eastAsiaTheme="majorEastAsia"/>
                <w:color w:val="auto"/>
                <w:kern w:val="0"/>
                <w:sz w:val="24"/>
                <w:szCs w:val="20"/>
                <w:highlight w:val="none"/>
              </w:rPr>
            </w:pPr>
            <w:r>
              <w:rPr>
                <w:rFonts w:hint="eastAsia" w:cs="宋体" w:asciiTheme="majorEastAsia" w:hAnsiTheme="majorEastAsia" w:eastAsiaTheme="majorEastAsia"/>
                <w:color w:val="auto"/>
                <w:kern w:val="0"/>
                <w:sz w:val="24"/>
                <w:szCs w:val="20"/>
                <w:highlight w:val="none"/>
              </w:rPr>
              <w:t>1、投标人报价内应当包含税收等伴随服务的一切费用，此类费用包含在报价内，不得单独列出。</w:t>
            </w:r>
          </w:p>
          <w:p>
            <w:pPr>
              <w:pStyle w:val="52"/>
              <w:spacing w:line="400" w:lineRule="exact"/>
              <w:ind w:right="-10"/>
              <w:rPr>
                <w:rFonts w:asciiTheme="majorEastAsia" w:hAnsiTheme="majorEastAsia" w:eastAsiaTheme="majorEastAsia"/>
                <w:b/>
                <w:bCs/>
                <w:color w:val="auto"/>
                <w:kern w:val="2"/>
                <w:sz w:val="24"/>
                <w:szCs w:val="24"/>
                <w:highlight w:val="none"/>
              </w:rPr>
            </w:pPr>
            <w:r>
              <w:rPr>
                <w:rFonts w:hint="eastAsia" w:cs="宋体" w:asciiTheme="majorEastAsia" w:hAnsiTheme="majorEastAsia" w:eastAsiaTheme="majorEastAsia"/>
                <w:color w:val="auto"/>
                <w:sz w:val="24"/>
                <w:highlight w:val="none"/>
              </w:rPr>
              <w:t>2、</w:t>
            </w:r>
            <w:r>
              <w:rPr>
                <w:rFonts w:cs="宋体" w:asciiTheme="majorEastAsia" w:hAnsiTheme="majorEastAsia" w:eastAsiaTheme="majorEastAsia"/>
                <w:color w:val="auto"/>
                <w:sz w:val="24"/>
                <w:highlight w:val="none"/>
              </w:rPr>
              <w:t>本项目不接受选择性报价，对于出现的政采云平台开标唱标环节经投标供应商确认的投标报价与投标文件中开标一览表的报价不一致的现象，视作选择性报价，将被作为无效投标处理</w:t>
            </w:r>
            <w:r>
              <w:rPr>
                <w:rFonts w:hint="eastAsia" w:cs="宋体" w:asciiTheme="majorEastAsia" w:hAnsiTheme="majorEastAsia" w:eastAsiaTheme="majorEastAsia"/>
                <w:color w:val="auto"/>
                <w:sz w:val="24"/>
                <w:highlight w:val="none"/>
              </w:rPr>
              <w:t>。</w:t>
            </w:r>
          </w:p>
        </w:tc>
      </w:tr>
    </w:tbl>
    <w:p>
      <w:pPr>
        <w:pStyle w:val="51"/>
        <w:spacing w:line="500" w:lineRule="exact"/>
        <w:rPr>
          <w:rFonts w:asciiTheme="majorEastAsia" w:hAnsiTheme="majorEastAsia" w:eastAsiaTheme="majorEastAsia"/>
          <w:b/>
          <w:color w:val="auto"/>
          <w:kern w:val="2"/>
          <w:sz w:val="28"/>
          <w:szCs w:val="28"/>
          <w:highlight w:val="none"/>
        </w:rPr>
      </w:pPr>
    </w:p>
    <w:p>
      <w:pPr>
        <w:pStyle w:val="51"/>
        <w:spacing w:line="440" w:lineRule="exact"/>
        <w:rPr>
          <w:rFonts w:asciiTheme="majorEastAsia" w:hAnsiTheme="majorEastAsia" w:eastAsiaTheme="majorEastAsia"/>
          <w:color w:val="auto"/>
          <w:sz w:val="24"/>
          <w:szCs w:val="22"/>
          <w:highlight w:val="none"/>
        </w:rPr>
      </w:pPr>
      <w:r>
        <w:rPr>
          <w:rFonts w:hint="eastAsia" w:asciiTheme="majorEastAsia" w:hAnsiTheme="majorEastAsia" w:eastAsiaTheme="majorEastAsia"/>
          <w:color w:val="auto"/>
          <w:sz w:val="24"/>
          <w:szCs w:val="22"/>
          <w:highlight w:val="none"/>
        </w:rPr>
        <w:t>注：1、本表内容与招标文件其它内容不一致的，应当以本表内容为准。</w:t>
      </w:r>
    </w:p>
    <w:p>
      <w:pPr>
        <w:pStyle w:val="51"/>
        <w:spacing w:line="440" w:lineRule="exact"/>
        <w:ind w:firstLine="480" w:firstLineChars="200"/>
        <w:outlineLvl w:val="1"/>
        <w:rPr>
          <w:rFonts w:asciiTheme="majorEastAsia" w:hAnsiTheme="majorEastAsia" w:eastAsiaTheme="majorEastAsia"/>
          <w:color w:val="auto"/>
          <w:sz w:val="24"/>
          <w:szCs w:val="22"/>
          <w:highlight w:val="none"/>
        </w:rPr>
      </w:pPr>
      <w:bookmarkStart w:id="173" w:name="_Toc23727"/>
      <w:r>
        <w:rPr>
          <w:rFonts w:hint="eastAsia" w:asciiTheme="majorEastAsia" w:hAnsiTheme="majorEastAsia" w:eastAsiaTheme="majorEastAsia"/>
          <w:color w:val="auto"/>
          <w:sz w:val="24"/>
          <w:szCs w:val="22"/>
          <w:highlight w:val="none"/>
        </w:rPr>
        <w:t>2、本表中“</w:t>
      </w:r>
      <w:r>
        <w:rPr>
          <w:rFonts w:asciiTheme="majorEastAsia" w:hAnsiTheme="majorEastAsia" w:eastAsiaTheme="majorEastAsia"/>
          <w:color w:val="auto"/>
          <w:sz w:val="24"/>
          <w:szCs w:val="22"/>
          <w:highlight w:val="none"/>
        </w:rPr>
        <w:fldChar w:fldCharType="begin"/>
      </w:r>
      <w:r>
        <w:rPr>
          <w:rFonts w:asciiTheme="majorEastAsia" w:hAnsiTheme="majorEastAsia" w:eastAsiaTheme="majorEastAsia"/>
          <w:color w:val="auto"/>
          <w:sz w:val="24"/>
          <w:szCs w:val="22"/>
          <w:highlight w:val="none"/>
        </w:rPr>
        <w:instrText xml:space="preserve"> eq \o\ac(</w:instrText>
      </w:r>
      <w:r>
        <w:rPr>
          <w:rFonts w:hint="eastAsia" w:asciiTheme="majorEastAsia" w:hAnsiTheme="majorEastAsia" w:eastAsiaTheme="majorEastAsia"/>
          <w:color w:val="auto"/>
          <w:sz w:val="24"/>
          <w:szCs w:val="22"/>
          <w:highlight w:val="none"/>
        </w:rPr>
        <w:instrText xml:space="preserve">□</w:instrText>
      </w:r>
      <w:r>
        <w:rPr>
          <w:rFonts w:asciiTheme="majorEastAsia" w:hAnsiTheme="majorEastAsia" w:eastAsiaTheme="majorEastAsia"/>
          <w:color w:val="auto"/>
          <w:sz w:val="24"/>
          <w:szCs w:val="22"/>
          <w:highlight w:val="none"/>
        </w:rPr>
        <w:instrText xml:space="preserve">,</w:instrText>
      </w:r>
      <w:r>
        <w:rPr>
          <w:rFonts w:hint="eastAsia" w:asciiTheme="majorEastAsia" w:hAnsiTheme="majorEastAsia" w:eastAsiaTheme="majorEastAsia"/>
          <w:color w:val="auto"/>
          <w:sz w:val="24"/>
          <w:szCs w:val="22"/>
          <w:highlight w:val="none"/>
        </w:rPr>
        <w:instrText xml:space="preserve">√</w:instrText>
      </w:r>
      <w:r>
        <w:rPr>
          <w:rFonts w:asciiTheme="majorEastAsia" w:hAnsiTheme="majorEastAsia" w:eastAsiaTheme="majorEastAsia"/>
          <w:color w:val="auto"/>
          <w:sz w:val="24"/>
          <w:szCs w:val="22"/>
          <w:highlight w:val="none"/>
        </w:rPr>
        <w:instrText xml:space="preserve">)</w:instrText>
      </w:r>
      <w:r>
        <w:rPr>
          <w:rFonts w:asciiTheme="majorEastAsia" w:hAnsiTheme="majorEastAsia" w:eastAsiaTheme="majorEastAsia"/>
          <w:color w:val="auto"/>
          <w:sz w:val="24"/>
          <w:szCs w:val="22"/>
          <w:highlight w:val="none"/>
        </w:rPr>
        <w:fldChar w:fldCharType="end"/>
      </w:r>
      <w:r>
        <w:rPr>
          <w:rFonts w:hint="eastAsia" w:asciiTheme="majorEastAsia" w:hAnsiTheme="majorEastAsia" w:eastAsiaTheme="majorEastAsia"/>
          <w:color w:val="auto"/>
          <w:sz w:val="24"/>
          <w:szCs w:val="22"/>
          <w:highlight w:val="none"/>
        </w:rPr>
        <w:t>”标示选择使用该项，“□”标示不选择使用该项。</w:t>
      </w:r>
      <w:bookmarkEnd w:id="173"/>
      <w:bookmarkStart w:id="174" w:name="EB61dc4c9ac9c04154b29a6c247670320a"/>
      <w:bookmarkEnd w:id="174"/>
    </w:p>
    <w:p>
      <w:pPr>
        <w:pStyle w:val="51"/>
        <w:spacing w:line="440" w:lineRule="exact"/>
        <w:ind w:firstLine="480" w:firstLineChars="200"/>
        <w:rPr>
          <w:rFonts w:asciiTheme="majorEastAsia" w:hAnsiTheme="majorEastAsia" w:eastAsiaTheme="majorEastAsia"/>
          <w:color w:val="auto"/>
          <w:sz w:val="24"/>
          <w:szCs w:val="22"/>
          <w:highlight w:val="none"/>
        </w:rPr>
      </w:pPr>
      <w:r>
        <w:rPr>
          <w:rFonts w:hint="eastAsia" w:cs="宋体" w:asciiTheme="majorEastAsia" w:hAnsiTheme="majorEastAsia" w:eastAsiaTheme="majorEastAsia"/>
          <w:color w:val="auto"/>
          <w:sz w:val="24"/>
          <w:szCs w:val="24"/>
          <w:highlight w:val="none"/>
        </w:rPr>
        <w:t>3、</w:t>
      </w:r>
      <w:r>
        <w:rPr>
          <w:rFonts w:cs="宋体" w:asciiTheme="majorEastAsia" w:hAnsiTheme="majorEastAsia" w:eastAsiaTheme="majorEastAsia"/>
          <w:color w:val="auto"/>
          <w:sz w:val="24"/>
          <w:szCs w:val="24"/>
          <w:highlight w:val="none"/>
        </w:rPr>
        <w:t>本表中加</w:t>
      </w:r>
      <w:r>
        <w:rPr>
          <w:rFonts w:hint="eastAsia" w:cs="宋体" w:asciiTheme="majorEastAsia" w:hAnsiTheme="majorEastAsia" w:eastAsiaTheme="majorEastAsia"/>
          <w:color w:val="auto"/>
          <w:sz w:val="21"/>
          <w:szCs w:val="21"/>
          <w:highlight w:val="none"/>
          <w:lang w:val="zh-TW" w:eastAsia="zh-TW"/>
        </w:rPr>
        <w:t>★</w:t>
      </w:r>
      <w:r>
        <w:rPr>
          <w:rFonts w:cs="宋体" w:asciiTheme="majorEastAsia" w:hAnsiTheme="majorEastAsia" w:eastAsiaTheme="majorEastAsia"/>
          <w:color w:val="auto"/>
          <w:sz w:val="24"/>
          <w:szCs w:val="24"/>
          <w:highlight w:val="none"/>
        </w:rPr>
        <w:t>项目</w:t>
      </w:r>
      <w:r>
        <w:rPr>
          <w:rFonts w:hint="eastAsia" w:cs="宋体" w:asciiTheme="majorEastAsia" w:hAnsiTheme="majorEastAsia" w:eastAsiaTheme="majorEastAsia"/>
          <w:color w:val="auto"/>
          <w:sz w:val="24"/>
          <w:szCs w:val="24"/>
          <w:highlight w:val="none"/>
        </w:rPr>
        <w:t>为实质性要求，若有缺失或无效，按无效投标处理。</w:t>
      </w:r>
    </w:p>
    <w:p>
      <w:pPr>
        <w:pStyle w:val="5"/>
        <w:rPr>
          <w:rFonts w:asciiTheme="majorEastAsia" w:hAnsiTheme="majorEastAsia" w:eastAsiaTheme="majorEastAsia"/>
          <w:color w:val="auto"/>
          <w:szCs w:val="28"/>
          <w:highlight w:val="none"/>
        </w:rPr>
      </w:pPr>
      <w:bookmarkStart w:id="175" w:name="_Toc519111259"/>
      <w:r>
        <w:rPr>
          <w:rFonts w:hint="eastAsia" w:asciiTheme="majorEastAsia" w:hAnsiTheme="majorEastAsia" w:eastAsiaTheme="majorEastAsia"/>
          <w:color w:val="auto"/>
          <w:kern w:val="2"/>
          <w:highlight w:val="none"/>
        </w:rPr>
        <w:br w:type="page"/>
      </w:r>
      <w:bookmarkStart w:id="176" w:name="_Toc21948"/>
      <w:r>
        <w:rPr>
          <w:rFonts w:hint="eastAsia" w:asciiTheme="majorEastAsia" w:hAnsiTheme="majorEastAsia" w:eastAsiaTheme="majorEastAsia"/>
          <w:color w:val="auto"/>
          <w:szCs w:val="28"/>
          <w:highlight w:val="none"/>
        </w:rPr>
        <w:t>投标人须知正文部分</w:t>
      </w:r>
      <w:bookmarkEnd w:id="175"/>
      <w:bookmarkEnd w:id="176"/>
    </w:p>
    <w:p>
      <w:pPr>
        <w:pStyle w:val="5"/>
        <w:rPr>
          <w:rFonts w:asciiTheme="majorEastAsia" w:hAnsiTheme="majorEastAsia" w:eastAsiaTheme="majorEastAsia"/>
          <w:color w:val="auto"/>
          <w:szCs w:val="24"/>
          <w:highlight w:val="none"/>
        </w:rPr>
      </w:pPr>
      <w:bookmarkStart w:id="177" w:name="EB45a2b082a6fc468db99fa2bedab5cec9"/>
      <w:bookmarkEnd w:id="177"/>
      <w:bookmarkStart w:id="178" w:name="EB6161aeb75e73451e88b561c498c7790b"/>
      <w:bookmarkEnd w:id="178"/>
      <w:bookmarkStart w:id="179" w:name="_Toc519111260"/>
      <w:bookmarkStart w:id="180" w:name="_Toc1176"/>
      <w:r>
        <w:rPr>
          <w:rFonts w:hint="eastAsia" w:asciiTheme="majorEastAsia" w:hAnsiTheme="majorEastAsia" w:eastAsiaTheme="majorEastAsia"/>
          <w:color w:val="auto"/>
          <w:szCs w:val="24"/>
          <w:highlight w:val="none"/>
        </w:rPr>
        <w:t>一、总则</w:t>
      </w:r>
      <w:bookmarkEnd w:id="179"/>
      <w:bookmarkEnd w:id="180"/>
    </w:p>
    <w:p>
      <w:pPr>
        <w:pStyle w:val="51"/>
        <w:spacing w:line="360" w:lineRule="auto"/>
        <w:outlineLvl w:val="1"/>
        <w:rPr>
          <w:rFonts w:asciiTheme="majorEastAsia" w:hAnsiTheme="majorEastAsia" w:eastAsiaTheme="majorEastAsia"/>
          <w:b/>
          <w:color w:val="auto"/>
          <w:kern w:val="2"/>
          <w:sz w:val="24"/>
          <w:szCs w:val="24"/>
          <w:highlight w:val="none"/>
        </w:rPr>
      </w:pPr>
      <w:bookmarkStart w:id="181" w:name="_Toc27558"/>
      <w:r>
        <w:rPr>
          <w:rFonts w:hint="eastAsia" w:asciiTheme="majorEastAsia" w:hAnsiTheme="majorEastAsia" w:eastAsiaTheme="majorEastAsia"/>
          <w:b/>
          <w:color w:val="auto"/>
          <w:kern w:val="2"/>
          <w:sz w:val="24"/>
          <w:szCs w:val="24"/>
          <w:highlight w:val="none"/>
        </w:rPr>
        <w:t>1.说明</w:t>
      </w:r>
      <w:bookmarkEnd w:id="181"/>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182" w:name="_Toc22151"/>
      <w:r>
        <w:rPr>
          <w:rFonts w:hint="eastAsia" w:asciiTheme="majorEastAsia" w:hAnsiTheme="majorEastAsia" w:eastAsiaTheme="majorEastAsia"/>
          <w:color w:val="auto"/>
          <w:kern w:val="2"/>
          <w:sz w:val="24"/>
          <w:szCs w:val="24"/>
          <w:highlight w:val="none"/>
        </w:rPr>
        <w:t>1.1本招标文件适用于本次招标采购项目的招标投标。</w:t>
      </w:r>
      <w:bookmarkEnd w:id="182"/>
    </w:p>
    <w:p>
      <w:pPr>
        <w:pStyle w:val="51"/>
        <w:spacing w:line="360" w:lineRule="auto"/>
        <w:outlineLvl w:val="1"/>
        <w:rPr>
          <w:rFonts w:asciiTheme="majorEastAsia" w:hAnsiTheme="majorEastAsia" w:eastAsiaTheme="majorEastAsia"/>
          <w:b/>
          <w:color w:val="auto"/>
          <w:kern w:val="2"/>
          <w:sz w:val="24"/>
          <w:szCs w:val="24"/>
          <w:highlight w:val="none"/>
        </w:rPr>
      </w:pPr>
      <w:bookmarkStart w:id="183" w:name="_Toc1269"/>
      <w:r>
        <w:rPr>
          <w:rFonts w:hint="eastAsia" w:asciiTheme="majorEastAsia" w:hAnsiTheme="majorEastAsia" w:eastAsiaTheme="majorEastAsia"/>
          <w:b/>
          <w:color w:val="auto"/>
          <w:kern w:val="2"/>
          <w:sz w:val="24"/>
          <w:szCs w:val="24"/>
          <w:highlight w:val="none"/>
        </w:rPr>
        <w:t>2.定义</w:t>
      </w:r>
      <w:bookmarkEnd w:id="183"/>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2.1“采购人”名称见本招标文件第二部分“投标人须知前附表”中第2项。</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2.2“采购代理机构”名称见本招标文件第二部分“投标人须知前附表”中第3项。</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2.3“招标货物”指招标文件第三部分所述所有货物；“服务”指招标文件第三部分所述投标人应该履行的承诺和义务。</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2.4“潜在投标人”指符合招标文件各项规定的供应商。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2.5“投标人”指符合招标文件规定并参加投标的供应商。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2.6“投标人公章”在投标文件中指与投标人标准公章一致的投标人公章。</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2.7“电子投标文件</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指利用政采云平台提供的“电子投标文件制作工具</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编制加密和未加密的投标文件。</w:t>
      </w:r>
    </w:p>
    <w:p>
      <w:pPr>
        <w:pStyle w:val="51"/>
        <w:spacing w:line="360" w:lineRule="auto"/>
        <w:outlineLvl w:val="2"/>
        <w:rPr>
          <w:rFonts w:asciiTheme="majorEastAsia" w:hAnsiTheme="majorEastAsia" w:eastAsiaTheme="majorEastAsia"/>
          <w:b/>
          <w:color w:val="auto"/>
          <w:kern w:val="2"/>
          <w:sz w:val="24"/>
          <w:szCs w:val="24"/>
          <w:highlight w:val="none"/>
        </w:rPr>
      </w:pPr>
      <w:bookmarkStart w:id="184" w:name="_Toc32487"/>
      <w:r>
        <w:rPr>
          <w:rFonts w:hint="eastAsia" w:asciiTheme="majorEastAsia" w:hAnsiTheme="majorEastAsia" w:eastAsiaTheme="majorEastAsia"/>
          <w:b/>
          <w:color w:val="auto"/>
          <w:kern w:val="2"/>
          <w:sz w:val="24"/>
          <w:szCs w:val="24"/>
          <w:highlight w:val="none"/>
        </w:rPr>
        <w:t>3.</w:t>
      </w:r>
      <w:r>
        <w:rPr>
          <w:rFonts w:hint="eastAsia" w:cs="宋体" w:asciiTheme="majorEastAsia" w:hAnsiTheme="majorEastAsia" w:eastAsiaTheme="majorEastAsia"/>
          <w:color w:val="auto"/>
          <w:szCs w:val="21"/>
          <w:highlight w:val="none"/>
        </w:rPr>
        <w:t xml:space="preserve"> ★</w:t>
      </w:r>
      <w:r>
        <w:rPr>
          <w:rFonts w:hint="eastAsia" w:asciiTheme="majorEastAsia" w:hAnsiTheme="majorEastAsia" w:eastAsiaTheme="majorEastAsia"/>
          <w:b/>
          <w:color w:val="auto"/>
          <w:kern w:val="2"/>
          <w:sz w:val="24"/>
          <w:szCs w:val="24"/>
          <w:highlight w:val="none"/>
        </w:rPr>
        <w:t>合格投标人的条件</w:t>
      </w:r>
      <w:bookmarkEnd w:id="184"/>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3.1具有本项目生产、制造、供应或实施能力，符合、承认并承诺履行本文件各项规定的国内法人、其他组织或自然人均可参加投标。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3.2遵守有关的国家法律、法规和条例，具备《中华人民共和国政府采购法》和本文件中规定的条件：</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1)具有独立承担民事责任的能力；</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2)具有良好的商业信誉和健全的财务会计制度；</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3)具有履行合同所必需的设备和专业技术能力；</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4)具有依法缴纳税收和社会保障资金的良好记录；</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5)参加政府采购活动前三年内，在经营活动中没有重大违法记录；</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6)法律、行政法规规定的其他条件；</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7)具有本招标文件第二部分“投标人须知前附表”中规定的资格条件。</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3.3投标人之间如果存在下列情形之一的，不得同时参加同一包（标段）或者不分包（标段）的同一项目投标：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3.3.1法定代表人为同一个人的两个及两个以上法人；</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3.3.2母公司、全资子公司及其控股公司；</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3.3.3参加投标的其他组织之间存在特殊的利害关系的；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3.3.4法律和行政法规规定的其他情形。</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4投标人须持有《法定代表人授权委托书》。</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3.5投标人在政采云平台内针对本项目下载了</w:t>
      </w:r>
      <w:r>
        <w:rPr>
          <w:rFonts w:asciiTheme="majorEastAsia" w:hAnsiTheme="majorEastAsia" w:eastAsiaTheme="majorEastAsia"/>
          <w:color w:val="auto"/>
          <w:sz w:val="24"/>
          <w:szCs w:val="24"/>
          <w:highlight w:val="none"/>
        </w:rPr>
        <w:t>电子采购文件</w:t>
      </w:r>
      <w:r>
        <w:rPr>
          <w:rFonts w:hint="eastAsia" w:asciiTheme="majorEastAsia" w:hAnsiTheme="majorEastAsia" w:eastAsiaTheme="majorEastAsia"/>
          <w:color w:val="auto"/>
          <w:kern w:val="2"/>
          <w:sz w:val="24"/>
          <w:szCs w:val="24"/>
          <w:highlight w:val="none"/>
        </w:rPr>
        <w:t>。</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3.6投标人按时足额交纳投标保证金。</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7本次招标是否允许</w:t>
      </w:r>
      <w:r>
        <w:rPr>
          <w:rFonts w:asciiTheme="majorEastAsia" w:hAnsiTheme="majorEastAsia" w:eastAsiaTheme="majorEastAsia"/>
          <w:color w:val="auto"/>
          <w:kern w:val="2"/>
          <w:sz w:val="24"/>
          <w:szCs w:val="24"/>
          <w:highlight w:val="none"/>
        </w:rPr>
        <w:t>由</w:t>
      </w:r>
      <w:r>
        <w:rPr>
          <w:rFonts w:hint="eastAsia" w:asciiTheme="majorEastAsia" w:hAnsiTheme="majorEastAsia" w:eastAsiaTheme="majorEastAsia"/>
          <w:color w:val="auto"/>
          <w:kern w:val="2"/>
          <w:sz w:val="24"/>
          <w:szCs w:val="24"/>
          <w:highlight w:val="none"/>
        </w:rPr>
        <w:t>两个以上投标人组成一个联合体以一个投标人身份共同投标，按照招标文件第二部分“投标人须知前附表”中的规定。如果允许，除均应符合上述规定外，还应符合下列要求：</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1）联合投标体应提供“联合投标协议书”，该协议书对联合投标各方均具有法律约束力。联合投标体必须确定其中一方为投标的全权代表参加投标活动，并承担投标及履约活动中的全部责任与义务，且</w:t>
      </w:r>
      <w:r>
        <w:rPr>
          <w:rFonts w:asciiTheme="majorEastAsia" w:hAnsiTheme="majorEastAsia" w:eastAsiaTheme="majorEastAsia"/>
          <w:color w:val="auto"/>
          <w:kern w:val="2"/>
          <w:sz w:val="24"/>
          <w:szCs w:val="24"/>
          <w:highlight w:val="none"/>
        </w:rPr>
        <w:t>联合</w:t>
      </w:r>
      <w:r>
        <w:rPr>
          <w:rFonts w:hint="eastAsia" w:asciiTheme="majorEastAsia" w:hAnsiTheme="majorEastAsia" w:eastAsiaTheme="majorEastAsia"/>
          <w:color w:val="auto"/>
          <w:kern w:val="2"/>
          <w:sz w:val="24"/>
          <w:szCs w:val="24"/>
          <w:highlight w:val="none"/>
        </w:rPr>
        <w:t>体各方无论是否实际参加、发生的情形怎样，一旦该联合体实际开始投标，</w:t>
      </w:r>
      <w:r>
        <w:rPr>
          <w:rFonts w:asciiTheme="majorEastAsia" w:hAnsiTheme="majorEastAsia" w:eastAsiaTheme="majorEastAsia"/>
          <w:color w:val="auto"/>
          <w:kern w:val="2"/>
          <w:sz w:val="24"/>
          <w:szCs w:val="24"/>
          <w:highlight w:val="none"/>
        </w:rPr>
        <w:t>联合</w:t>
      </w:r>
      <w:r>
        <w:rPr>
          <w:rFonts w:hint="eastAsia" w:asciiTheme="majorEastAsia" w:hAnsiTheme="majorEastAsia" w:eastAsiaTheme="majorEastAsia"/>
          <w:color w:val="auto"/>
          <w:kern w:val="2"/>
          <w:sz w:val="24"/>
          <w:szCs w:val="24"/>
          <w:highlight w:val="none"/>
        </w:rPr>
        <w:t>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2）联合体各方中至少应当有一方对应满足本项目规定的相应资质条件，并且联合体投标人整体应当符合本项目的资质要求，否则，其提交的联合投标将被拒绝。</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3）由不同专业的投标人组成的联合体</w:t>
      </w:r>
      <w:r>
        <w:rPr>
          <w:rFonts w:asciiTheme="majorEastAsia" w:hAnsiTheme="majorEastAsia" w:eastAsiaTheme="majorEastAsia"/>
          <w:color w:val="auto"/>
          <w:kern w:val="2"/>
          <w:sz w:val="24"/>
          <w:szCs w:val="24"/>
          <w:highlight w:val="none"/>
        </w:rPr>
        <w:t xml:space="preserve">, </w:t>
      </w:r>
      <w:r>
        <w:rPr>
          <w:rFonts w:hint="eastAsia" w:asciiTheme="majorEastAsia" w:hAnsiTheme="majorEastAsia" w:eastAsiaTheme="majorEastAsia"/>
          <w:color w:val="auto"/>
          <w:kern w:val="2"/>
          <w:sz w:val="24"/>
          <w:szCs w:val="24"/>
          <w:highlight w:val="none"/>
        </w:rPr>
        <w:t>首先以投标的全权代表方的应答材料作为认定资质以及商务评审的依据；涉及行业专属的资质</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按照所属行业所对应的投标人的应答材料确定。</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4）</w:t>
      </w:r>
      <w:r>
        <w:rPr>
          <w:rFonts w:asciiTheme="majorEastAsia" w:hAnsiTheme="majorEastAsia" w:eastAsiaTheme="majorEastAsia"/>
          <w:color w:val="auto"/>
          <w:kern w:val="2"/>
          <w:sz w:val="24"/>
          <w:szCs w:val="24"/>
          <w:highlight w:val="none"/>
        </w:rPr>
        <w:t>联合体中标后，</w:t>
      </w:r>
      <w:r>
        <w:rPr>
          <w:rFonts w:hint="eastAsia" w:asciiTheme="majorEastAsia" w:hAnsiTheme="majorEastAsia" w:eastAsiaTheme="majorEastAsia"/>
          <w:color w:val="auto"/>
          <w:kern w:val="2"/>
          <w:sz w:val="24"/>
          <w:szCs w:val="24"/>
          <w:highlight w:val="none"/>
        </w:rPr>
        <w:t>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w:t>
      </w:r>
      <w:r>
        <w:rPr>
          <w:rFonts w:asciiTheme="majorEastAsia" w:hAnsiTheme="majorEastAsia" w:eastAsiaTheme="majorEastAsia"/>
          <w:color w:val="auto"/>
          <w:kern w:val="2"/>
          <w:sz w:val="24"/>
          <w:szCs w:val="24"/>
          <w:highlight w:val="none"/>
        </w:rPr>
        <w:t>为履行合同</w:t>
      </w:r>
      <w:r>
        <w:rPr>
          <w:rFonts w:hint="eastAsia" w:asciiTheme="majorEastAsia" w:hAnsiTheme="majorEastAsia" w:eastAsiaTheme="majorEastAsia"/>
          <w:color w:val="auto"/>
          <w:kern w:val="2"/>
          <w:sz w:val="24"/>
          <w:szCs w:val="24"/>
          <w:highlight w:val="none"/>
        </w:rPr>
        <w:t>应</w:t>
      </w:r>
      <w:r>
        <w:rPr>
          <w:rFonts w:asciiTheme="majorEastAsia" w:hAnsiTheme="majorEastAsia" w:eastAsiaTheme="majorEastAsia"/>
          <w:color w:val="auto"/>
          <w:kern w:val="2"/>
          <w:sz w:val="24"/>
          <w:szCs w:val="24"/>
          <w:highlight w:val="none"/>
        </w:rPr>
        <w:t>向</w:t>
      </w:r>
      <w:r>
        <w:rPr>
          <w:rFonts w:hint="eastAsia" w:asciiTheme="majorEastAsia" w:hAnsiTheme="majorEastAsia" w:eastAsiaTheme="majorEastAsia"/>
          <w:color w:val="auto"/>
          <w:kern w:val="2"/>
          <w:sz w:val="24"/>
          <w:szCs w:val="24"/>
          <w:highlight w:val="none"/>
        </w:rPr>
        <w:t>采购代理机构与采购人</w:t>
      </w:r>
      <w:r>
        <w:rPr>
          <w:rFonts w:asciiTheme="majorEastAsia" w:hAnsiTheme="majorEastAsia" w:eastAsiaTheme="majorEastAsia"/>
          <w:color w:val="auto"/>
          <w:kern w:val="2"/>
          <w:sz w:val="24"/>
          <w:szCs w:val="24"/>
          <w:highlight w:val="none"/>
        </w:rPr>
        <w:t>承担连带责任</w:t>
      </w:r>
      <w:r>
        <w:rPr>
          <w:rFonts w:hint="eastAsia" w:asciiTheme="majorEastAsia" w:hAnsiTheme="majorEastAsia" w:eastAsiaTheme="majorEastAsia"/>
          <w:color w:val="auto"/>
          <w:kern w:val="2"/>
          <w:sz w:val="24"/>
          <w:szCs w:val="24"/>
          <w:highlight w:val="none"/>
        </w:rPr>
        <w:t>。</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5）联合体或其成员不得将其在合同项下的权利或义务全部或部分转让给第三人，有关分包事项或服务委托等须事先取得采购代理机构书面同意并且须遵守相关法律、法规、本次招标的全部相关规定。</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6）联合体</w:t>
      </w:r>
      <w:r>
        <w:rPr>
          <w:rFonts w:asciiTheme="majorEastAsia" w:hAnsiTheme="majorEastAsia" w:eastAsiaTheme="majorEastAsia"/>
          <w:color w:val="auto"/>
          <w:kern w:val="2"/>
          <w:sz w:val="24"/>
          <w:szCs w:val="24"/>
          <w:highlight w:val="none"/>
        </w:rPr>
        <w:t>各方</w:t>
      </w:r>
      <w:r>
        <w:rPr>
          <w:rFonts w:hint="eastAsia" w:asciiTheme="majorEastAsia" w:hAnsiTheme="majorEastAsia" w:eastAsiaTheme="majorEastAsia"/>
          <w:color w:val="auto"/>
          <w:kern w:val="2"/>
          <w:sz w:val="24"/>
          <w:szCs w:val="24"/>
          <w:highlight w:val="none"/>
        </w:rPr>
        <w:t>均</w:t>
      </w:r>
      <w:r>
        <w:rPr>
          <w:rFonts w:asciiTheme="majorEastAsia" w:hAnsiTheme="majorEastAsia" w:eastAsiaTheme="majorEastAsia"/>
          <w:color w:val="auto"/>
          <w:kern w:val="2"/>
          <w:sz w:val="24"/>
          <w:szCs w:val="24"/>
          <w:highlight w:val="none"/>
        </w:rPr>
        <w:t>不得</w:t>
      </w:r>
      <w:r>
        <w:rPr>
          <w:rFonts w:hint="eastAsia" w:asciiTheme="majorEastAsia" w:hAnsiTheme="majorEastAsia" w:eastAsiaTheme="majorEastAsia"/>
          <w:color w:val="auto"/>
          <w:kern w:val="2"/>
          <w:sz w:val="24"/>
          <w:szCs w:val="24"/>
          <w:highlight w:val="none"/>
        </w:rPr>
        <w:t>同时</w:t>
      </w:r>
      <w:r>
        <w:rPr>
          <w:rFonts w:asciiTheme="majorEastAsia" w:hAnsiTheme="majorEastAsia" w:eastAsiaTheme="majorEastAsia"/>
          <w:color w:val="auto"/>
          <w:kern w:val="2"/>
          <w:sz w:val="24"/>
          <w:szCs w:val="24"/>
          <w:highlight w:val="none"/>
        </w:rPr>
        <w:t>再以自己</w:t>
      </w:r>
      <w:r>
        <w:rPr>
          <w:rFonts w:hint="eastAsia" w:asciiTheme="majorEastAsia" w:hAnsiTheme="majorEastAsia" w:eastAsiaTheme="majorEastAsia"/>
          <w:color w:val="auto"/>
          <w:kern w:val="2"/>
          <w:sz w:val="24"/>
          <w:szCs w:val="24"/>
          <w:highlight w:val="none"/>
        </w:rPr>
        <w:t>独立</w:t>
      </w:r>
      <w:r>
        <w:rPr>
          <w:rFonts w:asciiTheme="majorEastAsia" w:hAnsiTheme="majorEastAsia" w:eastAsiaTheme="majorEastAsia"/>
          <w:color w:val="auto"/>
          <w:kern w:val="2"/>
          <w:sz w:val="24"/>
          <w:szCs w:val="24"/>
          <w:highlight w:val="none"/>
        </w:rPr>
        <w:t>的名义单独投标，也不得</w:t>
      </w:r>
      <w:r>
        <w:rPr>
          <w:rFonts w:hint="eastAsia" w:asciiTheme="majorEastAsia" w:hAnsiTheme="majorEastAsia" w:eastAsiaTheme="majorEastAsia"/>
          <w:color w:val="auto"/>
          <w:kern w:val="2"/>
          <w:sz w:val="24"/>
          <w:szCs w:val="24"/>
          <w:highlight w:val="none"/>
        </w:rPr>
        <w:t>再</w:t>
      </w:r>
      <w:r>
        <w:rPr>
          <w:rFonts w:asciiTheme="majorEastAsia" w:hAnsiTheme="majorEastAsia" w:eastAsiaTheme="majorEastAsia"/>
          <w:color w:val="auto"/>
          <w:kern w:val="2"/>
          <w:sz w:val="24"/>
          <w:szCs w:val="24"/>
          <w:highlight w:val="none"/>
        </w:rPr>
        <w:t>同时参加</w:t>
      </w:r>
      <w:r>
        <w:rPr>
          <w:rFonts w:hint="eastAsia" w:asciiTheme="majorEastAsia" w:hAnsiTheme="majorEastAsia" w:eastAsiaTheme="majorEastAsia"/>
          <w:color w:val="auto"/>
          <w:kern w:val="2"/>
          <w:sz w:val="24"/>
          <w:szCs w:val="24"/>
          <w:highlight w:val="none"/>
        </w:rPr>
        <w:t>其他</w:t>
      </w:r>
      <w:r>
        <w:rPr>
          <w:rFonts w:asciiTheme="majorEastAsia" w:hAnsiTheme="majorEastAsia" w:eastAsiaTheme="majorEastAsia"/>
          <w:color w:val="auto"/>
          <w:kern w:val="2"/>
          <w:sz w:val="24"/>
          <w:szCs w:val="24"/>
          <w:highlight w:val="none"/>
        </w:rPr>
        <w:t>的联合体投标</w:t>
      </w:r>
      <w:r>
        <w:rPr>
          <w:rFonts w:hint="eastAsia" w:asciiTheme="majorEastAsia" w:hAnsiTheme="majorEastAsia" w:eastAsiaTheme="majorEastAsia"/>
          <w:color w:val="auto"/>
          <w:kern w:val="2"/>
          <w:sz w:val="24"/>
          <w:szCs w:val="24"/>
          <w:highlight w:val="none"/>
        </w:rPr>
        <w:t>。若该等情形被发现</w:t>
      </w:r>
      <w:r>
        <w:rPr>
          <w:rFonts w:asciiTheme="majorEastAsia" w:hAnsiTheme="majorEastAsia" w:eastAsiaTheme="majorEastAsia"/>
          <w:color w:val="auto"/>
          <w:kern w:val="2"/>
          <w:sz w:val="24"/>
          <w:szCs w:val="24"/>
          <w:highlight w:val="none"/>
        </w:rPr>
        <w:t>，其</w:t>
      </w:r>
      <w:r>
        <w:rPr>
          <w:rFonts w:hint="eastAsia" w:asciiTheme="majorEastAsia" w:hAnsiTheme="majorEastAsia" w:eastAsiaTheme="majorEastAsia"/>
          <w:color w:val="auto"/>
          <w:kern w:val="2"/>
          <w:sz w:val="24"/>
          <w:szCs w:val="24"/>
          <w:highlight w:val="none"/>
        </w:rPr>
        <w:t>单独的</w:t>
      </w:r>
      <w:r>
        <w:rPr>
          <w:rFonts w:asciiTheme="majorEastAsia" w:hAnsiTheme="majorEastAsia" w:eastAsiaTheme="majorEastAsia"/>
          <w:color w:val="auto"/>
          <w:kern w:val="2"/>
          <w:sz w:val="24"/>
          <w:szCs w:val="24"/>
          <w:highlight w:val="none"/>
        </w:rPr>
        <w:t>投标和与此有关的联合体的投标</w:t>
      </w:r>
      <w:r>
        <w:rPr>
          <w:rFonts w:hint="eastAsia" w:asciiTheme="majorEastAsia" w:hAnsiTheme="majorEastAsia" w:eastAsiaTheme="majorEastAsia"/>
          <w:color w:val="auto"/>
          <w:kern w:val="2"/>
          <w:sz w:val="24"/>
          <w:szCs w:val="24"/>
          <w:highlight w:val="none"/>
        </w:rPr>
        <w:t>均</w:t>
      </w:r>
      <w:r>
        <w:rPr>
          <w:rFonts w:asciiTheme="majorEastAsia" w:hAnsiTheme="majorEastAsia" w:eastAsiaTheme="majorEastAsia"/>
          <w:color w:val="auto"/>
          <w:kern w:val="2"/>
          <w:sz w:val="24"/>
          <w:szCs w:val="24"/>
          <w:highlight w:val="none"/>
        </w:rPr>
        <w:t>将被</w:t>
      </w:r>
      <w:r>
        <w:rPr>
          <w:rFonts w:hint="eastAsia" w:asciiTheme="majorEastAsia" w:hAnsiTheme="majorEastAsia" w:eastAsiaTheme="majorEastAsia"/>
          <w:color w:val="auto"/>
          <w:kern w:val="2"/>
          <w:sz w:val="24"/>
          <w:szCs w:val="24"/>
          <w:highlight w:val="none"/>
        </w:rPr>
        <w:t>一并</w:t>
      </w:r>
      <w:r>
        <w:rPr>
          <w:rFonts w:asciiTheme="majorEastAsia" w:hAnsiTheme="majorEastAsia" w:eastAsiaTheme="majorEastAsia"/>
          <w:color w:val="auto"/>
          <w:kern w:val="2"/>
          <w:sz w:val="24"/>
          <w:szCs w:val="24"/>
          <w:highlight w:val="none"/>
        </w:rPr>
        <w:t>拒绝</w:t>
      </w:r>
      <w:r>
        <w:rPr>
          <w:rFonts w:hint="eastAsia" w:asciiTheme="majorEastAsia" w:hAnsiTheme="majorEastAsia" w:eastAsiaTheme="majorEastAsia"/>
          <w:color w:val="auto"/>
          <w:kern w:val="2"/>
          <w:sz w:val="24"/>
          <w:szCs w:val="24"/>
          <w:highlight w:val="none"/>
        </w:rPr>
        <w:t>。</w:t>
      </w:r>
    </w:p>
    <w:p>
      <w:pPr>
        <w:pStyle w:val="51"/>
        <w:tabs>
          <w:tab w:val="left" w:pos="1146"/>
        </w:tabs>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185" w:name="_Toc18961"/>
      <w:r>
        <w:rPr>
          <w:rFonts w:hint="eastAsia" w:asciiTheme="majorEastAsia" w:hAnsiTheme="majorEastAsia" w:eastAsiaTheme="majorEastAsia"/>
          <w:color w:val="auto"/>
          <w:kern w:val="2"/>
          <w:sz w:val="24"/>
          <w:szCs w:val="24"/>
          <w:highlight w:val="none"/>
        </w:rPr>
        <w:t>3</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7投标人不得与采购人、采购代理机构等有利害关系。</w:t>
      </w:r>
      <w:bookmarkEnd w:id="185"/>
    </w:p>
    <w:p>
      <w:pPr>
        <w:pStyle w:val="51"/>
        <w:spacing w:line="360" w:lineRule="auto"/>
        <w:outlineLvl w:val="1"/>
        <w:rPr>
          <w:rFonts w:asciiTheme="majorEastAsia" w:hAnsiTheme="majorEastAsia" w:eastAsiaTheme="majorEastAsia"/>
          <w:b/>
          <w:color w:val="auto"/>
          <w:kern w:val="2"/>
          <w:sz w:val="24"/>
          <w:szCs w:val="24"/>
          <w:highlight w:val="none"/>
        </w:rPr>
      </w:pPr>
      <w:bookmarkStart w:id="186" w:name="_Toc9090"/>
      <w:r>
        <w:rPr>
          <w:rFonts w:asciiTheme="majorEastAsia" w:hAnsiTheme="majorEastAsia" w:eastAsiaTheme="majorEastAsia"/>
          <w:b/>
          <w:color w:val="auto"/>
          <w:kern w:val="2"/>
          <w:sz w:val="24"/>
          <w:szCs w:val="24"/>
          <w:highlight w:val="none"/>
        </w:rPr>
        <w:t>4.</w:t>
      </w:r>
      <w:r>
        <w:rPr>
          <w:rFonts w:hint="eastAsia" w:asciiTheme="majorEastAsia" w:hAnsiTheme="majorEastAsia" w:eastAsiaTheme="majorEastAsia"/>
          <w:b/>
          <w:color w:val="auto"/>
          <w:kern w:val="2"/>
          <w:sz w:val="24"/>
          <w:szCs w:val="24"/>
          <w:highlight w:val="none"/>
        </w:rPr>
        <w:t>投标费用</w:t>
      </w:r>
      <w:bookmarkEnd w:id="186"/>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187" w:name="_Toc29844"/>
      <w:r>
        <w:rPr>
          <w:rFonts w:hint="eastAsia" w:asciiTheme="majorEastAsia" w:hAnsiTheme="majorEastAsia" w:eastAsiaTheme="majorEastAsia"/>
          <w:color w:val="auto"/>
          <w:kern w:val="2"/>
          <w:sz w:val="24"/>
          <w:szCs w:val="24"/>
          <w:highlight w:val="none"/>
        </w:rPr>
        <w:t>4.1投标人应承担所有与准备和参加投标有关的费用。</w:t>
      </w:r>
      <w:bookmarkEnd w:id="187"/>
    </w:p>
    <w:p>
      <w:pPr>
        <w:pStyle w:val="51"/>
        <w:spacing w:line="360" w:lineRule="auto"/>
        <w:outlineLvl w:val="1"/>
        <w:rPr>
          <w:rFonts w:asciiTheme="majorEastAsia" w:hAnsiTheme="majorEastAsia" w:eastAsiaTheme="majorEastAsia"/>
          <w:b/>
          <w:color w:val="auto"/>
          <w:kern w:val="2"/>
          <w:sz w:val="24"/>
          <w:szCs w:val="24"/>
          <w:highlight w:val="none"/>
        </w:rPr>
      </w:pPr>
      <w:bookmarkStart w:id="188" w:name="_Toc32411"/>
      <w:r>
        <w:rPr>
          <w:rFonts w:hint="eastAsia" w:asciiTheme="majorEastAsia" w:hAnsiTheme="majorEastAsia" w:eastAsiaTheme="majorEastAsia"/>
          <w:b/>
          <w:color w:val="auto"/>
          <w:kern w:val="2"/>
          <w:sz w:val="24"/>
          <w:szCs w:val="24"/>
          <w:highlight w:val="none"/>
        </w:rPr>
        <w:t>5.纪律</w:t>
      </w:r>
      <w:bookmarkEnd w:id="188"/>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189" w:name="_Toc26755"/>
      <w:r>
        <w:rPr>
          <w:rFonts w:hint="eastAsia" w:asciiTheme="majorEastAsia" w:hAnsiTheme="majorEastAsia" w:eastAsiaTheme="majorEastAsia"/>
          <w:color w:val="auto"/>
          <w:kern w:val="2"/>
          <w:sz w:val="24"/>
          <w:szCs w:val="24"/>
          <w:highlight w:val="none"/>
        </w:rPr>
        <w:t>5.1投标人的投标行为应遵守中国的有关法律、法规和规章。</w:t>
      </w:r>
      <w:bookmarkEnd w:id="189"/>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5.2投标人不得相互串通投标报价，不得妨碍其他投标人的公平竞争，不得损害采购人或其他投标人的合法权益，投标人不得以向采购人、评标委员会成员行贿或者采取其他不正当手段谋取中标。</w:t>
      </w:r>
    </w:p>
    <w:p>
      <w:pPr>
        <w:pStyle w:val="51"/>
        <w:spacing w:line="360" w:lineRule="auto"/>
        <w:ind w:firstLine="480" w:firstLineChars="200"/>
        <w:outlineLvl w:val="3"/>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5.2.1有下列情形之一的，属于投标人相互串通投标：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5.2.1.1投标人之间协商投标报价等投标文件的实质性内容；</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5.2.1.2投标人之间约定中标人；</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5.2.1.3投标人之间约定部分投标人放弃投标或者中标；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5.2.1.4属于同一集团、协会、商会等组织成员的投标人按照该组织要求协同投标；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5.2.1.5投标人之间为谋取中标或者排斥特定投标人而采取的其他联合行动。</w:t>
      </w:r>
    </w:p>
    <w:p>
      <w:pPr>
        <w:pStyle w:val="51"/>
        <w:spacing w:line="360" w:lineRule="auto"/>
        <w:ind w:firstLine="480" w:firstLineChars="200"/>
        <w:outlineLvl w:val="3"/>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5.2.2有下列情形之一的，视为投标人相互串通投标：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5.2.2.1不同投标人的投标文件由同一单位或者个人编制；</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5.2.2.2不同投标人委托同一单位或者个人办理投标事宜，或制作电子投标文件的文件制作机器码（mac地址）一致，或制作电子投标文件的文件创建标识码一致；</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5.2.2.3不同投标人的投标文件载明的项目管理成员为同一人；</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5.2.2.4不同投标人的投标文件异常一致或者投标报价呈规律性差异；</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5.2.2.5不同投标人的投标文件相互混装；</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5.2.2.6不同投标人的投标保证金从同一单位或者个人的账户转出。</w:t>
      </w:r>
    </w:p>
    <w:p>
      <w:pPr>
        <w:pStyle w:val="51"/>
        <w:spacing w:line="360" w:lineRule="auto"/>
        <w:outlineLvl w:val="1"/>
        <w:rPr>
          <w:rFonts w:asciiTheme="majorEastAsia" w:hAnsiTheme="majorEastAsia" w:eastAsiaTheme="majorEastAsia"/>
          <w:b/>
          <w:color w:val="auto"/>
          <w:kern w:val="2"/>
          <w:sz w:val="24"/>
          <w:szCs w:val="24"/>
          <w:highlight w:val="none"/>
        </w:rPr>
      </w:pPr>
      <w:bookmarkStart w:id="190" w:name="_Toc21448"/>
      <w:r>
        <w:rPr>
          <w:rFonts w:hint="eastAsia" w:asciiTheme="majorEastAsia" w:hAnsiTheme="majorEastAsia" w:eastAsiaTheme="majorEastAsia"/>
          <w:b/>
          <w:color w:val="auto"/>
          <w:kern w:val="2"/>
          <w:sz w:val="24"/>
          <w:szCs w:val="24"/>
          <w:highlight w:val="none"/>
        </w:rPr>
        <w:t>6</w:t>
      </w:r>
      <w:r>
        <w:rPr>
          <w:rFonts w:asciiTheme="majorEastAsia" w:hAnsiTheme="majorEastAsia" w:eastAsiaTheme="majorEastAsia"/>
          <w:b/>
          <w:color w:val="auto"/>
          <w:kern w:val="2"/>
          <w:sz w:val="24"/>
          <w:szCs w:val="24"/>
          <w:highlight w:val="none"/>
        </w:rPr>
        <w:t>.</w:t>
      </w:r>
      <w:r>
        <w:rPr>
          <w:rFonts w:hint="eastAsia" w:asciiTheme="majorEastAsia" w:hAnsiTheme="majorEastAsia" w:eastAsiaTheme="majorEastAsia"/>
          <w:b/>
          <w:color w:val="auto"/>
          <w:kern w:val="2"/>
          <w:sz w:val="24"/>
          <w:szCs w:val="24"/>
          <w:highlight w:val="none"/>
        </w:rPr>
        <w:t>通知</w:t>
      </w:r>
      <w:bookmarkEnd w:id="190"/>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6.1对与本项目有关的通知，采购代理机构将以书面（包括书面材料、信函、传真等，下同）或在本次招标公告刊登的媒体上发布公告并在政采云平台内发送变更通知及/或答疑文件的形式，向潜在投标人发出，传真和电话号码以潜在投标人的登记为准。收到通知的投标人须立即予以回复确认，但投标人未回复或采购代理机构未收到回复时，并不应当被理解为采购代理机构知道或应当知道投标人是否收到通知。因登记有误、传真线路故障或其它任何意外情形，导致所发出的通知延迟送达或无法到达投标人，采购代理机构不因此承担任何责任，有关的招标活动可以继续有效地进行。</w:t>
      </w:r>
    </w:p>
    <w:p>
      <w:pPr>
        <w:pStyle w:val="5"/>
        <w:rPr>
          <w:rFonts w:asciiTheme="majorEastAsia" w:hAnsiTheme="majorEastAsia" w:eastAsiaTheme="majorEastAsia"/>
          <w:color w:val="auto"/>
          <w:highlight w:val="none"/>
        </w:rPr>
      </w:pPr>
      <w:bookmarkStart w:id="191" w:name="EBc6a03dd891814c4aab5f5c17df4988bb"/>
      <w:bookmarkEnd w:id="191"/>
      <w:bookmarkStart w:id="192" w:name="EB025ec78c141c4184a9d3fd53d6ec75bd"/>
      <w:bookmarkEnd w:id="192"/>
      <w:bookmarkStart w:id="193" w:name="EB7ff6bda48ba541b988a33528cb6d6c27"/>
      <w:bookmarkEnd w:id="193"/>
      <w:bookmarkStart w:id="194" w:name="_Toc519111261"/>
      <w:bookmarkStart w:id="195" w:name="_Toc5168"/>
      <w:r>
        <w:rPr>
          <w:rFonts w:hint="eastAsia" w:asciiTheme="majorEastAsia" w:hAnsiTheme="majorEastAsia" w:eastAsiaTheme="majorEastAsia"/>
          <w:color w:val="auto"/>
          <w:highlight w:val="none"/>
        </w:rPr>
        <w:t>二、招标文件</w:t>
      </w:r>
      <w:bookmarkEnd w:id="194"/>
      <w:bookmarkEnd w:id="195"/>
    </w:p>
    <w:p>
      <w:pPr>
        <w:pStyle w:val="51"/>
        <w:spacing w:line="360" w:lineRule="auto"/>
        <w:outlineLvl w:val="1"/>
        <w:rPr>
          <w:rFonts w:asciiTheme="majorEastAsia" w:hAnsiTheme="majorEastAsia" w:eastAsiaTheme="majorEastAsia"/>
          <w:b/>
          <w:color w:val="auto"/>
          <w:kern w:val="2"/>
          <w:sz w:val="24"/>
          <w:szCs w:val="24"/>
          <w:highlight w:val="none"/>
        </w:rPr>
      </w:pPr>
      <w:bookmarkStart w:id="196" w:name="_Toc5313"/>
      <w:r>
        <w:rPr>
          <w:rFonts w:hint="eastAsia" w:asciiTheme="majorEastAsia" w:hAnsiTheme="majorEastAsia" w:eastAsiaTheme="majorEastAsia"/>
          <w:b/>
          <w:color w:val="auto"/>
          <w:kern w:val="2"/>
          <w:sz w:val="24"/>
          <w:szCs w:val="24"/>
          <w:highlight w:val="none"/>
        </w:rPr>
        <w:t>7.招标文件组成</w:t>
      </w:r>
      <w:bookmarkEnd w:id="196"/>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197" w:name="_Toc13408"/>
      <w:r>
        <w:rPr>
          <w:rFonts w:hint="eastAsia" w:asciiTheme="majorEastAsia" w:hAnsiTheme="majorEastAsia" w:eastAsiaTheme="majorEastAsia"/>
          <w:color w:val="auto"/>
          <w:kern w:val="2"/>
          <w:sz w:val="24"/>
          <w:szCs w:val="24"/>
          <w:highlight w:val="none"/>
        </w:rPr>
        <w:t>7.1招标文件由招标文件目录所列内容组成。</w:t>
      </w:r>
      <w:bookmarkEnd w:id="197"/>
    </w:p>
    <w:p>
      <w:pPr>
        <w:pStyle w:val="51"/>
        <w:spacing w:line="360" w:lineRule="auto"/>
        <w:outlineLvl w:val="1"/>
        <w:rPr>
          <w:rFonts w:asciiTheme="majorEastAsia" w:hAnsiTheme="majorEastAsia" w:eastAsiaTheme="majorEastAsia"/>
          <w:b/>
          <w:color w:val="auto"/>
          <w:kern w:val="2"/>
          <w:sz w:val="24"/>
          <w:szCs w:val="24"/>
          <w:highlight w:val="none"/>
        </w:rPr>
      </w:pPr>
      <w:bookmarkStart w:id="198" w:name="_Toc32126"/>
      <w:r>
        <w:rPr>
          <w:rFonts w:hint="eastAsia" w:asciiTheme="majorEastAsia" w:hAnsiTheme="majorEastAsia" w:eastAsiaTheme="majorEastAsia"/>
          <w:b/>
          <w:color w:val="auto"/>
          <w:kern w:val="2"/>
          <w:sz w:val="24"/>
          <w:szCs w:val="24"/>
          <w:highlight w:val="none"/>
        </w:rPr>
        <w:t>8.踏勘现场</w:t>
      </w:r>
      <w:bookmarkEnd w:id="198"/>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8.1本项目是否统一组织投标人踏勘现场见招标文件第二部分“投标人须知前附表”中规定。无论是否统一组织，投标人应对供货现场和周围环境进行勘察，以获取编制投标文件所需的资料。</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8.2踏勘现场所发生的费用由投标人自行承担。采购人向投标人提供的有关供货现场的资料和数据，是采购人现有的能使投标人利用的资料。采购人对投标人由此而做出的推论、理解和结论概不负责。投标人未到供货现场实地踏勘的，中标后签订合同时和履约过程中，不得以不完全了解现场情况为由，提出任何形式的增加合同价款或索赔的要求。</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8.3除非有特殊要求，招标文件不单独提供供货使用地的自然环境、气候条件、公用设施等情况，投标人被视为熟悉上述与履行合同有关的一切情况。</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8.4除采购人原因外，投标人自行负责在踏勘现场中所发生的人员伤亡和财产损失。</w:t>
      </w:r>
    </w:p>
    <w:p>
      <w:pPr>
        <w:pStyle w:val="51"/>
        <w:spacing w:line="360" w:lineRule="auto"/>
        <w:outlineLvl w:val="1"/>
        <w:rPr>
          <w:rFonts w:asciiTheme="majorEastAsia" w:hAnsiTheme="majorEastAsia" w:eastAsiaTheme="majorEastAsia"/>
          <w:bCs/>
          <w:color w:val="auto"/>
          <w:kern w:val="2"/>
          <w:sz w:val="24"/>
          <w:szCs w:val="24"/>
          <w:highlight w:val="none"/>
        </w:rPr>
      </w:pPr>
      <w:bookmarkStart w:id="199" w:name="_Toc18022"/>
      <w:r>
        <w:rPr>
          <w:rFonts w:hint="eastAsia" w:asciiTheme="majorEastAsia" w:hAnsiTheme="majorEastAsia" w:eastAsiaTheme="majorEastAsia"/>
          <w:b/>
          <w:color w:val="auto"/>
          <w:kern w:val="2"/>
          <w:sz w:val="24"/>
          <w:szCs w:val="24"/>
          <w:highlight w:val="none"/>
        </w:rPr>
        <w:t>9.知识产权</w:t>
      </w:r>
      <w:bookmarkEnd w:id="199"/>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9.1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9.2投标人如欲在项目实施过程中采用自有知识成果，须在投标文件中声明，并提供相关知识产权证明文件。使用该知识成果后，投标人须提供开发接口和开发手册等技术文档。</w:t>
      </w:r>
    </w:p>
    <w:p>
      <w:pPr>
        <w:pStyle w:val="51"/>
        <w:spacing w:line="360" w:lineRule="auto"/>
        <w:outlineLvl w:val="1"/>
        <w:rPr>
          <w:rFonts w:asciiTheme="majorEastAsia" w:hAnsiTheme="majorEastAsia" w:eastAsiaTheme="majorEastAsia"/>
          <w:b/>
          <w:color w:val="auto"/>
          <w:kern w:val="2"/>
          <w:sz w:val="24"/>
          <w:szCs w:val="24"/>
          <w:highlight w:val="none"/>
        </w:rPr>
      </w:pPr>
      <w:bookmarkStart w:id="200" w:name="_Toc27218"/>
      <w:r>
        <w:rPr>
          <w:rFonts w:hint="eastAsia" w:asciiTheme="majorEastAsia" w:hAnsiTheme="majorEastAsia" w:eastAsiaTheme="majorEastAsia"/>
          <w:b/>
          <w:color w:val="auto"/>
          <w:kern w:val="2"/>
          <w:sz w:val="24"/>
          <w:szCs w:val="24"/>
          <w:highlight w:val="none"/>
        </w:rPr>
        <w:t>10.答疑及招标文件的澄清和修改</w:t>
      </w:r>
      <w:bookmarkEnd w:id="200"/>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10</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1投标人如果对招标文件有疑问或要求进行澄清的，应按照招标文件第二部分“投标人须知前附表”中规定向采购代理机构提出。提出后，请投标人及时通过平台查看答疑文件或澄清文件。必要时，采购代理机构将组织相关专家召开答疑会，如召开，答疑会安排另行通知。</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投标人在规定的时间内未对招标文件提出疑问或要求澄清的，采购代理机构将视其为同意，对在“答疑接受时间”后就招标文件内容提出的疑问及澄清要求将不予受理。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10.2无论出于何种原因，采购代理机构主动或出于解答投标人疑问对已发出的招标文件进行必要澄清或修改的，应当在招标文件要求提交投标文件截止时间15日前，以当面交接、邮寄、传真或电子邮件、网站披露等其中至少一种方式，向潜在投标人发出澄清、修改的补充文件。需要为此调整投标文件提交截止时间的，应当重新确定，并就变更后的投标截止时间重新发出通知。</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特殊情况下，采购代理机构发布澄清、修改文件后，征得投标人同意，可不改变投标截止时间和开标时间。</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10.3采购代理机构一旦对招标文件作出了澄清、修改，即刻发生效力，采购代理机构有关的补充文件，将作为招标文件的组成部分，对所有现实的或潜在的投标人均具有约束力，而无论是否已经实际收到上述文件。同时，采购代理机构和投标人的权利及义务将受到新的截止期的约束。</w:t>
      </w:r>
    </w:p>
    <w:p>
      <w:pPr>
        <w:pStyle w:val="51"/>
        <w:spacing w:line="360" w:lineRule="auto"/>
        <w:ind w:firstLine="480" w:firstLineChars="200"/>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color w:val="auto"/>
          <w:kern w:val="2"/>
          <w:sz w:val="24"/>
          <w:szCs w:val="24"/>
          <w:highlight w:val="none"/>
        </w:rPr>
        <w:t>10</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4采购代理机构对招标文件作出的澄清、修改在政采云平台内进行披露，请投标人及时关注并获取相关资料。因登记有误、线路故障或其它任何意外情形，导致投标人未及时获取的，采购代理机构不因此承担任何责任，且有关的招标活动继续有效地进行。当招标文件的澄清、修改及进行其他答复等就同一内容的表述不一致时，以最后发布的内容为准。</w:t>
      </w:r>
    </w:p>
    <w:p>
      <w:pPr>
        <w:pStyle w:val="51"/>
        <w:spacing w:line="360" w:lineRule="auto"/>
        <w:ind w:firstLine="480" w:firstLineChars="200"/>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上述澄清、修改在交易平台上发布的同时，交易平台将通过第三方短信群发方式提醒投标人进行查询。此短信仅系友情提示，并不具有任何约束性和必要性，采购代理机构不承担投标人未收到短信而引起的一切后果和法律责任。</w:t>
      </w:r>
    </w:p>
    <w:p>
      <w:pPr>
        <w:pStyle w:val="51"/>
        <w:spacing w:line="360" w:lineRule="auto"/>
        <w:ind w:firstLine="480" w:firstLineChars="200"/>
        <w:rPr>
          <w:rFonts w:asciiTheme="majorEastAsia" w:hAnsiTheme="majorEastAsia" w:eastAsiaTheme="majorEastAsia"/>
          <w:bCs/>
          <w:color w:val="auto"/>
          <w:kern w:val="2"/>
          <w:sz w:val="24"/>
          <w:szCs w:val="24"/>
          <w:highlight w:val="none"/>
        </w:rPr>
      </w:pPr>
      <w:r>
        <w:rPr>
          <w:rFonts w:hint="eastAsia" w:asciiTheme="majorEastAsia" w:hAnsiTheme="majorEastAsia" w:eastAsiaTheme="majorEastAsia"/>
          <w:bCs/>
          <w:color w:val="auto"/>
          <w:kern w:val="2"/>
          <w:sz w:val="24"/>
          <w:szCs w:val="24"/>
          <w:highlight w:val="none"/>
        </w:rPr>
        <w:t>10.5澄清、修改文件发出后，投标人必须使用最新的答疑、澄清文件制作电子投标文件，否则将无法完成上传。</w:t>
      </w:r>
    </w:p>
    <w:p>
      <w:pPr>
        <w:pStyle w:val="5"/>
        <w:rPr>
          <w:rFonts w:asciiTheme="majorEastAsia" w:hAnsiTheme="majorEastAsia" w:eastAsiaTheme="majorEastAsia"/>
          <w:color w:val="auto"/>
          <w:highlight w:val="none"/>
        </w:rPr>
      </w:pPr>
      <w:bookmarkStart w:id="201" w:name="EB632682dc7bd24f9697b91bdadf704a7c"/>
      <w:bookmarkEnd w:id="201"/>
      <w:bookmarkStart w:id="202" w:name="EB0ee97c2df9374b61990b315328f26394"/>
      <w:bookmarkEnd w:id="202"/>
      <w:bookmarkStart w:id="203" w:name="EB95389bfbf74c4fd3a96f81cde95c43cd"/>
      <w:bookmarkEnd w:id="203"/>
      <w:bookmarkStart w:id="204" w:name="_Toc519111262"/>
      <w:bookmarkStart w:id="205" w:name="_Toc85"/>
      <w:r>
        <w:rPr>
          <w:rFonts w:hint="eastAsia" w:asciiTheme="majorEastAsia" w:hAnsiTheme="majorEastAsia" w:eastAsiaTheme="majorEastAsia"/>
          <w:color w:val="auto"/>
          <w:highlight w:val="none"/>
        </w:rPr>
        <w:t>三、投标文件</w:t>
      </w:r>
      <w:bookmarkEnd w:id="204"/>
      <w:bookmarkEnd w:id="205"/>
    </w:p>
    <w:p>
      <w:pPr>
        <w:pStyle w:val="51"/>
        <w:spacing w:line="360" w:lineRule="auto"/>
        <w:outlineLvl w:val="1"/>
        <w:rPr>
          <w:rFonts w:asciiTheme="majorEastAsia" w:hAnsiTheme="majorEastAsia" w:eastAsiaTheme="majorEastAsia"/>
          <w:b/>
          <w:color w:val="auto"/>
          <w:kern w:val="2"/>
          <w:sz w:val="24"/>
          <w:szCs w:val="24"/>
          <w:highlight w:val="none"/>
        </w:rPr>
      </w:pPr>
      <w:bookmarkStart w:id="206" w:name="_Toc32749"/>
      <w:r>
        <w:rPr>
          <w:rFonts w:hint="eastAsia" w:asciiTheme="majorEastAsia" w:hAnsiTheme="majorEastAsia" w:eastAsiaTheme="majorEastAsia"/>
          <w:b/>
          <w:color w:val="auto"/>
          <w:kern w:val="2"/>
          <w:sz w:val="24"/>
          <w:szCs w:val="24"/>
          <w:highlight w:val="none"/>
        </w:rPr>
        <w:t>11.投标文件的语言及计量单位</w:t>
      </w:r>
      <w:bookmarkEnd w:id="206"/>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11.1投标人提交的投标文件（包括技术文件和资料、图纸中的说明）以及投标人与采购代理机构就有关投标的所有来往函电均应使用中文简体字。</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11.2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原版为外文的证书类、证明类文件，与投标人名称或其他实际情况不符的，投标人应当提供相关证明文件。</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11.3除非招标文件另有规定，投标文件所使用的计量单位，应使用国家法定计量单位。</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11.4</w:t>
      </w:r>
      <w:r>
        <w:rPr>
          <w:rFonts w:hint="eastAsia" w:cs="宋体" w:asciiTheme="majorEastAsia" w:hAnsiTheme="majorEastAsia" w:eastAsiaTheme="majorEastAsia"/>
          <w:color w:val="auto"/>
          <w:sz w:val="24"/>
          <w:szCs w:val="24"/>
          <w:highlight w:val="none"/>
        </w:rPr>
        <w:t>★</w:t>
      </w:r>
      <w:r>
        <w:rPr>
          <w:rFonts w:hint="eastAsia" w:asciiTheme="majorEastAsia" w:hAnsiTheme="majorEastAsia" w:eastAsiaTheme="majorEastAsia"/>
          <w:color w:val="auto"/>
          <w:kern w:val="2"/>
          <w:sz w:val="24"/>
          <w:szCs w:val="24"/>
          <w:highlight w:val="none"/>
        </w:rPr>
        <w:t>对违反上述规定情形的，评标委员会有权要求投标人限期提供相应文件或决定对其投标予以拒绝。</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11.5电报、电话、传真形式的投标概不接受。投标人的投标文件一律不予退还。</w:t>
      </w:r>
    </w:p>
    <w:p>
      <w:pPr>
        <w:pStyle w:val="51"/>
        <w:spacing w:line="360" w:lineRule="auto"/>
        <w:outlineLvl w:val="1"/>
        <w:rPr>
          <w:rFonts w:asciiTheme="majorEastAsia" w:hAnsiTheme="majorEastAsia" w:eastAsiaTheme="majorEastAsia"/>
          <w:b/>
          <w:color w:val="auto"/>
          <w:kern w:val="2"/>
          <w:sz w:val="24"/>
          <w:szCs w:val="24"/>
          <w:highlight w:val="none"/>
        </w:rPr>
      </w:pPr>
      <w:bookmarkStart w:id="207" w:name="_Toc10097"/>
      <w:r>
        <w:rPr>
          <w:rFonts w:hint="eastAsia" w:asciiTheme="majorEastAsia" w:hAnsiTheme="majorEastAsia" w:eastAsiaTheme="majorEastAsia"/>
          <w:b/>
          <w:color w:val="auto"/>
          <w:kern w:val="2"/>
          <w:sz w:val="24"/>
          <w:szCs w:val="24"/>
          <w:highlight w:val="none"/>
        </w:rPr>
        <w:t>12</w:t>
      </w:r>
      <w:r>
        <w:rPr>
          <w:rFonts w:asciiTheme="majorEastAsia" w:hAnsiTheme="majorEastAsia" w:eastAsiaTheme="majorEastAsia"/>
          <w:b/>
          <w:color w:val="auto"/>
          <w:kern w:val="2"/>
          <w:sz w:val="24"/>
          <w:szCs w:val="24"/>
          <w:highlight w:val="none"/>
        </w:rPr>
        <w:t>.</w:t>
      </w:r>
      <w:r>
        <w:rPr>
          <w:rFonts w:hint="eastAsia" w:asciiTheme="majorEastAsia" w:hAnsiTheme="majorEastAsia" w:eastAsiaTheme="majorEastAsia"/>
          <w:b/>
          <w:color w:val="auto"/>
          <w:kern w:val="2"/>
          <w:sz w:val="24"/>
          <w:szCs w:val="24"/>
          <w:highlight w:val="none"/>
        </w:rPr>
        <w:t>投标文件组成及编制</w:t>
      </w:r>
      <w:bookmarkEnd w:id="207"/>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12.1投标文件分为资格审查资料、商务文件、技术文件和服务文件。</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商务文件指投标人提交的证明其有资格参加投标和中标后有能力履行合同的文件。技术和服务文件指投标人提交的能够证明其提供的货物及服务符合招标文件规定的文件。本次招标，投标人须按招标文件第二部分“投标人须知前附表”中规定提交资格审查资料、商务文件、技术文件和服务文件，其中加★项目若有缺失或无效，将导致投标被拒绝且不允许在开标后补正。</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12.2投标人递交的投标文件及相关要求按照招标文件第二部分“投标人须知前附表”中的规定。</w:t>
      </w:r>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208" w:name="_Toc15469"/>
      <w:r>
        <w:rPr>
          <w:rFonts w:hint="eastAsia" w:asciiTheme="majorEastAsia" w:hAnsiTheme="majorEastAsia" w:eastAsiaTheme="majorEastAsia"/>
          <w:color w:val="auto"/>
          <w:kern w:val="2"/>
          <w:sz w:val="24"/>
          <w:szCs w:val="24"/>
          <w:highlight w:val="none"/>
        </w:rPr>
        <w:t>12.2.1电子投标文件的编制</w:t>
      </w:r>
      <w:bookmarkEnd w:id="208"/>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12.2.1.1电子投标文件使用政采云平台提供的投标文件制作工具以及招标文件要求进行制作编制。投标文件制作时，不同内容按标签提示制作导入，按照招标文件中明确的投标文件目录和格式进行编制，保证目录清晰、内容完整。</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12.2.1.2</w:t>
      </w:r>
      <w:r>
        <w:rPr>
          <w:rFonts w:hint="eastAsia" w:cs="宋体" w:asciiTheme="majorEastAsia" w:hAnsiTheme="majorEastAsia" w:eastAsiaTheme="majorEastAsia"/>
          <w:color w:val="auto"/>
          <w:sz w:val="24"/>
          <w:szCs w:val="24"/>
          <w:highlight w:val="none"/>
        </w:rPr>
        <w:t>★</w:t>
      </w:r>
      <w:r>
        <w:rPr>
          <w:rFonts w:hint="eastAsia" w:asciiTheme="majorEastAsia" w:hAnsiTheme="majorEastAsia" w:eastAsiaTheme="majorEastAsia"/>
          <w:color w:val="auto"/>
          <w:kern w:val="2"/>
          <w:sz w:val="24"/>
          <w:szCs w:val="24"/>
          <w:highlight w:val="none"/>
        </w:rPr>
        <w:t>电子投标文件须使用投标人公章以及法定代表人的盖章或签字，否则，视为无效投标。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12.2.1.3电子招投标文件具有法律效力，与其他形式的招投标文件在内容和格式上等同，若投标文件与招标文件要求不一致，其内容影响中标结果时，责任由投标人自行承担。投标人递交的电子投标文件因投标人自身原因而导致无法导入电子辅助评标系统，该投标文件视为无效投标文件，将导致其投标被拒绝。</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12.2.1.4电子投标文件制作工具在生成加密投标文件时，同时生成非加密投标文件一份。未加密的电子投标文件由投标人使用光盘制作（投标人须保证启用光盘时能正常读取）。</w:t>
      </w:r>
    </w:p>
    <w:p>
      <w:pPr>
        <w:pStyle w:val="51"/>
        <w:spacing w:line="360" w:lineRule="auto"/>
        <w:outlineLvl w:val="3"/>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b/>
          <w:color w:val="auto"/>
          <w:kern w:val="2"/>
          <w:sz w:val="24"/>
          <w:szCs w:val="24"/>
          <w:highlight w:val="none"/>
        </w:rPr>
        <w:t>13.</w:t>
      </w:r>
      <w:r>
        <w:rPr>
          <w:rFonts w:hint="eastAsia" w:cs="宋体" w:asciiTheme="majorEastAsia" w:hAnsiTheme="majorEastAsia" w:eastAsiaTheme="majorEastAsia"/>
          <w:color w:val="auto"/>
          <w:sz w:val="24"/>
          <w:szCs w:val="24"/>
          <w:highlight w:val="none"/>
        </w:rPr>
        <w:t xml:space="preserve"> ★</w:t>
      </w:r>
      <w:r>
        <w:rPr>
          <w:rFonts w:hint="eastAsia" w:asciiTheme="majorEastAsia" w:hAnsiTheme="majorEastAsia" w:eastAsiaTheme="majorEastAsia"/>
          <w:b/>
          <w:color w:val="auto"/>
          <w:kern w:val="2"/>
          <w:sz w:val="24"/>
          <w:szCs w:val="24"/>
          <w:highlight w:val="none"/>
        </w:rPr>
        <w:t>投标报价</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13.1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投标人自行承担。</w:t>
      </w:r>
    </w:p>
    <w:p>
      <w:pPr>
        <w:pStyle w:val="51"/>
        <w:spacing w:line="360" w:lineRule="auto"/>
        <w:ind w:firstLine="480" w:firstLineChars="200"/>
        <w:outlineLvl w:val="3"/>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13.2投标人投报多包的，须对每包分别制作投标文件并报价</w:t>
      </w:r>
      <w:r>
        <w:rPr>
          <w:rFonts w:hint="eastAsia" w:asciiTheme="majorEastAsia" w:hAnsiTheme="majorEastAsia" w:eastAsiaTheme="majorEastAsia"/>
          <w:b/>
          <w:color w:val="auto"/>
          <w:kern w:val="2"/>
          <w:sz w:val="24"/>
          <w:szCs w:val="24"/>
          <w:highlight w:val="none"/>
        </w:rPr>
        <w:t>。</w:t>
      </w:r>
    </w:p>
    <w:p>
      <w:pPr>
        <w:pStyle w:val="51"/>
        <w:spacing w:line="360" w:lineRule="auto"/>
        <w:ind w:firstLine="480" w:firstLineChars="200"/>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color w:val="auto"/>
          <w:kern w:val="2"/>
          <w:sz w:val="24"/>
          <w:szCs w:val="24"/>
          <w:highlight w:val="none"/>
        </w:rPr>
        <w:t>13.3除非招标文件另有规定，不接受可选择或可调整的投标方案和报价，任何有选择的或可调整的投标方案和报价将被视为非响应性投标而被拒绝。</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13.4本项目是否接受进口产品按照招标文件第二部分“投标人须知前附表中”中的规定。</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13.5本项目是否允许投标人将项目的非主体、非关键性工作交由他人完成按照招标文件第二部分“投标人须知前附表”中的规定。如允许，投标人根据采购项目的实际情况，拟在中标后将中标项目的非主体、非关键性工作交由他人完成，须在技术文件中载明。</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13.6投标人须严格按照报价明细表规定的内容填写货物单价以及其他事项。</w:t>
      </w:r>
    </w:p>
    <w:p>
      <w:pPr>
        <w:pStyle w:val="51"/>
        <w:spacing w:line="360" w:lineRule="auto"/>
        <w:ind w:firstLine="480" w:firstLineChars="200"/>
        <w:outlineLvl w:val="3"/>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13.7投标人对投标报价若有说明应在投标文件中显著处注明。</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除政策性文件规定以外，投标人所报价格在合同实施期间不因市场变化因素而变动。</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13.8对于有配件、耗材、选件、备件和特殊工具的货物，还应填报投标货物配件、耗材、选件表和备件及特殊工具清单，注明品牌、型号、产地、功能、单价、批量折扣等内容，该表格格式由投标人自行设计。投标人按照上述要求分类报价，其目的是便于评标，但在任何情况下并不限制采购人以其他条款签订合同的权利。</w:t>
      </w:r>
    </w:p>
    <w:p>
      <w:pPr>
        <w:pStyle w:val="51"/>
        <w:spacing w:line="360" w:lineRule="auto"/>
        <w:ind w:firstLine="480" w:firstLineChars="200"/>
        <w:outlineLvl w:val="3"/>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13.9最低报价不能作为中标的保证。</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13.10</w:t>
      </w:r>
      <w:r>
        <w:rPr>
          <w:rFonts w:asciiTheme="majorEastAsia" w:hAnsiTheme="majorEastAsia" w:eastAsiaTheme="majorEastAsia"/>
          <w:color w:val="auto"/>
          <w:kern w:val="2"/>
          <w:sz w:val="24"/>
          <w:szCs w:val="24"/>
          <w:highlight w:val="none"/>
        </w:rPr>
        <w:t>本项目不接受选择性报价，对于出现的政采云平台开标唱标环节经投标供应商确认的投标报价与投标文件中开标一览表的报价不一致的现象，视作选择性报价，将被作为无效投标处理。</w:t>
      </w:r>
    </w:p>
    <w:p>
      <w:pPr>
        <w:pStyle w:val="51"/>
        <w:spacing w:line="360" w:lineRule="auto"/>
        <w:outlineLvl w:val="1"/>
        <w:rPr>
          <w:rFonts w:asciiTheme="majorEastAsia" w:hAnsiTheme="majorEastAsia" w:eastAsiaTheme="majorEastAsia"/>
          <w:b/>
          <w:color w:val="auto"/>
          <w:kern w:val="2"/>
          <w:sz w:val="24"/>
          <w:szCs w:val="24"/>
          <w:highlight w:val="none"/>
        </w:rPr>
      </w:pPr>
      <w:bookmarkStart w:id="209" w:name="_Toc8078"/>
      <w:r>
        <w:rPr>
          <w:rFonts w:hint="eastAsia" w:asciiTheme="majorEastAsia" w:hAnsiTheme="majorEastAsia" w:eastAsiaTheme="majorEastAsia"/>
          <w:b/>
          <w:color w:val="auto"/>
          <w:kern w:val="2"/>
          <w:sz w:val="24"/>
          <w:szCs w:val="24"/>
          <w:highlight w:val="none"/>
        </w:rPr>
        <w:t>14.投标有效期</w:t>
      </w:r>
      <w:bookmarkEnd w:id="209"/>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14.1</w:t>
      </w:r>
      <w:r>
        <w:rPr>
          <w:rFonts w:hint="eastAsia" w:cs="宋体" w:asciiTheme="majorEastAsia" w:hAnsiTheme="majorEastAsia" w:eastAsiaTheme="majorEastAsia"/>
          <w:color w:val="auto"/>
          <w:sz w:val="24"/>
          <w:szCs w:val="24"/>
          <w:highlight w:val="none"/>
        </w:rPr>
        <w:t>★</w:t>
      </w:r>
      <w:r>
        <w:rPr>
          <w:rFonts w:hint="eastAsia" w:asciiTheme="majorEastAsia" w:hAnsiTheme="majorEastAsia" w:eastAsiaTheme="majorEastAsia"/>
          <w:color w:val="auto"/>
          <w:kern w:val="2"/>
          <w:sz w:val="24"/>
          <w:szCs w:val="24"/>
          <w:highlight w:val="none"/>
        </w:rPr>
        <w:t>本项目的投标有效期按照招标文件第二部分“投标人须知前附表中”中第12项的规定。投标有效期自开标之日起计算，短于规定期限的投标将按无效投标处理。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14.2在特殊情况下，采购代理机构可与投标人协商延长投标有效期。这种要求和答复都应以书面形式进行。此时，规定的投标保证金的有效期也相应延长。投标人可以拒绝接受延期要求而不会被没收保证金。同意延长有效期的投标人除按照采购代理机构要求修改投标有效期外，不能修改投标文件的其他内容。</w:t>
      </w:r>
    </w:p>
    <w:p>
      <w:pPr>
        <w:pStyle w:val="51"/>
        <w:spacing w:line="360" w:lineRule="auto"/>
        <w:outlineLvl w:val="1"/>
        <w:rPr>
          <w:rFonts w:asciiTheme="majorEastAsia" w:hAnsiTheme="majorEastAsia" w:eastAsiaTheme="majorEastAsia"/>
          <w:b/>
          <w:color w:val="auto"/>
          <w:kern w:val="2"/>
          <w:sz w:val="24"/>
          <w:szCs w:val="24"/>
          <w:highlight w:val="none"/>
        </w:rPr>
      </w:pPr>
      <w:bookmarkStart w:id="210" w:name="_Toc480"/>
      <w:r>
        <w:rPr>
          <w:rFonts w:hint="eastAsia" w:asciiTheme="majorEastAsia" w:hAnsiTheme="majorEastAsia" w:eastAsiaTheme="majorEastAsia"/>
          <w:b/>
          <w:color w:val="auto"/>
          <w:kern w:val="2"/>
          <w:sz w:val="24"/>
          <w:szCs w:val="24"/>
          <w:highlight w:val="none"/>
        </w:rPr>
        <w:t>15</w:t>
      </w:r>
      <w:r>
        <w:rPr>
          <w:rFonts w:asciiTheme="majorEastAsia" w:hAnsiTheme="majorEastAsia" w:eastAsiaTheme="majorEastAsia"/>
          <w:b/>
          <w:color w:val="auto"/>
          <w:kern w:val="2"/>
          <w:sz w:val="24"/>
          <w:szCs w:val="24"/>
          <w:highlight w:val="none"/>
        </w:rPr>
        <w:t>.</w:t>
      </w:r>
      <w:r>
        <w:rPr>
          <w:rFonts w:hint="eastAsia" w:asciiTheme="majorEastAsia" w:hAnsiTheme="majorEastAsia" w:eastAsiaTheme="majorEastAsia"/>
          <w:b/>
          <w:color w:val="auto"/>
          <w:kern w:val="2"/>
          <w:sz w:val="24"/>
          <w:szCs w:val="24"/>
          <w:highlight w:val="none"/>
        </w:rPr>
        <w:t>投标内容填写说明</w:t>
      </w:r>
      <w:bookmarkEnd w:id="210"/>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15.1</w:t>
      </w:r>
      <w:r>
        <w:rPr>
          <w:rFonts w:hint="eastAsia" w:cs="宋体" w:asciiTheme="majorEastAsia" w:hAnsiTheme="majorEastAsia" w:eastAsiaTheme="majorEastAsia"/>
          <w:color w:val="auto"/>
          <w:sz w:val="24"/>
          <w:szCs w:val="24"/>
          <w:highlight w:val="none"/>
        </w:rPr>
        <w:t>★</w:t>
      </w:r>
      <w:r>
        <w:rPr>
          <w:rFonts w:hint="eastAsia" w:asciiTheme="majorEastAsia" w:hAnsiTheme="majorEastAsia" w:eastAsiaTheme="majorEastAsia"/>
          <w:color w:val="auto"/>
          <w:kern w:val="2"/>
          <w:sz w:val="24"/>
          <w:szCs w:val="24"/>
          <w:highlight w:val="none"/>
        </w:rPr>
        <w:t>投标人应详细阅读招标文件的全部内容。投标文件须对招标文件中的内容作出实质性和完整的响应，如果投标文件填报的内容不详，或没有提供招标文件中所要求的全部资料及数据，将可能导致投标被拒绝。</w:t>
      </w:r>
    </w:p>
    <w:p>
      <w:pPr>
        <w:pStyle w:val="51"/>
        <w:spacing w:line="360" w:lineRule="auto"/>
        <w:ind w:firstLine="480" w:firstLineChars="200"/>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color w:val="auto"/>
          <w:kern w:val="2"/>
          <w:sz w:val="24"/>
          <w:szCs w:val="24"/>
          <w:highlight w:val="none"/>
        </w:rPr>
        <w:t>15.2</w:t>
      </w:r>
      <w:r>
        <w:rPr>
          <w:rFonts w:hint="eastAsia" w:cs="宋体" w:asciiTheme="majorEastAsia" w:hAnsiTheme="majorEastAsia" w:eastAsiaTheme="majorEastAsia"/>
          <w:color w:val="auto"/>
          <w:sz w:val="24"/>
          <w:szCs w:val="24"/>
          <w:highlight w:val="none"/>
        </w:rPr>
        <w:t>★</w:t>
      </w:r>
      <w:r>
        <w:rPr>
          <w:rFonts w:hint="eastAsia" w:asciiTheme="majorEastAsia" w:hAnsiTheme="majorEastAsia" w:eastAsiaTheme="majorEastAsia"/>
          <w:color w:val="auto"/>
          <w:kern w:val="2"/>
          <w:sz w:val="24"/>
          <w:szCs w:val="24"/>
          <w:highlight w:val="none"/>
        </w:rPr>
        <w:t>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r>
        <w:rPr>
          <w:rFonts w:hint="eastAsia" w:asciiTheme="majorEastAsia" w:hAnsiTheme="majorEastAsia" w:eastAsiaTheme="majorEastAsia"/>
          <w:b/>
          <w:color w:val="auto"/>
          <w:kern w:val="2"/>
          <w:sz w:val="24"/>
          <w:szCs w:val="24"/>
          <w:highlight w:val="none"/>
        </w:rPr>
        <w:t>。</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15.3</w:t>
      </w:r>
      <w:r>
        <w:rPr>
          <w:rFonts w:hint="eastAsia" w:cs="宋体" w:asciiTheme="majorEastAsia" w:hAnsiTheme="majorEastAsia" w:eastAsiaTheme="majorEastAsia"/>
          <w:color w:val="auto"/>
          <w:sz w:val="24"/>
          <w:szCs w:val="24"/>
          <w:highlight w:val="none"/>
        </w:rPr>
        <w:t>★</w:t>
      </w:r>
      <w:r>
        <w:rPr>
          <w:rFonts w:hint="eastAsia" w:asciiTheme="majorEastAsia" w:hAnsiTheme="majorEastAsia" w:eastAsiaTheme="majorEastAsia"/>
          <w:color w:val="auto"/>
          <w:kern w:val="2"/>
          <w:sz w:val="24"/>
          <w:szCs w:val="24"/>
          <w:highlight w:val="none"/>
        </w:rPr>
        <w:t>开标一览表为在开标仪式上唱标的内容，要求按格式统一填写，不得自行增减内容。</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15.4投标人须注意：为合理节约政府采购评审成本，提倡诚实信用的投标行为，特别要求投标人应本着诚信精神，在本次投标文件的偏离表中，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标委员会有权视具体情形评审时予以处理，乃至对该投标予以拒绝。</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15.5投标人必须保证投标文件所提供的全部资料真实可靠，并接受采购代理机构或评标委员会对其中任何资料进一步审查的要求。</w:t>
      </w:r>
    </w:p>
    <w:p>
      <w:pPr>
        <w:pStyle w:val="51"/>
        <w:spacing w:line="360" w:lineRule="auto"/>
        <w:ind w:firstLine="480" w:firstLineChars="200"/>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color w:val="auto"/>
          <w:kern w:val="2"/>
          <w:sz w:val="24"/>
          <w:szCs w:val="24"/>
          <w:highlight w:val="none"/>
        </w:rPr>
        <w:t>15.6</w:t>
      </w:r>
      <w:r>
        <w:rPr>
          <w:rFonts w:hint="eastAsia" w:cs="宋体" w:asciiTheme="majorEastAsia" w:hAnsiTheme="majorEastAsia" w:eastAsiaTheme="majorEastAsia"/>
          <w:color w:val="auto"/>
          <w:sz w:val="24"/>
          <w:szCs w:val="24"/>
          <w:highlight w:val="none"/>
        </w:rPr>
        <w:t>★</w:t>
      </w:r>
      <w:r>
        <w:rPr>
          <w:rFonts w:hint="eastAsia" w:asciiTheme="majorEastAsia" w:hAnsiTheme="majorEastAsia" w:eastAsiaTheme="majorEastAsia"/>
          <w:color w:val="auto"/>
          <w:kern w:val="2"/>
          <w:sz w:val="24"/>
          <w:szCs w:val="24"/>
          <w:highlight w:val="none"/>
        </w:rPr>
        <w:t>投标人在投标文件及相关文件的签订、履行、通知等事项的文件中的单位盖章、印章、公章等处均指与当事人全称相一致的标准公章，不得使用其他形式（如带有“专用章”等字样的印章）。不符合本条规定的按无效投标处理。</w:t>
      </w:r>
    </w:p>
    <w:p>
      <w:pPr>
        <w:pStyle w:val="51"/>
        <w:spacing w:line="360" w:lineRule="auto"/>
        <w:ind w:firstLine="480" w:firstLineChars="200"/>
        <w:rPr>
          <w:rFonts w:asciiTheme="majorEastAsia" w:hAnsiTheme="majorEastAsia" w:eastAsiaTheme="majorEastAsia"/>
          <w:b/>
          <w:color w:val="auto"/>
          <w:sz w:val="24"/>
          <w:szCs w:val="24"/>
          <w:highlight w:val="none"/>
        </w:rPr>
      </w:pPr>
      <w:r>
        <w:rPr>
          <w:rFonts w:hint="eastAsia" w:asciiTheme="majorEastAsia" w:hAnsiTheme="majorEastAsia" w:eastAsiaTheme="majorEastAsia"/>
          <w:color w:val="auto"/>
          <w:kern w:val="2"/>
          <w:sz w:val="24"/>
          <w:szCs w:val="24"/>
          <w:highlight w:val="none"/>
        </w:rPr>
        <w:t>15.7本项目</w:t>
      </w:r>
      <w:r>
        <w:rPr>
          <w:rFonts w:hint="eastAsia" w:asciiTheme="majorEastAsia" w:hAnsiTheme="majorEastAsia" w:eastAsiaTheme="majorEastAsia"/>
          <w:color w:val="auto"/>
          <w:sz w:val="24"/>
          <w:szCs w:val="24"/>
          <w:highlight w:val="none"/>
        </w:rPr>
        <w:t>技术部分是否采用“暗标”评审方式</w:t>
      </w:r>
      <w:r>
        <w:rPr>
          <w:rFonts w:hint="eastAsia" w:asciiTheme="majorEastAsia" w:hAnsiTheme="majorEastAsia" w:eastAsiaTheme="majorEastAsia"/>
          <w:color w:val="auto"/>
          <w:kern w:val="2"/>
          <w:sz w:val="24"/>
          <w:szCs w:val="24"/>
          <w:highlight w:val="none"/>
        </w:rPr>
        <w:t>按照招标文件第二部分“投标人须知前附表中”中的规定。如果采用暗标评审方式的，投标人在制作投标文件时应当以能够隐去投标人的身份为原则并需严格遵守以下各项规定：</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15.7.1技术部分中纳入“暗标”部分的内容：样品。</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15.7.2暗标的编制要求</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15.7.2.1投标文件技术部分全部内容中不能出现任何本投标人的名称和其它可识别投标人身份的字符、企业徽标或符号、人员名称以及其他特殊标记等（如有此类文件应放于商务文件“用于评审的证明材料”中），否则将导致投标被拒绝。</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15.7.2.2页面设置及字体要求：采用标准A4纸张，上下页边距为2.54cm，左右页边距为3.17cm，装订线位置为左；不得设置页码；正文使用四号宋体字，单倍行距，段前段后0行间距；标题为二号黑体字，图、表中的字体统一用宋体小四，1.5倍行距，段前段后0行间距。</w:t>
      </w:r>
    </w:p>
    <w:p>
      <w:pPr>
        <w:pStyle w:val="51"/>
        <w:spacing w:line="360" w:lineRule="auto"/>
        <w:ind w:left="1"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15.7.2.3任何情况下，技术部分（“暗标”部分）中不得出现任何投标人的审阅或者批注痕迹，否则将导致投标被拒绝。</w:t>
      </w:r>
    </w:p>
    <w:p>
      <w:pPr>
        <w:pStyle w:val="5"/>
        <w:rPr>
          <w:rFonts w:asciiTheme="majorEastAsia" w:hAnsiTheme="majorEastAsia" w:eastAsiaTheme="majorEastAsia"/>
          <w:color w:val="auto"/>
          <w:highlight w:val="none"/>
        </w:rPr>
      </w:pPr>
      <w:bookmarkStart w:id="211" w:name="EB375a660a87bc46de991bb01ce9d3c87e"/>
      <w:bookmarkEnd w:id="211"/>
      <w:bookmarkStart w:id="212" w:name="EB37ccbadaa0f64c5193a77496d92cca0e"/>
      <w:bookmarkEnd w:id="212"/>
      <w:bookmarkStart w:id="213" w:name="EB8652ab10f8fb48a1bca0cd56bdb70bdf"/>
      <w:bookmarkEnd w:id="213"/>
      <w:bookmarkStart w:id="214" w:name="_Toc519111263"/>
      <w:bookmarkStart w:id="215" w:name="_Toc8699"/>
      <w:r>
        <w:rPr>
          <w:rFonts w:hint="eastAsia" w:asciiTheme="majorEastAsia" w:hAnsiTheme="majorEastAsia" w:eastAsiaTheme="majorEastAsia"/>
          <w:color w:val="auto"/>
          <w:highlight w:val="none"/>
        </w:rPr>
        <w:t>四、投标保证金</w:t>
      </w:r>
      <w:bookmarkEnd w:id="214"/>
      <w:bookmarkEnd w:id="215"/>
    </w:p>
    <w:p>
      <w:pPr>
        <w:pStyle w:val="51"/>
        <w:spacing w:line="360" w:lineRule="auto"/>
        <w:outlineLvl w:val="1"/>
        <w:rPr>
          <w:rFonts w:asciiTheme="majorEastAsia" w:hAnsiTheme="majorEastAsia" w:eastAsiaTheme="majorEastAsia"/>
          <w:b/>
          <w:color w:val="auto"/>
          <w:kern w:val="2"/>
          <w:sz w:val="24"/>
          <w:szCs w:val="24"/>
          <w:highlight w:val="none"/>
        </w:rPr>
      </w:pPr>
      <w:bookmarkStart w:id="216" w:name="_Toc28132"/>
      <w:r>
        <w:rPr>
          <w:rFonts w:hint="eastAsia" w:asciiTheme="majorEastAsia" w:hAnsiTheme="majorEastAsia" w:eastAsiaTheme="majorEastAsia"/>
          <w:b/>
          <w:color w:val="auto"/>
          <w:kern w:val="2"/>
          <w:sz w:val="24"/>
          <w:szCs w:val="24"/>
          <w:highlight w:val="none"/>
        </w:rPr>
        <w:t>16.投标保证金</w:t>
      </w:r>
      <w:bookmarkEnd w:id="216"/>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16.1投标人应按照招标文件第二部分“投标人须知前附表”中的规定交纳。投标保证金须于到账截止时间前到帐，并经采购代理机构确认。</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16.2</w:t>
      </w:r>
      <w:r>
        <w:rPr>
          <w:rFonts w:hint="eastAsia" w:cs="宋体" w:asciiTheme="majorEastAsia" w:hAnsiTheme="majorEastAsia" w:eastAsiaTheme="majorEastAsia"/>
          <w:color w:val="auto"/>
          <w:sz w:val="24"/>
          <w:szCs w:val="24"/>
          <w:highlight w:val="none"/>
        </w:rPr>
        <w:t>★</w:t>
      </w:r>
      <w:r>
        <w:rPr>
          <w:rFonts w:hint="eastAsia" w:asciiTheme="majorEastAsia" w:hAnsiTheme="majorEastAsia" w:eastAsiaTheme="majorEastAsia"/>
          <w:color w:val="auto"/>
          <w:kern w:val="2"/>
          <w:sz w:val="24"/>
          <w:szCs w:val="24"/>
          <w:highlight w:val="none"/>
        </w:rPr>
        <w:t>采购代理机构不接收以现金或汇票等其他形式递交的投标保证金。未按要求提交投标保证金的，将被视为无效投标。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16.3未中标的投标人的投标保证金在中标通知书发出之日起5个工作日内退还；中标人的投标保证金将在交纳履约保证金并于合同生效后5个工作日内退还。</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16.4投标保证金退还一律采用网上银行转帐方式退还至投标人的汇款帐户，资金原路返回。</w:t>
      </w:r>
    </w:p>
    <w:p>
      <w:pPr>
        <w:pStyle w:val="51"/>
        <w:spacing w:line="360" w:lineRule="auto"/>
        <w:ind w:firstLine="480" w:firstLineChars="200"/>
        <w:rPr>
          <w:rFonts w:asciiTheme="majorEastAsia" w:hAnsiTheme="majorEastAsia" w:eastAsiaTheme="majorEastAsia"/>
          <w:color w:val="auto"/>
          <w:kern w:val="2"/>
          <w:sz w:val="24"/>
          <w:szCs w:val="24"/>
          <w:highlight w:val="none"/>
        </w:rPr>
      </w:pPr>
      <w:bookmarkStart w:id="217" w:name="EBcc7faae6b5d540b591cda779a2aa7880"/>
      <w:bookmarkEnd w:id="217"/>
      <w:bookmarkStart w:id="218" w:name="EBf1929d16032b4422bab371becffb21ba"/>
      <w:bookmarkEnd w:id="218"/>
      <w:bookmarkStart w:id="219" w:name="EB028ce0865c5043f5a7e1c06cc3930dac"/>
      <w:bookmarkEnd w:id="219"/>
      <w:r>
        <w:rPr>
          <w:rFonts w:hint="eastAsia" w:asciiTheme="majorEastAsia" w:hAnsiTheme="majorEastAsia" w:eastAsiaTheme="majorEastAsia"/>
          <w:color w:val="auto"/>
          <w:kern w:val="2"/>
          <w:sz w:val="24"/>
          <w:szCs w:val="24"/>
          <w:highlight w:val="none"/>
        </w:rPr>
        <w:t>16.5如开标时投标人对本单位投标保证金缴纳情况有疑义，投标人应在开标结束前向招标人提交书面申请核实保证金缴纳情况。由银行或保险公司核实后出具书面材料予以答复。</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16.6开标结束后，转账、电汇、网银形式缴纳的保证金由招标代理或招标人统一办理中标人和未中标人的保证金退还事宜。如本项目招标中遇质疑，投诉，复议等特殊情况，保证金退还时间按相关规定执行。银行电子保函、保险电子保函等形式缴纳的投标保证金按协议执行，无需办理退款手续。</w:t>
      </w:r>
    </w:p>
    <w:p>
      <w:pPr>
        <w:pStyle w:val="51"/>
        <w:spacing w:line="360" w:lineRule="auto"/>
        <w:rPr>
          <w:rFonts w:asciiTheme="majorEastAsia" w:hAnsiTheme="majorEastAsia" w:eastAsiaTheme="majorEastAsia"/>
          <w:color w:val="auto"/>
          <w:kern w:val="2"/>
          <w:sz w:val="24"/>
          <w:szCs w:val="24"/>
          <w:highlight w:val="none"/>
        </w:rPr>
      </w:pPr>
    </w:p>
    <w:p>
      <w:pPr>
        <w:pStyle w:val="5"/>
        <w:rPr>
          <w:rFonts w:asciiTheme="majorEastAsia" w:hAnsiTheme="majorEastAsia" w:eastAsiaTheme="majorEastAsia"/>
          <w:color w:val="auto"/>
          <w:highlight w:val="none"/>
        </w:rPr>
      </w:pPr>
      <w:bookmarkStart w:id="220" w:name="_Toc519111264"/>
      <w:bookmarkStart w:id="221" w:name="_Toc16681"/>
      <w:r>
        <w:rPr>
          <w:rFonts w:hint="eastAsia" w:asciiTheme="majorEastAsia" w:hAnsiTheme="majorEastAsia" w:eastAsiaTheme="majorEastAsia"/>
          <w:color w:val="auto"/>
          <w:highlight w:val="none"/>
        </w:rPr>
        <w:t>五、投标文件的递交</w:t>
      </w:r>
      <w:bookmarkEnd w:id="220"/>
      <w:bookmarkEnd w:id="221"/>
    </w:p>
    <w:p>
      <w:pPr>
        <w:pStyle w:val="51"/>
        <w:spacing w:line="360" w:lineRule="auto"/>
        <w:outlineLvl w:val="1"/>
        <w:rPr>
          <w:rFonts w:asciiTheme="majorEastAsia" w:hAnsiTheme="majorEastAsia" w:eastAsiaTheme="majorEastAsia"/>
          <w:b/>
          <w:color w:val="auto"/>
          <w:kern w:val="2"/>
          <w:sz w:val="24"/>
          <w:szCs w:val="24"/>
          <w:highlight w:val="none"/>
        </w:rPr>
      </w:pPr>
      <w:bookmarkStart w:id="222" w:name="_Toc12109"/>
      <w:r>
        <w:rPr>
          <w:rFonts w:hint="eastAsia" w:asciiTheme="majorEastAsia" w:hAnsiTheme="majorEastAsia" w:eastAsiaTheme="majorEastAsia"/>
          <w:b/>
          <w:color w:val="auto"/>
          <w:kern w:val="2"/>
          <w:sz w:val="24"/>
          <w:szCs w:val="24"/>
          <w:highlight w:val="none"/>
        </w:rPr>
        <w:t>17.投标文件的密封和标记</w:t>
      </w:r>
      <w:bookmarkEnd w:id="222"/>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17.1投标人应通过电子投标文件制作工具严格按招标文件要求制作投标文件，在投标截止时间前完成上传经过数盖章并加密的投标文件（加密和解密须用同一把数字证书）。投标人在投标截止时间前，可以对其所递交的投标文件进行修改并重新上传，但以投标截止时间前最后一次上传的投标文件为有效投标文件。</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投标截止时间以政采云中心交易平台显示的时间为准，逾期系统将自动关闭，未完成上传的投标文件视为逾期送达，将被拒绝。</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17.2未加密的电子投标文件光盘应封装在信封中。封口处加盖投标人公章，封皮上注明项目编号、包号、项目名称、投标人名称，并注明“未加密的电子投标文件”字样。</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投标人认为有必要提交的其他资料请于投标截止时间前一并提交。</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17.3如果投标人未按上述要求密封及加写标记，采购代理机构对投标文件的误投和提前启封概不负责。对由此造成提前开封的投标文件，采购代理机构有权予以拒绝，并退回投标人。</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17.4是否采用不见面开标方式详见投标人须知前附表，若本项目采用不见面开标，无需提供电子投标文件U盘、纸质投标文件。</w:t>
      </w:r>
    </w:p>
    <w:p>
      <w:pPr>
        <w:pStyle w:val="51"/>
        <w:spacing w:line="360" w:lineRule="auto"/>
        <w:outlineLvl w:val="1"/>
        <w:rPr>
          <w:rFonts w:asciiTheme="majorEastAsia" w:hAnsiTheme="majorEastAsia" w:eastAsiaTheme="majorEastAsia"/>
          <w:b/>
          <w:color w:val="auto"/>
          <w:kern w:val="2"/>
          <w:sz w:val="24"/>
          <w:szCs w:val="24"/>
          <w:highlight w:val="none"/>
        </w:rPr>
      </w:pPr>
      <w:bookmarkStart w:id="223" w:name="_Toc17971"/>
      <w:r>
        <w:rPr>
          <w:rFonts w:hint="eastAsia" w:asciiTheme="majorEastAsia" w:hAnsiTheme="majorEastAsia" w:eastAsiaTheme="majorEastAsia"/>
          <w:b/>
          <w:color w:val="auto"/>
          <w:kern w:val="2"/>
          <w:sz w:val="24"/>
          <w:szCs w:val="24"/>
          <w:highlight w:val="none"/>
        </w:rPr>
        <w:t>18.投标文件的递交</w:t>
      </w:r>
      <w:bookmarkEnd w:id="223"/>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18.1投标人应当在招标文件要求提交投标文件的截止时间前网上投标，并将未加密的电子投标文件光盘密封送达指定开标地点。</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18.2在招标文件要求提交投标文件的截止时间之后送达的投标文件，为无效投标文件，采购代理机构将拒绝接收。</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18.3是否采用不见面开标详见投标人须知前附表，若项目采用不见面开标。只需将加密电子投标文件在投标截止时间前通过</w:t>
      </w:r>
      <w:r>
        <w:rPr>
          <w:rFonts w:hint="eastAsia" w:asciiTheme="majorEastAsia" w:hAnsiTheme="majorEastAsia" w:eastAsiaTheme="majorEastAsia"/>
          <w:color w:val="auto"/>
          <w:kern w:val="2"/>
          <w:sz w:val="24"/>
          <w:szCs w:val="24"/>
          <w:highlight w:val="none"/>
        </w:rPr>
        <w:t>政采云</w:t>
      </w:r>
      <w:r>
        <w:rPr>
          <w:rFonts w:hint="eastAsia" w:cs="宋体" w:asciiTheme="majorEastAsia" w:hAnsiTheme="majorEastAsia" w:eastAsiaTheme="majorEastAsia"/>
          <w:color w:val="auto"/>
          <w:kern w:val="2"/>
          <w:sz w:val="24"/>
          <w:szCs w:val="24"/>
          <w:highlight w:val="none"/>
        </w:rPr>
        <w:t>平台上传完成。上传时必须得到电脑“上传成功”的确认回复后方为上传成功。逾期上传的或者未上传到平台的投标文件，采购人不予受理。</w:t>
      </w:r>
    </w:p>
    <w:p>
      <w:pPr>
        <w:pStyle w:val="51"/>
        <w:spacing w:line="360" w:lineRule="auto"/>
        <w:outlineLvl w:val="1"/>
        <w:rPr>
          <w:rFonts w:asciiTheme="majorEastAsia" w:hAnsiTheme="majorEastAsia" w:eastAsiaTheme="majorEastAsia"/>
          <w:b/>
          <w:color w:val="auto"/>
          <w:kern w:val="2"/>
          <w:sz w:val="24"/>
          <w:szCs w:val="24"/>
          <w:highlight w:val="none"/>
        </w:rPr>
      </w:pPr>
      <w:bookmarkStart w:id="224" w:name="_Toc20986"/>
      <w:r>
        <w:rPr>
          <w:rFonts w:hint="eastAsia" w:asciiTheme="majorEastAsia" w:hAnsiTheme="majorEastAsia" w:eastAsiaTheme="majorEastAsia"/>
          <w:b/>
          <w:color w:val="auto"/>
          <w:kern w:val="2"/>
          <w:sz w:val="24"/>
          <w:szCs w:val="24"/>
          <w:highlight w:val="none"/>
        </w:rPr>
        <w:t>19.投标文件的修改和撤回</w:t>
      </w:r>
      <w:bookmarkEnd w:id="224"/>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19</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1投标人在递交投标文件后，可以修改或撤回其投标，但这种修改和撤回，必须在规定的投标截止时间前。在投标截止时间后，投标人不得要求修改或撤回其投标文件。</w:t>
      </w:r>
    </w:p>
    <w:p>
      <w:pPr>
        <w:pStyle w:val="5"/>
        <w:rPr>
          <w:rFonts w:asciiTheme="majorEastAsia" w:hAnsiTheme="majorEastAsia" w:eastAsiaTheme="majorEastAsia"/>
          <w:color w:val="auto"/>
          <w:highlight w:val="none"/>
        </w:rPr>
      </w:pPr>
      <w:bookmarkStart w:id="225" w:name="EB5650e158602a4e7f8a34bed54c824b18"/>
      <w:bookmarkEnd w:id="225"/>
      <w:bookmarkStart w:id="226" w:name="EB3f995326edee48a69dd669cea377ec23"/>
      <w:bookmarkEnd w:id="226"/>
      <w:bookmarkStart w:id="227" w:name="EB7fb588e3cf564fc3b18ea5a32cf64de9"/>
      <w:bookmarkEnd w:id="227"/>
      <w:bookmarkStart w:id="228" w:name="_Toc519111265"/>
      <w:bookmarkStart w:id="229" w:name="_Toc8171"/>
      <w:r>
        <w:rPr>
          <w:rFonts w:hint="eastAsia" w:asciiTheme="majorEastAsia" w:hAnsiTheme="majorEastAsia" w:eastAsiaTheme="majorEastAsia"/>
          <w:color w:val="auto"/>
          <w:highlight w:val="none"/>
        </w:rPr>
        <w:t>六、开标</w:t>
      </w:r>
      <w:bookmarkEnd w:id="228"/>
      <w:bookmarkEnd w:id="229"/>
    </w:p>
    <w:p>
      <w:pPr>
        <w:pStyle w:val="51"/>
        <w:spacing w:line="360" w:lineRule="auto"/>
        <w:outlineLvl w:val="1"/>
        <w:rPr>
          <w:rFonts w:asciiTheme="majorEastAsia" w:hAnsiTheme="majorEastAsia" w:eastAsiaTheme="majorEastAsia"/>
          <w:b/>
          <w:color w:val="auto"/>
          <w:kern w:val="2"/>
          <w:sz w:val="24"/>
          <w:szCs w:val="24"/>
          <w:highlight w:val="none"/>
        </w:rPr>
      </w:pPr>
      <w:bookmarkStart w:id="230" w:name="_Toc31288"/>
      <w:r>
        <w:rPr>
          <w:rFonts w:hint="eastAsia" w:asciiTheme="majorEastAsia" w:hAnsiTheme="majorEastAsia" w:eastAsiaTheme="majorEastAsia"/>
          <w:b/>
          <w:color w:val="auto"/>
          <w:kern w:val="2"/>
          <w:sz w:val="24"/>
          <w:szCs w:val="24"/>
          <w:highlight w:val="none"/>
        </w:rPr>
        <w:t>20.开标</w:t>
      </w:r>
      <w:bookmarkEnd w:id="230"/>
    </w:p>
    <w:p>
      <w:pPr>
        <w:pStyle w:val="51"/>
        <w:spacing w:line="360" w:lineRule="auto"/>
        <w:rPr>
          <w:rFonts w:asciiTheme="majorEastAsia" w:hAnsiTheme="majorEastAsia" w:eastAsiaTheme="majorEastAsia"/>
          <w:b/>
          <w:color w:val="auto"/>
          <w:kern w:val="2"/>
          <w:sz w:val="24"/>
          <w:szCs w:val="24"/>
          <w:highlight w:val="none"/>
        </w:rPr>
      </w:pPr>
      <w:r>
        <w:rPr>
          <w:rFonts w:hint="eastAsia" w:asciiTheme="majorEastAsia" w:hAnsiTheme="majorEastAsia" w:eastAsiaTheme="majorEastAsia"/>
          <w:b/>
          <w:color w:val="auto"/>
          <w:kern w:val="2"/>
          <w:sz w:val="24"/>
          <w:szCs w:val="24"/>
          <w:highlight w:val="none"/>
        </w:rPr>
        <w:t>A．采用见面开标方式</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20.1采购代理机构按照招标文件规定的时间、地点主持开标。投标人法定代表人或授权代理人应携带身份证明、电子密钥（电子证书）、未加密的电子投标文件（用信封密封）及应当提交的其他资料参加开标并签到。</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20.2开标前，采购代理机构将会同监督人员或公证人员进行验标（检查网上招标系统正常与否，检查未加密的电子投标文件，检查投标人保证金交纳情况），确认无误后开标。开标时，各投标人应对本单位的加密的电子投标文件现场解密，采购代理机构工作人员在监督人员或公证人员监督下解密所有投标文件。</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因网上招标系统故障导致所有投标人均解密失败时，投标人使用未加密的电子投标文件进行开评标。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20.3开标时，采购代理机构将通过网上开标系统公布投标人名称、投标价格，以及采购代理机构认为合适的其它详细内容。投标人若有报价和优惠未被唱出，应在开标时及时声明或提请注意，否则采购代理机构对此不承担任何责任。</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20.4在评审结束前，未得到采购代理机构允许，投标人法定代表人或授权代理人不得离开开标现场。</w:t>
      </w:r>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231" w:name="_Toc5920"/>
      <w:r>
        <w:rPr>
          <w:rFonts w:hint="eastAsia" w:asciiTheme="majorEastAsia" w:hAnsiTheme="majorEastAsia" w:eastAsiaTheme="majorEastAsia"/>
          <w:color w:val="auto"/>
          <w:kern w:val="2"/>
          <w:sz w:val="24"/>
          <w:szCs w:val="24"/>
          <w:highlight w:val="none"/>
        </w:rPr>
        <w:t>20.5公证员对开标过程进行全程公证。</w:t>
      </w:r>
      <w:bookmarkEnd w:id="231"/>
    </w:p>
    <w:p>
      <w:pPr>
        <w:pStyle w:val="51"/>
        <w:spacing w:line="360" w:lineRule="auto"/>
        <w:outlineLvl w:val="3"/>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b/>
          <w:color w:val="auto"/>
          <w:kern w:val="2"/>
          <w:sz w:val="24"/>
          <w:szCs w:val="24"/>
          <w:highlight w:val="none"/>
        </w:rPr>
        <w:t>B．采用不见面开标方式</w:t>
      </w:r>
      <w:r>
        <w:rPr>
          <w:rFonts w:hint="eastAsia" w:cs="宋体" w:asciiTheme="majorEastAsia" w:hAnsiTheme="majorEastAsia" w:eastAsiaTheme="majorEastAsia"/>
          <w:color w:val="auto"/>
          <w:kern w:val="2"/>
          <w:sz w:val="24"/>
          <w:szCs w:val="24"/>
          <w:highlight w:val="none"/>
        </w:rPr>
        <w:t>（是否采用详见投标人须知前附表）</w:t>
      </w:r>
    </w:p>
    <w:p>
      <w:pPr>
        <w:pStyle w:val="51"/>
        <w:spacing w:line="360" w:lineRule="auto"/>
        <w:ind w:firstLine="480" w:firstLineChars="200"/>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招标人在规定的投标截止时间（开标时间）和投标人须知前附表规定的地点开标。投标人的法定代表人或其委托代理人无需到达开标现场，仅需在任意地点通过政采云不见面开标系统，使用CA密钥完成远程解密、提疑澄清、开标唱标、结果公布等交互环节。</w:t>
      </w:r>
    </w:p>
    <w:p>
      <w:pPr>
        <w:pStyle w:val="51"/>
        <w:spacing w:line="360" w:lineRule="auto"/>
        <w:ind w:firstLine="480" w:firstLineChars="200"/>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5"/>
        <w:rPr>
          <w:rFonts w:asciiTheme="majorEastAsia" w:hAnsiTheme="majorEastAsia" w:eastAsiaTheme="majorEastAsia"/>
          <w:color w:val="auto"/>
          <w:highlight w:val="none"/>
        </w:rPr>
      </w:pPr>
      <w:bookmarkStart w:id="232" w:name="EBb17281e08e8340a69177c9fa0288fc67"/>
      <w:bookmarkEnd w:id="232"/>
      <w:bookmarkStart w:id="233" w:name="EB7dadd93d7a564c2da135d1ee82c4ad27"/>
      <w:bookmarkEnd w:id="233"/>
      <w:bookmarkStart w:id="234" w:name="EBbad346b9331c4865878f88c26e7dfc68"/>
      <w:bookmarkEnd w:id="234"/>
      <w:bookmarkStart w:id="235" w:name="_Toc519111266"/>
      <w:bookmarkStart w:id="236" w:name="_Toc5227"/>
      <w:r>
        <w:rPr>
          <w:rFonts w:hint="eastAsia" w:asciiTheme="majorEastAsia" w:hAnsiTheme="majorEastAsia" w:eastAsiaTheme="majorEastAsia"/>
          <w:color w:val="auto"/>
          <w:highlight w:val="none"/>
        </w:rPr>
        <w:t>七、评标步骤和要求</w:t>
      </w:r>
      <w:bookmarkEnd w:id="235"/>
      <w:bookmarkEnd w:id="236"/>
    </w:p>
    <w:p>
      <w:pPr>
        <w:pStyle w:val="51"/>
        <w:spacing w:line="360" w:lineRule="auto"/>
        <w:outlineLvl w:val="1"/>
        <w:rPr>
          <w:rFonts w:asciiTheme="majorEastAsia" w:hAnsiTheme="majorEastAsia" w:eastAsiaTheme="majorEastAsia"/>
          <w:b/>
          <w:color w:val="auto"/>
          <w:kern w:val="2"/>
          <w:sz w:val="24"/>
          <w:szCs w:val="24"/>
          <w:highlight w:val="none"/>
        </w:rPr>
      </w:pPr>
      <w:bookmarkStart w:id="237" w:name="_Toc23090"/>
      <w:r>
        <w:rPr>
          <w:rFonts w:hint="eastAsia" w:asciiTheme="majorEastAsia" w:hAnsiTheme="majorEastAsia" w:eastAsiaTheme="majorEastAsia"/>
          <w:b/>
          <w:color w:val="auto"/>
          <w:kern w:val="2"/>
          <w:sz w:val="24"/>
          <w:szCs w:val="24"/>
          <w:highlight w:val="none"/>
        </w:rPr>
        <w:t>21.组建评标委员会</w:t>
      </w:r>
      <w:bookmarkEnd w:id="237"/>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21.1采购代理机构根据有关法律法规和本招标文件的规定，结合招标项目的特点组建评标委员会，对投标文件进行评估和比较。评标委员会由五人以上单数组成，其中经济、技术等方面的专家不少于三分之二。</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21.2参与过本项目的论证专家不得作为评标专家参加评标，采购人不得以专家身份参与评标。</w:t>
      </w:r>
    </w:p>
    <w:p>
      <w:pPr>
        <w:pStyle w:val="51"/>
        <w:spacing w:line="360" w:lineRule="auto"/>
        <w:outlineLvl w:val="1"/>
        <w:rPr>
          <w:rFonts w:asciiTheme="majorEastAsia" w:hAnsiTheme="majorEastAsia" w:eastAsiaTheme="majorEastAsia"/>
          <w:b/>
          <w:color w:val="auto"/>
          <w:kern w:val="2"/>
          <w:sz w:val="24"/>
          <w:szCs w:val="24"/>
          <w:highlight w:val="none"/>
        </w:rPr>
      </w:pPr>
      <w:bookmarkStart w:id="238" w:name="_Toc25301"/>
      <w:r>
        <w:rPr>
          <w:rFonts w:hint="eastAsia" w:asciiTheme="majorEastAsia" w:hAnsiTheme="majorEastAsia" w:eastAsiaTheme="majorEastAsia"/>
          <w:b/>
          <w:color w:val="auto"/>
          <w:kern w:val="2"/>
          <w:sz w:val="24"/>
          <w:szCs w:val="24"/>
          <w:highlight w:val="none"/>
        </w:rPr>
        <w:t>22、资格审查</w:t>
      </w:r>
      <w:bookmarkEnd w:id="238"/>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22.1公开招标采购项目开标结束后，采购人或者采购代理机构应当依法对投标人的资格进行审查。合格投标人不足3家的，不得评标。</w:t>
      </w:r>
    </w:p>
    <w:p>
      <w:pPr>
        <w:pStyle w:val="51"/>
        <w:spacing w:line="360" w:lineRule="auto"/>
        <w:outlineLvl w:val="1"/>
        <w:rPr>
          <w:rFonts w:asciiTheme="majorEastAsia" w:hAnsiTheme="majorEastAsia" w:eastAsiaTheme="majorEastAsia"/>
          <w:b/>
          <w:color w:val="auto"/>
          <w:kern w:val="2"/>
          <w:sz w:val="24"/>
          <w:szCs w:val="24"/>
          <w:highlight w:val="none"/>
        </w:rPr>
      </w:pPr>
      <w:bookmarkStart w:id="239" w:name="_Toc16949"/>
      <w:r>
        <w:rPr>
          <w:rFonts w:hint="eastAsia" w:asciiTheme="majorEastAsia" w:hAnsiTheme="majorEastAsia" w:eastAsiaTheme="majorEastAsia"/>
          <w:b/>
          <w:color w:val="auto"/>
          <w:kern w:val="2"/>
          <w:sz w:val="24"/>
          <w:szCs w:val="24"/>
          <w:highlight w:val="none"/>
        </w:rPr>
        <w:t>23.初步评审</w:t>
      </w:r>
      <w:bookmarkEnd w:id="239"/>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23.1评标委员会审查投标文件是否符合招标文件的基本要求：内容是否完整、资格证明文件是否合格、文件签署是否齐全、有无计算错误等。</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23.2★评标委员会审查投标文件是否实质上响应招标文件的要求。</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1）实质上响应的投标是指与招标文件上的条款、条件和规格相符，没有重大偏离或保留，否则将视为无效投标。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重大偏离或保留系指投标货物的质量、数量和交付日期等明显不能满足招标文件的要求，或者实质上与招标文件不一致，纠正这些偏离或保留将对其他实质上响应要求的投标人的竞争地位产生不公正的影响。包括但不限于：</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A、招标文件第二部分“投标人须知前附表”“投标文件组成”部分中，带“★”号部分的证明文件不全或无效的；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B、投标文件未按招标文件的规定签章的；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C、未按投标文件份数要求提交投标文件的；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D、招标文件带“★”号部分任意一款不满足要求的；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E、报价超过项目预算或经评标委员会认定低于成本的；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F、投标有效期不足的；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G、联合体投标文件未附联合体投标协议书的；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H、不符合招标文件中有关分包规定的；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I、有串通投标或弄虚作假或有其他违法行为的；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J、投标人递交的电子投标文件（加密电子投标文件和未加密电子投标文件）均无法满足正常开标、评标使用功能的；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K、投标人名称或组织结构与领取采购文件时不一致且无有效变更证明的；</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L、不符合招标文件中规定的其他实质性要求。</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23.3投标文件的细微偏差是指在实质上响应招标文件要求，但在个别地方存在漏项或者提供了不完整的技术信息和数据等情况，并且补正这些遗漏或者不完整，不会对其他投标人造成不公正的结果。细微偏差不影响投标文件的有效性。</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23.4★初步评审中，对明显的文字和计算错误按下述原则处理，若出现相互矛盾之处，应以排列在先的原则为准优先处理：</w:t>
      </w:r>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1）投标文件中的开标一览表与明细表内容不一致的，以开标一览表为准。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2）如果以文字表示的数据与数字表示的有差别，以文字为准修正数字。如果大写金额和小写金额不一致的，以大写金额为准；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3）如果单价乘以数量不等于总价，以单价为准修正总价，但单价金额小数点有明显错位的，应以总价为准，并修改单价。如果明细价格相加不等于汇总价格，以明细价格为准。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4）调整后的数据对投标人具有约束力，投标人不同意以上修正，其投标将被拒绝。</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23.5评标委员会对投标文件的判定，只依据投标文件内容本身，不依据其他外来证明。</w:t>
      </w:r>
    </w:p>
    <w:p>
      <w:pPr>
        <w:pStyle w:val="51"/>
        <w:spacing w:line="360" w:lineRule="auto"/>
        <w:outlineLvl w:val="1"/>
        <w:rPr>
          <w:rFonts w:asciiTheme="majorEastAsia" w:hAnsiTheme="majorEastAsia" w:eastAsiaTheme="majorEastAsia"/>
          <w:b/>
          <w:color w:val="auto"/>
          <w:kern w:val="2"/>
          <w:sz w:val="24"/>
          <w:szCs w:val="24"/>
          <w:highlight w:val="none"/>
        </w:rPr>
      </w:pPr>
      <w:bookmarkStart w:id="240" w:name="_Toc25261"/>
      <w:r>
        <w:rPr>
          <w:rFonts w:hint="eastAsia" w:asciiTheme="majorEastAsia" w:hAnsiTheme="majorEastAsia" w:eastAsiaTheme="majorEastAsia"/>
          <w:b/>
          <w:color w:val="auto"/>
          <w:kern w:val="2"/>
          <w:sz w:val="24"/>
          <w:szCs w:val="24"/>
          <w:highlight w:val="none"/>
        </w:rPr>
        <w:t>24.投标的澄清</w:t>
      </w:r>
      <w:bookmarkEnd w:id="240"/>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24.1评标委员会有权要求投标人对投标文件中含义不明确、对同类问题表述不一致或者有明显文字和计算错误等内容作必要的澄清、说明或者补正。该要求应当采用书面形式，并由评标委员会成员签字。评标委员会不接受投标人主动提出的澄清、说明或者补正。</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24.2★投标人必须按照评标委员会通知的内容和时间做出书面答复，该答复经法定代表人或授权代理人的盖章或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24.3★如评标委员会一致认为某个投标人的报价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51"/>
        <w:spacing w:line="360" w:lineRule="auto"/>
        <w:outlineLvl w:val="1"/>
        <w:rPr>
          <w:rFonts w:asciiTheme="majorEastAsia" w:hAnsiTheme="majorEastAsia" w:eastAsiaTheme="majorEastAsia"/>
          <w:b/>
          <w:color w:val="auto"/>
          <w:kern w:val="2"/>
          <w:sz w:val="24"/>
          <w:szCs w:val="24"/>
          <w:highlight w:val="none"/>
        </w:rPr>
      </w:pPr>
      <w:bookmarkStart w:id="241" w:name="_Toc1579"/>
      <w:r>
        <w:rPr>
          <w:rFonts w:hint="eastAsia" w:asciiTheme="majorEastAsia" w:hAnsiTheme="majorEastAsia" w:eastAsiaTheme="majorEastAsia"/>
          <w:b/>
          <w:color w:val="auto"/>
          <w:kern w:val="2"/>
          <w:sz w:val="24"/>
          <w:szCs w:val="24"/>
          <w:highlight w:val="none"/>
        </w:rPr>
        <w:t>25.详细评审</w:t>
      </w:r>
      <w:bookmarkEnd w:id="241"/>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25.1评标委员会只对实质上响应招标文件的投标进行评价和比较；评审应严格按照招标文件第二部分“投标人须知前附表”中的规定以及招标文件的要求进行。具体要求等详见招标文件第五部分“评审方法”。</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Style w:val="51"/>
        <w:spacing w:line="360" w:lineRule="auto"/>
        <w:outlineLvl w:val="1"/>
        <w:rPr>
          <w:rFonts w:asciiTheme="majorEastAsia" w:hAnsiTheme="majorEastAsia" w:eastAsiaTheme="majorEastAsia"/>
          <w:b/>
          <w:color w:val="auto"/>
          <w:kern w:val="2"/>
          <w:sz w:val="24"/>
          <w:szCs w:val="24"/>
          <w:highlight w:val="none"/>
        </w:rPr>
      </w:pPr>
      <w:bookmarkStart w:id="242" w:name="_Toc2797"/>
      <w:r>
        <w:rPr>
          <w:rFonts w:hint="eastAsia" w:asciiTheme="majorEastAsia" w:hAnsiTheme="majorEastAsia" w:eastAsiaTheme="majorEastAsia"/>
          <w:b/>
          <w:color w:val="auto"/>
          <w:kern w:val="2"/>
          <w:sz w:val="24"/>
          <w:szCs w:val="24"/>
          <w:highlight w:val="none"/>
        </w:rPr>
        <w:t>26.确定中标人</w:t>
      </w:r>
      <w:bookmarkEnd w:id="242"/>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26.1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26.2如一个分包内包含多种产品的，采购人可以在招标文件中载明核心产品，投标人提供的核心产品中只要有1个核心产品的品牌相同，相关投标人将被认定为属于提供相同品牌产品，按第26.1条规定处理。</w:t>
      </w:r>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243" w:name="_Toc29989"/>
      <w:r>
        <w:rPr>
          <w:rFonts w:hint="eastAsia" w:asciiTheme="majorEastAsia" w:hAnsiTheme="majorEastAsia" w:eastAsiaTheme="majorEastAsia"/>
          <w:color w:val="auto"/>
          <w:kern w:val="2"/>
          <w:sz w:val="24"/>
          <w:szCs w:val="24"/>
          <w:highlight w:val="none"/>
        </w:rPr>
        <w:t>26.3 评标委员会根据评审结果及招标文件的规定确定中标人。</w:t>
      </w:r>
      <w:bookmarkEnd w:id="243"/>
    </w:p>
    <w:p>
      <w:pPr>
        <w:pStyle w:val="51"/>
        <w:spacing w:line="360" w:lineRule="auto"/>
        <w:outlineLvl w:val="1"/>
        <w:rPr>
          <w:rFonts w:asciiTheme="majorEastAsia" w:hAnsiTheme="majorEastAsia" w:eastAsiaTheme="majorEastAsia"/>
          <w:b/>
          <w:color w:val="auto"/>
          <w:kern w:val="2"/>
          <w:sz w:val="24"/>
          <w:szCs w:val="24"/>
          <w:highlight w:val="none"/>
        </w:rPr>
      </w:pPr>
      <w:bookmarkStart w:id="244" w:name="_Toc14966"/>
      <w:r>
        <w:rPr>
          <w:rFonts w:hint="eastAsia" w:asciiTheme="majorEastAsia" w:hAnsiTheme="majorEastAsia" w:eastAsiaTheme="majorEastAsia"/>
          <w:b/>
          <w:color w:val="auto"/>
          <w:kern w:val="2"/>
          <w:sz w:val="24"/>
          <w:szCs w:val="24"/>
          <w:highlight w:val="none"/>
        </w:rPr>
        <w:t>27.评标过程要求</w:t>
      </w:r>
      <w:bookmarkEnd w:id="244"/>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27.1开标之后，直到签订合同止，凡是属于审查、澄清、评价和比较投标的有关资料以及定标意向等，均不向投标人或者其他与评标无关的人员透露。</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27.2在确定中标人之前，投标人试图在投标文件审查、澄清、比较和评标时对评标委员会、采购人和采购代理机构施加任何影响都可能导致其投标无效。</w:t>
      </w:r>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245" w:name="_Toc22085"/>
      <w:r>
        <w:rPr>
          <w:rFonts w:hint="eastAsia" w:asciiTheme="majorEastAsia" w:hAnsiTheme="majorEastAsia" w:eastAsiaTheme="majorEastAsia"/>
          <w:color w:val="auto"/>
          <w:kern w:val="2"/>
          <w:sz w:val="24"/>
          <w:szCs w:val="24"/>
          <w:highlight w:val="none"/>
        </w:rPr>
        <w:t>27.3电子招投标的应急措施</w:t>
      </w:r>
      <w:bookmarkEnd w:id="245"/>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27.3.1电子开标、评标如出现下列原因，导致系统无法正常运行或无法正常评标时，应采取应急措施。</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w:t>
      </w:r>
      <w:r>
        <w:rPr>
          <w:rFonts w:asciiTheme="majorEastAsia" w:hAnsiTheme="majorEastAsia" w:eastAsiaTheme="majorEastAsia"/>
          <w:color w:val="auto"/>
          <w:kern w:val="2"/>
          <w:sz w:val="24"/>
          <w:szCs w:val="24"/>
          <w:highlight w:val="none"/>
        </w:rPr>
        <w:t>1</w:t>
      </w:r>
      <w:r>
        <w:rPr>
          <w:rFonts w:hint="eastAsia" w:asciiTheme="majorEastAsia" w:hAnsiTheme="majorEastAsia" w:eastAsiaTheme="majorEastAsia"/>
          <w:color w:val="auto"/>
          <w:kern w:val="2"/>
          <w:sz w:val="24"/>
          <w:szCs w:val="24"/>
          <w:highlight w:val="none"/>
        </w:rPr>
        <w:t>）系统服务器发生故障，无法访问或无法使用系统；</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w:t>
      </w:r>
      <w:r>
        <w:rPr>
          <w:rFonts w:asciiTheme="majorEastAsia" w:hAnsiTheme="majorEastAsia" w:eastAsiaTheme="majorEastAsia"/>
          <w:color w:val="auto"/>
          <w:kern w:val="2"/>
          <w:sz w:val="24"/>
          <w:szCs w:val="24"/>
          <w:highlight w:val="none"/>
        </w:rPr>
        <w:t>2</w:t>
      </w:r>
      <w:r>
        <w:rPr>
          <w:rFonts w:hint="eastAsia" w:asciiTheme="majorEastAsia" w:hAnsiTheme="majorEastAsia" w:eastAsiaTheme="majorEastAsia"/>
          <w:color w:val="auto"/>
          <w:kern w:val="2"/>
          <w:sz w:val="24"/>
          <w:szCs w:val="24"/>
          <w:highlight w:val="none"/>
        </w:rPr>
        <w:t>）系统的软件或数据库出现错误，不能进行正常操作；</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w:t>
      </w:r>
      <w:r>
        <w:rPr>
          <w:rFonts w:asciiTheme="majorEastAsia" w:hAnsiTheme="majorEastAsia" w:eastAsiaTheme="majorEastAsia"/>
          <w:color w:val="auto"/>
          <w:kern w:val="2"/>
          <w:sz w:val="24"/>
          <w:szCs w:val="24"/>
          <w:highlight w:val="none"/>
        </w:rPr>
        <w:t>3</w:t>
      </w:r>
      <w:r>
        <w:rPr>
          <w:rFonts w:hint="eastAsia" w:asciiTheme="majorEastAsia" w:hAnsiTheme="majorEastAsia" w:eastAsiaTheme="majorEastAsia"/>
          <w:color w:val="auto"/>
          <w:kern w:val="2"/>
          <w:sz w:val="24"/>
          <w:szCs w:val="24"/>
          <w:highlight w:val="none"/>
        </w:rPr>
        <w:t>）系统发现有安全漏洞，有潜在的泄密危险；</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w:t>
      </w:r>
      <w:r>
        <w:rPr>
          <w:rFonts w:asciiTheme="majorEastAsia" w:hAnsiTheme="majorEastAsia" w:eastAsiaTheme="majorEastAsia"/>
          <w:color w:val="auto"/>
          <w:kern w:val="2"/>
          <w:sz w:val="24"/>
          <w:szCs w:val="24"/>
          <w:highlight w:val="none"/>
        </w:rPr>
        <w:t>4</w:t>
      </w:r>
      <w:r>
        <w:rPr>
          <w:rFonts w:hint="eastAsia" w:asciiTheme="majorEastAsia" w:hAnsiTheme="majorEastAsia" w:eastAsiaTheme="majorEastAsia"/>
          <w:color w:val="auto"/>
          <w:kern w:val="2"/>
          <w:sz w:val="24"/>
          <w:szCs w:val="24"/>
          <w:highlight w:val="none"/>
        </w:rPr>
        <w:t>）病毒发作或受到外来病毒的攻击；</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（5）出现其他不可抗拒的客观原因造成开评标系统无法正常使用。</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出现上述情况时，应对未开标的暂停开标。已在系统内开标、评标的立即停止。采取应急措施时，必须对原有资料及信息作出妥善保密处理。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27.3.2因系统原因导致投标人均无法解密电子投标文件时，采购代理机构可在开标现场直接导入投标人在投标截止时间前递交的未加密的电子投标文件进行开标、评标。</w:t>
      </w:r>
    </w:p>
    <w:p>
      <w:pPr>
        <w:pStyle w:val="51"/>
        <w:spacing w:line="360" w:lineRule="auto"/>
        <w:outlineLvl w:val="1"/>
        <w:rPr>
          <w:rFonts w:asciiTheme="majorEastAsia" w:hAnsiTheme="majorEastAsia" w:eastAsiaTheme="majorEastAsia"/>
          <w:b/>
          <w:color w:val="auto"/>
          <w:kern w:val="2"/>
          <w:sz w:val="24"/>
          <w:szCs w:val="24"/>
          <w:highlight w:val="none"/>
        </w:rPr>
      </w:pPr>
      <w:bookmarkStart w:id="246" w:name="_Toc6274"/>
      <w:r>
        <w:rPr>
          <w:rFonts w:hint="eastAsia" w:asciiTheme="majorEastAsia" w:hAnsiTheme="majorEastAsia" w:eastAsiaTheme="majorEastAsia"/>
          <w:b/>
          <w:color w:val="auto"/>
          <w:kern w:val="2"/>
          <w:sz w:val="24"/>
          <w:szCs w:val="24"/>
          <w:highlight w:val="none"/>
        </w:rPr>
        <w:t>28.投标人瑕疵滞后发现的处理规则</w:t>
      </w:r>
      <w:bookmarkEnd w:id="246"/>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28.1无论基于何种原因，各项本应作拒绝处理的情形即便未被及时发现而使该投标人进入初审、综合评审或其他后续程序，包括已经签订合同的情形，一旦投标人被拒绝或该投标人的此前评议结果被取消，其现有的位置将被其他投标人依序替代，相关的一切损失均由该投标人承担。</w:t>
      </w:r>
    </w:p>
    <w:p>
      <w:pPr>
        <w:pStyle w:val="51"/>
        <w:spacing w:line="360" w:lineRule="auto"/>
        <w:outlineLvl w:val="1"/>
        <w:rPr>
          <w:rFonts w:asciiTheme="majorEastAsia" w:hAnsiTheme="majorEastAsia" w:eastAsiaTheme="majorEastAsia"/>
          <w:b/>
          <w:color w:val="auto"/>
          <w:kern w:val="2"/>
          <w:sz w:val="24"/>
          <w:szCs w:val="24"/>
          <w:highlight w:val="none"/>
        </w:rPr>
      </w:pPr>
      <w:bookmarkStart w:id="247" w:name="_Toc17913"/>
      <w:r>
        <w:rPr>
          <w:rFonts w:hint="eastAsia" w:asciiTheme="majorEastAsia" w:hAnsiTheme="majorEastAsia" w:eastAsiaTheme="majorEastAsia"/>
          <w:b/>
          <w:color w:val="auto"/>
          <w:kern w:val="2"/>
          <w:sz w:val="24"/>
          <w:szCs w:val="24"/>
          <w:highlight w:val="none"/>
        </w:rPr>
        <w:t>29.采购项目废标</w:t>
      </w:r>
      <w:bookmarkEnd w:id="247"/>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29.1★在评标过程中，评标委员会发现有下列情形之一的，应对采购项目予以废标：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asciiTheme="majorEastAsia" w:hAnsiTheme="majorEastAsia" w:eastAsiaTheme="majorEastAsia"/>
          <w:color w:val="auto"/>
          <w:kern w:val="2"/>
          <w:sz w:val="24"/>
          <w:szCs w:val="24"/>
          <w:highlight w:val="none"/>
        </w:rPr>
        <w:t>1</w:t>
      </w:r>
      <w:r>
        <w:rPr>
          <w:rFonts w:hint="eastAsia" w:asciiTheme="majorEastAsia" w:hAnsiTheme="majorEastAsia" w:eastAsiaTheme="majorEastAsia"/>
          <w:color w:val="auto"/>
          <w:kern w:val="2"/>
          <w:sz w:val="24"/>
          <w:szCs w:val="24"/>
          <w:highlight w:val="none"/>
        </w:rPr>
        <w:t>）符合专业条件的供应商或者对招标文件作实质响应的供应商数量不足，导致进入详细评审、打分阶段的供应商不足3家的；</w:t>
      </w:r>
    </w:p>
    <w:p>
      <w:pPr>
        <w:pStyle w:val="51"/>
        <w:spacing w:line="360" w:lineRule="auto"/>
        <w:ind w:left="479" w:leftChars="228"/>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2）投标人的报价均超过了采购预算；</w:t>
      </w:r>
    </w:p>
    <w:p>
      <w:pPr>
        <w:pStyle w:val="51"/>
        <w:spacing w:line="360" w:lineRule="auto"/>
        <w:ind w:left="479" w:leftChars="228"/>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3）出现影响采购公正的违法、违规行为的；</w:t>
      </w:r>
    </w:p>
    <w:p>
      <w:pPr>
        <w:pStyle w:val="51"/>
        <w:spacing w:line="360" w:lineRule="auto"/>
        <w:ind w:left="479" w:leftChars="228"/>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4）因重大变故，采购任务取消的。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asciiTheme="majorEastAsia" w:hAnsiTheme="majorEastAsia" w:eastAsiaTheme="majorEastAsia"/>
          <w:color w:val="auto"/>
          <w:kern w:val="2"/>
          <w:sz w:val="24"/>
          <w:szCs w:val="24"/>
          <w:highlight w:val="none"/>
        </w:rPr>
        <w:t>29.2</w:t>
      </w:r>
      <w:r>
        <w:rPr>
          <w:rFonts w:hint="eastAsia" w:asciiTheme="majorEastAsia" w:hAnsiTheme="majorEastAsia" w:eastAsiaTheme="majorEastAsia"/>
          <w:color w:val="auto"/>
          <w:kern w:val="2"/>
          <w:sz w:val="24"/>
          <w:szCs w:val="24"/>
          <w:highlight w:val="none"/>
        </w:rPr>
        <w:t>★</w:t>
      </w:r>
      <w:r>
        <w:rPr>
          <w:rFonts w:asciiTheme="majorEastAsia" w:hAnsiTheme="majorEastAsia" w:eastAsiaTheme="majorEastAsia"/>
          <w:color w:val="auto"/>
          <w:kern w:val="2"/>
          <w:sz w:val="24"/>
          <w:szCs w:val="24"/>
          <w:highlight w:val="none"/>
        </w:rPr>
        <w:t>投标人存在下列情况之一的,投标无效；</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(一)</w:t>
      </w:r>
      <w:r>
        <w:rPr>
          <w:rFonts w:asciiTheme="majorEastAsia" w:hAnsiTheme="majorEastAsia" w:eastAsiaTheme="majorEastAsia"/>
          <w:color w:val="auto"/>
          <w:kern w:val="2"/>
          <w:sz w:val="24"/>
          <w:szCs w:val="24"/>
          <w:highlight w:val="none"/>
        </w:rPr>
        <w:t>未按照招标文件的规定提交投标保证金的</w:t>
      </w:r>
      <w:r>
        <w:rPr>
          <w:rFonts w:hint="eastAsia" w:asciiTheme="majorEastAsia" w:hAnsiTheme="majorEastAsia" w:eastAsiaTheme="majorEastAsia"/>
          <w:color w:val="auto"/>
          <w:kern w:val="2"/>
          <w:sz w:val="24"/>
          <w:szCs w:val="24"/>
          <w:highlight w:val="none"/>
        </w:rPr>
        <w:t>；</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(二)</w:t>
      </w:r>
      <w:r>
        <w:rPr>
          <w:rFonts w:asciiTheme="majorEastAsia" w:hAnsiTheme="majorEastAsia" w:eastAsiaTheme="majorEastAsia"/>
          <w:color w:val="auto"/>
          <w:kern w:val="2"/>
          <w:sz w:val="24"/>
          <w:szCs w:val="24"/>
          <w:highlight w:val="none"/>
        </w:rPr>
        <w:t>投标文件未按招标文件要求盖章</w:t>
      </w:r>
      <w:r>
        <w:rPr>
          <w:rFonts w:hint="eastAsia" w:asciiTheme="majorEastAsia" w:hAnsiTheme="majorEastAsia" w:eastAsiaTheme="majorEastAsia"/>
          <w:color w:val="auto"/>
          <w:kern w:val="2"/>
          <w:sz w:val="24"/>
          <w:szCs w:val="24"/>
          <w:highlight w:val="none"/>
        </w:rPr>
        <w:t>或签字</w:t>
      </w:r>
      <w:r>
        <w:rPr>
          <w:rFonts w:asciiTheme="majorEastAsia" w:hAnsiTheme="majorEastAsia" w:eastAsiaTheme="majorEastAsia"/>
          <w:color w:val="auto"/>
          <w:kern w:val="2"/>
          <w:sz w:val="24"/>
          <w:szCs w:val="24"/>
          <w:highlight w:val="none"/>
        </w:rPr>
        <w:t>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asciiTheme="majorEastAsia" w:hAnsiTheme="majorEastAsia" w:eastAsiaTheme="majorEastAsia"/>
          <w:color w:val="auto"/>
          <w:kern w:val="2"/>
          <w:sz w:val="24"/>
          <w:szCs w:val="24"/>
          <w:highlight w:val="none"/>
        </w:rPr>
        <w:t>(三)不具备招标文件中规定的资格要求的；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asciiTheme="majorEastAsia" w:hAnsiTheme="majorEastAsia" w:eastAsiaTheme="majorEastAsia"/>
          <w:color w:val="auto"/>
          <w:kern w:val="2"/>
          <w:sz w:val="24"/>
          <w:szCs w:val="24"/>
          <w:highlight w:val="none"/>
        </w:rPr>
        <w:t>(四)报价超过招标文件中规定的预算金额或者最高限价的；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asciiTheme="majorEastAsia" w:hAnsiTheme="majorEastAsia" w:eastAsiaTheme="majorEastAsia"/>
          <w:color w:val="auto"/>
          <w:kern w:val="2"/>
          <w:sz w:val="24"/>
          <w:szCs w:val="24"/>
          <w:highlight w:val="none"/>
        </w:rPr>
        <w:t>(五)投标文件含有采购人不能接受的附加条件的；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asciiTheme="majorEastAsia" w:hAnsiTheme="majorEastAsia" w:eastAsiaTheme="majorEastAsia"/>
          <w:color w:val="auto"/>
          <w:kern w:val="2"/>
          <w:sz w:val="24"/>
          <w:szCs w:val="24"/>
          <w:highlight w:val="none"/>
        </w:rPr>
        <w:t>(六)法律、法规和招标文件规定的其他无效情形；</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七</w:t>
      </w:r>
      <w:r>
        <w:rPr>
          <w:rFonts w:asciiTheme="majorEastAsia" w:hAnsiTheme="majorEastAsia" w:eastAsiaTheme="majorEastAsia"/>
          <w:color w:val="auto"/>
          <w:kern w:val="2"/>
          <w:sz w:val="24"/>
          <w:szCs w:val="24"/>
          <w:highlight w:val="none"/>
        </w:rPr>
        <w:t>)本项目不接受选择性报价，对于出现的政采云平台开标唱标环节经投标供应商确认的投标报价与投标文件中开标一览表的报价不一致的现象，视作选择性报价，将被作为无效投标处理。</w:t>
      </w:r>
    </w:p>
    <w:p>
      <w:pPr>
        <w:pStyle w:val="5"/>
        <w:rPr>
          <w:rFonts w:asciiTheme="majorEastAsia" w:hAnsiTheme="majorEastAsia" w:eastAsiaTheme="majorEastAsia"/>
          <w:color w:val="auto"/>
          <w:highlight w:val="none"/>
        </w:rPr>
      </w:pPr>
      <w:bookmarkStart w:id="248" w:name="_Toc382"/>
      <w:bookmarkStart w:id="249" w:name="_Toc519111267"/>
      <w:r>
        <w:rPr>
          <w:rFonts w:hint="eastAsia" w:asciiTheme="majorEastAsia" w:hAnsiTheme="majorEastAsia" w:eastAsiaTheme="majorEastAsia"/>
          <w:color w:val="auto"/>
          <w:highlight w:val="none"/>
        </w:rPr>
        <w:t>八、履约保证金</w:t>
      </w:r>
      <w:bookmarkEnd w:id="248"/>
      <w:bookmarkEnd w:id="249"/>
    </w:p>
    <w:p>
      <w:pPr>
        <w:pStyle w:val="51"/>
        <w:spacing w:line="360" w:lineRule="auto"/>
        <w:outlineLvl w:val="1"/>
        <w:rPr>
          <w:rFonts w:asciiTheme="majorEastAsia" w:hAnsiTheme="majorEastAsia" w:eastAsiaTheme="majorEastAsia"/>
          <w:b/>
          <w:color w:val="auto"/>
          <w:kern w:val="2"/>
          <w:sz w:val="24"/>
          <w:szCs w:val="24"/>
          <w:highlight w:val="none"/>
        </w:rPr>
      </w:pPr>
      <w:bookmarkStart w:id="250" w:name="_Toc25062"/>
      <w:r>
        <w:rPr>
          <w:rFonts w:hint="eastAsia" w:asciiTheme="majorEastAsia" w:hAnsiTheme="majorEastAsia" w:eastAsiaTheme="majorEastAsia"/>
          <w:b/>
          <w:color w:val="auto"/>
          <w:kern w:val="2"/>
          <w:sz w:val="24"/>
          <w:szCs w:val="24"/>
          <w:highlight w:val="none"/>
        </w:rPr>
        <w:t>30.履约保证金</w:t>
      </w:r>
      <w:bookmarkEnd w:id="250"/>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30.1履约保证金按照招标文件第二部分“投标人须知前附表”中规定，在签订合同前交纳。</w:t>
      </w:r>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251" w:name="_Toc11190"/>
      <w:r>
        <w:rPr>
          <w:rFonts w:hint="eastAsia" w:asciiTheme="majorEastAsia" w:hAnsiTheme="majorEastAsia" w:eastAsiaTheme="majorEastAsia"/>
          <w:color w:val="auto"/>
          <w:kern w:val="2"/>
          <w:sz w:val="24"/>
          <w:szCs w:val="24"/>
          <w:highlight w:val="none"/>
        </w:rPr>
        <w:t>30.2中标人在中标公告发布后及时足额交纳履约保证金。</w:t>
      </w:r>
      <w:bookmarkEnd w:id="251"/>
    </w:p>
    <w:p>
      <w:pPr>
        <w:pStyle w:val="5"/>
        <w:rPr>
          <w:rFonts w:asciiTheme="majorEastAsia" w:hAnsiTheme="majorEastAsia" w:eastAsiaTheme="majorEastAsia"/>
          <w:color w:val="auto"/>
          <w:highlight w:val="none"/>
        </w:rPr>
      </w:pPr>
      <w:bookmarkStart w:id="252" w:name="EB7370d285b276481f868774732930cd2f"/>
      <w:bookmarkEnd w:id="252"/>
      <w:bookmarkStart w:id="253" w:name="EB083471dead2545f9b38e3247d415dd16"/>
      <w:bookmarkEnd w:id="253"/>
      <w:bookmarkStart w:id="254" w:name="EBfdb2486223e74b778d63b1ded8d27ae7"/>
      <w:bookmarkEnd w:id="254"/>
      <w:bookmarkStart w:id="255" w:name="_Toc519111268"/>
      <w:bookmarkStart w:id="256" w:name="_Toc24927"/>
      <w:r>
        <w:rPr>
          <w:rFonts w:hint="eastAsia" w:asciiTheme="majorEastAsia" w:hAnsiTheme="majorEastAsia" w:eastAsiaTheme="majorEastAsia"/>
          <w:color w:val="auto"/>
          <w:highlight w:val="none"/>
        </w:rPr>
        <w:t>九、代理服务费</w:t>
      </w:r>
      <w:bookmarkEnd w:id="255"/>
      <w:bookmarkEnd w:id="256"/>
    </w:p>
    <w:p>
      <w:pPr>
        <w:pStyle w:val="51"/>
        <w:spacing w:line="360" w:lineRule="auto"/>
        <w:outlineLvl w:val="1"/>
        <w:rPr>
          <w:rFonts w:asciiTheme="majorEastAsia" w:hAnsiTheme="majorEastAsia" w:eastAsiaTheme="majorEastAsia"/>
          <w:b/>
          <w:color w:val="auto"/>
          <w:kern w:val="2"/>
          <w:sz w:val="24"/>
          <w:szCs w:val="24"/>
          <w:highlight w:val="none"/>
        </w:rPr>
      </w:pPr>
      <w:bookmarkStart w:id="257" w:name="_Toc19078"/>
      <w:r>
        <w:rPr>
          <w:rFonts w:hint="eastAsia" w:asciiTheme="majorEastAsia" w:hAnsiTheme="majorEastAsia" w:eastAsiaTheme="majorEastAsia"/>
          <w:b/>
          <w:color w:val="auto"/>
          <w:kern w:val="2"/>
          <w:sz w:val="24"/>
          <w:szCs w:val="24"/>
          <w:highlight w:val="none"/>
        </w:rPr>
        <w:t>31.代理服务费</w:t>
      </w:r>
      <w:bookmarkEnd w:id="257"/>
    </w:p>
    <w:p>
      <w:pPr>
        <w:pStyle w:val="51"/>
        <w:spacing w:line="360" w:lineRule="auto"/>
        <w:ind w:firstLine="470" w:firstLineChars="196"/>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31.1代理服务费按照招标文件第二部分“投标人须知前附表”中的规定由中标人交纳，请投标人在测算投标报价时充分考虑这一因素。</w:t>
      </w:r>
    </w:p>
    <w:p>
      <w:pPr>
        <w:pStyle w:val="5"/>
        <w:rPr>
          <w:rFonts w:asciiTheme="majorEastAsia" w:hAnsiTheme="majorEastAsia" w:eastAsiaTheme="majorEastAsia"/>
          <w:color w:val="auto"/>
          <w:highlight w:val="none"/>
        </w:rPr>
      </w:pPr>
      <w:bookmarkStart w:id="258" w:name="EBb901cf6a467447d89fdcb9a3592c3316"/>
      <w:bookmarkEnd w:id="258"/>
      <w:bookmarkStart w:id="259" w:name="EB64a5eae5d1724deb9b4016535e600205"/>
      <w:bookmarkEnd w:id="259"/>
      <w:bookmarkStart w:id="260" w:name="EB6c955fb4b23e43e88b338064273e7dcf"/>
      <w:bookmarkEnd w:id="260"/>
      <w:bookmarkStart w:id="261" w:name="_Toc26204"/>
      <w:bookmarkStart w:id="262" w:name="_Toc519111269"/>
      <w:r>
        <w:rPr>
          <w:rFonts w:hint="eastAsia" w:asciiTheme="majorEastAsia" w:hAnsiTheme="majorEastAsia" w:eastAsiaTheme="majorEastAsia"/>
          <w:color w:val="auto"/>
          <w:highlight w:val="none"/>
        </w:rPr>
        <w:t>十、签订、审核合同</w:t>
      </w:r>
      <w:bookmarkEnd w:id="261"/>
      <w:bookmarkEnd w:id="262"/>
    </w:p>
    <w:p>
      <w:pPr>
        <w:pStyle w:val="51"/>
        <w:spacing w:line="360" w:lineRule="auto"/>
        <w:outlineLvl w:val="1"/>
        <w:rPr>
          <w:rFonts w:asciiTheme="majorEastAsia" w:hAnsiTheme="majorEastAsia" w:eastAsiaTheme="majorEastAsia"/>
          <w:b/>
          <w:color w:val="auto"/>
          <w:kern w:val="2"/>
          <w:sz w:val="24"/>
          <w:szCs w:val="24"/>
          <w:highlight w:val="none"/>
        </w:rPr>
      </w:pPr>
      <w:bookmarkStart w:id="263" w:name="_Toc27625"/>
      <w:r>
        <w:rPr>
          <w:rFonts w:hint="eastAsia" w:asciiTheme="majorEastAsia" w:hAnsiTheme="majorEastAsia" w:eastAsiaTheme="majorEastAsia"/>
          <w:b/>
          <w:color w:val="auto"/>
          <w:kern w:val="2"/>
          <w:sz w:val="24"/>
          <w:szCs w:val="24"/>
          <w:highlight w:val="none"/>
        </w:rPr>
        <w:t>32.中标通知</w:t>
      </w:r>
      <w:bookmarkEnd w:id="263"/>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32.1中标人确定后,采购代理机构将在相关政府采购信息发布媒体上发布中标公告，并以书面形式向中标人发出中标通知书，但该中标结果的有效性不依赖于未中标的投标人是否已经收到该通知。中标人应按照相关规定交纳履约保证金、代理服务费和公证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32.2采购代理机构对未中标的投标人不作未中标原因的解释，但中标结果的有效性不以未中标的投标人是否收到相应的通知为前提。</w:t>
      </w:r>
    </w:p>
    <w:p>
      <w:pPr>
        <w:pStyle w:val="51"/>
        <w:spacing w:line="360" w:lineRule="auto"/>
        <w:ind w:firstLine="480" w:firstLineChars="200"/>
        <w:outlineLvl w:val="2"/>
        <w:rPr>
          <w:rFonts w:asciiTheme="majorEastAsia" w:hAnsiTheme="majorEastAsia" w:eastAsiaTheme="majorEastAsia"/>
          <w:color w:val="auto"/>
          <w:kern w:val="2"/>
          <w:sz w:val="24"/>
          <w:szCs w:val="24"/>
          <w:highlight w:val="none"/>
        </w:rPr>
      </w:pPr>
      <w:bookmarkStart w:id="264" w:name="_Toc29509"/>
      <w:r>
        <w:rPr>
          <w:rFonts w:hint="eastAsia" w:asciiTheme="majorEastAsia" w:hAnsiTheme="majorEastAsia" w:eastAsiaTheme="majorEastAsia"/>
          <w:color w:val="auto"/>
          <w:kern w:val="2"/>
          <w:sz w:val="24"/>
          <w:szCs w:val="24"/>
          <w:highlight w:val="none"/>
        </w:rPr>
        <w:t>32.3中标通知书是合同的组成部分。</w:t>
      </w:r>
      <w:bookmarkEnd w:id="264"/>
    </w:p>
    <w:p>
      <w:pPr>
        <w:pStyle w:val="51"/>
        <w:spacing w:line="360" w:lineRule="auto"/>
        <w:ind w:firstLine="480" w:firstLineChars="200"/>
        <w:rPr>
          <w:rFonts w:asciiTheme="majorEastAsia" w:hAnsiTheme="majorEastAsia" w:eastAsiaTheme="majorEastAsia"/>
          <w:color w:val="auto"/>
          <w:kern w:val="2"/>
          <w:sz w:val="24"/>
          <w:szCs w:val="24"/>
          <w:highlight w:val="none"/>
        </w:rPr>
      </w:pPr>
    </w:p>
    <w:p>
      <w:pPr>
        <w:pStyle w:val="51"/>
        <w:spacing w:line="360" w:lineRule="auto"/>
        <w:outlineLvl w:val="1"/>
        <w:rPr>
          <w:rFonts w:asciiTheme="majorEastAsia" w:hAnsiTheme="majorEastAsia" w:eastAsiaTheme="majorEastAsia"/>
          <w:b/>
          <w:color w:val="auto"/>
          <w:kern w:val="2"/>
          <w:sz w:val="24"/>
          <w:szCs w:val="24"/>
          <w:highlight w:val="none"/>
        </w:rPr>
      </w:pPr>
      <w:bookmarkStart w:id="265" w:name="_Toc27545"/>
      <w:r>
        <w:rPr>
          <w:rFonts w:hint="eastAsia" w:asciiTheme="majorEastAsia" w:hAnsiTheme="majorEastAsia" w:eastAsiaTheme="majorEastAsia"/>
          <w:b/>
          <w:color w:val="auto"/>
          <w:kern w:val="2"/>
          <w:sz w:val="24"/>
          <w:szCs w:val="24"/>
          <w:highlight w:val="none"/>
        </w:rPr>
        <w:t>33.签订合同</w:t>
      </w:r>
      <w:bookmarkEnd w:id="265"/>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33.1中标人须在中标通知书发出之日起15日内与采购人签订采购合同。</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33.2中标人须按照招标文件、投标文件及评标过程中的有关澄清、说明或者补正文件的内容与采购人签订合同。中标人不得再与采购人签订背离合同实质性内容的其他协议或声明。</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33.3采购人如需追加与合同标的相同的货物，在不改变合同其他条款的前提下，提交追加合同的申请</w:t>
      </w:r>
      <w:r>
        <w:rPr>
          <w:rFonts w:asciiTheme="majorEastAsia" w:hAnsiTheme="majorEastAsia" w:eastAsiaTheme="majorEastAsia"/>
          <w:color w:val="auto"/>
          <w:kern w:val="2"/>
          <w:sz w:val="24"/>
          <w:szCs w:val="24"/>
          <w:highlight w:val="none"/>
        </w:rPr>
        <w:t>报经同级财政部门</w:t>
      </w:r>
      <w:r>
        <w:rPr>
          <w:rFonts w:hint="eastAsia" w:asciiTheme="majorEastAsia" w:hAnsiTheme="majorEastAsia" w:eastAsiaTheme="majorEastAsia"/>
          <w:color w:val="auto"/>
          <w:kern w:val="2"/>
          <w:sz w:val="24"/>
          <w:szCs w:val="24"/>
          <w:highlight w:val="none"/>
        </w:rPr>
        <w:t>审核后，可与中标人签订补充合同，但所有补充合同的采购金额不得超过原合同金额的百分之十。</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33.4中标人一旦中标及签订合同后，不得转包，亦不得将合同全部及任何权利、义务向第三方转让。</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33.5中标人</w:t>
      </w:r>
      <w:r>
        <w:rPr>
          <w:rFonts w:asciiTheme="majorEastAsia" w:hAnsiTheme="majorEastAsia" w:eastAsiaTheme="majorEastAsia"/>
          <w:color w:val="auto"/>
          <w:kern w:val="2"/>
          <w:sz w:val="24"/>
          <w:szCs w:val="24"/>
          <w:highlight w:val="none"/>
        </w:rPr>
        <w:t>不履行合同的，采购人可在报经同级人民政府财政部门核准后，与排位在中标</w:t>
      </w:r>
      <w:r>
        <w:rPr>
          <w:rFonts w:hint="eastAsia" w:asciiTheme="majorEastAsia" w:hAnsiTheme="majorEastAsia" w:eastAsiaTheme="majorEastAsia"/>
          <w:color w:val="auto"/>
          <w:kern w:val="2"/>
          <w:sz w:val="24"/>
          <w:szCs w:val="24"/>
          <w:highlight w:val="none"/>
        </w:rPr>
        <w:t>人</w:t>
      </w:r>
      <w:r>
        <w:rPr>
          <w:rFonts w:asciiTheme="majorEastAsia" w:hAnsiTheme="majorEastAsia" w:eastAsiaTheme="majorEastAsia"/>
          <w:color w:val="auto"/>
          <w:kern w:val="2"/>
          <w:sz w:val="24"/>
          <w:szCs w:val="24"/>
          <w:highlight w:val="none"/>
        </w:rPr>
        <w:t>之后的第一位中标候选供应商签订合同</w:t>
      </w:r>
      <w:r>
        <w:rPr>
          <w:rFonts w:hint="eastAsia" w:asciiTheme="majorEastAsia" w:hAnsiTheme="majorEastAsia" w:eastAsiaTheme="majorEastAsia"/>
          <w:color w:val="auto"/>
          <w:kern w:val="2"/>
          <w:sz w:val="24"/>
          <w:szCs w:val="24"/>
          <w:highlight w:val="none"/>
        </w:rPr>
        <w:t>，以此类推；或在报经</w:t>
      </w:r>
      <w:r>
        <w:rPr>
          <w:rFonts w:asciiTheme="majorEastAsia" w:hAnsiTheme="majorEastAsia" w:eastAsiaTheme="majorEastAsia"/>
          <w:color w:val="auto"/>
          <w:kern w:val="2"/>
          <w:sz w:val="24"/>
          <w:szCs w:val="24"/>
          <w:highlight w:val="none"/>
        </w:rPr>
        <w:t>同级人民政府财政部门核准后</w:t>
      </w:r>
      <w:r>
        <w:rPr>
          <w:rFonts w:hint="eastAsia" w:asciiTheme="majorEastAsia" w:hAnsiTheme="majorEastAsia" w:eastAsiaTheme="majorEastAsia"/>
          <w:color w:val="auto"/>
          <w:kern w:val="2"/>
          <w:sz w:val="24"/>
          <w:szCs w:val="24"/>
          <w:highlight w:val="none"/>
        </w:rPr>
        <w:t>重新组织采购。</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33.6违反32.1条、32.2条的规定，给对方造成损失的，应承担赔偿责任。</w:t>
      </w:r>
    </w:p>
    <w:p>
      <w:pPr>
        <w:pStyle w:val="51"/>
        <w:spacing w:line="360" w:lineRule="auto"/>
        <w:outlineLvl w:val="1"/>
        <w:rPr>
          <w:rFonts w:asciiTheme="majorEastAsia" w:hAnsiTheme="majorEastAsia" w:eastAsiaTheme="majorEastAsia"/>
          <w:b/>
          <w:color w:val="auto"/>
          <w:kern w:val="2"/>
          <w:sz w:val="24"/>
          <w:szCs w:val="24"/>
          <w:highlight w:val="none"/>
        </w:rPr>
      </w:pPr>
      <w:bookmarkStart w:id="266" w:name="_Toc5142"/>
      <w:r>
        <w:rPr>
          <w:rFonts w:hint="eastAsia" w:asciiTheme="majorEastAsia" w:hAnsiTheme="majorEastAsia" w:eastAsiaTheme="majorEastAsia"/>
          <w:b/>
          <w:color w:val="auto"/>
          <w:kern w:val="2"/>
          <w:sz w:val="24"/>
          <w:szCs w:val="24"/>
          <w:highlight w:val="none"/>
        </w:rPr>
        <w:t>34.审核合同</w:t>
      </w:r>
      <w:bookmarkEnd w:id="266"/>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34.1中标人持政府采购合同于签订合同之日起3个工作日内到本项目招标公司进行备案留存。</w:t>
      </w:r>
    </w:p>
    <w:p>
      <w:pPr>
        <w:pStyle w:val="5"/>
        <w:rPr>
          <w:rFonts w:asciiTheme="majorEastAsia" w:hAnsiTheme="majorEastAsia" w:eastAsiaTheme="majorEastAsia"/>
          <w:color w:val="auto"/>
          <w:highlight w:val="none"/>
        </w:rPr>
      </w:pPr>
      <w:bookmarkStart w:id="267" w:name="EBe1ca8e93d3eb48f0942a054457d44144"/>
      <w:bookmarkEnd w:id="267"/>
      <w:bookmarkStart w:id="268" w:name="EB6bd86286c9bc4c4ba2552cfdd0fee3d0"/>
      <w:bookmarkEnd w:id="268"/>
      <w:bookmarkStart w:id="269" w:name="EBa988c80f708b478fb07bfc90609eef70"/>
      <w:bookmarkEnd w:id="269"/>
      <w:bookmarkStart w:id="270" w:name="_Toc28706"/>
      <w:bookmarkStart w:id="271" w:name="_Toc519111270"/>
      <w:r>
        <w:rPr>
          <w:rFonts w:hint="eastAsia" w:asciiTheme="majorEastAsia" w:hAnsiTheme="majorEastAsia" w:eastAsiaTheme="majorEastAsia"/>
          <w:color w:val="auto"/>
          <w:highlight w:val="none"/>
        </w:rPr>
        <w:t>十一、处罚、询问和质疑</w:t>
      </w:r>
      <w:bookmarkEnd w:id="270"/>
      <w:bookmarkEnd w:id="271"/>
    </w:p>
    <w:p>
      <w:pPr>
        <w:pStyle w:val="51"/>
        <w:spacing w:line="360" w:lineRule="auto"/>
        <w:outlineLvl w:val="1"/>
        <w:rPr>
          <w:rFonts w:asciiTheme="majorEastAsia" w:hAnsiTheme="majorEastAsia" w:eastAsiaTheme="majorEastAsia"/>
          <w:b/>
          <w:color w:val="auto"/>
          <w:kern w:val="2"/>
          <w:sz w:val="24"/>
          <w:szCs w:val="24"/>
          <w:highlight w:val="none"/>
        </w:rPr>
      </w:pPr>
      <w:bookmarkStart w:id="272" w:name="_Toc32166"/>
      <w:r>
        <w:rPr>
          <w:rFonts w:hint="eastAsia" w:asciiTheme="majorEastAsia" w:hAnsiTheme="majorEastAsia" w:eastAsiaTheme="majorEastAsia"/>
          <w:b/>
          <w:color w:val="auto"/>
          <w:kern w:val="2"/>
          <w:sz w:val="24"/>
          <w:szCs w:val="24"/>
          <w:highlight w:val="none"/>
        </w:rPr>
        <w:t>35.处罚</w:t>
      </w:r>
      <w:bookmarkEnd w:id="272"/>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35.1发生下列情况之一，投标人的保证金不予退还；情节严重的将其列入不良记录名单。</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asciiTheme="majorEastAsia" w:hAnsiTheme="majorEastAsia" w:eastAsiaTheme="majorEastAsia"/>
          <w:color w:val="auto"/>
          <w:kern w:val="2"/>
          <w:sz w:val="24"/>
          <w:szCs w:val="24"/>
          <w:highlight w:val="none"/>
        </w:rPr>
        <w:t>1</w:t>
      </w:r>
      <w:r>
        <w:rPr>
          <w:rFonts w:hint="eastAsia" w:asciiTheme="majorEastAsia" w:hAnsiTheme="majorEastAsia" w:eastAsiaTheme="majorEastAsia"/>
          <w:color w:val="auto"/>
          <w:kern w:val="2"/>
          <w:sz w:val="24"/>
          <w:szCs w:val="24"/>
          <w:highlight w:val="none"/>
        </w:rPr>
        <w:t>）开标后在投标有效期内，投标人撤回其投标；</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2）中标后无正当理由不与采购人签订合同的；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3）中标人与采购人订立背离合同实质性内容的其他协议；</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4）将中标项目转让给他人，或者在投标文件中未说明，且未经采购代理机构同意，将中标项目分包给他人的；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5）存在串通投标行为的；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6）存在弄虚作假或提供虚假材料谋取中标的；</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7）投标人其他未按招标文件规定和合同约定履行义务的行为。</w:t>
      </w:r>
    </w:p>
    <w:p>
      <w:pPr>
        <w:pStyle w:val="51"/>
        <w:spacing w:line="360" w:lineRule="auto"/>
        <w:outlineLvl w:val="1"/>
        <w:rPr>
          <w:rFonts w:asciiTheme="majorEastAsia" w:hAnsiTheme="majorEastAsia" w:eastAsiaTheme="majorEastAsia"/>
          <w:b/>
          <w:color w:val="auto"/>
          <w:kern w:val="2"/>
          <w:sz w:val="24"/>
          <w:szCs w:val="24"/>
          <w:highlight w:val="none"/>
        </w:rPr>
      </w:pPr>
      <w:bookmarkStart w:id="273" w:name="_Toc18834"/>
      <w:r>
        <w:rPr>
          <w:rFonts w:hint="eastAsia" w:asciiTheme="majorEastAsia" w:hAnsiTheme="majorEastAsia" w:eastAsiaTheme="majorEastAsia"/>
          <w:b/>
          <w:color w:val="auto"/>
          <w:kern w:val="2"/>
          <w:sz w:val="24"/>
          <w:szCs w:val="24"/>
          <w:highlight w:val="none"/>
        </w:rPr>
        <w:t>36．询问</w:t>
      </w:r>
      <w:bookmarkEnd w:id="273"/>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36.1投标人对采购事项有疑问的，可以向采购人或采购代理机构提出询问。</w:t>
      </w:r>
    </w:p>
    <w:p>
      <w:pPr>
        <w:pStyle w:val="51"/>
        <w:spacing w:line="360" w:lineRule="auto"/>
        <w:outlineLvl w:val="1"/>
        <w:rPr>
          <w:rFonts w:asciiTheme="majorEastAsia" w:hAnsiTheme="majorEastAsia" w:eastAsiaTheme="majorEastAsia"/>
          <w:b/>
          <w:color w:val="auto"/>
          <w:kern w:val="2"/>
          <w:sz w:val="24"/>
          <w:szCs w:val="24"/>
          <w:highlight w:val="none"/>
        </w:rPr>
      </w:pPr>
      <w:bookmarkStart w:id="274" w:name="_Toc15380"/>
      <w:r>
        <w:rPr>
          <w:rFonts w:hint="eastAsia" w:asciiTheme="majorEastAsia" w:hAnsiTheme="majorEastAsia" w:eastAsiaTheme="majorEastAsia"/>
          <w:b/>
          <w:color w:val="auto"/>
          <w:kern w:val="2"/>
          <w:sz w:val="24"/>
          <w:szCs w:val="24"/>
          <w:highlight w:val="none"/>
        </w:rPr>
        <w:t>37.投标人有权就招标事宜提出质疑</w:t>
      </w:r>
      <w:bookmarkEnd w:id="274"/>
    </w:p>
    <w:p>
      <w:pPr>
        <w:pStyle w:val="58"/>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37.1投标人认为招标文件、采购过程和中标结果使自已的权益受到损害的，可以在知道或者应知其权益受到损害之日起7个工作日内，以书面形式提出质疑。</w:t>
      </w:r>
      <w:r>
        <w:rPr>
          <w:rFonts w:asciiTheme="majorEastAsia" w:hAnsiTheme="majorEastAsia" w:eastAsiaTheme="majorEastAsia"/>
          <w:b/>
          <w:color w:val="auto"/>
          <w:kern w:val="2"/>
          <w:sz w:val="24"/>
          <w:szCs w:val="24"/>
          <w:highlight w:val="none"/>
        </w:rPr>
        <w:t>供应商在法定质疑期内一次性提出针对同一采购程序环节的质疑</w:t>
      </w:r>
      <w:r>
        <w:rPr>
          <w:rFonts w:hint="eastAsia" w:asciiTheme="majorEastAsia" w:hAnsiTheme="majorEastAsia" w:eastAsiaTheme="majorEastAsia"/>
          <w:b/>
          <w:color w:val="auto"/>
          <w:kern w:val="2"/>
          <w:sz w:val="24"/>
          <w:szCs w:val="24"/>
          <w:highlight w:val="none"/>
        </w:rPr>
        <w:t>。</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37.2质疑应当按照《中华人民共和国政府采购法》、《中华人民共和国政府采购法实施条例》、《政府采购质疑和投诉办法》等法律法规的相关规定，以书面形式向采购代理机构提出。</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37.3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37.4质疑人可以采取直接送达或者邮寄方式提交质疑书。采购代理机构收到质疑书后，对质疑书进行审查，对符合质疑条件的将办理签收手续，自签收质疑书之日起即为受理。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37.5采购代理机构将在受理书面质疑后7个工作日内审查质疑事项，作出答复或相关处理决定，并以书面形式通知质疑人和其他相关供应商，但答复的内容不涉及商业秘密。</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37.6投标人进行虚假和恶意质疑的，采购代理机构将提请有关部门将其列入不良记录名单，在一至三年内禁止参加政府采购活动，并将处理决定在相关政府采购媒体上公布。</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37.7质疑人对答复不满意以及采购代理机构未在规定的时间内作出答复的，可以在答复期满后15个工作日内向财政部门投拆。</w:t>
      </w:r>
    </w:p>
    <w:p>
      <w:pPr>
        <w:pStyle w:val="5"/>
        <w:rPr>
          <w:rFonts w:asciiTheme="majorEastAsia" w:hAnsiTheme="majorEastAsia" w:eastAsiaTheme="majorEastAsia"/>
          <w:color w:val="auto"/>
          <w:highlight w:val="none"/>
        </w:rPr>
      </w:pPr>
      <w:bookmarkStart w:id="275" w:name="EB7d29f989cac3473a9b96b9de748455fa"/>
      <w:bookmarkEnd w:id="275"/>
      <w:bookmarkStart w:id="276" w:name="EB746def3b77834b678471cd0526a0a623"/>
      <w:bookmarkEnd w:id="276"/>
      <w:bookmarkStart w:id="277" w:name="EBf44b43ce4e4743669e63a8e356b191a9"/>
      <w:bookmarkEnd w:id="277"/>
      <w:bookmarkStart w:id="278" w:name="_Toc519111271"/>
      <w:bookmarkStart w:id="279" w:name="_Toc1712"/>
      <w:r>
        <w:rPr>
          <w:rFonts w:hint="eastAsia" w:asciiTheme="majorEastAsia" w:hAnsiTheme="majorEastAsia" w:eastAsiaTheme="majorEastAsia"/>
          <w:color w:val="auto"/>
          <w:highlight w:val="none"/>
        </w:rPr>
        <w:t>十二、保密和披露</w:t>
      </w:r>
      <w:bookmarkEnd w:id="278"/>
      <w:bookmarkEnd w:id="279"/>
    </w:p>
    <w:p>
      <w:pPr>
        <w:pStyle w:val="51"/>
        <w:spacing w:line="360" w:lineRule="auto"/>
        <w:outlineLvl w:val="1"/>
        <w:rPr>
          <w:rFonts w:asciiTheme="majorEastAsia" w:hAnsiTheme="majorEastAsia" w:eastAsiaTheme="majorEastAsia"/>
          <w:b/>
          <w:color w:val="auto"/>
          <w:kern w:val="2"/>
          <w:sz w:val="24"/>
          <w:szCs w:val="24"/>
          <w:highlight w:val="none"/>
        </w:rPr>
      </w:pPr>
      <w:bookmarkStart w:id="280" w:name="_Toc4516"/>
      <w:r>
        <w:rPr>
          <w:rFonts w:hint="eastAsia" w:asciiTheme="majorEastAsia" w:hAnsiTheme="majorEastAsia" w:eastAsiaTheme="majorEastAsia"/>
          <w:b/>
          <w:color w:val="auto"/>
          <w:kern w:val="2"/>
          <w:sz w:val="24"/>
          <w:szCs w:val="24"/>
          <w:highlight w:val="none"/>
        </w:rPr>
        <w:t>38.保密和披露</w:t>
      </w:r>
      <w:bookmarkEnd w:id="280"/>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38.1投标人自领取招标文件之日起，须承担本招标项目保密义务，不得将因本次招标获得的信息向第三人外传。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38</w:t>
      </w:r>
      <w:r>
        <w:rPr>
          <w:rFonts w:asciiTheme="majorEastAsia" w:hAnsiTheme="majorEastAsia" w:eastAsiaTheme="majorEastAsia"/>
          <w:color w:val="auto"/>
          <w:kern w:val="2"/>
          <w:sz w:val="24"/>
          <w:szCs w:val="24"/>
          <w:highlight w:val="none"/>
        </w:rPr>
        <w:t>.</w:t>
      </w:r>
      <w:r>
        <w:rPr>
          <w:rFonts w:hint="eastAsia" w:asciiTheme="majorEastAsia" w:hAnsiTheme="majorEastAsia" w:eastAsiaTheme="majorEastAsia"/>
          <w:color w:val="auto"/>
          <w:kern w:val="2"/>
          <w:sz w:val="24"/>
          <w:szCs w:val="24"/>
          <w:highlight w:val="none"/>
        </w:rPr>
        <w:t>2采购代理机构有权将投标人提供的所有资料向有关政府部门或评审标书的有关人员披露。</w:t>
      </w:r>
    </w:p>
    <w:p>
      <w:pPr>
        <w:pStyle w:val="51"/>
        <w:spacing w:line="360" w:lineRule="auto"/>
        <w:ind w:firstLine="480" w:firstLineChars="200"/>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38.3在采购代理机构认为适当时、国家机关调查、审查、审计时以及其他符合法律规定的情形下，采购代理机构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p>
    <w:p>
      <w:pPr>
        <w:pStyle w:val="51"/>
        <w:rPr>
          <w:rFonts w:asciiTheme="majorEastAsia" w:hAnsiTheme="majorEastAsia" w:eastAsiaTheme="majorEastAsia"/>
          <w:color w:val="auto"/>
          <w:kern w:val="2"/>
          <w:sz w:val="21"/>
          <w:szCs w:val="22"/>
          <w:highlight w:val="none"/>
        </w:rPr>
      </w:pPr>
    </w:p>
    <w:bookmarkEnd w:id="51"/>
    <w:p>
      <w:pPr>
        <w:widowControl/>
        <w:jc w:val="left"/>
        <w:rPr>
          <w:rFonts w:asciiTheme="majorEastAsia" w:hAnsiTheme="majorEastAsia" w:eastAsiaTheme="majorEastAsia" w:cstheme="majorBidi"/>
          <w:b/>
          <w:bCs/>
          <w:color w:val="auto"/>
          <w:sz w:val="32"/>
          <w:szCs w:val="32"/>
          <w:highlight w:val="none"/>
        </w:rPr>
      </w:pPr>
      <w:bookmarkStart w:id="281" w:name="_Toc31966"/>
      <w:r>
        <w:rPr>
          <w:rFonts w:asciiTheme="majorEastAsia" w:hAnsiTheme="majorEastAsia" w:eastAsiaTheme="majorEastAsia"/>
          <w:color w:val="auto"/>
          <w:highlight w:val="none"/>
        </w:rPr>
        <w:br w:type="page"/>
      </w:r>
    </w:p>
    <w:p>
      <w:pPr>
        <w:pStyle w:val="36"/>
        <w:rPr>
          <w:rFonts w:cs="宋体" w:asciiTheme="majorEastAsia" w:hAnsiTheme="majorEastAsia" w:eastAsiaTheme="majorEastAsia"/>
          <w:color w:val="auto"/>
          <w:sz w:val="24"/>
          <w:szCs w:val="24"/>
          <w:highlight w:val="none"/>
        </w:rPr>
      </w:pPr>
      <w:r>
        <w:rPr>
          <w:rFonts w:hint="eastAsia" w:asciiTheme="majorEastAsia" w:hAnsiTheme="majorEastAsia" w:eastAsiaTheme="majorEastAsia"/>
          <w:color w:val="auto"/>
          <w:highlight w:val="none"/>
        </w:rPr>
        <w:t>第三部分 采购需求</w:t>
      </w:r>
      <w:bookmarkEnd w:id="281"/>
    </w:p>
    <w:p>
      <w:pPr>
        <w:pStyle w:val="24"/>
        <w:spacing w:line="360" w:lineRule="auto"/>
        <w:ind w:left="359" w:hanging="359" w:hangingChars="149"/>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一、</w:t>
      </w:r>
      <w:r>
        <w:rPr>
          <w:rFonts w:asciiTheme="majorEastAsia" w:hAnsiTheme="majorEastAsia" w:eastAsiaTheme="majorEastAsia"/>
          <w:b/>
          <w:color w:val="auto"/>
          <w:sz w:val="24"/>
          <w:highlight w:val="none"/>
        </w:rPr>
        <w:t>商务需求</w:t>
      </w:r>
    </w:p>
    <w:p>
      <w:pPr>
        <w:pStyle w:val="24"/>
        <w:spacing w:line="360" w:lineRule="auto"/>
        <w:ind w:firstLine="480" w:firstLineChars="2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（1）交货期：</w:t>
      </w:r>
      <w:r>
        <w:rPr>
          <w:rFonts w:hint="eastAsia" w:cs="宋体" w:asciiTheme="majorEastAsia" w:hAnsiTheme="majorEastAsia" w:eastAsiaTheme="majorEastAsia"/>
          <w:color w:val="auto"/>
          <w:sz w:val="24"/>
          <w:highlight w:val="none"/>
        </w:rPr>
        <w:t>合同生效后国产设备30日以内,进口设备90日以内。</w:t>
      </w:r>
    </w:p>
    <w:p>
      <w:pPr>
        <w:pStyle w:val="24"/>
        <w:spacing w:line="360" w:lineRule="auto"/>
        <w:ind w:firstLine="480" w:firstLineChars="2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（2）交货地点：石河子大学</w:t>
      </w:r>
    </w:p>
    <w:p>
      <w:pPr>
        <w:pStyle w:val="24"/>
        <w:spacing w:line="360" w:lineRule="auto"/>
        <w:ind w:firstLine="480" w:firstLineChars="2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（3）付款方式：</w:t>
      </w:r>
      <w:r>
        <w:rPr>
          <w:rFonts w:hint="eastAsia" w:cs="宋体" w:asciiTheme="majorEastAsia" w:hAnsiTheme="majorEastAsia" w:eastAsiaTheme="majorEastAsia"/>
          <w:color w:val="auto"/>
          <w:sz w:val="24"/>
          <w:highlight w:val="none"/>
        </w:rPr>
        <w:t>合同签订前，中标供应商向采购单位缴纳合同价款</w:t>
      </w:r>
      <w:r>
        <w:rPr>
          <w:rFonts w:cs="宋体" w:asciiTheme="majorEastAsia" w:hAnsiTheme="majorEastAsia" w:eastAsiaTheme="majorEastAsia"/>
          <w:color w:val="auto"/>
          <w:sz w:val="24"/>
          <w:highlight w:val="none"/>
        </w:rPr>
        <w:t>5%的履约保证金；采购单位在合同生效后支付给中标供应商合同价款的30%作为合同预付款。中标供应商在收到预付款7个工作日内依法开具相应的收据并交付给采购单位。中标供应商在约定的交付期限内将设备全部运至采购单位指定地点安装调试完毕，经采购单位或采购单位指定（或委托）的第三方机构检测验收合格后，中标供应商依法开具相应的发票交付给采购单位，采购单位向中标供应商支付合同剩余价款，并将5%的履约保证金无息退还给中标供应商。</w:t>
      </w:r>
    </w:p>
    <w:p>
      <w:pPr>
        <w:pStyle w:val="24"/>
        <w:spacing w:line="360" w:lineRule="auto"/>
        <w:ind w:firstLine="480" w:firstLineChars="2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4）验收标准：按照合同约定的相关要求和标准验收，在到货一个月内完成安装调试和验收，提出异议期限为一个月。卖方必须在买方在场的情况下当场拆封合同项下的所有货物的包装，并将发票原件、质保卡、使用说明书、设备总装配图、出场检验报告、质量合格证、随机配件等交甲方签收。</w:t>
      </w:r>
    </w:p>
    <w:p>
      <w:pPr>
        <w:pStyle w:val="24"/>
        <w:spacing w:line="360" w:lineRule="auto"/>
        <w:ind w:firstLine="480" w:firstLineChars="2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设备安装调试完毕经验收机构验收，仪器设备验收由3-5名高级职称本专业技术人员组成，依据合同对仪器设备的外观、规格型号、数量、技术指标等逐项验收，并出具验收意见。</w:t>
      </w:r>
    </w:p>
    <w:p>
      <w:pPr>
        <w:pStyle w:val="24"/>
        <w:spacing w:line="360" w:lineRule="auto"/>
        <w:ind w:firstLine="480" w:firstLineChars="2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如任何一部门发现指出设备（货物）与约定的设备（货物）不符，乙方应当予以修正或更换设备（货物），如设备（货物）本身存在重大隐患或交付设备（货物）与约定设备（货物）存在实质性变更，甲方有权要求乙方重新更换设备（货物），由此产生的费用由乙方自行承担。</w:t>
      </w:r>
    </w:p>
    <w:p>
      <w:pPr>
        <w:pStyle w:val="24"/>
        <w:spacing w:line="360" w:lineRule="auto"/>
        <w:ind w:firstLine="480" w:firstLineChars="2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乙方应在收到甲方书面通知后7个工作日内及时派出工作人员参加验收，乙方应当在接收甲方通知派员后携带乙方授权委托书、身份证明文件等到场参加验收。如果乙方接到甲方书面通知后未按照甲方确定的时间和地点派员参加验收，或者参加验收后拒绝在验收记录或验收文件上签字确认的，视为乙方同意甲方单方自行进行验收并接受验收结果。</w:t>
      </w:r>
    </w:p>
    <w:p>
      <w:pPr>
        <w:pStyle w:val="24"/>
        <w:spacing w:line="360" w:lineRule="auto"/>
        <w:ind w:firstLine="480" w:firstLineChars="2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（5）售后服务：提供24小时电话服务，在接到报修通知2小时内做出响应，如在电话中无法解决的，半小时内派出专业人员到达现场进行维修，并连续进行现场作业，直至故障排除完 全恢复正常为止。因特殊情况不能及时排除故障的，采取相应的补救措施或与用户共同商议处理办法，不能耽搁用户正常使用。对一般故障在2小时内修复，对于重大故障在48小时内修复。质保期内出现的质量问题，乙方应该提供免费备件和免费维修更换；保修期过后用户如需购买零配件，应以成本价格供应。</w:t>
      </w:r>
    </w:p>
    <w:p>
      <w:pPr>
        <w:pStyle w:val="24"/>
        <w:spacing w:line="360" w:lineRule="auto"/>
        <w:ind w:firstLine="480" w:firstLineChars="200"/>
        <w:rPr>
          <w:rFonts w:hint="eastAsia" w:cs="宋体" w:asciiTheme="majorEastAsia" w:hAnsiTheme="majorEastAsia" w:eastAsiaTheme="majorEastAsia"/>
          <w:color w:val="auto"/>
          <w:sz w:val="24"/>
          <w:highlight w:val="none"/>
          <w:lang w:val="en-US" w:eastAsia="zh-CN"/>
        </w:rPr>
      </w:pPr>
      <w:r>
        <w:rPr>
          <w:rFonts w:hint="eastAsia" w:cs="宋体" w:asciiTheme="majorEastAsia" w:hAnsiTheme="majorEastAsia" w:eastAsiaTheme="majorEastAsia"/>
          <w:color w:val="auto"/>
          <w:sz w:val="24"/>
          <w:highlight w:val="none"/>
        </w:rPr>
        <w:t>（6）</w:t>
      </w:r>
      <w:r>
        <w:rPr>
          <w:rFonts w:hint="eastAsia" w:cs="宋体" w:asciiTheme="majorEastAsia" w:hAnsiTheme="majorEastAsia" w:eastAsiaTheme="majorEastAsia"/>
          <w:color w:val="auto"/>
          <w:sz w:val="24"/>
          <w:highlight w:val="none"/>
          <w:lang w:val="en-US" w:eastAsia="zh-CN"/>
        </w:rPr>
        <w:t>售后服务：</w:t>
      </w:r>
    </w:p>
    <w:p>
      <w:pPr>
        <w:pStyle w:val="24"/>
        <w:spacing w:line="360" w:lineRule="auto"/>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天然产物合成、药物合成的理论计算服务器售后服务要求：三年上门保修。</w:t>
      </w:r>
      <w:r>
        <w:rPr>
          <w:rFonts w:hint="eastAsia" w:ascii="宋体" w:hAnsi="宋体"/>
          <w:color w:val="auto"/>
          <w:sz w:val="24"/>
          <w:szCs w:val="24"/>
          <w:highlight w:val="none"/>
        </w:rPr>
        <w:t>薄层色谱成像仪</w:t>
      </w:r>
      <w:r>
        <w:rPr>
          <w:rFonts w:hint="eastAsia" w:ascii="宋体" w:hAnsi="宋体"/>
          <w:color w:val="auto"/>
          <w:sz w:val="24"/>
          <w:szCs w:val="24"/>
          <w:highlight w:val="none"/>
          <w:lang w:eastAsia="zh-CN"/>
        </w:rPr>
        <w:t>、</w:t>
      </w:r>
      <w:r>
        <w:rPr>
          <w:rFonts w:hint="eastAsia" w:ascii="宋体" w:hAnsi="宋体"/>
          <w:color w:val="auto"/>
          <w:sz w:val="24"/>
          <w:szCs w:val="24"/>
          <w:highlight w:val="none"/>
          <w:u w:val="none"/>
        </w:rPr>
        <w:t>全自动化学发光荧光图像分析系统</w:t>
      </w:r>
      <w:r>
        <w:rPr>
          <w:rFonts w:hint="eastAsia" w:ascii="宋体" w:hAnsi="宋体"/>
          <w:color w:val="auto"/>
          <w:sz w:val="24"/>
          <w:szCs w:val="24"/>
          <w:highlight w:val="none"/>
          <w:u w:val="none"/>
          <w:lang w:eastAsia="zh-CN"/>
        </w:rPr>
        <w:t>、</w:t>
      </w:r>
      <w:r>
        <w:rPr>
          <w:rFonts w:hint="eastAsia" w:ascii="宋体" w:hAnsi="宋体"/>
          <w:color w:val="auto"/>
          <w:sz w:val="24"/>
          <w:szCs w:val="24"/>
          <w:highlight w:val="none"/>
          <w:u w:val="none"/>
        </w:rPr>
        <w:t>超微量紫外可见光分光光度计</w:t>
      </w:r>
      <w:r>
        <w:rPr>
          <w:rFonts w:hint="eastAsia" w:ascii="宋体" w:hAnsi="宋体"/>
          <w:color w:val="auto"/>
          <w:sz w:val="24"/>
          <w:szCs w:val="24"/>
          <w:highlight w:val="none"/>
          <w:u w:val="none"/>
          <w:lang w:eastAsia="zh-CN"/>
        </w:rPr>
        <w:t>、</w:t>
      </w:r>
      <w:r>
        <w:rPr>
          <w:rFonts w:hint="eastAsia" w:ascii="宋体" w:hAnsi="宋体"/>
          <w:color w:val="auto"/>
          <w:sz w:val="24"/>
          <w:szCs w:val="24"/>
          <w:highlight w:val="none"/>
          <w:u w:val="none"/>
        </w:rPr>
        <w:t>八通道恒电位仪</w:t>
      </w:r>
      <w:r>
        <w:rPr>
          <w:rFonts w:hint="eastAsia" w:ascii="宋体" w:hAnsi="宋体"/>
          <w:color w:val="auto"/>
          <w:sz w:val="24"/>
          <w:szCs w:val="24"/>
          <w:highlight w:val="none"/>
          <w:u w:val="none"/>
          <w:lang w:eastAsia="zh-CN"/>
        </w:rPr>
        <w:t>、</w:t>
      </w:r>
      <w:r>
        <w:rPr>
          <w:rFonts w:hint="eastAsia" w:ascii="宋体" w:hAnsi="宋体"/>
          <w:color w:val="auto"/>
          <w:sz w:val="24"/>
          <w:szCs w:val="24"/>
          <w:highlight w:val="none"/>
          <w:u w:val="none"/>
        </w:rPr>
        <w:t>细胞光毒性辐照仪</w:t>
      </w:r>
      <w:r>
        <w:rPr>
          <w:rFonts w:hint="eastAsia" w:ascii="宋体" w:hAnsi="宋体"/>
          <w:color w:val="auto"/>
          <w:sz w:val="24"/>
          <w:szCs w:val="24"/>
          <w:highlight w:val="none"/>
          <w:u w:val="none"/>
          <w:lang w:val="en-US" w:eastAsia="zh-CN"/>
        </w:rPr>
        <w:t>等设备</w:t>
      </w:r>
      <w:r>
        <w:rPr>
          <w:rFonts w:cs="宋体" w:asciiTheme="majorEastAsia" w:hAnsiTheme="majorEastAsia" w:eastAsiaTheme="majorEastAsia"/>
          <w:color w:val="auto"/>
          <w:sz w:val="24"/>
          <w:highlight w:val="none"/>
        </w:rPr>
        <w:t>质保期：不少于一年</w:t>
      </w:r>
      <w:r>
        <w:rPr>
          <w:rFonts w:hint="eastAsia" w:cs="宋体" w:asciiTheme="majorEastAsia" w:hAnsiTheme="majorEastAsia" w:eastAsiaTheme="majorEastAsia"/>
          <w:color w:val="auto"/>
          <w:sz w:val="24"/>
          <w:highlight w:val="none"/>
        </w:rPr>
        <w:t>。</w:t>
      </w:r>
    </w:p>
    <w:p>
      <w:pPr>
        <w:pStyle w:val="24"/>
        <w:spacing w:line="360" w:lineRule="auto"/>
        <w:rPr>
          <w:rFonts w:asciiTheme="majorEastAsia" w:hAnsiTheme="majorEastAsia" w:eastAsiaTheme="majorEastAsia"/>
          <w:b/>
          <w:color w:val="auto"/>
          <w:sz w:val="24"/>
          <w:highlight w:val="none"/>
        </w:rPr>
      </w:pPr>
      <w:bookmarkStart w:id="282" w:name="EBcc1e85494f644b18a0cfdeea10c8765e"/>
      <w:r>
        <w:rPr>
          <w:rFonts w:hint="eastAsia" w:asciiTheme="majorEastAsia" w:hAnsiTheme="majorEastAsia" w:eastAsiaTheme="majorEastAsia"/>
          <w:b/>
          <w:color w:val="auto"/>
          <w:sz w:val="24"/>
          <w:highlight w:val="none"/>
        </w:rPr>
        <w:t>二、技术需求</w:t>
      </w:r>
    </w:p>
    <w:tbl>
      <w:tblPr>
        <w:tblStyle w:val="38"/>
        <w:tblW w:w="9829" w:type="dxa"/>
        <w:tblInd w:w="-372" w:type="dxa"/>
        <w:tblLayout w:type="fixed"/>
        <w:tblCellMar>
          <w:top w:w="0" w:type="dxa"/>
          <w:left w:w="108" w:type="dxa"/>
          <w:bottom w:w="0" w:type="dxa"/>
          <w:right w:w="108" w:type="dxa"/>
        </w:tblCellMar>
      </w:tblPr>
      <w:tblGrid>
        <w:gridCol w:w="905"/>
        <w:gridCol w:w="720"/>
        <w:gridCol w:w="927"/>
        <w:gridCol w:w="5607"/>
        <w:gridCol w:w="851"/>
        <w:gridCol w:w="819"/>
      </w:tblGrid>
      <w:tr>
        <w:tblPrEx>
          <w:tblCellMar>
            <w:top w:w="0" w:type="dxa"/>
            <w:left w:w="108" w:type="dxa"/>
            <w:bottom w:w="0" w:type="dxa"/>
            <w:right w:w="108" w:type="dxa"/>
          </w:tblCellMar>
        </w:tblPrEx>
        <w:trPr>
          <w:trHeight w:val="312" w:hRule="atLeast"/>
        </w:trPr>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分包及分包名称</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序号</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仪器设备名称</w:t>
            </w:r>
          </w:p>
        </w:tc>
        <w:tc>
          <w:tcPr>
            <w:tcW w:w="56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技术参数</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进口/国产</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eastAsiaTheme="minorEastAsia" w:cstheme="minorEastAsia"/>
                <w:b/>
                <w:bCs/>
                <w:color w:val="auto"/>
                <w:szCs w:val="21"/>
                <w:highlight w:val="none"/>
              </w:rPr>
            </w:pPr>
            <w:r>
              <w:rPr>
                <w:rStyle w:val="209"/>
                <w:rFonts w:hint="default" w:asciiTheme="minorEastAsia" w:hAnsiTheme="minorEastAsia" w:eastAsiaTheme="minorEastAsia" w:cstheme="minorEastAsia"/>
                <w:color w:val="auto"/>
                <w:sz w:val="21"/>
                <w:szCs w:val="21"/>
                <w:highlight w:val="none"/>
                <w:lang w:bidi="ar"/>
              </w:rPr>
              <w:t>数量</w:t>
            </w:r>
            <w:r>
              <w:rPr>
                <w:rStyle w:val="210"/>
                <w:rFonts w:hint="default" w:asciiTheme="minorEastAsia" w:hAnsiTheme="minorEastAsia" w:eastAsiaTheme="minorEastAsia" w:cstheme="minorEastAsia"/>
                <w:color w:val="auto"/>
                <w:sz w:val="21"/>
                <w:szCs w:val="21"/>
                <w:highlight w:val="none"/>
                <w:lang w:bidi="ar"/>
              </w:rPr>
              <w:t>（台/套）</w:t>
            </w:r>
          </w:p>
        </w:tc>
      </w:tr>
      <w:tr>
        <w:tblPrEx>
          <w:tblCellMar>
            <w:top w:w="0" w:type="dxa"/>
            <w:left w:w="108" w:type="dxa"/>
            <w:bottom w:w="0" w:type="dxa"/>
            <w:right w:w="108" w:type="dxa"/>
          </w:tblCellMar>
        </w:tblPrEx>
        <w:trPr>
          <w:trHeight w:val="312" w:hRule="atLeast"/>
        </w:trPr>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5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inorEastAsia" w:hAnsiTheme="minorEastAsia" w:eastAsiaTheme="minorEastAsia" w:cstheme="minorEastAsia"/>
                <w:b/>
                <w:bCs/>
                <w:color w:val="auto"/>
                <w:szCs w:val="21"/>
                <w:highlight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r>
      <w:tr>
        <w:tblPrEx>
          <w:tblCellMar>
            <w:top w:w="0" w:type="dxa"/>
            <w:left w:w="108" w:type="dxa"/>
            <w:bottom w:w="0" w:type="dxa"/>
            <w:right w:w="108" w:type="dxa"/>
          </w:tblCellMar>
        </w:tblPrEx>
        <w:trPr>
          <w:trHeight w:val="600" w:hRule="atLeast"/>
        </w:trPr>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56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heme="minorEastAsia" w:hAnsiTheme="minorEastAsia" w:eastAsiaTheme="minorEastAsia" w:cstheme="minorEastAsia"/>
                <w:b/>
                <w:bCs/>
                <w:color w:val="auto"/>
                <w:szCs w:val="21"/>
                <w:highlight w:val="none"/>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r>
      <w:tr>
        <w:tblPrEx>
          <w:tblCellMar>
            <w:top w:w="0" w:type="dxa"/>
            <w:left w:w="108" w:type="dxa"/>
            <w:bottom w:w="0" w:type="dxa"/>
            <w:right w:w="108" w:type="dxa"/>
          </w:tblCellMar>
        </w:tblPrEx>
        <w:trPr>
          <w:trHeight w:val="600" w:hRule="atLeast"/>
        </w:trPr>
        <w:tc>
          <w:tcPr>
            <w:tcW w:w="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薄层色谱成像仪等设备</w:t>
            </w:r>
          </w:p>
          <w:p>
            <w:pPr>
              <w:widowControl/>
              <w:jc w:val="center"/>
              <w:textAlignment w:val="center"/>
              <w:rPr>
                <w:rFonts w:asciiTheme="minorEastAsia" w:hAnsiTheme="minorEastAsia" w:eastAsiaTheme="minorEastAsia" w:cstheme="minorEastAsia"/>
                <w:b/>
                <w:bCs/>
                <w:color w:val="auto"/>
                <w:szCs w:val="21"/>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宋体" w:hAnsi="宋体" w:eastAsia="宋体"/>
                <w:color w:val="auto"/>
                <w:sz w:val="24"/>
                <w:szCs w:val="24"/>
                <w:highlight w:val="none"/>
              </w:rPr>
              <w:t>薄层色谱成像仪</w:t>
            </w:r>
          </w:p>
        </w:tc>
        <w:tc>
          <w:tcPr>
            <w:tcW w:w="56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olor w:val="auto"/>
                <w:sz w:val="24"/>
                <w:szCs w:val="24"/>
                <w:highlight w:val="none"/>
              </w:rPr>
            </w:pPr>
            <w:r>
              <w:rPr>
                <w:rFonts w:hint="eastAsia" w:ascii="宋体" w:hAnsi="宋体" w:eastAsia="宋体"/>
                <w:color w:val="auto"/>
                <w:sz w:val="24"/>
                <w:szCs w:val="24"/>
                <w:highlight w:val="none"/>
              </w:rPr>
              <w:t>一、设备使用目的、用途方向</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使用目的：主要用于药学及相关专业专任教师、研究生和本科生的教学及科研工作。</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用途方向：开展中药、天然产物化学成分的快速分离以及中药质量标准研究等。</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二、仪器设备技术参数</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1、 数码相机：COMS芯片的工业相机，专用暗箱及机架避免外界光源干扰。固定焦距、光圈、对焦，确保成像色彩、大小重现性。曝光控制3毫秒至10秒，HDRI曝光时间≥60秒，曝光间距≤1微秒。 </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2、图像比较观测：可将同一板或不同板上的选定的色谱轨道导出到同一个窗口平行比较多个抽样，可以对每个色谱轨道进行标记样品信息等；</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3、方法图书馆：可在软件中直接查阅国际薄层色谱协会经验证的实验方法以及实验结果，并可直接在软件中调用方法并下载其图谱与之对比实验结果。</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★4、光源频率≥65KHz,高频光源可消除频闪现象。（须提供证明资料）</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★5、光源：内置254nm/366nm紫外光管、白光管以及透射灯管，确保照度均匀。（须提供证明资料）</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6、动态范围：高动态范围成像技术HDR</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★7、自动校正亮度：使拍摄区域内亮度平衡，对不规范照明光源进行自动修正，消除成像中间亮，四周暗的现象（须提供证明资料）</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8、自动色彩还原：自动对成像、显示、打印的图像进行校正并保持一致性。</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9、图像增强功能：具有自动背景校正，增强图像灵敏度，自动图像优化，自动板面背景扣除，斑点放大功能等；</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10、可以叠加多个图像信息以提高信噪比，提高检测限</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11、数据存储：采用数据库格式保存，按照适当的批次将数据保存在独立的文件中，所有生成的数据可追溯到原始分析；</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12、可对图像进行文字编辑，可对拍摄的照片加注文字、标示，软件自动计算Rf值。</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13、薄层色谱软件可直接控制点样、展开、成像等所有薄层色谱步骤，构成完整的薄层色谱工作站，并可提供完整的薄层色谱分析报告；</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14、系统含有全套操作帮助信息并提供在线帮助，可解释所有薄层设置。</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15、能在主流系统运行使用，符合GMP要求及中国药典要求，图像可根据需要转换成jpg，bmp等格式。</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16、符合GMP、21 CFR11、国际、国内中药、天然产物化学成分相关标准和法规的要求，实现独立用户密码登录等。</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三、仪器设备配置清单</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薄层色谱成像仪一套：包括成像仪主机一台，配置的254nm紫外灯，366nm紫外灯及白光灯管；</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薄层色谱控制软件一套；</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配套台式电脑(不低于：处理器主频3.0以上、内存8G、硬盘1T、4G独显、23寸显示器)</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彩色激光打印机，支持自动双面纸张A4，彩色分辨率：4800*1200dpi，端口USB，WiFi端口打印，一级能效。</w:t>
            </w:r>
          </w:p>
          <w:p>
            <w:pPr>
              <w:rPr>
                <w:rFonts w:ascii="宋体" w:hAnsi="宋体" w:eastAsia="宋体" w:cs="宋体"/>
                <w:color w:val="auto"/>
                <w:szCs w:val="21"/>
                <w:highlight w:val="none"/>
              </w:rPr>
            </w:pPr>
            <w:r>
              <w:rPr>
                <w:rFonts w:hint="eastAsia" w:ascii="宋体" w:hAnsi="宋体" w:eastAsia="宋体"/>
                <w:color w:val="auto"/>
                <w:sz w:val="24"/>
                <w:szCs w:val="24"/>
                <w:highlight w:val="none"/>
              </w:rPr>
              <w:t>中文说明书一份。</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p>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允许进口</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1</w:t>
            </w:r>
          </w:p>
        </w:tc>
      </w:tr>
      <w:tr>
        <w:tblPrEx>
          <w:tblCellMar>
            <w:top w:w="0" w:type="dxa"/>
            <w:left w:w="108" w:type="dxa"/>
            <w:bottom w:w="0" w:type="dxa"/>
            <w:right w:w="108" w:type="dxa"/>
          </w:tblCellMar>
        </w:tblPrEx>
        <w:trPr>
          <w:trHeight w:val="377" w:hRule="atLeast"/>
        </w:trPr>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2</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宋体" w:hAnsi="宋体" w:eastAsia="宋体"/>
                <w:color w:val="auto"/>
                <w:sz w:val="24"/>
                <w:szCs w:val="24"/>
                <w:highlight w:val="none"/>
              </w:rPr>
              <w:t>天然产物合成、药物合成的理论计算服务器</w:t>
            </w:r>
          </w:p>
        </w:tc>
        <w:tc>
          <w:tcPr>
            <w:tcW w:w="5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一、设备使用目的、用途方向</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应用于计算机辅助药物设计、天然产物合成和药物合成方向的研究。</w:t>
            </w:r>
          </w:p>
          <w:p>
            <w:pPr>
              <w:numPr>
                <w:ilvl w:val="0"/>
                <w:numId w:val="2"/>
              </w:num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仪器设备技术参数</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17、 机箱：标准4U服务器。</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18、 ★处理器：支持全新一代服务器可扩展处理器1~2颗；本次配置≥2颗 2.5G 24核48线程 正式版。（须提供证明资料）</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19、芯片组：C621/622。</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20、内存：16块DDR4 Registered、LR DIMM，支持高级ECC、内存在线热备、内存镜像技术，支持NVDIMM、数据中心级持久内存；本次配置服务器内存DDR4 2933 128G；内存最大可扩展数量：最大支持16个内存插槽。</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21、本地存储：支持SAS/SATA/NVMe接口，支持1个内置基于SATA总线的M.2 SSD硬盘，本次配置1块480G M.2 SSD；6T企业级存储。接口类型：支持SAS/SATA/U.2（NVMe）接口，支持SATA总线的M.2 SSD硬盘，支持硬盘热拔插；</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最大支持硬盘数：前置：最大12块3.5英寸硬盘；内置：最大1块M.2 SSD。</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22、I/O扩展：支持6个PCIE3.0插槽；最大支持4个单宽GPU；1个前置USB2.0接口，1个前置USB3.0接口，2个后置USB3.0接口，1个后置VGA接口。</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23、网络：板载2个千兆网卡。</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24、RAID卡：可RAID 0，1，5，10；本次配置8路 1G raid磁盘阵列卡。</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25、电源模块：可选配单个或两个热插拔冗余电源，支持1+1冗余（支持白金和钛金电源）；本次配置850W 服务器电源。</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26、系统管理：板载BMC管理模块，支持带外和带内远程管理控制，如IPMI2.0、KVM Over IP、SOL、SNMP等，可实现与操作系统无关的远程对服务器的完全控制，可检测SSD盘使用寿命。原厂管理软件，可以同时部署多台主机或按照计划时间进行特定部署，可监控服务器CPU、内存等资源使用率，批量日志收集等。支持中文BIOS界面设置，支持TPM/TCM安全模块，支持带内和带外安全管理。</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27、硬件诊断功能：能够对主机CPU/内存/硬盘/网卡/风扇/温度/电源等关键部件的故障诊断报警。</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28、管理维护功能：提供基于Web的远程管理控制、配备硬件监控、远程管理功能；支持IPMI2.0标准。提供IKVM功能，实现远程KVM功能；独立管理口100%兼容千兆或百兆交换网络，通过管理口实现远程开关机、重启、网络安装操作系统等操作。</w:t>
            </w:r>
          </w:p>
          <w:p>
            <w:pP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 xml:space="preserve">29、安全：支持TPM安全可信模块 </w:t>
            </w:r>
            <w:r>
              <w:rPr>
                <w:rFonts w:hint="eastAsia" w:ascii="宋体" w:hAnsi="宋体" w:eastAsia="宋体"/>
                <w:color w:val="auto"/>
                <w:sz w:val="24"/>
                <w:szCs w:val="24"/>
                <w:highlight w:val="none"/>
                <w:lang w:eastAsia="zh-CN"/>
              </w:rPr>
              <w:t>。</w:t>
            </w:r>
          </w:p>
          <w:p>
            <w:pPr>
              <w:rPr>
                <w:rFonts w:hint="eastAsia" w:ascii="宋体" w:hAnsi="宋体" w:eastAsia="宋体"/>
                <w:color w:val="auto"/>
                <w:sz w:val="24"/>
                <w:szCs w:val="24"/>
                <w:highlight w:val="none"/>
              </w:rPr>
            </w:pPr>
            <w:r>
              <w:rPr>
                <w:rFonts w:hint="eastAsia" w:ascii="宋体" w:hAnsi="宋体" w:eastAsia="宋体"/>
                <w:color w:val="auto"/>
                <w:sz w:val="24"/>
                <w:szCs w:val="24"/>
                <w:highlight w:val="none"/>
              </w:rPr>
              <w:t xml:space="preserve">30、★服务器需实现智能计算功能，自动批量提交作业，并发送结果报告。（须提供证明资料）    </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三、仪器设备清单</w:t>
            </w:r>
          </w:p>
          <w:p>
            <w:pPr>
              <w:rPr>
                <w:rFonts w:ascii="宋体" w:hAnsi="宋体" w:eastAsia="宋体" w:cs="宋体"/>
                <w:b/>
                <w:bCs/>
                <w:color w:val="auto"/>
                <w:szCs w:val="21"/>
                <w:highlight w:val="none"/>
              </w:rPr>
            </w:pPr>
            <w:r>
              <w:rPr>
                <w:rFonts w:hint="eastAsia" w:ascii="宋体" w:hAnsi="宋体" w:eastAsia="宋体"/>
                <w:color w:val="auto"/>
                <w:sz w:val="24"/>
                <w:szCs w:val="24"/>
                <w:highlight w:val="none"/>
              </w:rPr>
              <w:t>服务器2台。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国产</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w:t>
            </w:r>
          </w:p>
        </w:tc>
      </w:tr>
      <w:tr>
        <w:tblPrEx>
          <w:tblCellMar>
            <w:top w:w="0" w:type="dxa"/>
            <w:left w:w="108" w:type="dxa"/>
            <w:bottom w:w="0" w:type="dxa"/>
            <w:right w:w="108" w:type="dxa"/>
          </w:tblCellMar>
        </w:tblPrEx>
        <w:trPr>
          <w:trHeight w:val="600" w:hRule="atLeast"/>
        </w:trPr>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宋体" w:hAnsi="宋体" w:eastAsia="宋体"/>
                <w:color w:val="auto"/>
                <w:sz w:val="24"/>
                <w:szCs w:val="24"/>
                <w:highlight w:val="none"/>
              </w:rPr>
              <w:t>全自动化学发光荧光图像分析系统</w:t>
            </w:r>
          </w:p>
        </w:tc>
        <w:tc>
          <w:tcPr>
            <w:tcW w:w="5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olor w:val="auto"/>
                <w:sz w:val="24"/>
                <w:szCs w:val="24"/>
                <w:highlight w:val="none"/>
              </w:rPr>
            </w:pPr>
            <w:r>
              <w:rPr>
                <w:rFonts w:hint="eastAsia" w:ascii="宋体" w:hAnsi="宋体" w:eastAsia="宋体"/>
                <w:color w:val="auto"/>
                <w:sz w:val="24"/>
                <w:szCs w:val="24"/>
                <w:highlight w:val="none"/>
              </w:rPr>
              <w:t>一、设备使用目的、用途方向</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拟购买的设备属于科研基础设备的一部分，主要用于靶点分析平台的搭建。</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二、仪器设备技术参数</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仪器性能：</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31、摄像头：低照度数CCD高分辨摄像头</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32、 冷却温度：≤-65℃1.3 分辨率：≥2680×2200</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33、光电效率：CCD芯片光电转换效率≥75% </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34、读出噪声：≤ 4 e- RMS </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35、暗电流噪声：≤ 0.00016 e-/p/s </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★36、电动镜头：标配≤ F 0.80镜头，光圈≤ F 0.80（验收指标）（须提供相关证明资料）</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37、电动调焦：软件可以进行镜头的电动聚焦调整</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38、样品台：双层样品台，兼容拍摄样品厚度0.02mm - 9.5cm</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39、滤光片轮：电脑控制自动滤光片轮，标配≥4种滤光片</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★40、滤光片尺寸：直径≥62mm （验收指标）（须提供相关证明资料）</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★41、紫外波长：302nm、254nm、365nm（须提供相关证明资料）</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42、多色荧光：配R、G、B荧光激发光源</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43、投标产品可进行动物活体成像，提供相关证明材料。</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44、 软件功能</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45、中文操作软件，识别图像以及序列图像8bit、16bit。</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46、区域自动曝光: 可自由选择曝光识别区域，自动曝光</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47、单张自动曝光: 系统自动识别样品强度并自动设置最佳单张曝光时间，获得单张图像</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48、序列自动曝光: 系统自动识别样品强度，并自动设置最佳序列曝光时间，一次自动曝光即可获得≥5 张图像</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49、序列保存: 具有序列图像保存功能，无需单张图片分别存储</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50、溢出提示: 在拍摄中可显示过饱和像素，保证精确定量</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51、</w:t>
            </w:r>
            <w:r>
              <w:rPr>
                <w:rFonts w:ascii="宋体" w:hAnsi="宋体" w:eastAsia="宋体"/>
                <w:color w:val="auto"/>
                <w:sz w:val="24"/>
                <w:szCs w:val="24"/>
                <w:highlight w:val="none"/>
              </w:rPr>
              <w:t>台式电脑</w:t>
            </w:r>
            <w:r>
              <w:rPr>
                <w:rFonts w:hint="eastAsia" w:ascii="宋体" w:hAnsi="宋体" w:eastAsia="宋体"/>
                <w:color w:val="auto"/>
                <w:sz w:val="24"/>
                <w:szCs w:val="24"/>
                <w:highlight w:val="none"/>
              </w:rPr>
              <w:t>（</w:t>
            </w:r>
            <w:r>
              <w:rPr>
                <w:rFonts w:hint="eastAsia" w:ascii="宋体" w:hAnsi="宋体" w:cs="宋体"/>
                <w:color w:val="auto"/>
                <w:sz w:val="24"/>
                <w:highlight w:val="none"/>
              </w:rPr>
              <w:t>政府强制采购节能产品）</w:t>
            </w:r>
            <w:r>
              <w:rPr>
                <w:rFonts w:hint="eastAsia" w:ascii="宋体" w:hAnsi="宋体" w:eastAsia="宋体"/>
                <w:color w:val="auto"/>
                <w:sz w:val="24"/>
                <w:szCs w:val="24"/>
                <w:highlight w:val="none"/>
              </w:rPr>
              <w:t>：</w:t>
            </w:r>
            <w:r>
              <w:rPr>
                <w:rFonts w:ascii="宋体" w:hAnsi="宋体" w:eastAsia="宋体"/>
                <w:color w:val="auto"/>
                <w:sz w:val="24"/>
                <w:szCs w:val="24"/>
                <w:highlight w:val="none"/>
              </w:rPr>
              <w:t>处理器主频3.0以上、内存8G、硬盘1T、4G独显、23寸显示器</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52、</w:t>
            </w:r>
            <w:r>
              <w:rPr>
                <w:rFonts w:ascii="宋体" w:hAnsi="宋体" w:eastAsia="宋体"/>
                <w:color w:val="auto"/>
                <w:sz w:val="24"/>
                <w:szCs w:val="24"/>
                <w:highlight w:val="none"/>
              </w:rPr>
              <w:t>彩色激光打印机</w:t>
            </w:r>
            <w:r>
              <w:rPr>
                <w:rFonts w:hint="eastAsia" w:ascii="宋体" w:hAnsi="宋体" w:eastAsia="宋体"/>
                <w:color w:val="auto"/>
                <w:sz w:val="24"/>
                <w:szCs w:val="24"/>
                <w:highlight w:val="none"/>
              </w:rPr>
              <w:t>（</w:t>
            </w:r>
            <w:r>
              <w:rPr>
                <w:rFonts w:hint="eastAsia" w:ascii="宋体" w:hAnsi="宋体" w:cs="宋体"/>
                <w:color w:val="auto"/>
                <w:sz w:val="24"/>
                <w:highlight w:val="none"/>
              </w:rPr>
              <w:t>政府强制采购节能产品）</w:t>
            </w:r>
            <w:r>
              <w:rPr>
                <w:rFonts w:hint="eastAsia" w:ascii="宋体" w:hAnsi="宋体" w:eastAsia="宋体"/>
                <w:color w:val="auto"/>
                <w:sz w:val="24"/>
                <w:szCs w:val="24"/>
                <w:highlight w:val="none"/>
              </w:rPr>
              <w:t>：</w:t>
            </w:r>
            <w:r>
              <w:rPr>
                <w:rFonts w:ascii="宋体" w:hAnsi="宋体" w:eastAsia="宋体"/>
                <w:color w:val="auto"/>
                <w:sz w:val="24"/>
                <w:szCs w:val="24"/>
                <w:highlight w:val="none"/>
              </w:rPr>
              <w:t>支持自动双面纸张A4，彩色分辨率：4800*1200dpi，端口USB，WiFi端口打印，一级能效。</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三、配置要求</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标配密闭暗箱装置一个</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标配制冷CCD摄像头一个</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标配F0.8电动镜头一个</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标配直径≥62mm的4种滤光片</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标配拍摄分析软件一套</w:t>
            </w:r>
          </w:p>
          <w:p>
            <w:pPr>
              <w:rPr>
                <w:rFonts w:ascii="宋体" w:hAnsi="宋体" w:eastAsia="宋体" w:cs="宋体"/>
                <w:color w:val="auto"/>
                <w:szCs w:val="21"/>
                <w:highlight w:val="none"/>
              </w:rPr>
            </w:pPr>
            <w:r>
              <w:rPr>
                <w:rFonts w:hint="eastAsia" w:ascii="宋体" w:hAnsi="宋体" w:eastAsia="宋体"/>
                <w:color w:val="auto"/>
                <w:sz w:val="24"/>
                <w:szCs w:val="24"/>
                <w:highlight w:val="none"/>
              </w:rPr>
              <w:t>标配台式电脑一台及</w:t>
            </w:r>
            <w:bookmarkStart w:id="283" w:name="_Hlk133312817"/>
            <w:r>
              <w:rPr>
                <w:rFonts w:hint="eastAsia" w:ascii="宋体" w:hAnsi="宋体" w:eastAsia="宋体"/>
                <w:color w:val="auto"/>
                <w:sz w:val="24"/>
                <w:szCs w:val="24"/>
                <w:highlight w:val="none"/>
              </w:rPr>
              <w:t>彩色激光打印机</w:t>
            </w:r>
            <w:bookmarkEnd w:id="283"/>
            <w:r>
              <w:rPr>
                <w:rFonts w:hint="eastAsia" w:ascii="宋体" w:hAnsi="宋体" w:eastAsia="宋体"/>
                <w:color w:val="auto"/>
                <w:sz w:val="24"/>
                <w:szCs w:val="24"/>
                <w:highlight w:val="none"/>
              </w:rPr>
              <w:t>一台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国产</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1</w:t>
            </w:r>
          </w:p>
        </w:tc>
      </w:tr>
      <w:tr>
        <w:tblPrEx>
          <w:tblCellMar>
            <w:top w:w="0" w:type="dxa"/>
            <w:left w:w="108" w:type="dxa"/>
            <w:bottom w:w="0" w:type="dxa"/>
            <w:right w:w="108" w:type="dxa"/>
          </w:tblCellMar>
        </w:tblPrEx>
        <w:trPr>
          <w:trHeight w:val="600" w:hRule="atLeast"/>
        </w:trPr>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宋体" w:hAnsi="宋体" w:eastAsia="宋体"/>
                <w:color w:val="auto"/>
                <w:sz w:val="24"/>
                <w:szCs w:val="24"/>
                <w:highlight w:val="none"/>
              </w:rPr>
              <w:t>超微量紫外可见光分光光度计</w:t>
            </w:r>
          </w:p>
        </w:tc>
        <w:tc>
          <w:tcPr>
            <w:tcW w:w="5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一、设备使用目的、用途方向</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使用目的：研究生科研及教学</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用途方向：微量核酸、蛋白浓度的测定。</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二、</w:t>
            </w:r>
            <w:r>
              <w:rPr>
                <w:rFonts w:hint="eastAsia" w:ascii="宋体" w:hAnsi="宋体" w:eastAsia="宋体"/>
                <w:color w:val="auto"/>
                <w:sz w:val="24"/>
                <w:szCs w:val="24"/>
                <w:highlight w:val="none"/>
              </w:rPr>
              <w:tab/>
            </w:r>
            <w:r>
              <w:rPr>
                <w:rFonts w:hint="eastAsia" w:ascii="宋体" w:hAnsi="宋体" w:eastAsia="宋体"/>
                <w:color w:val="auto"/>
                <w:sz w:val="24"/>
                <w:szCs w:val="24"/>
                <w:highlight w:val="none"/>
              </w:rPr>
              <w:t>仪器设备技术参数</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53、形成液柱的方式检测微量样品，一次检测所需样品≤0.5ul。</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54、检测浓度范围宽，常用样品不需要稀释可检测</w:t>
            </w:r>
            <w:r>
              <w:rPr>
                <w:rFonts w:hint="eastAsia" w:ascii="宋体" w:hAnsi="宋体" w:eastAsia="宋体"/>
                <w:color w:val="auto"/>
                <w:sz w:val="24"/>
                <w:szCs w:val="24"/>
                <w:highlight w:val="none"/>
              </w:rPr>
              <w:t>。</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55、开机即可检测，单次检测时间2</w:t>
            </w:r>
            <w:r>
              <w:rPr>
                <w:rFonts w:hint="eastAsia" w:ascii="微软雅黑" w:hAnsi="微软雅黑" w:eastAsia="微软雅黑" w:cs="微软雅黑"/>
                <w:color w:val="auto"/>
                <w:sz w:val="24"/>
                <w:szCs w:val="24"/>
                <w:highlight w:val="none"/>
              </w:rPr>
              <w:t>-</w:t>
            </w:r>
            <w:r>
              <w:rPr>
                <w:rFonts w:hint="eastAsia" w:ascii="宋体" w:hAnsi="宋体" w:eastAsia="宋体"/>
                <w:color w:val="auto"/>
                <w:sz w:val="24"/>
                <w:szCs w:val="24"/>
                <w:highlight w:val="none"/>
              </w:rPr>
              <w:t>5秒左右可完成。</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56、内置软件操作运行。</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57、体积小可携带，可用于现场检测。</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58、可记录测试的所有数据，可截屏，随时导出或者删除数据。可存储数据≥9000个。</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59、软件可通过U盘快速升级。</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60、用户管理系统具有多用户独立检测独立管理数据的功能，。</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61、电容触摸显示屏≥6.0寸，可使用实验室手套点触，</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62、开机自检，判断开机的时候检测平台是否有杂质。</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63、样品检测平台材料是高强度、防腐蚀不锈钢和石英光纤。                                                                                                                                                             </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64、比色皿检测功能，比色皿测量可提供加热辅助功能，适用于更多检测场景。</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★65、可进行动力学检测，提供直观的吸光度变化曲线，可自定义波长点查看吸光度随时间变化关系，可以内置≥100个动力学程序。</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★66、支持菌落（OD600）检测，微量和比色皿两种模式下均可进行菌落检测。</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67、比色皿测量孔有防尘设计，防止因为灰尘的积压导致测量不准确。</w:t>
            </w:r>
          </w:p>
          <w:p>
            <w:pPr>
              <w:spacing w:line="0" w:lineRule="atLeast"/>
              <w:rPr>
                <w:rFonts w:ascii="宋体" w:hAnsi="宋体" w:eastAsia="宋体"/>
                <w:color w:val="auto"/>
                <w:sz w:val="24"/>
                <w:szCs w:val="24"/>
                <w:highlight w:val="none"/>
              </w:rPr>
            </w:pPr>
            <w:r>
              <w:rPr>
                <w:rFonts w:hint="eastAsia" w:ascii="宋体" w:hAnsi="宋体" w:eastAsia="宋体"/>
                <w:color w:val="auto"/>
                <w:sz w:val="24"/>
                <w:szCs w:val="24"/>
                <w:highlight w:val="none"/>
              </w:rPr>
              <w:t>68、USB可连接打印机输出数据。</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三、仪器设备配置清单</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主机一台</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电源一套</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转运箱一个</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说明书一套，保修卡一张</w:t>
            </w:r>
          </w:p>
          <w:p>
            <w:pPr>
              <w:pStyle w:val="127"/>
              <w:ind w:firstLine="0" w:firstLineChars="0"/>
              <w:jc w:val="left"/>
              <w:rPr>
                <w:rFonts w:ascii="宋体" w:hAnsi="宋体" w:cs="宋体"/>
                <w:b/>
                <w:bCs/>
                <w:color w:val="auto"/>
                <w:szCs w:val="21"/>
                <w:highlight w:val="none"/>
              </w:rPr>
            </w:pPr>
            <w:r>
              <w:rPr>
                <w:rFonts w:hint="eastAsia" w:ascii="宋体" w:hAnsi="宋体"/>
                <w:color w:val="auto"/>
                <w:sz w:val="24"/>
                <w:szCs w:val="24"/>
                <w:highlight w:val="none"/>
              </w:rPr>
              <w:t>石英比色皿2只</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国产</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1</w:t>
            </w:r>
          </w:p>
        </w:tc>
      </w:tr>
      <w:tr>
        <w:tblPrEx>
          <w:tblCellMar>
            <w:top w:w="0" w:type="dxa"/>
            <w:left w:w="108" w:type="dxa"/>
            <w:bottom w:w="0" w:type="dxa"/>
            <w:right w:w="108" w:type="dxa"/>
          </w:tblCellMar>
        </w:tblPrEx>
        <w:trPr>
          <w:trHeight w:val="600" w:hRule="atLeast"/>
        </w:trPr>
        <w:tc>
          <w:tcPr>
            <w:tcW w:w="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宋体" w:hAnsi="宋体" w:eastAsia="宋体"/>
                <w:color w:val="auto"/>
                <w:sz w:val="24"/>
                <w:szCs w:val="24"/>
                <w:highlight w:val="none"/>
              </w:rPr>
              <w:t>八通道恒电位仪</w:t>
            </w:r>
          </w:p>
        </w:tc>
        <w:tc>
          <w:tcPr>
            <w:tcW w:w="56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olor w:val="auto"/>
                <w:sz w:val="24"/>
                <w:szCs w:val="24"/>
                <w:highlight w:val="none"/>
              </w:rPr>
            </w:pPr>
            <w:r>
              <w:rPr>
                <w:rFonts w:hint="eastAsia" w:ascii="宋体" w:hAnsi="宋体" w:eastAsia="宋体"/>
                <w:color w:val="auto"/>
                <w:sz w:val="24"/>
                <w:szCs w:val="24"/>
                <w:highlight w:val="none"/>
              </w:rPr>
              <w:t>一、设备使用目的、用途方向</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采用电化学的测试方法测定活性分子（蛋白、小分子药物、DNA、糖类、脂类等），并对其含量进行准确测定。</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二、仪器设备技术参数</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恒电位仪仪器参数</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★69、仪器是在八工作电极在同一个溶液中进行测定，其检测电位的范围在±9-15V（须提供相关证明资料）</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70、电位控制精度±1mV</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71、电位控制噪声：&lt;0.01mV</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72、槽压：±8-15V</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73、电流范围(每个通道)：±8-15mA</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74、参比电极输入阻抗：1.0×10</w:t>
            </w:r>
            <w:r>
              <w:rPr>
                <w:rFonts w:hint="eastAsia" w:ascii="宋体" w:hAnsi="宋体" w:eastAsia="宋体"/>
                <w:color w:val="auto"/>
                <w:sz w:val="24"/>
                <w:szCs w:val="24"/>
                <w:highlight w:val="none"/>
                <w:vertAlign w:val="superscript"/>
              </w:rPr>
              <w:t>12</w:t>
            </w:r>
            <w:r>
              <w:rPr>
                <w:rFonts w:hint="eastAsia" w:ascii="宋体" w:hAnsi="宋体" w:eastAsia="宋体"/>
                <w:color w:val="auto"/>
                <w:sz w:val="24"/>
                <w:szCs w:val="24"/>
                <w:highlight w:val="none"/>
              </w:rPr>
              <w:t xml:space="preserve"> -2.0×10</w:t>
            </w:r>
            <w:r>
              <w:rPr>
                <w:rFonts w:hint="eastAsia" w:ascii="宋体" w:hAnsi="宋体" w:eastAsia="宋体"/>
                <w:color w:val="auto"/>
                <w:sz w:val="24"/>
                <w:szCs w:val="24"/>
                <w:highlight w:val="none"/>
                <w:vertAlign w:val="superscript"/>
              </w:rPr>
              <w:t>12</w:t>
            </w:r>
            <w:r>
              <w:rPr>
                <w:rFonts w:hint="eastAsia" w:ascii="宋体" w:hAnsi="宋体" w:eastAsia="宋体"/>
                <w:color w:val="auto"/>
                <w:sz w:val="24"/>
                <w:szCs w:val="24"/>
                <w:highlight w:val="none"/>
              </w:rPr>
              <w:t>ohm</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75、灵敏度量程：1×10</w:t>
            </w:r>
            <w:r>
              <w:rPr>
                <w:rFonts w:hint="eastAsia" w:ascii="宋体" w:hAnsi="宋体" w:eastAsia="宋体"/>
                <w:color w:val="auto"/>
                <w:sz w:val="24"/>
                <w:szCs w:val="24"/>
                <w:highlight w:val="none"/>
                <w:vertAlign w:val="superscript"/>
              </w:rPr>
              <w:t>-10</w:t>
            </w:r>
            <w:r>
              <w:rPr>
                <w:rFonts w:hint="eastAsia" w:ascii="宋体" w:hAnsi="宋体" w:eastAsia="宋体"/>
                <w:color w:val="auto"/>
                <w:sz w:val="24"/>
                <w:szCs w:val="24"/>
                <w:highlight w:val="none"/>
              </w:rPr>
              <w:t>- 0.002A/V共7档</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76、输入偏置电流：&lt;45±5 pA</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77、电流测量分辨率：&lt;1±0.5pA</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78、最高数据采集速率：1-1.5MHz@16位</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79、CV和LSV扫描速度：0.000001-5500V/s</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80、CA和CC脉冲宽度：0.0001 -1500s，CA和CC阶跃次数：≥310-320，DPV和NPV脉冲宽度：0.001±0.0001-10±0.1s，SWV频率：1±0.5-100000±100Hz</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三、仪器设备配置清单</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主机 1 台</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电极抛光材料1 套：1.0um a-氧化铝粉（4.5g）、0.3 um a-氧化铝粉（4.5g）、0.05 um g-氧化铝粉（18g）、1200目的Carbimet金相砂纸（灰色）、尼龙抛光布（白色）、Microcloth抛光绒布（咖啡色）。</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电极架2套，八通道的和单通道的各一套。</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铂丝对电极2根，CHI150饱和甘汞参比电极2根，Ag/AgCl(银/氯化银)参比电极1根，工作电极4根（2根直径2mm金盘电极，1根直径3mm玻碳盘电极，1根直径2mm银盘电极）。</w:t>
            </w:r>
          </w:p>
          <w:p>
            <w:pPr>
              <w:rPr>
                <w:rFonts w:ascii="宋体" w:hAnsi="宋体" w:eastAsia="宋体" w:cs="宋体"/>
                <w:b/>
                <w:bCs/>
                <w:color w:val="auto"/>
                <w:szCs w:val="21"/>
                <w:highlight w:val="none"/>
              </w:rPr>
            </w:pPr>
            <w:r>
              <w:rPr>
                <w:rFonts w:hint="eastAsia" w:ascii="宋体" w:hAnsi="宋体" w:eastAsia="宋体"/>
                <w:color w:val="auto"/>
                <w:sz w:val="24"/>
                <w:szCs w:val="24"/>
                <w:highlight w:val="none"/>
              </w:rPr>
              <w:t>电极线1根。</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国产</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lang w:bidi="ar"/>
              </w:rPr>
              <w:t>1</w:t>
            </w:r>
          </w:p>
        </w:tc>
      </w:tr>
      <w:tr>
        <w:tblPrEx>
          <w:tblCellMar>
            <w:top w:w="0" w:type="dxa"/>
            <w:left w:w="108" w:type="dxa"/>
            <w:bottom w:w="0" w:type="dxa"/>
            <w:right w:w="108" w:type="dxa"/>
          </w:tblCellMar>
        </w:tblPrEx>
        <w:trPr>
          <w:trHeight w:val="600"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bCs/>
                <w:color w:val="auto"/>
                <w:szCs w:val="21"/>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Cs w:val="21"/>
                <w:highlight w:val="none"/>
                <w:lang w:bidi="ar"/>
              </w:rPr>
            </w:pPr>
            <w:r>
              <w:rPr>
                <w:rFonts w:hint="eastAsia" w:asciiTheme="minorEastAsia" w:hAnsiTheme="minorEastAsia" w:eastAsiaTheme="minorEastAsia" w:cstheme="minorEastAsia"/>
                <w:color w:val="auto"/>
                <w:kern w:val="0"/>
                <w:szCs w:val="21"/>
                <w:highlight w:val="none"/>
                <w:lang w:bidi="ar"/>
              </w:rPr>
              <w:t>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highlight w:val="none"/>
              </w:rPr>
            </w:pPr>
            <w:r>
              <w:rPr>
                <w:rFonts w:hint="eastAsia" w:ascii="宋体" w:hAnsi="宋体" w:eastAsia="宋体"/>
                <w:color w:val="auto"/>
                <w:sz w:val="24"/>
                <w:szCs w:val="24"/>
                <w:highlight w:val="none"/>
              </w:rPr>
              <w:t>细胞光毒性辐照仪</w:t>
            </w:r>
          </w:p>
        </w:tc>
        <w:tc>
          <w:tcPr>
            <w:tcW w:w="560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olor w:val="auto"/>
                <w:sz w:val="24"/>
                <w:szCs w:val="24"/>
                <w:highlight w:val="none"/>
              </w:rPr>
            </w:pPr>
            <w:r>
              <w:rPr>
                <w:rFonts w:hint="eastAsia" w:ascii="宋体" w:hAnsi="宋体" w:eastAsia="宋体"/>
                <w:color w:val="auto"/>
                <w:sz w:val="24"/>
                <w:szCs w:val="24"/>
                <w:highlight w:val="none"/>
              </w:rPr>
              <w:t>一、设备使用目的、用途方向</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使用目的或用途：适用于光动力、光热力治疗，评价光敏药物的细胞光毒性以及释放性能。</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技术要求：1）产品的整机材质抗风化、耐酸碱且适合消毒；2）产品的适配培养板为等标准细胞培养板，内置紫外传感器的精度控制为±</w:t>
            </w:r>
            <w:r>
              <w:rPr>
                <w:rFonts w:ascii="宋体" w:hAnsi="宋体" w:eastAsia="宋体"/>
                <w:color w:val="auto"/>
                <w:sz w:val="24"/>
                <w:szCs w:val="24"/>
                <w:highlight w:val="none"/>
              </w:rPr>
              <w:t>5%</w:t>
            </w:r>
            <w:r>
              <w:rPr>
                <w:rFonts w:hint="eastAsia" w:ascii="宋体" w:hAnsi="宋体" w:eastAsia="宋体"/>
                <w:color w:val="auto"/>
                <w:sz w:val="24"/>
                <w:szCs w:val="24"/>
                <w:highlight w:val="none"/>
              </w:rPr>
              <w:t>；3）安全控制方面主要涉及U</w:t>
            </w:r>
            <w:r>
              <w:rPr>
                <w:rFonts w:ascii="宋体" w:hAnsi="宋体" w:eastAsia="宋体"/>
                <w:color w:val="auto"/>
                <w:sz w:val="24"/>
                <w:szCs w:val="24"/>
                <w:highlight w:val="none"/>
              </w:rPr>
              <w:t>VA</w:t>
            </w:r>
            <w:r>
              <w:rPr>
                <w:rFonts w:hint="eastAsia" w:ascii="宋体" w:hAnsi="宋体" w:eastAsia="宋体"/>
                <w:color w:val="auto"/>
                <w:sz w:val="24"/>
                <w:szCs w:val="24"/>
                <w:highlight w:val="none"/>
              </w:rPr>
              <w:t>辐照时间，可智能地设置辐照全过程的间歇时间。</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二、仪器设备技术参数</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81、电源：220 VAC，50 Hz；</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82、标配容量：2块</w:t>
            </w:r>
            <w:r>
              <w:rPr>
                <w:rFonts w:ascii="宋体" w:hAnsi="宋体" w:eastAsia="宋体"/>
                <w:color w:val="auto"/>
                <w:sz w:val="24"/>
                <w:szCs w:val="24"/>
                <w:highlight w:val="none"/>
              </w:rPr>
              <w:t>96孔</w:t>
            </w:r>
            <w:r>
              <w:rPr>
                <w:rFonts w:hint="eastAsia" w:ascii="宋体" w:hAnsi="宋体" w:eastAsia="宋体"/>
                <w:color w:val="auto"/>
                <w:sz w:val="24"/>
                <w:szCs w:val="24"/>
                <w:highlight w:val="none"/>
              </w:rPr>
              <w:t>标准细胞培养板；</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★83、仪器的固定程序：UVA辐照强度为1.69</w:t>
            </w:r>
            <w:r>
              <w:rPr>
                <w:color w:val="auto"/>
                <w:highlight w:val="none"/>
              </w:rPr>
              <w:t xml:space="preserve"> </w:t>
            </w:r>
            <w:r>
              <w:rPr>
                <w:rFonts w:ascii="宋体" w:hAnsi="宋体" w:eastAsia="宋体"/>
                <w:color w:val="auto"/>
                <w:sz w:val="24"/>
                <w:szCs w:val="24"/>
                <w:highlight w:val="none"/>
              </w:rPr>
              <w:t>mW/cm</w:t>
            </w:r>
            <w:r>
              <w:rPr>
                <w:rFonts w:ascii="宋体" w:hAnsi="宋体" w:eastAsia="宋体"/>
                <w:color w:val="auto"/>
                <w:sz w:val="24"/>
                <w:szCs w:val="24"/>
                <w:highlight w:val="none"/>
                <w:vertAlign w:val="superscript"/>
              </w:rPr>
              <w:t>2</w:t>
            </w:r>
            <w:r>
              <w:rPr>
                <w:rFonts w:hint="eastAsia" w:ascii="宋体" w:hAnsi="宋体" w:eastAsia="宋体"/>
                <w:color w:val="auto"/>
                <w:sz w:val="24"/>
                <w:szCs w:val="24"/>
                <w:highlight w:val="none"/>
              </w:rPr>
              <w:t>，精度为±</w:t>
            </w:r>
            <w:r>
              <w:rPr>
                <w:rFonts w:ascii="宋体" w:hAnsi="宋体" w:eastAsia="宋体"/>
                <w:color w:val="auto"/>
                <w:sz w:val="24"/>
                <w:szCs w:val="24"/>
                <w:highlight w:val="none"/>
              </w:rPr>
              <w:t>0.05 mW/cm</w:t>
            </w:r>
            <w:r>
              <w:rPr>
                <w:rFonts w:ascii="宋体" w:hAnsi="宋体" w:eastAsia="宋体"/>
                <w:color w:val="auto"/>
                <w:sz w:val="24"/>
                <w:szCs w:val="24"/>
                <w:highlight w:val="none"/>
                <w:vertAlign w:val="superscript"/>
              </w:rPr>
              <w:t>2</w:t>
            </w:r>
            <w:r>
              <w:rPr>
                <w:rFonts w:hint="eastAsia" w:ascii="宋体" w:hAnsi="宋体" w:eastAsia="宋体"/>
                <w:color w:val="auto"/>
                <w:sz w:val="24"/>
                <w:szCs w:val="24"/>
                <w:highlight w:val="none"/>
              </w:rPr>
              <w:t>，时间为50 min；UVA的具体参数：U</w:t>
            </w:r>
            <w:r>
              <w:rPr>
                <w:rFonts w:ascii="宋体" w:hAnsi="宋体" w:eastAsia="宋体"/>
                <w:color w:val="auto"/>
                <w:sz w:val="24"/>
                <w:szCs w:val="24"/>
                <w:highlight w:val="none"/>
              </w:rPr>
              <w:t>VA</w:t>
            </w:r>
            <w:r>
              <w:rPr>
                <w:rFonts w:hint="eastAsia" w:ascii="宋体" w:hAnsi="宋体" w:eastAsia="宋体"/>
                <w:color w:val="auto"/>
                <w:sz w:val="24"/>
                <w:szCs w:val="24"/>
                <w:highlight w:val="none"/>
              </w:rPr>
              <w:t>波长为</w:t>
            </w:r>
            <w:r>
              <w:rPr>
                <w:rFonts w:ascii="宋体" w:hAnsi="宋体" w:eastAsia="宋体"/>
                <w:color w:val="auto"/>
                <w:sz w:val="24"/>
                <w:szCs w:val="24"/>
                <w:highlight w:val="none"/>
              </w:rPr>
              <w:t>365±35 nm</w:t>
            </w:r>
            <w:r>
              <w:rPr>
                <w:rFonts w:hint="eastAsia" w:ascii="宋体" w:hAnsi="宋体" w:eastAsia="宋体"/>
                <w:color w:val="auto"/>
                <w:sz w:val="24"/>
                <w:szCs w:val="24"/>
                <w:highlight w:val="none"/>
              </w:rPr>
              <w:t>；强度为1.3 mW/cm</w:t>
            </w:r>
            <w:r>
              <w:rPr>
                <w:rFonts w:hint="eastAsia" w:ascii="宋体" w:hAnsi="宋体" w:eastAsia="宋体"/>
                <w:color w:val="auto"/>
                <w:sz w:val="24"/>
                <w:szCs w:val="24"/>
                <w:highlight w:val="none"/>
                <w:vertAlign w:val="superscript"/>
              </w:rPr>
              <w:t>2</w:t>
            </w:r>
            <w:r>
              <w:rPr>
                <w:rFonts w:hint="eastAsia" w:ascii="宋体" w:hAnsi="宋体" w:eastAsia="宋体"/>
                <w:color w:val="auto"/>
                <w:sz w:val="24"/>
                <w:szCs w:val="24"/>
                <w:highlight w:val="none"/>
              </w:rPr>
              <w:t>～2.2</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mW/cm</w:t>
            </w:r>
            <w:r>
              <w:rPr>
                <w:rFonts w:hint="eastAsia" w:ascii="宋体" w:hAnsi="宋体" w:eastAsia="宋体"/>
                <w:color w:val="auto"/>
                <w:sz w:val="24"/>
                <w:szCs w:val="24"/>
                <w:highlight w:val="none"/>
                <w:vertAlign w:val="superscript"/>
              </w:rPr>
              <w:t>2</w:t>
            </w:r>
            <w:r>
              <w:rPr>
                <w:rFonts w:hint="eastAsia" w:ascii="宋体" w:hAnsi="宋体" w:eastAsia="宋体"/>
                <w:color w:val="auto"/>
                <w:sz w:val="24"/>
                <w:szCs w:val="24"/>
                <w:highlight w:val="none"/>
              </w:rPr>
              <w:t>，辐照功率为</w:t>
            </w:r>
            <w:r>
              <w:rPr>
                <w:rFonts w:ascii="宋体" w:hAnsi="宋体" w:eastAsia="宋体"/>
                <w:color w:val="auto"/>
                <w:sz w:val="24"/>
                <w:szCs w:val="24"/>
                <w:highlight w:val="none"/>
              </w:rPr>
              <w:t>10%～100%</w:t>
            </w:r>
            <w:r>
              <w:rPr>
                <w:rFonts w:hint="eastAsia" w:ascii="宋体" w:hAnsi="宋体" w:eastAsia="宋体"/>
                <w:color w:val="auto"/>
                <w:sz w:val="24"/>
                <w:szCs w:val="24"/>
                <w:highlight w:val="none"/>
              </w:rPr>
              <w:t>；（须提供相关证明资料）</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84、加热过程预热时间：≤</w:t>
            </w:r>
            <w:r>
              <w:rPr>
                <w:rFonts w:ascii="宋体" w:hAnsi="宋体" w:eastAsia="宋体"/>
                <w:color w:val="auto"/>
                <w:sz w:val="24"/>
                <w:szCs w:val="24"/>
                <w:highlight w:val="none"/>
              </w:rPr>
              <w:t>30min；</w:t>
            </w:r>
            <w:r>
              <w:rPr>
                <w:rFonts w:hint="eastAsia" w:ascii="宋体" w:hAnsi="宋体" w:eastAsia="宋体"/>
                <w:color w:val="auto"/>
                <w:sz w:val="24"/>
                <w:szCs w:val="24"/>
                <w:highlight w:val="none"/>
              </w:rPr>
              <w:t>散热方式：风冷；</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85、适配的温度：36±1 ℃；</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86、适配的CO</w:t>
            </w:r>
            <w:r>
              <w:rPr>
                <w:rFonts w:hint="eastAsia" w:ascii="宋体" w:hAnsi="宋体" w:eastAsia="宋体"/>
                <w:color w:val="auto"/>
                <w:sz w:val="24"/>
                <w:szCs w:val="24"/>
                <w:highlight w:val="none"/>
                <w:vertAlign w:val="subscript"/>
              </w:rPr>
              <w:t>2</w:t>
            </w:r>
            <w:r>
              <w:rPr>
                <w:rFonts w:hint="eastAsia" w:ascii="宋体" w:hAnsi="宋体" w:eastAsia="宋体"/>
                <w:color w:val="auto"/>
                <w:sz w:val="24"/>
                <w:szCs w:val="24"/>
                <w:highlight w:val="none"/>
              </w:rPr>
              <w:t>浓度：5%±0.5%。</w:t>
            </w:r>
          </w:p>
          <w:p>
            <w:pPr>
              <w:rPr>
                <w:rFonts w:ascii="宋体" w:hAnsi="宋体" w:eastAsia="宋体"/>
                <w:color w:val="auto"/>
                <w:sz w:val="24"/>
                <w:szCs w:val="24"/>
                <w:highlight w:val="none"/>
              </w:rPr>
            </w:pPr>
            <w:r>
              <w:rPr>
                <w:rFonts w:hint="eastAsia" w:ascii="宋体" w:hAnsi="宋体" w:eastAsia="宋体"/>
                <w:color w:val="auto"/>
                <w:sz w:val="24"/>
                <w:szCs w:val="24"/>
                <w:highlight w:val="none"/>
              </w:rPr>
              <w:t>三、仪器设备配置清单</w:t>
            </w:r>
          </w:p>
          <w:p>
            <w:pPr>
              <w:rPr>
                <w:rFonts w:asciiTheme="minorEastAsia" w:hAnsiTheme="minorEastAsia"/>
                <w:color w:val="auto"/>
                <w:sz w:val="24"/>
                <w:szCs w:val="24"/>
                <w:highlight w:val="none"/>
              </w:rPr>
            </w:pPr>
            <w:r>
              <w:rPr>
                <w:rFonts w:hint="eastAsia" w:ascii="宋体" w:hAnsi="宋体"/>
                <w:color w:val="auto"/>
                <w:sz w:val="24"/>
                <w:szCs w:val="24"/>
                <w:highlight w:val="none"/>
              </w:rPr>
              <w:t>主机/1台，LUV-10防护眼镜/1副，电源线/1根，选配灯管/1套，产品使用说明书/1份。</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Cs w:val="21"/>
                <w:highlight w:val="none"/>
                <w:lang w:bidi="ar"/>
              </w:rPr>
            </w:pPr>
            <w:r>
              <w:rPr>
                <w:rFonts w:hint="eastAsia" w:asciiTheme="minorEastAsia" w:hAnsiTheme="minorEastAsia" w:eastAsiaTheme="minorEastAsia" w:cstheme="minorEastAsia"/>
                <w:color w:val="auto"/>
                <w:kern w:val="0"/>
                <w:szCs w:val="21"/>
                <w:highlight w:val="none"/>
                <w:lang w:bidi="ar"/>
              </w:rPr>
              <w:t>国产</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auto"/>
                <w:kern w:val="0"/>
                <w:szCs w:val="21"/>
                <w:highlight w:val="none"/>
                <w:lang w:bidi="ar"/>
              </w:rPr>
            </w:pPr>
            <w:r>
              <w:rPr>
                <w:rFonts w:hint="eastAsia" w:asciiTheme="minorEastAsia" w:hAnsiTheme="minorEastAsia" w:eastAsiaTheme="minorEastAsia" w:cstheme="minorEastAsia"/>
                <w:color w:val="auto"/>
                <w:kern w:val="0"/>
                <w:szCs w:val="21"/>
                <w:highlight w:val="none"/>
                <w:lang w:bidi="ar"/>
              </w:rPr>
              <w:t>1</w:t>
            </w:r>
          </w:p>
        </w:tc>
      </w:tr>
    </w:tbl>
    <w:p>
      <w:pPr>
        <w:pStyle w:val="24"/>
        <w:spacing w:line="360" w:lineRule="auto"/>
        <w:rPr>
          <w:rFonts w:ascii="宋体" w:hAnsi="宋体" w:cs="宋体"/>
          <w:color w:val="auto"/>
          <w:sz w:val="24"/>
          <w:highlight w:val="none"/>
        </w:rPr>
      </w:pPr>
      <w:r>
        <w:rPr>
          <w:rFonts w:hint="eastAsia" w:asciiTheme="majorEastAsia" w:hAnsiTheme="majorEastAsia" w:eastAsiaTheme="majorEastAsia"/>
          <w:b/>
          <w:color w:val="auto"/>
          <w:sz w:val="24"/>
          <w:highlight w:val="none"/>
        </w:rPr>
        <w:t>注：</w:t>
      </w:r>
      <w:r>
        <w:rPr>
          <w:rFonts w:ascii="宋体" w:hAnsi="宋体" w:cs="宋体"/>
          <w:color w:val="auto"/>
          <w:sz w:val="24"/>
          <w:highlight w:val="none"/>
        </w:rPr>
        <w:t>1、招标文件采购需求中，标识为核心产品的。如出现多家投标供应商提供</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的核心产品品牌相同的，按一家投标供应商计算（具体确认方式详见须知前附表）。</w:t>
      </w:r>
    </w:p>
    <w:p>
      <w:pPr>
        <w:pStyle w:val="24"/>
        <w:spacing w:line="360" w:lineRule="auto"/>
        <w:ind w:left="480" w:hanging="480" w:hangingChars="200"/>
        <w:rPr>
          <w:rFonts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2、招标文件采购需求中，</w:t>
      </w:r>
      <w:r>
        <w:rPr>
          <w:rFonts w:hint="eastAsia" w:ascii="宋体" w:hAnsi="宋体" w:cs="宋体"/>
          <w:color w:val="auto"/>
          <w:sz w:val="24"/>
          <w:highlight w:val="none"/>
        </w:rPr>
        <w:t>台式电脑、</w:t>
      </w:r>
      <w:r>
        <w:rPr>
          <w:rFonts w:hint="eastAsia" w:ascii="宋体" w:hAnsi="宋体"/>
          <w:color w:val="auto"/>
          <w:sz w:val="24"/>
          <w:highlight w:val="none"/>
        </w:rPr>
        <w:t>激光打印机</w:t>
      </w:r>
      <w:r>
        <w:rPr>
          <w:rFonts w:ascii="宋体" w:hAnsi="宋体" w:cs="宋体"/>
          <w:color w:val="auto"/>
          <w:sz w:val="24"/>
          <w:highlight w:val="none"/>
        </w:rPr>
        <w:t>为政府强制采购节能产品，不</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接受非节能产品。所投产品需提供国家确认的认证机构出具的、处于有效期之内</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的节能产品认证证书。如投标供应商提供的产品不是节能产品或未提供节能产品</w:t>
      </w:r>
    </w:p>
    <w:p>
      <w:pPr>
        <w:pStyle w:val="24"/>
        <w:spacing w:line="360" w:lineRule="auto"/>
        <w:rPr>
          <w:rFonts w:ascii="宋体" w:hAnsi="宋体" w:cs="宋体"/>
          <w:color w:val="auto"/>
          <w:sz w:val="24"/>
          <w:highlight w:val="none"/>
        </w:rPr>
      </w:pPr>
      <w:r>
        <w:rPr>
          <w:rFonts w:ascii="宋体" w:hAnsi="宋体" w:cs="宋体"/>
          <w:color w:val="auto"/>
          <w:sz w:val="24"/>
          <w:highlight w:val="none"/>
        </w:rPr>
        <w:t>认证证书的，其投标将被拒绝。</w:t>
      </w:r>
    </w:p>
    <w:p>
      <w:pPr>
        <w:pStyle w:val="24"/>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ascii="宋体" w:hAnsi="宋体" w:cs="宋体"/>
          <w:color w:val="auto"/>
          <w:sz w:val="24"/>
          <w:highlight w:val="none"/>
        </w:rPr>
        <w:t>3、招标文件采购需求中，带“★”标识的参数为核心参数，“★”标识的参数不接受任何负偏离</w:t>
      </w:r>
      <w:r>
        <w:rPr>
          <w:rFonts w:hint="eastAsia" w:ascii="宋体" w:hAnsi="宋体" w:cs="宋体"/>
          <w:color w:val="auto"/>
          <w:sz w:val="24"/>
          <w:highlight w:val="none"/>
        </w:rPr>
        <w:t>，所有带</w:t>
      </w:r>
      <w:r>
        <w:rPr>
          <w:rFonts w:ascii="宋体" w:hAnsi="宋体" w:cs="宋体"/>
          <w:color w:val="auto"/>
          <w:sz w:val="24"/>
          <w:highlight w:val="none"/>
        </w:rPr>
        <w:t>“★”标识的</w:t>
      </w:r>
      <w:r>
        <w:rPr>
          <w:rFonts w:hint="eastAsia" w:ascii="宋体" w:hAnsi="宋体" w:cs="宋体"/>
          <w:color w:val="auto"/>
          <w:sz w:val="24"/>
          <w:highlight w:val="none"/>
        </w:rPr>
        <w:t>核心</w:t>
      </w:r>
      <w:r>
        <w:rPr>
          <w:rFonts w:ascii="宋体" w:hAnsi="宋体" w:cs="宋体"/>
          <w:color w:val="auto"/>
          <w:sz w:val="24"/>
          <w:highlight w:val="none"/>
        </w:rPr>
        <w:t>参数</w:t>
      </w:r>
      <w:r>
        <w:rPr>
          <w:rFonts w:hint="eastAsia" w:ascii="宋体" w:hAnsi="宋体" w:cs="宋体"/>
          <w:color w:val="auto"/>
          <w:sz w:val="24"/>
          <w:highlight w:val="none"/>
        </w:rPr>
        <w:t>必须提供证明材料。核心参数</w:t>
      </w:r>
      <w:r>
        <w:rPr>
          <w:rFonts w:ascii="宋体" w:hAnsi="宋体" w:cs="宋体"/>
          <w:color w:val="auto"/>
          <w:sz w:val="24"/>
          <w:highlight w:val="none"/>
        </w:rPr>
        <w:t>如投标供应商所投货物/服务在带“★”标识的参数项出现负偏离，视为不响应招标文件采购需求，其投标将被拒绝。</w:t>
      </w:r>
    </w:p>
    <w:p>
      <w:pPr>
        <w:pStyle w:val="24"/>
        <w:spacing w:line="360" w:lineRule="auto"/>
        <w:ind w:left="479" w:leftChars="228"/>
        <w:rPr>
          <w:rFonts w:ascii="宋体" w:hAnsi="宋体" w:cs="宋体"/>
          <w:color w:val="auto"/>
          <w:sz w:val="24"/>
          <w:highlight w:val="none"/>
        </w:rPr>
      </w:pPr>
      <w:r>
        <w:rPr>
          <w:rFonts w:ascii="宋体" w:hAnsi="宋体" w:cs="宋体"/>
          <w:color w:val="auto"/>
          <w:sz w:val="24"/>
          <w:highlight w:val="none"/>
        </w:rPr>
        <w:t>4、经评审委员会认定投标文件货物/服务参数或要求粘贴、复制招标文件采</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购需求内容的，视为不响应招标文件采购需求，其投标将被拒绝。</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5、投标供应商须对本招标文件采购需求中的内容及要求进行点对点应答，</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如需引用招标文件内容的，应当在引用招标文件内容的基础上,逐条逐项进行响</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应、说明和解释，并提供相应的证明材料。</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6、以上需求仅为采购单位针对采购内容的基础要求，投标供应商根据自身</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实力可提供优于采购需求的货物/服务。</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7、如对招标文件采购需求内容有疑问或需要澄清的，请按招标文件前附表</w:t>
      </w:r>
    </w:p>
    <w:p>
      <w:pPr>
        <w:pStyle w:val="24"/>
        <w:spacing w:line="360" w:lineRule="auto"/>
        <w:ind w:left="480" w:hanging="480" w:hangingChars="200"/>
        <w:rPr>
          <w:rFonts w:ascii="宋体" w:hAnsi="宋体" w:cs="宋体"/>
          <w:color w:val="auto"/>
          <w:sz w:val="24"/>
          <w:highlight w:val="none"/>
        </w:rPr>
      </w:pPr>
      <w:r>
        <w:rPr>
          <w:rFonts w:ascii="宋体" w:hAnsi="宋体" w:cs="宋体"/>
          <w:color w:val="auto"/>
          <w:sz w:val="24"/>
          <w:highlight w:val="none"/>
        </w:rPr>
        <w:t>的规定提出，逾期未提出异议的，视同完全理解和接受采购需求内容。</w:t>
      </w:r>
    </w:p>
    <w:p>
      <w:pPr>
        <w:widowControl/>
        <w:shd w:val="clear" w:color="auto" w:fill="FFFFFF"/>
        <w:spacing w:line="326" w:lineRule="atLeast"/>
        <w:rPr>
          <w:rFonts w:ascii="微软雅黑" w:hAnsi="微软雅黑" w:eastAsia="微软雅黑" w:cs="微软雅黑"/>
          <w:color w:val="auto"/>
          <w:sz w:val="28"/>
          <w:szCs w:val="28"/>
          <w:highlight w:val="none"/>
        </w:rPr>
      </w:pPr>
      <w:r>
        <w:rPr>
          <w:rFonts w:hint="eastAsia" w:ascii="方正小标宋_GBK" w:hAnsi="方正小标宋_GBK" w:eastAsia="方正小标宋_GBK" w:cs="方正小标宋_GBK"/>
          <w:color w:val="auto"/>
          <w:kern w:val="0"/>
          <w:sz w:val="28"/>
          <w:szCs w:val="28"/>
          <w:highlight w:val="none"/>
          <w:shd w:val="clear" w:color="auto" w:fill="FFFFFF"/>
          <w:lang w:bidi="ar"/>
        </w:rPr>
        <w:t xml:space="preserve">附表         </w:t>
      </w:r>
      <w:r>
        <w:rPr>
          <w:rFonts w:ascii="方正小标宋_GBK" w:hAnsi="方正小标宋_GBK" w:eastAsia="方正小标宋_GBK" w:cs="方正小标宋_GBK"/>
          <w:color w:val="auto"/>
          <w:kern w:val="0"/>
          <w:sz w:val="28"/>
          <w:szCs w:val="28"/>
          <w:highlight w:val="none"/>
          <w:shd w:val="clear" w:color="auto" w:fill="FFFFFF"/>
          <w:lang w:bidi="ar"/>
        </w:rPr>
        <w:t>参与实施政府采购节能产品认证机构名录</w:t>
      </w:r>
    </w:p>
    <w:tbl>
      <w:tblPr>
        <w:tblStyle w:val="38"/>
        <w:tblW w:w="8987" w:type="dxa"/>
        <w:tblInd w:w="0" w:type="dxa"/>
        <w:shd w:val="clear" w:color="auto" w:fill="FFFFFF"/>
        <w:tblLayout w:type="autofit"/>
        <w:tblCellMar>
          <w:top w:w="0" w:type="dxa"/>
          <w:left w:w="0" w:type="dxa"/>
          <w:bottom w:w="0" w:type="dxa"/>
          <w:right w:w="0" w:type="dxa"/>
        </w:tblCellMar>
      </w:tblPr>
      <w:tblGrid>
        <w:gridCol w:w="609"/>
        <w:gridCol w:w="1151"/>
        <w:gridCol w:w="1037"/>
        <w:gridCol w:w="1502"/>
        <w:gridCol w:w="1353"/>
        <w:gridCol w:w="3335"/>
      </w:tblGrid>
      <w:tr>
        <w:tblPrEx>
          <w:shd w:val="clear" w:color="auto" w:fill="FFFFFF"/>
          <w:tblCellMar>
            <w:top w:w="0" w:type="dxa"/>
            <w:left w:w="0" w:type="dxa"/>
            <w:bottom w:w="0" w:type="dxa"/>
            <w:right w:w="0" w:type="dxa"/>
          </w:tblCellMar>
        </w:tblPrEx>
        <w:trPr>
          <w:trHeight w:val="284" w:hRule="atLeast"/>
        </w:trPr>
        <w:tc>
          <w:tcPr>
            <w:tcW w:w="609"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序号</w:t>
            </w:r>
          </w:p>
        </w:tc>
        <w:tc>
          <w:tcPr>
            <w:tcW w:w="218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一级目录</w:t>
            </w:r>
          </w:p>
        </w:tc>
        <w:tc>
          <w:tcPr>
            <w:tcW w:w="285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二级目录</w:t>
            </w:r>
          </w:p>
        </w:tc>
        <w:tc>
          <w:tcPr>
            <w:tcW w:w="3335" w:type="dxa"/>
            <w:vMerge w:val="restart"/>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认证机构名录</w:t>
            </w: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产品代码</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产品名称</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产品代码</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kern w:val="0"/>
                <w:szCs w:val="21"/>
                <w:highlight w:val="none"/>
                <w:lang w:bidi="ar"/>
              </w:rPr>
              <w:t>产品名称</w:t>
            </w:r>
          </w:p>
        </w:tc>
        <w:tc>
          <w:tcPr>
            <w:tcW w:w="3335" w:type="dxa"/>
            <w:vMerge w:val="continue"/>
            <w:tcBorders>
              <w:top w:val="single" w:color="auto" w:sz="8" w:space="0"/>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w:t>
            </w:r>
          </w:p>
        </w:tc>
        <w:tc>
          <w:tcPr>
            <w:tcW w:w="1151"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A020101</w:t>
            </w:r>
          </w:p>
        </w:tc>
        <w:tc>
          <w:tcPr>
            <w:tcW w:w="1037"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计算机设备</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A02010104</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台式计算机</w:t>
            </w:r>
          </w:p>
        </w:tc>
        <w:tc>
          <w:tcPr>
            <w:tcW w:w="3335"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北京赛西认证有限责任公司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中国网络安全审查技术与认证中心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广州赛宝认证中心服务有限公司</w:t>
            </w: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A02010105</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便携式计算机</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A02010107</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平板式微型计算机</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2</w:t>
            </w:r>
          </w:p>
        </w:tc>
        <w:tc>
          <w:tcPr>
            <w:tcW w:w="1151"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A020106</w:t>
            </w:r>
          </w:p>
        </w:tc>
        <w:tc>
          <w:tcPr>
            <w:tcW w:w="1037"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输入输出设备</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A02010601</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打印设备</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A02010604</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显示设备</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A02010609</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图形图像输入设备</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3</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A020202</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投影仪</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4</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A020204</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多功能一体机</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799"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5</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A020519</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泵</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A02051901</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离心泵</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电能（北京）认证中心有限公司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方圆标志认证集团有限公司</w:t>
            </w:r>
          </w:p>
        </w:tc>
      </w:tr>
      <w:tr>
        <w:tblPrEx>
          <w:shd w:val="clear" w:color="auto" w:fill="FFFFFF"/>
          <w:tblCellMar>
            <w:top w:w="0" w:type="dxa"/>
            <w:left w:w="0" w:type="dxa"/>
            <w:bottom w:w="0" w:type="dxa"/>
            <w:right w:w="0" w:type="dxa"/>
          </w:tblCellMar>
        </w:tblPrEx>
        <w:trPr>
          <w:trHeight w:val="284"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6</w:t>
            </w:r>
          </w:p>
        </w:tc>
        <w:tc>
          <w:tcPr>
            <w:tcW w:w="1151"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A020523</w:t>
            </w:r>
          </w:p>
        </w:tc>
        <w:tc>
          <w:tcPr>
            <w:tcW w:w="1037"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制冷空调设备</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A02052301</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制冷压缩机</w:t>
            </w:r>
          </w:p>
        </w:tc>
        <w:tc>
          <w:tcPr>
            <w:tcW w:w="3335"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威凯认证检测有限公司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合肥通用机械产品认证有限公司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北京中冷通质量认证中心有限公司</w:t>
            </w: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A02052305</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空调机组</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A02052309</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专用制冷、空调设备</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A02052399</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其他制冷空调设备</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1033"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7</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A020601</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电机</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威凯认证检测有限公司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电能（北京）认证中心有限公司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中国船级社质量认证公司</w:t>
            </w:r>
          </w:p>
        </w:tc>
      </w:tr>
      <w:tr>
        <w:tblPrEx>
          <w:shd w:val="clear" w:color="auto" w:fill="FFFFFF"/>
          <w:tblCellMar>
            <w:top w:w="0" w:type="dxa"/>
            <w:left w:w="0" w:type="dxa"/>
            <w:bottom w:w="0" w:type="dxa"/>
            <w:right w:w="0" w:type="dxa"/>
          </w:tblCellMar>
        </w:tblPrEx>
        <w:trPr>
          <w:trHeight w:val="861"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8</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A020602</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变压器</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电能（北京）认证中心有限公司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方圆标志认证集团有限公司</w:t>
            </w:r>
          </w:p>
        </w:tc>
      </w:tr>
      <w:tr>
        <w:tblPrEx>
          <w:shd w:val="clear" w:color="auto" w:fill="FFFFFF"/>
          <w:tblCellMar>
            <w:top w:w="0" w:type="dxa"/>
            <w:left w:w="0" w:type="dxa"/>
            <w:bottom w:w="0" w:type="dxa"/>
            <w:right w:w="0" w:type="dxa"/>
          </w:tblCellMar>
        </w:tblPrEx>
        <w:trPr>
          <w:trHeight w:val="844"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9</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A020609</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镇流器</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深圳市计量质量检测研究院</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中标合信（北京）认证有限公司</w:t>
            </w:r>
          </w:p>
        </w:tc>
      </w:tr>
      <w:tr>
        <w:tblPrEx>
          <w:shd w:val="clear" w:color="auto" w:fill="FFFFFF"/>
          <w:tblCellMar>
            <w:top w:w="0" w:type="dxa"/>
            <w:left w:w="0" w:type="dxa"/>
            <w:bottom w:w="0" w:type="dxa"/>
            <w:right w:w="0" w:type="dxa"/>
          </w:tblCellMar>
        </w:tblPrEx>
        <w:trPr>
          <w:trHeight w:val="400" w:hRule="atLeast"/>
        </w:trPr>
        <w:tc>
          <w:tcPr>
            <w:tcW w:w="60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10</w:t>
            </w:r>
          </w:p>
        </w:tc>
        <w:tc>
          <w:tcPr>
            <w:tcW w:w="1151"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A020618</w:t>
            </w:r>
          </w:p>
        </w:tc>
        <w:tc>
          <w:tcPr>
            <w:tcW w:w="1037"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生活用电器</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A0206180101</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电冰箱</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威凯认证检测有限公司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中家院（北京）检测认证有限公司</w:t>
            </w: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A0206180203</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空调机</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威凯认证检测有限公司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中家院（北京）检测认证有限公司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合肥通用机械产品认证有限公司</w:t>
            </w: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A0206180301</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洗衣机</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威凯认证检测有限公司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中家院（北京）检测认证有限公司</w:t>
            </w:r>
          </w:p>
        </w:tc>
      </w:tr>
      <w:tr>
        <w:tblPrEx>
          <w:shd w:val="clear" w:color="auto" w:fill="FFFFFF"/>
          <w:tblCellMar>
            <w:top w:w="0" w:type="dxa"/>
            <w:left w:w="0" w:type="dxa"/>
            <w:bottom w:w="0" w:type="dxa"/>
            <w:right w:w="0" w:type="dxa"/>
          </w:tblCellMar>
        </w:tblPrEx>
        <w:trPr>
          <w:trHeight w:val="284" w:hRule="atLeast"/>
        </w:trPr>
        <w:tc>
          <w:tcPr>
            <w:tcW w:w="60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151"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037"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A02061808</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热水器</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威凯认证检测有限公司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中家院（北京）检测认证有限公司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合肥通用机械产品认证有限公司(范围仅限于“热泵热水器”)</w:t>
            </w:r>
          </w:p>
        </w:tc>
      </w:tr>
      <w:tr>
        <w:tblPrEx>
          <w:shd w:val="clear" w:color="auto" w:fill="FFFFFF"/>
          <w:tblCellMar>
            <w:top w:w="0" w:type="dxa"/>
            <w:left w:w="0" w:type="dxa"/>
            <w:bottom w:w="0" w:type="dxa"/>
            <w:right w:w="0" w:type="dxa"/>
          </w:tblCellMar>
        </w:tblPrEx>
        <w:trPr>
          <w:trHeight w:val="737"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11</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A020619</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照明设备</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深圳市计量质量检测研究院</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中标合信（北京）认证有限公司</w:t>
            </w:r>
          </w:p>
        </w:tc>
      </w:tr>
      <w:tr>
        <w:tblPrEx>
          <w:shd w:val="clear" w:color="auto" w:fill="FFFFFF"/>
          <w:tblCellMar>
            <w:top w:w="0" w:type="dxa"/>
            <w:left w:w="0" w:type="dxa"/>
            <w:bottom w:w="0" w:type="dxa"/>
            <w:right w:w="0" w:type="dxa"/>
          </w:tblCellMar>
        </w:tblPrEx>
        <w:trPr>
          <w:trHeight w:val="419"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12</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A020910</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电视设备</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A02091001</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普通电视设备（电视机）</w:t>
            </w:r>
          </w:p>
        </w:tc>
        <w:tc>
          <w:tcPr>
            <w:tcW w:w="3335"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北京泰瑞特认证有限责任公司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广州赛宝认证中心服务有限公司</w:t>
            </w:r>
          </w:p>
        </w:tc>
      </w:tr>
      <w:tr>
        <w:tblPrEx>
          <w:shd w:val="clear" w:color="auto" w:fill="FFFFFF"/>
          <w:tblCellMar>
            <w:top w:w="0" w:type="dxa"/>
            <w:left w:w="0" w:type="dxa"/>
            <w:bottom w:w="0" w:type="dxa"/>
            <w:right w:w="0" w:type="dxa"/>
          </w:tblCellMar>
        </w:tblPrEx>
        <w:trPr>
          <w:trHeight w:val="410"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13</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A020911</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视频设备</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A02091107</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视频监控设备</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775"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14</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A031210</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饮食炊事机械</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北京鉴衡认证中心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中国市政工程华北设计研究总院有限公司</w:t>
            </w:r>
          </w:p>
        </w:tc>
      </w:tr>
      <w:tr>
        <w:tblPrEx>
          <w:shd w:val="clear" w:color="auto" w:fill="FFFFFF"/>
          <w:tblCellMar>
            <w:top w:w="0" w:type="dxa"/>
            <w:left w:w="0" w:type="dxa"/>
            <w:bottom w:w="0" w:type="dxa"/>
            <w:right w:w="0" w:type="dxa"/>
          </w:tblCellMar>
        </w:tblPrEx>
        <w:trPr>
          <w:trHeight w:val="284"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15</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A060805</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便器</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vMerge w:val="restart"/>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中国质量认证中心</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北京新华节水产品认证有限公司</w:t>
            </w:r>
          </w:p>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方圆标志认证集团有限公司</w:t>
            </w:r>
          </w:p>
        </w:tc>
      </w:tr>
      <w:tr>
        <w:tblPrEx>
          <w:shd w:val="clear" w:color="auto" w:fill="FFFFFF"/>
          <w:tblCellMar>
            <w:top w:w="0" w:type="dxa"/>
            <w:left w:w="0" w:type="dxa"/>
            <w:bottom w:w="0" w:type="dxa"/>
            <w:right w:w="0" w:type="dxa"/>
          </w:tblCellMar>
        </w:tblPrEx>
        <w:trPr>
          <w:trHeight w:val="284"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16</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A060806</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水嘴</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17</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A060807</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便器冲洗阀</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r>
        <w:tblPrEx>
          <w:shd w:val="clear" w:color="auto" w:fill="FFFFFF"/>
          <w:tblCellMar>
            <w:top w:w="0" w:type="dxa"/>
            <w:left w:w="0" w:type="dxa"/>
            <w:bottom w:w="0" w:type="dxa"/>
            <w:right w:w="0" w:type="dxa"/>
          </w:tblCellMar>
        </w:tblPrEx>
        <w:trPr>
          <w:trHeight w:val="284" w:hRule="atLeast"/>
        </w:trPr>
        <w:tc>
          <w:tcPr>
            <w:tcW w:w="609"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18</w:t>
            </w:r>
          </w:p>
        </w:tc>
        <w:tc>
          <w:tcPr>
            <w:tcW w:w="1151"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A060810</w:t>
            </w:r>
          </w:p>
        </w:tc>
        <w:tc>
          <w:tcPr>
            <w:tcW w:w="1037"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淋浴器</w:t>
            </w:r>
          </w:p>
        </w:tc>
        <w:tc>
          <w:tcPr>
            <w:tcW w:w="1502"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1353"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lang w:bidi="ar"/>
              </w:rPr>
              <w:t>　</w:t>
            </w:r>
          </w:p>
        </w:tc>
        <w:tc>
          <w:tcPr>
            <w:tcW w:w="3335" w:type="dxa"/>
            <w:vMerge w:val="continue"/>
            <w:tcBorders>
              <w:top w:val="nil"/>
              <w:left w:val="nil"/>
              <w:bottom w:val="single" w:color="auto" w:sz="8" w:space="0"/>
              <w:right w:val="single" w:color="auto" w:sz="8" w:space="0"/>
            </w:tcBorders>
            <w:shd w:val="clear" w:color="auto" w:fill="FFFFFF"/>
            <w:tcMar>
              <w:left w:w="108" w:type="dxa"/>
              <w:right w:w="108" w:type="dxa"/>
            </w:tcMar>
          </w:tcPr>
          <w:p>
            <w:pPr>
              <w:rPr>
                <w:rFonts w:asciiTheme="minorEastAsia" w:hAnsiTheme="minorEastAsia" w:eastAsiaTheme="minorEastAsia" w:cstheme="minorEastAsia"/>
                <w:color w:val="auto"/>
                <w:szCs w:val="21"/>
                <w:highlight w:val="none"/>
              </w:rPr>
            </w:pPr>
          </w:p>
        </w:tc>
      </w:tr>
    </w:tbl>
    <w:p>
      <w:pPr>
        <w:widowControl/>
        <w:shd w:val="clear" w:color="auto" w:fill="FFFFFF"/>
        <w:spacing w:line="326" w:lineRule="atLeast"/>
        <w:jc w:val="center"/>
        <w:rPr>
          <w:rFonts w:ascii="微软雅黑" w:hAnsi="微软雅黑" w:eastAsia="微软雅黑" w:cs="微软雅黑"/>
          <w:color w:val="auto"/>
          <w:szCs w:val="21"/>
          <w:highlight w:val="none"/>
        </w:rPr>
      </w:pPr>
      <w:r>
        <w:rPr>
          <w:rFonts w:ascii="方正小标宋_GBK" w:hAnsi="方正小标宋_GBK" w:eastAsia="方正小标宋_GBK" w:cs="方正小标宋_GBK"/>
          <w:color w:val="auto"/>
          <w:kern w:val="0"/>
          <w:szCs w:val="21"/>
          <w:highlight w:val="none"/>
          <w:shd w:val="clear" w:color="auto" w:fill="FFFFFF"/>
          <w:lang w:bidi="ar"/>
        </w:rPr>
        <w:t>参与实施政府采购环境标志产品认证机构名录</w:t>
      </w:r>
    </w:p>
    <w:tbl>
      <w:tblPr>
        <w:tblStyle w:val="38"/>
        <w:tblW w:w="8955" w:type="dxa"/>
        <w:tblInd w:w="0" w:type="dxa"/>
        <w:shd w:val="clear" w:color="auto" w:fill="FFFFFF"/>
        <w:tblLayout w:type="autofit"/>
        <w:tblCellMar>
          <w:top w:w="0" w:type="dxa"/>
          <w:left w:w="0" w:type="dxa"/>
          <w:bottom w:w="0" w:type="dxa"/>
          <w:right w:w="0" w:type="dxa"/>
        </w:tblCellMar>
      </w:tblPr>
      <w:tblGrid>
        <w:gridCol w:w="672"/>
        <w:gridCol w:w="2045"/>
        <w:gridCol w:w="6238"/>
      </w:tblGrid>
      <w:tr>
        <w:tblPrEx>
          <w:shd w:val="clear" w:color="auto" w:fill="FFFFFF"/>
          <w:tblCellMar>
            <w:top w:w="0" w:type="dxa"/>
            <w:left w:w="0" w:type="dxa"/>
            <w:bottom w:w="0" w:type="dxa"/>
            <w:right w:w="0" w:type="dxa"/>
          </w:tblCellMar>
        </w:tblPrEx>
        <w:trPr>
          <w:trHeight w:val="434" w:hRule="atLeast"/>
        </w:trPr>
        <w:tc>
          <w:tcPr>
            <w:tcW w:w="67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color w:val="auto"/>
                <w:szCs w:val="21"/>
                <w:highlight w:val="none"/>
              </w:rPr>
            </w:pPr>
            <w:r>
              <w:rPr>
                <w:rFonts w:hint="eastAsia" w:ascii="宋体" w:hAnsi="宋体" w:eastAsia="宋体" w:cs="宋体"/>
                <w:b/>
                <w:bCs/>
                <w:color w:val="auto"/>
                <w:kern w:val="0"/>
                <w:szCs w:val="21"/>
                <w:highlight w:val="none"/>
                <w:lang w:bidi="ar"/>
              </w:rPr>
              <w:t>序号</w:t>
            </w:r>
          </w:p>
        </w:tc>
        <w:tc>
          <w:tcPr>
            <w:tcW w:w="2045"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color w:val="auto"/>
                <w:szCs w:val="21"/>
                <w:highlight w:val="none"/>
              </w:rPr>
            </w:pPr>
            <w:r>
              <w:rPr>
                <w:rFonts w:hint="eastAsia" w:ascii="宋体" w:hAnsi="宋体" w:eastAsia="宋体" w:cs="宋体"/>
                <w:b/>
                <w:bCs/>
                <w:color w:val="auto"/>
                <w:kern w:val="0"/>
                <w:szCs w:val="21"/>
                <w:highlight w:val="none"/>
                <w:lang w:bidi="ar"/>
              </w:rPr>
              <w:t>目录</w:t>
            </w:r>
          </w:p>
        </w:tc>
        <w:tc>
          <w:tcPr>
            <w:tcW w:w="6238"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color w:val="auto"/>
                <w:szCs w:val="21"/>
                <w:highlight w:val="none"/>
              </w:rPr>
            </w:pPr>
            <w:r>
              <w:rPr>
                <w:rFonts w:hint="eastAsia" w:ascii="宋体" w:hAnsi="宋体" w:eastAsia="宋体" w:cs="宋体"/>
                <w:b/>
                <w:bCs/>
                <w:color w:val="auto"/>
                <w:kern w:val="0"/>
                <w:szCs w:val="21"/>
                <w:highlight w:val="none"/>
                <w:lang w:bidi="ar"/>
              </w:rPr>
              <w:t>认证机构名录</w:t>
            </w:r>
          </w:p>
        </w:tc>
      </w:tr>
      <w:tr>
        <w:tblPrEx>
          <w:shd w:val="clear" w:color="auto" w:fill="FFFFFF"/>
          <w:tblCellMar>
            <w:top w:w="0" w:type="dxa"/>
            <w:left w:w="0" w:type="dxa"/>
            <w:bottom w:w="0" w:type="dxa"/>
            <w:right w:w="0" w:type="dxa"/>
          </w:tblCellMar>
        </w:tblPrEx>
        <w:trPr>
          <w:trHeight w:val="861" w:hRule="atLeast"/>
        </w:trPr>
        <w:tc>
          <w:tcPr>
            <w:tcW w:w="672" w:type="dxa"/>
            <w:tcBorders>
              <w:top w:val="nil"/>
              <w:left w:val="single" w:color="auto" w:sz="8" w:space="0"/>
              <w:bottom w:val="single" w:color="auto" w:sz="8" w:space="0"/>
              <w:right w:val="single" w:color="auto" w:sz="8" w:space="0"/>
            </w:tcBorders>
            <w:shd w:val="clear" w:color="auto" w:fill="FFFFFF"/>
            <w:tcMar>
              <w:left w:w="108" w:type="dxa"/>
              <w:right w:w="108" w:type="dxa"/>
            </w:tcMar>
          </w:tcPr>
          <w:p>
            <w:pPr>
              <w:widowControl/>
              <w:spacing w:line="22" w:lineRule="atLeast"/>
              <w:jc w:val="center"/>
              <w:rPr>
                <w:color w:val="auto"/>
                <w:szCs w:val="21"/>
                <w:highlight w:val="none"/>
              </w:rPr>
            </w:pPr>
            <w:r>
              <w:rPr>
                <w:rFonts w:hint="eastAsia" w:ascii="宋体" w:hAnsi="宋体" w:eastAsia="宋体" w:cs="宋体"/>
                <w:color w:val="auto"/>
                <w:kern w:val="0"/>
                <w:szCs w:val="21"/>
                <w:highlight w:val="none"/>
                <w:lang w:bidi="ar"/>
              </w:rPr>
              <w:t>1</w:t>
            </w:r>
          </w:p>
        </w:tc>
        <w:tc>
          <w:tcPr>
            <w:tcW w:w="2045"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color w:val="auto"/>
                <w:szCs w:val="21"/>
                <w:highlight w:val="none"/>
              </w:rPr>
            </w:pPr>
            <w:r>
              <w:rPr>
                <w:rFonts w:hint="eastAsia" w:ascii="宋体" w:hAnsi="宋体" w:eastAsia="宋体" w:cs="宋体"/>
                <w:color w:val="auto"/>
                <w:kern w:val="0"/>
                <w:szCs w:val="21"/>
                <w:highlight w:val="none"/>
                <w:lang w:bidi="ar"/>
              </w:rPr>
              <w:t>环境标志产品</w:t>
            </w:r>
          </w:p>
        </w:tc>
        <w:tc>
          <w:tcPr>
            <w:tcW w:w="6238" w:type="dxa"/>
            <w:tcBorders>
              <w:top w:val="nil"/>
              <w:left w:val="nil"/>
              <w:bottom w:val="single" w:color="auto" w:sz="8" w:space="0"/>
              <w:right w:val="single" w:color="auto" w:sz="8" w:space="0"/>
            </w:tcBorders>
            <w:shd w:val="clear" w:color="auto" w:fill="FFFFFF"/>
            <w:tcMar>
              <w:left w:w="108" w:type="dxa"/>
              <w:right w:w="108" w:type="dxa"/>
            </w:tcMar>
          </w:tcPr>
          <w:p>
            <w:pPr>
              <w:widowControl/>
              <w:spacing w:line="22" w:lineRule="atLeast"/>
              <w:jc w:val="center"/>
              <w:rPr>
                <w:color w:val="auto"/>
                <w:szCs w:val="21"/>
                <w:highlight w:val="none"/>
              </w:rPr>
            </w:pPr>
            <w:r>
              <w:rPr>
                <w:rFonts w:hint="eastAsia" w:ascii="宋体" w:hAnsi="宋体" w:eastAsia="宋体" w:cs="宋体"/>
                <w:color w:val="auto"/>
                <w:kern w:val="0"/>
                <w:szCs w:val="21"/>
                <w:highlight w:val="none"/>
                <w:lang w:bidi="ar"/>
              </w:rPr>
              <w:t>中环联合（北京）认证中心有限公司</w:t>
            </w:r>
          </w:p>
          <w:p>
            <w:pPr>
              <w:widowControl/>
              <w:spacing w:line="22" w:lineRule="atLeast"/>
              <w:jc w:val="center"/>
              <w:rPr>
                <w:color w:val="auto"/>
                <w:szCs w:val="21"/>
                <w:highlight w:val="none"/>
              </w:rPr>
            </w:pPr>
            <w:r>
              <w:rPr>
                <w:rFonts w:hint="eastAsia" w:ascii="宋体" w:hAnsi="宋体" w:eastAsia="宋体" w:cs="宋体"/>
                <w:color w:val="auto"/>
                <w:kern w:val="0"/>
                <w:szCs w:val="21"/>
                <w:highlight w:val="none"/>
                <w:lang w:bidi="ar"/>
              </w:rPr>
              <w:t>中标合信（北京）认证有限公司</w:t>
            </w:r>
          </w:p>
          <w:p>
            <w:pPr>
              <w:widowControl/>
              <w:spacing w:line="22" w:lineRule="atLeast"/>
              <w:jc w:val="center"/>
              <w:rPr>
                <w:color w:val="auto"/>
                <w:szCs w:val="21"/>
                <w:highlight w:val="none"/>
              </w:rPr>
            </w:pPr>
            <w:r>
              <w:rPr>
                <w:rFonts w:hint="eastAsia" w:ascii="宋体" w:hAnsi="宋体" w:eastAsia="宋体" w:cs="宋体"/>
                <w:color w:val="auto"/>
                <w:kern w:val="0"/>
                <w:szCs w:val="21"/>
                <w:highlight w:val="none"/>
                <w:lang w:bidi="ar"/>
              </w:rPr>
              <w:t>中环协（北京）认证中心</w:t>
            </w:r>
          </w:p>
          <w:p>
            <w:pPr>
              <w:widowControl/>
              <w:spacing w:line="22" w:lineRule="atLeast"/>
              <w:jc w:val="center"/>
              <w:rPr>
                <w:color w:val="auto"/>
                <w:szCs w:val="21"/>
                <w:highlight w:val="none"/>
              </w:rPr>
            </w:pPr>
            <w:r>
              <w:rPr>
                <w:rFonts w:hint="eastAsia" w:ascii="宋体" w:hAnsi="宋体" w:eastAsia="宋体" w:cs="宋体"/>
                <w:color w:val="auto"/>
                <w:kern w:val="0"/>
                <w:szCs w:val="21"/>
                <w:highlight w:val="none"/>
                <w:lang w:bidi="ar"/>
              </w:rPr>
              <w:t>天津华诚认证有限公司</w:t>
            </w:r>
          </w:p>
        </w:tc>
      </w:tr>
      <w:bookmarkEnd w:id="282"/>
    </w:tbl>
    <w:p>
      <w:pPr>
        <w:pStyle w:val="36"/>
        <w:jc w:val="both"/>
        <w:rPr>
          <w:rFonts w:asciiTheme="majorEastAsia" w:hAnsiTheme="majorEastAsia"/>
          <w:color w:val="auto"/>
          <w:highlight w:val="none"/>
        </w:rPr>
      </w:pPr>
      <w:bookmarkStart w:id="284" w:name="EB89dfcf1f611f469c94ff5b2c1c521519"/>
      <w:bookmarkEnd w:id="284"/>
      <w:bookmarkStart w:id="285" w:name="_Toc503463633"/>
      <w:bookmarkStart w:id="286" w:name="_Toc29084"/>
      <w:r>
        <w:rPr>
          <w:rFonts w:hint="eastAsia" w:ascii="宋体" w:hAnsi="宋体" w:cs="宋体"/>
          <w:color w:val="auto"/>
          <w:sz w:val="24"/>
          <w:szCs w:val="24"/>
          <w:highlight w:val="none"/>
        </w:rPr>
        <w:t>注：</w:t>
      </w:r>
      <w:r>
        <w:rPr>
          <w:rFonts w:ascii="宋体" w:hAnsi="宋体" w:cs="宋体"/>
          <w:color w:val="auto"/>
          <w:sz w:val="24"/>
          <w:szCs w:val="24"/>
          <w:highlight w:val="none"/>
        </w:rPr>
        <w:t>如有变动，以</w:t>
      </w:r>
      <w:r>
        <w:rPr>
          <w:rFonts w:hint="eastAsia" w:ascii="宋体" w:hAnsi="宋体" w:cs="宋体"/>
          <w:color w:val="auto"/>
          <w:sz w:val="24"/>
          <w:szCs w:val="24"/>
          <w:highlight w:val="none"/>
        </w:rPr>
        <w:t>财政部、发展和改革委员会、生态环境部、</w:t>
      </w:r>
      <w:r>
        <w:rPr>
          <w:rFonts w:ascii="宋体" w:hAnsi="宋体" w:cs="宋体"/>
          <w:color w:val="auto"/>
          <w:sz w:val="24"/>
          <w:szCs w:val="24"/>
          <w:highlight w:val="none"/>
        </w:rPr>
        <w:t>市场监管总局公布的最新文件为准</w:t>
      </w:r>
      <w:r>
        <w:rPr>
          <w:rFonts w:hint="eastAsia" w:ascii="宋体" w:hAnsi="宋体" w:cs="宋体"/>
          <w:color w:val="auto"/>
          <w:sz w:val="24"/>
          <w:szCs w:val="24"/>
          <w:highlight w:val="none"/>
        </w:rPr>
        <w:t>。</w:t>
      </w:r>
    </w:p>
    <w:p>
      <w:pPr>
        <w:pStyle w:val="36"/>
        <w:ind w:firstLine="1928" w:firstLineChars="600"/>
        <w:jc w:val="both"/>
        <w:rPr>
          <w:rFonts w:asciiTheme="majorEastAsia" w:hAnsiTheme="majorEastAsia" w:eastAsiaTheme="majorEastAsia"/>
          <w:color w:val="auto"/>
          <w:highlight w:val="none"/>
        </w:rPr>
      </w:pPr>
    </w:p>
    <w:p>
      <w:pPr>
        <w:pStyle w:val="3"/>
        <w:ind w:left="5250"/>
        <w:rPr>
          <w:color w:val="auto"/>
          <w:highlight w:val="none"/>
        </w:rPr>
      </w:pPr>
    </w:p>
    <w:p>
      <w:pPr>
        <w:rPr>
          <w:color w:val="auto"/>
          <w:highlight w:val="none"/>
        </w:rPr>
      </w:pPr>
    </w:p>
    <w:p>
      <w:pPr>
        <w:pStyle w:val="2"/>
        <w:rPr>
          <w:color w:val="auto"/>
          <w:highlight w:val="none"/>
        </w:rPr>
      </w:pPr>
    </w:p>
    <w:p>
      <w:pPr>
        <w:pStyle w:val="3"/>
        <w:ind w:left="5250"/>
        <w:rPr>
          <w:color w:val="auto"/>
          <w:highlight w:val="none"/>
        </w:rPr>
      </w:pPr>
    </w:p>
    <w:p>
      <w:pPr>
        <w:rPr>
          <w:color w:val="auto"/>
          <w:highlight w:val="none"/>
        </w:rPr>
      </w:pPr>
    </w:p>
    <w:p>
      <w:pPr>
        <w:pStyle w:val="2"/>
        <w:rPr>
          <w:color w:val="auto"/>
          <w:highlight w:val="none"/>
        </w:rPr>
      </w:pPr>
    </w:p>
    <w:p>
      <w:pPr>
        <w:pStyle w:val="3"/>
        <w:ind w:left="5250"/>
        <w:rPr>
          <w:color w:val="auto"/>
          <w:highlight w:val="none"/>
        </w:rPr>
      </w:pPr>
    </w:p>
    <w:p>
      <w:pPr>
        <w:rPr>
          <w:color w:val="auto"/>
          <w:highlight w:val="none"/>
        </w:rPr>
      </w:pPr>
    </w:p>
    <w:p>
      <w:pPr>
        <w:pStyle w:val="2"/>
        <w:rPr>
          <w:color w:val="auto"/>
          <w:highlight w:val="none"/>
        </w:rPr>
      </w:pPr>
    </w:p>
    <w:p>
      <w:pPr>
        <w:pStyle w:val="3"/>
        <w:ind w:left="5250"/>
        <w:rPr>
          <w:color w:val="auto"/>
          <w:highlight w:val="none"/>
        </w:rPr>
      </w:pPr>
    </w:p>
    <w:p>
      <w:pPr>
        <w:rPr>
          <w:color w:val="auto"/>
          <w:highlight w:val="none"/>
        </w:rPr>
      </w:pPr>
    </w:p>
    <w:p>
      <w:pPr>
        <w:pStyle w:val="2"/>
        <w:rPr>
          <w:color w:val="auto"/>
          <w:highlight w:val="none"/>
        </w:rPr>
      </w:pPr>
    </w:p>
    <w:p>
      <w:pPr>
        <w:pStyle w:val="36"/>
        <w:ind w:firstLine="1928" w:firstLineChars="600"/>
        <w:jc w:val="both"/>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第四部分 评审方法（综合评分法）</w:t>
      </w:r>
      <w:bookmarkEnd w:id="285"/>
      <w:bookmarkEnd w:id="286"/>
    </w:p>
    <w:p>
      <w:pPr>
        <w:spacing w:line="360" w:lineRule="auto"/>
        <w:ind w:firstLine="480" w:firstLineChars="200"/>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sz w:val="24"/>
          <w:highlight w:val="none"/>
        </w:rPr>
        <w:t>本项目评审方法见招标文件第二部分“投标人须知前附表”中第21项的规定。</w:t>
      </w:r>
      <w:r>
        <w:rPr>
          <w:rFonts w:hint="eastAsia" w:cs="宋体" w:asciiTheme="majorEastAsia" w:hAnsiTheme="majorEastAsia" w:eastAsiaTheme="majorEastAsia"/>
          <w:color w:val="auto"/>
          <w:kern w:val="0"/>
          <w:sz w:val="24"/>
          <w:highlight w:val="none"/>
        </w:rPr>
        <w:t>如果采用综合评分法，评分细则如下：</w:t>
      </w:r>
      <w:bookmarkStart w:id="287" w:name="EBa48645eff2ee4582a36f886367fb689c"/>
      <w:bookmarkEnd w:id="287"/>
    </w:p>
    <w:tbl>
      <w:tblPr>
        <w:tblStyle w:val="38"/>
        <w:tblW w:w="5279" w:type="pct"/>
        <w:tblInd w:w="-209"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autofit"/>
        <w:tblCellMar>
          <w:top w:w="75" w:type="dxa"/>
          <w:left w:w="75" w:type="dxa"/>
          <w:bottom w:w="75" w:type="dxa"/>
          <w:right w:w="75" w:type="dxa"/>
        </w:tblCellMar>
      </w:tblPr>
      <w:tblGrid>
        <w:gridCol w:w="464"/>
        <w:gridCol w:w="773"/>
        <w:gridCol w:w="1690"/>
        <w:gridCol w:w="5194"/>
        <w:gridCol w:w="391"/>
        <w:gridCol w:w="41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3" w:type="pct"/>
            <w:gridSpan w:val="2"/>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b/>
                <w:color w:val="auto"/>
                <w:sz w:val="24"/>
                <w:szCs w:val="24"/>
                <w:highlight w:val="none"/>
              </w:rPr>
              <w:t>评分因素</w:t>
            </w:r>
          </w:p>
        </w:tc>
        <w:tc>
          <w:tcPr>
            <w:tcW w:w="947"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b/>
                <w:color w:val="auto"/>
                <w:sz w:val="24"/>
                <w:szCs w:val="24"/>
                <w:highlight w:val="none"/>
              </w:rPr>
              <w:t>评分点</w:t>
            </w:r>
          </w:p>
        </w:tc>
        <w:tc>
          <w:tcPr>
            <w:tcW w:w="2911"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b/>
                <w:color w:val="auto"/>
                <w:sz w:val="24"/>
                <w:szCs w:val="24"/>
                <w:highlight w:val="none"/>
              </w:rPr>
              <w:t>评分标准</w:t>
            </w:r>
          </w:p>
        </w:tc>
        <w:tc>
          <w:tcPr>
            <w:tcW w:w="449" w:type="pct"/>
            <w:gridSpan w:val="2"/>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b/>
                <w:color w:val="auto"/>
                <w:sz w:val="24"/>
                <w:szCs w:val="24"/>
                <w:highlight w:val="none"/>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693" w:type="pct"/>
            <w:gridSpan w:val="2"/>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947"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2911"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b/>
                <w:color w:val="auto"/>
                <w:sz w:val="24"/>
                <w:szCs w:val="24"/>
                <w:highlight w:val="none"/>
              </w:rPr>
              <w:t>是</w:t>
            </w: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b/>
                <w:color w:val="auto"/>
                <w:sz w:val="24"/>
                <w:szCs w:val="24"/>
                <w:highlight w:val="none"/>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初步评审</w:t>
            </w:r>
          </w:p>
        </w:tc>
        <w:tc>
          <w:tcPr>
            <w:tcW w:w="433"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资格检查</w:t>
            </w: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具有独立承担民事责任的能力</w:t>
            </w:r>
          </w:p>
        </w:tc>
        <w:tc>
          <w:tcPr>
            <w:tcW w:w="2911"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法人或者其他组织的营业执照等证明文件；自然人需提供身份证明</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信用中国”网站和“中国政府采购网”查询结果</w:t>
            </w:r>
          </w:p>
        </w:tc>
        <w:tc>
          <w:tcPr>
            <w:tcW w:w="2911"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开标时查询 1、被列入失信被执行人； 2、税收违法黑名单；3、列入政府采购严重违法失信行为记录名单；</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842" w:hRule="atLeast"/>
        </w:trPr>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cs="宋体" w:asciiTheme="majorEastAsia" w:hAnsiTheme="majorEastAsia" w:eastAsiaTheme="majorEastAsia"/>
                <w:color w:val="auto"/>
                <w:sz w:val="24"/>
                <w:szCs w:val="24"/>
                <w:highlight w:val="none"/>
              </w:rPr>
            </w:pPr>
          </w:p>
        </w:tc>
        <w:tc>
          <w:tcPr>
            <w:tcW w:w="947" w:type="pct"/>
            <w:tcBorders>
              <w:top w:val="single" w:color="E9AD1D" w:sz="6" w:space="0"/>
              <w:left w:val="single" w:color="FFFFFF" w:sz="6" w:space="0"/>
              <w:bottom w:val="single" w:color="E9AD1D" w:sz="6" w:space="0"/>
              <w:right w:val="single" w:color="FBF1D7" w:sz="6" w:space="0"/>
            </w:tcBorders>
            <w:shd w:val="clear" w:color="auto" w:fill="FFFFFF"/>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健全的财务会计制度</w:t>
            </w:r>
            <w:r>
              <w:rPr>
                <w:rFonts w:ascii="宋体" w:hAnsi="宋体" w:eastAsia="宋体" w:cs="宋体"/>
                <w:color w:val="auto"/>
                <w:kern w:val="0"/>
                <w:sz w:val="24"/>
                <w:szCs w:val="24"/>
                <w:highlight w:val="none"/>
              </w:rPr>
              <w:t>（注：财务报表需加盖本单位公章，资信证明需加盖出具机关印章，资信证明内容须包含商业信誉良好的相关内容）</w:t>
            </w:r>
          </w:p>
        </w:tc>
        <w:tc>
          <w:tcPr>
            <w:tcW w:w="2911" w:type="pct"/>
            <w:tcBorders>
              <w:top w:val="single" w:color="E9AD1D" w:sz="6" w:space="0"/>
              <w:left w:val="single" w:color="FBF1D7" w:sz="6" w:space="0"/>
              <w:bottom w:val="single" w:color="E9AD1D" w:sz="6" w:space="0"/>
              <w:right w:val="single" w:color="FFFFFF" w:sz="6" w:space="0"/>
            </w:tcBorders>
            <w:shd w:val="clear" w:color="auto" w:fill="FFFFFF"/>
            <w:vAlign w:val="center"/>
          </w:tcPr>
          <w:p>
            <w:pPr>
              <w:pStyle w:val="53"/>
              <w:spacing w:line="400" w:lineRule="exact"/>
              <w:outlineLvl w:val="2"/>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供应商是法人组织的应提供经审计的上一年度完整的财务报告。</w:t>
            </w:r>
          </w:p>
          <w:p>
            <w:pPr>
              <w:pStyle w:val="53"/>
              <w:spacing w:line="400" w:lineRule="exact"/>
              <w:outlineLvl w:val="2"/>
              <w:rPr>
                <w:rFonts w:ascii="宋体" w:hAnsi="宋体" w:cs="宋体"/>
                <w:color w:val="auto"/>
                <w:sz w:val="24"/>
                <w:szCs w:val="24"/>
                <w:highlight w:val="none"/>
              </w:rPr>
            </w:pPr>
            <w:r>
              <w:rPr>
                <w:rFonts w:ascii="宋体" w:hAnsi="宋体" w:cs="宋体"/>
                <w:color w:val="auto"/>
                <w:sz w:val="24"/>
                <w:szCs w:val="24"/>
                <w:highlight w:val="none"/>
              </w:rPr>
              <w:t>（完整的财务审计报告须包含资产负债表、现金流量表、利润表、财务报表附注等内容。并加盖有第三方审计公司的印章。若审计报告内容不完整、提供的财务审计报告未加盖第三方审计公司印章、印章不能清晰可见的均视为无效材料。）</w:t>
            </w:r>
          </w:p>
          <w:p>
            <w:pPr>
              <w:pStyle w:val="53"/>
              <w:spacing w:line="400" w:lineRule="exact"/>
              <w:outlineLvl w:val="2"/>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供应商是法人组织的，且成立不足一年的提供截止开标前近3个月的财务报表和其截止开标前1个月银行出具的资信证明。</w:t>
            </w:r>
          </w:p>
          <w:p>
            <w:pPr>
              <w:pStyle w:val="53"/>
              <w:spacing w:line="400" w:lineRule="exact"/>
              <w:outlineLvl w:val="2"/>
              <w:rPr>
                <w:rFonts w:cs="宋体" w:asciiTheme="majorEastAsia" w:hAnsiTheme="majorEastAsia" w:eastAsiaTheme="majorEastAsia"/>
                <w:color w:val="auto"/>
                <w:sz w:val="24"/>
                <w:szCs w:val="24"/>
                <w:highlight w:val="none"/>
              </w:rPr>
            </w:pPr>
            <w:r>
              <w:rPr>
                <w:rFonts w:hint="eastAsia" w:ascii="宋体" w:hAnsi="宋体" w:cs="宋体"/>
                <w:color w:val="auto"/>
                <w:sz w:val="24"/>
                <w:szCs w:val="24"/>
                <w:highlight w:val="none"/>
              </w:rPr>
              <w:t>3、</w:t>
            </w:r>
            <w:r>
              <w:rPr>
                <w:rFonts w:ascii="宋体" w:hAnsi="宋体" w:cs="宋体"/>
                <w:color w:val="auto"/>
                <w:sz w:val="24"/>
                <w:szCs w:val="24"/>
                <w:highlight w:val="none"/>
              </w:rPr>
              <w:t>其他组织、事业单位或自然人，没有经审计的财务报告，应当提供投标截止时间前一个月银行出具的资信证明。</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缴纳税收</w:t>
            </w:r>
          </w:p>
        </w:tc>
        <w:tc>
          <w:tcPr>
            <w:tcW w:w="2911"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1、提供截止开标前近半年内任意三个月税收缴纳完成的证明资料。</w:t>
            </w:r>
          </w:p>
          <w:p>
            <w:pPr>
              <w:pStyle w:val="53"/>
              <w:spacing w:line="400" w:lineRule="exact"/>
              <w:outlineLvl w:val="2"/>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提供截止开标前近半年内任意三个月（以税款所属期为准）税收部门出具的完成税收缴纳证明。申报表、征集单、银行的缴纳回执单等不予认可。其它无需纳税或免税的必须提供出具部门相关证明。</w:t>
            </w:r>
          </w:p>
          <w:p>
            <w:pPr>
              <w:pStyle w:val="53"/>
              <w:spacing w:line="400" w:lineRule="exact"/>
              <w:outlineLvl w:val="2"/>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2</w:t>
            </w:r>
            <w:r>
              <w:rPr>
                <w:rFonts w:cs="宋体" w:asciiTheme="majorEastAsia" w:hAnsiTheme="majorEastAsia" w:eastAsiaTheme="majorEastAsia"/>
                <w:color w:val="auto"/>
                <w:sz w:val="24"/>
                <w:szCs w:val="24"/>
                <w:highlight w:val="none"/>
              </w:rPr>
              <w:t>、其他组织和自然人也需按上述要求提供依法缴纳税收和社会保障资金的证明材料。</w:t>
            </w:r>
          </w:p>
          <w:p>
            <w:pPr>
              <w:pStyle w:val="53"/>
              <w:spacing w:line="400" w:lineRule="exact"/>
              <w:outlineLvl w:val="2"/>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注：所有证明材料需加盖出具机关印章</w:t>
            </w:r>
            <w:r>
              <w:rPr>
                <w:rFonts w:cs="宋体" w:asciiTheme="majorEastAsia" w:hAnsiTheme="majorEastAsia" w:eastAsiaTheme="majorEastAsia"/>
                <w:color w:val="auto"/>
                <w:sz w:val="24"/>
                <w:szCs w:val="24"/>
                <w:highlight w:val="none"/>
              </w:rPr>
              <w:t>,必须写明</w:t>
            </w:r>
            <w:r>
              <w:rPr>
                <w:rFonts w:hint="eastAsia" w:cs="宋体" w:asciiTheme="majorEastAsia" w:hAnsiTheme="majorEastAsia" w:eastAsiaTheme="majorEastAsia"/>
                <w:color w:val="auto"/>
                <w:sz w:val="24"/>
                <w:szCs w:val="24"/>
                <w:highlight w:val="none"/>
              </w:rPr>
              <w:t>税</w:t>
            </w:r>
            <w:r>
              <w:rPr>
                <w:rFonts w:cs="宋体" w:asciiTheme="majorEastAsia" w:hAnsiTheme="majorEastAsia" w:eastAsiaTheme="majorEastAsia"/>
                <w:color w:val="auto"/>
                <w:sz w:val="24"/>
                <w:szCs w:val="24"/>
                <w:highlight w:val="none"/>
              </w:rPr>
              <w:t>款所属期。</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405" w:hRule="atLeast"/>
        </w:trPr>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缴纳社会保障资金</w:t>
            </w:r>
          </w:p>
        </w:tc>
        <w:tc>
          <w:tcPr>
            <w:tcW w:w="2911"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1、提供截止开标前近半年内任意三个月税收部门或社保机构出具的完成社保缴纳证明。</w:t>
            </w:r>
          </w:p>
          <w:p>
            <w:pPr>
              <w:pStyle w:val="53"/>
              <w:spacing w:line="400" w:lineRule="exact"/>
              <w:outlineLvl w:val="2"/>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提供截止开标前近半年内任意三个月（以费款所属期为准）税收部门或社保机构出具的完成社保缴纳证明。申报表、征集单、银行的缴纳回执单等不予认可。如委托其他机构代缴代扣，还需同时提供供应商与机构签署的服务合同或代缴协议，其中应明确写明第三方为供应商代缴其社会保险，否则不予认可。其它无需缴纳或免缴的也必须提供社保部门相关证明。</w:t>
            </w:r>
          </w:p>
          <w:p>
            <w:pPr>
              <w:pStyle w:val="53"/>
              <w:spacing w:line="400" w:lineRule="exact"/>
              <w:outlineLvl w:val="2"/>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2</w:t>
            </w:r>
            <w:r>
              <w:rPr>
                <w:rFonts w:cs="宋体" w:asciiTheme="majorEastAsia" w:hAnsiTheme="majorEastAsia" w:eastAsiaTheme="majorEastAsia"/>
                <w:color w:val="auto"/>
                <w:sz w:val="24"/>
                <w:szCs w:val="24"/>
                <w:highlight w:val="none"/>
              </w:rPr>
              <w:t>、其他组织和自然人也需按上述要求提供依法缴纳税收和社会保障资金的证明材料。</w:t>
            </w:r>
          </w:p>
          <w:p>
            <w:pPr>
              <w:pStyle w:val="53"/>
              <w:spacing w:line="400" w:lineRule="exact"/>
              <w:outlineLvl w:val="2"/>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注：所有证明材料需加盖出具机关印章</w:t>
            </w:r>
            <w:r>
              <w:rPr>
                <w:rFonts w:cs="宋体" w:asciiTheme="majorEastAsia" w:hAnsiTheme="majorEastAsia" w:eastAsiaTheme="majorEastAsia"/>
                <w:color w:val="auto"/>
                <w:sz w:val="24"/>
                <w:szCs w:val="24"/>
                <w:highlight w:val="none"/>
              </w:rPr>
              <w:t>,必须写明费款所属期。</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提供无重大违法记录声明书</w:t>
            </w:r>
          </w:p>
        </w:tc>
        <w:tc>
          <w:tcPr>
            <w:tcW w:w="2911"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提供参加政府采购活动近三年无重大违法记录声明书</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履行合同所必需的设备和能力</w:t>
            </w:r>
          </w:p>
        </w:tc>
        <w:tc>
          <w:tcPr>
            <w:tcW w:w="2911"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cs="宋体" w:asciiTheme="majorEastAsia" w:hAnsiTheme="majorEastAsia" w:eastAsiaTheme="majorEastAsia"/>
                <w:color w:val="auto"/>
                <w:sz w:val="24"/>
                <w:szCs w:val="24"/>
                <w:highlight w:val="none"/>
              </w:rPr>
              <w:t>提供具有履行合同所必需的设备和专业技术能力相关证明材料或声明</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不参与围标串标承诺书</w:t>
            </w:r>
          </w:p>
        </w:tc>
        <w:tc>
          <w:tcPr>
            <w:tcW w:w="2911"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asciiTheme="majorEastAsia" w:hAnsiTheme="majorEastAsia" w:eastAsiaTheme="majorEastAsia"/>
                <w:color w:val="auto"/>
                <w:highlight w:val="none"/>
              </w:rPr>
            </w:pPr>
            <w:r>
              <w:rPr>
                <w:rFonts w:hint="eastAsia" w:cs="宋体" w:asciiTheme="majorEastAsia" w:hAnsiTheme="majorEastAsia" w:eastAsiaTheme="majorEastAsia"/>
                <w:color w:val="auto"/>
                <w:sz w:val="24"/>
                <w:szCs w:val="24"/>
                <w:highlight w:val="none"/>
              </w:rPr>
              <w:t>提供不参与围标串标承诺书</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045" w:hRule="atLeast"/>
        </w:trPr>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投标保证金</w:t>
            </w:r>
          </w:p>
        </w:tc>
        <w:tc>
          <w:tcPr>
            <w:tcW w:w="2911" w:type="pct"/>
            <w:tcBorders>
              <w:top w:val="outset" w:color="auto" w:sz="6" w:space="0"/>
              <w:left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sz w:val="24"/>
                <w:szCs w:val="24"/>
                <w:highlight w:val="none"/>
              </w:rPr>
            </w:pPr>
            <w:bookmarkStart w:id="288" w:name="_Toc924"/>
            <w:r>
              <w:rPr>
                <w:rFonts w:hint="eastAsia" w:cs="宋体" w:asciiTheme="majorEastAsia" w:hAnsiTheme="majorEastAsia" w:eastAsiaTheme="majorEastAsia"/>
                <w:color w:val="auto"/>
                <w:sz w:val="24"/>
                <w:szCs w:val="24"/>
                <w:highlight w:val="none"/>
              </w:rPr>
              <w:t>按招标文件规定缴纳投标保证金并提供保证金缴纳证明文件</w:t>
            </w:r>
            <w:bookmarkEnd w:id="288"/>
          </w:p>
        </w:tc>
        <w:tc>
          <w:tcPr>
            <w:tcW w:w="219" w:type="pct"/>
            <w:tcBorders>
              <w:top w:val="outset" w:color="auto" w:sz="6" w:space="0"/>
              <w:left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rPr>
          <w:trHeight w:val="1186" w:hRule="atLeast"/>
        </w:trPr>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restar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jc w:val="center"/>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符合性检查</w:t>
            </w:r>
          </w:p>
        </w:tc>
        <w:tc>
          <w:tcPr>
            <w:tcW w:w="947" w:type="pct"/>
            <w:tcBorders>
              <w:top w:val="outset" w:color="auto" w:sz="6" w:space="0"/>
              <w:left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投标文件格式</w:t>
            </w:r>
          </w:p>
        </w:tc>
        <w:tc>
          <w:tcPr>
            <w:tcW w:w="2911" w:type="pct"/>
            <w:tcBorders>
              <w:top w:val="outset" w:color="auto" w:sz="6" w:space="0"/>
              <w:left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投标文件按照招标文件规定的内容、格式填写，字迹清晰可辨</w:t>
            </w:r>
          </w:p>
        </w:tc>
        <w:tc>
          <w:tcPr>
            <w:tcW w:w="219" w:type="pct"/>
            <w:tcBorders>
              <w:top w:val="outset" w:color="auto" w:sz="6" w:space="0"/>
              <w:left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授权委托书</w:t>
            </w:r>
          </w:p>
        </w:tc>
        <w:tc>
          <w:tcPr>
            <w:tcW w:w="2911"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投标文件提供法定代表人授权委托书或提供法定代表人身份证明</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盖章或签字</w:t>
            </w:r>
          </w:p>
        </w:tc>
        <w:tc>
          <w:tcPr>
            <w:tcW w:w="2911"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投标文件上法定代表人或其授权代理人的盖章或签字、投标人的单位章齐全符合招标文件规定</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报价唯一性</w:t>
            </w:r>
          </w:p>
        </w:tc>
        <w:tc>
          <w:tcPr>
            <w:tcW w:w="2911"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kern w:val="2"/>
                <w:sz w:val="24"/>
                <w:szCs w:val="24"/>
                <w:highlight w:val="none"/>
              </w:rPr>
            </w:pPr>
            <w:bookmarkStart w:id="289" w:name="_Toc2283"/>
            <w:r>
              <w:rPr>
                <w:rFonts w:hint="eastAsia" w:cs="宋体" w:asciiTheme="majorEastAsia" w:hAnsiTheme="majorEastAsia" w:eastAsiaTheme="majorEastAsia"/>
                <w:color w:val="auto"/>
                <w:kern w:val="2"/>
                <w:sz w:val="24"/>
                <w:szCs w:val="24"/>
                <w:highlight w:val="none"/>
              </w:rPr>
              <w:t>1、投标报价具有唯一性，未超过采购项目预算。</w:t>
            </w:r>
            <w:bookmarkEnd w:id="289"/>
          </w:p>
          <w:p>
            <w:pPr>
              <w:pStyle w:val="53"/>
              <w:spacing w:line="400" w:lineRule="exact"/>
              <w:outlineLvl w:val="2"/>
              <w:rPr>
                <w:rFonts w:cs="宋体" w:asciiTheme="majorEastAsia" w:hAnsiTheme="majorEastAsia" w:eastAsiaTheme="majorEastAsia"/>
                <w:color w:val="auto"/>
                <w:kern w:val="2"/>
                <w:sz w:val="24"/>
                <w:szCs w:val="24"/>
                <w:highlight w:val="none"/>
              </w:rPr>
            </w:pPr>
            <w:bookmarkStart w:id="290" w:name="_Toc1179"/>
            <w:r>
              <w:rPr>
                <w:rFonts w:hint="eastAsia" w:cs="宋体" w:asciiTheme="majorEastAsia" w:hAnsiTheme="majorEastAsia" w:eastAsiaTheme="majorEastAsia"/>
                <w:color w:val="auto"/>
                <w:kern w:val="2"/>
                <w:sz w:val="24"/>
                <w:szCs w:val="24"/>
                <w:highlight w:val="none"/>
              </w:rPr>
              <w:t>2、</w:t>
            </w:r>
            <w:r>
              <w:rPr>
                <w:rFonts w:cs="宋体" w:asciiTheme="majorEastAsia" w:hAnsiTheme="majorEastAsia" w:eastAsiaTheme="majorEastAsia"/>
                <w:color w:val="auto"/>
                <w:kern w:val="2"/>
                <w:sz w:val="24"/>
                <w:szCs w:val="24"/>
                <w:highlight w:val="none"/>
              </w:rPr>
              <w:t>本项目不接受选择性报价，对于出现的政采云平台开标唱标环节经投标供应商确认的投标报价与投标文件中开标一览表的报价不一致的现象，视作选择性报价，将被作为无效投标处理。</w:t>
            </w:r>
            <w:bookmarkEnd w:id="290"/>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方案唯一</w:t>
            </w:r>
          </w:p>
        </w:tc>
        <w:tc>
          <w:tcPr>
            <w:tcW w:w="2911"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本项目不接受选择性的技术方案、商务方案、产品及其他备选方案。</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政府强制采购产品</w:t>
            </w:r>
          </w:p>
        </w:tc>
        <w:tc>
          <w:tcPr>
            <w:tcW w:w="2911" w:type="pct"/>
            <w:tcBorders>
              <w:top w:val="outset" w:color="auto" w:sz="6" w:space="0"/>
              <w:left w:val="outset" w:color="auto" w:sz="6" w:space="0"/>
              <w:bottom w:val="outset" w:color="auto" w:sz="6" w:space="0"/>
              <w:right w:val="outset" w:color="auto" w:sz="6" w:space="0"/>
            </w:tcBorders>
            <w:vAlign w:val="center"/>
          </w:tcPr>
          <w:p>
            <w:pPr>
              <w:pStyle w:val="48"/>
              <w:spacing w:line="440" w:lineRule="exact"/>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本次投标产品类别若属于政府强制采购产品类别的，须按照要求提供依据国家确定的认证机构出具的、处于有效期之内的节能产品认证证书，否则投标无效。本项目中</w:t>
            </w:r>
            <w:r>
              <w:rPr>
                <w:rFonts w:hint="eastAsia" w:ascii="宋体" w:hAnsi="宋体" w:cs="宋体"/>
                <w:color w:val="auto"/>
                <w:sz w:val="24"/>
                <w:highlight w:val="none"/>
              </w:rPr>
              <w:t>台式电脑、彩色</w:t>
            </w:r>
            <w:r>
              <w:rPr>
                <w:rFonts w:hint="eastAsia" w:ascii="宋体" w:hAnsi="宋体"/>
                <w:color w:val="auto"/>
                <w:sz w:val="24"/>
                <w:highlight w:val="none"/>
              </w:rPr>
              <w:t>激光打印机</w:t>
            </w:r>
            <w:r>
              <w:rPr>
                <w:rFonts w:ascii="宋体" w:hAnsi="宋体" w:cs="宋体"/>
                <w:color w:val="auto"/>
                <w:sz w:val="24"/>
                <w:highlight w:val="none"/>
              </w:rPr>
              <w:t>为政府强制采购节能产品</w:t>
            </w:r>
            <w:r>
              <w:rPr>
                <w:rFonts w:hint="eastAsia" w:ascii="宋体" w:hAnsi="宋体" w:cs="宋体"/>
                <w:color w:val="auto"/>
                <w:sz w:val="24"/>
                <w:highlight w:val="none"/>
              </w:rPr>
              <w:t>。</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实质性响应一览表</w:t>
            </w:r>
          </w:p>
        </w:tc>
        <w:tc>
          <w:tcPr>
            <w:tcW w:w="2911"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采购需求中★标参数，供应商应一一响应并提供相关证明</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75" w:type="dxa"/>
            <w:left w:w="75" w:type="dxa"/>
            <w:bottom w:w="75" w:type="dxa"/>
            <w:right w:w="75" w:type="dxa"/>
          </w:tblCellMar>
        </w:tblPrEx>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43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cs="宋体" w:asciiTheme="majorEastAsia" w:hAnsiTheme="majorEastAsia" w:eastAsiaTheme="majorEastAsia"/>
                <w:color w:val="auto"/>
                <w:sz w:val="24"/>
                <w:szCs w:val="24"/>
                <w:highlight w:val="none"/>
              </w:rPr>
            </w:pPr>
          </w:p>
        </w:tc>
        <w:tc>
          <w:tcPr>
            <w:tcW w:w="947"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其他要求</w:t>
            </w:r>
          </w:p>
        </w:tc>
        <w:tc>
          <w:tcPr>
            <w:tcW w:w="2911" w:type="pct"/>
            <w:tcBorders>
              <w:top w:val="outset" w:color="auto" w:sz="6" w:space="0"/>
              <w:left w:val="outset" w:color="auto" w:sz="6" w:space="0"/>
              <w:bottom w:val="outset" w:color="auto" w:sz="6" w:space="0"/>
              <w:right w:val="outset" w:color="auto" w:sz="6" w:space="0"/>
            </w:tcBorders>
            <w:vAlign w:val="center"/>
          </w:tcPr>
          <w:p>
            <w:pPr>
              <w:pStyle w:val="53"/>
              <w:spacing w:line="400" w:lineRule="exact"/>
              <w:outlineLvl w:val="2"/>
              <w:rPr>
                <w:rFonts w:cs="宋体" w:asciiTheme="majorEastAsia" w:hAnsiTheme="majorEastAsia" w:eastAsiaTheme="majorEastAsia"/>
                <w:color w:val="auto"/>
                <w:kern w:val="2"/>
                <w:sz w:val="24"/>
                <w:szCs w:val="24"/>
                <w:highlight w:val="none"/>
              </w:rPr>
            </w:pPr>
            <w:r>
              <w:rPr>
                <w:rFonts w:hint="eastAsia" w:cs="宋体" w:asciiTheme="majorEastAsia" w:hAnsiTheme="majorEastAsia" w:eastAsiaTheme="majorEastAsia"/>
                <w:color w:val="auto"/>
                <w:kern w:val="2"/>
                <w:sz w:val="24"/>
                <w:szCs w:val="24"/>
                <w:highlight w:val="none"/>
              </w:rPr>
              <w:t>投标文件未附有采购人不能接受的条件或不符合招标文件的其他要求</w:t>
            </w:r>
          </w:p>
        </w:tc>
        <w:tc>
          <w:tcPr>
            <w:tcW w:w="219"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c>
          <w:tcPr>
            <w:tcW w:w="230" w:type="pct"/>
            <w:tcBorders>
              <w:top w:val="outset" w:color="auto" w:sz="6" w:space="0"/>
              <w:left w:val="outset" w:color="auto" w:sz="6" w:space="0"/>
              <w:bottom w:val="outset" w:color="auto" w:sz="6" w:space="0"/>
              <w:right w:val="outset" w:color="auto" w:sz="6" w:space="0"/>
            </w:tcBorders>
            <w:vAlign w:val="center"/>
          </w:tcPr>
          <w:p>
            <w:pPr>
              <w:spacing w:after="100" w:afterAutospacing="1" w:line="400" w:lineRule="exact"/>
              <w:rPr>
                <w:rFonts w:cs="宋体" w:asciiTheme="majorEastAsia" w:hAnsiTheme="majorEastAsia" w:eastAsiaTheme="majorEastAsia"/>
                <w:color w:val="auto"/>
                <w:sz w:val="24"/>
                <w:szCs w:val="24"/>
                <w:highlight w:val="none"/>
              </w:rPr>
            </w:pPr>
          </w:p>
        </w:tc>
      </w:tr>
    </w:tbl>
    <w:p>
      <w:pPr>
        <w:rPr>
          <w:rFonts w:asciiTheme="majorEastAsia" w:hAnsiTheme="majorEastAsia" w:eastAsiaTheme="majorEastAsia"/>
          <w:color w:val="auto"/>
          <w:highlight w:val="none"/>
        </w:rPr>
      </w:pPr>
      <w:bookmarkStart w:id="291" w:name="_Toc1351"/>
      <w:r>
        <w:rPr>
          <w:rFonts w:hint="eastAsia" w:asciiTheme="majorEastAsia" w:hAnsiTheme="majorEastAsia" w:eastAsiaTheme="majorEastAsia"/>
          <w:color w:val="auto"/>
          <w:highlight w:val="none"/>
        </w:rPr>
        <w:br w:type="page"/>
      </w:r>
    </w:p>
    <w:p>
      <w:pPr>
        <w:pStyle w:val="7"/>
        <w:jc w:val="center"/>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实质性响应一览表</w:t>
      </w:r>
      <w:bookmarkEnd w:id="291"/>
    </w:p>
    <w:tbl>
      <w:tblPr>
        <w:tblStyle w:val="38"/>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6262"/>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b/>
                <w:color w:val="auto"/>
                <w:kern w:val="0"/>
                <w:szCs w:val="21"/>
                <w:highlight w:val="none"/>
              </w:rPr>
            </w:pPr>
            <w:r>
              <w:rPr>
                <w:rFonts w:hint="eastAsia" w:cs="Tahoma" w:asciiTheme="majorEastAsia" w:hAnsiTheme="majorEastAsia" w:eastAsiaTheme="majorEastAsia"/>
                <w:b/>
                <w:color w:val="auto"/>
                <w:kern w:val="0"/>
                <w:szCs w:val="21"/>
                <w:highlight w:val="none"/>
              </w:rPr>
              <w:t>序号</w:t>
            </w:r>
          </w:p>
        </w:tc>
        <w:tc>
          <w:tcPr>
            <w:tcW w:w="6262" w:type="dxa"/>
            <w:shd w:val="clear" w:color="auto" w:fill="auto"/>
            <w:vAlign w:val="center"/>
          </w:tcPr>
          <w:p>
            <w:pPr>
              <w:widowControl/>
              <w:spacing w:line="400" w:lineRule="exact"/>
              <w:jc w:val="center"/>
              <w:rPr>
                <w:rFonts w:cs="Tahoma" w:asciiTheme="majorEastAsia" w:hAnsiTheme="majorEastAsia" w:eastAsiaTheme="majorEastAsia"/>
                <w:b/>
                <w:color w:val="auto"/>
                <w:kern w:val="0"/>
                <w:szCs w:val="21"/>
                <w:highlight w:val="none"/>
              </w:rPr>
            </w:pPr>
            <w:r>
              <w:rPr>
                <w:rFonts w:hint="eastAsia" w:cs="Tahoma" w:asciiTheme="majorEastAsia" w:hAnsiTheme="majorEastAsia" w:eastAsiaTheme="majorEastAsia"/>
                <w:b/>
                <w:color w:val="auto"/>
                <w:kern w:val="0"/>
                <w:szCs w:val="21"/>
                <w:highlight w:val="none"/>
              </w:rPr>
              <w:t>实质性响应项目及参数</w:t>
            </w:r>
          </w:p>
        </w:tc>
        <w:tc>
          <w:tcPr>
            <w:tcW w:w="1596" w:type="dxa"/>
            <w:shd w:val="clear" w:color="auto" w:fill="auto"/>
            <w:vAlign w:val="center"/>
          </w:tcPr>
          <w:p>
            <w:pPr>
              <w:widowControl/>
              <w:spacing w:line="400" w:lineRule="exact"/>
              <w:jc w:val="center"/>
              <w:rPr>
                <w:rFonts w:cs="Tahoma" w:asciiTheme="majorEastAsia" w:hAnsiTheme="majorEastAsia" w:eastAsiaTheme="majorEastAsia"/>
                <w:b/>
                <w:color w:val="auto"/>
                <w:kern w:val="0"/>
                <w:szCs w:val="21"/>
                <w:highlight w:val="none"/>
              </w:rPr>
            </w:pPr>
            <w:r>
              <w:rPr>
                <w:rFonts w:cs="Tahoma" w:asciiTheme="majorEastAsia" w:hAnsiTheme="majorEastAsia" w:eastAsiaTheme="majorEastAsia"/>
                <w:b/>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资格要求：（1）供应商应符合《中华人民共和国政府采购法》第二十二条规定；</w:t>
            </w:r>
          </w:p>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（2）单位负责人为同一人或者存在直接控股、管理关系的不同供应商，不得参加同一合同下的政府采购活动；</w:t>
            </w:r>
          </w:p>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（3）除单一来源采购项目外，为采购项目提供整体设计、规范编制或者项目管理、监理、检测等服务的供应商，不得再参加该采购项目的其他采购活动。</w:t>
            </w:r>
          </w:p>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（4）供应商未被列入“信用中国”网站www.creditchina.gov.cn和中国政府采购网（www.ccgp.gov.cn）渠道信用记录失信被执行人、重大税收违法案件当事人名单以及政府采购严重违法失信行为记录名单。</w:t>
            </w:r>
          </w:p>
        </w:tc>
        <w:tc>
          <w:tcPr>
            <w:tcW w:w="1596"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详见投标人须知前附表5投标人资格要求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2</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营业执照、组织机构代码证、税务登记证</w:t>
            </w:r>
          </w:p>
        </w:tc>
        <w:tc>
          <w:tcPr>
            <w:tcW w:w="1596" w:type="dxa"/>
            <w:vMerge w:val="restart"/>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详见投标人须知前附表6投标文件的组成部分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3</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法定代表人身份证明及授权委托书</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4</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投标保证金</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5</w:t>
            </w:r>
          </w:p>
        </w:tc>
        <w:tc>
          <w:tcPr>
            <w:tcW w:w="6262" w:type="dxa"/>
            <w:shd w:val="clear" w:color="auto" w:fill="auto"/>
            <w:vAlign w:val="center"/>
          </w:tcPr>
          <w:p>
            <w:pPr>
              <w:pStyle w:val="53"/>
              <w:tabs>
                <w:tab w:val="left" w:pos="1429"/>
              </w:tabs>
              <w:spacing w:line="400" w:lineRule="exact"/>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kern w:val="2"/>
                <w:sz w:val="21"/>
                <w:szCs w:val="21"/>
                <w:highlight w:val="none"/>
              </w:rPr>
              <w:t>《中华人民共和国政府采购法》第二十二条应当具备的条件；并在投标文件中提供下列材料：①至⑥项</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6</w:t>
            </w:r>
          </w:p>
        </w:tc>
        <w:tc>
          <w:tcPr>
            <w:tcW w:w="6262" w:type="dxa"/>
            <w:shd w:val="clear" w:color="auto" w:fill="auto"/>
            <w:vAlign w:val="center"/>
          </w:tcPr>
          <w:p>
            <w:pPr>
              <w:pStyle w:val="53"/>
              <w:spacing w:line="400" w:lineRule="exact"/>
              <w:rPr>
                <w:rFonts w:asciiTheme="majorEastAsia" w:hAnsiTheme="majorEastAsia" w:eastAsiaTheme="majorEastAsia"/>
                <w:color w:val="auto"/>
                <w:kern w:val="2"/>
                <w:sz w:val="21"/>
                <w:szCs w:val="21"/>
                <w:highlight w:val="none"/>
              </w:rPr>
            </w:pPr>
            <w:r>
              <w:rPr>
                <w:rFonts w:hint="eastAsia" w:asciiTheme="majorEastAsia" w:hAnsiTheme="majorEastAsia" w:eastAsiaTheme="majorEastAsia"/>
                <w:color w:val="auto"/>
                <w:kern w:val="2"/>
                <w:sz w:val="21"/>
                <w:szCs w:val="21"/>
                <w:highlight w:val="none"/>
              </w:rPr>
              <w:t>不参与围标串标承诺书</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7</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投标函</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8</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开标一览表</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9</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投标报价明细表</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10</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商务方案</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11</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商务条款偏离说明表</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12</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技术明细表</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13</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货物技术规范偏离表</w:t>
            </w:r>
          </w:p>
        </w:tc>
        <w:tc>
          <w:tcPr>
            <w:tcW w:w="1596" w:type="dxa"/>
            <w:vMerge w:val="continue"/>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14</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节能、环保要求（）</w:t>
            </w:r>
          </w:p>
        </w:tc>
        <w:tc>
          <w:tcPr>
            <w:tcW w:w="1596"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详见投标人须知前附表19节能、环保要求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hint="eastAsia"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w:t>
            </w:r>
            <w:r>
              <w:rPr>
                <w:rFonts w:cs="Tahoma" w:asciiTheme="majorEastAsia" w:hAnsiTheme="majorEastAsia" w:eastAsiaTheme="majorEastAsia"/>
                <w:color w:val="auto"/>
                <w:kern w:val="0"/>
                <w:szCs w:val="21"/>
                <w:highlight w:val="none"/>
              </w:rPr>
              <w:t>5</w:t>
            </w:r>
          </w:p>
        </w:tc>
        <w:tc>
          <w:tcPr>
            <w:tcW w:w="6262" w:type="dxa"/>
            <w:shd w:val="clear" w:color="auto" w:fill="auto"/>
            <w:vAlign w:val="center"/>
          </w:tcPr>
          <w:p>
            <w:pPr>
              <w:widowControl/>
              <w:spacing w:line="400" w:lineRule="exact"/>
              <w:jc w:val="left"/>
              <w:rPr>
                <w:rFonts w:hint="eastAsia"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政府强制采购节能产品：第三部分采购需求中</w:t>
            </w:r>
            <w:r>
              <w:rPr>
                <w:rFonts w:hint="eastAsia" w:ascii="宋体" w:hAnsi="宋体" w:cs="宋体"/>
                <w:color w:val="auto"/>
                <w:sz w:val="24"/>
                <w:highlight w:val="none"/>
              </w:rPr>
              <w:t>台式电脑、</w:t>
            </w:r>
            <w:r>
              <w:rPr>
                <w:rFonts w:hint="eastAsia" w:ascii="宋体" w:hAnsi="宋体"/>
                <w:color w:val="auto"/>
                <w:sz w:val="24"/>
                <w:highlight w:val="none"/>
              </w:rPr>
              <w:t>激光打印机</w:t>
            </w:r>
          </w:p>
        </w:tc>
        <w:tc>
          <w:tcPr>
            <w:tcW w:w="1596" w:type="dxa"/>
            <w:shd w:val="clear" w:color="auto" w:fill="auto"/>
            <w:vAlign w:val="center"/>
          </w:tcPr>
          <w:p>
            <w:pPr>
              <w:widowControl/>
              <w:spacing w:line="400" w:lineRule="exact"/>
              <w:jc w:val="center"/>
              <w:rPr>
                <w:rFonts w:hint="eastAsia"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详见投标人须知前附表19节能、环保要求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w:t>
            </w:r>
            <w:r>
              <w:rPr>
                <w:rFonts w:cs="Tahoma" w:asciiTheme="majorEastAsia" w:hAnsiTheme="majorEastAsia" w:eastAsiaTheme="majorEastAsia"/>
                <w:color w:val="auto"/>
                <w:kern w:val="0"/>
                <w:szCs w:val="21"/>
                <w:highlight w:val="none"/>
              </w:rPr>
              <w:t>6</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交付日期</w:t>
            </w:r>
          </w:p>
        </w:tc>
        <w:tc>
          <w:tcPr>
            <w:tcW w:w="1596"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详见投标人须知前附表30交付日期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w:t>
            </w:r>
            <w:r>
              <w:rPr>
                <w:rFonts w:cs="Tahoma" w:asciiTheme="majorEastAsia" w:hAnsiTheme="majorEastAsia" w:eastAsiaTheme="majorEastAsia"/>
                <w:color w:val="auto"/>
                <w:kern w:val="0"/>
                <w:szCs w:val="21"/>
                <w:highlight w:val="none"/>
              </w:rPr>
              <w:t>7</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交付地点</w:t>
            </w:r>
          </w:p>
        </w:tc>
        <w:tc>
          <w:tcPr>
            <w:tcW w:w="1596"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详见投标人须知前附表31交付地点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w:t>
            </w:r>
            <w:r>
              <w:rPr>
                <w:rFonts w:cs="Tahoma" w:asciiTheme="majorEastAsia" w:hAnsiTheme="majorEastAsia" w:eastAsiaTheme="majorEastAsia"/>
                <w:color w:val="auto"/>
                <w:kern w:val="0"/>
                <w:szCs w:val="21"/>
                <w:highlight w:val="none"/>
              </w:rPr>
              <w:t>8</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质保期</w:t>
            </w:r>
          </w:p>
        </w:tc>
        <w:tc>
          <w:tcPr>
            <w:tcW w:w="1596"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详见投标人须知前附表32质保期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878"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1</w:t>
            </w:r>
            <w:r>
              <w:rPr>
                <w:rFonts w:cs="Tahoma" w:asciiTheme="majorEastAsia" w:hAnsiTheme="majorEastAsia" w:eastAsiaTheme="majorEastAsia"/>
                <w:color w:val="auto"/>
                <w:kern w:val="0"/>
                <w:szCs w:val="21"/>
                <w:highlight w:val="none"/>
              </w:rPr>
              <w:t>9</w:t>
            </w:r>
          </w:p>
        </w:tc>
        <w:tc>
          <w:tcPr>
            <w:tcW w:w="6262" w:type="dxa"/>
            <w:shd w:val="clear" w:color="auto" w:fill="auto"/>
            <w:vAlign w:val="center"/>
          </w:tcPr>
          <w:p>
            <w:pPr>
              <w:widowControl/>
              <w:spacing w:line="400" w:lineRule="exact"/>
              <w:jc w:val="left"/>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核心参数（“★”标参数）：</w:t>
            </w:r>
          </w:p>
          <w:p>
            <w:pPr>
              <w:pStyle w:val="2"/>
              <w:spacing w:line="360" w:lineRule="auto"/>
              <w:ind w:left="0"/>
              <w:rPr>
                <w:rFonts w:cs="Tahoma" w:asciiTheme="majorEastAsia" w:hAnsiTheme="majorEastAsia" w:eastAsiaTheme="majorEastAsia"/>
                <w:color w:val="auto"/>
                <w:kern w:val="0"/>
                <w:sz w:val="21"/>
                <w:szCs w:val="21"/>
                <w:highlight w:val="none"/>
              </w:rPr>
            </w:pPr>
            <w:r>
              <w:rPr>
                <w:rFonts w:hint="eastAsia" w:cs="Tahoma" w:asciiTheme="majorEastAsia" w:hAnsiTheme="majorEastAsia" w:eastAsiaTheme="majorEastAsia"/>
                <w:color w:val="auto"/>
                <w:kern w:val="0"/>
                <w:sz w:val="21"/>
                <w:szCs w:val="21"/>
                <w:highlight w:val="none"/>
              </w:rPr>
              <w:t>1、薄层色谱成像仪：4条、5条、7条</w:t>
            </w:r>
          </w:p>
          <w:p>
            <w:pPr>
              <w:pStyle w:val="2"/>
              <w:spacing w:line="360" w:lineRule="auto"/>
              <w:ind w:left="0"/>
              <w:rPr>
                <w:rFonts w:cs="Tahoma" w:asciiTheme="majorEastAsia" w:hAnsiTheme="majorEastAsia" w:eastAsiaTheme="majorEastAsia"/>
                <w:color w:val="auto"/>
                <w:kern w:val="0"/>
                <w:sz w:val="21"/>
                <w:szCs w:val="21"/>
                <w:highlight w:val="none"/>
              </w:rPr>
            </w:pPr>
            <w:r>
              <w:rPr>
                <w:rFonts w:hint="eastAsia" w:cs="Tahoma" w:asciiTheme="majorEastAsia" w:hAnsiTheme="majorEastAsia" w:eastAsiaTheme="majorEastAsia"/>
                <w:color w:val="auto"/>
                <w:kern w:val="0"/>
                <w:sz w:val="21"/>
                <w:szCs w:val="21"/>
                <w:highlight w:val="none"/>
              </w:rPr>
              <w:t>2、天然产物合成、药物合成的理论计算服务器：18条</w:t>
            </w:r>
          </w:p>
          <w:p>
            <w:pPr>
              <w:pStyle w:val="2"/>
              <w:spacing w:line="360" w:lineRule="auto"/>
              <w:ind w:left="0"/>
              <w:rPr>
                <w:rFonts w:cs="Tahoma" w:asciiTheme="majorEastAsia" w:hAnsiTheme="majorEastAsia" w:eastAsiaTheme="majorEastAsia"/>
                <w:color w:val="auto"/>
                <w:kern w:val="0"/>
                <w:sz w:val="21"/>
                <w:szCs w:val="21"/>
                <w:highlight w:val="none"/>
              </w:rPr>
            </w:pPr>
            <w:r>
              <w:rPr>
                <w:rFonts w:hint="eastAsia" w:cs="Tahoma" w:asciiTheme="majorEastAsia" w:hAnsiTheme="majorEastAsia" w:eastAsiaTheme="majorEastAsia"/>
                <w:color w:val="auto"/>
                <w:kern w:val="0"/>
                <w:sz w:val="21"/>
                <w:szCs w:val="21"/>
                <w:highlight w:val="none"/>
              </w:rPr>
              <w:t>3、全自动化学发光荧光图像分析系统：36条、40条、41条</w:t>
            </w:r>
          </w:p>
          <w:p>
            <w:pPr>
              <w:pStyle w:val="2"/>
              <w:spacing w:line="360" w:lineRule="auto"/>
              <w:ind w:left="0"/>
              <w:rPr>
                <w:rFonts w:cs="Tahoma" w:asciiTheme="majorEastAsia" w:hAnsiTheme="majorEastAsia" w:eastAsiaTheme="majorEastAsia"/>
                <w:color w:val="auto"/>
                <w:kern w:val="0"/>
                <w:sz w:val="21"/>
                <w:szCs w:val="21"/>
                <w:highlight w:val="none"/>
              </w:rPr>
            </w:pPr>
            <w:r>
              <w:rPr>
                <w:rFonts w:hint="eastAsia" w:cs="Tahoma" w:asciiTheme="majorEastAsia" w:hAnsiTheme="majorEastAsia" w:eastAsiaTheme="majorEastAsia"/>
                <w:color w:val="auto"/>
                <w:kern w:val="0"/>
                <w:sz w:val="21"/>
                <w:szCs w:val="21"/>
                <w:highlight w:val="none"/>
              </w:rPr>
              <w:t>4、超微量紫外可见光分光光度计：65条、66条</w:t>
            </w:r>
          </w:p>
          <w:p>
            <w:pPr>
              <w:pStyle w:val="2"/>
              <w:spacing w:line="360" w:lineRule="auto"/>
              <w:ind w:left="0"/>
              <w:rPr>
                <w:rFonts w:cs="Tahoma" w:asciiTheme="majorEastAsia" w:hAnsiTheme="majorEastAsia" w:eastAsiaTheme="majorEastAsia"/>
                <w:color w:val="auto"/>
                <w:kern w:val="0"/>
                <w:sz w:val="21"/>
                <w:szCs w:val="21"/>
                <w:highlight w:val="none"/>
              </w:rPr>
            </w:pPr>
            <w:r>
              <w:rPr>
                <w:rFonts w:hint="eastAsia" w:cs="Tahoma" w:asciiTheme="majorEastAsia" w:hAnsiTheme="majorEastAsia" w:eastAsiaTheme="majorEastAsia"/>
                <w:color w:val="auto"/>
                <w:kern w:val="0"/>
                <w:sz w:val="21"/>
                <w:szCs w:val="21"/>
                <w:highlight w:val="none"/>
              </w:rPr>
              <w:t>5、</w:t>
            </w:r>
            <w:r>
              <w:rPr>
                <w:rFonts w:cs="Tahoma" w:asciiTheme="majorEastAsia" w:hAnsiTheme="majorEastAsia" w:eastAsiaTheme="majorEastAsia"/>
                <w:color w:val="auto"/>
                <w:kern w:val="0"/>
                <w:sz w:val="21"/>
                <w:szCs w:val="21"/>
                <w:highlight w:val="none"/>
              </w:rPr>
              <w:t>八通道恒电位仪</w:t>
            </w:r>
            <w:r>
              <w:rPr>
                <w:rFonts w:hint="eastAsia" w:cs="Tahoma" w:asciiTheme="majorEastAsia" w:hAnsiTheme="majorEastAsia" w:eastAsiaTheme="majorEastAsia"/>
                <w:color w:val="auto"/>
                <w:kern w:val="0"/>
                <w:sz w:val="21"/>
                <w:szCs w:val="21"/>
                <w:highlight w:val="none"/>
              </w:rPr>
              <w:t>：69条</w:t>
            </w:r>
          </w:p>
          <w:p>
            <w:pPr>
              <w:pStyle w:val="2"/>
              <w:spacing w:line="360" w:lineRule="auto"/>
              <w:ind w:left="0"/>
              <w:rPr>
                <w:rFonts w:cs="Tahoma" w:asciiTheme="majorEastAsia" w:hAnsiTheme="majorEastAsia" w:eastAsiaTheme="majorEastAsia"/>
                <w:color w:val="auto"/>
                <w:kern w:val="0"/>
                <w:sz w:val="21"/>
                <w:szCs w:val="21"/>
                <w:highlight w:val="none"/>
              </w:rPr>
            </w:pPr>
            <w:r>
              <w:rPr>
                <w:rFonts w:hint="eastAsia" w:cs="Tahoma" w:asciiTheme="majorEastAsia" w:hAnsiTheme="majorEastAsia" w:eastAsiaTheme="majorEastAsia"/>
                <w:color w:val="auto"/>
                <w:kern w:val="0"/>
                <w:sz w:val="21"/>
                <w:szCs w:val="21"/>
                <w:highlight w:val="none"/>
              </w:rPr>
              <w:t>6、细胞光毒性辐照仪：83条</w:t>
            </w:r>
          </w:p>
        </w:tc>
        <w:tc>
          <w:tcPr>
            <w:tcW w:w="1596" w:type="dxa"/>
            <w:shd w:val="clear" w:color="auto" w:fill="auto"/>
            <w:vAlign w:val="center"/>
          </w:tcPr>
          <w:p>
            <w:pPr>
              <w:widowControl/>
              <w:spacing w:line="400" w:lineRule="exact"/>
              <w:jc w:val="center"/>
              <w:rPr>
                <w:rFonts w:cs="Tahoma" w:asciiTheme="majorEastAsia" w:hAnsiTheme="majorEastAsia" w:eastAsiaTheme="majorEastAsia"/>
                <w:color w:val="auto"/>
                <w:kern w:val="0"/>
                <w:szCs w:val="21"/>
                <w:highlight w:val="none"/>
              </w:rPr>
            </w:pPr>
            <w:r>
              <w:rPr>
                <w:rFonts w:hint="eastAsia" w:cs="Tahoma" w:asciiTheme="majorEastAsia" w:hAnsiTheme="majorEastAsia" w:eastAsiaTheme="majorEastAsia"/>
                <w:color w:val="auto"/>
                <w:kern w:val="0"/>
                <w:szCs w:val="21"/>
                <w:highlight w:val="none"/>
              </w:rPr>
              <w:t>详见采购需求。若此项内容与采购需求部分不一致的，以采购需求为准。</w:t>
            </w:r>
          </w:p>
        </w:tc>
      </w:tr>
    </w:tbl>
    <w:p>
      <w:pPr>
        <w:pStyle w:val="14"/>
        <w:rPr>
          <w:rFonts w:asciiTheme="majorEastAsia" w:hAnsiTheme="majorEastAsia" w:eastAsiaTheme="majorEastAsia"/>
          <w:color w:val="auto"/>
          <w:highlight w:val="none"/>
        </w:rPr>
      </w:pPr>
    </w:p>
    <w:p>
      <w:pPr>
        <w:rPr>
          <w:rFonts w:asciiTheme="majorEastAsia" w:hAnsiTheme="majorEastAsia" w:eastAsiaTheme="majorEastAsia"/>
          <w:b/>
          <w:color w:val="auto"/>
          <w:highlight w:val="none"/>
        </w:rPr>
      </w:pPr>
      <w:r>
        <w:rPr>
          <w:rFonts w:hint="eastAsia" w:asciiTheme="majorEastAsia" w:hAnsiTheme="majorEastAsia" w:eastAsiaTheme="majorEastAsia"/>
          <w:b/>
          <w:color w:val="auto"/>
          <w:highlight w:val="none"/>
        </w:rPr>
        <w:br w:type="page"/>
      </w:r>
    </w:p>
    <w:p>
      <w:pPr>
        <w:pStyle w:val="2"/>
        <w:spacing w:before="0" w:line="360" w:lineRule="auto"/>
        <w:ind w:left="-181" w:leftChars="-86" w:firstLine="161" w:firstLineChars="50"/>
        <w:jc w:val="center"/>
        <w:rPr>
          <w:rFonts w:asciiTheme="majorEastAsia" w:hAnsiTheme="majorEastAsia" w:eastAsiaTheme="majorEastAsia"/>
          <w:b/>
          <w:color w:val="auto"/>
          <w:highlight w:val="none"/>
        </w:rPr>
      </w:pPr>
      <w:r>
        <w:rPr>
          <w:rFonts w:hint="eastAsia" w:asciiTheme="majorEastAsia" w:hAnsiTheme="majorEastAsia" w:eastAsiaTheme="majorEastAsia"/>
          <w:b/>
          <w:color w:val="auto"/>
          <w:highlight w:val="none"/>
        </w:rPr>
        <w:t>评审因素</w:t>
      </w:r>
      <w:r>
        <w:rPr>
          <w:rFonts w:asciiTheme="majorEastAsia" w:hAnsiTheme="majorEastAsia" w:eastAsiaTheme="majorEastAsia"/>
          <w:b/>
          <w:color w:val="auto"/>
          <w:highlight w:val="none"/>
        </w:rPr>
        <w:t>和指标</w:t>
      </w:r>
    </w:p>
    <w:p>
      <w:pPr>
        <w:pStyle w:val="3"/>
        <w:ind w:left="5250"/>
        <w:rPr>
          <w:color w:val="auto"/>
          <w:highlight w:val="none"/>
        </w:rPr>
      </w:pPr>
    </w:p>
    <w:tbl>
      <w:tblPr>
        <w:tblStyle w:val="38"/>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633"/>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jc w:val="center"/>
        </w:trPr>
        <w:tc>
          <w:tcPr>
            <w:tcW w:w="1560" w:type="dxa"/>
            <w:vAlign w:val="center"/>
          </w:tcPr>
          <w:p>
            <w:pPr>
              <w:pStyle w:val="26"/>
              <w:snapToGrid w:val="0"/>
              <w:spacing w:line="400" w:lineRule="exact"/>
              <w:jc w:val="center"/>
              <w:rPr>
                <w:rFonts w:cs="Courier New" w:asciiTheme="majorEastAsia" w:hAnsiTheme="majorEastAsia" w:eastAsiaTheme="majorEastAsia"/>
                <w:b/>
                <w:color w:val="auto"/>
                <w:sz w:val="24"/>
                <w:szCs w:val="24"/>
                <w:highlight w:val="none"/>
              </w:rPr>
            </w:pPr>
            <w:r>
              <w:rPr>
                <w:rFonts w:hint="eastAsia" w:cs="Courier New" w:asciiTheme="majorEastAsia" w:hAnsiTheme="majorEastAsia" w:eastAsiaTheme="majorEastAsia"/>
                <w:b/>
                <w:color w:val="auto"/>
                <w:sz w:val="24"/>
                <w:szCs w:val="24"/>
                <w:highlight w:val="none"/>
              </w:rPr>
              <w:t>项目</w:t>
            </w:r>
          </w:p>
        </w:tc>
        <w:tc>
          <w:tcPr>
            <w:tcW w:w="6633" w:type="dxa"/>
            <w:vAlign w:val="center"/>
          </w:tcPr>
          <w:p>
            <w:pPr>
              <w:pStyle w:val="26"/>
              <w:snapToGrid w:val="0"/>
              <w:spacing w:line="400" w:lineRule="exact"/>
              <w:jc w:val="center"/>
              <w:rPr>
                <w:rFonts w:cs="Courier New" w:asciiTheme="majorEastAsia" w:hAnsiTheme="majorEastAsia" w:eastAsiaTheme="majorEastAsia"/>
                <w:b/>
                <w:color w:val="auto"/>
                <w:sz w:val="24"/>
                <w:szCs w:val="24"/>
                <w:highlight w:val="none"/>
              </w:rPr>
            </w:pPr>
            <w:r>
              <w:rPr>
                <w:rFonts w:hint="eastAsia" w:cs="Courier New" w:asciiTheme="majorEastAsia" w:hAnsiTheme="majorEastAsia" w:eastAsiaTheme="majorEastAsia"/>
                <w:b/>
                <w:color w:val="auto"/>
                <w:sz w:val="24"/>
                <w:szCs w:val="24"/>
                <w:highlight w:val="none"/>
              </w:rPr>
              <w:t>评审内容</w:t>
            </w:r>
          </w:p>
        </w:tc>
        <w:tc>
          <w:tcPr>
            <w:tcW w:w="864" w:type="dxa"/>
            <w:vAlign w:val="center"/>
          </w:tcPr>
          <w:p>
            <w:pPr>
              <w:pStyle w:val="26"/>
              <w:snapToGrid w:val="0"/>
              <w:spacing w:line="400" w:lineRule="exact"/>
              <w:jc w:val="center"/>
              <w:rPr>
                <w:rFonts w:cs="Courier New" w:asciiTheme="majorEastAsia" w:hAnsiTheme="majorEastAsia" w:eastAsiaTheme="majorEastAsia"/>
                <w:b/>
                <w:color w:val="auto"/>
                <w:sz w:val="24"/>
                <w:szCs w:val="24"/>
                <w:highlight w:val="none"/>
              </w:rPr>
            </w:pPr>
            <w:r>
              <w:rPr>
                <w:rFonts w:hint="eastAsia" w:cs="Courier New" w:asciiTheme="majorEastAsia" w:hAnsiTheme="majorEastAsia" w:eastAsiaTheme="majorEastAsia"/>
                <w:b/>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057" w:type="dxa"/>
            <w:gridSpan w:val="3"/>
            <w:vAlign w:val="center"/>
          </w:tcPr>
          <w:p>
            <w:pPr>
              <w:pStyle w:val="26"/>
              <w:snapToGrid w:val="0"/>
              <w:spacing w:line="400" w:lineRule="exact"/>
              <w:rPr>
                <w:rFonts w:cs="Courier New" w:asciiTheme="majorEastAsia" w:hAnsiTheme="majorEastAsia" w:eastAsiaTheme="majorEastAsia"/>
                <w:b/>
                <w:color w:val="auto"/>
                <w:sz w:val="24"/>
                <w:szCs w:val="24"/>
                <w:highlight w:val="none"/>
              </w:rPr>
            </w:pPr>
            <w:r>
              <w:rPr>
                <w:rFonts w:hint="eastAsia" w:cs="Courier New" w:asciiTheme="majorEastAsia" w:hAnsiTheme="majorEastAsia" w:eastAsiaTheme="majorEastAsia"/>
                <w:b/>
                <w:color w:val="auto"/>
                <w:sz w:val="24"/>
                <w:szCs w:val="24"/>
                <w:highlight w:val="none"/>
              </w:rPr>
              <w:t>A：投标价格评分30分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560" w:type="dxa"/>
            <w:vAlign w:val="center"/>
          </w:tcPr>
          <w:p>
            <w:pPr>
              <w:pStyle w:val="26"/>
              <w:snapToGrid w:val="0"/>
              <w:spacing w:line="400" w:lineRule="exact"/>
              <w:jc w:val="center"/>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价格</w:t>
            </w:r>
          </w:p>
        </w:tc>
        <w:tc>
          <w:tcPr>
            <w:tcW w:w="6633" w:type="dxa"/>
            <w:vAlign w:val="center"/>
          </w:tcPr>
          <w:p>
            <w:pPr>
              <w:pStyle w:val="26"/>
              <w:snapToGrid w:val="0"/>
              <w:spacing w:before="120" w:after="120" w:line="400" w:lineRule="exact"/>
              <w:rPr>
                <w:rFonts w:cs="Courier New" w:asciiTheme="majorEastAsia" w:hAnsiTheme="majorEastAsia" w:eastAsiaTheme="majorEastAsia"/>
                <w:b/>
                <w:color w:val="auto"/>
                <w:sz w:val="24"/>
                <w:szCs w:val="24"/>
                <w:highlight w:val="none"/>
              </w:rPr>
            </w:pPr>
            <w:r>
              <w:rPr>
                <w:rFonts w:hint="eastAsia" w:cs="Courier New" w:asciiTheme="majorEastAsia" w:hAnsiTheme="majorEastAsia" w:eastAsiaTheme="majorEastAsia"/>
                <w:b/>
                <w:color w:val="auto"/>
                <w:sz w:val="24"/>
                <w:szCs w:val="24"/>
                <w:highlight w:val="none"/>
              </w:rPr>
              <w:t>投标报价得分=(评标基准价（元）/</w:t>
            </w:r>
            <w:r>
              <w:rPr>
                <w:rFonts w:hint="eastAsia" w:cs="Courier New" w:asciiTheme="majorEastAsia" w:hAnsiTheme="majorEastAsia" w:eastAsiaTheme="majorEastAsia"/>
                <w:b/>
                <w:color w:val="auto"/>
                <w:kern w:val="0"/>
                <w:sz w:val="24"/>
                <w:szCs w:val="24"/>
                <w:highlight w:val="none"/>
              </w:rPr>
              <w:t>修正后</w:t>
            </w:r>
            <w:r>
              <w:rPr>
                <w:rFonts w:hint="eastAsia" w:cs="Courier New" w:asciiTheme="majorEastAsia" w:hAnsiTheme="majorEastAsia" w:eastAsiaTheme="majorEastAsia"/>
                <w:b/>
                <w:color w:val="auto"/>
                <w:sz w:val="24"/>
                <w:szCs w:val="24"/>
                <w:highlight w:val="none"/>
              </w:rPr>
              <w:t>投标报价)×30%×100</w:t>
            </w:r>
          </w:p>
          <w:p>
            <w:pPr>
              <w:pStyle w:val="26"/>
              <w:snapToGrid w:val="0"/>
              <w:spacing w:line="400" w:lineRule="exact"/>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备注：</w:t>
            </w:r>
          </w:p>
          <w:p>
            <w:pPr>
              <w:pStyle w:val="26"/>
              <w:snapToGrid w:val="0"/>
              <w:spacing w:line="400" w:lineRule="exact"/>
              <w:rPr>
                <w:rFonts w:cs="Courier New" w:asciiTheme="majorEastAsia" w:hAnsiTheme="majorEastAsia" w:eastAsiaTheme="majorEastAsia"/>
                <w:color w:val="auto"/>
                <w:kern w:val="0"/>
                <w:sz w:val="24"/>
                <w:szCs w:val="24"/>
                <w:highlight w:val="none"/>
              </w:rPr>
            </w:pPr>
            <w:r>
              <w:rPr>
                <w:rFonts w:hint="eastAsia" w:cs="Courier New" w:asciiTheme="majorEastAsia" w:hAnsiTheme="majorEastAsia" w:eastAsiaTheme="majorEastAsia"/>
                <w:color w:val="auto"/>
                <w:kern w:val="0"/>
                <w:sz w:val="24"/>
                <w:szCs w:val="24"/>
                <w:highlight w:val="none"/>
              </w:rPr>
              <w:t>1.投标价格评分采用低价优先法计算；</w:t>
            </w:r>
          </w:p>
          <w:p>
            <w:pPr>
              <w:pStyle w:val="26"/>
              <w:snapToGrid w:val="0"/>
              <w:spacing w:line="400" w:lineRule="exact"/>
              <w:rPr>
                <w:rFonts w:cs="Courier New" w:asciiTheme="majorEastAsia" w:hAnsiTheme="majorEastAsia" w:eastAsiaTheme="majorEastAsia"/>
                <w:color w:val="auto"/>
                <w:kern w:val="0"/>
                <w:sz w:val="24"/>
                <w:szCs w:val="24"/>
                <w:highlight w:val="none"/>
              </w:rPr>
            </w:pPr>
            <w:r>
              <w:rPr>
                <w:rFonts w:hint="eastAsia" w:cs="Courier New" w:asciiTheme="majorEastAsia" w:hAnsiTheme="majorEastAsia" w:eastAsiaTheme="majorEastAsia"/>
                <w:color w:val="auto"/>
                <w:kern w:val="0"/>
                <w:sz w:val="24"/>
                <w:szCs w:val="24"/>
                <w:highlight w:val="none"/>
              </w:rPr>
              <w:t>2.评标基准价：满足招标文件要求且经算术修正，依据政府采购政策进行价格扣除后的最低报价为评标基准价；</w:t>
            </w:r>
          </w:p>
          <w:p>
            <w:pPr>
              <w:pStyle w:val="26"/>
              <w:snapToGrid w:val="0"/>
              <w:spacing w:line="400" w:lineRule="exact"/>
              <w:rPr>
                <w:rFonts w:cs="Courier New" w:asciiTheme="majorEastAsia" w:hAnsiTheme="majorEastAsia" w:eastAsiaTheme="majorEastAsia"/>
                <w:color w:val="auto"/>
                <w:kern w:val="0"/>
                <w:sz w:val="24"/>
                <w:szCs w:val="24"/>
                <w:highlight w:val="none"/>
              </w:rPr>
            </w:pPr>
            <w:r>
              <w:rPr>
                <w:rFonts w:hint="eastAsia" w:cs="Courier New" w:asciiTheme="majorEastAsia" w:hAnsiTheme="majorEastAsia" w:eastAsiaTheme="majorEastAsia"/>
                <w:color w:val="auto"/>
                <w:kern w:val="0"/>
                <w:sz w:val="24"/>
                <w:szCs w:val="24"/>
                <w:highlight w:val="none"/>
              </w:rPr>
              <w:t>3.修正后投标报价：评标委员会以开标一览表中投标报价为基础，对其进行算术修正，依据政府采购政策进行价格扣除后，作为投标报价计算的依据。</w:t>
            </w:r>
          </w:p>
          <w:p>
            <w:pPr>
              <w:pStyle w:val="26"/>
              <w:snapToGrid w:val="0"/>
              <w:spacing w:line="400" w:lineRule="exact"/>
              <w:rPr>
                <w:rFonts w:cs="Courier New" w:asciiTheme="majorEastAsia" w:hAnsiTheme="majorEastAsia" w:eastAsiaTheme="majorEastAsia"/>
                <w:color w:val="auto"/>
                <w:kern w:val="0"/>
                <w:sz w:val="24"/>
                <w:szCs w:val="24"/>
                <w:highlight w:val="none"/>
              </w:rPr>
            </w:pPr>
            <w:r>
              <w:rPr>
                <w:rFonts w:hint="eastAsia" w:cs="Courier New" w:asciiTheme="majorEastAsia" w:hAnsiTheme="majorEastAsia" w:eastAsiaTheme="majorEastAsia"/>
                <w:color w:val="auto"/>
                <w:kern w:val="0"/>
                <w:sz w:val="24"/>
                <w:szCs w:val="24"/>
                <w:highlight w:val="none"/>
              </w:rPr>
              <w:t>4.本项目不接受选择性报价，对于出现的政采云平台开标唱标环节经投标供应商确认的投标报价与投标文件中开标一览表的报价不一致的现象，视作选择性报价，将被作为无效投标处理。</w:t>
            </w:r>
          </w:p>
        </w:tc>
        <w:tc>
          <w:tcPr>
            <w:tcW w:w="864" w:type="dxa"/>
            <w:vAlign w:val="center"/>
          </w:tcPr>
          <w:p>
            <w:pPr>
              <w:pStyle w:val="26"/>
              <w:snapToGrid w:val="0"/>
              <w:spacing w:line="400" w:lineRule="exact"/>
              <w:jc w:val="center"/>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057" w:type="dxa"/>
            <w:gridSpan w:val="3"/>
            <w:vAlign w:val="center"/>
          </w:tcPr>
          <w:p>
            <w:pPr>
              <w:pStyle w:val="26"/>
              <w:snapToGrid w:val="0"/>
              <w:spacing w:line="400" w:lineRule="exact"/>
              <w:rPr>
                <w:rFonts w:cs="Courier New" w:asciiTheme="majorEastAsia" w:hAnsiTheme="majorEastAsia" w:eastAsiaTheme="majorEastAsia"/>
                <w:b/>
                <w:color w:val="auto"/>
                <w:sz w:val="24"/>
                <w:szCs w:val="24"/>
                <w:highlight w:val="none"/>
              </w:rPr>
            </w:pPr>
            <w:r>
              <w:rPr>
                <w:rFonts w:hint="eastAsia" w:cs="Courier New" w:asciiTheme="majorEastAsia" w:hAnsiTheme="majorEastAsia" w:eastAsiaTheme="majorEastAsia"/>
                <w:b/>
                <w:color w:val="auto"/>
                <w:sz w:val="24"/>
                <w:szCs w:val="24"/>
                <w:highlight w:val="none"/>
              </w:rPr>
              <w:t>B：技术部分评分50分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560" w:type="dxa"/>
            <w:vAlign w:val="center"/>
          </w:tcPr>
          <w:p>
            <w:pPr>
              <w:pStyle w:val="26"/>
              <w:snapToGrid w:val="0"/>
              <w:spacing w:line="400" w:lineRule="exact"/>
              <w:jc w:val="center"/>
              <w:rPr>
                <w:rFonts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lang w:bidi="zh-CN"/>
              </w:rPr>
              <w:t>采购需求响应情况</w:t>
            </w:r>
          </w:p>
        </w:tc>
        <w:tc>
          <w:tcPr>
            <w:tcW w:w="6633" w:type="dxa"/>
            <w:vAlign w:val="center"/>
          </w:tcPr>
          <w:p>
            <w:pPr>
              <w:pStyle w:val="26"/>
              <w:snapToGrid w:val="0"/>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1、对《采购需求》中带“★”条款，每出现一条负偏离，其投标视为无效；</w:t>
            </w:r>
            <w:r>
              <w:rPr>
                <w:rFonts w:asciiTheme="majorEastAsia" w:hAnsiTheme="majorEastAsia" w:eastAsiaTheme="majorEastAsia"/>
                <w:color w:val="auto"/>
                <w:sz w:val="24"/>
                <w:szCs w:val="24"/>
                <w:highlight w:val="none"/>
              </w:rPr>
              <w:t xml:space="preserve"> </w:t>
            </w:r>
          </w:p>
          <w:p>
            <w:pPr>
              <w:pStyle w:val="26"/>
              <w:snapToGrid w:val="0"/>
              <w:spacing w:line="400" w:lineRule="exact"/>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2、根据投标文件对采购文件产品详细技术参数和性能指标的响应程度</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完全符合采购文件要求的得</w:t>
            </w:r>
            <w:r>
              <w:rPr>
                <w:rFonts w:hint="eastAsia" w:asciiTheme="majorEastAsia" w:hAnsiTheme="majorEastAsia" w:eastAsiaTheme="majorEastAsia"/>
                <w:color w:val="auto"/>
                <w:sz w:val="24"/>
                <w:szCs w:val="24"/>
                <w:highlight w:val="none"/>
              </w:rPr>
              <w:t>50</w:t>
            </w:r>
            <w:r>
              <w:rPr>
                <w:rFonts w:asciiTheme="majorEastAsia" w:hAnsiTheme="majorEastAsia" w:eastAsiaTheme="majorEastAsia"/>
                <w:color w:val="auto"/>
                <w:sz w:val="24"/>
                <w:szCs w:val="24"/>
                <w:highlight w:val="none"/>
              </w:rPr>
              <w:t>分。负偏离在</w:t>
            </w:r>
            <w:r>
              <w:rPr>
                <w:rFonts w:hint="eastAsia" w:asciiTheme="majorEastAsia" w:hAnsiTheme="majorEastAsia" w:eastAsiaTheme="majorEastAsia"/>
                <w:color w:val="auto"/>
                <w:sz w:val="24"/>
                <w:szCs w:val="24"/>
                <w:highlight w:val="none"/>
              </w:rPr>
              <w:t>20</w:t>
            </w:r>
            <w:r>
              <w:rPr>
                <w:rFonts w:asciiTheme="majorEastAsia" w:hAnsiTheme="majorEastAsia" w:eastAsiaTheme="majorEastAsia"/>
                <w:color w:val="auto"/>
                <w:sz w:val="24"/>
                <w:szCs w:val="24"/>
                <w:highlight w:val="none"/>
              </w:rPr>
              <w:t>条以内（含</w:t>
            </w:r>
            <w:r>
              <w:rPr>
                <w:rFonts w:hint="eastAsia" w:asciiTheme="majorEastAsia" w:hAnsiTheme="majorEastAsia" w:eastAsiaTheme="majorEastAsia"/>
                <w:color w:val="auto"/>
                <w:sz w:val="24"/>
                <w:szCs w:val="24"/>
                <w:highlight w:val="none"/>
              </w:rPr>
              <w:t>20</w:t>
            </w:r>
            <w:r>
              <w:rPr>
                <w:rFonts w:asciiTheme="majorEastAsia" w:hAnsiTheme="majorEastAsia" w:eastAsiaTheme="majorEastAsia"/>
                <w:color w:val="auto"/>
                <w:sz w:val="24"/>
                <w:szCs w:val="24"/>
                <w:highlight w:val="none"/>
              </w:rPr>
              <w:t>条）每出现一条负偏离扣</w:t>
            </w:r>
            <w:r>
              <w:rPr>
                <w:rFonts w:hint="eastAsia" w:asciiTheme="majorEastAsia" w:hAnsiTheme="majorEastAsia" w:eastAsiaTheme="majorEastAsia"/>
                <w:color w:val="auto"/>
                <w:sz w:val="24"/>
                <w:szCs w:val="24"/>
                <w:highlight w:val="none"/>
              </w:rPr>
              <w:t>2.5</w:t>
            </w:r>
            <w:r>
              <w:rPr>
                <w:rFonts w:asciiTheme="majorEastAsia" w:hAnsiTheme="majorEastAsia" w:eastAsiaTheme="majorEastAsia"/>
                <w:color w:val="auto"/>
                <w:sz w:val="24"/>
                <w:szCs w:val="24"/>
                <w:highlight w:val="none"/>
              </w:rPr>
              <w:t>分，超过</w:t>
            </w:r>
            <w:r>
              <w:rPr>
                <w:rFonts w:hint="eastAsia" w:asciiTheme="majorEastAsia" w:hAnsiTheme="majorEastAsia" w:eastAsiaTheme="majorEastAsia"/>
                <w:color w:val="auto"/>
                <w:sz w:val="24"/>
                <w:szCs w:val="24"/>
                <w:highlight w:val="none"/>
              </w:rPr>
              <w:t>20</w:t>
            </w:r>
            <w:r>
              <w:rPr>
                <w:rFonts w:asciiTheme="majorEastAsia" w:hAnsiTheme="majorEastAsia" w:eastAsiaTheme="majorEastAsia"/>
                <w:color w:val="auto"/>
                <w:sz w:val="24"/>
                <w:szCs w:val="24"/>
                <w:highlight w:val="none"/>
              </w:rPr>
              <w:t>条本项不得分。</w:t>
            </w:r>
            <w:bookmarkStart w:id="408" w:name="_GoBack"/>
            <w:bookmarkEnd w:id="408"/>
          </w:p>
          <w:p>
            <w:pPr>
              <w:pStyle w:val="26"/>
              <w:snapToGrid w:val="0"/>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注：</w:t>
            </w:r>
            <w:r>
              <w:rPr>
                <w:rFonts w:asciiTheme="majorEastAsia" w:hAnsiTheme="majorEastAsia" w:eastAsiaTheme="majorEastAsia"/>
                <w:color w:val="auto"/>
                <w:sz w:val="24"/>
                <w:szCs w:val="24"/>
                <w:highlight w:val="none"/>
              </w:rPr>
              <w:t>1.投标人须对本采购文件技术要求进行点对点应答，必须根据本采购文件的要求,结合所投产品的实际参数值，进行逐条逐项答复、说明和解释。</w:t>
            </w:r>
          </w:p>
          <w:p>
            <w:pPr>
              <w:pStyle w:val="26"/>
              <w:numPr>
                <w:ilvl w:val="0"/>
                <w:numId w:val="3"/>
              </w:numPr>
              <w:snapToGrid w:val="0"/>
              <w:spacing w:line="400" w:lineRule="exact"/>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技术参数中要求提供相关证明材料，包含但不限于（功能截图、产品彩页、证书、查询链接、检测报告等）未提供或不符合要求的，视为不响应技术参数。</w:t>
            </w:r>
          </w:p>
          <w:p>
            <w:pPr>
              <w:pStyle w:val="26"/>
              <w:snapToGrid w:val="0"/>
              <w:spacing w:line="400" w:lineRule="exact"/>
              <w:rPr>
                <w:rFonts w:asciiTheme="majorEastAsia" w:hAnsiTheme="majorEastAsia" w:eastAsiaTheme="majorEastAsia"/>
                <w:color w:val="auto"/>
                <w:sz w:val="24"/>
                <w:szCs w:val="24"/>
                <w:highlight w:val="none"/>
              </w:rPr>
            </w:pPr>
          </w:p>
        </w:tc>
        <w:tc>
          <w:tcPr>
            <w:tcW w:w="864" w:type="dxa"/>
            <w:vAlign w:val="center"/>
          </w:tcPr>
          <w:p>
            <w:pPr>
              <w:pStyle w:val="26"/>
              <w:snapToGrid w:val="0"/>
              <w:spacing w:line="400" w:lineRule="exact"/>
              <w:jc w:val="center"/>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057" w:type="dxa"/>
            <w:gridSpan w:val="3"/>
            <w:vAlign w:val="center"/>
          </w:tcPr>
          <w:p>
            <w:pPr>
              <w:pStyle w:val="26"/>
              <w:snapToGrid w:val="0"/>
              <w:spacing w:line="400" w:lineRule="exact"/>
              <w:rPr>
                <w:rFonts w:asciiTheme="majorEastAsia" w:hAnsiTheme="majorEastAsia" w:eastAsiaTheme="majorEastAsia"/>
                <w:color w:val="auto"/>
                <w:sz w:val="24"/>
                <w:szCs w:val="24"/>
                <w:highlight w:val="none"/>
              </w:rPr>
            </w:pPr>
            <w:r>
              <w:rPr>
                <w:rFonts w:cs="Courier New" w:asciiTheme="majorEastAsia" w:hAnsiTheme="majorEastAsia" w:eastAsiaTheme="majorEastAsia"/>
                <w:b/>
                <w:color w:val="auto"/>
                <w:sz w:val="24"/>
                <w:szCs w:val="24"/>
                <w:highlight w:val="none"/>
              </w:rPr>
              <w:t>C：商务部分评分</w:t>
            </w:r>
            <w:r>
              <w:rPr>
                <w:rFonts w:hint="eastAsia" w:cs="Courier New" w:asciiTheme="majorEastAsia" w:hAnsiTheme="majorEastAsia" w:eastAsiaTheme="majorEastAsia"/>
                <w:b/>
                <w:color w:val="auto"/>
                <w:sz w:val="24"/>
                <w:szCs w:val="24"/>
                <w:highlight w:val="none"/>
              </w:rPr>
              <w:t>20</w:t>
            </w:r>
            <w:r>
              <w:rPr>
                <w:rFonts w:cs="Courier New" w:asciiTheme="majorEastAsia" w:hAnsiTheme="majorEastAsia" w:eastAsiaTheme="majorEastAsia"/>
                <w:b/>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560" w:type="dxa"/>
            <w:vAlign w:val="center"/>
          </w:tcPr>
          <w:p>
            <w:pPr>
              <w:pStyle w:val="26"/>
              <w:snapToGrid w:val="0"/>
              <w:spacing w:line="400" w:lineRule="exact"/>
              <w:jc w:val="center"/>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质保时效及服务承诺</w:t>
            </w:r>
          </w:p>
        </w:tc>
        <w:tc>
          <w:tcPr>
            <w:tcW w:w="6633" w:type="dxa"/>
            <w:vAlign w:val="center"/>
          </w:tcPr>
          <w:p>
            <w:pPr>
              <w:snapToGrid w:val="0"/>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1、售后服务响应时间小于等于2</w:t>
            </w:r>
            <w:r>
              <w:rPr>
                <w:rFonts w:asciiTheme="majorEastAsia" w:hAnsiTheme="majorEastAsia" w:eastAsiaTheme="majorEastAsia"/>
                <w:color w:val="auto"/>
                <w:sz w:val="24"/>
                <w:szCs w:val="24"/>
                <w:highlight w:val="none"/>
              </w:rPr>
              <w:t>小时的得2分，响应时间大于</w:t>
            </w:r>
            <w:r>
              <w:rPr>
                <w:rFonts w:hint="eastAsia" w:asciiTheme="majorEastAsia" w:hAnsiTheme="majorEastAsia" w:eastAsiaTheme="majorEastAsia"/>
                <w:color w:val="auto"/>
                <w:sz w:val="24"/>
                <w:szCs w:val="24"/>
                <w:highlight w:val="none"/>
              </w:rPr>
              <w:t>2</w:t>
            </w:r>
            <w:r>
              <w:rPr>
                <w:rFonts w:asciiTheme="majorEastAsia" w:hAnsiTheme="majorEastAsia" w:eastAsiaTheme="majorEastAsia"/>
                <w:color w:val="auto"/>
                <w:sz w:val="24"/>
                <w:szCs w:val="24"/>
                <w:highlight w:val="none"/>
              </w:rPr>
              <w:t>小时小于等于</w:t>
            </w:r>
            <w:r>
              <w:rPr>
                <w:rFonts w:hint="eastAsia" w:asciiTheme="majorEastAsia" w:hAnsiTheme="majorEastAsia" w:eastAsiaTheme="majorEastAsia"/>
                <w:color w:val="auto"/>
                <w:sz w:val="24"/>
                <w:szCs w:val="24"/>
                <w:highlight w:val="none"/>
              </w:rPr>
              <w:t>4</w:t>
            </w:r>
            <w:r>
              <w:rPr>
                <w:rFonts w:asciiTheme="majorEastAsia" w:hAnsiTheme="majorEastAsia" w:eastAsiaTheme="majorEastAsia"/>
                <w:color w:val="auto"/>
                <w:sz w:val="24"/>
                <w:szCs w:val="24"/>
                <w:highlight w:val="none"/>
              </w:rPr>
              <w:t>小时的得1.5分，响应时间大于</w:t>
            </w:r>
            <w:r>
              <w:rPr>
                <w:rFonts w:hint="eastAsia" w:asciiTheme="majorEastAsia" w:hAnsiTheme="majorEastAsia" w:eastAsiaTheme="majorEastAsia"/>
                <w:color w:val="auto"/>
                <w:sz w:val="24"/>
                <w:szCs w:val="24"/>
                <w:highlight w:val="none"/>
              </w:rPr>
              <w:t>4</w:t>
            </w:r>
            <w:r>
              <w:rPr>
                <w:rFonts w:asciiTheme="majorEastAsia" w:hAnsiTheme="majorEastAsia" w:eastAsiaTheme="majorEastAsia"/>
                <w:color w:val="auto"/>
                <w:sz w:val="24"/>
                <w:szCs w:val="24"/>
                <w:highlight w:val="none"/>
              </w:rPr>
              <w:t>小时小于等于</w:t>
            </w:r>
            <w:r>
              <w:rPr>
                <w:rFonts w:hint="eastAsia" w:asciiTheme="majorEastAsia" w:hAnsiTheme="majorEastAsia" w:eastAsiaTheme="majorEastAsia"/>
                <w:color w:val="auto"/>
                <w:sz w:val="24"/>
                <w:szCs w:val="24"/>
                <w:highlight w:val="none"/>
              </w:rPr>
              <w:t>8</w:t>
            </w:r>
            <w:r>
              <w:rPr>
                <w:rFonts w:asciiTheme="majorEastAsia" w:hAnsiTheme="majorEastAsia" w:eastAsiaTheme="majorEastAsia"/>
                <w:color w:val="auto"/>
                <w:sz w:val="24"/>
                <w:szCs w:val="24"/>
                <w:highlight w:val="none"/>
              </w:rPr>
              <w:t>小时的得1分，响应时间大于</w:t>
            </w:r>
            <w:r>
              <w:rPr>
                <w:rFonts w:hint="eastAsia" w:asciiTheme="majorEastAsia" w:hAnsiTheme="majorEastAsia" w:eastAsiaTheme="majorEastAsia"/>
                <w:color w:val="auto"/>
                <w:sz w:val="24"/>
                <w:szCs w:val="24"/>
                <w:highlight w:val="none"/>
              </w:rPr>
              <w:t>8</w:t>
            </w:r>
            <w:r>
              <w:rPr>
                <w:rFonts w:asciiTheme="majorEastAsia" w:hAnsiTheme="majorEastAsia" w:eastAsiaTheme="majorEastAsia"/>
                <w:color w:val="auto"/>
                <w:sz w:val="24"/>
                <w:szCs w:val="24"/>
                <w:highlight w:val="none"/>
              </w:rPr>
              <w:t>小时小于等于</w:t>
            </w:r>
            <w:r>
              <w:rPr>
                <w:rFonts w:hint="eastAsia" w:asciiTheme="majorEastAsia" w:hAnsiTheme="majorEastAsia" w:eastAsiaTheme="majorEastAsia"/>
                <w:color w:val="auto"/>
                <w:sz w:val="24"/>
                <w:szCs w:val="24"/>
                <w:highlight w:val="none"/>
              </w:rPr>
              <w:t>12</w:t>
            </w:r>
            <w:r>
              <w:rPr>
                <w:rFonts w:asciiTheme="majorEastAsia" w:hAnsiTheme="majorEastAsia" w:eastAsiaTheme="majorEastAsia"/>
                <w:color w:val="auto"/>
                <w:sz w:val="24"/>
                <w:szCs w:val="24"/>
                <w:highlight w:val="none"/>
              </w:rPr>
              <w:t>小时的得0.5分。超过</w:t>
            </w:r>
            <w:r>
              <w:rPr>
                <w:rFonts w:hint="eastAsia" w:asciiTheme="majorEastAsia" w:hAnsiTheme="majorEastAsia" w:eastAsiaTheme="majorEastAsia"/>
                <w:color w:val="auto"/>
                <w:sz w:val="24"/>
                <w:szCs w:val="24"/>
                <w:highlight w:val="none"/>
              </w:rPr>
              <w:t>12</w:t>
            </w:r>
            <w:r>
              <w:rPr>
                <w:rFonts w:asciiTheme="majorEastAsia" w:hAnsiTheme="majorEastAsia" w:eastAsiaTheme="majorEastAsia"/>
                <w:color w:val="auto"/>
                <w:sz w:val="24"/>
                <w:szCs w:val="24"/>
                <w:highlight w:val="none"/>
              </w:rPr>
              <w:t>小时不得分。</w:t>
            </w:r>
          </w:p>
          <w:p>
            <w:pPr>
              <w:snapToGrid w:val="0"/>
              <w:spacing w:line="4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2、故障修复承诺，承诺对一般故障在</w:t>
            </w:r>
            <w:r>
              <w:rPr>
                <w:rFonts w:asciiTheme="majorEastAsia" w:hAnsiTheme="majorEastAsia" w:eastAsiaTheme="majorEastAsia"/>
                <w:color w:val="auto"/>
                <w:sz w:val="24"/>
                <w:szCs w:val="24"/>
                <w:highlight w:val="none"/>
              </w:rPr>
              <w:t>2小时内修复，对于重大故障在48小时内修复</w:t>
            </w:r>
            <w:r>
              <w:rPr>
                <w:rFonts w:hint="eastAsia" w:asciiTheme="majorEastAsia" w:hAnsiTheme="majorEastAsia" w:eastAsiaTheme="majorEastAsia"/>
                <w:color w:val="auto"/>
                <w:sz w:val="24"/>
                <w:szCs w:val="24"/>
                <w:highlight w:val="none"/>
              </w:rPr>
              <w:t>3分；否则</w:t>
            </w:r>
            <w:r>
              <w:rPr>
                <w:rFonts w:asciiTheme="majorEastAsia" w:hAnsiTheme="majorEastAsia" w:eastAsiaTheme="majorEastAsia"/>
                <w:color w:val="auto"/>
                <w:sz w:val="24"/>
                <w:szCs w:val="24"/>
                <w:highlight w:val="none"/>
              </w:rPr>
              <w:t>不得分。</w:t>
            </w:r>
          </w:p>
        </w:tc>
        <w:tc>
          <w:tcPr>
            <w:tcW w:w="864" w:type="dxa"/>
            <w:vAlign w:val="center"/>
          </w:tcPr>
          <w:p>
            <w:pPr>
              <w:pStyle w:val="26"/>
              <w:snapToGrid w:val="0"/>
              <w:spacing w:line="400" w:lineRule="exact"/>
              <w:jc w:val="center"/>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560" w:type="dxa"/>
            <w:vAlign w:val="center"/>
          </w:tcPr>
          <w:p>
            <w:pPr>
              <w:spacing w:line="400" w:lineRule="exact"/>
              <w:jc w:val="center"/>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售后服务</w:t>
            </w:r>
          </w:p>
        </w:tc>
        <w:tc>
          <w:tcPr>
            <w:tcW w:w="6633" w:type="dxa"/>
            <w:vAlign w:val="center"/>
          </w:tcPr>
          <w:p>
            <w:pPr>
              <w:spacing w:line="400" w:lineRule="exact"/>
              <w:ind w:right="59" w:rightChars="28"/>
              <w:jc w:val="lef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1、根据供应商投标文件售后服务承诺中针对产品售后服务方案，其内容应包括：1、</w:t>
            </w:r>
            <w:r>
              <w:rPr>
                <w:rFonts w:asciiTheme="majorEastAsia" w:hAnsiTheme="majorEastAsia" w:eastAsiaTheme="majorEastAsia"/>
                <w:color w:val="auto"/>
                <w:sz w:val="24"/>
                <w:szCs w:val="24"/>
                <w:highlight w:val="none"/>
              </w:rPr>
              <w:t>售后人员配置；</w:t>
            </w:r>
            <w:r>
              <w:rPr>
                <w:rFonts w:hint="eastAsia" w:asciiTheme="majorEastAsia" w:hAnsiTheme="majorEastAsia" w:eastAsiaTheme="majorEastAsia"/>
                <w:color w:val="auto"/>
                <w:sz w:val="24"/>
                <w:szCs w:val="24"/>
                <w:highlight w:val="none"/>
              </w:rPr>
              <w:t>2</w:t>
            </w:r>
            <w:r>
              <w:rPr>
                <w:rFonts w:asciiTheme="majorEastAsia" w:hAnsiTheme="majorEastAsia" w:eastAsiaTheme="majorEastAsia"/>
                <w:color w:val="auto"/>
                <w:sz w:val="24"/>
                <w:szCs w:val="24"/>
                <w:highlight w:val="none"/>
              </w:rPr>
              <w:t>、出现问题后的处理方案（上门维护、严重故障、电话回访、应急预案等）；</w:t>
            </w:r>
            <w:r>
              <w:rPr>
                <w:rFonts w:hint="eastAsia" w:asciiTheme="majorEastAsia" w:hAnsiTheme="majorEastAsia" w:eastAsiaTheme="majorEastAsia"/>
                <w:color w:val="auto"/>
                <w:sz w:val="24"/>
                <w:szCs w:val="24"/>
                <w:highlight w:val="none"/>
              </w:rPr>
              <w:t>3</w:t>
            </w:r>
            <w:r>
              <w:rPr>
                <w:rFonts w:asciiTheme="majorEastAsia" w:hAnsiTheme="majorEastAsia" w:eastAsiaTheme="majorEastAsia"/>
                <w:color w:val="auto"/>
                <w:sz w:val="24"/>
                <w:szCs w:val="24"/>
                <w:highlight w:val="none"/>
              </w:rPr>
              <w:t>、退换方案（退换货方案及计划）；</w:t>
            </w:r>
            <w:r>
              <w:rPr>
                <w:rFonts w:hint="eastAsia" w:asciiTheme="majorEastAsia" w:hAnsiTheme="majorEastAsia" w:eastAsiaTheme="majorEastAsia"/>
                <w:color w:val="auto"/>
                <w:sz w:val="24"/>
                <w:szCs w:val="24"/>
                <w:highlight w:val="none"/>
              </w:rPr>
              <w:t>4、定期及不定期巡检维保服务方案；</w:t>
            </w:r>
            <w:r>
              <w:rPr>
                <w:rFonts w:asciiTheme="majorEastAsia" w:hAnsiTheme="majorEastAsia" w:eastAsiaTheme="majorEastAsia"/>
                <w:color w:val="auto"/>
                <w:sz w:val="24"/>
                <w:szCs w:val="24"/>
                <w:highlight w:val="none"/>
              </w:rPr>
              <w:t>方案完整且完全符合招标要求的得</w:t>
            </w:r>
            <w:r>
              <w:rPr>
                <w:rFonts w:hint="eastAsia" w:asciiTheme="majorEastAsia" w:hAnsiTheme="majorEastAsia" w:eastAsiaTheme="majorEastAsia"/>
                <w:color w:val="auto"/>
                <w:sz w:val="24"/>
                <w:szCs w:val="24"/>
                <w:highlight w:val="none"/>
              </w:rPr>
              <w:t>10</w:t>
            </w:r>
            <w:r>
              <w:rPr>
                <w:rFonts w:asciiTheme="majorEastAsia" w:hAnsiTheme="majorEastAsia" w:eastAsiaTheme="majorEastAsia"/>
                <w:color w:val="auto"/>
                <w:sz w:val="24"/>
                <w:szCs w:val="24"/>
                <w:highlight w:val="none"/>
              </w:rPr>
              <w:t>分，每有一项缺失（缺项、负偏离）扣</w:t>
            </w:r>
            <w:r>
              <w:rPr>
                <w:rFonts w:hint="eastAsia" w:asciiTheme="majorEastAsia" w:hAnsiTheme="majorEastAsia" w:eastAsiaTheme="majorEastAsia"/>
                <w:color w:val="auto"/>
                <w:sz w:val="24"/>
                <w:szCs w:val="24"/>
                <w:highlight w:val="none"/>
              </w:rPr>
              <w:t>2.5</w:t>
            </w:r>
            <w:r>
              <w:rPr>
                <w:rFonts w:asciiTheme="majorEastAsia" w:hAnsiTheme="majorEastAsia" w:eastAsiaTheme="majorEastAsia"/>
                <w:color w:val="auto"/>
                <w:sz w:val="24"/>
                <w:szCs w:val="24"/>
                <w:highlight w:val="none"/>
              </w:rPr>
              <w:t>分，扣完为止。</w:t>
            </w:r>
          </w:p>
          <w:p>
            <w:pPr>
              <w:spacing w:line="400" w:lineRule="exact"/>
              <w:ind w:right="59" w:rightChars="28"/>
              <w:jc w:val="left"/>
              <w:rPr>
                <w:color w:val="auto"/>
                <w:highlight w:val="none"/>
              </w:rPr>
            </w:pPr>
            <w:r>
              <w:rPr>
                <w:rFonts w:hint="eastAsia" w:asciiTheme="majorEastAsia" w:hAnsiTheme="majorEastAsia" w:eastAsiaTheme="majorEastAsia"/>
                <w:color w:val="auto"/>
                <w:sz w:val="24"/>
                <w:szCs w:val="24"/>
                <w:highlight w:val="none"/>
              </w:rPr>
              <w:t>2、投标文件中有明确售后服务体系，可以为本项目提供稳定的售后服务（需提供场地租赁合同复印件或自有房产证明复印件），提供资料齐全的得3</w:t>
            </w:r>
            <w:r>
              <w:rPr>
                <w:rFonts w:asciiTheme="majorEastAsia" w:hAnsiTheme="majorEastAsia" w:eastAsiaTheme="majorEastAsia"/>
                <w:color w:val="auto"/>
                <w:sz w:val="24"/>
                <w:szCs w:val="24"/>
                <w:highlight w:val="none"/>
              </w:rPr>
              <w:t>分，未提供的本项不得分</w:t>
            </w:r>
            <w:r>
              <w:rPr>
                <w:rFonts w:hint="eastAsia" w:asciiTheme="majorEastAsia" w:hAnsiTheme="majorEastAsia" w:eastAsiaTheme="majorEastAsia"/>
                <w:color w:val="auto"/>
                <w:sz w:val="24"/>
                <w:szCs w:val="24"/>
                <w:highlight w:val="none"/>
              </w:rPr>
              <w:t>。</w:t>
            </w:r>
          </w:p>
        </w:tc>
        <w:tc>
          <w:tcPr>
            <w:tcW w:w="864" w:type="dxa"/>
            <w:vAlign w:val="center"/>
          </w:tcPr>
          <w:p>
            <w:pPr>
              <w:pStyle w:val="26"/>
              <w:snapToGrid w:val="0"/>
              <w:spacing w:line="400" w:lineRule="exact"/>
              <w:jc w:val="center"/>
              <w:rPr>
                <w:rFonts w:cs="Courier New" w:asciiTheme="majorEastAsia" w:hAnsiTheme="majorEastAsia" w:eastAsiaTheme="majorEastAsia"/>
                <w:color w:val="auto"/>
                <w:sz w:val="24"/>
                <w:szCs w:val="24"/>
                <w:highlight w:val="none"/>
              </w:rPr>
            </w:pPr>
            <w:r>
              <w:rPr>
                <w:rFonts w:hint="eastAsia" w:cs="Courier New" w:asciiTheme="majorEastAsia" w:hAnsiTheme="majorEastAsia" w:eastAsiaTheme="majorEastAsia"/>
                <w:color w:val="auto"/>
                <w:sz w:val="24"/>
                <w:szCs w:val="24"/>
                <w:highlight w:val="none"/>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560" w:type="dxa"/>
            <w:vAlign w:val="center"/>
          </w:tcPr>
          <w:p>
            <w:pPr>
              <w:pStyle w:val="26"/>
              <w:snapToGrid w:val="0"/>
              <w:spacing w:line="400" w:lineRule="exact"/>
              <w:jc w:val="center"/>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节能、环境标志产品</w:t>
            </w:r>
          </w:p>
        </w:tc>
        <w:tc>
          <w:tcPr>
            <w:tcW w:w="6633" w:type="dxa"/>
            <w:vAlign w:val="center"/>
          </w:tcPr>
          <w:p>
            <w:pPr>
              <w:pStyle w:val="26"/>
              <w:snapToGrid w:val="0"/>
              <w:spacing w:line="400" w:lineRule="exact"/>
              <w:jc w:val="lef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采购人采购产品属于节能产品、环境标志产品品目清单范围内，且投标人所投产品具有有效期内的产品认证证书，在评标时予以优先采购，具体</w:t>
            </w:r>
            <w:r>
              <w:rPr>
                <w:rFonts w:asciiTheme="majorEastAsia" w:hAnsiTheme="majorEastAsia" w:eastAsiaTheme="majorEastAsia"/>
                <w:color w:val="auto"/>
                <w:sz w:val="24"/>
                <w:szCs w:val="24"/>
                <w:highlight w:val="none"/>
              </w:rPr>
              <w:t>优惠措施为：</w:t>
            </w:r>
            <w:r>
              <w:rPr>
                <w:rFonts w:hint="eastAsia" w:asciiTheme="majorEastAsia" w:hAnsiTheme="majorEastAsia" w:eastAsiaTheme="majorEastAsia"/>
                <w:color w:val="auto"/>
                <w:sz w:val="24"/>
                <w:szCs w:val="24"/>
                <w:highlight w:val="none"/>
              </w:rPr>
              <w:t>每有一项产品为政府采购节能产品（不包括强制节能产品）或环境标志产品得1分（如果两者皆是得2分），最多得2分。</w:t>
            </w:r>
          </w:p>
          <w:p>
            <w:pPr>
              <w:pStyle w:val="26"/>
              <w:snapToGrid w:val="0"/>
              <w:spacing w:line="400" w:lineRule="exact"/>
              <w:jc w:val="lef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注：若节能、环境标志清单内的产品仅是构成投标产品的部件、组件或零件的，则该投标产品不予加分。</w:t>
            </w:r>
          </w:p>
        </w:tc>
        <w:tc>
          <w:tcPr>
            <w:tcW w:w="864" w:type="dxa"/>
            <w:vAlign w:val="center"/>
          </w:tcPr>
          <w:p>
            <w:pPr>
              <w:pStyle w:val="26"/>
              <w:snapToGrid w:val="0"/>
              <w:spacing w:line="400" w:lineRule="exact"/>
              <w:jc w:val="center"/>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2分</w:t>
            </w:r>
          </w:p>
        </w:tc>
      </w:tr>
    </w:tbl>
    <w:p>
      <w:pPr>
        <w:pStyle w:val="14"/>
        <w:rPr>
          <w:rFonts w:asciiTheme="majorEastAsia" w:hAnsiTheme="majorEastAsia" w:eastAsiaTheme="majorEastAsia"/>
          <w:color w:val="auto"/>
          <w:highlight w:val="none"/>
        </w:rPr>
      </w:pPr>
    </w:p>
    <w:p>
      <w:pPr>
        <w:pStyle w:val="7"/>
        <w:jc w:val="center"/>
        <w:rPr>
          <w:rFonts w:asciiTheme="majorEastAsia" w:hAnsiTheme="majorEastAsia" w:eastAsiaTheme="majorEastAsia"/>
          <w:color w:val="auto"/>
          <w:highlight w:val="none"/>
        </w:rPr>
      </w:pPr>
    </w:p>
    <w:p>
      <w:pPr>
        <w:pStyle w:val="7"/>
        <w:jc w:val="center"/>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pStyle w:val="14"/>
        <w:rPr>
          <w:rFonts w:asciiTheme="majorEastAsia" w:hAnsiTheme="majorEastAsia" w:eastAsiaTheme="majorEastAsia"/>
          <w:color w:val="auto"/>
          <w:highlight w:val="none"/>
        </w:rPr>
      </w:pPr>
    </w:p>
    <w:p>
      <w:pPr>
        <w:pStyle w:val="14"/>
        <w:rPr>
          <w:rFonts w:asciiTheme="majorEastAsia" w:hAnsiTheme="majorEastAsia" w:eastAsiaTheme="majorEastAsia"/>
          <w:color w:val="auto"/>
          <w:highlight w:val="none"/>
        </w:rPr>
      </w:pPr>
    </w:p>
    <w:p>
      <w:pPr>
        <w:pStyle w:val="14"/>
        <w:rPr>
          <w:rFonts w:asciiTheme="majorEastAsia" w:hAnsiTheme="majorEastAsia" w:eastAsiaTheme="majorEastAsia"/>
          <w:color w:val="auto"/>
          <w:highlight w:val="none"/>
        </w:rPr>
      </w:pPr>
    </w:p>
    <w:p>
      <w:pPr>
        <w:pStyle w:val="14"/>
        <w:rPr>
          <w:rFonts w:asciiTheme="majorEastAsia" w:hAnsiTheme="majorEastAsia" w:eastAsiaTheme="majorEastAsia"/>
          <w:color w:val="auto"/>
          <w:highlight w:val="none"/>
        </w:rPr>
      </w:pPr>
    </w:p>
    <w:p>
      <w:pPr>
        <w:pStyle w:val="14"/>
        <w:rPr>
          <w:rFonts w:asciiTheme="majorEastAsia" w:hAnsiTheme="majorEastAsia" w:eastAsiaTheme="majorEastAsia"/>
          <w:color w:val="auto"/>
          <w:highlight w:val="none"/>
        </w:rPr>
      </w:pPr>
    </w:p>
    <w:p>
      <w:pPr>
        <w:pStyle w:val="14"/>
        <w:rPr>
          <w:rFonts w:asciiTheme="majorEastAsia" w:hAnsiTheme="majorEastAsia" w:eastAsiaTheme="majorEastAsia"/>
          <w:color w:val="auto"/>
          <w:highlight w:val="none"/>
        </w:rPr>
      </w:pPr>
    </w:p>
    <w:p>
      <w:pPr>
        <w:pStyle w:val="14"/>
        <w:rPr>
          <w:rFonts w:asciiTheme="majorEastAsia" w:hAnsiTheme="majorEastAsia" w:eastAsiaTheme="majorEastAsia"/>
          <w:color w:val="auto"/>
          <w:highlight w:val="none"/>
        </w:rPr>
      </w:pPr>
    </w:p>
    <w:p>
      <w:pPr>
        <w:pStyle w:val="14"/>
        <w:rPr>
          <w:rFonts w:asciiTheme="majorEastAsia" w:hAnsiTheme="majorEastAsia" w:eastAsiaTheme="majorEastAsia"/>
          <w:color w:val="auto"/>
          <w:highlight w:val="none"/>
        </w:rPr>
      </w:pPr>
    </w:p>
    <w:p>
      <w:pPr>
        <w:spacing w:line="360" w:lineRule="auto"/>
        <w:ind w:firstLine="480" w:firstLineChars="200"/>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1、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spacing w:line="360" w:lineRule="auto"/>
        <w:ind w:firstLine="480" w:firstLineChars="200"/>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2、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spacing w:line="360" w:lineRule="auto"/>
        <w:ind w:firstLine="480" w:firstLineChars="200"/>
        <w:rPr>
          <w:rFonts w:cs="宋体" w:asciiTheme="majorEastAsia" w:hAnsiTheme="majorEastAsia" w:eastAsiaTheme="majorEastAsia"/>
          <w:color w:val="auto"/>
          <w:sz w:val="24"/>
          <w:szCs w:val="24"/>
          <w:highlight w:val="none"/>
        </w:rPr>
      </w:pPr>
      <w:r>
        <w:rPr>
          <w:rFonts w:hint="eastAsia" w:cs="宋体" w:asciiTheme="majorEastAsia" w:hAnsiTheme="majorEastAsia" w:eastAsiaTheme="majorEastAsia"/>
          <w:color w:val="auto"/>
          <w:sz w:val="24"/>
          <w:szCs w:val="24"/>
          <w:highlight w:val="none"/>
        </w:rPr>
        <w:t>3、在任何评标环节中，需评标委员会就某项评审结论做出表决的，由评标委员会全体成员按照少数服从多数的原则，以记名投票方式表决。</w:t>
      </w:r>
      <w:bookmarkStart w:id="292" w:name="_Toc503463635"/>
    </w:p>
    <w:p>
      <w:pPr>
        <w:pStyle w:val="7"/>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p>
    <w:bookmarkEnd w:id="292"/>
    <w:p>
      <w:pPr>
        <w:pStyle w:val="36"/>
        <w:numPr>
          <w:ilvl w:val="0"/>
          <w:numId w:val="4"/>
        </w:numPr>
        <w:rPr>
          <w:rFonts w:asciiTheme="majorEastAsia" w:hAnsiTheme="majorEastAsia" w:eastAsiaTheme="majorEastAsia"/>
          <w:color w:val="auto"/>
          <w:highlight w:val="none"/>
        </w:rPr>
      </w:pPr>
      <w:bookmarkStart w:id="293" w:name="_Toc29049"/>
      <w:bookmarkStart w:id="294" w:name="_Toc503463636"/>
      <w:r>
        <w:rPr>
          <w:rFonts w:hint="eastAsia" w:asciiTheme="majorEastAsia" w:hAnsiTheme="majorEastAsia" w:eastAsiaTheme="majorEastAsia"/>
          <w:color w:val="auto"/>
          <w:highlight w:val="none"/>
        </w:rPr>
        <w:t>政府采购合同</w:t>
      </w:r>
      <w:bookmarkEnd w:id="293"/>
    </w:p>
    <w:p>
      <w:pPr>
        <w:rPr>
          <w:color w:val="auto"/>
          <w:highlight w:val="none"/>
        </w:rPr>
      </w:pPr>
      <w:bookmarkStart w:id="295" w:name="_Toc25505"/>
    </w:p>
    <w:p>
      <w:pPr>
        <w:pStyle w:val="7"/>
        <w:rPr>
          <w:color w:val="auto"/>
          <w:highlight w:val="none"/>
        </w:rPr>
      </w:pPr>
    </w:p>
    <w:p>
      <w:pPr>
        <w:widowControl/>
        <w:ind w:firstLine="1325" w:firstLineChars="300"/>
        <w:jc w:val="left"/>
        <w:rPr>
          <w:rFonts w:ascii="黑体" w:hAnsi="宋体" w:eastAsia="黑体"/>
          <w:b/>
          <w:bCs/>
          <w:color w:val="auto"/>
          <w:sz w:val="44"/>
          <w:szCs w:val="44"/>
          <w:highlight w:val="none"/>
          <w:u w:val="single"/>
        </w:rPr>
      </w:pPr>
      <w:r>
        <w:rPr>
          <w:rFonts w:hint="eastAsia" w:ascii="黑体" w:hAnsi="黑体" w:eastAsia="黑体" w:cs="黑体"/>
          <w:b/>
          <w:bCs/>
          <w:color w:val="auto"/>
          <w:kern w:val="0"/>
          <w:sz w:val="44"/>
          <w:szCs w:val="44"/>
          <w:highlight w:val="none"/>
          <w:lang w:bidi="ar"/>
        </w:rPr>
        <w:t>石河子大学</w:t>
      </w:r>
      <w:r>
        <w:rPr>
          <w:rFonts w:hint="eastAsia" w:ascii="黑体" w:hAnsi="黑体" w:eastAsia="黑体" w:cs="黑体"/>
          <w:b/>
          <w:bCs/>
          <w:color w:val="auto"/>
          <w:kern w:val="0"/>
          <w:sz w:val="44"/>
          <w:szCs w:val="44"/>
          <w:highlight w:val="none"/>
          <w:u w:val="single"/>
          <w:lang w:bidi="ar"/>
        </w:rPr>
        <w:t xml:space="preserve">        </w:t>
      </w:r>
      <w:r>
        <w:rPr>
          <w:rFonts w:hint="eastAsia" w:ascii="黑体" w:hAnsi="黑体" w:eastAsia="黑体" w:cs="黑体"/>
          <w:b/>
          <w:bCs/>
          <w:color w:val="auto"/>
          <w:kern w:val="0"/>
          <w:sz w:val="44"/>
          <w:szCs w:val="44"/>
          <w:highlight w:val="none"/>
          <w:lang w:bidi="ar"/>
        </w:rPr>
        <w:t>采购合同</w:t>
      </w:r>
    </w:p>
    <w:p>
      <w:pPr>
        <w:spacing w:line="360" w:lineRule="auto"/>
        <w:rPr>
          <w:rFonts w:ascii="黑体" w:hAnsi="宋体" w:eastAsia="黑体"/>
          <w:b/>
          <w:bCs/>
          <w:color w:val="auto"/>
          <w:sz w:val="32"/>
          <w:szCs w:val="32"/>
          <w:highlight w:val="none"/>
        </w:rPr>
      </w:pPr>
    </w:p>
    <w:p>
      <w:pPr>
        <w:spacing w:line="360" w:lineRule="auto"/>
        <w:rPr>
          <w:rFonts w:ascii="黑体" w:hAnsi="宋体" w:eastAsia="黑体"/>
          <w:b/>
          <w:bCs/>
          <w:color w:val="auto"/>
          <w:sz w:val="32"/>
          <w:szCs w:val="32"/>
          <w:highlight w:val="none"/>
        </w:rPr>
      </w:pPr>
    </w:p>
    <w:p>
      <w:pPr>
        <w:spacing w:line="360" w:lineRule="auto"/>
        <w:rPr>
          <w:rFonts w:ascii="黑体" w:hAnsi="宋体" w:eastAsia="黑体"/>
          <w:b/>
          <w:bCs/>
          <w:color w:val="auto"/>
          <w:sz w:val="32"/>
          <w:szCs w:val="32"/>
          <w:highlight w:val="none"/>
        </w:rPr>
      </w:pPr>
    </w:p>
    <w:p>
      <w:pPr>
        <w:spacing w:line="360" w:lineRule="auto"/>
        <w:rPr>
          <w:rFonts w:ascii="黑体" w:hAnsi="宋体" w:eastAsia="黑体"/>
          <w:b/>
          <w:bCs/>
          <w:color w:val="auto"/>
          <w:sz w:val="32"/>
          <w:szCs w:val="32"/>
          <w:highlight w:val="none"/>
        </w:rPr>
      </w:pPr>
    </w:p>
    <w:p>
      <w:pPr>
        <w:spacing w:line="360" w:lineRule="auto"/>
        <w:rPr>
          <w:rFonts w:ascii="黑体" w:hAnsi="宋体" w:eastAsia="黑体"/>
          <w:b/>
          <w:bCs/>
          <w:color w:val="auto"/>
          <w:sz w:val="32"/>
          <w:szCs w:val="32"/>
          <w:highlight w:val="none"/>
        </w:rPr>
      </w:pPr>
    </w:p>
    <w:p>
      <w:pPr>
        <w:spacing w:line="360" w:lineRule="auto"/>
        <w:ind w:firstLine="1606" w:firstLineChars="500"/>
        <w:rPr>
          <w:rFonts w:ascii="黑体" w:hAnsi="宋体" w:eastAsia="黑体"/>
          <w:b/>
          <w:bCs/>
          <w:color w:val="auto"/>
          <w:sz w:val="32"/>
          <w:szCs w:val="32"/>
          <w:highlight w:val="none"/>
        </w:rPr>
      </w:pPr>
      <w:r>
        <w:rPr>
          <w:rFonts w:hint="eastAsia" w:ascii="黑体" w:hAnsi="宋体" w:eastAsia="黑体"/>
          <w:b/>
          <w:bCs/>
          <w:color w:val="auto"/>
          <w:kern w:val="0"/>
          <w:sz w:val="32"/>
          <w:szCs w:val="32"/>
          <w:highlight w:val="none"/>
        </w:rPr>
        <w:t>合同编号：</w:t>
      </w:r>
      <w:r>
        <w:rPr>
          <w:rFonts w:hint="eastAsia" w:ascii="黑体" w:hAnsi="黑体" w:eastAsia="黑体" w:cs="黑体"/>
          <w:b/>
          <w:bCs/>
          <w:color w:val="auto"/>
          <w:kern w:val="0"/>
          <w:sz w:val="32"/>
          <w:szCs w:val="32"/>
          <w:highlight w:val="none"/>
          <w:u w:val="single"/>
          <w:lang w:bidi="ar"/>
        </w:rPr>
        <w:t xml:space="preserve">                   </w:t>
      </w:r>
      <w:r>
        <w:rPr>
          <w:rFonts w:hint="eastAsia" w:ascii="黑体" w:hAnsi="宋体" w:eastAsia="黑体"/>
          <w:b/>
          <w:bCs/>
          <w:color w:val="auto"/>
          <w:sz w:val="32"/>
          <w:szCs w:val="32"/>
          <w:highlight w:val="none"/>
        </w:rPr>
        <w:t xml:space="preserve"> </w:t>
      </w:r>
    </w:p>
    <w:p>
      <w:pPr>
        <w:spacing w:line="360" w:lineRule="auto"/>
        <w:jc w:val="center"/>
        <w:rPr>
          <w:rFonts w:ascii="黑体" w:hAnsi="宋体" w:eastAsia="黑体"/>
          <w:b/>
          <w:bCs/>
          <w:color w:val="auto"/>
          <w:sz w:val="44"/>
          <w:szCs w:val="44"/>
          <w:highlight w:val="none"/>
        </w:rPr>
      </w:pPr>
    </w:p>
    <w:p>
      <w:pPr>
        <w:spacing w:line="360" w:lineRule="auto"/>
        <w:jc w:val="center"/>
        <w:rPr>
          <w:rFonts w:ascii="黑体" w:hAnsi="宋体" w:eastAsia="黑体"/>
          <w:b/>
          <w:bCs/>
          <w:color w:val="auto"/>
          <w:sz w:val="44"/>
          <w:szCs w:val="44"/>
          <w:highlight w:val="none"/>
        </w:rPr>
      </w:pPr>
    </w:p>
    <w:p>
      <w:pPr>
        <w:widowControl/>
        <w:jc w:val="left"/>
        <w:outlineLvl w:val="1"/>
        <w:rPr>
          <w:rFonts w:ascii="黑体" w:hAnsi="黑体" w:eastAsia="黑体" w:cs="黑体"/>
          <w:b/>
          <w:bCs/>
          <w:color w:val="auto"/>
          <w:sz w:val="32"/>
          <w:szCs w:val="32"/>
          <w:highlight w:val="none"/>
          <w:u w:val="single"/>
        </w:rPr>
      </w:pPr>
      <w:bookmarkStart w:id="296" w:name="_Toc9629"/>
      <w:r>
        <w:rPr>
          <w:rFonts w:hint="eastAsia" w:ascii="黑体" w:hAnsi="宋体" w:eastAsia="黑体"/>
          <w:b/>
          <w:bCs/>
          <w:color w:val="auto"/>
          <w:sz w:val="32"/>
          <w:szCs w:val="32"/>
          <w:highlight w:val="none"/>
        </w:rPr>
        <w:t>买</w:t>
      </w:r>
      <w:r>
        <w:rPr>
          <w:rFonts w:hint="eastAsia" w:ascii="黑体" w:hAnsi="黑体" w:eastAsia="黑体" w:cs="黑体"/>
          <w:b/>
          <w:bCs/>
          <w:color w:val="auto"/>
          <w:sz w:val="32"/>
          <w:szCs w:val="32"/>
          <w:highlight w:val="none"/>
        </w:rPr>
        <w:t>方：</w:t>
      </w:r>
      <w:r>
        <w:rPr>
          <w:rFonts w:hint="eastAsia" w:ascii="黑体" w:hAnsi="黑体" w:eastAsia="黑体" w:cs="黑体"/>
          <w:b/>
          <w:bCs/>
          <w:color w:val="auto"/>
          <w:kern w:val="0"/>
          <w:sz w:val="32"/>
          <w:szCs w:val="32"/>
          <w:highlight w:val="none"/>
          <w:u w:val="single"/>
          <w:lang w:bidi="ar"/>
        </w:rPr>
        <w:t>石河子大学</w:t>
      </w:r>
      <w:r>
        <w:rPr>
          <w:rFonts w:hint="eastAsia" w:ascii="黑体" w:hAnsi="黑体" w:eastAsia="黑体" w:cs="黑体"/>
          <w:b/>
          <w:bCs/>
          <w:color w:val="auto"/>
          <w:sz w:val="32"/>
          <w:szCs w:val="32"/>
          <w:highlight w:val="none"/>
          <w:u w:val="single"/>
        </w:rPr>
        <w:t xml:space="preserve">  （以下简称甲方）</w:t>
      </w:r>
      <w:bookmarkEnd w:id="296"/>
    </w:p>
    <w:p>
      <w:pPr>
        <w:tabs>
          <w:tab w:val="left" w:pos="3060"/>
        </w:tabs>
        <w:spacing w:line="360" w:lineRule="auto"/>
        <w:rPr>
          <w:rFonts w:ascii="黑体" w:hAnsi="宋体" w:eastAsia="黑体"/>
          <w:b/>
          <w:bCs/>
          <w:color w:val="auto"/>
          <w:sz w:val="32"/>
          <w:szCs w:val="32"/>
          <w:highlight w:val="none"/>
        </w:rPr>
      </w:pPr>
      <w:r>
        <w:rPr>
          <w:rFonts w:hint="eastAsia" w:ascii="黑体" w:hAnsi="宋体" w:eastAsia="黑体"/>
          <w:b/>
          <w:bCs/>
          <w:color w:val="auto"/>
          <w:sz w:val="32"/>
          <w:szCs w:val="32"/>
          <w:highlight w:val="none"/>
        </w:rPr>
        <w:t>卖方：</w:t>
      </w:r>
      <w:r>
        <w:rPr>
          <w:rFonts w:hint="eastAsia" w:ascii="黑体" w:hAnsi="宋体" w:eastAsia="黑体"/>
          <w:b/>
          <w:bCs/>
          <w:color w:val="auto"/>
          <w:sz w:val="32"/>
          <w:szCs w:val="32"/>
          <w:highlight w:val="none"/>
          <w:u w:val="single"/>
        </w:rPr>
        <w:t xml:space="preserve">                            </w:t>
      </w:r>
      <w:r>
        <w:rPr>
          <w:rFonts w:hint="eastAsia" w:ascii="黑体" w:hAnsi="宋体" w:eastAsia="黑体"/>
          <w:b/>
          <w:bCs/>
          <w:color w:val="auto"/>
          <w:sz w:val="32"/>
          <w:szCs w:val="32"/>
          <w:highlight w:val="none"/>
        </w:rPr>
        <w:t>（以下简称乙方）</w:t>
      </w:r>
    </w:p>
    <w:p>
      <w:pPr>
        <w:tabs>
          <w:tab w:val="left" w:pos="3060"/>
        </w:tabs>
        <w:spacing w:line="360" w:lineRule="auto"/>
        <w:rPr>
          <w:rFonts w:ascii="黑体" w:hAnsi="宋体" w:eastAsia="黑体"/>
          <w:b/>
          <w:bCs/>
          <w:color w:val="auto"/>
          <w:sz w:val="32"/>
          <w:szCs w:val="32"/>
          <w:highlight w:val="none"/>
        </w:rPr>
      </w:pPr>
    </w:p>
    <w:p>
      <w:pPr>
        <w:tabs>
          <w:tab w:val="left" w:pos="3060"/>
        </w:tabs>
        <w:spacing w:line="360" w:lineRule="auto"/>
        <w:rPr>
          <w:rFonts w:ascii="黑体" w:hAnsi="宋体" w:eastAsia="黑体"/>
          <w:b/>
          <w:bCs/>
          <w:color w:val="auto"/>
          <w:sz w:val="32"/>
          <w:szCs w:val="32"/>
          <w:highlight w:val="none"/>
        </w:rPr>
      </w:pPr>
    </w:p>
    <w:p>
      <w:pPr>
        <w:tabs>
          <w:tab w:val="left" w:pos="3060"/>
        </w:tabs>
        <w:spacing w:line="360" w:lineRule="auto"/>
        <w:rPr>
          <w:rFonts w:ascii="黑体" w:hAnsi="宋体" w:eastAsia="黑体"/>
          <w:b/>
          <w:bCs/>
          <w:color w:val="auto"/>
          <w:sz w:val="32"/>
          <w:szCs w:val="32"/>
          <w:highlight w:val="none"/>
        </w:rPr>
      </w:pPr>
    </w:p>
    <w:p>
      <w:pPr>
        <w:tabs>
          <w:tab w:val="left" w:pos="3060"/>
        </w:tabs>
        <w:spacing w:line="360" w:lineRule="auto"/>
        <w:rPr>
          <w:rFonts w:ascii="黑体" w:hAnsi="宋体" w:eastAsia="黑体"/>
          <w:b/>
          <w:bCs/>
          <w:color w:val="auto"/>
          <w:sz w:val="32"/>
          <w:szCs w:val="32"/>
          <w:highlight w:val="none"/>
        </w:rPr>
      </w:pPr>
      <w:r>
        <w:rPr>
          <w:rFonts w:hint="eastAsia" w:ascii="黑体" w:hAnsi="宋体" w:eastAsia="黑体"/>
          <w:b/>
          <w:bCs/>
          <w:color w:val="auto"/>
          <w:sz w:val="32"/>
          <w:szCs w:val="32"/>
          <w:highlight w:val="none"/>
        </w:rPr>
        <w:t>签订地点：石河子大学</w:t>
      </w:r>
    </w:p>
    <w:p>
      <w:pPr>
        <w:spacing w:line="360" w:lineRule="auto"/>
        <w:rPr>
          <w:rFonts w:ascii="黑体" w:hAnsi="宋体" w:eastAsia="黑体"/>
          <w:b/>
          <w:bCs/>
          <w:color w:val="auto"/>
          <w:sz w:val="32"/>
          <w:szCs w:val="32"/>
          <w:highlight w:val="none"/>
        </w:rPr>
      </w:pPr>
      <w:r>
        <w:rPr>
          <w:rFonts w:hint="eastAsia" w:ascii="黑体" w:hAnsi="宋体" w:eastAsia="黑体"/>
          <w:b/>
          <w:bCs/>
          <w:color w:val="auto"/>
          <w:sz w:val="32"/>
          <w:szCs w:val="32"/>
          <w:highlight w:val="none"/>
        </w:rPr>
        <w:t>签订时间：     年      月     日</w:t>
      </w:r>
    </w:p>
    <w:p>
      <w:pPr>
        <w:spacing w:line="360" w:lineRule="auto"/>
        <w:rPr>
          <w:rFonts w:ascii="宋体" w:hAnsi="宋体"/>
          <w:b/>
          <w:bCs/>
          <w:color w:val="auto"/>
          <w:sz w:val="24"/>
          <w:highlight w:val="none"/>
        </w:rPr>
      </w:pPr>
    </w:p>
    <w:p>
      <w:pPr>
        <w:spacing w:line="360" w:lineRule="auto"/>
        <w:ind w:left="840" w:hanging="840" w:hangingChars="400"/>
        <w:rPr>
          <w:rFonts w:ascii="宋体" w:hAnsi="宋体"/>
          <w:b/>
          <w:bCs/>
          <w:color w:val="auto"/>
          <w:szCs w:val="21"/>
          <w:highlight w:val="none"/>
        </w:rPr>
      </w:pPr>
      <w:r>
        <w:rPr>
          <w:rFonts w:hint="eastAsia" w:ascii="宋体" w:hAnsi="宋体"/>
          <w:b/>
          <w:bCs/>
          <w:color w:val="auto"/>
          <w:szCs w:val="21"/>
          <w:highlight w:val="none"/>
        </w:rPr>
        <w:t>备注：  1.根据项目具体要求可以增加相应条款，但不得删减合同范本条款，如无相关约束条款，可以用（</w:t>
      </w:r>
      <w:r>
        <w:rPr>
          <w:rFonts w:hint="eastAsia" w:ascii="宋体" w:hAnsi="宋体" w:cs="宋体"/>
          <w:b/>
          <w:bCs/>
          <w:color w:val="auto"/>
          <w:szCs w:val="21"/>
          <w:highlight w:val="none"/>
        </w:rPr>
        <w:t>/</w:t>
      </w:r>
      <w:r>
        <w:rPr>
          <w:rFonts w:hint="eastAsia" w:ascii="宋体" w:hAnsi="宋体"/>
          <w:b/>
          <w:bCs/>
          <w:color w:val="auto"/>
          <w:szCs w:val="21"/>
          <w:highlight w:val="none"/>
        </w:rPr>
        <w:t>）标注</w:t>
      </w:r>
    </w:p>
    <w:p>
      <w:pPr>
        <w:spacing w:line="360" w:lineRule="auto"/>
        <w:ind w:firstLine="840" w:firstLineChars="400"/>
        <w:rPr>
          <w:rFonts w:ascii="宋体" w:hAnsi="宋体"/>
          <w:b/>
          <w:bCs/>
          <w:color w:val="auto"/>
          <w:szCs w:val="21"/>
          <w:highlight w:val="none"/>
        </w:rPr>
      </w:pPr>
      <w:r>
        <w:rPr>
          <w:rFonts w:hint="eastAsia" w:ascii="宋体" w:hAnsi="宋体"/>
          <w:b/>
          <w:bCs/>
          <w:color w:val="auto"/>
          <w:szCs w:val="21"/>
          <w:highlight w:val="none"/>
        </w:rPr>
        <w:t>2.招标编号 合同编号：（为项目采购立项编号，兵团批复编号或校内询价编号）</w:t>
      </w:r>
    </w:p>
    <w:p>
      <w:pPr>
        <w:spacing w:line="520" w:lineRule="exact"/>
        <w:ind w:firstLine="720" w:firstLineChars="300"/>
        <w:rPr>
          <w:color w:val="auto"/>
          <w:sz w:val="24"/>
          <w:highlight w:val="none"/>
        </w:rPr>
      </w:pPr>
      <w:r>
        <w:rPr>
          <w:rFonts w:hint="eastAsia" w:ascii="宋体" w:hAnsi="宋体"/>
          <w:color w:val="auto"/>
          <w:sz w:val="24"/>
          <w:highlight w:val="none"/>
        </w:rPr>
        <w:t>甲乙双方</w:t>
      </w:r>
      <w:r>
        <w:rPr>
          <w:rFonts w:hint="eastAsia"/>
          <w:color w:val="auto"/>
          <w:sz w:val="24"/>
          <w:highlight w:val="none"/>
        </w:rPr>
        <w:t>依照《中华人民共和国民法典》及其他有关法律、行政法规、遵循平等、自愿、公平和诚实信用的原则，就</w:t>
      </w:r>
      <w:r>
        <w:rPr>
          <w:rFonts w:hint="eastAsia" w:ascii="宋体" w:hAnsi="宋体" w:cs="宋体"/>
          <w:b/>
          <w:bCs/>
          <w:color w:val="auto"/>
          <w:kern w:val="0"/>
          <w:sz w:val="24"/>
          <w:highlight w:val="none"/>
          <w:u w:val="single"/>
          <w:lang w:bidi="ar"/>
        </w:rPr>
        <w:t xml:space="preserve">                </w:t>
      </w:r>
      <w:r>
        <w:rPr>
          <w:rFonts w:hint="eastAsia" w:ascii="宋体" w:hAnsi="宋体" w:cs="宋体"/>
          <w:color w:val="auto"/>
          <w:sz w:val="24"/>
          <w:highlight w:val="none"/>
        </w:rPr>
        <w:t>的设备（货物）采购协</w:t>
      </w:r>
      <w:r>
        <w:rPr>
          <w:rFonts w:hint="eastAsia"/>
          <w:color w:val="auto"/>
          <w:sz w:val="24"/>
          <w:highlight w:val="none"/>
        </w:rPr>
        <w:t>商一致，订立本合同。</w:t>
      </w:r>
    </w:p>
    <w:p>
      <w:pPr>
        <w:numPr>
          <w:ilvl w:val="0"/>
          <w:numId w:val="5"/>
        </w:numPr>
        <w:tabs>
          <w:tab w:val="left" w:pos="3060"/>
        </w:tabs>
        <w:spacing w:line="520" w:lineRule="exact"/>
        <w:outlineLvl w:val="1"/>
        <w:rPr>
          <w:rFonts w:ascii="宋体" w:hAnsi="宋体"/>
          <w:b/>
          <w:bCs/>
          <w:color w:val="auto"/>
          <w:sz w:val="24"/>
          <w:highlight w:val="none"/>
        </w:rPr>
      </w:pPr>
      <w:r>
        <w:rPr>
          <w:rFonts w:hint="eastAsia" w:ascii="宋体" w:hAnsi="宋体"/>
          <w:b/>
          <w:bCs/>
          <w:color w:val="auto"/>
          <w:sz w:val="24"/>
          <w:highlight w:val="none"/>
        </w:rPr>
        <w:t xml:space="preserve"> </w:t>
      </w:r>
      <w:bookmarkStart w:id="297" w:name="_Toc19831"/>
      <w:r>
        <w:rPr>
          <w:rFonts w:hint="eastAsia" w:ascii="宋体" w:hAnsi="宋体"/>
          <w:b/>
          <w:bCs/>
          <w:color w:val="auto"/>
          <w:sz w:val="24"/>
          <w:highlight w:val="none"/>
        </w:rPr>
        <w:t>定  义</w:t>
      </w:r>
      <w:bookmarkEnd w:id="297"/>
    </w:p>
    <w:p>
      <w:pPr>
        <w:tabs>
          <w:tab w:val="left" w:pos="3060"/>
        </w:tabs>
        <w:spacing w:line="520" w:lineRule="exact"/>
        <w:ind w:firstLine="480" w:firstLineChars="200"/>
        <w:rPr>
          <w:rFonts w:ascii="宋体" w:hAnsi="宋体"/>
          <w:color w:val="auto"/>
          <w:sz w:val="24"/>
          <w:highlight w:val="none"/>
        </w:rPr>
      </w:pPr>
      <w:r>
        <w:rPr>
          <w:rFonts w:ascii="宋体" w:hAnsi="宋体"/>
          <w:color w:val="auto"/>
          <w:sz w:val="24"/>
          <w:highlight w:val="none"/>
        </w:rPr>
        <w:t>本合同下列术语应解释为：</w:t>
      </w:r>
    </w:p>
    <w:p>
      <w:pPr>
        <w:tabs>
          <w:tab w:val="left" w:pos="3060"/>
        </w:tabs>
        <w:spacing w:line="520" w:lineRule="exact"/>
        <w:rPr>
          <w:rFonts w:ascii="宋体" w:hAnsi="宋体"/>
          <w:color w:val="auto"/>
          <w:sz w:val="24"/>
          <w:highlight w:val="none"/>
        </w:rPr>
      </w:pPr>
      <w:r>
        <w:rPr>
          <w:rFonts w:ascii="宋体" w:hAnsi="宋体"/>
          <w:color w:val="auto"/>
          <w:sz w:val="24"/>
          <w:highlight w:val="none"/>
        </w:rPr>
        <w:t>　　（1）“合同”系指甲乙双方</w:t>
      </w:r>
      <w:r>
        <w:rPr>
          <w:rFonts w:hint="eastAsia" w:ascii="宋体" w:hAnsi="宋体"/>
          <w:color w:val="auto"/>
          <w:sz w:val="24"/>
          <w:highlight w:val="none"/>
        </w:rPr>
        <w:t>自愿</w:t>
      </w:r>
      <w:r>
        <w:rPr>
          <w:rFonts w:ascii="宋体" w:hAnsi="宋体"/>
          <w:color w:val="auto"/>
          <w:sz w:val="24"/>
          <w:highlight w:val="none"/>
        </w:rPr>
        <w:t>签署</w:t>
      </w:r>
      <w:r>
        <w:rPr>
          <w:rFonts w:hint="eastAsia" w:ascii="宋体" w:hAnsi="宋体"/>
          <w:color w:val="auto"/>
          <w:sz w:val="24"/>
          <w:highlight w:val="none"/>
        </w:rPr>
        <w:t>并达成</w:t>
      </w:r>
      <w:r>
        <w:rPr>
          <w:rFonts w:ascii="宋体" w:hAnsi="宋体"/>
          <w:color w:val="auto"/>
          <w:sz w:val="24"/>
          <w:highlight w:val="none"/>
        </w:rPr>
        <w:t>的、载明双方</w:t>
      </w:r>
      <w:r>
        <w:rPr>
          <w:rFonts w:hint="eastAsia" w:ascii="宋体" w:hAnsi="宋体"/>
          <w:color w:val="auto"/>
          <w:sz w:val="24"/>
          <w:highlight w:val="none"/>
        </w:rPr>
        <w:t>权利义务</w:t>
      </w:r>
      <w:r>
        <w:rPr>
          <w:rFonts w:ascii="宋体" w:hAnsi="宋体"/>
          <w:color w:val="auto"/>
          <w:sz w:val="24"/>
          <w:highlight w:val="none"/>
        </w:rPr>
        <w:t>的协议，包括所有的附件、附录</w:t>
      </w:r>
      <w:r>
        <w:rPr>
          <w:rFonts w:hint="eastAsia" w:ascii="宋体" w:hAnsi="宋体"/>
          <w:color w:val="auto"/>
          <w:sz w:val="24"/>
          <w:highlight w:val="none"/>
        </w:rPr>
        <w:t>、补充协议、通知书、确认书、投标文件的技术参数等以及</w:t>
      </w:r>
      <w:r>
        <w:rPr>
          <w:rFonts w:ascii="宋体" w:hAnsi="宋体"/>
          <w:color w:val="auto"/>
          <w:sz w:val="24"/>
          <w:highlight w:val="none"/>
        </w:rPr>
        <w:t>上述文件所提到的构成合同的所有文件。</w:t>
      </w:r>
    </w:p>
    <w:p>
      <w:pPr>
        <w:pStyle w:val="19"/>
        <w:spacing w:line="520" w:lineRule="exact"/>
        <w:rPr>
          <w:rFonts w:ascii="宋体" w:hAnsi="宋体"/>
          <w:color w:val="auto"/>
          <w:sz w:val="24"/>
          <w:highlight w:val="none"/>
        </w:rPr>
      </w:pPr>
      <w:r>
        <w:rPr>
          <w:rFonts w:ascii="宋体" w:hAnsi="宋体"/>
          <w:color w:val="auto"/>
          <w:sz w:val="24"/>
          <w:highlight w:val="none"/>
        </w:rPr>
        <w:t>　　（2）</w:t>
      </w:r>
      <w:r>
        <w:rPr>
          <w:rFonts w:hint="eastAsia" w:ascii="宋体" w:hAnsi="宋体"/>
          <w:color w:val="auto"/>
          <w:sz w:val="24"/>
          <w:highlight w:val="none"/>
        </w:rPr>
        <w:t>“合同价”是指根据本合同的约定，乙方在按照合同约定和法律法规规定全面履行相应义务后，甲方应当支付给乙方的价款。</w:t>
      </w:r>
    </w:p>
    <w:p>
      <w:pPr>
        <w:tabs>
          <w:tab w:val="left" w:pos="3060"/>
        </w:tabs>
        <w:spacing w:line="520" w:lineRule="exact"/>
        <w:rPr>
          <w:rFonts w:ascii="宋体" w:hAnsi="宋体"/>
          <w:color w:val="auto"/>
          <w:sz w:val="24"/>
          <w:highlight w:val="none"/>
        </w:rPr>
      </w:pPr>
      <w:r>
        <w:rPr>
          <w:rFonts w:ascii="宋体" w:hAnsi="宋体"/>
          <w:color w:val="auto"/>
          <w:sz w:val="24"/>
          <w:highlight w:val="none"/>
        </w:rPr>
        <w:t>　　（3）“</w:t>
      </w:r>
      <w:r>
        <w:rPr>
          <w:rFonts w:hint="eastAsia" w:ascii="宋体" w:hAnsi="宋体"/>
          <w:color w:val="auto"/>
          <w:sz w:val="24"/>
          <w:highlight w:val="none"/>
        </w:rPr>
        <w:t>设备（货物）</w:t>
      </w:r>
      <w:r>
        <w:rPr>
          <w:rFonts w:ascii="宋体" w:hAnsi="宋体"/>
          <w:color w:val="auto"/>
          <w:sz w:val="24"/>
          <w:highlight w:val="none"/>
        </w:rPr>
        <w:t>”系指乙方根据合同规定须向甲方提供的</w:t>
      </w:r>
      <w:r>
        <w:rPr>
          <w:rFonts w:hint="eastAsia" w:ascii="宋体" w:hAnsi="宋体"/>
          <w:color w:val="auto"/>
          <w:sz w:val="24"/>
          <w:highlight w:val="none"/>
        </w:rPr>
        <w:t>保证正常运行的</w:t>
      </w:r>
      <w:r>
        <w:rPr>
          <w:rFonts w:ascii="宋体" w:hAnsi="宋体"/>
          <w:color w:val="auto"/>
          <w:sz w:val="24"/>
          <w:highlight w:val="none"/>
        </w:rPr>
        <w:t>一切</w:t>
      </w:r>
      <w:r>
        <w:rPr>
          <w:rFonts w:hint="eastAsia" w:ascii="宋体" w:hAnsi="宋体"/>
          <w:color w:val="auto"/>
          <w:sz w:val="24"/>
          <w:highlight w:val="none"/>
        </w:rPr>
        <w:t>设备（货物）</w:t>
      </w:r>
      <w:r>
        <w:rPr>
          <w:rFonts w:ascii="宋体" w:hAnsi="宋体"/>
          <w:color w:val="auto"/>
          <w:sz w:val="24"/>
          <w:highlight w:val="none"/>
        </w:rPr>
        <w:t>、配件</w:t>
      </w:r>
      <w:r>
        <w:rPr>
          <w:rFonts w:hint="eastAsia" w:ascii="宋体" w:hAnsi="宋体"/>
          <w:color w:val="auto"/>
          <w:sz w:val="24"/>
          <w:highlight w:val="none"/>
        </w:rPr>
        <w:t>、备件、图纸、软件、附随工具、随增物品、装箱资料及</w:t>
      </w:r>
      <w:r>
        <w:rPr>
          <w:rFonts w:ascii="宋体" w:hAnsi="宋体"/>
          <w:color w:val="auto"/>
          <w:sz w:val="24"/>
          <w:highlight w:val="none"/>
        </w:rPr>
        <w:t>其他材料。</w:t>
      </w:r>
    </w:p>
    <w:p>
      <w:pPr>
        <w:tabs>
          <w:tab w:val="left" w:pos="3060"/>
        </w:tabs>
        <w:spacing w:line="520" w:lineRule="exact"/>
        <w:rPr>
          <w:rFonts w:ascii="宋体" w:hAnsi="宋体"/>
          <w:color w:val="auto"/>
          <w:sz w:val="24"/>
          <w:highlight w:val="none"/>
        </w:rPr>
      </w:pPr>
      <w:r>
        <w:rPr>
          <w:rFonts w:ascii="宋体" w:hAnsi="宋体"/>
          <w:color w:val="auto"/>
          <w:sz w:val="24"/>
          <w:highlight w:val="none"/>
        </w:rPr>
        <w:t>　　（4）“服务”系指根据合同规定乙方承担与供货有关的辅助服务，如</w:t>
      </w:r>
      <w:r>
        <w:rPr>
          <w:rFonts w:hint="eastAsia" w:ascii="宋体" w:hAnsi="宋体"/>
          <w:color w:val="auto"/>
          <w:sz w:val="24"/>
          <w:highlight w:val="none"/>
        </w:rPr>
        <w:t>包装、</w:t>
      </w:r>
      <w:r>
        <w:rPr>
          <w:rFonts w:ascii="宋体" w:hAnsi="宋体"/>
          <w:color w:val="auto"/>
          <w:sz w:val="24"/>
          <w:highlight w:val="none"/>
        </w:rPr>
        <w:t>运输、</w:t>
      </w:r>
      <w:r>
        <w:rPr>
          <w:rFonts w:hint="eastAsia" w:ascii="宋体" w:hAnsi="宋体"/>
          <w:color w:val="auto"/>
          <w:sz w:val="24"/>
          <w:highlight w:val="none"/>
        </w:rPr>
        <w:t>保险</w:t>
      </w:r>
      <w:r>
        <w:rPr>
          <w:rFonts w:ascii="宋体" w:hAnsi="宋体"/>
          <w:color w:val="auto"/>
          <w:sz w:val="24"/>
          <w:highlight w:val="none"/>
        </w:rPr>
        <w:t>以及其他的伴随服务，例如安装、调试、提供技术服务、培训和合同中规定乙方应承担的其他义务。　</w:t>
      </w:r>
    </w:p>
    <w:p>
      <w:pPr>
        <w:tabs>
          <w:tab w:val="left" w:pos="3060"/>
        </w:tabs>
        <w:spacing w:line="520" w:lineRule="exact"/>
        <w:ind w:left="477" w:leftChars="227"/>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w:t>
      </w:r>
      <w:r>
        <w:rPr>
          <w:rFonts w:hint="eastAsia" w:ascii="宋体" w:hAnsi="宋体"/>
          <w:color w:val="auto"/>
          <w:sz w:val="24"/>
          <w:highlight w:val="none"/>
        </w:rPr>
        <w:t>验收机构</w:t>
      </w:r>
      <w:r>
        <w:rPr>
          <w:rFonts w:ascii="宋体" w:hAnsi="宋体"/>
          <w:color w:val="auto"/>
          <w:sz w:val="24"/>
          <w:highlight w:val="none"/>
        </w:rPr>
        <w:t>”</w:t>
      </w:r>
      <w:r>
        <w:rPr>
          <w:rFonts w:hint="eastAsia" w:ascii="宋体" w:hAnsi="宋体"/>
          <w:color w:val="auto"/>
          <w:sz w:val="24"/>
          <w:highlight w:val="none"/>
        </w:rPr>
        <w:t>系指双方依据合同规定或国家相关规定的程序和条件组成验收小组，确认合同项下的设备（货物）符合技术规范的要求。</w:t>
      </w:r>
    </w:p>
    <w:p>
      <w:pPr>
        <w:tabs>
          <w:tab w:val="left" w:pos="3060"/>
        </w:tabs>
        <w:spacing w:line="520" w:lineRule="exact"/>
        <w:outlineLvl w:val="1"/>
        <w:rPr>
          <w:rFonts w:ascii="宋体" w:hAnsi="宋体"/>
          <w:b/>
          <w:bCs/>
          <w:color w:val="auto"/>
          <w:sz w:val="24"/>
          <w:highlight w:val="none"/>
        </w:rPr>
      </w:pPr>
      <w:bookmarkStart w:id="298" w:name="_Toc15815"/>
      <w:r>
        <w:rPr>
          <w:rFonts w:hint="eastAsia" w:ascii="宋体" w:hAnsi="宋体"/>
          <w:b/>
          <w:bCs/>
          <w:color w:val="auto"/>
          <w:sz w:val="24"/>
          <w:highlight w:val="none"/>
        </w:rPr>
        <w:t>2.  合同范围及价款</w:t>
      </w:r>
      <w:bookmarkEnd w:id="298"/>
    </w:p>
    <w:tbl>
      <w:tblPr>
        <w:tblStyle w:val="38"/>
        <w:tblpPr w:leftFromText="180" w:rightFromText="180" w:vertAnchor="text" w:horzAnchor="page" w:tblpX="1512" w:tblpY="1146"/>
        <w:tblOverlap w:val="never"/>
        <w:tblW w:w="9743" w:type="dxa"/>
        <w:tblInd w:w="0" w:type="dxa"/>
        <w:tblLayout w:type="fixed"/>
        <w:tblCellMar>
          <w:top w:w="0" w:type="dxa"/>
          <w:left w:w="0" w:type="dxa"/>
          <w:bottom w:w="0" w:type="dxa"/>
          <w:right w:w="0" w:type="dxa"/>
        </w:tblCellMar>
      </w:tblPr>
      <w:tblGrid>
        <w:gridCol w:w="540"/>
        <w:gridCol w:w="1460"/>
        <w:gridCol w:w="1581"/>
        <w:gridCol w:w="859"/>
        <w:gridCol w:w="780"/>
        <w:gridCol w:w="780"/>
        <w:gridCol w:w="845"/>
        <w:gridCol w:w="900"/>
        <w:gridCol w:w="1998"/>
      </w:tblGrid>
      <w:tr>
        <w:tblPrEx>
          <w:tblCellMar>
            <w:top w:w="0" w:type="dxa"/>
            <w:left w:w="0" w:type="dxa"/>
            <w:bottom w:w="0" w:type="dxa"/>
            <w:right w:w="0"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序号</w:t>
            </w:r>
          </w:p>
        </w:tc>
        <w:tc>
          <w:tcPr>
            <w:tcW w:w="146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设备（货物）名称</w:t>
            </w:r>
          </w:p>
        </w:tc>
        <w:tc>
          <w:tcPr>
            <w:tcW w:w="1581"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品牌规格型号</w:t>
            </w:r>
          </w:p>
        </w:tc>
        <w:tc>
          <w:tcPr>
            <w:tcW w:w="859"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产地</w:t>
            </w:r>
          </w:p>
        </w:tc>
        <w:tc>
          <w:tcPr>
            <w:tcW w:w="780" w:type="dxa"/>
            <w:tcBorders>
              <w:top w:val="single" w:color="auto" w:sz="4" w:space="0"/>
              <w:left w:val="nil"/>
              <w:bottom w:val="single" w:color="auto" w:sz="4" w:space="0"/>
              <w:right w:val="single" w:color="auto" w:sz="4" w:space="0"/>
            </w:tcBorders>
            <w:vAlign w:val="center"/>
          </w:tcPr>
          <w:p>
            <w:pPr>
              <w:spacing w:line="520" w:lineRule="exact"/>
              <w:jc w:val="center"/>
              <w:rPr>
                <w:rFonts w:hAnsi="宋体"/>
                <w:color w:val="auto"/>
                <w:sz w:val="24"/>
                <w:highlight w:val="none"/>
              </w:rPr>
            </w:pPr>
            <w:r>
              <w:rPr>
                <w:rFonts w:hAnsi="宋体"/>
                <w:color w:val="auto"/>
                <w:sz w:val="24"/>
                <w:highlight w:val="none"/>
              </w:rPr>
              <w:t>生产</w:t>
            </w:r>
          </w:p>
          <w:p>
            <w:pPr>
              <w:spacing w:line="520" w:lineRule="exact"/>
              <w:jc w:val="center"/>
              <w:rPr>
                <w:rFonts w:ascii="宋体" w:hAnsi="宋体"/>
                <w:color w:val="auto"/>
                <w:sz w:val="24"/>
                <w:highlight w:val="none"/>
              </w:rPr>
            </w:pPr>
            <w:r>
              <w:rPr>
                <w:rFonts w:hAnsi="宋体"/>
                <w:color w:val="auto"/>
                <w:sz w:val="24"/>
                <w:highlight w:val="none"/>
              </w:rPr>
              <w:t>厂家</w:t>
            </w:r>
          </w:p>
        </w:tc>
        <w:tc>
          <w:tcPr>
            <w:tcW w:w="78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数量</w:t>
            </w:r>
          </w:p>
        </w:tc>
        <w:tc>
          <w:tcPr>
            <w:tcW w:w="845"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单价</w:t>
            </w:r>
          </w:p>
        </w:tc>
        <w:tc>
          <w:tcPr>
            <w:tcW w:w="900"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合计</w:t>
            </w:r>
          </w:p>
        </w:tc>
        <w:tc>
          <w:tcPr>
            <w:tcW w:w="1998" w:type="dxa"/>
            <w:tcBorders>
              <w:top w:val="single" w:color="auto" w:sz="4" w:space="0"/>
              <w:left w:val="nil"/>
              <w:bottom w:val="nil"/>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备注（质保期）</w:t>
            </w:r>
          </w:p>
        </w:tc>
      </w:tr>
      <w:tr>
        <w:tblPrEx>
          <w:tblCellMar>
            <w:top w:w="0" w:type="dxa"/>
            <w:left w:w="0" w:type="dxa"/>
            <w:bottom w:w="0" w:type="dxa"/>
            <w:right w:w="0" w:type="dxa"/>
          </w:tblCellMar>
        </w:tblPrEx>
        <w:trPr>
          <w:trHeight w:val="567" w:hRule="atLeast"/>
        </w:trPr>
        <w:tc>
          <w:tcPr>
            <w:tcW w:w="540" w:type="dxa"/>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1</w:t>
            </w:r>
          </w:p>
        </w:tc>
        <w:tc>
          <w:tcPr>
            <w:tcW w:w="1460" w:type="dxa"/>
            <w:tcBorders>
              <w:top w:val="nil"/>
              <w:left w:val="nil"/>
              <w:bottom w:val="single" w:color="auto" w:sz="4" w:space="0"/>
              <w:right w:val="single" w:color="auto" w:sz="4" w:space="0"/>
            </w:tcBorders>
            <w:vAlign w:val="center"/>
          </w:tcPr>
          <w:p>
            <w:pPr>
              <w:adjustRightInd w:val="0"/>
              <w:snapToGrid w:val="0"/>
              <w:spacing w:line="520" w:lineRule="exact"/>
              <w:jc w:val="center"/>
              <w:rPr>
                <w:rFonts w:ascii="宋体" w:hAnsi="宋体"/>
                <w:color w:val="auto"/>
                <w:sz w:val="24"/>
                <w:highlight w:val="none"/>
              </w:rPr>
            </w:pPr>
          </w:p>
        </w:tc>
        <w:tc>
          <w:tcPr>
            <w:tcW w:w="1581" w:type="dxa"/>
            <w:tcBorders>
              <w:top w:val="nil"/>
              <w:left w:val="nil"/>
              <w:bottom w:val="single" w:color="auto" w:sz="4" w:space="0"/>
              <w:right w:val="single" w:color="auto" w:sz="4" w:space="0"/>
            </w:tcBorders>
            <w:vAlign w:val="center"/>
          </w:tcPr>
          <w:p>
            <w:pPr>
              <w:adjustRightInd w:val="0"/>
              <w:snapToGrid w:val="0"/>
              <w:spacing w:line="520" w:lineRule="exact"/>
              <w:jc w:val="center"/>
              <w:rPr>
                <w:rFonts w:ascii="宋体" w:hAnsi="宋体"/>
                <w:color w:val="auto"/>
                <w:sz w:val="24"/>
                <w:highlight w:val="none"/>
              </w:rPr>
            </w:pPr>
          </w:p>
        </w:tc>
        <w:tc>
          <w:tcPr>
            <w:tcW w:w="859"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845"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900"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1998" w:type="dxa"/>
            <w:tcBorders>
              <w:top w:val="single" w:color="auto" w:sz="4" w:space="0"/>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r>
      <w:tr>
        <w:tblPrEx>
          <w:tblCellMar>
            <w:top w:w="0" w:type="dxa"/>
            <w:left w:w="0" w:type="dxa"/>
            <w:bottom w:w="0" w:type="dxa"/>
            <w:right w:w="0" w:type="dxa"/>
          </w:tblCellMar>
        </w:tblPrEx>
        <w:trPr>
          <w:trHeight w:val="567" w:hRule="atLeast"/>
        </w:trPr>
        <w:tc>
          <w:tcPr>
            <w:tcW w:w="540" w:type="dxa"/>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2</w:t>
            </w:r>
          </w:p>
        </w:tc>
        <w:tc>
          <w:tcPr>
            <w:tcW w:w="1460"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1581" w:type="dxa"/>
            <w:tcBorders>
              <w:top w:val="nil"/>
              <w:left w:val="nil"/>
              <w:bottom w:val="single" w:color="auto" w:sz="4" w:space="0"/>
              <w:right w:val="single" w:color="auto" w:sz="4" w:space="0"/>
            </w:tcBorders>
            <w:vAlign w:val="center"/>
          </w:tcPr>
          <w:p>
            <w:pPr>
              <w:spacing w:line="520" w:lineRule="exact"/>
              <w:ind w:firstLine="480" w:firstLineChars="200"/>
              <w:rPr>
                <w:rFonts w:ascii="宋体" w:hAnsi="宋体"/>
                <w:color w:val="auto"/>
                <w:sz w:val="24"/>
                <w:highlight w:val="none"/>
              </w:rPr>
            </w:pPr>
          </w:p>
        </w:tc>
        <w:tc>
          <w:tcPr>
            <w:tcW w:w="859"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845"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900"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1998" w:type="dxa"/>
            <w:tcBorders>
              <w:top w:val="nil"/>
              <w:left w:val="nil"/>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r>
      <w:tr>
        <w:tblPrEx>
          <w:tblCellMar>
            <w:top w:w="0" w:type="dxa"/>
            <w:left w:w="0" w:type="dxa"/>
            <w:bottom w:w="0" w:type="dxa"/>
            <w:right w:w="0" w:type="dxa"/>
          </w:tblCellMar>
        </w:tblPrEx>
        <w:trPr>
          <w:trHeight w:val="567" w:hRule="atLeast"/>
        </w:trPr>
        <w:tc>
          <w:tcPr>
            <w:tcW w:w="540" w:type="dxa"/>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color w:val="auto"/>
                <w:sz w:val="24"/>
                <w:highlight w:val="none"/>
              </w:rPr>
            </w:pPr>
          </w:p>
        </w:tc>
        <w:tc>
          <w:tcPr>
            <w:tcW w:w="9203" w:type="dxa"/>
            <w:gridSpan w:val="8"/>
            <w:tcBorders>
              <w:top w:val="nil"/>
              <w:left w:val="single" w:color="auto" w:sz="4" w:space="0"/>
              <w:bottom w:val="single" w:color="auto" w:sz="4" w:space="0"/>
              <w:right w:val="single" w:color="auto" w:sz="4" w:space="0"/>
            </w:tcBorders>
            <w:vAlign w:val="center"/>
          </w:tcPr>
          <w:p>
            <w:pPr>
              <w:spacing w:line="520" w:lineRule="exact"/>
              <w:jc w:val="center"/>
              <w:rPr>
                <w:rFonts w:ascii="宋体" w:hAnsi="宋体"/>
                <w:color w:val="auto"/>
                <w:sz w:val="24"/>
                <w:highlight w:val="none"/>
              </w:rPr>
            </w:pPr>
            <w:r>
              <w:rPr>
                <w:rFonts w:hint="eastAsia" w:ascii="宋体" w:hAnsi="宋体"/>
                <w:color w:val="auto"/>
                <w:sz w:val="24"/>
                <w:highlight w:val="none"/>
              </w:rPr>
              <w:t>总</w:t>
            </w:r>
            <w:r>
              <w:rPr>
                <w:rFonts w:ascii="宋体" w:hAnsi="宋体"/>
                <w:color w:val="auto"/>
                <w:sz w:val="24"/>
                <w:highlight w:val="none"/>
              </w:rPr>
              <w:t xml:space="preserve">  </w:t>
            </w:r>
            <w:r>
              <w:rPr>
                <w:rFonts w:hint="eastAsia" w:ascii="宋体" w:hAnsi="宋体"/>
                <w:color w:val="auto"/>
                <w:sz w:val="24"/>
                <w:highlight w:val="none"/>
              </w:rPr>
              <w:t>计：</w:t>
            </w:r>
            <w:r>
              <w:rPr>
                <w:rFonts w:ascii="宋体" w:hAnsi="宋体"/>
                <w:color w:val="auto"/>
                <w:sz w:val="24"/>
                <w:highlight w:val="none"/>
              </w:rPr>
              <w:t xml:space="preserve">RMB </w:t>
            </w:r>
            <w:r>
              <w:rPr>
                <w:rFonts w:hint="eastAsia" w:ascii="宋体" w:hAnsi="宋体"/>
                <w:color w:val="auto"/>
                <w:sz w:val="24"/>
                <w:highlight w:val="none"/>
              </w:rPr>
              <w:t>￥     元</w:t>
            </w:r>
          </w:p>
        </w:tc>
      </w:tr>
    </w:tbl>
    <w:p>
      <w:pPr>
        <w:tabs>
          <w:tab w:val="left" w:pos="3060"/>
        </w:tabs>
        <w:spacing w:line="520" w:lineRule="exact"/>
        <w:ind w:firstLine="480" w:firstLineChars="200"/>
        <w:rPr>
          <w:rFonts w:ascii="宋体" w:hAnsi="宋体"/>
          <w:color w:val="auto"/>
          <w:sz w:val="24"/>
          <w:highlight w:val="none"/>
        </w:rPr>
      </w:pPr>
      <w:r>
        <w:rPr>
          <w:rFonts w:ascii="宋体" w:hAnsi="宋体"/>
          <w:color w:val="auto"/>
          <w:sz w:val="24"/>
          <w:highlight w:val="none"/>
        </w:rPr>
        <w:t>甲</w:t>
      </w:r>
      <w:r>
        <w:rPr>
          <w:rFonts w:hint="eastAsia" w:ascii="宋体" w:hAnsi="宋体"/>
          <w:color w:val="auto"/>
          <w:sz w:val="24"/>
          <w:highlight w:val="none"/>
        </w:rPr>
        <w:t>方同意从</w:t>
      </w:r>
      <w:r>
        <w:rPr>
          <w:rFonts w:ascii="宋体" w:hAnsi="宋体"/>
          <w:color w:val="auto"/>
          <w:sz w:val="24"/>
          <w:highlight w:val="none"/>
        </w:rPr>
        <w:t>乙</w:t>
      </w:r>
      <w:r>
        <w:rPr>
          <w:rFonts w:hint="eastAsia" w:ascii="宋体" w:hAnsi="宋体"/>
          <w:color w:val="auto"/>
          <w:sz w:val="24"/>
          <w:highlight w:val="none"/>
        </w:rPr>
        <w:t>方购买</w:t>
      </w:r>
      <w:r>
        <w:rPr>
          <w:rFonts w:hint="eastAsia" w:ascii="宋体" w:hAnsi="宋体"/>
          <w:color w:val="auto"/>
          <w:sz w:val="24"/>
          <w:highlight w:val="none"/>
          <w:u w:val="single"/>
        </w:rPr>
        <w:t xml:space="preserve"> </w:t>
      </w:r>
      <w:r>
        <w:rPr>
          <w:rFonts w:hint="eastAsia" w:ascii="宋体" w:hAnsi="宋体" w:cs="宋体"/>
          <w:b/>
          <w:bCs/>
          <w:color w:val="auto"/>
          <w:kern w:val="0"/>
          <w:sz w:val="24"/>
          <w:highlight w:val="none"/>
          <w:u w:val="single"/>
          <w:lang w:bidi="ar"/>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设备（货物），包括：</w:t>
      </w:r>
    </w:p>
    <w:p>
      <w:pPr>
        <w:spacing w:line="520" w:lineRule="exact"/>
        <w:rPr>
          <w:rFonts w:ascii="宋体" w:hAnsi="宋体"/>
          <w:color w:val="auto"/>
          <w:szCs w:val="21"/>
          <w:highlight w:val="none"/>
        </w:rPr>
      </w:pPr>
      <w:r>
        <w:rPr>
          <w:rFonts w:ascii="宋体" w:hAnsi="宋体"/>
          <w:b/>
          <w:color w:val="auto"/>
          <w:sz w:val="24"/>
          <w:highlight w:val="none"/>
        </w:rPr>
        <w:t xml:space="preserve">                                           </w:t>
      </w:r>
      <w:r>
        <w:rPr>
          <w:rFonts w:hint="eastAsia" w:ascii="宋体" w:hAnsi="宋体"/>
          <w:b/>
          <w:color w:val="auto"/>
          <w:sz w:val="24"/>
          <w:highlight w:val="none"/>
        </w:rPr>
        <w:t xml:space="preserve">    </w:t>
      </w:r>
      <w:r>
        <w:rPr>
          <w:rFonts w:ascii="宋体" w:hAnsi="宋体"/>
          <w:b/>
          <w:color w:val="auto"/>
          <w:sz w:val="24"/>
          <w:highlight w:val="none"/>
        </w:rPr>
        <w:t xml:space="preserve"> </w:t>
      </w:r>
      <w:r>
        <w:rPr>
          <w:rFonts w:hint="eastAsia" w:ascii="宋体" w:hAnsi="宋体"/>
          <w:b/>
          <w:color w:val="auto"/>
          <w:sz w:val="24"/>
          <w:highlight w:val="none"/>
        </w:rPr>
        <w:t xml:space="preserve">  </w:t>
      </w:r>
      <w:r>
        <w:rPr>
          <w:rFonts w:hint="eastAsia" w:ascii="宋体" w:hAnsi="宋体"/>
          <w:color w:val="auto"/>
          <w:szCs w:val="21"/>
          <w:highlight w:val="none"/>
        </w:rPr>
        <w:t>单</w:t>
      </w:r>
      <w:r>
        <w:rPr>
          <w:rFonts w:ascii="宋体" w:hAnsi="宋体"/>
          <w:color w:val="auto"/>
          <w:szCs w:val="21"/>
          <w:highlight w:val="none"/>
        </w:rPr>
        <w:t xml:space="preserve">  </w:t>
      </w:r>
      <w:r>
        <w:rPr>
          <w:rFonts w:hint="eastAsia" w:ascii="宋体" w:hAnsi="宋体"/>
          <w:color w:val="auto"/>
          <w:szCs w:val="21"/>
          <w:highlight w:val="none"/>
        </w:rPr>
        <w:t>位：  元（人民币）</w:t>
      </w:r>
    </w:p>
    <w:p>
      <w:pPr>
        <w:spacing w:line="520" w:lineRule="exact"/>
        <w:jc w:val="left"/>
        <w:rPr>
          <w:color w:val="auto"/>
          <w:sz w:val="24"/>
          <w:highlight w:val="none"/>
        </w:rPr>
      </w:pPr>
      <w:r>
        <w:rPr>
          <w:rFonts w:hint="eastAsia"/>
          <w:color w:val="auto"/>
          <w:sz w:val="24"/>
          <w:highlight w:val="none"/>
        </w:rPr>
        <w:t>上述合同价款均已包括：</w:t>
      </w:r>
    </w:p>
    <w:p>
      <w:pPr>
        <w:spacing w:line="520" w:lineRule="exact"/>
        <w:ind w:firstLine="480" w:firstLineChars="200"/>
        <w:jc w:val="left"/>
        <w:rPr>
          <w:color w:val="auto"/>
          <w:sz w:val="24"/>
          <w:highlight w:val="none"/>
        </w:rPr>
      </w:pPr>
      <w:r>
        <w:rPr>
          <w:rFonts w:hint="eastAsia"/>
          <w:color w:val="auto"/>
          <w:sz w:val="24"/>
          <w:highlight w:val="none"/>
        </w:rPr>
        <w:t>1）设备（货物）价款；</w:t>
      </w:r>
    </w:p>
    <w:p>
      <w:pPr>
        <w:spacing w:line="520" w:lineRule="exact"/>
        <w:ind w:firstLine="480" w:firstLineChars="200"/>
        <w:jc w:val="left"/>
        <w:rPr>
          <w:color w:val="auto"/>
          <w:sz w:val="24"/>
          <w:highlight w:val="none"/>
        </w:rPr>
      </w:pPr>
      <w:r>
        <w:rPr>
          <w:rFonts w:hint="eastAsia"/>
          <w:color w:val="auto"/>
          <w:sz w:val="24"/>
          <w:highlight w:val="none"/>
        </w:rPr>
        <w:t>2）配件、备件、图纸、软件、附随工具、随赠物品等；</w:t>
      </w:r>
    </w:p>
    <w:p>
      <w:pPr>
        <w:spacing w:line="520" w:lineRule="exact"/>
        <w:ind w:firstLine="480" w:firstLineChars="200"/>
        <w:jc w:val="left"/>
        <w:rPr>
          <w:color w:val="auto"/>
          <w:sz w:val="24"/>
          <w:highlight w:val="none"/>
        </w:rPr>
      </w:pPr>
      <w:r>
        <w:rPr>
          <w:rFonts w:hint="eastAsia"/>
          <w:color w:val="auto"/>
          <w:sz w:val="24"/>
          <w:highlight w:val="none"/>
        </w:rPr>
        <w:t>3）技术服务、培训服务、售后服务、伴随服务等费用；</w:t>
      </w:r>
    </w:p>
    <w:p>
      <w:pPr>
        <w:spacing w:line="520" w:lineRule="exact"/>
        <w:ind w:firstLine="480" w:firstLineChars="200"/>
        <w:jc w:val="left"/>
        <w:rPr>
          <w:color w:val="auto"/>
          <w:sz w:val="24"/>
          <w:highlight w:val="none"/>
        </w:rPr>
      </w:pPr>
      <w:r>
        <w:rPr>
          <w:rFonts w:hint="eastAsia"/>
          <w:color w:val="auto"/>
          <w:sz w:val="24"/>
          <w:highlight w:val="none"/>
        </w:rPr>
        <w:t>4）包装、运输、装卸、保险等费用；</w:t>
      </w:r>
    </w:p>
    <w:p>
      <w:pPr>
        <w:spacing w:line="520" w:lineRule="exact"/>
        <w:ind w:firstLine="480" w:firstLineChars="200"/>
        <w:jc w:val="left"/>
        <w:rPr>
          <w:color w:val="auto"/>
          <w:sz w:val="24"/>
          <w:highlight w:val="none"/>
        </w:rPr>
      </w:pPr>
      <w:r>
        <w:rPr>
          <w:rFonts w:hint="eastAsia"/>
          <w:color w:val="auto"/>
          <w:sz w:val="24"/>
          <w:highlight w:val="none"/>
        </w:rPr>
        <w:t>5）安装、调试、检验、检测等费用；</w:t>
      </w:r>
    </w:p>
    <w:p>
      <w:pPr>
        <w:spacing w:line="520" w:lineRule="exact"/>
        <w:ind w:firstLine="480" w:firstLineChars="200"/>
        <w:jc w:val="left"/>
        <w:rPr>
          <w:color w:val="auto"/>
          <w:sz w:val="24"/>
          <w:highlight w:val="none"/>
        </w:rPr>
      </w:pPr>
      <w:r>
        <w:rPr>
          <w:rFonts w:hint="eastAsia"/>
          <w:color w:val="auto"/>
          <w:sz w:val="24"/>
          <w:highlight w:val="none"/>
        </w:rPr>
        <w:t>6）根据需要应当支付的安装调试、检测、验收费用或者委托第三方检测、验收、鉴定等费用；</w:t>
      </w:r>
    </w:p>
    <w:p>
      <w:pPr>
        <w:tabs>
          <w:tab w:val="left" w:pos="3060"/>
        </w:tabs>
        <w:spacing w:line="520" w:lineRule="exact"/>
        <w:ind w:firstLine="480" w:firstLineChars="200"/>
        <w:outlineLvl w:val="2"/>
        <w:rPr>
          <w:color w:val="auto"/>
          <w:sz w:val="24"/>
          <w:highlight w:val="none"/>
        </w:rPr>
      </w:pPr>
      <w:bookmarkStart w:id="299" w:name="_Toc22312"/>
      <w:r>
        <w:rPr>
          <w:rFonts w:hint="eastAsia"/>
          <w:color w:val="auto"/>
          <w:sz w:val="24"/>
          <w:highlight w:val="none"/>
        </w:rPr>
        <w:t>7）依法应当由乙方承担的全部税费。</w:t>
      </w:r>
      <w:bookmarkEnd w:id="299"/>
    </w:p>
    <w:p>
      <w:pPr>
        <w:numPr>
          <w:ilvl w:val="0"/>
          <w:numId w:val="6"/>
        </w:numPr>
        <w:tabs>
          <w:tab w:val="left" w:pos="3060"/>
        </w:tabs>
        <w:spacing w:line="520" w:lineRule="exact"/>
        <w:outlineLvl w:val="1"/>
        <w:rPr>
          <w:rFonts w:ascii="宋体" w:hAnsi="宋体"/>
          <w:b/>
          <w:bCs/>
          <w:color w:val="auto"/>
          <w:sz w:val="24"/>
          <w:highlight w:val="none"/>
        </w:rPr>
      </w:pPr>
      <w:r>
        <w:rPr>
          <w:rFonts w:hint="eastAsia" w:ascii="宋体" w:hAnsi="宋体"/>
          <w:b/>
          <w:bCs/>
          <w:color w:val="auto"/>
          <w:sz w:val="24"/>
          <w:highlight w:val="none"/>
        </w:rPr>
        <w:t xml:space="preserve"> </w:t>
      </w:r>
      <w:bookmarkStart w:id="300" w:name="_Toc9795"/>
      <w:r>
        <w:rPr>
          <w:rFonts w:hint="eastAsia" w:ascii="宋体" w:hAnsi="宋体"/>
          <w:b/>
          <w:bCs/>
          <w:color w:val="auto"/>
          <w:sz w:val="24"/>
          <w:highlight w:val="none"/>
        </w:rPr>
        <w:t>价款支付</w:t>
      </w:r>
      <w:bookmarkEnd w:id="300"/>
    </w:p>
    <w:p>
      <w:pPr>
        <w:tabs>
          <w:tab w:val="left" w:pos="3060"/>
        </w:tabs>
        <w:spacing w:line="520" w:lineRule="exact"/>
        <w:ind w:left="353" w:hanging="352" w:hangingChars="147"/>
        <w:jc w:val="left"/>
        <w:rPr>
          <w:rFonts w:ascii="宋体" w:hAnsi="宋体"/>
          <w:color w:val="auto"/>
          <w:sz w:val="24"/>
          <w:highlight w:val="none"/>
        </w:rPr>
      </w:pPr>
      <w:r>
        <w:rPr>
          <w:rFonts w:hint="eastAsia" w:ascii="宋体" w:hAnsi="宋体"/>
          <w:color w:val="auto"/>
          <w:sz w:val="24"/>
          <w:highlight w:val="none"/>
        </w:rPr>
        <w:t xml:space="preserve">3.1 </w:t>
      </w:r>
      <w:r>
        <w:rPr>
          <w:rFonts w:hint="eastAsia" w:ascii="宋体" w:hAnsi="宋体" w:eastAsia="宋体"/>
          <w:b/>
          <w:bCs/>
          <w:color w:val="auto"/>
          <w:sz w:val="24"/>
          <w:highlight w:val="none"/>
        </w:rPr>
        <w:t>进口设</w:t>
      </w:r>
      <w:r>
        <w:rPr>
          <w:rFonts w:hint="eastAsia" w:ascii="宋体" w:hAnsi="宋体"/>
          <w:b/>
          <w:bCs/>
          <w:color w:val="auto"/>
          <w:sz w:val="24"/>
          <w:highlight w:val="none"/>
        </w:rPr>
        <w:t>备（货物）：</w:t>
      </w:r>
      <w:r>
        <w:rPr>
          <w:rFonts w:ascii="宋体" w:hAnsi="宋体"/>
          <w:color w:val="auto"/>
          <w:sz w:val="24"/>
          <w:highlight w:val="none"/>
        </w:rPr>
        <w:t>甲</w:t>
      </w:r>
      <w:r>
        <w:rPr>
          <w:rFonts w:hint="eastAsia" w:ascii="宋体" w:hAnsi="宋体"/>
          <w:color w:val="auto"/>
          <w:sz w:val="24"/>
          <w:highlight w:val="none"/>
        </w:rPr>
        <w:t>方应在</w:t>
      </w:r>
      <w:r>
        <w:rPr>
          <w:rFonts w:hint="eastAsia"/>
          <w:color w:val="auto"/>
          <w:sz w:val="24"/>
          <w:highlight w:val="none"/>
        </w:rPr>
        <w:t>合同生效后支付给</w:t>
      </w:r>
      <w:r>
        <w:rPr>
          <w:color w:val="auto"/>
          <w:sz w:val="24"/>
          <w:highlight w:val="none"/>
        </w:rPr>
        <w:t>乙</w:t>
      </w:r>
      <w:r>
        <w:rPr>
          <w:rFonts w:hint="eastAsia"/>
          <w:color w:val="auto"/>
          <w:sz w:val="24"/>
          <w:highlight w:val="none"/>
        </w:rPr>
        <w:t>方合同中</w:t>
      </w:r>
      <w:r>
        <w:rPr>
          <w:rFonts w:hint="eastAsia"/>
          <w:b/>
          <w:bCs/>
          <w:color w:val="auto"/>
          <w:sz w:val="24"/>
          <w:highlight w:val="none"/>
        </w:rPr>
        <w:t>进口设备（货物）价款的</w:t>
      </w:r>
      <w:r>
        <w:rPr>
          <w:rFonts w:hint="eastAsia" w:ascii="宋体" w:hAnsi="宋体"/>
          <w:b/>
          <w:bCs/>
          <w:color w:val="auto"/>
          <w:sz w:val="24"/>
          <w:highlight w:val="none"/>
          <w:u w:val="single"/>
        </w:rPr>
        <w:t xml:space="preserve">   30%   </w:t>
      </w:r>
      <w:r>
        <w:rPr>
          <w:rFonts w:hint="eastAsia" w:ascii="宋体" w:hAnsi="宋体"/>
          <w:color w:val="auto"/>
          <w:sz w:val="24"/>
          <w:highlight w:val="none"/>
          <w:u w:val="single"/>
        </w:rPr>
        <w:t xml:space="preserve"> </w:t>
      </w:r>
      <w:r>
        <w:rPr>
          <w:rFonts w:hint="eastAsia" w:ascii="宋体" w:hAnsi="宋体"/>
          <w:color w:val="auto"/>
          <w:sz w:val="24"/>
          <w:highlight w:val="none"/>
        </w:rPr>
        <w:t>即</w:t>
      </w:r>
      <w:r>
        <w:rPr>
          <w:rFonts w:hint="eastAsia" w:ascii="宋体" w:hAnsi="宋体"/>
          <w:color w:val="auto"/>
          <w:sz w:val="24"/>
          <w:highlight w:val="none"/>
          <w:u w:val="single"/>
        </w:rPr>
        <w:t xml:space="preserve">            </w:t>
      </w:r>
      <w:r>
        <w:rPr>
          <w:rFonts w:hint="eastAsia" w:ascii="宋体" w:hAnsi="宋体"/>
          <w:color w:val="auto"/>
          <w:sz w:val="24"/>
          <w:highlight w:val="none"/>
        </w:rPr>
        <w:t>元（大写：</w:t>
      </w:r>
      <w:r>
        <w:rPr>
          <w:rFonts w:hint="eastAsia" w:ascii="宋体" w:hAnsi="宋体"/>
          <w:color w:val="auto"/>
          <w:sz w:val="24"/>
          <w:highlight w:val="none"/>
          <w:u w:val="single"/>
        </w:rPr>
        <w:t xml:space="preserve">         </w:t>
      </w:r>
      <w:r>
        <w:rPr>
          <w:rFonts w:hint="eastAsia" w:ascii="宋体" w:hAnsi="宋体"/>
          <w:color w:val="auto"/>
          <w:sz w:val="24"/>
          <w:highlight w:val="none"/>
        </w:rPr>
        <w:t>元），</w:t>
      </w:r>
      <w:bookmarkStart w:id="301" w:name="OLE_LINK1"/>
      <w:r>
        <w:rPr>
          <w:rFonts w:hint="eastAsia" w:ascii="宋体" w:hAnsi="宋体"/>
          <w:color w:val="auto"/>
          <w:sz w:val="24"/>
          <w:highlight w:val="none"/>
        </w:rPr>
        <w:t>作为合同预付款，乙方应当在收到预付款7个工作日内依法开具相应的收据并交付给甲方。</w:t>
      </w:r>
      <w:bookmarkEnd w:id="301"/>
      <w:r>
        <w:rPr>
          <w:rFonts w:hint="eastAsia" w:ascii="宋体" w:hAnsi="宋体"/>
          <w:color w:val="auto"/>
          <w:sz w:val="24"/>
          <w:highlight w:val="none"/>
        </w:rPr>
        <w:t>（注：进口设备（货物）有预付款、国产设备（货物）没有预付款）。</w:t>
      </w:r>
    </w:p>
    <w:p>
      <w:pPr>
        <w:tabs>
          <w:tab w:val="left" w:pos="3060"/>
        </w:tabs>
        <w:spacing w:line="520" w:lineRule="exact"/>
        <w:rPr>
          <w:rFonts w:ascii="宋体" w:hAnsi="宋体"/>
          <w:b/>
          <w:bCs/>
          <w:color w:val="auto"/>
          <w:sz w:val="24"/>
          <w:highlight w:val="none"/>
        </w:rPr>
      </w:pPr>
      <w:r>
        <w:rPr>
          <w:rFonts w:hint="eastAsia" w:ascii="宋体" w:hAnsi="宋体"/>
          <w:b/>
          <w:bCs/>
          <w:color w:val="auto"/>
          <w:sz w:val="24"/>
          <w:highlight w:val="none"/>
        </w:rPr>
        <w:t>3.2  乙方将设备在约定的交付期限内全部运至甲方指定地点</w:t>
      </w:r>
      <w:r>
        <w:rPr>
          <w:rFonts w:ascii="宋体" w:hAnsi="宋体"/>
          <w:b/>
          <w:bCs/>
          <w:color w:val="auto"/>
          <w:sz w:val="24"/>
          <w:highlight w:val="none"/>
        </w:rPr>
        <w:t>安装调试完毕</w:t>
      </w:r>
      <w:r>
        <w:rPr>
          <w:rFonts w:hint="eastAsia" w:ascii="宋体" w:hAnsi="宋体"/>
          <w:b/>
          <w:bCs/>
          <w:color w:val="auto"/>
          <w:sz w:val="24"/>
          <w:highlight w:val="none"/>
        </w:rPr>
        <w:t>，并经</w:t>
      </w:r>
      <w:r>
        <w:rPr>
          <w:rFonts w:ascii="宋体" w:hAnsi="宋体"/>
          <w:b/>
          <w:bCs/>
          <w:color w:val="auto"/>
          <w:sz w:val="24"/>
          <w:highlight w:val="none"/>
        </w:rPr>
        <w:t>甲方或甲</w:t>
      </w:r>
      <w:r>
        <w:rPr>
          <w:rFonts w:hint="eastAsia" w:ascii="宋体" w:hAnsi="宋体"/>
          <w:b/>
          <w:bCs/>
          <w:color w:val="auto"/>
          <w:sz w:val="24"/>
          <w:highlight w:val="none"/>
        </w:rPr>
        <w:t>方指定（或委托）的第三方机构检测验收合格，乙方依法开具相应的发票交付给甲方后7个工作日内，甲方向乙方支付合同剩余价款即</w:t>
      </w:r>
      <w:r>
        <w:rPr>
          <w:rFonts w:hint="eastAsia" w:ascii="宋体" w:hAnsi="宋体"/>
          <w:b/>
          <w:bCs/>
          <w:color w:val="auto"/>
          <w:sz w:val="24"/>
          <w:highlight w:val="none"/>
          <w:u w:val="single"/>
        </w:rPr>
        <w:t xml:space="preserve">         </w:t>
      </w:r>
      <w:r>
        <w:rPr>
          <w:rFonts w:hint="eastAsia" w:ascii="宋体" w:hAnsi="宋体"/>
          <w:b/>
          <w:bCs/>
          <w:color w:val="auto"/>
          <w:sz w:val="24"/>
          <w:highlight w:val="none"/>
        </w:rPr>
        <w:t xml:space="preserve">元（大写：   </w:t>
      </w:r>
      <w:r>
        <w:rPr>
          <w:rFonts w:hint="eastAsia" w:ascii="宋体" w:hAnsi="宋体"/>
          <w:b/>
          <w:bCs/>
          <w:color w:val="auto"/>
          <w:sz w:val="24"/>
          <w:highlight w:val="none"/>
          <w:u w:val="single"/>
        </w:rPr>
        <w:t xml:space="preserve">          </w:t>
      </w:r>
      <w:r>
        <w:rPr>
          <w:rFonts w:hint="eastAsia" w:ascii="宋体" w:hAnsi="宋体"/>
          <w:b/>
          <w:bCs/>
          <w:color w:val="auto"/>
          <w:sz w:val="24"/>
          <w:highlight w:val="none"/>
        </w:rPr>
        <w:t xml:space="preserve">元）。  </w:t>
      </w:r>
    </w:p>
    <w:p>
      <w:pPr>
        <w:tabs>
          <w:tab w:val="left" w:pos="3060"/>
        </w:tabs>
        <w:spacing w:line="520" w:lineRule="exact"/>
        <w:ind w:left="353" w:hanging="352" w:hangingChars="147"/>
        <w:rPr>
          <w:rFonts w:ascii="宋体" w:hAnsi="宋体"/>
          <w:color w:val="auto"/>
          <w:sz w:val="24"/>
          <w:highlight w:val="none"/>
        </w:rPr>
      </w:pPr>
      <w:r>
        <w:rPr>
          <w:rFonts w:hint="eastAsia" w:ascii="宋体" w:hAnsi="宋体"/>
          <w:color w:val="auto"/>
          <w:sz w:val="24"/>
          <w:highlight w:val="none"/>
        </w:rPr>
        <w:t>3.3  乙方在签订本合同之日，按合同合计金额</w:t>
      </w:r>
      <w:r>
        <w:rPr>
          <w:rFonts w:hint="eastAsia" w:ascii="宋体" w:hAnsi="宋体"/>
          <w:color w:val="auto"/>
          <w:sz w:val="24"/>
          <w:highlight w:val="none"/>
          <w:u w:val="single"/>
        </w:rPr>
        <w:t xml:space="preserve">  </w:t>
      </w:r>
      <w:r>
        <w:rPr>
          <w:rFonts w:hint="eastAsia" w:ascii="宋体" w:hAnsi="宋体"/>
          <w:b/>
          <w:bCs/>
          <w:color w:val="auto"/>
          <w:sz w:val="24"/>
          <w:highlight w:val="none"/>
          <w:u w:val="single"/>
        </w:rPr>
        <w:t xml:space="preserve">5% </w:t>
      </w:r>
      <w:r>
        <w:rPr>
          <w:rFonts w:hint="eastAsia" w:ascii="宋体" w:hAnsi="宋体"/>
          <w:color w:val="auto"/>
          <w:sz w:val="24"/>
          <w:highlight w:val="none"/>
          <w:u w:val="single"/>
        </w:rPr>
        <w:t xml:space="preserve"> </w:t>
      </w:r>
      <w:r>
        <w:rPr>
          <w:rFonts w:hint="eastAsia" w:ascii="宋体" w:hAnsi="宋体"/>
          <w:color w:val="auto"/>
          <w:sz w:val="24"/>
          <w:highlight w:val="none"/>
        </w:rPr>
        <w:t>比例向甲方提交履约保证金。</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乙方将设备（货物）在约定的交付期限内全部运至甲方指定地点</w:t>
      </w:r>
      <w:r>
        <w:rPr>
          <w:rFonts w:ascii="宋体" w:hAnsi="宋体"/>
          <w:color w:val="auto"/>
          <w:sz w:val="24"/>
          <w:highlight w:val="none"/>
        </w:rPr>
        <w:t>安装调试完毕</w:t>
      </w:r>
      <w:r>
        <w:rPr>
          <w:rFonts w:hint="eastAsia" w:ascii="宋体" w:hAnsi="宋体"/>
          <w:color w:val="auto"/>
          <w:sz w:val="24"/>
          <w:highlight w:val="none"/>
        </w:rPr>
        <w:t>，并</w:t>
      </w:r>
      <w:r>
        <w:rPr>
          <w:rFonts w:ascii="宋体" w:hAnsi="宋体"/>
          <w:color w:val="auto"/>
          <w:sz w:val="24"/>
          <w:highlight w:val="none"/>
        </w:rPr>
        <w:t>经</w:t>
      </w:r>
      <w:r>
        <w:rPr>
          <w:rFonts w:hint="eastAsia" w:ascii="宋体" w:hAnsi="宋体"/>
          <w:color w:val="auto"/>
          <w:sz w:val="24"/>
          <w:highlight w:val="none"/>
        </w:rPr>
        <w:t>甲方或者甲方指定（或委托）的第三方机构检测验收合格后，上述履约保证金自动变更为质量保证金。</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质量保证期届满，乙方依约履行全部义务，没有发生违约行为的，甲方应当在质量保证期限届满后7个工作日内将质量保证金无息退还给乙方。</w:t>
      </w:r>
    </w:p>
    <w:p>
      <w:pPr>
        <w:tabs>
          <w:tab w:val="left" w:pos="3060"/>
        </w:tabs>
        <w:spacing w:line="520" w:lineRule="exact"/>
        <w:ind w:left="480" w:hanging="480" w:hangingChars="200"/>
        <w:outlineLvl w:val="1"/>
        <w:rPr>
          <w:rFonts w:ascii="宋体" w:hAnsi="宋体"/>
          <w:b/>
          <w:bCs/>
          <w:color w:val="auto"/>
          <w:sz w:val="24"/>
          <w:highlight w:val="none"/>
        </w:rPr>
      </w:pPr>
      <w:bookmarkStart w:id="302" w:name="_Toc6315"/>
      <w:r>
        <w:rPr>
          <w:rFonts w:hint="eastAsia" w:ascii="宋体" w:hAnsi="宋体"/>
          <w:b/>
          <w:bCs/>
          <w:color w:val="auto"/>
          <w:sz w:val="24"/>
          <w:highlight w:val="none"/>
        </w:rPr>
        <w:t>4.  技术规范及标准</w:t>
      </w:r>
      <w:bookmarkEnd w:id="302"/>
    </w:p>
    <w:p>
      <w:pPr>
        <w:tabs>
          <w:tab w:val="left" w:pos="3060"/>
          <w:tab w:val="left" w:pos="5211"/>
        </w:tabs>
        <w:spacing w:line="520" w:lineRule="exact"/>
        <w:rPr>
          <w:rFonts w:ascii="宋体" w:hAnsi="宋体"/>
          <w:color w:val="auto"/>
          <w:sz w:val="24"/>
          <w:highlight w:val="none"/>
        </w:rPr>
      </w:pPr>
      <w:r>
        <w:rPr>
          <w:rFonts w:hint="eastAsia" w:ascii="宋体" w:hAnsi="宋体"/>
          <w:color w:val="auto"/>
          <w:sz w:val="24"/>
          <w:highlight w:val="none"/>
        </w:rPr>
        <w:t xml:space="preserve">4.1  </w:t>
      </w:r>
      <w:r>
        <w:rPr>
          <w:rFonts w:ascii="宋体" w:hAnsi="宋体"/>
          <w:color w:val="auto"/>
          <w:sz w:val="24"/>
          <w:highlight w:val="none"/>
        </w:rPr>
        <w:t>本合同下交付的</w:t>
      </w:r>
      <w:r>
        <w:rPr>
          <w:rFonts w:hint="eastAsia" w:ascii="宋体" w:hAnsi="宋体"/>
          <w:color w:val="auto"/>
          <w:sz w:val="24"/>
          <w:highlight w:val="none"/>
        </w:rPr>
        <w:t>设备（货物）</w:t>
      </w:r>
      <w:r>
        <w:rPr>
          <w:rFonts w:ascii="宋体" w:hAnsi="宋体"/>
          <w:color w:val="auto"/>
          <w:sz w:val="24"/>
          <w:highlight w:val="none"/>
        </w:rPr>
        <w:t>应</w:t>
      </w:r>
      <w:r>
        <w:rPr>
          <w:rFonts w:hint="eastAsia" w:ascii="宋体" w:hAnsi="宋体"/>
          <w:color w:val="auto"/>
          <w:sz w:val="24"/>
          <w:highlight w:val="none"/>
        </w:rPr>
        <w:t>与招标文件规定的</w:t>
      </w:r>
      <w:r>
        <w:rPr>
          <w:rFonts w:ascii="宋体" w:hAnsi="宋体"/>
          <w:color w:val="auto"/>
          <w:sz w:val="24"/>
          <w:highlight w:val="none"/>
        </w:rPr>
        <w:t>技术规范</w:t>
      </w:r>
      <w:r>
        <w:rPr>
          <w:rFonts w:hint="eastAsia" w:ascii="宋体" w:hAnsi="宋体"/>
          <w:color w:val="auto"/>
          <w:sz w:val="24"/>
          <w:highlight w:val="none"/>
        </w:rPr>
        <w:t>和技术标准、</w:t>
      </w:r>
      <w:r>
        <w:rPr>
          <w:rFonts w:ascii="宋体" w:hAnsi="宋体"/>
          <w:color w:val="auto"/>
          <w:sz w:val="24"/>
          <w:highlight w:val="none"/>
        </w:rPr>
        <w:t>技术规范</w:t>
      </w:r>
      <w:r>
        <w:rPr>
          <w:rFonts w:hint="eastAsia" w:ascii="宋体" w:hAnsi="宋体"/>
          <w:color w:val="auto"/>
          <w:sz w:val="24"/>
          <w:highlight w:val="none"/>
        </w:rPr>
        <w:t>和技术标准</w:t>
      </w:r>
      <w:r>
        <w:rPr>
          <w:rFonts w:ascii="宋体" w:hAnsi="宋体"/>
          <w:color w:val="auto"/>
          <w:sz w:val="24"/>
          <w:highlight w:val="none"/>
        </w:rPr>
        <w:t>附件</w:t>
      </w:r>
      <w:r>
        <w:rPr>
          <w:rFonts w:hint="eastAsia" w:ascii="宋体" w:hAnsi="宋体"/>
          <w:color w:val="auto"/>
          <w:sz w:val="24"/>
          <w:highlight w:val="none"/>
        </w:rPr>
        <w:t>、</w:t>
      </w:r>
      <w:r>
        <w:rPr>
          <w:rFonts w:ascii="宋体" w:hAnsi="宋体"/>
          <w:color w:val="auto"/>
          <w:sz w:val="24"/>
          <w:highlight w:val="none"/>
        </w:rPr>
        <w:t>投标文件</w:t>
      </w:r>
      <w:r>
        <w:rPr>
          <w:rFonts w:hint="eastAsia" w:ascii="宋体" w:hAnsi="宋体"/>
          <w:color w:val="auto"/>
          <w:sz w:val="24"/>
          <w:highlight w:val="none"/>
        </w:rPr>
        <w:t>记载</w:t>
      </w:r>
      <w:r>
        <w:rPr>
          <w:rFonts w:ascii="宋体" w:hAnsi="宋体"/>
          <w:color w:val="auto"/>
          <w:sz w:val="24"/>
          <w:highlight w:val="none"/>
        </w:rPr>
        <w:t>的</w:t>
      </w:r>
      <w:r>
        <w:rPr>
          <w:rFonts w:hint="eastAsia" w:ascii="宋体" w:hAnsi="宋体"/>
          <w:color w:val="auto"/>
          <w:sz w:val="24"/>
          <w:highlight w:val="none"/>
        </w:rPr>
        <w:t>内容以及</w:t>
      </w:r>
      <w:r>
        <w:rPr>
          <w:rFonts w:ascii="宋体" w:hAnsi="宋体"/>
          <w:color w:val="auto"/>
          <w:sz w:val="24"/>
          <w:highlight w:val="none"/>
        </w:rPr>
        <w:t>规格偏差表相一致。</w:t>
      </w:r>
    </w:p>
    <w:p>
      <w:pPr>
        <w:spacing w:line="520" w:lineRule="exact"/>
        <w:jc w:val="left"/>
        <w:rPr>
          <w:rFonts w:ascii="宋体" w:hAnsi="宋体"/>
          <w:color w:val="auto"/>
          <w:sz w:val="24"/>
          <w:highlight w:val="none"/>
        </w:rPr>
      </w:pPr>
      <w:r>
        <w:rPr>
          <w:rFonts w:hint="eastAsia" w:ascii="宋体" w:hAnsi="宋体"/>
          <w:color w:val="auto"/>
          <w:sz w:val="24"/>
          <w:highlight w:val="none"/>
        </w:rPr>
        <w:t>4.2  本合同项下设备（货物）除应符合前款约定外，还应适用并且符合下列标准（</w:t>
      </w:r>
      <w:r>
        <w:rPr>
          <w:rFonts w:hint="eastAsia" w:ascii="宋体" w:hAnsi="宋体"/>
          <w:b/>
          <w:color w:val="auto"/>
          <w:szCs w:val="21"/>
          <w:highlight w:val="none"/>
        </w:rPr>
        <w:t>根据具体的设备（货物）要求列明应当适用的国家标准、行业标准、国际标准或者其他标准文件的名称、文件号等）</w:t>
      </w:r>
      <w:r>
        <w:rPr>
          <w:rFonts w:hint="eastAsia" w:ascii="宋体" w:hAnsi="宋体"/>
          <w:color w:val="auto"/>
          <w:sz w:val="24"/>
          <w:highlight w:val="none"/>
        </w:rPr>
        <w:t>：</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4.3  </w:t>
      </w:r>
      <w:r>
        <w:rPr>
          <w:rFonts w:ascii="宋体" w:hAnsi="宋体"/>
          <w:color w:val="auto"/>
          <w:sz w:val="24"/>
          <w:highlight w:val="none"/>
        </w:rPr>
        <w:t>如果</w:t>
      </w:r>
      <w:r>
        <w:rPr>
          <w:rFonts w:hint="eastAsia" w:ascii="宋体" w:hAnsi="宋体"/>
          <w:color w:val="auto"/>
          <w:sz w:val="24"/>
          <w:highlight w:val="none"/>
        </w:rPr>
        <w:t>存在本合同</w:t>
      </w:r>
      <w:r>
        <w:rPr>
          <w:rFonts w:ascii="宋体" w:hAnsi="宋体"/>
          <w:color w:val="auto"/>
          <w:sz w:val="24"/>
          <w:highlight w:val="none"/>
        </w:rPr>
        <w:t>没有</w:t>
      </w:r>
      <w:r>
        <w:rPr>
          <w:rFonts w:hint="eastAsia" w:ascii="宋体" w:hAnsi="宋体"/>
          <w:color w:val="auto"/>
          <w:sz w:val="24"/>
          <w:highlight w:val="none"/>
        </w:rPr>
        <w:t>列明的</w:t>
      </w:r>
      <w:r>
        <w:rPr>
          <w:rFonts w:ascii="宋体" w:hAnsi="宋体"/>
          <w:color w:val="auto"/>
          <w:sz w:val="24"/>
          <w:highlight w:val="none"/>
        </w:rPr>
        <w:t>适用标准，或</w:t>
      </w:r>
      <w:r>
        <w:rPr>
          <w:rFonts w:hint="eastAsia" w:ascii="宋体" w:hAnsi="宋体"/>
          <w:color w:val="auto"/>
          <w:sz w:val="24"/>
          <w:highlight w:val="none"/>
        </w:rPr>
        <w:t>相关技术标准、</w:t>
      </w:r>
      <w:r>
        <w:rPr>
          <w:rFonts w:ascii="宋体" w:hAnsi="宋体"/>
          <w:color w:val="auto"/>
          <w:sz w:val="24"/>
          <w:highlight w:val="none"/>
        </w:rPr>
        <w:t>技术规范不明确，则应符合中华人民共和国现行</w:t>
      </w:r>
      <w:r>
        <w:rPr>
          <w:rFonts w:hint="eastAsia" w:ascii="宋体" w:hAnsi="宋体"/>
          <w:color w:val="auto"/>
          <w:sz w:val="24"/>
          <w:highlight w:val="none"/>
        </w:rPr>
        <w:t>最新</w:t>
      </w:r>
      <w:r>
        <w:rPr>
          <w:rFonts w:ascii="宋体" w:hAnsi="宋体"/>
          <w:color w:val="auto"/>
          <w:sz w:val="24"/>
          <w:highlight w:val="none"/>
        </w:rPr>
        <w:t>国家标准、行业标准或</w:t>
      </w:r>
      <w:r>
        <w:rPr>
          <w:rFonts w:hint="eastAsia" w:ascii="宋体" w:hAnsi="宋体"/>
          <w:color w:val="auto"/>
          <w:sz w:val="24"/>
          <w:highlight w:val="none"/>
        </w:rPr>
        <w:t>相关</w:t>
      </w:r>
      <w:r>
        <w:rPr>
          <w:rFonts w:ascii="宋体" w:hAnsi="宋体"/>
          <w:color w:val="auto"/>
          <w:sz w:val="24"/>
          <w:highlight w:val="none"/>
        </w:rPr>
        <w:t>标准</w:t>
      </w:r>
      <w:r>
        <w:rPr>
          <w:rFonts w:hint="eastAsia" w:ascii="宋体" w:hAnsi="宋体"/>
          <w:color w:val="auto"/>
          <w:sz w:val="24"/>
          <w:highlight w:val="none"/>
        </w:rPr>
        <w:t>，并且满足甲方的使用目的、使用要求和使用条件。</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4.4   </w:t>
      </w:r>
      <w:r>
        <w:rPr>
          <w:rFonts w:ascii="宋体" w:hAnsi="宋体"/>
          <w:color w:val="auto"/>
          <w:sz w:val="24"/>
          <w:highlight w:val="none"/>
        </w:rPr>
        <w:t>乙方</w:t>
      </w:r>
      <w:r>
        <w:rPr>
          <w:rFonts w:hint="eastAsia" w:ascii="宋体" w:hAnsi="宋体"/>
          <w:color w:val="auto"/>
          <w:sz w:val="24"/>
          <w:highlight w:val="none"/>
        </w:rPr>
        <w:t>向甲方</w:t>
      </w:r>
      <w:r>
        <w:rPr>
          <w:rFonts w:ascii="宋体" w:hAnsi="宋体"/>
          <w:color w:val="auto"/>
          <w:sz w:val="24"/>
          <w:highlight w:val="none"/>
        </w:rPr>
        <w:t>提供的</w:t>
      </w:r>
      <w:r>
        <w:rPr>
          <w:rFonts w:hint="eastAsia" w:ascii="宋体" w:hAnsi="宋体"/>
          <w:color w:val="auto"/>
          <w:sz w:val="24"/>
          <w:highlight w:val="none"/>
        </w:rPr>
        <w:t>设备（货物）必须具有符合中华人民共和国法律、法规、规章和相应规范性文件要求的设计、生产、运输、销售、服务</w:t>
      </w:r>
      <w:r>
        <w:rPr>
          <w:rFonts w:ascii="宋体" w:hAnsi="宋体"/>
          <w:color w:val="auto"/>
          <w:sz w:val="24"/>
          <w:highlight w:val="none"/>
        </w:rPr>
        <w:t>许可</w:t>
      </w:r>
      <w:r>
        <w:rPr>
          <w:rFonts w:hint="eastAsia" w:ascii="宋体" w:hAnsi="宋体"/>
          <w:color w:val="auto"/>
          <w:sz w:val="24"/>
          <w:highlight w:val="none"/>
        </w:rPr>
        <w:t>。</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4.5   </w:t>
      </w:r>
      <w:r>
        <w:rPr>
          <w:rFonts w:ascii="宋体" w:hAnsi="宋体"/>
          <w:color w:val="auto"/>
          <w:sz w:val="24"/>
          <w:highlight w:val="none"/>
        </w:rPr>
        <w:t>如果</w:t>
      </w:r>
      <w:r>
        <w:rPr>
          <w:rFonts w:hint="eastAsia" w:ascii="宋体" w:hAnsi="宋体"/>
          <w:color w:val="auto"/>
          <w:sz w:val="24"/>
          <w:highlight w:val="none"/>
        </w:rPr>
        <w:t>乙方</w:t>
      </w:r>
      <w:r>
        <w:rPr>
          <w:rFonts w:ascii="宋体" w:hAnsi="宋体"/>
          <w:color w:val="auto"/>
          <w:sz w:val="24"/>
          <w:highlight w:val="none"/>
        </w:rPr>
        <w:t>提供</w:t>
      </w:r>
      <w:r>
        <w:rPr>
          <w:rFonts w:hint="eastAsia" w:ascii="宋体" w:hAnsi="宋体"/>
          <w:color w:val="auto"/>
          <w:sz w:val="24"/>
          <w:highlight w:val="none"/>
        </w:rPr>
        <w:t>的设备（货物）</w:t>
      </w:r>
      <w:r>
        <w:rPr>
          <w:rFonts w:ascii="宋体" w:hAnsi="宋体"/>
          <w:color w:val="auto"/>
          <w:sz w:val="24"/>
          <w:highlight w:val="none"/>
        </w:rPr>
        <w:t>与许可</w:t>
      </w:r>
      <w:r>
        <w:rPr>
          <w:rFonts w:hint="eastAsia" w:ascii="宋体" w:hAnsi="宋体"/>
          <w:color w:val="auto"/>
          <w:sz w:val="24"/>
          <w:highlight w:val="none"/>
        </w:rPr>
        <w:t>证照</w:t>
      </w:r>
      <w:r>
        <w:rPr>
          <w:rFonts w:ascii="宋体" w:hAnsi="宋体"/>
          <w:color w:val="auto"/>
          <w:sz w:val="24"/>
          <w:highlight w:val="none"/>
        </w:rPr>
        <w:t>不符或</w:t>
      </w:r>
      <w:r>
        <w:rPr>
          <w:rFonts w:hint="eastAsia" w:ascii="宋体" w:hAnsi="宋体"/>
          <w:color w:val="auto"/>
          <w:sz w:val="24"/>
          <w:highlight w:val="none"/>
        </w:rPr>
        <w:t>超越许可证照的许可事项</w:t>
      </w:r>
      <w:r>
        <w:rPr>
          <w:rFonts w:ascii="宋体" w:hAnsi="宋体"/>
          <w:color w:val="auto"/>
          <w:sz w:val="24"/>
          <w:highlight w:val="none"/>
        </w:rPr>
        <w:t>，</w:t>
      </w:r>
      <w:r>
        <w:rPr>
          <w:rFonts w:hint="eastAsia" w:ascii="宋体" w:hAnsi="宋体"/>
          <w:color w:val="auto"/>
          <w:sz w:val="24"/>
          <w:highlight w:val="none"/>
        </w:rPr>
        <w:t>或者</w:t>
      </w:r>
      <w:r>
        <w:rPr>
          <w:rFonts w:ascii="宋体" w:hAnsi="宋体"/>
          <w:color w:val="auto"/>
          <w:sz w:val="24"/>
          <w:highlight w:val="none"/>
        </w:rPr>
        <w:t>由于</w:t>
      </w:r>
      <w:r>
        <w:rPr>
          <w:rFonts w:hint="eastAsia" w:ascii="宋体" w:hAnsi="宋体"/>
          <w:color w:val="auto"/>
          <w:sz w:val="24"/>
          <w:highlight w:val="none"/>
        </w:rPr>
        <w:t>乙方及第三方</w:t>
      </w:r>
      <w:r>
        <w:rPr>
          <w:rFonts w:ascii="宋体" w:hAnsi="宋体"/>
          <w:color w:val="auto"/>
          <w:sz w:val="24"/>
          <w:highlight w:val="none"/>
        </w:rPr>
        <w:t>其他</w:t>
      </w:r>
      <w:r>
        <w:rPr>
          <w:rFonts w:hint="eastAsia" w:ascii="宋体" w:hAnsi="宋体"/>
          <w:color w:val="auto"/>
          <w:sz w:val="24"/>
          <w:highlight w:val="none"/>
        </w:rPr>
        <w:t>任何</w:t>
      </w:r>
      <w:r>
        <w:rPr>
          <w:rFonts w:ascii="宋体" w:hAnsi="宋体"/>
          <w:color w:val="auto"/>
          <w:sz w:val="24"/>
          <w:highlight w:val="none"/>
        </w:rPr>
        <w:t>原因</w:t>
      </w:r>
      <w:r>
        <w:rPr>
          <w:rFonts w:hint="eastAsia" w:ascii="宋体" w:hAnsi="宋体"/>
          <w:color w:val="auto"/>
          <w:sz w:val="24"/>
          <w:highlight w:val="none"/>
        </w:rPr>
        <w:t>造成乙方</w:t>
      </w:r>
      <w:r>
        <w:rPr>
          <w:rFonts w:ascii="宋体" w:hAnsi="宋体"/>
          <w:color w:val="auto"/>
          <w:sz w:val="24"/>
          <w:highlight w:val="none"/>
        </w:rPr>
        <w:t>提供的</w:t>
      </w:r>
      <w:r>
        <w:rPr>
          <w:rFonts w:hint="eastAsia" w:ascii="宋体" w:hAnsi="宋体"/>
          <w:color w:val="auto"/>
          <w:sz w:val="24"/>
          <w:highlight w:val="none"/>
        </w:rPr>
        <w:t>设备（货物）</w:t>
      </w:r>
      <w:r>
        <w:rPr>
          <w:rFonts w:ascii="宋体" w:hAnsi="宋体"/>
          <w:color w:val="auto"/>
          <w:sz w:val="24"/>
          <w:highlight w:val="none"/>
        </w:rPr>
        <w:t>不能通过</w:t>
      </w:r>
      <w:r>
        <w:rPr>
          <w:rFonts w:hint="eastAsia" w:ascii="宋体" w:hAnsi="宋体"/>
          <w:color w:val="auto"/>
          <w:sz w:val="24"/>
          <w:highlight w:val="none"/>
        </w:rPr>
        <w:t>检测、检验、验收</w:t>
      </w:r>
      <w:r>
        <w:rPr>
          <w:rFonts w:ascii="宋体" w:hAnsi="宋体"/>
          <w:color w:val="auto"/>
          <w:sz w:val="24"/>
          <w:highlight w:val="none"/>
        </w:rPr>
        <w:t>，</w:t>
      </w:r>
      <w:r>
        <w:rPr>
          <w:rFonts w:hint="eastAsia" w:ascii="宋体" w:hAnsi="宋体"/>
          <w:color w:val="auto"/>
          <w:sz w:val="24"/>
          <w:highlight w:val="none"/>
        </w:rPr>
        <w:t>或者导致甲方不能实现合同目的，</w:t>
      </w:r>
      <w:r>
        <w:rPr>
          <w:rFonts w:ascii="宋体" w:hAnsi="宋体"/>
          <w:color w:val="auto"/>
          <w:sz w:val="24"/>
          <w:highlight w:val="none"/>
        </w:rPr>
        <w:t>甲方有权解除合同，</w:t>
      </w:r>
      <w:r>
        <w:rPr>
          <w:rFonts w:hint="eastAsia" w:ascii="宋体" w:hAnsi="宋体"/>
          <w:color w:val="auto"/>
          <w:sz w:val="24"/>
          <w:highlight w:val="none"/>
        </w:rPr>
        <w:t>乙方应当向甲方承担包括但不限于返还已支付的全部合同价款、赔偿利息损失、承担违约金、赔偿甲方其他全部直接损失和间接损失，赔偿甲方实现合同权利所支出的全部费用（包括但不限于检测检验或者鉴定费用、诉讼费、保全费、律师代理费、差旅费等费用）等违约责任。</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4.6   </w:t>
      </w:r>
      <w:r>
        <w:rPr>
          <w:rFonts w:ascii="宋体" w:hAnsi="宋体"/>
          <w:color w:val="auto"/>
          <w:sz w:val="24"/>
          <w:highlight w:val="none"/>
        </w:rPr>
        <w:t>除</w:t>
      </w:r>
      <w:r>
        <w:rPr>
          <w:rFonts w:hint="eastAsia" w:ascii="宋体" w:hAnsi="宋体"/>
          <w:color w:val="auto"/>
          <w:sz w:val="24"/>
          <w:highlight w:val="none"/>
        </w:rPr>
        <w:t>合同文件中另有明确约定外</w:t>
      </w:r>
      <w:r>
        <w:rPr>
          <w:rFonts w:ascii="宋体" w:hAnsi="宋体"/>
          <w:color w:val="auto"/>
          <w:sz w:val="24"/>
          <w:highlight w:val="none"/>
        </w:rPr>
        <w:t>，</w:t>
      </w:r>
      <w:r>
        <w:rPr>
          <w:rFonts w:hint="eastAsia" w:ascii="宋体" w:hAnsi="宋体"/>
          <w:color w:val="auto"/>
          <w:sz w:val="24"/>
          <w:highlight w:val="none"/>
        </w:rPr>
        <w:t>本合同相关</w:t>
      </w:r>
      <w:r>
        <w:rPr>
          <w:rFonts w:ascii="宋体" w:hAnsi="宋体"/>
          <w:color w:val="auto"/>
          <w:sz w:val="24"/>
          <w:highlight w:val="none"/>
        </w:rPr>
        <w:t>计量单位均采用中华人民共和国法定计量单位。</w:t>
      </w:r>
    </w:p>
    <w:p>
      <w:pPr>
        <w:tabs>
          <w:tab w:val="left" w:pos="3060"/>
          <w:tab w:val="left" w:pos="5211"/>
        </w:tabs>
        <w:spacing w:line="520" w:lineRule="exact"/>
        <w:outlineLvl w:val="1"/>
        <w:rPr>
          <w:rFonts w:ascii="宋体" w:hAnsi="宋体"/>
          <w:b/>
          <w:bCs/>
          <w:color w:val="auto"/>
          <w:sz w:val="24"/>
          <w:highlight w:val="none"/>
        </w:rPr>
      </w:pPr>
      <w:bookmarkStart w:id="303" w:name="_Toc19965"/>
      <w:r>
        <w:rPr>
          <w:rFonts w:hint="eastAsia" w:ascii="宋体" w:hAnsi="宋体"/>
          <w:b/>
          <w:bCs/>
          <w:color w:val="auto"/>
          <w:sz w:val="24"/>
          <w:highlight w:val="none"/>
        </w:rPr>
        <w:t>5.  合同文件和资料的使用</w:t>
      </w:r>
      <w:bookmarkEnd w:id="303"/>
    </w:p>
    <w:p>
      <w:pPr>
        <w:tabs>
          <w:tab w:val="left" w:pos="3060"/>
        </w:tabs>
        <w:spacing w:line="520" w:lineRule="exact"/>
        <w:rPr>
          <w:rFonts w:ascii="楷体" w:hAnsi="楷体" w:eastAsia="楷体" w:cs="楷体"/>
          <w:color w:val="auto"/>
          <w:sz w:val="32"/>
          <w:szCs w:val="32"/>
          <w:highlight w:val="none"/>
        </w:rPr>
      </w:pPr>
      <w:r>
        <w:rPr>
          <w:rFonts w:hint="eastAsia" w:ascii="宋体" w:hAnsi="宋体"/>
          <w:color w:val="auto"/>
          <w:sz w:val="24"/>
          <w:highlight w:val="none"/>
        </w:rPr>
        <w:t>5.1  未经</w:t>
      </w:r>
      <w:r>
        <w:rPr>
          <w:rFonts w:ascii="宋体" w:hAnsi="宋体"/>
          <w:color w:val="auto"/>
          <w:sz w:val="24"/>
          <w:highlight w:val="none"/>
        </w:rPr>
        <w:t>甲方书面同意，乙方不得将甲方或</w:t>
      </w:r>
      <w:r>
        <w:rPr>
          <w:rFonts w:hint="eastAsia" w:ascii="宋体" w:hAnsi="宋体"/>
          <w:color w:val="auto"/>
          <w:sz w:val="24"/>
          <w:highlight w:val="none"/>
        </w:rPr>
        <w:t>甲方指定的第三方</w:t>
      </w:r>
      <w:r>
        <w:rPr>
          <w:rFonts w:ascii="宋体" w:hAnsi="宋体"/>
          <w:color w:val="auto"/>
          <w:sz w:val="24"/>
          <w:highlight w:val="none"/>
        </w:rPr>
        <w:t>提供的有关合同</w:t>
      </w:r>
      <w:r>
        <w:rPr>
          <w:rFonts w:hint="eastAsia" w:ascii="宋体" w:hAnsi="宋体"/>
          <w:color w:val="auto"/>
          <w:sz w:val="24"/>
          <w:highlight w:val="none"/>
        </w:rPr>
        <w:t>文件</w:t>
      </w:r>
      <w:r>
        <w:rPr>
          <w:rFonts w:ascii="宋体" w:hAnsi="宋体"/>
          <w:color w:val="auto"/>
          <w:sz w:val="24"/>
          <w:highlight w:val="none"/>
        </w:rPr>
        <w:t>或任何合同条文、规格、计划、图纸、模型、样品</w:t>
      </w:r>
      <w:r>
        <w:rPr>
          <w:rFonts w:hint="eastAsia" w:ascii="宋体" w:hAnsi="宋体"/>
          <w:color w:val="auto"/>
          <w:sz w:val="24"/>
          <w:highlight w:val="none"/>
        </w:rPr>
        <w:t>、数据</w:t>
      </w:r>
      <w:r>
        <w:rPr>
          <w:rFonts w:ascii="宋体" w:hAnsi="宋体"/>
          <w:color w:val="auto"/>
          <w:sz w:val="24"/>
          <w:highlight w:val="none"/>
        </w:rPr>
        <w:t>或资料提供给</w:t>
      </w:r>
      <w:r>
        <w:rPr>
          <w:rFonts w:hint="eastAsia" w:ascii="宋体" w:hAnsi="宋体"/>
          <w:color w:val="auto"/>
          <w:sz w:val="24"/>
          <w:highlight w:val="none"/>
        </w:rPr>
        <w:t>任何第三方</w:t>
      </w:r>
      <w:r>
        <w:rPr>
          <w:rFonts w:ascii="宋体" w:hAnsi="宋体"/>
          <w:color w:val="auto"/>
          <w:sz w:val="24"/>
          <w:highlight w:val="none"/>
        </w:rPr>
        <w:t>。即使与履行本合同有关的人员</w:t>
      </w:r>
      <w:r>
        <w:rPr>
          <w:rFonts w:hint="eastAsia" w:ascii="宋体" w:hAnsi="宋体"/>
          <w:color w:val="auto"/>
          <w:sz w:val="24"/>
          <w:highlight w:val="none"/>
        </w:rPr>
        <w:t>接触、知悉、或者获得上述文件资料及信息</w:t>
      </w:r>
      <w:r>
        <w:rPr>
          <w:rFonts w:ascii="宋体" w:hAnsi="宋体"/>
          <w:color w:val="auto"/>
          <w:sz w:val="24"/>
          <w:highlight w:val="none"/>
        </w:rPr>
        <w:t>，也应注意保密并限于履行合同必须的</w:t>
      </w:r>
      <w:r>
        <w:rPr>
          <w:rFonts w:hint="eastAsia" w:ascii="宋体" w:hAnsi="宋体"/>
          <w:color w:val="auto"/>
          <w:sz w:val="24"/>
          <w:highlight w:val="none"/>
        </w:rPr>
        <w:t>合理</w:t>
      </w:r>
      <w:r>
        <w:rPr>
          <w:rFonts w:ascii="宋体" w:hAnsi="宋体"/>
          <w:color w:val="auto"/>
          <w:sz w:val="24"/>
          <w:highlight w:val="none"/>
        </w:rPr>
        <w:t>范围。</w:t>
      </w:r>
    </w:p>
    <w:p>
      <w:pPr>
        <w:spacing w:line="520" w:lineRule="exact"/>
        <w:jc w:val="left"/>
        <w:rPr>
          <w:rFonts w:ascii="宋体" w:hAnsi="宋体"/>
          <w:color w:val="auto"/>
          <w:sz w:val="24"/>
          <w:highlight w:val="none"/>
        </w:rPr>
      </w:pPr>
      <w:r>
        <w:rPr>
          <w:rFonts w:hint="eastAsia" w:ascii="宋体" w:hAnsi="宋体"/>
          <w:color w:val="auto"/>
          <w:sz w:val="24"/>
          <w:highlight w:val="none"/>
        </w:rPr>
        <w:t>5.2   未经</w:t>
      </w:r>
      <w:r>
        <w:rPr>
          <w:rFonts w:ascii="宋体" w:hAnsi="宋体"/>
          <w:color w:val="auto"/>
          <w:sz w:val="24"/>
          <w:highlight w:val="none"/>
        </w:rPr>
        <w:t>甲方书面同意，除</w:t>
      </w:r>
      <w:r>
        <w:rPr>
          <w:rFonts w:hint="eastAsia" w:ascii="宋体" w:hAnsi="宋体"/>
          <w:color w:val="auto"/>
          <w:sz w:val="24"/>
          <w:highlight w:val="none"/>
        </w:rPr>
        <w:t>为</w:t>
      </w:r>
      <w:r>
        <w:rPr>
          <w:rFonts w:ascii="宋体" w:hAnsi="宋体"/>
          <w:color w:val="auto"/>
          <w:sz w:val="24"/>
          <w:highlight w:val="none"/>
        </w:rPr>
        <w:t>履行本合同</w:t>
      </w:r>
      <w:r>
        <w:rPr>
          <w:rFonts w:hint="eastAsia" w:ascii="宋体" w:hAnsi="宋体"/>
          <w:color w:val="auto"/>
          <w:sz w:val="24"/>
          <w:highlight w:val="none"/>
        </w:rPr>
        <w:t>所必须的用途和目的以外</w:t>
      </w:r>
      <w:r>
        <w:rPr>
          <w:rFonts w:ascii="宋体" w:hAnsi="宋体"/>
          <w:color w:val="auto"/>
          <w:sz w:val="24"/>
          <w:highlight w:val="none"/>
        </w:rPr>
        <w:t>，乙方不应使用</w:t>
      </w:r>
      <w:r>
        <w:rPr>
          <w:rFonts w:hint="eastAsia" w:ascii="宋体" w:hAnsi="宋体"/>
          <w:color w:val="auto"/>
          <w:sz w:val="24"/>
          <w:highlight w:val="none"/>
        </w:rPr>
        <w:t>前款</w:t>
      </w:r>
      <w:r>
        <w:rPr>
          <w:rFonts w:ascii="宋体" w:hAnsi="宋体"/>
          <w:color w:val="auto"/>
          <w:sz w:val="24"/>
          <w:highlight w:val="none"/>
        </w:rPr>
        <w:t>所列举的任何文件资料</w:t>
      </w:r>
      <w:r>
        <w:rPr>
          <w:rFonts w:hint="eastAsia" w:ascii="宋体" w:hAnsi="宋体"/>
          <w:color w:val="auto"/>
          <w:sz w:val="24"/>
          <w:highlight w:val="none"/>
        </w:rPr>
        <w:t>及信息</w:t>
      </w:r>
      <w:r>
        <w:rPr>
          <w:rFonts w:ascii="宋体" w:hAnsi="宋体"/>
          <w:color w:val="auto"/>
          <w:sz w:val="24"/>
          <w:highlight w:val="none"/>
        </w:rPr>
        <w:t>。乙方在</w:t>
      </w:r>
      <w:r>
        <w:rPr>
          <w:rFonts w:hint="eastAsia" w:ascii="宋体" w:hAnsi="宋体"/>
          <w:color w:val="auto"/>
          <w:sz w:val="24"/>
          <w:highlight w:val="none"/>
        </w:rPr>
        <w:t>本合同履行完毕后将前款所列文件资料</w:t>
      </w:r>
      <w:r>
        <w:rPr>
          <w:rFonts w:ascii="宋体" w:hAnsi="宋体"/>
          <w:color w:val="auto"/>
          <w:sz w:val="24"/>
          <w:highlight w:val="none"/>
        </w:rPr>
        <w:t>（</w:t>
      </w:r>
      <w:r>
        <w:rPr>
          <w:rFonts w:hint="eastAsia" w:ascii="宋体" w:hAnsi="宋体"/>
          <w:color w:val="auto"/>
          <w:sz w:val="24"/>
          <w:highlight w:val="none"/>
        </w:rPr>
        <w:t>包括但不限于</w:t>
      </w:r>
      <w:r>
        <w:rPr>
          <w:rFonts w:ascii="宋体" w:hAnsi="宋体"/>
          <w:color w:val="auto"/>
          <w:sz w:val="24"/>
          <w:highlight w:val="none"/>
        </w:rPr>
        <w:t>原件及</w:t>
      </w:r>
      <w:r>
        <w:rPr>
          <w:rFonts w:hint="eastAsia" w:ascii="宋体" w:hAnsi="宋体"/>
          <w:color w:val="auto"/>
          <w:sz w:val="24"/>
          <w:highlight w:val="none"/>
        </w:rPr>
        <w:t>复印件、</w:t>
      </w:r>
      <w:r>
        <w:rPr>
          <w:rFonts w:ascii="宋体" w:hAnsi="宋体"/>
          <w:color w:val="auto"/>
          <w:sz w:val="24"/>
          <w:highlight w:val="none"/>
        </w:rPr>
        <w:t>复制件</w:t>
      </w:r>
      <w:r>
        <w:rPr>
          <w:rFonts w:hint="eastAsia" w:ascii="宋体" w:hAnsi="宋体"/>
          <w:color w:val="auto"/>
          <w:sz w:val="24"/>
          <w:highlight w:val="none"/>
        </w:rPr>
        <w:t>等</w:t>
      </w:r>
      <w:r>
        <w:rPr>
          <w:rFonts w:ascii="宋体" w:hAnsi="宋体"/>
          <w:color w:val="auto"/>
          <w:sz w:val="24"/>
          <w:highlight w:val="none"/>
        </w:rPr>
        <w:t>）</w:t>
      </w:r>
      <w:r>
        <w:rPr>
          <w:rFonts w:hint="eastAsia" w:ascii="宋体" w:hAnsi="宋体"/>
          <w:color w:val="auto"/>
          <w:sz w:val="24"/>
          <w:highlight w:val="none"/>
        </w:rPr>
        <w:t>全部退还</w:t>
      </w:r>
      <w:r>
        <w:rPr>
          <w:rFonts w:ascii="宋体" w:hAnsi="宋体"/>
          <w:color w:val="auto"/>
          <w:sz w:val="24"/>
          <w:highlight w:val="none"/>
        </w:rPr>
        <w:t>甲方。</w:t>
      </w:r>
    </w:p>
    <w:p>
      <w:pPr>
        <w:tabs>
          <w:tab w:val="left" w:pos="3060"/>
        </w:tabs>
        <w:spacing w:line="520" w:lineRule="exact"/>
        <w:outlineLvl w:val="1"/>
        <w:rPr>
          <w:rFonts w:ascii="宋体" w:hAnsi="宋体"/>
          <w:b/>
          <w:bCs/>
          <w:color w:val="auto"/>
          <w:sz w:val="24"/>
          <w:highlight w:val="none"/>
        </w:rPr>
      </w:pPr>
      <w:bookmarkStart w:id="304" w:name="_Toc17752"/>
      <w:r>
        <w:rPr>
          <w:rFonts w:hint="eastAsia" w:ascii="宋体" w:hAnsi="宋体"/>
          <w:b/>
          <w:bCs/>
          <w:color w:val="auto"/>
          <w:sz w:val="24"/>
          <w:highlight w:val="none"/>
        </w:rPr>
        <w:t>6.  知识产权</w:t>
      </w:r>
      <w:bookmarkEnd w:id="304"/>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6.1  </w:t>
      </w:r>
      <w:r>
        <w:rPr>
          <w:rFonts w:ascii="宋体" w:hAnsi="宋体"/>
          <w:color w:val="auto"/>
          <w:sz w:val="24"/>
          <w:highlight w:val="none"/>
        </w:rPr>
        <w:t xml:space="preserve"> 乙方</w:t>
      </w:r>
      <w:r>
        <w:rPr>
          <w:rFonts w:hint="eastAsia" w:ascii="宋体" w:hAnsi="宋体"/>
          <w:color w:val="auto"/>
          <w:sz w:val="24"/>
          <w:highlight w:val="none"/>
        </w:rPr>
        <w:t>承诺采取全部必要的合法措施向甲方保证：乙方</w:t>
      </w:r>
      <w:r>
        <w:rPr>
          <w:rFonts w:ascii="宋体" w:hAnsi="宋体"/>
          <w:color w:val="auto"/>
          <w:sz w:val="24"/>
          <w:highlight w:val="none"/>
        </w:rPr>
        <w:t>提供的</w:t>
      </w:r>
      <w:r>
        <w:rPr>
          <w:rFonts w:hint="eastAsia" w:ascii="宋体" w:hAnsi="宋体"/>
          <w:color w:val="auto"/>
          <w:sz w:val="24"/>
          <w:highlight w:val="none"/>
        </w:rPr>
        <w:t>设备（货物）</w:t>
      </w:r>
      <w:r>
        <w:rPr>
          <w:rFonts w:ascii="宋体" w:hAnsi="宋体"/>
          <w:color w:val="auto"/>
          <w:sz w:val="24"/>
          <w:highlight w:val="none"/>
        </w:rPr>
        <w:t>、服务及相关资料、</w:t>
      </w:r>
      <w:r>
        <w:rPr>
          <w:rFonts w:hint="eastAsia" w:ascii="宋体" w:hAnsi="宋体"/>
          <w:color w:val="auto"/>
          <w:sz w:val="24"/>
          <w:highlight w:val="none"/>
        </w:rPr>
        <w:t>软件、</w:t>
      </w:r>
      <w:r>
        <w:rPr>
          <w:rFonts w:ascii="宋体" w:hAnsi="宋体"/>
          <w:color w:val="auto"/>
          <w:sz w:val="24"/>
          <w:highlight w:val="none"/>
        </w:rPr>
        <w:t>数据等，乙方均具有</w:t>
      </w:r>
      <w:r>
        <w:rPr>
          <w:rFonts w:hint="eastAsia" w:ascii="宋体" w:hAnsi="宋体"/>
          <w:color w:val="auto"/>
          <w:sz w:val="24"/>
          <w:highlight w:val="none"/>
        </w:rPr>
        <w:t>合法的所有权、处分权以及全部</w:t>
      </w:r>
      <w:r>
        <w:rPr>
          <w:rFonts w:ascii="宋体" w:hAnsi="宋体"/>
          <w:color w:val="auto"/>
          <w:sz w:val="24"/>
          <w:highlight w:val="none"/>
        </w:rPr>
        <w:t>知识产权及相关权利，不存在任何侵害</w:t>
      </w:r>
      <w:r>
        <w:rPr>
          <w:rFonts w:hint="eastAsia" w:ascii="宋体" w:hAnsi="宋体"/>
          <w:color w:val="auto"/>
          <w:sz w:val="24"/>
          <w:highlight w:val="none"/>
        </w:rPr>
        <w:t>甲方和第三方</w:t>
      </w:r>
      <w:r>
        <w:rPr>
          <w:rFonts w:ascii="宋体" w:hAnsi="宋体"/>
          <w:color w:val="auto"/>
          <w:sz w:val="24"/>
          <w:highlight w:val="none"/>
        </w:rPr>
        <w:t>合法权利的情形。</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6.2  </w:t>
      </w:r>
      <w:r>
        <w:rPr>
          <w:rFonts w:ascii="宋体" w:hAnsi="宋体"/>
          <w:color w:val="auto"/>
          <w:sz w:val="24"/>
          <w:highlight w:val="none"/>
        </w:rPr>
        <w:t>因乙方提供的</w:t>
      </w:r>
      <w:r>
        <w:rPr>
          <w:rFonts w:hint="eastAsia" w:ascii="宋体" w:hAnsi="宋体"/>
          <w:color w:val="auto"/>
          <w:sz w:val="24"/>
          <w:highlight w:val="none"/>
        </w:rPr>
        <w:t>设备（货物）</w:t>
      </w:r>
      <w:r>
        <w:rPr>
          <w:rFonts w:ascii="宋体" w:hAnsi="宋体"/>
          <w:color w:val="auto"/>
          <w:sz w:val="24"/>
          <w:highlight w:val="none"/>
        </w:rPr>
        <w:t>、服务及相关资料、</w:t>
      </w:r>
      <w:r>
        <w:rPr>
          <w:rFonts w:hint="eastAsia" w:ascii="宋体" w:hAnsi="宋体"/>
          <w:color w:val="auto"/>
          <w:sz w:val="24"/>
          <w:highlight w:val="none"/>
        </w:rPr>
        <w:t>软件、</w:t>
      </w:r>
      <w:r>
        <w:rPr>
          <w:rFonts w:ascii="宋体" w:hAnsi="宋体"/>
          <w:color w:val="auto"/>
          <w:sz w:val="24"/>
          <w:highlight w:val="none"/>
        </w:rPr>
        <w:t>数据等</w:t>
      </w:r>
      <w:r>
        <w:rPr>
          <w:rFonts w:hint="eastAsia" w:ascii="宋体" w:hAnsi="宋体"/>
          <w:color w:val="auto"/>
          <w:sz w:val="24"/>
          <w:highlight w:val="none"/>
        </w:rPr>
        <w:t>不符合前款承诺和约定</w:t>
      </w:r>
      <w:r>
        <w:rPr>
          <w:rFonts w:ascii="宋体" w:hAnsi="宋体"/>
          <w:color w:val="auto"/>
          <w:sz w:val="24"/>
          <w:highlight w:val="none"/>
        </w:rPr>
        <w:t>，</w:t>
      </w:r>
      <w:r>
        <w:rPr>
          <w:rFonts w:hint="eastAsia" w:ascii="宋体" w:hAnsi="宋体"/>
          <w:color w:val="auto"/>
          <w:sz w:val="24"/>
          <w:highlight w:val="none"/>
        </w:rPr>
        <w:t>乙方应当负责消除因侵权行为和违约行为产生的全部后果，保证甲方实现合同目的，并承担全部相应法律责任，因此所产生的全部费用、损失均由乙方承担。</w:t>
      </w:r>
    </w:p>
    <w:p>
      <w:pPr>
        <w:spacing w:line="520" w:lineRule="exact"/>
        <w:ind w:firstLine="480" w:firstLineChars="200"/>
        <w:jc w:val="left"/>
        <w:rPr>
          <w:rFonts w:ascii="宋体" w:hAnsi="宋体"/>
          <w:color w:val="auto"/>
          <w:sz w:val="24"/>
          <w:highlight w:val="none"/>
        </w:rPr>
      </w:pPr>
      <w:r>
        <w:rPr>
          <w:rFonts w:ascii="宋体" w:hAnsi="宋体"/>
          <w:color w:val="auto"/>
          <w:sz w:val="24"/>
          <w:highlight w:val="none"/>
        </w:rPr>
        <w:t>如果乙方提供的</w:t>
      </w:r>
      <w:r>
        <w:rPr>
          <w:rFonts w:hint="eastAsia" w:ascii="宋体" w:hAnsi="宋体"/>
          <w:color w:val="auto"/>
          <w:sz w:val="24"/>
          <w:highlight w:val="none"/>
        </w:rPr>
        <w:t>设备（货物）</w:t>
      </w:r>
      <w:r>
        <w:rPr>
          <w:rFonts w:ascii="宋体" w:hAnsi="宋体"/>
          <w:color w:val="auto"/>
          <w:sz w:val="24"/>
          <w:highlight w:val="none"/>
        </w:rPr>
        <w:t>、服务及相关资料、</w:t>
      </w:r>
      <w:r>
        <w:rPr>
          <w:rFonts w:hint="eastAsia" w:ascii="宋体" w:hAnsi="宋体"/>
          <w:color w:val="auto"/>
          <w:sz w:val="24"/>
          <w:highlight w:val="none"/>
        </w:rPr>
        <w:t>软件、</w:t>
      </w:r>
      <w:r>
        <w:rPr>
          <w:rFonts w:ascii="宋体" w:hAnsi="宋体"/>
          <w:color w:val="auto"/>
          <w:sz w:val="24"/>
          <w:highlight w:val="none"/>
        </w:rPr>
        <w:t>数据</w:t>
      </w:r>
      <w:r>
        <w:rPr>
          <w:rFonts w:hint="eastAsia" w:ascii="宋体" w:hAnsi="宋体"/>
          <w:color w:val="auto"/>
          <w:sz w:val="24"/>
          <w:highlight w:val="none"/>
        </w:rPr>
        <w:t>的</w:t>
      </w:r>
      <w:r>
        <w:rPr>
          <w:rFonts w:ascii="宋体" w:hAnsi="宋体"/>
          <w:color w:val="auto"/>
          <w:sz w:val="24"/>
          <w:highlight w:val="none"/>
        </w:rPr>
        <w:t>任何部分，因</w:t>
      </w:r>
      <w:r>
        <w:rPr>
          <w:rFonts w:hint="eastAsia" w:ascii="宋体" w:hAnsi="宋体"/>
          <w:color w:val="auto"/>
          <w:sz w:val="24"/>
          <w:highlight w:val="none"/>
        </w:rPr>
        <w:t>侵害甲方或第三方</w:t>
      </w:r>
      <w:r>
        <w:rPr>
          <w:rFonts w:ascii="宋体" w:hAnsi="宋体"/>
          <w:color w:val="auto"/>
          <w:sz w:val="24"/>
          <w:highlight w:val="none"/>
        </w:rPr>
        <w:t>合法权利，</w:t>
      </w:r>
      <w:r>
        <w:rPr>
          <w:rFonts w:hint="eastAsia" w:ascii="宋体" w:hAnsi="宋体"/>
          <w:color w:val="auto"/>
          <w:sz w:val="24"/>
          <w:highlight w:val="none"/>
        </w:rPr>
        <w:t>导致甲方取得设备（货物）</w:t>
      </w:r>
      <w:r>
        <w:rPr>
          <w:rFonts w:ascii="宋体" w:hAnsi="宋体"/>
          <w:color w:val="auto"/>
          <w:sz w:val="24"/>
          <w:highlight w:val="none"/>
        </w:rPr>
        <w:t>、服务及相关资料、</w:t>
      </w:r>
      <w:r>
        <w:rPr>
          <w:rFonts w:hint="eastAsia" w:ascii="宋体" w:hAnsi="宋体"/>
          <w:color w:val="auto"/>
          <w:sz w:val="24"/>
          <w:highlight w:val="none"/>
        </w:rPr>
        <w:t>软件、</w:t>
      </w:r>
      <w:r>
        <w:rPr>
          <w:rFonts w:ascii="宋体" w:hAnsi="宋体"/>
          <w:color w:val="auto"/>
          <w:sz w:val="24"/>
          <w:highlight w:val="none"/>
        </w:rPr>
        <w:t>数据</w:t>
      </w:r>
      <w:r>
        <w:rPr>
          <w:rFonts w:hint="eastAsia" w:ascii="宋体" w:hAnsi="宋体"/>
          <w:color w:val="auto"/>
          <w:sz w:val="24"/>
          <w:highlight w:val="none"/>
        </w:rPr>
        <w:t>的合法所有权、使用权，或者产生其他妨碍甲方实现合同目的的后果，均应由</w:t>
      </w:r>
      <w:r>
        <w:rPr>
          <w:rFonts w:ascii="宋体" w:hAnsi="宋体"/>
          <w:color w:val="auto"/>
          <w:sz w:val="24"/>
          <w:highlight w:val="none"/>
        </w:rPr>
        <w:t>乙方</w:t>
      </w:r>
      <w:r>
        <w:rPr>
          <w:rFonts w:hint="eastAsia" w:ascii="宋体" w:hAnsi="宋体"/>
          <w:color w:val="auto"/>
          <w:sz w:val="24"/>
          <w:highlight w:val="none"/>
        </w:rPr>
        <w:t>承担全部法律责任，消除妨碍，</w:t>
      </w:r>
      <w:r>
        <w:rPr>
          <w:rFonts w:ascii="宋体" w:hAnsi="宋体"/>
          <w:color w:val="auto"/>
          <w:sz w:val="24"/>
          <w:highlight w:val="none"/>
        </w:rPr>
        <w:t>或用不会造成侵权</w:t>
      </w:r>
      <w:r>
        <w:rPr>
          <w:rFonts w:hint="eastAsia" w:ascii="宋体" w:hAnsi="宋体"/>
          <w:color w:val="auto"/>
          <w:sz w:val="24"/>
          <w:highlight w:val="none"/>
        </w:rPr>
        <w:t>后果</w:t>
      </w:r>
      <w:r>
        <w:rPr>
          <w:rFonts w:ascii="宋体" w:hAnsi="宋体"/>
          <w:color w:val="auto"/>
          <w:sz w:val="24"/>
          <w:highlight w:val="none"/>
        </w:rPr>
        <w:t>的同等技术</w:t>
      </w:r>
      <w:r>
        <w:rPr>
          <w:rFonts w:hint="eastAsia" w:ascii="宋体" w:hAnsi="宋体"/>
          <w:color w:val="auto"/>
          <w:sz w:val="24"/>
          <w:highlight w:val="none"/>
        </w:rPr>
        <w:t>标准和要求并且满足甲方合同目的</w:t>
      </w:r>
      <w:r>
        <w:rPr>
          <w:rFonts w:ascii="宋体" w:hAnsi="宋体"/>
          <w:color w:val="auto"/>
          <w:sz w:val="24"/>
          <w:highlight w:val="none"/>
        </w:rPr>
        <w:t>的</w:t>
      </w:r>
      <w:r>
        <w:rPr>
          <w:rFonts w:hint="eastAsia" w:ascii="宋体" w:hAnsi="宋体"/>
          <w:color w:val="auto"/>
          <w:sz w:val="24"/>
          <w:highlight w:val="none"/>
        </w:rPr>
        <w:t>设备（货物）予以</w:t>
      </w:r>
      <w:r>
        <w:rPr>
          <w:rFonts w:ascii="宋体" w:hAnsi="宋体"/>
          <w:color w:val="auto"/>
          <w:sz w:val="24"/>
          <w:highlight w:val="none"/>
        </w:rPr>
        <w:t>更换</w:t>
      </w:r>
      <w:r>
        <w:rPr>
          <w:rFonts w:hint="eastAsia" w:ascii="宋体" w:hAnsi="宋体"/>
          <w:color w:val="auto"/>
          <w:sz w:val="24"/>
          <w:highlight w:val="none"/>
        </w:rPr>
        <w:t>，使</w:t>
      </w:r>
      <w:r>
        <w:rPr>
          <w:rFonts w:ascii="宋体" w:hAnsi="宋体"/>
          <w:color w:val="auto"/>
          <w:sz w:val="24"/>
          <w:highlight w:val="none"/>
        </w:rPr>
        <w:t>甲方</w:t>
      </w:r>
      <w:r>
        <w:rPr>
          <w:rFonts w:hint="eastAsia" w:ascii="宋体" w:hAnsi="宋体"/>
          <w:color w:val="auto"/>
          <w:sz w:val="24"/>
          <w:highlight w:val="none"/>
        </w:rPr>
        <w:t>能够实现全部合同目的</w:t>
      </w:r>
      <w:r>
        <w:rPr>
          <w:rFonts w:ascii="宋体" w:hAnsi="宋体"/>
          <w:color w:val="auto"/>
          <w:sz w:val="24"/>
          <w:highlight w:val="none"/>
        </w:rPr>
        <w:t>。</w:t>
      </w:r>
    </w:p>
    <w:p>
      <w:pPr>
        <w:tabs>
          <w:tab w:val="left" w:pos="3060"/>
        </w:tabs>
        <w:spacing w:line="520" w:lineRule="exact"/>
        <w:outlineLvl w:val="1"/>
        <w:rPr>
          <w:rFonts w:ascii="宋体" w:hAnsi="宋体"/>
          <w:b/>
          <w:bCs/>
          <w:color w:val="auto"/>
          <w:sz w:val="24"/>
          <w:highlight w:val="none"/>
        </w:rPr>
      </w:pPr>
      <w:bookmarkStart w:id="305" w:name="_Toc8836"/>
      <w:r>
        <w:rPr>
          <w:rFonts w:hint="eastAsia" w:ascii="宋体" w:hAnsi="宋体"/>
          <w:b/>
          <w:bCs/>
          <w:color w:val="auto"/>
          <w:sz w:val="24"/>
          <w:highlight w:val="none"/>
        </w:rPr>
        <w:t>7.   交货与验收</w:t>
      </w:r>
      <w:bookmarkEnd w:id="305"/>
    </w:p>
    <w:p>
      <w:pPr>
        <w:spacing w:line="520" w:lineRule="exact"/>
        <w:jc w:val="left"/>
        <w:rPr>
          <w:rFonts w:ascii="宋体" w:hAnsi="宋体"/>
          <w:color w:val="auto"/>
          <w:sz w:val="24"/>
          <w:highlight w:val="none"/>
        </w:rPr>
      </w:pPr>
      <w:r>
        <w:rPr>
          <w:rFonts w:hint="eastAsia" w:ascii="宋体" w:hAnsi="宋体"/>
          <w:color w:val="auto"/>
          <w:sz w:val="24"/>
          <w:highlight w:val="none"/>
        </w:rPr>
        <w:t>7.1  乙方应当在签订合同日起20日内，将符合约定和规定的全部设备（货物）运至甲方指定地点。</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乙方在向甲方交付本合同项下设备（货物）前</w:t>
      </w:r>
      <w:r>
        <w:rPr>
          <w:rFonts w:ascii="宋体" w:hAnsi="宋体"/>
          <w:color w:val="auto"/>
          <w:sz w:val="24"/>
          <w:highlight w:val="none"/>
        </w:rPr>
        <w:t>，</w:t>
      </w:r>
      <w:r>
        <w:rPr>
          <w:rFonts w:hint="eastAsia" w:ascii="宋体" w:hAnsi="宋体"/>
          <w:color w:val="auto"/>
          <w:sz w:val="24"/>
          <w:highlight w:val="none"/>
        </w:rPr>
        <w:t>应当</w:t>
      </w:r>
      <w:r>
        <w:rPr>
          <w:rFonts w:ascii="宋体" w:hAnsi="宋体"/>
          <w:color w:val="auto"/>
          <w:sz w:val="24"/>
          <w:highlight w:val="none"/>
        </w:rPr>
        <w:t>对</w:t>
      </w:r>
      <w:r>
        <w:rPr>
          <w:rFonts w:hint="eastAsia" w:ascii="宋体" w:hAnsi="宋体"/>
          <w:color w:val="auto"/>
          <w:sz w:val="24"/>
          <w:highlight w:val="none"/>
        </w:rPr>
        <w:t>设备（货物）</w:t>
      </w:r>
      <w:r>
        <w:rPr>
          <w:rFonts w:ascii="宋体" w:hAnsi="宋体"/>
          <w:color w:val="auto"/>
          <w:sz w:val="24"/>
          <w:highlight w:val="none"/>
        </w:rPr>
        <w:t>的质量、规格、</w:t>
      </w:r>
      <w:r>
        <w:rPr>
          <w:rFonts w:hint="eastAsia" w:ascii="宋体" w:hAnsi="宋体"/>
          <w:color w:val="auto"/>
          <w:sz w:val="24"/>
          <w:highlight w:val="none"/>
        </w:rPr>
        <w:t>技术指标</w:t>
      </w:r>
      <w:r>
        <w:rPr>
          <w:rFonts w:ascii="宋体" w:hAnsi="宋体"/>
          <w:color w:val="auto"/>
          <w:sz w:val="24"/>
          <w:highlight w:val="none"/>
        </w:rPr>
        <w:t>、数量</w:t>
      </w:r>
      <w:r>
        <w:rPr>
          <w:rFonts w:hint="eastAsia" w:ascii="宋体" w:hAnsi="宋体"/>
          <w:color w:val="auto"/>
          <w:sz w:val="24"/>
          <w:highlight w:val="none"/>
        </w:rPr>
        <w:t>、</w:t>
      </w:r>
      <w:r>
        <w:rPr>
          <w:rFonts w:ascii="宋体" w:hAnsi="宋体"/>
          <w:color w:val="auto"/>
          <w:sz w:val="24"/>
          <w:highlight w:val="none"/>
        </w:rPr>
        <w:t>重量等</w:t>
      </w:r>
      <w:r>
        <w:rPr>
          <w:rFonts w:hint="eastAsia" w:ascii="宋体" w:hAnsi="宋体"/>
          <w:color w:val="auto"/>
          <w:sz w:val="24"/>
          <w:highlight w:val="none"/>
        </w:rPr>
        <w:t>项目</w:t>
      </w:r>
      <w:r>
        <w:rPr>
          <w:rFonts w:ascii="宋体" w:hAnsi="宋体"/>
          <w:color w:val="auto"/>
          <w:sz w:val="24"/>
          <w:highlight w:val="none"/>
        </w:rPr>
        <w:t>进行</w:t>
      </w:r>
      <w:r>
        <w:rPr>
          <w:rFonts w:hint="eastAsia" w:ascii="宋体" w:hAnsi="宋体"/>
          <w:color w:val="auto"/>
          <w:sz w:val="24"/>
          <w:highlight w:val="none"/>
        </w:rPr>
        <w:t>全面、严格</w:t>
      </w:r>
      <w:r>
        <w:rPr>
          <w:rFonts w:ascii="宋体" w:hAnsi="宋体"/>
          <w:color w:val="auto"/>
          <w:sz w:val="24"/>
          <w:highlight w:val="none"/>
        </w:rPr>
        <w:t>的检验</w:t>
      </w:r>
      <w:r>
        <w:rPr>
          <w:rFonts w:hint="eastAsia" w:ascii="宋体" w:hAnsi="宋体"/>
          <w:color w:val="auto"/>
          <w:sz w:val="24"/>
          <w:highlight w:val="none"/>
        </w:rPr>
        <w:t>检测</w:t>
      </w:r>
      <w:r>
        <w:rPr>
          <w:rFonts w:ascii="宋体" w:hAnsi="宋体"/>
          <w:color w:val="auto"/>
          <w:sz w:val="24"/>
          <w:highlight w:val="none"/>
        </w:rPr>
        <w:t>，并应当向甲方提交出厂检验合格以及相关部门和机构检验</w:t>
      </w:r>
      <w:r>
        <w:rPr>
          <w:rFonts w:hint="eastAsia" w:ascii="宋体" w:hAnsi="宋体"/>
          <w:color w:val="auto"/>
          <w:sz w:val="24"/>
          <w:highlight w:val="none"/>
        </w:rPr>
        <w:t>检测</w:t>
      </w:r>
      <w:r>
        <w:rPr>
          <w:rFonts w:ascii="宋体" w:hAnsi="宋体"/>
          <w:color w:val="auto"/>
          <w:sz w:val="24"/>
          <w:highlight w:val="none"/>
        </w:rPr>
        <w:t>合格的记录、</w:t>
      </w:r>
      <w:r>
        <w:rPr>
          <w:rFonts w:hint="eastAsia" w:ascii="宋体" w:hAnsi="宋体"/>
          <w:color w:val="auto"/>
          <w:sz w:val="24"/>
          <w:highlight w:val="none"/>
        </w:rPr>
        <w:t>文件</w:t>
      </w:r>
      <w:r>
        <w:rPr>
          <w:rFonts w:ascii="宋体" w:hAnsi="宋体"/>
          <w:color w:val="auto"/>
          <w:sz w:val="24"/>
          <w:highlight w:val="none"/>
        </w:rPr>
        <w:t>或证明</w:t>
      </w:r>
      <w:r>
        <w:rPr>
          <w:rFonts w:hint="eastAsia" w:ascii="宋体" w:hAnsi="宋体"/>
          <w:color w:val="auto"/>
          <w:sz w:val="24"/>
          <w:highlight w:val="none"/>
        </w:rPr>
        <w:t>资料</w:t>
      </w:r>
      <w:r>
        <w:rPr>
          <w:rFonts w:ascii="宋体" w:hAnsi="宋体"/>
          <w:color w:val="auto"/>
          <w:sz w:val="24"/>
          <w:highlight w:val="none"/>
        </w:rPr>
        <w:t>，但</w:t>
      </w:r>
      <w:r>
        <w:rPr>
          <w:rFonts w:hint="eastAsia" w:ascii="宋体" w:hAnsi="宋体"/>
          <w:color w:val="auto"/>
          <w:sz w:val="24"/>
          <w:highlight w:val="none"/>
        </w:rPr>
        <w:t>该</w:t>
      </w:r>
      <w:r>
        <w:rPr>
          <w:rFonts w:ascii="宋体" w:hAnsi="宋体"/>
          <w:color w:val="auto"/>
          <w:sz w:val="24"/>
          <w:highlight w:val="none"/>
        </w:rPr>
        <w:t>检验</w:t>
      </w:r>
      <w:r>
        <w:rPr>
          <w:rFonts w:hint="eastAsia" w:ascii="宋体" w:hAnsi="宋体"/>
          <w:color w:val="auto"/>
          <w:sz w:val="24"/>
          <w:highlight w:val="none"/>
        </w:rPr>
        <w:t>检测</w:t>
      </w:r>
      <w:r>
        <w:rPr>
          <w:rFonts w:ascii="宋体" w:hAnsi="宋体"/>
          <w:color w:val="auto"/>
          <w:sz w:val="24"/>
          <w:highlight w:val="none"/>
        </w:rPr>
        <w:t>的记录、</w:t>
      </w:r>
      <w:r>
        <w:rPr>
          <w:rFonts w:hint="eastAsia" w:ascii="宋体" w:hAnsi="宋体"/>
          <w:color w:val="auto"/>
          <w:sz w:val="24"/>
          <w:highlight w:val="none"/>
        </w:rPr>
        <w:t>文件</w:t>
      </w:r>
      <w:r>
        <w:rPr>
          <w:rFonts w:ascii="宋体" w:hAnsi="宋体"/>
          <w:color w:val="auto"/>
          <w:sz w:val="24"/>
          <w:highlight w:val="none"/>
        </w:rPr>
        <w:t>或证明</w:t>
      </w:r>
      <w:r>
        <w:rPr>
          <w:rFonts w:hint="eastAsia" w:ascii="宋体" w:hAnsi="宋体"/>
          <w:color w:val="auto"/>
          <w:sz w:val="24"/>
          <w:highlight w:val="none"/>
        </w:rPr>
        <w:t>资料，</w:t>
      </w:r>
      <w:r>
        <w:rPr>
          <w:rFonts w:ascii="宋体" w:hAnsi="宋体"/>
          <w:color w:val="auto"/>
          <w:sz w:val="24"/>
          <w:highlight w:val="none"/>
        </w:rPr>
        <w:t>不作为</w:t>
      </w:r>
      <w:r>
        <w:rPr>
          <w:rFonts w:hint="eastAsia" w:ascii="宋体" w:hAnsi="宋体"/>
          <w:color w:val="auto"/>
          <w:sz w:val="24"/>
          <w:highlight w:val="none"/>
        </w:rPr>
        <w:t>甲方认可或者验收合格的最终证明。</w:t>
      </w:r>
    </w:p>
    <w:p>
      <w:pPr>
        <w:spacing w:line="520" w:lineRule="exact"/>
        <w:jc w:val="left"/>
        <w:rPr>
          <w:rFonts w:ascii="宋体" w:hAnsi="宋体"/>
          <w:color w:val="auto"/>
          <w:sz w:val="24"/>
          <w:highlight w:val="none"/>
        </w:rPr>
      </w:pPr>
      <w:r>
        <w:rPr>
          <w:rFonts w:hint="eastAsia" w:ascii="宋体" w:hAnsi="宋体"/>
          <w:color w:val="auto"/>
          <w:sz w:val="24"/>
          <w:highlight w:val="none"/>
        </w:rPr>
        <w:t>7.2  乙方将本合同项下设备（货物）全部运至甲方指定地点后，甲方应当对设备（货物）包装、外观、名称、规格、型号、数量、生产厂家、原产地、质保文件、随附合格证书、备件、配件、图纸、使用说明文件、技术资料、随附工具、随赠物品、相关文件资料（出厂检验合格证明、特种设备（货物）或者特殊设备（货物）的强制检验检测合格证明、原产地证明、型号或者产品生产许可或者备案证明、检验检疫证明、发票、舱单或者运单、海关进出口证明文件、报关文件、图纸、源代码、密码等）及其它限于可以直观清点、查验的物品、资料等进行现场初步核验，初步核验完毕后，乙方应当将上述物品和资料移交给甲方。如果初步核验结果不符合合同或者规定，乙方应当予以补充、更换或者采取其他措施使之达到或者符合约定和规定。</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初步核验仅是对不需要进行检测、检验、安装调试、联调联试、试运行或者不需要其他特定方法、程序、仪器等进行检测验收的项目的直观现场核验，</w:t>
      </w:r>
      <w:r>
        <w:rPr>
          <w:rFonts w:ascii="宋体" w:hAnsi="宋体"/>
          <w:color w:val="auto"/>
          <w:sz w:val="24"/>
          <w:highlight w:val="none"/>
        </w:rPr>
        <w:t>不作为</w:t>
      </w:r>
      <w:r>
        <w:rPr>
          <w:rFonts w:hint="eastAsia" w:ascii="宋体" w:hAnsi="宋体"/>
          <w:color w:val="auto"/>
          <w:sz w:val="24"/>
          <w:highlight w:val="none"/>
        </w:rPr>
        <w:t>甲方认可或者验收合格的最终证明。</w:t>
      </w:r>
    </w:p>
    <w:p>
      <w:pPr>
        <w:spacing w:line="520" w:lineRule="exact"/>
        <w:jc w:val="left"/>
        <w:rPr>
          <w:rFonts w:ascii="宋体" w:hAnsi="宋体"/>
          <w:color w:val="auto"/>
          <w:sz w:val="24"/>
          <w:highlight w:val="none"/>
        </w:rPr>
      </w:pPr>
      <w:r>
        <w:rPr>
          <w:rFonts w:hint="eastAsia" w:ascii="宋体" w:hAnsi="宋体"/>
          <w:color w:val="auto"/>
          <w:sz w:val="24"/>
          <w:highlight w:val="none"/>
        </w:rPr>
        <w:t>7.3  乙方应当在本合同项下设备（货物）全部运至甲方指定地点并且安装调试合格、交付全部约定资料、完成对甲方有关人员的培训，在甲方使用设备（货物）</w:t>
      </w:r>
      <w:r>
        <w:rPr>
          <w:rFonts w:hint="eastAsia" w:ascii="宋体" w:hAnsi="宋体"/>
          <w:color w:val="auto"/>
          <w:sz w:val="24"/>
          <w:highlight w:val="none"/>
          <w:u w:val="single"/>
        </w:rPr>
        <w:t xml:space="preserve">    </w:t>
      </w:r>
      <w:r>
        <w:rPr>
          <w:rFonts w:hint="eastAsia" w:ascii="宋体" w:hAnsi="宋体"/>
          <w:color w:val="auto"/>
          <w:sz w:val="24"/>
          <w:highlight w:val="none"/>
        </w:rPr>
        <w:t>天不存在故障后，甲方以书面方式通知乙方可以组织进行验收。</w:t>
      </w:r>
    </w:p>
    <w:p>
      <w:pPr>
        <w:pStyle w:val="7"/>
        <w:rPr>
          <w:rFonts w:ascii="宋体" w:hAnsi="宋体" w:eastAsia="宋体" w:cs="宋体"/>
          <w:b w:val="0"/>
          <w:bCs w:val="0"/>
          <w:color w:val="auto"/>
          <w:sz w:val="24"/>
          <w:szCs w:val="24"/>
          <w:highlight w:val="none"/>
        </w:rPr>
      </w:pPr>
      <w:bookmarkStart w:id="306" w:name="_Toc26038"/>
      <w:r>
        <w:rPr>
          <w:rFonts w:hint="eastAsia" w:ascii="宋体" w:hAnsi="宋体" w:eastAsia="宋体" w:cs="宋体"/>
          <w:b w:val="0"/>
          <w:bCs w:val="0"/>
          <w:color w:val="auto"/>
          <w:sz w:val="24"/>
          <w:szCs w:val="24"/>
          <w:highlight w:val="none"/>
        </w:rPr>
        <w:t>甲方组织验收的部门以设备（货物）金额作出如下区分：</w:t>
      </w:r>
      <w:bookmarkEnd w:id="306"/>
    </w:p>
    <w:p>
      <w:pPr>
        <w:ind w:firstLine="45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设备（货物）金额在</w:t>
      </w:r>
      <w:r>
        <w:rPr>
          <w:rFonts w:hint="eastAsia" w:ascii="宋体" w:hAnsi="宋体" w:eastAsia="宋体" w:cs="宋体"/>
          <w:color w:val="auto"/>
          <w:sz w:val="24"/>
          <w:szCs w:val="24"/>
          <w:highlight w:val="none"/>
          <w:u w:val="single"/>
        </w:rPr>
        <w:t xml:space="preserve"> 10万</w:t>
      </w:r>
      <w:r>
        <w:rPr>
          <w:rFonts w:hint="eastAsia" w:ascii="宋体" w:hAnsi="宋体" w:eastAsia="宋体" w:cs="宋体"/>
          <w:color w:val="auto"/>
          <w:sz w:val="24"/>
          <w:szCs w:val="24"/>
          <w:highlight w:val="none"/>
        </w:rPr>
        <w:t>元以内（不含本数），由</w:t>
      </w:r>
      <w:r>
        <w:rPr>
          <w:rFonts w:hint="eastAsia" w:ascii="宋体" w:hAnsi="宋体" w:eastAsia="宋体" w:cs="宋体"/>
          <w:color w:val="auto"/>
          <w:sz w:val="24"/>
          <w:szCs w:val="24"/>
          <w:highlight w:val="none"/>
          <w:u w:val="single"/>
        </w:rPr>
        <w:t xml:space="preserve">  具体采购单位  </w:t>
      </w:r>
      <w:r>
        <w:rPr>
          <w:rFonts w:hint="eastAsia" w:ascii="宋体" w:hAnsi="宋体" w:eastAsia="宋体" w:cs="宋体"/>
          <w:color w:val="auto"/>
          <w:sz w:val="24"/>
          <w:szCs w:val="24"/>
          <w:highlight w:val="none"/>
        </w:rPr>
        <w:t>部门自行组织</w:t>
      </w:r>
      <w:r>
        <w:rPr>
          <w:rFonts w:hint="eastAsia" w:ascii="宋体" w:hAnsi="宋体" w:eastAsia="宋体" w:cs="宋体"/>
          <w:color w:val="auto"/>
          <w:sz w:val="24"/>
          <w:szCs w:val="24"/>
          <w:highlight w:val="none"/>
          <w:u w:val="single"/>
        </w:rPr>
        <w:t>相关领域专家</w:t>
      </w:r>
      <w:r>
        <w:rPr>
          <w:rFonts w:hint="eastAsia" w:ascii="宋体" w:hAnsi="宋体" w:eastAsia="宋体" w:cs="宋体"/>
          <w:color w:val="auto"/>
          <w:sz w:val="24"/>
          <w:szCs w:val="24"/>
          <w:highlight w:val="none"/>
        </w:rPr>
        <w:t>验收，设备（货物）金额在</w:t>
      </w:r>
      <w:r>
        <w:rPr>
          <w:rFonts w:hint="eastAsia" w:ascii="宋体" w:hAnsi="宋体" w:eastAsia="宋体" w:cs="宋体"/>
          <w:color w:val="auto"/>
          <w:sz w:val="24"/>
          <w:szCs w:val="24"/>
          <w:highlight w:val="none"/>
          <w:u w:val="single"/>
        </w:rPr>
        <w:t xml:space="preserve"> 10万 </w:t>
      </w:r>
      <w:r>
        <w:rPr>
          <w:rFonts w:hint="eastAsia" w:ascii="宋体" w:hAnsi="宋体" w:eastAsia="宋体" w:cs="宋体"/>
          <w:color w:val="auto"/>
          <w:sz w:val="24"/>
          <w:szCs w:val="24"/>
          <w:highlight w:val="none"/>
        </w:rPr>
        <w:t>元以上（包含本数），属于行政设备的由具体采购单位组织</w:t>
      </w:r>
      <w:r>
        <w:rPr>
          <w:rFonts w:hint="eastAsia" w:ascii="宋体" w:hAnsi="宋体" w:eastAsia="宋体" w:cs="宋体"/>
          <w:color w:val="auto"/>
          <w:sz w:val="24"/>
          <w:szCs w:val="24"/>
          <w:highlight w:val="none"/>
          <w:u w:val="single"/>
        </w:rPr>
        <w:t>资产管理处资产科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审计处</w:t>
      </w:r>
      <w:r>
        <w:rPr>
          <w:rFonts w:hint="eastAsia" w:ascii="宋体" w:hAnsi="宋体" w:eastAsia="宋体" w:cs="宋体"/>
          <w:color w:val="auto"/>
          <w:sz w:val="24"/>
          <w:szCs w:val="24"/>
          <w:highlight w:val="none"/>
        </w:rPr>
        <w:t>以及</w:t>
      </w:r>
      <w:r>
        <w:rPr>
          <w:rFonts w:hint="eastAsia" w:ascii="宋体" w:hAnsi="宋体" w:eastAsia="宋体" w:cs="宋体"/>
          <w:color w:val="auto"/>
          <w:sz w:val="24"/>
          <w:szCs w:val="24"/>
          <w:highlight w:val="none"/>
          <w:u w:val="single"/>
        </w:rPr>
        <w:t>相关领域专家</w:t>
      </w:r>
      <w:r>
        <w:rPr>
          <w:rFonts w:hint="eastAsia" w:ascii="宋体" w:hAnsi="宋体" w:eastAsia="宋体" w:cs="宋体"/>
          <w:color w:val="auto"/>
          <w:sz w:val="24"/>
          <w:szCs w:val="24"/>
          <w:highlight w:val="none"/>
        </w:rPr>
        <w:t>参与联合进行验收；属于教学实验仪器的由具体采购单位组织</w:t>
      </w:r>
      <w:r>
        <w:rPr>
          <w:rFonts w:hint="eastAsia" w:ascii="宋体" w:hAnsi="宋体" w:eastAsia="宋体" w:cs="宋体"/>
          <w:color w:val="auto"/>
          <w:sz w:val="24"/>
          <w:szCs w:val="24"/>
          <w:highlight w:val="none"/>
          <w:u w:val="single"/>
        </w:rPr>
        <w:t>实验设备处设备管理科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审计处</w:t>
      </w:r>
      <w:r>
        <w:rPr>
          <w:rFonts w:hint="eastAsia" w:ascii="宋体" w:hAnsi="宋体" w:eastAsia="宋体" w:cs="宋体"/>
          <w:color w:val="auto"/>
          <w:sz w:val="24"/>
          <w:szCs w:val="24"/>
          <w:highlight w:val="none"/>
        </w:rPr>
        <w:t>以及</w:t>
      </w:r>
      <w:r>
        <w:rPr>
          <w:rFonts w:hint="eastAsia" w:ascii="宋体" w:hAnsi="宋体" w:eastAsia="宋体" w:cs="宋体"/>
          <w:color w:val="auto"/>
          <w:sz w:val="24"/>
          <w:szCs w:val="24"/>
          <w:highlight w:val="none"/>
          <w:u w:val="single"/>
        </w:rPr>
        <w:t>相关领域专家</w:t>
      </w:r>
      <w:r>
        <w:rPr>
          <w:rFonts w:hint="eastAsia" w:ascii="宋体" w:hAnsi="宋体" w:eastAsia="宋体" w:cs="宋体"/>
          <w:color w:val="auto"/>
          <w:sz w:val="24"/>
          <w:szCs w:val="24"/>
          <w:highlight w:val="none"/>
        </w:rPr>
        <w:t>参与联合进行验收。如任何一部门发现指出设备（货物）与约定的设备（货物）不符，乙方应当予以修正或更换设备（货物），如设备（货物）本身存在重大隐患或交付设备（货物）与约定设备（货物）存在实质性变更，甲方有权要求乙方重新更换设备（货物），由此产生的费用由乙方自行承担。</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乙方应在收到甲方书面通知后7个工作日内及时派出工作人员参加验收，乙方应当在接收甲方通知派员后携带乙方授权委托书、身份证明文件等到场参加验收。</w:t>
      </w:r>
    </w:p>
    <w:p>
      <w:pPr>
        <w:spacing w:line="520" w:lineRule="exact"/>
        <w:ind w:firstLine="480" w:firstLineChars="200"/>
        <w:jc w:val="left"/>
        <w:rPr>
          <w:rFonts w:ascii="宋体" w:hAnsi="宋体"/>
          <w:color w:val="auto"/>
          <w:sz w:val="24"/>
          <w:highlight w:val="none"/>
        </w:rPr>
      </w:pPr>
      <w:r>
        <w:rPr>
          <w:rFonts w:ascii="宋体" w:hAnsi="宋体"/>
          <w:color w:val="auto"/>
          <w:sz w:val="24"/>
          <w:highlight w:val="none"/>
        </w:rPr>
        <w:t>如果乙方接到甲方</w:t>
      </w:r>
      <w:r>
        <w:rPr>
          <w:rFonts w:hint="eastAsia" w:ascii="宋体" w:hAnsi="宋体"/>
          <w:color w:val="auto"/>
          <w:sz w:val="24"/>
          <w:highlight w:val="none"/>
        </w:rPr>
        <w:t>书面</w:t>
      </w:r>
      <w:r>
        <w:rPr>
          <w:rFonts w:ascii="宋体" w:hAnsi="宋体"/>
          <w:color w:val="auto"/>
          <w:sz w:val="24"/>
          <w:highlight w:val="none"/>
        </w:rPr>
        <w:t>通知后未按照</w:t>
      </w:r>
      <w:r>
        <w:rPr>
          <w:rFonts w:hint="eastAsia" w:ascii="宋体" w:hAnsi="宋体"/>
          <w:color w:val="auto"/>
          <w:sz w:val="24"/>
          <w:highlight w:val="none"/>
        </w:rPr>
        <w:t>甲方</w:t>
      </w:r>
      <w:r>
        <w:rPr>
          <w:rFonts w:ascii="宋体" w:hAnsi="宋体"/>
          <w:color w:val="auto"/>
          <w:sz w:val="24"/>
          <w:highlight w:val="none"/>
        </w:rPr>
        <w:t>确定的时间</w:t>
      </w:r>
      <w:r>
        <w:rPr>
          <w:rFonts w:hint="eastAsia" w:ascii="宋体" w:hAnsi="宋体"/>
          <w:color w:val="auto"/>
          <w:sz w:val="24"/>
          <w:highlight w:val="none"/>
        </w:rPr>
        <w:t>和地点派员</w:t>
      </w:r>
      <w:r>
        <w:rPr>
          <w:rFonts w:ascii="宋体" w:hAnsi="宋体"/>
          <w:color w:val="auto"/>
          <w:sz w:val="24"/>
          <w:highlight w:val="none"/>
        </w:rPr>
        <w:t>参加验收，</w:t>
      </w:r>
      <w:r>
        <w:rPr>
          <w:rFonts w:hint="eastAsia" w:ascii="宋体" w:hAnsi="宋体"/>
          <w:color w:val="auto"/>
          <w:sz w:val="24"/>
          <w:highlight w:val="none"/>
        </w:rPr>
        <w:t>或者参加验收后拒绝在验收记录或验收文件上签字确认的，</w:t>
      </w:r>
      <w:r>
        <w:rPr>
          <w:rFonts w:ascii="宋体" w:hAnsi="宋体"/>
          <w:color w:val="auto"/>
          <w:sz w:val="24"/>
          <w:highlight w:val="none"/>
        </w:rPr>
        <w:t>视为</w:t>
      </w:r>
      <w:r>
        <w:rPr>
          <w:rFonts w:hint="eastAsia" w:ascii="宋体" w:hAnsi="宋体"/>
          <w:color w:val="auto"/>
          <w:sz w:val="24"/>
          <w:highlight w:val="none"/>
        </w:rPr>
        <w:t>乙方</w:t>
      </w:r>
      <w:r>
        <w:rPr>
          <w:rFonts w:ascii="宋体" w:hAnsi="宋体"/>
          <w:color w:val="auto"/>
          <w:sz w:val="24"/>
          <w:highlight w:val="none"/>
        </w:rPr>
        <w:t>同意甲方单方</w:t>
      </w:r>
      <w:r>
        <w:rPr>
          <w:rFonts w:hint="eastAsia" w:ascii="宋体" w:hAnsi="宋体"/>
          <w:color w:val="auto"/>
          <w:sz w:val="24"/>
          <w:highlight w:val="none"/>
        </w:rPr>
        <w:t>自行</w:t>
      </w:r>
      <w:r>
        <w:rPr>
          <w:rFonts w:ascii="宋体" w:hAnsi="宋体"/>
          <w:color w:val="auto"/>
          <w:sz w:val="24"/>
          <w:highlight w:val="none"/>
        </w:rPr>
        <w:t>进行验收并接受验收结果。</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7.4   </w:t>
      </w:r>
      <w:r>
        <w:rPr>
          <w:rFonts w:ascii="宋体" w:hAnsi="宋体"/>
          <w:color w:val="auto"/>
          <w:sz w:val="24"/>
          <w:highlight w:val="none"/>
        </w:rPr>
        <w:t>验收</w:t>
      </w:r>
      <w:r>
        <w:rPr>
          <w:rFonts w:hint="eastAsia" w:ascii="宋体" w:hAnsi="宋体"/>
          <w:color w:val="auto"/>
          <w:sz w:val="24"/>
          <w:highlight w:val="none"/>
        </w:rPr>
        <w:t>应当以</w:t>
      </w:r>
      <w:r>
        <w:rPr>
          <w:rFonts w:ascii="宋体" w:hAnsi="宋体"/>
          <w:color w:val="auto"/>
          <w:sz w:val="24"/>
          <w:highlight w:val="none"/>
        </w:rPr>
        <w:t>招投标文件、合同、技术协议</w:t>
      </w:r>
      <w:r>
        <w:rPr>
          <w:rFonts w:hint="eastAsia" w:ascii="宋体" w:hAnsi="宋体"/>
          <w:color w:val="auto"/>
          <w:sz w:val="24"/>
          <w:highlight w:val="none"/>
        </w:rPr>
        <w:t>和相关约定，以及</w:t>
      </w:r>
      <w:r>
        <w:rPr>
          <w:rFonts w:ascii="宋体" w:hAnsi="宋体"/>
          <w:color w:val="auto"/>
          <w:sz w:val="24"/>
          <w:highlight w:val="none"/>
        </w:rPr>
        <w:t>相关最新国家</w:t>
      </w:r>
      <w:r>
        <w:rPr>
          <w:rFonts w:hint="eastAsia" w:ascii="宋体" w:hAnsi="宋体"/>
          <w:color w:val="auto"/>
          <w:sz w:val="24"/>
          <w:highlight w:val="none"/>
        </w:rPr>
        <w:t>标准、</w:t>
      </w:r>
      <w:r>
        <w:rPr>
          <w:rFonts w:ascii="宋体" w:hAnsi="宋体"/>
          <w:color w:val="auto"/>
          <w:sz w:val="24"/>
          <w:highlight w:val="none"/>
        </w:rPr>
        <w:t>行业标准</w:t>
      </w:r>
      <w:r>
        <w:rPr>
          <w:rFonts w:hint="eastAsia" w:ascii="宋体" w:hAnsi="宋体"/>
          <w:color w:val="auto"/>
          <w:sz w:val="24"/>
          <w:highlight w:val="none"/>
        </w:rPr>
        <w:t>为依据，按照约定或者相关规定的方法、程序进行。</w:t>
      </w:r>
      <w:r>
        <w:rPr>
          <w:rFonts w:ascii="宋体" w:hAnsi="宋体"/>
          <w:color w:val="auto"/>
          <w:sz w:val="24"/>
          <w:highlight w:val="none"/>
        </w:rPr>
        <w:t>如未明确约定的，</w:t>
      </w:r>
      <w:r>
        <w:rPr>
          <w:rFonts w:hint="eastAsia" w:ascii="宋体" w:hAnsi="宋体"/>
          <w:color w:val="auto"/>
          <w:sz w:val="24"/>
          <w:highlight w:val="none"/>
        </w:rPr>
        <w:t>应当</w:t>
      </w:r>
      <w:r>
        <w:rPr>
          <w:rFonts w:ascii="宋体" w:hAnsi="宋体"/>
          <w:color w:val="auto"/>
          <w:sz w:val="24"/>
          <w:highlight w:val="none"/>
        </w:rPr>
        <w:t>按照相关最新</w:t>
      </w:r>
      <w:r>
        <w:rPr>
          <w:rFonts w:hint="eastAsia" w:ascii="宋体" w:hAnsi="宋体"/>
          <w:color w:val="auto"/>
          <w:sz w:val="24"/>
          <w:highlight w:val="none"/>
        </w:rPr>
        <w:t>国家标准、</w:t>
      </w:r>
      <w:r>
        <w:rPr>
          <w:rFonts w:ascii="宋体" w:hAnsi="宋体"/>
          <w:color w:val="auto"/>
          <w:sz w:val="24"/>
          <w:highlight w:val="none"/>
        </w:rPr>
        <w:t>行业标准</w:t>
      </w:r>
      <w:r>
        <w:rPr>
          <w:rFonts w:hint="eastAsia" w:ascii="宋体" w:hAnsi="宋体"/>
          <w:color w:val="auto"/>
          <w:sz w:val="24"/>
          <w:highlight w:val="none"/>
        </w:rPr>
        <w:t>或者公认通行的技术标准、方法和程序进行验收</w:t>
      </w:r>
      <w:r>
        <w:rPr>
          <w:rFonts w:ascii="宋体" w:hAnsi="宋体"/>
          <w:color w:val="auto"/>
          <w:sz w:val="24"/>
          <w:highlight w:val="none"/>
        </w:rPr>
        <w:t>。</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7.5   </w:t>
      </w:r>
      <w:r>
        <w:rPr>
          <w:rFonts w:ascii="宋体" w:hAnsi="宋体"/>
          <w:color w:val="auto"/>
          <w:sz w:val="24"/>
          <w:highlight w:val="none"/>
        </w:rPr>
        <w:t>验收结果</w:t>
      </w:r>
      <w:r>
        <w:rPr>
          <w:rFonts w:hint="eastAsia" w:ascii="宋体" w:hAnsi="宋体"/>
          <w:color w:val="auto"/>
          <w:sz w:val="24"/>
          <w:highlight w:val="none"/>
        </w:rPr>
        <w:t>不符合约定或者规定的</w:t>
      </w:r>
      <w:r>
        <w:rPr>
          <w:rFonts w:ascii="宋体" w:hAnsi="宋体"/>
          <w:color w:val="auto"/>
          <w:sz w:val="24"/>
          <w:highlight w:val="none"/>
        </w:rPr>
        <w:t>，</w:t>
      </w:r>
      <w:r>
        <w:rPr>
          <w:rFonts w:hint="eastAsia" w:ascii="宋体" w:hAnsi="宋体"/>
          <w:color w:val="auto"/>
          <w:sz w:val="24"/>
          <w:highlight w:val="none"/>
        </w:rPr>
        <w:t>甲方有权选择下列任何一种方式进行处理：</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1）甲方可以选择要求乙方在甲方指定的期限内更换符合约定或者规定的设备（货物）运至甲方指定地点，并且履行安装、调试、培训等义务，并依照本合同约定的方法和程序通知甲方再次组织验收，</w:t>
      </w:r>
      <w:r>
        <w:rPr>
          <w:rFonts w:hint="eastAsia" w:ascii="宋体" w:hAnsi="宋体"/>
          <w:color w:val="auto"/>
          <w:sz w:val="24"/>
          <w:highlight w:val="none"/>
        </w:rPr>
        <w:t>更换后的设备（货物）的性能应当不低于合同中所约定的设备（货物），如更换后的设备（货物）的价值高于合同约定设备（货物）的价值，该差价应当由乙方自行承担。</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再次组织验收结果仍不符合约定或者规定的，甲方可以选择解除合同，乙方应当向甲方承担包括但不限于返还已支付的全部合同价款、赔偿利息损失、承担违约金、赔偿甲方其他全部直接损失和间接损失，赔偿甲方实现合同权利所支出的全部费用（包括但不限于检测检验或者鉴定费用、诉讼费、保全费、律师代理费、差旅费等费用）等违约责任。</w:t>
      </w:r>
    </w:p>
    <w:p>
      <w:pPr>
        <w:numPr>
          <w:ilvl w:val="0"/>
          <w:numId w:val="7"/>
        </w:num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甲方选择接受设备（货物），但是可以扣减未支付的剩余全部合同价款，乙方仍应当对设备（货物）在质保期内承担修理、更换、维护、培训等义务。</w:t>
      </w:r>
    </w:p>
    <w:p>
      <w:pPr>
        <w:tabs>
          <w:tab w:val="left" w:pos="3060"/>
        </w:tabs>
        <w:spacing w:line="520" w:lineRule="exact"/>
        <w:outlineLvl w:val="1"/>
        <w:rPr>
          <w:rFonts w:ascii="宋体" w:hAnsi="宋体"/>
          <w:b/>
          <w:bCs/>
          <w:color w:val="auto"/>
          <w:sz w:val="24"/>
          <w:highlight w:val="none"/>
        </w:rPr>
      </w:pPr>
      <w:bookmarkStart w:id="307" w:name="_Toc24240"/>
      <w:r>
        <w:rPr>
          <w:rFonts w:hint="eastAsia" w:ascii="宋体" w:hAnsi="宋体"/>
          <w:b/>
          <w:bCs/>
          <w:color w:val="auto"/>
          <w:sz w:val="24"/>
          <w:highlight w:val="none"/>
        </w:rPr>
        <w:t>8.  包装</w:t>
      </w:r>
      <w:bookmarkEnd w:id="307"/>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8.1  </w:t>
      </w:r>
      <w:r>
        <w:rPr>
          <w:rFonts w:ascii="宋体" w:hAnsi="宋体"/>
          <w:color w:val="auto"/>
          <w:sz w:val="24"/>
          <w:highlight w:val="none"/>
        </w:rPr>
        <w:t>乙方应提供</w:t>
      </w:r>
      <w:r>
        <w:rPr>
          <w:rFonts w:hint="eastAsia" w:ascii="宋体" w:hAnsi="宋体"/>
          <w:color w:val="auto"/>
          <w:sz w:val="24"/>
          <w:highlight w:val="none"/>
        </w:rPr>
        <w:t>设备（货物）</w:t>
      </w:r>
      <w:r>
        <w:rPr>
          <w:rFonts w:ascii="宋体" w:hAnsi="宋体"/>
          <w:color w:val="auto"/>
          <w:sz w:val="24"/>
          <w:highlight w:val="none"/>
        </w:rPr>
        <w:t>运至</w:t>
      </w:r>
      <w:r>
        <w:rPr>
          <w:rFonts w:hint="eastAsia" w:ascii="宋体" w:hAnsi="宋体"/>
          <w:color w:val="auto"/>
          <w:sz w:val="24"/>
          <w:highlight w:val="none"/>
        </w:rPr>
        <w:t>甲方指定地点</w:t>
      </w:r>
      <w:r>
        <w:rPr>
          <w:rFonts w:ascii="宋体" w:hAnsi="宋体"/>
          <w:color w:val="auto"/>
          <w:sz w:val="24"/>
          <w:highlight w:val="none"/>
        </w:rPr>
        <w:t>所需要的包装，</w:t>
      </w:r>
      <w:r>
        <w:rPr>
          <w:rFonts w:hint="eastAsia" w:ascii="宋体" w:hAnsi="宋体"/>
          <w:color w:val="auto"/>
          <w:sz w:val="24"/>
          <w:highlight w:val="none"/>
        </w:rPr>
        <w:t>乙方提供的</w:t>
      </w:r>
      <w:r>
        <w:rPr>
          <w:rFonts w:ascii="宋体" w:hAnsi="宋体"/>
          <w:color w:val="auto"/>
          <w:sz w:val="24"/>
          <w:highlight w:val="none"/>
        </w:rPr>
        <w:t>包装应</w:t>
      </w:r>
      <w:r>
        <w:rPr>
          <w:rFonts w:hint="eastAsia" w:ascii="宋体" w:hAnsi="宋体"/>
          <w:color w:val="auto"/>
          <w:sz w:val="24"/>
          <w:highlight w:val="none"/>
        </w:rPr>
        <w:t>符合国家标准、行业标准或者专业标准</w:t>
      </w:r>
      <w:r>
        <w:rPr>
          <w:rFonts w:ascii="宋体" w:hAnsi="宋体"/>
          <w:color w:val="auto"/>
          <w:sz w:val="24"/>
          <w:highlight w:val="none"/>
        </w:rPr>
        <w:t>，包括</w:t>
      </w:r>
      <w:r>
        <w:rPr>
          <w:rFonts w:hint="eastAsia" w:ascii="宋体" w:hAnsi="宋体"/>
          <w:color w:val="auto"/>
          <w:sz w:val="24"/>
          <w:highlight w:val="none"/>
        </w:rPr>
        <w:t>但不限于满足</w:t>
      </w:r>
      <w:r>
        <w:rPr>
          <w:rFonts w:ascii="宋体" w:hAnsi="宋体"/>
          <w:color w:val="auto"/>
          <w:sz w:val="24"/>
          <w:highlight w:val="none"/>
        </w:rPr>
        <w:t>防潮、防晒、防锈、防腐蚀、防震动及防止其他损坏的必要</w:t>
      </w:r>
      <w:r>
        <w:rPr>
          <w:rFonts w:hint="eastAsia" w:ascii="宋体" w:hAnsi="宋体"/>
          <w:color w:val="auto"/>
          <w:sz w:val="24"/>
          <w:highlight w:val="none"/>
        </w:rPr>
        <w:t>条件</w:t>
      </w:r>
      <w:r>
        <w:rPr>
          <w:rFonts w:ascii="宋体" w:hAnsi="宋体"/>
          <w:color w:val="auto"/>
          <w:sz w:val="24"/>
          <w:highlight w:val="none"/>
        </w:rPr>
        <w:t>，保证</w:t>
      </w:r>
      <w:r>
        <w:rPr>
          <w:rFonts w:hint="eastAsia" w:ascii="宋体" w:hAnsi="宋体"/>
          <w:color w:val="auto"/>
          <w:sz w:val="24"/>
          <w:highlight w:val="none"/>
        </w:rPr>
        <w:t>设备（货物）</w:t>
      </w:r>
      <w:r>
        <w:rPr>
          <w:rFonts w:ascii="宋体" w:hAnsi="宋体"/>
          <w:color w:val="auto"/>
          <w:sz w:val="24"/>
          <w:highlight w:val="none"/>
        </w:rPr>
        <w:t>能够经受多次搬运、装卸及长途运输</w:t>
      </w:r>
      <w:r>
        <w:rPr>
          <w:rFonts w:hint="eastAsia" w:ascii="宋体" w:hAnsi="宋体"/>
          <w:color w:val="auto"/>
          <w:sz w:val="24"/>
          <w:highlight w:val="none"/>
        </w:rPr>
        <w:t>，满足实现合同目的的全部要求。因</w:t>
      </w:r>
      <w:r>
        <w:rPr>
          <w:rFonts w:ascii="宋体" w:hAnsi="宋体"/>
          <w:color w:val="auto"/>
          <w:sz w:val="24"/>
          <w:highlight w:val="none"/>
        </w:rPr>
        <w:t>包装不符合约定</w:t>
      </w:r>
      <w:r>
        <w:rPr>
          <w:rFonts w:hint="eastAsia" w:ascii="宋体" w:hAnsi="宋体"/>
          <w:color w:val="auto"/>
          <w:sz w:val="24"/>
          <w:highlight w:val="none"/>
        </w:rPr>
        <w:t>或者规定</w:t>
      </w:r>
      <w:r>
        <w:rPr>
          <w:rFonts w:ascii="宋体" w:hAnsi="宋体"/>
          <w:color w:val="auto"/>
          <w:sz w:val="24"/>
          <w:highlight w:val="none"/>
        </w:rPr>
        <w:t>，造成</w:t>
      </w:r>
      <w:r>
        <w:rPr>
          <w:rFonts w:hint="eastAsia" w:ascii="宋体" w:hAnsi="宋体"/>
          <w:color w:val="auto"/>
          <w:sz w:val="24"/>
          <w:highlight w:val="none"/>
        </w:rPr>
        <w:t>设备（货物）</w:t>
      </w:r>
      <w:r>
        <w:rPr>
          <w:rFonts w:ascii="宋体" w:hAnsi="宋体"/>
          <w:color w:val="auto"/>
          <w:sz w:val="24"/>
          <w:highlight w:val="none"/>
        </w:rPr>
        <w:t>毁损</w:t>
      </w:r>
      <w:r>
        <w:rPr>
          <w:rFonts w:hint="eastAsia" w:ascii="宋体" w:hAnsi="宋体"/>
          <w:color w:val="auto"/>
          <w:sz w:val="24"/>
          <w:highlight w:val="none"/>
        </w:rPr>
        <w:t>、</w:t>
      </w:r>
      <w:r>
        <w:rPr>
          <w:rFonts w:ascii="宋体" w:hAnsi="宋体"/>
          <w:color w:val="auto"/>
          <w:sz w:val="24"/>
          <w:highlight w:val="none"/>
        </w:rPr>
        <w:t>灭失或其他后果的，由乙方承担</w:t>
      </w:r>
      <w:r>
        <w:rPr>
          <w:rFonts w:hint="eastAsia" w:ascii="宋体" w:hAnsi="宋体"/>
          <w:color w:val="auto"/>
          <w:sz w:val="24"/>
          <w:highlight w:val="none"/>
        </w:rPr>
        <w:t>全部责任和损失</w:t>
      </w:r>
      <w:r>
        <w:rPr>
          <w:rFonts w:ascii="宋体" w:hAnsi="宋体"/>
          <w:color w:val="auto"/>
          <w:sz w:val="24"/>
          <w:highlight w:val="none"/>
        </w:rPr>
        <w:t>。</w:t>
      </w:r>
    </w:p>
    <w:p>
      <w:pPr>
        <w:tabs>
          <w:tab w:val="left" w:pos="3060"/>
        </w:tabs>
        <w:spacing w:line="520" w:lineRule="exact"/>
        <w:rPr>
          <w:rFonts w:ascii="宋体" w:hAnsi="宋体"/>
          <w:b/>
          <w:bCs/>
          <w:color w:val="auto"/>
          <w:sz w:val="24"/>
          <w:highlight w:val="none"/>
        </w:rPr>
      </w:pPr>
    </w:p>
    <w:p>
      <w:pPr>
        <w:tabs>
          <w:tab w:val="left" w:pos="3060"/>
        </w:tabs>
        <w:spacing w:line="520" w:lineRule="exact"/>
        <w:outlineLvl w:val="1"/>
        <w:rPr>
          <w:rFonts w:ascii="宋体" w:hAnsi="宋体"/>
          <w:b/>
          <w:bCs/>
          <w:color w:val="auto"/>
          <w:sz w:val="24"/>
          <w:highlight w:val="none"/>
        </w:rPr>
      </w:pPr>
      <w:bookmarkStart w:id="308" w:name="_Toc29696"/>
      <w:r>
        <w:rPr>
          <w:rFonts w:hint="eastAsia" w:ascii="宋体" w:hAnsi="宋体"/>
          <w:b/>
          <w:bCs/>
          <w:color w:val="auto"/>
          <w:sz w:val="24"/>
          <w:highlight w:val="none"/>
        </w:rPr>
        <w:t>9.  检验、安装、调试、质保</w:t>
      </w:r>
      <w:bookmarkEnd w:id="308"/>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9.1  </w:t>
      </w:r>
      <w:r>
        <w:rPr>
          <w:rFonts w:ascii="宋体" w:hAnsi="宋体"/>
          <w:color w:val="auto"/>
          <w:sz w:val="24"/>
          <w:highlight w:val="none"/>
        </w:rPr>
        <w:t>甲方有权派遣检验人员到乙方（或制造商处）会同乙方</w:t>
      </w:r>
      <w:r>
        <w:rPr>
          <w:rFonts w:hint="eastAsia" w:ascii="宋体" w:hAnsi="宋体"/>
          <w:color w:val="auto"/>
          <w:sz w:val="24"/>
          <w:highlight w:val="none"/>
        </w:rPr>
        <w:t>工作</w:t>
      </w:r>
      <w:r>
        <w:rPr>
          <w:rFonts w:ascii="宋体" w:hAnsi="宋体"/>
          <w:color w:val="auto"/>
          <w:sz w:val="24"/>
          <w:highlight w:val="none"/>
        </w:rPr>
        <w:t>人员对</w:t>
      </w:r>
      <w:r>
        <w:rPr>
          <w:rFonts w:hint="eastAsia" w:ascii="宋体" w:hAnsi="宋体"/>
          <w:color w:val="auto"/>
          <w:sz w:val="24"/>
          <w:highlight w:val="none"/>
        </w:rPr>
        <w:t>设备（货物）</w:t>
      </w:r>
      <w:r>
        <w:rPr>
          <w:rFonts w:ascii="宋体" w:hAnsi="宋体"/>
          <w:color w:val="auto"/>
          <w:sz w:val="24"/>
          <w:highlight w:val="none"/>
        </w:rPr>
        <w:t>的制造过程和质量进行监督检验，但并不代替或</w:t>
      </w:r>
      <w:r>
        <w:rPr>
          <w:rFonts w:hint="eastAsia" w:ascii="宋体" w:hAnsi="宋体"/>
          <w:color w:val="auto"/>
          <w:sz w:val="24"/>
          <w:highlight w:val="none"/>
        </w:rPr>
        <w:t>免除</w:t>
      </w:r>
      <w:r>
        <w:rPr>
          <w:rFonts w:ascii="宋体" w:hAnsi="宋体"/>
          <w:color w:val="auto"/>
          <w:sz w:val="24"/>
          <w:highlight w:val="none"/>
        </w:rPr>
        <w:t>乙方对</w:t>
      </w:r>
      <w:r>
        <w:rPr>
          <w:rFonts w:hint="eastAsia" w:ascii="宋体" w:hAnsi="宋体"/>
          <w:color w:val="auto"/>
          <w:sz w:val="24"/>
          <w:highlight w:val="none"/>
        </w:rPr>
        <w:t>设备（货物）按照合同约定承担的质量保证</w:t>
      </w:r>
      <w:r>
        <w:rPr>
          <w:rFonts w:ascii="宋体" w:hAnsi="宋体"/>
          <w:color w:val="auto"/>
          <w:sz w:val="24"/>
          <w:highlight w:val="none"/>
        </w:rPr>
        <w:t>责任</w:t>
      </w:r>
      <w:r>
        <w:rPr>
          <w:rFonts w:hint="eastAsia" w:ascii="宋体" w:hAnsi="宋体"/>
          <w:color w:val="auto"/>
          <w:sz w:val="24"/>
          <w:highlight w:val="none"/>
        </w:rPr>
        <w:t>和其他责任</w:t>
      </w:r>
      <w:r>
        <w:rPr>
          <w:rFonts w:ascii="宋体" w:hAnsi="宋体"/>
          <w:color w:val="auto"/>
          <w:sz w:val="24"/>
          <w:highlight w:val="none"/>
        </w:rPr>
        <w:t>。</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9.2   </w:t>
      </w:r>
      <w:r>
        <w:rPr>
          <w:rFonts w:ascii="宋体" w:hAnsi="宋体"/>
          <w:color w:val="auto"/>
          <w:sz w:val="24"/>
          <w:highlight w:val="none"/>
        </w:rPr>
        <w:t>乙方应在</w:t>
      </w:r>
      <w:r>
        <w:rPr>
          <w:rFonts w:hint="eastAsia" w:ascii="宋体" w:hAnsi="宋体"/>
          <w:color w:val="auto"/>
          <w:sz w:val="24"/>
          <w:highlight w:val="none"/>
        </w:rPr>
        <w:t>设备（货物）运至</w:t>
      </w:r>
      <w:r>
        <w:rPr>
          <w:rFonts w:ascii="宋体" w:hAnsi="宋体"/>
          <w:color w:val="auto"/>
          <w:sz w:val="24"/>
          <w:highlight w:val="none"/>
        </w:rPr>
        <w:t>达甲方指定地点后 15 日内完成对</w:t>
      </w:r>
      <w:r>
        <w:rPr>
          <w:rFonts w:hint="eastAsia" w:ascii="宋体" w:hAnsi="宋体"/>
          <w:color w:val="auto"/>
          <w:sz w:val="24"/>
          <w:highlight w:val="none"/>
        </w:rPr>
        <w:t>设备（货物）</w:t>
      </w:r>
      <w:r>
        <w:rPr>
          <w:rFonts w:ascii="宋体" w:hAnsi="宋体"/>
          <w:color w:val="auto"/>
          <w:sz w:val="24"/>
          <w:highlight w:val="none"/>
        </w:rPr>
        <w:t>的安装调试</w:t>
      </w:r>
      <w:r>
        <w:rPr>
          <w:rFonts w:hint="eastAsia" w:ascii="宋体" w:hAnsi="宋体"/>
          <w:color w:val="auto"/>
          <w:sz w:val="24"/>
          <w:highlight w:val="none"/>
        </w:rPr>
        <w:t>及对有关人员的培训</w:t>
      </w:r>
      <w:r>
        <w:rPr>
          <w:rFonts w:ascii="宋体" w:hAnsi="宋体"/>
          <w:color w:val="auto"/>
          <w:sz w:val="24"/>
          <w:highlight w:val="none"/>
        </w:rPr>
        <w:t>，达到约定</w:t>
      </w:r>
      <w:r>
        <w:rPr>
          <w:rFonts w:hint="eastAsia" w:ascii="宋体" w:hAnsi="宋体"/>
          <w:color w:val="auto"/>
          <w:sz w:val="24"/>
          <w:highlight w:val="none"/>
        </w:rPr>
        <w:t>或规定</w:t>
      </w:r>
      <w:r>
        <w:rPr>
          <w:rFonts w:ascii="宋体" w:hAnsi="宋体"/>
          <w:color w:val="auto"/>
          <w:sz w:val="24"/>
          <w:highlight w:val="none"/>
        </w:rPr>
        <w:t>的要求和标准，并保证</w:t>
      </w:r>
      <w:r>
        <w:rPr>
          <w:rFonts w:hint="eastAsia" w:ascii="宋体" w:hAnsi="宋体"/>
          <w:color w:val="auto"/>
          <w:sz w:val="24"/>
          <w:highlight w:val="none"/>
        </w:rPr>
        <w:t>设备（货物）</w:t>
      </w:r>
      <w:r>
        <w:rPr>
          <w:rFonts w:ascii="宋体" w:hAnsi="宋体"/>
          <w:color w:val="auto"/>
          <w:sz w:val="24"/>
          <w:highlight w:val="none"/>
        </w:rPr>
        <w:t>的正常</w:t>
      </w:r>
      <w:r>
        <w:rPr>
          <w:rFonts w:hint="eastAsia" w:ascii="宋体" w:hAnsi="宋体"/>
          <w:color w:val="auto"/>
          <w:sz w:val="24"/>
          <w:highlight w:val="none"/>
        </w:rPr>
        <w:t>运行和使用</w:t>
      </w:r>
      <w:r>
        <w:rPr>
          <w:rFonts w:ascii="宋体" w:hAnsi="宋体"/>
          <w:color w:val="auto"/>
          <w:sz w:val="24"/>
          <w:highlight w:val="none"/>
        </w:rPr>
        <w:t>。甲方在安装调试过程中应提供必要的协助和配合。</w:t>
      </w:r>
    </w:p>
    <w:p>
      <w:pPr>
        <w:spacing w:line="520" w:lineRule="exact"/>
        <w:jc w:val="left"/>
        <w:rPr>
          <w:rFonts w:ascii="宋体" w:hAnsi="宋体"/>
          <w:color w:val="auto"/>
          <w:sz w:val="24"/>
          <w:highlight w:val="none"/>
        </w:rPr>
      </w:pPr>
      <w:r>
        <w:rPr>
          <w:rFonts w:hint="eastAsia" w:ascii="宋体" w:hAnsi="宋体"/>
          <w:color w:val="auto"/>
          <w:sz w:val="24"/>
          <w:highlight w:val="none"/>
        </w:rPr>
        <w:t>9.3   按照约定或者规定验收合格后，甲乙双方授权代表</w:t>
      </w:r>
      <w:r>
        <w:rPr>
          <w:rFonts w:ascii="宋体" w:hAnsi="宋体"/>
          <w:color w:val="auto"/>
          <w:sz w:val="24"/>
          <w:highlight w:val="none"/>
        </w:rPr>
        <w:t>可在15 日内现场签署</w:t>
      </w:r>
      <w:r>
        <w:rPr>
          <w:rFonts w:hint="eastAsia" w:ascii="宋体" w:hAnsi="宋体"/>
          <w:color w:val="auto"/>
          <w:sz w:val="24"/>
          <w:highlight w:val="none"/>
        </w:rPr>
        <w:t>验收合格证明文件，但是签署验收合格证明文件并不</w:t>
      </w:r>
      <w:r>
        <w:rPr>
          <w:rFonts w:ascii="宋体" w:hAnsi="宋体"/>
          <w:color w:val="auto"/>
          <w:sz w:val="24"/>
          <w:highlight w:val="none"/>
        </w:rPr>
        <w:t>免除乙方对</w:t>
      </w:r>
      <w:r>
        <w:rPr>
          <w:rFonts w:hint="eastAsia" w:ascii="宋体" w:hAnsi="宋体"/>
          <w:color w:val="auto"/>
          <w:sz w:val="24"/>
          <w:highlight w:val="none"/>
        </w:rPr>
        <w:t>设备（货物）按照合同约定承担的质量保证</w:t>
      </w:r>
      <w:r>
        <w:rPr>
          <w:rFonts w:ascii="宋体" w:hAnsi="宋体"/>
          <w:color w:val="auto"/>
          <w:sz w:val="24"/>
          <w:highlight w:val="none"/>
        </w:rPr>
        <w:t>责任</w:t>
      </w:r>
      <w:r>
        <w:rPr>
          <w:rFonts w:hint="eastAsia" w:ascii="宋体" w:hAnsi="宋体"/>
          <w:color w:val="auto"/>
          <w:sz w:val="24"/>
          <w:highlight w:val="none"/>
        </w:rPr>
        <w:t>和其他责任</w:t>
      </w:r>
      <w:r>
        <w:rPr>
          <w:rFonts w:ascii="宋体" w:hAnsi="宋体"/>
          <w:color w:val="auto"/>
          <w:sz w:val="24"/>
          <w:highlight w:val="none"/>
        </w:rPr>
        <w:t>。</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9.4   </w:t>
      </w:r>
      <w:r>
        <w:rPr>
          <w:rFonts w:ascii="宋体" w:hAnsi="宋体"/>
          <w:color w:val="auto"/>
          <w:sz w:val="24"/>
          <w:highlight w:val="none"/>
        </w:rPr>
        <w:t>在安装调试</w:t>
      </w:r>
      <w:r>
        <w:rPr>
          <w:rFonts w:hint="eastAsia" w:ascii="宋体" w:hAnsi="宋体"/>
          <w:color w:val="auto"/>
          <w:sz w:val="24"/>
          <w:highlight w:val="none"/>
        </w:rPr>
        <w:t>过程中</w:t>
      </w:r>
      <w:r>
        <w:rPr>
          <w:rFonts w:ascii="宋体" w:hAnsi="宋体"/>
          <w:color w:val="auto"/>
          <w:sz w:val="24"/>
          <w:highlight w:val="none"/>
        </w:rPr>
        <w:t>，如果</w:t>
      </w:r>
      <w:r>
        <w:rPr>
          <w:rFonts w:hint="eastAsia" w:ascii="宋体" w:hAnsi="宋体"/>
          <w:color w:val="auto"/>
          <w:sz w:val="24"/>
          <w:highlight w:val="none"/>
        </w:rPr>
        <w:t>因为</w:t>
      </w:r>
      <w:r>
        <w:rPr>
          <w:rFonts w:ascii="宋体" w:hAnsi="宋体"/>
          <w:color w:val="auto"/>
          <w:sz w:val="24"/>
          <w:highlight w:val="none"/>
        </w:rPr>
        <w:t>乙方</w:t>
      </w:r>
      <w:r>
        <w:rPr>
          <w:rFonts w:hint="eastAsia" w:ascii="宋体" w:hAnsi="宋体"/>
          <w:color w:val="auto"/>
          <w:sz w:val="24"/>
          <w:highlight w:val="none"/>
        </w:rPr>
        <w:t>原因</w:t>
      </w:r>
      <w:r>
        <w:rPr>
          <w:rFonts w:ascii="宋体" w:hAnsi="宋体"/>
          <w:color w:val="auto"/>
          <w:sz w:val="24"/>
          <w:highlight w:val="none"/>
        </w:rPr>
        <w:t>造成</w:t>
      </w:r>
      <w:r>
        <w:rPr>
          <w:rFonts w:hint="eastAsia" w:ascii="宋体" w:hAnsi="宋体"/>
          <w:color w:val="auto"/>
          <w:sz w:val="24"/>
          <w:highlight w:val="none"/>
        </w:rPr>
        <w:t>设备（货物）毁损或者导致甲方、第三方人身、财产损失，</w:t>
      </w:r>
      <w:r>
        <w:rPr>
          <w:rFonts w:ascii="宋体" w:hAnsi="宋体"/>
          <w:color w:val="auto"/>
          <w:sz w:val="24"/>
          <w:highlight w:val="none"/>
        </w:rPr>
        <w:t>乙方应采取</w:t>
      </w:r>
      <w:r>
        <w:rPr>
          <w:rFonts w:hint="eastAsia" w:ascii="宋体" w:hAnsi="宋体"/>
          <w:color w:val="auto"/>
          <w:sz w:val="24"/>
          <w:highlight w:val="none"/>
        </w:rPr>
        <w:t>包括但不限于修理、更换等</w:t>
      </w:r>
      <w:r>
        <w:rPr>
          <w:rFonts w:ascii="宋体" w:hAnsi="宋体"/>
          <w:color w:val="auto"/>
          <w:sz w:val="24"/>
          <w:highlight w:val="none"/>
        </w:rPr>
        <w:t>必要的补救措施，并</w:t>
      </w:r>
      <w:r>
        <w:rPr>
          <w:rFonts w:hint="eastAsia" w:ascii="宋体" w:hAnsi="宋体"/>
          <w:color w:val="auto"/>
          <w:sz w:val="24"/>
          <w:highlight w:val="none"/>
        </w:rPr>
        <w:t>承担</w:t>
      </w:r>
      <w:r>
        <w:rPr>
          <w:rFonts w:ascii="宋体" w:hAnsi="宋体"/>
          <w:color w:val="auto"/>
          <w:sz w:val="24"/>
          <w:highlight w:val="none"/>
        </w:rPr>
        <w:t>赔偿</w:t>
      </w:r>
      <w:r>
        <w:rPr>
          <w:rFonts w:hint="eastAsia" w:ascii="宋体" w:hAnsi="宋体"/>
          <w:color w:val="auto"/>
          <w:sz w:val="24"/>
          <w:highlight w:val="none"/>
        </w:rPr>
        <w:t>甲方或者第三方全部</w:t>
      </w:r>
      <w:r>
        <w:rPr>
          <w:rFonts w:ascii="宋体" w:hAnsi="宋体"/>
          <w:color w:val="auto"/>
          <w:sz w:val="24"/>
          <w:highlight w:val="none"/>
        </w:rPr>
        <w:t>损失</w:t>
      </w:r>
      <w:r>
        <w:rPr>
          <w:rFonts w:hint="eastAsia" w:ascii="宋体" w:hAnsi="宋体"/>
          <w:color w:val="auto"/>
          <w:sz w:val="24"/>
          <w:highlight w:val="none"/>
        </w:rPr>
        <w:t>的法律责任</w:t>
      </w:r>
      <w:r>
        <w:rPr>
          <w:rFonts w:ascii="宋体" w:hAnsi="宋体"/>
          <w:color w:val="auto"/>
          <w:sz w:val="24"/>
          <w:highlight w:val="none"/>
        </w:rPr>
        <w:t>。</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9.5   </w:t>
      </w:r>
      <w:r>
        <w:rPr>
          <w:rFonts w:ascii="宋体" w:hAnsi="宋体"/>
          <w:color w:val="auto"/>
          <w:sz w:val="24"/>
          <w:highlight w:val="none"/>
        </w:rPr>
        <w:t>甲方</w:t>
      </w:r>
      <w:r>
        <w:rPr>
          <w:rFonts w:hint="eastAsia" w:ascii="宋体" w:hAnsi="宋体"/>
          <w:color w:val="auto"/>
          <w:sz w:val="24"/>
          <w:highlight w:val="none"/>
        </w:rPr>
        <w:t>或者甲方指定委托的机构</w:t>
      </w:r>
      <w:r>
        <w:rPr>
          <w:rFonts w:ascii="宋体" w:hAnsi="宋体"/>
          <w:color w:val="auto"/>
          <w:sz w:val="24"/>
          <w:highlight w:val="none"/>
        </w:rPr>
        <w:t>在</w:t>
      </w:r>
      <w:r>
        <w:rPr>
          <w:rFonts w:hint="eastAsia" w:ascii="宋体" w:hAnsi="宋体"/>
          <w:color w:val="auto"/>
          <w:sz w:val="24"/>
          <w:highlight w:val="none"/>
        </w:rPr>
        <w:t>设备（货物）</w:t>
      </w:r>
      <w:r>
        <w:rPr>
          <w:rFonts w:ascii="宋体" w:hAnsi="宋体"/>
          <w:color w:val="auto"/>
          <w:sz w:val="24"/>
          <w:highlight w:val="none"/>
        </w:rPr>
        <w:t>到达现场后对</w:t>
      </w:r>
      <w:r>
        <w:rPr>
          <w:rFonts w:hint="eastAsia" w:ascii="宋体" w:hAnsi="宋体"/>
          <w:color w:val="auto"/>
          <w:sz w:val="24"/>
          <w:highlight w:val="none"/>
        </w:rPr>
        <w:t>设备（货物）</w:t>
      </w:r>
      <w:r>
        <w:rPr>
          <w:rFonts w:ascii="宋体" w:hAnsi="宋体"/>
          <w:color w:val="auto"/>
          <w:sz w:val="24"/>
          <w:highlight w:val="none"/>
        </w:rPr>
        <w:t>进行验收,必要时拒绝接受</w:t>
      </w:r>
      <w:r>
        <w:rPr>
          <w:rFonts w:hint="eastAsia" w:ascii="宋体" w:hAnsi="宋体"/>
          <w:color w:val="auto"/>
          <w:sz w:val="24"/>
          <w:highlight w:val="none"/>
        </w:rPr>
        <w:t>设备（货物）</w:t>
      </w:r>
      <w:r>
        <w:rPr>
          <w:rFonts w:ascii="宋体" w:hAnsi="宋体"/>
          <w:color w:val="auto"/>
          <w:sz w:val="24"/>
          <w:highlight w:val="none"/>
        </w:rPr>
        <w:t>的权利不会因为</w:t>
      </w:r>
      <w:r>
        <w:rPr>
          <w:rFonts w:hint="eastAsia" w:ascii="宋体" w:hAnsi="宋体"/>
          <w:color w:val="auto"/>
          <w:sz w:val="24"/>
          <w:highlight w:val="none"/>
        </w:rPr>
        <w:t>设备（货物）</w:t>
      </w:r>
      <w:r>
        <w:rPr>
          <w:rFonts w:ascii="宋体" w:hAnsi="宋体"/>
          <w:color w:val="auto"/>
          <w:sz w:val="24"/>
          <w:highlight w:val="none"/>
        </w:rPr>
        <w:t>启运前通过了甲方或其代表的检验、测试认可而受到限制或放弃。</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9.6   </w:t>
      </w:r>
      <w:r>
        <w:rPr>
          <w:rFonts w:ascii="宋体" w:hAnsi="宋体"/>
          <w:color w:val="auto"/>
          <w:sz w:val="24"/>
          <w:highlight w:val="none"/>
        </w:rPr>
        <w:t>乙方在</w:t>
      </w:r>
      <w:r>
        <w:rPr>
          <w:rFonts w:hint="eastAsia" w:ascii="宋体" w:hAnsi="宋体"/>
          <w:color w:val="auto"/>
          <w:sz w:val="24"/>
          <w:highlight w:val="none"/>
        </w:rPr>
        <w:t>安装</w:t>
      </w:r>
      <w:r>
        <w:rPr>
          <w:rFonts w:ascii="宋体" w:hAnsi="宋体"/>
          <w:color w:val="auto"/>
          <w:sz w:val="24"/>
          <w:highlight w:val="none"/>
        </w:rPr>
        <w:t>调试过程中</w:t>
      </w:r>
      <w:r>
        <w:rPr>
          <w:rFonts w:hint="eastAsia" w:ascii="宋体" w:hAnsi="宋体"/>
          <w:color w:val="auto"/>
          <w:sz w:val="24"/>
          <w:highlight w:val="none"/>
        </w:rPr>
        <w:t>发生的原材料、损耗品、人工、机械或者其他费用，均由乙方承担。</w:t>
      </w:r>
    </w:p>
    <w:p>
      <w:pPr>
        <w:spacing w:line="520" w:lineRule="exact"/>
        <w:jc w:val="left"/>
        <w:rPr>
          <w:rFonts w:ascii="宋体" w:hAnsi="宋体"/>
          <w:color w:val="auto"/>
          <w:sz w:val="24"/>
          <w:highlight w:val="none"/>
        </w:rPr>
      </w:pPr>
      <w:r>
        <w:rPr>
          <w:rFonts w:hint="eastAsia" w:ascii="宋体" w:hAnsi="宋体"/>
          <w:color w:val="auto"/>
          <w:sz w:val="24"/>
          <w:highlight w:val="none"/>
        </w:rPr>
        <w:t>9.7   乙方提供设备（货物）的质量保证期已在供货一览表的备注栏中载明，质保期的起算时间按照下列方式和条件确定，：</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1）不需要进行安装调试的，质量保证期从甲方验收合格并出具验收合格证明的次日开始计算；</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2）需要进行安装调试的，从甲方或者甲方委托的第三方验收合格，甲方投入使用并出具使用证明的次日开始计算；</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3）需要与其他设备（货物）或者设施进行联调联试的，从联调联试后甲方或者甲方委托的第三方验收合格，甲方投入使用并出具使用证明的次日开始计算；</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4）甲方出具验收合格证明或者使用证明，并不免除或者替代乙方应当承担的质量保证责任和其他合同义务。</w:t>
      </w:r>
    </w:p>
    <w:p>
      <w:pPr>
        <w:tabs>
          <w:tab w:val="left" w:pos="3060"/>
        </w:tabs>
        <w:spacing w:line="520" w:lineRule="exact"/>
        <w:outlineLvl w:val="1"/>
        <w:rPr>
          <w:rFonts w:ascii="宋体" w:hAnsi="宋体"/>
          <w:b/>
          <w:bCs/>
          <w:color w:val="auto"/>
          <w:sz w:val="24"/>
          <w:highlight w:val="none"/>
        </w:rPr>
      </w:pPr>
      <w:bookmarkStart w:id="309" w:name="_Toc7051"/>
      <w:r>
        <w:rPr>
          <w:rFonts w:hint="eastAsia" w:ascii="宋体" w:hAnsi="宋体"/>
          <w:b/>
          <w:bCs/>
          <w:color w:val="auto"/>
          <w:sz w:val="24"/>
          <w:highlight w:val="none"/>
        </w:rPr>
        <w:t>10.   运输</w:t>
      </w:r>
      <w:bookmarkEnd w:id="309"/>
    </w:p>
    <w:p>
      <w:pPr>
        <w:spacing w:line="520" w:lineRule="exact"/>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0.</w:t>
      </w:r>
      <w:r>
        <w:rPr>
          <w:rFonts w:ascii="宋体" w:hAnsi="宋体"/>
          <w:color w:val="auto"/>
          <w:sz w:val="24"/>
          <w:highlight w:val="none"/>
        </w:rPr>
        <w:t>1</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乙方应对设备（货物）</w:t>
      </w:r>
      <w:r>
        <w:rPr>
          <w:rFonts w:ascii="宋体" w:hAnsi="宋体"/>
          <w:color w:val="auto"/>
          <w:sz w:val="24"/>
          <w:highlight w:val="none"/>
        </w:rPr>
        <w:t>在</w:t>
      </w:r>
      <w:r>
        <w:rPr>
          <w:rFonts w:hint="eastAsia" w:ascii="宋体" w:hAnsi="宋体"/>
          <w:color w:val="auto"/>
          <w:sz w:val="24"/>
          <w:highlight w:val="none"/>
        </w:rPr>
        <w:t>设计、</w:t>
      </w:r>
      <w:r>
        <w:rPr>
          <w:rFonts w:ascii="宋体" w:hAnsi="宋体"/>
          <w:color w:val="auto"/>
          <w:sz w:val="24"/>
          <w:highlight w:val="none"/>
        </w:rPr>
        <w:t>制造、运输</w:t>
      </w:r>
      <w:r>
        <w:rPr>
          <w:rFonts w:hint="eastAsia" w:ascii="宋体" w:hAnsi="宋体"/>
          <w:color w:val="auto"/>
          <w:sz w:val="24"/>
          <w:highlight w:val="none"/>
        </w:rPr>
        <w:t>、安装调试</w:t>
      </w:r>
      <w:r>
        <w:rPr>
          <w:rFonts w:ascii="宋体" w:hAnsi="宋体"/>
          <w:color w:val="auto"/>
          <w:sz w:val="24"/>
          <w:highlight w:val="none"/>
        </w:rPr>
        <w:t>及</w:t>
      </w:r>
      <w:r>
        <w:rPr>
          <w:rFonts w:hint="eastAsia" w:ascii="宋体" w:hAnsi="宋体"/>
          <w:color w:val="auto"/>
          <w:sz w:val="24"/>
          <w:highlight w:val="none"/>
        </w:rPr>
        <w:t>交付</w:t>
      </w:r>
      <w:r>
        <w:rPr>
          <w:rFonts w:ascii="宋体" w:hAnsi="宋体"/>
          <w:color w:val="auto"/>
          <w:sz w:val="24"/>
          <w:highlight w:val="none"/>
        </w:rPr>
        <w:t>过程中的丢失或</w:t>
      </w:r>
      <w:r>
        <w:rPr>
          <w:rFonts w:hint="eastAsia" w:ascii="宋体" w:hAnsi="宋体"/>
          <w:color w:val="auto"/>
          <w:sz w:val="24"/>
          <w:highlight w:val="none"/>
        </w:rPr>
        <w:t>毁损</w:t>
      </w:r>
      <w:r>
        <w:rPr>
          <w:rFonts w:ascii="宋体" w:hAnsi="宋体"/>
          <w:color w:val="auto"/>
          <w:sz w:val="24"/>
          <w:highlight w:val="none"/>
        </w:rPr>
        <w:t>负责</w:t>
      </w:r>
      <w:r>
        <w:rPr>
          <w:rFonts w:hint="eastAsia" w:ascii="宋体" w:hAnsi="宋体"/>
          <w:color w:val="auto"/>
          <w:sz w:val="24"/>
          <w:highlight w:val="none"/>
        </w:rPr>
        <w:t>全部</w:t>
      </w:r>
      <w:r>
        <w:rPr>
          <w:rFonts w:ascii="宋体" w:hAnsi="宋体"/>
          <w:color w:val="auto"/>
          <w:sz w:val="24"/>
          <w:highlight w:val="none"/>
        </w:rPr>
        <w:t>保险</w:t>
      </w:r>
      <w:r>
        <w:rPr>
          <w:rFonts w:hint="eastAsia" w:ascii="宋体" w:hAnsi="宋体"/>
          <w:color w:val="auto"/>
          <w:sz w:val="24"/>
          <w:highlight w:val="none"/>
        </w:rPr>
        <w:t>事宜</w:t>
      </w:r>
      <w:r>
        <w:rPr>
          <w:rFonts w:ascii="宋体" w:hAnsi="宋体"/>
          <w:color w:val="auto"/>
          <w:sz w:val="24"/>
          <w:highlight w:val="none"/>
        </w:rPr>
        <w:t>并</w:t>
      </w:r>
      <w:r>
        <w:rPr>
          <w:rFonts w:hint="eastAsia" w:ascii="宋体" w:hAnsi="宋体"/>
          <w:color w:val="auto"/>
          <w:sz w:val="24"/>
          <w:highlight w:val="none"/>
        </w:rPr>
        <w:t>承担相应全部费用。</w:t>
      </w:r>
    </w:p>
    <w:p>
      <w:pPr>
        <w:pStyle w:val="7"/>
        <w:rPr>
          <w:rFonts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10.2   乙方应当自行选择适宜运输上述设备（货物）的运输方式，直至将该设备（货物）完好无损的运送至甲方指定地点，如因运输过程设备（货物）出现部分受损但不影响实际使用效果，甲方有权在合同价款内扣除部分费用</w:t>
      </w:r>
      <w:r>
        <w:rPr>
          <w:rFonts w:hint="eastAsia" w:ascii="宋体" w:hAnsi="宋体" w:eastAsia="宋体" w:cs="宋体"/>
          <w:b w:val="0"/>
          <w:bCs w:val="0"/>
          <w:color w:val="auto"/>
          <w:sz w:val="24"/>
          <w:highlight w:val="none"/>
        </w:rPr>
        <w:t>。</w:t>
      </w:r>
    </w:p>
    <w:p>
      <w:pPr>
        <w:tabs>
          <w:tab w:val="left" w:pos="3060"/>
        </w:tabs>
        <w:spacing w:line="520" w:lineRule="exact"/>
        <w:outlineLvl w:val="1"/>
        <w:rPr>
          <w:rFonts w:ascii="宋体" w:hAnsi="宋体"/>
          <w:b/>
          <w:bCs/>
          <w:color w:val="auto"/>
          <w:sz w:val="24"/>
          <w:highlight w:val="none"/>
        </w:rPr>
      </w:pPr>
      <w:bookmarkStart w:id="310" w:name="_Toc130635576"/>
      <w:bookmarkStart w:id="311" w:name="_Toc30185"/>
      <w:r>
        <w:rPr>
          <w:rFonts w:hint="eastAsia" w:ascii="宋体" w:hAnsi="宋体"/>
          <w:b/>
          <w:bCs/>
          <w:color w:val="auto"/>
          <w:sz w:val="24"/>
          <w:highlight w:val="none"/>
        </w:rPr>
        <w:t>11.   保险</w:t>
      </w:r>
      <w:bookmarkEnd w:id="310"/>
      <w:bookmarkEnd w:id="311"/>
    </w:p>
    <w:p>
      <w:pPr>
        <w:pStyle w:val="2"/>
        <w:adjustRightInd w:val="0"/>
        <w:snapToGrid w:val="0"/>
        <w:spacing w:after="0" w:line="520" w:lineRule="exact"/>
        <w:rPr>
          <w:rFonts w:ascii="宋体" w:hAnsi="宋体"/>
          <w:color w:val="auto"/>
          <w:sz w:val="24"/>
          <w:highlight w:val="none"/>
        </w:rPr>
      </w:pPr>
      <w:r>
        <w:rPr>
          <w:rFonts w:hint="eastAsia" w:ascii="宋体" w:hAnsi="宋体"/>
          <w:color w:val="auto"/>
          <w:sz w:val="24"/>
          <w:highlight w:val="none"/>
        </w:rPr>
        <w:t>11.1  本合同下提供的设备（货物）应对其在制造、购置、运输及交货过程中的丢失或损坏,</w:t>
      </w:r>
      <w:r>
        <w:rPr>
          <w:rFonts w:ascii="宋体" w:hAnsi="宋体"/>
          <w:color w:val="auto"/>
          <w:sz w:val="24"/>
          <w:highlight w:val="none"/>
        </w:rPr>
        <w:t>乙</w:t>
      </w:r>
      <w:r>
        <w:rPr>
          <w:rFonts w:hint="eastAsia" w:ascii="宋体" w:hAnsi="宋体"/>
          <w:color w:val="auto"/>
          <w:sz w:val="24"/>
          <w:highlight w:val="none"/>
        </w:rPr>
        <w:t>方应负责进行全面保险并承担保费。</w:t>
      </w:r>
    </w:p>
    <w:p>
      <w:pPr>
        <w:numPr>
          <w:ilvl w:val="0"/>
          <w:numId w:val="8"/>
        </w:numPr>
        <w:tabs>
          <w:tab w:val="left" w:pos="3060"/>
        </w:tabs>
        <w:spacing w:line="520" w:lineRule="exact"/>
        <w:outlineLvl w:val="1"/>
        <w:rPr>
          <w:rFonts w:ascii="宋体" w:hAnsi="宋体"/>
          <w:b/>
          <w:bCs/>
          <w:color w:val="auto"/>
          <w:sz w:val="24"/>
          <w:highlight w:val="none"/>
        </w:rPr>
      </w:pPr>
      <w:r>
        <w:rPr>
          <w:rFonts w:hint="eastAsia" w:ascii="宋体" w:hAnsi="宋体"/>
          <w:b/>
          <w:bCs/>
          <w:color w:val="auto"/>
          <w:sz w:val="24"/>
          <w:highlight w:val="none"/>
        </w:rPr>
        <w:t xml:space="preserve"> </w:t>
      </w:r>
      <w:bookmarkStart w:id="312" w:name="_Toc7555"/>
      <w:r>
        <w:rPr>
          <w:rFonts w:hint="eastAsia" w:ascii="宋体" w:hAnsi="宋体"/>
          <w:b/>
          <w:bCs/>
          <w:color w:val="auto"/>
          <w:sz w:val="24"/>
          <w:highlight w:val="none"/>
        </w:rPr>
        <w:t>伴随服务</w:t>
      </w:r>
      <w:bookmarkEnd w:id="312"/>
    </w:p>
    <w:p>
      <w:pPr>
        <w:spacing w:line="520" w:lineRule="exact"/>
        <w:jc w:val="left"/>
        <w:outlineLvl w:val="2"/>
        <w:rPr>
          <w:rFonts w:ascii="宋体" w:hAnsi="宋体"/>
          <w:color w:val="auto"/>
          <w:sz w:val="24"/>
          <w:highlight w:val="none"/>
        </w:rPr>
      </w:pPr>
      <w:bookmarkStart w:id="313" w:name="_Toc17799"/>
      <w:r>
        <w:rPr>
          <w:rFonts w:hint="eastAsia" w:ascii="宋体" w:hAnsi="宋体"/>
          <w:color w:val="auto"/>
          <w:sz w:val="24"/>
          <w:highlight w:val="none"/>
        </w:rPr>
        <w:t>12.1、</w:t>
      </w:r>
      <w:r>
        <w:rPr>
          <w:rFonts w:ascii="宋体" w:hAnsi="宋体"/>
          <w:color w:val="auto"/>
          <w:sz w:val="24"/>
          <w:highlight w:val="none"/>
        </w:rPr>
        <w:t>乙方被</w:t>
      </w:r>
      <w:r>
        <w:rPr>
          <w:rFonts w:hint="eastAsia" w:ascii="宋体" w:hAnsi="宋体"/>
          <w:color w:val="auto"/>
          <w:sz w:val="24"/>
          <w:highlight w:val="none"/>
        </w:rPr>
        <w:t>承诺</w:t>
      </w:r>
      <w:r>
        <w:rPr>
          <w:rFonts w:ascii="宋体" w:hAnsi="宋体"/>
          <w:color w:val="auto"/>
          <w:sz w:val="24"/>
          <w:highlight w:val="none"/>
        </w:rPr>
        <w:t>提供下列服务:</w:t>
      </w:r>
      <w:bookmarkEnd w:id="313"/>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实施所供</w:t>
      </w:r>
      <w:r>
        <w:rPr>
          <w:rFonts w:hint="eastAsia" w:ascii="宋体" w:hAnsi="宋体"/>
          <w:color w:val="auto"/>
          <w:sz w:val="24"/>
          <w:highlight w:val="none"/>
        </w:rPr>
        <w:t>设备（货物）</w:t>
      </w:r>
      <w:r>
        <w:rPr>
          <w:rFonts w:ascii="宋体" w:hAnsi="宋体"/>
          <w:color w:val="auto"/>
          <w:sz w:val="24"/>
          <w:highlight w:val="none"/>
        </w:rPr>
        <w:t>的现场</w:t>
      </w:r>
      <w:r>
        <w:rPr>
          <w:rFonts w:hint="eastAsia" w:ascii="宋体" w:hAnsi="宋体"/>
          <w:color w:val="auto"/>
          <w:sz w:val="24"/>
          <w:highlight w:val="none"/>
        </w:rPr>
        <w:t>安装</w:t>
      </w:r>
      <w:r>
        <w:rPr>
          <w:rFonts w:ascii="宋体" w:hAnsi="宋体"/>
          <w:color w:val="auto"/>
          <w:sz w:val="24"/>
          <w:highlight w:val="none"/>
        </w:rPr>
        <w:t>调试和启动</w:t>
      </w:r>
      <w:r>
        <w:rPr>
          <w:rFonts w:hint="eastAsia" w:ascii="宋体" w:hAnsi="宋体"/>
          <w:color w:val="auto"/>
          <w:sz w:val="24"/>
          <w:highlight w:val="none"/>
        </w:rPr>
        <w:t>、运行、维护</w:t>
      </w:r>
      <w:r>
        <w:rPr>
          <w:rFonts w:ascii="宋体" w:hAnsi="宋体"/>
          <w:color w:val="auto"/>
          <w:sz w:val="24"/>
          <w:highlight w:val="none"/>
        </w:rPr>
        <w:t>指导，</w:t>
      </w:r>
      <w:r>
        <w:rPr>
          <w:rFonts w:hint="eastAsia" w:ascii="宋体" w:hAnsi="宋体"/>
          <w:color w:val="auto"/>
          <w:sz w:val="24"/>
          <w:highlight w:val="none"/>
        </w:rPr>
        <w:t>保证设备（货物）</w:t>
      </w:r>
      <w:r>
        <w:rPr>
          <w:rFonts w:ascii="宋体" w:hAnsi="宋体"/>
          <w:color w:val="auto"/>
          <w:sz w:val="24"/>
          <w:highlight w:val="none"/>
        </w:rPr>
        <w:t>正常</w:t>
      </w:r>
      <w:r>
        <w:rPr>
          <w:rFonts w:hint="eastAsia" w:ascii="宋体" w:hAnsi="宋体"/>
          <w:color w:val="auto"/>
          <w:sz w:val="24"/>
          <w:highlight w:val="none"/>
        </w:rPr>
        <w:t>运行和使用</w:t>
      </w:r>
      <w:r>
        <w:rPr>
          <w:rFonts w:ascii="宋体" w:hAnsi="宋体"/>
          <w:color w:val="auto"/>
          <w:sz w:val="24"/>
          <w:highlight w:val="none"/>
        </w:rPr>
        <w:t>；</w:t>
      </w:r>
    </w:p>
    <w:p>
      <w:pPr>
        <w:spacing w:line="520" w:lineRule="exact"/>
        <w:ind w:firstLine="480" w:firstLineChars="200"/>
        <w:jc w:val="left"/>
        <w:outlineLvl w:val="3"/>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提供</w:t>
      </w:r>
      <w:r>
        <w:rPr>
          <w:rFonts w:hint="eastAsia" w:ascii="宋体" w:hAnsi="宋体"/>
          <w:color w:val="auto"/>
          <w:sz w:val="24"/>
          <w:highlight w:val="none"/>
        </w:rPr>
        <w:t>设备（货物）安装调试、维修维护</w:t>
      </w:r>
      <w:r>
        <w:rPr>
          <w:rFonts w:ascii="宋体" w:hAnsi="宋体"/>
          <w:color w:val="auto"/>
          <w:sz w:val="24"/>
          <w:highlight w:val="none"/>
        </w:rPr>
        <w:t>所需的工具；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为所供</w:t>
      </w:r>
      <w:r>
        <w:rPr>
          <w:rFonts w:hint="eastAsia" w:ascii="宋体" w:hAnsi="宋体"/>
          <w:color w:val="auto"/>
          <w:sz w:val="24"/>
          <w:highlight w:val="none"/>
        </w:rPr>
        <w:t>设备（货物）</w:t>
      </w:r>
      <w:r>
        <w:rPr>
          <w:rFonts w:ascii="宋体" w:hAnsi="宋体"/>
          <w:color w:val="auto"/>
          <w:sz w:val="24"/>
          <w:highlight w:val="none"/>
        </w:rPr>
        <w:t>的每一单台</w:t>
      </w:r>
      <w:r>
        <w:rPr>
          <w:rFonts w:hint="eastAsia" w:ascii="宋体" w:hAnsi="宋体"/>
          <w:color w:val="auto"/>
          <w:sz w:val="24"/>
          <w:highlight w:val="none"/>
        </w:rPr>
        <w:t>设备（货物）和全套设备（货物）</w:t>
      </w:r>
      <w:r>
        <w:rPr>
          <w:rFonts w:ascii="宋体" w:hAnsi="宋体"/>
          <w:color w:val="auto"/>
          <w:sz w:val="24"/>
          <w:highlight w:val="none"/>
        </w:rPr>
        <w:t>提供</w:t>
      </w:r>
      <w:r>
        <w:rPr>
          <w:rFonts w:hint="eastAsia" w:ascii="宋体" w:hAnsi="宋体"/>
          <w:color w:val="auto"/>
          <w:sz w:val="24"/>
          <w:highlight w:val="none"/>
        </w:rPr>
        <w:t>全面、准确、</w:t>
      </w:r>
      <w:r>
        <w:rPr>
          <w:rFonts w:ascii="宋体" w:hAnsi="宋体"/>
          <w:color w:val="auto"/>
          <w:sz w:val="24"/>
          <w:highlight w:val="none"/>
        </w:rPr>
        <w:t xml:space="preserve">详细的操作和维护手册； </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在</w:t>
      </w:r>
      <w:r>
        <w:rPr>
          <w:rFonts w:hint="eastAsia" w:ascii="宋体" w:hAnsi="宋体"/>
          <w:color w:val="auto"/>
          <w:sz w:val="24"/>
          <w:highlight w:val="none"/>
        </w:rPr>
        <w:t>约定或者规定的</w:t>
      </w:r>
      <w:r>
        <w:rPr>
          <w:rFonts w:ascii="宋体" w:hAnsi="宋体"/>
          <w:color w:val="auto"/>
          <w:sz w:val="24"/>
          <w:highlight w:val="none"/>
        </w:rPr>
        <w:t>期限内对所供</w:t>
      </w:r>
      <w:r>
        <w:rPr>
          <w:rFonts w:hint="eastAsia" w:ascii="宋体" w:hAnsi="宋体"/>
          <w:color w:val="auto"/>
          <w:sz w:val="24"/>
          <w:highlight w:val="none"/>
        </w:rPr>
        <w:t>设备（货物）</w:t>
      </w:r>
      <w:r>
        <w:rPr>
          <w:rFonts w:ascii="宋体" w:hAnsi="宋体"/>
          <w:color w:val="auto"/>
          <w:sz w:val="24"/>
          <w:highlight w:val="none"/>
        </w:rPr>
        <w:t>实施运行维护或修理；</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现场就所供</w:t>
      </w:r>
      <w:r>
        <w:rPr>
          <w:rFonts w:hint="eastAsia" w:ascii="宋体" w:hAnsi="宋体"/>
          <w:color w:val="auto"/>
          <w:sz w:val="24"/>
          <w:highlight w:val="none"/>
        </w:rPr>
        <w:t>设备（货物）</w:t>
      </w:r>
      <w:r>
        <w:rPr>
          <w:rFonts w:ascii="宋体" w:hAnsi="宋体"/>
          <w:color w:val="auto"/>
          <w:sz w:val="24"/>
          <w:highlight w:val="none"/>
        </w:rPr>
        <w:t>的</w:t>
      </w:r>
      <w:r>
        <w:rPr>
          <w:rFonts w:hint="eastAsia" w:ascii="宋体" w:hAnsi="宋体"/>
          <w:color w:val="auto"/>
          <w:sz w:val="24"/>
          <w:highlight w:val="none"/>
        </w:rPr>
        <w:t>安装调试</w:t>
      </w:r>
      <w:r>
        <w:rPr>
          <w:rFonts w:ascii="宋体" w:hAnsi="宋体"/>
          <w:color w:val="auto"/>
          <w:sz w:val="24"/>
          <w:highlight w:val="none"/>
        </w:rPr>
        <w:t>、试运行、运行、维护或修理对甲方人员进行培训，直至</w:t>
      </w:r>
      <w:r>
        <w:rPr>
          <w:rFonts w:hint="eastAsia" w:ascii="宋体" w:hAnsi="宋体"/>
          <w:color w:val="auto"/>
          <w:sz w:val="24"/>
          <w:highlight w:val="none"/>
        </w:rPr>
        <w:t>甲方人员</w:t>
      </w:r>
      <w:r>
        <w:rPr>
          <w:rFonts w:ascii="宋体" w:hAnsi="宋体"/>
          <w:color w:val="auto"/>
          <w:sz w:val="24"/>
          <w:highlight w:val="none"/>
        </w:rPr>
        <w:t>全面</w:t>
      </w:r>
      <w:r>
        <w:rPr>
          <w:rFonts w:hint="eastAsia" w:ascii="宋体" w:hAnsi="宋体"/>
          <w:color w:val="auto"/>
          <w:sz w:val="24"/>
          <w:highlight w:val="none"/>
        </w:rPr>
        <w:t>理解和掌握；</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6）以低于市场价格的条件向甲方</w:t>
      </w:r>
      <w:r>
        <w:rPr>
          <w:rFonts w:ascii="宋体" w:hAnsi="宋体"/>
          <w:color w:val="auto"/>
          <w:sz w:val="24"/>
          <w:highlight w:val="none"/>
        </w:rPr>
        <w:t>提供</w:t>
      </w:r>
      <w:r>
        <w:rPr>
          <w:rFonts w:hint="eastAsia" w:ascii="宋体" w:hAnsi="宋体"/>
          <w:color w:val="auto"/>
          <w:sz w:val="24"/>
          <w:highlight w:val="none"/>
        </w:rPr>
        <w:t>设备（货物）</w:t>
      </w:r>
      <w:r>
        <w:rPr>
          <w:rFonts w:ascii="宋体" w:hAnsi="宋体"/>
          <w:color w:val="auto"/>
          <w:sz w:val="24"/>
          <w:highlight w:val="none"/>
        </w:rPr>
        <w:t>终身维护</w:t>
      </w:r>
      <w:r>
        <w:rPr>
          <w:rFonts w:hint="eastAsia" w:ascii="宋体" w:hAnsi="宋体"/>
          <w:color w:val="auto"/>
          <w:sz w:val="24"/>
          <w:highlight w:val="none"/>
        </w:rPr>
        <w:t>、维修</w:t>
      </w:r>
      <w:r>
        <w:rPr>
          <w:rFonts w:ascii="宋体" w:hAnsi="宋体"/>
          <w:color w:val="auto"/>
          <w:sz w:val="24"/>
          <w:highlight w:val="none"/>
        </w:rPr>
        <w:t>所需的零部件</w:t>
      </w:r>
      <w:r>
        <w:rPr>
          <w:rFonts w:hint="eastAsia" w:ascii="宋体" w:hAnsi="宋体"/>
          <w:color w:val="auto"/>
          <w:sz w:val="24"/>
          <w:highlight w:val="none"/>
        </w:rPr>
        <w:t>和服务</w:t>
      </w:r>
      <w:r>
        <w:rPr>
          <w:rFonts w:ascii="宋体" w:hAnsi="宋体"/>
          <w:color w:val="auto"/>
          <w:sz w:val="24"/>
          <w:highlight w:val="none"/>
        </w:rPr>
        <w:t>；</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7）设备（货物）</w:t>
      </w:r>
      <w:r>
        <w:rPr>
          <w:rFonts w:ascii="宋体" w:hAnsi="宋体"/>
          <w:color w:val="auto"/>
          <w:sz w:val="24"/>
          <w:highlight w:val="none"/>
        </w:rPr>
        <w:t>出现故障，</w:t>
      </w:r>
      <w:r>
        <w:rPr>
          <w:rFonts w:hint="eastAsia" w:ascii="宋体" w:hAnsi="宋体"/>
          <w:color w:val="auto"/>
          <w:sz w:val="24"/>
          <w:highlight w:val="none"/>
        </w:rPr>
        <w:t>乙方应在接到甲方</w:t>
      </w:r>
      <w:r>
        <w:rPr>
          <w:rFonts w:ascii="宋体" w:hAnsi="宋体"/>
          <w:color w:val="auto"/>
          <w:sz w:val="24"/>
          <w:highlight w:val="none"/>
        </w:rPr>
        <w:t>通知后24小时内</w:t>
      </w:r>
      <w:r>
        <w:rPr>
          <w:rFonts w:hint="eastAsia" w:ascii="宋体" w:hAnsi="宋体"/>
          <w:color w:val="auto"/>
          <w:sz w:val="24"/>
          <w:highlight w:val="none"/>
        </w:rPr>
        <w:t>派员到达</w:t>
      </w:r>
      <w:r>
        <w:rPr>
          <w:rFonts w:ascii="宋体" w:hAnsi="宋体"/>
          <w:color w:val="auto"/>
          <w:sz w:val="24"/>
          <w:highlight w:val="none"/>
        </w:rPr>
        <w:t>现场</w:t>
      </w:r>
      <w:r>
        <w:rPr>
          <w:rFonts w:hint="eastAsia" w:ascii="宋体" w:hAnsi="宋体"/>
          <w:color w:val="auto"/>
          <w:sz w:val="24"/>
          <w:highlight w:val="none"/>
        </w:rPr>
        <w:t>进行处理，并</w:t>
      </w:r>
      <w:r>
        <w:rPr>
          <w:rFonts w:ascii="宋体" w:hAnsi="宋体"/>
          <w:color w:val="auto"/>
          <w:sz w:val="24"/>
          <w:highlight w:val="none"/>
        </w:rPr>
        <w:t>在72小时内消除故障。</w:t>
      </w:r>
    </w:p>
    <w:p>
      <w:pPr>
        <w:pStyle w:val="7"/>
        <w:rPr>
          <w:color w:val="auto"/>
          <w:highlight w:val="none"/>
        </w:rPr>
      </w:pPr>
      <w:r>
        <w:rPr>
          <w:rFonts w:hint="eastAsia" w:ascii="宋体" w:hAnsi="宋体"/>
          <w:color w:val="auto"/>
          <w:sz w:val="24"/>
          <w:highlight w:val="none"/>
        </w:rPr>
        <w:t xml:space="preserve">  </w:t>
      </w:r>
      <w:r>
        <w:rPr>
          <w:rFonts w:hint="eastAsia" w:ascii="宋体" w:hAnsi="宋体" w:eastAsia="宋体" w:cs="宋体"/>
          <w:b w:val="0"/>
          <w:bCs w:val="0"/>
          <w:color w:val="auto"/>
          <w:sz w:val="24"/>
          <w:highlight w:val="none"/>
        </w:rPr>
        <w:t xml:space="preserve">  8）如因设备（货物）的零件损坏系因设备（货物）本身的质量问题，乙方应当无条件为甲方更换相同原厂零件，如超出合同保质期设备（货物）零件损坏，乙方应当向甲方低于市场价提供原厂设备（货物）零件并负责更换。</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12.2  </w:t>
      </w:r>
      <w:r>
        <w:rPr>
          <w:rFonts w:ascii="宋体" w:hAnsi="宋体"/>
          <w:color w:val="auto"/>
          <w:sz w:val="24"/>
          <w:highlight w:val="none"/>
        </w:rPr>
        <w:t>如果乙方提供伴随服务的费用未</w:t>
      </w:r>
      <w:r>
        <w:rPr>
          <w:rFonts w:hint="eastAsia" w:ascii="宋体" w:hAnsi="宋体"/>
          <w:color w:val="auto"/>
          <w:sz w:val="24"/>
          <w:highlight w:val="none"/>
        </w:rPr>
        <w:t>包含</w:t>
      </w:r>
      <w:r>
        <w:rPr>
          <w:rFonts w:ascii="宋体" w:hAnsi="宋体"/>
          <w:color w:val="auto"/>
          <w:sz w:val="24"/>
          <w:highlight w:val="none"/>
        </w:rPr>
        <w:t>在</w:t>
      </w:r>
      <w:r>
        <w:rPr>
          <w:rFonts w:hint="eastAsia" w:ascii="宋体" w:hAnsi="宋体"/>
          <w:color w:val="auto"/>
          <w:sz w:val="24"/>
          <w:highlight w:val="none"/>
        </w:rPr>
        <w:t>合同价款中</w:t>
      </w:r>
      <w:r>
        <w:rPr>
          <w:rFonts w:ascii="宋体" w:hAnsi="宋体"/>
          <w:color w:val="auto"/>
          <w:sz w:val="24"/>
          <w:highlight w:val="none"/>
        </w:rPr>
        <w:t>，</w:t>
      </w:r>
      <w:r>
        <w:rPr>
          <w:rFonts w:hint="eastAsia" w:ascii="宋体" w:hAnsi="宋体"/>
          <w:color w:val="auto"/>
          <w:sz w:val="24"/>
          <w:highlight w:val="none"/>
        </w:rPr>
        <w:t>则应由双方在签订本合同时明确予以约定</w:t>
      </w:r>
      <w:r>
        <w:rPr>
          <w:rFonts w:ascii="宋体" w:hAnsi="宋体"/>
          <w:color w:val="auto"/>
          <w:sz w:val="24"/>
          <w:highlight w:val="none"/>
        </w:rPr>
        <w:t>，但其费用单价</w:t>
      </w:r>
      <w:r>
        <w:rPr>
          <w:rFonts w:hint="eastAsia" w:ascii="宋体" w:hAnsi="宋体"/>
          <w:color w:val="auto"/>
          <w:sz w:val="24"/>
          <w:highlight w:val="none"/>
        </w:rPr>
        <w:t>和总价均不得</w:t>
      </w:r>
      <w:r>
        <w:rPr>
          <w:rFonts w:ascii="宋体" w:hAnsi="宋体"/>
          <w:color w:val="auto"/>
          <w:sz w:val="24"/>
          <w:highlight w:val="none"/>
        </w:rPr>
        <w:t>超过乙方向</w:t>
      </w:r>
      <w:r>
        <w:rPr>
          <w:rFonts w:hint="eastAsia" w:ascii="宋体" w:hAnsi="宋体"/>
          <w:color w:val="auto"/>
          <w:sz w:val="24"/>
          <w:highlight w:val="none"/>
        </w:rPr>
        <w:t>第三方或者市场</w:t>
      </w:r>
      <w:r>
        <w:rPr>
          <w:rFonts w:ascii="宋体" w:hAnsi="宋体"/>
          <w:color w:val="auto"/>
          <w:sz w:val="24"/>
          <w:highlight w:val="none"/>
        </w:rPr>
        <w:t>提供类似服务所收取的现行单价</w:t>
      </w:r>
      <w:r>
        <w:rPr>
          <w:rFonts w:hint="eastAsia" w:ascii="宋体" w:hAnsi="宋体"/>
          <w:color w:val="auto"/>
          <w:sz w:val="24"/>
          <w:highlight w:val="none"/>
        </w:rPr>
        <w:t>和总价</w:t>
      </w:r>
      <w:r>
        <w:rPr>
          <w:rFonts w:ascii="宋体" w:hAnsi="宋体"/>
          <w:color w:val="auto"/>
          <w:sz w:val="24"/>
          <w:highlight w:val="none"/>
        </w:rPr>
        <w:t>。</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伴随服务的费用没有在签订本合同时予以特别</w:t>
      </w:r>
      <w:r>
        <w:rPr>
          <w:rFonts w:ascii="宋体" w:hAnsi="宋体"/>
          <w:color w:val="auto"/>
          <w:sz w:val="24"/>
          <w:highlight w:val="none"/>
        </w:rPr>
        <w:t>约定的，上述乙方</w:t>
      </w:r>
      <w:r>
        <w:rPr>
          <w:rFonts w:hint="eastAsia" w:ascii="宋体" w:hAnsi="宋体"/>
          <w:color w:val="auto"/>
          <w:sz w:val="24"/>
          <w:highlight w:val="none"/>
        </w:rPr>
        <w:t>承诺</w:t>
      </w:r>
      <w:r>
        <w:rPr>
          <w:rFonts w:ascii="宋体" w:hAnsi="宋体"/>
          <w:color w:val="auto"/>
          <w:sz w:val="24"/>
          <w:highlight w:val="none"/>
        </w:rPr>
        <w:t>提供</w:t>
      </w:r>
      <w:r>
        <w:rPr>
          <w:rFonts w:hint="eastAsia" w:ascii="宋体" w:hAnsi="宋体"/>
          <w:color w:val="auto"/>
          <w:sz w:val="24"/>
          <w:highlight w:val="none"/>
        </w:rPr>
        <w:t>的</w:t>
      </w:r>
      <w:r>
        <w:rPr>
          <w:rFonts w:ascii="宋体" w:hAnsi="宋体"/>
          <w:color w:val="auto"/>
          <w:sz w:val="24"/>
          <w:highlight w:val="none"/>
        </w:rPr>
        <w:t>伴随服务的费用</w:t>
      </w:r>
      <w:r>
        <w:rPr>
          <w:rFonts w:hint="eastAsia" w:ascii="宋体" w:hAnsi="宋体"/>
          <w:color w:val="auto"/>
          <w:sz w:val="24"/>
          <w:highlight w:val="none"/>
        </w:rPr>
        <w:t>即视为已经全部</w:t>
      </w:r>
      <w:r>
        <w:rPr>
          <w:rFonts w:ascii="宋体" w:hAnsi="宋体"/>
          <w:color w:val="auto"/>
          <w:sz w:val="24"/>
          <w:highlight w:val="none"/>
        </w:rPr>
        <w:t>包含在合同</w:t>
      </w:r>
      <w:r>
        <w:rPr>
          <w:rFonts w:hint="eastAsia" w:ascii="宋体" w:hAnsi="宋体"/>
          <w:color w:val="auto"/>
          <w:sz w:val="24"/>
          <w:highlight w:val="none"/>
        </w:rPr>
        <w:t>价款当</w:t>
      </w:r>
      <w:r>
        <w:rPr>
          <w:rFonts w:ascii="宋体" w:hAnsi="宋体"/>
          <w:color w:val="auto"/>
          <w:sz w:val="24"/>
          <w:highlight w:val="none"/>
        </w:rPr>
        <w:t>中。</w:t>
      </w:r>
    </w:p>
    <w:p>
      <w:pPr>
        <w:tabs>
          <w:tab w:val="left" w:pos="3060"/>
        </w:tabs>
        <w:spacing w:line="520" w:lineRule="exact"/>
        <w:outlineLvl w:val="0"/>
        <w:rPr>
          <w:rFonts w:ascii="宋体" w:hAnsi="宋体"/>
          <w:b/>
          <w:bCs/>
          <w:color w:val="auto"/>
          <w:sz w:val="24"/>
          <w:highlight w:val="none"/>
        </w:rPr>
      </w:pPr>
      <w:bookmarkStart w:id="314" w:name="_Toc26671"/>
      <w:r>
        <w:rPr>
          <w:rFonts w:hint="eastAsia" w:ascii="宋体" w:hAnsi="宋体"/>
          <w:color w:val="auto"/>
          <w:sz w:val="24"/>
          <w:highlight w:val="none"/>
        </w:rPr>
        <w:t>12.3  上述伴随服务应当符合合同约定和合同目的，并且不免除和替代乙方按照约定或者规定承担的合同义务。</w:t>
      </w:r>
      <w:bookmarkEnd w:id="314"/>
    </w:p>
    <w:p>
      <w:pPr>
        <w:tabs>
          <w:tab w:val="left" w:pos="3060"/>
        </w:tabs>
        <w:spacing w:line="520" w:lineRule="exact"/>
        <w:outlineLvl w:val="1"/>
        <w:rPr>
          <w:rFonts w:ascii="宋体" w:hAnsi="宋体"/>
          <w:b/>
          <w:bCs/>
          <w:color w:val="auto"/>
          <w:sz w:val="24"/>
          <w:highlight w:val="none"/>
        </w:rPr>
      </w:pPr>
      <w:bookmarkStart w:id="315" w:name="_Toc2700"/>
      <w:r>
        <w:rPr>
          <w:rFonts w:hint="eastAsia" w:ascii="宋体" w:hAnsi="宋体"/>
          <w:b/>
          <w:bCs/>
          <w:color w:val="auto"/>
          <w:sz w:val="24"/>
          <w:highlight w:val="none"/>
        </w:rPr>
        <w:t>13.  备件</w:t>
      </w:r>
      <w:bookmarkEnd w:id="315"/>
      <w:r>
        <w:rPr>
          <w:rFonts w:hint="eastAsia" w:ascii="宋体" w:hAnsi="宋体"/>
          <w:b/>
          <w:bCs/>
          <w:color w:val="auto"/>
          <w:sz w:val="24"/>
          <w:highlight w:val="none"/>
        </w:rPr>
        <w:t xml:space="preserve"> </w:t>
      </w:r>
    </w:p>
    <w:p>
      <w:pPr>
        <w:spacing w:line="520" w:lineRule="exact"/>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3.</w:t>
      </w:r>
      <w:r>
        <w:rPr>
          <w:rFonts w:ascii="宋体" w:hAnsi="宋体"/>
          <w:color w:val="auto"/>
          <w:sz w:val="24"/>
          <w:highlight w:val="none"/>
        </w:rPr>
        <w:t>1</w:t>
      </w:r>
      <w:r>
        <w:rPr>
          <w:rFonts w:hint="eastAsia" w:ascii="宋体" w:hAnsi="宋体"/>
          <w:color w:val="auto"/>
          <w:sz w:val="24"/>
          <w:highlight w:val="none"/>
        </w:rPr>
        <w:t xml:space="preserve">  </w:t>
      </w:r>
      <w:r>
        <w:rPr>
          <w:rFonts w:ascii="宋体" w:hAnsi="宋体"/>
          <w:color w:val="auto"/>
          <w:sz w:val="24"/>
          <w:highlight w:val="none"/>
        </w:rPr>
        <w:t xml:space="preserve"> 乙方</w:t>
      </w:r>
      <w:r>
        <w:rPr>
          <w:rFonts w:hint="eastAsia" w:ascii="宋体" w:hAnsi="宋体"/>
          <w:color w:val="auto"/>
          <w:sz w:val="24"/>
          <w:highlight w:val="none"/>
        </w:rPr>
        <w:t>应当</w:t>
      </w:r>
      <w:r>
        <w:rPr>
          <w:rFonts w:ascii="宋体" w:hAnsi="宋体"/>
          <w:color w:val="auto"/>
          <w:sz w:val="24"/>
          <w:highlight w:val="none"/>
        </w:rPr>
        <w:t>提供下列备件</w:t>
      </w:r>
      <w:r>
        <w:rPr>
          <w:rFonts w:hint="eastAsia" w:ascii="宋体" w:hAnsi="宋体"/>
          <w:color w:val="auto"/>
          <w:sz w:val="24"/>
          <w:highlight w:val="none"/>
        </w:rPr>
        <w:t>及与备件</w:t>
      </w:r>
      <w:r>
        <w:rPr>
          <w:rFonts w:ascii="宋体" w:hAnsi="宋体"/>
          <w:color w:val="auto"/>
          <w:sz w:val="24"/>
          <w:highlight w:val="none"/>
        </w:rPr>
        <w:t>有关的材料、</w:t>
      </w:r>
      <w:r>
        <w:rPr>
          <w:rFonts w:hint="eastAsia" w:ascii="宋体" w:hAnsi="宋体"/>
          <w:color w:val="auto"/>
          <w:sz w:val="24"/>
          <w:highlight w:val="none"/>
        </w:rPr>
        <w:t>文件</w:t>
      </w:r>
      <w:r>
        <w:rPr>
          <w:rFonts w:ascii="宋体" w:hAnsi="宋体"/>
          <w:color w:val="auto"/>
          <w:sz w:val="24"/>
          <w:highlight w:val="none"/>
        </w:rPr>
        <w:t>和资料：</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1）合同约定的随附或者随赠备件，乙方应当依约提供，价款已经包含在合同价款当中；</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甲方</w:t>
      </w:r>
      <w:r>
        <w:rPr>
          <w:rFonts w:hint="eastAsia" w:ascii="宋体" w:hAnsi="宋体"/>
          <w:color w:val="auto"/>
          <w:sz w:val="24"/>
          <w:highlight w:val="none"/>
        </w:rPr>
        <w:t>可以在本合同约定以外</w:t>
      </w:r>
      <w:r>
        <w:rPr>
          <w:rFonts w:ascii="宋体" w:hAnsi="宋体"/>
          <w:color w:val="auto"/>
          <w:sz w:val="24"/>
          <w:highlight w:val="none"/>
        </w:rPr>
        <w:t>从乙方选购备件，但其费用单价</w:t>
      </w:r>
      <w:r>
        <w:rPr>
          <w:rFonts w:hint="eastAsia" w:ascii="宋体" w:hAnsi="宋体"/>
          <w:color w:val="auto"/>
          <w:sz w:val="24"/>
          <w:highlight w:val="none"/>
        </w:rPr>
        <w:t>和总价均不得</w:t>
      </w:r>
      <w:r>
        <w:rPr>
          <w:rFonts w:ascii="宋体" w:hAnsi="宋体"/>
          <w:color w:val="auto"/>
          <w:sz w:val="24"/>
          <w:highlight w:val="none"/>
        </w:rPr>
        <w:t>超过乙方向</w:t>
      </w:r>
      <w:r>
        <w:rPr>
          <w:rFonts w:hint="eastAsia" w:ascii="宋体" w:hAnsi="宋体"/>
          <w:color w:val="auto"/>
          <w:sz w:val="24"/>
          <w:highlight w:val="none"/>
        </w:rPr>
        <w:t>第三方或者市场</w:t>
      </w:r>
      <w:r>
        <w:rPr>
          <w:rFonts w:ascii="宋体" w:hAnsi="宋体"/>
          <w:color w:val="auto"/>
          <w:sz w:val="24"/>
          <w:highlight w:val="none"/>
        </w:rPr>
        <w:t>提供</w:t>
      </w:r>
      <w:r>
        <w:rPr>
          <w:rFonts w:hint="eastAsia" w:ascii="宋体" w:hAnsi="宋体"/>
          <w:color w:val="auto"/>
          <w:sz w:val="24"/>
          <w:highlight w:val="none"/>
        </w:rPr>
        <w:t>同类备件</w:t>
      </w:r>
      <w:r>
        <w:rPr>
          <w:rFonts w:ascii="宋体" w:hAnsi="宋体"/>
          <w:color w:val="auto"/>
          <w:sz w:val="24"/>
          <w:highlight w:val="none"/>
        </w:rPr>
        <w:t>的现行单价</w:t>
      </w:r>
      <w:r>
        <w:rPr>
          <w:rFonts w:hint="eastAsia" w:ascii="宋体" w:hAnsi="宋体"/>
          <w:color w:val="auto"/>
          <w:sz w:val="24"/>
          <w:highlight w:val="none"/>
        </w:rPr>
        <w:t>和总价</w:t>
      </w:r>
      <w:r>
        <w:rPr>
          <w:rFonts w:ascii="宋体" w:hAnsi="宋体"/>
          <w:color w:val="auto"/>
          <w:sz w:val="24"/>
          <w:highlight w:val="none"/>
        </w:rPr>
        <w:t>。</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在备件停止生产</w:t>
      </w:r>
      <w:r>
        <w:rPr>
          <w:rFonts w:hint="eastAsia" w:ascii="宋体" w:hAnsi="宋体"/>
          <w:color w:val="auto"/>
          <w:sz w:val="24"/>
          <w:highlight w:val="none"/>
        </w:rPr>
        <w:t>前</w:t>
      </w:r>
      <w:r>
        <w:rPr>
          <w:rFonts w:ascii="宋体" w:hAnsi="宋体"/>
          <w:color w:val="auto"/>
          <w:sz w:val="24"/>
          <w:highlight w:val="none"/>
        </w:rPr>
        <w:t>，乙方应</w:t>
      </w:r>
      <w:r>
        <w:rPr>
          <w:rFonts w:hint="eastAsia" w:ascii="宋体" w:hAnsi="宋体"/>
          <w:color w:val="auto"/>
          <w:sz w:val="24"/>
          <w:highlight w:val="none"/>
        </w:rPr>
        <w:t>提前三十日</w:t>
      </w:r>
      <w:r>
        <w:rPr>
          <w:rFonts w:ascii="宋体" w:hAnsi="宋体"/>
          <w:color w:val="auto"/>
          <w:sz w:val="24"/>
          <w:highlight w:val="none"/>
        </w:rPr>
        <w:t>将要停止生产的计划</w:t>
      </w:r>
      <w:r>
        <w:rPr>
          <w:rFonts w:hint="eastAsia" w:ascii="宋体" w:hAnsi="宋体"/>
          <w:color w:val="auto"/>
          <w:sz w:val="24"/>
          <w:highlight w:val="none"/>
        </w:rPr>
        <w:t>书面</w:t>
      </w:r>
      <w:r>
        <w:rPr>
          <w:rFonts w:ascii="宋体" w:hAnsi="宋体"/>
          <w:color w:val="auto"/>
          <w:sz w:val="24"/>
          <w:highlight w:val="none"/>
        </w:rPr>
        <w:t>通知甲方，使甲方有足够的时间采购所需的备件；</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在备件停止生产后，如果甲方要求，乙方应免费向甲方提供备件的蓝图、图纸和</w:t>
      </w:r>
      <w:r>
        <w:rPr>
          <w:rFonts w:hint="eastAsia" w:ascii="宋体" w:hAnsi="宋体"/>
          <w:color w:val="auto"/>
          <w:sz w:val="24"/>
          <w:highlight w:val="none"/>
        </w:rPr>
        <w:t>生产方法、生产工艺，或者向甲方提供市场可以采询、可选择的备件生产厂商或者替代产品</w:t>
      </w:r>
      <w:r>
        <w:rPr>
          <w:rFonts w:ascii="宋体" w:hAnsi="宋体"/>
          <w:color w:val="auto"/>
          <w:sz w:val="24"/>
          <w:highlight w:val="none"/>
        </w:rPr>
        <w:t>。</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5）乙方对其向甲方提供的备件承担与本合同约定的设备（货物）相同的质量保证责任和其他全部义务。</w:t>
      </w:r>
    </w:p>
    <w:p>
      <w:pPr>
        <w:tabs>
          <w:tab w:val="left" w:pos="3060"/>
        </w:tabs>
        <w:spacing w:line="520" w:lineRule="exact"/>
        <w:outlineLvl w:val="1"/>
        <w:rPr>
          <w:rFonts w:ascii="宋体" w:hAnsi="宋体"/>
          <w:b/>
          <w:bCs/>
          <w:color w:val="auto"/>
          <w:sz w:val="24"/>
          <w:highlight w:val="none"/>
        </w:rPr>
      </w:pPr>
      <w:bookmarkStart w:id="316" w:name="_Toc13608"/>
      <w:r>
        <w:rPr>
          <w:rFonts w:hint="eastAsia" w:ascii="宋体" w:hAnsi="宋体"/>
          <w:b/>
          <w:bCs/>
          <w:color w:val="auto"/>
          <w:sz w:val="24"/>
          <w:highlight w:val="none"/>
        </w:rPr>
        <w:t>14.  保证</w:t>
      </w:r>
      <w:bookmarkEnd w:id="316"/>
    </w:p>
    <w:p>
      <w:pPr>
        <w:tabs>
          <w:tab w:val="left" w:pos="3060"/>
        </w:tabs>
        <w:spacing w:line="520" w:lineRule="exac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4.</w:t>
      </w:r>
      <w:r>
        <w:rPr>
          <w:rFonts w:ascii="宋体" w:hAnsi="宋体"/>
          <w:color w:val="auto"/>
          <w:sz w:val="24"/>
          <w:highlight w:val="none"/>
        </w:rPr>
        <w:t xml:space="preserve">1 </w:t>
      </w:r>
      <w:r>
        <w:rPr>
          <w:rFonts w:hint="eastAsia" w:ascii="宋体" w:hAnsi="宋体"/>
          <w:color w:val="auto"/>
          <w:sz w:val="24"/>
          <w:highlight w:val="none"/>
        </w:rPr>
        <w:t xml:space="preserve"> </w:t>
      </w:r>
      <w:r>
        <w:rPr>
          <w:rFonts w:ascii="宋体" w:hAnsi="宋体"/>
          <w:color w:val="auto"/>
          <w:sz w:val="24"/>
          <w:highlight w:val="none"/>
        </w:rPr>
        <w:t>乙方应保证合同项下所供</w:t>
      </w:r>
      <w:r>
        <w:rPr>
          <w:rFonts w:hint="eastAsia" w:ascii="宋体" w:hAnsi="宋体"/>
          <w:color w:val="auto"/>
          <w:sz w:val="24"/>
          <w:highlight w:val="none"/>
        </w:rPr>
        <w:t>设备（货物）</w:t>
      </w:r>
      <w:r>
        <w:rPr>
          <w:rFonts w:ascii="宋体" w:hAnsi="宋体"/>
          <w:color w:val="auto"/>
          <w:sz w:val="24"/>
          <w:highlight w:val="none"/>
        </w:rPr>
        <w:t>是全新的、未使用过的，是最新或目前的型号，</w:t>
      </w:r>
      <w:r>
        <w:rPr>
          <w:rFonts w:hint="eastAsia" w:ascii="宋体" w:hAnsi="宋体"/>
          <w:color w:val="auto"/>
          <w:sz w:val="24"/>
          <w:highlight w:val="none"/>
        </w:rPr>
        <w:t>并完全符合合同规定的质量、规格和性能的要求。</w:t>
      </w:r>
      <w:r>
        <w:rPr>
          <w:rFonts w:ascii="宋体" w:hAnsi="宋体"/>
          <w:color w:val="auto"/>
          <w:sz w:val="24"/>
          <w:highlight w:val="none"/>
        </w:rPr>
        <w:t>除非合同另有规定，</w:t>
      </w:r>
      <w:r>
        <w:rPr>
          <w:rFonts w:hint="eastAsia" w:ascii="宋体" w:hAnsi="宋体"/>
          <w:color w:val="auto"/>
          <w:sz w:val="24"/>
          <w:highlight w:val="none"/>
        </w:rPr>
        <w:t>设备（货物）</w:t>
      </w:r>
      <w:r>
        <w:rPr>
          <w:rFonts w:ascii="宋体" w:hAnsi="宋体"/>
          <w:color w:val="auto"/>
          <w:sz w:val="24"/>
          <w:highlight w:val="none"/>
        </w:rPr>
        <w:t>应含有设计上和材料的全部最新改进。乙</w:t>
      </w:r>
      <w:r>
        <w:rPr>
          <w:rFonts w:hint="eastAsia" w:ascii="宋体" w:hAnsi="宋体"/>
          <w:color w:val="auto"/>
          <w:sz w:val="24"/>
          <w:highlight w:val="none"/>
        </w:rPr>
        <w:t>方应保证所提供的设备（货物）经正确安装、正常运转和保养在其使用寿命期内具有符合合同约定的性能。在质量保证期内，</w:t>
      </w:r>
      <w:r>
        <w:rPr>
          <w:rFonts w:ascii="宋体" w:hAnsi="宋体"/>
          <w:color w:val="auto"/>
          <w:sz w:val="24"/>
          <w:highlight w:val="none"/>
        </w:rPr>
        <w:t>乙</w:t>
      </w:r>
      <w:r>
        <w:rPr>
          <w:rFonts w:hint="eastAsia" w:ascii="宋体" w:hAnsi="宋体"/>
          <w:color w:val="auto"/>
          <w:sz w:val="24"/>
          <w:highlight w:val="none"/>
        </w:rPr>
        <w:t>方应对由于设计、工艺或材料的缺陷、安装调试、培训指导等而发生的任何不足或故障负责。</w:t>
      </w:r>
    </w:p>
    <w:p>
      <w:pPr>
        <w:tabs>
          <w:tab w:val="left" w:pos="3060"/>
        </w:tabs>
        <w:spacing w:line="520" w:lineRule="exac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4.2 </w:t>
      </w:r>
      <w:r>
        <w:rPr>
          <w:rFonts w:ascii="宋体" w:hAnsi="宋体"/>
          <w:color w:val="auto"/>
          <w:sz w:val="24"/>
          <w:highlight w:val="none"/>
        </w:rPr>
        <w:t xml:space="preserve"> 甲方应尽快以书面形式通知乙方</w:t>
      </w:r>
      <w:r>
        <w:rPr>
          <w:rFonts w:hint="eastAsia" w:ascii="宋体" w:hAnsi="宋体"/>
          <w:color w:val="auto"/>
          <w:sz w:val="24"/>
          <w:highlight w:val="none"/>
        </w:rPr>
        <w:t>在质量</w:t>
      </w:r>
      <w:r>
        <w:rPr>
          <w:rFonts w:ascii="宋体" w:hAnsi="宋体"/>
          <w:color w:val="auto"/>
          <w:sz w:val="24"/>
          <w:highlight w:val="none"/>
        </w:rPr>
        <w:t>保证期内所发现的缺陷。</w:t>
      </w:r>
    </w:p>
    <w:p>
      <w:pPr>
        <w:tabs>
          <w:tab w:val="left" w:pos="3060"/>
        </w:tabs>
        <w:spacing w:line="520" w:lineRule="exac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4.3</w:t>
      </w:r>
      <w:r>
        <w:rPr>
          <w:rFonts w:ascii="宋体" w:hAnsi="宋体"/>
          <w:color w:val="auto"/>
          <w:sz w:val="24"/>
          <w:highlight w:val="none"/>
        </w:rPr>
        <w:t xml:space="preserve"> </w:t>
      </w:r>
      <w:r>
        <w:rPr>
          <w:rFonts w:hint="eastAsia" w:ascii="宋体" w:hAnsi="宋体"/>
          <w:color w:val="auto"/>
          <w:sz w:val="24"/>
          <w:highlight w:val="none"/>
        </w:rPr>
        <w:t xml:space="preserve"> 质保期内</w:t>
      </w:r>
      <w:r>
        <w:rPr>
          <w:rFonts w:ascii="宋体" w:hAnsi="宋体"/>
          <w:color w:val="auto"/>
          <w:sz w:val="24"/>
          <w:highlight w:val="none"/>
        </w:rPr>
        <w:t>乙方收到通知后应在</w:t>
      </w:r>
      <w:r>
        <w:rPr>
          <w:rFonts w:hint="eastAsia" w:ascii="宋体" w:hAnsi="宋体"/>
          <w:color w:val="auto"/>
          <w:sz w:val="24"/>
          <w:highlight w:val="none"/>
        </w:rPr>
        <w:t>24小时</w:t>
      </w:r>
      <w:r>
        <w:rPr>
          <w:rFonts w:ascii="宋体" w:hAnsi="宋体"/>
          <w:color w:val="auto"/>
          <w:sz w:val="24"/>
          <w:highlight w:val="none"/>
        </w:rPr>
        <w:t>内</w:t>
      </w:r>
      <w:r>
        <w:rPr>
          <w:rFonts w:hint="eastAsia" w:ascii="宋体" w:hAnsi="宋体"/>
          <w:color w:val="auto"/>
          <w:sz w:val="24"/>
          <w:highlight w:val="none"/>
        </w:rPr>
        <w:t>及时</w:t>
      </w:r>
      <w:r>
        <w:rPr>
          <w:rFonts w:ascii="宋体" w:hAnsi="宋体"/>
          <w:color w:val="auto"/>
          <w:sz w:val="24"/>
          <w:highlight w:val="none"/>
        </w:rPr>
        <w:t>免费维修或更换有缺陷的</w:t>
      </w:r>
      <w:r>
        <w:rPr>
          <w:rFonts w:hint="eastAsia" w:ascii="宋体" w:hAnsi="宋体"/>
          <w:color w:val="auto"/>
          <w:sz w:val="24"/>
          <w:highlight w:val="none"/>
        </w:rPr>
        <w:t>设备（货物）</w:t>
      </w:r>
      <w:r>
        <w:rPr>
          <w:rFonts w:ascii="宋体" w:hAnsi="宋体"/>
          <w:color w:val="auto"/>
          <w:sz w:val="24"/>
          <w:highlight w:val="none"/>
        </w:rPr>
        <w:t>或部件</w:t>
      </w:r>
      <w:r>
        <w:rPr>
          <w:rFonts w:hint="eastAsia" w:ascii="宋体" w:hAnsi="宋体"/>
          <w:color w:val="auto"/>
          <w:sz w:val="24"/>
          <w:highlight w:val="none"/>
        </w:rPr>
        <w:t>，</w:t>
      </w:r>
      <w:r>
        <w:rPr>
          <w:rFonts w:ascii="宋体" w:hAnsi="宋体"/>
          <w:color w:val="auto"/>
          <w:sz w:val="24"/>
          <w:highlight w:val="none"/>
        </w:rPr>
        <w:t>乙</w:t>
      </w:r>
      <w:r>
        <w:rPr>
          <w:rFonts w:hint="eastAsia" w:ascii="宋体" w:hAnsi="宋体"/>
          <w:color w:val="auto"/>
          <w:sz w:val="24"/>
          <w:highlight w:val="none"/>
        </w:rPr>
        <w:t>方承担由此发生的所有相关费用。</w:t>
      </w:r>
    </w:p>
    <w:p>
      <w:pPr>
        <w:tabs>
          <w:tab w:val="left" w:pos="3060"/>
        </w:tabs>
        <w:spacing w:line="520" w:lineRule="exac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4.4</w:t>
      </w:r>
      <w:r>
        <w:rPr>
          <w:rFonts w:ascii="宋体" w:hAnsi="宋体"/>
          <w:color w:val="auto"/>
          <w:sz w:val="24"/>
          <w:highlight w:val="none"/>
        </w:rPr>
        <w:t xml:space="preserve"> </w:t>
      </w:r>
      <w:r>
        <w:rPr>
          <w:rFonts w:hint="eastAsia" w:ascii="宋体" w:hAnsi="宋体"/>
          <w:color w:val="auto"/>
          <w:sz w:val="24"/>
          <w:highlight w:val="none"/>
        </w:rPr>
        <w:t xml:space="preserve"> </w:t>
      </w:r>
      <w:r>
        <w:rPr>
          <w:rFonts w:ascii="宋体" w:hAnsi="宋体"/>
          <w:color w:val="auto"/>
          <w:sz w:val="24"/>
          <w:highlight w:val="none"/>
        </w:rPr>
        <w:t>如果乙方收到通知后在合同规定的时间内没有</w:t>
      </w:r>
      <w:r>
        <w:rPr>
          <w:rFonts w:hint="eastAsia" w:ascii="宋体" w:hAnsi="宋体"/>
          <w:color w:val="auto"/>
          <w:sz w:val="24"/>
          <w:highlight w:val="none"/>
        </w:rPr>
        <w:t>及时维修、重作、更换以</w:t>
      </w:r>
      <w:r>
        <w:rPr>
          <w:rFonts w:ascii="宋体" w:hAnsi="宋体"/>
          <w:color w:val="auto"/>
          <w:sz w:val="24"/>
          <w:highlight w:val="none"/>
        </w:rPr>
        <w:t>弥补缺陷，甲方可采取必要的补救措施，但其风险和费用将由乙方承担，甲方根据合同规定对乙方行使的其他权利不受影响。</w:t>
      </w:r>
    </w:p>
    <w:p>
      <w:pPr>
        <w:tabs>
          <w:tab w:val="left" w:pos="3060"/>
        </w:tabs>
        <w:spacing w:line="520" w:lineRule="exact"/>
        <w:outlineLvl w:val="1"/>
        <w:rPr>
          <w:rFonts w:ascii="宋体" w:hAnsi="宋体"/>
          <w:b/>
          <w:bCs/>
          <w:color w:val="auto"/>
          <w:sz w:val="24"/>
          <w:highlight w:val="none"/>
        </w:rPr>
      </w:pPr>
      <w:bookmarkStart w:id="317" w:name="_Toc11820"/>
      <w:r>
        <w:rPr>
          <w:rFonts w:hint="eastAsia" w:ascii="宋体" w:hAnsi="宋体"/>
          <w:b/>
          <w:bCs/>
          <w:color w:val="auto"/>
          <w:sz w:val="24"/>
          <w:highlight w:val="none"/>
        </w:rPr>
        <w:t>15.  违约责任</w:t>
      </w:r>
      <w:bookmarkEnd w:id="317"/>
    </w:p>
    <w:p>
      <w:pPr>
        <w:spacing w:line="520" w:lineRule="exact"/>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5.</w:t>
      </w:r>
      <w:r>
        <w:rPr>
          <w:rFonts w:ascii="宋体" w:hAnsi="宋体"/>
          <w:color w:val="auto"/>
          <w:sz w:val="24"/>
          <w:highlight w:val="none"/>
        </w:rPr>
        <w:t xml:space="preserve">1 </w:t>
      </w:r>
      <w:r>
        <w:rPr>
          <w:rFonts w:hint="eastAsia" w:ascii="宋体" w:hAnsi="宋体"/>
          <w:color w:val="auto"/>
          <w:sz w:val="24"/>
          <w:highlight w:val="none"/>
        </w:rPr>
        <w:t xml:space="preserve">  </w:t>
      </w:r>
      <w:r>
        <w:rPr>
          <w:rFonts w:ascii="宋体" w:hAnsi="宋体"/>
          <w:color w:val="auto"/>
          <w:sz w:val="24"/>
          <w:highlight w:val="none"/>
        </w:rPr>
        <w:t>乙方</w:t>
      </w:r>
      <w:r>
        <w:rPr>
          <w:rFonts w:hint="eastAsia" w:ascii="宋体" w:hAnsi="宋体"/>
          <w:color w:val="auto"/>
          <w:sz w:val="24"/>
          <w:highlight w:val="none"/>
        </w:rPr>
        <w:t>提供的设备（货物）不符合约定或者规定的，甲方可以解除合同，乙方应当向甲方承担包括但不限于返还已支付的全部合同价款、赔偿利息损失、赔偿甲方其他全部直接损失和间接损失（包括但不限于</w:t>
      </w:r>
      <w:r>
        <w:rPr>
          <w:rFonts w:ascii="宋体" w:hAnsi="宋体"/>
          <w:color w:val="auto"/>
          <w:sz w:val="24"/>
          <w:highlight w:val="none"/>
        </w:rPr>
        <w:t>银行手续费、运费、保险费、检验</w:t>
      </w:r>
      <w:r>
        <w:rPr>
          <w:rFonts w:hint="eastAsia" w:ascii="宋体" w:hAnsi="宋体"/>
          <w:color w:val="auto"/>
          <w:sz w:val="24"/>
          <w:highlight w:val="none"/>
        </w:rPr>
        <w:t>检测</w:t>
      </w:r>
      <w:r>
        <w:rPr>
          <w:rFonts w:ascii="宋体" w:hAnsi="宋体"/>
          <w:color w:val="auto"/>
          <w:sz w:val="24"/>
          <w:highlight w:val="none"/>
        </w:rPr>
        <w:t>费、</w:t>
      </w:r>
      <w:r>
        <w:rPr>
          <w:rFonts w:hint="eastAsia" w:ascii="宋体" w:hAnsi="宋体"/>
          <w:color w:val="auto"/>
          <w:sz w:val="24"/>
          <w:highlight w:val="none"/>
        </w:rPr>
        <w:t>鉴定费、</w:t>
      </w:r>
      <w:r>
        <w:rPr>
          <w:rFonts w:ascii="宋体" w:hAnsi="宋体"/>
          <w:color w:val="auto"/>
          <w:sz w:val="24"/>
          <w:highlight w:val="none"/>
        </w:rPr>
        <w:t>仓储费、装卸费以及为看管和保护退回</w:t>
      </w:r>
      <w:r>
        <w:rPr>
          <w:rFonts w:hint="eastAsia" w:ascii="宋体" w:hAnsi="宋体"/>
          <w:color w:val="auto"/>
          <w:sz w:val="24"/>
          <w:highlight w:val="none"/>
        </w:rPr>
        <w:t>设备（货物）</w:t>
      </w:r>
      <w:r>
        <w:rPr>
          <w:rFonts w:ascii="宋体" w:hAnsi="宋体"/>
          <w:color w:val="auto"/>
          <w:sz w:val="24"/>
          <w:highlight w:val="none"/>
        </w:rPr>
        <w:t>所需的其他必要费用</w:t>
      </w:r>
      <w:r>
        <w:rPr>
          <w:rFonts w:hint="eastAsia" w:ascii="宋体" w:hAnsi="宋体"/>
          <w:color w:val="auto"/>
          <w:sz w:val="24"/>
          <w:highlight w:val="none"/>
        </w:rPr>
        <w:t>），赔偿甲方实现合同权利所支出的全部费用（包括但不限于检测检验或者鉴定费用、诉讼费、保全费、律师代理费、差旅费等费用）等违约责任。</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15.2   </w:t>
      </w:r>
      <w:r>
        <w:rPr>
          <w:rFonts w:ascii="宋体" w:hAnsi="宋体"/>
          <w:color w:val="auto"/>
          <w:sz w:val="24"/>
          <w:highlight w:val="none"/>
        </w:rPr>
        <w:t>根据</w:t>
      </w:r>
      <w:r>
        <w:rPr>
          <w:rFonts w:hint="eastAsia" w:ascii="宋体" w:hAnsi="宋体"/>
          <w:color w:val="auto"/>
          <w:sz w:val="24"/>
          <w:highlight w:val="none"/>
        </w:rPr>
        <w:t>设备（货物）实际技术指标和约定或者规定的技术指标</w:t>
      </w:r>
      <w:r>
        <w:rPr>
          <w:rFonts w:ascii="宋体" w:hAnsi="宋体"/>
          <w:color w:val="auto"/>
          <w:sz w:val="24"/>
          <w:highlight w:val="none"/>
        </w:rPr>
        <w:t>的偏差情况、损坏程度</w:t>
      </w:r>
      <w:r>
        <w:rPr>
          <w:rFonts w:hint="eastAsia" w:ascii="宋体" w:hAnsi="宋体"/>
          <w:color w:val="auto"/>
          <w:sz w:val="24"/>
          <w:highlight w:val="none"/>
        </w:rPr>
        <w:t>、故障情况</w:t>
      </w:r>
      <w:r>
        <w:rPr>
          <w:rFonts w:ascii="宋体" w:hAnsi="宋体"/>
          <w:color w:val="auto"/>
          <w:sz w:val="24"/>
          <w:highlight w:val="none"/>
        </w:rPr>
        <w:t>以及</w:t>
      </w:r>
      <w:r>
        <w:rPr>
          <w:rFonts w:hint="eastAsia" w:ascii="宋体" w:hAnsi="宋体"/>
          <w:color w:val="auto"/>
          <w:sz w:val="24"/>
          <w:highlight w:val="none"/>
        </w:rPr>
        <w:t>给</w:t>
      </w:r>
      <w:r>
        <w:rPr>
          <w:rFonts w:ascii="宋体" w:hAnsi="宋体"/>
          <w:color w:val="auto"/>
          <w:sz w:val="24"/>
          <w:highlight w:val="none"/>
        </w:rPr>
        <w:t>甲方</w:t>
      </w:r>
      <w:r>
        <w:rPr>
          <w:rFonts w:hint="eastAsia" w:ascii="宋体" w:hAnsi="宋体"/>
          <w:color w:val="auto"/>
          <w:sz w:val="24"/>
          <w:highlight w:val="none"/>
        </w:rPr>
        <w:t>造成的</w:t>
      </w:r>
      <w:r>
        <w:rPr>
          <w:rFonts w:ascii="宋体" w:hAnsi="宋体"/>
          <w:color w:val="auto"/>
          <w:sz w:val="24"/>
          <w:highlight w:val="none"/>
        </w:rPr>
        <w:t>损失</w:t>
      </w:r>
      <w:r>
        <w:rPr>
          <w:rFonts w:hint="eastAsia" w:ascii="宋体" w:hAnsi="宋体"/>
          <w:color w:val="auto"/>
          <w:sz w:val="24"/>
          <w:highlight w:val="none"/>
        </w:rPr>
        <w:t>数额</w:t>
      </w:r>
      <w:r>
        <w:rPr>
          <w:rFonts w:ascii="宋体" w:hAnsi="宋体"/>
          <w:color w:val="auto"/>
          <w:sz w:val="24"/>
          <w:highlight w:val="none"/>
        </w:rPr>
        <w:t>，</w:t>
      </w:r>
      <w:r>
        <w:rPr>
          <w:rFonts w:hint="eastAsia" w:ascii="宋体" w:hAnsi="宋体"/>
          <w:color w:val="auto"/>
          <w:sz w:val="24"/>
          <w:highlight w:val="none"/>
        </w:rPr>
        <w:t>由</w:t>
      </w:r>
      <w:r>
        <w:rPr>
          <w:rFonts w:ascii="宋体" w:hAnsi="宋体"/>
          <w:color w:val="auto"/>
          <w:sz w:val="24"/>
          <w:highlight w:val="none"/>
        </w:rPr>
        <w:t>甲乙双方</w:t>
      </w:r>
      <w:r>
        <w:rPr>
          <w:rFonts w:hint="eastAsia" w:ascii="宋体" w:hAnsi="宋体"/>
          <w:color w:val="auto"/>
          <w:sz w:val="24"/>
          <w:highlight w:val="none"/>
        </w:rPr>
        <w:t>协商扣减相应的合同价款</w:t>
      </w:r>
      <w:r>
        <w:rPr>
          <w:rFonts w:ascii="宋体" w:hAnsi="宋体"/>
          <w:color w:val="auto"/>
          <w:sz w:val="24"/>
          <w:highlight w:val="none"/>
        </w:rPr>
        <w:t>。</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15.3   </w:t>
      </w:r>
      <w:r>
        <w:rPr>
          <w:rFonts w:ascii="宋体" w:hAnsi="宋体"/>
          <w:color w:val="auto"/>
          <w:sz w:val="24"/>
          <w:highlight w:val="none"/>
        </w:rPr>
        <w:t>用符合</w:t>
      </w:r>
      <w:r>
        <w:rPr>
          <w:rFonts w:hint="eastAsia" w:ascii="宋体" w:hAnsi="宋体"/>
          <w:color w:val="auto"/>
          <w:sz w:val="24"/>
          <w:highlight w:val="none"/>
        </w:rPr>
        <w:t>约定或者规定</w:t>
      </w:r>
      <w:r>
        <w:rPr>
          <w:rFonts w:ascii="宋体" w:hAnsi="宋体"/>
          <w:color w:val="auto"/>
          <w:sz w:val="24"/>
          <w:highlight w:val="none"/>
        </w:rPr>
        <w:t>规格、</w:t>
      </w:r>
      <w:r>
        <w:rPr>
          <w:rFonts w:hint="eastAsia" w:ascii="宋体" w:hAnsi="宋体"/>
          <w:color w:val="auto"/>
          <w:sz w:val="24"/>
          <w:highlight w:val="none"/>
        </w:rPr>
        <w:t>型号、</w:t>
      </w:r>
      <w:r>
        <w:rPr>
          <w:rFonts w:ascii="宋体" w:hAnsi="宋体"/>
          <w:color w:val="auto"/>
          <w:sz w:val="24"/>
          <w:highlight w:val="none"/>
        </w:rPr>
        <w:t>质量</w:t>
      </w:r>
      <w:r>
        <w:rPr>
          <w:rFonts w:hint="eastAsia" w:ascii="宋体" w:hAnsi="宋体"/>
          <w:color w:val="auto"/>
          <w:sz w:val="24"/>
          <w:highlight w:val="none"/>
        </w:rPr>
        <w:t>、</w:t>
      </w:r>
      <w:r>
        <w:rPr>
          <w:rFonts w:ascii="宋体" w:hAnsi="宋体"/>
          <w:color w:val="auto"/>
          <w:sz w:val="24"/>
          <w:highlight w:val="none"/>
        </w:rPr>
        <w:t>性能</w:t>
      </w:r>
      <w:r>
        <w:rPr>
          <w:rFonts w:hint="eastAsia" w:ascii="宋体" w:hAnsi="宋体"/>
          <w:color w:val="auto"/>
          <w:sz w:val="24"/>
          <w:highlight w:val="none"/>
        </w:rPr>
        <w:t>和技术指标</w:t>
      </w:r>
      <w:r>
        <w:rPr>
          <w:rFonts w:ascii="宋体" w:hAnsi="宋体"/>
          <w:color w:val="auto"/>
          <w:sz w:val="24"/>
          <w:highlight w:val="none"/>
        </w:rPr>
        <w:t>要求的</w:t>
      </w:r>
      <w:r>
        <w:rPr>
          <w:rFonts w:hint="eastAsia" w:ascii="宋体" w:hAnsi="宋体"/>
          <w:color w:val="auto"/>
          <w:sz w:val="24"/>
          <w:highlight w:val="none"/>
        </w:rPr>
        <w:t>全新</w:t>
      </w:r>
      <w:r>
        <w:rPr>
          <w:rFonts w:ascii="宋体" w:hAnsi="宋体"/>
          <w:color w:val="auto"/>
          <w:sz w:val="24"/>
          <w:highlight w:val="none"/>
        </w:rPr>
        <w:t>零部件</w:t>
      </w:r>
      <w:r>
        <w:rPr>
          <w:rFonts w:hint="eastAsia" w:ascii="宋体" w:hAnsi="宋体"/>
          <w:color w:val="auto"/>
          <w:sz w:val="24"/>
          <w:highlight w:val="none"/>
        </w:rPr>
        <w:t>、配件</w:t>
      </w:r>
      <w:r>
        <w:rPr>
          <w:rFonts w:ascii="宋体" w:hAnsi="宋体"/>
          <w:color w:val="auto"/>
          <w:sz w:val="24"/>
          <w:highlight w:val="none"/>
        </w:rPr>
        <w:t>或</w:t>
      </w:r>
      <w:r>
        <w:rPr>
          <w:rFonts w:hint="eastAsia" w:ascii="宋体" w:hAnsi="宋体"/>
          <w:color w:val="auto"/>
          <w:sz w:val="24"/>
          <w:highlight w:val="none"/>
        </w:rPr>
        <w:t>设备（货物）进行</w:t>
      </w:r>
      <w:r>
        <w:rPr>
          <w:rFonts w:ascii="宋体" w:hAnsi="宋体"/>
          <w:color w:val="auto"/>
          <w:sz w:val="24"/>
          <w:highlight w:val="none"/>
        </w:rPr>
        <w:t>更换</w:t>
      </w:r>
      <w:r>
        <w:rPr>
          <w:rFonts w:hint="eastAsia" w:ascii="宋体" w:hAnsi="宋体"/>
          <w:color w:val="auto"/>
          <w:sz w:val="24"/>
          <w:highlight w:val="none"/>
        </w:rPr>
        <w:t>，由</w:t>
      </w:r>
      <w:r>
        <w:rPr>
          <w:rFonts w:ascii="宋体" w:hAnsi="宋体"/>
          <w:color w:val="auto"/>
          <w:sz w:val="24"/>
          <w:highlight w:val="none"/>
        </w:rPr>
        <w:t>乙方承担</w:t>
      </w:r>
      <w:r>
        <w:rPr>
          <w:rFonts w:hint="eastAsia" w:ascii="宋体" w:hAnsi="宋体"/>
          <w:color w:val="auto"/>
          <w:sz w:val="24"/>
          <w:highlight w:val="none"/>
        </w:rPr>
        <w:t>全部</w:t>
      </w:r>
      <w:r>
        <w:rPr>
          <w:rFonts w:ascii="宋体" w:hAnsi="宋体"/>
          <w:color w:val="auto"/>
          <w:sz w:val="24"/>
          <w:highlight w:val="none"/>
        </w:rPr>
        <w:t>费用和</w:t>
      </w:r>
      <w:r>
        <w:rPr>
          <w:rFonts w:hint="eastAsia" w:ascii="宋体" w:hAnsi="宋体"/>
          <w:color w:val="auto"/>
          <w:sz w:val="24"/>
          <w:highlight w:val="none"/>
        </w:rPr>
        <w:t>责任，并赔偿甲方的全部直接损失和间接损失。乙方应当对更换后的零部件、配件或者设备（货物）按照约定重新计算质量保证期并承担质量保证责任和全部合同义务。</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15.4   </w:t>
      </w:r>
      <w:r>
        <w:rPr>
          <w:rFonts w:ascii="宋体" w:hAnsi="宋体"/>
          <w:color w:val="auto"/>
          <w:sz w:val="24"/>
          <w:highlight w:val="none"/>
        </w:rPr>
        <w:t>如果在甲方发出</w:t>
      </w:r>
      <w:r>
        <w:rPr>
          <w:rFonts w:hint="eastAsia" w:ascii="宋体" w:hAnsi="宋体"/>
          <w:color w:val="auto"/>
          <w:sz w:val="24"/>
          <w:highlight w:val="none"/>
        </w:rPr>
        <w:t>违约通知、</w:t>
      </w:r>
      <w:r>
        <w:rPr>
          <w:rFonts w:ascii="宋体" w:hAnsi="宋体"/>
          <w:color w:val="auto"/>
          <w:sz w:val="24"/>
          <w:highlight w:val="none"/>
        </w:rPr>
        <w:t>索赔通知后</w:t>
      </w:r>
      <w:r>
        <w:rPr>
          <w:rFonts w:hint="eastAsia" w:ascii="宋体" w:hAnsi="宋体"/>
          <w:color w:val="auto"/>
          <w:sz w:val="24"/>
          <w:highlight w:val="none"/>
        </w:rPr>
        <w:t>10日</w:t>
      </w:r>
      <w:r>
        <w:rPr>
          <w:rFonts w:ascii="宋体" w:hAnsi="宋体"/>
          <w:color w:val="auto"/>
          <w:sz w:val="24"/>
          <w:highlight w:val="none"/>
        </w:rPr>
        <w:t>内，乙方未作</w:t>
      </w:r>
      <w:r>
        <w:rPr>
          <w:rFonts w:hint="eastAsia" w:ascii="宋体" w:hAnsi="宋体"/>
          <w:color w:val="auto"/>
          <w:sz w:val="24"/>
          <w:highlight w:val="none"/>
        </w:rPr>
        <w:t>书面</w:t>
      </w:r>
      <w:r>
        <w:rPr>
          <w:rFonts w:ascii="宋体" w:hAnsi="宋体"/>
          <w:color w:val="auto"/>
          <w:sz w:val="24"/>
          <w:highlight w:val="none"/>
        </w:rPr>
        <w:t>答复，</w:t>
      </w:r>
      <w:r>
        <w:rPr>
          <w:rFonts w:hint="eastAsia" w:ascii="宋体" w:hAnsi="宋体"/>
          <w:color w:val="auto"/>
          <w:sz w:val="24"/>
          <w:highlight w:val="none"/>
        </w:rPr>
        <w:t>视为乙方已经确认存在违约行为，接受并承担甲方提出乙方应当承担违约责任的全部要求和责任。</w:t>
      </w:r>
    </w:p>
    <w:p>
      <w:pPr>
        <w:spacing w:line="520" w:lineRule="exact"/>
        <w:jc w:val="left"/>
        <w:rPr>
          <w:rFonts w:ascii="宋体" w:hAnsi="宋体"/>
          <w:color w:val="auto"/>
          <w:sz w:val="24"/>
          <w:highlight w:val="none"/>
        </w:rPr>
      </w:pPr>
      <w:r>
        <w:rPr>
          <w:rFonts w:hint="eastAsia" w:ascii="宋体" w:hAnsi="宋体"/>
          <w:color w:val="auto"/>
          <w:sz w:val="24"/>
          <w:highlight w:val="none"/>
        </w:rPr>
        <w:t>15.5   乙方未在约定的期限内将全部设备（货物）运至甲方指定地点或未在本合同约定的期限内完成设备（货物）的安装调试工作的，每迟延一日，应当向甲方支付合同总价款万分之五的违约金，给甲方造成其他损失的，还应当赔偿甲方全部损失。</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乙方迟延将全部设备（货物）运至甲方指定地点或未在本合同约定的期限内完成设备（货物）的安装调试工作的超过</w:t>
      </w:r>
      <w:r>
        <w:rPr>
          <w:rFonts w:hint="eastAsia" w:ascii="宋体" w:hAnsi="宋体"/>
          <w:color w:val="auto"/>
          <w:sz w:val="24"/>
          <w:highlight w:val="none"/>
          <w:u w:val="single"/>
        </w:rPr>
        <w:t xml:space="preserve"> 30</w:t>
      </w:r>
      <w:r>
        <w:rPr>
          <w:rFonts w:hint="eastAsia" w:ascii="宋体" w:hAnsi="宋体"/>
          <w:color w:val="auto"/>
          <w:sz w:val="24"/>
          <w:highlight w:val="none"/>
        </w:rPr>
        <w:t>日的，甲方有权解除合同，乙方应当向甲方承担包括但不限于返还已支付的全部合同价款、赔偿利息损失、赔偿甲方其他全部直接损失和间接损失（包括但不限于</w:t>
      </w:r>
      <w:r>
        <w:rPr>
          <w:rFonts w:ascii="宋体" w:hAnsi="宋体"/>
          <w:color w:val="auto"/>
          <w:sz w:val="24"/>
          <w:highlight w:val="none"/>
        </w:rPr>
        <w:t>银行手续费、运费、保险费、检验</w:t>
      </w:r>
      <w:r>
        <w:rPr>
          <w:rFonts w:hint="eastAsia" w:ascii="宋体" w:hAnsi="宋体"/>
          <w:color w:val="auto"/>
          <w:sz w:val="24"/>
          <w:highlight w:val="none"/>
        </w:rPr>
        <w:t>检测</w:t>
      </w:r>
      <w:r>
        <w:rPr>
          <w:rFonts w:ascii="宋体" w:hAnsi="宋体"/>
          <w:color w:val="auto"/>
          <w:sz w:val="24"/>
          <w:highlight w:val="none"/>
        </w:rPr>
        <w:t>费、</w:t>
      </w:r>
      <w:r>
        <w:rPr>
          <w:rFonts w:hint="eastAsia" w:ascii="宋体" w:hAnsi="宋体"/>
          <w:color w:val="auto"/>
          <w:sz w:val="24"/>
          <w:highlight w:val="none"/>
        </w:rPr>
        <w:t>鉴定费、</w:t>
      </w:r>
      <w:r>
        <w:rPr>
          <w:rFonts w:ascii="宋体" w:hAnsi="宋体"/>
          <w:color w:val="auto"/>
          <w:sz w:val="24"/>
          <w:highlight w:val="none"/>
        </w:rPr>
        <w:t>仓储费、装卸费以及为看管和保护退回</w:t>
      </w:r>
      <w:r>
        <w:rPr>
          <w:rFonts w:hint="eastAsia" w:ascii="宋体" w:hAnsi="宋体"/>
          <w:color w:val="auto"/>
          <w:sz w:val="24"/>
          <w:highlight w:val="none"/>
        </w:rPr>
        <w:t>设备（货物）</w:t>
      </w:r>
      <w:r>
        <w:rPr>
          <w:rFonts w:ascii="宋体" w:hAnsi="宋体"/>
          <w:color w:val="auto"/>
          <w:sz w:val="24"/>
          <w:highlight w:val="none"/>
        </w:rPr>
        <w:t>所需的其他必要费用</w:t>
      </w:r>
      <w:r>
        <w:rPr>
          <w:rFonts w:hint="eastAsia" w:ascii="宋体" w:hAnsi="宋体"/>
          <w:color w:val="auto"/>
          <w:sz w:val="24"/>
          <w:highlight w:val="none"/>
        </w:rPr>
        <w:t>），赔偿甲方实现合同权利所支出的全部费用（包括但不限于检测检验或者鉴定费用、诉讼费、保全费、律师代理费、差旅费等费用）等违约责任。</w:t>
      </w:r>
    </w:p>
    <w:p>
      <w:pPr>
        <w:spacing w:line="520" w:lineRule="exact"/>
        <w:jc w:val="left"/>
        <w:rPr>
          <w:rFonts w:ascii="宋体" w:hAnsi="宋体"/>
          <w:color w:val="auto"/>
          <w:sz w:val="24"/>
          <w:highlight w:val="none"/>
        </w:rPr>
      </w:pPr>
      <w:r>
        <w:rPr>
          <w:rFonts w:hint="eastAsia" w:ascii="宋体" w:hAnsi="宋体"/>
          <w:color w:val="auto"/>
          <w:sz w:val="24"/>
          <w:highlight w:val="none"/>
        </w:rPr>
        <w:t>15.6  乙方违反合同约定，导致甲方采取补救措施或者避免损失扩大措施，或者为实现合同权利而提起诉讼的，乙方应当向甲方承担包括但不限于返还已支付的全部合同价款、赔偿利息损失、赔偿甲方支出的费用、赔偿甲方其他全部直接损失和间接损失（包括但不限于</w:t>
      </w:r>
      <w:r>
        <w:rPr>
          <w:rFonts w:ascii="宋体" w:hAnsi="宋体"/>
          <w:color w:val="auto"/>
          <w:sz w:val="24"/>
          <w:highlight w:val="none"/>
        </w:rPr>
        <w:t>银行手续费、运费、保险费、检验</w:t>
      </w:r>
      <w:r>
        <w:rPr>
          <w:rFonts w:hint="eastAsia" w:ascii="宋体" w:hAnsi="宋体"/>
          <w:color w:val="auto"/>
          <w:sz w:val="24"/>
          <w:highlight w:val="none"/>
        </w:rPr>
        <w:t>检测</w:t>
      </w:r>
      <w:r>
        <w:rPr>
          <w:rFonts w:ascii="宋体" w:hAnsi="宋体"/>
          <w:color w:val="auto"/>
          <w:sz w:val="24"/>
          <w:highlight w:val="none"/>
        </w:rPr>
        <w:t>费、</w:t>
      </w:r>
      <w:r>
        <w:rPr>
          <w:rFonts w:hint="eastAsia" w:ascii="宋体" w:hAnsi="宋体"/>
          <w:color w:val="auto"/>
          <w:sz w:val="24"/>
          <w:highlight w:val="none"/>
        </w:rPr>
        <w:t>鉴定费、</w:t>
      </w:r>
      <w:r>
        <w:rPr>
          <w:rFonts w:ascii="宋体" w:hAnsi="宋体"/>
          <w:color w:val="auto"/>
          <w:sz w:val="24"/>
          <w:highlight w:val="none"/>
        </w:rPr>
        <w:t>仓储费、装卸费以及为看管和保护退回</w:t>
      </w:r>
      <w:r>
        <w:rPr>
          <w:rFonts w:hint="eastAsia" w:ascii="宋体" w:hAnsi="宋体"/>
          <w:color w:val="auto"/>
          <w:sz w:val="24"/>
          <w:highlight w:val="none"/>
        </w:rPr>
        <w:t>设备（货物）</w:t>
      </w:r>
      <w:r>
        <w:rPr>
          <w:rFonts w:ascii="宋体" w:hAnsi="宋体"/>
          <w:color w:val="auto"/>
          <w:sz w:val="24"/>
          <w:highlight w:val="none"/>
        </w:rPr>
        <w:t>所需的其他必要费用</w:t>
      </w:r>
      <w:r>
        <w:rPr>
          <w:rFonts w:hint="eastAsia" w:ascii="宋体" w:hAnsi="宋体"/>
          <w:color w:val="auto"/>
          <w:sz w:val="24"/>
          <w:highlight w:val="none"/>
        </w:rPr>
        <w:t>），赔偿甲方实现合同权利所支出的全部费用（包括但不限于检测检验或者鉴定费用、诉讼费、保全费、律师代理费、差旅费等费用）等违约责任。</w:t>
      </w:r>
    </w:p>
    <w:p>
      <w:pPr>
        <w:spacing w:line="520" w:lineRule="exact"/>
        <w:ind w:left="480" w:hanging="480" w:hangingChars="200"/>
        <w:jc w:val="left"/>
        <w:rPr>
          <w:rFonts w:ascii="宋体" w:hAnsi="宋体"/>
          <w:color w:val="auto"/>
          <w:sz w:val="24"/>
          <w:highlight w:val="none"/>
        </w:rPr>
      </w:pPr>
      <w:r>
        <w:rPr>
          <w:rFonts w:hint="eastAsia" w:ascii="宋体" w:hAnsi="宋体"/>
          <w:color w:val="auto"/>
          <w:sz w:val="24"/>
          <w:highlight w:val="none"/>
        </w:rPr>
        <w:t>15.7  甲方未在约定期限内向乙方支付合同价款的，每迟延一日，应当向乙方支付</w:t>
      </w:r>
      <w:r>
        <w:rPr>
          <w:rFonts w:hint="eastAsia" w:ascii="宋体" w:hAnsi="宋体"/>
          <w:color w:val="auto"/>
          <w:sz w:val="24"/>
          <w:highlight w:val="none"/>
          <w:u w:val="single"/>
        </w:rPr>
        <w:t xml:space="preserve">万分之三 </w:t>
      </w:r>
      <w:r>
        <w:rPr>
          <w:rFonts w:hint="eastAsia" w:ascii="宋体" w:hAnsi="宋体"/>
          <w:color w:val="auto"/>
          <w:sz w:val="24"/>
          <w:highlight w:val="none"/>
        </w:rPr>
        <w:t>的违约金。</w:t>
      </w:r>
    </w:p>
    <w:p>
      <w:pPr>
        <w:tabs>
          <w:tab w:val="left" w:pos="3060"/>
        </w:tabs>
        <w:spacing w:line="520" w:lineRule="exact"/>
        <w:outlineLvl w:val="1"/>
        <w:rPr>
          <w:rFonts w:ascii="宋体" w:hAnsi="宋体"/>
          <w:b/>
          <w:bCs/>
          <w:color w:val="auto"/>
          <w:sz w:val="24"/>
          <w:highlight w:val="none"/>
        </w:rPr>
      </w:pPr>
      <w:bookmarkStart w:id="318" w:name="_Toc3784"/>
      <w:r>
        <w:rPr>
          <w:rFonts w:hint="eastAsia" w:ascii="宋体" w:hAnsi="宋体"/>
          <w:b/>
          <w:bCs/>
          <w:color w:val="auto"/>
          <w:sz w:val="24"/>
          <w:highlight w:val="none"/>
        </w:rPr>
        <w:t>16.  通知</w:t>
      </w:r>
      <w:bookmarkEnd w:id="318"/>
    </w:p>
    <w:p>
      <w:pPr>
        <w:spacing w:line="520" w:lineRule="exact"/>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6.</w:t>
      </w:r>
      <w:r>
        <w:rPr>
          <w:rFonts w:ascii="宋体" w:hAnsi="宋体"/>
          <w:color w:val="auto"/>
          <w:sz w:val="24"/>
          <w:highlight w:val="none"/>
        </w:rPr>
        <w:t>1</w:t>
      </w:r>
      <w:r>
        <w:rPr>
          <w:rFonts w:hint="eastAsia" w:ascii="宋体" w:hAnsi="宋体"/>
          <w:color w:val="auto"/>
          <w:sz w:val="24"/>
          <w:highlight w:val="none"/>
        </w:rPr>
        <w:t xml:space="preserve">  </w:t>
      </w:r>
      <w:r>
        <w:rPr>
          <w:rFonts w:ascii="宋体" w:hAnsi="宋体"/>
          <w:color w:val="auto"/>
          <w:sz w:val="24"/>
          <w:highlight w:val="none"/>
        </w:rPr>
        <w:t>甲方可以在任何时候以书面</w:t>
      </w:r>
      <w:r>
        <w:rPr>
          <w:rFonts w:hint="eastAsia" w:ascii="宋体" w:hAnsi="宋体"/>
          <w:color w:val="auto"/>
          <w:sz w:val="24"/>
          <w:highlight w:val="none"/>
        </w:rPr>
        <w:t>方式</w:t>
      </w:r>
      <w:r>
        <w:rPr>
          <w:rFonts w:ascii="宋体" w:hAnsi="宋体"/>
          <w:color w:val="auto"/>
          <w:sz w:val="24"/>
          <w:highlight w:val="none"/>
        </w:rPr>
        <w:t>向乙方发出通知，变更下述一项或几项</w:t>
      </w:r>
      <w:r>
        <w:rPr>
          <w:rFonts w:hint="eastAsia" w:ascii="宋体" w:hAnsi="宋体"/>
          <w:color w:val="auto"/>
          <w:sz w:val="24"/>
          <w:highlight w:val="none"/>
        </w:rPr>
        <w:t>内容，</w:t>
      </w:r>
      <w:r>
        <w:rPr>
          <w:rFonts w:ascii="宋体" w:hAnsi="宋体"/>
          <w:color w:val="auto"/>
          <w:sz w:val="24"/>
          <w:highlight w:val="none"/>
        </w:rPr>
        <w:t>通知与合同具有同等效力：</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本合同项下提供的</w:t>
      </w:r>
      <w:r>
        <w:rPr>
          <w:rFonts w:hint="eastAsia" w:ascii="宋体" w:hAnsi="宋体"/>
          <w:color w:val="auto"/>
          <w:sz w:val="24"/>
          <w:highlight w:val="none"/>
        </w:rPr>
        <w:t>设备（货物）</w:t>
      </w:r>
      <w:r>
        <w:rPr>
          <w:rFonts w:ascii="宋体" w:hAnsi="宋体"/>
          <w:color w:val="auto"/>
          <w:sz w:val="24"/>
          <w:highlight w:val="none"/>
        </w:rPr>
        <w:t>是</w:t>
      </w:r>
      <w:r>
        <w:rPr>
          <w:rFonts w:hint="eastAsia" w:ascii="宋体" w:hAnsi="宋体"/>
          <w:color w:val="auto"/>
          <w:sz w:val="24"/>
          <w:highlight w:val="none"/>
        </w:rPr>
        <w:t>乙方</w:t>
      </w:r>
      <w:r>
        <w:rPr>
          <w:rFonts w:ascii="宋体" w:hAnsi="宋体"/>
          <w:color w:val="auto"/>
          <w:sz w:val="24"/>
          <w:highlight w:val="none"/>
        </w:rPr>
        <w:t>专为甲方</w:t>
      </w:r>
      <w:r>
        <w:rPr>
          <w:rFonts w:hint="eastAsia" w:ascii="宋体" w:hAnsi="宋体"/>
          <w:color w:val="auto"/>
          <w:sz w:val="24"/>
          <w:highlight w:val="none"/>
        </w:rPr>
        <w:t>设计、</w:t>
      </w:r>
      <w:r>
        <w:rPr>
          <w:rFonts w:ascii="宋体" w:hAnsi="宋体"/>
          <w:color w:val="auto"/>
          <w:sz w:val="24"/>
          <w:highlight w:val="none"/>
        </w:rPr>
        <w:t>制造</w:t>
      </w:r>
      <w:r>
        <w:rPr>
          <w:rFonts w:hint="eastAsia" w:ascii="宋体" w:hAnsi="宋体"/>
          <w:color w:val="auto"/>
          <w:sz w:val="24"/>
          <w:highlight w:val="none"/>
        </w:rPr>
        <w:t>的</w:t>
      </w:r>
      <w:r>
        <w:rPr>
          <w:rFonts w:ascii="宋体" w:hAnsi="宋体"/>
          <w:color w:val="auto"/>
          <w:sz w:val="24"/>
          <w:highlight w:val="none"/>
        </w:rPr>
        <w:t>，变更图纸、设计或规格；</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运输或包装的方法；</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交货地点或交货时间；</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乙方提供的服务。</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16.2  </w:t>
      </w:r>
      <w:r>
        <w:rPr>
          <w:rFonts w:ascii="宋体" w:hAnsi="宋体"/>
          <w:color w:val="auto"/>
          <w:sz w:val="24"/>
          <w:highlight w:val="none"/>
        </w:rPr>
        <w:t>如果上述变更使乙方履行合同义务的费用或时间增加或减少，</w:t>
      </w:r>
      <w:r>
        <w:rPr>
          <w:rFonts w:hint="eastAsia" w:ascii="宋体" w:hAnsi="宋体"/>
          <w:color w:val="auto"/>
          <w:sz w:val="24"/>
          <w:highlight w:val="none"/>
        </w:rPr>
        <w:t>双方可以协商</w:t>
      </w:r>
      <w:r>
        <w:rPr>
          <w:rFonts w:ascii="宋体" w:hAnsi="宋体"/>
          <w:color w:val="auto"/>
          <w:sz w:val="24"/>
          <w:highlight w:val="none"/>
        </w:rPr>
        <w:t>对</w:t>
      </w:r>
      <w:r>
        <w:rPr>
          <w:rFonts w:hint="eastAsia" w:ascii="宋体" w:hAnsi="宋体"/>
          <w:color w:val="auto"/>
          <w:sz w:val="24"/>
          <w:highlight w:val="none"/>
        </w:rPr>
        <w:t>合同价款</w:t>
      </w:r>
      <w:r>
        <w:rPr>
          <w:rFonts w:ascii="宋体" w:hAnsi="宋体"/>
          <w:color w:val="auto"/>
          <w:sz w:val="24"/>
          <w:highlight w:val="none"/>
        </w:rPr>
        <w:t>或交货时间或两者</w:t>
      </w:r>
      <w:r>
        <w:rPr>
          <w:rFonts w:hint="eastAsia" w:ascii="宋体" w:hAnsi="宋体"/>
          <w:color w:val="auto"/>
          <w:sz w:val="24"/>
          <w:highlight w:val="none"/>
        </w:rPr>
        <w:t>进行相应的变更</w:t>
      </w:r>
      <w:r>
        <w:rPr>
          <w:rFonts w:ascii="宋体" w:hAnsi="宋体"/>
          <w:color w:val="auto"/>
          <w:sz w:val="24"/>
          <w:highlight w:val="none"/>
        </w:rPr>
        <w:t>，同时相应修改合同</w:t>
      </w:r>
      <w:r>
        <w:rPr>
          <w:rFonts w:hint="eastAsia" w:ascii="宋体" w:hAnsi="宋体"/>
          <w:color w:val="auto"/>
          <w:sz w:val="24"/>
          <w:highlight w:val="none"/>
        </w:rPr>
        <w:t>或者签订补充协议</w:t>
      </w:r>
      <w:r>
        <w:rPr>
          <w:rFonts w:ascii="宋体" w:hAnsi="宋体"/>
          <w:color w:val="auto"/>
          <w:sz w:val="24"/>
          <w:highlight w:val="none"/>
        </w:rPr>
        <w:t>。</w:t>
      </w:r>
    </w:p>
    <w:p>
      <w:pPr>
        <w:spacing w:line="520" w:lineRule="exact"/>
        <w:ind w:firstLine="480" w:firstLineChars="200"/>
        <w:jc w:val="left"/>
        <w:rPr>
          <w:rFonts w:ascii="宋体" w:hAnsi="宋体"/>
          <w:color w:val="auto"/>
          <w:sz w:val="24"/>
          <w:highlight w:val="none"/>
        </w:rPr>
      </w:pPr>
      <w:r>
        <w:rPr>
          <w:rFonts w:ascii="宋体" w:hAnsi="宋体"/>
          <w:color w:val="auto"/>
          <w:sz w:val="24"/>
          <w:highlight w:val="none"/>
        </w:rPr>
        <w:t>乙方</w:t>
      </w:r>
      <w:r>
        <w:rPr>
          <w:rFonts w:hint="eastAsia" w:ascii="宋体" w:hAnsi="宋体"/>
          <w:color w:val="auto"/>
          <w:sz w:val="24"/>
          <w:highlight w:val="none"/>
        </w:rPr>
        <w:t>如要求对合同价款或者交货时间进行变更，</w:t>
      </w:r>
      <w:r>
        <w:rPr>
          <w:rFonts w:ascii="宋体" w:hAnsi="宋体"/>
          <w:color w:val="auto"/>
          <w:sz w:val="24"/>
          <w:highlight w:val="none"/>
        </w:rPr>
        <w:t>必须在收到甲方</w:t>
      </w:r>
      <w:r>
        <w:rPr>
          <w:rFonts w:hint="eastAsia" w:ascii="宋体" w:hAnsi="宋体"/>
          <w:color w:val="auto"/>
          <w:sz w:val="24"/>
          <w:highlight w:val="none"/>
        </w:rPr>
        <w:t>书面</w:t>
      </w:r>
      <w:r>
        <w:rPr>
          <w:rFonts w:ascii="宋体" w:hAnsi="宋体"/>
          <w:color w:val="auto"/>
          <w:sz w:val="24"/>
          <w:highlight w:val="none"/>
        </w:rPr>
        <w:t>通知后</w:t>
      </w:r>
      <w:r>
        <w:rPr>
          <w:rFonts w:hint="eastAsia" w:ascii="宋体" w:hAnsi="宋体"/>
          <w:color w:val="auto"/>
          <w:sz w:val="24"/>
          <w:highlight w:val="none"/>
        </w:rPr>
        <w:t>10日内以书面方式向甲方</w:t>
      </w:r>
      <w:r>
        <w:rPr>
          <w:rFonts w:ascii="宋体" w:hAnsi="宋体"/>
          <w:color w:val="auto"/>
          <w:sz w:val="24"/>
          <w:highlight w:val="none"/>
        </w:rPr>
        <w:t>提出并征得甲方同意。</w:t>
      </w:r>
      <w:r>
        <w:rPr>
          <w:rFonts w:hint="eastAsia" w:ascii="宋体" w:hAnsi="宋体"/>
          <w:color w:val="auto"/>
          <w:sz w:val="24"/>
          <w:highlight w:val="none"/>
        </w:rPr>
        <w:t>乙方未提出或者未在10日内提出变更要求的，视为接受甲方的变更要求并且不变更合同价款和交货时间。</w:t>
      </w:r>
    </w:p>
    <w:p>
      <w:pPr>
        <w:numPr>
          <w:ilvl w:val="1"/>
          <w:numId w:val="9"/>
        </w:numPr>
        <w:spacing w:line="520" w:lineRule="exact"/>
        <w:jc w:val="left"/>
        <w:rPr>
          <w:rFonts w:ascii="宋体" w:hAnsi="宋体"/>
          <w:color w:val="auto"/>
          <w:sz w:val="24"/>
          <w:highlight w:val="none"/>
        </w:rPr>
      </w:pPr>
      <w:r>
        <w:rPr>
          <w:rFonts w:hint="eastAsia" w:ascii="宋体" w:hAnsi="宋体"/>
          <w:color w:val="auto"/>
          <w:sz w:val="24"/>
          <w:highlight w:val="none"/>
        </w:rPr>
        <w:t xml:space="preserve">  甲方和乙方均同意选择中国邮政EMS邮寄方式邮寄和接收对方发送的书面通知、文件、资料、物品。</w:t>
      </w:r>
    </w:p>
    <w:p>
      <w:pPr>
        <w:spacing w:line="520" w:lineRule="exact"/>
        <w:jc w:val="left"/>
        <w:rPr>
          <w:rFonts w:ascii="宋体" w:hAnsi="宋体"/>
          <w:color w:val="auto"/>
          <w:sz w:val="24"/>
          <w:highlight w:val="none"/>
        </w:rPr>
      </w:pPr>
      <w:r>
        <w:rPr>
          <w:rFonts w:hint="eastAsia" w:ascii="宋体" w:hAnsi="宋体"/>
          <w:color w:val="auto"/>
          <w:sz w:val="24"/>
          <w:highlight w:val="none"/>
        </w:rPr>
        <w:t>甲方确认邮寄地址：</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520" w:lineRule="exact"/>
        <w:jc w:val="left"/>
        <w:rPr>
          <w:rFonts w:ascii="宋体" w:hAnsi="宋体"/>
          <w:color w:val="auto"/>
          <w:sz w:val="24"/>
          <w:highlight w:val="none"/>
        </w:rPr>
      </w:pPr>
      <w:r>
        <w:rPr>
          <w:rFonts w:hint="eastAsia" w:ascii="宋体" w:hAnsi="宋体"/>
          <w:color w:val="auto"/>
          <w:sz w:val="24"/>
          <w:highlight w:val="none"/>
        </w:rPr>
        <w:t>甲方确认收件人姓名：</w:t>
      </w:r>
      <w:r>
        <w:rPr>
          <w:rFonts w:hint="eastAsia" w:ascii="宋体" w:hAnsi="宋体"/>
          <w:color w:val="auto"/>
          <w:sz w:val="24"/>
          <w:highlight w:val="none"/>
          <w:u w:val="single"/>
        </w:rPr>
        <w:t xml:space="preserve">                                               </w:t>
      </w:r>
    </w:p>
    <w:p>
      <w:pPr>
        <w:spacing w:line="520" w:lineRule="exact"/>
        <w:jc w:val="left"/>
        <w:rPr>
          <w:rFonts w:ascii="宋体" w:hAnsi="宋体"/>
          <w:color w:val="auto"/>
          <w:sz w:val="24"/>
          <w:highlight w:val="none"/>
        </w:rPr>
      </w:pPr>
      <w:r>
        <w:rPr>
          <w:rFonts w:hint="eastAsia" w:ascii="宋体" w:hAnsi="宋体"/>
          <w:color w:val="auto"/>
          <w:sz w:val="24"/>
          <w:highlight w:val="none"/>
        </w:rPr>
        <w:t>甲方确认收件人电话：</w:t>
      </w:r>
      <w:r>
        <w:rPr>
          <w:rFonts w:hint="eastAsia" w:ascii="宋体" w:hAnsi="宋体"/>
          <w:color w:val="auto"/>
          <w:sz w:val="24"/>
          <w:highlight w:val="none"/>
          <w:u w:val="single"/>
        </w:rPr>
        <w:t xml:space="preserve">                                                 </w:t>
      </w:r>
    </w:p>
    <w:p>
      <w:pPr>
        <w:spacing w:line="520" w:lineRule="exact"/>
        <w:jc w:val="left"/>
        <w:rPr>
          <w:rFonts w:ascii="宋体" w:hAnsi="宋体"/>
          <w:color w:val="auto"/>
          <w:sz w:val="24"/>
          <w:highlight w:val="none"/>
        </w:rPr>
      </w:pPr>
      <w:r>
        <w:rPr>
          <w:rFonts w:hint="eastAsia" w:ascii="宋体" w:hAnsi="宋体"/>
          <w:color w:val="auto"/>
          <w:sz w:val="24"/>
          <w:highlight w:val="none"/>
        </w:rPr>
        <w:t>甲方确认收件人身份证号：</w:t>
      </w:r>
      <w:r>
        <w:rPr>
          <w:rFonts w:hint="eastAsia" w:ascii="宋体" w:hAnsi="宋体"/>
          <w:color w:val="auto"/>
          <w:sz w:val="24"/>
          <w:highlight w:val="none"/>
          <w:u w:val="single"/>
        </w:rPr>
        <w:t xml:space="preserve">                                             </w:t>
      </w:r>
    </w:p>
    <w:p>
      <w:pPr>
        <w:spacing w:line="520" w:lineRule="exact"/>
        <w:jc w:val="left"/>
        <w:rPr>
          <w:rFonts w:ascii="宋体" w:hAnsi="宋体"/>
          <w:color w:val="auto"/>
          <w:sz w:val="24"/>
          <w:highlight w:val="none"/>
        </w:rPr>
      </w:pPr>
    </w:p>
    <w:p>
      <w:pPr>
        <w:spacing w:line="520" w:lineRule="exact"/>
        <w:jc w:val="left"/>
        <w:rPr>
          <w:rFonts w:ascii="宋体" w:hAnsi="宋体"/>
          <w:color w:val="auto"/>
          <w:sz w:val="24"/>
          <w:highlight w:val="none"/>
        </w:rPr>
      </w:pPr>
      <w:r>
        <w:rPr>
          <w:rFonts w:hint="eastAsia" w:ascii="宋体" w:hAnsi="宋体"/>
          <w:color w:val="auto"/>
          <w:sz w:val="24"/>
          <w:highlight w:val="none"/>
        </w:rPr>
        <w:t>乙方确认邮寄地址：</w:t>
      </w:r>
      <w:r>
        <w:rPr>
          <w:rFonts w:hint="eastAsia" w:ascii="宋体" w:hAnsi="宋体"/>
          <w:color w:val="auto"/>
          <w:sz w:val="24"/>
          <w:highlight w:val="none"/>
          <w:u w:val="single"/>
        </w:rPr>
        <w:t xml:space="preserve">                                               </w:t>
      </w:r>
    </w:p>
    <w:p>
      <w:pPr>
        <w:spacing w:line="520" w:lineRule="exact"/>
        <w:jc w:val="left"/>
        <w:rPr>
          <w:rFonts w:ascii="宋体" w:hAnsi="宋体"/>
          <w:color w:val="auto"/>
          <w:sz w:val="24"/>
          <w:highlight w:val="none"/>
        </w:rPr>
      </w:pPr>
      <w:r>
        <w:rPr>
          <w:rFonts w:hint="eastAsia" w:ascii="宋体" w:hAnsi="宋体"/>
          <w:color w:val="auto"/>
          <w:sz w:val="24"/>
          <w:highlight w:val="none"/>
        </w:rPr>
        <w:t>乙方确认收件人姓名：</w:t>
      </w:r>
      <w:r>
        <w:rPr>
          <w:rFonts w:hint="eastAsia" w:ascii="宋体" w:hAnsi="宋体"/>
          <w:color w:val="auto"/>
          <w:sz w:val="24"/>
          <w:highlight w:val="none"/>
          <w:u w:val="single"/>
        </w:rPr>
        <w:t xml:space="preserve">                                             </w:t>
      </w:r>
    </w:p>
    <w:p>
      <w:pPr>
        <w:spacing w:line="520" w:lineRule="exact"/>
        <w:jc w:val="left"/>
        <w:rPr>
          <w:rFonts w:ascii="宋体" w:hAnsi="宋体"/>
          <w:color w:val="auto"/>
          <w:sz w:val="24"/>
          <w:highlight w:val="none"/>
        </w:rPr>
      </w:pPr>
      <w:r>
        <w:rPr>
          <w:rFonts w:hint="eastAsia" w:ascii="宋体" w:hAnsi="宋体"/>
          <w:color w:val="auto"/>
          <w:sz w:val="24"/>
          <w:highlight w:val="none"/>
        </w:rPr>
        <w:t>乙方确认收件人电话：</w:t>
      </w:r>
      <w:r>
        <w:rPr>
          <w:rFonts w:hint="eastAsia" w:ascii="宋体" w:hAnsi="宋体"/>
          <w:color w:val="auto"/>
          <w:sz w:val="24"/>
          <w:highlight w:val="none"/>
          <w:u w:val="single"/>
        </w:rPr>
        <w:t xml:space="preserve">                                             </w:t>
      </w:r>
    </w:p>
    <w:p>
      <w:pPr>
        <w:spacing w:line="520" w:lineRule="exact"/>
        <w:jc w:val="left"/>
        <w:rPr>
          <w:rFonts w:ascii="宋体" w:hAnsi="宋体"/>
          <w:color w:val="auto"/>
          <w:sz w:val="24"/>
          <w:highlight w:val="none"/>
        </w:rPr>
      </w:pPr>
      <w:r>
        <w:rPr>
          <w:rFonts w:hint="eastAsia" w:ascii="宋体" w:hAnsi="宋体"/>
          <w:color w:val="auto"/>
          <w:sz w:val="24"/>
          <w:highlight w:val="none"/>
        </w:rPr>
        <w:t>乙方确认收件人身份证号：</w:t>
      </w:r>
      <w:r>
        <w:rPr>
          <w:rFonts w:hint="eastAsia" w:ascii="宋体" w:hAnsi="宋体"/>
          <w:color w:val="auto"/>
          <w:sz w:val="24"/>
          <w:highlight w:val="none"/>
          <w:u w:val="single"/>
        </w:rPr>
        <w:t xml:space="preserve">                                         </w:t>
      </w:r>
    </w:p>
    <w:p>
      <w:pPr>
        <w:tabs>
          <w:tab w:val="left" w:pos="3060"/>
        </w:tabs>
        <w:spacing w:line="520" w:lineRule="exact"/>
        <w:outlineLvl w:val="1"/>
        <w:rPr>
          <w:rFonts w:ascii="宋体" w:hAnsi="宋体"/>
          <w:b/>
          <w:bCs/>
          <w:color w:val="auto"/>
          <w:sz w:val="24"/>
          <w:highlight w:val="none"/>
        </w:rPr>
      </w:pPr>
      <w:bookmarkStart w:id="319" w:name="_Toc10090"/>
      <w:r>
        <w:rPr>
          <w:rFonts w:hint="eastAsia" w:ascii="宋体" w:hAnsi="宋体"/>
          <w:b/>
          <w:bCs/>
          <w:color w:val="auto"/>
          <w:sz w:val="24"/>
          <w:highlight w:val="none"/>
        </w:rPr>
        <w:t>17． 合同修改</w:t>
      </w:r>
      <w:bookmarkEnd w:id="319"/>
    </w:p>
    <w:p>
      <w:pPr>
        <w:spacing w:line="520" w:lineRule="exact"/>
        <w:jc w:val="left"/>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 xml:space="preserve"> </w:t>
      </w:r>
      <w:r>
        <w:rPr>
          <w:rFonts w:ascii="宋体" w:hAnsi="宋体"/>
          <w:color w:val="auto"/>
          <w:sz w:val="24"/>
          <w:highlight w:val="none"/>
        </w:rPr>
        <w:t>除合同第16条</w:t>
      </w:r>
      <w:r>
        <w:rPr>
          <w:rFonts w:hint="eastAsia" w:ascii="宋体" w:hAnsi="宋体"/>
          <w:color w:val="auto"/>
          <w:sz w:val="24"/>
          <w:highlight w:val="none"/>
        </w:rPr>
        <w:t>约定</w:t>
      </w:r>
      <w:r>
        <w:rPr>
          <w:rFonts w:ascii="宋体" w:hAnsi="宋体"/>
          <w:color w:val="auto"/>
          <w:sz w:val="24"/>
          <w:highlight w:val="none"/>
        </w:rPr>
        <w:t>的情况</w:t>
      </w:r>
      <w:r>
        <w:rPr>
          <w:rFonts w:hint="eastAsia" w:ascii="宋体" w:hAnsi="宋体"/>
          <w:color w:val="auto"/>
          <w:sz w:val="24"/>
          <w:highlight w:val="none"/>
        </w:rPr>
        <w:t>以外</w:t>
      </w:r>
      <w:r>
        <w:rPr>
          <w:rFonts w:ascii="宋体" w:hAnsi="宋体"/>
          <w:color w:val="auto"/>
          <w:sz w:val="24"/>
          <w:highlight w:val="none"/>
        </w:rPr>
        <w:t>，</w:t>
      </w:r>
      <w:r>
        <w:rPr>
          <w:rFonts w:hint="eastAsia" w:ascii="宋体" w:hAnsi="宋体"/>
          <w:color w:val="auto"/>
          <w:sz w:val="24"/>
          <w:highlight w:val="none"/>
        </w:rPr>
        <w:t>双方</w:t>
      </w:r>
      <w:r>
        <w:rPr>
          <w:rFonts w:ascii="宋体" w:hAnsi="宋体"/>
          <w:color w:val="auto"/>
          <w:sz w:val="24"/>
          <w:highlight w:val="none"/>
        </w:rPr>
        <w:t>不应对合同条款进行任何变更或修改，除非</w:t>
      </w:r>
      <w:r>
        <w:rPr>
          <w:rFonts w:hint="eastAsia" w:ascii="宋体" w:hAnsi="宋体"/>
          <w:color w:val="auto"/>
          <w:sz w:val="24"/>
          <w:highlight w:val="none"/>
        </w:rPr>
        <w:t>经</w:t>
      </w:r>
      <w:r>
        <w:rPr>
          <w:rFonts w:ascii="宋体" w:hAnsi="宋体"/>
          <w:color w:val="auto"/>
          <w:sz w:val="24"/>
          <w:highlight w:val="none"/>
        </w:rPr>
        <w:t>双方同意并签订</w:t>
      </w:r>
      <w:r>
        <w:rPr>
          <w:rFonts w:hint="eastAsia" w:ascii="宋体" w:hAnsi="宋体"/>
          <w:color w:val="auto"/>
          <w:sz w:val="24"/>
          <w:highlight w:val="none"/>
        </w:rPr>
        <w:t>书面补充合同。</w:t>
      </w:r>
    </w:p>
    <w:p>
      <w:pPr>
        <w:tabs>
          <w:tab w:val="left" w:pos="3060"/>
        </w:tabs>
        <w:spacing w:line="520" w:lineRule="exact"/>
        <w:outlineLvl w:val="1"/>
        <w:rPr>
          <w:rFonts w:ascii="宋体" w:hAnsi="宋体"/>
          <w:b/>
          <w:bCs/>
          <w:color w:val="auto"/>
          <w:sz w:val="24"/>
          <w:highlight w:val="none"/>
        </w:rPr>
      </w:pPr>
      <w:bookmarkStart w:id="320" w:name="_Toc5585"/>
      <w:r>
        <w:rPr>
          <w:rFonts w:hint="eastAsia" w:ascii="宋体" w:hAnsi="宋体"/>
          <w:b/>
          <w:bCs/>
          <w:color w:val="auto"/>
          <w:sz w:val="24"/>
          <w:highlight w:val="none"/>
        </w:rPr>
        <w:t>18.  分包和转让</w:t>
      </w:r>
      <w:bookmarkEnd w:id="320"/>
    </w:p>
    <w:p>
      <w:pPr>
        <w:spacing w:line="520" w:lineRule="exact"/>
        <w:jc w:val="left"/>
        <w:rPr>
          <w:rFonts w:ascii="宋体" w:hAnsi="宋体"/>
          <w:color w:val="auto"/>
          <w:sz w:val="24"/>
          <w:highlight w:val="none"/>
        </w:rPr>
      </w:pPr>
      <w:r>
        <w:rPr>
          <w:rFonts w:hint="eastAsia" w:ascii="宋体" w:hAnsi="宋体"/>
          <w:color w:val="auto"/>
          <w:sz w:val="24"/>
          <w:highlight w:val="none"/>
        </w:rPr>
        <w:t>18.1、</w:t>
      </w:r>
      <w:r>
        <w:rPr>
          <w:rFonts w:ascii="宋体" w:hAnsi="宋体"/>
          <w:color w:val="auto"/>
          <w:sz w:val="24"/>
          <w:highlight w:val="none"/>
        </w:rPr>
        <w:t>未经甲方书面同意，乙方不得将合同</w:t>
      </w:r>
      <w:r>
        <w:rPr>
          <w:rFonts w:hint="eastAsia" w:ascii="宋体" w:hAnsi="宋体"/>
          <w:color w:val="auto"/>
          <w:sz w:val="24"/>
          <w:highlight w:val="none"/>
        </w:rPr>
        <w:t>义务</w:t>
      </w:r>
      <w:r>
        <w:rPr>
          <w:rFonts w:ascii="宋体" w:hAnsi="宋体"/>
          <w:color w:val="auto"/>
          <w:sz w:val="24"/>
          <w:highlight w:val="none"/>
        </w:rPr>
        <w:t>全部</w:t>
      </w:r>
      <w:r>
        <w:rPr>
          <w:rFonts w:hint="eastAsia" w:ascii="宋体" w:hAnsi="宋体"/>
          <w:color w:val="auto"/>
          <w:sz w:val="24"/>
          <w:highlight w:val="none"/>
        </w:rPr>
        <w:t>或者</w:t>
      </w:r>
      <w:r>
        <w:rPr>
          <w:rFonts w:ascii="宋体" w:hAnsi="宋体"/>
          <w:color w:val="auto"/>
          <w:sz w:val="24"/>
          <w:highlight w:val="none"/>
        </w:rPr>
        <w:t>部分</w:t>
      </w:r>
      <w:r>
        <w:rPr>
          <w:rFonts w:hint="eastAsia" w:ascii="宋体" w:hAnsi="宋体"/>
          <w:color w:val="auto"/>
          <w:sz w:val="24"/>
          <w:highlight w:val="none"/>
        </w:rPr>
        <w:t>以任何形式进行</w:t>
      </w:r>
      <w:r>
        <w:rPr>
          <w:rFonts w:ascii="宋体" w:hAnsi="宋体"/>
          <w:color w:val="auto"/>
          <w:sz w:val="24"/>
          <w:highlight w:val="none"/>
        </w:rPr>
        <w:t>分包或转让。</w:t>
      </w:r>
    </w:p>
    <w:p>
      <w:pPr>
        <w:spacing w:line="520" w:lineRule="exact"/>
        <w:jc w:val="left"/>
        <w:rPr>
          <w:rFonts w:ascii="宋体" w:hAnsi="宋体"/>
          <w:color w:val="auto"/>
          <w:sz w:val="24"/>
          <w:highlight w:val="none"/>
        </w:rPr>
      </w:pPr>
      <w:r>
        <w:rPr>
          <w:rFonts w:hint="eastAsia" w:ascii="宋体" w:hAnsi="宋体"/>
          <w:color w:val="auto"/>
          <w:sz w:val="24"/>
          <w:highlight w:val="none"/>
        </w:rPr>
        <w:t>18.2、即使</w:t>
      </w:r>
      <w:r>
        <w:rPr>
          <w:rFonts w:ascii="宋体" w:hAnsi="宋体"/>
          <w:color w:val="auto"/>
          <w:sz w:val="24"/>
          <w:highlight w:val="none"/>
        </w:rPr>
        <w:t>乙方</w:t>
      </w:r>
      <w:r>
        <w:rPr>
          <w:rFonts w:hint="eastAsia" w:ascii="宋体" w:hAnsi="宋体"/>
          <w:color w:val="auto"/>
          <w:sz w:val="24"/>
          <w:highlight w:val="none"/>
        </w:rPr>
        <w:t>在征得甲方书面同意后进行分包或者转让的，亦</w:t>
      </w:r>
      <w:r>
        <w:rPr>
          <w:rFonts w:ascii="宋体" w:hAnsi="宋体"/>
          <w:color w:val="auto"/>
          <w:sz w:val="24"/>
          <w:highlight w:val="none"/>
        </w:rPr>
        <w:t>不免除</w:t>
      </w:r>
      <w:r>
        <w:rPr>
          <w:rFonts w:hint="eastAsia" w:ascii="宋体" w:hAnsi="宋体"/>
          <w:color w:val="auto"/>
          <w:sz w:val="24"/>
          <w:highlight w:val="none"/>
        </w:rPr>
        <w:t>或者替代</w:t>
      </w:r>
      <w:r>
        <w:rPr>
          <w:rFonts w:ascii="宋体" w:hAnsi="宋体"/>
          <w:color w:val="auto"/>
          <w:sz w:val="24"/>
          <w:highlight w:val="none"/>
        </w:rPr>
        <w:t>乙方</w:t>
      </w:r>
      <w:r>
        <w:rPr>
          <w:rFonts w:hint="eastAsia" w:ascii="宋体" w:hAnsi="宋体"/>
          <w:color w:val="auto"/>
          <w:sz w:val="24"/>
          <w:highlight w:val="none"/>
        </w:rPr>
        <w:t>按照合同约定和法律规定应当向甲方承担的义务和责任</w:t>
      </w:r>
      <w:r>
        <w:rPr>
          <w:rFonts w:ascii="宋体" w:hAnsi="宋体"/>
          <w:color w:val="auto"/>
          <w:sz w:val="24"/>
          <w:highlight w:val="none"/>
        </w:rPr>
        <w:t>，</w:t>
      </w:r>
      <w:r>
        <w:rPr>
          <w:rFonts w:hint="eastAsia" w:ascii="宋体" w:hAnsi="宋体"/>
          <w:color w:val="auto"/>
          <w:sz w:val="24"/>
          <w:highlight w:val="none"/>
        </w:rPr>
        <w:t>并且乙方和分包方、受让方应当向甲方出具就全部合同义务和责任承担连带责任的书面承诺。</w:t>
      </w:r>
    </w:p>
    <w:p>
      <w:pPr>
        <w:tabs>
          <w:tab w:val="left" w:pos="3060"/>
        </w:tabs>
        <w:spacing w:line="520" w:lineRule="exact"/>
        <w:outlineLvl w:val="1"/>
        <w:rPr>
          <w:rFonts w:ascii="宋体" w:hAnsi="宋体"/>
          <w:b/>
          <w:bCs/>
          <w:color w:val="auto"/>
          <w:sz w:val="24"/>
          <w:highlight w:val="none"/>
        </w:rPr>
      </w:pPr>
      <w:bookmarkStart w:id="321" w:name="_Toc10917"/>
      <w:r>
        <w:rPr>
          <w:rFonts w:hint="eastAsia" w:ascii="宋体" w:hAnsi="宋体"/>
          <w:b/>
          <w:bCs/>
          <w:color w:val="auto"/>
          <w:sz w:val="24"/>
          <w:highlight w:val="none"/>
        </w:rPr>
        <w:t xml:space="preserve">19.  </w:t>
      </w:r>
      <w:r>
        <w:rPr>
          <w:rFonts w:ascii="宋体" w:hAnsi="宋体"/>
          <w:b/>
          <w:bCs/>
          <w:color w:val="auto"/>
          <w:sz w:val="24"/>
          <w:highlight w:val="none"/>
        </w:rPr>
        <w:t>合同的解除</w:t>
      </w:r>
      <w:bookmarkEnd w:id="321"/>
    </w:p>
    <w:p>
      <w:pPr>
        <w:tabs>
          <w:tab w:val="left" w:pos="3060"/>
        </w:tabs>
        <w:spacing w:line="520" w:lineRule="exact"/>
        <w:rPr>
          <w:rFonts w:ascii="宋体" w:hAnsi="宋体"/>
          <w:color w:val="auto"/>
          <w:sz w:val="24"/>
          <w:highlight w:val="none"/>
        </w:rPr>
      </w:pPr>
      <w:r>
        <w:rPr>
          <w:rFonts w:hint="eastAsia" w:ascii="宋体" w:hAnsi="宋体"/>
          <w:color w:val="auto"/>
          <w:sz w:val="24"/>
          <w:highlight w:val="none"/>
        </w:rPr>
        <w:t>19.</w:t>
      </w:r>
      <w:r>
        <w:rPr>
          <w:rFonts w:ascii="宋体" w:hAnsi="宋体"/>
          <w:color w:val="auto"/>
          <w:sz w:val="24"/>
          <w:highlight w:val="none"/>
        </w:rPr>
        <w:t xml:space="preserve">1 </w:t>
      </w:r>
      <w:r>
        <w:rPr>
          <w:rFonts w:hint="eastAsia" w:ascii="宋体" w:hAnsi="宋体"/>
          <w:color w:val="auto"/>
          <w:sz w:val="24"/>
          <w:highlight w:val="none"/>
        </w:rPr>
        <w:t xml:space="preserve"> </w:t>
      </w:r>
      <w:r>
        <w:rPr>
          <w:rFonts w:ascii="宋体" w:hAnsi="宋体"/>
          <w:color w:val="auto"/>
          <w:sz w:val="24"/>
          <w:highlight w:val="none"/>
        </w:rPr>
        <w:t>在甲方对乙方违约</w:t>
      </w:r>
      <w:r>
        <w:rPr>
          <w:rFonts w:hint="eastAsia" w:ascii="宋体" w:hAnsi="宋体"/>
          <w:color w:val="auto"/>
          <w:sz w:val="24"/>
          <w:highlight w:val="none"/>
        </w:rPr>
        <w:t>行为</w:t>
      </w:r>
      <w:r>
        <w:rPr>
          <w:rFonts w:ascii="宋体" w:hAnsi="宋体"/>
          <w:color w:val="auto"/>
          <w:sz w:val="24"/>
          <w:highlight w:val="none"/>
        </w:rPr>
        <w:t>而采取的补救措施不受</w:t>
      </w:r>
      <w:r>
        <w:rPr>
          <w:rFonts w:hint="eastAsia" w:ascii="宋体" w:hAnsi="宋体"/>
          <w:color w:val="auto"/>
          <w:sz w:val="24"/>
          <w:highlight w:val="none"/>
        </w:rPr>
        <w:t>任何</w:t>
      </w:r>
      <w:r>
        <w:rPr>
          <w:rFonts w:ascii="宋体" w:hAnsi="宋体"/>
          <w:color w:val="auto"/>
          <w:sz w:val="24"/>
          <w:highlight w:val="none"/>
        </w:rPr>
        <w:t>影响的情况下，甲方</w:t>
      </w:r>
      <w:r>
        <w:rPr>
          <w:rFonts w:hint="eastAsia" w:ascii="宋体" w:hAnsi="宋体"/>
          <w:color w:val="auto"/>
          <w:sz w:val="24"/>
          <w:highlight w:val="none"/>
        </w:rPr>
        <w:t>有权解除合同</w:t>
      </w:r>
      <w:r>
        <w:rPr>
          <w:rFonts w:ascii="宋体" w:hAnsi="宋体"/>
          <w:color w:val="auto"/>
          <w:sz w:val="24"/>
          <w:highlight w:val="none"/>
        </w:rPr>
        <w:t>：</w:t>
      </w:r>
    </w:p>
    <w:p>
      <w:pPr>
        <w:tabs>
          <w:tab w:val="left" w:pos="3060"/>
        </w:tabs>
        <w:spacing w:line="520" w:lineRule="exact"/>
        <w:ind w:firstLine="480"/>
        <w:outlineLvl w:val="2"/>
        <w:rPr>
          <w:rFonts w:ascii="宋体" w:hAnsi="宋体"/>
          <w:color w:val="auto"/>
          <w:sz w:val="24"/>
          <w:highlight w:val="none"/>
        </w:rPr>
      </w:pPr>
      <w:bookmarkStart w:id="322" w:name="_Toc28993"/>
      <w:r>
        <w:rPr>
          <w:rFonts w:hint="eastAsia" w:ascii="宋体" w:hAnsi="宋体"/>
          <w:color w:val="auto"/>
          <w:sz w:val="24"/>
          <w:highlight w:val="none"/>
        </w:rPr>
        <w:t>1）</w:t>
      </w:r>
      <w:r>
        <w:rPr>
          <w:rFonts w:ascii="宋体" w:hAnsi="宋体"/>
          <w:color w:val="auto"/>
          <w:sz w:val="24"/>
          <w:highlight w:val="none"/>
        </w:rPr>
        <w:t>乙方未履行</w:t>
      </w:r>
      <w:r>
        <w:rPr>
          <w:rFonts w:hint="eastAsia" w:ascii="宋体" w:hAnsi="宋体"/>
          <w:color w:val="auto"/>
          <w:sz w:val="24"/>
          <w:highlight w:val="none"/>
        </w:rPr>
        <w:t>约定或者规定</w:t>
      </w:r>
      <w:r>
        <w:rPr>
          <w:rFonts w:ascii="宋体" w:hAnsi="宋体"/>
          <w:color w:val="auto"/>
          <w:sz w:val="24"/>
          <w:highlight w:val="none"/>
        </w:rPr>
        <w:t>的义务。</w:t>
      </w:r>
      <w:bookmarkEnd w:id="322"/>
    </w:p>
    <w:p>
      <w:pPr>
        <w:tabs>
          <w:tab w:val="left" w:pos="3060"/>
        </w:tabs>
        <w:spacing w:line="520" w:lineRule="exact"/>
        <w:ind w:firstLine="48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如果甲方认为乙方在本合同的</w:t>
      </w:r>
      <w:r>
        <w:rPr>
          <w:rFonts w:hint="eastAsia" w:ascii="宋体" w:hAnsi="宋体"/>
          <w:color w:val="auto"/>
          <w:sz w:val="24"/>
          <w:highlight w:val="none"/>
        </w:rPr>
        <w:t>招投标、签订</w:t>
      </w:r>
      <w:r>
        <w:rPr>
          <w:rFonts w:ascii="宋体" w:hAnsi="宋体"/>
          <w:color w:val="auto"/>
          <w:sz w:val="24"/>
          <w:highlight w:val="none"/>
        </w:rPr>
        <w:t>和</w:t>
      </w:r>
      <w:r>
        <w:rPr>
          <w:rFonts w:hint="eastAsia" w:ascii="宋体" w:hAnsi="宋体"/>
          <w:color w:val="auto"/>
          <w:sz w:val="24"/>
          <w:highlight w:val="none"/>
        </w:rPr>
        <w:t>履行</w:t>
      </w:r>
      <w:r>
        <w:rPr>
          <w:rFonts w:ascii="宋体" w:hAnsi="宋体"/>
          <w:color w:val="auto"/>
          <w:sz w:val="24"/>
          <w:highlight w:val="none"/>
        </w:rPr>
        <w:t>过程中有腐败和欺诈行为</w:t>
      </w:r>
      <w:r>
        <w:rPr>
          <w:rFonts w:hint="eastAsia" w:ascii="宋体" w:hAnsi="宋体"/>
          <w:color w:val="auto"/>
          <w:sz w:val="24"/>
          <w:highlight w:val="none"/>
        </w:rPr>
        <w:t>，包括但不限于</w:t>
      </w:r>
      <w:r>
        <w:rPr>
          <w:rFonts w:ascii="宋体" w:hAnsi="宋体"/>
          <w:color w:val="auto"/>
          <w:sz w:val="24"/>
          <w:highlight w:val="none"/>
        </w:rPr>
        <w:t>：</w:t>
      </w:r>
    </w:p>
    <w:p>
      <w:pPr>
        <w:tabs>
          <w:tab w:val="left" w:pos="3060"/>
        </w:tabs>
        <w:spacing w:line="520" w:lineRule="exact"/>
        <w:ind w:firstLine="480"/>
        <w:rPr>
          <w:rFonts w:ascii="宋体" w:hAnsi="宋体"/>
          <w:color w:val="auto"/>
          <w:sz w:val="24"/>
          <w:highlight w:val="none"/>
        </w:rPr>
      </w:pPr>
      <w:r>
        <w:rPr>
          <w:rFonts w:hint="eastAsia" w:ascii="宋体" w:hAnsi="宋体"/>
          <w:color w:val="auto"/>
          <w:sz w:val="24"/>
          <w:highlight w:val="none"/>
        </w:rPr>
        <w:t>a、</w:t>
      </w:r>
      <w:r>
        <w:rPr>
          <w:rFonts w:ascii="宋体" w:hAnsi="宋体"/>
          <w:color w:val="auto"/>
          <w:sz w:val="24"/>
          <w:highlight w:val="none"/>
        </w:rPr>
        <w:t>“腐败行为”是指提供、给予、接受或索取任何有价值的物品</w:t>
      </w:r>
      <w:r>
        <w:rPr>
          <w:rFonts w:hint="eastAsia" w:ascii="宋体" w:hAnsi="宋体"/>
          <w:color w:val="auto"/>
          <w:sz w:val="24"/>
          <w:highlight w:val="none"/>
        </w:rPr>
        <w:t>、权利、行为</w:t>
      </w:r>
      <w:r>
        <w:rPr>
          <w:rFonts w:ascii="宋体" w:hAnsi="宋体"/>
          <w:color w:val="auto"/>
          <w:sz w:val="24"/>
          <w:highlight w:val="none"/>
        </w:rPr>
        <w:t>来影响甲方在本合同的</w:t>
      </w:r>
      <w:r>
        <w:rPr>
          <w:rFonts w:hint="eastAsia" w:ascii="宋体" w:hAnsi="宋体"/>
          <w:color w:val="auto"/>
          <w:sz w:val="24"/>
          <w:highlight w:val="none"/>
        </w:rPr>
        <w:t>招投标、签订</w:t>
      </w:r>
      <w:r>
        <w:rPr>
          <w:rFonts w:ascii="宋体" w:hAnsi="宋体"/>
          <w:color w:val="auto"/>
          <w:sz w:val="24"/>
          <w:highlight w:val="none"/>
        </w:rPr>
        <w:t>和</w:t>
      </w:r>
      <w:r>
        <w:rPr>
          <w:rFonts w:hint="eastAsia" w:ascii="宋体" w:hAnsi="宋体"/>
          <w:color w:val="auto"/>
          <w:sz w:val="24"/>
          <w:highlight w:val="none"/>
        </w:rPr>
        <w:t>履行</w:t>
      </w:r>
      <w:r>
        <w:rPr>
          <w:rFonts w:ascii="宋体" w:hAnsi="宋体"/>
          <w:color w:val="auto"/>
          <w:sz w:val="24"/>
          <w:highlight w:val="none"/>
        </w:rPr>
        <w:t>过程中的行为。</w:t>
      </w:r>
    </w:p>
    <w:p>
      <w:pPr>
        <w:tabs>
          <w:tab w:val="left" w:pos="3060"/>
        </w:tabs>
        <w:spacing w:line="520" w:lineRule="exact"/>
        <w:ind w:firstLine="480"/>
        <w:rPr>
          <w:rFonts w:ascii="宋体" w:hAnsi="宋体"/>
          <w:color w:val="auto"/>
          <w:sz w:val="24"/>
          <w:highlight w:val="none"/>
        </w:rPr>
      </w:pPr>
      <w:r>
        <w:rPr>
          <w:rFonts w:hint="eastAsia" w:ascii="宋体" w:hAnsi="宋体"/>
          <w:color w:val="auto"/>
          <w:sz w:val="24"/>
          <w:highlight w:val="none"/>
        </w:rPr>
        <w:t>b、</w:t>
      </w:r>
      <w:r>
        <w:rPr>
          <w:rFonts w:ascii="宋体" w:hAnsi="宋体"/>
          <w:color w:val="auto"/>
          <w:sz w:val="24"/>
          <w:highlight w:val="none"/>
        </w:rPr>
        <w:t>“欺诈行为”是指为了影响本合同的</w:t>
      </w:r>
      <w:r>
        <w:rPr>
          <w:rFonts w:hint="eastAsia" w:ascii="宋体" w:hAnsi="宋体"/>
          <w:color w:val="auto"/>
          <w:sz w:val="24"/>
          <w:highlight w:val="none"/>
        </w:rPr>
        <w:t>招投标、签订</w:t>
      </w:r>
      <w:r>
        <w:rPr>
          <w:rFonts w:ascii="宋体" w:hAnsi="宋体"/>
          <w:color w:val="auto"/>
          <w:sz w:val="24"/>
          <w:highlight w:val="none"/>
        </w:rPr>
        <w:t>和</w:t>
      </w:r>
      <w:r>
        <w:rPr>
          <w:rFonts w:hint="eastAsia" w:ascii="宋体" w:hAnsi="宋体"/>
          <w:color w:val="auto"/>
          <w:sz w:val="24"/>
          <w:highlight w:val="none"/>
        </w:rPr>
        <w:t>履行</w:t>
      </w:r>
      <w:r>
        <w:rPr>
          <w:rFonts w:ascii="宋体" w:hAnsi="宋体"/>
          <w:color w:val="auto"/>
          <w:sz w:val="24"/>
          <w:highlight w:val="none"/>
        </w:rPr>
        <w:t>而虚构事实或隐瞒事实，损害甲方利益的行为。</w:t>
      </w:r>
    </w:p>
    <w:p>
      <w:pPr>
        <w:tabs>
          <w:tab w:val="left" w:pos="3060"/>
        </w:tabs>
        <w:spacing w:line="520" w:lineRule="exact"/>
        <w:rPr>
          <w:rFonts w:ascii="宋体" w:hAnsi="宋体"/>
          <w:color w:val="auto"/>
          <w:sz w:val="24"/>
          <w:highlight w:val="none"/>
        </w:rPr>
      </w:pPr>
      <w:r>
        <w:rPr>
          <w:rFonts w:hint="eastAsia" w:ascii="宋体" w:hAnsi="宋体"/>
          <w:color w:val="auto"/>
          <w:sz w:val="24"/>
          <w:highlight w:val="none"/>
        </w:rPr>
        <w:t xml:space="preserve">19.2  </w:t>
      </w:r>
      <w:r>
        <w:rPr>
          <w:rFonts w:ascii="宋体" w:hAnsi="宋体"/>
          <w:color w:val="auto"/>
          <w:sz w:val="24"/>
          <w:highlight w:val="none"/>
        </w:rPr>
        <w:t>如果甲方根据</w:t>
      </w:r>
      <w:r>
        <w:rPr>
          <w:rFonts w:hint="eastAsia" w:ascii="宋体" w:hAnsi="宋体"/>
          <w:color w:val="auto"/>
          <w:sz w:val="24"/>
          <w:highlight w:val="none"/>
        </w:rPr>
        <w:t>上述约定</w:t>
      </w:r>
      <w:r>
        <w:rPr>
          <w:rFonts w:ascii="宋体" w:hAnsi="宋体"/>
          <w:color w:val="auto"/>
          <w:sz w:val="24"/>
          <w:highlight w:val="none"/>
        </w:rPr>
        <w:t>解除合同，甲方可以依其认为适当的条件和方法</w:t>
      </w:r>
      <w:r>
        <w:rPr>
          <w:rFonts w:hint="eastAsia" w:ascii="宋体" w:hAnsi="宋体"/>
          <w:color w:val="auto"/>
          <w:sz w:val="24"/>
          <w:highlight w:val="none"/>
        </w:rPr>
        <w:t>采购</w:t>
      </w:r>
      <w:r>
        <w:rPr>
          <w:rFonts w:ascii="宋体" w:hAnsi="宋体"/>
          <w:color w:val="auto"/>
          <w:sz w:val="24"/>
          <w:highlight w:val="none"/>
        </w:rPr>
        <w:t>与</w:t>
      </w:r>
      <w:r>
        <w:rPr>
          <w:rFonts w:hint="eastAsia" w:ascii="宋体" w:hAnsi="宋体"/>
          <w:color w:val="auto"/>
          <w:sz w:val="24"/>
          <w:highlight w:val="none"/>
        </w:rPr>
        <w:t>本合同约定设备（货物）</w:t>
      </w:r>
      <w:r>
        <w:rPr>
          <w:rFonts w:ascii="宋体" w:hAnsi="宋体"/>
          <w:color w:val="auto"/>
          <w:sz w:val="24"/>
          <w:highlight w:val="none"/>
        </w:rPr>
        <w:t>类似</w:t>
      </w:r>
      <w:r>
        <w:rPr>
          <w:rFonts w:hint="eastAsia" w:ascii="宋体" w:hAnsi="宋体"/>
          <w:color w:val="auto"/>
          <w:sz w:val="24"/>
          <w:highlight w:val="none"/>
        </w:rPr>
        <w:t>但是乙方没有向甲方交付</w:t>
      </w:r>
      <w:r>
        <w:rPr>
          <w:rFonts w:ascii="宋体" w:hAnsi="宋体"/>
          <w:color w:val="auto"/>
          <w:sz w:val="24"/>
          <w:highlight w:val="none"/>
        </w:rPr>
        <w:t>的</w:t>
      </w:r>
      <w:r>
        <w:rPr>
          <w:rFonts w:hint="eastAsia" w:ascii="宋体" w:hAnsi="宋体"/>
          <w:color w:val="auto"/>
          <w:sz w:val="24"/>
          <w:highlight w:val="none"/>
        </w:rPr>
        <w:t>设备（货物）或者提供的服务</w:t>
      </w:r>
      <w:r>
        <w:rPr>
          <w:rFonts w:ascii="宋体" w:hAnsi="宋体"/>
          <w:color w:val="auto"/>
          <w:sz w:val="24"/>
          <w:highlight w:val="none"/>
        </w:rPr>
        <w:t>，乙方</w:t>
      </w:r>
      <w:r>
        <w:rPr>
          <w:rFonts w:hint="eastAsia" w:ascii="宋体" w:hAnsi="宋体"/>
          <w:color w:val="auto"/>
          <w:sz w:val="24"/>
          <w:highlight w:val="none"/>
        </w:rPr>
        <w:t>应当</w:t>
      </w:r>
      <w:r>
        <w:rPr>
          <w:rFonts w:ascii="宋体" w:hAnsi="宋体"/>
          <w:color w:val="auto"/>
          <w:sz w:val="24"/>
          <w:highlight w:val="none"/>
        </w:rPr>
        <w:t>承担甲方因</w:t>
      </w:r>
      <w:r>
        <w:rPr>
          <w:rFonts w:hint="eastAsia" w:ascii="宋体" w:hAnsi="宋体"/>
          <w:color w:val="auto"/>
          <w:sz w:val="24"/>
          <w:highlight w:val="none"/>
        </w:rPr>
        <w:t>采购</w:t>
      </w:r>
      <w:r>
        <w:rPr>
          <w:rFonts w:ascii="宋体" w:hAnsi="宋体"/>
          <w:color w:val="auto"/>
          <w:sz w:val="24"/>
          <w:highlight w:val="none"/>
        </w:rPr>
        <w:t>类似</w:t>
      </w:r>
      <w:r>
        <w:rPr>
          <w:rFonts w:hint="eastAsia" w:ascii="宋体" w:hAnsi="宋体"/>
          <w:color w:val="auto"/>
          <w:sz w:val="24"/>
          <w:highlight w:val="none"/>
        </w:rPr>
        <w:t>设备（货物）</w:t>
      </w:r>
      <w:r>
        <w:rPr>
          <w:rFonts w:ascii="宋体" w:hAnsi="宋体"/>
          <w:color w:val="auto"/>
          <w:sz w:val="24"/>
          <w:highlight w:val="none"/>
        </w:rPr>
        <w:t>或服务而产生的</w:t>
      </w:r>
      <w:r>
        <w:rPr>
          <w:rFonts w:hint="eastAsia" w:ascii="宋体" w:hAnsi="宋体"/>
          <w:color w:val="auto"/>
          <w:sz w:val="24"/>
          <w:highlight w:val="none"/>
        </w:rPr>
        <w:t>费用，并赔偿甲方全部经济损失</w:t>
      </w:r>
      <w:r>
        <w:rPr>
          <w:rFonts w:ascii="宋体" w:hAnsi="宋体"/>
          <w:color w:val="auto"/>
          <w:sz w:val="24"/>
          <w:highlight w:val="none"/>
        </w:rPr>
        <w:t>。</w:t>
      </w:r>
    </w:p>
    <w:p>
      <w:pPr>
        <w:tabs>
          <w:tab w:val="left" w:pos="3060"/>
        </w:tabs>
        <w:spacing w:line="520" w:lineRule="exact"/>
        <w:outlineLvl w:val="1"/>
        <w:rPr>
          <w:rFonts w:ascii="宋体" w:hAnsi="宋体"/>
          <w:b/>
          <w:bCs/>
          <w:color w:val="auto"/>
          <w:sz w:val="24"/>
          <w:highlight w:val="none"/>
        </w:rPr>
      </w:pPr>
      <w:bookmarkStart w:id="323" w:name="_Toc24209"/>
      <w:r>
        <w:rPr>
          <w:rFonts w:ascii="宋体" w:hAnsi="宋体"/>
          <w:b/>
          <w:bCs/>
          <w:color w:val="auto"/>
          <w:sz w:val="24"/>
          <w:highlight w:val="none"/>
        </w:rPr>
        <w:t>2</w:t>
      </w:r>
      <w:r>
        <w:rPr>
          <w:rFonts w:hint="eastAsia" w:ascii="宋体" w:hAnsi="宋体"/>
          <w:b/>
          <w:bCs/>
          <w:color w:val="auto"/>
          <w:sz w:val="24"/>
          <w:highlight w:val="none"/>
        </w:rPr>
        <w:t xml:space="preserve">0.  </w:t>
      </w:r>
      <w:r>
        <w:rPr>
          <w:rFonts w:ascii="宋体" w:hAnsi="宋体"/>
          <w:b/>
          <w:bCs/>
          <w:color w:val="auto"/>
          <w:sz w:val="24"/>
          <w:highlight w:val="none"/>
        </w:rPr>
        <w:t>争议解决</w:t>
      </w:r>
      <w:bookmarkEnd w:id="323"/>
    </w:p>
    <w:p>
      <w:pPr>
        <w:spacing w:line="520" w:lineRule="exact"/>
        <w:jc w:val="left"/>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0.</w:t>
      </w:r>
      <w:r>
        <w:rPr>
          <w:rFonts w:ascii="宋体" w:hAnsi="宋体"/>
          <w:color w:val="auto"/>
          <w:sz w:val="24"/>
          <w:highlight w:val="none"/>
        </w:rPr>
        <w:t>1</w:t>
      </w:r>
      <w:r>
        <w:rPr>
          <w:rFonts w:hint="eastAsia" w:ascii="宋体" w:hAnsi="宋体"/>
          <w:color w:val="auto"/>
          <w:sz w:val="24"/>
          <w:highlight w:val="none"/>
        </w:rPr>
        <w:t xml:space="preserve">  </w:t>
      </w:r>
      <w:r>
        <w:rPr>
          <w:rFonts w:ascii="宋体" w:hAnsi="宋体"/>
          <w:color w:val="auto"/>
          <w:sz w:val="24"/>
          <w:highlight w:val="none"/>
        </w:rPr>
        <w:t>因本合同签订、履行发生的争议，可首先由双方协商解决。双方不能协商或者协商未能达成一致的，可由一方向本合同</w:t>
      </w:r>
      <w:r>
        <w:rPr>
          <w:rFonts w:hint="eastAsia" w:ascii="宋体" w:hAnsi="宋体"/>
          <w:color w:val="auto"/>
          <w:sz w:val="24"/>
          <w:highlight w:val="none"/>
        </w:rPr>
        <w:t>签订地</w:t>
      </w:r>
      <w:r>
        <w:rPr>
          <w:rFonts w:ascii="宋体" w:hAnsi="宋体"/>
          <w:color w:val="auto"/>
          <w:sz w:val="24"/>
          <w:highlight w:val="none"/>
        </w:rPr>
        <w:t>石河子的石河子市人民法院提起民事诉讼。</w:t>
      </w:r>
    </w:p>
    <w:p>
      <w:pPr>
        <w:spacing w:line="520" w:lineRule="exact"/>
        <w:jc w:val="left"/>
        <w:rPr>
          <w:rFonts w:ascii="宋体" w:hAnsi="宋体"/>
          <w:color w:val="auto"/>
          <w:sz w:val="24"/>
          <w:highlight w:val="none"/>
        </w:rPr>
      </w:pPr>
      <w:r>
        <w:rPr>
          <w:rFonts w:hint="eastAsia" w:ascii="宋体" w:hAnsi="宋体"/>
          <w:color w:val="auto"/>
          <w:sz w:val="24"/>
          <w:highlight w:val="none"/>
        </w:rPr>
        <w:t xml:space="preserve">20.2   </w:t>
      </w:r>
      <w:r>
        <w:rPr>
          <w:rFonts w:ascii="宋体" w:hAnsi="宋体"/>
          <w:color w:val="auto"/>
          <w:sz w:val="24"/>
          <w:highlight w:val="none"/>
        </w:rPr>
        <w:t>在诉讼期间，除正在进行诉讼</w:t>
      </w:r>
      <w:r>
        <w:rPr>
          <w:rFonts w:hint="eastAsia" w:ascii="宋体" w:hAnsi="宋体"/>
          <w:color w:val="auto"/>
          <w:sz w:val="24"/>
          <w:highlight w:val="none"/>
        </w:rPr>
        <w:t>涉及</w:t>
      </w:r>
      <w:r>
        <w:rPr>
          <w:rFonts w:ascii="宋体" w:hAnsi="宋体"/>
          <w:color w:val="auto"/>
          <w:sz w:val="24"/>
          <w:highlight w:val="none"/>
        </w:rPr>
        <w:t>的部分外，本合同其他部分应继续执行。</w:t>
      </w:r>
    </w:p>
    <w:p>
      <w:pPr>
        <w:pStyle w:val="19"/>
        <w:spacing w:line="520" w:lineRule="exact"/>
        <w:outlineLvl w:val="1"/>
        <w:rPr>
          <w:rFonts w:ascii="宋体" w:hAnsi="宋体"/>
          <w:b/>
          <w:bCs/>
          <w:color w:val="auto"/>
          <w:sz w:val="24"/>
          <w:highlight w:val="none"/>
        </w:rPr>
      </w:pPr>
      <w:bookmarkStart w:id="324" w:name="_Toc8679"/>
      <w:r>
        <w:rPr>
          <w:rFonts w:hint="eastAsia" w:ascii="宋体" w:hAnsi="宋体"/>
          <w:b/>
          <w:bCs/>
          <w:color w:val="auto"/>
          <w:sz w:val="24"/>
          <w:highlight w:val="none"/>
        </w:rPr>
        <w:t xml:space="preserve">21． </w:t>
      </w:r>
      <w:r>
        <w:rPr>
          <w:rFonts w:ascii="宋体" w:hAnsi="宋体"/>
          <w:b/>
          <w:bCs/>
          <w:color w:val="auto"/>
          <w:sz w:val="24"/>
          <w:highlight w:val="none"/>
        </w:rPr>
        <w:t>适用法律</w:t>
      </w:r>
      <w:bookmarkEnd w:id="324"/>
    </w:p>
    <w:p>
      <w:pPr>
        <w:tabs>
          <w:tab w:val="left" w:pos="3060"/>
        </w:tabs>
        <w:spacing w:line="520" w:lineRule="exact"/>
        <w:rPr>
          <w:rFonts w:ascii="宋体" w:hAnsi="宋体"/>
          <w:color w:val="auto"/>
          <w:sz w:val="24"/>
          <w:highlight w:val="none"/>
        </w:rPr>
      </w:pPr>
      <w:r>
        <w:rPr>
          <w:rFonts w:hint="eastAsia" w:ascii="宋体" w:hAnsi="宋体"/>
          <w:color w:val="auto"/>
          <w:sz w:val="24"/>
          <w:highlight w:val="none"/>
        </w:rPr>
        <w:t>21</w:t>
      </w:r>
      <w:r>
        <w:rPr>
          <w:rFonts w:ascii="宋体" w:hAnsi="宋体"/>
          <w:color w:val="auto"/>
          <w:sz w:val="24"/>
          <w:highlight w:val="none"/>
        </w:rPr>
        <w:t xml:space="preserve">.1 </w:t>
      </w:r>
      <w:r>
        <w:rPr>
          <w:rFonts w:hint="eastAsia" w:ascii="宋体" w:hAnsi="宋体"/>
          <w:color w:val="auto"/>
          <w:sz w:val="24"/>
          <w:highlight w:val="none"/>
        </w:rPr>
        <w:t xml:space="preserve">  </w:t>
      </w:r>
      <w:r>
        <w:rPr>
          <w:rFonts w:ascii="宋体" w:hAnsi="宋体"/>
          <w:color w:val="auto"/>
          <w:sz w:val="24"/>
          <w:highlight w:val="none"/>
        </w:rPr>
        <w:t>本合同应按照中华人民共和国</w:t>
      </w:r>
      <w:r>
        <w:rPr>
          <w:rFonts w:hint="eastAsia" w:ascii="宋体" w:hAnsi="宋体"/>
          <w:color w:val="auto"/>
          <w:sz w:val="24"/>
          <w:highlight w:val="none"/>
        </w:rPr>
        <w:t>现行有效的</w:t>
      </w:r>
      <w:r>
        <w:rPr>
          <w:rFonts w:ascii="宋体" w:hAnsi="宋体"/>
          <w:color w:val="auto"/>
          <w:sz w:val="24"/>
          <w:highlight w:val="none"/>
        </w:rPr>
        <w:t>法律</w:t>
      </w:r>
      <w:r>
        <w:rPr>
          <w:rFonts w:hint="eastAsia" w:ascii="宋体" w:hAnsi="宋体"/>
          <w:color w:val="auto"/>
          <w:sz w:val="24"/>
          <w:highlight w:val="none"/>
        </w:rPr>
        <w:t>、法规、规章</w:t>
      </w:r>
      <w:r>
        <w:rPr>
          <w:rFonts w:ascii="宋体" w:hAnsi="宋体"/>
          <w:color w:val="auto"/>
          <w:sz w:val="24"/>
          <w:highlight w:val="none"/>
        </w:rPr>
        <w:t>进行解释。</w:t>
      </w:r>
    </w:p>
    <w:p>
      <w:pPr>
        <w:numPr>
          <w:ilvl w:val="0"/>
          <w:numId w:val="10"/>
        </w:numPr>
        <w:tabs>
          <w:tab w:val="left" w:pos="3060"/>
        </w:tabs>
        <w:spacing w:line="520" w:lineRule="exact"/>
        <w:outlineLvl w:val="1"/>
        <w:rPr>
          <w:rFonts w:ascii="宋体" w:hAnsi="宋体"/>
          <w:b/>
          <w:bCs/>
          <w:color w:val="auto"/>
          <w:sz w:val="24"/>
          <w:highlight w:val="none"/>
        </w:rPr>
      </w:pPr>
      <w:r>
        <w:rPr>
          <w:rFonts w:hint="eastAsia" w:ascii="宋体" w:hAnsi="宋体"/>
          <w:b/>
          <w:bCs/>
          <w:color w:val="auto"/>
          <w:sz w:val="24"/>
          <w:highlight w:val="none"/>
        </w:rPr>
        <w:t xml:space="preserve"> </w:t>
      </w:r>
      <w:bookmarkStart w:id="325" w:name="_Toc2566"/>
      <w:r>
        <w:rPr>
          <w:rFonts w:hint="eastAsia" w:ascii="宋体" w:hAnsi="宋体"/>
          <w:b/>
          <w:bCs/>
          <w:color w:val="auto"/>
          <w:sz w:val="24"/>
          <w:highlight w:val="none"/>
        </w:rPr>
        <w:t>确认送达地址</w:t>
      </w:r>
      <w:bookmarkEnd w:id="325"/>
    </w:p>
    <w:p>
      <w:pPr>
        <w:rPr>
          <w:color w:val="auto"/>
          <w:sz w:val="24"/>
          <w:highlight w:val="none"/>
        </w:rPr>
      </w:pPr>
      <w:r>
        <w:rPr>
          <w:rFonts w:hint="eastAsia"/>
          <w:color w:val="auto"/>
          <w:sz w:val="24"/>
          <w:highlight w:val="none"/>
        </w:rPr>
        <w:t>22.1    本合同载明的甲方、乙方住所地为通讯及联系地址，今后凡与本合同项下相关法律文书、诉讼文书送达地址等均以此为准，双方承诺在通讯及联系方式发生变更时，应及时通知相对方，否则按本合同载明的通讯及联系方式送达的文件均为有效送达，由此引起的相关经济和法律责任由责任方承担。</w:t>
      </w:r>
    </w:p>
    <w:p>
      <w:pPr>
        <w:tabs>
          <w:tab w:val="left" w:pos="3060"/>
        </w:tabs>
        <w:spacing w:line="520" w:lineRule="exact"/>
        <w:ind w:left="1176" w:hanging="1177" w:hangingChars="490"/>
        <w:outlineLvl w:val="1"/>
        <w:rPr>
          <w:rFonts w:ascii="宋体" w:hAnsi="宋体"/>
          <w:b/>
          <w:bCs/>
          <w:color w:val="auto"/>
          <w:sz w:val="24"/>
          <w:highlight w:val="none"/>
        </w:rPr>
      </w:pPr>
      <w:bookmarkStart w:id="326" w:name="_Toc32623"/>
      <w:r>
        <w:rPr>
          <w:rFonts w:hint="eastAsia" w:ascii="宋体" w:hAnsi="宋体"/>
          <w:b/>
          <w:bCs/>
          <w:color w:val="auto"/>
          <w:sz w:val="24"/>
          <w:highlight w:val="none"/>
        </w:rPr>
        <w:t xml:space="preserve">23.  </w:t>
      </w:r>
      <w:r>
        <w:rPr>
          <w:rFonts w:ascii="宋体" w:hAnsi="宋体"/>
          <w:b/>
          <w:bCs/>
          <w:color w:val="auto"/>
          <w:sz w:val="24"/>
          <w:highlight w:val="none"/>
        </w:rPr>
        <w:t>合同生效</w:t>
      </w:r>
      <w:bookmarkEnd w:id="326"/>
    </w:p>
    <w:p>
      <w:pPr>
        <w:spacing w:line="520" w:lineRule="exact"/>
        <w:jc w:val="left"/>
        <w:rPr>
          <w:rFonts w:ascii="宋体" w:hAnsi="宋体"/>
          <w:color w:val="auto"/>
          <w:sz w:val="24"/>
          <w:highlight w:val="none"/>
        </w:rPr>
      </w:pPr>
      <w:r>
        <w:rPr>
          <w:rFonts w:hint="eastAsia" w:ascii="宋体" w:hAnsi="宋体"/>
          <w:color w:val="auto"/>
          <w:sz w:val="24"/>
          <w:highlight w:val="none"/>
        </w:rPr>
        <w:t>23.</w:t>
      </w:r>
      <w:r>
        <w:rPr>
          <w:rFonts w:ascii="宋体" w:hAnsi="宋体"/>
          <w:color w:val="auto"/>
          <w:sz w:val="24"/>
          <w:highlight w:val="none"/>
        </w:rPr>
        <w:t xml:space="preserve">1 </w:t>
      </w:r>
      <w:r>
        <w:rPr>
          <w:rFonts w:hint="eastAsia" w:ascii="宋体" w:hAnsi="宋体"/>
          <w:color w:val="auto"/>
          <w:sz w:val="24"/>
          <w:highlight w:val="none"/>
        </w:rPr>
        <w:t xml:space="preserve"> </w:t>
      </w:r>
      <w:r>
        <w:rPr>
          <w:rFonts w:ascii="宋体" w:hAnsi="宋体"/>
          <w:color w:val="auto"/>
          <w:sz w:val="24"/>
          <w:highlight w:val="none"/>
        </w:rPr>
        <w:t>本合同在双方盖章</w:t>
      </w:r>
      <w:r>
        <w:rPr>
          <w:rFonts w:hint="eastAsia" w:ascii="宋体" w:hAnsi="宋体"/>
          <w:color w:val="auto"/>
          <w:sz w:val="24"/>
          <w:highlight w:val="none"/>
        </w:rPr>
        <w:t>并且乙方缴纳履约保证金</w:t>
      </w:r>
      <w:r>
        <w:rPr>
          <w:rFonts w:ascii="宋体" w:hAnsi="宋体"/>
          <w:color w:val="auto"/>
          <w:sz w:val="24"/>
          <w:highlight w:val="none"/>
        </w:rPr>
        <w:t>及合同</w:t>
      </w:r>
      <w:r>
        <w:rPr>
          <w:rFonts w:hint="eastAsia" w:ascii="宋体" w:hAnsi="宋体"/>
          <w:color w:val="auto"/>
          <w:sz w:val="24"/>
          <w:highlight w:val="none"/>
        </w:rPr>
        <w:t>约定</w:t>
      </w:r>
      <w:r>
        <w:rPr>
          <w:rFonts w:ascii="宋体" w:hAnsi="宋体"/>
          <w:color w:val="auto"/>
          <w:sz w:val="24"/>
          <w:highlight w:val="none"/>
        </w:rPr>
        <w:t>的其他条件</w:t>
      </w:r>
      <w:r>
        <w:rPr>
          <w:rFonts w:hint="eastAsia" w:ascii="宋体" w:hAnsi="宋体"/>
          <w:color w:val="auto"/>
          <w:sz w:val="24"/>
          <w:highlight w:val="none"/>
        </w:rPr>
        <w:t>成就</w:t>
      </w:r>
      <w:r>
        <w:rPr>
          <w:rFonts w:ascii="宋体" w:hAnsi="宋体"/>
          <w:color w:val="auto"/>
          <w:sz w:val="24"/>
          <w:highlight w:val="none"/>
        </w:rPr>
        <w:t>后生效。</w:t>
      </w:r>
    </w:p>
    <w:p>
      <w:pPr>
        <w:spacing w:line="520" w:lineRule="exact"/>
        <w:jc w:val="left"/>
        <w:rPr>
          <w:rFonts w:ascii="楷体" w:hAnsi="楷体" w:eastAsia="楷体" w:cs="楷体"/>
          <w:color w:val="auto"/>
          <w:sz w:val="32"/>
          <w:szCs w:val="32"/>
          <w:highlight w:val="none"/>
        </w:rPr>
      </w:pPr>
      <w:r>
        <w:rPr>
          <w:rFonts w:hint="eastAsia" w:ascii="宋体" w:hAnsi="宋体"/>
          <w:color w:val="auto"/>
          <w:sz w:val="24"/>
          <w:highlight w:val="none"/>
        </w:rPr>
        <w:t>23.</w:t>
      </w:r>
      <w:r>
        <w:rPr>
          <w:rFonts w:ascii="宋体" w:hAnsi="宋体"/>
          <w:color w:val="auto"/>
          <w:sz w:val="24"/>
          <w:highlight w:val="none"/>
        </w:rPr>
        <w:t xml:space="preserve">2 </w:t>
      </w:r>
      <w:r>
        <w:rPr>
          <w:rFonts w:hint="eastAsia" w:ascii="宋体" w:hAnsi="宋体"/>
          <w:color w:val="auto"/>
          <w:sz w:val="24"/>
          <w:highlight w:val="none"/>
        </w:rPr>
        <w:t xml:space="preserve"> </w:t>
      </w:r>
      <w:r>
        <w:rPr>
          <w:rFonts w:ascii="宋体" w:hAnsi="宋体"/>
          <w:color w:val="auto"/>
          <w:sz w:val="24"/>
          <w:highlight w:val="none"/>
        </w:rPr>
        <w:t>本合同正文、附件、通知</w:t>
      </w:r>
      <w:r>
        <w:rPr>
          <w:rFonts w:hint="eastAsia" w:ascii="宋体" w:hAnsi="宋体"/>
          <w:color w:val="auto"/>
          <w:sz w:val="24"/>
          <w:highlight w:val="none"/>
        </w:rPr>
        <w:t>、</w:t>
      </w:r>
      <w:r>
        <w:rPr>
          <w:rFonts w:ascii="宋体" w:hAnsi="宋体"/>
          <w:color w:val="auto"/>
          <w:sz w:val="24"/>
          <w:highlight w:val="none"/>
        </w:rPr>
        <w:t>补充协议</w:t>
      </w:r>
      <w:r>
        <w:rPr>
          <w:rFonts w:hint="eastAsia" w:ascii="宋体" w:hAnsi="宋体"/>
          <w:color w:val="auto"/>
          <w:sz w:val="24"/>
          <w:highlight w:val="none"/>
        </w:rPr>
        <w:t>以及招投标文件、承诺书等，均</w:t>
      </w:r>
      <w:r>
        <w:rPr>
          <w:rFonts w:ascii="宋体" w:hAnsi="宋体"/>
          <w:color w:val="auto"/>
          <w:sz w:val="24"/>
          <w:highlight w:val="none"/>
        </w:rPr>
        <w:t>为合同不可分割的</w:t>
      </w:r>
      <w:r>
        <w:rPr>
          <w:rFonts w:hint="eastAsia" w:ascii="宋体" w:hAnsi="宋体"/>
          <w:color w:val="auto"/>
          <w:sz w:val="24"/>
          <w:highlight w:val="none"/>
        </w:rPr>
        <w:t>组成</w:t>
      </w:r>
      <w:r>
        <w:rPr>
          <w:rFonts w:ascii="宋体" w:hAnsi="宋体"/>
          <w:color w:val="auto"/>
          <w:sz w:val="24"/>
          <w:highlight w:val="none"/>
        </w:rPr>
        <w:t>部分，具有同等效力。</w:t>
      </w:r>
    </w:p>
    <w:p>
      <w:pPr>
        <w:spacing w:line="520" w:lineRule="exact"/>
        <w:outlineLvl w:val="2"/>
        <w:rPr>
          <w:rFonts w:ascii="宋体" w:hAnsi="宋体"/>
          <w:color w:val="auto"/>
          <w:sz w:val="24"/>
          <w:highlight w:val="none"/>
        </w:rPr>
      </w:pPr>
      <w:bookmarkStart w:id="327" w:name="_Toc2387"/>
      <w:r>
        <w:rPr>
          <w:rFonts w:hint="eastAsia" w:ascii="宋体" w:hAnsi="宋体"/>
          <w:color w:val="auto"/>
          <w:sz w:val="24"/>
          <w:highlight w:val="none"/>
        </w:rPr>
        <w:t>23.3  本合同一式</w:t>
      </w:r>
      <w:r>
        <w:rPr>
          <w:rFonts w:hint="eastAsia" w:ascii="宋体" w:hAnsi="宋体"/>
          <w:color w:val="auto"/>
          <w:sz w:val="24"/>
          <w:highlight w:val="none"/>
          <w:u w:val="single"/>
        </w:rPr>
        <w:t xml:space="preserve">    </w:t>
      </w:r>
      <w:r>
        <w:rPr>
          <w:rFonts w:hint="eastAsia" w:ascii="宋体" w:hAnsi="宋体"/>
          <w:color w:val="auto"/>
          <w:sz w:val="24"/>
          <w:highlight w:val="none"/>
        </w:rPr>
        <w:t>份 ，均有同等效力</w:t>
      </w:r>
      <w:r>
        <w:rPr>
          <w:rFonts w:ascii="宋体" w:hAnsi="宋体"/>
          <w:color w:val="auto"/>
          <w:sz w:val="24"/>
          <w:highlight w:val="none"/>
        </w:rPr>
        <w:t>。</w:t>
      </w:r>
      <w:bookmarkEnd w:id="327"/>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    方：石河子大学（盖章）         年   月   日</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    址：新疆石河子市北四路221号</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邮政编码：832000</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法人代表（授权代表）：</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联 系 人： </w:t>
      </w:r>
      <w:r>
        <w:rPr>
          <w:rFonts w:hint="eastAsia" w:asciiTheme="minorEastAsia" w:hAnsiTheme="minorEastAsia" w:eastAsiaTheme="minorEastAsia" w:cstheme="minorEastAsia"/>
          <w:color w:val="auto"/>
          <w:sz w:val="24"/>
          <w:szCs w:val="24"/>
          <w:highlight w:val="none"/>
        </w:rPr>
        <w:tab/>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电    话： </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开户银行：中国银行石河子市分行石河子大学支行</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    号：107604669455</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税    号：12990000458493855B</w:t>
      </w:r>
    </w:p>
    <w:p>
      <w:pPr>
        <w:pStyle w:val="7"/>
        <w:rPr>
          <w:rFonts w:asciiTheme="minorEastAsia" w:hAnsiTheme="minorEastAsia" w:eastAsiaTheme="minorEastAsia" w:cstheme="minorEastAsia"/>
          <w:color w:val="auto"/>
          <w:highlight w:val="none"/>
        </w:rPr>
      </w:pP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    方：                        （盖章）  年 月 日</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    址：</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邮政编码：</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法人代表：</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联 系 人：</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    话：</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开户银行：</w:t>
      </w:r>
    </w:p>
    <w:p>
      <w:pPr>
        <w:spacing w:line="400" w:lineRule="exact"/>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    号：</w:t>
      </w:r>
    </w:p>
    <w:p>
      <w:pPr>
        <w:snapToGrid w:val="0"/>
        <w:spacing w:line="520" w:lineRule="exact"/>
        <w:outlineLvl w:val="1"/>
        <w:rPr>
          <w:b/>
          <w:color w:val="auto"/>
          <w:sz w:val="28"/>
          <w:szCs w:val="28"/>
          <w:highlight w:val="none"/>
        </w:rPr>
      </w:pPr>
      <w:bookmarkStart w:id="328" w:name="_Toc4863"/>
      <w:r>
        <w:rPr>
          <w:rFonts w:hint="eastAsia"/>
          <w:b/>
          <w:color w:val="auto"/>
          <w:sz w:val="28"/>
          <w:szCs w:val="28"/>
          <w:highlight w:val="none"/>
        </w:rPr>
        <w:t>1.</w:t>
      </w:r>
      <w:r>
        <w:rPr>
          <w:b/>
          <w:color w:val="auto"/>
          <w:sz w:val="28"/>
          <w:szCs w:val="28"/>
          <w:highlight w:val="none"/>
        </w:rPr>
        <w:t>合 同 附 件</w:t>
      </w:r>
      <w:r>
        <w:rPr>
          <w:rFonts w:hint="eastAsia"/>
          <w:b/>
          <w:color w:val="auto"/>
          <w:sz w:val="28"/>
          <w:szCs w:val="28"/>
          <w:highlight w:val="none"/>
        </w:rPr>
        <w:t>1（设备（货物）、设备（货物）详细技术参数表）</w:t>
      </w:r>
      <w:bookmarkEnd w:id="328"/>
    </w:p>
    <w:p>
      <w:pPr>
        <w:spacing w:line="520" w:lineRule="exact"/>
        <w:rPr>
          <w:rFonts w:ascii="宋体" w:hAnsi="宋体"/>
          <w:b/>
          <w:bCs/>
          <w:color w:val="auto"/>
          <w:sz w:val="24"/>
          <w:highlight w:val="none"/>
        </w:rPr>
      </w:pPr>
      <w:r>
        <w:rPr>
          <w:rFonts w:hint="eastAsia" w:ascii="宋体" w:hAnsi="宋体"/>
          <w:b/>
          <w:bCs/>
          <w:color w:val="auto"/>
          <w:sz w:val="24"/>
          <w:highlight w:val="none"/>
        </w:rPr>
        <w:t>附件：1、设备（货物）、设备（货物）详细技术参数表（技术参数部分要注明“参数已确认，签字”）</w:t>
      </w:r>
    </w:p>
    <w:p>
      <w:pPr>
        <w:spacing w:line="520" w:lineRule="exact"/>
        <w:rPr>
          <w:rFonts w:ascii="宋体" w:hAnsi="宋体" w:cs="宋体"/>
          <w:color w:val="auto"/>
          <w:sz w:val="28"/>
          <w:szCs w:val="28"/>
          <w:highlight w:val="none"/>
        </w:rPr>
      </w:pPr>
      <w:r>
        <w:rPr>
          <w:rFonts w:hint="eastAsia" w:ascii="宋体" w:hAnsi="宋体" w:cs="宋体"/>
          <w:color w:val="auto"/>
          <w:sz w:val="28"/>
          <w:szCs w:val="28"/>
          <w:highlight w:val="none"/>
        </w:rPr>
        <w:t>项目名称：</w:t>
      </w:r>
      <w:r>
        <w:rPr>
          <w:rFonts w:hint="eastAsia" w:ascii="宋体" w:hAnsi="宋体" w:cs="宋体"/>
          <w:color w:val="auto"/>
          <w:kern w:val="0"/>
          <w:sz w:val="28"/>
          <w:szCs w:val="28"/>
          <w:highlight w:val="none"/>
          <w:u w:val="single"/>
          <w:lang w:bidi="ar"/>
        </w:rPr>
        <w:t xml:space="preserve">  </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 xml:space="preserve"> </w:t>
      </w:r>
    </w:p>
    <w:p>
      <w:pPr>
        <w:widowControl/>
        <w:spacing w:line="520" w:lineRule="exact"/>
        <w:jc w:val="left"/>
        <w:rPr>
          <w:color w:val="auto"/>
          <w:highlight w:val="none"/>
        </w:rPr>
      </w:pPr>
      <w:r>
        <w:rPr>
          <w:rFonts w:hint="eastAsia" w:ascii="宋体" w:hAnsi="宋体" w:cs="宋体"/>
          <w:color w:val="auto"/>
          <w:sz w:val="28"/>
          <w:szCs w:val="28"/>
          <w:highlight w:val="none"/>
        </w:rPr>
        <w:t>项目编号、包号：</w:t>
      </w:r>
      <w:r>
        <w:rPr>
          <w:rFonts w:hint="eastAsia" w:ascii="宋体" w:hAnsi="宋体" w:cs="宋体"/>
          <w:color w:val="auto"/>
          <w:sz w:val="28"/>
          <w:szCs w:val="28"/>
          <w:highlight w:val="none"/>
          <w:u w:val="single"/>
        </w:rPr>
        <w:t xml:space="preserve">                                                 </w:t>
      </w:r>
    </w:p>
    <w:p>
      <w:pPr>
        <w:pStyle w:val="21"/>
        <w:spacing w:line="360" w:lineRule="auto"/>
        <w:ind w:left="0" w:leftChars="0" w:firstLine="0" w:firstLineChars="0"/>
        <w:rPr>
          <w:color w:val="auto"/>
          <w:highlight w:val="none"/>
        </w:rPr>
      </w:pPr>
    </w:p>
    <w:p>
      <w:pPr>
        <w:spacing w:line="360" w:lineRule="auto"/>
        <w:ind w:firstLine="480" w:firstLineChars="200"/>
        <w:rPr>
          <w:rFonts w:ascii="宋体" w:hAnsi="宋体"/>
          <w:b/>
          <w:bCs/>
          <w:color w:val="auto"/>
          <w:sz w:val="24"/>
          <w:highlight w:val="none"/>
        </w:rPr>
      </w:pPr>
    </w:p>
    <w:p>
      <w:pPr>
        <w:spacing w:line="360" w:lineRule="auto"/>
        <w:ind w:firstLine="480" w:firstLineChars="200"/>
        <w:rPr>
          <w:rFonts w:ascii="宋体" w:hAnsi="宋体"/>
          <w:b/>
          <w:bCs/>
          <w:color w:val="auto"/>
          <w:sz w:val="24"/>
          <w:highlight w:val="none"/>
        </w:rPr>
      </w:pPr>
    </w:p>
    <w:p>
      <w:pPr>
        <w:pStyle w:val="7"/>
        <w:rPr>
          <w:rFonts w:ascii="Calibri" w:hAnsi="Calibri" w:eastAsia="宋体"/>
          <w:color w:val="auto"/>
          <w:highlight w:val="none"/>
        </w:rPr>
      </w:pPr>
    </w:p>
    <w:p>
      <w:pPr>
        <w:rPr>
          <w:rFonts w:ascii="Calibri" w:hAnsi="Calibri"/>
          <w:color w:val="auto"/>
          <w:highlight w:val="none"/>
        </w:rPr>
      </w:pPr>
    </w:p>
    <w:p>
      <w:pPr>
        <w:pStyle w:val="7"/>
        <w:rPr>
          <w:rFonts w:ascii="Calibri" w:hAnsi="Calibri" w:eastAsia="宋体"/>
          <w:color w:val="auto"/>
          <w:highlight w:val="none"/>
        </w:rPr>
      </w:pPr>
    </w:p>
    <w:p>
      <w:pPr>
        <w:rPr>
          <w:rFonts w:ascii="Calibri" w:hAnsi="Calibri"/>
          <w:color w:val="auto"/>
          <w:highlight w:val="none"/>
        </w:rPr>
      </w:pPr>
    </w:p>
    <w:p>
      <w:pPr>
        <w:pStyle w:val="7"/>
        <w:rPr>
          <w:rFonts w:ascii="Calibri" w:hAnsi="Calibri" w:eastAsia="宋体"/>
          <w:color w:val="auto"/>
          <w:highlight w:val="none"/>
        </w:rPr>
      </w:pPr>
    </w:p>
    <w:p>
      <w:pPr>
        <w:rPr>
          <w:rFonts w:ascii="Calibri" w:hAnsi="Calibri"/>
          <w:color w:val="auto"/>
          <w:highlight w:val="none"/>
        </w:rPr>
      </w:pPr>
    </w:p>
    <w:p>
      <w:pPr>
        <w:pStyle w:val="7"/>
        <w:rPr>
          <w:rFonts w:ascii="Calibri" w:hAnsi="Calibri" w:eastAsia="宋体"/>
          <w:color w:val="auto"/>
          <w:highlight w:val="none"/>
        </w:rPr>
      </w:pPr>
    </w:p>
    <w:p>
      <w:pPr>
        <w:rPr>
          <w:rFonts w:ascii="Calibri" w:hAnsi="Calibri"/>
          <w:color w:val="auto"/>
          <w:highlight w:val="none"/>
        </w:rPr>
      </w:pPr>
    </w:p>
    <w:p>
      <w:pPr>
        <w:pStyle w:val="7"/>
        <w:rPr>
          <w:rFonts w:ascii="Calibri" w:hAnsi="Calibri" w:eastAsia="宋体"/>
          <w:color w:val="auto"/>
          <w:highlight w:val="none"/>
        </w:rPr>
      </w:pPr>
    </w:p>
    <w:p>
      <w:pPr>
        <w:rPr>
          <w:rFonts w:ascii="Calibri" w:hAnsi="Calibri"/>
          <w:color w:val="auto"/>
          <w:highlight w:val="none"/>
        </w:rPr>
      </w:pPr>
    </w:p>
    <w:p>
      <w:pPr>
        <w:pStyle w:val="7"/>
        <w:rPr>
          <w:rFonts w:ascii="Calibri" w:hAnsi="Calibri" w:eastAsia="宋体"/>
          <w:color w:val="auto"/>
          <w:highlight w:val="none"/>
        </w:rPr>
      </w:pPr>
      <w:r>
        <w:rPr>
          <w:rFonts w:hint="eastAsia" w:ascii="宋体" w:hAnsi="宋体" w:cs="宋体"/>
          <w:color w:val="auto"/>
          <w:highlight w:val="none"/>
        </w:rPr>
        <w:t>参数已确认：</w:t>
      </w:r>
      <w:r>
        <w:rPr>
          <w:rFonts w:hint="eastAsia" w:ascii="宋体" w:hAnsi="宋体" w:cs="宋体"/>
          <w:color w:val="auto"/>
          <w:highlight w:val="none"/>
          <w:u w:val="single"/>
        </w:rPr>
        <w:t xml:space="preserve">        项目负责人 签字                       </w:t>
      </w:r>
    </w:p>
    <w:p>
      <w:pPr>
        <w:rPr>
          <w:rFonts w:ascii="Calibri" w:hAnsi="Calibri"/>
          <w:color w:val="auto"/>
          <w:highlight w:val="none"/>
        </w:rPr>
      </w:pPr>
    </w:p>
    <w:p>
      <w:pPr>
        <w:pStyle w:val="7"/>
        <w:rPr>
          <w:rFonts w:ascii="宋体" w:hAnsi="宋体"/>
          <w:color w:val="auto"/>
          <w:sz w:val="24"/>
          <w:highlight w:val="none"/>
        </w:rPr>
      </w:pPr>
      <w:bookmarkStart w:id="329" w:name="_Toc3813"/>
      <w:r>
        <w:rPr>
          <w:rFonts w:hint="eastAsia"/>
          <w:color w:val="auto"/>
          <w:highlight w:val="none"/>
        </w:rPr>
        <w:t>2.</w:t>
      </w:r>
      <w:r>
        <w:rPr>
          <w:color w:val="auto"/>
          <w:highlight w:val="none"/>
        </w:rPr>
        <w:t>合 同 附 件</w:t>
      </w:r>
      <w:r>
        <w:rPr>
          <w:rFonts w:hint="eastAsia"/>
          <w:color w:val="auto"/>
          <w:highlight w:val="none"/>
        </w:rPr>
        <w:t>2（售后服务承诺书）</w:t>
      </w:r>
      <w:bookmarkEnd w:id="329"/>
    </w:p>
    <w:tbl>
      <w:tblPr>
        <w:tblStyle w:val="38"/>
        <w:tblW w:w="0" w:type="auto"/>
        <w:tblInd w:w="0" w:type="dxa"/>
        <w:tblLayout w:type="fixed"/>
        <w:tblCellMar>
          <w:top w:w="0" w:type="dxa"/>
          <w:left w:w="108" w:type="dxa"/>
          <w:bottom w:w="0" w:type="dxa"/>
          <w:right w:w="108" w:type="dxa"/>
        </w:tblCellMar>
      </w:tblPr>
      <w:tblGrid>
        <w:gridCol w:w="4248"/>
        <w:gridCol w:w="4791"/>
      </w:tblGrid>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r>
              <w:rPr>
                <w:color w:val="auto"/>
                <w:sz w:val="24"/>
                <w:highlight w:val="none"/>
              </w:rPr>
              <w:t>1、投标人承诺具体事项：</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r>
              <w:rPr>
                <w:color w:val="auto"/>
                <w:sz w:val="24"/>
                <w:highlight w:val="none"/>
              </w:rPr>
              <w:t>2、售后服务具体事项：</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12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r>
              <w:rPr>
                <w:color w:val="auto"/>
                <w:sz w:val="24"/>
                <w:highlight w:val="none"/>
              </w:rPr>
              <w:t>3、保修期责任：</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r>
              <w:rPr>
                <w:color w:val="auto"/>
                <w:sz w:val="24"/>
                <w:highlight w:val="none"/>
              </w:rPr>
              <w:t>4、其他具体事项：</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p>
        </w:tc>
      </w:tr>
      <w:tr>
        <w:tblPrEx>
          <w:tblCellMar>
            <w:top w:w="0" w:type="dxa"/>
            <w:left w:w="108" w:type="dxa"/>
            <w:bottom w:w="0" w:type="dxa"/>
            <w:right w:w="108" w:type="dxa"/>
          </w:tblCellMar>
        </w:tblPrEx>
        <w:trPr>
          <w:trHeight w:val="1787" w:hRule="atLeast"/>
        </w:trPr>
        <w:tc>
          <w:tcPr>
            <w:tcW w:w="4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r>
              <w:rPr>
                <w:color w:val="auto"/>
                <w:sz w:val="24"/>
                <w:highlight w:val="none"/>
              </w:rPr>
              <w:t>甲方（章）</w:t>
            </w:r>
          </w:p>
          <w:p>
            <w:pPr>
              <w:adjustRightInd w:val="0"/>
              <w:snapToGrid w:val="0"/>
              <w:spacing w:line="360" w:lineRule="auto"/>
              <w:jc w:val="center"/>
              <w:textAlignment w:val="baseline"/>
              <w:rPr>
                <w:color w:val="auto"/>
                <w:sz w:val="24"/>
                <w:highlight w:val="none"/>
              </w:rPr>
            </w:pPr>
          </w:p>
          <w:p>
            <w:pPr>
              <w:adjustRightInd w:val="0"/>
              <w:snapToGrid w:val="0"/>
              <w:spacing w:line="360" w:lineRule="auto"/>
              <w:jc w:val="center"/>
              <w:textAlignment w:val="baseline"/>
              <w:rPr>
                <w:color w:val="auto"/>
                <w:sz w:val="24"/>
                <w:highlight w:val="none"/>
              </w:rPr>
            </w:pPr>
          </w:p>
          <w:p>
            <w:pPr>
              <w:adjustRightInd w:val="0"/>
              <w:snapToGrid w:val="0"/>
              <w:spacing w:line="360" w:lineRule="auto"/>
              <w:jc w:val="center"/>
              <w:textAlignment w:val="baseline"/>
              <w:rPr>
                <w:color w:val="auto"/>
                <w:sz w:val="24"/>
                <w:highlight w:val="none"/>
              </w:rPr>
            </w:pPr>
          </w:p>
          <w:p>
            <w:pPr>
              <w:adjustRightInd w:val="0"/>
              <w:snapToGrid w:val="0"/>
              <w:spacing w:line="360" w:lineRule="auto"/>
              <w:jc w:val="center"/>
              <w:textAlignment w:val="baseline"/>
              <w:rPr>
                <w:color w:val="auto"/>
                <w:sz w:val="24"/>
                <w:highlight w:val="none"/>
              </w:rPr>
            </w:pPr>
            <w:r>
              <w:rPr>
                <w:color w:val="auto"/>
                <w:sz w:val="24"/>
                <w:highlight w:val="none"/>
              </w:rPr>
              <w:t xml:space="preserve">                   </w:t>
            </w:r>
          </w:p>
        </w:tc>
        <w:tc>
          <w:tcPr>
            <w:tcW w:w="4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color w:val="auto"/>
                <w:sz w:val="24"/>
                <w:highlight w:val="none"/>
              </w:rPr>
            </w:pPr>
            <w:r>
              <w:rPr>
                <w:color w:val="auto"/>
                <w:sz w:val="24"/>
                <w:highlight w:val="none"/>
              </w:rPr>
              <w:t>乙方（章）</w:t>
            </w:r>
          </w:p>
          <w:p>
            <w:pPr>
              <w:adjustRightInd w:val="0"/>
              <w:snapToGrid w:val="0"/>
              <w:spacing w:line="360" w:lineRule="auto"/>
              <w:jc w:val="center"/>
              <w:textAlignment w:val="baseline"/>
              <w:rPr>
                <w:color w:val="auto"/>
                <w:sz w:val="24"/>
                <w:highlight w:val="none"/>
              </w:rPr>
            </w:pPr>
          </w:p>
          <w:p>
            <w:pPr>
              <w:adjustRightInd w:val="0"/>
              <w:snapToGrid w:val="0"/>
              <w:spacing w:line="360" w:lineRule="auto"/>
              <w:jc w:val="center"/>
              <w:textAlignment w:val="baseline"/>
              <w:rPr>
                <w:color w:val="auto"/>
                <w:sz w:val="24"/>
                <w:highlight w:val="none"/>
              </w:rPr>
            </w:pPr>
          </w:p>
          <w:p>
            <w:pPr>
              <w:adjustRightInd w:val="0"/>
              <w:snapToGrid w:val="0"/>
              <w:spacing w:line="360" w:lineRule="auto"/>
              <w:jc w:val="center"/>
              <w:textAlignment w:val="baseline"/>
              <w:rPr>
                <w:color w:val="auto"/>
                <w:sz w:val="24"/>
                <w:highlight w:val="none"/>
              </w:rPr>
            </w:pPr>
          </w:p>
          <w:p>
            <w:pPr>
              <w:adjustRightInd w:val="0"/>
              <w:snapToGrid w:val="0"/>
              <w:spacing w:line="360" w:lineRule="auto"/>
              <w:jc w:val="center"/>
              <w:textAlignment w:val="baseline"/>
              <w:rPr>
                <w:color w:val="auto"/>
                <w:sz w:val="24"/>
                <w:highlight w:val="none"/>
              </w:rPr>
            </w:pPr>
            <w:r>
              <w:rPr>
                <w:color w:val="auto"/>
                <w:sz w:val="24"/>
                <w:highlight w:val="none"/>
              </w:rPr>
              <w:t xml:space="preserve">                    </w:t>
            </w:r>
          </w:p>
        </w:tc>
      </w:tr>
    </w:tbl>
    <w:p>
      <w:pPr>
        <w:pStyle w:val="7"/>
        <w:rPr>
          <w:rFonts w:asciiTheme="majorEastAsia" w:hAnsiTheme="majorEastAsia" w:eastAsiaTheme="majorEastAsia"/>
          <w:color w:val="auto"/>
          <w:highlight w:val="none"/>
        </w:rPr>
      </w:pPr>
      <w:r>
        <w:rPr>
          <w:rFonts w:hint="eastAsia" w:ascii="宋体" w:hAnsi="宋体" w:cs="宋体"/>
          <w:color w:val="auto"/>
          <w:highlight w:val="none"/>
        </w:rPr>
        <w:t>合同已确认：</w:t>
      </w:r>
      <w:r>
        <w:rPr>
          <w:rFonts w:hint="eastAsia" w:ascii="宋体" w:hAnsi="宋体" w:cs="宋体"/>
          <w:color w:val="auto"/>
          <w:highlight w:val="none"/>
          <w:u w:val="single"/>
        </w:rPr>
        <w:t xml:space="preserve">        项目负责人 签字                       </w:t>
      </w:r>
    </w:p>
    <w:p>
      <w:pPr>
        <w:widowControl/>
        <w:jc w:val="left"/>
        <w:rPr>
          <w:rFonts w:asciiTheme="minorEastAsia" w:hAnsiTheme="minorEastAsia" w:eastAsiaTheme="minorEastAsia" w:cstheme="minorEastAsia"/>
          <w:b/>
          <w:bCs/>
          <w:color w:val="auto"/>
          <w:kern w:val="0"/>
          <w:sz w:val="44"/>
          <w:szCs w:val="44"/>
          <w:highlight w:val="none"/>
          <w:lang w:bidi="ar"/>
        </w:rPr>
      </w:pPr>
    </w:p>
    <w:p>
      <w:pPr>
        <w:pStyle w:val="2"/>
        <w:rPr>
          <w:rFonts w:asciiTheme="minorEastAsia" w:hAnsiTheme="minorEastAsia" w:eastAsiaTheme="minorEastAsia" w:cstheme="minorEastAsia"/>
          <w:b/>
          <w:bCs/>
          <w:color w:val="auto"/>
          <w:kern w:val="0"/>
          <w:sz w:val="44"/>
          <w:szCs w:val="44"/>
          <w:highlight w:val="none"/>
          <w:lang w:bidi="ar"/>
        </w:rPr>
      </w:pPr>
    </w:p>
    <w:p>
      <w:pPr>
        <w:pStyle w:val="3"/>
        <w:ind w:left="5250"/>
        <w:rPr>
          <w:rFonts w:asciiTheme="minorEastAsia" w:hAnsiTheme="minorEastAsia" w:eastAsiaTheme="minorEastAsia" w:cstheme="minorEastAsia"/>
          <w:b/>
          <w:bCs/>
          <w:color w:val="auto"/>
          <w:kern w:val="0"/>
          <w:sz w:val="44"/>
          <w:szCs w:val="44"/>
          <w:highlight w:val="none"/>
          <w:lang w:bidi="ar"/>
        </w:rPr>
      </w:pPr>
    </w:p>
    <w:p>
      <w:pPr>
        <w:rPr>
          <w:rFonts w:asciiTheme="minorEastAsia" w:hAnsiTheme="minorEastAsia" w:eastAsiaTheme="minorEastAsia" w:cstheme="minorEastAsia"/>
          <w:b/>
          <w:bCs/>
          <w:color w:val="auto"/>
          <w:kern w:val="0"/>
          <w:sz w:val="44"/>
          <w:szCs w:val="44"/>
          <w:highlight w:val="none"/>
          <w:lang w:bidi="ar"/>
        </w:rPr>
      </w:pPr>
    </w:p>
    <w:p>
      <w:pPr>
        <w:pStyle w:val="2"/>
        <w:rPr>
          <w:rFonts w:asciiTheme="minorEastAsia" w:hAnsiTheme="minorEastAsia" w:eastAsiaTheme="minorEastAsia" w:cstheme="minorEastAsia"/>
          <w:b/>
          <w:bCs/>
          <w:color w:val="auto"/>
          <w:kern w:val="0"/>
          <w:sz w:val="44"/>
          <w:szCs w:val="44"/>
          <w:highlight w:val="none"/>
          <w:lang w:bidi="ar"/>
        </w:rPr>
      </w:pPr>
    </w:p>
    <w:p>
      <w:pPr>
        <w:pStyle w:val="3"/>
        <w:ind w:left="5250"/>
        <w:rPr>
          <w:rFonts w:asciiTheme="minorEastAsia" w:hAnsiTheme="minorEastAsia" w:eastAsiaTheme="minorEastAsia" w:cstheme="minorEastAsia"/>
          <w:b/>
          <w:bCs/>
          <w:color w:val="auto"/>
          <w:kern w:val="0"/>
          <w:sz w:val="44"/>
          <w:szCs w:val="44"/>
          <w:highlight w:val="none"/>
          <w:lang w:bidi="ar"/>
        </w:rPr>
      </w:pPr>
    </w:p>
    <w:p>
      <w:pPr>
        <w:rPr>
          <w:color w:val="auto"/>
          <w:highlight w:val="none"/>
        </w:rPr>
      </w:pPr>
    </w:p>
    <w:p>
      <w:pPr>
        <w:pStyle w:val="3"/>
        <w:ind w:left="5250"/>
        <w:rPr>
          <w:color w:val="auto"/>
          <w:highlight w:val="none"/>
        </w:rPr>
      </w:pPr>
    </w:p>
    <w:p>
      <w:pPr>
        <w:widowControl/>
        <w:jc w:val="center"/>
        <w:rPr>
          <w:rFonts w:asciiTheme="minorEastAsia" w:hAnsiTheme="minorEastAsia" w:eastAsiaTheme="minorEastAsia" w:cstheme="minorEastAsia"/>
          <w:b/>
          <w:bCs/>
          <w:color w:val="auto"/>
          <w:sz w:val="44"/>
          <w:szCs w:val="44"/>
          <w:highlight w:val="none"/>
          <w:u w:val="single"/>
        </w:rPr>
      </w:pPr>
      <w:r>
        <w:rPr>
          <w:rFonts w:hint="eastAsia" w:asciiTheme="minorEastAsia" w:hAnsiTheme="minorEastAsia" w:eastAsiaTheme="minorEastAsia" w:cstheme="minorEastAsia"/>
          <w:b/>
          <w:bCs/>
          <w:color w:val="auto"/>
          <w:kern w:val="0"/>
          <w:sz w:val="44"/>
          <w:szCs w:val="44"/>
          <w:highlight w:val="none"/>
          <w:lang w:bidi="ar"/>
        </w:rPr>
        <w:t>石河子大学</w:t>
      </w:r>
      <w:r>
        <w:rPr>
          <w:rFonts w:hint="eastAsia" w:asciiTheme="minorEastAsia" w:hAnsiTheme="minorEastAsia" w:eastAsiaTheme="minorEastAsia" w:cstheme="minorEastAsia"/>
          <w:b/>
          <w:bCs/>
          <w:color w:val="auto"/>
          <w:kern w:val="0"/>
          <w:sz w:val="44"/>
          <w:szCs w:val="44"/>
          <w:highlight w:val="none"/>
          <w:u w:val="single"/>
          <w:lang w:bidi="ar"/>
        </w:rPr>
        <w:t xml:space="preserve">        </w:t>
      </w:r>
      <w:r>
        <w:rPr>
          <w:rFonts w:hint="eastAsia" w:asciiTheme="minorEastAsia" w:hAnsiTheme="minorEastAsia" w:eastAsiaTheme="minorEastAsia" w:cstheme="minorEastAsia"/>
          <w:b/>
          <w:bCs/>
          <w:color w:val="auto"/>
          <w:kern w:val="0"/>
          <w:sz w:val="44"/>
          <w:szCs w:val="44"/>
          <w:highlight w:val="none"/>
          <w:lang w:bidi="ar"/>
        </w:rPr>
        <w:t>采购合同</w:t>
      </w:r>
    </w:p>
    <w:p>
      <w:pPr>
        <w:spacing w:line="360" w:lineRule="auto"/>
        <w:jc w:val="center"/>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（国产设备、财政专项资金专用）</w:t>
      </w:r>
    </w:p>
    <w:p>
      <w:pPr>
        <w:spacing w:line="360" w:lineRule="auto"/>
        <w:rPr>
          <w:rFonts w:asciiTheme="minorEastAsia" w:hAnsiTheme="minorEastAsia" w:eastAsiaTheme="minorEastAsia" w:cstheme="minorEastAsia"/>
          <w:b/>
          <w:bCs/>
          <w:color w:val="auto"/>
          <w:sz w:val="32"/>
          <w:szCs w:val="32"/>
          <w:highlight w:val="none"/>
        </w:rPr>
      </w:pPr>
    </w:p>
    <w:p>
      <w:pPr>
        <w:spacing w:line="360" w:lineRule="auto"/>
        <w:rPr>
          <w:rFonts w:asciiTheme="minorEastAsia" w:hAnsiTheme="minorEastAsia" w:eastAsiaTheme="minorEastAsia" w:cstheme="minorEastAsia"/>
          <w:b/>
          <w:bCs/>
          <w:color w:val="auto"/>
          <w:sz w:val="32"/>
          <w:szCs w:val="32"/>
          <w:highlight w:val="none"/>
        </w:rPr>
      </w:pPr>
    </w:p>
    <w:p>
      <w:pPr>
        <w:spacing w:line="360" w:lineRule="auto"/>
        <w:rPr>
          <w:rFonts w:asciiTheme="minorEastAsia" w:hAnsiTheme="minorEastAsia" w:eastAsiaTheme="minorEastAsia" w:cstheme="minorEastAsia"/>
          <w:b/>
          <w:bCs/>
          <w:color w:val="auto"/>
          <w:sz w:val="32"/>
          <w:szCs w:val="32"/>
          <w:highlight w:val="none"/>
        </w:rPr>
      </w:pPr>
    </w:p>
    <w:p>
      <w:pPr>
        <w:spacing w:line="360" w:lineRule="auto"/>
        <w:rPr>
          <w:rFonts w:asciiTheme="minorEastAsia" w:hAnsiTheme="minorEastAsia" w:eastAsiaTheme="minorEastAsia" w:cstheme="minorEastAsia"/>
          <w:b/>
          <w:bCs/>
          <w:color w:val="auto"/>
          <w:sz w:val="32"/>
          <w:szCs w:val="32"/>
          <w:highlight w:val="none"/>
        </w:rPr>
      </w:pPr>
    </w:p>
    <w:p>
      <w:pPr>
        <w:spacing w:line="360" w:lineRule="auto"/>
        <w:ind w:firstLine="1606" w:firstLineChars="50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kern w:val="0"/>
          <w:sz w:val="32"/>
          <w:szCs w:val="32"/>
          <w:highlight w:val="none"/>
        </w:rPr>
        <w:t>合同编号：</w:t>
      </w:r>
      <w:r>
        <w:rPr>
          <w:rFonts w:hint="eastAsia" w:asciiTheme="minorEastAsia" w:hAnsiTheme="minorEastAsia" w:eastAsiaTheme="minorEastAsia" w:cstheme="minorEastAsia"/>
          <w:b/>
          <w:bCs/>
          <w:color w:val="auto"/>
          <w:kern w:val="0"/>
          <w:sz w:val="32"/>
          <w:szCs w:val="32"/>
          <w:highlight w:val="none"/>
          <w:u w:val="single"/>
          <w:lang w:bidi="ar"/>
        </w:rPr>
        <w:t xml:space="preserve">                   </w:t>
      </w:r>
      <w:r>
        <w:rPr>
          <w:rFonts w:hint="eastAsia" w:asciiTheme="minorEastAsia" w:hAnsiTheme="minorEastAsia" w:eastAsiaTheme="minorEastAsia" w:cstheme="minorEastAsia"/>
          <w:b/>
          <w:bCs/>
          <w:color w:val="auto"/>
          <w:sz w:val="32"/>
          <w:szCs w:val="32"/>
          <w:highlight w:val="none"/>
        </w:rPr>
        <w:t xml:space="preserve"> </w:t>
      </w:r>
    </w:p>
    <w:p>
      <w:pPr>
        <w:spacing w:line="360" w:lineRule="auto"/>
        <w:jc w:val="center"/>
        <w:rPr>
          <w:rFonts w:asciiTheme="minorEastAsia" w:hAnsiTheme="minorEastAsia" w:eastAsiaTheme="minorEastAsia" w:cstheme="minorEastAsia"/>
          <w:b/>
          <w:bCs/>
          <w:color w:val="auto"/>
          <w:sz w:val="44"/>
          <w:szCs w:val="44"/>
          <w:highlight w:val="none"/>
        </w:rPr>
      </w:pPr>
    </w:p>
    <w:p>
      <w:pPr>
        <w:spacing w:line="360" w:lineRule="auto"/>
        <w:jc w:val="center"/>
        <w:rPr>
          <w:rFonts w:asciiTheme="minorEastAsia" w:hAnsiTheme="minorEastAsia" w:eastAsiaTheme="minorEastAsia" w:cstheme="minorEastAsia"/>
          <w:b/>
          <w:bCs/>
          <w:color w:val="auto"/>
          <w:sz w:val="44"/>
          <w:szCs w:val="44"/>
          <w:highlight w:val="none"/>
        </w:rPr>
      </w:pPr>
    </w:p>
    <w:p>
      <w:pPr>
        <w:widowControl/>
        <w:jc w:val="left"/>
        <w:rPr>
          <w:rFonts w:asciiTheme="minorEastAsia" w:hAnsiTheme="minorEastAsia" w:eastAsiaTheme="minorEastAsia" w:cstheme="minorEastAsia"/>
          <w:b/>
          <w:bCs/>
          <w:color w:val="auto"/>
          <w:sz w:val="32"/>
          <w:szCs w:val="32"/>
          <w:highlight w:val="none"/>
          <w:u w:val="single"/>
        </w:rPr>
      </w:pPr>
      <w:r>
        <w:rPr>
          <w:rFonts w:hint="eastAsia" w:asciiTheme="minorEastAsia" w:hAnsiTheme="minorEastAsia" w:eastAsiaTheme="minorEastAsia" w:cstheme="minorEastAsia"/>
          <w:b/>
          <w:bCs/>
          <w:color w:val="auto"/>
          <w:sz w:val="32"/>
          <w:szCs w:val="32"/>
          <w:highlight w:val="none"/>
        </w:rPr>
        <w:t>买方：</w:t>
      </w:r>
      <w:r>
        <w:rPr>
          <w:rFonts w:hint="eastAsia" w:asciiTheme="minorEastAsia" w:hAnsiTheme="minorEastAsia" w:eastAsiaTheme="minorEastAsia" w:cstheme="minorEastAsia"/>
          <w:b/>
          <w:bCs/>
          <w:color w:val="auto"/>
          <w:kern w:val="0"/>
          <w:sz w:val="32"/>
          <w:szCs w:val="32"/>
          <w:highlight w:val="none"/>
          <w:u w:val="single"/>
          <w:lang w:bidi="ar"/>
        </w:rPr>
        <w:t>石河子大学</w:t>
      </w:r>
      <w:r>
        <w:rPr>
          <w:rFonts w:hint="eastAsia" w:asciiTheme="minorEastAsia" w:hAnsiTheme="minorEastAsia" w:eastAsiaTheme="minorEastAsia" w:cstheme="minorEastAsia"/>
          <w:b/>
          <w:bCs/>
          <w:color w:val="auto"/>
          <w:sz w:val="32"/>
          <w:szCs w:val="32"/>
          <w:highlight w:val="none"/>
          <w:u w:val="single"/>
        </w:rPr>
        <w:t xml:space="preserve">  （以下简称甲方）</w:t>
      </w:r>
    </w:p>
    <w:p>
      <w:pPr>
        <w:tabs>
          <w:tab w:val="left" w:pos="3060"/>
        </w:tabs>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卖方：</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asciiTheme="minorEastAsia" w:hAnsiTheme="minorEastAsia" w:eastAsiaTheme="minorEastAsia" w:cstheme="minorEastAsia"/>
          <w:b/>
          <w:bCs/>
          <w:color w:val="auto"/>
          <w:sz w:val="32"/>
          <w:szCs w:val="32"/>
          <w:highlight w:val="none"/>
        </w:rPr>
        <w:t>（以下简称乙方）</w:t>
      </w:r>
    </w:p>
    <w:p>
      <w:pPr>
        <w:tabs>
          <w:tab w:val="left" w:pos="3060"/>
        </w:tabs>
        <w:spacing w:line="360" w:lineRule="auto"/>
        <w:rPr>
          <w:rFonts w:asciiTheme="minorEastAsia" w:hAnsiTheme="minorEastAsia" w:eastAsiaTheme="minorEastAsia" w:cstheme="minorEastAsia"/>
          <w:b/>
          <w:bCs/>
          <w:color w:val="auto"/>
          <w:sz w:val="32"/>
          <w:szCs w:val="32"/>
          <w:highlight w:val="none"/>
        </w:rPr>
      </w:pPr>
    </w:p>
    <w:p>
      <w:pPr>
        <w:tabs>
          <w:tab w:val="left" w:pos="3060"/>
        </w:tabs>
        <w:spacing w:line="360" w:lineRule="auto"/>
        <w:rPr>
          <w:rFonts w:asciiTheme="minorEastAsia" w:hAnsiTheme="minorEastAsia" w:eastAsiaTheme="minorEastAsia" w:cstheme="minorEastAsia"/>
          <w:b/>
          <w:bCs/>
          <w:color w:val="auto"/>
          <w:sz w:val="32"/>
          <w:szCs w:val="32"/>
          <w:highlight w:val="none"/>
        </w:rPr>
      </w:pPr>
    </w:p>
    <w:p>
      <w:pPr>
        <w:tabs>
          <w:tab w:val="left" w:pos="3060"/>
        </w:tabs>
        <w:spacing w:line="360" w:lineRule="auto"/>
        <w:rPr>
          <w:rFonts w:asciiTheme="minorEastAsia" w:hAnsiTheme="minorEastAsia" w:eastAsiaTheme="minorEastAsia" w:cstheme="minorEastAsia"/>
          <w:b/>
          <w:bCs/>
          <w:color w:val="auto"/>
          <w:sz w:val="32"/>
          <w:szCs w:val="32"/>
          <w:highlight w:val="none"/>
        </w:rPr>
      </w:pPr>
    </w:p>
    <w:p>
      <w:pPr>
        <w:tabs>
          <w:tab w:val="left" w:pos="3060"/>
        </w:tabs>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签订地点：石河子大学</w:t>
      </w:r>
    </w:p>
    <w:p>
      <w:pPr>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签订时间：       年      月     日</w:t>
      </w:r>
    </w:p>
    <w:p>
      <w:pPr>
        <w:spacing w:line="360" w:lineRule="auto"/>
        <w:ind w:firstLine="482" w:firstLineChars="200"/>
        <w:rPr>
          <w:rFonts w:asciiTheme="minorEastAsia" w:hAnsiTheme="minorEastAsia" w:eastAsiaTheme="minorEastAsia" w:cstheme="minorEastAsia"/>
          <w:b/>
          <w:bCs/>
          <w:color w:val="auto"/>
          <w:sz w:val="24"/>
          <w:highlight w:val="none"/>
        </w:rPr>
      </w:pPr>
    </w:p>
    <w:p>
      <w:pPr>
        <w:spacing w:line="360" w:lineRule="auto"/>
        <w:ind w:firstLine="482" w:firstLineChars="200"/>
        <w:rPr>
          <w:rFonts w:asciiTheme="minorEastAsia" w:hAnsiTheme="minorEastAsia" w:eastAsiaTheme="minorEastAsia" w:cstheme="minorEastAsia"/>
          <w:b/>
          <w:bCs/>
          <w:color w:val="auto"/>
          <w:sz w:val="24"/>
          <w:highlight w:val="none"/>
        </w:rPr>
      </w:pPr>
    </w:p>
    <w:p>
      <w:pPr>
        <w:spacing w:line="360" w:lineRule="auto"/>
        <w:ind w:firstLine="482" w:firstLineChars="200"/>
        <w:rPr>
          <w:rFonts w:asciiTheme="minorEastAsia" w:hAnsiTheme="minorEastAsia" w:eastAsiaTheme="minorEastAsia" w:cstheme="minorEastAsia"/>
          <w:b/>
          <w:bCs/>
          <w:color w:val="auto"/>
          <w:sz w:val="24"/>
          <w:highlight w:val="none"/>
        </w:rPr>
      </w:pPr>
    </w:p>
    <w:p>
      <w:pPr>
        <w:spacing w:line="360" w:lineRule="auto"/>
        <w:ind w:left="843" w:hanging="843" w:hangingChars="4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备注：  1.根据项目具体要求可以增加相应条款，但不得删减合同范本条款，如无相关约束条款，可以用（/）标注</w:t>
      </w:r>
    </w:p>
    <w:p>
      <w:pPr>
        <w:spacing w:line="360" w:lineRule="auto"/>
        <w:ind w:firstLine="843" w:firstLineChars="4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2.招标编号 合同编号：（为项目采购立项编号，兵团批复编号或校内询价编号）</w:t>
      </w:r>
    </w:p>
    <w:p>
      <w:pPr>
        <w:spacing w:line="520" w:lineRule="exact"/>
        <w:ind w:firstLine="480" w:firstLineChars="200"/>
        <w:rPr>
          <w:rFonts w:asciiTheme="minorEastAsia" w:hAnsiTheme="minorEastAsia" w:eastAsiaTheme="minorEastAsia" w:cstheme="minorEastAsia"/>
          <w:color w:val="auto"/>
          <w:sz w:val="24"/>
          <w:highlight w:val="none"/>
        </w:rPr>
      </w:pPr>
    </w:p>
    <w:p>
      <w:pPr>
        <w:spacing w:line="520" w:lineRule="exact"/>
        <w:ind w:firstLine="480" w:firstLineChars="200"/>
        <w:rPr>
          <w:rFonts w:asciiTheme="minorEastAsia" w:hAnsiTheme="minorEastAsia" w:eastAsiaTheme="minorEastAsia" w:cstheme="minorEastAsia"/>
          <w:color w:val="auto"/>
          <w:sz w:val="24"/>
          <w:highlight w:val="none"/>
        </w:rPr>
      </w:pPr>
    </w:p>
    <w:p>
      <w:pPr>
        <w:spacing w:line="52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甲乙双方依照《中华人民共和国民法典》及其他有关法律、行政法规、遵循</w:t>
      </w:r>
    </w:p>
    <w:p>
      <w:pPr>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平等、自愿、公平和诚实信用的原则，就</w:t>
      </w:r>
      <w:r>
        <w:rPr>
          <w:rFonts w:hint="eastAsia" w:asciiTheme="minorEastAsia" w:hAnsiTheme="minorEastAsia" w:eastAsiaTheme="minorEastAsia" w:cstheme="minorEastAsia"/>
          <w:b/>
          <w:bCs/>
          <w:color w:val="auto"/>
          <w:kern w:val="0"/>
          <w:sz w:val="24"/>
          <w:highlight w:val="none"/>
          <w:u w:val="single"/>
          <w:lang w:bidi="ar"/>
        </w:rPr>
        <w:t xml:space="preserve">             </w:t>
      </w:r>
      <w:r>
        <w:rPr>
          <w:rFonts w:hint="eastAsia" w:asciiTheme="minorEastAsia" w:hAnsiTheme="minorEastAsia" w:eastAsiaTheme="minorEastAsia" w:cstheme="minorEastAsia"/>
          <w:color w:val="auto"/>
          <w:sz w:val="24"/>
          <w:highlight w:val="none"/>
        </w:rPr>
        <w:t>的设备（货物）采购协商一致，订立本合同。</w:t>
      </w:r>
    </w:p>
    <w:p>
      <w:pPr>
        <w:numPr>
          <w:ilvl w:val="0"/>
          <w:numId w:val="5"/>
        </w:numPr>
        <w:tabs>
          <w:tab w:val="left" w:pos="3060"/>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 xml:space="preserve"> 定  义</w:t>
      </w:r>
    </w:p>
    <w:p>
      <w:pPr>
        <w:tabs>
          <w:tab w:val="left" w:pos="3060"/>
        </w:tabs>
        <w:spacing w:line="52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本合同下列术语应解释为：</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（1）“合同”系指甲乙双方自愿签署并达成的、载明双方权利义务的协议，包括所有的附件、附录、补充协议、通知书、确认书、投标文件的技术参数等以及上述文件所提到的构成合同的所有文件。</w:t>
      </w:r>
    </w:p>
    <w:p>
      <w:pPr>
        <w:pStyle w:val="19"/>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（2）“合同价”是指根据本合同的约定，乙方在按照合同约定和法律法规规定全面履行相应义务后，甲方应当支付给乙方的价款。</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（3）“设备（货物）”系指乙方根据合同规定须向甲方提供的保证正常运行的一切设备（货物）、配件、备件、图纸、软件、附随工具、随增物品、装箱资料及其他材料。</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（4）“服务”系指根据合同规定乙方承担与供货有关的辅助服务，如包装、运输、保险以及其他的伴随服务，例如安装、调试、提供技术服务、培训和合同中规定乙方应承担的其他义务。　</w:t>
      </w:r>
    </w:p>
    <w:p>
      <w:pPr>
        <w:tabs>
          <w:tab w:val="left" w:pos="3060"/>
        </w:tabs>
        <w:spacing w:line="520" w:lineRule="exact"/>
        <w:ind w:left="477" w:leftChars="22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（5）“验收机构”系指双方依据合同规定或国家相关规定的程序和条件组成验收小组，确认合同项下的设备（货物）符合技术规范的要求。</w:t>
      </w:r>
    </w:p>
    <w:p>
      <w:pPr>
        <w:tabs>
          <w:tab w:val="left" w:pos="3060"/>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  合同范围及价款</w:t>
      </w:r>
    </w:p>
    <w:tbl>
      <w:tblPr>
        <w:tblStyle w:val="38"/>
        <w:tblpPr w:leftFromText="180" w:rightFromText="180" w:vertAnchor="text" w:horzAnchor="page" w:tblpX="1512" w:tblpY="1146"/>
        <w:tblOverlap w:val="never"/>
        <w:tblW w:w="9743" w:type="dxa"/>
        <w:tblInd w:w="0" w:type="dxa"/>
        <w:tblLayout w:type="fixed"/>
        <w:tblCellMar>
          <w:top w:w="0" w:type="dxa"/>
          <w:left w:w="0" w:type="dxa"/>
          <w:bottom w:w="0" w:type="dxa"/>
          <w:right w:w="0" w:type="dxa"/>
        </w:tblCellMar>
      </w:tblPr>
      <w:tblGrid>
        <w:gridCol w:w="540"/>
        <w:gridCol w:w="1460"/>
        <w:gridCol w:w="1581"/>
        <w:gridCol w:w="859"/>
        <w:gridCol w:w="780"/>
        <w:gridCol w:w="780"/>
        <w:gridCol w:w="845"/>
        <w:gridCol w:w="900"/>
        <w:gridCol w:w="1998"/>
      </w:tblGrid>
      <w:tr>
        <w:tblPrEx>
          <w:tblCellMar>
            <w:top w:w="0" w:type="dxa"/>
            <w:left w:w="0" w:type="dxa"/>
            <w:bottom w:w="0" w:type="dxa"/>
            <w:right w:w="0" w:type="dxa"/>
          </w:tblCellMar>
        </w:tblPrEx>
        <w:trPr>
          <w:trHeight w:val="567"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1460" w:type="dxa"/>
            <w:tcBorders>
              <w:top w:val="single" w:color="auto" w:sz="4" w:space="0"/>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设备（货物）名称</w:t>
            </w:r>
          </w:p>
        </w:tc>
        <w:tc>
          <w:tcPr>
            <w:tcW w:w="1581" w:type="dxa"/>
            <w:tcBorders>
              <w:top w:val="single" w:color="auto" w:sz="4" w:space="0"/>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品牌规格型号</w:t>
            </w:r>
          </w:p>
        </w:tc>
        <w:tc>
          <w:tcPr>
            <w:tcW w:w="859" w:type="dxa"/>
            <w:tcBorders>
              <w:top w:val="single" w:color="auto" w:sz="4" w:space="0"/>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产地</w:t>
            </w:r>
          </w:p>
        </w:tc>
        <w:tc>
          <w:tcPr>
            <w:tcW w:w="780" w:type="dxa"/>
            <w:tcBorders>
              <w:top w:val="single" w:color="auto" w:sz="4" w:space="0"/>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生产</w:t>
            </w:r>
          </w:p>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厂家</w:t>
            </w:r>
          </w:p>
        </w:tc>
        <w:tc>
          <w:tcPr>
            <w:tcW w:w="780" w:type="dxa"/>
            <w:tcBorders>
              <w:top w:val="single" w:color="auto" w:sz="4" w:space="0"/>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数量</w:t>
            </w:r>
          </w:p>
        </w:tc>
        <w:tc>
          <w:tcPr>
            <w:tcW w:w="845" w:type="dxa"/>
            <w:tcBorders>
              <w:top w:val="single" w:color="auto" w:sz="4" w:space="0"/>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单价</w:t>
            </w:r>
          </w:p>
        </w:tc>
        <w:tc>
          <w:tcPr>
            <w:tcW w:w="900" w:type="dxa"/>
            <w:tcBorders>
              <w:top w:val="single" w:color="auto" w:sz="4" w:space="0"/>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合计</w:t>
            </w:r>
          </w:p>
        </w:tc>
        <w:tc>
          <w:tcPr>
            <w:tcW w:w="1998" w:type="dxa"/>
            <w:tcBorders>
              <w:top w:val="single" w:color="auto" w:sz="4" w:space="0"/>
              <w:left w:val="nil"/>
              <w:bottom w:val="nil"/>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备注（质保期）</w:t>
            </w:r>
          </w:p>
        </w:tc>
      </w:tr>
      <w:tr>
        <w:tblPrEx>
          <w:tblCellMar>
            <w:top w:w="0" w:type="dxa"/>
            <w:left w:w="0" w:type="dxa"/>
            <w:bottom w:w="0" w:type="dxa"/>
            <w:right w:w="0" w:type="dxa"/>
          </w:tblCellMar>
        </w:tblPrEx>
        <w:trPr>
          <w:trHeight w:val="567" w:hRule="atLeast"/>
        </w:trPr>
        <w:tc>
          <w:tcPr>
            <w:tcW w:w="540" w:type="dxa"/>
            <w:tcBorders>
              <w:top w:val="nil"/>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460" w:type="dxa"/>
            <w:tcBorders>
              <w:top w:val="nil"/>
              <w:left w:val="nil"/>
              <w:bottom w:val="single" w:color="auto" w:sz="4" w:space="0"/>
              <w:right w:val="single" w:color="auto" w:sz="4" w:space="0"/>
            </w:tcBorders>
            <w:vAlign w:val="center"/>
          </w:tcPr>
          <w:p>
            <w:pPr>
              <w:adjustRightInd w:val="0"/>
              <w:snapToGrid w:val="0"/>
              <w:spacing w:line="520" w:lineRule="exact"/>
              <w:jc w:val="center"/>
              <w:rPr>
                <w:rFonts w:asciiTheme="minorEastAsia" w:hAnsiTheme="minorEastAsia" w:eastAsiaTheme="minorEastAsia" w:cstheme="minorEastAsia"/>
                <w:color w:val="auto"/>
                <w:sz w:val="24"/>
                <w:highlight w:val="none"/>
              </w:rPr>
            </w:pPr>
          </w:p>
        </w:tc>
        <w:tc>
          <w:tcPr>
            <w:tcW w:w="1581" w:type="dxa"/>
            <w:tcBorders>
              <w:top w:val="nil"/>
              <w:left w:val="nil"/>
              <w:bottom w:val="single" w:color="auto" w:sz="4" w:space="0"/>
              <w:right w:val="single" w:color="auto" w:sz="4" w:space="0"/>
            </w:tcBorders>
            <w:vAlign w:val="center"/>
          </w:tcPr>
          <w:p>
            <w:pPr>
              <w:adjustRightInd w:val="0"/>
              <w:snapToGrid w:val="0"/>
              <w:spacing w:line="520" w:lineRule="exact"/>
              <w:jc w:val="center"/>
              <w:rPr>
                <w:rFonts w:asciiTheme="minorEastAsia" w:hAnsiTheme="minorEastAsia" w:eastAsiaTheme="minorEastAsia" w:cstheme="minorEastAsia"/>
                <w:color w:val="auto"/>
                <w:sz w:val="24"/>
                <w:highlight w:val="none"/>
              </w:rPr>
            </w:pPr>
          </w:p>
        </w:tc>
        <w:tc>
          <w:tcPr>
            <w:tcW w:w="859"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845"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900"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1998" w:type="dxa"/>
            <w:tcBorders>
              <w:top w:val="single" w:color="auto" w:sz="4" w:space="0"/>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567" w:hRule="atLeast"/>
        </w:trPr>
        <w:tc>
          <w:tcPr>
            <w:tcW w:w="540" w:type="dxa"/>
            <w:tcBorders>
              <w:top w:val="nil"/>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460"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1581" w:type="dxa"/>
            <w:tcBorders>
              <w:top w:val="nil"/>
              <w:left w:val="nil"/>
              <w:bottom w:val="single" w:color="auto" w:sz="4" w:space="0"/>
              <w:right w:val="single" w:color="auto" w:sz="4" w:space="0"/>
            </w:tcBorders>
            <w:vAlign w:val="center"/>
          </w:tcPr>
          <w:p>
            <w:pPr>
              <w:spacing w:line="520" w:lineRule="exact"/>
              <w:ind w:firstLine="480" w:firstLineChars="200"/>
              <w:rPr>
                <w:rFonts w:asciiTheme="minorEastAsia" w:hAnsiTheme="minorEastAsia" w:eastAsiaTheme="minorEastAsia" w:cstheme="minorEastAsia"/>
                <w:color w:val="auto"/>
                <w:sz w:val="24"/>
                <w:highlight w:val="none"/>
              </w:rPr>
            </w:pPr>
          </w:p>
        </w:tc>
        <w:tc>
          <w:tcPr>
            <w:tcW w:w="859"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780"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845"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900"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1998" w:type="dxa"/>
            <w:tcBorders>
              <w:top w:val="nil"/>
              <w:left w:val="nil"/>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r>
      <w:tr>
        <w:tblPrEx>
          <w:tblCellMar>
            <w:top w:w="0" w:type="dxa"/>
            <w:left w:w="0" w:type="dxa"/>
            <w:bottom w:w="0" w:type="dxa"/>
            <w:right w:w="0" w:type="dxa"/>
          </w:tblCellMar>
        </w:tblPrEx>
        <w:trPr>
          <w:trHeight w:val="567" w:hRule="atLeast"/>
        </w:trPr>
        <w:tc>
          <w:tcPr>
            <w:tcW w:w="540" w:type="dxa"/>
            <w:tcBorders>
              <w:top w:val="nil"/>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p>
        </w:tc>
        <w:tc>
          <w:tcPr>
            <w:tcW w:w="9203" w:type="dxa"/>
            <w:gridSpan w:val="8"/>
            <w:tcBorders>
              <w:top w:val="nil"/>
              <w:left w:val="single" w:color="auto" w:sz="4" w:space="0"/>
              <w:bottom w:val="single" w:color="auto" w:sz="4" w:space="0"/>
              <w:right w:val="single" w:color="auto" w:sz="4" w:space="0"/>
            </w:tcBorders>
            <w:vAlign w:val="center"/>
          </w:tcPr>
          <w:p>
            <w:pPr>
              <w:spacing w:line="52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总  计：RMB ￥     元</w:t>
            </w:r>
          </w:p>
        </w:tc>
      </w:tr>
    </w:tbl>
    <w:p>
      <w:pPr>
        <w:tabs>
          <w:tab w:val="left" w:pos="3060"/>
        </w:tabs>
        <w:spacing w:line="52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甲方同意从乙方购买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b/>
          <w:bCs/>
          <w:color w:val="auto"/>
          <w:kern w:val="0"/>
          <w:sz w:val="24"/>
          <w:highlight w:val="none"/>
          <w:u w:val="single"/>
          <w:lang w:bidi="ar"/>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设备（货物），包括：</w:t>
      </w:r>
    </w:p>
    <w:p>
      <w:pPr>
        <w:spacing w:line="52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 w:val="24"/>
          <w:highlight w:val="none"/>
        </w:rPr>
        <w:t xml:space="preserve">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Cs w:val="21"/>
          <w:highlight w:val="none"/>
        </w:rPr>
        <w:t>单  位：     元（人民币）</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上述合同价款均已包括：</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1）设备（货物）价款；</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2）配件、备件、图纸、软件、附随工具、随赠物品等；</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3）技术服务、培训服务、售后服务、伴随服务等费用；</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4）包装、运输、装卸、保险等费用；</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5）安装、调试、检验、检测等费用；</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6）根据需要应当支付的安装调试、检测、验收费用或者委托第三方检测、验收、鉴定等费用；</w:t>
      </w:r>
    </w:p>
    <w:p>
      <w:pPr>
        <w:tabs>
          <w:tab w:val="left" w:pos="3060"/>
        </w:tabs>
        <w:spacing w:line="520" w:lineRule="exact"/>
        <w:ind w:firstLine="480" w:firstLineChars="200"/>
        <w:outlineLvl w:val="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7）依法应当由乙方承担的全部税费。</w:t>
      </w:r>
    </w:p>
    <w:p>
      <w:pPr>
        <w:numPr>
          <w:ilvl w:val="0"/>
          <w:numId w:val="6"/>
        </w:num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 xml:space="preserve"> 价款支付</w:t>
      </w:r>
    </w:p>
    <w:p>
      <w:pPr>
        <w:tabs>
          <w:tab w:val="left" w:pos="3060"/>
        </w:tabs>
        <w:spacing w:line="520" w:lineRule="exact"/>
        <w:ind w:left="353" w:hanging="352" w:hangingChars="147"/>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3.1 </w:t>
      </w:r>
      <w:r>
        <w:rPr>
          <w:rFonts w:hint="eastAsia" w:asciiTheme="minorEastAsia" w:hAnsiTheme="minorEastAsia" w:eastAsiaTheme="minorEastAsia" w:cstheme="minorEastAsia"/>
          <w:b/>
          <w:bCs/>
          <w:color w:val="auto"/>
          <w:sz w:val="24"/>
          <w:highlight w:val="none"/>
        </w:rPr>
        <w:t>国产设备（货物财政专项资金）：</w:t>
      </w:r>
      <w:r>
        <w:rPr>
          <w:rFonts w:hint="eastAsia" w:asciiTheme="minorEastAsia" w:hAnsiTheme="minorEastAsia" w:eastAsiaTheme="minorEastAsia" w:cstheme="minorEastAsia"/>
          <w:color w:val="auto"/>
          <w:sz w:val="24"/>
          <w:highlight w:val="none"/>
        </w:rPr>
        <w:t>甲方应在合同生效后支付给乙方合同中</w:t>
      </w:r>
      <w:r>
        <w:rPr>
          <w:rFonts w:hint="eastAsia" w:asciiTheme="minorEastAsia" w:hAnsiTheme="minorEastAsia" w:eastAsiaTheme="minorEastAsia" w:cstheme="minorEastAsia"/>
          <w:b/>
          <w:bCs/>
          <w:color w:val="auto"/>
          <w:sz w:val="24"/>
          <w:highlight w:val="none"/>
        </w:rPr>
        <w:t>所有设备（货物）价款的</w:t>
      </w:r>
      <w:r>
        <w:rPr>
          <w:rFonts w:hint="eastAsia" w:asciiTheme="minorEastAsia" w:hAnsiTheme="minorEastAsia" w:eastAsiaTheme="minorEastAsia" w:cstheme="minorEastAsia"/>
          <w:b/>
          <w:bCs/>
          <w:color w:val="auto"/>
          <w:sz w:val="24"/>
          <w:highlight w:val="none"/>
          <w:u w:val="single"/>
        </w:rPr>
        <w:t xml:space="preserve">   30%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即</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元（大写：</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元），作为合同预付款，乙方应当在收到预付款7个工作日内依法开具相应的收据并交付给甲方。</w:t>
      </w:r>
    </w:p>
    <w:p>
      <w:pPr>
        <w:tabs>
          <w:tab w:val="left" w:pos="3060"/>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3.2  乙方将设备在约定的交付期限内全部运至甲方指定地点安装调试完毕，并经甲方或甲方指定（或委托）的第三方机构检测验收合格，乙方依法开具相应全部合同价款金额的发票交付给甲方后7个工作日内，甲方向乙方支付合同剩余价款即</w:t>
      </w:r>
      <w:r>
        <w:rPr>
          <w:rFonts w:hint="eastAsia" w:asciiTheme="minorEastAsia" w:hAnsiTheme="minorEastAsia" w:eastAsiaTheme="minorEastAsia" w:cstheme="minorEastAsia"/>
          <w:b/>
          <w:bCs/>
          <w:color w:val="auto"/>
          <w:sz w:val="24"/>
          <w:highlight w:val="none"/>
          <w:u w:val="single"/>
        </w:rPr>
        <w:t xml:space="preserve">         </w:t>
      </w:r>
      <w:r>
        <w:rPr>
          <w:rFonts w:hint="eastAsia" w:asciiTheme="minorEastAsia" w:hAnsiTheme="minorEastAsia" w:eastAsiaTheme="minorEastAsia" w:cstheme="minorEastAsia"/>
          <w:b/>
          <w:bCs/>
          <w:color w:val="auto"/>
          <w:sz w:val="24"/>
          <w:highlight w:val="none"/>
        </w:rPr>
        <w:t xml:space="preserve">元（大写：   </w:t>
      </w:r>
      <w:r>
        <w:rPr>
          <w:rFonts w:hint="eastAsia" w:asciiTheme="minorEastAsia" w:hAnsiTheme="minorEastAsia" w:eastAsiaTheme="minorEastAsia" w:cstheme="minorEastAsia"/>
          <w:b/>
          <w:bCs/>
          <w:color w:val="auto"/>
          <w:sz w:val="24"/>
          <w:highlight w:val="none"/>
          <w:u w:val="single"/>
        </w:rPr>
        <w:t xml:space="preserve">          </w:t>
      </w:r>
      <w:r>
        <w:rPr>
          <w:rFonts w:hint="eastAsia" w:asciiTheme="minorEastAsia" w:hAnsiTheme="minorEastAsia" w:eastAsiaTheme="minorEastAsia" w:cstheme="minorEastAsia"/>
          <w:b/>
          <w:bCs/>
          <w:color w:val="auto"/>
          <w:sz w:val="24"/>
          <w:highlight w:val="none"/>
        </w:rPr>
        <w:t xml:space="preserve">元）。  </w:t>
      </w:r>
    </w:p>
    <w:p>
      <w:pPr>
        <w:tabs>
          <w:tab w:val="left" w:pos="3060"/>
        </w:tabs>
        <w:spacing w:line="520" w:lineRule="exact"/>
        <w:ind w:left="353" w:hanging="352" w:hangingChars="147"/>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  乙方在签订本合同之日，按合同合计金额</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b/>
          <w:bCs/>
          <w:color w:val="auto"/>
          <w:sz w:val="24"/>
          <w:highlight w:val="none"/>
          <w:u w:val="single"/>
        </w:rPr>
        <w:t xml:space="preserve">5%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比例向甲方提交履约保证金。</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3.4  乙方将设备在约定的交付期限内全部运至甲方指定地点安装调试完毕，并经甲方或者甲方指定（或委托）的第三方机构检测验收合格后，乙方依约履行全部义务，没有发生违约行为的，甲方应当在7个工作日内将履约保证金无息退还给乙方。</w:t>
      </w:r>
    </w:p>
    <w:p>
      <w:pPr>
        <w:tabs>
          <w:tab w:val="left" w:pos="3060"/>
        </w:tabs>
        <w:spacing w:line="520" w:lineRule="exact"/>
        <w:ind w:left="482" w:hanging="482" w:hangingChars="20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4.  技术规范及标准</w:t>
      </w:r>
    </w:p>
    <w:p>
      <w:pPr>
        <w:tabs>
          <w:tab w:val="left" w:pos="3060"/>
          <w:tab w:val="left" w:pos="5211"/>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4.1  本合同下交付的设备（货物）应与招标文件规定的技术规范和技术标准、技术规范和技术标准附件、投标文件记载的内容以及规格偏差表相一致。</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4.2  本合同项下设备（货物）除应符合前款约定外，还应适用并且符合下列标准（</w:t>
      </w:r>
      <w:r>
        <w:rPr>
          <w:rFonts w:hint="eastAsia" w:asciiTheme="minorEastAsia" w:hAnsiTheme="minorEastAsia" w:eastAsiaTheme="minorEastAsia" w:cstheme="minorEastAsia"/>
          <w:b/>
          <w:color w:val="auto"/>
          <w:szCs w:val="21"/>
          <w:highlight w:val="none"/>
        </w:rPr>
        <w:t>根据具体的设备（货物）要求列明应当适用的国家标准、行业标准、国际标准或者其他标准文件的名称、文件号等）</w:t>
      </w:r>
      <w:r>
        <w:rPr>
          <w:rFonts w:hint="eastAsia" w:asciiTheme="minorEastAsia" w:hAnsiTheme="minorEastAsia" w:eastAsiaTheme="minorEastAsia" w:cstheme="minorEastAsia"/>
          <w:color w:val="auto"/>
          <w:sz w:val="24"/>
          <w:highlight w:val="none"/>
        </w:rPr>
        <w:t>：</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  如果存在本合同没有列明的适用标准，或相关技术标准、技术规范不明确，则应符合中华人民共和国现行最新国家标准、行业标准或相关标准，并且满足甲方的使用目的、使用要求和使用条件。</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4.4   乙方向甲方提供的设备（货物）必须具有符合中华人民共和国法律、法规、规章和相应规范性文件要求的设计、生产、运输、销售、服务许可。</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4.5   如果乙方提供的设备（货物）与许可证照不符或超越许可证照的许可事项，或者由于乙方及第三方其他任何原因造成乙方提供的设备（货物）不能通过检测、检验、验收，或者导致甲方不能实现合同目的，甲方有权解除合同，乙方应当向甲方承担包括但不限于返还已支付的全部合同价款、赔偿利息损失、承担违约金、赔偿甲方其他全部直接损失和间接损失，赔偿甲方实现合同权利所支出的全部费用（包括但不限于检测检验或者鉴定费用、诉讼费、保全费、律师代理费、差旅费等费用）等违约责任。</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   除合同文件中另有明确约定外，本合同相关计量单位均采用中华人民共和国法定计量单位。</w:t>
      </w:r>
    </w:p>
    <w:p>
      <w:pPr>
        <w:tabs>
          <w:tab w:val="left" w:pos="3060"/>
          <w:tab w:val="left" w:pos="5211"/>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5.  合同文件和资料的使用</w:t>
      </w:r>
    </w:p>
    <w:p>
      <w:pPr>
        <w:tabs>
          <w:tab w:val="left" w:pos="3060"/>
        </w:tabs>
        <w:spacing w:line="520" w:lineRule="exac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24"/>
          <w:highlight w:val="none"/>
        </w:rPr>
        <w:t>5.1  未经甲方书面同意，乙方不得将甲方或甲方指定的第三方提供的有关合同文件或任何合同条文、规格、计划、图纸、模型、样品、数据或资料提供给任何第三方。即使与履行本合同有关的人员接触、知悉、或者获得上述文件资料及信息，也应注意保密并限于履行合同必须的合理范围。</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   未经甲方书面同意，除为履行本合同所必须的用途和目的以外，乙方不应使用前款所列举的任何文件资料及信息。乙方在本合同履行完毕后将前款所列文件资料（包括但不限于原件及复印件、复制件等）全部退还甲方。</w:t>
      </w:r>
    </w:p>
    <w:p>
      <w:pPr>
        <w:tabs>
          <w:tab w:val="left" w:pos="3060"/>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6.  知识产权</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6.1   乙方承诺采取全部必要的合法措施向甲方保证：乙方提供的设备（货物）、服务及相关资料、软件、数据等，乙方均具有合法的所有权、处分权以及全部知识产权及相关权利，不存在任何侵害甲方和第三方合法权利的情形。</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6.2  因乙方提供的设备（货物）、服务及相关资料、软件、数据等不符合前款承诺和约定，乙方应当负责消除因侵权行为和违约行为产生的全部后果，保证甲方实现合同目的，并承担全部相应法律责任，因此所产生的全部费用、损失均由乙方承担。</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果乙方提供的设备（货物）、服务及相关资料、软件、数据的任何部分，因侵害甲方或第三方合法权利，导致甲方取得设备（货物）、服务及相关资料、软件、数据的合法所有权、使用权，或者产生其他妨碍甲方实现合同目的的后果，均应由乙方承担全部法律责任，消除妨碍，或用不会造成侵权后果的同等技术标准和要求并且满足甲方合同目的的设备（货物）予以更换，使甲方能够实现全部合同目的。</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7.   交货与验收</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7.1  乙方应当在签订合同日起</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日内，将符合约定和规定的全部设备（货物）运至甲方指定地点。</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在向甲方交付本合同项下设备（货物）前，应当对设备（货物）的质量、规格、技术指标、数量、重量等项目进行全面、严格的检验检测，并应当向甲方提交出厂检验合格以及相关部门和机构检验检测合格的记录、文件或证明资料，但该检验检测的记录、文件或证明资料，不作为甲方认可或者验收合格的最终证明。</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7.2  乙方将本合同项下设备（货物）全部运至甲方指定地点后，甲方应当对设备（货物）包装、外观、名称、规格、型号、数量、生产厂家、原产地、质保文件、随附合格证书、备件、配件、图纸、使用说明文件、技术资料、随附工具、随赠物品、相关文件资料（出厂检验合格证明、特种设备（货物）或者特殊设备（货物）的强制检验检测合格证明、原产地证明、型号或者产品生产许可或者备案证明、检验检疫证明、发票、舱单或者运单、海关进出口证明文件、报关文件、图纸、源代码、密码等）及其它限于可以直观清点、查验的物品、资料等进行现场初步核验，初步核验完毕后，乙方应当将上述物品和资料移交给甲方。如果初步核验结果不符合合同或者规定，乙方应当予以补充、更换或者采取其他措施使之达到或者符合约定和规定。</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初步核验仅是对不需要进行检测、检验、安装调试、联调联试、试运行或者不需要其他特定方法、程序、仪器等进行检测验收的项目的直观现场核验，不作为甲方认可或者验收合格的最终证明。</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7.3  乙方应当在本合同项下设备（货物）全部运至甲方指定地点并且安装调试合格、交付全部约定资料、完成对甲方有关人员的培训，在甲方使用设备（货物）</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天不存在故障后，甲方以书面方式通知乙方可以组织进行验收。</w:t>
      </w:r>
    </w:p>
    <w:p>
      <w:pPr>
        <w:pStyle w:val="7"/>
        <w:rPr>
          <w:rFonts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甲方组织验收的部门以设备（货物）金额作出如下区分：</w:t>
      </w:r>
    </w:p>
    <w:p>
      <w:pPr>
        <w:ind w:firstLine="452"/>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设备（货物）金额在</w:t>
      </w:r>
      <w:r>
        <w:rPr>
          <w:rFonts w:hint="eastAsia" w:asciiTheme="minorEastAsia" w:hAnsiTheme="minorEastAsia" w:eastAsiaTheme="minorEastAsia" w:cstheme="minorEastAsia"/>
          <w:color w:val="auto"/>
          <w:sz w:val="24"/>
          <w:szCs w:val="24"/>
          <w:highlight w:val="none"/>
          <w:u w:val="single"/>
        </w:rPr>
        <w:t xml:space="preserve"> 10万</w:t>
      </w:r>
      <w:r>
        <w:rPr>
          <w:rFonts w:hint="eastAsia" w:asciiTheme="minorEastAsia" w:hAnsiTheme="minorEastAsia" w:eastAsiaTheme="minorEastAsia" w:cstheme="minorEastAsia"/>
          <w:color w:val="auto"/>
          <w:sz w:val="24"/>
          <w:szCs w:val="24"/>
          <w:highlight w:val="none"/>
        </w:rPr>
        <w:t>元以内（不含本数），由</w:t>
      </w:r>
      <w:r>
        <w:rPr>
          <w:rFonts w:hint="eastAsia" w:asciiTheme="minorEastAsia" w:hAnsiTheme="minorEastAsia" w:eastAsiaTheme="minorEastAsia" w:cstheme="minorEastAsia"/>
          <w:color w:val="auto"/>
          <w:sz w:val="24"/>
          <w:szCs w:val="24"/>
          <w:highlight w:val="none"/>
          <w:u w:val="single"/>
        </w:rPr>
        <w:t xml:space="preserve">  项目所属单位  </w:t>
      </w:r>
      <w:r>
        <w:rPr>
          <w:rFonts w:hint="eastAsia" w:asciiTheme="minorEastAsia" w:hAnsiTheme="minorEastAsia" w:eastAsiaTheme="minorEastAsia" w:cstheme="minorEastAsia"/>
          <w:color w:val="auto"/>
          <w:sz w:val="24"/>
          <w:szCs w:val="24"/>
          <w:highlight w:val="none"/>
        </w:rPr>
        <w:t>部门自行组织</w:t>
      </w:r>
      <w:r>
        <w:rPr>
          <w:rFonts w:hint="eastAsia" w:asciiTheme="minorEastAsia" w:hAnsiTheme="minorEastAsia" w:eastAsiaTheme="minorEastAsia" w:cstheme="minorEastAsia"/>
          <w:color w:val="auto"/>
          <w:sz w:val="24"/>
          <w:szCs w:val="24"/>
          <w:highlight w:val="none"/>
          <w:u w:val="single"/>
        </w:rPr>
        <w:t>相关领域专家</w:t>
      </w:r>
      <w:r>
        <w:rPr>
          <w:rFonts w:hint="eastAsia" w:asciiTheme="minorEastAsia" w:hAnsiTheme="minorEastAsia" w:eastAsiaTheme="minorEastAsia" w:cstheme="minorEastAsia"/>
          <w:color w:val="auto"/>
          <w:sz w:val="24"/>
          <w:szCs w:val="24"/>
          <w:highlight w:val="none"/>
        </w:rPr>
        <w:t>验收，设备（货物）金额在</w:t>
      </w:r>
      <w:r>
        <w:rPr>
          <w:rFonts w:hint="eastAsia" w:asciiTheme="minorEastAsia" w:hAnsiTheme="minorEastAsia" w:eastAsiaTheme="minorEastAsia" w:cstheme="minorEastAsia"/>
          <w:color w:val="auto"/>
          <w:sz w:val="24"/>
          <w:szCs w:val="24"/>
          <w:highlight w:val="none"/>
          <w:u w:val="single"/>
        </w:rPr>
        <w:t xml:space="preserve"> 10万 </w:t>
      </w:r>
      <w:r>
        <w:rPr>
          <w:rFonts w:hint="eastAsia" w:asciiTheme="minorEastAsia" w:hAnsiTheme="minorEastAsia" w:eastAsiaTheme="minorEastAsia" w:cstheme="minorEastAsia"/>
          <w:color w:val="auto"/>
          <w:sz w:val="24"/>
          <w:szCs w:val="24"/>
          <w:highlight w:val="none"/>
        </w:rPr>
        <w:t>元以上（包含本数），属于行政设备的由具体采购单位组织</w:t>
      </w:r>
      <w:r>
        <w:rPr>
          <w:rFonts w:hint="eastAsia" w:asciiTheme="minorEastAsia" w:hAnsiTheme="minorEastAsia" w:eastAsiaTheme="minorEastAsia" w:cstheme="minorEastAsia"/>
          <w:color w:val="auto"/>
          <w:sz w:val="24"/>
          <w:szCs w:val="24"/>
          <w:highlight w:val="none"/>
          <w:u w:val="single"/>
        </w:rPr>
        <w:t>资产管理处</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审计处</w:t>
      </w:r>
      <w:r>
        <w:rPr>
          <w:rFonts w:hint="eastAsia" w:asciiTheme="minorEastAsia" w:hAnsiTheme="minorEastAsia" w:eastAsiaTheme="minorEastAsia" w:cstheme="minorEastAsia"/>
          <w:color w:val="auto"/>
          <w:sz w:val="24"/>
          <w:szCs w:val="24"/>
          <w:highlight w:val="none"/>
        </w:rPr>
        <w:t>以及</w:t>
      </w:r>
      <w:r>
        <w:rPr>
          <w:rFonts w:hint="eastAsia" w:asciiTheme="minorEastAsia" w:hAnsiTheme="minorEastAsia" w:eastAsiaTheme="minorEastAsia" w:cstheme="minorEastAsia"/>
          <w:color w:val="auto"/>
          <w:sz w:val="24"/>
          <w:szCs w:val="24"/>
          <w:highlight w:val="none"/>
          <w:u w:val="single"/>
        </w:rPr>
        <w:t>相关领域专家</w:t>
      </w:r>
      <w:r>
        <w:rPr>
          <w:rFonts w:hint="eastAsia" w:asciiTheme="minorEastAsia" w:hAnsiTheme="minorEastAsia" w:eastAsiaTheme="minorEastAsia" w:cstheme="minorEastAsia"/>
          <w:color w:val="auto"/>
          <w:sz w:val="24"/>
          <w:szCs w:val="24"/>
          <w:highlight w:val="none"/>
        </w:rPr>
        <w:t>参与联合进行验收；属于教学实验仪器的由具体采购单位组织</w:t>
      </w:r>
      <w:r>
        <w:rPr>
          <w:rFonts w:hint="eastAsia" w:asciiTheme="minorEastAsia" w:hAnsiTheme="minorEastAsia" w:eastAsiaTheme="minorEastAsia" w:cstheme="minorEastAsia"/>
          <w:color w:val="auto"/>
          <w:sz w:val="24"/>
          <w:szCs w:val="24"/>
          <w:highlight w:val="none"/>
          <w:u w:val="single"/>
        </w:rPr>
        <w:t>实验设备处</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审计处</w:t>
      </w:r>
      <w:r>
        <w:rPr>
          <w:rFonts w:hint="eastAsia" w:asciiTheme="minorEastAsia" w:hAnsiTheme="minorEastAsia" w:eastAsiaTheme="minorEastAsia" w:cstheme="minorEastAsia"/>
          <w:color w:val="auto"/>
          <w:sz w:val="24"/>
          <w:szCs w:val="24"/>
          <w:highlight w:val="none"/>
        </w:rPr>
        <w:t>以及</w:t>
      </w:r>
      <w:r>
        <w:rPr>
          <w:rFonts w:hint="eastAsia" w:asciiTheme="minorEastAsia" w:hAnsiTheme="minorEastAsia" w:eastAsiaTheme="minorEastAsia" w:cstheme="minorEastAsia"/>
          <w:color w:val="auto"/>
          <w:sz w:val="24"/>
          <w:szCs w:val="24"/>
          <w:highlight w:val="none"/>
          <w:u w:val="single"/>
        </w:rPr>
        <w:t>相关领域专家</w:t>
      </w:r>
      <w:r>
        <w:rPr>
          <w:rFonts w:hint="eastAsia" w:asciiTheme="minorEastAsia" w:hAnsiTheme="minorEastAsia" w:eastAsiaTheme="minorEastAsia" w:cstheme="minorEastAsia"/>
          <w:color w:val="auto"/>
          <w:sz w:val="24"/>
          <w:szCs w:val="24"/>
          <w:highlight w:val="none"/>
        </w:rPr>
        <w:t>参与联合进行验收。如任何一部门发现指出设备（货物）与约定的设备（货物）不符，乙方应当予以修正或更换设备（货物），如设备（货物）本身存在重大隐患或交付设备（货物）与约定设备（货物）存在实质性变更，甲方有权要求乙方重新更换设备（货物），由此产生的费用由乙方自行承担。</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乙方应在收到甲方书面通知后7个工作日内及时派出工作人员参加验收，乙方应当在接收甲方通知派员后携带乙方授权委托书、身份证明文件等到场参加验收。</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如果乙方接到甲方书面通知后未按照甲方确定的时间和地点派员参加验收，或者参加验收后拒绝在验收记录或验收文件上签字确认的，视为乙方同意甲方单方自行进行验收并接受验收结果。</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7.4   验收应当以招投标文件、合同、技术协议和相关约定，以及相关最新国家标准、行业标准为依据，按照约定或者相关规定的方法、程序进行。如未明确约定的，应当按照相关最新国家标准、行业标准或者公认通行的技术标准、方法和程序进行验收。</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7.5   验收结果不符合约定或者规定的，甲方有权选择下列任何一种方式进行处理：</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甲方可以选择要求乙方在甲方指定的期限内更换符合约定或者规定的设备（货物）运至甲方指定地点，并且履行安装、调试、培训等义务，并依照本合同约定的方法和程序通知甲方再次组织验收，更换后的设备（货物）的性能应当不低于合同中所约定的设备（货物），如更换后的设备（货物）的价值高于合同约定设备（货物）的价值，该差价应当由乙方自行承担。</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再次组织验收结果仍不符合约定或者规定的，甲方可以选择解除合同，乙方应当向甲方承担包括但不限于返还已支付的全部合同价款、赔偿利息损失、承担违约金、赔偿甲方其他全部直接损失和间接损失，赔偿甲方实现合同权利所支出的全部费用（包括但不限于检测检验或者鉴定费用、诉讼费、保全费、律师代理费、差旅费等费用）等违约责任。</w:t>
      </w:r>
    </w:p>
    <w:p>
      <w:pPr>
        <w:numPr>
          <w:ilvl w:val="0"/>
          <w:numId w:val="7"/>
        </w:num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甲方选择接受设备（货物），但是可以扣减未支付的剩余全部合同价款，乙方仍应当对设备（货物）在质保期内承担修理、更换、维护、培训等义务。</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8.  包装</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8.1  乙方应提供设备（货物）运至甲方指定地点所需要的包装，乙方提供的包装应符合国家标准、行业标准或者专业标准，包括但不限于满足防潮、防晒、防锈、防腐蚀、防震动及防止其他损坏的必要条件，保证设备（货物）能够经受多次搬运、装卸及长途运输，满足实现合同目的的全部要求。因包装不符合约定或者规定，造成设备（货物）毁损、灭失或其他后果的，由乙方承担全部责任和损失。</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9.  检验、安装、调试、质保</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9.1  甲方有权派遣检验人员到乙方（或制造商处）会同乙方工作人员对设备（货物）的制造过程和质量进行监督检验，但并不代替或免除乙方对设备（货物）按照合同约定承担的质量保证责任和其他责任。</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9.2   乙方应在设备（货物）运至甲方指定地点后 </w:t>
      </w:r>
      <w:r>
        <w:rPr>
          <w:rFonts w:hint="eastAsia" w:asciiTheme="minorEastAsia" w:hAnsiTheme="minorEastAsia" w:eastAsiaTheme="minorEastAsia" w:cstheme="minorEastAsia"/>
          <w:color w:val="auto"/>
          <w:sz w:val="24"/>
          <w:highlight w:val="none"/>
          <w:u w:val="single"/>
        </w:rPr>
        <w:t>15 日</w:t>
      </w:r>
      <w:r>
        <w:rPr>
          <w:rFonts w:hint="eastAsia" w:asciiTheme="minorEastAsia" w:hAnsiTheme="minorEastAsia" w:eastAsiaTheme="minorEastAsia" w:cstheme="minorEastAsia"/>
          <w:color w:val="auto"/>
          <w:sz w:val="24"/>
          <w:highlight w:val="none"/>
        </w:rPr>
        <w:t>内完成对设备（货物）的安装调试及对有关人员的培训，达到约定或规定的要求和标准，并保证设备（货物）的正常运行和使用。甲方在安装调试过程中应提供必要的协助和配合。（</w:t>
      </w:r>
      <w:r>
        <w:rPr>
          <w:rFonts w:hint="eastAsia" w:asciiTheme="minorEastAsia" w:hAnsiTheme="minorEastAsia" w:eastAsiaTheme="minorEastAsia" w:cstheme="minorEastAsia"/>
          <w:b/>
          <w:bCs/>
          <w:color w:val="auto"/>
          <w:sz w:val="24"/>
          <w:highlight w:val="none"/>
        </w:rPr>
        <w:t>本条款所列的“15日”仅为示范，建议根据具体设备或者货物的实际特性、使用需要、项目进度和具体实际情况，明确约定乙方应当完成设备或者货物安装调试及对有关人员培训义务的具体时间或者期限。</w:t>
      </w:r>
      <w:r>
        <w:rPr>
          <w:rFonts w:hint="eastAsia" w:asciiTheme="minorEastAsia" w:hAnsiTheme="minorEastAsia" w:eastAsiaTheme="minorEastAsia" w:cstheme="minorEastAsia"/>
          <w:color w:val="auto"/>
          <w:sz w:val="24"/>
          <w:highlight w:val="none"/>
        </w:rPr>
        <w:t>）</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9.3   按照约定或者规定验收合格后，甲乙双方授权代表可在15 日内现场签署验收合格证明文件，但是签署验收合格证明文件并不免除乙方对设备（货物）按照合同约定承担的质量保证责任和其他责任。</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9.4   在安装调试过程中，如果因为乙方原因造成设备（货物）毁损或者导致甲方、第三方人身、财产损失，乙方应采取包括但不限于修理、更换等必要的补救措施，并承担赔偿甲方或者第三方全部损失的法律责任。</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9.5   甲方或者甲方指定委托的机构在设备（货物）到达现场后对设备（货物）进行验收,必要时拒绝接受设备（货物）的权利不会因为设备（货物）启运前通过了甲方或其代表的检验、测试认可而受到限制或放弃。</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9.6   乙方在安装调试过程中发生的原材料、损耗品、人工、机械或者其他费用，均由乙方承担。</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9.7   乙方提供设备（货物）的质量保证期已在供货一览表的备注栏中载明，质保期的起算时间按照下列方式和条件确定，：</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1）不需要进行安装调试的，质量保证期从甲方验收合格并出具验收合格证明的次日开始计算；</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2）需要进行安装调试的，从甲方或者甲方委托的第三方验收合格，甲方投入使用并出具使用证明的次日开始计算；</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3）需要与其他设备（货物）或者设施进行联调联试的，从联调联试后甲方或者甲方委托的第三方验收合格，甲方投入使用并出具使用证明的次日开始计算；</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4）甲方出具验收合格证明或者使用证明，并不免除或者替代乙方应当承担的质量保证责任和其他合同义务。</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10.   运输</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10.1   乙方应对设备（货物）在设计、制造、运输、安装调试及交付过程中的丢失或毁损负责全部保险事宜并承担相应全部费用。</w:t>
      </w:r>
    </w:p>
    <w:p>
      <w:pPr>
        <w:pStyle w:val="7"/>
        <w:rPr>
          <w:rFonts w:asciiTheme="minorEastAsia" w:hAnsiTheme="minorEastAsia" w:eastAsiaTheme="minorEastAsia" w:cstheme="minorEastAsia"/>
          <w:b w:val="0"/>
          <w:bCs w:val="0"/>
          <w:color w:val="auto"/>
          <w:sz w:val="24"/>
          <w:highlight w:val="none"/>
        </w:rPr>
      </w:pPr>
      <w:r>
        <w:rPr>
          <w:rFonts w:hint="eastAsia" w:asciiTheme="minorEastAsia" w:hAnsiTheme="minorEastAsia" w:eastAsiaTheme="minorEastAsia" w:cstheme="minorEastAsia"/>
          <w:b w:val="0"/>
          <w:bCs w:val="0"/>
          <w:color w:val="auto"/>
          <w:sz w:val="24"/>
          <w:highlight w:val="none"/>
        </w:rPr>
        <w:t>10.2   乙方应当自行选择适宜运输上述设备（货物）的运输方式，直至将该设备（货物）完好无损的运送至甲方指定地点，如因运输过程设备（货物）出现部分受损但不影响实际使用效果，甲方有权在合同价款内扣除部分费用。</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11.   保险</w:t>
      </w:r>
    </w:p>
    <w:p>
      <w:pPr>
        <w:pStyle w:val="2"/>
        <w:adjustRightInd w:val="0"/>
        <w:snapToGrid w:val="0"/>
        <w:spacing w:after="0"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  本合同下提供的设备（货物）应对其在制造、购置、运输及交货过程中的丢失或损坏,乙方应负责进行全面保险并承担保费。</w:t>
      </w:r>
    </w:p>
    <w:p>
      <w:pPr>
        <w:numPr>
          <w:ilvl w:val="0"/>
          <w:numId w:val="8"/>
        </w:num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 xml:space="preserve"> 伴随服务</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12.1、乙方被承诺提供下列服务:</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1）实施所供设备（货物）的现场安装调试和启动、运行、维护指导，保证设备（货物）正常运行和使用；</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2）提供设备（货物）安装调试、维修维护所需的工具；</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3）为所供设备（货物）的每一单台设备（货物）和全套设备（货物）提供全面、准确、详细的操作和维护手册； </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4）在约定或者规定的期限内对所供设备（货物）实施运行维护或修理；</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5）现场就所供设备（货物）的安装调试、试运行、运行、维护或修理对甲方人员进行培训，直至甲方人员全面理解和掌握；</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6）以低于市场价格的条件向甲方提供设备（货物）终身维护、维修所需的零部件和服务；</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7）设备（货物）出现故障，乙方应在接到甲方通知后24小时内派员到达现场进行处理，并在72小时内消除故障。</w:t>
      </w:r>
    </w:p>
    <w:p>
      <w:pPr>
        <w:pStyle w:val="7"/>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b w:val="0"/>
          <w:bCs w:val="0"/>
          <w:color w:val="auto"/>
          <w:sz w:val="24"/>
          <w:highlight w:val="none"/>
        </w:rPr>
        <w:t xml:space="preserve">  8）如因设备（货物）的零件损坏系因设备（货物）本身的质量问题，乙方应当无条件为甲方更换相同原厂零件，如超出合同保质期设备（货物）零件损坏，乙方应当向甲方低于市场价提供原厂设备（货物）零件并负责更换。</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12.2  如果乙方提供伴随服务的费用未包含在合同价款中，则应由双方在签订本合同时明确予以约定，但其费用单价和总价均不得超过乙方向第三方或者市场提供类似服务所收取的现行单价和总价。</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伴随服务的费用没有在签订本合同时予以特别约定的，上述乙方承诺提供的伴随服务的费用即视为已经全部包含在合同价款当中。</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sz w:val="24"/>
          <w:highlight w:val="none"/>
        </w:rPr>
        <w:t>12.3  上述伴随服务应当符合合同约定和合同目的，并且不免除和替代乙方按照约定或者规定承担的合同义务。</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 xml:space="preserve">13.  备件 </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13.1   乙方应当提供下列备件及与备件有关的材料、文件和资料：</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1）合同约定的随附或者随赠备件，乙方应当依约提供，价款已经包含在合同价款当中；</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2）甲方可以在本合同约定以外从乙方选购备件，但其费用单价和总价均不得超过乙方向第三方或者市场提供同类备件的现行单价和总价。</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3）在备件停止生产前，乙方应提前三十日将要停止生产的计划书面通知甲方，使甲方有足够的时间采购所需的备件；</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4）在备件停止生产后，如果甲方要求，乙方应免费向甲方提供备件的蓝图、图纸和生产方法、生产工艺，或者向甲方提供市场可以采询、可选择的备件生产厂商或者替代产品。</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5）乙方对其向甲方提供的备件承担与本合同约定的设备（货物）相同的质量保证责任和其他全部义务。</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14.  保证</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14.1  乙方应保证合同项下所供设备（货物）是全新的、未使用过的，是最新或目前的型号，并完全符合合同规定的质量、规格和性能的要求。除非合同另有规定，设备（货物）应含有设计上和材料的全部最新改进。乙方应保证所提供的设备（货物）经正确安装、正常运转和保养在其使用寿命期内具有符合合同约定的性能。在质量保证期内，乙方应对由于设计、工艺或材料的缺陷、安装调试、培训指导等而发生的任何不足或故障负责。</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14.2  甲方应尽快以书面形式通知乙方在质量保证期内所发现的缺陷。</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14.3  质保期内乙方收到通知后应在24小时内及时免费维修或更换有缺陷的设备（货物）或部件，乙方承担由此发生的所有相关费用。</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14.4  如果乙方收到通知后在合同规定的时间内没有及时维修、重作、更换以弥补缺陷，甲方可采取必要的补救措施，但其风险和费用将由乙方承担，甲方根据合同规定对乙方行使的其他权利不受影响。</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15.  违约责任</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15.1   乙方提供的设备（货物）不符合约定或者规定的，甲方可以解除合同，乙方应当向甲方承担包括但不限于返还已支付的全部合同价款、赔偿利息损失、赔偿甲方其他全部直接损失和间接损失（包括但不限于银行手续费、运费、保险费、检验检测费、鉴定费、仓储费、装卸费以及为看管和保护退回设备（货物）所需的其他必要费用），赔偿甲方实现合同权利所支出的全部费用（包括但不限于检测检验或者鉴定费用、诉讼费、保全费、律师代理费、差旅费等费用）等违约责任。</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15.2   根据设备（货物）实际技术指标和约定或者规定的技术指标的偏差情况、损坏程度、故障情况以及给甲方造成的损失数额，由甲乙双方协商扣减相应的合同价款。</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15.3   用符合约定或者规定规格、型号、质量、性能和技术指标要求的全新零部件、配件或设备（货物）进行更换，由乙方承担全部费用和责任，并赔偿甲方的全部直接损失和间接损失。乙方应当对更换后的零部件、配件或者设备（货物）按照约定重新计算质量保证期并承担质量保证责任和全部合同义务。</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15.4   如果在甲方发出违约通知、索赔通知后10日内，乙方未作书面答复，视为乙方已经确认存在违约行为，接受并承担甲方提出乙方应当承担违约责任的全部要求和责任。</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15.5   乙方未在约定的期限内将全部设备（货物）运至甲方指定地点或未在本合同约定的期限内完成设备（货物）的安装调试工作的，每迟延一日，应当向甲方支付合同总价款万分之五的违约金，给甲方造成其他损失的，还应当赔偿甲方全部损失。</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乙方迟延将全部设备（货物）运至甲方指定地点或未在本合同约定的期限内完成设备（货物）的安装调试工作的超过</w:t>
      </w:r>
      <w:r>
        <w:rPr>
          <w:rFonts w:hint="eastAsia" w:asciiTheme="minorEastAsia" w:hAnsiTheme="minorEastAsia" w:eastAsiaTheme="minorEastAsia" w:cstheme="minorEastAsia"/>
          <w:color w:val="auto"/>
          <w:sz w:val="24"/>
          <w:highlight w:val="none"/>
          <w:u w:val="single"/>
        </w:rPr>
        <w:t xml:space="preserve"> 30</w:t>
      </w:r>
      <w:r>
        <w:rPr>
          <w:rFonts w:hint="eastAsia" w:asciiTheme="minorEastAsia" w:hAnsiTheme="minorEastAsia" w:eastAsiaTheme="minorEastAsia" w:cstheme="minorEastAsia"/>
          <w:color w:val="auto"/>
          <w:sz w:val="24"/>
          <w:highlight w:val="none"/>
        </w:rPr>
        <w:t>日的，甲方有权解除合同，乙方应当向甲方承担包括但不限于返还已支付的全部合同价款、赔偿利息损失、赔偿甲方其他全部直接损失和间接损失（包括但不限于银行手续费、运费、保险费、检验检测费、鉴定费、仓储费、装卸费以及为看管和保护退回设备（货物）所需的其他必要费用），赔偿甲方实现合同权利所支出的全部费用（包括但不限于检测检验或者鉴定费用、诉讼费、保全费、律师代理费、差旅费等费用）等违约责任。</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15.6  乙方违反合同约定，导致甲方采取补救措施或者避免损失扩大措施，或者为实现合同权利而提起诉讼的，乙方应当向甲方承担包括但不限于返还已支付的全部合同价款、赔偿利息损失、赔偿甲方支出的费用、赔偿甲方其他全部直接损失和间接损失（包括但不限于银行手续费、运费、保险费、检验检测费、鉴定费、仓储费、装卸费以及为看管和保护退回设备（货物）所需的其他必要费用），赔偿甲方实现合同权利所支出的全部费用（包括但不限于检测检验或者鉴定费用、诉讼费、保全费、律师代理费、差旅费等费用）等违约责任。</w:t>
      </w:r>
    </w:p>
    <w:p>
      <w:pPr>
        <w:spacing w:line="520" w:lineRule="exact"/>
        <w:ind w:left="480" w:hanging="480" w:hanging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15.7  甲方未在约定期限内向乙方支付合同价款的，每迟延一日，应当向乙方支付</w:t>
      </w:r>
      <w:r>
        <w:rPr>
          <w:rFonts w:hint="eastAsia" w:asciiTheme="minorEastAsia" w:hAnsiTheme="minorEastAsia" w:eastAsiaTheme="minorEastAsia" w:cstheme="minorEastAsia"/>
          <w:color w:val="auto"/>
          <w:sz w:val="24"/>
          <w:highlight w:val="none"/>
          <w:u w:val="single"/>
        </w:rPr>
        <w:t xml:space="preserve">万分之三 </w:t>
      </w:r>
      <w:r>
        <w:rPr>
          <w:rFonts w:hint="eastAsia" w:asciiTheme="minorEastAsia" w:hAnsiTheme="minorEastAsia" w:eastAsiaTheme="minorEastAsia" w:cstheme="minorEastAsia"/>
          <w:color w:val="auto"/>
          <w:sz w:val="24"/>
          <w:highlight w:val="none"/>
        </w:rPr>
        <w:t>的违约金。</w:t>
      </w:r>
    </w:p>
    <w:p>
      <w:pPr>
        <w:tabs>
          <w:tab w:val="left" w:pos="3060"/>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16.  通知</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16.1  甲方可以在任何时候以书面方式向乙方发出通知，变更下述一项或几项内容，通知与合同具有同等效力：</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1）本合同项下提供的设备（货物）是乙方专为甲方设计、制造的，变更图纸、设计或规格；</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2）运输或包装的方法；</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3）交货地点或交货时间；</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4）乙方提供的服务。</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16.2  如果上述变更使乙方履行合同义务的费用或时间增加或减少，双方可以协商对合同价款或交货时间或两者进行相应的变更，同时相应修改合同或者签订补充协议。</w:t>
      </w:r>
    </w:p>
    <w:p>
      <w:pPr>
        <w:spacing w:line="520" w:lineRule="exact"/>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如要求对合同价款或者交货时间进行变更，必须在收到甲方书面通知后10日内以书面方式向甲方提出并征得甲方同意。乙方未提出或者未在10日内提出变更要求的，视为接受甲方的变更要求并且不变更合同价款和交货时间。</w:t>
      </w:r>
    </w:p>
    <w:p>
      <w:pPr>
        <w:numPr>
          <w:ilvl w:val="1"/>
          <w:numId w:val="9"/>
        </w:num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甲方和乙方均同意选择中国邮政EMS邮寄方式邮寄和接收对方发送的书面通知、文件、资料、物品。</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甲方确认邮寄地址：</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甲方确认收件人姓名：</w:t>
      </w:r>
      <w:r>
        <w:rPr>
          <w:rFonts w:hint="eastAsia" w:asciiTheme="minorEastAsia" w:hAnsiTheme="minorEastAsia" w:eastAsiaTheme="minorEastAsia" w:cstheme="minorEastAsia"/>
          <w:color w:val="auto"/>
          <w:sz w:val="24"/>
          <w:highlight w:val="none"/>
          <w:u w:val="single"/>
        </w:rPr>
        <w:t xml:space="preserve">                                               </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甲方确认收件人电话：</w:t>
      </w:r>
      <w:r>
        <w:rPr>
          <w:rFonts w:hint="eastAsia" w:asciiTheme="minorEastAsia" w:hAnsiTheme="minorEastAsia" w:eastAsiaTheme="minorEastAsia" w:cstheme="minorEastAsia"/>
          <w:color w:val="auto"/>
          <w:sz w:val="24"/>
          <w:highlight w:val="none"/>
          <w:u w:val="single"/>
        </w:rPr>
        <w:t xml:space="preserve">                                                 </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甲方确认收件人身份证号：</w:t>
      </w:r>
      <w:r>
        <w:rPr>
          <w:rFonts w:hint="eastAsia" w:asciiTheme="minorEastAsia" w:hAnsiTheme="minorEastAsia" w:eastAsiaTheme="minorEastAsia" w:cstheme="minorEastAsia"/>
          <w:color w:val="auto"/>
          <w:sz w:val="24"/>
          <w:highlight w:val="none"/>
          <w:u w:val="single"/>
        </w:rPr>
        <w:t xml:space="preserve">                                             </w:t>
      </w:r>
    </w:p>
    <w:p>
      <w:pPr>
        <w:spacing w:line="520" w:lineRule="exact"/>
        <w:jc w:val="left"/>
        <w:rPr>
          <w:rFonts w:asciiTheme="minorEastAsia" w:hAnsiTheme="minorEastAsia" w:eastAsiaTheme="minorEastAsia" w:cstheme="minorEastAsia"/>
          <w:color w:val="auto"/>
          <w:sz w:val="24"/>
          <w:highlight w:val="none"/>
        </w:rPr>
      </w:pP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乙方确认邮寄地址：</w:t>
      </w:r>
      <w:r>
        <w:rPr>
          <w:rFonts w:hint="eastAsia" w:asciiTheme="minorEastAsia" w:hAnsiTheme="minorEastAsia" w:eastAsiaTheme="minorEastAsia" w:cstheme="minorEastAsia"/>
          <w:color w:val="auto"/>
          <w:sz w:val="24"/>
          <w:highlight w:val="none"/>
          <w:u w:val="single"/>
        </w:rPr>
        <w:t xml:space="preserve">                                               </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乙方确认收件人姓名：</w:t>
      </w:r>
      <w:r>
        <w:rPr>
          <w:rFonts w:hint="eastAsia" w:asciiTheme="minorEastAsia" w:hAnsiTheme="minorEastAsia" w:eastAsiaTheme="minorEastAsia" w:cstheme="minorEastAsia"/>
          <w:color w:val="auto"/>
          <w:sz w:val="24"/>
          <w:highlight w:val="none"/>
          <w:u w:val="single"/>
        </w:rPr>
        <w:t xml:space="preserve">                                             </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乙方确认收件人电话：</w:t>
      </w:r>
      <w:r>
        <w:rPr>
          <w:rFonts w:hint="eastAsia" w:asciiTheme="minorEastAsia" w:hAnsiTheme="minorEastAsia" w:eastAsiaTheme="minorEastAsia" w:cstheme="minorEastAsia"/>
          <w:color w:val="auto"/>
          <w:sz w:val="24"/>
          <w:highlight w:val="none"/>
          <w:u w:val="single"/>
        </w:rPr>
        <w:t xml:space="preserve">                                             </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乙方确认收件人身份证号：</w:t>
      </w:r>
      <w:r>
        <w:rPr>
          <w:rFonts w:hint="eastAsia" w:asciiTheme="minorEastAsia" w:hAnsiTheme="minorEastAsia" w:eastAsiaTheme="minorEastAsia" w:cstheme="minorEastAsia"/>
          <w:color w:val="auto"/>
          <w:sz w:val="24"/>
          <w:highlight w:val="none"/>
          <w:u w:val="single"/>
        </w:rPr>
        <w:t xml:space="preserve">                                         </w:t>
      </w:r>
    </w:p>
    <w:p>
      <w:pPr>
        <w:tabs>
          <w:tab w:val="left" w:pos="3060"/>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17． 合同修改</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17.1  除合同第16条约定的情况以外，双方不应对合同条款进行任何变更或修改，除非经双方同意并签订书面补充合同。</w:t>
      </w:r>
    </w:p>
    <w:p>
      <w:pPr>
        <w:tabs>
          <w:tab w:val="left" w:pos="3060"/>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18.  分包和转让</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18.1、未经甲方书面同意，乙方不得将合同义务全部或者部分以任何形式进行分包或转让。</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18.2、即使乙方在征得甲方书面同意后进行分包或者转让的，亦不免除或者替代乙方按照合同约定和法律规定应当向甲方承担的义务和责任，并且乙方和分包方、受让方应当向甲方出具就全部合同义务和责任承担连带责任的书面承诺。</w:t>
      </w:r>
    </w:p>
    <w:p>
      <w:pPr>
        <w:tabs>
          <w:tab w:val="left" w:pos="3060"/>
        </w:tabs>
        <w:spacing w:line="520" w:lineRule="exact"/>
        <w:outlineLvl w:val="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19.  合同的解除</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19.1  在甲方对乙方违约行为而采取的补救措施不受任何影响的情况下，甲方有权解除合同：</w:t>
      </w:r>
    </w:p>
    <w:p>
      <w:pPr>
        <w:tabs>
          <w:tab w:val="left" w:pos="3060"/>
        </w:tabs>
        <w:spacing w:line="520" w:lineRule="exact"/>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1）乙方未履行约定或者规定的义务。</w:t>
      </w:r>
    </w:p>
    <w:p>
      <w:pPr>
        <w:tabs>
          <w:tab w:val="left" w:pos="3060"/>
        </w:tabs>
        <w:spacing w:line="520" w:lineRule="exact"/>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2）如果甲方认为乙方在本合同的招投标、签订和履行过程中有腐败和欺诈行为，包括但不限于：</w:t>
      </w:r>
    </w:p>
    <w:p>
      <w:pPr>
        <w:tabs>
          <w:tab w:val="left" w:pos="3060"/>
        </w:tabs>
        <w:spacing w:line="520" w:lineRule="exact"/>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a、“腐败行为”是指提供、给予、接受或索取任何有价值的物品、权利、行为来影响甲方在本合同的招投标、签订和履行过程中的行为。</w:t>
      </w:r>
    </w:p>
    <w:p>
      <w:pPr>
        <w:tabs>
          <w:tab w:val="left" w:pos="3060"/>
        </w:tabs>
        <w:spacing w:line="520" w:lineRule="exact"/>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b、“欺诈行为”是指为了影响本合同的招投标、签订和履行而虚构事实或隐瞒事实，损害甲方利益的行为。</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19.2  如果甲方根据上述约定解除合同，甲方可以依其认为适当的条件和方法采购与本合同约定设备（货物）类似但是乙方没有向甲方交付的设备（货物）或者提供的服务，乙方应当承担甲方因采购类似设备（货物）或服务而产生的费用，并赔偿甲方全部经济损失。</w:t>
      </w:r>
    </w:p>
    <w:p>
      <w:pPr>
        <w:tabs>
          <w:tab w:val="left" w:pos="3060"/>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20.  争议解决</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20.1  因本合同签订、履行发生的争议，可首先由双方协商解决。双方不能协商或者协商未能达成一致的，可由一方向本合同签订地石河子的石河子市人民法院提起民事诉讼。</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20.2   在诉讼期间，除正在进行诉讼涉及的部分外，本合同其他部分应继续执行。</w:t>
      </w:r>
    </w:p>
    <w:p>
      <w:pPr>
        <w:pStyle w:val="19"/>
        <w:spacing w:line="520" w:lineRule="exact"/>
        <w:rPr>
          <w:rFonts w:asciiTheme="minorEastAsia" w:hAnsiTheme="minorEastAsia" w:eastAsiaTheme="minorEastAsia" w:cstheme="minorEastAsia"/>
          <w:b/>
          <w:bCs/>
          <w:color w:val="auto"/>
          <w:sz w:val="24"/>
          <w:highlight w:val="none"/>
        </w:rPr>
      </w:pPr>
    </w:p>
    <w:p>
      <w:pPr>
        <w:pStyle w:val="19"/>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21． 适用法律</w:t>
      </w:r>
    </w:p>
    <w:p>
      <w:pPr>
        <w:tabs>
          <w:tab w:val="left" w:pos="3060"/>
        </w:tabs>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   本合同应按照中华人民共和国现行有效的法律、法规、规章进行解释。</w:t>
      </w:r>
    </w:p>
    <w:p>
      <w:pPr>
        <w:numPr>
          <w:ilvl w:val="0"/>
          <w:numId w:val="10"/>
        </w:numPr>
        <w:tabs>
          <w:tab w:val="left" w:pos="3060"/>
        </w:tabs>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 xml:space="preserve"> 确认送达地址</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22.1    本合同载明的甲方、乙方住所地为通讯及联系地址，今后凡与本合同项下相关法律文书、诉讼文书送达地址等均以此为准，双方承诺在通讯及联系方式发生变更时，应及时通知相对方，否则按本合同载明的通讯及联系方式送达的文件均为有效送达，由此引起的相关经济和法律责任由责任方承担。</w:t>
      </w:r>
    </w:p>
    <w:p>
      <w:pPr>
        <w:tabs>
          <w:tab w:val="left" w:pos="3060"/>
        </w:tabs>
        <w:spacing w:line="520" w:lineRule="exact"/>
        <w:ind w:left="1181" w:hanging="1181" w:hangingChars="49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23.  合同生效</w:t>
      </w:r>
    </w:p>
    <w:p>
      <w:pPr>
        <w:spacing w:line="520" w:lineRule="exact"/>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23.1  本合同在双方盖章并且乙方缴纳履约保证金及合同约定的其他条件成就后生效。</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24"/>
          <w:highlight w:val="none"/>
        </w:rPr>
        <w:t>23.2  本合同正文、附件、通知、补充协议以及招投标文件、承诺书等，均为合同不可分割的组成部分，具有同等效力。</w:t>
      </w:r>
    </w:p>
    <w:p>
      <w:pPr>
        <w:spacing w:line="520" w:lineRule="exac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23.3  本合同一式</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份 ，均有同等效力。</w:t>
      </w:r>
    </w:p>
    <w:p>
      <w:pPr>
        <w:spacing w:line="520" w:lineRule="exact"/>
        <w:jc w:val="left"/>
        <w:rPr>
          <w:rFonts w:asciiTheme="minorEastAsia" w:hAnsiTheme="minorEastAsia" w:eastAsiaTheme="minorEastAsia" w:cstheme="minorEastAsia"/>
          <w:color w:val="auto"/>
          <w:sz w:val="24"/>
          <w:highlight w:val="none"/>
        </w:rPr>
      </w:pPr>
    </w:p>
    <w:p>
      <w:pPr>
        <w:spacing w:line="520" w:lineRule="exact"/>
        <w:jc w:val="left"/>
        <w:rPr>
          <w:rFonts w:asciiTheme="minorEastAsia" w:hAnsiTheme="minorEastAsia" w:eastAsiaTheme="minorEastAsia" w:cstheme="minorEastAsia"/>
          <w:color w:val="auto"/>
          <w:sz w:val="24"/>
          <w:highlight w:val="none"/>
        </w:rPr>
      </w:pP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甲    方：石河子大学（盖章）         年   月   日</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地    址：新疆石河子市北四路221号</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邮政编码：832000</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法人代表（授权代表）：</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联 系 人： </w:t>
      </w:r>
      <w:r>
        <w:rPr>
          <w:rFonts w:hint="eastAsia" w:asciiTheme="minorEastAsia" w:hAnsiTheme="minorEastAsia" w:eastAsiaTheme="minorEastAsia" w:cstheme="minorEastAsia"/>
          <w:color w:val="auto"/>
          <w:sz w:val="32"/>
          <w:szCs w:val="32"/>
          <w:highlight w:val="none"/>
        </w:rPr>
        <w:tab/>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 xml:space="preserve">电    话： </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开户银行：中国银行石河子市分行石河子大学支行</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账    号：107604669455</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税    号：12990000458493855B</w:t>
      </w:r>
    </w:p>
    <w:p>
      <w:pPr>
        <w:spacing w:line="520" w:lineRule="exact"/>
        <w:ind w:firstLine="640" w:firstLineChars="200"/>
        <w:jc w:val="left"/>
        <w:rPr>
          <w:rFonts w:asciiTheme="minorEastAsia" w:hAnsiTheme="minorEastAsia" w:eastAsiaTheme="minorEastAsia" w:cstheme="minorEastAsia"/>
          <w:color w:val="auto"/>
          <w:sz w:val="32"/>
          <w:szCs w:val="32"/>
          <w:highlight w:val="none"/>
        </w:rPr>
      </w:pPr>
    </w:p>
    <w:p>
      <w:pPr>
        <w:spacing w:line="520" w:lineRule="exact"/>
        <w:ind w:firstLine="640" w:firstLineChars="200"/>
        <w:jc w:val="left"/>
        <w:rPr>
          <w:rFonts w:asciiTheme="minorEastAsia" w:hAnsiTheme="minorEastAsia" w:eastAsiaTheme="minorEastAsia" w:cstheme="minorEastAsia"/>
          <w:color w:val="auto"/>
          <w:sz w:val="32"/>
          <w:szCs w:val="32"/>
          <w:highlight w:val="none"/>
        </w:rPr>
      </w:pP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乙    方：                        （盖章）  年 月 日</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地    址：</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邮政编码：</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法人代表：</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联 系 人：</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电    话：</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开户银行：</w:t>
      </w:r>
    </w:p>
    <w:p>
      <w:pPr>
        <w:spacing w:line="520" w:lineRule="exact"/>
        <w:jc w:val="left"/>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账    号：</w:t>
      </w:r>
    </w:p>
    <w:p>
      <w:pPr>
        <w:snapToGrid w:val="0"/>
        <w:spacing w:line="520" w:lineRule="exact"/>
        <w:rPr>
          <w:rFonts w:asciiTheme="minorEastAsia" w:hAnsiTheme="minorEastAsia" w:eastAsiaTheme="minorEastAsia" w:cstheme="minorEastAsia"/>
          <w:b/>
          <w:color w:val="auto"/>
          <w:sz w:val="28"/>
          <w:szCs w:val="28"/>
          <w:highlight w:val="none"/>
        </w:rPr>
      </w:pPr>
    </w:p>
    <w:p>
      <w:pPr>
        <w:snapToGrid w:val="0"/>
        <w:spacing w:line="520" w:lineRule="exact"/>
        <w:rPr>
          <w:rFonts w:asciiTheme="minorEastAsia" w:hAnsiTheme="minorEastAsia" w:eastAsiaTheme="minorEastAsia" w:cstheme="minorEastAsia"/>
          <w:b/>
          <w:color w:val="auto"/>
          <w:sz w:val="28"/>
          <w:szCs w:val="28"/>
          <w:highlight w:val="none"/>
        </w:rPr>
      </w:pPr>
    </w:p>
    <w:p>
      <w:pPr>
        <w:snapToGrid w:val="0"/>
        <w:spacing w:line="520" w:lineRule="exact"/>
        <w:rPr>
          <w:rFonts w:asciiTheme="minorEastAsia" w:hAnsiTheme="minorEastAsia" w:eastAsiaTheme="minorEastAsia" w:cstheme="minorEastAsia"/>
          <w:b/>
          <w:color w:val="auto"/>
          <w:sz w:val="28"/>
          <w:szCs w:val="28"/>
          <w:highlight w:val="none"/>
        </w:rPr>
      </w:pPr>
    </w:p>
    <w:p>
      <w:pPr>
        <w:snapToGrid w:val="0"/>
        <w:spacing w:line="520" w:lineRule="exac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1.合 同 附 件1（设备（货物）、设备（货物）详细技术参数表）</w:t>
      </w:r>
    </w:p>
    <w:p>
      <w:pPr>
        <w:spacing w:line="520" w:lineRule="exact"/>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附件：1、设备（货物）、设备（货物）详细技术参数表（技术参数部分要注明“参数已确认，签字”）</w:t>
      </w:r>
    </w:p>
    <w:p>
      <w:pPr>
        <w:spacing w:line="520" w:lineRule="exac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项目名称：</w:t>
      </w:r>
      <w:r>
        <w:rPr>
          <w:rFonts w:hint="eastAsia" w:asciiTheme="minorEastAsia" w:hAnsiTheme="minorEastAsia" w:eastAsiaTheme="minorEastAsia" w:cstheme="minorEastAsia"/>
          <w:color w:val="auto"/>
          <w:kern w:val="0"/>
          <w:sz w:val="28"/>
          <w:szCs w:val="28"/>
          <w:highlight w:val="none"/>
          <w:u w:val="single"/>
          <w:lang w:bidi="ar"/>
        </w:rPr>
        <w:t xml:space="preserve">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p>
    <w:p>
      <w:pPr>
        <w:widowControl/>
        <w:spacing w:line="520" w:lineRule="exact"/>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8"/>
          <w:szCs w:val="28"/>
          <w:highlight w:val="none"/>
        </w:rPr>
        <w:t>项目编号、包号：</w:t>
      </w:r>
      <w:r>
        <w:rPr>
          <w:rFonts w:hint="eastAsia" w:asciiTheme="minorEastAsia" w:hAnsiTheme="minorEastAsia" w:eastAsiaTheme="minorEastAsia" w:cstheme="minorEastAsia"/>
          <w:color w:val="auto"/>
          <w:sz w:val="28"/>
          <w:szCs w:val="28"/>
          <w:highlight w:val="none"/>
          <w:u w:val="single"/>
        </w:rPr>
        <w:t xml:space="preserve">                                                 </w:t>
      </w:r>
    </w:p>
    <w:p>
      <w:pPr>
        <w:pStyle w:val="21"/>
        <w:spacing w:line="360" w:lineRule="auto"/>
        <w:ind w:left="0" w:leftChars="0" w:firstLine="0" w:firstLineChars="0"/>
        <w:rPr>
          <w:rFonts w:asciiTheme="minorEastAsia" w:hAnsiTheme="minorEastAsia" w:eastAsiaTheme="minorEastAsia" w:cstheme="minorEastAsia"/>
          <w:color w:val="auto"/>
          <w:highlight w:val="none"/>
        </w:rPr>
      </w:pPr>
    </w:p>
    <w:p>
      <w:pPr>
        <w:spacing w:line="360" w:lineRule="auto"/>
        <w:ind w:firstLine="482" w:firstLineChars="200"/>
        <w:rPr>
          <w:rFonts w:asciiTheme="minorEastAsia" w:hAnsiTheme="minorEastAsia" w:eastAsiaTheme="minorEastAsia" w:cstheme="minorEastAsia"/>
          <w:b/>
          <w:bCs/>
          <w:color w:val="auto"/>
          <w:sz w:val="24"/>
          <w:highlight w:val="none"/>
        </w:rPr>
      </w:pPr>
    </w:p>
    <w:p>
      <w:pPr>
        <w:spacing w:line="360" w:lineRule="auto"/>
        <w:ind w:firstLine="482" w:firstLineChars="200"/>
        <w:rPr>
          <w:rFonts w:asciiTheme="minorEastAsia" w:hAnsiTheme="minorEastAsia" w:eastAsiaTheme="minorEastAsia" w:cstheme="minorEastAsia"/>
          <w:b/>
          <w:bCs/>
          <w:color w:val="auto"/>
          <w:sz w:val="24"/>
          <w:highlight w:val="none"/>
        </w:rPr>
      </w:pPr>
    </w:p>
    <w:p>
      <w:pPr>
        <w:pStyle w:val="7"/>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pStyle w:val="7"/>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pStyle w:val="7"/>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pStyle w:val="7"/>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pStyle w:val="7"/>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pStyle w:val="7"/>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参数已确认：</w:t>
      </w:r>
      <w:r>
        <w:rPr>
          <w:rFonts w:hint="eastAsia" w:asciiTheme="minorEastAsia" w:hAnsiTheme="minorEastAsia" w:eastAsiaTheme="minorEastAsia" w:cstheme="minorEastAsia"/>
          <w:color w:val="auto"/>
          <w:highlight w:val="none"/>
          <w:u w:val="single"/>
        </w:rPr>
        <w:t xml:space="preserve">        项目负责人 签字                       </w:t>
      </w:r>
    </w:p>
    <w:p>
      <w:pPr>
        <w:rPr>
          <w:rFonts w:asciiTheme="minorEastAsia" w:hAnsiTheme="minorEastAsia" w:eastAsiaTheme="minorEastAsia" w:cstheme="minorEastAsia"/>
          <w:color w:val="auto"/>
          <w:highlight w:val="none"/>
        </w:rPr>
      </w:pPr>
    </w:p>
    <w:p>
      <w:pPr>
        <w:pStyle w:val="7"/>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pStyle w:val="7"/>
        <w:rPr>
          <w:rFonts w:asciiTheme="minorEastAsia" w:hAnsiTheme="minorEastAsia" w:eastAsiaTheme="minorEastAsia" w:cstheme="minorEastAsia"/>
          <w:color w:val="auto"/>
          <w:highlight w:val="none"/>
        </w:rPr>
      </w:pPr>
    </w:p>
    <w:p>
      <w:pPr>
        <w:pStyle w:val="7"/>
        <w:ind w:firstLine="281" w:firstLineChars="1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highlight w:val="none"/>
        </w:rPr>
        <w:t>2.合 同 附 件2（售后服务承诺书）</w:t>
      </w:r>
    </w:p>
    <w:tbl>
      <w:tblPr>
        <w:tblStyle w:val="38"/>
        <w:tblW w:w="0" w:type="auto"/>
        <w:tblInd w:w="0" w:type="dxa"/>
        <w:tblLayout w:type="fixed"/>
        <w:tblCellMar>
          <w:top w:w="0" w:type="dxa"/>
          <w:left w:w="108" w:type="dxa"/>
          <w:bottom w:w="0" w:type="dxa"/>
          <w:right w:w="108" w:type="dxa"/>
        </w:tblCellMar>
      </w:tblPr>
      <w:tblGrid>
        <w:gridCol w:w="4248"/>
        <w:gridCol w:w="4791"/>
      </w:tblGrid>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1、投标人承诺具体事项：</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2、售后服务具体事项：</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12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3、保修期责任：</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4、其他具体事项：</w:t>
            </w: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454" w:hRule="exact"/>
        </w:trPr>
        <w:tc>
          <w:tcPr>
            <w:tcW w:w="9039"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1787" w:hRule="atLeast"/>
        </w:trPr>
        <w:tc>
          <w:tcPr>
            <w:tcW w:w="42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甲方（章）</w:t>
            </w:r>
          </w:p>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tc>
        <w:tc>
          <w:tcPr>
            <w:tcW w:w="4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乙方（章）</w:t>
            </w:r>
          </w:p>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p>
          <w:p>
            <w:pPr>
              <w:adjustRightInd w:val="0"/>
              <w:snapToGrid w:val="0"/>
              <w:spacing w:line="360" w:lineRule="auto"/>
              <w:jc w:val="center"/>
              <w:textAlignment w:val="baseline"/>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tc>
      </w:tr>
    </w:tbl>
    <w:p>
      <w:pPr>
        <w:pStyle w:val="7"/>
        <w:rPr>
          <w:rFonts w:ascii="Calibri" w:hAnsi="Calibri" w:eastAsia="宋体"/>
          <w:color w:val="auto"/>
          <w:highlight w:val="none"/>
        </w:rPr>
      </w:pPr>
      <w:r>
        <w:rPr>
          <w:rFonts w:hint="eastAsia" w:asciiTheme="minorEastAsia" w:hAnsiTheme="minorEastAsia" w:eastAsiaTheme="minorEastAsia" w:cstheme="minorEastAsia"/>
          <w:color w:val="auto"/>
          <w:highlight w:val="none"/>
        </w:rPr>
        <w:t>合同已确认：</w:t>
      </w:r>
      <w:r>
        <w:rPr>
          <w:rFonts w:hint="eastAsia" w:asciiTheme="minorEastAsia" w:hAnsiTheme="minorEastAsia" w:eastAsiaTheme="minorEastAsia" w:cstheme="minorEastAsia"/>
          <w:color w:val="auto"/>
          <w:highlight w:val="none"/>
          <w:u w:val="single"/>
        </w:rPr>
        <w:t xml:space="preserve">        项目负责人 签字                       </w:t>
      </w:r>
    </w:p>
    <w:p>
      <w:pPr>
        <w:spacing w:line="360" w:lineRule="auto"/>
        <w:rPr>
          <w:color w:val="auto"/>
          <w:highlight w:val="none"/>
        </w:rPr>
      </w:pPr>
    </w:p>
    <w:p>
      <w:pPr>
        <w:pStyle w:val="36"/>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pStyle w:val="2"/>
        <w:rPr>
          <w:rFonts w:asciiTheme="majorEastAsia" w:hAnsiTheme="majorEastAsia" w:eastAsiaTheme="majorEastAsia"/>
          <w:color w:val="auto"/>
          <w:highlight w:val="none"/>
        </w:rPr>
      </w:pPr>
    </w:p>
    <w:p>
      <w:pPr>
        <w:pStyle w:val="3"/>
        <w:ind w:left="5250"/>
        <w:rPr>
          <w:rFonts w:asciiTheme="majorEastAsia" w:hAnsiTheme="majorEastAsia" w:eastAsiaTheme="majorEastAsia"/>
          <w:color w:val="auto"/>
          <w:highlight w:val="none"/>
        </w:rPr>
      </w:pPr>
    </w:p>
    <w:p>
      <w:pPr>
        <w:rPr>
          <w:rFonts w:asciiTheme="majorEastAsia" w:hAnsiTheme="majorEastAsia" w:eastAsiaTheme="majorEastAsia"/>
          <w:color w:val="auto"/>
          <w:highlight w:val="none"/>
        </w:rPr>
      </w:pPr>
    </w:p>
    <w:p>
      <w:pPr>
        <w:pStyle w:val="2"/>
        <w:rPr>
          <w:rFonts w:asciiTheme="majorEastAsia" w:hAnsiTheme="majorEastAsia" w:eastAsiaTheme="majorEastAsia"/>
          <w:color w:val="auto"/>
          <w:highlight w:val="none"/>
        </w:rPr>
      </w:pPr>
    </w:p>
    <w:p>
      <w:pPr>
        <w:pStyle w:val="3"/>
        <w:ind w:left="5250"/>
        <w:rPr>
          <w:rFonts w:asciiTheme="majorEastAsia" w:hAnsiTheme="majorEastAsia" w:eastAsiaTheme="majorEastAsia"/>
          <w:color w:val="auto"/>
          <w:highlight w:val="none"/>
        </w:rPr>
      </w:pPr>
    </w:p>
    <w:p>
      <w:pPr>
        <w:rPr>
          <w:color w:val="auto"/>
          <w:highlight w:val="none"/>
        </w:rPr>
      </w:pPr>
    </w:p>
    <w:p>
      <w:pPr>
        <w:pStyle w:val="3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第六部分 投标文件格式</w:t>
      </w:r>
      <w:bookmarkEnd w:id="294"/>
      <w:bookmarkEnd w:id="295"/>
    </w:p>
    <w:p>
      <w:pPr>
        <w:rPr>
          <w:rFonts w:cs="宋体" w:asciiTheme="majorEastAsia" w:hAnsiTheme="majorEastAsia" w:eastAsiaTheme="majorEastAsia"/>
          <w:color w:val="auto"/>
          <w:highlight w:val="none"/>
        </w:rPr>
      </w:pPr>
    </w:p>
    <w:p>
      <w:pPr>
        <w:pStyle w:val="59"/>
        <w:spacing w:after="100" w:afterAutospacing="1"/>
        <w:jc w:val="center"/>
        <w:rPr>
          <w:rFonts w:asciiTheme="majorEastAsia" w:hAnsiTheme="majorEastAsia" w:eastAsiaTheme="majorEastAsia"/>
          <w:color w:val="auto"/>
          <w:highlight w:val="none"/>
        </w:rPr>
      </w:pPr>
      <w:r>
        <w:rPr>
          <w:rFonts w:hint="eastAsia" w:cs="宋体" w:asciiTheme="majorEastAsia" w:hAnsiTheme="majorEastAsia" w:eastAsiaTheme="majorEastAsia"/>
          <w:color w:val="auto"/>
          <w:highlight w:val="none"/>
        </w:rPr>
        <w:t>目</w:t>
      </w:r>
      <w:r>
        <w:rPr>
          <w:rFonts w:asciiTheme="majorEastAsia" w:hAnsiTheme="majorEastAsia" w:eastAsiaTheme="majorEastAsia"/>
          <w:color w:val="auto"/>
          <w:highlight w:val="none"/>
        </w:rPr>
        <w:t>  </w:t>
      </w:r>
      <w:r>
        <w:rPr>
          <w:rFonts w:hint="eastAsia" w:cs="宋体" w:asciiTheme="majorEastAsia" w:hAnsiTheme="majorEastAsia" w:eastAsiaTheme="majorEastAsia"/>
          <w:color w:val="auto"/>
          <w:highlight w:val="none"/>
        </w:rPr>
        <w:t>录</w:t>
      </w:r>
    </w:p>
    <w:p>
      <w:pPr>
        <w:pStyle w:val="70"/>
        <w:spacing w:line="500" w:lineRule="exact"/>
        <w:rPr>
          <w:rFonts w:asciiTheme="majorEastAsia" w:hAnsiTheme="majorEastAsia" w:eastAsiaTheme="majorEastAsia"/>
          <w:b/>
          <w:color w:val="auto"/>
          <w:sz w:val="24"/>
          <w:szCs w:val="24"/>
          <w:highlight w:val="none"/>
        </w:rPr>
      </w:pPr>
      <w:bookmarkStart w:id="330" w:name="_Toc4752"/>
      <w:r>
        <w:rPr>
          <w:rFonts w:asciiTheme="majorEastAsia" w:hAnsiTheme="majorEastAsia" w:eastAsiaTheme="majorEastAsia"/>
          <w:b/>
          <w:color w:val="auto"/>
          <w:sz w:val="24"/>
          <w:szCs w:val="24"/>
          <w:highlight w:val="none"/>
        </w:rPr>
        <w:t>投标文件封面</w:t>
      </w:r>
      <w:bookmarkEnd w:id="330"/>
    </w:p>
    <w:p>
      <w:pPr>
        <w:pStyle w:val="70"/>
        <w:spacing w:line="500" w:lineRule="exact"/>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资格审查资料</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一</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营业执照、组织机构代码证、税务登记证</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二</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法定代表人身份证明及授权委托书</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三</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投标保证金</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四</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中、小</w:t>
      </w:r>
      <w:r>
        <w:rPr>
          <w:rFonts w:asciiTheme="majorEastAsia" w:hAnsiTheme="majorEastAsia" w:eastAsiaTheme="majorEastAsia"/>
          <w:color w:val="auto"/>
          <w:sz w:val="24"/>
          <w:szCs w:val="24"/>
          <w:highlight w:val="none"/>
        </w:rPr>
        <w:t>企业声明函（</w:t>
      </w:r>
      <w:r>
        <w:rPr>
          <w:rFonts w:hint="eastAsia" w:asciiTheme="majorEastAsia" w:hAnsiTheme="majorEastAsia" w:eastAsiaTheme="majorEastAsia"/>
          <w:color w:val="auto"/>
          <w:sz w:val="24"/>
          <w:szCs w:val="24"/>
          <w:highlight w:val="none"/>
        </w:rPr>
        <w:t>中、小型企业</w:t>
      </w:r>
      <w:r>
        <w:rPr>
          <w:rFonts w:asciiTheme="majorEastAsia" w:hAnsiTheme="majorEastAsia" w:eastAsiaTheme="majorEastAsia"/>
          <w:color w:val="auto"/>
          <w:sz w:val="24"/>
          <w:szCs w:val="24"/>
          <w:highlight w:val="none"/>
        </w:rPr>
        <w:t>产品价格需扣除的须提供）</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五</w:t>
      </w:r>
      <w:r>
        <w:rPr>
          <w:rFonts w:asciiTheme="majorEastAsia" w:hAnsiTheme="majorEastAsia" w:eastAsiaTheme="majorEastAsia"/>
          <w:color w:val="auto"/>
          <w:sz w:val="24"/>
          <w:szCs w:val="24"/>
          <w:highlight w:val="none"/>
        </w:rPr>
        <w:t>、供应商认为有必要提供的声明及文件资料</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六</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《中华人民共和国政府采购法》第二十二条应当具备的条件；</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七</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不参与围标串标承诺书</w:t>
      </w:r>
    </w:p>
    <w:p>
      <w:pPr>
        <w:pStyle w:val="70"/>
        <w:spacing w:line="500" w:lineRule="exact"/>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商务文件</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一</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投标函</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二</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开标一览表</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三</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投标报价明细表</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四</w:t>
      </w:r>
      <w:r>
        <w:rPr>
          <w:rFonts w:asciiTheme="majorEastAsia" w:hAnsiTheme="majorEastAsia" w:eastAsiaTheme="majorEastAsia"/>
          <w:color w:val="auto"/>
          <w:sz w:val="24"/>
          <w:szCs w:val="24"/>
          <w:highlight w:val="none"/>
        </w:rPr>
        <w:t>、</w:t>
      </w:r>
      <w:r>
        <w:rPr>
          <w:rFonts w:hint="eastAsia" w:asciiTheme="majorEastAsia" w:hAnsiTheme="majorEastAsia" w:eastAsiaTheme="majorEastAsia"/>
          <w:color w:val="auto"/>
          <w:sz w:val="24"/>
          <w:szCs w:val="24"/>
          <w:highlight w:val="none"/>
        </w:rPr>
        <w:t>★</w:t>
      </w:r>
      <w:r>
        <w:rPr>
          <w:rFonts w:asciiTheme="majorEastAsia" w:hAnsiTheme="majorEastAsia" w:eastAsiaTheme="majorEastAsia"/>
          <w:color w:val="auto"/>
          <w:sz w:val="24"/>
          <w:szCs w:val="24"/>
          <w:highlight w:val="none"/>
        </w:rPr>
        <w:t>商务条款偏离说明表</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五、★商务方案</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六</w:t>
      </w:r>
      <w:r>
        <w:rPr>
          <w:rFonts w:asciiTheme="majorEastAsia" w:hAnsiTheme="majorEastAsia" w:eastAsiaTheme="majorEastAsia"/>
          <w:color w:val="auto"/>
          <w:sz w:val="24"/>
          <w:szCs w:val="24"/>
          <w:highlight w:val="none"/>
        </w:rPr>
        <w:t>、供应商认为有必要提供的其他资料</w:t>
      </w:r>
    </w:p>
    <w:p>
      <w:pPr>
        <w:pStyle w:val="70"/>
        <w:spacing w:line="500" w:lineRule="exact"/>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技术文件</w:t>
      </w:r>
    </w:p>
    <w:p>
      <w:pPr>
        <w:pStyle w:val="70"/>
        <w:spacing w:line="500" w:lineRule="exact"/>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一、投标人自行编写的技术文件</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二、投标人认为必要的其他资料</w:t>
      </w:r>
    </w:p>
    <w:p>
      <w:pPr>
        <w:pStyle w:val="70"/>
        <w:spacing w:line="500" w:lineRule="exact"/>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服务文件</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一、货物售后服务：</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二、售后服务网点明细表及本地化服务情况一览表；</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三、服务项目偏离表。</w:t>
      </w:r>
    </w:p>
    <w:p>
      <w:pPr>
        <w:pStyle w:val="60"/>
        <w:jc w:val="center"/>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31" w:name="_Toc256000081"/>
      <w:bookmarkStart w:id="332" w:name="_Toc107369344"/>
      <w:bookmarkStart w:id="333" w:name="_Toc11018"/>
      <w:r>
        <w:rPr>
          <w:rFonts w:asciiTheme="majorEastAsia" w:hAnsiTheme="majorEastAsia" w:eastAsiaTheme="majorEastAsia"/>
          <w:color w:val="auto"/>
          <w:highlight w:val="none"/>
        </w:rPr>
        <w:t>一、投标文件封面</w:t>
      </w:r>
      <w:bookmarkEnd w:id="331"/>
      <w:bookmarkEnd w:id="332"/>
      <w:bookmarkEnd w:id="333"/>
    </w:p>
    <w:p>
      <w:pPr>
        <w:pStyle w:val="62"/>
        <w:spacing w:line="360" w:lineRule="auto"/>
        <w:rPr>
          <w:rFonts w:asciiTheme="majorEastAsia" w:hAnsiTheme="majorEastAsia" w:eastAsiaTheme="majorEastAsia"/>
          <w:b/>
          <w:color w:val="auto"/>
          <w:sz w:val="24"/>
          <w:highlight w:val="none"/>
        </w:rPr>
      </w:pPr>
    </w:p>
    <w:p>
      <w:pPr>
        <w:pStyle w:val="62"/>
        <w:spacing w:line="360" w:lineRule="auto"/>
        <w:jc w:val="center"/>
        <w:rPr>
          <w:rFonts w:asciiTheme="majorEastAsia" w:hAnsiTheme="majorEastAsia" w:eastAsiaTheme="majorEastAsia"/>
          <w:color w:val="auto"/>
          <w:sz w:val="24"/>
          <w:highlight w:val="none"/>
        </w:rPr>
      </w:pPr>
    </w:p>
    <w:p>
      <w:pPr>
        <w:pStyle w:val="62"/>
        <w:spacing w:line="360" w:lineRule="auto"/>
        <w:jc w:val="center"/>
        <w:outlineLvl w:val="2"/>
        <w:rPr>
          <w:rFonts w:asciiTheme="majorEastAsia" w:hAnsiTheme="majorEastAsia" w:eastAsiaTheme="majorEastAsia"/>
          <w:color w:val="auto"/>
          <w:sz w:val="28"/>
          <w:szCs w:val="28"/>
          <w:highlight w:val="none"/>
        </w:rPr>
      </w:pPr>
      <w:bookmarkStart w:id="334" w:name="_Toc11196"/>
      <w:r>
        <w:rPr>
          <w:rFonts w:hint="eastAsia" w:asciiTheme="majorEastAsia" w:hAnsiTheme="majorEastAsia" w:eastAsiaTheme="majorEastAsia"/>
          <w:color w:val="auto"/>
          <w:sz w:val="28"/>
          <w:szCs w:val="28"/>
          <w:highlight w:val="none"/>
        </w:rPr>
        <w:t>（项目名称）</w:t>
      </w:r>
      <w:bookmarkEnd w:id="334"/>
    </w:p>
    <w:p>
      <w:pPr>
        <w:pStyle w:val="62"/>
        <w:spacing w:line="360" w:lineRule="auto"/>
        <w:jc w:val="center"/>
        <w:rPr>
          <w:rFonts w:asciiTheme="majorEastAsia" w:hAnsiTheme="majorEastAsia" w:eastAsiaTheme="majorEastAsia"/>
          <w:color w:val="auto"/>
          <w:sz w:val="28"/>
          <w:szCs w:val="28"/>
          <w:highlight w:val="none"/>
        </w:rPr>
      </w:pPr>
    </w:p>
    <w:p>
      <w:pPr>
        <w:pStyle w:val="62"/>
        <w:spacing w:line="360" w:lineRule="auto"/>
        <w:jc w:val="center"/>
        <w:rPr>
          <w:rFonts w:asciiTheme="majorEastAsia" w:hAnsiTheme="majorEastAsia" w:eastAsiaTheme="majorEastAsia"/>
          <w:color w:val="auto"/>
          <w:sz w:val="24"/>
          <w:highlight w:val="none"/>
        </w:rPr>
      </w:pPr>
    </w:p>
    <w:p>
      <w:pPr>
        <w:pStyle w:val="62"/>
        <w:spacing w:line="360" w:lineRule="auto"/>
        <w:jc w:val="center"/>
        <w:rPr>
          <w:rFonts w:asciiTheme="majorEastAsia" w:hAnsiTheme="majorEastAsia" w:eastAsiaTheme="majorEastAsia"/>
          <w:color w:val="auto"/>
          <w:sz w:val="24"/>
          <w:highlight w:val="none"/>
        </w:rPr>
      </w:pPr>
    </w:p>
    <w:p>
      <w:pPr>
        <w:pStyle w:val="62"/>
        <w:spacing w:line="360" w:lineRule="auto"/>
        <w:jc w:val="center"/>
        <w:rPr>
          <w:rFonts w:asciiTheme="majorEastAsia" w:hAnsiTheme="majorEastAsia" w:eastAsiaTheme="majorEastAsia"/>
          <w:b/>
          <w:color w:val="auto"/>
          <w:sz w:val="72"/>
          <w:szCs w:val="72"/>
          <w:highlight w:val="none"/>
        </w:rPr>
      </w:pPr>
      <w:r>
        <w:rPr>
          <w:rFonts w:hint="eastAsia" w:asciiTheme="majorEastAsia" w:hAnsiTheme="majorEastAsia" w:eastAsiaTheme="majorEastAsia"/>
          <w:b/>
          <w:color w:val="auto"/>
          <w:sz w:val="72"/>
          <w:szCs w:val="72"/>
          <w:highlight w:val="none"/>
        </w:rPr>
        <w:t>投标文件</w:t>
      </w:r>
    </w:p>
    <w:p>
      <w:pPr>
        <w:pStyle w:val="62"/>
        <w:spacing w:line="360" w:lineRule="auto"/>
        <w:jc w:val="center"/>
        <w:rPr>
          <w:rFonts w:asciiTheme="majorEastAsia" w:hAnsiTheme="majorEastAsia" w:eastAsiaTheme="majorEastAsia"/>
          <w:color w:val="auto"/>
          <w:sz w:val="24"/>
          <w:highlight w:val="none"/>
        </w:rPr>
      </w:pPr>
    </w:p>
    <w:p>
      <w:pPr>
        <w:pStyle w:val="62"/>
        <w:spacing w:line="360" w:lineRule="auto"/>
        <w:jc w:val="center"/>
        <w:rPr>
          <w:rFonts w:asciiTheme="majorEastAsia" w:hAnsiTheme="majorEastAsia" w:eastAsiaTheme="majorEastAsia"/>
          <w:color w:val="auto"/>
          <w:sz w:val="24"/>
          <w:highlight w:val="none"/>
        </w:rPr>
      </w:pPr>
    </w:p>
    <w:p>
      <w:pPr>
        <w:pStyle w:val="62"/>
        <w:spacing w:line="360" w:lineRule="auto"/>
        <w:jc w:val="center"/>
        <w:rPr>
          <w:rFonts w:asciiTheme="majorEastAsia" w:hAnsiTheme="majorEastAsia" w:eastAsiaTheme="majorEastAsia"/>
          <w:b/>
          <w:color w:val="auto"/>
          <w:sz w:val="24"/>
          <w:highlight w:val="none"/>
        </w:rPr>
      </w:pPr>
    </w:p>
    <w:p>
      <w:pPr>
        <w:pStyle w:val="62"/>
        <w:spacing w:line="360" w:lineRule="auto"/>
        <w:jc w:val="center"/>
        <w:rPr>
          <w:rFonts w:asciiTheme="majorEastAsia" w:hAnsiTheme="majorEastAsia" w:eastAsiaTheme="majorEastAsia"/>
          <w:b/>
          <w:color w:val="auto"/>
          <w:sz w:val="24"/>
          <w:highlight w:val="none"/>
        </w:rPr>
      </w:pPr>
    </w:p>
    <w:p>
      <w:pPr>
        <w:pStyle w:val="62"/>
        <w:spacing w:line="360" w:lineRule="auto"/>
        <w:jc w:val="center"/>
        <w:rPr>
          <w:rFonts w:asciiTheme="majorEastAsia" w:hAnsiTheme="majorEastAsia" w:eastAsiaTheme="majorEastAsia"/>
          <w:b/>
          <w:color w:val="auto"/>
          <w:sz w:val="24"/>
          <w:highlight w:val="none"/>
        </w:rPr>
      </w:pPr>
    </w:p>
    <w:p>
      <w:pPr>
        <w:pStyle w:val="62"/>
        <w:spacing w:line="360" w:lineRule="auto"/>
        <w:jc w:val="center"/>
        <w:rPr>
          <w:rFonts w:asciiTheme="majorEastAsia" w:hAnsiTheme="majorEastAsia" w:eastAsiaTheme="majorEastAsia"/>
          <w:b/>
          <w:color w:val="auto"/>
          <w:sz w:val="24"/>
          <w:highlight w:val="none"/>
        </w:rPr>
      </w:pPr>
    </w:p>
    <w:p>
      <w:pPr>
        <w:pStyle w:val="62"/>
        <w:spacing w:line="360" w:lineRule="auto"/>
        <w:jc w:val="center"/>
        <w:rPr>
          <w:rFonts w:asciiTheme="majorEastAsia" w:hAnsiTheme="majorEastAsia" w:eastAsiaTheme="majorEastAsia"/>
          <w:b/>
          <w:color w:val="auto"/>
          <w:sz w:val="24"/>
          <w:highlight w:val="none"/>
        </w:rPr>
      </w:pPr>
    </w:p>
    <w:p>
      <w:pPr>
        <w:pStyle w:val="62"/>
        <w:spacing w:line="360" w:lineRule="auto"/>
        <w:jc w:val="center"/>
        <w:rPr>
          <w:rFonts w:asciiTheme="majorEastAsia" w:hAnsiTheme="majorEastAsia" w:eastAsiaTheme="majorEastAsia"/>
          <w:b/>
          <w:color w:val="auto"/>
          <w:sz w:val="24"/>
          <w:highlight w:val="none"/>
        </w:rPr>
      </w:pPr>
    </w:p>
    <w:p>
      <w:pPr>
        <w:pStyle w:val="62"/>
        <w:spacing w:line="360" w:lineRule="auto"/>
        <w:jc w:val="center"/>
        <w:rPr>
          <w:rFonts w:asciiTheme="majorEastAsia" w:hAnsiTheme="majorEastAsia" w:eastAsiaTheme="majorEastAsia"/>
          <w:color w:val="auto"/>
          <w:sz w:val="28"/>
          <w:szCs w:val="28"/>
          <w:highlight w:val="none"/>
          <w:u w:val="single"/>
        </w:rPr>
      </w:pPr>
      <w:r>
        <w:rPr>
          <w:rFonts w:hint="eastAsia" w:asciiTheme="majorEastAsia" w:hAnsiTheme="majorEastAsia" w:eastAsiaTheme="majorEastAsia"/>
          <w:color w:val="auto"/>
          <w:sz w:val="28"/>
          <w:szCs w:val="28"/>
          <w:highlight w:val="none"/>
        </w:rPr>
        <w:t>投标人：（盖章）</w:t>
      </w:r>
    </w:p>
    <w:p>
      <w:pPr>
        <w:pStyle w:val="62"/>
        <w:spacing w:line="360" w:lineRule="auto"/>
        <w:jc w:val="center"/>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rPr>
        <w:t>法定代表人：（盖章或签字）</w:t>
      </w:r>
    </w:p>
    <w:p>
      <w:pPr>
        <w:pStyle w:val="62"/>
        <w:spacing w:line="360" w:lineRule="auto"/>
        <w:jc w:val="center"/>
        <w:rPr>
          <w:rFonts w:asciiTheme="majorEastAsia" w:hAnsiTheme="majorEastAsia" w:eastAsiaTheme="majorEastAsia"/>
          <w:color w:val="auto"/>
          <w:sz w:val="28"/>
          <w:szCs w:val="28"/>
          <w:highlight w:val="none"/>
          <w:u w:val="single"/>
        </w:rPr>
      </w:pPr>
      <w:r>
        <w:rPr>
          <w:rFonts w:hint="eastAsia" w:asciiTheme="majorEastAsia" w:hAnsiTheme="majorEastAsia" w:eastAsiaTheme="majorEastAsia"/>
          <w:color w:val="auto"/>
          <w:sz w:val="28"/>
          <w:szCs w:val="28"/>
          <w:highlight w:val="none"/>
        </w:rPr>
        <w:t>日期（年/月/日）</w:t>
      </w:r>
    </w:p>
    <w:p>
      <w:pPr>
        <w:pStyle w:val="62"/>
        <w:spacing w:line="360" w:lineRule="auto"/>
        <w:jc w:val="center"/>
        <w:rPr>
          <w:rFonts w:asciiTheme="majorEastAsia" w:hAnsiTheme="majorEastAsia" w:eastAsiaTheme="majorEastAsia"/>
          <w:color w:val="auto"/>
          <w:sz w:val="28"/>
          <w:szCs w:val="28"/>
          <w:highlight w:val="none"/>
        </w:rPr>
      </w:pPr>
    </w:p>
    <w:p>
      <w:pPr>
        <w:pStyle w:val="63"/>
        <w:tabs>
          <w:tab w:val="left" w:pos="0"/>
        </w:tabs>
        <w:spacing w:line="360" w:lineRule="auto"/>
        <w:ind w:left="0" w:leftChars="0" w:firstLine="0" w:firstLineChars="0"/>
        <w:rPr>
          <w:rFonts w:asciiTheme="majorEastAsia" w:hAnsiTheme="majorEastAsia" w:eastAsiaTheme="majorEastAsia"/>
          <w:b/>
          <w:color w:val="auto"/>
          <w:sz w:val="36"/>
          <w:highlight w:val="none"/>
        </w:rPr>
      </w:pPr>
    </w:p>
    <w:p>
      <w:pPr>
        <w:pStyle w:val="64"/>
        <w:jc w:val="center"/>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35" w:name="_Toc23929"/>
      <w:r>
        <w:rPr>
          <w:rFonts w:asciiTheme="majorEastAsia" w:hAnsiTheme="majorEastAsia" w:eastAsiaTheme="majorEastAsia"/>
          <w:color w:val="auto"/>
          <w:sz w:val="48"/>
          <w:szCs w:val="48"/>
          <w:highlight w:val="none"/>
        </w:rPr>
        <w:t>资格审查材料</w:t>
      </w:r>
      <w:bookmarkEnd w:id="335"/>
    </w:p>
    <w:p>
      <w:pPr>
        <w:pStyle w:val="65"/>
        <w:jc w:val="center"/>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36" w:name="_Toc13880"/>
      <w:bookmarkStart w:id="337" w:name="_Toc256000083"/>
      <w:r>
        <w:rPr>
          <w:rFonts w:hint="eastAsia" w:asciiTheme="majorEastAsia" w:hAnsiTheme="majorEastAsia" w:eastAsiaTheme="majorEastAsia"/>
          <w:color w:val="auto"/>
          <w:highlight w:val="none"/>
        </w:rPr>
        <w:t>一</w:t>
      </w:r>
      <w:r>
        <w:rPr>
          <w:rFonts w:asciiTheme="majorEastAsia" w:hAnsiTheme="majorEastAsia" w:eastAsiaTheme="majorEastAsia"/>
          <w:color w:val="auto"/>
          <w:highlight w:val="none"/>
        </w:rPr>
        <w:t>、</w:t>
      </w:r>
      <w:r>
        <w:rPr>
          <w:rFonts w:hint="eastAsia" w:asciiTheme="majorEastAsia" w:hAnsiTheme="majorEastAsia" w:eastAsiaTheme="majorEastAsia"/>
          <w:color w:val="auto"/>
          <w:highlight w:val="none"/>
          <w:lang w:val="zh-TW" w:eastAsia="zh-TW"/>
        </w:rPr>
        <w:t>★</w:t>
      </w:r>
      <w:r>
        <w:rPr>
          <w:rFonts w:asciiTheme="majorEastAsia" w:hAnsiTheme="majorEastAsia" w:eastAsiaTheme="majorEastAsia"/>
          <w:color w:val="auto"/>
          <w:highlight w:val="none"/>
        </w:rPr>
        <w:t>营业执照、组织机构代码证、税务登记证</w:t>
      </w:r>
      <w:bookmarkEnd w:id="336"/>
      <w:bookmarkEnd w:id="337"/>
    </w:p>
    <w:p>
      <w:pPr>
        <w:pStyle w:val="67"/>
        <w:jc w:val="center"/>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38" w:name="_Toc1483"/>
      <w:bookmarkStart w:id="339" w:name="_Toc256000084"/>
      <w:r>
        <w:rPr>
          <w:rFonts w:asciiTheme="majorEastAsia" w:hAnsiTheme="majorEastAsia" w:eastAsiaTheme="majorEastAsia"/>
          <w:color w:val="auto"/>
          <w:highlight w:val="none"/>
        </w:rPr>
        <w:t>二、</w:t>
      </w:r>
      <w:r>
        <w:rPr>
          <w:rFonts w:hint="eastAsia" w:asciiTheme="majorEastAsia" w:hAnsiTheme="majorEastAsia" w:eastAsiaTheme="majorEastAsia"/>
          <w:color w:val="auto"/>
          <w:highlight w:val="none"/>
          <w:lang w:val="zh-TW" w:eastAsia="zh-TW"/>
        </w:rPr>
        <w:t>★</w:t>
      </w:r>
      <w:r>
        <w:rPr>
          <w:rFonts w:asciiTheme="majorEastAsia" w:hAnsiTheme="majorEastAsia" w:eastAsiaTheme="majorEastAsia"/>
          <w:color w:val="auto"/>
          <w:highlight w:val="none"/>
        </w:rPr>
        <w:t>法定代表人身份证明及授权委托书</w:t>
      </w:r>
      <w:bookmarkEnd w:id="338"/>
      <w:bookmarkEnd w:id="339"/>
    </w:p>
    <w:p>
      <w:pPr>
        <w:pStyle w:val="69"/>
        <w:rPr>
          <w:rFonts w:asciiTheme="majorEastAsia" w:hAnsiTheme="majorEastAsia" w:eastAsiaTheme="majorEastAsia"/>
          <w:b w:val="0"/>
          <w:color w:val="auto"/>
          <w:sz w:val="24"/>
          <w:szCs w:val="24"/>
          <w:highlight w:val="none"/>
        </w:rPr>
      </w:pPr>
      <w:bookmarkStart w:id="340" w:name="_Toc480371721"/>
      <w:bookmarkStart w:id="341" w:name="_Toc107369348"/>
      <w:bookmarkStart w:id="342" w:name="_Toc468535482"/>
      <w:bookmarkStart w:id="343" w:name="_Toc256000085"/>
      <w:bookmarkStart w:id="344" w:name="_Toc24206"/>
      <w:bookmarkStart w:id="345" w:name="_Toc107521036"/>
      <w:bookmarkStart w:id="346" w:name="_Toc480368595"/>
      <w:bookmarkStart w:id="347" w:name="_Toc480368653"/>
      <w:bookmarkStart w:id="348" w:name="_Toc480368424"/>
      <w:r>
        <w:rPr>
          <w:rFonts w:hint="eastAsia" w:asciiTheme="majorEastAsia" w:hAnsiTheme="majorEastAsia" w:eastAsiaTheme="majorEastAsia"/>
          <w:b w:val="0"/>
          <w:color w:val="auto"/>
          <w:sz w:val="24"/>
          <w:szCs w:val="24"/>
          <w:highlight w:val="none"/>
        </w:rPr>
        <w:t>法定代表人资格证明文件</w:t>
      </w:r>
      <w:bookmarkEnd w:id="340"/>
      <w:bookmarkEnd w:id="341"/>
      <w:bookmarkEnd w:id="342"/>
      <w:bookmarkEnd w:id="343"/>
      <w:bookmarkEnd w:id="344"/>
      <w:bookmarkEnd w:id="345"/>
      <w:bookmarkEnd w:id="346"/>
      <w:bookmarkEnd w:id="347"/>
      <w:bookmarkEnd w:id="348"/>
    </w:p>
    <w:p>
      <w:pPr>
        <w:pStyle w:val="70"/>
        <w:adjustRightInd w:val="0"/>
        <w:snapToGrid w:val="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u w:val="single"/>
        </w:rPr>
        <w:t>（代理机构名称）</w:t>
      </w:r>
      <w:r>
        <w:rPr>
          <w:rFonts w:hint="eastAsia" w:asciiTheme="majorEastAsia" w:hAnsiTheme="majorEastAsia" w:eastAsiaTheme="majorEastAsia"/>
          <w:color w:val="auto"/>
          <w:sz w:val="24"/>
          <w:szCs w:val="24"/>
          <w:highlight w:val="none"/>
        </w:rPr>
        <w:t>：</w:t>
      </w:r>
    </w:p>
    <w:p>
      <w:pPr>
        <w:pStyle w:val="70"/>
        <w:adjustRightInd w:val="0"/>
        <w:snapToGrid w:val="0"/>
        <w:spacing w:line="50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兹有同志为公司法定代表人，代表我公司办理一切社会公务事宜，具有法律效力。</w:t>
      </w:r>
    </w:p>
    <w:p>
      <w:pPr>
        <w:pStyle w:val="70"/>
        <w:adjustRightInd w:val="0"/>
        <w:snapToGrid w:val="0"/>
        <w:spacing w:line="50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附法定代表人基本情况：</w:t>
      </w:r>
    </w:p>
    <w:p>
      <w:pPr>
        <w:pStyle w:val="70"/>
        <w:adjustRightInd w:val="0"/>
        <w:snapToGrid w:val="0"/>
        <w:spacing w:line="500" w:lineRule="exact"/>
        <w:ind w:firstLine="480" w:firstLineChars="200"/>
        <w:rPr>
          <w:rFonts w:asciiTheme="majorEastAsia" w:hAnsiTheme="majorEastAsia" w:eastAsiaTheme="majorEastAsia"/>
          <w:color w:val="auto"/>
          <w:sz w:val="24"/>
          <w:szCs w:val="24"/>
          <w:highlight w:val="none"/>
          <w:u w:val="single"/>
        </w:rPr>
      </w:pPr>
      <w:r>
        <w:rPr>
          <w:rFonts w:hint="eastAsia" w:asciiTheme="majorEastAsia" w:hAnsiTheme="majorEastAsia" w:eastAsiaTheme="majorEastAsia"/>
          <w:color w:val="auto"/>
          <w:sz w:val="24"/>
          <w:szCs w:val="24"/>
          <w:highlight w:val="none"/>
        </w:rPr>
        <w:t>姓名：性别：年龄：职务：</w:t>
      </w:r>
    </w:p>
    <w:p>
      <w:pPr>
        <w:pStyle w:val="70"/>
        <w:adjustRightInd w:val="0"/>
        <w:snapToGrid w:val="0"/>
        <w:spacing w:line="50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身份证号码：</w:t>
      </w:r>
    </w:p>
    <w:p>
      <w:pPr>
        <w:pStyle w:val="70"/>
        <w:adjustRightInd w:val="0"/>
        <w:snapToGrid w:val="0"/>
        <w:spacing w:line="50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通讯地址：</w:t>
      </w:r>
    </w:p>
    <w:p>
      <w:pPr>
        <w:pStyle w:val="70"/>
        <w:adjustRightInd w:val="0"/>
        <w:snapToGrid w:val="0"/>
        <w:spacing w:line="50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电话号码：邮政编码：</w:t>
      </w:r>
    </w:p>
    <w:p>
      <w:pPr>
        <w:pStyle w:val="70"/>
        <w:adjustRightInd w:val="0"/>
        <w:snapToGrid w:val="0"/>
        <w:spacing w:line="500" w:lineRule="exact"/>
        <w:rPr>
          <w:rFonts w:asciiTheme="majorEastAsia" w:hAnsiTheme="majorEastAsia" w:eastAsiaTheme="majorEastAsia"/>
          <w:color w:val="auto"/>
          <w:sz w:val="24"/>
          <w:szCs w:val="24"/>
          <w:highlight w:val="none"/>
        </w:rPr>
      </w:pPr>
    </w:p>
    <w:tbl>
      <w:tblPr>
        <w:tblStyle w:val="38"/>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tcPr>
          <w:p>
            <w:pPr>
              <w:pStyle w:val="70"/>
              <w:adjustRightInd w:val="0"/>
              <w:snapToGrid w:val="0"/>
              <w:spacing w:line="500" w:lineRule="exact"/>
              <w:jc w:val="center"/>
              <w:rPr>
                <w:rFonts w:asciiTheme="majorEastAsia" w:hAnsiTheme="majorEastAsia" w:eastAsiaTheme="majorEastAsia"/>
                <w:color w:val="auto"/>
                <w:sz w:val="24"/>
                <w:szCs w:val="24"/>
                <w:highlight w:val="none"/>
              </w:rPr>
            </w:pPr>
          </w:p>
          <w:p>
            <w:pPr>
              <w:pStyle w:val="70"/>
              <w:adjustRightInd w:val="0"/>
              <w:snapToGrid w:val="0"/>
              <w:spacing w:line="500" w:lineRule="exact"/>
              <w:jc w:val="center"/>
              <w:rPr>
                <w:rFonts w:asciiTheme="majorEastAsia" w:hAnsiTheme="majorEastAsia" w:eastAsiaTheme="majorEastAsia"/>
                <w:color w:val="auto"/>
                <w:sz w:val="24"/>
                <w:szCs w:val="24"/>
                <w:highlight w:val="none"/>
              </w:rPr>
            </w:pPr>
          </w:p>
          <w:p>
            <w:pPr>
              <w:pStyle w:val="70"/>
              <w:adjustRightInd w:val="0"/>
              <w:snapToGrid w:val="0"/>
              <w:spacing w:line="500" w:lineRule="exact"/>
              <w:jc w:val="center"/>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法定代表人《居民身份证》扫描件</w:t>
            </w:r>
          </w:p>
        </w:tc>
      </w:tr>
    </w:tbl>
    <w:p>
      <w:pPr>
        <w:pStyle w:val="70"/>
        <w:adjustRightInd w:val="0"/>
        <w:snapToGrid w:val="0"/>
        <w:spacing w:line="500" w:lineRule="exact"/>
        <w:rPr>
          <w:rFonts w:asciiTheme="majorEastAsia" w:hAnsiTheme="majorEastAsia" w:eastAsiaTheme="majorEastAsia"/>
          <w:color w:val="auto"/>
          <w:sz w:val="24"/>
          <w:szCs w:val="24"/>
          <w:highlight w:val="none"/>
        </w:rPr>
      </w:pPr>
    </w:p>
    <w:p>
      <w:pPr>
        <w:pStyle w:val="70"/>
        <w:tabs>
          <w:tab w:val="left" w:pos="750"/>
        </w:tabs>
        <w:adjustRightInd w:val="0"/>
        <w:snapToGrid w:val="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ab/>
      </w:r>
      <w:r>
        <w:rPr>
          <w:rFonts w:hint="eastAsia" w:asciiTheme="majorEastAsia" w:hAnsiTheme="majorEastAsia" w:eastAsiaTheme="majorEastAsia"/>
          <w:color w:val="auto"/>
          <w:sz w:val="24"/>
          <w:szCs w:val="24"/>
          <w:highlight w:val="none"/>
        </w:rPr>
        <w:t>投标人名称（盖章）：</w:t>
      </w:r>
    </w:p>
    <w:p>
      <w:pPr>
        <w:pStyle w:val="70"/>
        <w:tabs>
          <w:tab w:val="left" w:pos="750"/>
        </w:tabs>
        <w:adjustRightInd w:val="0"/>
        <w:snapToGrid w:val="0"/>
        <w:spacing w:line="500" w:lineRule="exact"/>
        <w:rPr>
          <w:rFonts w:asciiTheme="majorEastAsia" w:hAnsiTheme="majorEastAsia" w:eastAsiaTheme="majorEastAsia"/>
          <w:color w:val="auto"/>
          <w:sz w:val="24"/>
          <w:szCs w:val="24"/>
          <w:highlight w:val="none"/>
        </w:rPr>
      </w:pPr>
    </w:p>
    <w:p>
      <w:pPr>
        <w:pStyle w:val="70"/>
        <w:tabs>
          <w:tab w:val="left" w:pos="750"/>
        </w:tabs>
        <w:adjustRightInd w:val="0"/>
        <w:snapToGrid w:val="0"/>
        <w:spacing w:line="500" w:lineRule="exact"/>
        <w:ind w:firstLine="720" w:firstLineChars="3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法定代表人（盖章或签字）：</w:t>
      </w:r>
    </w:p>
    <w:p>
      <w:pPr>
        <w:pStyle w:val="70"/>
        <w:tabs>
          <w:tab w:val="left" w:pos="750"/>
        </w:tabs>
        <w:adjustRightInd w:val="0"/>
        <w:snapToGrid w:val="0"/>
        <w:spacing w:line="500" w:lineRule="exact"/>
        <w:rPr>
          <w:rFonts w:asciiTheme="majorEastAsia" w:hAnsiTheme="majorEastAsia" w:eastAsiaTheme="majorEastAsia"/>
          <w:color w:val="auto"/>
          <w:sz w:val="24"/>
          <w:szCs w:val="24"/>
          <w:highlight w:val="none"/>
        </w:rPr>
      </w:pPr>
    </w:p>
    <w:p>
      <w:pPr>
        <w:pStyle w:val="70"/>
        <w:tabs>
          <w:tab w:val="left" w:pos="750"/>
        </w:tabs>
        <w:adjustRightInd w:val="0"/>
        <w:snapToGrid w:val="0"/>
        <w:spacing w:line="500" w:lineRule="exact"/>
        <w:ind w:firstLine="720" w:firstLineChars="300"/>
        <w:rPr>
          <w:rFonts w:asciiTheme="majorEastAsia" w:hAnsiTheme="majorEastAsia" w:eastAsiaTheme="majorEastAsia"/>
          <w:color w:val="auto"/>
          <w:highlight w:val="none"/>
        </w:rPr>
      </w:pPr>
      <w:r>
        <w:rPr>
          <w:rFonts w:hint="eastAsia" w:asciiTheme="majorEastAsia" w:hAnsiTheme="majorEastAsia" w:eastAsiaTheme="majorEastAsia"/>
          <w:color w:val="auto"/>
          <w:sz w:val="24"/>
          <w:szCs w:val="24"/>
          <w:highlight w:val="none"/>
        </w:rPr>
        <w:t>日期：年月日</w:t>
      </w:r>
      <w:bookmarkStart w:id="349" w:name="_Toc468535483"/>
    </w:p>
    <w:p>
      <w:pPr>
        <w:pStyle w:val="69"/>
        <w:outlineLvl w:val="9"/>
        <w:rPr>
          <w:rFonts w:asciiTheme="majorEastAsia" w:hAnsiTheme="majorEastAsia" w:eastAsiaTheme="majorEastAsia"/>
          <w:b w:val="0"/>
          <w:color w:val="auto"/>
          <w:highlight w:val="none"/>
        </w:rPr>
      </w:pPr>
      <w:bookmarkStart w:id="350" w:name="_Toc480371722"/>
      <w:bookmarkStart w:id="351" w:name="_Toc480368425"/>
      <w:bookmarkStart w:id="352" w:name="_Toc480368654"/>
      <w:bookmarkStart w:id="353" w:name="_Toc480368596"/>
    </w:p>
    <w:p>
      <w:pPr>
        <w:pStyle w:val="69"/>
        <w:outlineLvl w:val="9"/>
        <w:rPr>
          <w:rFonts w:asciiTheme="majorEastAsia" w:hAnsiTheme="majorEastAsia" w:eastAsiaTheme="majorEastAsia"/>
          <w:b w:val="0"/>
          <w:color w:val="auto"/>
          <w:sz w:val="24"/>
          <w:szCs w:val="24"/>
          <w:highlight w:val="none"/>
        </w:rPr>
      </w:pPr>
      <w:r>
        <w:rPr>
          <w:rFonts w:asciiTheme="majorEastAsia" w:hAnsiTheme="majorEastAsia" w:eastAsiaTheme="majorEastAsia"/>
          <w:b w:val="0"/>
          <w:color w:val="auto"/>
          <w:highlight w:val="none"/>
        </w:rPr>
        <w:br w:type="page"/>
      </w:r>
      <w:bookmarkStart w:id="354" w:name="_Toc256000087"/>
      <w:bookmarkStart w:id="355" w:name="_Toc107521037"/>
      <w:bookmarkStart w:id="356" w:name="_Toc107369349"/>
      <w:bookmarkStart w:id="357" w:name="_Toc16122"/>
      <w:r>
        <w:rPr>
          <w:rFonts w:hint="eastAsia" w:asciiTheme="majorEastAsia" w:hAnsiTheme="majorEastAsia" w:eastAsiaTheme="majorEastAsia"/>
          <w:b w:val="0"/>
          <w:color w:val="auto"/>
          <w:sz w:val="24"/>
          <w:szCs w:val="24"/>
          <w:highlight w:val="none"/>
        </w:rPr>
        <w:t>法定代表人授权书</w:t>
      </w:r>
      <w:bookmarkEnd w:id="349"/>
      <w:bookmarkEnd w:id="350"/>
      <w:bookmarkEnd w:id="351"/>
      <w:bookmarkEnd w:id="352"/>
      <w:bookmarkEnd w:id="353"/>
      <w:bookmarkEnd w:id="354"/>
      <w:bookmarkEnd w:id="355"/>
      <w:bookmarkEnd w:id="356"/>
      <w:bookmarkEnd w:id="357"/>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u w:val="single"/>
        </w:rPr>
        <w:t>（代理机构名称）</w:t>
      </w:r>
      <w:r>
        <w:rPr>
          <w:rFonts w:hint="eastAsia" w:asciiTheme="majorEastAsia" w:hAnsiTheme="majorEastAsia" w:eastAsiaTheme="majorEastAsia"/>
          <w:color w:val="auto"/>
          <w:sz w:val="24"/>
          <w:szCs w:val="24"/>
          <w:highlight w:val="none"/>
        </w:rPr>
        <w:t>：</w:t>
      </w:r>
    </w:p>
    <w:p>
      <w:pPr>
        <w:pStyle w:val="70"/>
        <w:spacing w:line="500" w:lineRule="exact"/>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兹授权同志为我公司参加贵单位组织的编号为</w:t>
      </w:r>
      <w:r>
        <w:rPr>
          <w:rFonts w:hint="eastAsia" w:asciiTheme="majorEastAsia" w:hAnsiTheme="majorEastAsia" w:eastAsiaTheme="majorEastAsia"/>
          <w:color w:val="auto"/>
          <w:sz w:val="24"/>
          <w:szCs w:val="24"/>
          <w:highlight w:val="none"/>
          <w:u w:val="single"/>
        </w:rPr>
        <w:t>（项目编号）</w:t>
      </w:r>
      <w:r>
        <w:rPr>
          <w:rFonts w:hint="eastAsia" w:asciiTheme="majorEastAsia" w:hAnsiTheme="majorEastAsia" w:eastAsiaTheme="majorEastAsia"/>
          <w:color w:val="auto"/>
          <w:sz w:val="24"/>
          <w:szCs w:val="24"/>
          <w:highlight w:val="none"/>
        </w:rPr>
        <w:t>的</w:t>
      </w:r>
      <w:r>
        <w:rPr>
          <w:rFonts w:hint="eastAsia" w:asciiTheme="majorEastAsia" w:hAnsiTheme="majorEastAsia" w:eastAsiaTheme="majorEastAsia"/>
          <w:color w:val="auto"/>
          <w:sz w:val="24"/>
          <w:szCs w:val="24"/>
          <w:highlight w:val="none"/>
          <w:u w:val="single"/>
        </w:rPr>
        <w:t>（项目名称）</w:t>
      </w:r>
      <w:r>
        <w:rPr>
          <w:rFonts w:hint="eastAsia" w:asciiTheme="majorEastAsia" w:hAnsiTheme="majorEastAsia" w:eastAsiaTheme="majorEastAsia"/>
          <w:color w:val="auto"/>
          <w:sz w:val="24"/>
          <w:szCs w:val="24"/>
          <w:highlight w:val="none"/>
        </w:rPr>
        <w:t>采购活动的投标代表人，全权代表我公司处理在该项目采购活动中的一切事宜。代理期限从年月日起至年月日止。</w:t>
      </w:r>
    </w:p>
    <w:p>
      <w:pPr>
        <w:pStyle w:val="70"/>
        <w:spacing w:line="500" w:lineRule="exact"/>
        <w:rPr>
          <w:rFonts w:asciiTheme="majorEastAsia" w:hAnsiTheme="majorEastAsia" w:eastAsiaTheme="majorEastAsia"/>
          <w:color w:val="auto"/>
          <w:sz w:val="24"/>
          <w:szCs w:val="24"/>
          <w:highlight w:val="none"/>
        </w:rPr>
      </w:pP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投标人（盖章）：</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法定代表人（盖章或签字）：</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签发日期：年月日</w:t>
      </w:r>
    </w:p>
    <w:p>
      <w:pPr>
        <w:pStyle w:val="70"/>
        <w:spacing w:line="500" w:lineRule="exact"/>
        <w:rPr>
          <w:rFonts w:asciiTheme="majorEastAsia" w:hAnsiTheme="majorEastAsia" w:eastAsiaTheme="majorEastAsia"/>
          <w:color w:val="auto"/>
          <w:sz w:val="24"/>
          <w:szCs w:val="24"/>
          <w:highlight w:val="none"/>
        </w:rPr>
      </w:pP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附：</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代理人工作单位：</w:t>
      </w:r>
    </w:p>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职务：性别：</w:t>
      </w:r>
    </w:p>
    <w:p>
      <w:pPr>
        <w:pStyle w:val="70"/>
        <w:adjustRightInd w:val="0"/>
        <w:snapToGrid w:val="0"/>
        <w:spacing w:line="500" w:lineRule="exact"/>
        <w:rPr>
          <w:rFonts w:asciiTheme="majorEastAsia" w:hAnsiTheme="majorEastAsia" w:eastAsiaTheme="majorEastAsia"/>
          <w:color w:val="auto"/>
          <w:sz w:val="24"/>
          <w:szCs w:val="24"/>
          <w:highlight w:val="none"/>
          <w:u w:val="single"/>
        </w:rPr>
      </w:pPr>
      <w:r>
        <w:rPr>
          <w:rFonts w:hint="eastAsia" w:asciiTheme="majorEastAsia" w:hAnsiTheme="majorEastAsia" w:eastAsiaTheme="majorEastAsia"/>
          <w:color w:val="auto"/>
          <w:sz w:val="24"/>
          <w:szCs w:val="24"/>
          <w:highlight w:val="none"/>
        </w:rPr>
        <w:t>身份证号码：</w:t>
      </w:r>
    </w:p>
    <w:p>
      <w:pPr>
        <w:pStyle w:val="70"/>
        <w:adjustRightInd w:val="0"/>
        <w:snapToGrid w:val="0"/>
        <w:spacing w:line="500" w:lineRule="exact"/>
        <w:ind w:left="-88" w:leftChars="-42" w:firstLine="600" w:firstLineChars="250"/>
        <w:rPr>
          <w:rFonts w:asciiTheme="majorEastAsia" w:hAnsiTheme="majorEastAsia" w:eastAsiaTheme="majorEastAsia"/>
          <w:color w:val="auto"/>
          <w:sz w:val="24"/>
          <w:szCs w:val="24"/>
          <w:highlight w:val="none"/>
          <w:u w:val="single"/>
        </w:rPr>
      </w:pPr>
    </w:p>
    <w:tbl>
      <w:tblPr>
        <w:tblStyle w:val="38"/>
        <w:tblW w:w="4496" w:type="pc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5000" w:type="pct"/>
            <w:tcBorders>
              <w:top w:val="single" w:color="auto" w:sz="4" w:space="0"/>
              <w:left w:val="single" w:color="auto" w:sz="4" w:space="0"/>
              <w:bottom w:val="single" w:color="auto" w:sz="4" w:space="0"/>
              <w:right w:val="single" w:color="auto" w:sz="4" w:space="0"/>
            </w:tcBorders>
          </w:tcPr>
          <w:p>
            <w:pPr>
              <w:pStyle w:val="70"/>
              <w:spacing w:line="50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粘贴被授权人身份证（扫描件）</w:t>
            </w:r>
          </w:p>
        </w:tc>
      </w:tr>
    </w:tbl>
    <w:p>
      <w:pPr>
        <w:pStyle w:val="71"/>
        <w:jc w:val="center"/>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58" w:name="_Toc256000088"/>
      <w:bookmarkStart w:id="359" w:name="_Toc23051"/>
      <w:r>
        <w:rPr>
          <w:rFonts w:asciiTheme="majorEastAsia" w:hAnsiTheme="majorEastAsia" w:eastAsiaTheme="majorEastAsia"/>
          <w:color w:val="auto"/>
          <w:highlight w:val="none"/>
        </w:rPr>
        <w:t>三、</w:t>
      </w:r>
      <w:r>
        <w:rPr>
          <w:rFonts w:hint="eastAsia" w:asciiTheme="majorEastAsia" w:hAnsiTheme="majorEastAsia" w:eastAsiaTheme="majorEastAsia"/>
          <w:color w:val="auto"/>
          <w:highlight w:val="none"/>
          <w:lang w:val="zh-TW" w:eastAsia="zh-TW"/>
        </w:rPr>
        <w:t>★</w:t>
      </w:r>
      <w:r>
        <w:rPr>
          <w:rFonts w:asciiTheme="majorEastAsia" w:hAnsiTheme="majorEastAsia" w:eastAsiaTheme="majorEastAsia"/>
          <w:color w:val="auto"/>
          <w:highlight w:val="none"/>
        </w:rPr>
        <w:t>投标保证金</w:t>
      </w:r>
      <w:bookmarkEnd w:id="358"/>
      <w:bookmarkEnd w:id="359"/>
    </w:p>
    <w:p>
      <w:pPr>
        <w:pStyle w:val="75"/>
        <w:spacing w:line="500" w:lineRule="exact"/>
        <w:rPr>
          <w:rFonts w:asciiTheme="majorEastAsia" w:hAnsiTheme="majorEastAsia" w:eastAsiaTheme="majorEastAsia"/>
          <w:color w:val="auto"/>
          <w:sz w:val="24"/>
          <w:szCs w:val="24"/>
          <w:highlight w:val="none"/>
        </w:rPr>
      </w:pPr>
      <w:r>
        <w:rPr>
          <w:rFonts w:asciiTheme="majorEastAsia" w:hAnsiTheme="majorEastAsia" w:eastAsiaTheme="majorEastAsia"/>
          <w:color w:val="auto"/>
          <w:highlight w:val="none"/>
        </w:rPr>
        <w:br w:type="page"/>
      </w:r>
    </w:p>
    <w:p>
      <w:pPr>
        <w:pStyle w:val="76"/>
        <w:outlineLvl w:val="1"/>
        <w:rPr>
          <w:rFonts w:asciiTheme="majorEastAsia" w:hAnsiTheme="majorEastAsia" w:eastAsiaTheme="majorEastAsia"/>
          <w:color w:val="auto"/>
          <w:highlight w:val="none"/>
        </w:rPr>
      </w:pPr>
      <w:bookmarkStart w:id="360" w:name="_Toc256000090"/>
      <w:bookmarkStart w:id="361" w:name="_Toc28622"/>
      <w:r>
        <w:rPr>
          <w:rFonts w:hint="eastAsia" w:asciiTheme="majorEastAsia" w:hAnsiTheme="majorEastAsia" w:eastAsiaTheme="majorEastAsia"/>
          <w:color w:val="auto"/>
          <w:highlight w:val="none"/>
        </w:rPr>
        <w:t>四</w:t>
      </w:r>
      <w:r>
        <w:rPr>
          <w:rFonts w:asciiTheme="majorEastAsia" w:hAnsiTheme="majorEastAsia" w:eastAsiaTheme="majorEastAsia"/>
          <w:color w:val="auto"/>
          <w:highlight w:val="none"/>
        </w:rPr>
        <w:t>、</w:t>
      </w:r>
      <w:r>
        <w:rPr>
          <w:rFonts w:hint="eastAsia" w:asciiTheme="majorEastAsia" w:hAnsiTheme="majorEastAsia" w:eastAsiaTheme="majorEastAsia"/>
          <w:color w:val="auto"/>
          <w:highlight w:val="none"/>
        </w:rPr>
        <w:t>中、小</w:t>
      </w:r>
      <w:r>
        <w:rPr>
          <w:rFonts w:asciiTheme="majorEastAsia" w:hAnsiTheme="majorEastAsia" w:eastAsiaTheme="majorEastAsia"/>
          <w:color w:val="auto"/>
          <w:highlight w:val="none"/>
        </w:rPr>
        <w:t>企业声明函（</w:t>
      </w:r>
      <w:r>
        <w:rPr>
          <w:rFonts w:hint="eastAsia" w:asciiTheme="majorEastAsia" w:hAnsiTheme="majorEastAsia" w:eastAsiaTheme="majorEastAsia"/>
          <w:color w:val="auto"/>
          <w:highlight w:val="none"/>
        </w:rPr>
        <w:t>中、小型企业</w:t>
      </w:r>
      <w:r>
        <w:rPr>
          <w:rFonts w:asciiTheme="majorEastAsia" w:hAnsiTheme="majorEastAsia" w:eastAsiaTheme="majorEastAsia"/>
          <w:color w:val="auto"/>
          <w:highlight w:val="none"/>
        </w:rPr>
        <w:t>产品价格需扣除的须提供）</w:t>
      </w:r>
      <w:bookmarkEnd w:id="360"/>
      <w:bookmarkEnd w:id="361"/>
    </w:p>
    <w:p>
      <w:pPr>
        <w:pStyle w:val="77"/>
        <w:spacing w:line="360" w:lineRule="auto"/>
        <w:ind w:right="-97"/>
        <w:jc w:val="center"/>
        <w:rPr>
          <w:rFonts w:asciiTheme="majorEastAsia" w:hAnsiTheme="majorEastAsia" w:eastAsiaTheme="majorEastAsia"/>
          <w:b/>
          <w:color w:val="auto"/>
          <w:sz w:val="24"/>
          <w:highlight w:val="none"/>
        </w:rPr>
      </w:pPr>
    </w:p>
    <w:p>
      <w:pPr>
        <w:pStyle w:val="77"/>
        <w:spacing w:line="360" w:lineRule="auto"/>
        <w:ind w:right="-97"/>
        <w:jc w:val="center"/>
        <w:outlineLvl w:val="2"/>
        <w:rPr>
          <w:rFonts w:asciiTheme="majorEastAsia" w:hAnsiTheme="majorEastAsia" w:eastAsiaTheme="majorEastAsia"/>
          <w:b/>
          <w:color w:val="auto"/>
          <w:sz w:val="24"/>
          <w:highlight w:val="none"/>
        </w:rPr>
      </w:pPr>
      <w:bookmarkStart w:id="362" w:name="_Toc16353"/>
      <w:r>
        <w:rPr>
          <w:rFonts w:hint="eastAsia" w:asciiTheme="majorEastAsia" w:hAnsiTheme="majorEastAsia" w:eastAsiaTheme="majorEastAsia"/>
          <w:b/>
          <w:color w:val="auto"/>
          <w:sz w:val="24"/>
          <w:highlight w:val="none"/>
        </w:rPr>
        <w:t>附件1：中小企业声明函（货物类）</w:t>
      </w:r>
      <w:bookmarkEnd w:id="362"/>
    </w:p>
    <w:p>
      <w:pPr>
        <w:spacing w:line="560" w:lineRule="exact"/>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pacing w:line="560" w:lineRule="exact"/>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1.</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iCs/>
          <w:color w:val="auto"/>
          <w:spacing w:val="-2"/>
          <w:szCs w:val="21"/>
          <w:highlight w:val="none"/>
          <w:u w:val="single"/>
        </w:rPr>
        <w:t>标的名称</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color w:val="auto"/>
          <w:spacing w:val="-2"/>
          <w:szCs w:val="21"/>
          <w:highlight w:val="none"/>
        </w:rPr>
        <w:t>，属于</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iCs/>
          <w:color w:val="auto"/>
          <w:spacing w:val="-2"/>
          <w:szCs w:val="21"/>
          <w:highlight w:val="none"/>
          <w:u w:val="single"/>
        </w:rPr>
        <w:t>采购文件中明确的所属行业</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color w:val="auto"/>
          <w:spacing w:val="-2"/>
          <w:szCs w:val="21"/>
          <w:highlight w:val="none"/>
        </w:rPr>
        <w:t>；制造商为</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iCs/>
          <w:color w:val="auto"/>
          <w:spacing w:val="-2"/>
          <w:szCs w:val="21"/>
          <w:highlight w:val="none"/>
          <w:u w:val="single"/>
        </w:rPr>
        <w:t>企业名称</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color w:val="auto"/>
          <w:spacing w:val="-2"/>
          <w:szCs w:val="21"/>
          <w:highlight w:val="none"/>
        </w:rPr>
        <w:t>，从业人员</w:t>
      </w:r>
      <w:r>
        <w:rPr>
          <w:rFonts w:hint="eastAsia" w:asciiTheme="majorEastAsia" w:hAnsiTheme="majorEastAsia" w:eastAsiaTheme="majorEastAsia"/>
          <w:color w:val="auto"/>
          <w:spacing w:val="-2"/>
          <w:szCs w:val="21"/>
          <w:highlight w:val="none"/>
          <w:u w:val="single"/>
        </w:rPr>
        <w:t xml:space="preserve">     </w:t>
      </w:r>
      <w:r>
        <w:rPr>
          <w:rFonts w:hint="eastAsia" w:asciiTheme="majorEastAsia" w:hAnsiTheme="majorEastAsia" w:eastAsiaTheme="majorEastAsia"/>
          <w:color w:val="auto"/>
          <w:spacing w:val="-2"/>
          <w:szCs w:val="21"/>
          <w:highlight w:val="none"/>
        </w:rPr>
        <w:t>人，营业收入为</w:t>
      </w:r>
      <w:r>
        <w:rPr>
          <w:rFonts w:hint="eastAsia" w:asciiTheme="majorEastAsia" w:hAnsiTheme="majorEastAsia" w:eastAsiaTheme="majorEastAsia"/>
          <w:color w:val="auto"/>
          <w:spacing w:val="-2"/>
          <w:szCs w:val="21"/>
          <w:highlight w:val="none"/>
          <w:u w:val="single"/>
        </w:rPr>
        <w:t xml:space="preserve">   </w:t>
      </w:r>
      <w:r>
        <w:rPr>
          <w:rFonts w:hint="eastAsia" w:asciiTheme="majorEastAsia" w:hAnsiTheme="majorEastAsia" w:eastAsiaTheme="majorEastAsia"/>
          <w:color w:val="auto"/>
          <w:spacing w:val="-2"/>
          <w:szCs w:val="21"/>
          <w:highlight w:val="none"/>
        </w:rPr>
        <w:t>万元，资产总额为</w:t>
      </w:r>
      <w:r>
        <w:rPr>
          <w:rFonts w:hint="eastAsia" w:asciiTheme="majorEastAsia" w:hAnsiTheme="majorEastAsia" w:eastAsiaTheme="majorEastAsia"/>
          <w:color w:val="auto"/>
          <w:spacing w:val="-2"/>
          <w:szCs w:val="21"/>
          <w:highlight w:val="none"/>
          <w:u w:val="single"/>
        </w:rPr>
        <w:t xml:space="preserve">   </w:t>
      </w:r>
      <w:r>
        <w:rPr>
          <w:rFonts w:hint="eastAsia" w:asciiTheme="majorEastAsia" w:hAnsiTheme="majorEastAsia" w:eastAsiaTheme="majorEastAsia"/>
          <w:color w:val="auto"/>
          <w:spacing w:val="-2"/>
          <w:szCs w:val="21"/>
          <w:highlight w:val="none"/>
        </w:rPr>
        <w:t>万元，属于</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iCs/>
          <w:color w:val="auto"/>
          <w:spacing w:val="-2"/>
          <w:szCs w:val="21"/>
          <w:highlight w:val="none"/>
          <w:u w:val="single"/>
        </w:rPr>
        <w:t>中型企业、小型企业、微型企业</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color w:val="auto"/>
          <w:spacing w:val="-2"/>
          <w:szCs w:val="21"/>
          <w:highlight w:val="none"/>
        </w:rPr>
        <w:t>；</w:t>
      </w:r>
    </w:p>
    <w:p>
      <w:pPr>
        <w:spacing w:line="560" w:lineRule="exact"/>
        <w:ind w:firstLine="412" w:firstLineChars="200"/>
        <w:rPr>
          <w:rFonts w:asciiTheme="majorEastAsia" w:hAnsiTheme="majorEastAsia" w:eastAsiaTheme="majorEastAsia"/>
          <w:color w:val="auto"/>
          <w:spacing w:val="-2"/>
          <w:szCs w:val="21"/>
          <w:highlight w:val="none"/>
          <w:u w:val="single"/>
        </w:rPr>
      </w:pPr>
      <w:r>
        <w:rPr>
          <w:rFonts w:hint="eastAsia" w:asciiTheme="majorEastAsia" w:hAnsiTheme="majorEastAsia" w:eastAsiaTheme="majorEastAsia"/>
          <w:color w:val="auto"/>
          <w:spacing w:val="-2"/>
          <w:szCs w:val="21"/>
          <w:highlight w:val="none"/>
        </w:rPr>
        <w:t>2.</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iCs/>
          <w:color w:val="auto"/>
          <w:spacing w:val="-2"/>
          <w:szCs w:val="21"/>
          <w:highlight w:val="none"/>
          <w:u w:val="single"/>
        </w:rPr>
        <w:t>标的名称</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color w:val="auto"/>
          <w:spacing w:val="-2"/>
          <w:szCs w:val="21"/>
          <w:highlight w:val="none"/>
        </w:rPr>
        <w:t>，属于</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iCs/>
          <w:color w:val="auto"/>
          <w:spacing w:val="-2"/>
          <w:szCs w:val="21"/>
          <w:highlight w:val="none"/>
          <w:u w:val="single"/>
        </w:rPr>
        <w:t>采购文件中明确的所属行业</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color w:val="auto"/>
          <w:spacing w:val="-2"/>
          <w:szCs w:val="21"/>
          <w:highlight w:val="none"/>
        </w:rPr>
        <w:t>；制造商为</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iCs/>
          <w:color w:val="auto"/>
          <w:spacing w:val="-2"/>
          <w:szCs w:val="21"/>
          <w:highlight w:val="none"/>
          <w:u w:val="single"/>
        </w:rPr>
        <w:t>企业名称</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color w:val="auto"/>
          <w:spacing w:val="-2"/>
          <w:szCs w:val="21"/>
          <w:highlight w:val="none"/>
        </w:rPr>
        <w:t>，从业人员</w:t>
      </w:r>
      <w:r>
        <w:rPr>
          <w:rFonts w:hint="eastAsia" w:asciiTheme="majorEastAsia" w:hAnsiTheme="majorEastAsia" w:eastAsiaTheme="majorEastAsia"/>
          <w:color w:val="auto"/>
          <w:spacing w:val="-2"/>
          <w:szCs w:val="21"/>
          <w:highlight w:val="none"/>
          <w:u w:val="single"/>
        </w:rPr>
        <w:t xml:space="preserve">    </w:t>
      </w:r>
      <w:r>
        <w:rPr>
          <w:rFonts w:hint="eastAsia" w:asciiTheme="majorEastAsia" w:hAnsiTheme="majorEastAsia" w:eastAsiaTheme="majorEastAsia"/>
          <w:color w:val="auto"/>
          <w:spacing w:val="-2"/>
          <w:szCs w:val="21"/>
          <w:highlight w:val="none"/>
        </w:rPr>
        <w:t>人，营业收入为</w:t>
      </w:r>
      <w:r>
        <w:rPr>
          <w:rFonts w:hint="eastAsia" w:asciiTheme="majorEastAsia" w:hAnsiTheme="majorEastAsia" w:eastAsiaTheme="majorEastAsia"/>
          <w:color w:val="auto"/>
          <w:spacing w:val="-2"/>
          <w:szCs w:val="21"/>
          <w:highlight w:val="none"/>
          <w:u w:val="single"/>
        </w:rPr>
        <w:t xml:space="preserve">    </w:t>
      </w:r>
      <w:r>
        <w:rPr>
          <w:rFonts w:hint="eastAsia" w:asciiTheme="majorEastAsia" w:hAnsiTheme="majorEastAsia" w:eastAsiaTheme="majorEastAsia"/>
          <w:color w:val="auto"/>
          <w:spacing w:val="-2"/>
          <w:szCs w:val="21"/>
          <w:highlight w:val="none"/>
        </w:rPr>
        <w:t>万元，资产总额为</w:t>
      </w:r>
      <w:r>
        <w:rPr>
          <w:rFonts w:hint="eastAsia" w:asciiTheme="majorEastAsia" w:hAnsiTheme="majorEastAsia" w:eastAsiaTheme="majorEastAsia"/>
          <w:color w:val="auto"/>
          <w:spacing w:val="-2"/>
          <w:szCs w:val="21"/>
          <w:highlight w:val="none"/>
          <w:u w:val="single"/>
        </w:rPr>
        <w:t xml:space="preserve">    </w:t>
      </w:r>
      <w:r>
        <w:rPr>
          <w:rFonts w:hint="eastAsia" w:asciiTheme="majorEastAsia" w:hAnsiTheme="majorEastAsia" w:eastAsiaTheme="majorEastAsia"/>
          <w:color w:val="auto"/>
          <w:spacing w:val="-2"/>
          <w:szCs w:val="21"/>
          <w:highlight w:val="none"/>
        </w:rPr>
        <w:t>万元，属于</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iCs/>
          <w:color w:val="auto"/>
          <w:spacing w:val="-2"/>
          <w:szCs w:val="21"/>
          <w:highlight w:val="none"/>
          <w:u w:val="single"/>
        </w:rPr>
        <w:t>中型企业、小型企业、微型企业</w:t>
      </w:r>
      <w:r>
        <w:rPr>
          <w:rFonts w:hint="eastAsia" w:asciiTheme="majorEastAsia" w:hAnsiTheme="majorEastAsia" w:eastAsiaTheme="majorEastAsia"/>
          <w:color w:val="auto"/>
          <w:spacing w:val="-2"/>
          <w:szCs w:val="21"/>
          <w:highlight w:val="none"/>
          <w:u w:val="single"/>
        </w:rPr>
        <w:t>）</w:t>
      </w:r>
      <w:r>
        <w:rPr>
          <w:rFonts w:hint="eastAsia" w:asciiTheme="majorEastAsia" w:hAnsiTheme="majorEastAsia" w:eastAsiaTheme="majorEastAsia"/>
          <w:color w:val="auto"/>
          <w:spacing w:val="-2"/>
          <w:szCs w:val="21"/>
          <w:highlight w:val="none"/>
        </w:rPr>
        <w:t>；</w:t>
      </w:r>
    </w:p>
    <w:p>
      <w:pPr>
        <w:pStyle w:val="2"/>
        <w:spacing w:line="560" w:lineRule="exact"/>
        <w:ind w:firstLine="210" w:firstLineChars="100"/>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 xml:space="preserve"> ......</w:t>
      </w:r>
    </w:p>
    <w:p>
      <w:pPr>
        <w:spacing w:line="560" w:lineRule="exact"/>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以上企业，不属于大企业的分支机构，不存在控股股东为大企业的情形，也不存在与大企业的负责人为同一人的情形。</w:t>
      </w:r>
    </w:p>
    <w:p>
      <w:pPr>
        <w:spacing w:line="560" w:lineRule="exact"/>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本企业对上述声明内容的真实性负责。如有虚假，将依法承担相应责任。</w:t>
      </w:r>
    </w:p>
    <w:p>
      <w:pPr>
        <w:spacing w:line="560" w:lineRule="exact"/>
        <w:ind w:firstLine="412" w:firstLineChars="200"/>
        <w:rPr>
          <w:rFonts w:asciiTheme="majorEastAsia" w:hAnsiTheme="majorEastAsia" w:eastAsiaTheme="majorEastAsia"/>
          <w:color w:val="auto"/>
          <w:spacing w:val="-2"/>
          <w:szCs w:val="21"/>
          <w:highlight w:val="none"/>
        </w:rPr>
      </w:pPr>
    </w:p>
    <w:p>
      <w:pPr>
        <w:pStyle w:val="2"/>
        <w:spacing w:before="35" w:beforeAutospacing="0" w:line="314" w:lineRule="auto"/>
        <w:ind w:right="2166" w:firstLine="412" w:firstLineChars="200"/>
        <w:rPr>
          <w:rFonts w:asciiTheme="majorEastAsia" w:hAnsiTheme="majorEastAsia" w:eastAsiaTheme="majorEastAsia"/>
          <w:color w:val="auto"/>
          <w:spacing w:val="-2"/>
          <w:sz w:val="21"/>
          <w:szCs w:val="21"/>
          <w:highlight w:val="none"/>
        </w:rPr>
      </w:pPr>
      <w:r>
        <w:rPr>
          <w:rFonts w:hint="eastAsia" w:asciiTheme="majorEastAsia" w:hAnsiTheme="majorEastAsia" w:eastAsiaTheme="majorEastAsia"/>
          <w:color w:val="auto"/>
          <w:spacing w:val="-2"/>
          <w:sz w:val="21"/>
          <w:szCs w:val="21"/>
          <w:highlight w:val="none"/>
        </w:rPr>
        <w:t>企业名称（盖章）：</w:t>
      </w:r>
    </w:p>
    <w:p>
      <w:pPr>
        <w:ind w:firstLine="618" w:firstLineChars="300"/>
        <w:rPr>
          <w:rFonts w:asciiTheme="majorEastAsia" w:hAnsiTheme="majorEastAsia" w:eastAsiaTheme="majorEastAsia"/>
          <w:color w:val="auto"/>
          <w:szCs w:val="21"/>
          <w:highlight w:val="none"/>
        </w:rPr>
      </w:pPr>
      <w:r>
        <w:rPr>
          <w:rFonts w:hint="eastAsia" w:asciiTheme="majorEastAsia" w:hAnsiTheme="majorEastAsia" w:eastAsiaTheme="majorEastAsia"/>
          <w:color w:val="auto"/>
          <w:spacing w:val="-2"/>
          <w:szCs w:val="21"/>
          <w:highlight w:val="none"/>
        </w:rPr>
        <w:t>日期：</w:t>
      </w:r>
    </w:p>
    <w:p>
      <w:pPr>
        <w:rPr>
          <w:rFonts w:asciiTheme="majorEastAsia" w:hAnsiTheme="majorEastAsia" w:eastAsiaTheme="majorEastAsia"/>
          <w:color w:val="auto"/>
          <w:highlight w:val="none"/>
        </w:rPr>
      </w:pPr>
    </w:p>
    <w:p>
      <w:pPr>
        <w:pStyle w:val="77"/>
        <w:pageBreakBefore/>
        <w:spacing w:line="360" w:lineRule="auto"/>
        <w:ind w:right="-96"/>
        <w:jc w:val="center"/>
        <w:rPr>
          <w:rFonts w:asciiTheme="majorEastAsia" w:hAnsiTheme="majorEastAsia" w:eastAsiaTheme="majorEastAsia"/>
          <w:b/>
          <w:color w:val="auto"/>
          <w:sz w:val="24"/>
          <w:highlight w:val="none"/>
        </w:rPr>
      </w:pPr>
      <w:bookmarkStart w:id="363" w:name="_Toc27045"/>
      <w:bookmarkStart w:id="364" w:name="_Toc17583"/>
      <w:bookmarkStart w:id="365" w:name="_Toc17370"/>
      <w:r>
        <w:rPr>
          <w:rFonts w:hint="eastAsia" w:asciiTheme="majorEastAsia" w:hAnsiTheme="majorEastAsia" w:eastAsiaTheme="majorEastAsia"/>
          <w:b/>
          <w:color w:val="auto"/>
          <w:sz w:val="24"/>
          <w:highlight w:val="none"/>
        </w:rPr>
        <w:t>附件2：中小企业声明函（服务类、工程类）</w:t>
      </w:r>
      <w:bookmarkEnd w:id="363"/>
      <w:bookmarkEnd w:id="364"/>
      <w:bookmarkEnd w:id="365"/>
    </w:p>
    <w:p>
      <w:pPr>
        <w:spacing w:line="360" w:lineRule="auto"/>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本公司（联合体）郑重声明，根据《政府采购促进中小企业发展管理办法》（财库﹝2020﹞46号）的规定，本公司（联合体）参加（单位名称）的</w:t>
      </w:r>
      <w:r>
        <w:rPr>
          <w:rFonts w:hint="eastAsia" w:asciiTheme="majorEastAsia" w:hAnsiTheme="majorEastAsia" w:eastAsiaTheme="majorEastAsia"/>
          <w:color w:val="auto"/>
          <w:spacing w:val="-2"/>
          <w:szCs w:val="21"/>
          <w:highlight w:val="none"/>
          <w:u w:val="single"/>
        </w:rPr>
        <w:t>（项目名称）</w:t>
      </w:r>
      <w:r>
        <w:rPr>
          <w:rFonts w:hint="eastAsia" w:asciiTheme="majorEastAsia" w:hAnsiTheme="majorEastAsia" w:eastAsiaTheme="majorEastAsia"/>
          <w:color w:val="auto"/>
          <w:spacing w:val="-2"/>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1、</w:t>
      </w:r>
      <w:r>
        <w:rPr>
          <w:rFonts w:hint="eastAsia" w:asciiTheme="majorEastAsia" w:hAnsiTheme="majorEastAsia" w:eastAsiaTheme="majorEastAsia"/>
          <w:color w:val="auto"/>
          <w:spacing w:val="-2"/>
          <w:szCs w:val="21"/>
          <w:highlight w:val="none"/>
          <w:u w:val="single"/>
        </w:rPr>
        <w:t>（标的名称）</w:t>
      </w:r>
      <w:r>
        <w:rPr>
          <w:rFonts w:hint="eastAsia" w:asciiTheme="majorEastAsia" w:hAnsiTheme="majorEastAsia" w:eastAsiaTheme="majorEastAsia"/>
          <w:color w:val="auto"/>
          <w:spacing w:val="-2"/>
          <w:szCs w:val="21"/>
          <w:highlight w:val="none"/>
        </w:rPr>
        <w:t>，属于</w:t>
      </w:r>
      <w:r>
        <w:rPr>
          <w:rFonts w:hint="eastAsia" w:asciiTheme="majorEastAsia" w:hAnsiTheme="majorEastAsia" w:eastAsiaTheme="majorEastAsia"/>
          <w:color w:val="auto"/>
          <w:spacing w:val="-2"/>
          <w:szCs w:val="21"/>
          <w:highlight w:val="none"/>
          <w:u w:val="single"/>
        </w:rPr>
        <w:t>（采购文件中明确的所属行业）</w:t>
      </w:r>
      <w:r>
        <w:rPr>
          <w:rFonts w:hint="eastAsia" w:asciiTheme="majorEastAsia" w:hAnsiTheme="majorEastAsia" w:eastAsiaTheme="majorEastAsia"/>
          <w:color w:val="auto"/>
          <w:spacing w:val="-2"/>
          <w:szCs w:val="21"/>
          <w:highlight w:val="none"/>
        </w:rPr>
        <w:t>；承建（承接）企业为</w:t>
      </w:r>
      <w:r>
        <w:rPr>
          <w:rFonts w:hint="eastAsia" w:asciiTheme="majorEastAsia" w:hAnsiTheme="majorEastAsia" w:eastAsiaTheme="majorEastAsia"/>
          <w:color w:val="auto"/>
          <w:spacing w:val="-2"/>
          <w:szCs w:val="21"/>
          <w:highlight w:val="none"/>
          <w:u w:val="single"/>
        </w:rPr>
        <w:t>（企业名称</w:t>
      </w:r>
      <w:r>
        <w:rPr>
          <w:rFonts w:hint="eastAsia" w:asciiTheme="majorEastAsia" w:hAnsiTheme="majorEastAsia" w:eastAsiaTheme="majorEastAsia"/>
          <w:color w:val="auto"/>
          <w:spacing w:val="-2"/>
          <w:szCs w:val="21"/>
          <w:highlight w:val="none"/>
        </w:rPr>
        <w:t>），从业人员人，营业收入为万元，资产总额为万【从业人员、营业收入、资产总额填报上一年度数据，无上一年度数据的新成立企业可不填报。】，属于</w:t>
      </w:r>
      <w:r>
        <w:rPr>
          <w:rFonts w:hint="eastAsia" w:asciiTheme="majorEastAsia" w:hAnsiTheme="majorEastAsia" w:eastAsiaTheme="majorEastAsia"/>
          <w:color w:val="auto"/>
          <w:spacing w:val="-2"/>
          <w:szCs w:val="21"/>
          <w:highlight w:val="none"/>
          <w:u w:val="single"/>
        </w:rPr>
        <w:t>（中型企业、小型企业、微型企业）</w:t>
      </w:r>
      <w:r>
        <w:rPr>
          <w:rFonts w:hint="eastAsia" w:asciiTheme="majorEastAsia" w:hAnsiTheme="majorEastAsia" w:eastAsiaTheme="majorEastAsia"/>
          <w:color w:val="auto"/>
          <w:spacing w:val="-2"/>
          <w:szCs w:val="21"/>
          <w:highlight w:val="none"/>
        </w:rPr>
        <w:t>；</w:t>
      </w:r>
    </w:p>
    <w:p>
      <w:pPr>
        <w:spacing w:line="360" w:lineRule="auto"/>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2、</w:t>
      </w:r>
      <w:r>
        <w:rPr>
          <w:rFonts w:hint="eastAsia" w:asciiTheme="majorEastAsia" w:hAnsiTheme="majorEastAsia" w:eastAsiaTheme="majorEastAsia"/>
          <w:color w:val="auto"/>
          <w:spacing w:val="-2"/>
          <w:szCs w:val="21"/>
          <w:highlight w:val="none"/>
          <w:u w:val="single"/>
        </w:rPr>
        <w:t>（标的名称）</w:t>
      </w:r>
      <w:r>
        <w:rPr>
          <w:rFonts w:hint="eastAsia" w:asciiTheme="majorEastAsia" w:hAnsiTheme="majorEastAsia" w:eastAsiaTheme="majorEastAsia"/>
          <w:color w:val="auto"/>
          <w:spacing w:val="-2"/>
          <w:szCs w:val="21"/>
          <w:highlight w:val="none"/>
        </w:rPr>
        <w:t>，属于</w:t>
      </w:r>
      <w:r>
        <w:rPr>
          <w:rFonts w:hint="eastAsia" w:asciiTheme="majorEastAsia" w:hAnsiTheme="majorEastAsia" w:eastAsiaTheme="majorEastAsia"/>
          <w:color w:val="auto"/>
          <w:spacing w:val="-2"/>
          <w:szCs w:val="21"/>
          <w:highlight w:val="none"/>
          <w:u w:val="single"/>
        </w:rPr>
        <w:t>（采购文件中明确的所属行业）</w:t>
      </w:r>
      <w:r>
        <w:rPr>
          <w:rFonts w:hint="eastAsia" w:asciiTheme="majorEastAsia" w:hAnsiTheme="majorEastAsia" w:eastAsiaTheme="majorEastAsia"/>
          <w:color w:val="auto"/>
          <w:spacing w:val="-2"/>
          <w:szCs w:val="21"/>
          <w:highlight w:val="none"/>
        </w:rPr>
        <w:t>；承建（承接）企业为</w:t>
      </w:r>
      <w:r>
        <w:rPr>
          <w:rFonts w:hint="eastAsia" w:asciiTheme="majorEastAsia" w:hAnsiTheme="majorEastAsia" w:eastAsiaTheme="majorEastAsia"/>
          <w:color w:val="auto"/>
          <w:spacing w:val="-2"/>
          <w:szCs w:val="21"/>
          <w:highlight w:val="none"/>
          <w:u w:val="single"/>
        </w:rPr>
        <w:t>（企业名称）</w:t>
      </w:r>
      <w:r>
        <w:rPr>
          <w:rFonts w:hint="eastAsia" w:asciiTheme="majorEastAsia" w:hAnsiTheme="majorEastAsia" w:eastAsiaTheme="majorEastAsia"/>
          <w:color w:val="auto"/>
          <w:spacing w:val="-2"/>
          <w:szCs w:val="21"/>
          <w:highlight w:val="none"/>
        </w:rPr>
        <w:t>，从业人员人，营业收入为万元，资产总额为万元，属于</w:t>
      </w:r>
      <w:r>
        <w:rPr>
          <w:rFonts w:hint="eastAsia" w:asciiTheme="majorEastAsia" w:hAnsiTheme="majorEastAsia" w:eastAsiaTheme="majorEastAsia"/>
          <w:color w:val="auto"/>
          <w:spacing w:val="-2"/>
          <w:szCs w:val="21"/>
          <w:highlight w:val="none"/>
          <w:u w:val="single"/>
        </w:rPr>
        <w:t>（中型企业、小型企业、微型企业）</w:t>
      </w:r>
      <w:r>
        <w:rPr>
          <w:rFonts w:hint="eastAsia" w:asciiTheme="majorEastAsia" w:hAnsiTheme="majorEastAsia" w:eastAsiaTheme="majorEastAsia"/>
          <w:color w:val="auto"/>
          <w:spacing w:val="-2"/>
          <w:szCs w:val="21"/>
          <w:highlight w:val="none"/>
        </w:rPr>
        <w:t>；</w:t>
      </w:r>
    </w:p>
    <w:p>
      <w:pPr>
        <w:spacing w:line="360" w:lineRule="auto"/>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w:t>
      </w:r>
    </w:p>
    <w:p>
      <w:pPr>
        <w:spacing w:line="360" w:lineRule="auto"/>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以上企业，不属于大企业的分支机构，不存在控股股东为大企业的情形，也不存在与大企业的负责人为同一人的情形。</w:t>
      </w:r>
    </w:p>
    <w:p>
      <w:pPr>
        <w:spacing w:line="360" w:lineRule="auto"/>
        <w:ind w:firstLine="412" w:firstLineChars="2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本企业对上述声明内容的真实性负责。如有虚假，将依法承担相应责任。</w:t>
      </w:r>
    </w:p>
    <w:p>
      <w:pPr>
        <w:spacing w:line="360" w:lineRule="auto"/>
        <w:ind w:firstLine="420" w:firstLineChars="200"/>
        <w:rPr>
          <w:rFonts w:asciiTheme="majorEastAsia" w:hAnsiTheme="majorEastAsia" w:eastAsiaTheme="majorEastAsia"/>
          <w:color w:val="auto"/>
          <w:szCs w:val="21"/>
          <w:highlight w:val="none"/>
        </w:rPr>
      </w:pPr>
    </w:p>
    <w:p>
      <w:pPr>
        <w:spacing w:line="360" w:lineRule="auto"/>
        <w:ind w:firstLine="3296" w:firstLineChars="16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企业名称（盖章）：</w:t>
      </w:r>
    </w:p>
    <w:p>
      <w:pPr>
        <w:spacing w:line="360" w:lineRule="auto"/>
        <w:ind w:firstLine="3296" w:firstLineChars="1600"/>
        <w:rPr>
          <w:rFonts w:asciiTheme="majorEastAsia" w:hAnsiTheme="majorEastAsia" w:eastAsiaTheme="majorEastAsia"/>
          <w:color w:val="auto"/>
          <w:spacing w:val="-2"/>
          <w:szCs w:val="21"/>
          <w:highlight w:val="none"/>
        </w:rPr>
      </w:pPr>
      <w:r>
        <w:rPr>
          <w:rFonts w:hint="eastAsia" w:asciiTheme="majorEastAsia" w:hAnsiTheme="majorEastAsia" w:eastAsiaTheme="majorEastAsia"/>
          <w:color w:val="auto"/>
          <w:spacing w:val="-2"/>
          <w:szCs w:val="21"/>
          <w:highlight w:val="none"/>
        </w:rPr>
        <w:t>日期：年月日</w:t>
      </w:r>
    </w:p>
    <w:p>
      <w:pPr>
        <w:spacing w:line="560" w:lineRule="exact"/>
        <w:jc w:val="left"/>
        <w:rPr>
          <w:rFonts w:asciiTheme="majorEastAsia" w:hAnsiTheme="majorEastAsia" w:eastAsiaTheme="majorEastAsia"/>
          <w:b/>
          <w:bCs/>
          <w:color w:val="auto"/>
          <w:szCs w:val="21"/>
          <w:highlight w:val="none"/>
        </w:rPr>
      </w:pPr>
      <w:r>
        <w:rPr>
          <w:rFonts w:asciiTheme="majorEastAsia" w:hAnsiTheme="majorEastAsia" w:eastAsiaTheme="majorEastAsia"/>
          <w:b/>
          <w:bCs/>
          <w:color w:val="auto"/>
          <w:szCs w:val="21"/>
          <w:highlight w:val="none"/>
        </w:rPr>
        <w:t>注：</w:t>
      </w:r>
    </w:p>
    <w:p>
      <w:pPr>
        <w:pStyle w:val="80"/>
        <w:numPr>
          <w:ilvl w:val="0"/>
          <w:numId w:val="11"/>
        </w:numPr>
        <w:spacing w:line="360" w:lineRule="auto"/>
        <w:ind w:firstLine="422" w:firstLineChars="200"/>
        <w:rPr>
          <w:rFonts w:asciiTheme="majorEastAsia" w:hAnsiTheme="majorEastAsia" w:eastAsiaTheme="majorEastAsia"/>
          <w:b/>
          <w:bCs/>
          <w:color w:val="auto"/>
          <w:szCs w:val="21"/>
          <w:highlight w:val="none"/>
        </w:rPr>
      </w:pPr>
      <w:r>
        <w:rPr>
          <w:rFonts w:asciiTheme="majorEastAsia" w:hAnsiTheme="majorEastAsia" w:eastAsiaTheme="majorEastAsia"/>
          <w:b/>
          <w:bCs/>
          <w:color w:val="auto"/>
          <w:szCs w:val="21"/>
          <w:highlight w:val="none"/>
        </w:rPr>
        <w:t>如可以享受中小企业政策的供应商，按照如上声明函的内容如实填写，若不满足中小企业政策的供应商，请不要填写。</w:t>
      </w:r>
      <w:r>
        <w:rPr>
          <w:rFonts w:hint="eastAsia" w:asciiTheme="majorEastAsia" w:hAnsiTheme="majorEastAsia" w:eastAsiaTheme="majorEastAsia"/>
          <w:b/>
          <w:bCs/>
          <w:color w:val="auto"/>
          <w:szCs w:val="21"/>
          <w:highlight w:val="none"/>
        </w:rPr>
        <w:t>如存在虚假声明或未按实际内容填写，供应商需承担由此产生的一切后果及相应的法律责任。</w:t>
      </w:r>
    </w:p>
    <w:p>
      <w:pPr>
        <w:pStyle w:val="80"/>
        <w:numPr>
          <w:ilvl w:val="0"/>
          <w:numId w:val="11"/>
        </w:numPr>
        <w:spacing w:line="360" w:lineRule="auto"/>
        <w:ind w:firstLine="422" w:firstLineChars="200"/>
        <w:rPr>
          <w:rFonts w:asciiTheme="majorEastAsia" w:hAnsiTheme="majorEastAsia" w:eastAsiaTheme="majorEastAsia"/>
          <w:b/>
          <w:bCs/>
          <w:color w:val="auto"/>
          <w:szCs w:val="21"/>
          <w:highlight w:val="none"/>
        </w:rPr>
      </w:pPr>
      <w:r>
        <w:rPr>
          <w:rFonts w:hint="eastAsia" w:asciiTheme="majorEastAsia" w:hAnsiTheme="majorEastAsia" w:eastAsiaTheme="majorEastAsia"/>
          <w:b/>
          <w:bCs/>
          <w:color w:val="auto"/>
          <w:szCs w:val="21"/>
          <w:highlight w:val="none"/>
        </w:rPr>
        <w:t>本声明函中“标的名称”是指采购需求中计划采购的商品，供应商必须按采购需求中列明的商品名称填写；“采购文件中明确的所属行业”是指投标人须知前附表中小微型企业有关政策中明确的行业，本项目明确所属行业为</w:t>
      </w:r>
      <w:r>
        <w:rPr>
          <w:rFonts w:hint="eastAsia" w:asciiTheme="majorEastAsia" w:hAnsiTheme="majorEastAsia" w:eastAsiaTheme="majorEastAsia"/>
          <w:b/>
          <w:bCs/>
          <w:color w:val="auto"/>
          <w:szCs w:val="21"/>
          <w:highlight w:val="none"/>
          <w:u w:val="single"/>
        </w:rPr>
        <w:t>工业</w:t>
      </w:r>
      <w:r>
        <w:rPr>
          <w:rFonts w:hint="eastAsia" w:asciiTheme="majorEastAsia" w:hAnsiTheme="majorEastAsia" w:eastAsiaTheme="majorEastAsia"/>
          <w:b/>
          <w:bCs/>
          <w:color w:val="auto"/>
          <w:szCs w:val="21"/>
          <w:highlight w:val="none"/>
        </w:rPr>
        <w:t>，供应商必须明确填写行业。</w:t>
      </w:r>
    </w:p>
    <w:p>
      <w:pPr>
        <w:pStyle w:val="80"/>
        <w:numPr>
          <w:ilvl w:val="0"/>
          <w:numId w:val="11"/>
        </w:numPr>
        <w:spacing w:line="360" w:lineRule="auto"/>
        <w:ind w:firstLine="422" w:firstLineChars="200"/>
        <w:outlineLvl w:val="2"/>
        <w:rPr>
          <w:rFonts w:asciiTheme="majorEastAsia" w:hAnsiTheme="majorEastAsia" w:eastAsiaTheme="majorEastAsia"/>
          <w:b/>
          <w:bCs/>
          <w:color w:val="auto"/>
          <w:szCs w:val="21"/>
          <w:highlight w:val="none"/>
        </w:rPr>
      </w:pPr>
      <w:bookmarkStart w:id="366" w:name="_Toc25507"/>
      <w:r>
        <w:rPr>
          <w:rFonts w:asciiTheme="majorEastAsia" w:hAnsiTheme="majorEastAsia" w:eastAsiaTheme="majorEastAsia"/>
          <w:b/>
          <w:bCs/>
          <w:color w:val="auto"/>
          <w:szCs w:val="21"/>
          <w:highlight w:val="none"/>
        </w:rPr>
        <w:t>如</w:t>
      </w:r>
      <w:r>
        <w:rPr>
          <w:rFonts w:hint="eastAsia" w:asciiTheme="majorEastAsia" w:hAnsiTheme="majorEastAsia" w:eastAsiaTheme="majorEastAsia"/>
          <w:b/>
          <w:bCs/>
          <w:color w:val="auto"/>
          <w:szCs w:val="21"/>
          <w:highlight w:val="none"/>
        </w:rPr>
        <w:t>供应商未填写或未按要求填写此表，评审时将不予认可</w:t>
      </w:r>
      <w:r>
        <w:rPr>
          <w:rFonts w:asciiTheme="majorEastAsia" w:hAnsiTheme="majorEastAsia" w:eastAsiaTheme="majorEastAsia"/>
          <w:b/>
          <w:bCs/>
          <w:color w:val="auto"/>
          <w:szCs w:val="21"/>
          <w:highlight w:val="none"/>
        </w:rPr>
        <w:t>。</w:t>
      </w:r>
      <w:bookmarkEnd w:id="366"/>
    </w:p>
    <w:p>
      <w:pPr>
        <w:pStyle w:val="80"/>
        <w:numPr>
          <w:ilvl w:val="0"/>
          <w:numId w:val="11"/>
        </w:numPr>
        <w:spacing w:line="360" w:lineRule="auto"/>
        <w:ind w:firstLine="422" w:firstLineChars="200"/>
        <w:rPr>
          <w:rFonts w:asciiTheme="majorEastAsia" w:hAnsiTheme="majorEastAsia" w:eastAsiaTheme="majorEastAsia"/>
          <w:b/>
          <w:bCs/>
          <w:color w:val="auto"/>
          <w:szCs w:val="21"/>
          <w:highlight w:val="none"/>
        </w:rPr>
      </w:pPr>
      <w:r>
        <w:rPr>
          <w:rFonts w:asciiTheme="majorEastAsia" w:hAnsiTheme="majorEastAsia" w:eastAsiaTheme="majorEastAsia"/>
          <w:b/>
          <w:bCs/>
          <w:color w:val="auto"/>
          <w:szCs w:val="21"/>
          <w:highlight w:val="none"/>
        </w:rPr>
        <w:t>后附</w:t>
      </w:r>
      <w:r>
        <w:rPr>
          <w:rFonts w:hint="eastAsia" w:asciiTheme="majorEastAsia" w:hAnsiTheme="majorEastAsia" w:eastAsiaTheme="majorEastAsia"/>
          <w:b/>
          <w:bCs/>
          <w:color w:val="auto"/>
          <w:szCs w:val="21"/>
          <w:highlight w:val="none"/>
        </w:rPr>
        <w:t>大中小微型企业划分标准</w:t>
      </w:r>
      <w:r>
        <w:rPr>
          <w:rFonts w:asciiTheme="majorEastAsia" w:hAnsiTheme="majorEastAsia" w:eastAsiaTheme="majorEastAsia"/>
          <w:b/>
          <w:bCs/>
          <w:color w:val="auto"/>
          <w:szCs w:val="21"/>
          <w:highlight w:val="none"/>
        </w:rPr>
        <w:t>。详细内容请在中国政府采购网上查询获取。</w:t>
      </w:r>
    </w:p>
    <w:p>
      <w:pPr>
        <w:pageBreakBefore/>
        <w:widowControl/>
        <w:spacing w:line="600" w:lineRule="exact"/>
        <w:jc w:val="left"/>
        <w:rPr>
          <w:rFonts w:cs="宋体" w:asciiTheme="majorEastAsia" w:hAnsiTheme="majorEastAsia" w:eastAsiaTheme="majorEastAsia"/>
          <w:color w:val="auto"/>
          <w:kern w:val="0"/>
          <w:sz w:val="32"/>
          <w:szCs w:val="32"/>
          <w:highlight w:val="none"/>
        </w:rPr>
      </w:pPr>
      <w:r>
        <w:rPr>
          <w:rFonts w:hint="eastAsia" w:cs="宋体" w:asciiTheme="majorEastAsia" w:hAnsiTheme="majorEastAsia" w:eastAsiaTheme="majorEastAsia"/>
          <w:color w:val="auto"/>
          <w:kern w:val="0"/>
          <w:sz w:val="32"/>
          <w:szCs w:val="32"/>
          <w:highlight w:val="none"/>
        </w:rPr>
        <w:t>附表1</w:t>
      </w:r>
    </w:p>
    <w:p>
      <w:pPr>
        <w:widowControl/>
        <w:spacing w:line="330" w:lineRule="atLeast"/>
        <w:jc w:val="center"/>
        <w:outlineLvl w:val="1"/>
        <w:rPr>
          <w:rFonts w:cs="宋体" w:asciiTheme="majorEastAsia" w:hAnsiTheme="majorEastAsia" w:eastAsiaTheme="majorEastAsia"/>
          <w:color w:val="auto"/>
          <w:kern w:val="0"/>
          <w:sz w:val="36"/>
          <w:szCs w:val="32"/>
          <w:highlight w:val="none"/>
        </w:rPr>
      </w:pPr>
      <w:bookmarkStart w:id="367" w:name="_Toc24088"/>
      <w:r>
        <w:rPr>
          <w:rFonts w:hint="eastAsia" w:cs="宋体" w:asciiTheme="majorEastAsia" w:hAnsiTheme="majorEastAsia" w:eastAsiaTheme="majorEastAsia"/>
          <w:color w:val="auto"/>
          <w:kern w:val="0"/>
          <w:sz w:val="36"/>
          <w:szCs w:val="32"/>
          <w:highlight w:val="none"/>
        </w:rPr>
        <w:t>大中小微型企业划分标准</w:t>
      </w:r>
      <w:bookmarkEnd w:id="367"/>
    </w:p>
    <w:tbl>
      <w:tblPr>
        <w:tblStyle w:val="38"/>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782" w:type="dxa"/>
            <w:noWrap/>
            <w:vAlign w:val="center"/>
          </w:tcPr>
          <w:p>
            <w:pPr>
              <w:widowControl/>
              <w:spacing w:line="240" w:lineRule="exact"/>
              <w:jc w:val="center"/>
              <w:rPr>
                <w:rFonts w:cs="宋体" w:asciiTheme="majorEastAsia" w:hAnsiTheme="majorEastAsia" w:eastAsiaTheme="majorEastAsia"/>
                <w:b/>
                <w:bCs/>
                <w:color w:val="auto"/>
                <w:kern w:val="0"/>
                <w:sz w:val="18"/>
                <w:szCs w:val="21"/>
                <w:highlight w:val="none"/>
              </w:rPr>
            </w:pPr>
            <w:r>
              <w:rPr>
                <w:rFonts w:hint="eastAsia" w:cs="宋体" w:asciiTheme="majorEastAsia" w:hAnsiTheme="majorEastAsia" w:eastAsiaTheme="majorEastAsia"/>
                <w:b/>
                <w:bCs/>
                <w:color w:val="auto"/>
                <w:kern w:val="0"/>
                <w:sz w:val="18"/>
                <w:szCs w:val="21"/>
                <w:highlight w:val="none"/>
              </w:rPr>
              <w:t>行业名称</w:t>
            </w:r>
          </w:p>
        </w:tc>
        <w:tc>
          <w:tcPr>
            <w:tcW w:w="1369" w:type="dxa"/>
            <w:noWrap/>
            <w:vAlign w:val="center"/>
          </w:tcPr>
          <w:p>
            <w:pPr>
              <w:widowControl/>
              <w:jc w:val="center"/>
              <w:rPr>
                <w:rFonts w:cs="宋体" w:asciiTheme="majorEastAsia" w:hAnsiTheme="majorEastAsia" w:eastAsiaTheme="majorEastAsia"/>
                <w:b/>
                <w:bCs/>
                <w:color w:val="auto"/>
                <w:kern w:val="0"/>
                <w:sz w:val="18"/>
                <w:szCs w:val="18"/>
                <w:highlight w:val="none"/>
              </w:rPr>
            </w:pPr>
            <w:r>
              <w:rPr>
                <w:rFonts w:hint="eastAsia" w:cs="宋体" w:asciiTheme="majorEastAsia" w:hAnsiTheme="majorEastAsia" w:eastAsiaTheme="majorEastAsia"/>
                <w:b/>
                <w:bCs/>
                <w:color w:val="auto"/>
                <w:kern w:val="0"/>
                <w:sz w:val="18"/>
                <w:szCs w:val="18"/>
                <w:highlight w:val="none"/>
              </w:rPr>
              <w:t>指标名称</w:t>
            </w:r>
          </w:p>
        </w:tc>
        <w:tc>
          <w:tcPr>
            <w:tcW w:w="709" w:type="dxa"/>
            <w:noWrap/>
            <w:vAlign w:val="center"/>
          </w:tcPr>
          <w:p>
            <w:pPr>
              <w:widowControl/>
              <w:jc w:val="center"/>
              <w:rPr>
                <w:rFonts w:cs="宋体" w:asciiTheme="majorEastAsia" w:hAnsiTheme="majorEastAsia" w:eastAsiaTheme="majorEastAsia"/>
                <w:b/>
                <w:bCs/>
                <w:color w:val="auto"/>
                <w:kern w:val="0"/>
                <w:sz w:val="18"/>
                <w:szCs w:val="18"/>
                <w:highlight w:val="none"/>
              </w:rPr>
            </w:pPr>
            <w:r>
              <w:rPr>
                <w:rFonts w:hint="eastAsia" w:cs="宋体" w:asciiTheme="majorEastAsia" w:hAnsiTheme="majorEastAsia" w:eastAsiaTheme="majorEastAsia"/>
                <w:b/>
                <w:bCs/>
                <w:color w:val="auto"/>
                <w:kern w:val="0"/>
                <w:sz w:val="18"/>
                <w:szCs w:val="18"/>
                <w:highlight w:val="none"/>
              </w:rPr>
              <w:t>计量</w:t>
            </w:r>
          </w:p>
          <w:p>
            <w:pPr>
              <w:widowControl/>
              <w:jc w:val="center"/>
              <w:rPr>
                <w:rFonts w:cs="宋体" w:asciiTheme="majorEastAsia" w:hAnsiTheme="majorEastAsia" w:eastAsiaTheme="majorEastAsia"/>
                <w:b/>
                <w:bCs/>
                <w:color w:val="auto"/>
                <w:kern w:val="0"/>
                <w:sz w:val="18"/>
                <w:szCs w:val="18"/>
                <w:highlight w:val="none"/>
              </w:rPr>
            </w:pPr>
            <w:r>
              <w:rPr>
                <w:rFonts w:hint="eastAsia" w:cs="宋体" w:asciiTheme="majorEastAsia" w:hAnsiTheme="majorEastAsia" w:eastAsiaTheme="majorEastAsia"/>
                <w:b/>
                <w:bCs/>
                <w:color w:val="auto"/>
                <w:kern w:val="0"/>
                <w:sz w:val="18"/>
                <w:szCs w:val="18"/>
                <w:highlight w:val="none"/>
              </w:rPr>
              <w:t>单位</w:t>
            </w:r>
          </w:p>
        </w:tc>
        <w:tc>
          <w:tcPr>
            <w:tcW w:w="1125" w:type="dxa"/>
            <w:noWrap/>
            <w:vAlign w:val="center"/>
          </w:tcPr>
          <w:p>
            <w:pPr>
              <w:widowControl/>
              <w:jc w:val="center"/>
              <w:rPr>
                <w:rFonts w:cs="宋体" w:asciiTheme="majorEastAsia" w:hAnsiTheme="majorEastAsia" w:eastAsiaTheme="majorEastAsia"/>
                <w:b/>
                <w:bCs/>
                <w:color w:val="auto"/>
                <w:kern w:val="0"/>
                <w:sz w:val="18"/>
                <w:szCs w:val="18"/>
                <w:highlight w:val="none"/>
              </w:rPr>
            </w:pPr>
            <w:r>
              <w:rPr>
                <w:rFonts w:hint="eastAsia" w:cs="宋体" w:asciiTheme="majorEastAsia" w:hAnsiTheme="majorEastAsia" w:eastAsiaTheme="majorEastAsia"/>
                <w:b/>
                <w:bCs/>
                <w:color w:val="auto"/>
                <w:kern w:val="0"/>
                <w:sz w:val="18"/>
                <w:szCs w:val="18"/>
                <w:highlight w:val="none"/>
              </w:rPr>
              <w:t>大型</w:t>
            </w:r>
          </w:p>
        </w:tc>
        <w:tc>
          <w:tcPr>
            <w:tcW w:w="1701" w:type="dxa"/>
            <w:noWrap/>
            <w:vAlign w:val="center"/>
          </w:tcPr>
          <w:p>
            <w:pPr>
              <w:widowControl/>
              <w:jc w:val="center"/>
              <w:rPr>
                <w:rFonts w:cs="宋体" w:asciiTheme="majorEastAsia" w:hAnsiTheme="majorEastAsia" w:eastAsiaTheme="majorEastAsia"/>
                <w:b/>
                <w:bCs/>
                <w:color w:val="auto"/>
                <w:kern w:val="0"/>
                <w:sz w:val="18"/>
                <w:szCs w:val="18"/>
                <w:highlight w:val="none"/>
              </w:rPr>
            </w:pPr>
            <w:r>
              <w:rPr>
                <w:rFonts w:hint="eastAsia" w:cs="宋体" w:asciiTheme="majorEastAsia" w:hAnsiTheme="majorEastAsia" w:eastAsiaTheme="majorEastAsia"/>
                <w:b/>
                <w:bCs/>
                <w:color w:val="auto"/>
                <w:kern w:val="0"/>
                <w:sz w:val="18"/>
                <w:szCs w:val="18"/>
                <w:highlight w:val="none"/>
              </w:rPr>
              <w:t>中型</w:t>
            </w:r>
          </w:p>
        </w:tc>
        <w:tc>
          <w:tcPr>
            <w:tcW w:w="1426" w:type="dxa"/>
            <w:noWrap/>
            <w:vAlign w:val="center"/>
          </w:tcPr>
          <w:p>
            <w:pPr>
              <w:widowControl/>
              <w:jc w:val="center"/>
              <w:rPr>
                <w:rFonts w:cs="宋体" w:asciiTheme="majorEastAsia" w:hAnsiTheme="majorEastAsia" w:eastAsiaTheme="majorEastAsia"/>
                <w:b/>
                <w:bCs/>
                <w:color w:val="auto"/>
                <w:kern w:val="0"/>
                <w:sz w:val="18"/>
                <w:szCs w:val="18"/>
                <w:highlight w:val="none"/>
              </w:rPr>
            </w:pPr>
            <w:r>
              <w:rPr>
                <w:rFonts w:hint="eastAsia" w:cs="宋体" w:asciiTheme="majorEastAsia" w:hAnsiTheme="majorEastAsia" w:eastAsiaTheme="majorEastAsia"/>
                <w:b/>
                <w:bCs/>
                <w:color w:val="auto"/>
                <w:kern w:val="0"/>
                <w:sz w:val="18"/>
                <w:szCs w:val="18"/>
                <w:highlight w:val="none"/>
              </w:rPr>
              <w:t>小型</w:t>
            </w:r>
          </w:p>
        </w:tc>
        <w:tc>
          <w:tcPr>
            <w:tcW w:w="992" w:type="dxa"/>
            <w:noWrap/>
            <w:vAlign w:val="center"/>
          </w:tcPr>
          <w:p>
            <w:pPr>
              <w:widowControl/>
              <w:jc w:val="center"/>
              <w:rPr>
                <w:rFonts w:cs="宋体" w:asciiTheme="majorEastAsia" w:hAnsiTheme="majorEastAsia" w:eastAsiaTheme="majorEastAsia"/>
                <w:b/>
                <w:bCs/>
                <w:color w:val="auto"/>
                <w:kern w:val="0"/>
                <w:sz w:val="18"/>
                <w:szCs w:val="18"/>
                <w:highlight w:val="none"/>
              </w:rPr>
            </w:pPr>
            <w:r>
              <w:rPr>
                <w:rFonts w:hint="eastAsia" w:cs="宋体" w:asciiTheme="majorEastAsia" w:hAnsiTheme="majorEastAsia" w:eastAsiaTheme="majorEastAsia"/>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农、林、牧、渔业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Y≥20000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500≤Y＜20000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50≤Y＜500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工业 *</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300≤X＜1000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20≤X＜300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Y≥40000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2000≤Y＜40000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300≤Y＜2000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建筑业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Y≥80000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6000≤Y＜80000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300≤Y＜6000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资产总额(Z)</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Z≥80000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5000≤Z＜80000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300≤Z＜5000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批发业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X≥200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20≤X＜200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5≤X＜20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Y≥40000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5000≤Y＜40000</w:t>
            </w:r>
          </w:p>
        </w:tc>
        <w:tc>
          <w:tcPr>
            <w:tcW w:w="1426" w:type="dxa"/>
            <w:noWrap/>
            <w:vAlign w:val="center"/>
          </w:tcPr>
          <w:p>
            <w:pPr>
              <w:widowControl/>
              <w:ind w:left="-1" w:leftChars="-1" w:hanging="1"/>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1000≤Y＜5000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零售业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X≥300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50≤X＜300</w:t>
            </w:r>
          </w:p>
        </w:tc>
        <w:tc>
          <w:tcPr>
            <w:tcW w:w="1426" w:type="dxa"/>
            <w:noWrap/>
            <w:vAlign w:val="center"/>
          </w:tcPr>
          <w:p>
            <w:pPr>
              <w:widowControl/>
              <w:ind w:left="-1" w:leftChars="-1" w:hanging="1"/>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10≤X＜50 </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Y≥20000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500≤Y＜20000</w:t>
            </w:r>
          </w:p>
        </w:tc>
        <w:tc>
          <w:tcPr>
            <w:tcW w:w="1426" w:type="dxa"/>
            <w:noWrap/>
            <w:vAlign w:val="center"/>
          </w:tcPr>
          <w:p>
            <w:pPr>
              <w:widowControl/>
              <w:ind w:left="-1" w:leftChars="-1" w:hanging="1"/>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100≤Y＜500 </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交通运输业 *</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300≤X＜1000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20≤X＜300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Y≥30000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3000≤Y＜30000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200≤Y＜3000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仓储业*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X≥200</w:t>
            </w:r>
          </w:p>
        </w:tc>
        <w:tc>
          <w:tcPr>
            <w:tcW w:w="1701" w:type="dxa"/>
            <w:noWrap/>
            <w:vAlign w:val="center"/>
          </w:tcPr>
          <w:p>
            <w:pPr>
              <w:widowControl/>
              <w:ind w:left="1" w:leftChars="-51" w:hanging="108" w:hangingChars="60"/>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100≤X＜200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20≤X＜100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Y≥30000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1000≤Y＜30000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100≤Y＜1000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邮政业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300≤X＜1000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20≤X＜300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Y≥30000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2000≤Y＜30000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100≤Y＜2000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住宿业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X≥300</w:t>
            </w:r>
          </w:p>
        </w:tc>
        <w:tc>
          <w:tcPr>
            <w:tcW w:w="1701" w:type="dxa"/>
            <w:noWrap/>
            <w:vAlign w:val="center"/>
          </w:tcPr>
          <w:p>
            <w:pPr>
              <w:widowControl/>
              <w:ind w:left="1" w:leftChars="-51" w:hanging="108" w:hangingChars="60"/>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100≤X＜300 </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10≤X＜100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2000≤Y＜10000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100≤Y＜2000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餐饮业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X≥300</w:t>
            </w:r>
          </w:p>
        </w:tc>
        <w:tc>
          <w:tcPr>
            <w:tcW w:w="1701" w:type="dxa"/>
            <w:noWrap/>
            <w:vAlign w:val="center"/>
          </w:tcPr>
          <w:p>
            <w:pPr>
              <w:widowControl/>
              <w:ind w:left="1" w:leftChars="-51" w:hanging="108" w:hangingChars="60"/>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100≤X＜300 </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10≤X＜100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2000≤Y＜10000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100≤Y＜2000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信息传输业 *</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X≥2000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100≤X＜2000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10≤X＜100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1000≤Y＜100000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100≤Y＜1000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spacing w:val="-12"/>
                <w:kern w:val="0"/>
                <w:sz w:val="18"/>
                <w:szCs w:val="18"/>
                <w:highlight w:val="none"/>
              </w:rPr>
            </w:pPr>
            <w:r>
              <w:rPr>
                <w:rFonts w:hint="eastAsia" w:cs="宋体" w:asciiTheme="majorEastAsia" w:hAnsiTheme="majorEastAsia" w:eastAsiaTheme="majorEastAsia"/>
                <w:color w:val="auto"/>
                <w:spacing w:val="-12"/>
                <w:kern w:val="0"/>
                <w:sz w:val="18"/>
                <w:szCs w:val="18"/>
                <w:highlight w:val="none"/>
              </w:rPr>
              <w:t>软件和信息技术服</w:t>
            </w:r>
            <w:r>
              <w:rPr>
                <w:rFonts w:hint="eastAsia" w:cs="宋体" w:asciiTheme="majorEastAsia" w:hAnsiTheme="majorEastAsia" w:eastAsiaTheme="majorEastAsia"/>
                <w:color w:val="auto"/>
                <w:kern w:val="0"/>
                <w:sz w:val="18"/>
                <w:szCs w:val="18"/>
                <w:highlight w:val="none"/>
              </w:rPr>
              <w:t>务业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X≥300</w:t>
            </w:r>
          </w:p>
        </w:tc>
        <w:tc>
          <w:tcPr>
            <w:tcW w:w="1701" w:type="dxa"/>
            <w:noWrap/>
            <w:vAlign w:val="center"/>
          </w:tcPr>
          <w:p>
            <w:pPr>
              <w:widowControl/>
              <w:ind w:left="1" w:leftChars="-51" w:hanging="108" w:hangingChars="60"/>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100≤X＜300 </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10≤X＜100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2" w:type="dxa"/>
            <w:vMerge w:val="continue"/>
            <w:noWrap/>
            <w:vAlign w:val="center"/>
          </w:tcPr>
          <w:p>
            <w:pPr>
              <w:widowControl/>
              <w:jc w:val="left"/>
              <w:rPr>
                <w:rFonts w:cs="宋体" w:asciiTheme="majorEastAsia" w:hAnsiTheme="majorEastAsia" w:eastAsiaTheme="majorEastAsia"/>
                <w:color w:val="auto"/>
                <w:spacing w:val="-12"/>
                <w:kern w:val="0"/>
                <w:sz w:val="18"/>
                <w:szCs w:val="18"/>
                <w:highlight w:val="none"/>
              </w:rPr>
            </w:pP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1000≤Y＜10000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50≤Y＜1000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房地产开发经营</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Y≥200000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1000≤Y＜200000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100≤Y＜1000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资产总额(Z)</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Z≥10000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5000≤Z＜10000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2000≤Z＜5000   </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物业管理</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300≤X＜1000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100≤X＜300 </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营业收入(Y)</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Y≥5000</w:t>
            </w:r>
          </w:p>
        </w:tc>
        <w:tc>
          <w:tcPr>
            <w:tcW w:w="1701" w:type="dxa"/>
            <w:noWrap/>
            <w:vAlign w:val="center"/>
          </w:tcPr>
          <w:p>
            <w:pPr>
              <w:widowControl/>
              <w:ind w:left="1" w:leftChars="-51" w:hanging="108" w:hangingChars="60"/>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1000≤Y＜5000 </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500≤Y＜1000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2" w:type="dxa"/>
            <w:vMerge w:val="restart"/>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租赁和商务服务业</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X≥300</w:t>
            </w:r>
          </w:p>
        </w:tc>
        <w:tc>
          <w:tcPr>
            <w:tcW w:w="1701" w:type="dxa"/>
            <w:noWrap/>
            <w:vAlign w:val="center"/>
          </w:tcPr>
          <w:p>
            <w:pPr>
              <w:widowControl/>
              <w:ind w:left="1" w:leftChars="-51" w:hanging="108" w:hangingChars="60"/>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100≤X＜300 </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10≤X＜100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782" w:type="dxa"/>
            <w:vMerge w:val="continue"/>
            <w:noWrap/>
            <w:vAlign w:val="center"/>
          </w:tcPr>
          <w:p>
            <w:pPr>
              <w:widowControl/>
              <w:jc w:val="left"/>
              <w:rPr>
                <w:rFonts w:cs="宋体" w:asciiTheme="majorEastAsia" w:hAnsiTheme="majorEastAsia" w:eastAsiaTheme="majorEastAsia"/>
                <w:color w:val="auto"/>
                <w:kern w:val="0"/>
                <w:sz w:val="18"/>
                <w:szCs w:val="18"/>
                <w:highlight w:val="none"/>
              </w:rPr>
            </w:pPr>
          </w:p>
        </w:tc>
        <w:tc>
          <w:tcPr>
            <w:tcW w:w="1369" w:type="dxa"/>
            <w:noWrap/>
            <w:vAlign w:val="center"/>
          </w:tcPr>
          <w:p>
            <w:pPr>
              <w:widowControl/>
              <w:spacing w:line="240" w:lineRule="exact"/>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资产总额(Z)</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万元</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Z≥120000</w:t>
            </w:r>
          </w:p>
        </w:tc>
        <w:tc>
          <w:tcPr>
            <w:tcW w:w="1701"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8000≤Z＜120000</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100≤Z＜8000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82" w:type="dxa"/>
            <w:noWrap/>
            <w:vAlign w:val="center"/>
          </w:tcPr>
          <w:p>
            <w:pPr>
              <w:widowControl/>
              <w:spacing w:line="240" w:lineRule="exact"/>
              <w:jc w:val="left"/>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其他未列明行业 *</w:t>
            </w:r>
          </w:p>
        </w:tc>
        <w:tc>
          <w:tcPr>
            <w:tcW w:w="136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从业人员(X)</w:t>
            </w:r>
          </w:p>
        </w:tc>
        <w:tc>
          <w:tcPr>
            <w:tcW w:w="709"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人</w:t>
            </w:r>
          </w:p>
        </w:tc>
        <w:tc>
          <w:tcPr>
            <w:tcW w:w="1125"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X≥300</w:t>
            </w:r>
          </w:p>
        </w:tc>
        <w:tc>
          <w:tcPr>
            <w:tcW w:w="1701" w:type="dxa"/>
            <w:noWrap/>
            <w:vAlign w:val="center"/>
          </w:tcPr>
          <w:p>
            <w:pPr>
              <w:widowControl/>
              <w:ind w:left="1" w:leftChars="-51" w:hanging="108" w:hangingChars="60"/>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100≤X＜300 </w:t>
            </w:r>
          </w:p>
        </w:tc>
        <w:tc>
          <w:tcPr>
            <w:tcW w:w="1426"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 xml:space="preserve"> 10≤X＜100</w:t>
            </w:r>
          </w:p>
        </w:tc>
        <w:tc>
          <w:tcPr>
            <w:tcW w:w="992" w:type="dxa"/>
            <w:noWrap/>
            <w:vAlign w:val="center"/>
          </w:tcPr>
          <w:p>
            <w:pPr>
              <w:widowControl/>
              <w:jc w:val="center"/>
              <w:rPr>
                <w:rFonts w:cs="宋体" w:asciiTheme="majorEastAsia" w:hAnsiTheme="majorEastAsia" w:eastAsiaTheme="majorEastAsia"/>
                <w:color w:val="auto"/>
                <w:kern w:val="0"/>
                <w:sz w:val="18"/>
                <w:szCs w:val="18"/>
                <w:highlight w:val="none"/>
              </w:rPr>
            </w:pPr>
            <w:r>
              <w:rPr>
                <w:rFonts w:hint="eastAsia" w:cs="宋体" w:asciiTheme="majorEastAsia" w:hAnsiTheme="majorEastAsia" w:eastAsiaTheme="majorEastAsia"/>
                <w:color w:val="auto"/>
                <w:kern w:val="0"/>
                <w:sz w:val="18"/>
                <w:szCs w:val="18"/>
                <w:highlight w:val="none"/>
              </w:rPr>
              <w:t>X＜10</w:t>
            </w:r>
          </w:p>
        </w:tc>
      </w:tr>
    </w:tbl>
    <w:p>
      <w:pPr>
        <w:pStyle w:val="79"/>
        <w:jc w:val="center"/>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68" w:name="_Toc256000091"/>
      <w:bookmarkStart w:id="369" w:name="_Toc6268"/>
    </w:p>
    <w:p>
      <w:pPr>
        <w:pStyle w:val="79"/>
        <w:jc w:val="center"/>
        <w:outlineLvl w:val="1"/>
        <w:rPr>
          <w:rFonts w:asciiTheme="majorEastAsia" w:hAnsiTheme="majorEastAsia" w:eastAsiaTheme="majorEastAsia"/>
          <w:color w:val="auto"/>
          <w:highlight w:val="none"/>
        </w:rPr>
      </w:pPr>
    </w:p>
    <w:p>
      <w:pPr>
        <w:pStyle w:val="79"/>
        <w:jc w:val="center"/>
        <w:outlineLvl w:val="1"/>
        <w:rPr>
          <w:rFonts w:asciiTheme="majorEastAsia" w:hAnsiTheme="majorEastAsia" w:eastAsiaTheme="majorEastAsia"/>
          <w:color w:val="auto"/>
          <w:highlight w:val="none"/>
        </w:rPr>
      </w:pPr>
    </w:p>
    <w:p>
      <w:pPr>
        <w:pStyle w:val="79"/>
        <w:jc w:val="center"/>
        <w:outlineLvl w:val="1"/>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五</w:t>
      </w:r>
      <w:r>
        <w:rPr>
          <w:rFonts w:asciiTheme="majorEastAsia" w:hAnsiTheme="majorEastAsia" w:eastAsiaTheme="majorEastAsia"/>
          <w:color w:val="auto"/>
          <w:highlight w:val="none"/>
        </w:rPr>
        <w:t>、供应商认为有必要提供的声明及文件资料</w:t>
      </w:r>
      <w:bookmarkEnd w:id="368"/>
      <w:bookmarkEnd w:id="369"/>
    </w:p>
    <w:p>
      <w:pPr>
        <w:pStyle w:val="80"/>
        <w:spacing w:line="276" w:lineRule="auto"/>
        <w:ind w:firstLine="480" w:firstLineChars="200"/>
        <w:rPr>
          <w:rFonts w:asciiTheme="majorEastAsia" w:hAnsiTheme="majorEastAsia" w:eastAsiaTheme="majorEastAsia"/>
          <w:color w:val="auto"/>
          <w:kern w:val="0"/>
          <w:sz w:val="24"/>
          <w:highlight w:val="none"/>
        </w:rPr>
      </w:pPr>
    </w:p>
    <w:p>
      <w:pPr>
        <w:pStyle w:val="80"/>
        <w:spacing w:line="276" w:lineRule="auto"/>
        <w:ind w:firstLine="480" w:firstLineChars="200"/>
        <w:jc w:val="center"/>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供应商自觉抵制政府采购领域商业贿赂行为承诺书；</w:t>
      </w:r>
    </w:p>
    <w:p>
      <w:pPr>
        <w:pStyle w:val="83"/>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70" w:name="_Toc6969"/>
      <w:bookmarkStart w:id="371" w:name="_Toc256000093"/>
      <w:r>
        <w:rPr>
          <w:rFonts w:hint="eastAsia" w:asciiTheme="majorEastAsia" w:hAnsiTheme="majorEastAsia" w:eastAsiaTheme="majorEastAsia"/>
          <w:color w:val="auto"/>
          <w:highlight w:val="none"/>
        </w:rPr>
        <w:t>六</w:t>
      </w:r>
      <w:r>
        <w:rPr>
          <w:rFonts w:asciiTheme="majorEastAsia" w:hAnsiTheme="majorEastAsia" w:eastAsiaTheme="majorEastAsia"/>
          <w:color w:val="auto"/>
          <w:highlight w:val="none"/>
        </w:rPr>
        <w:t>、</w:t>
      </w:r>
      <w:r>
        <w:rPr>
          <w:rFonts w:hint="eastAsia" w:asciiTheme="majorEastAsia" w:hAnsiTheme="majorEastAsia" w:eastAsiaTheme="majorEastAsia"/>
          <w:color w:val="auto"/>
          <w:highlight w:val="none"/>
          <w:lang w:val="zh-TW" w:eastAsia="zh-TW"/>
        </w:rPr>
        <w:t>★</w:t>
      </w:r>
      <w:r>
        <w:rPr>
          <w:rFonts w:asciiTheme="majorEastAsia" w:hAnsiTheme="majorEastAsia" w:eastAsiaTheme="majorEastAsia"/>
          <w:color w:val="auto"/>
          <w:highlight w:val="none"/>
        </w:rPr>
        <w:t>《中华人民共和国政府采购法》第二十二条应当具备的条件；</w:t>
      </w:r>
      <w:bookmarkEnd w:id="370"/>
      <w:bookmarkEnd w:id="371"/>
    </w:p>
    <w:p>
      <w:pPr>
        <w:pStyle w:val="84"/>
        <w:spacing w:line="360" w:lineRule="auto"/>
        <w:outlineLvl w:val="2"/>
        <w:rPr>
          <w:rFonts w:asciiTheme="majorEastAsia" w:hAnsiTheme="majorEastAsia" w:eastAsiaTheme="majorEastAsia"/>
          <w:b/>
          <w:color w:val="auto"/>
          <w:sz w:val="24"/>
          <w:szCs w:val="24"/>
          <w:highlight w:val="none"/>
        </w:rPr>
      </w:pPr>
      <w:bookmarkStart w:id="372" w:name="_Toc12213"/>
      <w:r>
        <w:rPr>
          <w:rFonts w:hint="eastAsia" w:asciiTheme="majorEastAsia" w:hAnsiTheme="majorEastAsia" w:eastAsiaTheme="majorEastAsia"/>
          <w:b/>
          <w:color w:val="auto"/>
          <w:sz w:val="24"/>
          <w:szCs w:val="24"/>
          <w:highlight w:val="none"/>
        </w:rPr>
        <w:t>（1）具有独立承担民事责任的能力证明材料</w:t>
      </w:r>
      <w:bookmarkEnd w:id="372"/>
    </w:p>
    <w:p>
      <w:pPr>
        <w:pStyle w:val="85"/>
        <w:adjustRightInd w:val="0"/>
        <w:snapToGrid w:val="0"/>
        <w:spacing w:line="360" w:lineRule="auto"/>
        <w:ind w:firstLine="360" w:firstLineChars="15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供应商是企业（包括合伙企业）的，应提供其在工商部门注册的有效“企业法人营业执照”或“营业执照”的复印件；</w:t>
      </w:r>
    </w:p>
    <w:p>
      <w:pPr>
        <w:pStyle w:val="85"/>
        <w:adjustRightInd w:val="0"/>
        <w:snapToGrid w:val="0"/>
        <w:spacing w:line="360" w:lineRule="auto"/>
        <w:ind w:firstLine="360" w:firstLineChars="15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供应商是事业单位的，应提供其有效的“事业单位法人证书”复印件；</w:t>
      </w:r>
    </w:p>
    <w:p>
      <w:pPr>
        <w:pStyle w:val="85"/>
        <w:adjustRightInd w:val="0"/>
        <w:snapToGrid w:val="0"/>
        <w:spacing w:line="360" w:lineRule="auto"/>
        <w:ind w:firstLine="360" w:firstLineChars="15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供应商是非企业专业服务机构的，应提供其有效的执业许可证复印件；</w:t>
      </w:r>
    </w:p>
    <w:p>
      <w:pPr>
        <w:pStyle w:val="85"/>
        <w:adjustRightInd w:val="0"/>
        <w:snapToGrid w:val="0"/>
        <w:spacing w:line="360" w:lineRule="auto"/>
        <w:ind w:firstLine="360" w:firstLineChars="15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供应商是个体工商户的，应提供其有效的“个体工商户营业执照”复印件；</w:t>
      </w:r>
    </w:p>
    <w:p>
      <w:pPr>
        <w:pStyle w:val="85"/>
        <w:adjustRightInd w:val="0"/>
        <w:snapToGrid w:val="0"/>
        <w:spacing w:line="360" w:lineRule="auto"/>
        <w:ind w:firstLine="360" w:firstLineChars="15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供应商是自然人的，应提供其有效的自然人身份证明；</w:t>
      </w:r>
    </w:p>
    <w:p>
      <w:pPr>
        <w:pStyle w:val="53"/>
        <w:spacing w:line="400" w:lineRule="exact"/>
        <w:outlineLvl w:val="2"/>
        <w:rPr>
          <w:rFonts w:asciiTheme="majorEastAsia" w:hAnsiTheme="majorEastAsia" w:eastAsiaTheme="majorEastAsia"/>
          <w:b/>
          <w:bCs/>
          <w:color w:val="auto"/>
          <w:kern w:val="2"/>
          <w:sz w:val="24"/>
          <w:szCs w:val="22"/>
          <w:highlight w:val="none"/>
        </w:rPr>
      </w:pPr>
    </w:p>
    <w:p>
      <w:pPr>
        <w:pStyle w:val="53"/>
        <w:spacing w:line="400" w:lineRule="exact"/>
        <w:outlineLvl w:val="2"/>
        <w:rPr>
          <w:rFonts w:asciiTheme="majorEastAsia" w:hAnsiTheme="majorEastAsia" w:eastAsiaTheme="majorEastAsia"/>
          <w:b/>
          <w:bCs/>
          <w:color w:val="auto"/>
          <w:kern w:val="2"/>
          <w:sz w:val="24"/>
          <w:szCs w:val="22"/>
          <w:highlight w:val="none"/>
        </w:rPr>
      </w:pPr>
    </w:p>
    <w:p>
      <w:pPr>
        <w:pStyle w:val="53"/>
        <w:spacing w:line="400" w:lineRule="exact"/>
        <w:outlineLvl w:val="2"/>
        <w:rPr>
          <w:rFonts w:ascii="宋体" w:hAnsi="宋体" w:cs="宋体"/>
          <w:b/>
          <w:bCs/>
          <w:color w:val="auto"/>
          <w:sz w:val="24"/>
          <w:szCs w:val="24"/>
          <w:highlight w:val="none"/>
        </w:rPr>
      </w:pPr>
      <w:r>
        <w:rPr>
          <w:rFonts w:hint="eastAsia" w:asciiTheme="majorEastAsia" w:hAnsiTheme="majorEastAsia" w:eastAsiaTheme="majorEastAsia"/>
          <w:b/>
          <w:bCs/>
          <w:color w:val="auto"/>
          <w:kern w:val="2"/>
          <w:sz w:val="24"/>
          <w:szCs w:val="22"/>
          <w:highlight w:val="none"/>
        </w:rPr>
        <w:t>（2）</w:t>
      </w:r>
      <w:r>
        <w:rPr>
          <w:rFonts w:ascii="宋体" w:hAnsi="宋体" w:cs="宋体"/>
          <w:b/>
          <w:bCs/>
          <w:color w:val="auto"/>
          <w:sz w:val="24"/>
          <w:szCs w:val="24"/>
          <w:highlight w:val="none"/>
        </w:rPr>
        <w:t>具有良好的商业信誉和健全的财务会计制度</w:t>
      </w:r>
      <w:r>
        <w:rPr>
          <w:rFonts w:hint="eastAsia" w:ascii="宋体" w:hAnsi="宋体" w:cs="宋体"/>
          <w:b/>
          <w:bCs/>
          <w:color w:val="auto"/>
          <w:sz w:val="24"/>
          <w:szCs w:val="24"/>
          <w:highlight w:val="none"/>
        </w:rPr>
        <w:t>证明材料</w:t>
      </w:r>
      <w:r>
        <w:rPr>
          <w:rFonts w:ascii="宋体" w:hAnsi="宋体" w:cs="宋体"/>
          <w:b/>
          <w:bCs/>
          <w:color w:val="auto"/>
          <w:sz w:val="24"/>
          <w:szCs w:val="24"/>
          <w:highlight w:val="none"/>
        </w:rPr>
        <w:t>（注：财务报表需加盖本单位公章，资信证明需加盖出具机关印章，资信证明内容须包含商业信誉良好的相关内容）</w:t>
      </w:r>
      <w:r>
        <w:rPr>
          <w:rFonts w:hint="eastAsia" w:ascii="宋体" w:hAnsi="宋体" w:cs="宋体"/>
          <w:b/>
          <w:bCs/>
          <w:color w:val="auto"/>
          <w:sz w:val="24"/>
          <w:szCs w:val="24"/>
          <w:highlight w:val="none"/>
        </w:rPr>
        <w:t>；</w:t>
      </w:r>
    </w:p>
    <w:p>
      <w:pPr>
        <w:pStyle w:val="53"/>
        <w:spacing w:line="400" w:lineRule="exact"/>
        <w:outlineLvl w:val="2"/>
        <w:rPr>
          <w:rFonts w:ascii="宋体" w:hAnsi="宋体" w:cs="宋体"/>
          <w:color w:val="auto"/>
          <w:sz w:val="24"/>
          <w:szCs w:val="24"/>
          <w:highlight w:val="none"/>
        </w:rPr>
      </w:pPr>
      <w:r>
        <w:rPr>
          <w:rFonts w:hint="eastAsia" w:ascii="宋体" w:hAnsi="宋体" w:cs="宋体"/>
          <w:b/>
          <w:bCs/>
          <w:color w:val="auto"/>
          <w:sz w:val="24"/>
          <w:szCs w:val="24"/>
          <w:highlight w:val="none"/>
        </w:rPr>
        <w:t xml:space="preserve">    </w:t>
      </w:r>
      <w:r>
        <w:rPr>
          <w:rFonts w:hint="eastAsia" w:ascii="宋体" w:hAnsi="宋体" w:cs="宋体"/>
          <w:color w:val="auto"/>
          <w:sz w:val="24"/>
          <w:szCs w:val="24"/>
          <w:highlight w:val="none"/>
        </w:rPr>
        <w:t>1)</w:t>
      </w:r>
      <w:r>
        <w:rPr>
          <w:rFonts w:ascii="宋体" w:hAnsi="宋体" w:cs="宋体"/>
          <w:color w:val="auto"/>
          <w:sz w:val="24"/>
          <w:szCs w:val="24"/>
          <w:highlight w:val="none"/>
        </w:rPr>
        <w:t>供应商是法人组织的应提供经审计的上一年度完整的财务报告。</w:t>
      </w:r>
    </w:p>
    <w:p>
      <w:pPr>
        <w:pStyle w:val="53"/>
        <w:spacing w:line="400" w:lineRule="exact"/>
        <w:outlineLvl w:val="2"/>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ascii="宋体" w:hAnsi="宋体" w:cs="宋体"/>
          <w:color w:val="auto"/>
          <w:sz w:val="24"/>
          <w:szCs w:val="24"/>
          <w:highlight w:val="none"/>
        </w:rPr>
        <w:t>（完整的财务审计报告须包含资产负债表、现金流量表、利润表、财务报表附注等内容。并加盖有第三方审计公司的印章。若审计报告内容不完整、提供的财务审计报告未加盖第三方审计公司印章、印章不能清晰可见的均视为无效材料。）</w:t>
      </w:r>
    </w:p>
    <w:p>
      <w:pPr>
        <w:pStyle w:val="53"/>
        <w:spacing w:line="400" w:lineRule="exact"/>
        <w:outlineLvl w:val="2"/>
        <w:rPr>
          <w:rFonts w:ascii="宋体" w:hAnsi="宋体" w:cs="宋体"/>
          <w:color w:val="auto"/>
          <w:sz w:val="24"/>
          <w:szCs w:val="24"/>
          <w:highlight w:val="none"/>
        </w:rPr>
      </w:pPr>
      <w:r>
        <w:rPr>
          <w:rFonts w:hint="eastAsia" w:ascii="宋体" w:hAnsi="宋体" w:cs="宋体"/>
          <w:color w:val="auto"/>
          <w:sz w:val="24"/>
          <w:szCs w:val="24"/>
          <w:highlight w:val="none"/>
        </w:rPr>
        <w:t xml:space="preserve">    2)</w:t>
      </w:r>
      <w:r>
        <w:rPr>
          <w:rFonts w:ascii="宋体" w:hAnsi="宋体" w:cs="宋体"/>
          <w:color w:val="auto"/>
          <w:sz w:val="24"/>
          <w:szCs w:val="24"/>
          <w:highlight w:val="none"/>
        </w:rPr>
        <w:t>供应商是法人组织的，且成立不足一年的提供截止开标前近3个月的财务报表和其截止开标前1个月银行出具的资信证明。</w:t>
      </w:r>
    </w:p>
    <w:p>
      <w:pPr>
        <w:pStyle w:val="53"/>
        <w:spacing w:line="400" w:lineRule="exact"/>
        <w:outlineLvl w:val="2"/>
        <w:rPr>
          <w:rFonts w:asciiTheme="majorEastAsia" w:hAnsiTheme="majorEastAsia" w:eastAsiaTheme="majorEastAsia"/>
          <w:b/>
          <w:bCs/>
          <w:color w:val="auto"/>
          <w:kern w:val="2"/>
          <w:sz w:val="24"/>
          <w:szCs w:val="22"/>
          <w:highlight w:val="none"/>
        </w:rPr>
      </w:pPr>
      <w:r>
        <w:rPr>
          <w:rFonts w:hint="eastAsia" w:ascii="宋体" w:hAnsi="宋体" w:cs="宋体"/>
          <w:color w:val="auto"/>
          <w:sz w:val="24"/>
          <w:szCs w:val="24"/>
          <w:highlight w:val="none"/>
        </w:rPr>
        <w:t xml:space="preserve">    3)</w:t>
      </w:r>
      <w:r>
        <w:rPr>
          <w:rFonts w:ascii="宋体" w:hAnsi="宋体" w:cs="宋体"/>
          <w:color w:val="auto"/>
          <w:sz w:val="24"/>
          <w:szCs w:val="24"/>
          <w:highlight w:val="none"/>
        </w:rPr>
        <w:t>其他组织、事业单位或自然人，没有经审计的财务报告，应当提供投标截止时间前一个月银行出具的资信证明。</w:t>
      </w:r>
    </w:p>
    <w:p>
      <w:pPr>
        <w:pStyle w:val="84"/>
        <w:spacing w:line="360" w:lineRule="auto"/>
        <w:rPr>
          <w:rFonts w:asciiTheme="majorEastAsia" w:hAnsiTheme="majorEastAsia" w:eastAsiaTheme="majorEastAsia"/>
          <w:color w:val="auto"/>
          <w:sz w:val="24"/>
          <w:szCs w:val="24"/>
          <w:highlight w:val="none"/>
        </w:rPr>
      </w:pPr>
    </w:p>
    <w:p>
      <w:pPr>
        <w:pStyle w:val="84"/>
        <w:spacing w:line="360" w:lineRule="auto"/>
        <w:rPr>
          <w:rFonts w:asciiTheme="majorEastAsia" w:hAnsiTheme="majorEastAsia" w:eastAsiaTheme="majorEastAsia"/>
          <w:color w:val="auto"/>
          <w:sz w:val="24"/>
          <w:szCs w:val="24"/>
          <w:highlight w:val="none"/>
        </w:rPr>
      </w:pPr>
    </w:p>
    <w:p>
      <w:pPr>
        <w:pStyle w:val="84"/>
        <w:spacing w:line="360" w:lineRule="auto"/>
        <w:outlineLvl w:val="2"/>
        <w:rPr>
          <w:rFonts w:asciiTheme="majorEastAsia" w:hAnsiTheme="majorEastAsia" w:eastAsiaTheme="majorEastAsia"/>
          <w:b/>
          <w:color w:val="auto"/>
          <w:sz w:val="24"/>
          <w:szCs w:val="24"/>
          <w:highlight w:val="none"/>
        </w:rPr>
      </w:pPr>
      <w:bookmarkStart w:id="373" w:name="_Toc21393"/>
      <w:r>
        <w:rPr>
          <w:rFonts w:hint="eastAsia" w:asciiTheme="majorEastAsia" w:hAnsiTheme="majorEastAsia" w:eastAsiaTheme="majorEastAsia"/>
          <w:b/>
          <w:color w:val="auto"/>
          <w:sz w:val="24"/>
          <w:szCs w:val="24"/>
          <w:highlight w:val="none"/>
        </w:rPr>
        <w:t>（3）</w:t>
      </w:r>
      <w:r>
        <w:rPr>
          <w:rFonts w:asciiTheme="majorEastAsia" w:hAnsiTheme="majorEastAsia" w:eastAsiaTheme="majorEastAsia"/>
          <w:b/>
          <w:color w:val="auto"/>
          <w:sz w:val="24"/>
          <w:szCs w:val="24"/>
          <w:highlight w:val="none"/>
        </w:rPr>
        <w:t>具有履行合同所必需的设备和专业技术能力承诺书</w:t>
      </w:r>
      <w:bookmarkEnd w:id="373"/>
    </w:p>
    <w:p>
      <w:pPr>
        <w:pStyle w:val="53"/>
        <w:spacing w:line="360" w:lineRule="auto"/>
        <w:outlineLvl w:val="3"/>
        <w:rPr>
          <w:rFonts w:asciiTheme="majorEastAsia" w:hAnsiTheme="majorEastAsia" w:eastAsiaTheme="majorEastAsia"/>
          <w:color w:val="auto"/>
          <w:kern w:val="2"/>
          <w:sz w:val="24"/>
          <w:szCs w:val="22"/>
          <w:highlight w:val="none"/>
        </w:rPr>
      </w:pPr>
      <w:r>
        <w:rPr>
          <w:rFonts w:hint="eastAsia" w:asciiTheme="majorEastAsia" w:hAnsiTheme="majorEastAsia" w:eastAsiaTheme="majorEastAsia"/>
          <w:color w:val="auto"/>
          <w:kern w:val="2"/>
          <w:sz w:val="24"/>
          <w:szCs w:val="22"/>
          <w:highlight w:val="none"/>
        </w:rPr>
        <w:t>（</w:t>
      </w:r>
      <w:r>
        <w:rPr>
          <w:rFonts w:asciiTheme="majorEastAsia" w:hAnsiTheme="majorEastAsia" w:eastAsiaTheme="majorEastAsia"/>
          <w:color w:val="auto"/>
          <w:kern w:val="2"/>
          <w:sz w:val="24"/>
          <w:szCs w:val="22"/>
          <w:highlight w:val="none"/>
        </w:rPr>
        <w:t>提供具有履行合同所必需的设备和专业技术能力相关证明材料或声明；</w:t>
      </w:r>
      <w:r>
        <w:rPr>
          <w:rFonts w:hint="eastAsia" w:asciiTheme="majorEastAsia" w:hAnsiTheme="majorEastAsia" w:eastAsiaTheme="majorEastAsia"/>
          <w:color w:val="auto"/>
          <w:kern w:val="2"/>
          <w:sz w:val="24"/>
          <w:szCs w:val="22"/>
          <w:highlight w:val="none"/>
        </w:rPr>
        <w:t>）</w:t>
      </w:r>
    </w:p>
    <w:p>
      <w:pPr>
        <w:pStyle w:val="84"/>
        <w:spacing w:line="360" w:lineRule="auto"/>
        <w:rPr>
          <w:rFonts w:asciiTheme="majorEastAsia" w:hAnsiTheme="majorEastAsia" w:eastAsiaTheme="majorEastAsia"/>
          <w:color w:val="auto"/>
          <w:sz w:val="24"/>
          <w:szCs w:val="24"/>
          <w:highlight w:val="none"/>
        </w:rPr>
      </w:pPr>
    </w:p>
    <w:p>
      <w:pPr>
        <w:pStyle w:val="84"/>
        <w:spacing w:line="360" w:lineRule="auto"/>
        <w:rPr>
          <w:rFonts w:asciiTheme="majorEastAsia" w:hAnsiTheme="majorEastAsia" w:eastAsiaTheme="majorEastAsia"/>
          <w:color w:val="auto"/>
          <w:sz w:val="24"/>
          <w:szCs w:val="24"/>
          <w:highlight w:val="none"/>
        </w:rPr>
      </w:pPr>
    </w:p>
    <w:p>
      <w:pPr>
        <w:pStyle w:val="84"/>
        <w:spacing w:line="360" w:lineRule="auto"/>
        <w:outlineLvl w:val="2"/>
        <w:rPr>
          <w:rFonts w:asciiTheme="majorEastAsia" w:hAnsiTheme="majorEastAsia" w:eastAsiaTheme="majorEastAsia"/>
          <w:b/>
          <w:color w:val="auto"/>
          <w:sz w:val="24"/>
          <w:szCs w:val="24"/>
          <w:highlight w:val="none"/>
        </w:rPr>
      </w:pPr>
      <w:bookmarkStart w:id="374" w:name="_Toc11050"/>
      <w:r>
        <w:rPr>
          <w:rFonts w:hint="eastAsia" w:asciiTheme="majorEastAsia" w:hAnsiTheme="majorEastAsia" w:eastAsiaTheme="majorEastAsia"/>
          <w:b/>
          <w:color w:val="auto"/>
          <w:sz w:val="24"/>
          <w:szCs w:val="24"/>
          <w:highlight w:val="none"/>
        </w:rPr>
        <w:t>（4）</w:t>
      </w:r>
      <w:r>
        <w:rPr>
          <w:rFonts w:asciiTheme="majorEastAsia" w:hAnsiTheme="majorEastAsia" w:eastAsiaTheme="majorEastAsia"/>
          <w:b/>
          <w:color w:val="auto"/>
          <w:sz w:val="24"/>
          <w:szCs w:val="24"/>
          <w:highlight w:val="none"/>
        </w:rPr>
        <w:t>有依法缴纳税收和社会保障资金的良好记录证明材料</w:t>
      </w:r>
      <w:bookmarkEnd w:id="374"/>
    </w:p>
    <w:p>
      <w:pPr>
        <w:pStyle w:val="53"/>
        <w:spacing w:line="400" w:lineRule="exact"/>
        <w:ind w:firstLine="480" w:firstLineChars="200"/>
        <w:outlineLvl w:val="3"/>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1、提供截止开标前近半年内任意</w:t>
      </w:r>
      <w:r>
        <w:rPr>
          <w:rFonts w:hint="eastAsia" w:cs="宋体" w:asciiTheme="majorEastAsia" w:hAnsiTheme="majorEastAsia" w:eastAsiaTheme="majorEastAsia"/>
          <w:color w:val="auto"/>
          <w:kern w:val="2"/>
          <w:sz w:val="24"/>
          <w:szCs w:val="24"/>
          <w:highlight w:val="none"/>
        </w:rPr>
        <w:t>三</w:t>
      </w:r>
      <w:r>
        <w:rPr>
          <w:rFonts w:cs="宋体" w:asciiTheme="majorEastAsia" w:hAnsiTheme="majorEastAsia" w:eastAsiaTheme="majorEastAsia"/>
          <w:color w:val="auto"/>
          <w:kern w:val="2"/>
          <w:sz w:val="24"/>
          <w:szCs w:val="24"/>
          <w:highlight w:val="none"/>
        </w:rPr>
        <w:t>个月</w:t>
      </w:r>
      <w:r>
        <w:rPr>
          <w:rFonts w:hint="eastAsia" w:asciiTheme="majorEastAsia" w:hAnsiTheme="majorEastAsia" w:eastAsiaTheme="majorEastAsia"/>
          <w:color w:val="auto"/>
          <w:kern w:val="2"/>
          <w:sz w:val="24"/>
          <w:szCs w:val="24"/>
          <w:highlight w:val="none"/>
        </w:rPr>
        <w:t>税收缴纳完成的证明资料。</w:t>
      </w:r>
    </w:p>
    <w:p>
      <w:pPr>
        <w:pStyle w:val="53"/>
        <w:spacing w:line="400" w:lineRule="exact"/>
        <w:ind w:firstLine="480" w:firstLineChars="200"/>
        <w:outlineLvl w:val="2"/>
        <w:rPr>
          <w:rFonts w:asciiTheme="majorEastAsia" w:hAnsiTheme="majorEastAsia" w:eastAsiaTheme="majorEastAsia"/>
          <w:color w:val="auto"/>
          <w:kern w:val="2"/>
          <w:sz w:val="24"/>
          <w:szCs w:val="24"/>
          <w:highlight w:val="none"/>
        </w:rPr>
      </w:pPr>
      <w:bookmarkStart w:id="375" w:name="_Toc3732"/>
      <w:r>
        <w:rPr>
          <w:rFonts w:hint="eastAsia" w:asciiTheme="majorEastAsia" w:hAnsiTheme="majorEastAsia" w:eastAsiaTheme="majorEastAsia"/>
          <w:color w:val="auto"/>
          <w:kern w:val="2"/>
          <w:sz w:val="24"/>
          <w:szCs w:val="24"/>
          <w:highlight w:val="none"/>
        </w:rPr>
        <w:t>提供截止开标前近半年内任意</w:t>
      </w:r>
      <w:r>
        <w:rPr>
          <w:rFonts w:hint="eastAsia" w:cs="宋体" w:asciiTheme="majorEastAsia" w:hAnsiTheme="majorEastAsia" w:eastAsiaTheme="majorEastAsia"/>
          <w:color w:val="auto"/>
          <w:kern w:val="2"/>
          <w:sz w:val="24"/>
          <w:szCs w:val="24"/>
          <w:highlight w:val="none"/>
        </w:rPr>
        <w:t>三</w:t>
      </w:r>
      <w:r>
        <w:rPr>
          <w:rFonts w:cs="宋体" w:asciiTheme="majorEastAsia" w:hAnsiTheme="majorEastAsia" w:eastAsiaTheme="majorEastAsia"/>
          <w:color w:val="auto"/>
          <w:kern w:val="2"/>
          <w:sz w:val="24"/>
          <w:szCs w:val="24"/>
          <w:highlight w:val="none"/>
        </w:rPr>
        <w:t>个月</w:t>
      </w:r>
      <w:r>
        <w:rPr>
          <w:rFonts w:hint="eastAsia" w:asciiTheme="majorEastAsia" w:hAnsiTheme="majorEastAsia" w:eastAsiaTheme="majorEastAsia"/>
          <w:color w:val="auto"/>
          <w:kern w:val="2"/>
          <w:sz w:val="24"/>
          <w:szCs w:val="24"/>
          <w:highlight w:val="none"/>
        </w:rPr>
        <w:t>（以税款所属期为准）税收部门出具的完成税收缴纳证明。申报表、征集单、银行的缴纳回执单等不予认可。其它无需纳税或免税的必须提供出具部门相关证明。</w:t>
      </w:r>
      <w:bookmarkEnd w:id="375"/>
    </w:p>
    <w:p>
      <w:pPr>
        <w:pStyle w:val="53"/>
        <w:spacing w:line="400" w:lineRule="exact"/>
        <w:ind w:firstLine="480" w:firstLineChars="200"/>
        <w:outlineLvl w:val="3"/>
        <w:rPr>
          <w:rFonts w:asciiTheme="majorEastAsia" w:hAnsiTheme="majorEastAsia" w:eastAsiaTheme="majorEastAsia"/>
          <w:color w:val="auto"/>
          <w:kern w:val="2"/>
          <w:sz w:val="24"/>
          <w:szCs w:val="24"/>
          <w:highlight w:val="none"/>
        </w:rPr>
      </w:pPr>
      <w:r>
        <w:rPr>
          <w:rFonts w:hint="eastAsia" w:asciiTheme="majorEastAsia" w:hAnsiTheme="majorEastAsia" w:eastAsiaTheme="majorEastAsia"/>
          <w:color w:val="auto"/>
          <w:kern w:val="2"/>
          <w:sz w:val="24"/>
          <w:szCs w:val="24"/>
          <w:highlight w:val="none"/>
        </w:rPr>
        <w:t>2、提供截止开标前近半年内任意</w:t>
      </w:r>
      <w:r>
        <w:rPr>
          <w:rFonts w:hint="eastAsia" w:cs="宋体" w:asciiTheme="majorEastAsia" w:hAnsiTheme="majorEastAsia" w:eastAsiaTheme="majorEastAsia"/>
          <w:color w:val="auto"/>
          <w:kern w:val="2"/>
          <w:sz w:val="24"/>
          <w:szCs w:val="24"/>
          <w:highlight w:val="none"/>
        </w:rPr>
        <w:t>三</w:t>
      </w:r>
      <w:r>
        <w:rPr>
          <w:rFonts w:cs="宋体" w:asciiTheme="majorEastAsia" w:hAnsiTheme="majorEastAsia" w:eastAsiaTheme="majorEastAsia"/>
          <w:color w:val="auto"/>
          <w:kern w:val="2"/>
          <w:sz w:val="24"/>
          <w:szCs w:val="24"/>
          <w:highlight w:val="none"/>
        </w:rPr>
        <w:t>个月</w:t>
      </w:r>
      <w:r>
        <w:rPr>
          <w:rFonts w:hint="eastAsia" w:asciiTheme="majorEastAsia" w:hAnsiTheme="majorEastAsia" w:eastAsiaTheme="majorEastAsia"/>
          <w:color w:val="auto"/>
          <w:kern w:val="2"/>
          <w:sz w:val="24"/>
          <w:szCs w:val="24"/>
          <w:highlight w:val="none"/>
        </w:rPr>
        <w:t>税收部门或社保机构出具的完成社保缴纳证明。</w:t>
      </w:r>
    </w:p>
    <w:p>
      <w:pPr>
        <w:pStyle w:val="53"/>
        <w:spacing w:line="400" w:lineRule="exact"/>
        <w:ind w:firstLine="480" w:firstLineChars="200"/>
        <w:outlineLvl w:val="2"/>
        <w:rPr>
          <w:rFonts w:asciiTheme="majorEastAsia" w:hAnsiTheme="majorEastAsia" w:eastAsiaTheme="majorEastAsia"/>
          <w:color w:val="auto"/>
          <w:kern w:val="2"/>
          <w:sz w:val="24"/>
          <w:szCs w:val="24"/>
          <w:highlight w:val="none"/>
        </w:rPr>
      </w:pPr>
      <w:bookmarkStart w:id="376" w:name="_Toc1386"/>
      <w:r>
        <w:rPr>
          <w:rFonts w:hint="eastAsia" w:asciiTheme="majorEastAsia" w:hAnsiTheme="majorEastAsia" w:eastAsiaTheme="majorEastAsia"/>
          <w:color w:val="auto"/>
          <w:kern w:val="2"/>
          <w:sz w:val="24"/>
          <w:szCs w:val="24"/>
          <w:highlight w:val="none"/>
        </w:rPr>
        <w:t>提供截止开标前近半年内任意</w:t>
      </w:r>
      <w:r>
        <w:rPr>
          <w:rFonts w:hint="eastAsia" w:cs="宋体" w:asciiTheme="majorEastAsia" w:hAnsiTheme="majorEastAsia" w:eastAsiaTheme="majorEastAsia"/>
          <w:color w:val="auto"/>
          <w:kern w:val="2"/>
          <w:sz w:val="24"/>
          <w:szCs w:val="24"/>
          <w:highlight w:val="none"/>
        </w:rPr>
        <w:t>三</w:t>
      </w:r>
      <w:r>
        <w:rPr>
          <w:rFonts w:cs="宋体" w:asciiTheme="majorEastAsia" w:hAnsiTheme="majorEastAsia" w:eastAsiaTheme="majorEastAsia"/>
          <w:color w:val="auto"/>
          <w:kern w:val="2"/>
          <w:sz w:val="24"/>
          <w:szCs w:val="24"/>
          <w:highlight w:val="none"/>
        </w:rPr>
        <w:t>个月</w:t>
      </w:r>
      <w:r>
        <w:rPr>
          <w:rFonts w:hint="eastAsia" w:asciiTheme="majorEastAsia" w:hAnsiTheme="majorEastAsia" w:eastAsiaTheme="majorEastAsia"/>
          <w:color w:val="auto"/>
          <w:kern w:val="2"/>
          <w:sz w:val="24"/>
          <w:szCs w:val="24"/>
          <w:highlight w:val="none"/>
        </w:rPr>
        <w:t>（以费款所属期为准）税收部门或社保机构出具的完成社保缴纳证明。申报表、征集单、银行的缴纳回执单等不予认可。如委托其他机构代缴代扣，还需同时提供供应商与机构签署的服务合同或代缴协议，其中应明确写明第三方为供应商代缴其社会保险，否则不予认可。其它无需缴纳或免缴的也必须提供社保部门相关证明。</w:t>
      </w:r>
      <w:bookmarkEnd w:id="376"/>
    </w:p>
    <w:p>
      <w:pPr>
        <w:pStyle w:val="53"/>
        <w:spacing w:line="400" w:lineRule="exact"/>
        <w:ind w:firstLine="480" w:firstLineChars="200"/>
        <w:outlineLvl w:val="3"/>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kern w:val="2"/>
          <w:sz w:val="24"/>
          <w:szCs w:val="24"/>
          <w:highlight w:val="none"/>
        </w:rPr>
        <w:t>3、其他组织和自然人也需按上述要求提供依法缴纳税收和社会保障资金的证明材料。</w:t>
      </w:r>
    </w:p>
    <w:p>
      <w:pPr>
        <w:pStyle w:val="84"/>
        <w:spacing w:line="360" w:lineRule="auto"/>
        <w:ind w:firstLine="241" w:firstLineChars="100"/>
        <w:outlineLvl w:val="2"/>
        <w:rPr>
          <w:rFonts w:asciiTheme="majorEastAsia" w:hAnsiTheme="majorEastAsia" w:eastAsiaTheme="majorEastAsia"/>
          <w:b/>
          <w:color w:val="auto"/>
          <w:sz w:val="24"/>
          <w:szCs w:val="24"/>
          <w:highlight w:val="none"/>
        </w:rPr>
      </w:pPr>
      <w:bookmarkStart w:id="377" w:name="_Toc24221"/>
      <w:r>
        <w:rPr>
          <w:rFonts w:hint="eastAsia" w:asciiTheme="majorEastAsia" w:hAnsiTheme="majorEastAsia" w:eastAsiaTheme="majorEastAsia"/>
          <w:b/>
          <w:color w:val="auto"/>
          <w:sz w:val="24"/>
          <w:szCs w:val="24"/>
          <w:highlight w:val="none"/>
        </w:rPr>
        <w:t>（5）</w:t>
      </w:r>
      <w:r>
        <w:rPr>
          <w:rFonts w:asciiTheme="majorEastAsia" w:hAnsiTheme="majorEastAsia" w:eastAsiaTheme="majorEastAsia"/>
          <w:b/>
          <w:color w:val="auto"/>
          <w:sz w:val="24"/>
          <w:szCs w:val="24"/>
          <w:highlight w:val="none"/>
        </w:rPr>
        <w:t>参加政府采购活动前三年内，在经营活动中没有重大违法记录承诺书</w:t>
      </w:r>
      <w:bookmarkEnd w:id="377"/>
    </w:p>
    <w:p>
      <w:pPr>
        <w:pStyle w:val="87"/>
        <w:spacing w:line="360" w:lineRule="auto"/>
        <w:outlineLvl w:val="3"/>
        <w:rPr>
          <w:rFonts w:asciiTheme="majorEastAsia" w:hAnsiTheme="majorEastAsia" w:eastAsiaTheme="majorEastAsia"/>
          <w:b w:val="0"/>
          <w:color w:val="auto"/>
          <w:sz w:val="24"/>
          <w:highlight w:val="none"/>
        </w:rPr>
      </w:pPr>
      <w:bookmarkStart w:id="378" w:name="_Toc107521046"/>
      <w:bookmarkStart w:id="379" w:name="_Toc256000095"/>
      <w:bookmarkStart w:id="380" w:name="_Toc107369358"/>
      <w:r>
        <w:rPr>
          <w:rFonts w:hint="eastAsia" w:asciiTheme="majorEastAsia" w:hAnsiTheme="majorEastAsia" w:eastAsiaTheme="majorEastAsia"/>
          <w:b w:val="0"/>
          <w:color w:val="auto"/>
          <w:sz w:val="24"/>
          <w:highlight w:val="none"/>
        </w:rPr>
        <w:t>（</w:t>
      </w:r>
      <w:r>
        <w:rPr>
          <w:rFonts w:asciiTheme="majorEastAsia" w:hAnsiTheme="majorEastAsia" w:eastAsiaTheme="majorEastAsia"/>
          <w:b w:val="0"/>
          <w:color w:val="auto"/>
          <w:sz w:val="24"/>
          <w:highlight w:val="none"/>
        </w:rPr>
        <w:t>提供参加政府采购活动近三年无重大违法记录声明书；</w:t>
      </w:r>
      <w:r>
        <w:rPr>
          <w:rFonts w:hint="eastAsia" w:asciiTheme="majorEastAsia" w:hAnsiTheme="majorEastAsia" w:eastAsiaTheme="majorEastAsia"/>
          <w:b w:val="0"/>
          <w:color w:val="auto"/>
          <w:sz w:val="24"/>
          <w:highlight w:val="none"/>
        </w:rPr>
        <w:t>）</w:t>
      </w:r>
      <w:bookmarkEnd w:id="378"/>
      <w:bookmarkEnd w:id="379"/>
      <w:bookmarkEnd w:id="380"/>
    </w:p>
    <w:p>
      <w:pPr>
        <w:pStyle w:val="88"/>
        <w:spacing w:line="360" w:lineRule="auto"/>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注：近三年：成立三年以上的，为提交响应文件截止时间前三年内；成立不足三年的为实际时间。</w:t>
      </w:r>
    </w:p>
    <w:p>
      <w:pPr>
        <w:pStyle w:val="84"/>
        <w:spacing w:line="360" w:lineRule="auto"/>
        <w:ind w:firstLine="241" w:firstLineChars="100"/>
        <w:outlineLvl w:val="2"/>
        <w:rPr>
          <w:rFonts w:asciiTheme="majorEastAsia" w:hAnsiTheme="majorEastAsia" w:eastAsiaTheme="majorEastAsia"/>
          <w:b/>
          <w:color w:val="auto"/>
          <w:sz w:val="24"/>
          <w:szCs w:val="24"/>
          <w:highlight w:val="none"/>
        </w:rPr>
      </w:pPr>
      <w:bookmarkStart w:id="381" w:name="_Toc30482"/>
      <w:r>
        <w:rPr>
          <w:rFonts w:hint="eastAsia" w:asciiTheme="majorEastAsia" w:hAnsiTheme="majorEastAsia" w:eastAsiaTheme="majorEastAsia"/>
          <w:b/>
          <w:color w:val="auto"/>
          <w:sz w:val="24"/>
          <w:szCs w:val="24"/>
          <w:highlight w:val="none"/>
        </w:rPr>
        <w:t>（6）法律、行政法规规定的其他；</w:t>
      </w:r>
      <w:bookmarkEnd w:id="381"/>
    </w:p>
    <w:p>
      <w:pPr>
        <w:pStyle w:val="88"/>
        <w:spacing w:line="360" w:lineRule="auto"/>
        <w:rPr>
          <w:rFonts w:asciiTheme="majorEastAsia" w:hAnsiTheme="majorEastAsia" w:eastAsiaTheme="majorEastAsia"/>
          <w:color w:val="auto"/>
          <w:sz w:val="24"/>
          <w:szCs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ind w:firstLine="424" w:firstLineChars="177"/>
        <w:jc w:val="center"/>
        <w:rPr>
          <w:rFonts w:cs="宋体" w:asciiTheme="majorEastAsia" w:hAnsiTheme="majorEastAsia" w:eastAsiaTheme="majorEastAsia"/>
          <w:bCs/>
          <w:color w:val="auto"/>
          <w:sz w:val="24"/>
          <w:highlight w:val="none"/>
        </w:rPr>
      </w:pPr>
    </w:p>
    <w:p>
      <w:pPr>
        <w:pStyle w:val="90"/>
        <w:spacing w:line="360" w:lineRule="auto"/>
        <w:rPr>
          <w:rFonts w:cs="宋体" w:asciiTheme="majorEastAsia" w:hAnsiTheme="majorEastAsia" w:eastAsiaTheme="majorEastAsia"/>
          <w:bCs/>
          <w:color w:val="auto"/>
          <w:sz w:val="24"/>
          <w:highlight w:val="none"/>
        </w:rPr>
      </w:pPr>
    </w:p>
    <w:p>
      <w:pPr>
        <w:pStyle w:val="90"/>
        <w:spacing w:line="360" w:lineRule="auto"/>
        <w:jc w:val="center"/>
        <w:outlineLvl w:val="1"/>
        <w:rPr>
          <w:rFonts w:cs="宋体" w:asciiTheme="majorEastAsia" w:hAnsiTheme="majorEastAsia" w:eastAsiaTheme="majorEastAsia"/>
          <w:b/>
          <w:color w:val="auto"/>
          <w:sz w:val="30"/>
          <w:szCs w:val="30"/>
          <w:highlight w:val="none"/>
        </w:rPr>
      </w:pPr>
      <w:bookmarkStart w:id="382" w:name="_Toc9011"/>
      <w:r>
        <w:rPr>
          <w:rFonts w:hint="eastAsia" w:cs="宋体" w:asciiTheme="majorEastAsia" w:hAnsiTheme="majorEastAsia" w:eastAsiaTheme="majorEastAsia"/>
          <w:b/>
          <w:color w:val="auto"/>
          <w:sz w:val="30"/>
          <w:szCs w:val="30"/>
          <w:highlight w:val="none"/>
        </w:rPr>
        <w:t>七、★不参与围标串标承诺书</w:t>
      </w:r>
      <w:bookmarkEnd w:id="382"/>
    </w:p>
    <w:p>
      <w:pPr>
        <w:pStyle w:val="90"/>
        <w:spacing w:line="360" w:lineRule="auto"/>
        <w:ind w:firstLine="424" w:firstLineChars="177"/>
        <w:jc w:val="center"/>
        <w:rPr>
          <w:rFonts w:asciiTheme="majorEastAsia" w:hAnsiTheme="majorEastAsia" w:eastAsiaTheme="majorEastAsia"/>
          <w:color w:val="auto"/>
          <w:sz w:val="24"/>
          <w:highlight w:val="none"/>
        </w:rPr>
      </w:pPr>
    </w:p>
    <w:p>
      <w:pPr>
        <w:pStyle w:val="86"/>
        <w:widowControl/>
        <w:adjustRightInd w:val="0"/>
        <w:snapToGrid w:val="0"/>
        <w:spacing w:line="360" w:lineRule="auto"/>
        <w:ind w:firstLine="504" w:firstLineChars="200"/>
        <w:jc w:val="left"/>
        <w:rPr>
          <w:rFonts w:cs="宋体" w:asciiTheme="majorEastAsia" w:hAnsiTheme="majorEastAsia" w:eastAsiaTheme="majorEastAsia"/>
          <w:color w:val="auto"/>
          <w:spacing w:val="6"/>
          <w:kern w:val="0"/>
          <w:sz w:val="24"/>
          <w:szCs w:val="24"/>
          <w:highlight w:val="none"/>
        </w:rPr>
      </w:pPr>
      <w:r>
        <w:rPr>
          <w:rFonts w:hint="eastAsia" w:cs="宋体" w:asciiTheme="majorEastAsia" w:hAnsiTheme="majorEastAsia" w:eastAsiaTheme="majorEastAsia"/>
          <w:color w:val="auto"/>
          <w:spacing w:val="6"/>
          <w:kern w:val="0"/>
          <w:sz w:val="24"/>
          <w:szCs w:val="24"/>
          <w:highlight w:val="none"/>
        </w:rPr>
        <w:t>本人作为（单位名称）的法人，清楚知晓我公司本项目投标活动，对以下事项作出承诺：</w:t>
      </w:r>
    </w:p>
    <w:p>
      <w:pPr>
        <w:pStyle w:val="86"/>
        <w:widowControl/>
        <w:adjustRightInd w:val="0"/>
        <w:snapToGrid w:val="0"/>
        <w:spacing w:line="360" w:lineRule="auto"/>
        <w:ind w:firstLine="504" w:firstLineChars="200"/>
        <w:jc w:val="left"/>
        <w:rPr>
          <w:rFonts w:cs="宋体" w:asciiTheme="majorEastAsia" w:hAnsiTheme="majorEastAsia" w:eastAsiaTheme="majorEastAsia"/>
          <w:color w:val="auto"/>
          <w:spacing w:val="6"/>
          <w:kern w:val="0"/>
          <w:sz w:val="24"/>
          <w:szCs w:val="24"/>
          <w:highlight w:val="none"/>
        </w:rPr>
      </w:pPr>
      <w:r>
        <w:rPr>
          <w:rFonts w:hint="eastAsia" w:cs="宋体" w:asciiTheme="majorEastAsia" w:hAnsiTheme="majorEastAsia" w:eastAsiaTheme="majorEastAsia"/>
          <w:color w:val="auto"/>
          <w:spacing w:val="6"/>
          <w:kern w:val="0"/>
          <w:sz w:val="24"/>
          <w:szCs w:val="24"/>
          <w:highlight w:val="none"/>
        </w:rPr>
        <w:t>一、我单位遵循公开、公平、公正、诚实守信的原则，依法依规参与本项目竞标。</w:t>
      </w:r>
    </w:p>
    <w:p>
      <w:pPr>
        <w:pStyle w:val="86"/>
        <w:widowControl/>
        <w:adjustRightInd w:val="0"/>
        <w:snapToGrid w:val="0"/>
        <w:spacing w:line="360" w:lineRule="auto"/>
        <w:ind w:firstLine="504" w:firstLineChars="200"/>
        <w:jc w:val="left"/>
        <w:outlineLvl w:val="1"/>
        <w:rPr>
          <w:rFonts w:cs="宋体" w:asciiTheme="majorEastAsia" w:hAnsiTheme="majorEastAsia" w:eastAsiaTheme="majorEastAsia"/>
          <w:color w:val="auto"/>
          <w:spacing w:val="6"/>
          <w:kern w:val="0"/>
          <w:sz w:val="24"/>
          <w:szCs w:val="24"/>
          <w:highlight w:val="none"/>
        </w:rPr>
      </w:pPr>
      <w:bookmarkStart w:id="383" w:name="_Toc11695"/>
      <w:r>
        <w:rPr>
          <w:rFonts w:hint="eastAsia" w:cs="宋体" w:asciiTheme="majorEastAsia" w:hAnsiTheme="majorEastAsia" w:eastAsiaTheme="majorEastAsia"/>
          <w:color w:val="auto"/>
          <w:spacing w:val="6"/>
          <w:kern w:val="0"/>
          <w:sz w:val="24"/>
          <w:szCs w:val="24"/>
          <w:highlight w:val="none"/>
        </w:rPr>
        <w:t>二、我单位在本项目招标投标活动中，未参与围标串标。</w:t>
      </w:r>
      <w:bookmarkEnd w:id="383"/>
    </w:p>
    <w:p>
      <w:pPr>
        <w:pStyle w:val="86"/>
        <w:widowControl/>
        <w:adjustRightInd w:val="0"/>
        <w:snapToGrid w:val="0"/>
        <w:spacing w:line="360" w:lineRule="auto"/>
        <w:ind w:firstLine="504" w:firstLineChars="200"/>
        <w:jc w:val="left"/>
        <w:rPr>
          <w:rFonts w:cs="宋体" w:asciiTheme="majorEastAsia" w:hAnsiTheme="majorEastAsia" w:eastAsiaTheme="majorEastAsia"/>
          <w:color w:val="auto"/>
          <w:spacing w:val="6"/>
          <w:kern w:val="0"/>
          <w:sz w:val="24"/>
          <w:szCs w:val="24"/>
          <w:highlight w:val="none"/>
        </w:rPr>
      </w:pPr>
      <w:r>
        <w:rPr>
          <w:rFonts w:hint="eastAsia" w:cs="宋体" w:asciiTheme="majorEastAsia" w:hAnsiTheme="majorEastAsia" w:eastAsiaTheme="majorEastAsia"/>
          <w:color w:val="auto"/>
          <w:spacing w:val="6"/>
          <w:kern w:val="0"/>
          <w:sz w:val="24"/>
          <w:szCs w:val="24"/>
          <w:highlight w:val="none"/>
        </w:rPr>
        <w:t>三、我单位如被查实在本项目招标投标活动中存在围标串标的，递交投标文件行为作为实施串通投标违法行为的关键环节，本人承担直接责任人员法律责任，接受相应行政处罚和失信惩戒。</w:t>
      </w:r>
    </w:p>
    <w:p>
      <w:pPr>
        <w:pStyle w:val="86"/>
        <w:widowControl/>
        <w:adjustRightInd w:val="0"/>
        <w:snapToGrid w:val="0"/>
        <w:spacing w:line="360" w:lineRule="auto"/>
        <w:ind w:firstLine="504" w:firstLineChars="200"/>
        <w:jc w:val="left"/>
        <w:rPr>
          <w:rFonts w:cs="宋体" w:asciiTheme="majorEastAsia" w:hAnsiTheme="majorEastAsia" w:eastAsiaTheme="majorEastAsia"/>
          <w:color w:val="auto"/>
          <w:spacing w:val="6"/>
          <w:kern w:val="0"/>
          <w:sz w:val="24"/>
          <w:szCs w:val="24"/>
          <w:highlight w:val="none"/>
        </w:rPr>
      </w:pPr>
    </w:p>
    <w:p>
      <w:pPr>
        <w:pStyle w:val="86"/>
        <w:widowControl/>
        <w:adjustRightInd w:val="0"/>
        <w:snapToGrid w:val="0"/>
        <w:spacing w:line="360" w:lineRule="auto"/>
        <w:ind w:firstLine="504" w:firstLineChars="200"/>
        <w:jc w:val="left"/>
        <w:rPr>
          <w:rFonts w:cs="宋体" w:asciiTheme="majorEastAsia" w:hAnsiTheme="majorEastAsia" w:eastAsiaTheme="majorEastAsia"/>
          <w:color w:val="auto"/>
          <w:spacing w:val="6"/>
          <w:kern w:val="0"/>
          <w:sz w:val="24"/>
          <w:szCs w:val="24"/>
          <w:highlight w:val="none"/>
        </w:rPr>
      </w:pPr>
      <w:r>
        <w:rPr>
          <w:rFonts w:hint="eastAsia" w:cs="宋体" w:asciiTheme="majorEastAsia" w:hAnsiTheme="majorEastAsia" w:eastAsiaTheme="majorEastAsia"/>
          <w:color w:val="auto"/>
          <w:spacing w:val="6"/>
          <w:kern w:val="0"/>
          <w:sz w:val="24"/>
          <w:szCs w:val="24"/>
          <w:highlight w:val="none"/>
        </w:rPr>
        <w:t>项目编号：</w:t>
      </w:r>
    </w:p>
    <w:p>
      <w:pPr>
        <w:pStyle w:val="86"/>
        <w:widowControl/>
        <w:adjustRightInd w:val="0"/>
        <w:snapToGrid w:val="0"/>
        <w:spacing w:line="360" w:lineRule="auto"/>
        <w:ind w:firstLine="504" w:firstLineChars="200"/>
        <w:jc w:val="left"/>
        <w:rPr>
          <w:rFonts w:cs="宋体" w:asciiTheme="majorEastAsia" w:hAnsiTheme="majorEastAsia" w:eastAsiaTheme="majorEastAsia"/>
          <w:color w:val="auto"/>
          <w:spacing w:val="6"/>
          <w:kern w:val="0"/>
          <w:sz w:val="24"/>
          <w:szCs w:val="24"/>
          <w:highlight w:val="none"/>
        </w:rPr>
      </w:pPr>
      <w:r>
        <w:rPr>
          <w:rFonts w:hint="eastAsia" w:cs="宋体" w:asciiTheme="majorEastAsia" w:hAnsiTheme="majorEastAsia" w:eastAsiaTheme="majorEastAsia"/>
          <w:color w:val="auto"/>
          <w:spacing w:val="6"/>
          <w:kern w:val="0"/>
          <w:sz w:val="24"/>
          <w:szCs w:val="24"/>
          <w:highlight w:val="none"/>
        </w:rPr>
        <w:t>标段号：</w:t>
      </w:r>
    </w:p>
    <w:p>
      <w:pPr>
        <w:pStyle w:val="86"/>
        <w:widowControl/>
        <w:adjustRightInd w:val="0"/>
        <w:snapToGrid w:val="0"/>
        <w:spacing w:line="360" w:lineRule="auto"/>
        <w:ind w:firstLine="504" w:firstLineChars="200"/>
        <w:jc w:val="left"/>
        <w:rPr>
          <w:rFonts w:cs="宋体" w:asciiTheme="majorEastAsia" w:hAnsiTheme="majorEastAsia" w:eastAsiaTheme="majorEastAsia"/>
          <w:color w:val="auto"/>
          <w:spacing w:val="6"/>
          <w:kern w:val="0"/>
          <w:sz w:val="24"/>
          <w:szCs w:val="24"/>
          <w:highlight w:val="none"/>
        </w:rPr>
      </w:pPr>
      <w:r>
        <w:rPr>
          <w:rFonts w:hint="eastAsia" w:cs="宋体" w:asciiTheme="majorEastAsia" w:hAnsiTheme="majorEastAsia" w:eastAsiaTheme="majorEastAsia"/>
          <w:color w:val="auto"/>
          <w:spacing w:val="6"/>
          <w:kern w:val="0"/>
          <w:sz w:val="24"/>
          <w:szCs w:val="24"/>
          <w:highlight w:val="none"/>
        </w:rPr>
        <w:t>供应商名称（盖章）：</w:t>
      </w:r>
    </w:p>
    <w:p>
      <w:pPr>
        <w:pStyle w:val="86"/>
        <w:widowControl/>
        <w:adjustRightInd w:val="0"/>
        <w:snapToGrid w:val="0"/>
        <w:spacing w:line="360" w:lineRule="auto"/>
        <w:ind w:firstLine="504" w:firstLineChars="200"/>
        <w:jc w:val="left"/>
        <w:rPr>
          <w:rFonts w:cs="宋体" w:asciiTheme="majorEastAsia" w:hAnsiTheme="majorEastAsia" w:eastAsiaTheme="majorEastAsia"/>
          <w:color w:val="auto"/>
          <w:spacing w:val="6"/>
          <w:kern w:val="0"/>
          <w:sz w:val="24"/>
          <w:szCs w:val="24"/>
          <w:highlight w:val="none"/>
        </w:rPr>
      </w:pPr>
      <w:r>
        <w:rPr>
          <w:rFonts w:hint="eastAsia" w:cs="宋体" w:asciiTheme="majorEastAsia" w:hAnsiTheme="majorEastAsia" w:eastAsiaTheme="majorEastAsia"/>
          <w:color w:val="auto"/>
          <w:spacing w:val="6"/>
          <w:kern w:val="0"/>
          <w:sz w:val="24"/>
          <w:szCs w:val="24"/>
          <w:highlight w:val="none"/>
        </w:rPr>
        <w:t>供应商法定代表人（盖章或签字）：</w:t>
      </w:r>
    </w:p>
    <w:p>
      <w:pPr>
        <w:pStyle w:val="86"/>
        <w:widowControl/>
        <w:adjustRightInd w:val="0"/>
        <w:snapToGrid w:val="0"/>
        <w:spacing w:line="360" w:lineRule="auto"/>
        <w:ind w:firstLine="1386" w:firstLineChars="550"/>
        <w:jc w:val="left"/>
        <w:rPr>
          <w:rFonts w:cs="宋体" w:asciiTheme="majorEastAsia" w:hAnsiTheme="majorEastAsia" w:eastAsiaTheme="majorEastAsia"/>
          <w:color w:val="auto"/>
          <w:spacing w:val="6"/>
          <w:kern w:val="0"/>
          <w:sz w:val="24"/>
          <w:szCs w:val="24"/>
          <w:highlight w:val="none"/>
        </w:rPr>
      </w:pPr>
    </w:p>
    <w:p>
      <w:pPr>
        <w:pStyle w:val="86"/>
        <w:widowControl/>
        <w:adjustRightInd w:val="0"/>
        <w:snapToGrid w:val="0"/>
        <w:spacing w:line="360" w:lineRule="auto"/>
        <w:ind w:firstLine="1386" w:firstLineChars="550"/>
        <w:jc w:val="left"/>
        <w:rPr>
          <w:rFonts w:cs="宋体" w:asciiTheme="majorEastAsia" w:hAnsiTheme="majorEastAsia" w:eastAsiaTheme="majorEastAsia"/>
          <w:color w:val="auto"/>
          <w:spacing w:val="6"/>
          <w:kern w:val="0"/>
          <w:sz w:val="24"/>
          <w:szCs w:val="24"/>
          <w:highlight w:val="none"/>
        </w:rPr>
      </w:pPr>
    </w:p>
    <w:p>
      <w:pPr>
        <w:pStyle w:val="86"/>
        <w:widowControl/>
        <w:adjustRightInd w:val="0"/>
        <w:snapToGrid w:val="0"/>
        <w:spacing w:line="360" w:lineRule="auto"/>
        <w:ind w:firstLine="1386" w:firstLineChars="550"/>
        <w:jc w:val="left"/>
        <w:rPr>
          <w:rFonts w:cs="宋体" w:asciiTheme="majorEastAsia" w:hAnsiTheme="majorEastAsia" w:eastAsiaTheme="majorEastAsia"/>
          <w:color w:val="auto"/>
          <w:spacing w:val="6"/>
          <w:kern w:val="0"/>
          <w:sz w:val="24"/>
          <w:szCs w:val="24"/>
          <w:highlight w:val="none"/>
        </w:rPr>
      </w:pPr>
    </w:p>
    <w:p>
      <w:pPr>
        <w:pStyle w:val="86"/>
        <w:widowControl/>
        <w:adjustRightInd w:val="0"/>
        <w:snapToGrid w:val="0"/>
        <w:spacing w:line="360" w:lineRule="auto"/>
        <w:ind w:firstLine="1386" w:firstLineChars="550"/>
        <w:jc w:val="left"/>
        <w:rPr>
          <w:rFonts w:cs="宋体" w:asciiTheme="majorEastAsia" w:hAnsiTheme="majorEastAsia" w:eastAsiaTheme="majorEastAsia"/>
          <w:color w:val="auto"/>
          <w:spacing w:val="6"/>
          <w:kern w:val="0"/>
          <w:sz w:val="24"/>
          <w:szCs w:val="24"/>
          <w:highlight w:val="none"/>
        </w:rPr>
      </w:pPr>
      <w:r>
        <w:rPr>
          <w:rFonts w:hint="eastAsia" w:cs="宋体" w:asciiTheme="majorEastAsia" w:hAnsiTheme="majorEastAsia" w:eastAsiaTheme="majorEastAsia"/>
          <w:color w:val="auto"/>
          <w:spacing w:val="6"/>
          <w:kern w:val="0"/>
          <w:sz w:val="24"/>
          <w:szCs w:val="24"/>
          <w:highlight w:val="none"/>
        </w:rPr>
        <w:t>年月日</w:t>
      </w:r>
    </w:p>
    <w:p>
      <w:pPr>
        <w:pStyle w:val="91"/>
        <w:rPr>
          <w:rFonts w:asciiTheme="majorEastAsia" w:hAnsiTheme="majorEastAsia" w:eastAsiaTheme="majorEastAsia"/>
          <w:color w:val="auto"/>
          <w:highlight w:val="none"/>
        </w:rPr>
      </w:pPr>
    </w:p>
    <w:p>
      <w:pPr>
        <w:pStyle w:val="91"/>
        <w:rPr>
          <w:rFonts w:asciiTheme="majorEastAsia" w:hAnsiTheme="majorEastAsia" w:eastAsiaTheme="majorEastAsia"/>
          <w:color w:val="auto"/>
          <w:highlight w:val="none"/>
        </w:rPr>
      </w:pPr>
    </w:p>
    <w:p>
      <w:pPr>
        <w:pStyle w:val="91"/>
        <w:rPr>
          <w:rFonts w:asciiTheme="majorEastAsia" w:hAnsiTheme="majorEastAsia" w:eastAsiaTheme="majorEastAsia"/>
          <w:color w:val="auto"/>
          <w:highlight w:val="none"/>
        </w:rPr>
      </w:pPr>
    </w:p>
    <w:p>
      <w:pPr>
        <w:pStyle w:val="91"/>
        <w:rPr>
          <w:rFonts w:asciiTheme="majorEastAsia" w:hAnsiTheme="majorEastAsia" w:eastAsiaTheme="majorEastAsia"/>
          <w:color w:val="auto"/>
          <w:highlight w:val="none"/>
        </w:rPr>
      </w:pPr>
    </w:p>
    <w:p>
      <w:pPr>
        <w:pStyle w:val="91"/>
        <w:jc w:val="center"/>
        <w:outlineLvl w:val="2"/>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84" w:name="_Toc26583"/>
      <w:r>
        <w:rPr>
          <w:rFonts w:hint="eastAsia" w:asciiTheme="majorEastAsia" w:hAnsiTheme="majorEastAsia" w:eastAsiaTheme="majorEastAsia"/>
          <w:color w:val="auto"/>
          <w:sz w:val="48"/>
          <w:szCs w:val="48"/>
          <w:highlight w:val="none"/>
        </w:rPr>
        <w:t>商务</w:t>
      </w:r>
      <w:r>
        <w:rPr>
          <w:rFonts w:asciiTheme="majorEastAsia" w:hAnsiTheme="majorEastAsia" w:eastAsiaTheme="majorEastAsia"/>
          <w:color w:val="auto"/>
          <w:sz w:val="48"/>
          <w:szCs w:val="48"/>
          <w:highlight w:val="none"/>
        </w:rPr>
        <w:t>文件</w:t>
      </w:r>
      <w:bookmarkEnd w:id="384"/>
    </w:p>
    <w:p>
      <w:pPr>
        <w:pStyle w:val="92"/>
        <w:jc w:val="center"/>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85" w:name="_Toc256000098"/>
      <w:bookmarkStart w:id="386" w:name="_Toc30715"/>
      <w:r>
        <w:rPr>
          <w:rFonts w:hint="eastAsia" w:asciiTheme="majorEastAsia" w:hAnsiTheme="majorEastAsia" w:eastAsiaTheme="majorEastAsia"/>
          <w:color w:val="auto"/>
          <w:highlight w:val="none"/>
        </w:rPr>
        <w:t>一</w:t>
      </w:r>
      <w:r>
        <w:rPr>
          <w:rFonts w:asciiTheme="majorEastAsia" w:hAnsiTheme="majorEastAsia" w:eastAsiaTheme="majorEastAsia"/>
          <w:color w:val="auto"/>
          <w:highlight w:val="none"/>
        </w:rPr>
        <w:t>、</w:t>
      </w:r>
      <w:r>
        <w:rPr>
          <w:rFonts w:hint="eastAsia" w:asciiTheme="majorEastAsia" w:hAnsiTheme="majorEastAsia" w:eastAsiaTheme="majorEastAsia"/>
          <w:color w:val="auto"/>
          <w:highlight w:val="none"/>
          <w:lang w:val="zh-TW" w:eastAsia="zh-TW"/>
        </w:rPr>
        <w:t>★</w:t>
      </w:r>
      <w:r>
        <w:rPr>
          <w:rFonts w:asciiTheme="majorEastAsia" w:hAnsiTheme="majorEastAsia" w:eastAsiaTheme="majorEastAsia"/>
          <w:color w:val="auto"/>
          <w:highlight w:val="none"/>
        </w:rPr>
        <w:t>投标函</w:t>
      </w:r>
      <w:bookmarkEnd w:id="385"/>
      <w:bookmarkEnd w:id="386"/>
    </w:p>
    <w:p>
      <w:pPr>
        <w:pStyle w:val="92"/>
        <w:rPr>
          <w:rFonts w:asciiTheme="majorEastAsia" w:hAnsiTheme="majorEastAsia" w:eastAsiaTheme="majorEastAsia"/>
          <w:color w:val="auto"/>
          <w:highlight w:val="none"/>
        </w:rPr>
      </w:pPr>
    </w:p>
    <w:p>
      <w:pPr>
        <w:pStyle w:val="93"/>
        <w:widowControl/>
        <w:spacing w:line="360" w:lineRule="auto"/>
        <w:ind w:left="0" w:leftChars="0"/>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（采购人）：</w:t>
      </w:r>
    </w:p>
    <w:p>
      <w:pPr>
        <w:pStyle w:val="94"/>
        <w:spacing w:line="360" w:lineRule="auto"/>
        <w:rPr>
          <w:rFonts w:asciiTheme="majorEastAsia" w:hAnsiTheme="majorEastAsia" w:eastAsiaTheme="majorEastAsia"/>
          <w:color w:val="auto"/>
          <w:sz w:val="24"/>
          <w:highlight w:val="none"/>
        </w:rPr>
      </w:pP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single"/>
        </w:rPr>
        <w:t xml:space="preserve"> (投标人名称)</w:t>
      </w:r>
      <w:r>
        <w:rPr>
          <w:rFonts w:hint="eastAsia" w:asciiTheme="majorEastAsia" w:hAnsiTheme="majorEastAsia" w:eastAsiaTheme="majorEastAsia"/>
          <w:color w:val="auto"/>
          <w:sz w:val="24"/>
          <w:highlight w:val="none"/>
        </w:rPr>
        <w:t>授权</w:t>
      </w:r>
      <w:r>
        <w:rPr>
          <w:rFonts w:hint="eastAsia" w:asciiTheme="majorEastAsia" w:hAnsiTheme="majorEastAsia" w:eastAsiaTheme="majorEastAsia"/>
          <w:color w:val="auto"/>
          <w:sz w:val="24"/>
          <w:highlight w:val="none"/>
          <w:u w:val="single"/>
        </w:rPr>
        <w:t>(投标人授权代理人姓名)(职务、职称)</w:t>
      </w:r>
      <w:r>
        <w:rPr>
          <w:rFonts w:hint="eastAsia" w:asciiTheme="majorEastAsia" w:hAnsiTheme="majorEastAsia" w:eastAsiaTheme="majorEastAsia"/>
          <w:color w:val="auto"/>
          <w:sz w:val="24"/>
          <w:highlight w:val="none"/>
        </w:rPr>
        <w:t>为我方代表，参加贵方组织的</w:t>
      </w:r>
      <w:r>
        <w:rPr>
          <w:rFonts w:hint="eastAsia" w:asciiTheme="majorEastAsia" w:hAnsiTheme="majorEastAsia" w:eastAsiaTheme="majorEastAsia"/>
          <w:color w:val="auto"/>
          <w:sz w:val="24"/>
          <w:highlight w:val="none"/>
          <w:u w:val="single"/>
        </w:rPr>
        <w:t xml:space="preserve"> (项目名称、项目编号、包号)</w:t>
      </w:r>
      <w:r>
        <w:rPr>
          <w:rFonts w:hint="eastAsia" w:asciiTheme="majorEastAsia" w:hAnsiTheme="majorEastAsia" w:eastAsiaTheme="majorEastAsia"/>
          <w:color w:val="auto"/>
          <w:sz w:val="24"/>
          <w:highlight w:val="none"/>
        </w:rPr>
        <w:t>招标的有关活动，并对此项目进行投标。为此：</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1、我方同意在本项目招标文件中规定的投标有效期内遵守本投标文件中的承诺且在此期限期满之前均具有约束力。</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2、我方承诺已经具备《中华人民共和国政府采购法》中规定的参加政府采购活动的供应商应当具备的条件：</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1）具有独立承担民事责任的能力；</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2）具有良好的商业信誉和健全的财务会计制度；</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3）具有履行合同所必需的设备和专业技术能力；</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4）有依法缴纳税收和社会保障资金的良好记录；</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5）参加此项采购活动前三年内，在经营活动中没有重大违法记录；</w:t>
      </w:r>
    </w:p>
    <w:p>
      <w:pPr>
        <w:pStyle w:val="94"/>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6）法律、行政法规规定的其他条件。</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3、提供投标人须知规定的全部投标文件，包括在</w:t>
      </w:r>
      <w:r>
        <w:rPr>
          <w:rFonts w:hint="eastAsia" w:asciiTheme="majorEastAsia" w:hAnsiTheme="majorEastAsia" w:eastAsiaTheme="majorEastAsia"/>
          <w:color w:val="auto"/>
          <w:kern w:val="2"/>
          <w:sz w:val="24"/>
          <w:highlight w:val="none"/>
        </w:rPr>
        <w:t>政采云</w:t>
      </w:r>
      <w:r>
        <w:rPr>
          <w:rFonts w:hint="eastAsia" w:asciiTheme="majorEastAsia" w:hAnsiTheme="majorEastAsia" w:eastAsiaTheme="majorEastAsia"/>
          <w:color w:val="auto"/>
          <w:sz w:val="24"/>
          <w:highlight w:val="none"/>
        </w:rPr>
        <w:t>平台上传加密电子投标文件一份。</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4、按招标文件要求提供和交付的货物及相关服务的投标报价详见开标一览表。</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5、我方同意按照合同主要条款（包含交付日期、交付地点、质保期）约定与采购人签订合同，并保证忠实地执行双方所签订的合同，并承担合同规定的责任和义务。</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6、我方承诺完全满足和响应招标文件中的各项技术和服务要求，若有偏差，已在投标文件偏离表中予以明确特别说明。</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7、我方承诺：完全理解投标报价若超过项目预算时，投标将被拒绝。</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8、我方承诺：与在本项目中设计编制技术规格的机构及其附属机构无任何直接隶属关系和利益关联。</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9、如果在开标后规定的投标有效期内撤回投标，我方的投标保证金可被贵方没收。</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10、我方完全理解贵方不一定接受最低价的投标或收到的任何投标。</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11、我方承诺：投标文件所提供的一切资料及</w:t>
      </w:r>
      <w:r>
        <w:rPr>
          <w:rFonts w:hint="eastAsia" w:asciiTheme="majorEastAsia" w:hAnsiTheme="majorEastAsia" w:eastAsiaTheme="majorEastAsia"/>
          <w:color w:val="auto"/>
          <w:kern w:val="2"/>
          <w:sz w:val="24"/>
          <w:highlight w:val="none"/>
        </w:rPr>
        <w:t>政采云</w:t>
      </w:r>
      <w:r>
        <w:rPr>
          <w:rFonts w:hint="eastAsia" w:asciiTheme="majorEastAsia" w:hAnsiTheme="majorEastAsia" w:eastAsiaTheme="majorEastAsia"/>
          <w:color w:val="auto"/>
          <w:sz w:val="24"/>
          <w:highlight w:val="none"/>
        </w:rPr>
        <w:t>平台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12、我方已详细审核全部投标文件，包括投标文件修改书（如有的话）、参考资料及有关附件，确认无误。</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13、我方承诺：采购人若需追加采购本项目招标文件所列货物及相关服务的，在不改变合同其他实质性条款的前提下，按相同或更优惠的折扣率保证供货。</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14、我方承诺：如所报货物属国家强制认证产品的，均已通过认证且在有效期内，否则，由此产生的一切法律责任由我方承担。</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15、我方承诺：接受招标文件中的全部条款且无任何异议，保证遵守招标文件的规定。</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1）提供虚假材料谋取中标、成交的；</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2）采取不正当手段诋毁、排挤其他供应商的；</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3）与采购人、其他供应商或者采购代理机构工作人员恶意串通的；</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4）向采购人、采购代理机构工作人员行贿或者提供其他不正当利益的；</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5）在采购过程中与采购人进行协商谈判的；</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6）拒绝有关部门监督检查或提供虚假情况的。</w:t>
      </w:r>
    </w:p>
    <w:p>
      <w:pPr>
        <w:pStyle w:val="94"/>
        <w:spacing w:line="360" w:lineRule="auto"/>
        <w:outlineLvl w:val="2"/>
        <w:rPr>
          <w:rFonts w:asciiTheme="majorEastAsia" w:hAnsiTheme="majorEastAsia" w:eastAsiaTheme="majorEastAsia"/>
          <w:color w:val="auto"/>
          <w:sz w:val="24"/>
          <w:highlight w:val="none"/>
        </w:rPr>
      </w:pPr>
      <w:bookmarkStart w:id="387" w:name="_Toc26987"/>
      <w:r>
        <w:rPr>
          <w:rFonts w:hint="eastAsia" w:asciiTheme="majorEastAsia" w:hAnsiTheme="majorEastAsia" w:eastAsiaTheme="majorEastAsia"/>
          <w:color w:val="auto"/>
          <w:sz w:val="24"/>
          <w:highlight w:val="none"/>
        </w:rPr>
        <w:t>17、与本投标有关的一切往来通讯请寄：</w:t>
      </w:r>
      <w:bookmarkEnd w:id="387"/>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地址：____________________________________________________</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邮编：____________　</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电话：____________　</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传真：____________</w:t>
      </w:r>
    </w:p>
    <w:p>
      <w:pPr>
        <w:pStyle w:val="93"/>
        <w:widowControl/>
        <w:spacing w:line="360" w:lineRule="auto"/>
        <w:ind w:left="0" w:leftChars="0"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投标人法定代表人或授权代理人联系电话，e-mail：</w:t>
      </w:r>
    </w:p>
    <w:p>
      <w:pPr>
        <w:pStyle w:val="93"/>
        <w:widowControl/>
        <w:spacing w:line="360" w:lineRule="auto"/>
        <w:ind w:left="0" w:leftChars="0"/>
        <w:rPr>
          <w:rFonts w:asciiTheme="majorEastAsia" w:hAnsiTheme="majorEastAsia" w:eastAsiaTheme="majorEastAsia"/>
          <w:color w:val="auto"/>
          <w:sz w:val="24"/>
          <w:highlight w:val="none"/>
        </w:rPr>
      </w:pPr>
    </w:p>
    <w:p>
      <w:pPr>
        <w:pStyle w:val="93"/>
        <w:widowControl/>
        <w:spacing w:line="360" w:lineRule="auto"/>
        <w:ind w:left="101" w:leftChars="48" w:firstLine="361" w:firstLineChars="150"/>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投标人法定代表人（盖章或签字）：</w:t>
      </w:r>
    </w:p>
    <w:p>
      <w:pPr>
        <w:pStyle w:val="93"/>
        <w:widowControl/>
        <w:spacing w:line="360" w:lineRule="auto"/>
        <w:ind w:left="101" w:leftChars="48" w:firstLine="361" w:firstLineChars="150"/>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投标人名称（盖章）：</w:t>
      </w:r>
    </w:p>
    <w:p>
      <w:pPr>
        <w:pStyle w:val="93"/>
        <w:widowControl/>
        <w:spacing w:line="360" w:lineRule="auto"/>
        <w:ind w:left="0" w:leftChars="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ab/>
      </w:r>
      <w:r>
        <w:rPr>
          <w:rFonts w:hint="eastAsia" w:asciiTheme="majorEastAsia" w:hAnsiTheme="majorEastAsia" w:eastAsiaTheme="majorEastAsia"/>
          <w:color w:val="auto"/>
          <w:sz w:val="24"/>
          <w:highlight w:val="none"/>
        </w:rPr>
        <w:t>日　期：</w:t>
      </w:r>
    </w:p>
    <w:p>
      <w:pPr>
        <w:pStyle w:val="93"/>
        <w:widowControl/>
        <w:spacing w:line="360" w:lineRule="auto"/>
        <w:ind w:left="0" w:leftChars="0"/>
        <w:rPr>
          <w:rFonts w:asciiTheme="majorEastAsia" w:hAnsiTheme="majorEastAsia" w:eastAsiaTheme="majorEastAsia"/>
          <w:color w:val="auto"/>
          <w:sz w:val="24"/>
          <w:highlight w:val="none"/>
        </w:rPr>
      </w:pPr>
    </w:p>
    <w:p>
      <w:pPr>
        <w:pStyle w:val="93"/>
        <w:widowControl/>
        <w:spacing w:line="360" w:lineRule="auto"/>
        <w:ind w:left="0" w:leftChars="0"/>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说明：除可填报项目外，对本投标函的任何修改将被视为非实质性响应投标，从而导致该投标被拒绝。</w:t>
      </w:r>
    </w:p>
    <w:p>
      <w:pPr>
        <w:pStyle w:val="95"/>
        <w:spacing w:after="0" w:line="360" w:lineRule="auto"/>
        <w:rPr>
          <w:rFonts w:asciiTheme="majorEastAsia" w:hAnsiTheme="majorEastAsia" w:eastAsiaTheme="majorEastAsia"/>
          <w:b/>
          <w:color w:val="auto"/>
          <w:szCs w:val="21"/>
          <w:highlight w:val="none"/>
        </w:rPr>
      </w:pPr>
    </w:p>
    <w:p>
      <w:pPr>
        <w:pStyle w:val="96"/>
        <w:jc w:val="center"/>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88" w:name="_Toc256000099"/>
      <w:bookmarkStart w:id="389" w:name="_Toc22133"/>
      <w:r>
        <w:rPr>
          <w:rFonts w:hint="eastAsia" w:asciiTheme="majorEastAsia" w:hAnsiTheme="majorEastAsia" w:eastAsiaTheme="majorEastAsia"/>
          <w:color w:val="auto"/>
          <w:highlight w:val="none"/>
        </w:rPr>
        <w:t>二</w:t>
      </w:r>
      <w:r>
        <w:rPr>
          <w:rFonts w:asciiTheme="majorEastAsia" w:hAnsiTheme="majorEastAsia" w:eastAsiaTheme="majorEastAsia"/>
          <w:color w:val="auto"/>
          <w:highlight w:val="none"/>
        </w:rPr>
        <w:t>、</w:t>
      </w:r>
      <w:r>
        <w:rPr>
          <w:rFonts w:hint="eastAsia" w:asciiTheme="majorEastAsia" w:hAnsiTheme="majorEastAsia" w:eastAsiaTheme="majorEastAsia"/>
          <w:color w:val="auto"/>
          <w:highlight w:val="none"/>
          <w:lang w:val="zh-TW" w:eastAsia="zh-TW"/>
        </w:rPr>
        <w:t>★</w:t>
      </w:r>
      <w:r>
        <w:rPr>
          <w:rFonts w:asciiTheme="majorEastAsia" w:hAnsiTheme="majorEastAsia" w:eastAsiaTheme="majorEastAsia"/>
          <w:color w:val="auto"/>
          <w:highlight w:val="none"/>
        </w:rPr>
        <w:t>开标一览表</w:t>
      </w:r>
      <w:bookmarkEnd w:id="388"/>
      <w:bookmarkEnd w:id="389"/>
    </w:p>
    <w:p>
      <w:pPr>
        <w:pStyle w:val="98"/>
        <w:spacing w:after="0" w:line="360" w:lineRule="auto"/>
        <w:ind w:firstLine="482" w:firstLineChars="200"/>
        <w:rPr>
          <w:rFonts w:asciiTheme="majorEastAsia" w:hAnsiTheme="majorEastAsia" w:eastAsiaTheme="majorEastAsia"/>
          <w:b/>
          <w:color w:val="auto"/>
          <w:sz w:val="24"/>
          <w:highlight w:val="none"/>
        </w:rPr>
      </w:pPr>
    </w:p>
    <w:p>
      <w:pPr>
        <w:pStyle w:val="213"/>
        <w:spacing w:line="360" w:lineRule="auto"/>
        <w:ind w:left="0" w:leftChars="0" w:firstLine="0" w:firstLineChars="0"/>
        <w:rPr>
          <w:rFonts w:cs="仿宋" w:asciiTheme="majorEastAsia" w:hAnsiTheme="majorEastAsia" w:eastAsiaTheme="majorEastAsia"/>
          <w:color w:val="auto"/>
          <w:highlight w:val="none"/>
        </w:rPr>
      </w:pPr>
      <w:r>
        <w:rPr>
          <w:rFonts w:hint="eastAsia" w:cs="仿宋" w:asciiTheme="majorEastAsia" w:hAnsiTheme="majorEastAsia" w:eastAsiaTheme="majorEastAsia"/>
          <w:color w:val="auto"/>
          <w:highlight w:val="none"/>
        </w:rPr>
        <w:t>项目编号：                    价格单位：元</w:t>
      </w:r>
    </w:p>
    <w:tbl>
      <w:tblPr>
        <w:tblStyle w:val="3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53" w:type="dxa"/>
            <w:tcBorders>
              <w:bottom w:val="single" w:color="auto" w:sz="4" w:space="0"/>
            </w:tcBorders>
            <w:noWrap/>
            <w:vAlign w:val="center"/>
          </w:tcPr>
          <w:p>
            <w:pPr>
              <w:pStyle w:val="97"/>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bCs/>
                <w:color w:val="auto"/>
                <w:sz w:val="24"/>
                <w:highlight w:val="none"/>
              </w:rPr>
              <w:t>项目名称</w:t>
            </w:r>
          </w:p>
        </w:tc>
        <w:tc>
          <w:tcPr>
            <w:tcW w:w="6527" w:type="dxa"/>
            <w:tcBorders>
              <w:bottom w:val="single" w:color="auto" w:sz="4" w:space="0"/>
            </w:tcBorders>
            <w:noWrap/>
            <w:vAlign w:val="center"/>
          </w:tcPr>
          <w:p>
            <w:pPr>
              <w:pStyle w:val="97"/>
              <w:tabs>
                <w:tab w:val="left" w:pos="1337"/>
              </w:tabs>
              <w:spacing w:line="400" w:lineRule="exact"/>
              <w:rPr>
                <w:rFonts w:cs="仿宋" w:asciiTheme="majorEastAsia" w:hAnsiTheme="majorEastAsia" w:eastAsiaTheme="majorEastAsia"/>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53" w:type="dxa"/>
            <w:noWrap/>
            <w:vAlign w:val="center"/>
          </w:tcPr>
          <w:p>
            <w:pPr>
              <w:pStyle w:val="97"/>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bCs/>
                <w:color w:val="auto"/>
                <w:sz w:val="24"/>
                <w:highlight w:val="none"/>
              </w:rPr>
              <w:t>投 标 总 价</w:t>
            </w:r>
          </w:p>
        </w:tc>
        <w:tc>
          <w:tcPr>
            <w:tcW w:w="6527" w:type="dxa"/>
            <w:noWrap/>
          </w:tcPr>
          <w:p>
            <w:pPr>
              <w:pStyle w:val="97"/>
              <w:tabs>
                <w:tab w:val="left" w:pos="1337"/>
              </w:tabs>
              <w:spacing w:line="400" w:lineRule="exact"/>
              <w:rPr>
                <w:rFonts w:cs="仿宋" w:asciiTheme="majorEastAsia" w:hAnsiTheme="majorEastAsia" w:eastAsiaTheme="majorEastAsia"/>
                <w:bCs/>
                <w:color w:val="auto"/>
                <w:sz w:val="24"/>
                <w:highlight w:val="none"/>
              </w:rPr>
            </w:pPr>
          </w:p>
          <w:p>
            <w:pPr>
              <w:pStyle w:val="97"/>
              <w:tabs>
                <w:tab w:val="left" w:pos="1337"/>
              </w:tabs>
              <w:spacing w:line="40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小写：元</w:t>
            </w:r>
          </w:p>
          <w:p>
            <w:pPr>
              <w:pStyle w:val="97"/>
              <w:tabs>
                <w:tab w:val="left" w:pos="1337"/>
              </w:tabs>
              <w:spacing w:line="400" w:lineRule="exact"/>
              <w:rPr>
                <w:rFonts w:cs="仿宋" w:asciiTheme="majorEastAsia" w:hAnsiTheme="majorEastAsia" w:eastAsiaTheme="majorEastAsia"/>
                <w:bCs/>
                <w:color w:val="auto"/>
                <w:sz w:val="24"/>
                <w:highlight w:val="none"/>
              </w:rPr>
            </w:pPr>
          </w:p>
          <w:p>
            <w:pPr>
              <w:pStyle w:val="97"/>
              <w:tabs>
                <w:tab w:val="left" w:pos="1337"/>
              </w:tabs>
              <w:spacing w:line="40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大写：元</w:t>
            </w:r>
          </w:p>
          <w:p>
            <w:pPr>
              <w:pStyle w:val="97"/>
              <w:tabs>
                <w:tab w:val="left" w:pos="1337"/>
              </w:tabs>
              <w:spacing w:line="400" w:lineRule="exact"/>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53" w:type="dxa"/>
            <w:noWrap/>
          </w:tcPr>
          <w:p>
            <w:pPr>
              <w:pStyle w:val="97"/>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bCs/>
                <w:color w:val="auto"/>
                <w:sz w:val="24"/>
                <w:highlight w:val="none"/>
              </w:rPr>
              <w:t>交 货 期</w:t>
            </w:r>
          </w:p>
        </w:tc>
        <w:tc>
          <w:tcPr>
            <w:tcW w:w="6527" w:type="dxa"/>
            <w:noWrap/>
          </w:tcPr>
          <w:p>
            <w:pPr>
              <w:pStyle w:val="97"/>
              <w:tabs>
                <w:tab w:val="left" w:pos="1337"/>
              </w:tabs>
              <w:spacing w:line="400" w:lineRule="exact"/>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53" w:type="dxa"/>
            <w:noWrap/>
          </w:tcPr>
          <w:p>
            <w:pPr>
              <w:pStyle w:val="97"/>
              <w:tabs>
                <w:tab w:val="left" w:pos="1337"/>
              </w:tabs>
              <w:spacing w:line="400" w:lineRule="exact"/>
              <w:jc w:val="center"/>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质 保 期</w:t>
            </w:r>
          </w:p>
        </w:tc>
        <w:tc>
          <w:tcPr>
            <w:tcW w:w="6527" w:type="dxa"/>
            <w:noWrap/>
          </w:tcPr>
          <w:p>
            <w:pPr>
              <w:pStyle w:val="97"/>
              <w:tabs>
                <w:tab w:val="left" w:pos="1337"/>
              </w:tabs>
              <w:spacing w:line="400" w:lineRule="exact"/>
              <w:rPr>
                <w:rFonts w:cs="仿宋" w:asciiTheme="majorEastAsia" w:hAnsiTheme="majorEastAsia" w:eastAsiaTheme="majorEastAsia"/>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53" w:type="dxa"/>
            <w:noWrap/>
          </w:tcPr>
          <w:p>
            <w:pPr>
              <w:pStyle w:val="97"/>
              <w:tabs>
                <w:tab w:val="left" w:pos="1337"/>
              </w:tabs>
              <w:spacing w:line="400" w:lineRule="exact"/>
              <w:jc w:val="center"/>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项目负责人及联系方式</w:t>
            </w:r>
          </w:p>
        </w:tc>
        <w:tc>
          <w:tcPr>
            <w:tcW w:w="6527" w:type="dxa"/>
            <w:noWrap/>
          </w:tcPr>
          <w:p>
            <w:pPr>
              <w:pStyle w:val="97"/>
              <w:tabs>
                <w:tab w:val="left" w:pos="1337"/>
              </w:tabs>
              <w:spacing w:line="400" w:lineRule="exact"/>
              <w:rPr>
                <w:rFonts w:cs="仿宋" w:asciiTheme="majorEastAsia" w:hAnsiTheme="majorEastAsia" w:eastAsiaTheme="majorEastAsia"/>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noWrap/>
          </w:tcPr>
          <w:p>
            <w:pPr>
              <w:pStyle w:val="97"/>
              <w:tabs>
                <w:tab w:val="left" w:pos="1337"/>
              </w:tabs>
              <w:spacing w:line="40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bCs/>
                <w:color w:val="auto"/>
                <w:sz w:val="24"/>
                <w:highlight w:val="none"/>
              </w:rPr>
              <w:t>备注：</w:t>
            </w:r>
          </w:p>
        </w:tc>
      </w:tr>
    </w:tbl>
    <w:p>
      <w:pPr>
        <w:pStyle w:val="97"/>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说明：1、投标供应商严格按照规定的格式填写。投标总价为优惠后报价，并作为评审及定标的依据。</w:t>
      </w:r>
    </w:p>
    <w:p>
      <w:pPr>
        <w:pStyle w:val="97"/>
        <w:spacing w:line="360" w:lineRule="auto"/>
        <w:ind w:firstLine="720" w:firstLineChars="30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2、任何有选择或有条件的投标总价或表中某一包填写多个报价，均将导致投标被拒绝。</w:t>
      </w:r>
    </w:p>
    <w:p>
      <w:pPr>
        <w:pStyle w:val="97"/>
        <w:spacing w:line="360" w:lineRule="auto"/>
        <w:rPr>
          <w:rFonts w:asciiTheme="majorEastAsia" w:hAnsiTheme="majorEastAsia" w:eastAsiaTheme="majorEastAsia"/>
          <w:color w:val="auto"/>
          <w:sz w:val="24"/>
          <w:highlight w:val="none"/>
        </w:rPr>
      </w:pPr>
    </w:p>
    <w:p>
      <w:pPr>
        <w:pStyle w:val="97"/>
        <w:spacing w:line="360" w:lineRule="auto"/>
        <w:rPr>
          <w:rFonts w:asciiTheme="majorEastAsia" w:hAnsiTheme="majorEastAsia" w:eastAsiaTheme="majorEastAsia"/>
          <w:color w:val="auto"/>
          <w:sz w:val="24"/>
          <w:highlight w:val="none"/>
        </w:rPr>
      </w:pPr>
    </w:p>
    <w:p>
      <w:pPr>
        <w:pStyle w:val="97"/>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投标供应商名称（公章）：</w:t>
      </w:r>
    </w:p>
    <w:p>
      <w:pPr>
        <w:pStyle w:val="82"/>
        <w:adjustRightInd w:val="0"/>
        <w:snapToGrid w:val="0"/>
        <w:spacing w:line="360" w:lineRule="auto"/>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投标供应商法定代表人（签字或盖章）：</w:t>
      </w:r>
    </w:p>
    <w:p>
      <w:pPr>
        <w:pStyle w:val="102"/>
        <w:spacing w:line="360" w:lineRule="auto"/>
        <w:ind w:right="48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日期：年 月 日</w:t>
      </w:r>
    </w:p>
    <w:p>
      <w:pPr>
        <w:pStyle w:val="97"/>
        <w:spacing w:line="360" w:lineRule="auto"/>
        <w:rPr>
          <w:rFonts w:asciiTheme="majorEastAsia" w:hAnsiTheme="majorEastAsia" w:eastAsiaTheme="majorEastAsia"/>
          <w:color w:val="auto"/>
          <w:sz w:val="24"/>
          <w:highlight w:val="none"/>
        </w:rPr>
        <w:sectPr>
          <w:footerReference r:id="rId4" w:type="first"/>
          <w:footerReference r:id="rId3" w:type="default"/>
          <w:pgSz w:w="11906" w:h="16838"/>
          <w:pgMar w:top="1440" w:right="1803" w:bottom="1440" w:left="1803" w:header="851" w:footer="992" w:gutter="0"/>
          <w:cols w:space="0" w:num="1"/>
          <w:titlePg/>
          <w:docGrid w:linePitch="319" w:charSpace="0"/>
        </w:sectPr>
      </w:pPr>
    </w:p>
    <w:p>
      <w:pPr>
        <w:pStyle w:val="100"/>
        <w:jc w:val="center"/>
        <w:outlineLvl w:val="1"/>
        <w:rPr>
          <w:rFonts w:asciiTheme="majorEastAsia" w:hAnsiTheme="majorEastAsia" w:eastAsiaTheme="majorEastAsia"/>
          <w:color w:val="auto"/>
          <w:highlight w:val="none"/>
        </w:rPr>
      </w:pPr>
      <w:bookmarkStart w:id="390" w:name="_Toc8043"/>
      <w:bookmarkStart w:id="391" w:name="_Toc256000100"/>
      <w:r>
        <w:rPr>
          <w:rFonts w:hint="eastAsia" w:asciiTheme="majorEastAsia" w:hAnsiTheme="majorEastAsia" w:eastAsiaTheme="majorEastAsia"/>
          <w:color w:val="auto"/>
          <w:highlight w:val="none"/>
        </w:rPr>
        <w:t>三</w:t>
      </w:r>
      <w:r>
        <w:rPr>
          <w:rFonts w:asciiTheme="majorEastAsia" w:hAnsiTheme="majorEastAsia" w:eastAsiaTheme="majorEastAsia"/>
          <w:color w:val="auto"/>
          <w:highlight w:val="none"/>
        </w:rPr>
        <w:t>、</w:t>
      </w:r>
      <w:r>
        <w:rPr>
          <w:rFonts w:hint="eastAsia" w:asciiTheme="majorEastAsia" w:hAnsiTheme="majorEastAsia" w:eastAsiaTheme="majorEastAsia"/>
          <w:color w:val="auto"/>
          <w:highlight w:val="none"/>
          <w:lang w:val="zh-TW" w:eastAsia="zh-TW"/>
        </w:rPr>
        <w:t>★</w:t>
      </w:r>
      <w:r>
        <w:rPr>
          <w:rFonts w:asciiTheme="majorEastAsia" w:hAnsiTheme="majorEastAsia" w:eastAsiaTheme="majorEastAsia"/>
          <w:color w:val="auto"/>
          <w:highlight w:val="none"/>
        </w:rPr>
        <w:t>投标报价明细表</w:t>
      </w:r>
      <w:bookmarkEnd w:id="390"/>
      <w:bookmarkEnd w:id="391"/>
    </w:p>
    <w:p>
      <w:pPr>
        <w:pStyle w:val="101"/>
        <w:spacing w:line="360" w:lineRule="auto"/>
        <w:ind w:left="0" w:leftChars="0" w:firstLine="0" w:firstLineChars="0"/>
        <w:jc w:val="left"/>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项目编号、包号：                         价格单位：元</w:t>
      </w:r>
    </w:p>
    <w:tbl>
      <w:tblPr>
        <w:tblStyle w:val="38"/>
        <w:tblW w:w="8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326"/>
        <w:gridCol w:w="781"/>
        <w:gridCol w:w="933"/>
        <w:gridCol w:w="782"/>
        <w:gridCol w:w="926"/>
        <w:gridCol w:w="725"/>
        <w:gridCol w:w="81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6" w:type="dxa"/>
            <w:noWrap/>
            <w:vAlign w:val="center"/>
          </w:tcPr>
          <w:p>
            <w:pPr>
              <w:pStyle w:val="102"/>
              <w:tabs>
                <w:tab w:val="left" w:pos="1337"/>
              </w:tabs>
              <w:spacing w:line="400" w:lineRule="exact"/>
              <w:ind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项目</w:t>
            </w:r>
          </w:p>
        </w:tc>
        <w:tc>
          <w:tcPr>
            <w:tcW w:w="1326" w:type="dxa"/>
            <w:noWrap/>
            <w:vAlign w:val="center"/>
          </w:tcPr>
          <w:p>
            <w:pPr>
              <w:pStyle w:val="102"/>
              <w:tabs>
                <w:tab w:val="left" w:pos="1337"/>
              </w:tabs>
              <w:spacing w:line="400" w:lineRule="exact"/>
              <w:ind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w:t>
            </w:r>
          </w:p>
        </w:tc>
        <w:tc>
          <w:tcPr>
            <w:tcW w:w="781" w:type="dxa"/>
            <w:noWrap/>
            <w:vAlign w:val="center"/>
          </w:tcPr>
          <w:p>
            <w:pPr>
              <w:pStyle w:val="102"/>
              <w:tabs>
                <w:tab w:val="left" w:pos="1337"/>
              </w:tabs>
              <w:spacing w:line="400" w:lineRule="exact"/>
              <w:ind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p>
        </w:tc>
        <w:tc>
          <w:tcPr>
            <w:tcW w:w="933" w:type="dxa"/>
            <w:noWrap/>
            <w:vAlign w:val="center"/>
          </w:tcPr>
          <w:p>
            <w:pPr>
              <w:pStyle w:val="102"/>
              <w:tabs>
                <w:tab w:val="left" w:pos="1337"/>
              </w:tabs>
              <w:spacing w:line="400" w:lineRule="exact"/>
              <w:ind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w:t>
            </w:r>
          </w:p>
        </w:tc>
        <w:tc>
          <w:tcPr>
            <w:tcW w:w="782" w:type="dxa"/>
            <w:noWrap/>
            <w:vAlign w:val="center"/>
          </w:tcPr>
          <w:p>
            <w:pPr>
              <w:pStyle w:val="102"/>
              <w:tabs>
                <w:tab w:val="left" w:pos="1337"/>
              </w:tabs>
              <w:spacing w:line="400" w:lineRule="exact"/>
              <w:ind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w:t>
            </w:r>
          </w:p>
        </w:tc>
        <w:tc>
          <w:tcPr>
            <w:tcW w:w="926" w:type="dxa"/>
            <w:noWrap/>
            <w:vAlign w:val="center"/>
          </w:tcPr>
          <w:p>
            <w:pPr>
              <w:pStyle w:val="102"/>
              <w:tabs>
                <w:tab w:val="left" w:pos="1337"/>
              </w:tabs>
              <w:spacing w:line="400" w:lineRule="exact"/>
              <w:ind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p>
        </w:tc>
        <w:tc>
          <w:tcPr>
            <w:tcW w:w="2390" w:type="dxa"/>
            <w:gridSpan w:val="3"/>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6" w:type="dxa"/>
            <w:vMerge w:val="restart"/>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序号</w:t>
            </w:r>
          </w:p>
        </w:tc>
        <w:tc>
          <w:tcPr>
            <w:tcW w:w="1326" w:type="dxa"/>
            <w:vMerge w:val="restart"/>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标的（货物）名称</w:t>
            </w:r>
          </w:p>
        </w:tc>
        <w:tc>
          <w:tcPr>
            <w:tcW w:w="781" w:type="dxa"/>
            <w:vMerge w:val="restart"/>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产品品牌</w:t>
            </w:r>
          </w:p>
        </w:tc>
        <w:tc>
          <w:tcPr>
            <w:tcW w:w="933" w:type="dxa"/>
            <w:vMerge w:val="restart"/>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规格型号</w:t>
            </w:r>
          </w:p>
        </w:tc>
        <w:tc>
          <w:tcPr>
            <w:tcW w:w="782" w:type="dxa"/>
            <w:vMerge w:val="restart"/>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生产厂家</w:t>
            </w:r>
          </w:p>
        </w:tc>
        <w:tc>
          <w:tcPr>
            <w:tcW w:w="926" w:type="dxa"/>
            <w:vMerge w:val="restart"/>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国别</w:t>
            </w:r>
          </w:p>
        </w:tc>
        <w:tc>
          <w:tcPr>
            <w:tcW w:w="2390" w:type="dxa"/>
            <w:gridSpan w:val="3"/>
            <w:noWrap/>
            <w:vAlign w:val="center"/>
          </w:tcPr>
          <w:p>
            <w:pPr>
              <w:pStyle w:val="102"/>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06" w:type="dxa"/>
            <w:vMerge w:val="continue"/>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p>
        </w:tc>
        <w:tc>
          <w:tcPr>
            <w:tcW w:w="1326" w:type="dxa"/>
            <w:vMerge w:val="continue"/>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p>
        </w:tc>
        <w:tc>
          <w:tcPr>
            <w:tcW w:w="781" w:type="dxa"/>
            <w:vMerge w:val="continue"/>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p>
        </w:tc>
        <w:tc>
          <w:tcPr>
            <w:tcW w:w="933" w:type="dxa"/>
            <w:vMerge w:val="continue"/>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p>
        </w:tc>
        <w:tc>
          <w:tcPr>
            <w:tcW w:w="782" w:type="dxa"/>
            <w:vMerge w:val="continue"/>
            <w:noWrap/>
            <w:vAlign w:val="center"/>
          </w:tcPr>
          <w:p>
            <w:pPr>
              <w:pStyle w:val="102"/>
              <w:tabs>
                <w:tab w:val="left" w:pos="1337"/>
              </w:tabs>
              <w:spacing w:line="400" w:lineRule="exact"/>
              <w:ind w:left="-42" w:right="-42"/>
              <w:jc w:val="center"/>
              <w:rPr>
                <w:rFonts w:cs="仿宋" w:asciiTheme="majorEastAsia" w:hAnsiTheme="majorEastAsia" w:eastAsiaTheme="majorEastAsia"/>
                <w:color w:val="auto"/>
                <w:sz w:val="24"/>
                <w:highlight w:val="none"/>
              </w:rPr>
            </w:pPr>
          </w:p>
        </w:tc>
        <w:tc>
          <w:tcPr>
            <w:tcW w:w="926" w:type="dxa"/>
            <w:vMerge w:val="continue"/>
            <w:noWrap/>
            <w:vAlign w:val="center"/>
          </w:tcPr>
          <w:p>
            <w:pPr>
              <w:pStyle w:val="102"/>
              <w:tabs>
                <w:tab w:val="left" w:pos="1337"/>
              </w:tabs>
              <w:spacing w:line="400" w:lineRule="exact"/>
              <w:ind w:left="-42" w:right="-42"/>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单价</w:t>
            </w:r>
          </w:p>
        </w:tc>
        <w:tc>
          <w:tcPr>
            <w:tcW w:w="815" w:type="dxa"/>
            <w:noWrap/>
            <w:vAlign w:val="center"/>
          </w:tcPr>
          <w:p>
            <w:pPr>
              <w:pStyle w:val="102"/>
              <w:widowControl/>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数量</w:t>
            </w:r>
          </w:p>
        </w:tc>
        <w:tc>
          <w:tcPr>
            <w:tcW w:w="850" w:type="dxa"/>
            <w:noWrap/>
            <w:vAlign w:val="center"/>
          </w:tcPr>
          <w:p>
            <w:pPr>
              <w:pStyle w:val="102"/>
              <w:widowControl/>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1</w:t>
            </w:r>
          </w:p>
        </w:tc>
        <w:tc>
          <w:tcPr>
            <w:tcW w:w="132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2</w:t>
            </w:r>
          </w:p>
        </w:tc>
        <w:tc>
          <w:tcPr>
            <w:tcW w:w="132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3</w:t>
            </w:r>
          </w:p>
        </w:tc>
        <w:tc>
          <w:tcPr>
            <w:tcW w:w="132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4</w:t>
            </w:r>
          </w:p>
        </w:tc>
        <w:tc>
          <w:tcPr>
            <w:tcW w:w="132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5</w:t>
            </w:r>
          </w:p>
        </w:tc>
        <w:tc>
          <w:tcPr>
            <w:tcW w:w="132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6</w:t>
            </w:r>
          </w:p>
        </w:tc>
        <w:tc>
          <w:tcPr>
            <w:tcW w:w="132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7</w:t>
            </w:r>
          </w:p>
        </w:tc>
        <w:tc>
          <w:tcPr>
            <w:tcW w:w="132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132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1326" w:type="dxa"/>
            <w:noWrap/>
            <w:vAlign w:val="center"/>
          </w:tcPr>
          <w:p>
            <w:pPr>
              <w:pStyle w:val="102"/>
              <w:tabs>
                <w:tab w:val="left" w:pos="1337"/>
              </w:tabs>
              <w:spacing w:line="400" w:lineRule="exact"/>
              <w:ind w:firstLine="480" w:firstLineChars="200"/>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其他</w:t>
            </w: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1326"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合计</w:t>
            </w:r>
          </w:p>
        </w:tc>
        <w:tc>
          <w:tcPr>
            <w:tcW w:w="781"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33"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782"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926" w:type="dxa"/>
            <w:noWrap/>
            <w:vAlign w:val="center"/>
          </w:tcPr>
          <w:p>
            <w:pPr>
              <w:pStyle w:val="102"/>
              <w:tabs>
                <w:tab w:val="left" w:pos="1337"/>
              </w:tabs>
              <w:spacing w:line="400" w:lineRule="exact"/>
              <w:jc w:val="center"/>
              <w:rPr>
                <w:rFonts w:cs="仿宋" w:asciiTheme="majorEastAsia" w:hAnsiTheme="majorEastAsia" w:eastAsiaTheme="majorEastAsia"/>
                <w:b/>
                <w:bCs/>
                <w:color w:val="auto"/>
                <w:sz w:val="24"/>
                <w:highlight w:val="none"/>
              </w:rPr>
            </w:pPr>
          </w:p>
        </w:tc>
        <w:tc>
          <w:tcPr>
            <w:tcW w:w="72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15"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c>
          <w:tcPr>
            <w:tcW w:w="850" w:type="dxa"/>
            <w:noWrap/>
            <w:vAlign w:val="center"/>
          </w:tcPr>
          <w:p>
            <w:pPr>
              <w:pStyle w:val="102"/>
              <w:tabs>
                <w:tab w:val="left" w:pos="1337"/>
              </w:tabs>
              <w:spacing w:line="400" w:lineRule="exact"/>
              <w:jc w:val="center"/>
              <w:rPr>
                <w:rFonts w:cs="仿宋" w:asciiTheme="majorEastAsia" w:hAnsiTheme="majorEastAsia" w:eastAsiaTheme="majorEastAsia"/>
                <w:color w:val="auto"/>
                <w:sz w:val="24"/>
                <w:highlight w:val="none"/>
              </w:rPr>
            </w:pPr>
          </w:p>
        </w:tc>
      </w:tr>
    </w:tbl>
    <w:p>
      <w:pPr>
        <w:pStyle w:val="102"/>
        <w:spacing w:line="360" w:lineRule="auto"/>
        <w:rPr>
          <w:rFonts w:asciiTheme="majorEastAsia" w:hAnsiTheme="majorEastAsia" w:eastAsiaTheme="majorEastAsia"/>
          <w:bCs/>
          <w:color w:val="auto"/>
          <w:sz w:val="24"/>
          <w:highlight w:val="none"/>
        </w:rPr>
      </w:pPr>
    </w:p>
    <w:p>
      <w:pPr>
        <w:pStyle w:val="102"/>
        <w:spacing w:line="360" w:lineRule="auto"/>
        <w:rPr>
          <w:rFonts w:asciiTheme="majorEastAsia" w:hAnsiTheme="majorEastAsia" w:eastAsiaTheme="majorEastAsia"/>
          <w:bCs/>
          <w:color w:val="auto"/>
          <w:sz w:val="24"/>
          <w:highlight w:val="none"/>
        </w:rPr>
      </w:pPr>
    </w:p>
    <w:p>
      <w:pPr>
        <w:pStyle w:val="102"/>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说明：投标供应商必须按照规定要求完整填写《投标报价明细表》，如有缺失或变动表格相关内容，将导致投标被拒绝。</w:t>
      </w:r>
    </w:p>
    <w:p>
      <w:pPr>
        <w:pStyle w:val="102"/>
        <w:spacing w:line="360" w:lineRule="auto"/>
        <w:ind w:right="480" w:firstLine="6360" w:firstLineChars="2650"/>
        <w:rPr>
          <w:rFonts w:cs="仿宋" w:asciiTheme="majorEastAsia" w:hAnsiTheme="majorEastAsia" w:eastAsiaTheme="majorEastAsia"/>
          <w:color w:val="auto"/>
          <w:sz w:val="24"/>
          <w:highlight w:val="none"/>
        </w:rPr>
      </w:pPr>
    </w:p>
    <w:p>
      <w:pPr>
        <w:pStyle w:val="97"/>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投标供应商名称（公章）：</w:t>
      </w:r>
    </w:p>
    <w:p>
      <w:pPr>
        <w:pStyle w:val="82"/>
        <w:adjustRightInd w:val="0"/>
        <w:snapToGrid w:val="0"/>
        <w:spacing w:line="500" w:lineRule="exact"/>
        <w:rPr>
          <w:rFonts w:cs="仿宋" w:asciiTheme="majorEastAsia" w:hAnsiTheme="majorEastAsia" w:eastAsiaTheme="majorEastAsia"/>
          <w:color w:val="auto"/>
          <w:sz w:val="24"/>
          <w:szCs w:val="24"/>
          <w:highlight w:val="none"/>
        </w:rPr>
      </w:pPr>
      <w:r>
        <w:rPr>
          <w:rFonts w:hint="eastAsia" w:cs="仿宋" w:asciiTheme="majorEastAsia" w:hAnsiTheme="majorEastAsia" w:eastAsiaTheme="majorEastAsia"/>
          <w:color w:val="auto"/>
          <w:sz w:val="24"/>
          <w:szCs w:val="24"/>
          <w:highlight w:val="none"/>
        </w:rPr>
        <w:t>投标供应商法定代表人（签字或盖章）：</w:t>
      </w:r>
    </w:p>
    <w:p>
      <w:pPr>
        <w:pStyle w:val="102"/>
        <w:spacing w:line="360" w:lineRule="auto"/>
        <w:ind w:right="480"/>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日期：年 月 日</w:t>
      </w:r>
    </w:p>
    <w:p>
      <w:pPr>
        <w:pStyle w:val="102"/>
        <w:spacing w:line="360" w:lineRule="auto"/>
        <w:ind w:right="480"/>
        <w:rPr>
          <w:rFonts w:asciiTheme="majorEastAsia" w:hAnsiTheme="majorEastAsia" w:eastAsiaTheme="majorEastAsia"/>
          <w:color w:val="auto"/>
          <w:szCs w:val="21"/>
          <w:highlight w:val="none"/>
        </w:rPr>
      </w:pPr>
    </w:p>
    <w:p>
      <w:pPr>
        <w:pStyle w:val="103"/>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392" w:name="_Toc256000101"/>
    </w:p>
    <w:p>
      <w:pPr>
        <w:pStyle w:val="105"/>
        <w:rPr>
          <w:rFonts w:asciiTheme="majorEastAsia" w:hAnsiTheme="majorEastAsia" w:eastAsiaTheme="majorEastAsia"/>
          <w:color w:val="auto"/>
          <w:highlight w:val="none"/>
        </w:rPr>
        <w:sectPr>
          <w:pgSz w:w="11906" w:h="16838"/>
          <w:pgMar w:top="1440" w:right="1803" w:bottom="1440" w:left="1803" w:header="851" w:footer="992" w:gutter="0"/>
          <w:cols w:space="0" w:num="1"/>
          <w:docGrid w:linePitch="319" w:charSpace="0"/>
        </w:sectPr>
      </w:pPr>
      <w:bookmarkStart w:id="393" w:name="_Toc256000102"/>
    </w:p>
    <w:p>
      <w:pPr>
        <w:pStyle w:val="105"/>
        <w:jc w:val="center"/>
        <w:outlineLvl w:val="1"/>
        <w:rPr>
          <w:rFonts w:asciiTheme="majorEastAsia" w:hAnsiTheme="majorEastAsia" w:eastAsiaTheme="majorEastAsia"/>
          <w:color w:val="auto"/>
          <w:highlight w:val="none"/>
        </w:rPr>
      </w:pPr>
      <w:bookmarkStart w:id="394" w:name="_Toc13988"/>
      <w:r>
        <w:rPr>
          <w:rFonts w:hint="eastAsia" w:asciiTheme="majorEastAsia" w:hAnsiTheme="majorEastAsia" w:eastAsiaTheme="majorEastAsia"/>
          <w:color w:val="auto"/>
          <w:highlight w:val="none"/>
        </w:rPr>
        <w:t>四</w:t>
      </w:r>
      <w:r>
        <w:rPr>
          <w:rFonts w:asciiTheme="majorEastAsia" w:hAnsiTheme="majorEastAsia" w:eastAsiaTheme="majorEastAsia"/>
          <w:color w:val="auto"/>
          <w:highlight w:val="none"/>
        </w:rPr>
        <w:t>、</w:t>
      </w:r>
      <w:r>
        <w:rPr>
          <w:rFonts w:hint="eastAsia" w:asciiTheme="majorEastAsia" w:hAnsiTheme="majorEastAsia" w:eastAsiaTheme="majorEastAsia"/>
          <w:color w:val="auto"/>
          <w:highlight w:val="none"/>
          <w:lang w:val="zh-TW" w:eastAsia="zh-TW"/>
        </w:rPr>
        <w:t>★</w:t>
      </w:r>
      <w:r>
        <w:rPr>
          <w:rFonts w:asciiTheme="majorEastAsia" w:hAnsiTheme="majorEastAsia" w:eastAsiaTheme="majorEastAsia"/>
          <w:color w:val="auto"/>
          <w:highlight w:val="none"/>
        </w:rPr>
        <w:t>商务条款偏离说明表</w:t>
      </w:r>
      <w:bookmarkEnd w:id="393"/>
      <w:bookmarkEnd w:id="394"/>
    </w:p>
    <w:p>
      <w:pPr>
        <w:pStyle w:val="125"/>
        <w:spacing w:line="360" w:lineRule="auto"/>
        <w:ind w:left="0" w:leftChars="0" w:firstLine="0" w:firstLineChars="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项目编号：                                            包号：</w:t>
      </w:r>
    </w:p>
    <w:tbl>
      <w:tblPr>
        <w:tblStyle w:val="38"/>
        <w:tblW w:w="8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82"/>
        <w:gridCol w:w="1929"/>
        <w:gridCol w:w="2091"/>
        <w:gridCol w:w="1035"/>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002"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序号</w:t>
            </w:r>
          </w:p>
        </w:tc>
        <w:tc>
          <w:tcPr>
            <w:tcW w:w="1882"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招标文件条款号</w:t>
            </w:r>
          </w:p>
        </w:tc>
        <w:tc>
          <w:tcPr>
            <w:tcW w:w="1929"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招标文件的商务条款</w:t>
            </w:r>
          </w:p>
        </w:tc>
        <w:tc>
          <w:tcPr>
            <w:tcW w:w="2091"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投标文件的商务条款</w:t>
            </w:r>
          </w:p>
        </w:tc>
        <w:tc>
          <w:tcPr>
            <w:tcW w:w="1035"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偏离</w:t>
            </w:r>
          </w:p>
        </w:tc>
        <w:tc>
          <w:tcPr>
            <w:tcW w:w="715"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02"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882"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929"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2091"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035"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715"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02"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882"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929"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2091"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035"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715"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02"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882"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929"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2091"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035"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715"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02"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882"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929"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2091"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1035"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c>
          <w:tcPr>
            <w:tcW w:w="715" w:type="dxa"/>
            <w:vAlign w:val="center"/>
          </w:tcPr>
          <w:p>
            <w:pPr>
              <w:pStyle w:val="124"/>
              <w:tabs>
                <w:tab w:val="left" w:pos="1337"/>
              </w:tabs>
              <w:spacing w:line="400" w:lineRule="exact"/>
              <w:jc w:val="center"/>
              <w:rPr>
                <w:rFonts w:asciiTheme="majorEastAsia" w:hAnsiTheme="majorEastAsia" w:eastAsiaTheme="majorEastAsia"/>
                <w:color w:val="auto"/>
                <w:sz w:val="24"/>
                <w:highlight w:val="none"/>
              </w:rPr>
            </w:pPr>
          </w:p>
        </w:tc>
      </w:tr>
    </w:tbl>
    <w:p>
      <w:pPr>
        <w:pStyle w:val="124"/>
        <w:spacing w:line="360" w:lineRule="auto"/>
        <w:ind w:left="2"/>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说明：如有偏离，须详细说明偏离及偏离说明。如不填写此表或未明确说明是否偏离，将视为投标文件对招标文件所列全部条款均响应。</w:t>
      </w:r>
    </w:p>
    <w:p>
      <w:pPr>
        <w:pStyle w:val="110"/>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p>
    <w:p>
      <w:pPr>
        <w:pStyle w:val="103"/>
        <w:jc w:val="center"/>
        <w:outlineLvl w:val="1"/>
        <w:rPr>
          <w:rFonts w:asciiTheme="majorEastAsia" w:hAnsiTheme="majorEastAsia" w:eastAsiaTheme="majorEastAsia"/>
          <w:color w:val="auto"/>
          <w:highlight w:val="none"/>
        </w:rPr>
      </w:pPr>
      <w:bookmarkStart w:id="395" w:name="_Toc28991"/>
      <w:r>
        <w:rPr>
          <w:rFonts w:hint="eastAsia" w:asciiTheme="majorEastAsia" w:hAnsiTheme="majorEastAsia" w:eastAsiaTheme="majorEastAsia"/>
          <w:color w:val="auto"/>
          <w:highlight w:val="none"/>
        </w:rPr>
        <w:t>五、</w:t>
      </w:r>
      <w:bookmarkEnd w:id="395"/>
      <w:r>
        <w:rPr>
          <w:rFonts w:hint="eastAsia" w:asciiTheme="majorEastAsia" w:hAnsiTheme="majorEastAsia" w:eastAsiaTheme="majorEastAsia"/>
          <w:color w:val="auto"/>
          <w:highlight w:val="none"/>
        </w:rPr>
        <w:t>★商务方案</w:t>
      </w:r>
    </w:p>
    <w:p>
      <w:pPr>
        <w:pStyle w:val="103"/>
        <w:spacing w:line="360" w:lineRule="auto"/>
        <w:outlineLvl w:val="2"/>
        <w:rPr>
          <w:rFonts w:asciiTheme="majorEastAsia" w:hAnsiTheme="majorEastAsia" w:eastAsiaTheme="majorEastAsia" w:cstheme="minorEastAsia"/>
          <w:b w:val="0"/>
          <w:bCs/>
          <w:color w:val="auto"/>
          <w:sz w:val="28"/>
          <w:szCs w:val="28"/>
          <w:highlight w:val="none"/>
        </w:rPr>
      </w:pPr>
      <w:bookmarkStart w:id="396" w:name="_Toc5736"/>
    </w:p>
    <w:p>
      <w:pPr>
        <w:pStyle w:val="103"/>
        <w:spacing w:line="360" w:lineRule="auto"/>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包含但不限于</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1、质保时效及服务承诺</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（1）售后服务响应时间承诺</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（2）故障修复承诺</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2、售后服务</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（1）</w:t>
      </w:r>
      <w:r>
        <w:rPr>
          <w:rFonts w:asciiTheme="majorEastAsia" w:hAnsiTheme="majorEastAsia" w:eastAsiaTheme="majorEastAsia" w:cstheme="minorEastAsia"/>
          <w:b w:val="0"/>
          <w:bCs/>
          <w:color w:val="auto"/>
          <w:sz w:val="24"/>
          <w:highlight w:val="none"/>
        </w:rPr>
        <w:t>售后人员配置</w:t>
      </w:r>
      <w:r>
        <w:rPr>
          <w:rFonts w:hint="eastAsia" w:asciiTheme="majorEastAsia" w:hAnsiTheme="majorEastAsia" w:eastAsiaTheme="majorEastAsia" w:cstheme="minorEastAsia"/>
          <w:b w:val="0"/>
          <w:bCs/>
          <w:color w:val="auto"/>
          <w:sz w:val="24"/>
          <w:highlight w:val="none"/>
        </w:rPr>
        <w:t>；</w:t>
      </w:r>
      <w:r>
        <w:rPr>
          <w:rFonts w:asciiTheme="majorEastAsia" w:hAnsiTheme="majorEastAsia" w:eastAsiaTheme="majorEastAsia" w:cstheme="minorEastAsia"/>
          <w:b w:val="0"/>
          <w:bCs/>
          <w:color w:val="auto"/>
          <w:sz w:val="24"/>
          <w:highlight w:val="none"/>
        </w:rPr>
        <w:t xml:space="preserve"> </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（2）</w:t>
      </w:r>
      <w:r>
        <w:rPr>
          <w:rFonts w:asciiTheme="majorEastAsia" w:hAnsiTheme="majorEastAsia" w:eastAsiaTheme="majorEastAsia" w:cstheme="minorEastAsia"/>
          <w:b w:val="0"/>
          <w:bCs/>
          <w:color w:val="auto"/>
          <w:sz w:val="24"/>
          <w:highlight w:val="none"/>
        </w:rPr>
        <w:t>出现问题后的处理方案（上门维护、严重故障、电话回访、应急预案等）售后人员配置；</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（3）</w:t>
      </w:r>
      <w:r>
        <w:rPr>
          <w:rFonts w:asciiTheme="majorEastAsia" w:hAnsiTheme="majorEastAsia" w:eastAsiaTheme="majorEastAsia" w:cstheme="minorEastAsia"/>
          <w:b w:val="0"/>
          <w:bCs/>
          <w:color w:val="auto"/>
          <w:sz w:val="24"/>
          <w:highlight w:val="none"/>
        </w:rPr>
        <w:t>退换方案（退换货方案及计划）出现问题后的处理方案（上门维护、严重故障、电话回访、应急预案等）；</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（4）</w:t>
      </w:r>
      <w:r>
        <w:rPr>
          <w:rFonts w:asciiTheme="majorEastAsia" w:hAnsiTheme="majorEastAsia" w:eastAsiaTheme="majorEastAsia" w:cstheme="minorEastAsia"/>
          <w:b w:val="0"/>
          <w:bCs/>
          <w:color w:val="auto"/>
          <w:sz w:val="24"/>
          <w:highlight w:val="none"/>
        </w:rPr>
        <w:t>定期及不定期巡检维保服务方案</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（5）售后服务体系，为本项目提供稳定的售后服务证明（需提供场地租赁合同复印件或自有房产证明复印件）</w:t>
      </w:r>
    </w:p>
    <w:p>
      <w:pPr>
        <w:pStyle w:val="103"/>
        <w:spacing w:line="360" w:lineRule="auto"/>
        <w:ind w:firstLine="560"/>
        <w:outlineLvl w:val="2"/>
        <w:rPr>
          <w:rFonts w:asciiTheme="majorEastAsia" w:hAnsiTheme="majorEastAsia" w:eastAsiaTheme="majorEastAsia" w:cstheme="minorEastAsia"/>
          <w:b w:val="0"/>
          <w:bCs/>
          <w:color w:val="auto"/>
          <w:sz w:val="24"/>
          <w:highlight w:val="none"/>
        </w:rPr>
      </w:pPr>
      <w:r>
        <w:rPr>
          <w:rFonts w:hint="eastAsia" w:asciiTheme="majorEastAsia" w:hAnsiTheme="majorEastAsia" w:eastAsiaTheme="majorEastAsia" w:cstheme="minorEastAsia"/>
          <w:b w:val="0"/>
          <w:bCs/>
          <w:color w:val="auto"/>
          <w:sz w:val="24"/>
          <w:highlight w:val="none"/>
        </w:rPr>
        <w:t>3、其他商务方案</w:t>
      </w:r>
    </w:p>
    <w:p>
      <w:pPr>
        <w:pStyle w:val="103"/>
        <w:spacing w:line="360" w:lineRule="auto"/>
        <w:ind w:firstLine="560"/>
        <w:jc w:val="center"/>
        <w:outlineLvl w:val="2"/>
        <w:rPr>
          <w:rFonts w:asciiTheme="majorEastAsia" w:hAnsiTheme="majorEastAsia" w:eastAsiaTheme="majorEastAsia" w:cstheme="minorEastAsia"/>
          <w:b w:val="0"/>
          <w:bCs/>
          <w:color w:val="auto"/>
          <w:sz w:val="28"/>
          <w:szCs w:val="28"/>
          <w:highlight w:val="none"/>
        </w:rPr>
      </w:pPr>
    </w:p>
    <w:bookmarkEnd w:id="396"/>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3"/>
        <w:rPr>
          <w:rFonts w:asciiTheme="majorEastAsia" w:hAnsiTheme="majorEastAsia" w:eastAsiaTheme="majorEastAsia"/>
          <w:color w:val="auto"/>
          <w:highlight w:val="none"/>
        </w:rPr>
      </w:pPr>
    </w:p>
    <w:p>
      <w:pPr>
        <w:pStyle w:val="107"/>
        <w:jc w:val="center"/>
        <w:outlineLvl w:val="1"/>
        <w:rPr>
          <w:rFonts w:asciiTheme="majorEastAsia" w:hAnsiTheme="majorEastAsia" w:eastAsiaTheme="majorEastAsia"/>
          <w:color w:val="auto"/>
          <w:highlight w:val="none"/>
        </w:rPr>
      </w:pPr>
      <w:bookmarkStart w:id="397" w:name="_Toc256000103"/>
      <w:bookmarkStart w:id="398" w:name="_Toc28974"/>
      <w:r>
        <w:rPr>
          <w:rFonts w:hint="eastAsia" w:asciiTheme="majorEastAsia" w:hAnsiTheme="majorEastAsia" w:eastAsiaTheme="majorEastAsia"/>
          <w:color w:val="auto"/>
          <w:highlight w:val="none"/>
        </w:rPr>
        <w:t>六</w:t>
      </w:r>
      <w:r>
        <w:rPr>
          <w:rFonts w:asciiTheme="majorEastAsia" w:hAnsiTheme="majorEastAsia" w:eastAsiaTheme="majorEastAsia"/>
          <w:color w:val="auto"/>
          <w:highlight w:val="none"/>
        </w:rPr>
        <w:t>、供应商认为有必要提供的其他资料</w:t>
      </w:r>
      <w:bookmarkEnd w:id="397"/>
      <w:bookmarkEnd w:id="398"/>
    </w:p>
    <w:p>
      <w:pPr>
        <w:pStyle w:val="108"/>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附：</w:t>
      </w:r>
    </w:p>
    <w:p>
      <w:pPr>
        <w:pStyle w:val="108"/>
        <w:outlineLvl w:val="2"/>
        <w:rPr>
          <w:rFonts w:asciiTheme="majorEastAsia" w:hAnsiTheme="majorEastAsia" w:eastAsiaTheme="majorEastAsia"/>
          <w:b/>
          <w:color w:val="auto"/>
          <w:sz w:val="24"/>
          <w:highlight w:val="none"/>
        </w:rPr>
      </w:pPr>
      <w:bookmarkStart w:id="399" w:name="_Toc23396"/>
      <w:r>
        <w:rPr>
          <w:rFonts w:hint="eastAsia" w:asciiTheme="majorEastAsia" w:hAnsiTheme="majorEastAsia" w:eastAsiaTheme="majorEastAsia"/>
          <w:b/>
          <w:color w:val="auto"/>
          <w:szCs w:val="21"/>
          <w:highlight w:val="none"/>
        </w:rPr>
        <w:t>1）</w:t>
      </w:r>
      <w:r>
        <w:rPr>
          <w:rFonts w:hint="eastAsia" w:asciiTheme="majorEastAsia" w:hAnsiTheme="majorEastAsia" w:eastAsiaTheme="majorEastAsia"/>
          <w:b/>
          <w:color w:val="auto"/>
          <w:sz w:val="24"/>
          <w:highlight w:val="none"/>
        </w:rPr>
        <w:t>环境标志产品明细表</w:t>
      </w:r>
      <w:bookmarkEnd w:id="399"/>
    </w:p>
    <w:p>
      <w:pPr>
        <w:pStyle w:val="109"/>
        <w:spacing w:line="360" w:lineRule="auto"/>
        <w:ind w:left="0" w:leftChars="0" w:firstLine="0" w:firstLineChars="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项目编号、包号：                                价格单位：元</w:t>
      </w:r>
    </w:p>
    <w:tbl>
      <w:tblPr>
        <w:tblStyle w:val="3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985"/>
        <w:gridCol w:w="826"/>
        <w:gridCol w:w="829"/>
        <w:gridCol w:w="785"/>
        <w:gridCol w:w="1791"/>
        <w:gridCol w:w="1830"/>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序号</w:t>
            </w:r>
          </w:p>
        </w:tc>
        <w:tc>
          <w:tcPr>
            <w:tcW w:w="985"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产品</w:t>
            </w:r>
          </w:p>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名称</w:t>
            </w:r>
          </w:p>
        </w:tc>
        <w:tc>
          <w:tcPr>
            <w:tcW w:w="826"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企业名称</w:t>
            </w:r>
          </w:p>
        </w:tc>
        <w:tc>
          <w:tcPr>
            <w:tcW w:w="829"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注册商标</w:t>
            </w:r>
          </w:p>
        </w:tc>
        <w:tc>
          <w:tcPr>
            <w:tcW w:w="785"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规格型号</w:t>
            </w:r>
          </w:p>
        </w:tc>
        <w:tc>
          <w:tcPr>
            <w:tcW w:w="1791"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中国环境标志认证证书编号</w:t>
            </w:r>
          </w:p>
        </w:tc>
        <w:tc>
          <w:tcPr>
            <w:tcW w:w="1830"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认证证书有效截止日期</w:t>
            </w:r>
          </w:p>
        </w:tc>
        <w:tc>
          <w:tcPr>
            <w:tcW w:w="955" w:type="dxa"/>
            <w:vAlign w:val="center"/>
          </w:tcPr>
          <w:p>
            <w:pPr>
              <w:pStyle w:val="102"/>
              <w:tabs>
                <w:tab w:val="left" w:pos="1337"/>
              </w:tabs>
              <w:spacing w:line="400" w:lineRule="exact"/>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vAlign w:val="center"/>
          </w:tcPr>
          <w:p>
            <w:pPr>
              <w:pStyle w:val="108"/>
              <w:spacing w:line="400" w:lineRule="exact"/>
              <w:ind w:right="480" w:firstLine="240" w:firstLineChars="100"/>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w:t>
            </w:r>
          </w:p>
        </w:tc>
        <w:tc>
          <w:tcPr>
            <w:tcW w:w="9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6"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9"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7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830"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95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vAlign w:val="center"/>
          </w:tcPr>
          <w:p>
            <w:pPr>
              <w:pStyle w:val="108"/>
              <w:spacing w:line="400" w:lineRule="exact"/>
              <w:ind w:right="480" w:firstLine="240" w:firstLineChars="100"/>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p>
        </w:tc>
        <w:tc>
          <w:tcPr>
            <w:tcW w:w="9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6"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9"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7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830"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95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vAlign w:val="center"/>
          </w:tcPr>
          <w:p>
            <w:pPr>
              <w:pStyle w:val="108"/>
              <w:spacing w:line="400" w:lineRule="exact"/>
              <w:ind w:right="480" w:firstLine="240" w:firstLineChars="100"/>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w:t>
            </w:r>
          </w:p>
        </w:tc>
        <w:tc>
          <w:tcPr>
            <w:tcW w:w="985" w:type="dxa"/>
            <w:vAlign w:val="center"/>
          </w:tcPr>
          <w:p>
            <w:pPr>
              <w:pStyle w:val="108"/>
              <w:spacing w:line="400" w:lineRule="exact"/>
              <w:ind w:right="480"/>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826"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9"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7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830"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95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vAlign w:val="center"/>
          </w:tcPr>
          <w:p>
            <w:pPr>
              <w:pStyle w:val="108"/>
              <w:spacing w:line="400" w:lineRule="exact"/>
              <w:ind w:right="480" w:firstLine="240" w:firstLineChars="100"/>
              <w:jc w:val="center"/>
              <w:rPr>
                <w:rFonts w:asciiTheme="majorEastAsia" w:hAnsiTheme="majorEastAsia" w:eastAsiaTheme="majorEastAsia"/>
                <w:color w:val="auto"/>
                <w:sz w:val="24"/>
                <w:highlight w:val="none"/>
              </w:rPr>
            </w:pPr>
          </w:p>
        </w:tc>
        <w:tc>
          <w:tcPr>
            <w:tcW w:w="9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6"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9"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7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830"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95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vAlign w:val="center"/>
          </w:tcPr>
          <w:p>
            <w:pPr>
              <w:pStyle w:val="108"/>
              <w:spacing w:line="400" w:lineRule="exact"/>
              <w:ind w:right="480" w:firstLine="240" w:firstLineChars="100"/>
              <w:jc w:val="center"/>
              <w:rPr>
                <w:rFonts w:asciiTheme="majorEastAsia" w:hAnsiTheme="majorEastAsia" w:eastAsiaTheme="majorEastAsia"/>
                <w:color w:val="auto"/>
                <w:sz w:val="24"/>
                <w:highlight w:val="none"/>
              </w:rPr>
            </w:pPr>
          </w:p>
        </w:tc>
        <w:tc>
          <w:tcPr>
            <w:tcW w:w="9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6"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9"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7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830"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95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58" w:type="dxa"/>
            <w:vAlign w:val="center"/>
          </w:tcPr>
          <w:p>
            <w:pPr>
              <w:pStyle w:val="108"/>
              <w:spacing w:line="400" w:lineRule="exact"/>
              <w:ind w:right="480" w:firstLine="240" w:firstLineChars="100"/>
              <w:jc w:val="center"/>
              <w:rPr>
                <w:rFonts w:asciiTheme="majorEastAsia" w:hAnsiTheme="majorEastAsia" w:eastAsiaTheme="majorEastAsia"/>
                <w:color w:val="auto"/>
                <w:sz w:val="24"/>
                <w:highlight w:val="none"/>
              </w:rPr>
            </w:pPr>
          </w:p>
          <w:p>
            <w:pPr>
              <w:pStyle w:val="108"/>
              <w:spacing w:line="400" w:lineRule="exact"/>
              <w:ind w:right="480" w:firstLine="240" w:firstLineChars="100"/>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w:t>
            </w:r>
          </w:p>
        </w:tc>
        <w:tc>
          <w:tcPr>
            <w:tcW w:w="985" w:type="dxa"/>
            <w:vAlign w:val="center"/>
          </w:tcPr>
          <w:p>
            <w:pPr>
              <w:pStyle w:val="108"/>
              <w:spacing w:line="400" w:lineRule="exact"/>
              <w:ind w:right="154" w:firstLine="120" w:firstLineChars="50"/>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合计</w:t>
            </w:r>
          </w:p>
        </w:tc>
        <w:tc>
          <w:tcPr>
            <w:tcW w:w="826"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829"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78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1830" w:type="dxa"/>
            <w:vAlign w:val="center"/>
          </w:tcPr>
          <w:p>
            <w:pPr>
              <w:pStyle w:val="108"/>
              <w:spacing w:line="400" w:lineRule="exact"/>
              <w:ind w:right="480"/>
              <w:jc w:val="center"/>
              <w:rPr>
                <w:rFonts w:asciiTheme="majorEastAsia" w:hAnsiTheme="majorEastAsia" w:eastAsiaTheme="majorEastAsia"/>
                <w:color w:val="auto"/>
                <w:sz w:val="24"/>
                <w:highlight w:val="none"/>
              </w:rPr>
            </w:pPr>
          </w:p>
        </w:tc>
        <w:tc>
          <w:tcPr>
            <w:tcW w:w="955" w:type="dxa"/>
            <w:vAlign w:val="center"/>
          </w:tcPr>
          <w:p>
            <w:pPr>
              <w:pStyle w:val="108"/>
              <w:spacing w:line="400" w:lineRule="exact"/>
              <w:ind w:right="480"/>
              <w:jc w:val="center"/>
              <w:rPr>
                <w:rFonts w:asciiTheme="majorEastAsia" w:hAnsiTheme="majorEastAsia" w:eastAsiaTheme="majorEastAsia"/>
                <w:color w:val="auto"/>
                <w:sz w:val="24"/>
                <w:highlight w:val="none"/>
              </w:rPr>
            </w:pPr>
          </w:p>
        </w:tc>
      </w:tr>
    </w:tbl>
    <w:p>
      <w:pPr>
        <w:pStyle w:val="108"/>
        <w:spacing w:line="360" w:lineRule="auto"/>
        <w:ind w:right="-88"/>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说明：</w:t>
      </w:r>
    </w:p>
    <w:p>
      <w:pPr>
        <w:pStyle w:val="108"/>
        <w:spacing w:line="360" w:lineRule="auto"/>
        <w:ind w:right="-613"/>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1、环境标志产品根据财政部、环境保护部最新公布的环境标志产品政府采购清单确定。</w:t>
      </w:r>
    </w:p>
    <w:p>
      <w:pPr>
        <w:pStyle w:val="108"/>
        <w:spacing w:line="360" w:lineRule="auto"/>
        <w:ind w:left="1" w:right="-97"/>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2、如所投产品为环保产品，须提供所投产品在最新公布的环境标志产品政府采购清单所在页扫描件或相关网页截图，否则评审时不予认可。</w:t>
      </w:r>
    </w:p>
    <w:p>
      <w:pPr>
        <w:pStyle w:val="108"/>
        <w:spacing w:line="360" w:lineRule="auto"/>
        <w:ind w:right="-88"/>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3、如所投产品为环保产品，须按规定格式逐项填写，否则评审时不予认可。如所投产品不是环保产品，可不填此表。</w:t>
      </w:r>
    </w:p>
    <w:p>
      <w:pPr>
        <w:pStyle w:val="108"/>
        <w:spacing w:line="360" w:lineRule="auto"/>
        <w:ind w:right="-88"/>
        <w:rPr>
          <w:rFonts w:asciiTheme="majorEastAsia" w:hAnsiTheme="majorEastAsia" w:eastAsiaTheme="majorEastAsia"/>
          <w:color w:val="auto"/>
          <w:sz w:val="24"/>
          <w:highlight w:val="none"/>
        </w:rPr>
      </w:pPr>
    </w:p>
    <w:p>
      <w:pPr>
        <w:pStyle w:val="108"/>
        <w:spacing w:line="360" w:lineRule="auto"/>
        <w:ind w:left="7560" w:right="-97" w:hanging="7560" w:hangingChars="3150"/>
        <w:jc w:val="righ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年月日</w:t>
      </w:r>
    </w:p>
    <w:p>
      <w:pPr>
        <w:pStyle w:val="108"/>
        <w:outlineLvl w:val="2"/>
        <w:rPr>
          <w:rFonts w:asciiTheme="majorEastAsia" w:hAnsiTheme="majorEastAsia" w:eastAsiaTheme="majorEastAsia"/>
          <w:b/>
          <w:color w:val="auto"/>
          <w:sz w:val="24"/>
          <w:highlight w:val="none"/>
        </w:rPr>
      </w:pPr>
      <w:r>
        <w:rPr>
          <w:rFonts w:asciiTheme="majorEastAsia" w:hAnsiTheme="majorEastAsia" w:eastAsiaTheme="majorEastAsia"/>
          <w:color w:val="auto"/>
          <w:sz w:val="24"/>
          <w:highlight w:val="none"/>
        </w:rPr>
        <w:br w:type="page"/>
      </w:r>
      <w:bookmarkStart w:id="400" w:name="_Toc19617"/>
      <w:r>
        <w:rPr>
          <w:rFonts w:hint="eastAsia" w:asciiTheme="majorEastAsia" w:hAnsiTheme="majorEastAsia" w:eastAsiaTheme="majorEastAsia"/>
          <w:color w:val="auto"/>
          <w:sz w:val="24"/>
          <w:highlight w:val="none"/>
        </w:rPr>
        <w:t>2）</w:t>
      </w:r>
      <w:r>
        <w:rPr>
          <w:rFonts w:hint="eastAsia" w:asciiTheme="majorEastAsia" w:hAnsiTheme="majorEastAsia" w:eastAsiaTheme="majorEastAsia"/>
          <w:b/>
          <w:color w:val="auto"/>
          <w:sz w:val="24"/>
          <w:highlight w:val="none"/>
        </w:rPr>
        <w:t>节能产品明细表</w:t>
      </w:r>
      <w:bookmarkEnd w:id="400"/>
    </w:p>
    <w:p>
      <w:pPr>
        <w:pStyle w:val="109"/>
        <w:spacing w:line="360" w:lineRule="auto"/>
        <w:ind w:left="0" w:leftChars="0" w:firstLine="0" w:firstLineChars="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项目编号、包号：价格单位：元</w:t>
      </w:r>
    </w:p>
    <w:tbl>
      <w:tblPr>
        <w:tblStyle w:val="38"/>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872"/>
        <w:gridCol w:w="1007"/>
        <w:gridCol w:w="778"/>
        <w:gridCol w:w="1791"/>
        <w:gridCol w:w="226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序号</w:t>
            </w:r>
          </w:p>
        </w:tc>
        <w:tc>
          <w:tcPr>
            <w:tcW w:w="872"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产品名称</w:t>
            </w:r>
          </w:p>
        </w:tc>
        <w:tc>
          <w:tcPr>
            <w:tcW w:w="1007"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制造商</w:t>
            </w:r>
          </w:p>
        </w:tc>
        <w:tc>
          <w:tcPr>
            <w:tcW w:w="778"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产品型号</w:t>
            </w:r>
          </w:p>
        </w:tc>
        <w:tc>
          <w:tcPr>
            <w:tcW w:w="1791"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节能标志认证证书号</w:t>
            </w:r>
          </w:p>
        </w:tc>
        <w:tc>
          <w:tcPr>
            <w:tcW w:w="2265"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节能产品认证证书有效截止日期</w:t>
            </w:r>
          </w:p>
        </w:tc>
        <w:tc>
          <w:tcPr>
            <w:tcW w:w="1047"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w:t>
            </w:r>
          </w:p>
        </w:tc>
        <w:tc>
          <w:tcPr>
            <w:tcW w:w="872"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07" w:type="dxa"/>
            <w:vAlign w:val="center"/>
          </w:tcPr>
          <w:p>
            <w:pPr>
              <w:pStyle w:val="108"/>
              <w:spacing w:line="400" w:lineRule="exact"/>
              <w:jc w:val="center"/>
              <w:rPr>
                <w:rFonts w:asciiTheme="majorEastAsia" w:hAnsiTheme="majorEastAsia" w:eastAsiaTheme="majorEastAsia"/>
                <w:color w:val="auto"/>
                <w:sz w:val="24"/>
                <w:highlight w:val="none"/>
              </w:rPr>
            </w:pPr>
          </w:p>
        </w:tc>
        <w:tc>
          <w:tcPr>
            <w:tcW w:w="778"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jc w:val="center"/>
              <w:rPr>
                <w:rFonts w:asciiTheme="majorEastAsia" w:hAnsiTheme="majorEastAsia" w:eastAsiaTheme="majorEastAsia"/>
                <w:color w:val="auto"/>
                <w:sz w:val="24"/>
                <w:highlight w:val="none"/>
              </w:rPr>
            </w:pPr>
          </w:p>
        </w:tc>
        <w:tc>
          <w:tcPr>
            <w:tcW w:w="2265"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47" w:type="dxa"/>
            <w:vAlign w:val="center"/>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p>
        </w:tc>
        <w:tc>
          <w:tcPr>
            <w:tcW w:w="872"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07" w:type="dxa"/>
            <w:vAlign w:val="center"/>
          </w:tcPr>
          <w:p>
            <w:pPr>
              <w:pStyle w:val="108"/>
              <w:spacing w:line="400" w:lineRule="exact"/>
              <w:jc w:val="center"/>
              <w:rPr>
                <w:rFonts w:asciiTheme="majorEastAsia" w:hAnsiTheme="majorEastAsia" w:eastAsiaTheme="majorEastAsia"/>
                <w:color w:val="auto"/>
                <w:sz w:val="24"/>
                <w:highlight w:val="none"/>
              </w:rPr>
            </w:pPr>
          </w:p>
        </w:tc>
        <w:tc>
          <w:tcPr>
            <w:tcW w:w="778"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jc w:val="center"/>
              <w:rPr>
                <w:rFonts w:asciiTheme="majorEastAsia" w:hAnsiTheme="majorEastAsia" w:eastAsiaTheme="majorEastAsia"/>
                <w:color w:val="auto"/>
                <w:sz w:val="24"/>
                <w:highlight w:val="none"/>
              </w:rPr>
            </w:pPr>
          </w:p>
        </w:tc>
        <w:tc>
          <w:tcPr>
            <w:tcW w:w="2265"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47" w:type="dxa"/>
            <w:vAlign w:val="center"/>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w:t>
            </w:r>
          </w:p>
        </w:tc>
        <w:tc>
          <w:tcPr>
            <w:tcW w:w="872"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1007" w:type="dxa"/>
            <w:vAlign w:val="center"/>
          </w:tcPr>
          <w:p>
            <w:pPr>
              <w:pStyle w:val="108"/>
              <w:spacing w:line="400" w:lineRule="exact"/>
              <w:jc w:val="center"/>
              <w:rPr>
                <w:rFonts w:asciiTheme="majorEastAsia" w:hAnsiTheme="majorEastAsia" w:eastAsiaTheme="majorEastAsia"/>
                <w:color w:val="auto"/>
                <w:sz w:val="24"/>
                <w:highlight w:val="none"/>
              </w:rPr>
            </w:pPr>
          </w:p>
        </w:tc>
        <w:tc>
          <w:tcPr>
            <w:tcW w:w="778"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jc w:val="center"/>
              <w:rPr>
                <w:rFonts w:asciiTheme="majorEastAsia" w:hAnsiTheme="majorEastAsia" w:eastAsiaTheme="majorEastAsia"/>
                <w:color w:val="auto"/>
                <w:sz w:val="24"/>
                <w:highlight w:val="none"/>
              </w:rPr>
            </w:pPr>
          </w:p>
        </w:tc>
        <w:tc>
          <w:tcPr>
            <w:tcW w:w="2265"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47" w:type="dxa"/>
            <w:vAlign w:val="center"/>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vAlign w:val="center"/>
          </w:tcPr>
          <w:p>
            <w:pPr>
              <w:pStyle w:val="108"/>
              <w:spacing w:line="400" w:lineRule="exact"/>
              <w:jc w:val="center"/>
              <w:rPr>
                <w:rFonts w:asciiTheme="majorEastAsia" w:hAnsiTheme="majorEastAsia" w:eastAsiaTheme="majorEastAsia"/>
                <w:color w:val="auto"/>
                <w:sz w:val="24"/>
                <w:highlight w:val="none"/>
              </w:rPr>
            </w:pPr>
          </w:p>
        </w:tc>
        <w:tc>
          <w:tcPr>
            <w:tcW w:w="872"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07" w:type="dxa"/>
            <w:vAlign w:val="center"/>
          </w:tcPr>
          <w:p>
            <w:pPr>
              <w:pStyle w:val="108"/>
              <w:spacing w:line="400" w:lineRule="exact"/>
              <w:jc w:val="center"/>
              <w:rPr>
                <w:rFonts w:asciiTheme="majorEastAsia" w:hAnsiTheme="majorEastAsia" w:eastAsiaTheme="majorEastAsia"/>
                <w:color w:val="auto"/>
                <w:sz w:val="24"/>
                <w:highlight w:val="none"/>
              </w:rPr>
            </w:pPr>
          </w:p>
        </w:tc>
        <w:tc>
          <w:tcPr>
            <w:tcW w:w="778"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jc w:val="center"/>
              <w:rPr>
                <w:rFonts w:asciiTheme="majorEastAsia" w:hAnsiTheme="majorEastAsia" w:eastAsiaTheme="majorEastAsia"/>
                <w:color w:val="auto"/>
                <w:sz w:val="24"/>
                <w:highlight w:val="none"/>
              </w:rPr>
            </w:pPr>
          </w:p>
        </w:tc>
        <w:tc>
          <w:tcPr>
            <w:tcW w:w="2265"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47" w:type="dxa"/>
            <w:vAlign w:val="center"/>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vAlign w:val="center"/>
          </w:tcPr>
          <w:p>
            <w:pPr>
              <w:pStyle w:val="108"/>
              <w:spacing w:line="400" w:lineRule="exact"/>
              <w:jc w:val="center"/>
              <w:rPr>
                <w:rFonts w:asciiTheme="majorEastAsia" w:hAnsiTheme="majorEastAsia" w:eastAsiaTheme="majorEastAsia"/>
                <w:color w:val="auto"/>
                <w:sz w:val="24"/>
                <w:highlight w:val="none"/>
              </w:rPr>
            </w:pPr>
          </w:p>
        </w:tc>
        <w:tc>
          <w:tcPr>
            <w:tcW w:w="872"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07" w:type="dxa"/>
            <w:vAlign w:val="center"/>
          </w:tcPr>
          <w:p>
            <w:pPr>
              <w:pStyle w:val="108"/>
              <w:spacing w:line="400" w:lineRule="exact"/>
              <w:jc w:val="center"/>
              <w:rPr>
                <w:rFonts w:asciiTheme="majorEastAsia" w:hAnsiTheme="majorEastAsia" w:eastAsiaTheme="majorEastAsia"/>
                <w:color w:val="auto"/>
                <w:sz w:val="24"/>
                <w:highlight w:val="none"/>
              </w:rPr>
            </w:pPr>
          </w:p>
        </w:tc>
        <w:tc>
          <w:tcPr>
            <w:tcW w:w="778"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jc w:val="center"/>
              <w:rPr>
                <w:rFonts w:asciiTheme="majorEastAsia" w:hAnsiTheme="majorEastAsia" w:eastAsiaTheme="majorEastAsia"/>
                <w:color w:val="auto"/>
                <w:sz w:val="24"/>
                <w:highlight w:val="none"/>
              </w:rPr>
            </w:pPr>
          </w:p>
        </w:tc>
        <w:tc>
          <w:tcPr>
            <w:tcW w:w="2265"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47" w:type="dxa"/>
            <w:vAlign w:val="center"/>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w:t>
            </w:r>
          </w:p>
        </w:tc>
        <w:tc>
          <w:tcPr>
            <w:tcW w:w="872"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合计</w:t>
            </w:r>
          </w:p>
        </w:tc>
        <w:tc>
          <w:tcPr>
            <w:tcW w:w="1007" w:type="dxa"/>
            <w:vAlign w:val="center"/>
          </w:tcPr>
          <w:p>
            <w:pPr>
              <w:pStyle w:val="108"/>
              <w:spacing w:line="400" w:lineRule="exact"/>
              <w:jc w:val="center"/>
              <w:rPr>
                <w:rFonts w:asciiTheme="majorEastAsia" w:hAnsiTheme="majorEastAsia" w:eastAsiaTheme="majorEastAsia"/>
                <w:color w:val="auto"/>
                <w:sz w:val="24"/>
                <w:highlight w:val="none"/>
              </w:rPr>
            </w:pPr>
          </w:p>
        </w:tc>
        <w:tc>
          <w:tcPr>
            <w:tcW w:w="778"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791" w:type="dxa"/>
            <w:vAlign w:val="center"/>
          </w:tcPr>
          <w:p>
            <w:pPr>
              <w:pStyle w:val="108"/>
              <w:spacing w:line="400" w:lineRule="exact"/>
              <w:jc w:val="center"/>
              <w:rPr>
                <w:rFonts w:asciiTheme="majorEastAsia" w:hAnsiTheme="majorEastAsia" w:eastAsiaTheme="majorEastAsia"/>
                <w:color w:val="auto"/>
                <w:sz w:val="24"/>
                <w:highlight w:val="none"/>
              </w:rPr>
            </w:pPr>
          </w:p>
        </w:tc>
        <w:tc>
          <w:tcPr>
            <w:tcW w:w="2265" w:type="dxa"/>
            <w:vAlign w:val="center"/>
          </w:tcPr>
          <w:p>
            <w:pPr>
              <w:pStyle w:val="108"/>
              <w:spacing w:line="400" w:lineRule="exact"/>
              <w:jc w:val="center"/>
              <w:rPr>
                <w:rFonts w:asciiTheme="majorEastAsia" w:hAnsiTheme="majorEastAsia" w:eastAsiaTheme="majorEastAsia"/>
                <w:color w:val="auto"/>
                <w:sz w:val="24"/>
                <w:highlight w:val="none"/>
              </w:rPr>
            </w:pPr>
          </w:p>
        </w:tc>
        <w:tc>
          <w:tcPr>
            <w:tcW w:w="1047" w:type="dxa"/>
            <w:vAlign w:val="center"/>
          </w:tcPr>
          <w:p>
            <w:pPr>
              <w:pStyle w:val="108"/>
              <w:spacing w:line="400" w:lineRule="exact"/>
              <w:jc w:val="center"/>
              <w:rPr>
                <w:rFonts w:asciiTheme="majorEastAsia" w:hAnsiTheme="majorEastAsia" w:eastAsiaTheme="majorEastAsia"/>
                <w:color w:val="auto"/>
                <w:sz w:val="24"/>
                <w:highlight w:val="none"/>
              </w:rPr>
            </w:pPr>
          </w:p>
        </w:tc>
      </w:tr>
    </w:tbl>
    <w:p>
      <w:pPr>
        <w:pStyle w:val="108"/>
        <w:spacing w:line="360" w:lineRule="auto"/>
        <w:ind w:left="1080" w:right="-96" w:hanging="1080" w:hangingChars="4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说明：</w:t>
      </w:r>
    </w:p>
    <w:p>
      <w:pPr>
        <w:pStyle w:val="108"/>
        <w:spacing w:line="360" w:lineRule="auto"/>
        <w:ind w:left="1080" w:right="-96" w:hanging="1080" w:hangingChars="4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1、节能产品根据财政部、国家发展改革委最新公布的节能产品政府采购清单确定。</w:t>
      </w:r>
    </w:p>
    <w:p>
      <w:pPr>
        <w:pStyle w:val="108"/>
        <w:spacing w:line="360" w:lineRule="auto"/>
        <w:ind w:right="-9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2、如所投产品为节能产品，须提供所投产品在最新公布的节能产品政府采购清单所在页扫描件或相关网页截图，否则评审时不予认可。</w:t>
      </w:r>
    </w:p>
    <w:p>
      <w:pPr>
        <w:pStyle w:val="108"/>
        <w:spacing w:line="360" w:lineRule="auto"/>
        <w:ind w:right="-9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3、如所投产品为节能产品，须按规定格式逐项填写，否则评审时不予认可。如所投产品不是节能产品，可不填此表。</w:t>
      </w:r>
    </w:p>
    <w:p>
      <w:pPr>
        <w:pStyle w:val="108"/>
        <w:spacing w:line="360" w:lineRule="auto"/>
        <w:ind w:right="-96"/>
        <w:rPr>
          <w:rFonts w:asciiTheme="majorEastAsia" w:hAnsiTheme="majorEastAsia" w:eastAsiaTheme="majorEastAsia"/>
          <w:color w:val="auto"/>
          <w:sz w:val="24"/>
          <w:highlight w:val="none"/>
        </w:rPr>
      </w:pPr>
    </w:p>
    <w:p>
      <w:pPr>
        <w:pStyle w:val="108"/>
        <w:spacing w:line="360" w:lineRule="auto"/>
        <w:ind w:right="17"/>
        <w:jc w:val="righ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年月日</w:t>
      </w:r>
    </w:p>
    <w:p>
      <w:pPr>
        <w:pStyle w:val="108"/>
        <w:outlineLvl w:val="2"/>
        <w:rPr>
          <w:rFonts w:asciiTheme="majorEastAsia" w:hAnsiTheme="majorEastAsia" w:eastAsiaTheme="majorEastAsia"/>
          <w:b/>
          <w:color w:val="auto"/>
          <w:sz w:val="24"/>
          <w:highlight w:val="none"/>
        </w:rPr>
      </w:pPr>
      <w:r>
        <w:rPr>
          <w:rFonts w:asciiTheme="majorEastAsia" w:hAnsiTheme="majorEastAsia" w:eastAsiaTheme="majorEastAsia"/>
          <w:color w:val="auto"/>
          <w:szCs w:val="21"/>
          <w:highlight w:val="none"/>
        </w:rPr>
        <w:br w:type="page"/>
      </w:r>
      <w:bookmarkStart w:id="401" w:name="_Toc24899"/>
      <w:r>
        <w:rPr>
          <w:rFonts w:hint="eastAsia" w:asciiTheme="majorEastAsia" w:hAnsiTheme="majorEastAsia" w:eastAsiaTheme="majorEastAsia"/>
          <w:b/>
          <w:color w:val="auto"/>
          <w:sz w:val="24"/>
          <w:highlight w:val="none"/>
        </w:rPr>
        <w:t>3）中、小型企业产品明细表</w:t>
      </w:r>
      <w:bookmarkEnd w:id="401"/>
    </w:p>
    <w:p>
      <w:pPr>
        <w:pStyle w:val="109"/>
        <w:spacing w:line="360" w:lineRule="auto"/>
        <w:ind w:left="0" w:leftChars="0" w:firstLine="0" w:firstLineChars="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项目编号、包号：价格单位：元</w:t>
      </w:r>
    </w:p>
    <w:tbl>
      <w:tblPr>
        <w:tblStyle w:val="38"/>
        <w:tblW w:w="8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719"/>
        <w:gridCol w:w="2101"/>
        <w:gridCol w:w="1719"/>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55"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序号</w:t>
            </w:r>
          </w:p>
        </w:tc>
        <w:tc>
          <w:tcPr>
            <w:tcW w:w="1719"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产品名称</w:t>
            </w:r>
          </w:p>
        </w:tc>
        <w:tc>
          <w:tcPr>
            <w:tcW w:w="2101"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制造商</w:t>
            </w:r>
          </w:p>
        </w:tc>
        <w:tc>
          <w:tcPr>
            <w:tcW w:w="1719"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产品型号</w:t>
            </w:r>
          </w:p>
        </w:tc>
        <w:tc>
          <w:tcPr>
            <w:tcW w:w="2076"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w:t>
            </w: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101" w:type="dxa"/>
          </w:tcPr>
          <w:p>
            <w:pPr>
              <w:pStyle w:val="108"/>
              <w:spacing w:line="400" w:lineRule="exact"/>
              <w:jc w:val="center"/>
              <w:rPr>
                <w:rFonts w:asciiTheme="majorEastAsia" w:hAnsiTheme="majorEastAsia" w:eastAsiaTheme="majorEastAsia"/>
                <w:color w:val="auto"/>
                <w:sz w:val="24"/>
                <w:highlight w:val="none"/>
              </w:rPr>
            </w:pP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076" w:type="dxa"/>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101" w:type="dxa"/>
          </w:tcPr>
          <w:p>
            <w:pPr>
              <w:pStyle w:val="108"/>
              <w:spacing w:line="400" w:lineRule="exact"/>
              <w:jc w:val="center"/>
              <w:rPr>
                <w:rFonts w:asciiTheme="majorEastAsia" w:hAnsiTheme="majorEastAsia" w:eastAsiaTheme="majorEastAsia"/>
                <w:color w:val="auto"/>
                <w:sz w:val="24"/>
                <w:highlight w:val="none"/>
              </w:rPr>
            </w:pP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076" w:type="dxa"/>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w:t>
            </w:r>
          </w:p>
        </w:tc>
        <w:tc>
          <w:tcPr>
            <w:tcW w:w="1719" w:type="dxa"/>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2101" w:type="dxa"/>
          </w:tcPr>
          <w:p>
            <w:pPr>
              <w:pStyle w:val="108"/>
              <w:spacing w:line="400" w:lineRule="exact"/>
              <w:jc w:val="center"/>
              <w:rPr>
                <w:rFonts w:asciiTheme="majorEastAsia" w:hAnsiTheme="majorEastAsia" w:eastAsiaTheme="majorEastAsia"/>
                <w:color w:val="auto"/>
                <w:sz w:val="24"/>
                <w:highlight w:val="none"/>
              </w:rPr>
            </w:pP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076" w:type="dxa"/>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Pr>
          <w:p>
            <w:pPr>
              <w:pStyle w:val="108"/>
              <w:spacing w:line="400" w:lineRule="exact"/>
              <w:jc w:val="center"/>
              <w:rPr>
                <w:rFonts w:asciiTheme="majorEastAsia" w:hAnsiTheme="majorEastAsia" w:eastAsiaTheme="majorEastAsia"/>
                <w:color w:val="auto"/>
                <w:sz w:val="24"/>
                <w:highlight w:val="none"/>
              </w:rPr>
            </w:pP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101" w:type="dxa"/>
          </w:tcPr>
          <w:p>
            <w:pPr>
              <w:pStyle w:val="108"/>
              <w:spacing w:line="400" w:lineRule="exact"/>
              <w:jc w:val="center"/>
              <w:rPr>
                <w:rFonts w:asciiTheme="majorEastAsia" w:hAnsiTheme="majorEastAsia" w:eastAsiaTheme="majorEastAsia"/>
                <w:color w:val="auto"/>
                <w:sz w:val="24"/>
                <w:highlight w:val="none"/>
              </w:rPr>
            </w:pP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076" w:type="dxa"/>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Pr>
          <w:p>
            <w:pPr>
              <w:pStyle w:val="108"/>
              <w:spacing w:line="400" w:lineRule="exact"/>
              <w:jc w:val="center"/>
              <w:rPr>
                <w:rFonts w:asciiTheme="majorEastAsia" w:hAnsiTheme="majorEastAsia" w:eastAsiaTheme="majorEastAsia"/>
                <w:color w:val="auto"/>
                <w:sz w:val="24"/>
                <w:highlight w:val="none"/>
              </w:rPr>
            </w:pP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101" w:type="dxa"/>
          </w:tcPr>
          <w:p>
            <w:pPr>
              <w:pStyle w:val="108"/>
              <w:spacing w:line="400" w:lineRule="exact"/>
              <w:jc w:val="center"/>
              <w:rPr>
                <w:rFonts w:asciiTheme="majorEastAsia" w:hAnsiTheme="majorEastAsia" w:eastAsiaTheme="majorEastAsia"/>
                <w:color w:val="auto"/>
                <w:sz w:val="24"/>
                <w:highlight w:val="none"/>
              </w:rPr>
            </w:pP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076" w:type="dxa"/>
          </w:tcPr>
          <w:p>
            <w:pPr>
              <w:pStyle w:val="108"/>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55" w:type="dxa"/>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w:t>
            </w:r>
          </w:p>
        </w:tc>
        <w:tc>
          <w:tcPr>
            <w:tcW w:w="1719" w:type="dxa"/>
            <w:vAlign w:val="center"/>
          </w:tcPr>
          <w:p>
            <w:pPr>
              <w:pStyle w:val="108"/>
              <w:spacing w:line="400" w:lineRule="exact"/>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合计</w:t>
            </w:r>
          </w:p>
        </w:tc>
        <w:tc>
          <w:tcPr>
            <w:tcW w:w="2101" w:type="dxa"/>
          </w:tcPr>
          <w:p>
            <w:pPr>
              <w:pStyle w:val="108"/>
              <w:spacing w:line="400" w:lineRule="exact"/>
              <w:jc w:val="center"/>
              <w:rPr>
                <w:rFonts w:asciiTheme="majorEastAsia" w:hAnsiTheme="majorEastAsia" w:eastAsiaTheme="majorEastAsia"/>
                <w:color w:val="auto"/>
                <w:sz w:val="24"/>
                <w:highlight w:val="none"/>
              </w:rPr>
            </w:pPr>
          </w:p>
        </w:tc>
        <w:tc>
          <w:tcPr>
            <w:tcW w:w="1719" w:type="dxa"/>
          </w:tcPr>
          <w:p>
            <w:pPr>
              <w:pStyle w:val="108"/>
              <w:spacing w:line="400" w:lineRule="exact"/>
              <w:jc w:val="center"/>
              <w:rPr>
                <w:rFonts w:asciiTheme="majorEastAsia" w:hAnsiTheme="majorEastAsia" w:eastAsiaTheme="majorEastAsia"/>
                <w:color w:val="auto"/>
                <w:sz w:val="24"/>
                <w:highlight w:val="none"/>
              </w:rPr>
            </w:pPr>
          </w:p>
        </w:tc>
        <w:tc>
          <w:tcPr>
            <w:tcW w:w="2076" w:type="dxa"/>
          </w:tcPr>
          <w:p>
            <w:pPr>
              <w:pStyle w:val="108"/>
              <w:spacing w:line="400" w:lineRule="exact"/>
              <w:jc w:val="center"/>
              <w:rPr>
                <w:rFonts w:asciiTheme="majorEastAsia" w:hAnsiTheme="majorEastAsia" w:eastAsiaTheme="majorEastAsia"/>
                <w:color w:val="auto"/>
                <w:sz w:val="24"/>
                <w:highlight w:val="none"/>
              </w:rPr>
            </w:pPr>
          </w:p>
        </w:tc>
      </w:tr>
    </w:tbl>
    <w:p>
      <w:pPr>
        <w:pStyle w:val="108"/>
        <w:spacing w:line="360" w:lineRule="auto"/>
        <w:ind w:left="1" w:right="-96"/>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说明：如所投货物为中、小型企业产品，须按规定格式逐项填写，否则评审时不予认可。</w:t>
      </w:r>
    </w:p>
    <w:p>
      <w:pPr>
        <w:pStyle w:val="108"/>
        <w:spacing w:line="360" w:lineRule="auto"/>
        <w:ind w:left="1" w:right="-96"/>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                                            年   月    日</w:t>
      </w: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jc w:val="center"/>
        <w:rPr>
          <w:rFonts w:asciiTheme="majorEastAsia" w:hAnsiTheme="majorEastAsia" w:eastAsiaTheme="majorEastAsia"/>
          <w:color w:val="auto"/>
          <w:sz w:val="24"/>
          <w:highlight w:val="none"/>
        </w:rPr>
      </w:pPr>
    </w:p>
    <w:p>
      <w:pPr>
        <w:pStyle w:val="108"/>
        <w:spacing w:line="360" w:lineRule="auto"/>
        <w:ind w:right="-88"/>
        <w:rPr>
          <w:rFonts w:asciiTheme="majorEastAsia" w:hAnsiTheme="majorEastAsia" w:eastAsiaTheme="majorEastAsia"/>
          <w:color w:val="auto"/>
          <w:szCs w:val="21"/>
          <w:highlight w:val="none"/>
        </w:rPr>
      </w:pPr>
    </w:p>
    <w:p>
      <w:pPr>
        <w:pStyle w:val="110"/>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p>
    <w:bookmarkEnd w:id="392"/>
    <w:p>
      <w:pPr>
        <w:pStyle w:val="103"/>
        <w:jc w:val="center"/>
        <w:outlineLvl w:val="1"/>
        <w:rPr>
          <w:rFonts w:asciiTheme="majorEastAsia" w:hAnsiTheme="majorEastAsia" w:eastAsiaTheme="majorEastAsia"/>
          <w:color w:val="auto"/>
          <w:sz w:val="48"/>
          <w:szCs w:val="48"/>
          <w:highlight w:val="none"/>
        </w:rPr>
      </w:pPr>
      <w:bookmarkStart w:id="402" w:name="_Toc17028"/>
      <w:r>
        <w:rPr>
          <w:rFonts w:hint="eastAsia" w:asciiTheme="majorEastAsia" w:hAnsiTheme="majorEastAsia" w:eastAsiaTheme="majorEastAsia"/>
          <w:color w:val="auto"/>
          <w:sz w:val="48"/>
          <w:szCs w:val="48"/>
          <w:highlight w:val="none"/>
        </w:rPr>
        <w:t>技术文件</w:t>
      </w:r>
      <w:bookmarkEnd w:id="402"/>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04"/>
        <w:rPr>
          <w:rFonts w:asciiTheme="majorEastAsia" w:hAnsiTheme="majorEastAsia" w:eastAsiaTheme="majorEastAsia"/>
          <w:color w:val="auto"/>
          <w:highlight w:val="none"/>
        </w:rPr>
      </w:pPr>
    </w:p>
    <w:p>
      <w:pPr>
        <w:pStyle w:val="112"/>
        <w:outlineLvl w:val="1"/>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403" w:name="_Toc256000106"/>
      <w:bookmarkStart w:id="404" w:name="_Toc30907"/>
      <w:r>
        <w:rPr>
          <w:rFonts w:asciiTheme="majorEastAsia" w:hAnsiTheme="majorEastAsia" w:eastAsiaTheme="majorEastAsia"/>
          <w:color w:val="auto"/>
          <w:highlight w:val="none"/>
        </w:rPr>
        <w:t>一、投标人自行编写的技术文件</w:t>
      </w:r>
      <w:bookmarkEnd w:id="403"/>
      <w:bookmarkEnd w:id="404"/>
    </w:p>
    <w:p>
      <w:pPr>
        <w:pStyle w:val="113"/>
        <w:numPr>
          <w:ilvl w:val="0"/>
          <w:numId w:val="12"/>
        </w:numPr>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货物主要技术指标和运行性能：</w:t>
      </w:r>
    </w:p>
    <w:p>
      <w:pPr>
        <w:pStyle w:val="113"/>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&lt;1&gt;</w:t>
      </w:r>
      <w:r>
        <w:rPr>
          <w:rFonts w:hint="eastAsia" w:cs="宋体" w:asciiTheme="majorEastAsia" w:hAnsiTheme="majorEastAsia" w:eastAsiaTheme="majorEastAsia"/>
          <w:color w:val="auto"/>
          <w:szCs w:val="21"/>
          <w:highlight w:val="none"/>
          <w:lang w:val="zh-TW" w:eastAsia="zh-TW"/>
        </w:rPr>
        <w:t>★</w:t>
      </w:r>
      <w:r>
        <w:rPr>
          <w:rFonts w:hint="eastAsia" w:asciiTheme="majorEastAsia" w:hAnsiTheme="majorEastAsia" w:eastAsiaTheme="majorEastAsia"/>
          <w:color w:val="auto"/>
          <w:kern w:val="0"/>
          <w:sz w:val="24"/>
          <w:highlight w:val="none"/>
        </w:rPr>
        <w:t>技术明细表；</w:t>
      </w:r>
    </w:p>
    <w:p>
      <w:pPr>
        <w:pStyle w:val="114"/>
        <w:spacing w:line="360" w:lineRule="auto"/>
        <w:ind w:left="0" w:leftChars="0" w:firstLine="0" w:firstLineChars="0"/>
        <w:rPr>
          <w:rFonts w:asciiTheme="majorEastAsia" w:hAnsiTheme="majorEastAsia" w:eastAsiaTheme="majorEastAsia"/>
          <w:color w:val="auto"/>
          <w:highlight w:val="none"/>
        </w:rPr>
      </w:pPr>
    </w:p>
    <w:p>
      <w:pPr>
        <w:pStyle w:val="114"/>
        <w:spacing w:line="360" w:lineRule="auto"/>
        <w:ind w:left="0" w:leftChars="0" w:firstLine="0" w:firstLineChars="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项目编号、包号：</w:t>
      </w:r>
    </w:p>
    <w:tbl>
      <w:tblPr>
        <w:tblStyle w:val="38"/>
        <w:tblW w:w="8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441"/>
        <w:gridCol w:w="3644"/>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0"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项</w:t>
            </w:r>
          </w:p>
        </w:tc>
        <w:tc>
          <w:tcPr>
            <w:tcW w:w="244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w:t>
            </w:r>
          </w:p>
        </w:tc>
        <w:tc>
          <w:tcPr>
            <w:tcW w:w="3644" w:type="dxa"/>
            <w:vAlign w:val="center"/>
          </w:tcPr>
          <w:p>
            <w:pPr>
              <w:pStyle w:val="113"/>
              <w:tabs>
                <w:tab w:val="left" w:pos="1337"/>
              </w:tabs>
              <w:spacing w:line="360" w:lineRule="auto"/>
              <w:ind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p>
        </w:tc>
        <w:tc>
          <w:tcPr>
            <w:tcW w:w="1426"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950"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序号</w:t>
            </w:r>
          </w:p>
        </w:tc>
        <w:tc>
          <w:tcPr>
            <w:tcW w:w="2441"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产品名称</w:t>
            </w:r>
          </w:p>
        </w:tc>
        <w:tc>
          <w:tcPr>
            <w:tcW w:w="3644"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供应标准规格</w:t>
            </w:r>
          </w:p>
        </w:tc>
        <w:tc>
          <w:tcPr>
            <w:tcW w:w="1426" w:type="dxa"/>
            <w:vAlign w:val="center"/>
          </w:tcPr>
          <w:p>
            <w:pPr>
              <w:pStyle w:val="113"/>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0"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w:t>
            </w:r>
          </w:p>
        </w:tc>
        <w:tc>
          <w:tcPr>
            <w:tcW w:w="2441"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3644"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1426"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0"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p>
        </w:tc>
        <w:tc>
          <w:tcPr>
            <w:tcW w:w="2441"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3644" w:type="dxa"/>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1426" w:type="dxa"/>
          </w:tcPr>
          <w:p>
            <w:pPr>
              <w:pStyle w:val="113"/>
              <w:tabs>
                <w:tab w:val="left" w:pos="1337"/>
              </w:tabs>
              <w:spacing w:line="360" w:lineRule="auto"/>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0"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w:t>
            </w:r>
          </w:p>
        </w:tc>
        <w:tc>
          <w:tcPr>
            <w:tcW w:w="2441"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3644" w:type="dxa"/>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1426" w:type="dxa"/>
          </w:tcPr>
          <w:p>
            <w:pPr>
              <w:pStyle w:val="113"/>
              <w:tabs>
                <w:tab w:val="left" w:pos="1337"/>
              </w:tabs>
              <w:spacing w:line="360" w:lineRule="auto"/>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0"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w:t>
            </w:r>
          </w:p>
        </w:tc>
        <w:tc>
          <w:tcPr>
            <w:tcW w:w="2441"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3644" w:type="dxa"/>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1426" w:type="dxa"/>
          </w:tcPr>
          <w:p>
            <w:pPr>
              <w:pStyle w:val="113"/>
              <w:tabs>
                <w:tab w:val="left" w:pos="1337"/>
              </w:tabs>
              <w:spacing w:line="360" w:lineRule="auto"/>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0"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w:t>
            </w:r>
          </w:p>
        </w:tc>
        <w:tc>
          <w:tcPr>
            <w:tcW w:w="2441"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3644" w:type="dxa"/>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1426" w:type="dxa"/>
          </w:tcPr>
          <w:p>
            <w:pPr>
              <w:pStyle w:val="113"/>
              <w:tabs>
                <w:tab w:val="left" w:pos="1337"/>
              </w:tabs>
              <w:spacing w:line="360" w:lineRule="auto"/>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50"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w:t>
            </w:r>
          </w:p>
        </w:tc>
        <w:tc>
          <w:tcPr>
            <w:tcW w:w="2441" w:type="dxa"/>
            <w:vAlign w:val="center"/>
          </w:tcPr>
          <w:p>
            <w:pPr>
              <w:pStyle w:val="113"/>
              <w:tabs>
                <w:tab w:val="left" w:pos="1337"/>
              </w:tabs>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tc>
        <w:tc>
          <w:tcPr>
            <w:tcW w:w="3644" w:type="dxa"/>
          </w:tcPr>
          <w:p>
            <w:pPr>
              <w:pStyle w:val="113"/>
              <w:tabs>
                <w:tab w:val="left" w:pos="1337"/>
              </w:tabs>
              <w:spacing w:line="360" w:lineRule="auto"/>
              <w:jc w:val="center"/>
              <w:rPr>
                <w:rFonts w:asciiTheme="majorEastAsia" w:hAnsiTheme="majorEastAsia" w:eastAsiaTheme="majorEastAsia"/>
                <w:color w:val="auto"/>
                <w:sz w:val="24"/>
                <w:highlight w:val="none"/>
              </w:rPr>
            </w:pPr>
          </w:p>
        </w:tc>
        <w:tc>
          <w:tcPr>
            <w:tcW w:w="1426" w:type="dxa"/>
          </w:tcPr>
          <w:p>
            <w:pPr>
              <w:pStyle w:val="113"/>
              <w:tabs>
                <w:tab w:val="left" w:pos="1337"/>
              </w:tabs>
              <w:spacing w:line="360" w:lineRule="auto"/>
              <w:jc w:val="center"/>
              <w:rPr>
                <w:rFonts w:asciiTheme="majorEastAsia" w:hAnsiTheme="majorEastAsia" w:eastAsiaTheme="majorEastAsia"/>
                <w:color w:val="auto"/>
                <w:sz w:val="24"/>
                <w:highlight w:val="none"/>
              </w:rPr>
            </w:pPr>
          </w:p>
        </w:tc>
      </w:tr>
    </w:tbl>
    <w:p>
      <w:pPr>
        <w:pStyle w:val="115"/>
        <w:spacing w:before="0" w:after="0" w:line="360" w:lineRule="auto"/>
        <w:ind w:right="960" w:firstLine="6000" w:firstLineChars="25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年月日</w:t>
      </w:r>
    </w:p>
    <w:p>
      <w:pPr>
        <w:pStyle w:val="113"/>
        <w:spacing w:line="360" w:lineRule="auto"/>
        <w:rPr>
          <w:rFonts w:asciiTheme="majorEastAsia" w:hAnsiTheme="majorEastAsia" w:eastAsiaTheme="majorEastAsia"/>
          <w:color w:val="auto"/>
          <w:kern w:val="0"/>
          <w:sz w:val="24"/>
          <w:highlight w:val="none"/>
        </w:rPr>
      </w:pPr>
      <w:r>
        <w:rPr>
          <w:rFonts w:asciiTheme="majorEastAsia" w:hAnsiTheme="majorEastAsia" w:eastAsiaTheme="majorEastAsia"/>
          <w:color w:val="auto"/>
          <w:kern w:val="0"/>
          <w:sz w:val="24"/>
          <w:highlight w:val="none"/>
        </w:rPr>
        <w:br w:type="page"/>
      </w:r>
      <w:r>
        <w:rPr>
          <w:rFonts w:hint="eastAsia" w:asciiTheme="majorEastAsia" w:hAnsiTheme="majorEastAsia" w:eastAsiaTheme="majorEastAsia"/>
          <w:color w:val="auto"/>
          <w:kern w:val="0"/>
          <w:sz w:val="24"/>
          <w:highlight w:val="none"/>
        </w:rPr>
        <w:t>&lt;2&gt;投标人必须提供设备详细技术参数及图片资料（附产品彩页及其他技术支持材料）；</w:t>
      </w:r>
    </w:p>
    <w:p>
      <w:pPr>
        <w:pStyle w:val="113"/>
        <w:tabs>
          <w:tab w:val="left" w:pos="5580"/>
        </w:tabs>
        <w:spacing w:line="360" w:lineRule="auto"/>
        <w:jc w:val="left"/>
        <w:rPr>
          <w:rFonts w:asciiTheme="majorEastAsia" w:hAnsiTheme="majorEastAsia" w:eastAsiaTheme="majorEastAsia"/>
          <w:b/>
          <w:color w:val="auto"/>
          <w:sz w:val="24"/>
          <w:highlight w:val="none"/>
        </w:rPr>
      </w:pPr>
      <w:r>
        <w:rPr>
          <w:rFonts w:hint="eastAsia" w:asciiTheme="majorEastAsia" w:hAnsiTheme="majorEastAsia" w:eastAsiaTheme="majorEastAsia"/>
          <w:color w:val="auto"/>
          <w:kern w:val="0"/>
          <w:sz w:val="24"/>
          <w:highlight w:val="none"/>
        </w:rPr>
        <w:t>&lt;3&gt;</w:t>
      </w:r>
      <w:r>
        <w:rPr>
          <w:rFonts w:hint="eastAsia" w:cs="宋体" w:asciiTheme="majorEastAsia" w:hAnsiTheme="majorEastAsia" w:eastAsiaTheme="majorEastAsia"/>
          <w:color w:val="auto"/>
          <w:szCs w:val="21"/>
          <w:highlight w:val="none"/>
          <w:lang w:val="zh-TW" w:eastAsia="zh-TW"/>
        </w:rPr>
        <w:t>★</w:t>
      </w:r>
      <w:r>
        <w:rPr>
          <w:rFonts w:hint="eastAsia" w:asciiTheme="majorEastAsia" w:hAnsiTheme="majorEastAsia" w:eastAsiaTheme="majorEastAsia"/>
          <w:b/>
          <w:color w:val="auto"/>
          <w:sz w:val="24"/>
          <w:highlight w:val="none"/>
        </w:rPr>
        <w:t>货物技术规范偏离表</w:t>
      </w:r>
    </w:p>
    <w:p>
      <w:pPr>
        <w:pStyle w:val="114"/>
        <w:spacing w:line="360" w:lineRule="auto"/>
        <w:ind w:left="0" w:leftChars="0" w:firstLine="0" w:firstLineChars="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项目编号、包号：</w:t>
      </w:r>
    </w:p>
    <w:tbl>
      <w:tblPr>
        <w:tblStyle w:val="38"/>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878"/>
        <w:gridCol w:w="1021"/>
        <w:gridCol w:w="1707"/>
        <w:gridCol w:w="1337"/>
        <w:gridCol w:w="9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55"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序号</w:t>
            </w:r>
          </w:p>
        </w:tc>
        <w:tc>
          <w:tcPr>
            <w:tcW w:w="1878"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货物名称及编号</w:t>
            </w:r>
          </w:p>
        </w:tc>
        <w:tc>
          <w:tcPr>
            <w:tcW w:w="102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数量</w:t>
            </w:r>
          </w:p>
        </w:tc>
        <w:tc>
          <w:tcPr>
            <w:tcW w:w="170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招标文件技术规范、要求</w:t>
            </w:r>
          </w:p>
        </w:tc>
        <w:tc>
          <w:tcPr>
            <w:tcW w:w="133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投标文件对应规范</w:t>
            </w:r>
          </w:p>
        </w:tc>
        <w:tc>
          <w:tcPr>
            <w:tcW w:w="934"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偏离</w:t>
            </w:r>
          </w:p>
        </w:tc>
        <w:tc>
          <w:tcPr>
            <w:tcW w:w="85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878"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02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70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33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934"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851" w:type="dxa"/>
            <w:vAlign w:val="center"/>
          </w:tcPr>
          <w:p>
            <w:pPr>
              <w:pStyle w:val="113"/>
              <w:tabs>
                <w:tab w:val="left" w:pos="754"/>
              </w:tabs>
              <w:spacing w:line="360" w:lineRule="auto"/>
              <w:ind w:left="-42" w:right="-42"/>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878"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02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70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33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934"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85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55"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878"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02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70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33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934"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85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55"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878"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02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70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1337"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934"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c>
          <w:tcPr>
            <w:tcW w:w="851" w:type="dxa"/>
            <w:vAlign w:val="center"/>
          </w:tcPr>
          <w:p>
            <w:pPr>
              <w:pStyle w:val="113"/>
              <w:tabs>
                <w:tab w:val="left" w:pos="1337"/>
              </w:tabs>
              <w:spacing w:line="360" w:lineRule="auto"/>
              <w:ind w:left="-42" w:right="-42"/>
              <w:jc w:val="center"/>
              <w:rPr>
                <w:rFonts w:asciiTheme="majorEastAsia" w:hAnsiTheme="majorEastAsia" w:eastAsiaTheme="majorEastAsia"/>
                <w:color w:val="auto"/>
                <w:sz w:val="24"/>
                <w:highlight w:val="none"/>
              </w:rPr>
            </w:pPr>
          </w:p>
        </w:tc>
      </w:tr>
    </w:tbl>
    <w:p>
      <w:pPr>
        <w:pStyle w:val="115"/>
        <w:spacing w:before="0" w:after="0" w:line="360" w:lineRule="auto"/>
        <w:ind w:right="960" w:firstLine="6000" w:firstLineChars="25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szCs w:val="24"/>
          <w:highlight w:val="none"/>
        </w:rPr>
        <w:t>年月日</w:t>
      </w:r>
    </w:p>
    <w:p>
      <w:pPr>
        <w:pStyle w:val="113"/>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说明：</w:t>
      </w:r>
    </w:p>
    <w:p>
      <w:pPr>
        <w:pStyle w:val="113"/>
        <w:spacing w:line="360" w:lineRule="auto"/>
        <w:rPr>
          <w:rFonts w:asciiTheme="majorEastAsia" w:hAnsiTheme="majorEastAsia" w:eastAsiaTheme="majorEastAsia"/>
          <w:bCs/>
          <w:color w:val="auto"/>
          <w:sz w:val="24"/>
          <w:highlight w:val="none"/>
        </w:rPr>
      </w:pPr>
      <w:r>
        <w:rPr>
          <w:rFonts w:hint="eastAsia" w:asciiTheme="majorEastAsia" w:hAnsiTheme="majorEastAsia" w:eastAsiaTheme="majorEastAsia"/>
          <w:color w:val="auto"/>
          <w:sz w:val="24"/>
          <w:highlight w:val="none"/>
        </w:rPr>
        <w:t>1.</w:t>
      </w:r>
      <w:r>
        <w:rPr>
          <w:rFonts w:hint="eastAsia" w:asciiTheme="majorEastAsia" w:hAnsiTheme="majorEastAsia" w:eastAsiaTheme="majorEastAsia"/>
          <w:bCs/>
          <w:color w:val="auto"/>
          <w:sz w:val="24"/>
          <w:highlight w:val="none"/>
        </w:rPr>
        <w:t>投标人必须填写《技术明细表》。如果表中所列内容无法满足招标文件中提出的要求或者与投标人在技术文件中提供的内容不一致，投标有可能被拒绝；</w:t>
      </w:r>
    </w:p>
    <w:p>
      <w:pPr>
        <w:pStyle w:val="113"/>
        <w:spacing w:line="360" w:lineRule="auto"/>
        <w:rPr>
          <w:rFonts w:asciiTheme="majorEastAsia" w:hAnsiTheme="majorEastAsia" w:eastAsiaTheme="majorEastAsia"/>
          <w:bCs/>
          <w:color w:val="auto"/>
          <w:sz w:val="24"/>
          <w:highlight w:val="none"/>
        </w:rPr>
      </w:pPr>
      <w:r>
        <w:rPr>
          <w:rFonts w:hint="eastAsia" w:asciiTheme="majorEastAsia" w:hAnsiTheme="majorEastAsia" w:eastAsiaTheme="majorEastAsia"/>
          <w:color w:val="auto"/>
          <w:sz w:val="24"/>
          <w:highlight w:val="none"/>
        </w:rPr>
        <w:t>2投标人需根据所投产品的实际参数逐项填写《货物技术规范偏离表》；</w:t>
      </w:r>
    </w:p>
    <w:p>
      <w:pPr>
        <w:pStyle w:val="113"/>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3.经评审委员会认定技术规格复制招标文件内容的，按无效投标处理；</w:t>
      </w:r>
    </w:p>
    <w:p>
      <w:pPr>
        <w:spacing w:line="440" w:lineRule="exac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4.投标人须对本采购文件技术要求进行点对点应答，必须根据本采购文件的要求,结合所投产品的实际参数值，进行逐条逐项答复、说明和解释。</w:t>
      </w:r>
    </w:p>
    <w:p>
      <w:pPr>
        <w:pStyle w:val="113"/>
        <w:rPr>
          <w:rFonts w:asciiTheme="majorEastAsia" w:hAnsiTheme="majorEastAsia" w:eastAsiaTheme="majorEastAsia"/>
          <w:color w:val="auto"/>
          <w:highlight w:val="none"/>
        </w:rPr>
      </w:pPr>
    </w:p>
    <w:p>
      <w:pPr>
        <w:pStyle w:val="113"/>
        <w:rPr>
          <w:rFonts w:asciiTheme="majorEastAsia" w:hAnsiTheme="majorEastAsia" w:eastAsiaTheme="majorEastAsia"/>
          <w:color w:val="auto"/>
          <w:highlight w:val="none"/>
        </w:rPr>
      </w:pPr>
    </w:p>
    <w:p>
      <w:pPr>
        <w:pStyle w:val="113"/>
        <w:tabs>
          <w:tab w:val="left" w:pos="5580"/>
        </w:tabs>
        <w:spacing w:line="360" w:lineRule="auto"/>
        <w:jc w:val="left"/>
        <w:rPr>
          <w:rFonts w:asciiTheme="majorEastAsia" w:hAnsiTheme="majorEastAsia" w:eastAsiaTheme="majorEastAsia"/>
          <w:color w:val="auto"/>
          <w:kern w:val="0"/>
          <w:sz w:val="24"/>
          <w:highlight w:val="none"/>
        </w:rPr>
      </w:pPr>
    </w:p>
    <w:p>
      <w:pPr>
        <w:pStyle w:val="113"/>
        <w:tabs>
          <w:tab w:val="left" w:pos="5580"/>
        </w:tabs>
        <w:spacing w:line="360" w:lineRule="auto"/>
        <w:jc w:val="left"/>
        <w:rPr>
          <w:rFonts w:asciiTheme="majorEastAsia" w:hAnsiTheme="majorEastAsia" w:eastAsiaTheme="majorEastAsia"/>
          <w:color w:val="auto"/>
          <w:kern w:val="0"/>
          <w:sz w:val="24"/>
          <w:highlight w:val="none"/>
        </w:rPr>
      </w:pPr>
    </w:p>
    <w:p>
      <w:pPr>
        <w:pStyle w:val="113"/>
        <w:tabs>
          <w:tab w:val="left" w:pos="5580"/>
        </w:tabs>
        <w:spacing w:line="360" w:lineRule="auto"/>
        <w:jc w:val="left"/>
        <w:rPr>
          <w:rFonts w:asciiTheme="majorEastAsia" w:hAnsiTheme="majorEastAsia" w:eastAsiaTheme="majorEastAsia"/>
          <w:color w:val="auto"/>
          <w:kern w:val="0"/>
          <w:sz w:val="24"/>
          <w:highlight w:val="none"/>
        </w:rPr>
      </w:pPr>
    </w:p>
    <w:p>
      <w:pPr>
        <w:pStyle w:val="113"/>
        <w:tabs>
          <w:tab w:val="left" w:pos="5580"/>
        </w:tabs>
        <w:spacing w:line="360" w:lineRule="auto"/>
        <w:jc w:val="left"/>
        <w:rPr>
          <w:rFonts w:asciiTheme="majorEastAsia" w:hAnsiTheme="majorEastAsia" w:eastAsiaTheme="majorEastAsia"/>
          <w:color w:val="auto"/>
          <w:kern w:val="0"/>
          <w:sz w:val="24"/>
          <w:highlight w:val="none"/>
        </w:rPr>
      </w:pPr>
    </w:p>
    <w:p>
      <w:pPr>
        <w:pStyle w:val="124"/>
        <w:spacing w:line="360" w:lineRule="auto"/>
        <w:rPr>
          <w:rFonts w:asciiTheme="majorEastAsia" w:hAnsiTheme="majorEastAsia" w:eastAsiaTheme="majorEastAsia"/>
          <w:color w:val="auto"/>
          <w:kern w:val="0"/>
          <w:sz w:val="24"/>
          <w:highlight w:val="none"/>
        </w:rPr>
      </w:pPr>
    </w:p>
    <w:p>
      <w:pPr>
        <w:pStyle w:val="59"/>
        <w:spacing w:after="100" w:afterAutospacing="1" w:line="240" w:lineRule="exact"/>
        <w:outlineLvl w:val="1"/>
        <w:rPr>
          <w:rFonts w:cs="宋体" w:asciiTheme="majorEastAsia" w:hAnsiTheme="majorEastAsia" w:eastAsiaTheme="majorEastAsia"/>
          <w:color w:val="auto"/>
          <w:highlight w:val="none"/>
        </w:rPr>
      </w:pPr>
      <w:bookmarkStart w:id="405" w:name="_Toc30265"/>
      <w:r>
        <w:rPr>
          <w:rFonts w:hint="eastAsia" w:asciiTheme="majorEastAsia" w:hAnsiTheme="majorEastAsia" w:eastAsiaTheme="majorEastAsia"/>
          <w:color w:val="auto"/>
          <w:highlight w:val="none"/>
        </w:rPr>
        <w:t>&lt;4&gt;</w:t>
      </w:r>
      <w:r>
        <w:rPr>
          <w:rFonts w:hint="eastAsia" w:cs="宋体" w:asciiTheme="majorEastAsia" w:hAnsiTheme="majorEastAsia" w:eastAsiaTheme="majorEastAsia"/>
          <w:color w:val="auto"/>
          <w:highlight w:val="none"/>
        </w:rPr>
        <w:t>投标人认为必要的其他资料</w:t>
      </w:r>
      <w:bookmarkEnd w:id="405"/>
    </w:p>
    <w:p>
      <w:pPr>
        <w:widowControl/>
        <w:jc w:val="left"/>
        <w:rPr>
          <w:rFonts w:cs="宋体" w:asciiTheme="majorEastAsia" w:hAnsiTheme="majorEastAsia" w:eastAsiaTheme="majorEastAsia"/>
          <w:color w:val="auto"/>
          <w:kern w:val="0"/>
          <w:sz w:val="24"/>
          <w:szCs w:val="24"/>
          <w:highlight w:val="none"/>
        </w:rPr>
      </w:pPr>
      <w:r>
        <w:rPr>
          <w:rFonts w:cs="宋体" w:asciiTheme="majorEastAsia" w:hAnsiTheme="majorEastAsia" w:eastAsiaTheme="majorEastAsia"/>
          <w:color w:val="auto"/>
          <w:highlight w:val="none"/>
        </w:rPr>
        <w:br w:type="page"/>
      </w:r>
    </w:p>
    <w:p>
      <w:pPr>
        <w:pStyle w:val="122"/>
        <w:outlineLvl w:val="1"/>
        <w:rPr>
          <w:rFonts w:asciiTheme="majorEastAsia" w:hAnsiTheme="majorEastAsia" w:eastAsiaTheme="majorEastAsia"/>
          <w:color w:val="auto"/>
          <w:highlight w:val="none"/>
        </w:rPr>
      </w:pPr>
      <w:bookmarkStart w:id="406" w:name="_Toc256000110"/>
      <w:r>
        <w:rPr>
          <w:rFonts w:asciiTheme="majorEastAsia" w:hAnsiTheme="majorEastAsia" w:eastAsiaTheme="majorEastAsia"/>
          <w:color w:val="auto"/>
          <w:highlight w:val="none"/>
        </w:rPr>
        <w:t>五、服务文件</w:t>
      </w:r>
      <w:bookmarkEnd w:id="406"/>
    </w:p>
    <w:p>
      <w:pPr>
        <w:pStyle w:val="123"/>
        <w:outlineLvl w:val="2"/>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407" w:name="_Toc256000111"/>
      <w:r>
        <w:rPr>
          <w:rFonts w:asciiTheme="majorEastAsia" w:hAnsiTheme="majorEastAsia" w:eastAsiaTheme="majorEastAsia"/>
          <w:color w:val="auto"/>
          <w:highlight w:val="none"/>
        </w:rPr>
        <w:t>一、投标人自行编写的服务文件</w:t>
      </w:r>
      <w:bookmarkEnd w:id="407"/>
    </w:p>
    <w:p>
      <w:pPr>
        <w:pStyle w:val="124"/>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①货物售后服务：</w:t>
      </w:r>
    </w:p>
    <w:p>
      <w:pPr>
        <w:pStyle w:val="124"/>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&lt;1&gt;货物的保修期和售后服务的程序、内容及措施；</w:t>
      </w:r>
    </w:p>
    <w:p>
      <w:pPr>
        <w:pStyle w:val="124"/>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&lt;2&gt;响应时间和技术支持情况；</w:t>
      </w:r>
    </w:p>
    <w:p>
      <w:pPr>
        <w:pStyle w:val="124"/>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&lt;3&gt;培训方案及内容；</w:t>
      </w:r>
    </w:p>
    <w:p>
      <w:pPr>
        <w:pStyle w:val="124"/>
        <w:spacing w:line="360" w:lineRule="auto"/>
        <w:rPr>
          <w:rFonts w:asciiTheme="majorEastAsia" w:hAnsiTheme="majorEastAsia" w:eastAsiaTheme="majorEastAsia"/>
          <w:color w:val="auto"/>
          <w:sz w:val="24"/>
          <w:highlight w:val="none"/>
        </w:rPr>
      </w:pPr>
      <w:r>
        <w:rPr>
          <w:rFonts w:asciiTheme="majorEastAsia" w:hAnsiTheme="majorEastAsia" w:eastAsiaTheme="majorEastAsia"/>
          <w:color w:val="auto"/>
          <w:kern w:val="0"/>
          <w:sz w:val="24"/>
          <w:highlight w:val="none"/>
        </w:rPr>
        <w:br w:type="page"/>
      </w:r>
      <w:r>
        <w:rPr>
          <w:rFonts w:hint="eastAsia" w:asciiTheme="majorEastAsia" w:hAnsiTheme="majorEastAsia" w:eastAsiaTheme="majorEastAsia"/>
          <w:color w:val="auto"/>
          <w:kern w:val="0"/>
          <w:sz w:val="24"/>
          <w:highlight w:val="none"/>
        </w:rPr>
        <w:t>②售后服务网点明细表（包括联系人、详细地址、电话、传真）及</w:t>
      </w:r>
      <w:r>
        <w:rPr>
          <w:rFonts w:hint="eastAsia" w:asciiTheme="majorEastAsia" w:hAnsiTheme="majorEastAsia" w:eastAsiaTheme="majorEastAsia"/>
          <w:color w:val="auto"/>
          <w:sz w:val="24"/>
          <w:highlight w:val="none"/>
        </w:rPr>
        <w:t>本地化服务情况一览表；</w:t>
      </w:r>
    </w:p>
    <w:p>
      <w:pPr>
        <w:pStyle w:val="124"/>
        <w:spacing w:line="360" w:lineRule="auto"/>
        <w:rPr>
          <w:rFonts w:asciiTheme="majorEastAsia" w:hAnsiTheme="majorEastAsia" w:eastAsiaTheme="majorEastAsia"/>
          <w:color w:val="auto"/>
          <w:sz w:val="24"/>
          <w:highlight w:val="none"/>
        </w:rPr>
      </w:pPr>
    </w:p>
    <w:p>
      <w:pPr>
        <w:pStyle w:val="124"/>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附本地化服务一览表：</w:t>
      </w:r>
    </w:p>
    <w:tbl>
      <w:tblPr>
        <w:tblStyle w:val="38"/>
        <w:tblW w:w="9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0"/>
        <w:gridCol w:w="2940"/>
        <w:gridCol w:w="218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tcPr>
          <w:p>
            <w:pPr>
              <w:pStyle w:val="124"/>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投标人名称</w:t>
            </w:r>
          </w:p>
        </w:tc>
        <w:tc>
          <w:tcPr>
            <w:tcW w:w="7691" w:type="dxa"/>
            <w:gridSpan w:val="3"/>
          </w:tcPr>
          <w:p>
            <w:pPr>
              <w:pStyle w:val="124"/>
              <w:spacing w:line="360" w:lineRule="auto"/>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vAlign w:val="center"/>
          </w:tcPr>
          <w:p>
            <w:pPr>
              <w:pStyle w:val="124"/>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本地化服务形式</w:t>
            </w:r>
          </w:p>
        </w:tc>
        <w:tc>
          <w:tcPr>
            <w:tcW w:w="7691" w:type="dxa"/>
            <w:gridSpan w:val="3"/>
            <w:vAlign w:val="center"/>
          </w:tcPr>
          <w:p>
            <w:pPr>
              <w:pStyle w:val="124"/>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□在本地具有固定的合作伙伴</w:t>
            </w:r>
          </w:p>
          <w:p>
            <w:pPr>
              <w:pStyle w:val="124"/>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□在本地注册成立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vAlign w:val="center"/>
          </w:tcPr>
          <w:p>
            <w:pPr>
              <w:pStyle w:val="124"/>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vAlign w:val="center"/>
          </w:tcPr>
          <w:p>
            <w:pPr>
              <w:pStyle w:val="124"/>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本地化服务地点及联系方式</w:t>
            </w:r>
          </w:p>
        </w:tc>
        <w:tc>
          <w:tcPr>
            <w:tcW w:w="2940" w:type="dxa"/>
            <w:vAlign w:val="center"/>
          </w:tcPr>
          <w:p>
            <w:pPr>
              <w:pStyle w:val="124"/>
              <w:spacing w:line="360" w:lineRule="auto"/>
              <w:jc w:val="center"/>
              <w:rPr>
                <w:rFonts w:asciiTheme="majorEastAsia" w:hAnsiTheme="majorEastAsia" w:eastAsiaTheme="majorEastAsia"/>
                <w:color w:val="auto"/>
                <w:sz w:val="24"/>
                <w:highlight w:val="none"/>
              </w:rPr>
            </w:pPr>
          </w:p>
        </w:tc>
        <w:tc>
          <w:tcPr>
            <w:tcW w:w="2180" w:type="dxa"/>
            <w:vAlign w:val="center"/>
          </w:tcPr>
          <w:p>
            <w:pPr>
              <w:pStyle w:val="124"/>
              <w:spacing w:line="360" w:lineRule="auto"/>
              <w:jc w:val="center"/>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负责人及联系方式（附身份证号码）</w:t>
            </w:r>
          </w:p>
        </w:tc>
        <w:tc>
          <w:tcPr>
            <w:tcW w:w="2571" w:type="dxa"/>
          </w:tcPr>
          <w:p>
            <w:pPr>
              <w:pStyle w:val="124"/>
              <w:spacing w:line="360" w:lineRule="auto"/>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tcPr>
          <w:p>
            <w:pPr>
              <w:pStyle w:val="124"/>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服务人员名单及联系方式（附身份证号码）：</w:t>
            </w:r>
          </w:p>
          <w:p>
            <w:pPr>
              <w:pStyle w:val="124"/>
              <w:spacing w:line="360" w:lineRule="auto"/>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tcPr>
          <w:p>
            <w:pPr>
              <w:pStyle w:val="124"/>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其他有关证明文件说明（如营业执照等）：</w:t>
            </w:r>
          </w:p>
          <w:p>
            <w:pPr>
              <w:pStyle w:val="124"/>
              <w:spacing w:line="360" w:lineRule="auto"/>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tcPr>
          <w:p>
            <w:pPr>
              <w:pStyle w:val="124"/>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备注：1、具有合作伙伴的应填写合作伙伴的相关资料，并提供双方的合作协议以及合作伙伴的营业执照等证明文件。</w:t>
            </w:r>
          </w:p>
          <w:p>
            <w:pPr>
              <w:pStyle w:val="124"/>
              <w:spacing w:line="360" w:lineRule="auto"/>
              <w:ind w:left="2" w:leftChars="1" w:firstLine="720" w:firstLineChars="3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2、如供应商不能提供本地化服务，可不填报。</w:t>
            </w:r>
          </w:p>
        </w:tc>
      </w:tr>
    </w:tbl>
    <w:p>
      <w:pPr>
        <w:pStyle w:val="124"/>
        <w:tabs>
          <w:tab w:val="left" w:pos="6420"/>
        </w:tabs>
        <w:spacing w:line="360" w:lineRule="auto"/>
        <w:rPr>
          <w:rFonts w:asciiTheme="majorEastAsia" w:hAnsiTheme="majorEastAsia" w:eastAsiaTheme="majorEastAsia"/>
          <w:color w:val="auto"/>
          <w:kern w:val="0"/>
          <w:sz w:val="24"/>
          <w:highlight w:val="none"/>
        </w:rPr>
      </w:pPr>
    </w:p>
    <w:p>
      <w:pPr>
        <w:pStyle w:val="124"/>
        <w:tabs>
          <w:tab w:val="left" w:pos="6420"/>
        </w:tabs>
        <w:spacing w:line="360" w:lineRule="auto"/>
        <w:rPr>
          <w:rFonts w:asciiTheme="majorEastAsia" w:hAnsiTheme="majorEastAsia" w:eastAsiaTheme="majorEastAsia"/>
          <w:b/>
          <w:color w:val="auto"/>
          <w:sz w:val="24"/>
          <w:highlight w:val="none"/>
        </w:rPr>
      </w:pPr>
      <w:r>
        <w:rPr>
          <w:rFonts w:asciiTheme="majorEastAsia" w:hAnsiTheme="majorEastAsia" w:eastAsiaTheme="majorEastAsia"/>
          <w:color w:val="auto"/>
          <w:kern w:val="0"/>
          <w:sz w:val="24"/>
          <w:highlight w:val="none"/>
        </w:rPr>
        <w:br w:type="page"/>
      </w:r>
      <w:r>
        <w:rPr>
          <w:rFonts w:hint="eastAsia" w:asciiTheme="majorEastAsia" w:hAnsiTheme="majorEastAsia" w:eastAsiaTheme="majorEastAsia"/>
          <w:color w:val="auto"/>
          <w:kern w:val="0"/>
          <w:sz w:val="24"/>
          <w:highlight w:val="none"/>
        </w:rPr>
        <w:t>③</w:t>
      </w:r>
      <w:r>
        <w:rPr>
          <w:rFonts w:hint="eastAsia" w:asciiTheme="majorEastAsia" w:hAnsiTheme="majorEastAsia" w:eastAsiaTheme="majorEastAsia"/>
          <w:b/>
          <w:color w:val="auto"/>
          <w:sz w:val="24"/>
          <w:highlight w:val="none"/>
        </w:rPr>
        <w:t>服务项目偏离表</w:t>
      </w:r>
    </w:p>
    <w:p>
      <w:pPr>
        <w:pStyle w:val="125"/>
        <w:spacing w:line="360" w:lineRule="auto"/>
        <w:ind w:left="0" w:leftChars="0" w:firstLine="0" w:firstLineChars="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项目编号、包号：</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528"/>
        <w:gridCol w:w="2674"/>
        <w:gridCol w:w="2483"/>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146" w:type="dxa"/>
            <w:tcBorders>
              <w:top w:val="single" w:color="auto" w:sz="12" w:space="0"/>
              <w:left w:val="single" w:color="auto" w:sz="12" w:space="0"/>
            </w:tcBorders>
            <w:vAlign w:val="center"/>
          </w:tcPr>
          <w:p>
            <w:pPr>
              <w:pStyle w:val="124"/>
              <w:tabs>
                <w:tab w:val="left" w:pos="1337"/>
              </w:tabs>
              <w:spacing w:line="360" w:lineRule="auto"/>
              <w:jc w:val="center"/>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序号</w:t>
            </w:r>
          </w:p>
        </w:tc>
        <w:tc>
          <w:tcPr>
            <w:tcW w:w="1528" w:type="dxa"/>
            <w:tcBorders>
              <w:top w:val="single" w:color="auto" w:sz="12" w:space="0"/>
            </w:tcBorders>
            <w:vAlign w:val="center"/>
          </w:tcPr>
          <w:p>
            <w:pPr>
              <w:pStyle w:val="124"/>
              <w:tabs>
                <w:tab w:val="left" w:pos="1337"/>
              </w:tabs>
              <w:spacing w:line="360" w:lineRule="auto"/>
              <w:jc w:val="center"/>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招标文件</w:t>
            </w:r>
          </w:p>
          <w:p>
            <w:pPr>
              <w:pStyle w:val="124"/>
              <w:tabs>
                <w:tab w:val="left" w:pos="1337"/>
              </w:tabs>
              <w:spacing w:line="360" w:lineRule="auto"/>
              <w:jc w:val="center"/>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条款号</w:t>
            </w:r>
          </w:p>
        </w:tc>
        <w:tc>
          <w:tcPr>
            <w:tcW w:w="2674" w:type="dxa"/>
            <w:tcBorders>
              <w:top w:val="single" w:color="auto" w:sz="12" w:space="0"/>
            </w:tcBorders>
            <w:vAlign w:val="center"/>
          </w:tcPr>
          <w:p>
            <w:pPr>
              <w:pStyle w:val="124"/>
              <w:tabs>
                <w:tab w:val="left" w:pos="1337"/>
              </w:tabs>
              <w:spacing w:line="360" w:lineRule="auto"/>
              <w:jc w:val="center"/>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招标文件的服务条款</w:t>
            </w:r>
          </w:p>
        </w:tc>
        <w:tc>
          <w:tcPr>
            <w:tcW w:w="2483" w:type="dxa"/>
            <w:tcBorders>
              <w:top w:val="single" w:color="auto" w:sz="12" w:space="0"/>
            </w:tcBorders>
            <w:vAlign w:val="center"/>
          </w:tcPr>
          <w:p>
            <w:pPr>
              <w:pStyle w:val="124"/>
              <w:tabs>
                <w:tab w:val="left" w:pos="1337"/>
              </w:tabs>
              <w:spacing w:line="360" w:lineRule="auto"/>
              <w:jc w:val="center"/>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投标文件的服务条款</w:t>
            </w:r>
          </w:p>
        </w:tc>
        <w:tc>
          <w:tcPr>
            <w:tcW w:w="1146" w:type="dxa"/>
            <w:tcBorders>
              <w:top w:val="single" w:color="auto" w:sz="12" w:space="0"/>
              <w:right w:val="single" w:color="auto" w:sz="12" w:space="0"/>
            </w:tcBorders>
            <w:vAlign w:val="center"/>
          </w:tcPr>
          <w:p>
            <w:pPr>
              <w:pStyle w:val="124"/>
              <w:tabs>
                <w:tab w:val="left" w:pos="1337"/>
              </w:tabs>
              <w:spacing w:line="360" w:lineRule="auto"/>
              <w:jc w:val="center"/>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1528" w:type="dxa"/>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2674" w:type="dxa"/>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2483" w:type="dxa"/>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1146" w:type="dxa"/>
            <w:tcBorders>
              <w:right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1528" w:type="dxa"/>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2674" w:type="dxa"/>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2483" w:type="dxa"/>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1146" w:type="dxa"/>
            <w:tcBorders>
              <w:right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46" w:type="dxa"/>
            <w:tcBorders>
              <w:left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1528" w:type="dxa"/>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2674" w:type="dxa"/>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2483" w:type="dxa"/>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1146" w:type="dxa"/>
            <w:tcBorders>
              <w:right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46" w:type="dxa"/>
            <w:tcBorders>
              <w:left w:val="single" w:color="auto" w:sz="12" w:space="0"/>
              <w:bottom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1528" w:type="dxa"/>
            <w:tcBorders>
              <w:bottom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2674" w:type="dxa"/>
            <w:tcBorders>
              <w:bottom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2483" w:type="dxa"/>
            <w:tcBorders>
              <w:bottom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c>
          <w:tcPr>
            <w:tcW w:w="1146" w:type="dxa"/>
            <w:tcBorders>
              <w:bottom w:val="single" w:color="auto" w:sz="12" w:space="0"/>
              <w:right w:val="single" w:color="auto" w:sz="12" w:space="0"/>
            </w:tcBorders>
            <w:vAlign w:val="center"/>
          </w:tcPr>
          <w:p>
            <w:pPr>
              <w:pStyle w:val="124"/>
              <w:tabs>
                <w:tab w:val="left" w:pos="1337"/>
              </w:tabs>
              <w:spacing w:line="360" w:lineRule="auto"/>
              <w:jc w:val="center"/>
              <w:rPr>
                <w:rFonts w:asciiTheme="majorEastAsia" w:hAnsiTheme="majorEastAsia" w:eastAsiaTheme="majorEastAsia"/>
                <w:color w:val="auto"/>
                <w:sz w:val="24"/>
                <w:highlight w:val="none"/>
              </w:rPr>
            </w:pPr>
          </w:p>
        </w:tc>
      </w:tr>
    </w:tbl>
    <w:p>
      <w:pPr>
        <w:pStyle w:val="124"/>
        <w:spacing w:line="360" w:lineRule="auto"/>
        <w:ind w:left="2"/>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说明：投标人需逐项填写《服务项目偏离表》。</w:t>
      </w:r>
    </w:p>
    <w:p>
      <w:pPr>
        <w:pStyle w:val="124"/>
        <w:spacing w:line="360" w:lineRule="auto"/>
        <w:ind w:left="2"/>
        <w:rPr>
          <w:rFonts w:asciiTheme="majorEastAsia" w:hAnsiTheme="majorEastAsia" w:eastAsiaTheme="majorEastAsia"/>
          <w:color w:val="auto"/>
          <w:sz w:val="24"/>
          <w:highlight w:val="none"/>
        </w:rPr>
      </w:pPr>
    </w:p>
    <w:p>
      <w:pPr>
        <w:pStyle w:val="124"/>
        <w:spacing w:line="360" w:lineRule="auto"/>
        <w:ind w:left="2"/>
        <w:rPr>
          <w:rFonts w:asciiTheme="majorEastAsia" w:hAnsiTheme="majorEastAsia" w:eastAsiaTheme="majorEastAsia"/>
          <w:color w:val="auto"/>
          <w:sz w:val="24"/>
          <w:highlight w:val="none"/>
        </w:rPr>
      </w:pPr>
    </w:p>
    <w:p>
      <w:pPr>
        <w:pStyle w:val="124"/>
        <w:spacing w:line="360" w:lineRule="auto"/>
        <w:ind w:left="2"/>
        <w:rPr>
          <w:rFonts w:asciiTheme="majorEastAsia" w:hAnsiTheme="majorEastAsia" w:eastAsiaTheme="majorEastAsia"/>
          <w:color w:val="auto"/>
          <w:sz w:val="24"/>
          <w:highlight w:val="none"/>
        </w:rPr>
      </w:pPr>
    </w:p>
    <w:p>
      <w:pPr>
        <w:pStyle w:val="124"/>
        <w:spacing w:line="360" w:lineRule="auto"/>
        <w:ind w:left="2"/>
        <w:jc w:val="righ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年月日</w:t>
      </w:r>
    </w:p>
    <w:p>
      <w:pPr>
        <w:rPr>
          <w:rFonts w:asciiTheme="majorEastAsia" w:hAnsiTheme="majorEastAsia" w:eastAsiaTheme="majorEastAsia"/>
          <w:color w:val="auto"/>
          <w:highlight w:val="none"/>
        </w:rPr>
      </w:pPr>
    </w:p>
    <w:p>
      <w:pPr>
        <w:pStyle w:val="59"/>
        <w:spacing w:after="100" w:afterAutospacing="1" w:line="240" w:lineRule="exact"/>
        <w:outlineLvl w:val="1"/>
        <w:rPr>
          <w:rFonts w:cs="宋体" w:asciiTheme="majorEastAsia" w:hAnsiTheme="majorEastAsia" w:eastAsiaTheme="majorEastAsia"/>
          <w:color w:val="auto"/>
          <w:highlight w:val="none"/>
        </w:rPr>
      </w:pPr>
    </w:p>
    <w:p>
      <w:pPr>
        <w:pStyle w:val="124"/>
        <w:spacing w:line="360" w:lineRule="auto"/>
        <w:rPr>
          <w:rFonts w:asciiTheme="majorEastAsia" w:hAnsiTheme="majorEastAsia" w:eastAsiaTheme="majorEastAsia"/>
          <w:color w:val="auto"/>
          <w:kern w:val="0"/>
          <w:sz w:val="24"/>
          <w:highlight w:val="none"/>
        </w:rPr>
      </w:pPr>
    </w:p>
    <w:sectPr>
      <w:pgSz w:w="11906" w:h="16838"/>
      <w:pgMar w:top="1440" w:right="1803" w:bottom="1440" w:left="1803" w:header="851" w:footer="99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MS Sans Serif">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9"/>
                          </w:pPr>
                          <w:r>
                            <w:fldChar w:fldCharType="begin"/>
                          </w:r>
                          <w:r>
                            <w:instrText xml:space="preserve"> PAGE  \* MERGEFORMAT </w:instrText>
                          </w:r>
                          <w:r>
                            <w:fldChar w:fldCharType="separate"/>
                          </w:r>
                          <w:r>
                            <w:t>91</w:t>
                          </w:r>
                          <w:r>
                            <w:fldChar w:fldCharType="end"/>
                          </w:r>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&#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L3UTQAAAAAgEAAA8AAAAAAAAAAQAgAAAAIgAAAGRy&#10;cy9kb3ducmV2LnhtbFBLAQIUABQAAAAIAIdO4kAe5bvyDQIAAAQEAAAOAAAAAAAAAAEAIAAAAB8B&#10;AABkcnMvZTJvRG9jLnhtbFBLBQYAAAAABgAGAFkBAACe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66700" cy="334010"/>
              <wp:effectExtent l="0" t="0" r="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266700" cy="334010"/>
                      </a:xfrm>
                      <a:prstGeom prst="rect">
                        <a:avLst/>
                      </a:prstGeom>
                      <a:noFill/>
                      <a:ln>
                        <a:noFill/>
                      </a:ln>
                    </wps:spPr>
                    <wps:txbx>
                      <w:txbxContent>
                        <w:p>
                          <w:pPr>
                            <w:pStyle w:val="29"/>
                          </w:pPr>
                          <w:r>
                            <w:fldChar w:fldCharType="begin"/>
                          </w:r>
                          <w:r>
                            <w:instrText xml:space="preserve"> PAGE  \* MERGEFORMAT </w:instrText>
                          </w:r>
                          <w:r>
                            <w:fldChar w:fldCharType="separate"/>
                          </w:r>
                          <w:r>
                            <w:t>47</w:t>
                          </w:r>
                          <w:r>
                            <w:fldChar w:fldCharType="end"/>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top:0pt;height:26.3pt;width:21pt;mso-position-horizontal:center;mso-position-horizontal-relative:margin;z-index:251659264;mso-width-relative:page;mso-height-relative:page;" filled="f" stroked="f" coordsize="21600,21600" o:gfxdata="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TSa40gAAAAMBAAAPAAAAAAAAAAEAIAAAACIAAABkcnMvZG93bnJldi54bWxQSwEC&#10;FAAUAAAACACHTuJAOAvuCvoBAAADBAAADgAAAAAAAAABACAAAAAhAQAAZHJzL2Uyb0RvYy54bWxQ&#10;SwUGAAAAAAYABgBZAQAAjQUAAAAA&#10;">
              <v:fill on="f" focussize="0,0"/>
              <v:stroke on="f"/>
              <v:imagedata o:title=""/>
              <o:lock v:ext="edit" aspectratio="f"/>
              <v:textbox inset="0mm,0mm,0mm,0mm">
                <w:txbxContent>
                  <w:p>
                    <w:pPr>
                      <w:pStyle w:val="29"/>
                    </w:pPr>
                    <w:r>
                      <w:fldChar w:fldCharType="begin"/>
                    </w:r>
                    <w:r>
                      <w:instrText xml:space="preserve"> PAGE  \* MERGEFORMAT </w:instrText>
                    </w:r>
                    <w:r>
                      <w:fldChar w:fldCharType="separate"/>
                    </w:r>
                    <w:r>
                      <w:t>47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B8D9AF"/>
    <w:multiLevelType w:val="singleLevel"/>
    <w:tmpl w:val="C2B8D9AF"/>
    <w:lvl w:ilvl="0" w:tentative="0">
      <w:start w:val="3"/>
      <w:numFmt w:val="decimal"/>
      <w:lvlText w:val="%1."/>
      <w:lvlJc w:val="left"/>
      <w:pPr>
        <w:tabs>
          <w:tab w:val="left" w:pos="312"/>
        </w:tabs>
      </w:pPr>
    </w:lvl>
  </w:abstractNum>
  <w:abstractNum w:abstractNumId="1">
    <w:nsid w:val="D98744C9"/>
    <w:multiLevelType w:val="singleLevel"/>
    <w:tmpl w:val="D98744C9"/>
    <w:lvl w:ilvl="0" w:tentative="0">
      <w:start w:val="5"/>
      <w:numFmt w:val="chineseCounting"/>
      <w:suff w:val="space"/>
      <w:lvlText w:val="第%1部分"/>
      <w:lvlJc w:val="left"/>
      <w:rPr>
        <w:rFonts w:hint="eastAsia"/>
      </w:rPr>
    </w:lvl>
  </w:abstractNum>
  <w:abstractNum w:abstractNumId="2">
    <w:nsid w:val="E4625B5F"/>
    <w:multiLevelType w:val="singleLevel"/>
    <w:tmpl w:val="E4625B5F"/>
    <w:lvl w:ilvl="0" w:tentative="0">
      <w:start w:val="3"/>
      <w:numFmt w:val="decimal"/>
      <w:suff w:val="space"/>
      <w:lvlText w:val="%1."/>
      <w:lvlJc w:val="left"/>
    </w:lvl>
  </w:abstractNum>
  <w:abstractNum w:abstractNumId="3">
    <w:nsid w:val="F1E07BE7"/>
    <w:multiLevelType w:val="singleLevel"/>
    <w:tmpl w:val="F1E07BE7"/>
    <w:lvl w:ilvl="0" w:tentative="0">
      <w:start w:val="2"/>
      <w:numFmt w:val="chineseCounting"/>
      <w:suff w:val="nothing"/>
      <w:lvlText w:val="%1、"/>
      <w:lvlJc w:val="left"/>
      <w:rPr>
        <w:rFonts w:hint="eastAsia"/>
      </w:rPr>
    </w:lvl>
  </w:abstractNum>
  <w:abstractNum w:abstractNumId="4">
    <w:nsid w:val="F6A0C434"/>
    <w:multiLevelType w:val="singleLevel"/>
    <w:tmpl w:val="F6A0C434"/>
    <w:lvl w:ilvl="0" w:tentative="0">
      <w:start w:val="1"/>
      <w:numFmt w:val="decimal"/>
      <w:suff w:val="space"/>
      <w:lvlText w:val="%1."/>
      <w:lvlJc w:val="left"/>
    </w:lvl>
  </w:abstractNum>
  <w:abstractNum w:abstractNumId="5">
    <w:nsid w:val="FF9FCD13"/>
    <w:multiLevelType w:val="singleLevel"/>
    <w:tmpl w:val="FF9FCD13"/>
    <w:lvl w:ilvl="0" w:tentative="0">
      <w:start w:val="2"/>
      <w:numFmt w:val="decimal"/>
      <w:suff w:val="nothing"/>
      <w:lvlText w:val="%1）"/>
      <w:lvlJc w:val="left"/>
    </w:lvl>
  </w:abstractNum>
  <w:abstractNum w:abstractNumId="6">
    <w:nsid w:val="3E586FC6"/>
    <w:multiLevelType w:val="multilevel"/>
    <w:tmpl w:val="3E586FC6"/>
    <w:lvl w:ilvl="0" w:tentative="0">
      <w:start w:val="16"/>
      <w:numFmt w:val="decimal"/>
      <w:lvlText w:val="%1"/>
      <w:lvlJc w:val="left"/>
      <w:pPr>
        <w:ind w:left="480" w:hanging="480"/>
      </w:pPr>
      <w:rPr>
        <w:rFonts w:hint="default"/>
      </w:rPr>
    </w:lvl>
    <w:lvl w:ilvl="1" w:tentative="0">
      <w:start w:val="3"/>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7">
    <w:nsid w:val="5BAF8D06"/>
    <w:multiLevelType w:val="singleLevel"/>
    <w:tmpl w:val="5BAF8D06"/>
    <w:lvl w:ilvl="0" w:tentative="0">
      <w:start w:val="2"/>
      <w:numFmt w:val="decimal"/>
      <w:lvlText w:val="%1."/>
      <w:lvlJc w:val="left"/>
      <w:pPr>
        <w:tabs>
          <w:tab w:val="left" w:pos="312"/>
        </w:tabs>
      </w:pPr>
    </w:lvl>
  </w:abstractNum>
  <w:abstractNum w:abstractNumId="8">
    <w:nsid w:val="5F099C68"/>
    <w:multiLevelType w:val="singleLevel"/>
    <w:tmpl w:val="5F099C68"/>
    <w:lvl w:ilvl="0" w:tentative="0">
      <w:start w:val="22"/>
      <w:numFmt w:val="decimal"/>
      <w:suff w:val="space"/>
      <w:lvlText w:val="%1."/>
      <w:lvlJc w:val="left"/>
    </w:lvl>
  </w:abstractNum>
  <w:abstractNum w:abstractNumId="9">
    <w:nsid w:val="734FAA12"/>
    <w:multiLevelType w:val="singleLevel"/>
    <w:tmpl w:val="734FAA12"/>
    <w:lvl w:ilvl="0" w:tentative="0">
      <w:start w:val="12"/>
      <w:numFmt w:val="decimal"/>
      <w:suff w:val="space"/>
      <w:lvlText w:val="%1."/>
      <w:lvlJc w:val="left"/>
    </w:lvl>
  </w:abstractNum>
  <w:abstractNum w:abstractNumId="10">
    <w:nsid w:val="7D99202C"/>
    <w:multiLevelType w:val="singleLevel"/>
    <w:tmpl w:val="7D99202C"/>
    <w:lvl w:ilvl="0" w:tentative="0">
      <w:start w:val="1"/>
      <w:numFmt w:val="decimal"/>
      <w:suff w:val="nothing"/>
      <w:lvlText w:val="%1、"/>
      <w:lvlJc w:val="left"/>
    </w:lvl>
  </w:abstractNum>
  <w:abstractNum w:abstractNumId="11">
    <w:nsid w:val="7D992033"/>
    <w:multiLevelType w:val="multilevel"/>
    <w:tmpl w:val="7D992033"/>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7"/>
  </w:num>
  <w:num w:numId="4">
    <w:abstractNumId w:val="1"/>
  </w:num>
  <w:num w:numId="5">
    <w:abstractNumId w:val="4"/>
  </w:num>
  <w:num w:numId="6">
    <w:abstractNumId w:val="2"/>
  </w:num>
  <w:num w:numId="7">
    <w:abstractNumId w:val="5"/>
  </w:num>
  <w:num w:numId="8">
    <w:abstractNumId w:val="9"/>
  </w:num>
  <w:num w:numId="9">
    <w:abstractNumId w:val="6"/>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hideSpellingErrors/>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1MzNjNzc2Y2ZjNDk2M2JiNjk0NTA4ZDRkOGMyODgifQ=="/>
  </w:docVars>
  <w:rsids>
    <w:rsidRoot w:val="0006420E"/>
    <w:rsid w:val="0000146F"/>
    <w:rsid w:val="000021BF"/>
    <w:rsid w:val="00005D70"/>
    <w:rsid w:val="00006B6E"/>
    <w:rsid w:val="00006F7B"/>
    <w:rsid w:val="00007B89"/>
    <w:rsid w:val="00007CCC"/>
    <w:rsid w:val="00013A51"/>
    <w:rsid w:val="00016DC9"/>
    <w:rsid w:val="00020064"/>
    <w:rsid w:val="00024A48"/>
    <w:rsid w:val="00024D30"/>
    <w:rsid w:val="0003122A"/>
    <w:rsid w:val="00037192"/>
    <w:rsid w:val="0004007C"/>
    <w:rsid w:val="00040A43"/>
    <w:rsid w:val="0004226B"/>
    <w:rsid w:val="00046D23"/>
    <w:rsid w:val="00047A69"/>
    <w:rsid w:val="00047B1A"/>
    <w:rsid w:val="000514BF"/>
    <w:rsid w:val="00052837"/>
    <w:rsid w:val="0006066A"/>
    <w:rsid w:val="000614C3"/>
    <w:rsid w:val="0006420E"/>
    <w:rsid w:val="00066A47"/>
    <w:rsid w:val="00077732"/>
    <w:rsid w:val="0008632C"/>
    <w:rsid w:val="00095802"/>
    <w:rsid w:val="00096562"/>
    <w:rsid w:val="000967F3"/>
    <w:rsid w:val="000A0D1F"/>
    <w:rsid w:val="000A2776"/>
    <w:rsid w:val="000A7FF0"/>
    <w:rsid w:val="000B7B92"/>
    <w:rsid w:val="000C23ED"/>
    <w:rsid w:val="000C4D04"/>
    <w:rsid w:val="000C6C52"/>
    <w:rsid w:val="000D2790"/>
    <w:rsid w:val="000D441F"/>
    <w:rsid w:val="000D4EF8"/>
    <w:rsid w:val="000D5990"/>
    <w:rsid w:val="000D7C11"/>
    <w:rsid w:val="000E1974"/>
    <w:rsid w:val="000E2A1F"/>
    <w:rsid w:val="000E55A8"/>
    <w:rsid w:val="000E6763"/>
    <w:rsid w:val="000E6F98"/>
    <w:rsid w:val="000F3A6B"/>
    <w:rsid w:val="000F5A05"/>
    <w:rsid w:val="001014DA"/>
    <w:rsid w:val="00101891"/>
    <w:rsid w:val="00107E29"/>
    <w:rsid w:val="00112301"/>
    <w:rsid w:val="00112BC6"/>
    <w:rsid w:val="00120627"/>
    <w:rsid w:val="00120A20"/>
    <w:rsid w:val="00122B26"/>
    <w:rsid w:val="00123A13"/>
    <w:rsid w:val="00125894"/>
    <w:rsid w:val="0012791D"/>
    <w:rsid w:val="00132BCA"/>
    <w:rsid w:val="00133DDB"/>
    <w:rsid w:val="00135703"/>
    <w:rsid w:val="00136728"/>
    <w:rsid w:val="00137950"/>
    <w:rsid w:val="00142BB6"/>
    <w:rsid w:val="00144476"/>
    <w:rsid w:val="0014476E"/>
    <w:rsid w:val="0014493B"/>
    <w:rsid w:val="001509EB"/>
    <w:rsid w:val="00151482"/>
    <w:rsid w:val="0015188F"/>
    <w:rsid w:val="00152953"/>
    <w:rsid w:val="0015519F"/>
    <w:rsid w:val="00156746"/>
    <w:rsid w:val="00157AD7"/>
    <w:rsid w:val="00165DAE"/>
    <w:rsid w:val="00171B59"/>
    <w:rsid w:val="00171DDB"/>
    <w:rsid w:val="001720AA"/>
    <w:rsid w:val="0017554A"/>
    <w:rsid w:val="00181A0D"/>
    <w:rsid w:val="001909E2"/>
    <w:rsid w:val="00194083"/>
    <w:rsid w:val="001A0793"/>
    <w:rsid w:val="001A6598"/>
    <w:rsid w:val="001A70DB"/>
    <w:rsid w:val="001B6F5B"/>
    <w:rsid w:val="001C2170"/>
    <w:rsid w:val="001C4A73"/>
    <w:rsid w:val="001C5526"/>
    <w:rsid w:val="001C582F"/>
    <w:rsid w:val="001D0156"/>
    <w:rsid w:val="001D3CB4"/>
    <w:rsid w:val="001D5EC4"/>
    <w:rsid w:val="001D6249"/>
    <w:rsid w:val="001E4248"/>
    <w:rsid w:val="001E5ED9"/>
    <w:rsid w:val="001E69E1"/>
    <w:rsid w:val="001F1CC3"/>
    <w:rsid w:val="001F2265"/>
    <w:rsid w:val="002019D5"/>
    <w:rsid w:val="00201DAC"/>
    <w:rsid w:val="002023C4"/>
    <w:rsid w:val="00203171"/>
    <w:rsid w:val="00204044"/>
    <w:rsid w:val="00206715"/>
    <w:rsid w:val="0020743F"/>
    <w:rsid w:val="0021000F"/>
    <w:rsid w:val="00221E9D"/>
    <w:rsid w:val="002229CD"/>
    <w:rsid w:val="00241149"/>
    <w:rsid w:val="0024556C"/>
    <w:rsid w:val="0025191C"/>
    <w:rsid w:val="0025378E"/>
    <w:rsid w:val="00257DFC"/>
    <w:rsid w:val="00257E04"/>
    <w:rsid w:val="00264C0A"/>
    <w:rsid w:val="00265B3B"/>
    <w:rsid w:val="0026648B"/>
    <w:rsid w:val="00270CD2"/>
    <w:rsid w:val="00272246"/>
    <w:rsid w:val="00273622"/>
    <w:rsid w:val="00273AE6"/>
    <w:rsid w:val="00275180"/>
    <w:rsid w:val="00275F0A"/>
    <w:rsid w:val="00277BEE"/>
    <w:rsid w:val="00280A5C"/>
    <w:rsid w:val="00282987"/>
    <w:rsid w:val="0028334D"/>
    <w:rsid w:val="00293366"/>
    <w:rsid w:val="00296302"/>
    <w:rsid w:val="00297036"/>
    <w:rsid w:val="00297473"/>
    <w:rsid w:val="002A010E"/>
    <w:rsid w:val="002A691F"/>
    <w:rsid w:val="002B0AAC"/>
    <w:rsid w:val="002B132C"/>
    <w:rsid w:val="002B1408"/>
    <w:rsid w:val="002B170A"/>
    <w:rsid w:val="002B1D34"/>
    <w:rsid w:val="002B268A"/>
    <w:rsid w:val="002B3058"/>
    <w:rsid w:val="002B60D0"/>
    <w:rsid w:val="002B6F79"/>
    <w:rsid w:val="002C3676"/>
    <w:rsid w:val="002C68B7"/>
    <w:rsid w:val="002D7862"/>
    <w:rsid w:val="002D79A9"/>
    <w:rsid w:val="002E2A70"/>
    <w:rsid w:val="002E2C9F"/>
    <w:rsid w:val="002E2FCC"/>
    <w:rsid w:val="002E323E"/>
    <w:rsid w:val="002E3965"/>
    <w:rsid w:val="002E6535"/>
    <w:rsid w:val="0030471C"/>
    <w:rsid w:val="0031024B"/>
    <w:rsid w:val="0031231E"/>
    <w:rsid w:val="00313158"/>
    <w:rsid w:val="00314D59"/>
    <w:rsid w:val="00315155"/>
    <w:rsid w:val="003202D9"/>
    <w:rsid w:val="00324C62"/>
    <w:rsid w:val="00324DFE"/>
    <w:rsid w:val="003263AA"/>
    <w:rsid w:val="003322A8"/>
    <w:rsid w:val="00334463"/>
    <w:rsid w:val="003345A9"/>
    <w:rsid w:val="00336E35"/>
    <w:rsid w:val="00342A84"/>
    <w:rsid w:val="0034441E"/>
    <w:rsid w:val="003463D5"/>
    <w:rsid w:val="00351C0E"/>
    <w:rsid w:val="003525D7"/>
    <w:rsid w:val="00357A86"/>
    <w:rsid w:val="00361B75"/>
    <w:rsid w:val="0037147F"/>
    <w:rsid w:val="00372D8C"/>
    <w:rsid w:val="00373ED3"/>
    <w:rsid w:val="00374085"/>
    <w:rsid w:val="003760B2"/>
    <w:rsid w:val="003770AB"/>
    <w:rsid w:val="0038041F"/>
    <w:rsid w:val="00381AEB"/>
    <w:rsid w:val="003878B8"/>
    <w:rsid w:val="00387F66"/>
    <w:rsid w:val="00391024"/>
    <w:rsid w:val="00392215"/>
    <w:rsid w:val="0039392A"/>
    <w:rsid w:val="00393B4E"/>
    <w:rsid w:val="003A00F6"/>
    <w:rsid w:val="003A02B1"/>
    <w:rsid w:val="003A0763"/>
    <w:rsid w:val="003A3638"/>
    <w:rsid w:val="003A379B"/>
    <w:rsid w:val="003A7EFB"/>
    <w:rsid w:val="003B4B4B"/>
    <w:rsid w:val="003B61D1"/>
    <w:rsid w:val="003B7EB6"/>
    <w:rsid w:val="003C1206"/>
    <w:rsid w:val="003D1BA1"/>
    <w:rsid w:val="003D7968"/>
    <w:rsid w:val="003E305C"/>
    <w:rsid w:val="003E34C8"/>
    <w:rsid w:val="003E7BDF"/>
    <w:rsid w:val="003F0749"/>
    <w:rsid w:val="00402D6B"/>
    <w:rsid w:val="004063F7"/>
    <w:rsid w:val="00406776"/>
    <w:rsid w:val="0040748A"/>
    <w:rsid w:val="00414CD8"/>
    <w:rsid w:val="0041706E"/>
    <w:rsid w:val="0042576A"/>
    <w:rsid w:val="00426AD8"/>
    <w:rsid w:val="0043586F"/>
    <w:rsid w:val="0043633D"/>
    <w:rsid w:val="00444713"/>
    <w:rsid w:val="00450986"/>
    <w:rsid w:val="00457771"/>
    <w:rsid w:val="004618DA"/>
    <w:rsid w:val="00465BBB"/>
    <w:rsid w:val="004718D0"/>
    <w:rsid w:val="0047758F"/>
    <w:rsid w:val="00481056"/>
    <w:rsid w:val="00483A49"/>
    <w:rsid w:val="004919E6"/>
    <w:rsid w:val="00496AF1"/>
    <w:rsid w:val="004A1AA9"/>
    <w:rsid w:val="004A3B15"/>
    <w:rsid w:val="004A5CE7"/>
    <w:rsid w:val="004B502F"/>
    <w:rsid w:val="004B6768"/>
    <w:rsid w:val="004B7574"/>
    <w:rsid w:val="004C0B4C"/>
    <w:rsid w:val="004C0D45"/>
    <w:rsid w:val="004C59EC"/>
    <w:rsid w:val="004C6655"/>
    <w:rsid w:val="004C77EB"/>
    <w:rsid w:val="004D17FB"/>
    <w:rsid w:val="004D1ADB"/>
    <w:rsid w:val="004E3385"/>
    <w:rsid w:val="004E34BC"/>
    <w:rsid w:val="004E3EBC"/>
    <w:rsid w:val="004E72BE"/>
    <w:rsid w:val="004F017F"/>
    <w:rsid w:val="004F1C1B"/>
    <w:rsid w:val="0050209A"/>
    <w:rsid w:val="00503996"/>
    <w:rsid w:val="00515A3C"/>
    <w:rsid w:val="005165E2"/>
    <w:rsid w:val="00520EEA"/>
    <w:rsid w:val="00521BFA"/>
    <w:rsid w:val="00522A12"/>
    <w:rsid w:val="00524857"/>
    <w:rsid w:val="00530723"/>
    <w:rsid w:val="0053724B"/>
    <w:rsid w:val="00540F58"/>
    <w:rsid w:val="00542C5F"/>
    <w:rsid w:val="00544BD3"/>
    <w:rsid w:val="00546650"/>
    <w:rsid w:val="00554736"/>
    <w:rsid w:val="00554B3E"/>
    <w:rsid w:val="00563E58"/>
    <w:rsid w:val="00565A4F"/>
    <w:rsid w:val="0057206A"/>
    <w:rsid w:val="00572795"/>
    <w:rsid w:val="00586D25"/>
    <w:rsid w:val="005875E0"/>
    <w:rsid w:val="00587DDB"/>
    <w:rsid w:val="005974F1"/>
    <w:rsid w:val="005A172D"/>
    <w:rsid w:val="005A682F"/>
    <w:rsid w:val="005B0560"/>
    <w:rsid w:val="005B4F83"/>
    <w:rsid w:val="005C3079"/>
    <w:rsid w:val="005C406B"/>
    <w:rsid w:val="005C46B5"/>
    <w:rsid w:val="005D03F6"/>
    <w:rsid w:val="005D0868"/>
    <w:rsid w:val="005D15F6"/>
    <w:rsid w:val="005D5C0A"/>
    <w:rsid w:val="005D677F"/>
    <w:rsid w:val="005D70E2"/>
    <w:rsid w:val="005E1106"/>
    <w:rsid w:val="005E5319"/>
    <w:rsid w:val="005E7622"/>
    <w:rsid w:val="005E77A1"/>
    <w:rsid w:val="005F2B1B"/>
    <w:rsid w:val="00601772"/>
    <w:rsid w:val="0060536E"/>
    <w:rsid w:val="00605A03"/>
    <w:rsid w:val="006062C9"/>
    <w:rsid w:val="0060777C"/>
    <w:rsid w:val="006100A8"/>
    <w:rsid w:val="00611176"/>
    <w:rsid w:val="00611DB0"/>
    <w:rsid w:val="006120A8"/>
    <w:rsid w:val="00617E36"/>
    <w:rsid w:val="00622AE1"/>
    <w:rsid w:val="0062331A"/>
    <w:rsid w:val="006242E5"/>
    <w:rsid w:val="00632A8E"/>
    <w:rsid w:val="006344A1"/>
    <w:rsid w:val="0063556D"/>
    <w:rsid w:val="0064055F"/>
    <w:rsid w:val="00654C48"/>
    <w:rsid w:val="006637B3"/>
    <w:rsid w:val="00667A1A"/>
    <w:rsid w:val="00675B4B"/>
    <w:rsid w:val="00677A6B"/>
    <w:rsid w:val="00687A75"/>
    <w:rsid w:val="006920C7"/>
    <w:rsid w:val="00692EAE"/>
    <w:rsid w:val="00693848"/>
    <w:rsid w:val="00696D1E"/>
    <w:rsid w:val="006A4840"/>
    <w:rsid w:val="006A5A3E"/>
    <w:rsid w:val="006A5A58"/>
    <w:rsid w:val="006A6BB7"/>
    <w:rsid w:val="006A6D9A"/>
    <w:rsid w:val="006A6F58"/>
    <w:rsid w:val="006A6FBF"/>
    <w:rsid w:val="006A7064"/>
    <w:rsid w:val="006A72AA"/>
    <w:rsid w:val="006B1F0D"/>
    <w:rsid w:val="006B259A"/>
    <w:rsid w:val="006C0AF6"/>
    <w:rsid w:val="006C0E0A"/>
    <w:rsid w:val="006C229C"/>
    <w:rsid w:val="006C73FD"/>
    <w:rsid w:val="006D11A1"/>
    <w:rsid w:val="006D1ADA"/>
    <w:rsid w:val="006D6C77"/>
    <w:rsid w:val="006D72EA"/>
    <w:rsid w:val="006E24EF"/>
    <w:rsid w:val="006E4284"/>
    <w:rsid w:val="006F27DD"/>
    <w:rsid w:val="006F2AA4"/>
    <w:rsid w:val="006F44BB"/>
    <w:rsid w:val="006F4585"/>
    <w:rsid w:val="006F513A"/>
    <w:rsid w:val="006F6A76"/>
    <w:rsid w:val="00704ADB"/>
    <w:rsid w:val="0071102A"/>
    <w:rsid w:val="00711461"/>
    <w:rsid w:val="00712766"/>
    <w:rsid w:val="007131DE"/>
    <w:rsid w:val="007132AD"/>
    <w:rsid w:val="007165AC"/>
    <w:rsid w:val="007276F9"/>
    <w:rsid w:val="00730C4B"/>
    <w:rsid w:val="00732954"/>
    <w:rsid w:val="00737B00"/>
    <w:rsid w:val="00737F69"/>
    <w:rsid w:val="0074155E"/>
    <w:rsid w:val="00741A64"/>
    <w:rsid w:val="00743D69"/>
    <w:rsid w:val="007455DD"/>
    <w:rsid w:val="007475F0"/>
    <w:rsid w:val="007476D5"/>
    <w:rsid w:val="00750077"/>
    <w:rsid w:val="0075442C"/>
    <w:rsid w:val="0076539C"/>
    <w:rsid w:val="0076618F"/>
    <w:rsid w:val="00766C5C"/>
    <w:rsid w:val="00766F36"/>
    <w:rsid w:val="00772520"/>
    <w:rsid w:val="0077391E"/>
    <w:rsid w:val="007804B6"/>
    <w:rsid w:val="00780D17"/>
    <w:rsid w:val="0078119A"/>
    <w:rsid w:val="0078182E"/>
    <w:rsid w:val="007822D2"/>
    <w:rsid w:val="00783AB0"/>
    <w:rsid w:val="0078717C"/>
    <w:rsid w:val="0079465F"/>
    <w:rsid w:val="007A3408"/>
    <w:rsid w:val="007B1B00"/>
    <w:rsid w:val="007B4A29"/>
    <w:rsid w:val="007C1A57"/>
    <w:rsid w:val="007C1E3D"/>
    <w:rsid w:val="007C2B78"/>
    <w:rsid w:val="007C39A9"/>
    <w:rsid w:val="007C4BA9"/>
    <w:rsid w:val="007D059E"/>
    <w:rsid w:val="007D3A20"/>
    <w:rsid w:val="007D641A"/>
    <w:rsid w:val="007E37B4"/>
    <w:rsid w:val="007E760A"/>
    <w:rsid w:val="00805BC9"/>
    <w:rsid w:val="008074D5"/>
    <w:rsid w:val="00810104"/>
    <w:rsid w:val="0081157F"/>
    <w:rsid w:val="00811ABC"/>
    <w:rsid w:val="00811D85"/>
    <w:rsid w:val="00815B3A"/>
    <w:rsid w:val="00820086"/>
    <w:rsid w:val="00821F06"/>
    <w:rsid w:val="00823025"/>
    <w:rsid w:val="00824C49"/>
    <w:rsid w:val="00824C6A"/>
    <w:rsid w:val="00833A57"/>
    <w:rsid w:val="00834798"/>
    <w:rsid w:val="00836390"/>
    <w:rsid w:val="00837984"/>
    <w:rsid w:val="00846F49"/>
    <w:rsid w:val="00847483"/>
    <w:rsid w:val="00870630"/>
    <w:rsid w:val="008714BD"/>
    <w:rsid w:val="00871F09"/>
    <w:rsid w:val="00876E4E"/>
    <w:rsid w:val="00887E7C"/>
    <w:rsid w:val="00890D87"/>
    <w:rsid w:val="008911FB"/>
    <w:rsid w:val="00892849"/>
    <w:rsid w:val="00895252"/>
    <w:rsid w:val="008960F8"/>
    <w:rsid w:val="008A5C22"/>
    <w:rsid w:val="008A700C"/>
    <w:rsid w:val="008A7B25"/>
    <w:rsid w:val="008B24A9"/>
    <w:rsid w:val="008B2B70"/>
    <w:rsid w:val="008B645A"/>
    <w:rsid w:val="008B7638"/>
    <w:rsid w:val="008C1488"/>
    <w:rsid w:val="008C35B2"/>
    <w:rsid w:val="008C4BBF"/>
    <w:rsid w:val="008C4FE3"/>
    <w:rsid w:val="008C5047"/>
    <w:rsid w:val="008C68B5"/>
    <w:rsid w:val="008D1446"/>
    <w:rsid w:val="008D1690"/>
    <w:rsid w:val="008D3E88"/>
    <w:rsid w:val="008D7E4F"/>
    <w:rsid w:val="008E0564"/>
    <w:rsid w:val="008E1F27"/>
    <w:rsid w:val="008F4586"/>
    <w:rsid w:val="008F6348"/>
    <w:rsid w:val="008F7D95"/>
    <w:rsid w:val="009077B9"/>
    <w:rsid w:val="009104C5"/>
    <w:rsid w:val="00910947"/>
    <w:rsid w:val="009129E1"/>
    <w:rsid w:val="00920460"/>
    <w:rsid w:val="009208B7"/>
    <w:rsid w:val="009223B0"/>
    <w:rsid w:val="00922D5F"/>
    <w:rsid w:val="0092382A"/>
    <w:rsid w:val="0092558F"/>
    <w:rsid w:val="00937D72"/>
    <w:rsid w:val="00937F0E"/>
    <w:rsid w:val="0094228B"/>
    <w:rsid w:val="0094244A"/>
    <w:rsid w:val="00942D84"/>
    <w:rsid w:val="0095129D"/>
    <w:rsid w:val="00957541"/>
    <w:rsid w:val="00960144"/>
    <w:rsid w:val="00962114"/>
    <w:rsid w:val="00964DDD"/>
    <w:rsid w:val="00965AE6"/>
    <w:rsid w:val="00966623"/>
    <w:rsid w:val="00973E26"/>
    <w:rsid w:val="009800D2"/>
    <w:rsid w:val="0098115C"/>
    <w:rsid w:val="0098429E"/>
    <w:rsid w:val="00987B56"/>
    <w:rsid w:val="00991243"/>
    <w:rsid w:val="00997A9D"/>
    <w:rsid w:val="009A17E9"/>
    <w:rsid w:val="009A7D60"/>
    <w:rsid w:val="009B17A5"/>
    <w:rsid w:val="009B289F"/>
    <w:rsid w:val="009C23C0"/>
    <w:rsid w:val="009C43D4"/>
    <w:rsid w:val="009C459C"/>
    <w:rsid w:val="009C4F93"/>
    <w:rsid w:val="009D12E0"/>
    <w:rsid w:val="009D2008"/>
    <w:rsid w:val="009D3DCC"/>
    <w:rsid w:val="009E0175"/>
    <w:rsid w:val="009E4160"/>
    <w:rsid w:val="009E5640"/>
    <w:rsid w:val="009F0AD6"/>
    <w:rsid w:val="009F18C3"/>
    <w:rsid w:val="009F7516"/>
    <w:rsid w:val="00A03879"/>
    <w:rsid w:val="00A03886"/>
    <w:rsid w:val="00A042CB"/>
    <w:rsid w:val="00A107C2"/>
    <w:rsid w:val="00A11227"/>
    <w:rsid w:val="00A142A6"/>
    <w:rsid w:val="00A145AE"/>
    <w:rsid w:val="00A1712B"/>
    <w:rsid w:val="00A201C5"/>
    <w:rsid w:val="00A224B3"/>
    <w:rsid w:val="00A22D82"/>
    <w:rsid w:val="00A25318"/>
    <w:rsid w:val="00A27463"/>
    <w:rsid w:val="00A3211A"/>
    <w:rsid w:val="00A3500D"/>
    <w:rsid w:val="00A36AD7"/>
    <w:rsid w:val="00A36DE9"/>
    <w:rsid w:val="00A3707C"/>
    <w:rsid w:val="00A436D8"/>
    <w:rsid w:val="00A47881"/>
    <w:rsid w:val="00A5130E"/>
    <w:rsid w:val="00A519F1"/>
    <w:rsid w:val="00A549D6"/>
    <w:rsid w:val="00A60E8F"/>
    <w:rsid w:val="00A677DD"/>
    <w:rsid w:val="00A72875"/>
    <w:rsid w:val="00A728E6"/>
    <w:rsid w:val="00A74BE6"/>
    <w:rsid w:val="00A8062F"/>
    <w:rsid w:val="00A92572"/>
    <w:rsid w:val="00A95AB1"/>
    <w:rsid w:val="00A95CA8"/>
    <w:rsid w:val="00A97D99"/>
    <w:rsid w:val="00AA6C77"/>
    <w:rsid w:val="00AB63E5"/>
    <w:rsid w:val="00AC762E"/>
    <w:rsid w:val="00AD14EB"/>
    <w:rsid w:val="00AD2A15"/>
    <w:rsid w:val="00AD3C76"/>
    <w:rsid w:val="00AE5EB2"/>
    <w:rsid w:val="00AF1B1B"/>
    <w:rsid w:val="00AF2E2A"/>
    <w:rsid w:val="00AF430C"/>
    <w:rsid w:val="00AF5CF6"/>
    <w:rsid w:val="00AF69A5"/>
    <w:rsid w:val="00AF6D03"/>
    <w:rsid w:val="00B00B2A"/>
    <w:rsid w:val="00B0451B"/>
    <w:rsid w:val="00B06496"/>
    <w:rsid w:val="00B07DF6"/>
    <w:rsid w:val="00B113E2"/>
    <w:rsid w:val="00B13A19"/>
    <w:rsid w:val="00B14AB8"/>
    <w:rsid w:val="00B15BD5"/>
    <w:rsid w:val="00B2348B"/>
    <w:rsid w:val="00B2354F"/>
    <w:rsid w:val="00B24255"/>
    <w:rsid w:val="00B26501"/>
    <w:rsid w:val="00B27491"/>
    <w:rsid w:val="00B27F93"/>
    <w:rsid w:val="00B304D4"/>
    <w:rsid w:val="00B30E23"/>
    <w:rsid w:val="00B3178D"/>
    <w:rsid w:val="00B342AB"/>
    <w:rsid w:val="00B36A6E"/>
    <w:rsid w:val="00B37E21"/>
    <w:rsid w:val="00B44E6E"/>
    <w:rsid w:val="00B4614E"/>
    <w:rsid w:val="00B47BDB"/>
    <w:rsid w:val="00B50033"/>
    <w:rsid w:val="00B503B1"/>
    <w:rsid w:val="00B52E10"/>
    <w:rsid w:val="00B54272"/>
    <w:rsid w:val="00B5534D"/>
    <w:rsid w:val="00B558A6"/>
    <w:rsid w:val="00B573AB"/>
    <w:rsid w:val="00B609E1"/>
    <w:rsid w:val="00B65BF5"/>
    <w:rsid w:val="00B73806"/>
    <w:rsid w:val="00B76E5B"/>
    <w:rsid w:val="00B774C6"/>
    <w:rsid w:val="00B800A4"/>
    <w:rsid w:val="00B823C2"/>
    <w:rsid w:val="00B92005"/>
    <w:rsid w:val="00B93D2C"/>
    <w:rsid w:val="00BA4E44"/>
    <w:rsid w:val="00BA5C3B"/>
    <w:rsid w:val="00BA64BF"/>
    <w:rsid w:val="00BA729B"/>
    <w:rsid w:val="00BB3EBB"/>
    <w:rsid w:val="00BB5A8B"/>
    <w:rsid w:val="00BC2D87"/>
    <w:rsid w:val="00BC4770"/>
    <w:rsid w:val="00BC58A7"/>
    <w:rsid w:val="00BC5BB6"/>
    <w:rsid w:val="00BC6D5E"/>
    <w:rsid w:val="00BD219B"/>
    <w:rsid w:val="00BD2480"/>
    <w:rsid w:val="00BD520A"/>
    <w:rsid w:val="00BD6B44"/>
    <w:rsid w:val="00BE17CB"/>
    <w:rsid w:val="00BE2A7E"/>
    <w:rsid w:val="00BE4F09"/>
    <w:rsid w:val="00BE6CF9"/>
    <w:rsid w:val="00BF046E"/>
    <w:rsid w:val="00BF1BC1"/>
    <w:rsid w:val="00BF2B45"/>
    <w:rsid w:val="00BF5373"/>
    <w:rsid w:val="00BF7665"/>
    <w:rsid w:val="00C00901"/>
    <w:rsid w:val="00C05290"/>
    <w:rsid w:val="00C059B7"/>
    <w:rsid w:val="00C354E5"/>
    <w:rsid w:val="00C4000A"/>
    <w:rsid w:val="00C401EC"/>
    <w:rsid w:val="00C40595"/>
    <w:rsid w:val="00C40B30"/>
    <w:rsid w:val="00C46594"/>
    <w:rsid w:val="00C5195D"/>
    <w:rsid w:val="00C536C2"/>
    <w:rsid w:val="00C541F4"/>
    <w:rsid w:val="00C60229"/>
    <w:rsid w:val="00C61FDA"/>
    <w:rsid w:val="00C62FF9"/>
    <w:rsid w:val="00C63A90"/>
    <w:rsid w:val="00C6482A"/>
    <w:rsid w:val="00C65E4E"/>
    <w:rsid w:val="00C73BA6"/>
    <w:rsid w:val="00C820C7"/>
    <w:rsid w:val="00C83034"/>
    <w:rsid w:val="00C96715"/>
    <w:rsid w:val="00CA2D28"/>
    <w:rsid w:val="00CA568C"/>
    <w:rsid w:val="00CA720C"/>
    <w:rsid w:val="00CA77A8"/>
    <w:rsid w:val="00CB476E"/>
    <w:rsid w:val="00CB6DBB"/>
    <w:rsid w:val="00CB709F"/>
    <w:rsid w:val="00CC1BFD"/>
    <w:rsid w:val="00CC2A47"/>
    <w:rsid w:val="00CC3E7E"/>
    <w:rsid w:val="00CC484D"/>
    <w:rsid w:val="00CC5700"/>
    <w:rsid w:val="00CD0393"/>
    <w:rsid w:val="00CD04F1"/>
    <w:rsid w:val="00CD0B94"/>
    <w:rsid w:val="00CD2880"/>
    <w:rsid w:val="00CD28F3"/>
    <w:rsid w:val="00CD31BC"/>
    <w:rsid w:val="00CD3905"/>
    <w:rsid w:val="00CD3F26"/>
    <w:rsid w:val="00CD4231"/>
    <w:rsid w:val="00CD42C8"/>
    <w:rsid w:val="00CD7D2F"/>
    <w:rsid w:val="00CE4010"/>
    <w:rsid w:val="00CF32FB"/>
    <w:rsid w:val="00CF5BA2"/>
    <w:rsid w:val="00CF6748"/>
    <w:rsid w:val="00D06DE4"/>
    <w:rsid w:val="00D12763"/>
    <w:rsid w:val="00D20A82"/>
    <w:rsid w:val="00D22457"/>
    <w:rsid w:val="00D23510"/>
    <w:rsid w:val="00D23A14"/>
    <w:rsid w:val="00D25E81"/>
    <w:rsid w:val="00D26053"/>
    <w:rsid w:val="00D26469"/>
    <w:rsid w:val="00D31E1F"/>
    <w:rsid w:val="00D34136"/>
    <w:rsid w:val="00D34F36"/>
    <w:rsid w:val="00D36FD8"/>
    <w:rsid w:val="00D426D1"/>
    <w:rsid w:val="00D44C27"/>
    <w:rsid w:val="00D46B99"/>
    <w:rsid w:val="00D51EBA"/>
    <w:rsid w:val="00D54C62"/>
    <w:rsid w:val="00D55E48"/>
    <w:rsid w:val="00D5690B"/>
    <w:rsid w:val="00D66977"/>
    <w:rsid w:val="00D67EE5"/>
    <w:rsid w:val="00D7267B"/>
    <w:rsid w:val="00D75AE5"/>
    <w:rsid w:val="00D8571C"/>
    <w:rsid w:val="00D8768F"/>
    <w:rsid w:val="00D91130"/>
    <w:rsid w:val="00D93537"/>
    <w:rsid w:val="00D9513B"/>
    <w:rsid w:val="00D9531F"/>
    <w:rsid w:val="00D953EC"/>
    <w:rsid w:val="00D95542"/>
    <w:rsid w:val="00D96009"/>
    <w:rsid w:val="00D968DE"/>
    <w:rsid w:val="00DA17B8"/>
    <w:rsid w:val="00DC7295"/>
    <w:rsid w:val="00DC7B69"/>
    <w:rsid w:val="00DD0F3C"/>
    <w:rsid w:val="00DD34B8"/>
    <w:rsid w:val="00DD53ED"/>
    <w:rsid w:val="00DD7766"/>
    <w:rsid w:val="00DE1714"/>
    <w:rsid w:val="00DE4324"/>
    <w:rsid w:val="00DF466D"/>
    <w:rsid w:val="00DF5D65"/>
    <w:rsid w:val="00DF64C0"/>
    <w:rsid w:val="00DF7852"/>
    <w:rsid w:val="00E020D1"/>
    <w:rsid w:val="00E066DD"/>
    <w:rsid w:val="00E151B5"/>
    <w:rsid w:val="00E1571C"/>
    <w:rsid w:val="00E168D2"/>
    <w:rsid w:val="00E1711C"/>
    <w:rsid w:val="00E1737D"/>
    <w:rsid w:val="00E20C09"/>
    <w:rsid w:val="00E2697E"/>
    <w:rsid w:val="00E30A67"/>
    <w:rsid w:val="00E33983"/>
    <w:rsid w:val="00E355C2"/>
    <w:rsid w:val="00E37855"/>
    <w:rsid w:val="00E402FA"/>
    <w:rsid w:val="00E4641D"/>
    <w:rsid w:val="00E51D7C"/>
    <w:rsid w:val="00E5230B"/>
    <w:rsid w:val="00E559A7"/>
    <w:rsid w:val="00E55F7A"/>
    <w:rsid w:val="00E63AE0"/>
    <w:rsid w:val="00E6448D"/>
    <w:rsid w:val="00E649EF"/>
    <w:rsid w:val="00E65929"/>
    <w:rsid w:val="00E66830"/>
    <w:rsid w:val="00E7056F"/>
    <w:rsid w:val="00E7097B"/>
    <w:rsid w:val="00E74B46"/>
    <w:rsid w:val="00E75BAF"/>
    <w:rsid w:val="00E80799"/>
    <w:rsid w:val="00E8188B"/>
    <w:rsid w:val="00E83063"/>
    <w:rsid w:val="00E847C2"/>
    <w:rsid w:val="00E84A6A"/>
    <w:rsid w:val="00E90740"/>
    <w:rsid w:val="00E90F03"/>
    <w:rsid w:val="00E924B3"/>
    <w:rsid w:val="00EA4927"/>
    <w:rsid w:val="00EA4F61"/>
    <w:rsid w:val="00EA57CD"/>
    <w:rsid w:val="00EA5DED"/>
    <w:rsid w:val="00EA5F87"/>
    <w:rsid w:val="00EB2D73"/>
    <w:rsid w:val="00EB4FC3"/>
    <w:rsid w:val="00EC4D04"/>
    <w:rsid w:val="00EC6D3C"/>
    <w:rsid w:val="00ED4733"/>
    <w:rsid w:val="00EE03CE"/>
    <w:rsid w:val="00EE3794"/>
    <w:rsid w:val="00EF70EA"/>
    <w:rsid w:val="00F1089B"/>
    <w:rsid w:val="00F14762"/>
    <w:rsid w:val="00F14BBB"/>
    <w:rsid w:val="00F15392"/>
    <w:rsid w:val="00F15E97"/>
    <w:rsid w:val="00F16653"/>
    <w:rsid w:val="00F208A6"/>
    <w:rsid w:val="00F218E2"/>
    <w:rsid w:val="00F21B11"/>
    <w:rsid w:val="00F26C23"/>
    <w:rsid w:val="00F35DFC"/>
    <w:rsid w:val="00F40751"/>
    <w:rsid w:val="00F41265"/>
    <w:rsid w:val="00F421FD"/>
    <w:rsid w:val="00F43F7F"/>
    <w:rsid w:val="00F50A24"/>
    <w:rsid w:val="00F54290"/>
    <w:rsid w:val="00F6042A"/>
    <w:rsid w:val="00F61DC7"/>
    <w:rsid w:val="00F6307F"/>
    <w:rsid w:val="00F661CD"/>
    <w:rsid w:val="00F758A7"/>
    <w:rsid w:val="00F765C0"/>
    <w:rsid w:val="00F87FB6"/>
    <w:rsid w:val="00F90724"/>
    <w:rsid w:val="00F92732"/>
    <w:rsid w:val="00FA15FE"/>
    <w:rsid w:val="00FA42A5"/>
    <w:rsid w:val="00FB10C1"/>
    <w:rsid w:val="00FB1D45"/>
    <w:rsid w:val="00FB3A4C"/>
    <w:rsid w:val="00FB3BB3"/>
    <w:rsid w:val="00FC1334"/>
    <w:rsid w:val="00FC3246"/>
    <w:rsid w:val="00FC4172"/>
    <w:rsid w:val="00FC47DE"/>
    <w:rsid w:val="00FC5215"/>
    <w:rsid w:val="00FC6691"/>
    <w:rsid w:val="00FD3359"/>
    <w:rsid w:val="00FD6CE5"/>
    <w:rsid w:val="00FE3B8D"/>
    <w:rsid w:val="00FF4DBD"/>
    <w:rsid w:val="00FF5F50"/>
    <w:rsid w:val="011C1106"/>
    <w:rsid w:val="014B08FF"/>
    <w:rsid w:val="015C3606"/>
    <w:rsid w:val="01A41DAE"/>
    <w:rsid w:val="01DF5C17"/>
    <w:rsid w:val="021728CC"/>
    <w:rsid w:val="022E5970"/>
    <w:rsid w:val="02765C33"/>
    <w:rsid w:val="02AD5EBD"/>
    <w:rsid w:val="02BF15A4"/>
    <w:rsid w:val="02DA63DE"/>
    <w:rsid w:val="02DF0ED1"/>
    <w:rsid w:val="02E57613"/>
    <w:rsid w:val="02EE296B"/>
    <w:rsid w:val="02F94F70"/>
    <w:rsid w:val="03100052"/>
    <w:rsid w:val="03146BDF"/>
    <w:rsid w:val="03340854"/>
    <w:rsid w:val="033A54AA"/>
    <w:rsid w:val="03A13B63"/>
    <w:rsid w:val="03AC228A"/>
    <w:rsid w:val="048019AC"/>
    <w:rsid w:val="048E7480"/>
    <w:rsid w:val="04C248AE"/>
    <w:rsid w:val="04EA48C4"/>
    <w:rsid w:val="04F06D02"/>
    <w:rsid w:val="05171224"/>
    <w:rsid w:val="056062C2"/>
    <w:rsid w:val="05CB24B5"/>
    <w:rsid w:val="05DC3F8F"/>
    <w:rsid w:val="05EF21A1"/>
    <w:rsid w:val="066B3A08"/>
    <w:rsid w:val="068E5516"/>
    <w:rsid w:val="0699013F"/>
    <w:rsid w:val="06D73FBB"/>
    <w:rsid w:val="076D75BF"/>
    <w:rsid w:val="077B2ED6"/>
    <w:rsid w:val="07AE4E1A"/>
    <w:rsid w:val="07E93ACA"/>
    <w:rsid w:val="07ED0DB2"/>
    <w:rsid w:val="08362309"/>
    <w:rsid w:val="08500402"/>
    <w:rsid w:val="085E3693"/>
    <w:rsid w:val="08C711B3"/>
    <w:rsid w:val="09293C1C"/>
    <w:rsid w:val="09903920"/>
    <w:rsid w:val="099D6B31"/>
    <w:rsid w:val="09EA6954"/>
    <w:rsid w:val="09FB55B8"/>
    <w:rsid w:val="0A143A71"/>
    <w:rsid w:val="0A8E01DA"/>
    <w:rsid w:val="0A9B1041"/>
    <w:rsid w:val="0AD32975"/>
    <w:rsid w:val="0AFF5FD8"/>
    <w:rsid w:val="0B6D0001"/>
    <w:rsid w:val="0B93628B"/>
    <w:rsid w:val="0BB31493"/>
    <w:rsid w:val="0BEB7CE0"/>
    <w:rsid w:val="0C126EAF"/>
    <w:rsid w:val="0C3E51F4"/>
    <w:rsid w:val="0C484578"/>
    <w:rsid w:val="0C4B72F4"/>
    <w:rsid w:val="0C863A0F"/>
    <w:rsid w:val="0CA82ECF"/>
    <w:rsid w:val="0CC223BD"/>
    <w:rsid w:val="0CD06839"/>
    <w:rsid w:val="0D0D08FC"/>
    <w:rsid w:val="0D487ECA"/>
    <w:rsid w:val="0D6E7D09"/>
    <w:rsid w:val="0D932E37"/>
    <w:rsid w:val="0DAB2AA7"/>
    <w:rsid w:val="0DE553AC"/>
    <w:rsid w:val="0E364E11"/>
    <w:rsid w:val="0E3746E5"/>
    <w:rsid w:val="0E7476AF"/>
    <w:rsid w:val="0E8A7410"/>
    <w:rsid w:val="0EAC329C"/>
    <w:rsid w:val="0F18601E"/>
    <w:rsid w:val="0F2618CE"/>
    <w:rsid w:val="0FAB4FC7"/>
    <w:rsid w:val="0FB121B6"/>
    <w:rsid w:val="102B26A9"/>
    <w:rsid w:val="104846F5"/>
    <w:rsid w:val="10E3030B"/>
    <w:rsid w:val="10F07965"/>
    <w:rsid w:val="10F34F60"/>
    <w:rsid w:val="11016E0F"/>
    <w:rsid w:val="110C00AB"/>
    <w:rsid w:val="113D5BD1"/>
    <w:rsid w:val="11B379CA"/>
    <w:rsid w:val="11CB5D5E"/>
    <w:rsid w:val="11F17E15"/>
    <w:rsid w:val="12171A15"/>
    <w:rsid w:val="127B4CFC"/>
    <w:rsid w:val="12BF65A5"/>
    <w:rsid w:val="13434E37"/>
    <w:rsid w:val="134F4DD6"/>
    <w:rsid w:val="136F1459"/>
    <w:rsid w:val="13CE1647"/>
    <w:rsid w:val="13D44784"/>
    <w:rsid w:val="13D75EF1"/>
    <w:rsid w:val="13E93FF7"/>
    <w:rsid w:val="140343F0"/>
    <w:rsid w:val="141638BA"/>
    <w:rsid w:val="14B46A8F"/>
    <w:rsid w:val="15121A08"/>
    <w:rsid w:val="158964E5"/>
    <w:rsid w:val="15A563D8"/>
    <w:rsid w:val="15B844BA"/>
    <w:rsid w:val="15C5126A"/>
    <w:rsid w:val="1606331B"/>
    <w:rsid w:val="161B0D26"/>
    <w:rsid w:val="16542D6D"/>
    <w:rsid w:val="1658169C"/>
    <w:rsid w:val="167C29CF"/>
    <w:rsid w:val="168170E0"/>
    <w:rsid w:val="16825149"/>
    <w:rsid w:val="168434D2"/>
    <w:rsid w:val="168F64F9"/>
    <w:rsid w:val="16B22245"/>
    <w:rsid w:val="16DE179A"/>
    <w:rsid w:val="16EF2001"/>
    <w:rsid w:val="17F7048F"/>
    <w:rsid w:val="18202ECE"/>
    <w:rsid w:val="18787DD4"/>
    <w:rsid w:val="188E690D"/>
    <w:rsid w:val="18934C0E"/>
    <w:rsid w:val="18AA3DBB"/>
    <w:rsid w:val="18DC08F5"/>
    <w:rsid w:val="18EC46CC"/>
    <w:rsid w:val="191E0DAD"/>
    <w:rsid w:val="191F46F3"/>
    <w:rsid w:val="193720F9"/>
    <w:rsid w:val="19573E8D"/>
    <w:rsid w:val="197902A7"/>
    <w:rsid w:val="197F0851"/>
    <w:rsid w:val="19957D02"/>
    <w:rsid w:val="19F83C9F"/>
    <w:rsid w:val="19FB6F0E"/>
    <w:rsid w:val="1A8707A2"/>
    <w:rsid w:val="1AC16522"/>
    <w:rsid w:val="1B4C62D1"/>
    <w:rsid w:val="1B8B7EF3"/>
    <w:rsid w:val="1B966EEF"/>
    <w:rsid w:val="1BFB6ADD"/>
    <w:rsid w:val="1C31452C"/>
    <w:rsid w:val="1C393DD5"/>
    <w:rsid w:val="1C5D5C5E"/>
    <w:rsid w:val="1C6E70F6"/>
    <w:rsid w:val="1CC255C0"/>
    <w:rsid w:val="1CDD31C8"/>
    <w:rsid w:val="1D331687"/>
    <w:rsid w:val="1D491D3F"/>
    <w:rsid w:val="1D9D4AC7"/>
    <w:rsid w:val="1DB91619"/>
    <w:rsid w:val="1EA76B4D"/>
    <w:rsid w:val="1F0A3E35"/>
    <w:rsid w:val="1F0B53DA"/>
    <w:rsid w:val="1F5B5487"/>
    <w:rsid w:val="1F696F02"/>
    <w:rsid w:val="1F6F0182"/>
    <w:rsid w:val="1FF66D5A"/>
    <w:rsid w:val="201B3E66"/>
    <w:rsid w:val="206F50E2"/>
    <w:rsid w:val="20806EE9"/>
    <w:rsid w:val="20BE2A44"/>
    <w:rsid w:val="20D47CEE"/>
    <w:rsid w:val="2108711C"/>
    <w:rsid w:val="211A3BAD"/>
    <w:rsid w:val="215325F3"/>
    <w:rsid w:val="215F7D83"/>
    <w:rsid w:val="216D06F2"/>
    <w:rsid w:val="216D5DDE"/>
    <w:rsid w:val="21784979"/>
    <w:rsid w:val="2178696B"/>
    <w:rsid w:val="221D3573"/>
    <w:rsid w:val="222A326B"/>
    <w:rsid w:val="22430F56"/>
    <w:rsid w:val="22883309"/>
    <w:rsid w:val="228F13B8"/>
    <w:rsid w:val="230570F7"/>
    <w:rsid w:val="23411E36"/>
    <w:rsid w:val="23A8446D"/>
    <w:rsid w:val="23BF113C"/>
    <w:rsid w:val="24214992"/>
    <w:rsid w:val="245108D2"/>
    <w:rsid w:val="24816262"/>
    <w:rsid w:val="248A5117"/>
    <w:rsid w:val="249B5576"/>
    <w:rsid w:val="24C16A4C"/>
    <w:rsid w:val="2561056D"/>
    <w:rsid w:val="25771A63"/>
    <w:rsid w:val="25A24F34"/>
    <w:rsid w:val="25CB22B3"/>
    <w:rsid w:val="25CF4F62"/>
    <w:rsid w:val="263E1CA5"/>
    <w:rsid w:val="265B2862"/>
    <w:rsid w:val="267F652E"/>
    <w:rsid w:val="26B309B4"/>
    <w:rsid w:val="272950BB"/>
    <w:rsid w:val="273E668C"/>
    <w:rsid w:val="27911C4F"/>
    <w:rsid w:val="27B603AD"/>
    <w:rsid w:val="27C3139C"/>
    <w:rsid w:val="280A4D84"/>
    <w:rsid w:val="282E045D"/>
    <w:rsid w:val="28996270"/>
    <w:rsid w:val="289A5B44"/>
    <w:rsid w:val="289E34DF"/>
    <w:rsid w:val="28F202E0"/>
    <w:rsid w:val="29716EF1"/>
    <w:rsid w:val="299F1868"/>
    <w:rsid w:val="29D8216A"/>
    <w:rsid w:val="2A4761F1"/>
    <w:rsid w:val="2A9071FF"/>
    <w:rsid w:val="2AA47B19"/>
    <w:rsid w:val="2ACF7D27"/>
    <w:rsid w:val="2AD55635"/>
    <w:rsid w:val="2AFE060C"/>
    <w:rsid w:val="2B000EDD"/>
    <w:rsid w:val="2BBE6596"/>
    <w:rsid w:val="2BCB65B5"/>
    <w:rsid w:val="2C1B627B"/>
    <w:rsid w:val="2C2447C0"/>
    <w:rsid w:val="2C2512FF"/>
    <w:rsid w:val="2C34113D"/>
    <w:rsid w:val="2CB76767"/>
    <w:rsid w:val="2CDF761D"/>
    <w:rsid w:val="2CEA5762"/>
    <w:rsid w:val="2DE1161F"/>
    <w:rsid w:val="2DF0053E"/>
    <w:rsid w:val="2E596AE1"/>
    <w:rsid w:val="2E7D5E52"/>
    <w:rsid w:val="2EBE65A5"/>
    <w:rsid w:val="2F835584"/>
    <w:rsid w:val="2FDD3BB2"/>
    <w:rsid w:val="2FE96E3E"/>
    <w:rsid w:val="2FEF4C5D"/>
    <w:rsid w:val="30047CBB"/>
    <w:rsid w:val="30154BB1"/>
    <w:rsid w:val="30272B0D"/>
    <w:rsid w:val="30607E0A"/>
    <w:rsid w:val="30651D38"/>
    <w:rsid w:val="306D7B3B"/>
    <w:rsid w:val="30A345E3"/>
    <w:rsid w:val="30A9726C"/>
    <w:rsid w:val="30AB6F0C"/>
    <w:rsid w:val="30B67293"/>
    <w:rsid w:val="30BD64CA"/>
    <w:rsid w:val="30CE1410"/>
    <w:rsid w:val="30E67B6E"/>
    <w:rsid w:val="31207ECD"/>
    <w:rsid w:val="3133079B"/>
    <w:rsid w:val="313655B5"/>
    <w:rsid w:val="314003DA"/>
    <w:rsid w:val="31741628"/>
    <w:rsid w:val="31B01A68"/>
    <w:rsid w:val="31FB60A6"/>
    <w:rsid w:val="32186458"/>
    <w:rsid w:val="326A2A2B"/>
    <w:rsid w:val="329616E9"/>
    <w:rsid w:val="32C91500"/>
    <w:rsid w:val="32C97752"/>
    <w:rsid w:val="32EB5E8C"/>
    <w:rsid w:val="33092244"/>
    <w:rsid w:val="33325EA9"/>
    <w:rsid w:val="338B3F41"/>
    <w:rsid w:val="338F3C93"/>
    <w:rsid w:val="339715FE"/>
    <w:rsid w:val="33C27766"/>
    <w:rsid w:val="34E53A6E"/>
    <w:rsid w:val="3510429A"/>
    <w:rsid w:val="351153E0"/>
    <w:rsid w:val="355E357B"/>
    <w:rsid w:val="357877D6"/>
    <w:rsid w:val="35873944"/>
    <w:rsid w:val="35A74E3E"/>
    <w:rsid w:val="35C81050"/>
    <w:rsid w:val="35CB00C0"/>
    <w:rsid w:val="35FD0EF9"/>
    <w:rsid w:val="360D4CA2"/>
    <w:rsid w:val="36797DDF"/>
    <w:rsid w:val="36A77DAA"/>
    <w:rsid w:val="36AC3C67"/>
    <w:rsid w:val="36F9434B"/>
    <w:rsid w:val="370E4A16"/>
    <w:rsid w:val="37270EEB"/>
    <w:rsid w:val="374873CC"/>
    <w:rsid w:val="37490218"/>
    <w:rsid w:val="37B009CE"/>
    <w:rsid w:val="37C14E9C"/>
    <w:rsid w:val="37D3017F"/>
    <w:rsid w:val="37EA799E"/>
    <w:rsid w:val="3802688E"/>
    <w:rsid w:val="38130BF3"/>
    <w:rsid w:val="383B170D"/>
    <w:rsid w:val="38775EE4"/>
    <w:rsid w:val="3885236D"/>
    <w:rsid w:val="38CD066D"/>
    <w:rsid w:val="38DF361B"/>
    <w:rsid w:val="39084909"/>
    <w:rsid w:val="39173171"/>
    <w:rsid w:val="392B7022"/>
    <w:rsid w:val="39826554"/>
    <w:rsid w:val="39A05869"/>
    <w:rsid w:val="39D41C72"/>
    <w:rsid w:val="3A0B4AF4"/>
    <w:rsid w:val="3A340AC3"/>
    <w:rsid w:val="3A4A73CA"/>
    <w:rsid w:val="3A974BD8"/>
    <w:rsid w:val="3AFB1291"/>
    <w:rsid w:val="3B253993"/>
    <w:rsid w:val="3B4B709A"/>
    <w:rsid w:val="3B6B2BFC"/>
    <w:rsid w:val="3BD038FF"/>
    <w:rsid w:val="3C561A17"/>
    <w:rsid w:val="3C9568F7"/>
    <w:rsid w:val="3C9B379B"/>
    <w:rsid w:val="3CF51C45"/>
    <w:rsid w:val="3D30250B"/>
    <w:rsid w:val="3D35363A"/>
    <w:rsid w:val="3D6A0C22"/>
    <w:rsid w:val="3DCE111C"/>
    <w:rsid w:val="3E1B22F0"/>
    <w:rsid w:val="3E31527E"/>
    <w:rsid w:val="3E3C3425"/>
    <w:rsid w:val="3E9C5D1B"/>
    <w:rsid w:val="3E9E213D"/>
    <w:rsid w:val="3EA80F6D"/>
    <w:rsid w:val="3ED17D38"/>
    <w:rsid w:val="3EE05AC2"/>
    <w:rsid w:val="3F743FC9"/>
    <w:rsid w:val="3FB22EEA"/>
    <w:rsid w:val="3FCF4923"/>
    <w:rsid w:val="3FD1709E"/>
    <w:rsid w:val="3FF102E8"/>
    <w:rsid w:val="3FF5610C"/>
    <w:rsid w:val="40462B73"/>
    <w:rsid w:val="40EE65D6"/>
    <w:rsid w:val="40F24318"/>
    <w:rsid w:val="417025E8"/>
    <w:rsid w:val="417804AA"/>
    <w:rsid w:val="41BB0BAE"/>
    <w:rsid w:val="41C23CEA"/>
    <w:rsid w:val="41EF2605"/>
    <w:rsid w:val="420F7415"/>
    <w:rsid w:val="421A0B83"/>
    <w:rsid w:val="422C0BA3"/>
    <w:rsid w:val="425E28E2"/>
    <w:rsid w:val="42AF1E4A"/>
    <w:rsid w:val="42D65C16"/>
    <w:rsid w:val="43522F1D"/>
    <w:rsid w:val="43943464"/>
    <w:rsid w:val="43CE7AB3"/>
    <w:rsid w:val="43E16C2A"/>
    <w:rsid w:val="43FB613F"/>
    <w:rsid w:val="44384174"/>
    <w:rsid w:val="446E63AB"/>
    <w:rsid w:val="448A19B7"/>
    <w:rsid w:val="449401B2"/>
    <w:rsid w:val="452803B1"/>
    <w:rsid w:val="458F0387"/>
    <w:rsid w:val="45BE2A7C"/>
    <w:rsid w:val="45C40BDA"/>
    <w:rsid w:val="45D82325"/>
    <w:rsid w:val="45FA2C8D"/>
    <w:rsid w:val="461D49D6"/>
    <w:rsid w:val="461E4DE5"/>
    <w:rsid w:val="46321AC9"/>
    <w:rsid w:val="466B293F"/>
    <w:rsid w:val="46791459"/>
    <w:rsid w:val="467E3F53"/>
    <w:rsid w:val="46CC3117"/>
    <w:rsid w:val="46FD4309"/>
    <w:rsid w:val="475C698F"/>
    <w:rsid w:val="4762569A"/>
    <w:rsid w:val="477E7934"/>
    <w:rsid w:val="479410AC"/>
    <w:rsid w:val="47BC3E48"/>
    <w:rsid w:val="47D73494"/>
    <w:rsid w:val="481D4B40"/>
    <w:rsid w:val="48232E4A"/>
    <w:rsid w:val="485B7188"/>
    <w:rsid w:val="48627B03"/>
    <w:rsid w:val="487970CD"/>
    <w:rsid w:val="487E1099"/>
    <w:rsid w:val="48A62ACD"/>
    <w:rsid w:val="48A9730A"/>
    <w:rsid w:val="48CC7A48"/>
    <w:rsid w:val="48DA7C74"/>
    <w:rsid w:val="48E271E3"/>
    <w:rsid w:val="49475EB4"/>
    <w:rsid w:val="495E6B46"/>
    <w:rsid w:val="49866412"/>
    <w:rsid w:val="498B1031"/>
    <w:rsid w:val="49C20808"/>
    <w:rsid w:val="4A3E3E9C"/>
    <w:rsid w:val="4A6E0EB3"/>
    <w:rsid w:val="4A795B7E"/>
    <w:rsid w:val="4A916645"/>
    <w:rsid w:val="4AB555F6"/>
    <w:rsid w:val="4ABF4ECC"/>
    <w:rsid w:val="4ACE0C47"/>
    <w:rsid w:val="4AE95308"/>
    <w:rsid w:val="4B307F16"/>
    <w:rsid w:val="4B537B37"/>
    <w:rsid w:val="4BC27029"/>
    <w:rsid w:val="4C0243A6"/>
    <w:rsid w:val="4C0262DF"/>
    <w:rsid w:val="4C5B5467"/>
    <w:rsid w:val="4C5D62A3"/>
    <w:rsid w:val="4C9149E5"/>
    <w:rsid w:val="4CA23096"/>
    <w:rsid w:val="4CA30804"/>
    <w:rsid w:val="4CD945DE"/>
    <w:rsid w:val="4CF32576"/>
    <w:rsid w:val="4D5C55DE"/>
    <w:rsid w:val="4DAE274D"/>
    <w:rsid w:val="4E231F9F"/>
    <w:rsid w:val="4E355844"/>
    <w:rsid w:val="4EE95109"/>
    <w:rsid w:val="4EFD480A"/>
    <w:rsid w:val="4F1638C7"/>
    <w:rsid w:val="4F801100"/>
    <w:rsid w:val="4FC328A8"/>
    <w:rsid w:val="4FCE4A6D"/>
    <w:rsid w:val="4FD43CC3"/>
    <w:rsid w:val="50070C8E"/>
    <w:rsid w:val="50342C17"/>
    <w:rsid w:val="50516A66"/>
    <w:rsid w:val="50737E37"/>
    <w:rsid w:val="50B92D51"/>
    <w:rsid w:val="50BA683A"/>
    <w:rsid w:val="50C50E29"/>
    <w:rsid w:val="50DE2293"/>
    <w:rsid w:val="510936E3"/>
    <w:rsid w:val="511856D5"/>
    <w:rsid w:val="517B51EF"/>
    <w:rsid w:val="518C2F3F"/>
    <w:rsid w:val="51960CEF"/>
    <w:rsid w:val="51AC22C1"/>
    <w:rsid w:val="51F829F5"/>
    <w:rsid w:val="52481D3D"/>
    <w:rsid w:val="525210BA"/>
    <w:rsid w:val="5268268C"/>
    <w:rsid w:val="52932754"/>
    <w:rsid w:val="52953194"/>
    <w:rsid w:val="533A5BFF"/>
    <w:rsid w:val="53400F13"/>
    <w:rsid w:val="53861D73"/>
    <w:rsid w:val="53AA2830"/>
    <w:rsid w:val="53BE4267"/>
    <w:rsid w:val="53C71C72"/>
    <w:rsid w:val="53FD0BB2"/>
    <w:rsid w:val="541969E6"/>
    <w:rsid w:val="541A79B6"/>
    <w:rsid w:val="54242EEB"/>
    <w:rsid w:val="54322F51"/>
    <w:rsid w:val="545239D0"/>
    <w:rsid w:val="54F34D0E"/>
    <w:rsid w:val="55151B5D"/>
    <w:rsid w:val="55582AEC"/>
    <w:rsid w:val="55823975"/>
    <w:rsid w:val="558A161C"/>
    <w:rsid w:val="55A03EEB"/>
    <w:rsid w:val="55F76859"/>
    <w:rsid w:val="56010E2D"/>
    <w:rsid w:val="5671329A"/>
    <w:rsid w:val="56BD5F28"/>
    <w:rsid w:val="56C872E2"/>
    <w:rsid w:val="57082352"/>
    <w:rsid w:val="57BA75E2"/>
    <w:rsid w:val="57D45A7C"/>
    <w:rsid w:val="580852E5"/>
    <w:rsid w:val="582B03E3"/>
    <w:rsid w:val="58480BFD"/>
    <w:rsid w:val="585D3BEE"/>
    <w:rsid w:val="58A502F2"/>
    <w:rsid w:val="58DF11CE"/>
    <w:rsid w:val="59183DBA"/>
    <w:rsid w:val="594D4389"/>
    <w:rsid w:val="59522AF9"/>
    <w:rsid w:val="5A0133EC"/>
    <w:rsid w:val="5A2169CA"/>
    <w:rsid w:val="5A3A490E"/>
    <w:rsid w:val="5A4958D6"/>
    <w:rsid w:val="5A862133"/>
    <w:rsid w:val="5AA8066B"/>
    <w:rsid w:val="5ABA3CA0"/>
    <w:rsid w:val="5B48010A"/>
    <w:rsid w:val="5B4A0790"/>
    <w:rsid w:val="5B5B3AD4"/>
    <w:rsid w:val="5B96372B"/>
    <w:rsid w:val="5BCF5E68"/>
    <w:rsid w:val="5BDC703C"/>
    <w:rsid w:val="5BFB5888"/>
    <w:rsid w:val="5C563552"/>
    <w:rsid w:val="5C806824"/>
    <w:rsid w:val="5C853E3A"/>
    <w:rsid w:val="5C9D6B22"/>
    <w:rsid w:val="5C9E1318"/>
    <w:rsid w:val="5CB00EB7"/>
    <w:rsid w:val="5CDF5B2E"/>
    <w:rsid w:val="5D262BF0"/>
    <w:rsid w:val="5D425EE7"/>
    <w:rsid w:val="5D453410"/>
    <w:rsid w:val="5DBA1C09"/>
    <w:rsid w:val="5DF76AE4"/>
    <w:rsid w:val="5DFA0A8C"/>
    <w:rsid w:val="5E343AB1"/>
    <w:rsid w:val="5E592F57"/>
    <w:rsid w:val="5E6F6B50"/>
    <w:rsid w:val="5E96232F"/>
    <w:rsid w:val="5ECB647C"/>
    <w:rsid w:val="5F2931A3"/>
    <w:rsid w:val="5F41229A"/>
    <w:rsid w:val="5F4C4F7E"/>
    <w:rsid w:val="5F5A7B25"/>
    <w:rsid w:val="5FB92051"/>
    <w:rsid w:val="5FBC603E"/>
    <w:rsid w:val="5FDD5055"/>
    <w:rsid w:val="5FED0E51"/>
    <w:rsid w:val="60043A11"/>
    <w:rsid w:val="602B6651"/>
    <w:rsid w:val="609679C8"/>
    <w:rsid w:val="609E1C27"/>
    <w:rsid w:val="60C45904"/>
    <w:rsid w:val="60C65206"/>
    <w:rsid w:val="60CC150B"/>
    <w:rsid w:val="616D5404"/>
    <w:rsid w:val="61A15272"/>
    <w:rsid w:val="620965EB"/>
    <w:rsid w:val="6214243E"/>
    <w:rsid w:val="62207984"/>
    <w:rsid w:val="622C03B9"/>
    <w:rsid w:val="62447725"/>
    <w:rsid w:val="624520A2"/>
    <w:rsid w:val="62A4582D"/>
    <w:rsid w:val="632D5167"/>
    <w:rsid w:val="63746024"/>
    <w:rsid w:val="63DA0A3C"/>
    <w:rsid w:val="63EF382B"/>
    <w:rsid w:val="640A3222"/>
    <w:rsid w:val="640D2B27"/>
    <w:rsid w:val="64617969"/>
    <w:rsid w:val="64835D61"/>
    <w:rsid w:val="649D01E5"/>
    <w:rsid w:val="64C319A4"/>
    <w:rsid w:val="6504252C"/>
    <w:rsid w:val="6520271E"/>
    <w:rsid w:val="65402FF4"/>
    <w:rsid w:val="654372BA"/>
    <w:rsid w:val="65832EF9"/>
    <w:rsid w:val="65AF2EDE"/>
    <w:rsid w:val="65E23AA0"/>
    <w:rsid w:val="6643403A"/>
    <w:rsid w:val="667A42E4"/>
    <w:rsid w:val="66C94B92"/>
    <w:rsid w:val="670E27BB"/>
    <w:rsid w:val="67882CE3"/>
    <w:rsid w:val="679B62E6"/>
    <w:rsid w:val="67B64299"/>
    <w:rsid w:val="67F52A1A"/>
    <w:rsid w:val="67F72090"/>
    <w:rsid w:val="68077585"/>
    <w:rsid w:val="68626C52"/>
    <w:rsid w:val="68A13DAA"/>
    <w:rsid w:val="68C76541"/>
    <w:rsid w:val="68DA49B3"/>
    <w:rsid w:val="69124CA8"/>
    <w:rsid w:val="69216C21"/>
    <w:rsid w:val="694B337E"/>
    <w:rsid w:val="695C466B"/>
    <w:rsid w:val="69CC30A8"/>
    <w:rsid w:val="69D5334B"/>
    <w:rsid w:val="69E035C7"/>
    <w:rsid w:val="6A2729DF"/>
    <w:rsid w:val="6A5F36CD"/>
    <w:rsid w:val="6A633A0D"/>
    <w:rsid w:val="6A7259FE"/>
    <w:rsid w:val="6A765C77"/>
    <w:rsid w:val="6AA07FE4"/>
    <w:rsid w:val="6B1E546E"/>
    <w:rsid w:val="6B3C2C54"/>
    <w:rsid w:val="6B4D0219"/>
    <w:rsid w:val="6B677619"/>
    <w:rsid w:val="6BB0602D"/>
    <w:rsid w:val="6BB34661"/>
    <w:rsid w:val="6BE27372"/>
    <w:rsid w:val="6BFB1A23"/>
    <w:rsid w:val="6C05633C"/>
    <w:rsid w:val="6C2C67D6"/>
    <w:rsid w:val="6C346960"/>
    <w:rsid w:val="6C5B01C3"/>
    <w:rsid w:val="6C63278A"/>
    <w:rsid w:val="6CAC5CC8"/>
    <w:rsid w:val="6CC00B07"/>
    <w:rsid w:val="6CC125C3"/>
    <w:rsid w:val="6CCC4204"/>
    <w:rsid w:val="6CF5417B"/>
    <w:rsid w:val="6DAF1AE7"/>
    <w:rsid w:val="6E133358"/>
    <w:rsid w:val="6E9353DB"/>
    <w:rsid w:val="6E9B568B"/>
    <w:rsid w:val="6EFC60D0"/>
    <w:rsid w:val="6F1C418A"/>
    <w:rsid w:val="6F4E0CB0"/>
    <w:rsid w:val="6F7F7AD8"/>
    <w:rsid w:val="6FCA7EBD"/>
    <w:rsid w:val="6FF2259D"/>
    <w:rsid w:val="701A35EE"/>
    <w:rsid w:val="70311519"/>
    <w:rsid w:val="704113E8"/>
    <w:rsid w:val="70AB6EFE"/>
    <w:rsid w:val="70C72248"/>
    <w:rsid w:val="70CC212F"/>
    <w:rsid w:val="70D073B6"/>
    <w:rsid w:val="71692D83"/>
    <w:rsid w:val="71765AE9"/>
    <w:rsid w:val="719E393D"/>
    <w:rsid w:val="71A11F8A"/>
    <w:rsid w:val="71A46E6E"/>
    <w:rsid w:val="71A60646"/>
    <w:rsid w:val="72005FE5"/>
    <w:rsid w:val="72011EEF"/>
    <w:rsid w:val="7235664F"/>
    <w:rsid w:val="72365FFE"/>
    <w:rsid w:val="72664CBB"/>
    <w:rsid w:val="72A9286A"/>
    <w:rsid w:val="7329331A"/>
    <w:rsid w:val="73973EB2"/>
    <w:rsid w:val="73C00D01"/>
    <w:rsid w:val="73DA692B"/>
    <w:rsid w:val="73F3598C"/>
    <w:rsid w:val="73FC5CF8"/>
    <w:rsid w:val="74A96251"/>
    <w:rsid w:val="74C84C15"/>
    <w:rsid w:val="74D1533A"/>
    <w:rsid w:val="74E05C5A"/>
    <w:rsid w:val="74F57E3F"/>
    <w:rsid w:val="74F73ECA"/>
    <w:rsid w:val="75452A37"/>
    <w:rsid w:val="755521A4"/>
    <w:rsid w:val="75B15BB1"/>
    <w:rsid w:val="75C5140B"/>
    <w:rsid w:val="75D91695"/>
    <w:rsid w:val="75FA1E92"/>
    <w:rsid w:val="76173D3C"/>
    <w:rsid w:val="761D171A"/>
    <w:rsid w:val="76BD7A77"/>
    <w:rsid w:val="771C429E"/>
    <w:rsid w:val="786F2EE3"/>
    <w:rsid w:val="78B673FD"/>
    <w:rsid w:val="78D457C4"/>
    <w:rsid w:val="797643E8"/>
    <w:rsid w:val="798B088A"/>
    <w:rsid w:val="79D112D3"/>
    <w:rsid w:val="79E764FA"/>
    <w:rsid w:val="7A1C7352"/>
    <w:rsid w:val="7A340F22"/>
    <w:rsid w:val="7AEB01C3"/>
    <w:rsid w:val="7B377C1F"/>
    <w:rsid w:val="7B3A7AC9"/>
    <w:rsid w:val="7B7F6A6C"/>
    <w:rsid w:val="7B8A34B8"/>
    <w:rsid w:val="7BA73705"/>
    <w:rsid w:val="7BD81687"/>
    <w:rsid w:val="7C045E5E"/>
    <w:rsid w:val="7C2D4CD4"/>
    <w:rsid w:val="7C316B6F"/>
    <w:rsid w:val="7C596408"/>
    <w:rsid w:val="7C9E6B26"/>
    <w:rsid w:val="7CA30BA4"/>
    <w:rsid w:val="7CDB4030"/>
    <w:rsid w:val="7D0945B7"/>
    <w:rsid w:val="7D172435"/>
    <w:rsid w:val="7D4E22FA"/>
    <w:rsid w:val="7D7B031E"/>
    <w:rsid w:val="7D8B70AB"/>
    <w:rsid w:val="7DAE01AA"/>
    <w:rsid w:val="7DF54524"/>
    <w:rsid w:val="7E2C04E7"/>
    <w:rsid w:val="7E31353B"/>
    <w:rsid w:val="7E3D0132"/>
    <w:rsid w:val="7E78308B"/>
    <w:rsid w:val="7ED77550"/>
    <w:rsid w:val="7EE62781"/>
    <w:rsid w:val="7EF669F4"/>
    <w:rsid w:val="7F042294"/>
    <w:rsid w:val="7F452777"/>
    <w:rsid w:val="7F812C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153"/>
    <w:qFormat/>
    <w:uiPriority w:val="9"/>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5">
    <w:name w:val="heading 2"/>
    <w:basedOn w:val="1"/>
    <w:next w:val="1"/>
    <w:link w:val="154"/>
    <w:qFormat/>
    <w:uiPriority w:val="0"/>
    <w:pPr>
      <w:keepNext/>
      <w:keepLines/>
      <w:adjustRightInd w:val="0"/>
      <w:spacing w:before="260" w:after="260" w:line="360" w:lineRule="auto"/>
      <w:jc w:val="left"/>
      <w:textAlignment w:val="baseline"/>
      <w:outlineLvl w:val="1"/>
    </w:pPr>
    <w:rPr>
      <w:rFonts w:ascii="Arial" w:hAnsi="Arial" w:eastAsia="宋体"/>
      <w:b/>
      <w:bCs/>
      <w:kern w:val="0"/>
      <w:sz w:val="24"/>
      <w:szCs w:val="32"/>
    </w:rPr>
  </w:style>
  <w:style w:type="paragraph" w:styleId="6">
    <w:name w:val="heading 3"/>
    <w:basedOn w:val="1"/>
    <w:next w:val="1"/>
    <w:link w:val="155"/>
    <w:qFormat/>
    <w:uiPriority w:val="0"/>
    <w:pPr>
      <w:keepNext/>
      <w:keepLines/>
      <w:adjustRightInd w:val="0"/>
      <w:spacing w:before="260" w:after="260" w:line="416" w:lineRule="atLeast"/>
      <w:jc w:val="left"/>
      <w:textAlignment w:val="baseline"/>
      <w:outlineLvl w:val="2"/>
    </w:pPr>
    <w:rPr>
      <w:b/>
      <w:bCs/>
      <w:kern w:val="0"/>
      <w:sz w:val="32"/>
      <w:szCs w:val="32"/>
    </w:rPr>
  </w:style>
  <w:style w:type="paragraph" w:styleId="7">
    <w:name w:val="heading 4"/>
    <w:basedOn w:val="1"/>
    <w:next w:val="1"/>
    <w:link w:val="156"/>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157"/>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158"/>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0">
    <w:name w:val="heading 7"/>
    <w:basedOn w:val="1"/>
    <w:next w:val="1"/>
    <w:link w:val="159"/>
    <w:qFormat/>
    <w:uiPriority w:val="0"/>
    <w:pPr>
      <w:keepNext/>
      <w:keepLines/>
      <w:adjustRightInd w:val="0"/>
      <w:spacing w:before="240" w:after="64" w:line="320" w:lineRule="atLeast"/>
      <w:jc w:val="left"/>
      <w:textAlignment w:val="baseline"/>
      <w:outlineLvl w:val="6"/>
    </w:pPr>
    <w:rPr>
      <w:b/>
      <w:bCs/>
      <w:kern w:val="0"/>
      <w:sz w:val="24"/>
    </w:rPr>
  </w:style>
  <w:style w:type="paragraph" w:styleId="11">
    <w:name w:val="heading 8"/>
    <w:basedOn w:val="1"/>
    <w:next w:val="1"/>
    <w:link w:val="160"/>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2">
    <w:name w:val="heading 9"/>
    <w:basedOn w:val="1"/>
    <w:next w:val="1"/>
    <w:link w:val="16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8"/>
    <w:unhideWhenUsed/>
    <w:qFormat/>
    <w:uiPriority w:val="0"/>
    <w:pPr>
      <w:spacing w:before="100" w:beforeAutospacing="1" w:after="100" w:afterAutospacing="1"/>
      <w:ind w:left="220"/>
    </w:pPr>
    <w:rPr>
      <w:sz w:val="32"/>
      <w:szCs w:val="32"/>
    </w:rPr>
  </w:style>
  <w:style w:type="paragraph" w:styleId="3">
    <w:name w:val="Date"/>
    <w:basedOn w:val="1"/>
    <w:next w:val="1"/>
    <w:link w:val="180"/>
    <w:qFormat/>
    <w:uiPriority w:val="0"/>
    <w:pPr>
      <w:ind w:left="100" w:leftChars="2500"/>
    </w:pPr>
  </w:style>
  <w:style w:type="paragraph" w:styleId="13">
    <w:name w:val="List 3"/>
    <w:basedOn w:val="1"/>
    <w:qFormat/>
    <w:uiPriority w:val="0"/>
    <w:pPr>
      <w:ind w:left="100" w:leftChars="400" w:hanging="200" w:hangingChars="200"/>
    </w:pPr>
  </w:style>
  <w:style w:type="paragraph" w:styleId="14">
    <w:name w:val="Normal Indent"/>
    <w:basedOn w:val="1"/>
    <w:unhideWhenUsed/>
    <w:qFormat/>
    <w:uiPriority w:val="0"/>
    <w:pPr>
      <w:ind w:firstLine="420" w:firstLineChars="200"/>
    </w:pPr>
    <w:rPr>
      <w:rFonts w:ascii="Calibri" w:hAnsi="Calibri"/>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index 5"/>
    <w:basedOn w:val="1"/>
    <w:next w:val="1"/>
    <w:semiHidden/>
    <w:qFormat/>
    <w:uiPriority w:val="0"/>
    <w:pPr>
      <w:ind w:left="800" w:leftChars="800"/>
    </w:pPr>
  </w:style>
  <w:style w:type="paragraph" w:styleId="17">
    <w:name w:val="Document Map"/>
    <w:basedOn w:val="1"/>
    <w:link w:val="150"/>
    <w:qFormat/>
    <w:uiPriority w:val="99"/>
    <w:rPr>
      <w:rFonts w:ascii="宋体" w:eastAsia="宋体"/>
      <w:sz w:val="18"/>
      <w:szCs w:val="18"/>
    </w:rPr>
  </w:style>
  <w:style w:type="paragraph" w:styleId="18">
    <w:name w:val="toa heading"/>
    <w:basedOn w:val="1"/>
    <w:next w:val="1"/>
    <w:qFormat/>
    <w:uiPriority w:val="0"/>
    <w:pPr>
      <w:spacing w:before="120"/>
    </w:pPr>
    <w:rPr>
      <w:rFonts w:ascii="Cambria" w:hAnsi="Cambria" w:eastAsia="宋体"/>
      <w:sz w:val="24"/>
      <w:szCs w:val="24"/>
    </w:rPr>
  </w:style>
  <w:style w:type="paragraph" w:styleId="19">
    <w:name w:val="annotation text"/>
    <w:basedOn w:val="1"/>
    <w:link w:val="184"/>
    <w:qFormat/>
    <w:uiPriority w:val="0"/>
    <w:pPr>
      <w:jc w:val="left"/>
    </w:pPr>
    <w:rPr>
      <w:rFonts w:ascii="Times New Roman" w:hAnsi="Times New Roman" w:eastAsia="宋体"/>
      <w:szCs w:val="24"/>
    </w:rPr>
  </w:style>
  <w:style w:type="paragraph" w:styleId="20">
    <w:name w:val="Body Text 3"/>
    <w:basedOn w:val="1"/>
    <w:link w:val="177"/>
    <w:qFormat/>
    <w:uiPriority w:val="0"/>
    <w:pPr>
      <w:spacing w:after="120"/>
    </w:pPr>
    <w:rPr>
      <w:sz w:val="16"/>
      <w:szCs w:val="16"/>
    </w:rPr>
  </w:style>
  <w:style w:type="paragraph" w:styleId="21">
    <w:name w:val="Body Text Indent"/>
    <w:basedOn w:val="1"/>
    <w:link w:val="163"/>
    <w:qFormat/>
    <w:uiPriority w:val="0"/>
    <w:pPr>
      <w:spacing w:line="500" w:lineRule="exact"/>
      <w:ind w:left="1588" w:leftChars="832" w:firstLine="433" w:firstLineChars="196"/>
    </w:pPr>
    <w:rPr>
      <w:rFonts w:ascii="Times New Roman" w:hAnsi="Times New Roman" w:eastAsia="宋体"/>
      <w:sz w:val="24"/>
      <w:szCs w:val="24"/>
    </w:rPr>
  </w:style>
  <w:style w:type="paragraph" w:styleId="22">
    <w:name w:val="List 2"/>
    <w:basedOn w:val="1"/>
    <w:qFormat/>
    <w:uiPriority w:val="0"/>
    <w:pPr>
      <w:ind w:left="100" w:leftChars="200" w:hanging="200" w:hangingChars="200"/>
    </w:pPr>
  </w:style>
  <w:style w:type="paragraph" w:styleId="23">
    <w:name w:val="Block Text"/>
    <w:basedOn w:val="24"/>
    <w:next w:val="24"/>
    <w:unhideWhenUsed/>
    <w:qFormat/>
    <w:uiPriority w:val="99"/>
    <w:pPr>
      <w:spacing w:after="120"/>
      <w:ind w:left="1440" w:leftChars="700" w:right="1440" w:rightChars="700"/>
    </w:pPr>
    <w:rPr>
      <w:rFonts w:ascii="等线" w:hAnsi="等线" w:eastAsia="等线"/>
      <w:szCs w:val="22"/>
    </w:rPr>
  </w:style>
  <w:style w:type="paragraph" w:customStyle="1" w:styleId="24">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5">
    <w:name w:val="toc 3"/>
    <w:basedOn w:val="1"/>
    <w:next w:val="1"/>
    <w:qFormat/>
    <w:uiPriority w:val="39"/>
    <w:pPr>
      <w:ind w:left="840" w:leftChars="400"/>
    </w:pPr>
  </w:style>
  <w:style w:type="paragraph" w:styleId="26">
    <w:name w:val="Plain Text"/>
    <w:basedOn w:val="1"/>
    <w:link w:val="179"/>
    <w:qFormat/>
    <w:uiPriority w:val="0"/>
    <w:rPr>
      <w:rFonts w:ascii="宋体" w:hAnsi="Courier New" w:eastAsia="宋体"/>
      <w:szCs w:val="21"/>
    </w:rPr>
  </w:style>
  <w:style w:type="paragraph" w:styleId="27">
    <w:name w:val="Body Text Indent 2"/>
    <w:basedOn w:val="1"/>
    <w:link w:val="181"/>
    <w:qFormat/>
    <w:uiPriority w:val="0"/>
    <w:pPr>
      <w:spacing w:after="120" w:line="480" w:lineRule="auto"/>
      <w:ind w:left="420" w:leftChars="200"/>
    </w:pPr>
  </w:style>
  <w:style w:type="paragraph" w:styleId="28">
    <w:name w:val="Balloon Text"/>
    <w:basedOn w:val="1"/>
    <w:link w:val="182"/>
    <w:qFormat/>
    <w:uiPriority w:val="0"/>
    <w:rPr>
      <w:sz w:val="18"/>
      <w:szCs w:val="18"/>
    </w:rPr>
  </w:style>
  <w:style w:type="paragraph" w:styleId="29">
    <w:name w:val="footer"/>
    <w:basedOn w:val="1"/>
    <w:link w:val="164"/>
    <w:qFormat/>
    <w:uiPriority w:val="0"/>
    <w:pPr>
      <w:tabs>
        <w:tab w:val="center" w:pos="4153"/>
        <w:tab w:val="right" w:pos="8306"/>
      </w:tabs>
      <w:snapToGrid w:val="0"/>
      <w:jc w:val="left"/>
    </w:pPr>
    <w:rPr>
      <w:rFonts w:ascii="Times New Roman" w:hAnsi="Times New Roman" w:eastAsia="宋体"/>
      <w:sz w:val="18"/>
      <w:szCs w:val="18"/>
    </w:rPr>
  </w:style>
  <w:style w:type="paragraph" w:styleId="30">
    <w:name w:val="header"/>
    <w:basedOn w:val="1"/>
    <w:link w:val="15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right" w:leader="dot" w:pos="8302"/>
      </w:tabs>
    </w:pPr>
  </w:style>
  <w:style w:type="paragraph" w:styleId="32">
    <w:name w:val="footnote text"/>
    <w:basedOn w:val="1"/>
    <w:next w:val="16"/>
    <w:qFormat/>
    <w:uiPriority w:val="0"/>
    <w:pPr>
      <w:tabs>
        <w:tab w:val="left" w:pos="502"/>
      </w:tabs>
      <w:snapToGrid w:val="0"/>
      <w:jc w:val="left"/>
    </w:pPr>
    <w:rPr>
      <w:sz w:val="18"/>
      <w:szCs w:val="18"/>
    </w:rPr>
  </w:style>
  <w:style w:type="paragraph" w:styleId="33">
    <w:name w:val="Body Text Indent 3"/>
    <w:basedOn w:val="1"/>
    <w:link w:val="183"/>
    <w:qFormat/>
    <w:uiPriority w:val="0"/>
    <w:pPr>
      <w:tabs>
        <w:tab w:val="left" w:pos="1134"/>
        <w:tab w:val="left" w:pos="5481"/>
        <w:tab w:val="left" w:pos="5859"/>
      </w:tabs>
      <w:spacing w:line="500" w:lineRule="exact"/>
      <w:ind w:firstLine="8275" w:firstLineChars="1200"/>
    </w:pPr>
    <w:rPr>
      <w:rFonts w:eastAsia="黑体"/>
      <w:b/>
      <w:bCs/>
      <w:sz w:val="72"/>
    </w:rPr>
  </w:style>
  <w:style w:type="paragraph" w:styleId="34">
    <w:name w:val="toc 2"/>
    <w:basedOn w:val="1"/>
    <w:next w:val="1"/>
    <w:qFormat/>
    <w:uiPriority w:val="39"/>
    <w:pPr>
      <w:ind w:left="420" w:leftChars="200"/>
    </w:pPr>
  </w:style>
  <w:style w:type="paragraph" w:styleId="35">
    <w:name w:val="Normal (Web)"/>
    <w:basedOn w:val="1"/>
    <w:qFormat/>
    <w:uiPriority w:val="99"/>
    <w:pPr>
      <w:spacing w:beforeAutospacing="1" w:afterAutospacing="1"/>
      <w:jc w:val="left"/>
    </w:pPr>
    <w:rPr>
      <w:kern w:val="0"/>
      <w:sz w:val="24"/>
    </w:rPr>
  </w:style>
  <w:style w:type="paragraph" w:styleId="36">
    <w:name w:val="Title"/>
    <w:basedOn w:val="1"/>
    <w:next w:val="1"/>
    <w:link w:val="208"/>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9"/>
    <w:next w:val="19"/>
    <w:link w:val="185"/>
    <w:qFormat/>
    <w:uiPriority w:val="0"/>
    <w:rPr>
      <w:b/>
      <w:bCs/>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0"/>
    <w:rPr>
      <w:b/>
    </w:rPr>
  </w:style>
  <w:style w:type="character" w:styleId="42">
    <w:name w:val="page number"/>
    <w:basedOn w:val="40"/>
    <w:qFormat/>
    <w:uiPriority w:val="0"/>
  </w:style>
  <w:style w:type="character" w:styleId="43">
    <w:name w:val="FollowedHyperlink"/>
    <w:basedOn w:val="40"/>
    <w:unhideWhenUsed/>
    <w:qFormat/>
    <w:uiPriority w:val="99"/>
    <w:rPr>
      <w:color w:val="800080"/>
      <w:u w:val="single"/>
    </w:rPr>
  </w:style>
  <w:style w:type="character" w:styleId="44">
    <w:name w:val="Hyperlink"/>
    <w:qFormat/>
    <w:uiPriority w:val="0"/>
    <w:rPr>
      <w:color w:val="0000FF"/>
      <w:u w:val="single"/>
    </w:rPr>
  </w:style>
  <w:style w:type="character" w:styleId="45">
    <w:name w:val="annotation reference"/>
    <w:qFormat/>
    <w:uiPriority w:val="0"/>
    <w:rPr>
      <w:sz w:val="21"/>
      <w:szCs w:val="21"/>
    </w:rPr>
  </w:style>
  <w:style w:type="character" w:styleId="46">
    <w:name w:val="footnote reference"/>
    <w:qFormat/>
    <w:uiPriority w:val="0"/>
    <w:rPr>
      <w:rFonts w:ascii="Calibri" w:hAnsi="Calibri" w:eastAsia="宋体" w:cs="Times New Roman"/>
      <w:vertAlign w:val="superscript"/>
    </w:rPr>
  </w:style>
  <w:style w:type="paragraph" w:customStyle="1" w:styleId="47">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48">
    <w:name w:val="正文_0"/>
    <w:next w:val="4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页脚_0"/>
    <w:basedOn w:val="48"/>
    <w:unhideWhenUsed/>
    <w:qFormat/>
    <w:uiPriority w:val="99"/>
    <w:pPr>
      <w:tabs>
        <w:tab w:val="center" w:pos="4153"/>
        <w:tab w:val="right" w:pos="8306"/>
      </w:tabs>
      <w:snapToGrid w:val="0"/>
      <w:jc w:val="left"/>
    </w:pPr>
    <w:rPr>
      <w:sz w:val="18"/>
      <w:szCs w:val="18"/>
    </w:rPr>
  </w:style>
  <w:style w:type="paragraph" w:customStyle="1" w:styleId="5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正文1"/>
    <w:qFormat/>
    <w:uiPriority w:val="0"/>
    <w:pPr>
      <w:widowControl w:val="0"/>
      <w:jc w:val="both"/>
    </w:pPr>
    <w:rPr>
      <w:rFonts w:ascii="Times New Roman" w:hAnsi="Times New Roman" w:eastAsia="Times New Roman" w:cs="Times New Roman"/>
      <w:lang w:val="en-US" w:eastAsia="zh-CN" w:bidi="ar-SA"/>
    </w:rPr>
  </w:style>
  <w:style w:type="paragraph" w:customStyle="1" w:styleId="52">
    <w:name w:val="正文_1_0"/>
    <w:qFormat/>
    <w:uiPriority w:val="0"/>
    <w:pPr>
      <w:widowControl w:val="0"/>
      <w:jc w:val="both"/>
    </w:pPr>
    <w:rPr>
      <w:rFonts w:ascii="Calibri" w:hAnsi="Calibri" w:eastAsia="宋体" w:cs="Times New Roman"/>
      <w:lang w:val="en-US" w:eastAsia="zh-CN" w:bidi="ar-SA"/>
    </w:rPr>
  </w:style>
  <w:style w:type="paragraph" w:customStyle="1" w:styleId="53">
    <w:name w:val="正文_1_1"/>
    <w:qFormat/>
    <w:uiPriority w:val="0"/>
    <w:pPr>
      <w:widowControl w:val="0"/>
      <w:jc w:val="both"/>
    </w:pPr>
    <w:rPr>
      <w:rFonts w:ascii="Calibri" w:hAnsi="Calibri" w:eastAsia="宋体" w:cs="Times New Roman"/>
      <w:lang w:val="en-US" w:eastAsia="zh-CN" w:bidi="ar-SA"/>
    </w:rPr>
  </w:style>
  <w:style w:type="paragraph" w:customStyle="1" w:styleId="54">
    <w:name w:val="正文_1_1_0"/>
    <w:qFormat/>
    <w:uiPriority w:val="0"/>
    <w:pPr>
      <w:widowControl w:val="0"/>
      <w:jc w:val="both"/>
    </w:pPr>
    <w:rPr>
      <w:rFonts w:ascii="Calibri" w:hAnsi="Calibri" w:eastAsia="宋体" w:cs="Times New Roman"/>
      <w:lang w:val="en-US" w:eastAsia="zh-CN" w:bidi="ar-SA"/>
    </w:rPr>
  </w:style>
  <w:style w:type="paragraph" w:customStyle="1" w:styleId="55">
    <w:name w:val="正文_0_3"/>
    <w:qFormat/>
    <w:uiPriority w:val="0"/>
    <w:pPr>
      <w:widowControl w:val="0"/>
      <w:jc w:val="both"/>
    </w:pPr>
    <w:rPr>
      <w:rFonts w:ascii="Calibri" w:hAnsi="Calibri" w:eastAsia="宋体" w:cs="Times New Roman"/>
      <w:lang w:val="en-US" w:eastAsia="zh-CN" w:bidi="ar-SA"/>
    </w:rPr>
  </w:style>
  <w:style w:type="paragraph" w:customStyle="1" w:styleId="56">
    <w:name w:val="正文_2_0"/>
    <w:qFormat/>
    <w:uiPriority w:val="0"/>
    <w:pPr>
      <w:widowControl w:val="0"/>
      <w:jc w:val="both"/>
    </w:pPr>
    <w:rPr>
      <w:rFonts w:ascii="Calibri" w:hAnsi="Calibri" w:eastAsia="宋体" w:cs="Times New Roman"/>
      <w:lang w:val="en-US" w:eastAsia="zh-CN" w:bidi="ar-SA"/>
    </w:rPr>
  </w:style>
  <w:style w:type="paragraph" w:customStyle="1" w:styleId="57">
    <w:name w:val="正文_2_0_0"/>
    <w:qFormat/>
    <w:uiPriority w:val="0"/>
    <w:pPr>
      <w:widowControl w:val="0"/>
      <w:jc w:val="both"/>
    </w:pPr>
    <w:rPr>
      <w:rFonts w:ascii="Calibri" w:hAnsi="Calibri" w:eastAsia="宋体" w:cs="Times New Roman"/>
      <w:szCs w:val="24"/>
      <w:lang w:val="en-US" w:eastAsia="zh-CN" w:bidi="ar-SA"/>
    </w:rPr>
  </w:style>
  <w:style w:type="paragraph" w:customStyle="1" w:styleId="58">
    <w:name w:val="正文_3"/>
    <w:qFormat/>
    <w:uiPriority w:val="0"/>
    <w:pPr>
      <w:widowControl w:val="0"/>
      <w:jc w:val="both"/>
    </w:pPr>
    <w:rPr>
      <w:rFonts w:ascii="Calibri" w:hAnsi="Calibri" w:eastAsia="宋体" w:cs="Times New Roman"/>
      <w:lang w:val="en-US" w:eastAsia="zh-CN" w:bidi="ar-SA"/>
    </w:rPr>
  </w:style>
  <w:style w:type="paragraph" w:customStyle="1" w:styleId="59">
    <w:name w:val="Normal_26"/>
    <w:qFormat/>
    <w:uiPriority w:val="0"/>
    <w:rPr>
      <w:rFonts w:ascii="Times New Roman" w:hAnsi="Times New Roman" w:eastAsia="Times New Roman" w:cs="Times New Roman"/>
      <w:sz w:val="24"/>
      <w:szCs w:val="24"/>
      <w:lang w:val="en-US" w:eastAsia="zh-CN" w:bidi="ar-SA"/>
    </w:rPr>
  </w:style>
  <w:style w:type="paragraph" w:customStyle="1" w:styleId="60">
    <w:name w:val="Normal_0"/>
    <w:qFormat/>
    <w:uiPriority w:val="0"/>
    <w:rPr>
      <w:rFonts w:ascii="黑体" w:hAnsi="黑体" w:eastAsia="黑体" w:cs="Times New Roman"/>
      <w:b/>
      <w:sz w:val="32"/>
      <w:szCs w:val="24"/>
      <w:lang w:val="en-US" w:eastAsia="zh-CN" w:bidi="ar-SA"/>
    </w:rPr>
  </w:style>
  <w:style w:type="paragraph" w:customStyle="1" w:styleId="61">
    <w:name w:val="Normal_1"/>
    <w:qFormat/>
    <w:uiPriority w:val="0"/>
    <w:rPr>
      <w:rFonts w:ascii="黑体" w:hAnsi="黑体" w:eastAsia="黑体" w:cs="Times New Roman"/>
      <w:b/>
      <w:sz w:val="32"/>
      <w:szCs w:val="24"/>
      <w:lang w:val="en-US" w:eastAsia="zh-CN" w:bidi="ar-SA"/>
    </w:rPr>
  </w:style>
  <w:style w:type="paragraph" w:customStyle="1" w:styleId="6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文本缩进_1"/>
    <w:basedOn w:val="62"/>
    <w:link w:val="165"/>
    <w:qFormat/>
    <w:uiPriority w:val="0"/>
    <w:pPr>
      <w:spacing w:line="500" w:lineRule="exact"/>
      <w:ind w:left="1588" w:leftChars="832" w:firstLine="433" w:firstLineChars="196"/>
    </w:pPr>
    <w:rPr>
      <w:kern w:val="0"/>
      <w:sz w:val="24"/>
    </w:rPr>
  </w:style>
  <w:style w:type="paragraph" w:customStyle="1" w:styleId="64">
    <w:name w:val="Normal_2"/>
    <w:qFormat/>
    <w:uiPriority w:val="0"/>
    <w:rPr>
      <w:rFonts w:ascii="黑体" w:hAnsi="黑体" w:eastAsia="黑体" w:cs="Times New Roman"/>
      <w:b/>
      <w:sz w:val="32"/>
      <w:szCs w:val="24"/>
      <w:lang w:val="en-US" w:eastAsia="zh-CN" w:bidi="ar-SA"/>
    </w:rPr>
  </w:style>
  <w:style w:type="paragraph" w:customStyle="1" w:styleId="65">
    <w:name w:val="Normal_3"/>
    <w:qFormat/>
    <w:uiPriority w:val="0"/>
    <w:rPr>
      <w:rFonts w:ascii="黑体" w:hAnsi="黑体" w:eastAsia="黑体" w:cs="Times New Roman"/>
      <w:b/>
      <w:sz w:val="32"/>
      <w:szCs w:val="24"/>
      <w:lang w:val="en-US" w:eastAsia="zh-CN" w:bidi="ar-SA"/>
    </w:rPr>
  </w:style>
  <w:style w:type="paragraph" w:customStyle="1" w:styleId="66">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7">
    <w:name w:val="Normal_4"/>
    <w:qFormat/>
    <w:uiPriority w:val="0"/>
    <w:rPr>
      <w:rFonts w:ascii="黑体" w:hAnsi="黑体" w:eastAsia="黑体" w:cs="Times New Roman"/>
      <w:b/>
      <w:sz w:val="32"/>
      <w:szCs w:val="24"/>
      <w:lang w:val="en-US" w:eastAsia="zh-CN" w:bidi="ar-SA"/>
    </w:rPr>
  </w:style>
  <w:style w:type="paragraph" w:customStyle="1" w:styleId="68">
    <w:name w:val="正文_1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标题 3_0_0"/>
    <w:basedOn w:val="70"/>
    <w:next w:val="70"/>
    <w:link w:val="166"/>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70">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71">
    <w:name w:val="Normal_5"/>
    <w:qFormat/>
    <w:uiPriority w:val="0"/>
    <w:rPr>
      <w:rFonts w:ascii="黑体" w:hAnsi="黑体" w:eastAsia="黑体" w:cs="Times New Roman"/>
      <w:b/>
      <w:sz w:val="32"/>
      <w:szCs w:val="24"/>
      <w:lang w:val="en-US" w:eastAsia="zh-CN" w:bidi="ar-SA"/>
    </w:rPr>
  </w:style>
  <w:style w:type="paragraph" w:customStyle="1" w:styleId="72">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
    <w:name w:val="Normal_6"/>
    <w:qFormat/>
    <w:uiPriority w:val="0"/>
    <w:rPr>
      <w:rFonts w:ascii="黑体" w:hAnsi="黑体" w:eastAsia="黑体" w:cs="Times New Roman"/>
      <w:b/>
      <w:sz w:val="32"/>
      <w:szCs w:val="24"/>
      <w:lang w:val="en-US" w:eastAsia="zh-CN" w:bidi="ar-SA"/>
    </w:rPr>
  </w:style>
  <w:style w:type="paragraph" w:customStyle="1" w:styleId="74">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5">
    <w:name w:val="正文_0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76">
    <w:name w:val="Normal_7"/>
    <w:qFormat/>
    <w:uiPriority w:val="0"/>
    <w:rPr>
      <w:rFonts w:ascii="黑体" w:hAnsi="黑体" w:eastAsia="黑体" w:cs="Times New Roman"/>
      <w:b/>
      <w:sz w:val="32"/>
      <w:szCs w:val="24"/>
      <w:lang w:val="en-US" w:eastAsia="zh-CN" w:bidi="ar-SA"/>
    </w:rPr>
  </w:style>
  <w:style w:type="paragraph" w:customStyle="1" w:styleId="77">
    <w:name w:val="正文_4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文本缩进_0_0"/>
    <w:basedOn w:val="77"/>
    <w:link w:val="167"/>
    <w:qFormat/>
    <w:uiPriority w:val="0"/>
    <w:pPr>
      <w:spacing w:line="500" w:lineRule="exact"/>
      <w:ind w:left="1588" w:leftChars="832" w:firstLine="433" w:firstLineChars="196"/>
    </w:pPr>
    <w:rPr>
      <w:kern w:val="0"/>
      <w:sz w:val="24"/>
    </w:rPr>
  </w:style>
  <w:style w:type="paragraph" w:customStyle="1" w:styleId="79">
    <w:name w:val="Normal_8"/>
    <w:qFormat/>
    <w:uiPriority w:val="0"/>
    <w:rPr>
      <w:rFonts w:ascii="黑体" w:hAnsi="黑体" w:eastAsia="黑体" w:cs="Times New Roman"/>
      <w:b/>
      <w:sz w:val="32"/>
      <w:szCs w:val="24"/>
      <w:lang w:val="en-US" w:eastAsia="zh-CN" w:bidi="ar-SA"/>
    </w:rPr>
  </w:style>
  <w:style w:type="paragraph" w:customStyle="1" w:styleId="80">
    <w:name w:val="正文_5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标题 3_0_0_0"/>
    <w:basedOn w:val="82"/>
    <w:next w:val="82"/>
    <w:link w:val="168"/>
    <w:qFormat/>
    <w:uiPriority w:val="0"/>
    <w:pPr>
      <w:autoSpaceDE w:val="0"/>
      <w:autoSpaceDN w:val="0"/>
      <w:adjustRightInd w:val="0"/>
      <w:spacing w:line="500" w:lineRule="exact"/>
      <w:jc w:val="center"/>
      <w:outlineLvl w:val="2"/>
    </w:pPr>
    <w:rPr>
      <w:rFonts w:ascii="宋体" w:hAnsi="宋体"/>
      <w:b/>
      <w:kern w:val="0"/>
      <w:szCs w:val="28"/>
    </w:rPr>
  </w:style>
  <w:style w:type="paragraph" w:customStyle="1" w:styleId="82">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83">
    <w:name w:val="Normal_9"/>
    <w:qFormat/>
    <w:uiPriority w:val="0"/>
    <w:rPr>
      <w:rFonts w:ascii="黑体" w:hAnsi="黑体" w:eastAsia="黑体" w:cs="Times New Roman"/>
      <w:b/>
      <w:sz w:val="32"/>
      <w:szCs w:val="24"/>
      <w:lang w:val="en-US" w:eastAsia="zh-CN" w:bidi="ar-SA"/>
    </w:rPr>
  </w:style>
  <w:style w:type="paragraph" w:customStyle="1" w:styleId="84">
    <w:name w:val="正文_0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5">
    <w:name w:val="正文_2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_5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
    <w:name w:val="Normal_10_0"/>
    <w:qFormat/>
    <w:uiPriority w:val="0"/>
    <w:rPr>
      <w:rFonts w:ascii="黑体" w:hAnsi="黑体" w:eastAsia="黑体" w:cs="Times New Roman"/>
      <w:b/>
      <w:sz w:val="32"/>
      <w:szCs w:val="24"/>
      <w:lang w:val="en-US" w:eastAsia="zh-CN" w:bidi="ar-SA"/>
    </w:rPr>
  </w:style>
  <w:style w:type="paragraph" w:customStyle="1" w:styleId="88">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9">
    <w:name w:val="Normal_10"/>
    <w:qFormat/>
    <w:uiPriority w:val="0"/>
    <w:rPr>
      <w:rFonts w:ascii="黑体" w:hAnsi="黑体" w:eastAsia="黑体" w:cs="Times New Roman"/>
      <w:b/>
      <w:sz w:val="32"/>
      <w:szCs w:val="24"/>
      <w:lang w:val="en-US" w:eastAsia="zh-CN" w:bidi="ar-SA"/>
    </w:rPr>
  </w:style>
  <w:style w:type="paragraph" w:customStyle="1" w:styleId="90">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Normal_11"/>
    <w:qFormat/>
    <w:uiPriority w:val="0"/>
    <w:rPr>
      <w:rFonts w:ascii="黑体" w:hAnsi="黑体" w:eastAsia="黑体" w:cs="Times New Roman"/>
      <w:b/>
      <w:sz w:val="32"/>
      <w:szCs w:val="24"/>
      <w:lang w:val="en-US" w:eastAsia="zh-CN" w:bidi="ar-SA"/>
    </w:rPr>
  </w:style>
  <w:style w:type="paragraph" w:customStyle="1" w:styleId="92">
    <w:name w:val="Normal_12"/>
    <w:qFormat/>
    <w:uiPriority w:val="0"/>
    <w:rPr>
      <w:rFonts w:ascii="黑体" w:hAnsi="黑体" w:eastAsia="黑体" w:cs="Times New Roman"/>
      <w:b/>
      <w:sz w:val="32"/>
      <w:szCs w:val="24"/>
      <w:lang w:val="en-US" w:eastAsia="zh-CN" w:bidi="ar-SA"/>
    </w:rPr>
  </w:style>
  <w:style w:type="paragraph" w:customStyle="1" w:styleId="93">
    <w:name w:val="日期_0"/>
    <w:basedOn w:val="94"/>
    <w:next w:val="94"/>
    <w:qFormat/>
    <w:uiPriority w:val="0"/>
    <w:pPr>
      <w:ind w:left="100" w:leftChars="2500"/>
    </w:pPr>
    <w:rPr>
      <w:kern w:val="0"/>
      <w:sz w:val="20"/>
    </w:rPr>
  </w:style>
  <w:style w:type="paragraph" w:customStyle="1" w:styleId="94">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文本_0"/>
    <w:basedOn w:val="24"/>
    <w:link w:val="169"/>
    <w:qFormat/>
    <w:uiPriority w:val="0"/>
    <w:pPr>
      <w:spacing w:after="120"/>
    </w:pPr>
    <w:rPr>
      <w:kern w:val="0"/>
      <w:sz w:val="20"/>
    </w:rPr>
  </w:style>
  <w:style w:type="paragraph" w:customStyle="1" w:styleId="96">
    <w:name w:val="Normal_13"/>
    <w:qFormat/>
    <w:uiPriority w:val="0"/>
    <w:rPr>
      <w:rFonts w:ascii="黑体" w:hAnsi="黑体" w:eastAsia="黑体" w:cs="Times New Roman"/>
      <w:b/>
      <w:sz w:val="32"/>
      <w:szCs w:val="24"/>
      <w:lang w:val="en-US" w:eastAsia="zh-CN" w:bidi="ar-SA"/>
    </w:rPr>
  </w:style>
  <w:style w:type="paragraph" w:customStyle="1" w:styleId="97">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正文文本_0_0"/>
    <w:basedOn w:val="97"/>
    <w:link w:val="170"/>
    <w:qFormat/>
    <w:uiPriority w:val="0"/>
    <w:pPr>
      <w:spacing w:after="120"/>
    </w:pPr>
    <w:rPr>
      <w:kern w:val="0"/>
      <w:sz w:val="20"/>
    </w:rPr>
  </w:style>
  <w:style w:type="paragraph" w:customStyle="1" w:styleId="99">
    <w:name w:val="正文文本缩进_1_0"/>
    <w:basedOn w:val="97"/>
    <w:link w:val="171"/>
    <w:qFormat/>
    <w:uiPriority w:val="0"/>
    <w:pPr>
      <w:spacing w:line="500" w:lineRule="exact"/>
      <w:ind w:left="1588" w:leftChars="832" w:firstLine="433" w:firstLineChars="196"/>
    </w:pPr>
    <w:rPr>
      <w:kern w:val="0"/>
      <w:sz w:val="24"/>
    </w:rPr>
  </w:style>
  <w:style w:type="paragraph" w:customStyle="1" w:styleId="100">
    <w:name w:val="Normal_14"/>
    <w:qFormat/>
    <w:uiPriority w:val="0"/>
    <w:rPr>
      <w:rFonts w:ascii="黑体" w:hAnsi="黑体" w:eastAsia="黑体" w:cs="Times New Roman"/>
      <w:b/>
      <w:sz w:val="32"/>
      <w:szCs w:val="24"/>
      <w:lang w:val="en-US" w:eastAsia="zh-CN" w:bidi="ar-SA"/>
    </w:rPr>
  </w:style>
  <w:style w:type="paragraph" w:customStyle="1" w:styleId="101">
    <w:name w:val="正文文本缩进_2"/>
    <w:basedOn w:val="102"/>
    <w:link w:val="172"/>
    <w:qFormat/>
    <w:uiPriority w:val="0"/>
    <w:pPr>
      <w:spacing w:line="500" w:lineRule="exact"/>
      <w:ind w:left="1588" w:leftChars="832" w:firstLine="433" w:firstLineChars="196"/>
    </w:pPr>
    <w:rPr>
      <w:kern w:val="0"/>
      <w:sz w:val="24"/>
    </w:rPr>
  </w:style>
  <w:style w:type="paragraph" w:customStyle="1" w:styleId="102">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Normal_15"/>
    <w:qFormat/>
    <w:uiPriority w:val="0"/>
    <w:rPr>
      <w:rFonts w:ascii="黑体" w:hAnsi="黑体" w:eastAsia="黑体" w:cs="Times New Roman"/>
      <w:b/>
      <w:sz w:val="32"/>
      <w:szCs w:val="24"/>
      <w:lang w:val="en-US" w:eastAsia="zh-CN" w:bidi="ar-SA"/>
    </w:rPr>
  </w:style>
  <w:style w:type="paragraph" w:customStyle="1" w:styleId="104">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
    <w:name w:val="Normal_16"/>
    <w:qFormat/>
    <w:uiPriority w:val="0"/>
    <w:rPr>
      <w:rFonts w:ascii="黑体" w:hAnsi="黑体" w:eastAsia="黑体" w:cs="Times New Roman"/>
      <w:b/>
      <w:sz w:val="32"/>
      <w:szCs w:val="24"/>
      <w:lang w:val="en-US" w:eastAsia="zh-CN" w:bidi="ar-SA"/>
    </w:rPr>
  </w:style>
  <w:style w:type="paragraph" w:customStyle="1" w:styleId="106">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
    <w:name w:val="Normal_17"/>
    <w:qFormat/>
    <w:uiPriority w:val="0"/>
    <w:rPr>
      <w:rFonts w:ascii="黑体" w:hAnsi="黑体" w:eastAsia="黑体" w:cs="Times New Roman"/>
      <w:b/>
      <w:sz w:val="32"/>
      <w:szCs w:val="24"/>
      <w:lang w:val="en-US" w:eastAsia="zh-CN" w:bidi="ar-SA"/>
    </w:rPr>
  </w:style>
  <w:style w:type="paragraph" w:customStyle="1" w:styleId="10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文本缩进_3"/>
    <w:basedOn w:val="108"/>
    <w:link w:val="173"/>
    <w:qFormat/>
    <w:uiPriority w:val="0"/>
    <w:pPr>
      <w:spacing w:line="500" w:lineRule="exact"/>
      <w:ind w:left="1588" w:leftChars="832" w:firstLine="433" w:firstLineChars="196"/>
    </w:pPr>
    <w:rPr>
      <w:kern w:val="0"/>
      <w:sz w:val="24"/>
    </w:rPr>
  </w:style>
  <w:style w:type="paragraph" w:customStyle="1" w:styleId="110">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
    <w:name w:val="Normal_19"/>
    <w:qFormat/>
    <w:uiPriority w:val="0"/>
    <w:rPr>
      <w:rFonts w:ascii="黑体" w:hAnsi="黑体" w:eastAsia="黑体" w:cs="Times New Roman"/>
      <w:b/>
      <w:sz w:val="32"/>
      <w:szCs w:val="24"/>
      <w:lang w:val="en-US" w:eastAsia="zh-CN" w:bidi="ar-SA"/>
    </w:rPr>
  </w:style>
  <w:style w:type="paragraph" w:customStyle="1" w:styleId="112">
    <w:name w:val="Normal_20"/>
    <w:qFormat/>
    <w:uiPriority w:val="0"/>
    <w:rPr>
      <w:rFonts w:ascii="黑体" w:hAnsi="黑体" w:eastAsia="黑体" w:cs="Times New Roman"/>
      <w:b/>
      <w:sz w:val="32"/>
      <w:szCs w:val="24"/>
      <w:lang w:val="en-US" w:eastAsia="zh-CN" w:bidi="ar-SA"/>
    </w:rPr>
  </w:style>
  <w:style w:type="paragraph" w:customStyle="1" w:styleId="113">
    <w:name w:val="正文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正文文本缩进_4"/>
    <w:basedOn w:val="113"/>
    <w:link w:val="174"/>
    <w:qFormat/>
    <w:uiPriority w:val="0"/>
    <w:pPr>
      <w:spacing w:line="500" w:lineRule="exact"/>
      <w:ind w:left="1588" w:leftChars="832" w:firstLine="433" w:firstLineChars="196"/>
    </w:pPr>
    <w:rPr>
      <w:kern w:val="0"/>
      <w:sz w:val="24"/>
    </w:rPr>
  </w:style>
  <w:style w:type="paragraph" w:customStyle="1" w:styleId="115">
    <w:name w:val="题注_0"/>
    <w:basedOn w:val="113"/>
    <w:next w:val="113"/>
    <w:qFormat/>
    <w:uiPriority w:val="0"/>
    <w:pPr>
      <w:spacing w:before="152" w:after="160"/>
    </w:pPr>
    <w:rPr>
      <w:rFonts w:ascii="Arial" w:hAnsi="Arial" w:eastAsia="黑体" w:cs="Arial"/>
      <w:sz w:val="20"/>
      <w:szCs w:val="20"/>
    </w:rPr>
  </w:style>
  <w:style w:type="paragraph" w:customStyle="1" w:styleId="116">
    <w:name w:val="Normal_21"/>
    <w:qFormat/>
    <w:uiPriority w:val="0"/>
    <w:rPr>
      <w:rFonts w:ascii="黑体" w:hAnsi="黑体" w:eastAsia="黑体" w:cs="Times New Roman"/>
      <w:b/>
      <w:sz w:val="32"/>
      <w:szCs w:val="24"/>
      <w:lang w:val="en-US" w:eastAsia="zh-CN" w:bidi="ar-SA"/>
    </w:rPr>
  </w:style>
  <w:style w:type="paragraph" w:customStyle="1" w:styleId="117">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Normal_22"/>
    <w:qFormat/>
    <w:uiPriority w:val="0"/>
    <w:rPr>
      <w:rFonts w:ascii="黑体" w:hAnsi="黑体" w:eastAsia="黑体" w:cs="Times New Roman"/>
      <w:b/>
      <w:sz w:val="32"/>
      <w:szCs w:val="24"/>
      <w:lang w:val="en-US" w:eastAsia="zh-CN" w:bidi="ar-SA"/>
    </w:rPr>
  </w:style>
  <w:style w:type="paragraph" w:customStyle="1" w:styleId="119">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Normal_23"/>
    <w:qFormat/>
    <w:uiPriority w:val="0"/>
    <w:rPr>
      <w:rFonts w:ascii="黑体" w:hAnsi="黑体" w:eastAsia="黑体" w:cs="Times New Roman"/>
      <w:b/>
      <w:sz w:val="32"/>
      <w:szCs w:val="24"/>
      <w:lang w:val="en-US" w:eastAsia="zh-CN" w:bidi="ar-SA"/>
    </w:rPr>
  </w:style>
  <w:style w:type="paragraph" w:customStyle="1" w:styleId="121">
    <w:name w:val="正文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Normal_24"/>
    <w:qFormat/>
    <w:uiPriority w:val="0"/>
    <w:rPr>
      <w:rFonts w:ascii="黑体" w:hAnsi="黑体" w:eastAsia="黑体" w:cs="Times New Roman"/>
      <w:b/>
      <w:sz w:val="32"/>
      <w:szCs w:val="24"/>
      <w:lang w:val="en-US" w:eastAsia="zh-CN" w:bidi="ar-SA"/>
    </w:rPr>
  </w:style>
  <w:style w:type="paragraph" w:customStyle="1" w:styleId="123">
    <w:name w:val="Normal_25"/>
    <w:qFormat/>
    <w:uiPriority w:val="0"/>
    <w:rPr>
      <w:rFonts w:ascii="黑体" w:hAnsi="黑体" w:eastAsia="黑体" w:cs="Times New Roman"/>
      <w:b/>
      <w:sz w:val="32"/>
      <w:szCs w:val="24"/>
      <w:lang w:val="en-US" w:eastAsia="zh-CN" w:bidi="ar-SA"/>
    </w:rPr>
  </w:style>
  <w:style w:type="paragraph" w:customStyle="1" w:styleId="124">
    <w:name w:val="正文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文本缩进_5"/>
    <w:basedOn w:val="124"/>
    <w:link w:val="175"/>
    <w:qFormat/>
    <w:uiPriority w:val="0"/>
    <w:pPr>
      <w:spacing w:line="500" w:lineRule="exact"/>
      <w:ind w:left="1588" w:leftChars="832" w:firstLine="433" w:firstLineChars="196"/>
    </w:pPr>
    <w:rPr>
      <w:kern w:val="0"/>
      <w:sz w:val="24"/>
    </w:rPr>
  </w:style>
  <w:style w:type="paragraph" w:customStyle="1" w:styleId="126">
    <w:name w:val="Table Paragraph"/>
    <w:basedOn w:val="1"/>
    <w:qFormat/>
    <w:uiPriority w:val="1"/>
  </w:style>
  <w:style w:type="paragraph" w:styleId="127">
    <w:name w:val="List Paragraph"/>
    <w:basedOn w:val="1"/>
    <w:link w:val="152"/>
    <w:qFormat/>
    <w:uiPriority w:val="34"/>
    <w:pPr>
      <w:ind w:firstLine="420" w:firstLineChars="200"/>
    </w:pPr>
    <w:rPr>
      <w:rFonts w:ascii="Calibri" w:hAnsi="Calibri" w:eastAsia="宋体"/>
    </w:rPr>
  </w:style>
  <w:style w:type="paragraph" w:customStyle="1" w:styleId="128">
    <w:name w:val="标题 3_0"/>
    <w:basedOn w:val="129"/>
    <w:next w:val="129"/>
    <w:link w:val="186"/>
    <w:qFormat/>
    <w:uiPriority w:val="0"/>
    <w:pPr>
      <w:autoSpaceDE w:val="0"/>
      <w:autoSpaceDN w:val="0"/>
      <w:adjustRightInd w:val="0"/>
      <w:spacing w:line="500" w:lineRule="exact"/>
      <w:jc w:val="center"/>
      <w:outlineLvl w:val="2"/>
    </w:pPr>
    <w:rPr>
      <w:rFonts w:ascii="宋体" w:hAnsi="宋体"/>
      <w:b/>
      <w:szCs w:val="28"/>
    </w:rPr>
  </w:style>
  <w:style w:type="paragraph" w:customStyle="1" w:styleId="129">
    <w:name w:val="正文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130">
    <w:name w:val="正文文本缩进_0"/>
    <w:basedOn w:val="24"/>
    <w:link w:val="187"/>
    <w:qFormat/>
    <w:uiPriority w:val="0"/>
    <w:pPr>
      <w:spacing w:line="500" w:lineRule="exact"/>
      <w:ind w:left="1588" w:leftChars="832" w:firstLine="433" w:firstLineChars="196"/>
    </w:pPr>
    <w:rPr>
      <w:kern w:val="0"/>
      <w:sz w:val="24"/>
    </w:rPr>
  </w:style>
  <w:style w:type="paragraph" w:customStyle="1" w:styleId="131">
    <w:name w:val="_Style 122"/>
    <w:basedOn w:val="4"/>
    <w:next w:val="1"/>
    <w:qFormat/>
    <w:uiPriority w:val="39"/>
    <w:pPr>
      <w:widowControl/>
      <w:adjustRightInd/>
      <w:spacing w:before="480" w:after="0" w:line="276" w:lineRule="auto"/>
      <w:ind w:firstLine="0"/>
      <w:textAlignment w:val="auto"/>
      <w:outlineLvl w:val="9"/>
    </w:pPr>
    <w:rPr>
      <w:rFonts w:ascii="Cambria" w:hAnsi="Cambria" w:eastAsia="宋体"/>
      <w:color w:val="365F91"/>
      <w:kern w:val="0"/>
      <w:sz w:val="28"/>
      <w:szCs w:val="28"/>
    </w:rPr>
  </w:style>
  <w:style w:type="paragraph" w:customStyle="1" w:styleId="132">
    <w:name w:val="正文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3">
    <w:name w:val="题注_0_0"/>
    <w:basedOn w:val="124"/>
    <w:next w:val="124"/>
    <w:qFormat/>
    <w:uiPriority w:val="0"/>
    <w:pPr>
      <w:spacing w:before="152" w:after="160"/>
    </w:pPr>
    <w:rPr>
      <w:rFonts w:ascii="Arial" w:hAnsi="Arial" w:eastAsia="黑体"/>
      <w:sz w:val="20"/>
      <w:szCs w:val="20"/>
    </w:rPr>
  </w:style>
  <w:style w:type="paragraph" w:customStyle="1" w:styleId="134">
    <w:name w:val="样式1"/>
    <w:basedOn w:val="1"/>
    <w:qFormat/>
    <w:uiPriority w:val="0"/>
    <w:pPr>
      <w:tabs>
        <w:tab w:val="left" w:pos="1110"/>
      </w:tabs>
      <w:adjustRightInd w:val="0"/>
      <w:textAlignment w:val="baseline"/>
    </w:pPr>
    <w:rPr>
      <w:rFonts w:ascii="宋体" w:hAnsi="宋体"/>
      <w:kern w:val="0"/>
      <w:szCs w:val="21"/>
    </w:rPr>
  </w:style>
  <w:style w:type="paragraph" w:customStyle="1" w:styleId="135">
    <w:name w:val="Char"/>
    <w:basedOn w:val="1"/>
    <w:qFormat/>
    <w:uiPriority w:val="0"/>
    <w:pPr>
      <w:tabs>
        <w:tab w:val="left" w:pos="360"/>
      </w:tabs>
      <w:spacing w:line="360" w:lineRule="auto"/>
      <w:ind w:firstLine="480" w:firstLineChars="200"/>
    </w:pPr>
    <w:rPr>
      <w:rFonts w:ascii="楷体_GB2312" w:eastAsia="楷体_GB2312"/>
      <w:sz w:val="24"/>
    </w:rPr>
  </w:style>
  <w:style w:type="paragraph" w:customStyle="1" w:styleId="136">
    <w:name w:val="列出段落_0"/>
    <w:basedOn w:val="24"/>
    <w:qFormat/>
    <w:uiPriority w:val="34"/>
    <w:pPr>
      <w:ind w:firstLine="420" w:firstLineChars="200"/>
    </w:pPr>
    <w:rPr>
      <w:rFonts w:ascii="Calibri" w:hAnsi="Calibri" w:eastAsia="等线"/>
      <w:szCs w:val="22"/>
    </w:rPr>
  </w:style>
  <w:style w:type="paragraph" w:styleId="137">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138">
    <w:name w:val="默认段落字体 Para Char Char Char Char Char Char Char Char Char Char Char Char Char Char Char Char"/>
    <w:basedOn w:val="1"/>
    <w:qFormat/>
    <w:uiPriority w:val="0"/>
    <w:rPr>
      <w:rFonts w:ascii="Tahoma" w:hAnsi="Tahoma"/>
      <w:sz w:val="24"/>
      <w:szCs w:val="20"/>
    </w:rPr>
  </w:style>
  <w:style w:type="paragraph" w:customStyle="1" w:styleId="139">
    <w:name w:val="样式 标题 2 + 宋体 五号 非加粗 黑色"/>
    <w:basedOn w:val="5"/>
    <w:qFormat/>
    <w:uiPriority w:val="0"/>
    <w:rPr>
      <w:rFonts w:ascii="宋体" w:hAnsi="宋体"/>
      <w:b w:val="0"/>
      <w:bCs w:val="0"/>
      <w:color w:val="000000"/>
      <w:sz w:val="21"/>
    </w:rPr>
  </w:style>
  <w:style w:type="paragraph" w:customStyle="1" w:styleId="140">
    <w:name w:val="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41">
    <w:name w:val="Char Char Char"/>
    <w:basedOn w:val="1"/>
    <w:qFormat/>
    <w:uiPriority w:val="0"/>
    <w:pPr>
      <w:widowControl/>
      <w:spacing w:after="160" w:line="240" w:lineRule="exact"/>
      <w:jc w:val="left"/>
    </w:pPr>
  </w:style>
  <w:style w:type="paragraph" w:customStyle="1" w:styleId="142">
    <w:name w:val="Char Char Char Char Char Char"/>
    <w:basedOn w:val="17"/>
    <w:qFormat/>
    <w:uiPriority w:val="0"/>
    <w:pPr>
      <w:shd w:val="clear" w:color="auto" w:fill="000080"/>
    </w:pPr>
    <w:rPr>
      <w:rFonts w:ascii="Tahoma" w:hAnsi="Tahoma" w:eastAsia="等线"/>
      <w:sz w:val="24"/>
      <w:szCs w:val="22"/>
    </w:rPr>
  </w:style>
  <w:style w:type="paragraph" w:customStyle="1" w:styleId="143">
    <w:name w:val="正文11"/>
    <w:qFormat/>
    <w:uiPriority w:val="0"/>
    <w:pPr>
      <w:widowControl w:val="0"/>
      <w:jc w:val="both"/>
    </w:pPr>
    <w:rPr>
      <w:rFonts w:ascii="Calibri" w:hAnsi="Calibri" w:eastAsia="宋体" w:cs="Times New Roman"/>
      <w:lang w:val="en-US" w:eastAsia="zh-CN" w:bidi="ar-SA"/>
    </w:rPr>
  </w:style>
  <w:style w:type="paragraph" w:customStyle="1" w:styleId="14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正文_4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6">
    <w:name w:val="Char1"/>
    <w:basedOn w:val="1"/>
    <w:qFormat/>
    <w:uiPriority w:val="0"/>
    <w:pPr>
      <w:tabs>
        <w:tab w:val="left" w:pos="432"/>
      </w:tabs>
      <w:spacing w:beforeLines="50" w:afterLines="50"/>
      <w:ind w:left="432" w:hanging="432"/>
    </w:pPr>
  </w:style>
  <w:style w:type="paragraph" w:customStyle="1" w:styleId="147">
    <w:name w:val="Normal_18"/>
    <w:qFormat/>
    <w:uiPriority w:val="0"/>
    <w:rPr>
      <w:rFonts w:ascii="黑体" w:hAnsi="黑体" w:eastAsia="黑体" w:cs="Times New Roman"/>
      <w:b/>
      <w:sz w:val="32"/>
      <w:szCs w:val="24"/>
      <w:lang w:val="en-US" w:eastAsia="zh-CN" w:bidi="ar-SA"/>
    </w:rPr>
  </w:style>
  <w:style w:type="paragraph" w:customStyle="1" w:styleId="148">
    <w:name w:val="样式 标题 4 + 段前: 5 磅 段后: 5 磅 行距: 单倍行距"/>
    <w:basedOn w:val="7"/>
    <w:qFormat/>
    <w:uiPriority w:val="0"/>
    <w:pPr>
      <w:spacing w:before="100" w:after="100" w:line="240" w:lineRule="auto"/>
    </w:pPr>
    <w:rPr>
      <w:rFonts w:cs="宋体"/>
      <w:szCs w:val="20"/>
    </w:rPr>
  </w:style>
  <w:style w:type="paragraph" w:customStyle="1" w:styleId="149">
    <w:name w:val="附件正文"/>
    <w:basedOn w:val="1"/>
    <w:qFormat/>
    <w:uiPriority w:val="0"/>
    <w:pPr>
      <w:snapToGrid w:val="0"/>
      <w:spacing w:line="500" w:lineRule="exact"/>
      <w:ind w:firstLine="540" w:firstLineChars="225"/>
    </w:pPr>
    <w:rPr>
      <w:kern w:val="0"/>
      <w:sz w:val="24"/>
    </w:rPr>
  </w:style>
  <w:style w:type="character" w:customStyle="1" w:styleId="150">
    <w:name w:val="文档结构图 字符"/>
    <w:basedOn w:val="40"/>
    <w:link w:val="17"/>
    <w:qFormat/>
    <w:uiPriority w:val="99"/>
    <w:rPr>
      <w:rFonts w:ascii="宋体" w:hAnsi="等线"/>
      <w:kern w:val="2"/>
      <w:sz w:val="18"/>
      <w:szCs w:val="18"/>
    </w:rPr>
  </w:style>
  <w:style w:type="character" w:customStyle="1" w:styleId="151">
    <w:name w:val="页眉 字符"/>
    <w:basedOn w:val="40"/>
    <w:link w:val="30"/>
    <w:qFormat/>
    <w:uiPriority w:val="0"/>
    <w:rPr>
      <w:rFonts w:ascii="等线" w:hAnsi="等线" w:eastAsia="等线"/>
      <w:kern w:val="2"/>
      <w:sz w:val="18"/>
      <w:szCs w:val="18"/>
    </w:rPr>
  </w:style>
  <w:style w:type="character" w:customStyle="1" w:styleId="152">
    <w:name w:val="列表段落 字符1"/>
    <w:link w:val="127"/>
    <w:qFormat/>
    <w:uiPriority w:val="34"/>
    <w:rPr>
      <w:rFonts w:ascii="Calibri" w:hAnsi="Calibri"/>
      <w:kern w:val="2"/>
      <w:sz w:val="21"/>
      <w:szCs w:val="22"/>
    </w:rPr>
  </w:style>
  <w:style w:type="character" w:customStyle="1" w:styleId="153">
    <w:name w:val="标题 1 字符"/>
    <w:basedOn w:val="40"/>
    <w:link w:val="4"/>
    <w:qFormat/>
    <w:uiPriority w:val="9"/>
    <w:rPr>
      <w:rFonts w:ascii="等线" w:hAnsi="等线" w:eastAsia="等线"/>
      <w:b/>
      <w:bCs/>
      <w:kern w:val="44"/>
      <w:sz w:val="44"/>
      <w:szCs w:val="44"/>
    </w:rPr>
  </w:style>
  <w:style w:type="character" w:customStyle="1" w:styleId="154">
    <w:name w:val="标题 2 字符"/>
    <w:basedOn w:val="40"/>
    <w:link w:val="5"/>
    <w:qFormat/>
    <w:uiPriority w:val="0"/>
    <w:rPr>
      <w:rFonts w:ascii="Arial" w:hAnsi="Arial"/>
      <w:b/>
      <w:bCs/>
      <w:sz w:val="24"/>
      <w:szCs w:val="32"/>
    </w:rPr>
  </w:style>
  <w:style w:type="character" w:customStyle="1" w:styleId="155">
    <w:name w:val="标题 3 字符"/>
    <w:basedOn w:val="40"/>
    <w:link w:val="6"/>
    <w:qFormat/>
    <w:uiPriority w:val="0"/>
    <w:rPr>
      <w:rFonts w:ascii="等线" w:hAnsi="等线" w:eastAsia="等线"/>
      <w:b/>
      <w:bCs/>
      <w:sz w:val="32"/>
      <w:szCs w:val="32"/>
    </w:rPr>
  </w:style>
  <w:style w:type="character" w:customStyle="1" w:styleId="156">
    <w:name w:val="标题 4 字符"/>
    <w:basedOn w:val="40"/>
    <w:link w:val="7"/>
    <w:qFormat/>
    <w:uiPriority w:val="0"/>
    <w:rPr>
      <w:rFonts w:ascii="Arial" w:hAnsi="Arial" w:eastAsia="黑体"/>
      <w:b/>
      <w:bCs/>
      <w:sz w:val="28"/>
      <w:szCs w:val="28"/>
    </w:rPr>
  </w:style>
  <w:style w:type="character" w:customStyle="1" w:styleId="157">
    <w:name w:val="标题 5 字符"/>
    <w:basedOn w:val="40"/>
    <w:link w:val="8"/>
    <w:qFormat/>
    <w:uiPriority w:val="0"/>
    <w:rPr>
      <w:rFonts w:ascii="等线" w:hAnsi="等线" w:eastAsia="等线"/>
      <w:b/>
      <w:bCs/>
      <w:sz w:val="28"/>
      <w:szCs w:val="28"/>
    </w:rPr>
  </w:style>
  <w:style w:type="character" w:customStyle="1" w:styleId="158">
    <w:name w:val="标题 6 字符"/>
    <w:basedOn w:val="40"/>
    <w:link w:val="9"/>
    <w:qFormat/>
    <w:uiPriority w:val="0"/>
    <w:rPr>
      <w:rFonts w:ascii="Arial" w:hAnsi="Arial" w:eastAsia="黑体"/>
      <w:b/>
      <w:bCs/>
      <w:sz w:val="24"/>
      <w:szCs w:val="22"/>
    </w:rPr>
  </w:style>
  <w:style w:type="character" w:customStyle="1" w:styleId="159">
    <w:name w:val="标题 7 字符"/>
    <w:basedOn w:val="40"/>
    <w:link w:val="10"/>
    <w:qFormat/>
    <w:uiPriority w:val="0"/>
    <w:rPr>
      <w:rFonts w:ascii="等线" w:hAnsi="等线" w:eastAsia="等线"/>
      <w:b/>
      <w:bCs/>
      <w:sz w:val="24"/>
      <w:szCs w:val="22"/>
    </w:rPr>
  </w:style>
  <w:style w:type="character" w:customStyle="1" w:styleId="160">
    <w:name w:val="标题 8 字符"/>
    <w:basedOn w:val="40"/>
    <w:link w:val="11"/>
    <w:qFormat/>
    <w:uiPriority w:val="0"/>
    <w:rPr>
      <w:rFonts w:ascii="Arial" w:hAnsi="Arial" w:eastAsia="黑体"/>
      <w:sz w:val="24"/>
      <w:szCs w:val="22"/>
    </w:rPr>
  </w:style>
  <w:style w:type="character" w:customStyle="1" w:styleId="161">
    <w:name w:val="标题 9 字符"/>
    <w:basedOn w:val="40"/>
    <w:link w:val="12"/>
    <w:qFormat/>
    <w:uiPriority w:val="0"/>
    <w:rPr>
      <w:rFonts w:ascii="Arial" w:hAnsi="Arial" w:eastAsia="黑体"/>
      <w:sz w:val="21"/>
      <w:szCs w:val="21"/>
    </w:rPr>
  </w:style>
  <w:style w:type="character" w:customStyle="1" w:styleId="162">
    <w:name w:val="批注文字 Char1"/>
    <w:semiHidden/>
    <w:qFormat/>
    <w:uiPriority w:val="0"/>
    <w:rPr>
      <w:rFonts w:ascii="Times New Roman" w:hAnsi="Times New Roman"/>
      <w:kern w:val="2"/>
      <w:sz w:val="21"/>
      <w:szCs w:val="24"/>
    </w:rPr>
  </w:style>
  <w:style w:type="character" w:customStyle="1" w:styleId="163">
    <w:name w:val="正文文本缩进 字符"/>
    <w:link w:val="21"/>
    <w:qFormat/>
    <w:uiPriority w:val="0"/>
    <w:rPr>
      <w:kern w:val="2"/>
      <w:sz w:val="24"/>
      <w:szCs w:val="24"/>
    </w:rPr>
  </w:style>
  <w:style w:type="character" w:customStyle="1" w:styleId="164">
    <w:name w:val="页脚 字符"/>
    <w:link w:val="29"/>
    <w:qFormat/>
    <w:uiPriority w:val="0"/>
    <w:rPr>
      <w:kern w:val="2"/>
      <w:sz w:val="18"/>
      <w:szCs w:val="18"/>
    </w:rPr>
  </w:style>
  <w:style w:type="character" w:customStyle="1" w:styleId="165">
    <w:name w:val="正文文本缩进 Char_1"/>
    <w:link w:val="63"/>
    <w:qFormat/>
    <w:uiPriority w:val="0"/>
    <w:rPr>
      <w:sz w:val="24"/>
      <w:szCs w:val="24"/>
    </w:rPr>
  </w:style>
  <w:style w:type="character" w:customStyle="1" w:styleId="166">
    <w:name w:val="标题 3 Char_0_0"/>
    <w:link w:val="69"/>
    <w:qFormat/>
    <w:uiPriority w:val="0"/>
    <w:rPr>
      <w:rFonts w:ascii="宋体" w:hAnsi="宋体"/>
      <w:b/>
      <w:sz w:val="28"/>
      <w:szCs w:val="28"/>
    </w:rPr>
  </w:style>
  <w:style w:type="character" w:customStyle="1" w:styleId="167">
    <w:name w:val="正文文本缩进 Char_0_0"/>
    <w:link w:val="78"/>
    <w:qFormat/>
    <w:uiPriority w:val="0"/>
    <w:rPr>
      <w:sz w:val="24"/>
      <w:szCs w:val="24"/>
    </w:rPr>
  </w:style>
  <w:style w:type="character" w:customStyle="1" w:styleId="168">
    <w:name w:val="标题 3 Char_0_0_0"/>
    <w:link w:val="81"/>
    <w:qFormat/>
    <w:uiPriority w:val="0"/>
    <w:rPr>
      <w:rFonts w:ascii="宋体" w:hAnsi="宋体"/>
      <w:b/>
      <w:sz w:val="28"/>
      <w:szCs w:val="28"/>
    </w:rPr>
  </w:style>
  <w:style w:type="character" w:customStyle="1" w:styleId="169">
    <w:name w:val="正文文本 Char1_0"/>
    <w:link w:val="95"/>
    <w:qFormat/>
    <w:uiPriority w:val="0"/>
    <w:rPr>
      <w:szCs w:val="24"/>
    </w:rPr>
  </w:style>
  <w:style w:type="character" w:customStyle="1" w:styleId="170">
    <w:name w:val="正文文本 Char1_0_0"/>
    <w:link w:val="98"/>
    <w:qFormat/>
    <w:uiPriority w:val="0"/>
    <w:rPr>
      <w:szCs w:val="24"/>
    </w:rPr>
  </w:style>
  <w:style w:type="character" w:customStyle="1" w:styleId="171">
    <w:name w:val="正文文本缩进 Char_1_0"/>
    <w:link w:val="99"/>
    <w:qFormat/>
    <w:uiPriority w:val="0"/>
    <w:rPr>
      <w:sz w:val="24"/>
      <w:szCs w:val="24"/>
    </w:rPr>
  </w:style>
  <w:style w:type="character" w:customStyle="1" w:styleId="172">
    <w:name w:val="正文文本缩进 Char_2"/>
    <w:link w:val="101"/>
    <w:qFormat/>
    <w:uiPriority w:val="0"/>
    <w:rPr>
      <w:sz w:val="24"/>
      <w:szCs w:val="24"/>
    </w:rPr>
  </w:style>
  <w:style w:type="character" w:customStyle="1" w:styleId="173">
    <w:name w:val="正文文本缩进 Char_3"/>
    <w:link w:val="109"/>
    <w:qFormat/>
    <w:uiPriority w:val="0"/>
    <w:rPr>
      <w:sz w:val="24"/>
      <w:szCs w:val="24"/>
    </w:rPr>
  </w:style>
  <w:style w:type="character" w:customStyle="1" w:styleId="174">
    <w:name w:val="正文文本缩进 Char_4"/>
    <w:link w:val="114"/>
    <w:qFormat/>
    <w:uiPriority w:val="0"/>
    <w:rPr>
      <w:sz w:val="24"/>
      <w:szCs w:val="24"/>
    </w:rPr>
  </w:style>
  <w:style w:type="character" w:customStyle="1" w:styleId="175">
    <w:name w:val="正文文本缩进 Char_5"/>
    <w:link w:val="125"/>
    <w:qFormat/>
    <w:uiPriority w:val="0"/>
    <w:rPr>
      <w:sz w:val="24"/>
      <w:szCs w:val="24"/>
    </w:rPr>
  </w:style>
  <w:style w:type="character" w:customStyle="1" w:styleId="176">
    <w:name w:val="批注文字 Char"/>
    <w:qFormat/>
    <w:uiPriority w:val="0"/>
    <w:rPr>
      <w:rFonts w:eastAsia="宋体"/>
      <w:kern w:val="2"/>
      <w:sz w:val="21"/>
      <w:szCs w:val="24"/>
      <w:lang w:val="en-US" w:eastAsia="zh-CN" w:bidi="ar-SA"/>
    </w:rPr>
  </w:style>
  <w:style w:type="character" w:customStyle="1" w:styleId="177">
    <w:name w:val="正文文本 3 字符"/>
    <w:basedOn w:val="40"/>
    <w:link w:val="20"/>
    <w:qFormat/>
    <w:uiPriority w:val="0"/>
    <w:rPr>
      <w:rFonts w:ascii="等线" w:hAnsi="等线" w:eastAsia="等线"/>
      <w:kern w:val="2"/>
      <w:sz w:val="16"/>
      <w:szCs w:val="16"/>
    </w:rPr>
  </w:style>
  <w:style w:type="character" w:customStyle="1" w:styleId="178">
    <w:name w:val="正文文本 字符"/>
    <w:link w:val="2"/>
    <w:qFormat/>
    <w:uiPriority w:val="0"/>
    <w:rPr>
      <w:rFonts w:ascii="等线" w:hAnsi="等线" w:eastAsia="等线"/>
      <w:kern w:val="2"/>
      <w:sz w:val="32"/>
      <w:szCs w:val="32"/>
    </w:rPr>
  </w:style>
  <w:style w:type="character" w:customStyle="1" w:styleId="179">
    <w:name w:val="纯文本 字符"/>
    <w:basedOn w:val="40"/>
    <w:link w:val="26"/>
    <w:qFormat/>
    <w:uiPriority w:val="0"/>
    <w:rPr>
      <w:rFonts w:ascii="宋体" w:hAnsi="Courier New"/>
      <w:kern w:val="2"/>
      <w:sz w:val="21"/>
      <w:szCs w:val="21"/>
    </w:rPr>
  </w:style>
  <w:style w:type="character" w:customStyle="1" w:styleId="180">
    <w:name w:val="日期 字符"/>
    <w:basedOn w:val="40"/>
    <w:link w:val="3"/>
    <w:qFormat/>
    <w:uiPriority w:val="0"/>
    <w:rPr>
      <w:rFonts w:ascii="等线" w:hAnsi="等线" w:eastAsia="等线"/>
      <w:kern w:val="2"/>
      <w:sz w:val="21"/>
      <w:szCs w:val="22"/>
    </w:rPr>
  </w:style>
  <w:style w:type="character" w:customStyle="1" w:styleId="181">
    <w:name w:val="正文文本缩进 2 字符"/>
    <w:basedOn w:val="40"/>
    <w:link w:val="27"/>
    <w:qFormat/>
    <w:uiPriority w:val="0"/>
    <w:rPr>
      <w:rFonts w:ascii="等线" w:hAnsi="等线" w:eastAsia="等线"/>
      <w:kern w:val="2"/>
      <w:sz w:val="21"/>
      <w:szCs w:val="22"/>
    </w:rPr>
  </w:style>
  <w:style w:type="character" w:customStyle="1" w:styleId="182">
    <w:name w:val="批注框文本 字符"/>
    <w:basedOn w:val="40"/>
    <w:link w:val="28"/>
    <w:qFormat/>
    <w:uiPriority w:val="99"/>
    <w:rPr>
      <w:rFonts w:ascii="等线" w:hAnsi="等线" w:eastAsia="等线"/>
      <w:kern w:val="2"/>
      <w:sz w:val="18"/>
      <w:szCs w:val="18"/>
    </w:rPr>
  </w:style>
  <w:style w:type="character" w:customStyle="1" w:styleId="183">
    <w:name w:val="正文文本缩进 3 字符"/>
    <w:basedOn w:val="40"/>
    <w:link w:val="33"/>
    <w:qFormat/>
    <w:uiPriority w:val="0"/>
    <w:rPr>
      <w:rFonts w:ascii="等线" w:hAnsi="等线" w:eastAsia="黑体"/>
      <w:b/>
      <w:bCs/>
      <w:kern w:val="2"/>
      <w:sz w:val="72"/>
      <w:szCs w:val="22"/>
    </w:rPr>
  </w:style>
  <w:style w:type="character" w:customStyle="1" w:styleId="184">
    <w:name w:val="批注文字 字符"/>
    <w:basedOn w:val="40"/>
    <w:link w:val="19"/>
    <w:semiHidden/>
    <w:qFormat/>
    <w:uiPriority w:val="0"/>
    <w:rPr>
      <w:kern w:val="2"/>
      <w:sz w:val="21"/>
      <w:szCs w:val="24"/>
    </w:rPr>
  </w:style>
  <w:style w:type="character" w:customStyle="1" w:styleId="185">
    <w:name w:val="批注主题 字符"/>
    <w:basedOn w:val="184"/>
    <w:link w:val="37"/>
    <w:qFormat/>
    <w:uiPriority w:val="0"/>
    <w:rPr>
      <w:kern w:val="2"/>
      <w:sz w:val="21"/>
      <w:szCs w:val="24"/>
    </w:rPr>
  </w:style>
  <w:style w:type="character" w:customStyle="1" w:styleId="186">
    <w:name w:val="标题 3 Char_0"/>
    <w:link w:val="128"/>
    <w:qFormat/>
    <w:uiPriority w:val="0"/>
    <w:rPr>
      <w:rFonts w:ascii="宋体" w:hAnsi="宋体"/>
      <w:b/>
      <w:kern w:val="2"/>
      <w:sz w:val="28"/>
      <w:szCs w:val="28"/>
    </w:rPr>
  </w:style>
  <w:style w:type="character" w:customStyle="1" w:styleId="187">
    <w:name w:val="正文文本缩进 Char_0"/>
    <w:link w:val="130"/>
    <w:qFormat/>
    <w:uiPriority w:val="0"/>
    <w:rPr>
      <w:sz w:val="24"/>
      <w:szCs w:val="24"/>
    </w:rPr>
  </w:style>
  <w:style w:type="character" w:customStyle="1" w:styleId="188">
    <w:name w:val="Char Char6"/>
    <w:qFormat/>
    <w:uiPriority w:val="0"/>
    <w:rPr>
      <w:rFonts w:eastAsia="宋体"/>
      <w:kern w:val="2"/>
      <w:sz w:val="21"/>
      <w:szCs w:val="24"/>
      <w:lang w:val="en-US" w:eastAsia="zh-CN" w:bidi="ar-SA"/>
    </w:rPr>
  </w:style>
  <w:style w:type="character" w:customStyle="1" w:styleId="189">
    <w:name w:val="Char Char3"/>
    <w:qFormat/>
    <w:uiPriority w:val="0"/>
    <w:rPr>
      <w:rFonts w:eastAsia="宋体"/>
      <w:kern w:val="2"/>
      <w:sz w:val="21"/>
      <w:szCs w:val="24"/>
      <w:lang w:val="en-US" w:eastAsia="zh-CN" w:bidi="ar-SA"/>
    </w:rPr>
  </w:style>
  <w:style w:type="character" w:customStyle="1" w:styleId="190">
    <w:name w:val="超链接_0"/>
    <w:qFormat/>
    <w:uiPriority w:val="99"/>
    <w:rPr>
      <w:rFonts w:ascii="Calibri" w:hAnsi="Calibri" w:eastAsia="Times New Roman"/>
      <w:color w:val="0000FF"/>
      <w:u w:val="single"/>
    </w:rPr>
  </w:style>
  <w:style w:type="paragraph" w:customStyle="1" w:styleId="191">
    <w:name w:val="_Style 9"/>
    <w:basedOn w:val="1"/>
    <w:next w:val="127"/>
    <w:qFormat/>
    <w:uiPriority w:val="34"/>
    <w:pPr>
      <w:ind w:firstLine="420" w:firstLineChars="200"/>
    </w:pPr>
    <w:rPr>
      <w:rFonts w:ascii="Calibri" w:hAnsi="Calibri" w:eastAsia="宋体"/>
    </w:rPr>
  </w:style>
  <w:style w:type="paragraph" w:customStyle="1" w:styleId="192">
    <w:name w:val="_Style 22"/>
    <w:basedOn w:val="1"/>
    <w:next w:val="127"/>
    <w:qFormat/>
    <w:uiPriority w:val="0"/>
    <w:pPr>
      <w:ind w:firstLine="420" w:firstLineChars="200"/>
    </w:pPr>
    <w:rPr>
      <w:rFonts w:ascii="Calibri" w:hAnsi="Calibri" w:eastAsia="宋体"/>
      <w:szCs w:val="21"/>
    </w:rPr>
  </w:style>
  <w:style w:type="paragraph" w:customStyle="1" w:styleId="193">
    <w:name w:val="_Style 13"/>
    <w:basedOn w:val="1"/>
    <w:next w:val="127"/>
    <w:link w:val="194"/>
    <w:qFormat/>
    <w:uiPriority w:val="34"/>
    <w:pPr>
      <w:ind w:firstLine="420" w:firstLineChars="200"/>
    </w:pPr>
    <w:rPr>
      <w:rFonts w:ascii="Calibri" w:hAnsi="Calibri" w:eastAsia="宋体"/>
    </w:rPr>
  </w:style>
  <w:style w:type="character" w:customStyle="1" w:styleId="194">
    <w:name w:val="列表段落 字符"/>
    <w:link w:val="193"/>
    <w:qFormat/>
    <w:locked/>
    <w:uiPriority w:val="34"/>
    <w:rPr>
      <w:rFonts w:ascii="Calibri" w:hAnsi="Calibri"/>
      <w:kern w:val="2"/>
      <w:sz w:val="21"/>
      <w:szCs w:val="22"/>
    </w:rPr>
  </w:style>
  <w:style w:type="paragraph" w:customStyle="1" w:styleId="195">
    <w:name w:val="Default"/>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paragraph" w:styleId="196">
    <w:name w:val="Intense Quote"/>
    <w:basedOn w:val="1"/>
    <w:next w:val="1"/>
    <w:link w:val="197"/>
    <w:qFormat/>
    <w:uiPriority w:val="30"/>
    <w:pPr>
      <w:pBdr>
        <w:bottom w:val="single" w:color="4F81BD" w:themeColor="accent1" w:sz="4" w:space="4"/>
      </w:pBdr>
      <w:spacing w:before="200" w:after="280"/>
      <w:ind w:left="936" w:right="936"/>
    </w:pPr>
    <w:rPr>
      <w:rFonts w:asciiTheme="minorHAnsi" w:hAnsiTheme="minorHAnsi" w:eastAsiaTheme="minorEastAsia" w:cstheme="minorBidi"/>
      <w:b/>
      <w:bCs/>
      <w:i/>
      <w:iCs/>
      <w:color w:val="4F81BD" w:themeColor="accent1"/>
      <w14:textFill>
        <w14:solidFill>
          <w14:schemeClr w14:val="accent1"/>
        </w14:solidFill>
      </w14:textFill>
    </w:rPr>
  </w:style>
  <w:style w:type="character" w:customStyle="1" w:styleId="197">
    <w:name w:val="明显引用 字符"/>
    <w:basedOn w:val="40"/>
    <w:link w:val="196"/>
    <w:qFormat/>
    <w:uiPriority w:val="30"/>
    <w:rPr>
      <w:rFonts w:asciiTheme="minorHAnsi" w:hAnsiTheme="minorHAnsi" w:eastAsiaTheme="minorEastAsia" w:cstheme="minorBidi"/>
      <w:b/>
      <w:bCs/>
      <w:i/>
      <w:iCs/>
      <w:color w:val="4F81BD" w:themeColor="accent1"/>
      <w:kern w:val="2"/>
      <w:sz w:val="21"/>
      <w:szCs w:val="22"/>
      <w14:textFill>
        <w14:solidFill>
          <w14:schemeClr w14:val="accent1"/>
        </w14:solidFill>
      </w14:textFill>
    </w:rPr>
  </w:style>
  <w:style w:type="table" w:customStyle="1" w:styleId="198">
    <w:name w:val="网格型1"/>
    <w:basedOn w:val="3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9">
    <w:name w:val="font41"/>
    <w:basedOn w:val="40"/>
    <w:qFormat/>
    <w:uiPriority w:val="0"/>
    <w:rPr>
      <w:rFonts w:ascii="MS Sans Serif" w:hAnsi="MS Sans Serif" w:eastAsia="MS Sans Serif" w:cs="MS Sans Serif"/>
      <w:color w:val="000000"/>
      <w:sz w:val="20"/>
      <w:szCs w:val="20"/>
      <w:u w:val="none"/>
    </w:rPr>
  </w:style>
  <w:style w:type="character" w:customStyle="1" w:styleId="200">
    <w:name w:val="font31"/>
    <w:basedOn w:val="40"/>
    <w:qFormat/>
    <w:uiPriority w:val="0"/>
    <w:rPr>
      <w:rFonts w:ascii="宋体" w:hAnsi="宋体" w:eastAsia="宋体" w:cs="宋体"/>
      <w:color w:val="000000"/>
      <w:sz w:val="20"/>
      <w:szCs w:val="20"/>
      <w:u w:val="none"/>
    </w:rPr>
  </w:style>
  <w:style w:type="paragraph" w:customStyle="1" w:styleId="201">
    <w:name w:val="xl63"/>
    <w:basedOn w:val="1"/>
    <w:qFormat/>
    <w:uiPriority w:val="0"/>
    <w:pPr>
      <w:widowControl/>
      <w:pBdr>
        <w:top w:val="single" w:color="000000" w:sz="8" w:space="0"/>
        <w:left w:val="single" w:color="000000" w:sz="8" w:space="0"/>
        <w:bottom w:val="single" w:color="000000" w:sz="8" w:space="0"/>
        <w:right w:val="single" w:color="auto" w:sz="8"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202">
    <w:name w:val="xl64"/>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203">
    <w:name w:val="xl6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204">
    <w:name w:val="xl6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eastAsia="宋体" w:cs="宋体"/>
      <w:b/>
      <w:bCs/>
      <w:color w:val="FF0000"/>
      <w:kern w:val="0"/>
      <w:sz w:val="24"/>
      <w:szCs w:val="24"/>
    </w:rPr>
  </w:style>
  <w:style w:type="paragraph" w:customStyle="1" w:styleId="205">
    <w:name w:val="xl67"/>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06">
    <w:name w:val="xl6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07">
    <w:name w:val="xl69"/>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eastAsia="宋体" w:cs="宋体"/>
      <w:color w:val="000000"/>
      <w:kern w:val="0"/>
      <w:sz w:val="24"/>
      <w:szCs w:val="24"/>
    </w:rPr>
  </w:style>
  <w:style w:type="character" w:customStyle="1" w:styleId="208">
    <w:name w:val="标题 字符"/>
    <w:basedOn w:val="40"/>
    <w:link w:val="36"/>
    <w:qFormat/>
    <w:uiPriority w:val="0"/>
    <w:rPr>
      <w:rFonts w:asciiTheme="majorHAnsi" w:hAnsiTheme="majorHAnsi" w:cstheme="majorBidi"/>
      <w:b/>
      <w:bCs/>
      <w:kern w:val="2"/>
      <w:sz w:val="32"/>
      <w:szCs w:val="32"/>
    </w:rPr>
  </w:style>
  <w:style w:type="character" w:customStyle="1" w:styleId="209">
    <w:name w:val="font11"/>
    <w:basedOn w:val="40"/>
    <w:qFormat/>
    <w:uiPriority w:val="0"/>
    <w:rPr>
      <w:rFonts w:hint="eastAsia" w:ascii="仿宋" w:hAnsi="仿宋" w:eastAsia="仿宋" w:cs="仿宋"/>
      <w:b/>
      <w:bCs/>
      <w:color w:val="000000"/>
      <w:sz w:val="22"/>
      <w:szCs w:val="22"/>
      <w:u w:val="none"/>
    </w:rPr>
  </w:style>
  <w:style w:type="character" w:customStyle="1" w:styleId="210">
    <w:name w:val="font21"/>
    <w:basedOn w:val="40"/>
    <w:qFormat/>
    <w:uiPriority w:val="0"/>
    <w:rPr>
      <w:rFonts w:hint="eastAsia" w:ascii="仿宋" w:hAnsi="仿宋" w:eastAsia="仿宋" w:cs="仿宋"/>
      <w:b/>
      <w:bCs/>
      <w:color w:val="000000"/>
      <w:sz w:val="20"/>
      <w:szCs w:val="20"/>
      <w:u w:val="none"/>
    </w:rPr>
  </w:style>
  <w:style w:type="paragraph" w:customStyle="1" w:styleId="211">
    <w:name w:val="Char2"/>
    <w:basedOn w:val="1"/>
    <w:qFormat/>
    <w:uiPriority w:val="0"/>
    <w:rPr>
      <w:rFonts w:ascii="Tahoma" w:hAnsi="Tahoma" w:eastAsia="宋体"/>
      <w:sz w:val="24"/>
      <w:szCs w:val="20"/>
    </w:rPr>
  </w:style>
  <w:style w:type="paragraph" w:customStyle="1" w:styleId="212">
    <w:name w:val="正文（首行缩进2字符）"/>
    <w:basedOn w:val="1"/>
    <w:qFormat/>
    <w:uiPriority w:val="0"/>
    <w:pPr>
      <w:ind w:firstLine="420" w:firstLineChars="200"/>
    </w:pPr>
    <w:rPr>
      <w:rFonts w:ascii="Times New Roman" w:hAnsi="Times New Roman" w:eastAsia="宋体"/>
      <w:szCs w:val="21"/>
    </w:rPr>
  </w:style>
  <w:style w:type="paragraph" w:customStyle="1" w:styleId="213">
    <w:name w:val="正文文本缩进_0_2"/>
    <w:basedOn w:val="97"/>
    <w:qFormat/>
    <w:uiPriority w:val="0"/>
    <w:pPr>
      <w:spacing w:line="500" w:lineRule="exact"/>
      <w:ind w:left="1588" w:leftChars="832" w:firstLine="433" w:firstLineChars="196"/>
    </w:pPr>
    <w:rPr>
      <w:kern w:val="0"/>
      <w:sz w:val="24"/>
    </w:rPr>
  </w:style>
  <w:style w:type="paragraph" w:customStyle="1" w:styleId="214">
    <w:name w:val="111111111"/>
    <w:basedOn w:val="1"/>
    <w:qFormat/>
    <w:uiPriority w:val="0"/>
    <w:pPr>
      <w:snapToGrid w:val="0"/>
      <w:spacing w:line="288" w:lineRule="auto"/>
    </w:pPr>
    <w:rPr>
      <w:rFonts w:ascii="宋体" w:hAnsi="宋体" w:cs="宋体"/>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0BE6E-EA50-4B5F-BA3B-4AD75C9657C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124</Pages>
  <Words>60030</Words>
  <Characters>63740</Characters>
  <Lines>498</Lines>
  <Paragraphs>140</Paragraphs>
  <TotalTime>16</TotalTime>
  <ScaleCrop>false</ScaleCrop>
  <LinksUpToDate>false</LinksUpToDate>
  <CharactersWithSpaces>66631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2023-04-26T05:31:00Z</dcterms:created>
  <dc:creator>Administrator</dc:creator>
  <cp:lastModifiedBy>NTKO</cp:lastModifiedBy>
  <cp:lastPrinted>2023-03-23T03:58:00Z</cp:lastPrinted>
  <dcterms:modified xsi:type="dcterms:W3CDTF">2023-05-05T05:47:51Z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042738A3F5AD42BC815948780BE6E1E7_13</vt:lpwstr>
  </property>
  <property fmtid="{D5CDD505-2E9C-101B-9397-08002B2CF9AE}" pid="4" name="commondata">
    <vt:lpwstr>eyJoZGlkIjoiOGU5NWFkOTdlMDFiMDQ4NzhhYmJlZTYxMjY2YmQzYWYifQ==</vt:lpwstr>
  </property>
</Properties>
</file>